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389391" w:displacedByCustomXml="next"/>
    <w:bookmarkEnd w:id="0" w:displacedByCustomXml="next"/>
    <w:sdt>
      <w:sdtPr>
        <w:id w:val="-1442289537"/>
        <w:docPartObj>
          <w:docPartGallery w:val="Cover Pages"/>
          <w:docPartUnique/>
        </w:docPartObj>
      </w:sdtPr>
      <w:sdtEndPr/>
      <w:sdtContent>
        <w:p w14:paraId="2499476E" w14:textId="2EC6BD54" w:rsidR="00A97160" w:rsidRPr="000F6827" w:rsidRDefault="00A97160" w:rsidP="006469CC">
          <w:pPr>
            <w:pStyle w:val="ListParagraph"/>
          </w:pPr>
          <w:r>
            <w:rPr>
              <w:noProof/>
            </w:rPr>
            <w:drawing>
              <wp:anchor distT="0" distB="0" distL="114300" distR="114300" simplePos="0" relativeHeight="251658242" behindDoc="1" locked="0" layoutInCell="1" allowOverlap="1" wp14:anchorId="11775B0E" wp14:editId="4A5CB665">
                <wp:simplePos x="0" y="0"/>
                <wp:positionH relativeFrom="margin">
                  <wp:posOffset>-906780</wp:posOffset>
                </wp:positionH>
                <wp:positionV relativeFrom="page">
                  <wp:posOffset>-18560</wp:posOffset>
                </wp:positionV>
                <wp:extent cx="7570800" cy="1070901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70800" cy="1070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60E12" w14:textId="1751A08E" w:rsidR="00A97160" w:rsidRPr="000F6827" w:rsidRDefault="00A97160" w:rsidP="00301755">
          <w:pPr>
            <w:pStyle w:val="Header"/>
            <w:spacing w:after="1200"/>
            <w:rPr>
              <w:color w:val="auto"/>
            </w:rPr>
          </w:pPr>
        </w:p>
        <w:p w14:paraId="2B668A7A" w14:textId="7562CA09" w:rsidR="00A97160" w:rsidRPr="000F6827" w:rsidRDefault="00E66B24" w:rsidP="002A7A31">
          <w:pPr>
            <w:pStyle w:val="Title"/>
            <w:tabs>
              <w:tab w:val="left" w:pos="6379"/>
            </w:tabs>
            <w:spacing w:after="120" w:line="720" w:lineRule="exact"/>
            <w:ind w:right="1982"/>
            <w:rPr>
              <w:color w:val="auto"/>
            </w:rPr>
          </w:pPr>
          <w:r w:rsidRPr="000F6827">
            <w:rPr>
              <w:color w:val="auto"/>
            </w:rPr>
            <w:t>Statutory Review of the Consumer Data Right</w:t>
          </w:r>
        </w:p>
        <w:p w14:paraId="70A35287" w14:textId="159AFA03" w:rsidR="00115B41" w:rsidRPr="000F6827" w:rsidRDefault="006E7399" w:rsidP="00F3484D">
          <w:pPr>
            <w:pStyle w:val="Subtitle"/>
            <w:numPr>
              <w:ilvl w:val="0"/>
              <w:numId w:val="0"/>
            </w:numPr>
            <w:spacing w:after="360"/>
            <w:rPr>
              <w:rStyle w:val="ReportDateChar"/>
              <w:rFonts w:eastAsiaTheme="majorEastAsia"/>
              <w:b/>
              <w:color w:val="auto"/>
              <w:spacing w:val="5"/>
              <w:kern w:val="28"/>
            </w:rPr>
          </w:pPr>
          <w:r w:rsidRPr="000F6827">
            <w:rPr>
              <w:color w:val="auto"/>
            </w:rPr>
            <w:t>R</w:t>
          </w:r>
          <w:r w:rsidR="00115B41" w:rsidRPr="000F6827">
            <w:rPr>
              <w:color w:val="auto"/>
            </w:rPr>
            <w:t>eport</w:t>
          </w:r>
        </w:p>
        <w:p w14:paraId="3C5E09BB" w14:textId="23F967C1" w:rsidR="00B775EE" w:rsidRDefault="00A97160">
          <w:pPr>
            <w:spacing w:before="0" w:after="160" w:line="259" w:lineRule="auto"/>
          </w:pPr>
          <w:r>
            <w:br w:type="page"/>
          </w:r>
        </w:p>
      </w:sdtContent>
    </w:sdt>
    <w:p w14:paraId="7EA816FB" w14:textId="101BAB6B" w:rsidR="000E0B74" w:rsidRDefault="000E0B74" w:rsidP="005877AC">
      <w:pPr>
        <w:spacing w:before="0" w:after="160" w:line="259" w:lineRule="auto"/>
      </w:pPr>
      <w:r w:rsidRPr="00661BF0">
        <w:lastRenderedPageBreak/>
        <w:t xml:space="preserve">© Commonwealth of Australia </w:t>
      </w:r>
      <w:r w:rsidRPr="007B668A">
        <w:t>20</w:t>
      </w:r>
      <w:r w:rsidR="007B668A" w:rsidRPr="007B668A">
        <w:t>2</w:t>
      </w:r>
      <w:r w:rsidR="0009376F">
        <w:t>2</w:t>
      </w:r>
    </w:p>
    <w:p w14:paraId="1186A967" w14:textId="1CC97A84" w:rsidR="006469CC" w:rsidRDefault="006469CC" w:rsidP="005877AC">
      <w:pPr>
        <w:spacing w:before="0" w:after="160" w:line="259" w:lineRule="auto"/>
        <w:rPr>
          <w:noProof/>
        </w:rPr>
      </w:pPr>
      <w:r>
        <w:t xml:space="preserve">ISBN: </w:t>
      </w:r>
      <w:r w:rsidR="00786F2E">
        <w:t>978-1-925832-53-2</w:t>
      </w:r>
    </w:p>
    <w:p w14:paraId="761D7E9A" w14:textId="0A5B2F3A"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648EBDE6" w14:textId="77777777" w:rsidR="000E0B74" w:rsidRDefault="000E0B74" w:rsidP="000E0B74">
      <w:pPr>
        <w:pStyle w:val="ChartGraphic"/>
        <w:jc w:val="left"/>
      </w:pPr>
      <w:r w:rsidRPr="00E56DFB">
        <w:rPr>
          <w:noProof/>
        </w:rPr>
        <w:drawing>
          <wp:inline distT="0" distB="0" distL="0" distR="0" wp14:anchorId="12E0B97E" wp14:editId="5238C11B">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3180662"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5BB9B1AB" w14:textId="77777777" w:rsidR="000E0B74" w:rsidRPr="006469CC" w:rsidRDefault="000E0B74" w:rsidP="006469CC">
      <w:pPr>
        <w:spacing w:before="240"/>
        <w:rPr>
          <w:b/>
        </w:rPr>
      </w:pPr>
      <w:r w:rsidRPr="006469CC">
        <w:rPr>
          <w:b/>
        </w:rPr>
        <w:t>Treasury material used ‘as supplied’.</w:t>
      </w:r>
    </w:p>
    <w:p w14:paraId="7DE1E5AD"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E352804" w14:textId="094E4957" w:rsidR="000E0B74" w:rsidRPr="00A13A11" w:rsidRDefault="000E0B74" w:rsidP="000E0B74">
      <w:pPr>
        <w:ind w:firstLine="720"/>
      </w:pPr>
      <w:r w:rsidRPr="002F1BC2">
        <w:rPr>
          <w:i/>
        </w:rPr>
        <w:t xml:space="preserve">Source: The </w:t>
      </w:r>
      <w:r w:rsidRPr="002F1BC2">
        <w:rPr>
          <w:i/>
          <w:iCs/>
        </w:rPr>
        <w:t>Australian Government the Treasury</w:t>
      </w:r>
      <w:r w:rsidR="007B668A">
        <w:rPr>
          <w:i/>
          <w:iCs/>
        </w:rPr>
        <w:t>.</w:t>
      </w:r>
    </w:p>
    <w:p w14:paraId="384CF932" w14:textId="77777777" w:rsidR="000E0B74" w:rsidRPr="006627B4" w:rsidRDefault="000E0B74" w:rsidP="000E0B74">
      <w:pPr>
        <w:spacing w:before="240"/>
      </w:pPr>
      <w:r w:rsidRPr="00CC63CC">
        <w:rPr>
          <w:b/>
        </w:rPr>
        <w:t>Derivative</w:t>
      </w:r>
      <w:r w:rsidRPr="006627B4">
        <w:t xml:space="preserve"> </w:t>
      </w:r>
      <w:r w:rsidRPr="00CC63CC">
        <w:rPr>
          <w:b/>
        </w:rPr>
        <w:t>material</w:t>
      </w:r>
    </w:p>
    <w:p w14:paraId="7C00C189"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40DA4D2" w14:textId="3781CBFE" w:rsidR="000E0B74" w:rsidRPr="006627B4" w:rsidRDefault="000E0B74" w:rsidP="000E0B74">
      <w:pPr>
        <w:ind w:firstLine="720"/>
      </w:pPr>
      <w:r w:rsidRPr="002F1BC2">
        <w:rPr>
          <w:i/>
        </w:rPr>
        <w:t>Based on The Australian Government the Treasury data</w:t>
      </w:r>
      <w:r w:rsidR="007B668A">
        <w:t>.</w:t>
      </w:r>
    </w:p>
    <w:p w14:paraId="5A78F676" w14:textId="77777777" w:rsidR="000E0B74" w:rsidRPr="006627B4" w:rsidRDefault="000E0B74" w:rsidP="000E0B74">
      <w:pPr>
        <w:spacing w:before="240"/>
        <w:rPr>
          <w:b/>
        </w:rPr>
      </w:pPr>
      <w:r w:rsidRPr="006627B4">
        <w:rPr>
          <w:b/>
        </w:rPr>
        <w:t>Use of the Coat of Arms</w:t>
      </w:r>
    </w:p>
    <w:p w14:paraId="6D93F577" w14:textId="777777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8" w:history="1">
        <w:r w:rsidR="00F669CD">
          <w:rPr>
            <w:rStyle w:val="Hyperlink"/>
          </w:rPr>
          <w:t>http://www.pmc.gov.au/government/commonwealth-coat-arms</w:t>
        </w:r>
      </w:hyperlink>
      <w:r w:rsidRPr="005C503A">
        <w:t>).</w:t>
      </w:r>
    </w:p>
    <w:p w14:paraId="603CC5F2" w14:textId="77777777" w:rsidR="000E0B74" w:rsidRPr="006627B4" w:rsidRDefault="000E0B74" w:rsidP="000E0B74">
      <w:pPr>
        <w:spacing w:before="240"/>
        <w:rPr>
          <w:b/>
        </w:rPr>
      </w:pPr>
      <w:r>
        <w:rPr>
          <w:b/>
        </w:rPr>
        <w:t>Other u</w:t>
      </w:r>
      <w:r w:rsidRPr="006627B4">
        <w:rPr>
          <w:b/>
        </w:rPr>
        <w:t>ses</w:t>
      </w:r>
    </w:p>
    <w:p w14:paraId="1682CE87" w14:textId="77777777" w:rsidR="000E0B74" w:rsidRPr="006627B4" w:rsidRDefault="000E0B74" w:rsidP="000E0B74">
      <w:r>
        <w:t>E</w:t>
      </w:r>
      <w:r w:rsidRPr="006627B4">
        <w:t>nquiries regarding this licence and any other use of this document are welcome at:</w:t>
      </w:r>
    </w:p>
    <w:p w14:paraId="3339BCF4" w14:textId="77777777" w:rsidR="000E0B74" w:rsidRPr="002F1BC2" w:rsidRDefault="000E0B74" w:rsidP="000E0B74">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Pr="00B31CFB">
          <w:rPr>
            <w:rStyle w:val="Hyperlink"/>
          </w:rPr>
          <w:t>medialiaison@treasury.gov.au</w:t>
        </w:r>
      </w:hyperlink>
    </w:p>
    <w:p w14:paraId="4912A10D" w14:textId="77777777" w:rsidR="00F836F9" w:rsidRDefault="00F836F9" w:rsidP="000E0B74">
      <w:pPr>
        <w:pStyle w:val="Heading1"/>
        <w:sectPr w:rsidR="00F836F9" w:rsidSect="006F4012">
          <w:footerReference w:type="even" r:id="rId20"/>
          <w:footerReference w:type="default" r:id="rId21"/>
          <w:pgSz w:w="11906" w:h="16838" w:code="9"/>
          <w:pgMar w:top="1843" w:right="1418" w:bottom="1418" w:left="1418" w:header="709" w:footer="709" w:gutter="0"/>
          <w:pgNumType w:fmt="lowerRoman"/>
          <w:cols w:space="708"/>
          <w:titlePg/>
          <w:docGrid w:linePitch="360"/>
        </w:sectPr>
      </w:pPr>
    </w:p>
    <w:p w14:paraId="027BA47F" w14:textId="04A2BE48" w:rsidR="001E3226" w:rsidRDefault="000E0B74" w:rsidP="0009517F">
      <w:pPr>
        <w:pStyle w:val="Heading1"/>
      </w:pPr>
      <w:bookmarkStart w:id="1" w:name="_Toc106358372"/>
      <w:bookmarkStart w:id="2" w:name="_Toc109390363"/>
      <w:bookmarkStart w:id="3" w:name="_Toc109810504"/>
      <w:bookmarkStart w:id="4" w:name="_Toc110602855"/>
      <w:r w:rsidRPr="001F1B27">
        <w:lastRenderedPageBreak/>
        <w:t>Contents</w:t>
      </w:r>
      <w:bookmarkEnd w:id="1"/>
      <w:bookmarkEnd w:id="2"/>
      <w:bookmarkEnd w:id="3"/>
      <w:bookmarkEnd w:id="4"/>
    </w:p>
    <w:p w14:paraId="28D3167C" w14:textId="0CF8C916" w:rsidR="00EE4AA1" w:rsidRDefault="000E0B74">
      <w:pPr>
        <w:pStyle w:val="TOC1"/>
        <w:rPr>
          <w:rFonts w:asciiTheme="minorHAnsi" w:eastAsiaTheme="minorEastAsia" w:hAnsiTheme="minorHAnsi" w:cstheme="minorBidi"/>
          <w:b w:val="0"/>
          <w:color w:val="auto"/>
        </w:rPr>
      </w:pPr>
      <w:r>
        <w:rPr>
          <w:rFonts w:ascii="Calibri" w:hAnsi="Calibri" w:cs="Arial"/>
          <w:color w:val="004A7F"/>
          <w:kern w:val="32"/>
          <w:sz w:val="44"/>
        </w:rPr>
        <w:fldChar w:fldCharType="begin"/>
      </w:r>
      <w:r w:rsidRPr="0025652F">
        <w:instrText xml:space="preserve"> TOC \o "1-3" \h \z \u </w:instrText>
      </w:r>
      <w:r>
        <w:rPr>
          <w:rFonts w:ascii="Calibri" w:hAnsi="Calibri" w:cs="Arial"/>
          <w:color w:val="004A7F"/>
          <w:kern w:val="32"/>
          <w:sz w:val="44"/>
        </w:rPr>
        <w:fldChar w:fldCharType="separate"/>
      </w:r>
      <w:hyperlink w:anchor="_Toc110602855" w:history="1">
        <w:r w:rsidR="00EE4AA1" w:rsidRPr="00341704">
          <w:rPr>
            <w:rStyle w:val="Hyperlink"/>
          </w:rPr>
          <w:t>Contents</w:t>
        </w:r>
        <w:r w:rsidR="00EE4AA1">
          <w:rPr>
            <w:webHidden/>
          </w:rPr>
          <w:tab/>
        </w:r>
        <w:r w:rsidR="00EE4AA1">
          <w:rPr>
            <w:webHidden/>
          </w:rPr>
          <w:fldChar w:fldCharType="begin"/>
        </w:r>
        <w:r w:rsidR="00EE4AA1">
          <w:rPr>
            <w:webHidden/>
          </w:rPr>
          <w:instrText xml:space="preserve"> PAGEREF _Toc110602855 \h </w:instrText>
        </w:r>
        <w:r w:rsidR="00EE4AA1">
          <w:rPr>
            <w:webHidden/>
          </w:rPr>
        </w:r>
        <w:r w:rsidR="00EE4AA1">
          <w:rPr>
            <w:webHidden/>
          </w:rPr>
          <w:fldChar w:fldCharType="separate"/>
        </w:r>
        <w:r w:rsidR="00CC4B27">
          <w:rPr>
            <w:webHidden/>
          </w:rPr>
          <w:t>iii</w:t>
        </w:r>
        <w:r w:rsidR="00EE4AA1">
          <w:rPr>
            <w:webHidden/>
          </w:rPr>
          <w:fldChar w:fldCharType="end"/>
        </w:r>
      </w:hyperlink>
    </w:p>
    <w:p w14:paraId="4512647E" w14:textId="2385F5A1" w:rsidR="00EE4AA1" w:rsidRDefault="0034384D">
      <w:pPr>
        <w:pStyle w:val="TOC1"/>
        <w:rPr>
          <w:rFonts w:asciiTheme="minorHAnsi" w:eastAsiaTheme="minorEastAsia" w:hAnsiTheme="minorHAnsi" w:cstheme="minorBidi"/>
          <w:b w:val="0"/>
          <w:color w:val="auto"/>
        </w:rPr>
      </w:pPr>
      <w:hyperlink w:anchor="_Toc110602856" w:history="1">
        <w:r w:rsidR="00EE4AA1" w:rsidRPr="00341704">
          <w:rPr>
            <w:rStyle w:val="Hyperlink"/>
          </w:rPr>
          <w:t>Foreword</w:t>
        </w:r>
        <w:r w:rsidR="00EE4AA1">
          <w:rPr>
            <w:webHidden/>
          </w:rPr>
          <w:tab/>
        </w:r>
        <w:r w:rsidR="00EE4AA1">
          <w:rPr>
            <w:webHidden/>
          </w:rPr>
          <w:fldChar w:fldCharType="begin"/>
        </w:r>
        <w:r w:rsidR="00EE4AA1">
          <w:rPr>
            <w:webHidden/>
          </w:rPr>
          <w:instrText xml:space="preserve"> PAGEREF _Toc110602856 \h </w:instrText>
        </w:r>
        <w:r w:rsidR="00EE4AA1">
          <w:rPr>
            <w:webHidden/>
          </w:rPr>
        </w:r>
        <w:r w:rsidR="00EE4AA1">
          <w:rPr>
            <w:webHidden/>
          </w:rPr>
          <w:fldChar w:fldCharType="separate"/>
        </w:r>
        <w:r w:rsidR="00CC4B27">
          <w:rPr>
            <w:webHidden/>
          </w:rPr>
          <w:t>1</w:t>
        </w:r>
        <w:r w:rsidR="00EE4AA1">
          <w:rPr>
            <w:webHidden/>
          </w:rPr>
          <w:fldChar w:fldCharType="end"/>
        </w:r>
      </w:hyperlink>
    </w:p>
    <w:p w14:paraId="6DA6209E" w14:textId="05CA4432" w:rsidR="00EE4AA1" w:rsidRDefault="0034384D">
      <w:pPr>
        <w:pStyle w:val="TOC1"/>
        <w:rPr>
          <w:rFonts w:asciiTheme="minorHAnsi" w:eastAsiaTheme="minorEastAsia" w:hAnsiTheme="minorHAnsi" w:cstheme="minorBidi"/>
          <w:b w:val="0"/>
          <w:color w:val="auto"/>
        </w:rPr>
      </w:pPr>
      <w:hyperlink w:anchor="_Toc110602857" w:history="1">
        <w:r w:rsidR="00EE4AA1" w:rsidRPr="00341704">
          <w:rPr>
            <w:rStyle w:val="Hyperlink"/>
          </w:rPr>
          <w:t>Executive Summary</w:t>
        </w:r>
        <w:r w:rsidR="00EE4AA1">
          <w:rPr>
            <w:webHidden/>
          </w:rPr>
          <w:tab/>
        </w:r>
        <w:r w:rsidR="00EE4AA1">
          <w:rPr>
            <w:webHidden/>
          </w:rPr>
          <w:fldChar w:fldCharType="begin"/>
        </w:r>
        <w:r w:rsidR="00EE4AA1">
          <w:rPr>
            <w:webHidden/>
          </w:rPr>
          <w:instrText xml:space="preserve"> PAGEREF _Toc110602857 \h </w:instrText>
        </w:r>
        <w:r w:rsidR="00EE4AA1">
          <w:rPr>
            <w:webHidden/>
          </w:rPr>
        </w:r>
        <w:r w:rsidR="00EE4AA1">
          <w:rPr>
            <w:webHidden/>
          </w:rPr>
          <w:fldChar w:fldCharType="separate"/>
        </w:r>
        <w:r w:rsidR="00CC4B27">
          <w:rPr>
            <w:webHidden/>
          </w:rPr>
          <w:t>3</w:t>
        </w:r>
        <w:r w:rsidR="00EE4AA1">
          <w:rPr>
            <w:webHidden/>
          </w:rPr>
          <w:fldChar w:fldCharType="end"/>
        </w:r>
      </w:hyperlink>
    </w:p>
    <w:p w14:paraId="193E4E5A" w14:textId="0EE6BDAE" w:rsidR="00EE4AA1" w:rsidRDefault="0034384D">
      <w:pPr>
        <w:pStyle w:val="TOC2"/>
        <w:rPr>
          <w:rFonts w:asciiTheme="minorHAnsi" w:eastAsiaTheme="minorEastAsia" w:hAnsiTheme="minorHAnsi" w:cstheme="minorBidi"/>
          <w:color w:val="auto"/>
          <w:szCs w:val="22"/>
        </w:rPr>
      </w:pPr>
      <w:hyperlink w:anchor="_Toc110602858" w:history="1">
        <w:r w:rsidR="00EE4AA1" w:rsidRPr="00341704">
          <w:rPr>
            <w:rStyle w:val="Hyperlink"/>
          </w:rPr>
          <w:t>Review Background</w:t>
        </w:r>
        <w:r w:rsidR="00EE4AA1">
          <w:rPr>
            <w:webHidden/>
          </w:rPr>
          <w:tab/>
        </w:r>
        <w:r w:rsidR="00EE4AA1">
          <w:rPr>
            <w:webHidden/>
          </w:rPr>
          <w:fldChar w:fldCharType="begin"/>
        </w:r>
        <w:r w:rsidR="00EE4AA1">
          <w:rPr>
            <w:webHidden/>
          </w:rPr>
          <w:instrText xml:space="preserve"> PAGEREF _Toc110602858 \h </w:instrText>
        </w:r>
        <w:r w:rsidR="00EE4AA1">
          <w:rPr>
            <w:webHidden/>
          </w:rPr>
        </w:r>
        <w:r w:rsidR="00EE4AA1">
          <w:rPr>
            <w:webHidden/>
          </w:rPr>
          <w:fldChar w:fldCharType="separate"/>
        </w:r>
        <w:r w:rsidR="00CC4B27">
          <w:rPr>
            <w:webHidden/>
          </w:rPr>
          <w:t>3</w:t>
        </w:r>
        <w:r w:rsidR="00EE4AA1">
          <w:rPr>
            <w:webHidden/>
          </w:rPr>
          <w:fldChar w:fldCharType="end"/>
        </w:r>
      </w:hyperlink>
    </w:p>
    <w:p w14:paraId="06509D67" w14:textId="4CA75E54" w:rsidR="00EE4AA1" w:rsidRDefault="0034384D">
      <w:pPr>
        <w:pStyle w:val="TOC2"/>
        <w:rPr>
          <w:rFonts w:asciiTheme="minorHAnsi" w:eastAsiaTheme="minorEastAsia" w:hAnsiTheme="minorHAnsi" w:cstheme="minorBidi"/>
          <w:color w:val="auto"/>
          <w:szCs w:val="22"/>
        </w:rPr>
      </w:pPr>
      <w:hyperlink w:anchor="_Toc110602859" w:history="1">
        <w:r w:rsidR="00EE4AA1" w:rsidRPr="00341704">
          <w:rPr>
            <w:rStyle w:val="Hyperlink"/>
          </w:rPr>
          <w:t>Key Issues and Themes</w:t>
        </w:r>
        <w:r w:rsidR="00EE4AA1">
          <w:rPr>
            <w:webHidden/>
          </w:rPr>
          <w:tab/>
        </w:r>
        <w:r w:rsidR="00EE4AA1">
          <w:rPr>
            <w:webHidden/>
          </w:rPr>
          <w:fldChar w:fldCharType="begin"/>
        </w:r>
        <w:r w:rsidR="00EE4AA1">
          <w:rPr>
            <w:webHidden/>
          </w:rPr>
          <w:instrText xml:space="preserve"> PAGEREF _Toc110602859 \h </w:instrText>
        </w:r>
        <w:r w:rsidR="00EE4AA1">
          <w:rPr>
            <w:webHidden/>
          </w:rPr>
        </w:r>
        <w:r w:rsidR="00EE4AA1">
          <w:rPr>
            <w:webHidden/>
          </w:rPr>
          <w:fldChar w:fldCharType="separate"/>
        </w:r>
        <w:r w:rsidR="00CC4B27">
          <w:rPr>
            <w:webHidden/>
          </w:rPr>
          <w:t>4</w:t>
        </w:r>
        <w:r w:rsidR="00EE4AA1">
          <w:rPr>
            <w:webHidden/>
          </w:rPr>
          <w:fldChar w:fldCharType="end"/>
        </w:r>
      </w:hyperlink>
    </w:p>
    <w:p w14:paraId="5DB32F90" w14:textId="1CE0A60F" w:rsidR="00EE4AA1" w:rsidRDefault="0034384D">
      <w:pPr>
        <w:pStyle w:val="TOC2"/>
        <w:rPr>
          <w:rFonts w:asciiTheme="minorHAnsi" w:eastAsiaTheme="minorEastAsia" w:hAnsiTheme="minorHAnsi" w:cstheme="minorBidi"/>
          <w:color w:val="auto"/>
          <w:szCs w:val="22"/>
        </w:rPr>
      </w:pPr>
      <w:hyperlink w:anchor="_Toc110602860" w:history="1">
        <w:r w:rsidR="00EE4AA1" w:rsidRPr="00341704">
          <w:rPr>
            <w:rStyle w:val="Hyperlink"/>
          </w:rPr>
          <w:t>Part One: Consumer Data Right Framework</w:t>
        </w:r>
        <w:r w:rsidR="00EE4AA1">
          <w:rPr>
            <w:webHidden/>
          </w:rPr>
          <w:tab/>
        </w:r>
        <w:r w:rsidR="00EE4AA1">
          <w:rPr>
            <w:webHidden/>
          </w:rPr>
          <w:fldChar w:fldCharType="begin"/>
        </w:r>
        <w:r w:rsidR="00EE4AA1">
          <w:rPr>
            <w:webHidden/>
          </w:rPr>
          <w:instrText xml:space="preserve"> PAGEREF _Toc110602860 \h </w:instrText>
        </w:r>
        <w:r w:rsidR="00EE4AA1">
          <w:rPr>
            <w:webHidden/>
          </w:rPr>
        </w:r>
        <w:r w:rsidR="00EE4AA1">
          <w:rPr>
            <w:webHidden/>
          </w:rPr>
          <w:fldChar w:fldCharType="separate"/>
        </w:r>
        <w:r w:rsidR="00CC4B27">
          <w:rPr>
            <w:webHidden/>
          </w:rPr>
          <w:t>4</w:t>
        </w:r>
        <w:r w:rsidR="00EE4AA1">
          <w:rPr>
            <w:webHidden/>
          </w:rPr>
          <w:fldChar w:fldCharType="end"/>
        </w:r>
      </w:hyperlink>
    </w:p>
    <w:p w14:paraId="3E349B87" w14:textId="0B20F741" w:rsidR="00EE4AA1" w:rsidRDefault="0034384D">
      <w:pPr>
        <w:pStyle w:val="TOC2"/>
        <w:rPr>
          <w:rFonts w:asciiTheme="minorHAnsi" w:eastAsiaTheme="minorEastAsia" w:hAnsiTheme="minorHAnsi" w:cstheme="minorBidi"/>
          <w:color w:val="auto"/>
          <w:szCs w:val="22"/>
        </w:rPr>
      </w:pPr>
      <w:hyperlink w:anchor="_Toc110602861" w:history="1">
        <w:r w:rsidR="00EE4AA1" w:rsidRPr="00341704">
          <w:rPr>
            <w:rStyle w:val="Hyperlink"/>
          </w:rPr>
          <w:t>Part Two: Implementation and lessons learnt</w:t>
        </w:r>
        <w:r w:rsidR="00EE4AA1">
          <w:rPr>
            <w:webHidden/>
          </w:rPr>
          <w:tab/>
        </w:r>
        <w:r w:rsidR="00EE4AA1">
          <w:rPr>
            <w:webHidden/>
          </w:rPr>
          <w:fldChar w:fldCharType="begin"/>
        </w:r>
        <w:r w:rsidR="00EE4AA1">
          <w:rPr>
            <w:webHidden/>
          </w:rPr>
          <w:instrText xml:space="preserve"> PAGEREF _Toc110602861 \h </w:instrText>
        </w:r>
        <w:r w:rsidR="00EE4AA1">
          <w:rPr>
            <w:webHidden/>
          </w:rPr>
        </w:r>
        <w:r w:rsidR="00EE4AA1">
          <w:rPr>
            <w:webHidden/>
          </w:rPr>
          <w:fldChar w:fldCharType="separate"/>
        </w:r>
        <w:r w:rsidR="00CC4B27">
          <w:rPr>
            <w:webHidden/>
          </w:rPr>
          <w:t>5</w:t>
        </w:r>
        <w:r w:rsidR="00EE4AA1">
          <w:rPr>
            <w:webHidden/>
          </w:rPr>
          <w:fldChar w:fldCharType="end"/>
        </w:r>
      </w:hyperlink>
    </w:p>
    <w:p w14:paraId="033F5952" w14:textId="212957D3" w:rsidR="00EE4AA1" w:rsidRDefault="0034384D">
      <w:pPr>
        <w:pStyle w:val="TOC2"/>
        <w:rPr>
          <w:rFonts w:asciiTheme="minorHAnsi" w:eastAsiaTheme="minorEastAsia" w:hAnsiTheme="minorHAnsi" w:cstheme="minorBidi"/>
          <w:color w:val="auto"/>
          <w:szCs w:val="22"/>
        </w:rPr>
      </w:pPr>
      <w:hyperlink w:anchor="_Toc110602862" w:history="1">
        <w:r w:rsidR="00EE4AA1" w:rsidRPr="00341704">
          <w:rPr>
            <w:rStyle w:val="Hyperlink"/>
          </w:rPr>
          <w:t>Part Three: CDR within an emerging digital economy</w:t>
        </w:r>
        <w:r w:rsidR="00EE4AA1">
          <w:rPr>
            <w:webHidden/>
          </w:rPr>
          <w:tab/>
        </w:r>
        <w:r w:rsidR="00EE4AA1">
          <w:rPr>
            <w:webHidden/>
          </w:rPr>
          <w:fldChar w:fldCharType="begin"/>
        </w:r>
        <w:r w:rsidR="00EE4AA1">
          <w:rPr>
            <w:webHidden/>
          </w:rPr>
          <w:instrText xml:space="preserve"> PAGEREF _Toc110602862 \h </w:instrText>
        </w:r>
        <w:r w:rsidR="00EE4AA1">
          <w:rPr>
            <w:webHidden/>
          </w:rPr>
        </w:r>
        <w:r w:rsidR="00EE4AA1">
          <w:rPr>
            <w:webHidden/>
          </w:rPr>
          <w:fldChar w:fldCharType="separate"/>
        </w:r>
        <w:r w:rsidR="00CC4B27">
          <w:rPr>
            <w:webHidden/>
          </w:rPr>
          <w:t>5</w:t>
        </w:r>
        <w:r w:rsidR="00EE4AA1">
          <w:rPr>
            <w:webHidden/>
          </w:rPr>
          <w:fldChar w:fldCharType="end"/>
        </w:r>
      </w:hyperlink>
    </w:p>
    <w:p w14:paraId="30525902" w14:textId="0A5D6ABE" w:rsidR="00EE4AA1" w:rsidRDefault="0034384D">
      <w:pPr>
        <w:pStyle w:val="TOC2"/>
        <w:rPr>
          <w:rFonts w:asciiTheme="minorHAnsi" w:eastAsiaTheme="minorEastAsia" w:hAnsiTheme="minorHAnsi" w:cstheme="minorBidi"/>
          <w:color w:val="auto"/>
          <w:szCs w:val="22"/>
        </w:rPr>
      </w:pPr>
      <w:hyperlink w:anchor="_Toc110602863" w:history="1">
        <w:r w:rsidR="00EE4AA1" w:rsidRPr="00341704">
          <w:rPr>
            <w:rStyle w:val="Hyperlink"/>
          </w:rPr>
          <w:t>Part Four: Other issues raised in submissions</w:t>
        </w:r>
        <w:r w:rsidR="00EE4AA1">
          <w:rPr>
            <w:webHidden/>
          </w:rPr>
          <w:tab/>
        </w:r>
        <w:r w:rsidR="00EE4AA1">
          <w:rPr>
            <w:webHidden/>
          </w:rPr>
          <w:fldChar w:fldCharType="begin"/>
        </w:r>
        <w:r w:rsidR="00EE4AA1">
          <w:rPr>
            <w:webHidden/>
          </w:rPr>
          <w:instrText xml:space="preserve"> PAGEREF _Toc110602863 \h </w:instrText>
        </w:r>
        <w:r w:rsidR="00EE4AA1">
          <w:rPr>
            <w:webHidden/>
          </w:rPr>
        </w:r>
        <w:r w:rsidR="00EE4AA1">
          <w:rPr>
            <w:webHidden/>
          </w:rPr>
          <w:fldChar w:fldCharType="separate"/>
        </w:r>
        <w:r w:rsidR="00CC4B27">
          <w:rPr>
            <w:webHidden/>
          </w:rPr>
          <w:t>5</w:t>
        </w:r>
        <w:r w:rsidR="00EE4AA1">
          <w:rPr>
            <w:webHidden/>
          </w:rPr>
          <w:fldChar w:fldCharType="end"/>
        </w:r>
      </w:hyperlink>
    </w:p>
    <w:p w14:paraId="622D80BC" w14:textId="49399383" w:rsidR="00EE4AA1" w:rsidRDefault="0034384D">
      <w:pPr>
        <w:pStyle w:val="TOC2"/>
        <w:rPr>
          <w:rFonts w:asciiTheme="minorHAnsi" w:eastAsiaTheme="minorEastAsia" w:hAnsiTheme="minorHAnsi" w:cstheme="minorBidi"/>
          <w:color w:val="auto"/>
          <w:szCs w:val="22"/>
        </w:rPr>
      </w:pPr>
      <w:hyperlink w:anchor="_Toc110602864" w:history="1">
        <w:r w:rsidR="00EE4AA1" w:rsidRPr="00341704">
          <w:rPr>
            <w:rStyle w:val="Hyperlink"/>
          </w:rPr>
          <w:t>Findings and recommendations from the Review</w:t>
        </w:r>
        <w:r w:rsidR="00EE4AA1">
          <w:rPr>
            <w:webHidden/>
          </w:rPr>
          <w:tab/>
        </w:r>
        <w:r w:rsidR="00EE4AA1">
          <w:rPr>
            <w:webHidden/>
          </w:rPr>
          <w:fldChar w:fldCharType="begin"/>
        </w:r>
        <w:r w:rsidR="00EE4AA1">
          <w:rPr>
            <w:webHidden/>
          </w:rPr>
          <w:instrText xml:space="preserve"> PAGEREF _Toc110602864 \h </w:instrText>
        </w:r>
        <w:r w:rsidR="00EE4AA1">
          <w:rPr>
            <w:webHidden/>
          </w:rPr>
        </w:r>
        <w:r w:rsidR="00EE4AA1">
          <w:rPr>
            <w:webHidden/>
          </w:rPr>
          <w:fldChar w:fldCharType="separate"/>
        </w:r>
        <w:r w:rsidR="00CC4B27">
          <w:rPr>
            <w:webHidden/>
          </w:rPr>
          <w:t>6</w:t>
        </w:r>
        <w:r w:rsidR="00EE4AA1">
          <w:rPr>
            <w:webHidden/>
          </w:rPr>
          <w:fldChar w:fldCharType="end"/>
        </w:r>
      </w:hyperlink>
    </w:p>
    <w:p w14:paraId="06B0A96E" w14:textId="760C9A70" w:rsidR="00EE4AA1" w:rsidRDefault="0034384D">
      <w:pPr>
        <w:pStyle w:val="TOC2"/>
        <w:rPr>
          <w:rFonts w:asciiTheme="minorHAnsi" w:eastAsiaTheme="minorEastAsia" w:hAnsiTheme="minorHAnsi" w:cstheme="minorBidi"/>
          <w:color w:val="auto"/>
          <w:szCs w:val="22"/>
        </w:rPr>
      </w:pPr>
      <w:hyperlink w:anchor="_Toc110602865" w:history="1">
        <w:r w:rsidR="00EE4AA1" w:rsidRPr="00341704">
          <w:rPr>
            <w:rStyle w:val="Hyperlink"/>
          </w:rPr>
          <w:t>Consultation Process</w:t>
        </w:r>
        <w:r w:rsidR="00EE4AA1">
          <w:rPr>
            <w:webHidden/>
          </w:rPr>
          <w:tab/>
        </w:r>
        <w:r w:rsidR="00EE4AA1">
          <w:rPr>
            <w:webHidden/>
          </w:rPr>
          <w:fldChar w:fldCharType="begin"/>
        </w:r>
        <w:r w:rsidR="00EE4AA1">
          <w:rPr>
            <w:webHidden/>
          </w:rPr>
          <w:instrText xml:space="preserve"> PAGEREF _Toc110602865 \h </w:instrText>
        </w:r>
        <w:r w:rsidR="00EE4AA1">
          <w:rPr>
            <w:webHidden/>
          </w:rPr>
        </w:r>
        <w:r w:rsidR="00EE4AA1">
          <w:rPr>
            <w:webHidden/>
          </w:rPr>
          <w:fldChar w:fldCharType="separate"/>
        </w:r>
        <w:r w:rsidR="00CC4B27">
          <w:rPr>
            <w:webHidden/>
          </w:rPr>
          <w:t>6</w:t>
        </w:r>
        <w:r w:rsidR="00EE4AA1">
          <w:rPr>
            <w:webHidden/>
          </w:rPr>
          <w:fldChar w:fldCharType="end"/>
        </w:r>
      </w:hyperlink>
    </w:p>
    <w:p w14:paraId="4260A179" w14:textId="44758C81" w:rsidR="00EE4AA1" w:rsidRDefault="0034384D">
      <w:pPr>
        <w:pStyle w:val="TOC1"/>
        <w:rPr>
          <w:rFonts w:asciiTheme="minorHAnsi" w:eastAsiaTheme="minorEastAsia" w:hAnsiTheme="minorHAnsi" w:cstheme="minorBidi"/>
          <w:b w:val="0"/>
          <w:color w:val="auto"/>
        </w:rPr>
      </w:pPr>
      <w:hyperlink w:anchor="_Toc110602866" w:history="1">
        <w:r w:rsidR="00EE4AA1" w:rsidRPr="00341704">
          <w:rPr>
            <w:rStyle w:val="Hyperlink"/>
          </w:rPr>
          <w:t>Findings</w:t>
        </w:r>
        <w:r w:rsidR="00EE4AA1">
          <w:rPr>
            <w:webHidden/>
          </w:rPr>
          <w:tab/>
        </w:r>
        <w:r w:rsidR="00EE4AA1">
          <w:rPr>
            <w:webHidden/>
          </w:rPr>
          <w:fldChar w:fldCharType="begin"/>
        </w:r>
        <w:r w:rsidR="00EE4AA1">
          <w:rPr>
            <w:webHidden/>
          </w:rPr>
          <w:instrText xml:space="preserve"> PAGEREF _Toc110602866 \h </w:instrText>
        </w:r>
        <w:r w:rsidR="00EE4AA1">
          <w:rPr>
            <w:webHidden/>
          </w:rPr>
        </w:r>
        <w:r w:rsidR="00EE4AA1">
          <w:rPr>
            <w:webHidden/>
          </w:rPr>
          <w:fldChar w:fldCharType="separate"/>
        </w:r>
        <w:r w:rsidR="00CC4B27">
          <w:rPr>
            <w:webHidden/>
          </w:rPr>
          <w:t>7</w:t>
        </w:r>
        <w:r w:rsidR="00EE4AA1">
          <w:rPr>
            <w:webHidden/>
          </w:rPr>
          <w:fldChar w:fldCharType="end"/>
        </w:r>
      </w:hyperlink>
    </w:p>
    <w:p w14:paraId="101F87DC" w14:textId="3BEB6F30" w:rsidR="00EE4AA1" w:rsidRDefault="0034384D">
      <w:pPr>
        <w:pStyle w:val="TOC1"/>
        <w:rPr>
          <w:rFonts w:asciiTheme="minorHAnsi" w:eastAsiaTheme="minorEastAsia" w:hAnsiTheme="minorHAnsi" w:cstheme="minorBidi"/>
          <w:b w:val="0"/>
          <w:color w:val="auto"/>
        </w:rPr>
      </w:pPr>
      <w:hyperlink w:anchor="_Toc110602867" w:history="1">
        <w:r w:rsidR="00EE4AA1" w:rsidRPr="00341704">
          <w:rPr>
            <w:rStyle w:val="Hyperlink"/>
          </w:rPr>
          <w:t>Recommendations</w:t>
        </w:r>
        <w:r w:rsidR="00EE4AA1">
          <w:rPr>
            <w:webHidden/>
          </w:rPr>
          <w:tab/>
        </w:r>
        <w:r w:rsidR="00EE4AA1">
          <w:rPr>
            <w:webHidden/>
          </w:rPr>
          <w:fldChar w:fldCharType="begin"/>
        </w:r>
        <w:r w:rsidR="00EE4AA1">
          <w:rPr>
            <w:webHidden/>
          </w:rPr>
          <w:instrText xml:space="preserve"> PAGEREF _Toc110602867 \h </w:instrText>
        </w:r>
        <w:r w:rsidR="00EE4AA1">
          <w:rPr>
            <w:webHidden/>
          </w:rPr>
        </w:r>
        <w:r w:rsidR="00EE4AA1">
          <w:rPr>
            <w:webHidden/>
          </w:rPr>
          <w:fldChar w:fldCharType="separate"/>
        </w:r>
        <w:r w:rsidR="00CC4B27">
          <w:rPr>
            <w:webHidden/>
          </w:rPr>
          <w:t>11</w:t>
        </w:r>
        <w:r w:rsidR="00EE4AA1">
          <w:rPr>
            <w:webHidden/>
          </w:rPr>
          <w:fldChar w:fldCharType="end"/>
        </w:r>
      </w:hyperlink>
    </w:p>
    <w:p w14:paraId="24ABC1CA" w14:textId="19D14FD4" w:rsidR="00EE4AA1" w:rsidRDefault="0034384D">
      <w:pPr>
        <w:pStyle w:val="TOC1"/>
        <w:rPr>
          <w:rFonts w:asciiTheme="minorHAnsi" w:eastAsiaTheme="minorEastAsia" w:hAnsiTheme="minorHAnsi" w:cstheme="minorBidi"/>
          <w:b w:val="0"/>
          <w:color w:val="auto"/>
        </w:rPr>
      </w:pPr>
      <w:hyperlink w:anchor="_Toc110602868" w:history="1">
        <w:r w:rsidR="00EE4AA1" w:rsidRPr="00341704">
          <w:rPr>
            <w:rStyle w:val="Hyperlink"/>
          </w:rPr>
          <w:t>Part One: Consumer Data Right Framework</w:t>
        </w:r>
        <w:r w:rsidR="00EE4AA1">
          <w:rPr>
            <w:webHidden/>
          </w:rPr>
          <w:tab/>
        </w:r>
        <w:r w:rsidR="00EE4AA1">
          <w:rPr>
            <w:webHidden/>
          </w:rPr>
          <w:fldChar w:fldCharType="begin"/>
        </w:r>
        <w:r w:rsidR="00EE4AA1">
          <w:rPr>
            <w:webHidden/>
          </w:rPr>
          <w:instrText xml:space="preserve"> PAGEREF _Toc110602868 \h </w:instrText>
        </w:r>
        <w:r w:rsidR="00EE4AA1">
          <w:rPr>
            <w:webHidden/>
          </w:rPr>
        </w:r>
        <w:r w:rsidR="00EE4AA1">
          <w:rPr>
            <w:webHidden/>
          </w:rPr>
          <w:fldChar w:fldCharType="separate"/>
        </w:r>
        <w:r w:rsidR="00CC4B27">
          <w:rPr>
            <w:webHidden/>
          </w:rPr>
          <w:t>15</w:t>
        </w:r>
        <w:r w:rsidR="00EE4AA1">
          <w:rPr>
            <w:webHidden/>
          </w:rPr>
          <w:fldChar w:fldCharType="end"/>
        </w:r>
      </w:hyperlink>
    </w:p>
    <w:p w14:paraId="6C362511" w14:textId="5398BD3C" w:rsidR="00EE4AA1" w:rsidRDefault="0034384D">
      <w:pPr>
        <w:pStyle w:val="TOC2"/>
        <w:rPr>
          <w:rFonts w:asciiTheme="minorHAnsi" w:eastAsiaTheme="minorEastAsia" w:hAnsiTheme="minorHAnsi" w:cstheme="minorBidi"/>
          <w:color w:val="auto"/>
          <w:szCs w:val="22"/>
        </w:rPr>
      </w:pPr>
      <w:hyperlink w:anchor="_Toc110602869" w:history="1">
        <w:r w:rsidR="00EE4AA1" w:rsidRPr="00341704">
          <w:rPr>
            <w:rStyle w:val="Hyperlink"/>
          </w:rPr>
          <w:t>1.1 Objects of the CDR</w:t>
        </w:r>
        <w:r w:rsidR="00EE4AA1">
          <w:rPr>
            <w:webHidden/>
          </w:rPr>
          <w:tab/>
        </w:r>
        <w:r w:rsidR="00EE4AA1">
          <w:rPr>
            <w:webHidden/>
          </w:rPr>
          <w:fldChar w:fldCharType="begin"/>
        </w:r>
        <w:r w:rsidR="00EE4AA1">
          <w:rPr>
            <w:webHidden/>
          </w:rPr>
          <w:instrText xml:space="preserve"> PAGEREF _Toc110602869 \h </w:instrText>
        </w:r>
        <w:r w:rsidR="00EE4AA1">
          <w:rPr>
            <w:webHidden/>
          </w:rPr>
        </w:r>
        <w:r w:rsidR="00EE4AA1">
          <w:rPr>
            <w:webHidden/>
          </w:rPr>
          <w:fldChar w:fldCharType="separate"/>
        </w:r>
        <w:r w:rsidR="00CC4B27">
          <w:rPr>
            <w:webHidden/>
          </w:rPr>
          <w:t>15</w:t>
        </w:r>
        <w:r w:rsidR="00EE4AA1">
          <w:rPr>
            <w:webHidden/>
          </w:rPr>
          <w:fldChar w:fldCharType="end"/>
        </w:r>
      </w:hyperlink>
    </w:p>
    <w:p w14:paraId="7438F056" w14:textId="1B95E651" w:rsidR="00EE4AA1" w:rsidRDefault="0034384D">
      <w:pPr>
        <w:pStyle w:val="TOC2"/>
        <w:rPr>
          <w:rFonts w:asciiTheme="minorHAnsi" w:eastAsiaTheme="minorEastAsia" w:hAnsiTheme="minorHAnsi" w:cstheme="minorBidi"/>
          <w:color w:val="auto"/>
          <w:szCs w:val="22"/>
        </w:rPr>
      </w:pPr>
      <w:hyperlink w:anchor="_Toc110602870" w:history="1">
        <w:r w:rsidR="00EE4AA1" w:rsidRPr="00341704">
          <w:rPr>
            <w:rStyle w:val="Hyperlink"/>
          </w:rPr>
          <w:t>1.2 Sector-by-sector approach to expansion</w:t>
        </w:r>
        <w:r w:rsidR="00EE4AA1">
          <w:rPr>
            <w:webHidden/>
          </w:rPr>
          <w:tab/>
        </w:r>
        <w:r w:rsidR="00EE4AA1">
          <w:rPr>
            <w:webHidden/>
          </w:rPr>
          <w:fldChar w:fldCharType="begin"/>
        </w:r>
        <w:r w:rsidR="00EE4AA1">
          <w:rPr>
            <w:webHidden/>
          </w:rPr>
          <w:instrText xml:space="preserve"> PAGEREF _Toc110602870 \h </w:instrText>
        </w:r>
        <w:r w:rsidR="00EE4AA1">
          <w:rPr>
            <w:webHidden/>
          </w:rPr>
        </w:r>
        <w:r w:rsidR="00EE4AA1">
          <w:rPr>
            <w:webHidden/>
          </w:rPr>
          <w:fldChar w:fldCharType="separate"/>
        </w:r>
        <w:r w:rsidR="00CC4B27">
          <w:rPr>
            <w:webHidden/>
          </w:rPr>
          <w:t>18</w:t>
        </w:r>
        <w:r w:rsidR="00EE4AA1">
          <w:rPr>
            <w:webHidden/>
          </w:rPr>
          <w:fldChar w:fldCharType="end"/>
        </w:r>
      </w:hyperlink>
    </w:p>
    <w:p w14:paraId="47691A7D" w14:textId="13CB9D50" w:rsidR="00EE4AA1" w:rsidRDefault="0034384D">
      <w:pPr>
        <w:pStyle w:val="TOC2"/>
        <w:rPr>
          <w:rFonts w:asciiTheme="minorHAnsi" w:eastAsiaTheme="minorEastAsia" w:hAnsiTheme="minorHAnsi" w:cstheme="minorBidi"/>
          <w:color w:val="auto"/>
          <w:szCs w:val="22"/>
        </w:rPr>
      </w:pPr>
      <w:hyperlink w:anchor="_Toc110602871" w:history="1">
        <w:r w:rsidR="00EE4AA1" w:rsidRPr="00341704">
          <w:rPr>
            <w:rStyle w:val="Hyperlink"/>
          </w:rPr>
          <w:t>1.3 Narrower and targeted designations</w:t>
        </w:r>
        <w:r w:rsidR="00EE4AA1">
          <w:rPr>
            <w:webHidden/>
          </w:rPr>
          <w:tab/>
        </w:r>
        <w:r w:rsidR="00EE4AA1">
          <w:rPr>
            <w:webHidden/>
          </w:rPr>
          <w:fldChar w:fldCharType="begin"/>
        </w:r>
        <w:r w:rsidR="00EE4AA1">
          <w:rPr>
            <w:webHidden/>
          </w:rPr>
          <w:instrText xml:space="preserve"> PAGEREF _Toc110602871 \h </w:instrText>
        </w:r>
        <w:r w:rsidR="00EE4AA1">
          <w:rPr>
            <w:webHidden/>
          </w:rPr>
        </w:r>
        <w:r w:rsidR="00EE4AA1">
          <w:rPr>
            <w:webHidden/>
          </w:rPr>
          <w:fldChar w:fldCharType="separate"/>
        </w:r>
        <w:r w:rsidR="00CC4B27">
          <w:rPr>
            <w:webHidden/>
          </w:rPr>
          <w:t>21</w:t>
        </w:r>
        <w:r w:rsidR="00EE4AA1">
          <w:rPr>
            <w:webHidden/>
          </w:rPr>
          <w:fldChar w:fldCharType="end"/>
        </w:r>
      </w:hyperlink>
    </w:p>
    <w:p w14:paraId="262A0202" w14:textId="1F1A6822" w:rsidR="00EE4AA1" w:rsidRDefault="0034384D">
      <w:pPr>
        <w:pStyle w:val="TOC2"/>
        <w:rPr>
          <w:rFonts w:asciiTheme="minorHAnsi" w:eastAsiaTheme="minorEastAsia" w:hAnsiTheme="minorHAnsi" w:cstheme="minorBidi"/>
          <w:color w:val="auto"/>
          <w:szCs w:val="22"/>
        </w:rPr>
      </w:pPr>
      <w:hyperlink w:anchor="_Toc110602872" w:history="1">
        <w:r w:rsidR="00EE4AA1" w:rsidRPr="00341704">
          <w:rPr>
            <w:rStyle w:val="Hyperlink"/>
          </w:rPr>
          <w:t>1.4 Consideration of privacy issues in the designation process</w:t>
        </w:r>
        <w:r w:rsidR="00EE4AA1">
          <w:rPr>
            <w:webHidden/>
          </w:rPr>
          <w:tab/>
        </w:r>
        <w:r w:rsidR="00EE4AA1">
          <w:rPr>
            <w:webHidden/>
          </w:rPr>
          <w:fldChar w:fldCharType="begin"/>
        </w:r>
        <w:r w:rsidR="00EE4AA1">
          <w:rPr>
            <w:webHidden/>
          </w:rPr>
          <w:instrText xml:space="preserve"> PAGEREF _Toc110602872 \h </w:instrText>
        </w:r>
        <w:r w:rsidR="00EE4AA1">
          <w:rPr>
            <w:webHidden/>
          </w:rPr>
        </w:r>
        <w:r w:rsidR="00EE4AA1">
          <w:rPr>
            <w:webHidden/>
          </w:rPr>
          <w:fldChar w:fldCharType="separate"/>
        </w:r>
        <w:r w:rsidR="00CC4B27">
          <w:rPr>
            <w:webHidden/>
          </w:rPr>
          <w:t>22</w:t>
        </w:r>
        <w:r w:rsidR="00EE4AA1">
          <w:rPr>
            <w:webHidden/>
          </w:rPr>
          <w:fldChar w:fldCharType="end"/>
        </w:r>
      </w:hyperlink>
    </w:p>
    <w:p w14:paraId="349BBCFA" w14:textId="19EF5F2B" w:rsidR="00EE4AA1" w:rsidRDefault="0034384D">
      <w:pPr>
        <w:pStyle w:val="TOC2"/>
        <w:rPr>
          <w:rFonts w:asciiTheme="minorHAnsi" w:eastAsiaTheme="minorEastAsia" w:hAnsiTheme="minorHAnsi" w:cstheme="minorBidi"/>
          <w:color w:val="auto"/>
          <w:szCs w:val="22"/>
        </w:rPr>
      </w:pPr>
      <w:hyperlink w:anchor="_Toc110602873" w:history="1">
        <w:r w:rsidR="00EE4AA1" w:rsidRPr="00341704">
          <w:rPr>
            <w:rStyle w:val="Hyperlink"/>
          </w:rPr>
          <w:t>1.5 Complexity of engagement with multiple CDR processes</w:t>
        </w:r>
        <w:r w:rsidR="00EE4AA1">
          <w:rPr>
            <w:webHidden/>
          </w:rPr>
          <w:tab/>
        </w:r>
        <w:r w:rsidR="00EE4AA1">
          <w:rPr>
            <w:webHidden/>
          </w:rPr>
          <w:fldChar w:fldCharType="begin"/>
        </w:r>
        <w:r w:rsidR="00EE4AA1">
          <w:rPr>
            <w:webHidden/>
          </w:rPr>
          <w:instrText xml:space="preserve"> PAGEREF _Toc110602873 \h </w:instrText>
        </w:r>
        <w:r w:rsidR="00EE4AA1">
          <w:rPr>
            <w:webHidden/>
          </w:rPr>
        </w:r>
        <w:r w:rsidR="00EE4AA1">
          <w:rPr>
            <w:webHidden/>
          </w:rPr>
          <w:fldChar w:fldCharType="separate"/>
        </w:r>
        <w:r w:rsidR="00CC4B27">
          <w:rPr>
            <w:webHidden/>
          </w:rPr>
          <w:t>23</w:t>
        </w:r>
        <w:r w:rsidR="00EE4AA1">
          <w:rPr>
            <w:webHidden/>
          </w:rPr>
          <w:fldChar w:fldCharType="end"/>
        </w:r>
      </w:hyperlink>
    </w:p>
    <w:p w14:paraId="55AD89C7" w14:textId="4340AE98" w:rsidR="00EE4AA1" w:rsidRDefault="0034384D">
      <w:pPr>
        <w:pStyle w:val="TOC2"/>
        <w:rPr>
          <w:rFonts w:asciiTheme="minorHAnsi" w:eastAsiaTheme="minorEastAsia" w:hAnsiTheme="minorHAnsi" w:cstheme="minorBidi"/>
          <w:color w:val="auto"/>
          <w:szCs w:val="22"/>
        </w:rPr>
      </w:pPr>
      <w:hyperlink w:anchor="_Toc110602874" w:history="1">
        <w:r w:rsidR="00EE4AA1" w:rsidRPr="00341704">
          <w:rPr>
            <w:rStyle w:val="Hyperlink"/>
          </w:rPr>
          <w:t>1.6 Direct-to-consumer data sharing</w:t>
        </w:r>
        <w:r w:rsidR="00EE4AA1">
          <w:rPr>
            <w:webHidden/>
          </w:rPr>
          <w:tab/>
        </w:r>
        <w:r w:rsidR="00EE4AA1">
          <w:rPr>
            <w:webHidden/>
          </w:rPr>
          <w:fldChar w:fldCharType="begin"/>
        </w:r>
        <w:r w:rsidR="00EE4AA1">
          <w:rPr>
            <w:webHidden/>
          </w:rPr>
          <w:instrText xml:space="preserve"> PAGEREF _Toc110602874 \h </w:instrText>
        </w:r>
        <w:r w:rsidR="00EE4AA1">
          <w:rPr>
            <w:webHidden/>
          </w:rPr>
        </w:r>
        <w:r w:rsidR="00EE4AA1">
          <w:rPr>
            <w:webHidden/>
          </w:rPr>
          <w:fldChar w:fldCharType="separate"/>
        </w:r>
        <w:r w:rsidR="00CC4B27">
          <w:rPr>
            <w:webHidden/>
          </w:rPr>
          <w:t>25</w:t>
        </w:r>
        <w:r w:rsidR="00EE4AA1">
          <w:rPr>
            <w:webHidden/>
          </w:rPr>
          <w:fldChar w:fldCharType="end"/>
        </w:r>
      </w:hyperlink>
    </w:p>
    <w:p w14:paraId="7D8B71A7" w14:textId="20F72E31" w:rsidR="00EE4AA1" w:rsidRDefault="0034384D">
      <w:pPr>
        <w:pStyle w:val="TOC2"/>
        <w:tabs>
          <w:tab w:val="left" w:pos="660"/>
        </w:tabs>
        <w:rPr>
          <w:rFonts w:asciiTheme="minorHAnsi" w:eastAsiaTheme="minorEastAsia" w:hAnsiTheme="minorHAnsi" w:cstheme="minorBidi"/>
          <w:color w:val="auto"/>
          <w:szCs w:val="22"/>
        </w:rPr>
      </w:pPr>
      <w:hyperlink w:anchor="_Toc110602875" w:history="1">
        <w:r w:rsidR="00EE4AA1" w:rsidRPr="00341704">
          <w:rPr>
            <w:rStyle w:val="Hyperlink"/>
          </w:rPr>
          <w:t>1.7 Clear measures of success provide certainty and direction for participants</w:t>
        </w:r>
        <w:r w:rsidR="00EE4AA1">
          <w:rPr>
            <w:webHidden/>
          </w:rPr>
          <w:tab/>
        </w:r>
        <w:r w:rsidR="00EE4AA1">
          <w:rPr>
            <w:webHidden/>
          </w:rPr>
          <w:fldChar w:fldCharType="begin"/>
        </w:r>
        <w:r w:rsidR="00EE4AA1">
          <w:rPr>
            <w:webHidden/>
          </w:rPr>
          <w:instrText xml:space="preserve"> PAGEREF _Toc110602875 \h </w:instrText>
        </w:r>
        <w:r w:rsidR="00EE4AA1">
          <w:rPr>
            <w:webHidden/>
          </w:rPr>
        </w:r>
        <w:r w:rsidR="00EE4AA1">
          <w:rPr>
            <w:webHidden/>
          </w:rPr>
          <w:fldChar w:fldCharType="separate"/>
        </w:r>
        <w:r w:rsidR="00CC4B27">
          <w:rPr>
            <w:webHidden/>
          </w:rPr>
          <w:t>28</w:t>
        </w:r>
        <w:r w:rsidR="00EE4AA1">
          <w:rPr>
            <w:webHidden/>
          </w:rPr>
          <w:fldChar w:fldCharType="end"/>
        </w:r>
      </w:hyperlink>
    </w:p>
    <w:p w14:paraId="6994161E" w14:textId="201B23A7" w:rsidR="00EE4AA1" w:rsidRDefault="0034384D">
      <w:pPr>
        <w:pStyle w:val="TOC2"/>
        <w:rPr>
          <w:rFonts w:asciiTheme="minorHAnsi" w:eastAsiaTheme="minorEastAsia" w:hAnsiTheme="minorHAnsi" w:cstheme="minorBidi"/>
          <w:color w:val="auto"/>
          <w:szCs w:val="22"/>
        </w:rPr>
      </w:pPr>
      <w:hyperlink w:anchor="_Toc110602876" w:history="1">
        <w:r w:rsidR="00EE4AA1" w:rsidRPr="00341704">
          <w:rPr>
            <w:rStyle w:val="Hyperlink"/>
          </w:rPr>
          <w:t>1.8 Part One – Conclusion</w:t>
        </w:r>
        <w:r w:rsidR="00EE4AA1">
          <w:rPr>
            <w:webHidden/>
          </w:rPr>
          <w:tab/>
        </w:r>
        <w:r w:rsidR="00EE4AA1">
          <w:rPr>
            <w:webHidden/>
          </w:rPr>
          <w:fldChar w:fldCharType="begin"/>
        </w:r>
        <w:r w:rsidR="00EE4AA1">
          <w:rPr>
            <w:webHidden/>
          </w:rPr>
          <w:instrText xml:space="preserve"> PAGEREF _Toc110602876 \h </w:instrText>
        </w:r>
        <w:r w:rsidR="00EE4AA1">
          <w:rPr>
            <w:webHidden/>
          </w:rPr>
        </w:r>
        <w:r w:rsidR="00EE4AA1">
          <w:rPr>
            <w:webHidden/>
          </w:rPr>
          <w:fldChar w:fldCharType="separate"/>
        </w:r>
        <w:r w:rsidR="00CC4B27">
          <w:rPr>
            <w:webHidden/>
          </w:rPr>
          <w:t>29</w:t>
        </w:r>
        <w:r w:rsidR="00EE4AA1">
          <w:rPr>
            <w:webHidden/>
          </w:rPr>
          <w:fldChar w:fldCharType="end"/>
        </w:r>
      </w:hyperlink>
    </w:p>
    <w:p w14:paraId="71215FE0" w14:textId="6D1DE363" w:rsidR="00EE4AA1" w:rsidRDefault="0034384D">
      <w:pPr>
        <w:pStyle w:val="TOC1"/>
        <w:rPr>
          <w:rFonts w:asciiTheme="minorHAnsi" w:eastAsiaTheme="minorEastAsia" w:hAnsiTheme="minorHAnsi" w:cstheme="minorBidi"/>
          <w:b w:val="0"/>
          <w:color w:val="auto"/>
        </w:rPr>
      </w:pPr>
      <w:hyperlink w:anchor="_Toc110602877" w:history="1">
        <w:r w:rsidR="00EE4AA1" w:rsidRPr="00341704">
          <w:rPr>
            <w:rStyle w:val="Hyperlink"/>
          </w:rPr>
          <w:t>Part Two: Implementation and lessons learnt</w:t>
        </w:r>
        <w:r w:rsidR="00EE4AA1">
          <w:rPr>
            <w:webHidden/>
          </w:rPr>
          <w:tab/>
        </w:r>
        <w:r w:rsidR="00EE4AA1">
          <w:rPr>
            <w:webHidden/>
          </w:rPr>
          <w:fldChar w:fldCharType="begin"/>
        </w:r>
        <w:r w:rsidR="00EE4AA1">
          <w:rPr>
            <w:webHidden/>
          </w:rPr>
          <w:instrText xml:space="preserve"> PAGEREF _Toc110602877 \h </w:instrText>
        </w:r>
        <w:r w:rsidR="00EE4AA1">
          <w:rPr>
            <w:webHidden/>
          </w:rPr>
        </w:r>
        <w:r w:rsidR="00EE4AA1">
          <w:rPr>
            <w:webHidden/>
          </w:rPr>
          <w:fldChar w:fldCharType="separate"/>
        </w:r>
        <w:r w:rsidR="00CC4B27">
          <w:rPr>
            <w:webHidden/>
          </w:rPr>
          <w:t>30</w:t>
        </w:r>
        <w:r w:rsidR="00EE4AA1">
          <w:rPr>
            <w:webHidden/>
          </w:rPr>
          <w:fldChar w:fldCharType="end"/>
        </w:r>
      </w:hyperlink>
    </w:p>
    <w:p w14:paraId="2868128E" w14:textId="2C92A3F1" w:rsidR="00EE4AA1" w:rsidRDefault="0034384D">
      <w:pPr>
        <w:pStyle w:val="TOC2"/>
        <w:rPr>
          <w:rFonts w:asciiTheme="minorHAnsi" w:eastAsiaTheme="minorEastAsia" w:hAnsiTheme="minorHAnsi" w:cstheme="minorBidi"/>
          <w:color w:val="auto"/>
          <w:szCs w:val="22"/>
        </w:rPr>
      </w:pPr>
      <w:hyperlink w:anchor="_Toc110602878" w:history="1">
        <w:r w:rsidR="00EE4AA1" w:rsidRPr="00341704">
          <w:rPr>
            <w:rStyle w:val="Hyperlink"/>
          </w:rPr>
          <w:t>2.1 Data quality and screen scraping</w:t>
        </w:r>
        <w:r w:rsidR="00EE4AA1">
          <w:rPr>
            <w:webHidden/>
          </w:rPr>
          <w:tab/>
        </w:r>
        <w:r w:rsidR="00EE4AA1">
          <w:rPr>
            <w:webHidden/>
          </w:rPr>
          <w:fldChar w:fldCharType="begin"/>
        </w:r>
        <w:r w:rsidR="00EE4AA1">
          <w:rPr>
            <w:webHidden/>
          </w:rPr>
          <w:instrText xml:space="preserve"> PAGEREF _Toc110602878 \h </w:instrText>
        </w:r>
        <w:r w:rsidR="00EE4AA1">
          <w:rPr>
            <w:webHidden/>
          </w:rPr>
        </w:r>
        <w:r w:rsidR="00EE4AA1">
          <w:rPr>
            <w:webHidden/>
          </w:rPr>
          <w:fldChar w:fldCharType="separate"/>
        </w:r>
        <w:r w:rsidR="00CC4B27">
          <w:rPr>
            <w:webHidden/>
          </w:rPr>
          <w:t>30</w:t>
        </w:r>
        <w:r w:rsidR="00EE4AA1">
          <w:rPr>
            <w:webHidden/>
          </w:rPr>
          <w:fldChar w:fldCharType="end"/>
        </w:r>
      </w:hyperlink>
    </w:p>
    <w:p w14:paraId="3B9CA6EE" w14:textId="1F44E149" w:rsidR="00EE4AA1" w:rsidRDefault="0034384D">
      <w:pPr>
        <w:pStyle w:val="TOC2"/>
        <w:rPr>
          <w:rFonts w:asciiTheme="minorHAnsi" w:eastAsiaTheme="minorEastAsia" w:hAnsiTheme="minorHAnsi" w:cstheme="minorBidi"/>
          <w:color w:val="auto"/>
          <w:szCs w:val="22"/>
        </w:rPr>
      </w:pPr>
      <w:hyperlink w:anchor="_Toc110602879" w:history="1">
        <w:r w:rsidR="00EE4AA1" w:rsidRPr="00341704">
          <w:rPr>
            <w:rStyle w:val="Hyperlink"/>
          </w:rPr>
          <w:t>2.2 Accreditation and compliance tools</w:t>
        </w:r>
        <w:r w:rsidR="00EE4AA1">
          <w:rPr>
            <w:webHidden/>
          </w:rPr>
          <w:tab/>
        </w:r>
        <w:r w:rsidR="00EE4AA1">
          <w:rPr>
            <w:webHidden/>
          </w:rPr>
          <w:fldChar w:fldCharType="begin"/>
        </w:r>
        <w:r w:rsidR="00EE4AA1">
          <w:rPr>
            <w:webHidden/>
          </w:rPr>
          <w:instrText xml:space="preserve"> PAGEREF _Toc110602879 \h </w:instrText>
        </w:r>
        <w:r w:rsidR="00EE4AA1">
          <w:rPr>
            <w:webHidden/>
          </w:rPr>
        </w:r>
        <w:r w:rsidR="00EE4AA1">
          <w:rPr>
            <w:webHidden/>
          </w:rPr>
          <w:fldChar w:fldCharType="separate"/>
        </w:r>
        <w:r w:rsidR="00CC4B27">
          <w:rPr>
            <w:webHidden/>
          </w:rPr>
          <w:t>32</w:t>
        </w:r>
        <w:r w:rsidR="00EE4AA1">
          <w:rPr>
            <w:webHidden/>
          </w:rPr>
          <w:fldChar w:fldCharType="end"/>
        </w:r>
      </w:hyperlink>
    </w:p>
    <w:p w14:paraId="03BCCE08" w14:textId="3F62D7D0" w:rsidR="00EE4AA1" w:rsidRDefault="0034384D">
      <w:pPr>
        <w:pStyle w:val="TOC2"/>
        <w:rPr>
          <w:rFonts w:asciiTheme="minorHAnsi" w:eastAsiaTheme="minorEastAsia" w:hAnsiTheme="minorHAnsi" w:cstheme="minorBidi"/>
          <w:color w:val="auto"/>
          <w:szCs w:val="22"/>
        </w:rPr>
      </w:pPr>
      <w:hyperlink w:anchor="_Toc110602880" w:history="1">
        <w:r w:rsidR="00EE4AA1" w:rsidRPr="00341704">
          <w:rPr>
            <w:rStyle w:val="Hyperlink"/>
          </w:rPr>
          <w:t>2.3 The role for an implementation body</w:t>
        </w:r>
        <w:r w:rsidR="00EE4AA1">
          <w:rPr>
            <w:webHidden/>
          </w:rPr>
          <w:tab/>
        </w:r>
        <w:r w:rsidR="00EE4AA1">
          <w:rPr>
            <w:webHidden/>
          </w:rPr>
          <w:fldChar w:fldCharType="begin"/>
        </w:r>
        <w:r w:rsidR="00EE4AA1">
          <w:rPr>
            <w:webHidden/>
          </w:rPr>
          <w:instrText xml:space="preserve"> PAGEREF _Toc110602880 \h </w:instrText>
        </w:r>
        <w:r w:rsidR="00EE4AA1">
          <w:rPr>
            <w:webHidden/>
          </w:rPr>
        </w:r>
        <w:r w:rsidR="00EE4AA1">
          <w:rPr>
            <w:webHidden/>
          </w:rPr>
          <w:fldChar w:fldCharType="separate"/>
        </w:r>
        <w:r w:rsidR="00CC4B27">
          <w:rPr>
            <w:webHidden/>
          </w:rPr>
          <w:t>35</w:t>
        </w:r>
        <w:r w:rsidR="00EE4AA1">
          <w:rPr>
            <w:webHidden/>
          </w:rPr>
          <w:fldChar w:fldCharType="end"/>
        </w:r>
      </w:hyperlink>
    </w:p>
    <w:p w14:paraId="7D38CD03" w14:textId="277BD49F" w:rsidR="00EE4AA1" w:rsidRDefault="0034384D">
      <w:pPr>
        <w:pStyle w:val="TOC2"/>
        <w:rPr>
          <w:rFonts w:asciiTheme="minorHAnsi" w:eastAsiaTheme="minorEastAsia" w:hAnsiTheme="minorHAnsi" w:cstheme="minorBidi"/>
          <w:color w:val="auto"/>
          <w:szCs w:val="22"/>
        </w:rPr>
      </w:pPr>
      <w:hyperlink w:anchor="_Toc110602881" w:history="1">
        <w:r w:rsidR="00EE4AA1" w:rsidRPr="00341704">
          <w:rPr>
            <w:rStyle w:val="Hyperlink"/>
          </w:rPr>
          <w:t>2.4 Increasing awareness and engagement</w:t>
        </w:r>
        <w:r w:rsidR="00EE4AA1">
          <w:rPr>
            <w:webHidden/>
          </w:rPr>
          <w:tab/>
        </w:r>
        <w:r w:rsidR="00EE4AA1">
          <w:rPr>
            <w:webHidden/>
          </w:rPr>
          <w:fldChar w:fldCharType="begin"/>
        </w:r>
        <w:r w:rsidR="00EE4AA1">
          <w:rPr>
            <w:webHidden/>
          </w:rPr>
          <w:instrText xml:space="preserve"> PAGEREF _Toc110602881 \h </w:instrText>
        </w:r>
        <w:r w:rsidR="00EE4AA1">
          <w:rPr>
            <w:webHidden/>
          </w:rPr>
        </w:r>
        <w:r w:rsidR="00EE4AA1">
          <w:rPr>
            <w:webHidden/>
          </w:rPr>
          <w:fldChar w:fldCharType="separate"/>
        </w:r>
        <w:r w:rsidR="00CC4B27">
          <w:rPr>
            <w:webHidden/>
          </w:rPr>
          <w:t>38</w:t>
        </w:r>
        <w:r w:rsidR="00EE4AA1">
          <w:rPr>
            <w:webHidden/>
          </w:rPr>
          <w:fldChar w:fldCharType="end"/>
        </w:r>
      </w:hyperlink>
    </w:p>
    <w:p w14:paraId="071DF091" w14:textId="7C5606FE" w:rsidR="00EE4AA1" w:rsidRDefault="0034384D">
      <w:pPr>
        <w:pStyle w:val="TOC2"/>
        <w:rPr>
          <w:rFonts w:asciiTheme="minorHAnsi" w:eastAsiaTheme="minorEastAsia" w:hAnsiTheme="minorHAnsi" w:cstheme="minorBidi"/>
          <w:color w:val="auto"/>
          <w:szCs w:val="22"/>
        </w:rPr>
      </w:pPr>
      <w:hyperlink w:anchor="_Toc110602882" w:history="1">
        <w:r w:rsidR="00EE4AA1" w:rsidRPr="00341704">
          <w:rPr>
            <w:rStyle w:val="Hyperlink"/>
          </w:rPr>
          <w:t>2.5 Balancing expansion with system maturity</w:t>
        </w:r>
        <w:r w:rsidR="00EE4AA1">
          <w:rPr>
            <w:webHidden/>
          </w:rPr>
          <w:tab/>
        </w:r>
        <w:r w:rsidR="00EE4AA1">
          <w:rPr>
            <w:webHidden/>
          </w:rPr>
          <w:fldChar w:fldCharType="begin"/>
        </w:r>
        <w:r w:rsidR="00EE4AA1">
          <w:rPr>
            <w:webHidden/>
          </w:rPr>
          <w:instrText xml:space="preserve"> PAGEREF _Toc110602882 \h </w:instrText>
        </w:r>
        <w:r w:rsidR="00EE4AA1">
          <w:rPr>
            <w:webHidden/>
          </w:rPr>
        </w:r>
        <w:r w:rsidR="00EE4AA1">
          <w:rPr>
            <w:webHidden/>
          </w:rPr>
          <w:fldChar w:fldCharType="separate"/>
        </w:r>
        <w:r w:rsidR="00CC4B27">
          <w:rPr>
            <w:webHidden/>
          </w:rPr>
          <w:t>41</w:t>
        </w:r>
        <w:r w:rsidR="00EE4AA1">
          <w:rPr>
            <w:webHidden/>
          </w:rPr>
          <w:fldChar w:fldCharType="end"/>
        </w:r>
      </w:hyperlink>
    </w:p>
    <w:p w14:paraId="22A2A38C" w14:textId="2A1C217D" w:rsidR="00EE4AA1" w:rsidRDefault="0034384D">
      <w:pPr>
        <w:pStyle w:val="TOC2"/>
        <w:rPr>
          <w:rFonts w:asciiTheme="minorHAnsi" w:eastAsiaTheme="minorEastAsia" w:hAnsiTheme="minorHAnsi" w:cstheme="minorBidi"/>
          <w:color w:val="auto"/>
          <w:szCs w:val="22"/>
        </w:rPr>
      </w:pPr>
      <w:hyperlink w:anchor="_Toc110602883" w:history="1">
        <w:r w:rsidR="00EE4AA1" w:rsidRPr="00341704">
          <w:rPr>
            <w:rStyle w:val="Hyperlink"/>
          </w:rPr>
          <w:t>2.6 Cyber security</w:t>
        </w:r>
        <w:r w:rsidR="00EE4AA1">
          <w:rPr>
            <w:webHidden/>
          </w:rPr>
          <w:tab/>
        </w:r>
        <w:r w:rsidR="00EE4AA1">
          <w:rPr>
            <w:webHidden/>
          </w:rPr>
          <w:fldChar w:fldCharType="begin"/>
        </w:r>
        <w:r w:rsidR="00EE4AA1">
          <w:rPr>
            <w:webHidden/>
          </w:rPr>
          <w:instrText xml:space="preserve"> PAGEREF _Toc110602883 \h </w:instrText>
        </w:r>
        <w:r w:rsidR="00EE4AA1">
          <w:rPr>
            <w:webHidden/>
          </w:rPr>
        </w:r>
        <w:r w:rsidR="00EE4AA1">
          <w:rPr>
            <w:webHidden/>
          </w:rPr>
          <w:fldChar w:fldCharType="separate"/>
        </w:r>
        <w:r w:rsidR="00CC4B27">
          <w:rPr>
            <w:webHidden/>
          </w:rPr>
          <w:t>43</w:t>
        </w:r>
        <w:r w:rsidR="00EE4AA1">
          <w:rPr>
            <w:webHidden/>
          </w:rPr>
          <w:fldChar w:fldCharType="end"/>
        </w:r>
      </w:hyperlink>
    </w:p>
    <w:p w14:paraId="54690687" w14:textId="18099F78" w:rsidR="00EE4AA1" w:rsidRDefault="0034384D">
      <w:pPr>
        <w:pStyle w:val="TOC2"/>
        <w:rPr>
          <w:rFonts w:asciiTheme="minorHAnsi" w:eastAsiaTheme="minorEastAsia" w:hAnsiTheme="minorHAnsi" w:cstheme="minorBidi"/>
          <w:color w:val="auto"/>
          <w:szCs w:val="22"/>
        </w:rPr>
      </w:pPr>
      <w:hyperlink w:anchor="_Toc110602884" w:history="1">
        <w:r w:rsidR="00EE4AA1" w:rsidRPr="00341704">
          <w:rPr>
            <w:rStyle w:val="Hyperlink"/>
          </w:rPr>
          <w:t>2.7 Consent journey and consumer experience</w:t>
        </w:r>
        <w:r w:rsidR="00EE4AA1">
          <w:rPr>
            <w:webHidden/>
          </w:rPr>
          <w:tab/>
        </w:r>
        <w:r w:rsidR="00EE4AA1">
          <w:rPr>
            <w:webHidden/>
          </w:rPr>
          <w:fldChar w:fldCharType="begin"/>
        </w:r>
        <w:r w:rsidR="00EE4AA1">
          <w:rPr>
            <w:webHidden/>
          </w:rPr>
          <w:instrText xml:space="preserve"> PAGEREF _Toc110602884 \h </w:instrText>
        </w:r>
        <w:r w:rsidR="00EE4AA1">
          <w:rPr>
            <w:webHidden/>
          </w:rPr>
        </w:r>
        <w:r w:rsidR="00EE4AA1">
          <w:rPr>
            <w:webHidden/>
          </w:rPr>
          <w:fldChar w:fldCharType="separate"/>
        </w:r>
        <w:r w:rsidR="00CC4B27">
          <w:rPr>
            <w:webHidden/>
          </w:rPr>
          <w:t>43</w:t>
        </w:r>
        <w:r w:rsidR="00EE4AA1">
          <w:rPr>
            <w:webHidden/>
          </w:rPr>
          <w:fldChar w:fldCharType="end"/>
        </w:r>
      </w:hyperlink>
    </w:p>
    <w:p w14:paraId="5C2C4C9F" w14:textId="2078B32F" w:rsidR="00EE4AA1" w:rsidRDefault="0034384D">
      <w:pPr>
        <w:pStyle w:val="TOC2"/>
        <w:rPr>
          <w:rFonts w:asciiTheme="minorHAnsi" w:eastAsiaTheme="minorEastAsia" w:hAnsiTheme="minorHAnsi" w:cstheme="minorBidi"/>
          <w:color w:val="auto"/>
          <w:szCs w:val="22"/>
        </w:rPr>
      </w:pPr>
      <w:hyperlink w:anchor="_Toc110602885" w:history="1">
        <w:r w:rsidR="00EE4AA1" w:rsidRPr="00341704">
          <w:rPr>
            <w:rStyle w:val="Hyperlink"/>
          </w:rPr>
          <w:t>2.8 Complexity of rules and standards</w:t>
        </w:r>
        <w:r w:rsidR="00EE4AA1">
          <w:rPr>
            <w:webHidden/>
          </w:rPr>
          <w:tab/>
        </w:r>
        <w:r w:rsidR="00EE4AA1">
          <w:rPr>
            <w:webHidden/>
          </w:rPr>
          <w:fldChar w:fldCharType="begin"/>
        </w:r>
        <w:r w:rsidR="00EE4AA1">
          <w:rPr>
            <w:webHidden/>
          </w:rPr>
          <w:instrText xml:space="preserve"> PAGEREF _Toc110602885 \h </w:instrText>
        </w:r>
        <w:r w:rsidR="00EE4AA1">
          <w:rPr>
            <w:webHidden/>
          </w:rPr>
        </w:r>
        <w:r w:rsidR="00EE4AA1">
          <w:rPr>
            <w:webHidden/>
          </w:rPr>
          <w:fldChar w:fldCharType="separate"/>
        </w:r>
        <w:r w:rsidR="00CC4B27">
          <w:rPr>
            <w:webHidden/>
          </w:rPr>
          <w:t>45</w:t>
        </w:r>
        <w:r w:rsidR="00EE4AA1">
          <w:rPr>
            <w:webHidden/>
          </w:rPr>
          <w:fldChar w:fldCharType="end"/>
        </w:r>
      </w:hyperlink>
    </w:p>
    <w:p w14:paraId="2A8458F6" w14:textId="0A840055" w:rsidR="00EE4AA1" w:rsidRDefault="0034384D">
      <w:pPr>
        <w:pStyle w:val="TOC2"/>
        <w:rPr>
          <w:rFonts w:asciiTheme="minorHAnsi" w:eastAsiaTheme="minorEastAsia" w:hAnsiTheme="minorHAnsi" w:cstheme="minorBidi"/>
          <w:color w:val="auto"/>
          <w:szCs w:val="22"/>
        </w:rPr>
      </w:pPr>
      <w:hyperlink w:anchor="_Toc110602886" w:history="1">
        <w:r w:rsidR="00EE4AA1" w:rsidRPr="00341704">
          <w:rPr>
            <w:rStyle w:val="Hyperlink"/>
          </w:rPr>
          <w:t>2.9 Pathways for CDR participation</w:t>
        </w:r>
        <w:r w:rsidR="00EE4AA1">
          <w:rPr>
            <w:webHidden/>
          </w:rPr>
          <w:tab/>
        </w:r>
        <w:r w:rsidR="00EE4AA1">
          <w:rPr>
            <w:webHidden/>
          </w:rPr>
          <w:fldChar w:fldCharType="begin"/>
        </w:r>
        <w:r w:rsidR="00EE4AA1">
          <w:rPr>
            <w:webHidden/>
          </w:rPr>
          <w:instrText xml:space="preserve"> PAGEREF _Toc110602886 \h </w:instrText>
        </w:r>
        <w:r w:rsidR="00EE4AA1">
          <w:rPr>
            <w:webHidden/>
          </w:rPr>
        </w:r>
        <w:r w:rsidR="00EE4AA1">
          <w:rPr>
            <w:webHidden/>
          </w:rPr>
          <w:fldChar w:fldCharType="separate"/>
        </w:r>
        <w:r w:rsidR="00CC4B27">
          <w:rPr>
            <w:webHidden/>
          </w:rPr>
          <w:t>46</w:t>
        </w:r>
        <w:r w:rsidR="00EE4AA1">
          <w:rPr>
            <w:webHidden/>
          </w:rPr>
          <w:fldChar w:fldCharType="end"/>
        </w:r>
      </w:hyperlink>
    </w:p>
    <w:p w14:paraId="3255B01B" w14:textId="722E671D" w:rsidR="00EE4AA1" w:rsidRDefault="0034384D">
      <w:pPr>
        <w:pStyle w:val="TOC2"/>
        <w:rPr>
          <w:rFonts w:asciiTheme="minorHAnsi" w:eastAsiaTheme="minorEastAsia" w:hAnsiTheme="minorHAnsi" w:cstheme="minorBidi"/>
          <w:color w:val="auto"/>
          <w:szCs w:val="22"/>
        </w:rPr>
      </w:pPr>
      <w:hyperlink w:anchor="_Toc110602887" w:history="1">
        <w:r w:rsidR="00EE4AA1" w:rsidRPr="00341704">
          <w:rPr>
            <w:rStyle w:val="Hyperlink"/>
          </w:rPr>
          <w:t>2.10 Reciprocity in the CDR</w:t>
        </w:r>
        <w:r w:rsidR="00EE4AA1">
          <w:rPr>
            <w:webHidden/>
          </w:rPr>
          <w:tab/>
        </w:r>
        <w:r w:rsidR="00EE4AA1">
          <w:rPr>
            <w:webHidden/>
          </w:rPr>
          <w:fldChar w:fldCharType="begin"/>
        </w:r>
        <w:r w:rsidR="00EE4AA1">
          <w:rPr>
            <w:webHidden/>
          </w:rPr>
          <w:instrText xml:space="preserve"> PAGEREF _Toc110602887 \h </w:instrText>
        </w:r>
        <w:r w:rsidR="00EE4AA1">
          <w:rPr>
            <w:webHidden/>
          </w:rPr>
        </w:r>
        <w:r w:rsidR="00EE4AA1">
          <w:rPr>
            <w:webHidden/>
          </w:rPr>
          <w:fldChar w:fldCharType="separate"/>
        </w:r>
        <w:r w:rsidR="00CC4B27">
          <w:rPr>
            <w:webHidden/>
          </w:rPr>
          <w:t>50</w:t>
        </w:r>
        <w:r w:rsidR="00EE4AA1">
          <w:rPr>
            <w:webHidden/>
          </w:rPr>
          <w:fldChar w:fldCharType="end"/>
        </w:r>
      </w:hyperlink>
    </w:p>
    <w:p w14:paraId="1C51D460" w14:textId="417C43F6" w:rsidR="00EE4AA1" w:rsidRDefault="0034384D">
      <w:pPr>
        <w:pStyle w:val="TOC2"/>
        <w:rPr>
          <w:rFonts w:asciiTheme="minorHAnsi" w:eastAsiaTheme="minorEastAsia" w:hAnsiTheme="minorHAnsi" w:cstheme="minorBidi"/>
          <w:color w:val="auto"/>
          <w:szCs w:val="22"/>
        </w:rPr>
      </w:pPr>
      <w:hyperlink w:anchor="_Toc110602888" w:history="1">
        <w:r w:rsidR="00EE4AA1" w:rsidRPr="00341704">
          <w:rPr>
            <w:rStyle w:val="Hyperlink"/>
          </w:rPr>
          <w:t>2.11 Part Two – Conclusion</w:t>
        </w:r>
        <w:r w:rsidR="00EE4AA1">
          <w:rPr>
            <w:webHidden/>
          </w:rPr>
          <w:tab/>
        </w:r>
        <w:r w:rsidR="00EE4AA1">
          <w:rPr>
            <w:webHidden/>
          </w:rPr>
          <w:fldChar w:fldCharType="begin"/>
        </w:r>
        <w:r w:rsidR="00EE4AA1">
          <w:rPr>
            <w:webHidden/>
          </w:rPr>
          <w:instrText xml:space="preserve"> PAGEREF _Toc110602888 \h </w:instrText>
        </w:r>
        <w:r w:rsidR="00EE4AA1">
          <w:rPr>
            <w:webHidden/>
          </w:rPr>
        </w:r>
        <w:r w:rsidR="00EE4AA1">
          <w:rPr>
            <w:webHidden/>
          </w:rPr>
          <w:fldChar w:fldCharType="separate"/>
        </w:r>
        <w:r w:rsidR="00CC4B27">
          <w:rPr>
            <w:webHidden/>
          </w:rPr>
          <w:t>52</w:t>
        </w:r>
        <w:r w:rsidR="00EE4AA1">
          <w:rPr>
            <w:webHidden/>
          </w:rPr>
          <w:fldChar w:fldCharType="end"/>
        </w:r>
      </w:hyperlink>
    </w:p>
    <w:p w14:paraId="0A4D352E" w14:textId="02335A7B" w:rsidR="00EE4AA1" w:rsidRDefault="0034384D">
      <w:pPr>
        <w:pStyle w:val="TOC1"/>
        <w:rPr>
          <w:rFonts w:asciiTheme="minorHAnsi" w:eastAsiaTheme="minorEastAsia" w:hAnsiTheme="minorHAnsi" w:cstheme="minorBidi"/>
          <w:b w:val="0"/>
          <w:color w:val="auto"/>
        </w:rPr>
      </w:pPr>
      <w:hyperlink w:anchor="_Toc110602889" w:history="1">
        <w:r w:rsidR="00EE4AA1" w:rsidRPr="00341704">
          <w:rPr>
            <w:rStyle w:val="Hyperlink"/>
          </w:rPr>
          <w:t>Part Three: The CDR within an emerging digital economy</w:t>
        </w:r>
        <w:r w:rsidR="00EE4AA1">
          <w:rPr>
            <w:webHidden/>
          </w:rPr>
          <w:tab/>
        </w:r>
        <w:r w:rsidR="00EE4AA1">
          <w:rPr>
            <w:webHidden/>
          </w:rPr>
          <w:fldChar w:fldCharType="begin"/>
        </w:r>
        <w:r w:rsidR="00EE4AA1">
          <w:rPr>
            <w:webHidden/>
          </w:rPr>
          <w:instrText xml:space="preserve"> PAGEREF _Toc110602889 \h </w:instrText>
        </w:r>
        <w:r w:rsidR="00EE4AA1">
          <w:rPr>
            <w:webHidden/>
          </w:rPr>
        </w:r>
        <w:r w:rsidR="00EE4AA1">
          <w:rPr>
            <w:webHidden/>
          </w:rPr>
          <w:fldChar w:fldCharType="separate"/>
        </w:r>
        <w:r w:rsidR="00CC4B27">
          <w:rPr>
            <w:webHidden/>
          </w:rPr>
          <w:t>53</w:t>
        </w:r>
        <w:r w:rsidR="00EE4AA1">
          <w:rPr>
            <w:webHidden/>
          </w:rPr>
          <w:fldChar w:fldCharType="end"/>
        </w:r>
      </w:hyperlink>
    </w:p>
    <w:p w14:paraId="4EFDD211" w14:textId="5FCA2834" w:rsidR="00EE4AA1" w:rsidRDefault="0034384D">
      <w:pPr>
        <w:pStyle w:val="TOC2"/>
        <w:tabs>
          <w:tab w:val="left" w:pos="660"/>
        </w:tabs>
        <w:rPr>
          <w:rFonts w:asciiTheme="minorHAnsi" w:eastAsiaTheme="minorEastAsia" w:hAnsiTheme="minorHAnsi" w:cstheme="minorBidi"/>
          <w:color w:val="auto"/>
          <w:szCs w:val="22"/>
        </w:rPr>
      </w:pPr>
      <w:hyperlink w:anchor="_Toc110602890" w:history="1">
        <w:r w:rsidR="00EE4AA1" w:rsidRPr="00341704">
          <w:rPr>
            <w:rStyle w:val="Hyperlink"/>
          </w:rPr>
          <w:t>3.1 Improving settings to support CDR services for small business consumers</w:t>
        </w:r>
        <w:r w:rsidR="00EE4AA1">
          <w:rPr>
            <w:webHidden/>
          </w:rPr>
          <w:tab/>
        </w:r>
        <w:r w:rsidR="00EE4AA1">
          <w:rPr>
            <w:webHidden/>
          </w:rPr>
          <w:fldChar w:fldCharType="begin"/>
        </w:r>
        <w:r w:rsidR="00EE4AA1">
          <w:rPr>
            <w:webHidden/>
          </w:rPr>
          <w:instrText xml:space="preserve"> PAGEREF _Toc110602890 \h </w:instrText>
        </w:r>
        <w:r w:rsidR="00EE4AA1">
          <w:rPr>
            <w:webHidden/>
          </w:rPr>
        </w:r>
        <w:r w:rsidR="00EE4AA1">
          <w:rPr>
            <w:webHidden/>
          </w:rPr>
          <w:fldChar w:fldCharType="separate"/>
        </w:r>
        <w:r w:rsidR="00CC4B27">
          <w:rPr>
            <w:webHidden/>
          </w:rPr>
          <w:t>53</w:t>
        </w:r>
        <w:r w:rsidR="00EE4AA1">
          <w:rPr>
            <w:webHidden/>
          </w:rPr>
          <w:fldChar w:fldCharType="end"/>
        </w:r>
      </w:hyperlink>
    </w:p>
    <w:p w14:paraId="7A70C464" w14:textId="512D017A" w:rsidR="00EE4AA1" w:rsidRDefault="0034384D">
      <w:pPr>
        <w:pStyle w:val="TOC2"/>
        <w:tabs>
          <w:tab w:val="left" w:pos="660"/>
        </w:tabs>
        <w:rPr>
          <w:rFonts w:asciiTheme="minorHAnsi" w:eastAsiaTheme="minorEastAsia" w:hAnsiTheme="minorHAnsi" w:cstheme="minorBidi"/>
          <w:color w:val="auto"/>
          <w:szCs w:val="22"/>
        </w:rPr>
      </w:pPr>
      <w:hyperlink w:anchor="_Toc110602891" w:history="1">
        <w:r w:rsidR="00EE4AA1" w:rsidRPr="00341704">
          <w:rPr>
            <w:rStyle w:val="Hyperlink"/>
          </w:rPr>
          <w:t>3.2 Data disclosures and small business consumer participation</w:t>
        </w:r>
        <w:r w:rsidR="00EE4AA1">
          <w:rPr>
            <w:webHidden/>
          </w:rPr>
          <w:tab/>
        </w:r>
        <w:r w:rsidR="00EE4AA1">
          <w:rPr>
            <w:webHidden/>
          </w:rPr>
          <w:fldChar w:fldCharType="begin"/>
        </w:r>
        <w:r w:rsidR="00EE4AA1">
          <w:rPr>
            <w:webHidden/>
          </w:rPr>
          <w:instrText xml:space="preserve"> PAGEREF _Toc110602891 \h </w:instrText>
        </w:r>
        <w:r w:rsidR="00EE4AA1">
          <w:rPr>
            <w:webHidden/>
          </w:rPr>
        </w:r>
        <w:r w:rsidR="00EE4AA1">
          <w:rPr>
            <w:webHidden/>
          </w:rPr>
          <w:fldChar w:fldCharType="separate"/>
        </w:r>
        <w:r w:rsidR="00CC4B27">
          <w:rPr>
            <w:webHidden/>
          </w:rPr>
          <w:t>56</w:t>
        </w:r>
        <w:r w:rsidR="00EE4AA1">
          <w:rPr>
            <w:webHidden/>
          </w:rPr>
          <w:fldChar w:fldCharType="end"/>
        </w:r>
      </w:hyperlink>
    </w:p>
    <w:p w14:paraId="532B37F3" w14:textId="4CBFD431" w:rsidR="00EE4AA1" w:rsidRDefault="0034384D">
      <w:pPr>
        <w:pStyle w:val="TOC2"/>
        <w:tabs>
          <w:tab w:val="left" w:pos="660"/>
        </w:tabs>
        <w:rPr>
          <w:rFonts w:asciiTheme="minorHAnsi" w:eastAsiaTheme="minorEastAsia" w:hAnsiTheme="minorHAnsi" w:cstheme="minorBidi"/>
          <w:color w:val="auto"/>
          <w:szCs w:val="22"/>
        </w:rPr>
      </w:pPr>
      <w:hyperlink w:anchor="_Toc110602892" w:history="1">
        <w:r w:rsidR="00EE4AA1" w:rsidRPr="00341704">
          <w:rPr>
            <w:rStyle w:val="Hyperlink"/>
          </w:rPr>
          <w:t>3.3 Supporting cross-sectoral use cases across the digital economy</w:t>
        </w:r>
        <w:r w:rsidR="00EE4AA1">
          <w:rPr>
            <w:webHidden/>
          </w:rPr>
          <w:tab/>
        </w:r>
        <w:r w:rsidR="00EE4AA1">
          <w:rPr>
            <w:webHidden/>
          </w:rPr>
          <w:fldChar w:fldCharType="begin"/>
        </w:r>
        <w:r w:rsidR="00EE4AA1">
          <w:rPr>
            <w:webHidden/>
          </w:rPr>
          <w:instrText xml:space="preserve"> PAGEREF _Toc110602892 \h </w:instrText>
        </w:r>
        <w:r w:rsidR="00EE4AA1">
          <w:rPr>
            <w:webHidden/>
          </w:rPr>
        </w:r>
        <w:r w:rsidR="00EE4AA1">
          <w:rPr>
            <w:webHidden/>
          </w:rPr>
          <w:fldChar w:fldCharType="separate"/>
        </w:r>
        <w:r w:rsidR="00CC4B27">
          <w:rPr>
            <w:webHidden/>
          </w:rPr>
          <w:t>57</w:t>
        </w:r>
        <w:r w:rsidR="00EE4AA1">
          <w:rPr>
            <w:webHidden/>
          </w:rPr>
          <w:fldChar w:fldCharType="end"/>
        </w:r>
      </w:hyperlink>
    </w:p>
    <w:p w14:paraId="3C0E366D" w14:textId="7E8F49FF" w:rsidR="00EE4AA1" w:rsidRDefault="0034384D">
      <w:pPr>
        <w:pStyle w:val="TOC2"/>
        <w:rPr>
          <w:rFonts w:asciiTheme="minorHAnsi" w:eastAsiaTheme="minorEastAsia" w:hAnsiTheme="minorHAnsi" w:cstheme="minorBidi"/>
          <w:color w:val="auto"/>
          <w:szCs w:val="22"/>
        </w:rPr>
      </w:pPr>
      <w:hyperlink w:anchor="_Toc110602893" w:history="1">
        <w:r w:rsidR="00EE4AA1" w:rsidRPr="00341704">
          <w:rPr>
            <w:rStyle w:val="Hyperlink"/>
          </w:rPr>
          <w:t>3.4 Role for government participation in the CDR</w:t>
        </w:r>
        <w:r w:rsidR="00EE4AA1">
          <w:rPr>
            <w:webHidden/>
          </w:rPr>
          <w:tab/>
        </w:r>
        <w:r w:rsidR="00EE4AA1">
          <w:rPr>
            <w:webHidden/>
          </w:rPr>
          <w:fldChar w:fldCharType="begin"/>
        </w:r>
        <w:r w:rsidR="00EE4AA1">
          <w:rPr>
            <w:webHidden/>
          </w:rPr>
          <w:instrText xml:space="preserve"> PAGEREF _Toc110602893 \h </w:instrText>
        </w:r>
        <w:r w:rsidR="00EE4AA1">
          <w:rPr>
            <w:webHidden/>
          </w:rPr>
        </w:r>
        <w:r w:rsidR="00EE4AA1">
          <w:rPr>
            <w:webHidden/>
          </w:rPr>
          <w:fldChar w:fldCharType="separate"/>
        </w:r>
        <w:r w:rsidR="00CC4B27">
          <w:rPr>
            <w:webHidden/>
          </w:rPr>
          <w:t>60</w:t>
        </w:r>
        <w:r w:rsidR="00EE4AA1">
          <w:rPr>
            <w:webHidden/>
          </w:rPr>
          <w:fldChar w:fldCharType="end"/>
        </w:r>
      </w:hyperlink>
    </w:p>
    <w:p w14:paraId="084AC293" w14:textId="35CC31DF" w:rsidR="00EE4AA1" w:rsidRDefault="0034384D">
      <w:pPr>
        <w:pStyle w:val="TOC2"/>
        <w:rPr>
          <w:rFonts w:asciiTheme="minorHAnsi" w:eastAsiaTheme="minorEastAsia" w:hAnsiTheme="minorHAnsi" w:cstheme="minorBidi"/>
          <w:color w:val="auto"/>
          <w:szCs w:val="22"/>
        </w:rPr>
      </w:pPr>
      <w:hyperlink w:anchor="_Toc110602894" w:history="1">
        <w:r w:rsidR="00EE4AA1" w:rsidRPr="00341704">
          <w:rPr>
            <w:rStyle w:val="Hyperlink"/>
          </w:rPr>
          <w:t>3.5 Awareness of the regulatory landscape outside the CDR</w:t>
        </w:r>
        <w:r w:rsidR="00EE4AA1">
          <w:rPr>
            <w:webHidden/>
          </w:rPr>
          <w:tab/>
        </w:r>
        <w:r w:rsidR="00EE4AA1">
          <w:rPr>
            <w:webHidden/>
          </w:rPr>
          <w:fldChar w:fldCharType="begin"/>
        </w:r>
        <w:r w:rsidR="00EE4AA1">
          <w:rPr>
            <w:webHidden/>
          </w:rPr>
          <w:instrText xml:space="preserve"> PAGEREF _Toc110602894 \h </w:instrText>
        </w:r>
        <w:r w:rsidR="00EE4AA1">
          <w:rPr>
            <w:webHidden/>
          </w:rPr>
        </w:r>
        <w:r w:rsidR="00EE4AA1">
          <w:rPr>
            <w:webHidden/>
          </w:rPr>
          <w:fldChar w:fldCharType="separate"/>
        </w:r>
        <w:r w:rsidR="00CC4B27">
          <w:rPr>
            <w:webHidden/>
          </w:rPr>
          <w:t>62</w:t>
        </w:r>
        <w:r w:rsidR="00EE4AA1">
          <w:rPr>
            <w:webHidden/>
          </w:rPr>
          <w:fldChar w:fldCharType="end"/>
        </w:r>
      </w:hyperlink>
    </w:p>
    <w:p w14:paraId="3717461D" w14:textId="61F333A3" w:rsidR="00EE4AA1" w:rsidRDefault="0034384D">
      <w:pPr>
        <w:pStyle w:val="TOC2"/>
        <w:rPr>
          <w:rFonts w:asciiTheme="minorHAnsi" w:eastAsiaTheme="minorEastAsia" w:hAnsiTheme="minorHAnsi" w:cstheme="minorBidi"/>
          <w:color w:val="auto"/>
          <w:szCs w:val="22"/>
        </w:rPr>
      </w:pPr>
      <w:hyperlink w:anchor="_Toc110602895" w:history="1">
        <w:r w:rsidR="00EE4AA1" w:rsidRPr="00341704">
          <w:rPr>
            <w:rStyle w:val="Hyperlink"/>
          </w:rPr>
          <w:t>3.6 Alignment with other initiatives in the digital economy</w:t>
        </w:r>
        <w:r w:rsidR="00EE4AA1">
          <w:rPr>
            <w:webHidden/>
          </w:rPr>
          <w:tab/>
        </w:r>
        <w:r w:rsidR="00EE4AA1">
          <w:rPr>
            <w:webHidden/>
          </w:rPr>
          <w:fldChar w:fldCharType="begin"/>
        </w:r>
        <w:r w:rsidR="00EE4AA1">
          <w:rPr>
            <w:webHidden/>
          </w:rPr>
          <w:instrText xml:space="preserve"> PAGEREF _Toc110602895 \h </w:instrText>
        </w:r>
        <w:r w:rsidR="00EE4AA1">
          <w:rPr>
            <w:webHidden/>
          </w:rPr>
        </w:r>
        <w:r w:rsidR="00EE4AA1">
          <w:rPr>
            <w:webHidden/>
          </w:rPr>
          <w:fldChar w:fldCharType="separate"/>
        </w:r>
        <w:r w:rsidR="00CC4B27">
          <w:rPr>
            <w:webHidden/>
          </w:rPr>
          <w:t>64</w:t>
        </w:r>
        <w:r w:rsidR="00EE4AA1">
          <w:rPr>
            <w:webHidden/>
          </w:rPr>
          <w:fldChar w:fldCharType="end"/>
        </w:r>
      </w:hyperlink>
    </w:p>
    <w:p w14:paraId="12E98FAB" w14:textId="05B1933D" w:rsidR="00EE4AA1" w:rsidRDefault="0034384D">
      <w:pPr>
        <w:pStyle w:val="TOC2"/>
        <w:rPr>
          <w:rFonts w:asciiTheme="minorHAnsi" w:eastAsiaTheme="minorEastAsia" w:hAnsiTheme="minorHAnsi" w:cstheme="minorBidi"/>
          <w:color w:val="auto"/>
          <w:szCs w:val="22"/>
        </w:rPr>
      </w:pPr>
      <w:hyperlink w:anchor="_Toc110602896" w:history="1">
        <w:r w:rsidR="00EE4AA1" w:rsidRPr="00341704">
          <w:rPr>
            <w:rStyle w:val="Hyperlink"/>
          </w:rPr>
          <w:t>3.7 Role and importance of the consumer voice in the CDR</w:t>
        </w:r>
        <w:r w:rsidR="00EE4AA1">
          <w:rPr>
            <w:webHidden/>
          </w:rPr>
          <w:tab/>
        </w:r>
        <w:r w:rsidR="00EE4AA1">
          <w:rPr>
            <w:webHidden/>
          </w:rPr>
          <w:fldChar w:fldCharType="begin"/>
        </w:r>
        <w:r w:rsidR="00EE4AA1">
          <w:rPr>
            <w:webHidden/>
          </w:rPr>
          <w:instrText xml:space="preserve"> PAGEREF _Toc110602896 \h </w:instrText>
        </w:r>
        <w:r w:rsidR="00EE4AA1">
          <w:rPr>
            <w:webHidden/>
          </w:rPr>
        </w:r>
        <w:r w:rsidR="00EE4AA1">
          <w:rPr>
            <w:webHidden/>
          </w:rPr>
          <w:fldChar w:fldCharType="separate"/>
        </w:r>
        <w:r w:rsidR="00CC4B27">
          <w:rPr>
            <w:webHidden/>
          </w:rPr>
          <w:t>68</w:t>
        </w:r>
        <w:r w:rsidR="00EE4AA1">
          <w:rPr>
            <w:webHidden/>
          </w:rPr>
          <w:fldChar w:fldCharType="end"/>
        </w:r>
      </w:hyperlink>
    </w:p>
    <w:p w14:paraId="25395163" w14:textId="6FF4793F" w:rsidR="00EE4AA1" w:rsidRDefault="0034384D">
      <w:pPr>
        <w:pStyle w:val="TOC2"/>
        <w:rPr>
          <w:rFonts w:asciiTheme="minorHAnsi" w:eastAsiaTheme="minorEastAsia" w:hAnsiTheme="minorHAnsi" w:cstheme="minorBidi"/>
          <w:color w:val="auto"/>
          <w:szCs w:val="22"/>
        </w:rPr>
      </w:pPr>
      <w:hyperlink w:anchor="_Toc110602897" w:history="1">
        <w:r w:rsidR="00EE4AA1" w:rsidRPr="00341704">
          <w:rPr>
            <w:rStyle w:val="Hyperlink"/>
          </w:rPr>
          <w:t>3.8 Beyond the Statutory Review</w:t>
        </w:r>
        <w:r w:rsidR="00EE4AA1">
          <w:rPr>
            <w:webHidden/>
          </w:rPr>
          <w:tab/>
        </w:r>
        <w:r w:rsidR="00EE4AA1">
          <w:rPr>
            <w:webHidden/>
          </w:rPr>
          <w:fldChar w:fldCharType="begin"/>
        </w:r>
        <w:r w:rsidR="00EE4AA1">
          <w:rPr>
            <w:webHidden/>
          </w:rPr>
          <w:instrText xml:space="preserve"> PAGEREF _Toc110602897 \h </w:instrText>
        </w:r>
        <w:r w:rsidR="00EE4AA1">
          <w:rPr>
            <w:webHidden/>
          </w:rPr>
        </w:r>
        <w:r w:rsidR="00EE4AA1">
          <w:rPr>
            <w:webHidden/>
          </w:rPr>
          <w:fldChar w:fldCharType="separate"/>
        </w:r>
        <w:r w:rsidR="00CC4B27">
          <w:rPr>
            <w:webHidden/>
          </w:rPr>
          <w:t>69</w:t>
        </w:r>
        <w:r w:rsidR="00EE4AA1">
          <w:rPr>
            <w:webHidden/>
          </w:rPr>
          <w:fldChar w:fldCharType="end"/>
        </w:r>
      </w:hyperlink>
    </w:p>
    <w:p w14:paraId="22F41AA2" w14:textId="6E5CFF1B" w:rsidR="00EE4AA1" w:rsidRDefault="0034384D">
      <w:pPr>
        <w:pStyle w:val="TOC2"/>
        <w:rPr>
          <w:rFonts w:asciiTheme="minorHAnsi" w:eastAsiaTheme="minorEastAsia" w:hAnsiTheme="minorHAnsi" w:cstheme="minorBidi"/>
          <w:color w:val="auto"/>
          <w:szCs w:val="22"/>
        </w:rPr>
      </w:pPr>
      <w:hyperlink w:anchor="_Toc110602898" w:history="1">
        <w:r w:rsidR="00EE4AA1" w:rsidRPr="00341704">
          <w:rPr>
            <w:rStyle w:val="Hyperlink"/>
          </w:rPr>
          <w:t>3.9 Part Three – Conclusion</w:t>
        </w:r>
        <w:r w:rsidR="00EE4AA1">
          <w:rPr>
            <w:webHidden/>
          </w:rPr>
          <w:tab/>
        </w:r>
        <w:r w:rsidR="00EE4AA1">
          <w:rPr>
            <w:webHidden/>
          </w:rPr>
          <w:fldChar w:fldCharType="begin"/>
        </w:r>
        <w:r w:rsidR="00EE4AA1">
          <w:rPr>
            <w:webHidden/>
          </w:rPr>
          <w:instrText xml:space="preserve"> PAGEREF _Toc110602898 \h </w:instrText>
        </w:r>
        <w:r w:rsidR="00EE4AA1">
          <w:rPr>
            <w:webHidden/>
          </w:rPr>
        </w:r>
        <w:r w:rsidR="00EE4AA1">
          <w:rPr>
            <w:webHidden/>
          </w:rPr>
          <w:fldChar w:fldCharType="separate"/>
        </w:r>
        <w:r w:rsidR="00CC4B27">
          <w:rPr>
            <w:webHidden/>
          </w:rPr>
          <w:t>70</w:t>
        </w:r>
        <w:r w:rsidR="00EE4AA1">
          <w:rPr>
            <w:webHidden/>
          </w:rPr>
          <w:fldChar w:fldCharType="end"/>
        </w:r>
      </w:hyperlink>
    </w:p>
    <w:p w14:paraId="09AE8043" w14:textId="05BB9588" w:rsidR="00EE4AA1" w:rsidRDefault="0034384D">
      <w:pPr>
        <w:pStyle w:val="TOC1"/>
        <w:rPr>
          <w:rFonts w:asciiTheme="minorHAnsi" w:eastAsiaTheme="minorEastAsia" w:hAnsiTheme="minorHAnsi" w:cstheme="minorBidi"/>
          <w:b w:val="0"/>
          <w:color w:val="auto"/>
        </w:rPr>
      </w:pPr>
      <w:hyperlink w:anchor="_Toc110602899" w:history="1">
        <w:r w:rsidR="00EE4AA1" w:rsidRPr="00341704">
          <w:rPr>
            <w:rStyle w:val="Hyperlink"/>
          </w:rPr>
          <w:t>Part Four: Other issues raised in submissions</w:t>
        </w:r>
        <w:r w:rsidR="00EE4AA1">
          <w:rPr>
            <w:webHidden/>
          </w:rPr>
          <w:tab/>
        </w:r>
        <w:r w:rsidR="00EE4AA1">
          <w:rPr>
            <w:webHidden/>
          </w:rPr>
          <w:fldChar w:fldCharType="begin"/>
        </w:r>
        <w:r w:rsidR="00EE4AA1">
          <w:rPr>
            <w:webHidden/>
          </w:rPr>
          <w:instrText xml:space="preserve"> PAGEREF _Toc110602899 \h </w:instrText>
        </w:r>
        <w:r w:rsidR="00EE4AA1">
          <w:rPr>
            <w:webHidden/>
          </w:rPr>
        </w:r>
        <w:r w:rsidR="00EE4AA1">
          <w:rPr>
            <w:webHidden/>
          </w:rPr>
          <w:fldChar w:fldCharType="separate"/>
        </w:r>
        <w:r w:rsidR="00CC4B27">
          <w:rPr>
            <w:webHidden/>
          </w:rPr>
          <w:t>71</w:t>
        </w:r>
        <w:r w:rsidR="00EE4AA1">
          <w:rPr>
            <w:webHidden/>
          </w:rPr>
          <w:fldChar w:fldCharType="end"/>
        </w:r>
      </w:hyperlink>
    </w:p>
    <w:p w14:paraId="067B41CA" w14:textId="072C1F82" w:rsidR="00EE4AA1" w:rsidRDefault="0034384D">
      <w:pPr>
        <w:pStyle w:val="TOC1"/>
        <w:rPr>
          <w:rFonts w:asciiTheme="minorHAnsi" w:eastAsiaTheme="minorEastAsia" w:hAnsiTheme="minorHAnsi" w:cstheme="minorBidi"/>
          <w:b w:val="0"/>
          <w:color w:val="auto"/>
        </w:rPr>
      </w:pPr>
      <w:hyperlink w:anchor="_Toc110602900" w:history="1">
        <w:r w:rsidR="00EE4AA1" w:rsidRPr="00341704">
          <w:rPr>
            <w:rStyle w:val="Hyperlink"/>
          </w:rPr>
          <w:t>Glossary</w:t>
        </w:r>
        <w:r w:rsidR="00EE4AA1">
          <w:rPr>
            <w:webHidden/>
          </w:rPr>
          <w:tab/>
        </w:r>
        <w:r w:rsidR="00EE4AA1">
          <w:rPr>
            <w:webHidden/>
          </w:rPr>
          <w:fldChar w:fldCharType="begin"/>
        </w:r>
        <w:r w:rsidR="00EE4AA1">
          <w:rPr>
            <w:webHidden/>
          </w:rPr>
          <w:instrText xml:space="preserve"> PAGEREF _Toc110602900 \h </w:instrText>
        </w:r>
        <w:r w:rsidR="00EE4AA1">
          <w:rPr>
            <w:webHidden/>
          </w:rPr>
        </w:r>
        <w:r w:rsidR="00EE4AA1">
          <w:rPr>
            <w:webHidden/>
          </w:rPr>
          <w:fldChar w:fldCharType="separate"/>
        </w:r>
        <w:r w:rsidR="00CC4B27">
          <w:rPr>
            <w:webHidden/>
          </w:rPr>
          <w:t>77</w:t>
        </w:r>
        <w:r w:rsidR="00EE4AA1">
          <w:rPr>
            <w:webHidden/>
          </w:rPr>
          <w:fldChar w:fldCharType="end"/>
        </w:r>
      </w:hyperlink>
    </w:p>
    <w:p w14:paraId="4197A5BE" w14:textId="1161498A" w:rsidR="00EE4AA1" w:rsidRDefault="0034384D">
      <w:pPr>
        <w:pStyle w:val="TOC1"/>
        <w:rPr>
          <w:rFonts w:asciiTheme="minorHAnsi" w:eastAsiaTheme="minorEastAsia" w:hAnsiTheme="minorHAnsi" w:cstheme="minorBidi"/>
          <w:b w:val="0"/>
          <w:color w:val="auto"/>
        </w:rPr>
      </w:pPr>
      <w:hyperlink w:anchor="_Toc110602901" w:history="1">
        <w:r w:rsidR="00EE4AA1" w:rsidRPr="00341704">
          <w:rPr>
            <w:rStyle w:val="Hyperlink"/>
          </w:rPr>
          <w:t>Appendix A – Context of the Review</w:t>
        </w:r>
        <w:r w:rsidR="00EE4AA1">
          <w:rPr>
            <w:webHidden/>
          </w:rPr>
          <w:tab/>
        </w:r>
        <w:r w:rsidR="00EE4AA1">
          <w:rPr>
            <w:webHidden/>
          </w:rPr>
          <w:fldChar w:fldCharType="begin"/>
        </w:r>
        <w:r w:rsidR="00EE4AA1">
          <w:rPr>
            <w:webHidden/>
          </w:rPr>
          <w:instrText xml:space="preserve"> PAGEREF _Toc110602901 \h </w:instrText>
        </w:r>
        <w:r w:rsidR="00EE4AA1">
          <w:rPr>
            <w:webHidden/>
          </w:rPr>
        </w:r>
        <w:r w:rsidR="00EE4AA1">
          <w:rPr>
            <w:webHidden/>
          </w:rPr>
          <w:fldChar w:fldCharType="separate"/>
        </w:r>
        <w:r w:rsidR="00CC4B27">
          <w:rPr>
            <w:webHidden/>
          </w:rPr>
          <w:t>80</w:t>
        </w:r>
        <w:r w:rsidR="00EE4AA1">
          <w:rPr>
            <w:webHidden/>
          </w:rPr>
          <w:fldChar w:fldCharType="end"/>
        </w:r>
      </w:hyperlink>
    </w:p>
    <w:p w14:paraId="033D13BD" w14:textId="5A8FD93B" w:rsidR="00EE4AA1" w:rsidRDefault="0034384D">
      <w:pPr>
        <w:pStyle w:val="TOC1"/>
        <w:rPr>
          <w:rFonts w:asciiTheme="minorHAnsi" w:eastAsiaTheme="minorEastAsia" w:hAnsiTheme="minorHAnsi" w:cstheme="minorBidi"/>
          <w:b w:val="0"/>
          <w:color w:val="auto"/>
        </w:rPr>
      </w:pPr>
      <w:hyperlink w:anchor="_Toc110602906" w:history="1">
        <w:r w:rsidR="00EE4AA1" w:rsidRPr="00341704">
          <w:rPr>
            <w:rStyle w:val="Hyperlink"/>
          </w:rPr>
          <w:t>Appendix B – List of Submissions</w:t>
        </w:r>
        <w:r w:rsidR="00EE4AA1">
          <w:rPr>
            <w:webHidden/>
          </w:rPr>
          <w:tab/>
        </w:r>
        <w:r w:rsidR="00EE4AA1">
          <w:rPr>
            <w:webHidden/>
          </w:rPr>
          <w:fldChar w:fldCharType="begin"/>
        </w:r>
        <w:r w:rsidR="00EE4AA1">
          <w:rPr>
            <w:webHidden/>
          </w:rPr>
          <w:instrText xml:space="preserve"> PAGEREF _Toc110602906 \h </w:instrText>
        </w:r>
        <w:r w:rsidR="00EE4AA1">
          <w:rPr>
            <w:webHidden/>
          </w:rPr>
        </w:r>
        <w:r w:rsidR="00EE4AA1">
          <w:rPr>
            <w:webHidden/>
          </w:rPr>
          <w:fldChar w:fldCharType="separate"/>
        </w:r>
        <w:r w:rsidR="00CC4B27">
          <w:rPr>
            <w:webHidden/>
          </w:rPr>
          <w:t>83</w:t>
        </w:r>
        <w:r w:rsidR="00EE4AA1">
          <w:rPr>
            <w:webHidden/>
          </w:rPr>
          <w:fldChar w:fldCharType="end"/>
        </w:r>
      </w:hyperlink>
    </w:p>
    <w:p w14:paraId="5C3D4764" w14:textId="5FDAD7CC" w:rsidR="00EE4AA1" w:rsidRDefault="0034384D">
      <w:pPr>
        <w:pStyle w:val="TOC1"/>
        <w:rPr>
          <w:rFonts w:asciiTheme="minorHAnsi" w:eastAsiaTheme="minorEastAsia" w:hAnsiTheme="minorHAnsi" w:cstheme="minorBidi"/>
          <w:b w:val="0"/>
          <w:color w:val="auto"/>
        </w:rPr>
      </w:pPr>
      <w:hyperlink w:anchor="_Toc110602908" w:history="1">
        <w:r w:rsidR="00EE4AA1" w:rsidRPr="00341704">
          <w:rPr>
            <w:rStyle w:val="Hyperlink"/>
            <w:bCs/>
          </w:rPr>
          <w:t>Appendix C – Overview of the Consumer Data Right</w:t>
        </w:r>
        <w:r w:rsidR="00EE4AA1">
          <w:rPr>
            <w:webHidden/>
          </w:rPr>
          <w:tab/>
        </w:r>
        <w:r w:rsidR="00EE4AA1">
          <w:rPr>
            <w:webHidden/>
          </w:rPr>
          <w:fldChar w:fldCharType="begin"/>
        </w:r>
        <w:r w:rsidR="00EE4AA1">
          <w:rPr>
            <w:webHidden/>
          </w:rPr>
          <w:instrText xml:space="preserve"> PAGEREF _Toc110602908 \h </w:instrText>
        </w:r>
        <w:r w:rsidR="00EE4AA1">
          <w:rPr>
            <w:webHidden/>
          </w:rPr>
        </w:r>
        <w:r w:rsidR="00EE4AA1">
          <w:rPr>
            <w:webHidden/>
          </w:rPr>
          <w:fldChar w:fldCharType="separate"/>
        </w:r>
        <w:r w:rsidR="00CC4B27">
          <w:rPr>
            <w:webHidden/>
          </w:rPr>
          <w:t>85</w:t>
        </w:r>
        <w:r w:rsidR="00EE4AA1">
          <w:rPr>
            <w:webHidden/>
          </w:rPr>
          <w:fldChar w:fldCharType="end"/>
        </w:r>
      </w:hyperlink>
    </w:p>
    <w:p w14:paraId="7F9506C3" w14:textId="77777777" w:rsidR="00B775EE" w:rsidRPr="00601654" w:rsidRDefault="000E0B74" w:rsidP="0056582C">
      <w:pPr>
        <w:pStyle w:val="SingleParagraph"/>
        <w:ind w:right="-2"/>
        <w:sectPr w:rsidR="00B775EE" w:rsidRPr="00601654" w:rsidSect="006F4012">
          <w:headerReference w:type="even" r:id="rId22"/>
          <w:headerReference w:type="default" r:id="rId23"/>
          <w:footerReference w:type="even" r:id="rId24"/>
          <w:headerReference w:type="first" r:id="rId25"/>
          <w:footerReference w:type="first" r:id="rId26"/>
          <w:pgSz w:w="11906" w:h="16838" w:code="9"/>
          <w:pgMar w:top="1843" w:right="1418" w:bottom="1418" w:left="1418" w:header="709" w:footer="709" w:gutter="0"/>
          <w:pgNumType w:fmt="lowerRoman" w:start="3"/>
          <w:cols w:space="708"/>
          <w:docGrid w:linePitch="360"/>
        </w:sectPr>
      </w:pPr>
      <w:r>
        <w:fldChar w:fldCharType="end"/>
      </w:r>
      <w:bookmarkStart w:id="5" w:name="_Toc432067103"/>
      <w:bookmarkStart w:id="6" w:name="_Toc452635030"/>
    </w:p>
    <w:p w14:paraId="37AF7EDE" w14:textId="275CC5AD" w:rsidR="00265FE3" w:rsidRPr="00693150" w:rsidRDefault="00C0786C" w:rsidP="00B81555">
      <w:pPr>
        <w:pStyle w:val="Heading1"/>
      </w:pPr>
      <w:bookmarkStart w:id="7" w:name="_Toc106286063"/>
      <w:bookmarkStart w:id="8" w:name="_Toc106358373"/>
      <w:bookmarkStart w:id="9" w:name="_Toc110602856"/>
      <w:bookmarkEnd w:id="5"/>
      <w:bookmarkEnd w:id="6"/>
      <w:r w:rsidRPr="006B484E">
        <w:rPr>
          <w:rFonts w:cstheme="majorHAnsi"/>
          <w:noProof/>
        </w:rPr>
        <w:lastRenderedPageBreak/>
        <w:drawing>
          <wp:anchor distT="0" distB="0" distL="114300" distR="114300" simplePos="0" relativeHeight="251658240" behindDoc="1" locked="0" layoutInCell="1" allowOverlap="1" wp14:anchorId="5795BF3C" wp14:editId="046C26FB">
            <wp:simplePos x="0" y="0"/>
            <wp:positionH relativeFrom="margin">
              <wp:posOffset>3931920</wp:posOffset>
            </wp:positionH>
            <wp:positionV relativeFrom="page">
              <wp:posOffset>1541391</wp:posOffset>
            </wp:positionV>
            <wp:extent cx="1824355" cy="2133600"/>
            <wp:effectExtent l="0" t="0" r="4445" b="0"/>
            <wp:wrapTight wrapText="bothSides">
              <wp:wrapPolygon edited="0">
                <wp:start x="0" y="0"/>
                <wp:lineTo x="0" y="21407"/>
                <wp:lineTo x="21427" y="21407"/>
                <wp:lineTo x="2142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24355" cy="2133600"/>
                    </a:xfrm>
                    <a:prstGeom prst="rect">
                      <a:avLst/>
                    </a:prstGeom>
                  </pic:spPr>
                </pic:pic>
              </a:graphicData>
            </a:graphic>
            <wp14:sizeRelH relativeFrom="page">
              <wp14:pctWidth>0</wp14:pctWidth>
            </wp14:sizeRelH>
            <wp14:sizeRelV relativeFrom="page">
              <wp14:pctHeight>0</wp14:pctHeight>
            </wp14:sizeRelV>
          </wp:anchor>
        </w:drawing>
      </w:r>
      <w:r w:rsidR="00265FE3" w:rsidRPr="00693150">
        <w:t>Foreword</w:t>
      </w:r>
      <w:bookmarkEnd w:id="7"/>
      <w:bookmarkEnd w:id="8"/>
      <w:bookmarkEnd w:id="9"/>
      <w:r w:rsidR="00265FE3" w:rsidRPr="00693150">
        <w:t xml:space="preserve"> </w:t>
      </w:r>
    </w:p>
    <w:p w14:paraId="1090F093" w14:textId="6F382E34" w:rsidR="00FD2AB9" w:rsidRPr="00F3484D" w:rsidRDefault="00FD2AB9" w:rsidP="00FD2AB9">
      <w:pPr>
        <w:rPr>
          <w:rFonts w:asciiTheme="minorHAnsi" w:hAnsiTheme="minorHAnsi"/>
        </w:rPr>
      </w:pPr>
      <w:r>
        <w:t xml:space="preserve">The Consumer Data Right (CDR) is at a critical point in its implementation as Australia’s national data portability scheme. The focus for the past </w:t>
      </w:r>
      <w:r w:rsidR="00BD7554">
        <w:t>three</w:t>
      </w:r>
      <w:r>
        <w:t xml:space="preserve"> years has been squarely on building what most agree is the world’s most ambitious, safest and secure data sharing </w:t>
      </w:r>
      <w:r w:rsidR="00C8339A">
        <w:t>scheme</w:t>
      </w:r>
      <w:r>
        <w:t xml:space="preserve"> to deliver value to consumers as it drives the digital economy. Much of the hard work has been done and without exception, I found all participants, data holders and data recipients</w:t>
      </w:r>
      <w:r w:rsidR="002B3EA0">
        <w:t>,</w:t>
      </w:r>
      <w:r>
        <w:t xml:space="preserve"> as well as policy agencies and regulators, had applied themselves with great diligence and professionalism.</w:t>
      </w:r>
    </w:p>
    <w:p w14:paraId="316A4B27" w14:textId="05659DD1" w:rsidR="00FD2AB9" w:rsidRPr="00F3484D" w:rsidRDefault="00FD2AB9" w:rsidP="00FD2AB9">
      <w:r>
        <w:t xml:space="preserve">The task of implementation is enormous, complex and technically challenging. It has consumed the attention and resources of participants as they have worked towards complying with the </w:t>
      </w:r>
      <w:r w:rsidRPr="00F3484D">
        <w:t xml:space="preserve">significant new regulation that </w:t>
      </w:r>
      <w:r w:rsidR="0092008A">
        <w:t xml:space="preserve">the </w:t>
      </w:r>
      <w:r w:rsidRPr="00F3484D">
        <w:t xml:space="preserve">CDR has imposed. </w:t>
      </w:r>
      <w:r w:rsidR="004953D2" w:rsidRPr="00F3484D">
        <w:t>Now</w:t>
      </w:r>
      <w:r w:rsidR="009D5076" w:rsidRPr="00F3484D">
        <w:t xml:space="preserve"> that</w:t>
      </w:r>
      <w:r w:rsidR="004953D2" w:rsidRPr="00F3484D">
        <w:t xml:space="preserve"> </w:t>
      </w:r>
      <w:r w:rsidR="00396585" w:rsidRPr="00F3484D">
        <w:t xml:space="preserve">the </w:t>
      </w:r>
      <w:r w:rsidR="004953D2" w:rsidRPr="00F3484D">
        <w:t>foundation</w:t>
      </w:r>
      <w:r w:rsidRPr="00F3484D">
        <w:t xml:space="preserve"> has been </w:t>
      </w:r>
      <w:r w:rsidR="004953D2" w:rsidRPr="00F3484D">
        <w:t>laid within the banking sector</w:t>
      </w:r>
      <w:r w:rsidRPr="00F3484D">
        <w:t xml:space="preserve">, there is scope for attention to move to the opportunities that </w:t>
      </w:r>
      <w:r w:rsidR="0092008A">
        <w:t xml:space="preserve">the </w:t>
      </w:r>
      <w:r w:rsidRPr="00F3484D">
        <w:t>CDR can provide. All CDR participants are excited to develop new CDR-powered products and services and I am confident that we will see these markets grow rapidly.</w:t>
      </w:r>
    </w:p>
    <w:p w14:paraId="70CA3A66" w14:textId="0503746F" w:rsidR="00FD2AB9" w:rsidRPr="00F3484D" w:rsidRDefault="00FD2AB9" w:rsidP="00FD2AB9">
      <w:r w:rsidRPr="00F3484D">
        <w:t xml:space="preserve">Of course, there are lessons to be drawn from implementation thus far. </w:t>
      </w:r>
    </w:p>
    <w:p w14:paraId="45A22931" w14:textId="0241DE72" w:rsidR="00FD2AB9" w:rsidRDefault="00FD2AB9" w:rsidP="00FD2AB9">
      <w:r w:rsidRPr="00F3484D">
        <w:t xml:space="preserve">It is vital that </w:t>
      </w:r>
      <w:r w:rsidR="0092008A">
        <w:t>the</w:t>
      </w:r>
      <w:r w:rsidRPr="00F3484D">
        <w:t xml:space="preserve"> CDR is consumer-centred and use</w:t>
      </w:r>
      <w:r w:rsidR="003A7CD0" w:rsidRPr="00F3484D">
        <w:t xml:space="preserve"> </w:t>
      </w:r>
      <w:r w:rsidRPr="00F3484D">
        <w:t>case</w:t>
      </w:r>
      <w:r w:rsidR="00D31C4F" w:rsidRPr="00F3484D">
        <w:t xml:space="preserve"> driven</w:t>
      </w:r>
      <w:r w:rsidRPr="00F3484D">
        <w:t xml:space="preserve"> </w:t>
      </w:r>
      <w:r w:rsidR="00D31C4F" w:rsidRPr="00F3484D">
        <w:t xml:space="preserve">to </w:t>
      </w:r>
      <w:r w:rsidRPr="00F3484D">
        <w:t xml:space="preserve">deliver value to consumers </w:t>
      </w:r>
      <w:r w:rsidR="00D31C4F" w:rsidRPr="00F3484D">
        <w:t>and to</w:t>
      </w:r>
      <w:r w:rsidRPr="00F3484D">
        <w:t xml:space="preserve"> shape its development in terms of data covered by the system and the products and services powered by that data. That will require a stronger consumer voice in the CDR ecosystem. In addition</w:t>
      </w:r>
      <w:r>
        <w:t xml:space="preserve"> to individual consumers, the role of small and medium business as a consumer of CDR products and services should be given greater prominence in policy design and implementation to ensure the CDR is accessible to their operating models.</w:t>
      </w:r>
    </w:p>
    <w:p w14:paraId="6F01A499" w14:textId="464C383B" w:rsidR="00FD2AB9" w:rsidRDefault="00FD2AB9" w:rsidP="00FD2AB9">
      <w:r>
        <w:t xml:space="preserve">Whilst overall the statutory framework is robust, there is scope to further explore its limits and </w:t>
      </w:r>
      <w:r w:rsidR="00297E49">
        <w:t xml:space="preserve">we should be </w:t>
      </w:r>
      <w:r>
        <w:t xml:space="preserve">open to further considering aspects as the CDR develops. </w:t>
      </w:r>
    </w:p>
    <w:p w14:paraId="0411ECCF" w14:textId="2437B61A" w:rsidR="00FD2AB9" w:rsidRDefault="00FD2AB9" w:rsidP="00FD2AB9">
      <w:r>
        <w:t xml:space="preserve">We must also be alert to potential anti-competitive effects. The size, complexity and technical depth required to participate in the CDR does, of necessity, </w:t>
      </w:r>
      <w:r w:rsidR="001405C8">
        <w:t>create a disproportionate burden for smaller, less sophisticated entities</w:t>
      </w:r>
      <w:r>
        <w:t xml:space="preserve">. The requirement to comply with </w:t>
      </w:r>
      <w:r w:rsidR="00A90672">
        <w:t xml:space="preserve">rules and </w:t>
      </w:r>
      <w:r>
        <w:t>data standards should not be implemented in a way that stifles product innovation.</w:t>
      </w:r>
    </w:p>
    <w:p w14:paraId="785F05C0" w14:textId="5E36B804" w:rsidR="00FD2AB9" w:rsidRDefault="00FD2AB9" w:rsidP="00FD2AB9">
      <w:r>
        <w:t xml:space="preserve">Data quality must improve for the CDR to realise its potential and provide a viable alternative to less secure practices such as screen scraping. </w:t>
      </w:r>
      <w:r w:rsidR="00F74690">
        <w:t>P</w:t>
      </w:r>
      <w:r>
        <w:t>articipants, regulators and policy makers each ha</w:t>
      </w:r>
      <w:r w:rsidR="00981C17">
        <w:t>ve</w:t>
      </w:r>
      <w:r>
        <w:t xml:space="preserve"> a role to play. In order to incentivise participation in CDR, Government should chart a clear path away from less secure practices and clearly signal that the CDR is the Australian data sharing system for accredited sectors.</w:t>
      </w:r>
    </w:p>
    <w:p w14:paraId="0F07D5EA" w14:textId="4AA5A555" w:rsidR="00FD2AB9" w:rsidRPr="00F3484D" w:rsidRDefault="00FD2AB9" w:rsidP="00FD2AB9">
      <w:r>
        <w:t xml:space="preserve">The implementation architecture of the CDR is complex </w:t>
      </w:r>
      <w:r w:rsidR="00F3484D">
        <w:t>with multiple regulators</w:t>
      </w:r>
      <w:r>
        <w:t>. Given the economy</w:t>
      </w:r>
      <w:r w:rsidR="007472C4">
        <w:noBreakHyphen/>
      </w:r>
      <w:r>
        <w:t xml:space="preserve">wide scope of </w:t>
      </w:r>
      <w:r w:rsidR="005324A3">
        <w:t>the</w:t>
      </w:r>
      <w:r>
        <w:t xml:space="preserve"> CDR and its deep technical demand and complexity, there is no obvious </w:t>
      </w:r>
      <w:r w:rsidRPr="008F311E">
        <w:t>alternative at present</w:t>
      </w:r>
      <w:r>
        <w:t xml:space="preserve">. I believe that significant improvements are possible within the current architecture if all commit to greater </w:t>
      </w:r>
      <w:r w:rsidRPr="00F3484D">
        <w:t>coordination</w:t>
      </w:r>
      <w:r w:rsidR="008C6BF4" w:rsidRPr="00F3484D">
        <w:t>, so that roles are more clearly delineated,</w:t>
      </w:r>
      <w:r w:rsidRPr="00F3484D">
        <w:t xml:space="preserve"> and I have been encouraged to see that </w:t>
      </w:r>
      <w:r w:rsidR="00A90672" w:rsidRPr="00F3484D">
        <w:t>CDR agencies</w:t>
      </w:r>
      <w:r w:rsidRPr="00F3484D">
        <w:t xml:space="preserve"> are already actively working to this end. Government should maintain an open mind on future architecture as the CDR further matures and other relevant Government initiatives develop such as </w:t>
      </w:r>
      <w:r w:rsidR="00D31C4F" w:rsidRPr="00F3484D">
        <w:t>digital identity</w:t>
      </w:r>
      <w:r w:rsidRPr="00F3484D">
        <w:t>.</w:t>
      </w:r>
    </w:p>
    <w:p w14:paraId="2D7770D0" w14:textId="77777777" w:rsidR="00E23AB5" w:rsidRDefault="00E23AB5">
      <w:pPr>
        <w:spacing w:before="0" w:after="160" w:line="259" w:lineRule="auto"/>
      </w:pPr>
      <w:r>
        <w:br w:type="page"/>
      </w:r>
    </w:p>
    <w:p w14:paraId="12915C61" w14:textId="102E162F" w:rsidR="00FD2AB9" w:rsidRPr="00F3484D" w:rsidRDefault="00FD2AB9" w:rsidP="00FD2AB9">
      <w:r w:rsidRPr="00F3484D">
        <w:lastRenderedPageBreak/>
        <w:t xml:space="preserve">Government has an important ongoing role in the CDR. It should ensure that the regulatory architecture is as seamless as possible for participants and consumers, and it should also require that related initiatives, such as the </w:t>
      </w:r>
      <w:r w:rsidR="007E2892" w:rsidRPr="00F3484D">
        <w:t>payments system reform</w:t>
      </w:r>
      <w:r w:rsidRPr="00F3484D">
        <w:t xml:space="preserve">, the </w:t>
      </w:r>
      <w:r w:rsidRPr="00F3484D">
        <w:rPr>
          <w:i/>
          <w:iCs/>
        </w:rPr>
        <w:t>Data Availability and Transparency Act 2022</w:t>
      </w:r>
      <w:r w:rsidRPr="00F3484D">
        <w:t xml:space="preserve">, the ongoing Privacy Act review and Digital Identity are all designed and implemented in a way that supports the CDR, does not duplicate infrastructure or require business or consumers to repeat analogous steps unnecessarily such as accreditation. Government should also commit to </w:t>
      </w:r>
      <w:r w:rsidR="00F74690" w:rsidRPr="00F3484D">
        <w:t>participating in the</w:t>
      </w:r>
      <w:r w:rsidRPr="00F3484D">
        <w:t xml:space="preserve"> CDR and work with participants to identify government data to support future use cases.</w:t>
      </w:r>
    </w:p>
    <w:p w14:paraId="072D8FBA" w14:textId="0851C5D6" w:rsidR="00FD2AB9" w:rsidRDefault="00FD2AB9" w:rsidP="00FD2AB9">
      <w:r w:rsidRPr="00F3484D">
        <w:t xml:space="preserve">It has been a great privilege to be appointed as the Statutory Reviewer of Australia’s national data portability </w:t>
      </w:r>
      <w:r w:rsidR="00F2182E">
        <w:t>scheme</w:t>
      </w:r>
      <w:r w:rsidR="00F2182E" w:rsidRPr="00F3484D">
        <w:t xml:space="preserve"> </w:t>
      </w:r>
      <w:r w:rsidRPr="00F3484D">
        <w:t>at this time in its implementation. I have been greatly assisted by the many people who took time to meet with me and make thoughtful submissions to the inquiry as well</w:t>
      </w:r>
      <w:r>
        <w:t xml:space="preserve"> as the substantial work undertaken by others such as Scott Farrell in considering the future of the CDR. Finally, my deep thanks goes to the committed, clever and professional officers in my secretariat from the Treasury whose support and hard work made my review possible. </w:t>
      </w:r>
    </w:p>
    <w:p w14:paraId="7102AB32" w14:textId="3B848690" w:rsidR="002322D2" w:rsidRDefault="00FD2AB9" w:rsidP="00B81555">
      <w:r>
        <w:t xml:space="preserve">I am very optimistic about the future of the CDR. Australians can be rightly proud of what has been achieved so far by Government and industry as they have laid firm foundations for a world-leading system. </w:t>
      </w:r>
    </w:p>
    <w:p w14:paraId="5FDF0E2A" w14:textId="064E8A27" w:rsidR="002322D2" w:rsidRDefault="002322D2" w:rsidP="00251E29">
      <w:pPr>
        <w:pStyle w:val="SingleParagraph"/>
      </w:pPr>
    </w:p>
    <w:p w14:paraId="32EE825C" w14:textId="3549FC47" w:rsidR="002322D2" w:rsidRPr="00A17969" w:rsidRDefault="007117C9" w:rsidP="007117C9">
      <w:pPr>
        <w:pStyle w:val="SingleParagraph"/>
        <w:ind w:left="-284"/>
        <w:rPr>
          <w:rFonts w:cs="Calibri"/>
          <w:b/>
        </w:rPr>
      </w:pPr>
      <w:r w:rsidRPr="007117C9">
        <w:rPr>
          <w:noProof/>
        </w:rPr>
        <w:drawing>
          <wp:inline distT="0" distB="0" distL="0" distR="0" wp14:anchorId="24E3B356" wp14:editId="7CE96260">
            <wp:extent cx="2241380" cy="90376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3368" cy="932794"/>
                    </a:xfrm>
                    <a:prstGeom prst="rect">
                      <a:avLst/>
                    </a:prstGeom>
                  </pic:spPr>
                </pic:pic>
              </a:graphicData>
            </a:graphic>
          </wp:inline>
        </w:drawing>
      </w:r>
      <w:r w:rsidRPr="007117C9" w:rsidDel="007117C9">
        <w:rPr>
          <w:highlight w:val="yellow"/>
        </w:rPr>
        <w:t xml:space="preserve"> </w:t>
      </w:r>
    </w:p>
    <w:p w14:paraId="1BCC6A98" w14:textId="77777777" w:rsidR="00251E29" w:rsidRPr="00B775EE" w:rsidRDefault="00251E29" w:rsidP="00251E29">
      <w:pPr>
        <w:pStyle w:val="SingleParagraph"/>
        <w:rPr>
          <w:rFonts w:cs="Arial"/>
          <w:bCs/>
          <w:szCs w:val="24"/>
        </w:rPr>
      </w:pPr>
    </w:p>
    <w:p w14:paraId="1C569400" w14:textId="0D040F89" w:rsidR="002322D2" w:rsidRPr="00B775EE" w:rsidRDefault="002322D2" w:rsidP="00251E29">
      <w:pPr>
        <w:pStyle w:val="SingleParagraph"/>
        <w:rPr>
          <w:rFonts w:cs="Arial"/>
          <w:bCs/>
          <w:szCs w:val="24"/>
        </w:rPr>
      </w:pPr>
      <w:r>
        <w:rPr>
          <w:rFonts w:cs="Arial"/>
          <w:bCs/>
          <w:szCs w:val="24"/>
        </w:rPr>
        <w:t>Elizabeth Kelly PSM</w:t>
      </w:r>
    </w:p>
    <w:p w14:paraId="351EFA6A" w14:textId="77777777" w:rsidR="00A14F82" w:rsidRPr="00B775EE" w:rsidRDefault="00A14F82" w:rsidP="00251E29">
      <w:pPr>
        <w:pStyle w:val="SingleParagraph"/>
        <w:rPr>
          <w:rFonts w:cs="Arial"/>
          <w:bCs/>
          <w:szCs w:val="24"/>
        </w:rPr>
      </w:pPr>
    </w:p>
    <w:p w14:paraId="1C6F74BE" w14:textId="77777777" w:rsidR="00265FE3" w:rsidRDefault="00265FE3" w:rsidP="00265FE3">
      <w:pPr>
        <w:rPr>
          <w:rFonts w:asciiTheme="majorHAnsi" w:eastAsiaTheme="majorEastAsia" w:hAnsiTheme="majorHAnsi" w:cstheme="majorBidi"/>
          <w:b/>
          <w:bCs/>
          <w:color w:val="0D45D6"/>
          <w:sz w:val="32"/>
          <w:szCs w:val="32"/>
        </w:rPr>
      </w:pPr>
      <w:r>
        <w:rPr>
          <w:b/>
          <w:bCs/>
          <w:color w:val="0D45D6"/>
        </w:rPr>
        <w:br w:type="page"/>
      </w:r>
    </w:p>
    <w:p w14:paraId="7ADE5CA2" w14:textId="77777777" w:rsidR="00265FE3" w:rsidRPr="00ED54F0" w:rsidRDefault="00265FE3" w:rsidP="00265FE3">
      <w:pPr>
        <w:pStyle w:val="Heading1"/>
      </w:pPr>
      <w:bookmarkStart w:id="10" w:name="_Toc106286064"/>
      <w:bookmarkStart w:id="11" w:name="_Toc106358374"/>
      <w:bookmarkStart w:id="12" w:name="_Toc110602857"/>
      <w:r w:rsidRPr="00ED54F0">
        <w:lastRenderedPageBreak/>
        <w:t>Executive Summary</w:t>
      </w:r>
      <w:bookmarkEnd w:id="10"/>
      <w:bookmarkEnd w:id="11"/>
      <w:bookmarkEnd w:id="12"/>
    </w:p>
    <w:p w14:paraId="3F94BB39" w14:textId="77777777" w:rsidR="00265FE3" w:rsidRDefault="00265FE3" w:rsidP="00265FE3">
      <w:pPr>
        <w:pStyle w:val="Heading2"/>
      </w:pPr>
      <w:bookmarkStart w:id="13" w:name="_Toc106286065"/>
      <w:bookmarkStart w:id="14" w:name="_Toc106358375"/>
      <w:bookmarkStart w:id="15" w:name="_Toc106376899"/>
      <w:bookmarkStart w:id="16" w:name="_Toc110602858"/>
      <w:r>
        <w:t>Review Background</w:t>
      </w:r>
      <w:bookmarkEnd w:id="13"/>
      <w:bookmarkEnd w:id="14"/>
      <w:bookmarkEnd w:id="15"/>
      <w:bookmarkEnd w:id="16"/>
    </w:p>
    <w:p w14:paraId="11CB1AAB" w14:textId="0B882507" w:rsidR="00DD73E4" w:rsidRPr="00F3484D" w:rsidRDefault="00265FE3" w:rsidP="00F3484D">
      <w:pPr>
        <w:rPr>
          <w:rFonts w:cstheme="majorHAnsi"/>
        </w:rPr>
      </w:pPr>
      <w:r w:rsidRPr="006B484E">
        <w:rPr>
          <w:rFonts w:cstheme="majorHAnsi"/>
        </w:rPr>
        <w:t xml:space="preserve">The Consumer Data </w:t>
      </w:r>
      <w:r w:rsidRPr="00F3484D">
        <w:rPr>
          <w:rFonts w:cstheme="majorHAnsi"/>
        </w:rPr>
        <w:t xml:space="preserve">Right (CDR) is Australia’s national data portability </w:t>
      </w:r>
      <w:r w:rsidR="00B92EE5" w:rsidRPr="00F3484D">
        <w:rPr>
          <w:rFonts w:cstheme="majorHAnsi"/>
        </w:rPr>
        <w:t>initiative</w:t>
      </w:r>
      <w:r w:rsidR="002E2BD6" w:rsidRPr="00F3484D">
        <w:rPr>
          <w:rFonts w:cstheme="majorHAnsi"/>
        </w:rPr>
        <w:t xml:space="preserve">. </w:t>
      </w:r>
      <w:r w:rsidR="006663F0" w:rsidRPr="00F3484D">
        <w:rPr>
          <w:rFonts w:cstheme="majorHAnsi"/>
        </w:rPr>
        <w:t>It</w:t>
      </w:r>
      <w:r w:rsidR="002E2BD6" w:rsidRPr="00F3484D">
        <w:rPr>
          <w:rFonts w:cstheme="majorHAnsi"/>
        </w:rPr>
        <w:t xml:space="preserve"> </w:t>
      </w:r>
      <w:r w:rsidR="006663F0" w:rsidRPr="00F3484D">
        <w:rPr>
          <w:rFonts w:cstheme="majorHAnsi"/>
        </w:rPr>
        <w:t xml:space="preserve">gives </w:t>
      </w:r>
      <w:r w:rsidR="007E5602" w:rsidRPr="00F3484D">
        <w:rPr>
          <w:rFonts w:cstheme="majorHAnsi"/>
        </w:rPr>
        <w:t xml:space="preserve">individuals and businesses the ability to </w:t>
      </w:r>
      <w:r w:rsidR="003B7003" w:rsidRPr="00F3484D">
        <w:rPr>
          <w:rFonts w:cstheme="majorHAnsi"/>
        </w:rPr>
        <w:t xml:space="preserve">share </w:t>
      </w:r>
      <w:r w:rsidR="007E5602" w:rsidRPr="00F3484D">
        <w:rPr>
          <w:rFonts w:cstheme="majorHAnsi"/>
        </w:rPr>
        <w:t xml:space="preserve">their data </w:t>
      </w:r>
      <w:r w:rsidR="005E5A1D">
        <w:rPr>
          <w:rFonts w:cstheme="majorHAnsi"/>
        </w:rPr>
        <w:t>with</w:t>
      </w:r>
      <w:r w:rsidR="007E5602" w:rsidRPr="00F3484D">
        <w:rPr>
          <w:rFonts w:cstheme="majorHAnsi"/>
        </w:rPr>
        <w:t xml:space="preserve"> trusted and accredited third parties</w:t>
      </w:r>
      <w:r w:rsidR="008064FE">
        <w:rPr>
          <w:rFonts w:cstheme="majorHAnsi"/>
        </w:rPr>
        <w:t xml:space="preserve">, </w:t>
      </w:r>
      <w:r w:rsidR="008064FE" w:rsidRPr="00C8339A">
        <w:rPr>
          <w:rFonts w:cstheme="majorHAnsi"/>
        </w:rPr>
        <w:t xml:space="preserve">along with </w:t>
      </w:r>
      <w:r w:rsidR="008064FE" w:rsidRPr="00C8339A">
        <w:t>limited types of data with non-accredited parties</w:t>
      </w:r>
      <w:r w:rsidR="00777F8C" w:rsidRPr="00F3484D">
        <w:rPr>
          <w:rFonts w:cstheme="majorHAnsi"/>
        </w:rPr>
        <w:t xml:space="preserve">. </w:t>
      </w:r>
      <w:r w:rsidR="006663F0" w:rsidRPr="00F3484D">
        <w:rPr>
          <w:rFonts w:cstheme="majorHAnsi"/>
        </w:rPr>
        <w:t>In turn, t</w:t>
      </w:r>
      <w:r w:rsidR="00777F8C" w:rsidRPr="00F3484D">
        <w:rPr>
          <w:rFonts w:cstheme="majorHAnsi"/>
        </w:rPr>
        <w:t>hese third parties can use this data to</w:t>
      </w:r>
      <w:r w:rsidR="002E2BD6" w:rsidRPr="00F3484D">
        <w:rPr>
          <w:rFonts w:cstheme="majorHAnsi"/>
        </w:rPr>
        <w:t xml:space="preserve"> provide products</w:t>
      </w:r>
      <w:r w:rsidR="003A7CD0" w:rsidRPr="00F3484D">
        <w:rPr>
          <w:rFonts w:cstheme="majorHAnsi"/>
        </w:rPr>
        <w:t>,</w:t>
      </w:r>
      <w:r w:rsidR="002E2BD6" w:rsidRPr="00F3484D">
        <w:rPr>
          <w:rFonts w:cstheme="majorHAnsi"/>
        </w:rPr>
        <w:t xml:space="preserve"> services</w:t>
      </w:r>
      <w:r w:rsidR="003A7CD0" w:rsidRPr="00F3484D">
        <w:rPr>
          <w:rFonts w:cstheme="majorHAnsi"/>
        </w:rPr>
        <w:t xml:space="preserve"> and insights</w:t>
      </w:r>
      <w:r w:rsidR="002E2BD6" w:rsidRPr="00F3484D">
        <w:rPr>
          <w:rFonts w:cstheme="majorHAnsi"/>
        </w:rPr>
        <w:t xml:space="preserve"> that benefit consumer</w:t>
      </w:r>
      <w:r w:rsidR="006663F0" w:rsidRPr="00F3484D">
        <w:rPr>
          <w:rFonts w:cstheme="majorHAnsi"/>
        </w:rPr>
        <w:t>s</w:t>
      </w:r>
      <w:r w:rsidR="00C267EF">
        <w:rPr>
          <w:rFonts w:cstheme="majorHAnsi"/>
        </w:rPr>
        <w:t>. This includes</w:t>
      </w:r>
      <w:r w:rsidR="00036E54" w:rsidRPr="00F3484D">
        <w:rPr>
          <w:rFonts w:cstheme="majorHAnsi"/>
        </w:rPr>
        <w:t xml:space="preserve">, </w:t>
      </w:r>
      <w:r w:rsidR="00DD73E4" w:rsidRPr="00F3484D">
        <w:rPr>
          <w:rFonts w:cstheme="majorHAnsi"/>
        </w:rPr>
        <w:t>for example</w:t>
      </w:r>
      <w:r w:rsidR="006663F0" w:rsidRPr="00F3484D">
        <w:rPr>
          <w:rFonts w:cstheme="majorHAnsi"/>
        </w:rPr>
        <w:t>,</w:t>
      </w:r>
      <w:r w:rsidR="00DD73E4" w:rsidRPr="00F3484D">
        <w:rPr>
          <w:rFonts w:cstheme="majorHAnsi"/>
        </w:rPr>
        <w:t xml:space="preserve"> </w:t>
      </w:r>
      <w:r w:rsidR="00036E54" w:rsidRPr="00F3484D">
        <w:rPr>
          <w:rFonts w:cstheme="majorHAnsi"/>
        </w:rPr>
        <w:t xml:space="preserve">providing a single view of </w:t>
      </w:r>
      <w:r w:rsidR="00C267EF">
        <w:rPr>
          <w:rFonts w:cstheme="majorHAnsi"/>
        </w:rPr>
        <w:t>a consumer’s</w:t>
      </w:r>
      <w:r w:rsidR="00036E54" w:rsidRPr="00F3484D">
        <w:rPr>
          <w:rFonts w:cstheme="majorHAnsi"/>
        </w:rPr>
        <w:t xml:space="preserve"> financial position</w:t>
      </w:r>
      <w:r w:rsidR="004E563C" w:rsidRPr="00F3484D">
        <w:rPr>
          <w:rFonts w:cstheme="majorHAnsi"/>
        </w:rPr>
        <w:t>,</w:t>
      </w:r>
      <w:r w:rsidR="00135965" w:rsidRPr="00F3484D">
        <w:rPr>
          <w:rFonts w:cstheme="majorHAnsi"/>
        </w:rPr>
        <w:t xml:space="preserve"> lending product comparisons</w:t>
      </w:r>
      <w:r w:rsidR="00036E54" w:rsidRPr="00F3484D">
        <w:rPr>
          <w:rFonts w:cstheme="majorHAnsi"/>
        </w:rPr>
        <w:t xml:space="preserve"> or</w:t>
      </w:r>
      <w:r w:rsidR="006663F0" w:rsidRPr="00F3484D">
        <w:rPr>
          <w:rFonts w:cstheme="majorHAnsi"/>
        </w:rPr>
        <w:t>,</w:t>
      </w:r>
      <w:r w:rsidR="00DD73E4" w:rsidRPr="00F3484D">
        <w:rPr>
          <w:rFonts w:cstheme="majorHAnsi"/>
        </w:rPr>
        <w:t xml:space="preserve"> in the future</w:t>
      </w:r>
      <w:r w:rsidR="006663F0" w:rsidRPr="00F3484D">
        <w:rPr>
          <w:rFonts w:cstheme="majorHAnsi"/>
        </w:rPr>
        <w:t xml:space="preserve">, </w:t>
      </w:r>
      <w:r w:rsidR="00DD73E4" w:rsidRPr="00F3484D">
        <w:rPr>
          <w:rFonts w:cstheme="majorHAnsi"/>
        </w:rPr>
        <w:t>faster loan applications an</w:t>
      </w:r>
      <w:r w:rsidR="00135965" w:rsidRPr="00F3484D">
        <w:rPr>
          <w:rFonts w:cstheme="majorHAnsi"/>
        </w:rPr>
        <w:t>d easy switching between different products</w:t>
      </w:r>
      <w:r w:rsidR="004E563C" w:rsidRPr="00F3484D">
        <w:rPr>
          <w:rFonts w:cstheme="majorHAnsi"/>
        </w:rPr>
        <w:t xml:space="preserve"> and service providers</w:t>
      </w:r>
      <w:r w:rsidR="00DD73E4" w:rsidRPr="00F3484D">
        <w:rPr>
          <w:rFonts w:cstheme="majorHAnsi"/>
        </w:rPr>
        <w:t xml:space="preserve">. </w:t>
      </w:r>
      <w:r w:rsidRPr="00F3484D">
        <w:rPr>
          <w:rFonts w:cstheme="majorHAnsi"/>
        </w:rPr>
        <w:t xml:space="preserve">The CDR is a significant reform in terms of ambition, technical complexity and potential for consumer benefits. </w:t>
      </w:r>
      <w:r w:rsidR="006663F0" w:rsidRPr="00F3484D">
        <w:rPr>
          <w:rFonts w:cstheme="majorHAnsi"/>
        </w:rPr>
        <w:t xml:space="preserve">It is being </w:t>
      </w:r>
      <w:r w:rsidRPr="00F3484D">
        <w:rPr>
          <w:rFonts w:cstheme="majorHAnsi"/>
        </w:rPr>
        <w:t xml:space="preserve">implemented on </w:t>
      </w:r>
      <w:r w:rsidRPr="00F3484D" w:rsidDel="00F50428">
        <w:rPr>
          <w:rFonts w:cstheme="majorHAnsi"/>
        </w:rPr>
        <w:t>a</w:t>
      </w:r>
      <w:r w:rsidRPr="00F3484D">
        <w:rPr>
          <w:rFonts w:cstheme="majorHAnsi"/>
        </w:rPr>
        <w:t xml:space="preserve"> sector-by-sector basis</w:t>
      </w:r>
      <w:r w:rsidR="006663F0" w:rsidRPr="00F3484D">
        <w:rPr>
          <w:rFonts w:cstheme="majorHAnsi"/>
        </w:rPr>
        <w:t>,</w:t>
      </w:r>
      <w:r w:rsidRPr="00F3484D">
        <w:rPr>
          <w:rFonts w:cstheme="majorHAnsi"/>
        </w:rPr>
        <w:t xml:space="preserve"> </w:t>
      </w:r>
      <w:r w:rsidR="00DD73E4" w:rsidRPr="00F3484D">
        <w:rPr>
          <w:rFonts w:cstheme="majorHAnsi"/>
        </w:rPr>
        <w:t>with the intention to ultimately achieve an economy-wide coverage.</w:t>
      </w:r>
      <w:r w:rsidRPr="00F3484D">
        <w:rPr>
          <w:rFonts w:cstheme="majorHAnsi"/>
        </w:rPr>
        <w:t xml:space="preserve"> </w:t>
      </w:r>
    </w:p>
    <w:p w14:paraId="2E92F549" w14:textId="39793F09" w:rsidR="000A1048" w:rsidRPr="00F3484D" w:rsidRDefault="002B0AD4" w:rsidP="00F3484D">
      <w:pPr>
        <w:rPr>
          <w:rFonts w:cstheme="majorHAnsi"/>
        </w:rPr>
      </w:pPr>
      <w:r w:rsidRPr="00F3484D">
        <w:rPr>
          <w:rFonts w:cstheme="majorHAnsi"/>
        </w:rPr>
        <w:t>T</w:t>
      </w:r>
      <w:r w:rsidR="00244C9F" w:rsidRPr="00F3484D">
        <w:rPr>
          <w:rFonts w:cstheme="majorHAnsi"/>
        </w:rPr>
        <w:t>he CDR is</w:t>
      </w:r>
      <w:r w:rsidRPr="00F3484D">
        <w:rPr>
          <w:rFonts w:cstheme="majorHAnsi"/>
        </w:rPr>
        <w:t xml:space="preserve"> now</w:t>
      </w:r>
      <w:r w:rsidR="00244C9F" w:rsidRPr="00F3484D">
        <w:rPr>
          <w:rFonts w:cstheme="majorHAnsi"/>
        </w:rPr>
        <w:t xml:space="preserve"> in its third year of implementation,</w:t>
      </w:r>
      <w:r w:rsidRPr="00F3484D">
        <w:rPr>
          <w:rFonts w:cstheme="majorHAnsi"/>
        </w:rPr>
        <w:t xml:space="preserve"> with</w:t>
      </w:r>
      <w:r w:rsidR="00244C9F" w:rsidRPr="00F3484D">
        <w:rPr>
          <w:rFonts w:cstheme="majorHAnsi"/>
        </w:rPr>
        <w:t xml:space="preserve"> data holders </w:t>
      </w:r>
      <w:r w:rsidR="00F649FF" w:rsidRPr="00F3484D">
        <w:rPr>
          <w:rFonts w:cstheme="majorHAnsi"/>
        </w:rPr>
        <w:t xml:space="preserve">in open banking </w:t>
      </w:r>
      <w:r w:rsidR="00244C9F" w:rsidRPr="00F3484D">
        <w:rPr>
          <w:rFonts w:cstheme="majorHAnsi"/>
        </w:rPr>
        <w:t>cover</w:t>
      </w:r>
      <w:r w:rsidRPr="00F3484D">
        <w:rPr>
          <w:rFonts w:cstheme="majorHAnsi"/>
        </w:rPr>
        <w:t>ing</w:t>
      </w:r>
      <w:r w:rsidR="00244C9F" w:rsidRPr="00F3484D">
        <w:rPr>
          <w:rFonts w:cstheme="majorHAnsi"/>
        </w:rPr>
        <w:t xml:space="preserve"> over 99</w:t>
      </w:r>
      <w:r w:rsidR="003B7003" w:rsidRPr="00F3484D">
        <w:rPr>
          <w:rFonts w:cstheme="majorHAnsi"/>
        </w:rPr>
        <w:t> </w:t>
      </w:r>
      <w:r w:rsidR="00E23B3A" w:rsidRPr="00F3484D">
        <w:rPr>
          <w:rFonts w:cstheme="majorHAnsi"/>
        </w:rPr>
        <w:t>per cent</w:t>
      </w:r>
      <w:r w:rsidR="00244C9F" w:rsidRPr="00F3484D">
        <w:rPr>
          <w:rFonts w:cstheme="majorHAnsi"/>
        </w:rPr>
        <w:t xml:space="preserve"> of banking customers able to share data</w:t>
      </w:r>
      <w:r w:rsidR="004E563C" w:rsidRPr="00F3484D">
        <w:rPr>
          <w:rFonts w:cstheme="majorHAnsi"/>
        </w:rPr>
        <w:t>.</w:t>
      </w:r>
      <w:r w:rsidR="00261FE6" w:rsidRPr="00F3484D">
        <w:rPr>
          <w:rFonts w:cstheme="majorHAnsi"/>
        </w:rPr>
        <w:t xml:space="preserve"> The CDR is expanding across the economy. The CDR will enable energy consumer data</w:t>
      </w:r>
      <w:r w:rsidR="003B7003" w:rsidRPr="00F3484D">
        <w:rPr>
          <w:rFonts w:cstheme="majorHAnsi"/>
        </w:rPr>
        <w:t xml:space="preserve"> sharing</w:t>
      </w:r>
      <w:r w:rsidR="00261FE6" w:rsidRPr="00F3484D">
        <w:rPr>
          <w:rFonts w:cstheme="majorHAnsi"/>
        </w:rPr>
        <w:t xml:space="preserve"> later this year</w:t>
      </w:r>
      <w:r w:rsidR="00140C44">
        <w:rPr>
          <w:rFonts w:cstheme="majorHAnsi"/>
        </w:rPr>
        <w:t xml:space="preserve">, </w:t>
      </w:r>
      <w:r w:rsidR="00261FE6" w:rsidRPr="00F3484D">
        <w:rPr>
          <w:rFonts w:cstheme="majorHAnsi"/>
        </w:rPr>
        <w:t>the telecommunications sector has been designated</w:t>
      </w:r>
      <w:r w:rsidR="00CF65B3">
        <w:rPr>
          <w:rFonts w:cstheme="majorHAnsi"/>
        </w:rPr>
        <w:t xml:space="preserve">, and </w:t>
      </w:r>
      <w:r w:rsidR="00CF65B3" w:rsidRPr="005C4C5C">
        <w:rPr>
          <w:rFonts w:cstheme="majorHAnsi"/>
        </w:rPr>
        <w:t>Open Finance has been identified as the next priority area for expansion</w:t>
      </w:r>
      <w:r w:rsidR="00CF65B3">
        <w:rPr>
          <w:rFonts w:cstheme="majorHAnsi"/>
        </w:rPr>
        <w:t>.</w:t>
      </w:r>
    </w:p>
    <w:p w14:paraId="7774CA1B" w14:textId="64D2ACBC" w:rsidR="00835334" w:rsidRPr="002D0E64" w:rsidRDefault="007B799F" w:rsidP="00F3484D">
      <w:pPr>
        <w:rPr>
          <w:rFonts w:cstheme="majorHAnsi"/>
        </w:rPr>
      </w:pPr>
      <w:r w:rsidRPr="00F3484D">
        <w:rPr>
          <w:rFonts w:cstheme="majorHAnsi"/>
        </w:rPr>
        <w:t>The</w:t>
      </w:r>
      <w:r w:rsidR="00265FE3" w:rsidRPr="00F3484D">
        <w:rPr>
          <w:rFonts w:cstheme="majorHAnsi"/>
        </w:rPr>
        <w:t xml:space="preserve"> focus to date </w:t>
      </w:r>
      <w:r w:rsidRPr="00F3484D">
        <w:rPr>
          <w:rFonts w:cstheme="majorHAnsi"/>
        </w:rPr>
        <w:t>has been on</w:t>
      </w:r>
      <w:r w:rsidR="00EE4B48" w:rsidRPr="00F3484D">
        <w:rPr>
          <w:rFonts w:cstheme="majorHAnsi"/>
        </w:rPr>
        <w:t xml:space="preserve"> </w:t>
      </w:r>
      <w:r w:rsidR="00265FE3" w:rsidRPr="00F3484D">
        <w:rPr>
          <w:rFonts w:cstheme="majorHAnsi"/>
        </w:rPr>
        <w:t xml:space="preserve">building the </w:t>
      </w:r>
      <w:r w:rsidR="00A276A4">
        <w:rPr>
          <w:rFonts w:cstheme="majorHAnsi"/>
        </w:rPr>
        <w:t>eco</w:t>
      </w:r>
      <w:r w:rsidR="00265FE3" w:rsidRPr="00F3484D">
        <w:rPr>
          <w:rFonts w:cstheme="majorHAnsi"/>
        </w:rPr>
        <w:t>system</w:t>
      </w:r>
      <w:r w:rsidR="00EE4B48" w:rsidRPr="00F3484D">
        <w:rPr>
          <w:rFonts w:cstheme="majorHAnsi"/>
        </w:rPr>
        <w:t>,</w:t>
      </w:r>
      <w:r w:rsidR="00265FE3" w:rsidRPr="00F3484D">
        <w:rPr>
          <w:rFonts w:cstheme="majorHAnsi"/>
        </w:rPr>
        <w:t xml:space="preserve"> develop</w:t>
      </w:r>
      <w:r w:rsidR="00EE4B48" w:rsidRPr="00F3484D">
        <w:rPr>
          <w:rFonts w:cstheme="majorHAnsi"/>
        </w:rPr>
        <w:t>ing</w:t>
      </w:r>
      <w:r w:rsidR="00265FE3" w:rsidRPr="00F3484D">
        <w:rPr>
          <w:rFonts w:cstheme="majorHAnsi"/>
        </w:rPr>
        <w:t xml:space="preserve"> new regulatory settings, including rules and standards, and building compliant systems. </w:t>
      </w:r>
      <w:r w:rsidR="00EE4B48" w:rsidRPr="00F3484D">
        <w:rPr>
          <w:rFonts w:cstheme="majorHAnsi"/>
        </w:rPr>
        <w:t>Innovative</w:t>
      </w:r>
      <w:r w:rsidR="00265FE3" w:rsidRPr="00F3484D">
        <w:rPr>
          <w:rFonts w:cstheme="majorHAnsi"/>
        </w:rPr>
        <w:t xml:space="preserve"> </w:t>
      </w:r>
      <w:r w:rsidR="00135965" w:rsidRPr="00F3484D">
        <w:rPr>
          <w:rFonts w:cstheme="majorHAnsi"/>
        </w:rPr>
        <w:t>product offerings</w:t>
      </w:r>
      <w:r w:rsidR="00EE4B48" w:rsidRPr="00F3484D">
        <w:rPr>
          <w:rFonts w:cstheme="majorHAnsi"/>
        </w:rPr>
        <w:t xml:space="preserve"> are on</w:t>
      </w:r>
      <w:r w:rsidR="00280EEC" w:rsidRPr="00F3484D">
        <w:rPr>
          <w:rFonts w:cstheme="majorHAnsi"/>
        </w:rPr>
        <w:t>ly starting to become available</w:t>
      </w:r>
      <w:r w:rsidR="008E2C5C" w:rsidRPr="00F3484D">
        <w:rPr>
          <w:rFonts w:cstheme="majorHAnsi"/>
        </w:rPr>
        <w:t>,</w:t>
      </w:r>
      <w:r w:rsidR="00280EEC" w:rsidRPr="00F3484D">
        <w:rPr>
          <w:rFonts w:cstheme="majorHAnsi"/>
        </w:rPr>
        <w:t xml:space="preserve"> meaning</w:t>
      </w:r>
      <w:r w:rsidR="00265FE3" w:rsidRPr="00F3484D">
        <w:rPr>
          <w:rFonts w:cstheme="majorHAnsi"/>
        </w:rPr>
        <w:t xml:space="preserve"> significant consumer benefits are yet to be realised. As the system moves from the establishment and build phase,</w:t>
      </w:r>
      <w:r w:rsidR="00265FE3" w:rsidRPr="00F3484D" w:rsidDel="00A007E6">
        <w:rPr>
          <w:rFonts w:cstheme="majorHAnsi"/>
        </w:rPr>
        <w:t xml:space="preserve"> </w:t>
      </w:r>
      <w:r w:rsidR="00265FE3" w:rsidRPr="00F3484D">
        <w:rPr>
          <w:rFonts w:cstheme="majorHAnsi"/>
        </w:rPr>
        <w:t xml:space="preserve">participant, government and regulatory focus is </w:t>
      </w:r>
      <w:r w:rsidR="008E2C5C" w:rsidRPr="00F3484D">
        <w:rPr>
          <w:rFonts w:cstheme="majorHAnsi"/>
        </w:rPr>
        <w:t>shifting to</w:t>
      </w:r>
      <w:r w:rsidR="00265FE3" w:rsidRPr="00F3484D">
        <w:rPr>
          <w:rFonts w:cstheme="majorHAnsi"/>
        </w:rPr>
        <w:t xml:space="preserve"> greater consideration of system functionality</w:t>
      </w:r>
      <w:r w:rsidR="00265FE3" w:rsidRPr="002D0E64">
        <w:rPr>
          <w:rFonts w:cstheme="majorHAnsi"/>
        </w:rPr>
        <w:t xml:space="preserve"> and growth. </w:t>
      </w:r>
      <w:r w:rsidR="008E2C5C" w:rsidRPr="002D0E64">
        <w:rPr>
          <w:rFonts w:cstheme="majorHAnsi"/>
        </w:rPr>
        <w:t>While t</w:t>
      </w:r>
      <w:r w:rsidR="006E4115" w:rsidRPr="002D0E64">
        <w:rPr>
          <w:rFonts w:cstheme="majorHAnsi"/>
        </w:rPr>
        <w:t>his has meant</w:t>
      </w:r>
      <w:r w:rsidR="002B6BB7" w:rsidRPr="002D0E64">
        <w:rPr>
          <w:rFonts w:cstheme="majorHAnsi"/>
        </w:rPr>
        <w:t xml:space="preserve"> significant industry and government investment in the CDR, the Review </w:t>
      </w:r>
      <w:r w:rsidR="006E4115" w:rsidRPr="002D0E64">
        <w:rPr>
          <w:rFonts w:cstheme="majorHAnsi"/>
        </w:rPr>
        <w:t>has heard that</w:t>
      </w:r>
      <w:r w:rsidR="002B6BB7" w:rsidRPr="002D0E64">
        <w:rPr>
          <w:rFonts w:cstheme="majorHAnsi"/>
        </w:rPr>
        <w:t xml:space="preserve"> participants in the CDR are still waiting for the scheme to deliver</w:t>
      </w:r>
      <w:r w:rsidR="006E4115" w:rsidRPr="002D0E64">
        <w:rPr>
          <w:rFonts w:cstheme="majorHAnsi"/>
        </w:rPr>
        <w:t xml:space="preserve"> broad and</w:t>
      </w:r>
      <w:r w:rsidR="002B6BB7" w:rsidRPr="002D0E64">
        <w:rPr>
          <w:rFonts w:cstheme="majorHAnsi"/>
        </w:rPr>
        <w:t xml:space="preserve"> tangible benefits</w:t>
      </w:r>
      <w:r w:rsidR="000E3FA0" w:rsidRPr="002D0E64">
        <w:rPr>
          <w:rFonts w:cstheme="majorHAnsi"/>
        </w:rPr>
        <w:t xml:space="preserve"> to consumer</w:t>
      </w:r>
      <w:r w:rsidR="00F251D9" w:rsidRPr="002D0E64">
        <w:rPr>
          <w:rFonts w:cstheme="majorHAnsi"/>
        </w:rPr>
        <w:t>s</w:t>
      </w:r>
      <w:r w:rsidR="00252413" w:rsidRPr="002D0E64">
        <w:rPr>
          <w:rFonts w:cstheme="majorHAnsi"/>
        </w:rPr>
        <w:t>,</w:t>
      </w:r>
      <w:r w:rsidR="006E2494" w:rsidRPr="002D0E64">
        <w:rPr>
          <w:rFonts w:cstheme="majorHAnsi"/>
        </w:rPr>
        <w:t xml:space="preserve"> as well as to system participants – </w:t>
      </w:r>
      <w:r w:rsidR="00603238" w:rsidRPr="002D0E64">
        <w:rPr>
          <w:rFonts w:cstheme="majorHAnsi"/>
        </w:rPr>
        <w:t xml:space="preserve">including </w:t>
      </w:r>
      <w:r w:rsidR="006E2494" w:rsidRPr="002D0E64">
        <w:rPr>
          <w:rFonts w:cstheme="majorHAnsi"/>
        </w:rPr>
        <w:t xml:space="preserve">data holders and </w:t>
      </w:r>
      <w:r w:rsidR="00807FDB">
        <w:rPr>
          <w:rFonts w:cstheme="majorHAnsi"/>
        </w:rPr>
        <w:t>data recipient</w:t>
      </w:r>
      <w:r w:rsidR="00265F51">
        <w:rPr>
          <w:rFonts w:cstheme="majorHAnsi"/>
        </w:rPr>
        <w:t>s</w:t>
      </w:r>
      <w:r w:rsidR="002B6BB7" w:rsidRPr="002D0E64">
        <w:rPr>
          <w:rFonts w:cstheme="majorHAnsi"/>
        </w:rPr>
        <w:t xml:space="preserve">. </w:t>
      </w:r>
    </w:p>
    <w:p w14:paraId="6800D259" w14:textId="24F8B7AE" w:rsidR="00265FE3" w:rsidRPr="008A6FE4" w:rsidRDefault="007B799F" w:rsidP="00F3484D">
      <w:pPr>
        <w:rPr>
          <w:rFonts w:cstheme="majorHAnsi"/>
        </w:rPr>
      </w:pPr>
      <w:r>
        <w:t xml:space="preserve">This Review is occurring at a significant point of inflection for the system, providing an opportunity to reflect on the CDR’s development to date against the scheme’s overall objectives and vision. It has been initiated under part IVD of the </w:t>
      </w:r>
      <w:r w:rsidR="00265FE3" w:rsidRPr="007E5602">
        <w:rPr>
          <w:i/>
          <w:iCs/>
        </w:rPr>
        <w:t>Competition and Consumer Act 2010</w:t>
      </w:r>
      <w:r w:rsidR="00265FE3">
        <w:t xml:space="preserve"> (the Act)</w:t>
      </w:r>
      <w:r>
        <w:t>, from which the CDR derives its primary legislation (s</w:t>
      </w:r>
      <w:r w:rsidRPr="00A85B0E">
        <w:t>ection 56GH</w:t>
      </w:r>
      <w:r>
        <w:t>)</w:t>
      </w:r>
      <w:r w:rsidR="00B0789E">
        <w:t xml:space="preserve">. </w:t>
      </w:r>
      <w:r w:rsidR="00265FE3">
        <w:t xml:space="preserve">The terms of reference for the Review </w:t>
      </w:r>
      <w:r w:rsidR="001C7915">
        <w:t>(</w:t>
      </w:r>
      <w:r w:rsidR="00B0789E">
        <w:t xml:space="preserve">at </w:t>
      </w:r>
      <w:r w:rsidR="007E5602" w:rsidRPr="000A76B8">
        <w:rPr>
          <w:u w:val="single"/>
        </w:rPr>
        <w:t>Appendix</w:t>
      </w:r>
      <w:r w:rsidR="00D7189F" w:rsidRPr="000A76B8">
        <w:rPr>
          <w:u w:val="single"/>
        </w:rPr>
        <w:t> </w:t>
      </w:r>
      <w:r w:rsidR="007E5602" w:rsidRPr="000A76B8">
        <w:rPr>
          <w:u w:val="single"/>
        </w:rPr>
        <w:t>A</w:t>
      </w:r>
      <w:r w:rsidR="001C7915" w:rsidRPr="00600205">
        <w:t>)</w:t>
      </w:r>
      <w:r w:rsidR="00265FE3">
        <w:t xml:space="preserve"> broadly explore questions related to</w:t>
      </w:r>
      <w:r w:rsidR="00265FE3" w:rsidRPr="00A85B0E">
        <w:t xml:space="preserve"> the extent to which implementation of the CDR statutory </w:t>
      </w:r>
      <w:r w:rsidR="00265FE3" w:rsidRPr="006B484E">
        <w:rPr>
          <w:rFonts w:cstheme="majorHAnsi"/>
        </w:rPr>
        <w:t xml:space="preserve">framework supports </w:t>
      </w:r>
      <w:r w:rsidR="00B0789E" w:rsidRPr="00B4410B">
        <w:rPr>
          <w:rFonts w:cstheme="majorHAnsi"/>
        </w:rPr>
        <w:t>its</w:t>
      </w:r>
      <w:r w:rsidR="00B0789E" w:rsidRPr="003B1689">
        <w:rPr>
          <w:rFonts w:cstheme="majorHAnsi"/>
        </w:rPr>
        <w:t xml:space="preserve"> </w:t>
      </w:r>
      <w:r w:rsidR="00265FE3" w:rsidRPr="00F527F8">
        <w:rPr>
          <w:rFonts w:cstheme="majorHAnsi"/>
        </w:rPr>
        <w:t xml:space="preserve">core policy objectives. </w:t>
      </w:r>
    </w:p>
    <w:p w14:paraId="02927DC6" w14:textId="27C4C759" w:rsidR="00265FE3" w:rsidRPr="002D0E64" w:rsidRDefault="007B799F" w:rsidP="00F3484D">
      <w:pPr>
        <w:rPr>
          <w:rFonts w:cstheme="majorHAnsi"/>
        </w:rPr>
      </w:pPr>
      <w:r w:rsidRPr="00D52F92">
        <w:rPr>
          <w:rFonts w:cstheme="majorHAnsi"/>
        </w:rPr>
        <w:t>Given it</w:t>
      </w:r>
      <w:r w:rsidR="00265FE3" w:rsidRPr="006E7399">
        <w:rPr>
          <w:rFonts w:cstheme="majorHAnsi"/>
        </w:rPr>
        <w:t xml:space="preserve"> has been undertaken in the context of significant policy and governance developments in the CDR</w:t>
      </w:r>
      <w:r w:rsidRPr="002C4DDB">
        <w:rPr>
          <w:rFonts w:cstheme="majorHAnsi"/>
        </w:rPr>
        <w:t>, the Review considers</w:t>
      </w:r>
      <w:r w:rsidR="00265FE3" w:rsidRPr="003C0FC4">
        <w:rPr>
          <w:rFonts w:cstheme="majorHAnsi"/>
        </w:rPr>
        <w:t xml:space="preserve"> the unprecedented scale of the scheme without apparent equivalent examples operating globally, </w:t>
      </w:r>
      <w:r w:rsidR="00B0789E" w:rsidRPr="00587AA9">
        <w:rPr>
          <w:rFonts w:cstheme="majorHAnsi"/>
        </w:rPr>
        <w:t>as well as</w:t>
      </w:r>
      <w:r w:rsidR="00265FE3" w:rsidRPr="00446F4D">
        <w:rPr>
          <w:rFonts w:cstheme="majorHAnsi"/>
        </w:rPr>
        <w:t xml:space="preserve"> its transitional stage of development.</w:t>
      </w:r>
      <w:r w:rsidR="00325701" w:rsidRPr="002D0E64">
        <w:rPr>
          <w:rFonts w:cstheme="majorHAnsi"/>
        </w:rPr>
        <w:t xml:space="preserve"> </w:t>
      </w:r>
    </w:p>
    <w:p w14:paraId="48EFB573" w14:textId="6F7B38D7" w:rsidR="00265FE3" w:rsidRPr="00F3484D" w:rsidRDefault="00265FE3" w:rsidP="00F3484D">
      <w:pPr>
        <w:rPr>
          <w:rFonts w:cstheme="majorHAnsi"/>
        </w:rPr>
      </w:pPr>
      <w:r w:rsidRPr="002D0E64">
        <w:rPr>
          <w:rFonts w:cstheme="majorHAnsi"/>
        </w:rPr>
        <w:t xml:space="preserve">The Review </w:t>
      </w:r>
      <w:r w:rsidR="00870B20" w:rsidRPr="002D0E64">
        <w:rPr>
          <w:rFonts w:cstheme="majorHAnsi"/>
        </w:rPr>
        <w:t>regularly</w:t>
      </w:r>
      <w:r w:rsidR="00B0789E" w:rsidRPr="002D0E64">
        <w:rPr>
          <w:rFonts w:cstheme="majorHAnsi"/>
        </w:rPr>
        <w:t xml:space="preserve"> </w:t>
      </w:r>
      <w:r w:rsidRPr="002D0E64">
        <w:rPr>
          <w:rFonts w:cstheme="majorHAnsi"/>
        </w:rPr>
        <w:t xml:space="preserve">heard that the emphasis on establishment and rollout is coming up against </w:t>
      </w:r>
      <w:r w:rsidRPr="00F3484D">
        <w:rPr>
          <w:rFonts w:cstheme="majorHAnsi"/>
        </w:rPr>
        <w:t>significant implementation constraints</w:t>
      </w:r>
      <w:r w:rsidR="00870B20" w:rsidRPr="00F3484D">
        <w:rPr>
          <w:rFonts w:cstheme="majorHAnsi"/>
        </w:rPr>
        <w:t>,</w:t>
      </w:r>
      <w:r w:rsidR="00325701" w:rsidRPr="00F3484D">
        <w:rPr>
          <w:rFonts w:cstheme="majorHAnsi"/>
        </w:rPr>
        <w:t xml:space="preserve"> </w:t>
      </w:r>
      <w:r w:rsidRPr="00F3484D">
        <w:rPr>
          <w:rFonts w:cstheme="majorHAnsi"/>
        </w:rPr>
        <w:t>includ</w:t>
      </w:r>
      <w:r w:rsidR="00870B20" w:rsidRPr="00F3484D">
        <w:rPr>
          <w:rFonts w:cstheme="majorHAnsi"/>
        </w:rPr>
        <w:t>ing</w:t>
      </w:r>
      <w:r w:rsidRPr="00F3484D">
        <w:rPr>
          <w:rFonts w:cstheme="majorHAnsi"/>
        </w:rPr>
        <w:t xml:space="preserve"> system complexity</w:t>
      </w:r>
      <w:r w:rsidR="00870B20" w:rsidRPr="00F3484D">
        <w:rPr>
          <w:rFonts w:cstheme="majorHAnsi"/>
        </w:rPr>
        <w:t xml:space="preserve">, </w:t>
      </w:r>
      <w:r w:rsidRPr="00F3484D">
        <w:rPr>
          <w:rFonts w:cstheme="majorHAnsi"/>
        </w:rPr>
        <w:t xml:space="preserve">early setting revisions, inadequate participant access to resources and skills necessary </w:t>
      </w:r>
      <w:r w:rsidR="00870B20" w:rsidRPr="00F3484D">
        <w:rPr>
          <w:rFonts w:cstheme="majorHAnsi"/>
        </w:rPr>
        <w:t xml:space="preserve">for </w:t>
      </w:r>
      <w:r w:rsidRPr="00F3484D">
        <w:rPr>
          <w:rFonts w:cstheme="majorHAnsi"/>
        </w:rPr>
        <w:t>build</w:t>
      </w:r>
      <w:r w:rsidR="00870B20" w:rsidRPr="00F3484D">
        <w:rPr>
          <w:rFonts w:cstheme="majorHAnsi"/>
        </w:rPr>
        <w:t>ing</w:t>
      </w:r>
      <w:r w:rsidRPr="00F3484D">
        <w:rPr>
          <w:rFonts w:cstheme="majorHAnsi"/>
        </w:rPr>
        <w:t xml:space="preserve"> compliant systems, and </w:t>
      </w:r>
      <w:r w:rsidR="00261FE6" w:rsidRPr="00F3484D">
        <w:rPr>
          <w:rFonts w:cstheme="majorHAnsi"/>
        </w:rPr>
        <w:t xml:space="preserve">inconsistent </w:t>
      </w:r>
      <w:r w:rsidR="00DA521C" w:rsidRPr="00F3484D">
        <w:rPr>
          <w:rFonts w:cstheme="majorHAnsi"/>
        </w:rPr>
        <w:t xml:space="preserve">regulatory </w:t>
      </w:r>
      <w:r w:rsidRPr="00F3484D">
        <w:rPr>
          <w:rFonts w:cstheme="majorHAnsi"/>
        </w:rPr>
        <w:t xml:space="preserve">coordination. </w:t>
      </w:r>
    </w:p>
    <w:p w14:paraId="2F10D02D" w14:textId="61AD4C7A" w:rsidR="00265FE3" w:rsidRPr="002D0E64" w:rsidRDefault="00265FE3" w:rsidP="00F3484D">
      <w:pPr>
        <w:rPr>
          <w:rFonts w:cstheme="majorHAnsi"/>
        </w:rPr>
      </w:pPr>
      <w:r w:rsidRPr="00F3484D">
        <w:rPr>
          <w:rFonts w:cstheme="majorHAnsi"/>
        </w:rPr>
        <w:t xml:space="preserve">The Review has considered the statutory settings in the context of the benefits and constraints imposed by the implementation experience to </w:t>
      </w:r>
      <w:r w:rsidR="002E1A6B" w:rsidRPr="00F3484D">
        <w:rPr>
          <w:rFonts w:cstheme="majorHAnsi"/>
        </w:rPr>
        <w:t>d</w:t>
      </w:r>
      <w:r w:rsidRPr="00F3484D">
        <w:rPr>
          <w:rFonts w:cstheme="majorHAnsi"/>
        </w:rPr>
        <w:t xml:space="preserve">ate. </w:t>
      </w:r>
      <w:r w:rsidR="00485C3B" w:rsidRPr="00F3484D">
        <w:rPr>
          <w:rFonts w:cstheme="majorHAnsi"/>
        </w:rPr>
        <w:t>Through the CDR’s build phase</w:t>
      </w:r>
      <w:r w:rsidR="00AB5CD5" w:rsidRPr="00F3484D">
        <w:rPr>
          <w:rFonts w:cstheme="majorHAnsi"/>
        </w:rPr>
        <w:t>,</w:t>
      </w:r>
      <w:r w:rsidR="00485C3B" w:rsidRPr="00F3484D">
        <w:rPr>
          <w:rFonts w:cstheme="majorHAnsi"/>
        </w:rPr>
        <w:t xml:space="preserve"> </w:t>
      </w:r>
      <w:r w:rsidR="00E459B7" w:rsidRPr="00F3484D">
        <w:rPr>
          <w:rFonts w:cstheme="majorHAnsi"/>
        </w:rPr>
        <w:t xml:space="preserve">setting the foundation and bringing in the datasets </w:t>
      </w:r>
      <w:r w:rsidR="00870B20" w:rsidRPr="00F3484D">
        <w:rPr>
          <w:rFonts w:cstheme="majorHAnsi"/>
        </w:rPr>
        <w:t xml:space="preserve">have </w:t>
      </w:r>
      <w:r w:rsidR="00485C3B" w:rsidRPr="00F3484D">
        <w:rPr>
          <w:rFonts w:cstheme="majorHAnsi"/>
        </w:rPr>
        <w:t xml:space="preserve">been </w:t>
      </w:r>
      <w:r w:rsidR="00C46FBA" w:rsidRPr="00F3484D">
        <w:rPr>
          <w:rFonts w:cstheme="majorHAnsi"/>
        </w:rPr>
        <w:t xml:space="preserve">the </w:t>
      </w:r>
      <w:r w:rsidR="00485C3B" w:rsidRPr="00F3484D">
        <w:rPr>
          <w:rFonts w:cstheme="majorHAnsi"/>
        </w:rPr>
        <w:t>priorit</w:t>
      </w:r>
      <w:r w:rsidR="00C46FBA" w:rsidRPr="00F3484D">
        <w:rPr>
          <w:rFonts w:cstheme="majorHAnsi"/>
        </w:rPr>
        <w:t>y</w:t>
      </w:r>
      <w:r w:rsidR="00870B20" w:rsidRPr="00F3484D">
        <w:rPr>
          <w:rFonts w:cstheme="majorHAnsi"/>
        </w:rPr>
        <w:t xml:space="preserve">. </w:t>
      </w:r>
      <w:r w:rsidR="00C46FBA" w:rsidRPr="00F3484D">
        <w:rPr>
          <w:rFonts w:cstheme="majorHAnsi"/>
        </w:rPr>
        <w:t>This</w:t>
      </w:r>
      <w:r w:rsidR="00870B20" w:rsidRPr="00F3484D">
        <w:rPr>
          <w:rFonts w:cstheme="majorHAnsi"/>
        </w:rPr>
        <w:t xml:space="preserve">, however, </w:t>
      </w:r>
      <w:r w:rsidR="00485C3B" w:rsidRPr="00F3484D">
        <w:rPr>
          <w:rFonts w:cstheme="majorHAnsi"/>
        </w:rPr>
        <w:t>must shift towards innovation and uptake, and generating the products, services and CDR use cases that benefit consumers</w:t>
      </w:r>
      <w:r w:rsidRPr="00F3484D">
        <w:rPr>
          <w:rFonts w:cstheme="majorHAnsi"/>
        </w:rPr>
        <w:t xml:space="preserve"> </w:t>
      </w:r>
      <w:r w:rsidR="00424B66" w:rsidRPr="00F3484D">
        <w:rPr>
          <w:rFonts w:cstheme="majorHAnsi"/>
        </w:rPr>
        <w:t xml:space="preserve">with </w:t>
      </w:r>
      <w:r w:rsidR="00497329" w:rsidRPr="00F3484D">
        <w:rPr>
          <w:rFonts w:cstheme="majorHAnsi"/>
        </w:rPr>
        <w:t xml:space="preserve">the </w:t>
      </w:r>
      <w:r w:rsidR="00870B20" w:rsidRPr="00F3484D">
        <w:rPr>
          <w:rFonts w:cstheme="majorHAnsi"/>
        </w:rPr>
        <w:t>focus</w:t>
      </w:r>
      <w:r w:rsidR="00497329" w:rsidRPr="00F3484D">
        <w:rPr>
          <w:rFonts w:cstheme="majorHAnsi"/>
        </w:rPr>
        <w:t xml:space="preserve"> </w:t>
      </w:r>
      <w:r w:rsidR="00870B20" w:rsidRPr="00F3484D">
        <w:rPr>
          <w:rFonts w:cstheme="majorHAnsi"/>
        </w:rPr>
        <w:t xml:space="preserve">on </w:t>
      </w:r>
      <w:r w:rsidR="00497329" w:rsidRPr="00F3484D">
        <w:rPr>
          <w:rFonts w:cstheme="majorHAnsi"/>
        </w:rPr>
        <w:t>allowing the system to mature</w:t>
      </w:r>
      <w:r w:rsidR="00424B66" w:rsidRPr="00F3484D">
        <w:rPr>
          <w:rFonts w:cstheme="majorHAnsi"/>
        </w:rPr>
        <w:t xml:space="preserve"> </w:t>
      </w:r>
      <w:r w:rsidR="00424B66" w:rsidRPr="00F3484D">
        <w:rPr>
          <w:bCs/>
          <w:szCs w:val="22"/>
        </w:rPr>
        <w:t>and capitalise on the lessons learnt</w:t>
      </w:r>
      <w:r w:rsidR="00424B66" w:rsidRPr="00F3484D">
        <w:rPr>
          <w:rFonts w:cstheme="majorHAnsi"/>
        </w:rPr>
        <w:t>.</w:t>
      </w:r>
      <w:r w:rsidR="00BB76C4" w:rsidRPr="00F3484D">
        <w:rPr>
          <w:rFonts w:cstheme="majorHAnsi"/>
        </w:rPr>
        <w:t xml:space="preserve"> M</w:t>
      </w:r>
      <w:r w:rsidRPr="00F3484D">
        <w:rPr>
          <w:rFonts w:cstheme="majorHAnsi"/>
        </w:rPr>
        <w:t xml:space="preserve">ajor revisions to the framework need to be </w:t>
      </w:r>
      <w:r w:rsidR="00BB76C4" w:rsidRPr="00F3484D">
        <w:rPr>
          <w:rFonts w:cstheme="majorHAnsi"/>
        </w:rPr>
        <w:t xml:space="preserve">deliberate and </w:t>
      </w:r>
      <w:r w:rsidRPr="00F3484D">
        <w:rPr>
          <w:rFonts w:cstheme="majorHAnsi"/>
        </w:rPr>
        <w:t xml:space="preserve">justifiable </w:t>
      </w:r>
      <w:r w:rsidR="001C7915" w:rsidRPr="00F3484D">
        <w:rPr>
          <w:rFonts w:cstheme="majorHAnsi"/>
        </w:rPr>
        <w:t>considering</w:t>
      </w:r>
      <w:r w:rsidRPr="00F3484D">
        <w:rPr>
          <w:rFonts w:cstheme="majorHAnsi"/>
        </w:rPr>
        <w:t xml:space="preserve"> the investments from </w:t>
      </w:r>
      <w:r w:rsidR="00424B66" w:rsidRPr="00F3484D">
        <w:rPr>
          <w:rFonts w:cstheme="majorHAnsi"/>
        </w:rPr>
        <w:t xml:space="preserve">participants and </w:t>
      </w:r>
      <w:r w:rsidR="005768FA" w:rsidRPr="00F3484D">
        <w:rPr>
          <w:rFonts w:cstheme="majorHAnsi"/>
        </w:rPr>
        <w:t>g</w:t>
      </w:r>
      <w:r w:rsidRPr="00F3484D">
        <w:rPr>
          <w:rFonts w:cstheme="majorHAnsi"/>
        </w:rPr>
        <w:t>overnment to date.</w:t>
      </w:r>
      <w:r w:rsidRPr="002D0E64">
        <w:rPr>
          <w:rFonts w:cstheme="majorHAnsi"/>
        </w:rPr>
        <w:t xml:space="preserve"> </w:t>
      </w:r>
    </w:p>
    <w:p w14:paraId="5834E7AE" w14:textId="713ABA8A" w:rsidR="00265FE3" w:rsidRDefault="00FE1A24" w:rsidP="00265FE3">
      <w:pPr>
        <w:pStyle w:val="Heading2"/>
      </w:pPr>
      <w:bookmarkStart w:id="17" w:name="_Toc110602859"/>
      <w:r>
        <w:lastRenderedPageBreak/>
        <w:t xml:space="preserve">Key </w:t>
      </w:r>
      <w:r w:rsidR="004F4539">
        <w:t>I</w:t>
      </w:r>
      <w:r>
        <w:t xml:space="preserve">ssues and </w:t>
      </w:r>
      <w:r w:rsidR="004F4539">
        <w:t>T</w:t>
      </w:r>
      <w:r>
        <w:t>hemes</w:t>
      </w:r>
      <w:bookmarkEnd w:id="17"/>
    </w:p>
    <w:p w14:paraId="030E33BA" w14:textId="6C9C8326" w:rsidR="002C2DA2" w:rsidRPr="002D0E64" w:rsidRDefault="009B4B67" w:rsidP="00F3484D">
      <w:pPr>
        <w:rPr>
          <w:rFonts w:cstheme="majorHAnsi"/>
        </w:rPr>
      </w:pPr>
      <w:r w:rsidRPr="006B484E">
        <w:rPr>
          <w:rFonts w:cstheme="majorHAnsi"/>
        </w:rPr>
        <w:t>C</w:t>
      </w:r>
      <w:r w:rsidR="00BB76C4" w:rsidRPr="00B4410B">
        <w:rPr>
          <w:rFonts w:cstheme="majorHAnsi"/>
        </w:rPr>
        <w:t xml:space="preserve">ommon themes </w:t>
      </w:r>
      <w:r w:rsidRPr="003B1689">
        <w:rPr>
          <w:rFonts w:cstheme="majorHAnsi"/>
        </w:rPr>
        <w:t>through the consultation</w:t>
      </w:r>
      <w:r w:rsidR="00BB76C4" w:rsidRPr="00F527F8">
        <w:rPr>
          <w:rFonts w:cstheme="majorHAnsi"/>
        </w:rPr>
        <w:t xml:space="preserve"> spanned the statutory framework, implementation issues, and the CDR’s role in the digital economy. </w:t>
      </w:r>
      <w:r w:rsidR="00CC525B" w:rsidRPr="008A6FE4">
        <w:rPr>
          <w:rFonts w:cstheme="majorHAnsi"/>
        </w:rPr>
        <w:t>Other</w:t>
      </w:r>
      <w:r w:rsidR="00BB76C4" w:rsidRPr="00D52F92" w:rsidDel="00870B20">
        <w:rPr>
          <w:rFonts w:cstheme="majorHAnsi"/>
        </w:rPr>
        <w:t xml:space="preserve"> </w:t>
      </w:r>
      <w:r w:rsidR="00BB76C4" w:rsidRPr="006E7399">
        <w:rPr>
          <w:rFonts w:cstheme="majorHAnsi"/>
        </w:rPr>
        <w:t>themes included</w:t>
      </w:r>
      <w:r w:rsidR="002C2DA2" w:rsidRPr="002C4DDB">
        <w:rPr>
          <w:rFonts w:cstheme="majorHAnsi"/>
        </w:rPr>
        <w:t xml:space="preserve"> </w:t>
      </w:r>
      <w:r w:rsidR="00BB76C4" w:rsidRPr="003C0FC4">
        <w:rPr>
          <w:rFonts w:cstheme="majorHAnsi"/>
        </w:rPr>
        <w:t xml:space="preserve">maintaining </w:t>
      </w:r>
      <w:r w:rsidR="002C2DA2" w:rsidRPr="00587AA9">
        <w:rPr>
          <w:rFonts w:cstheme="majorHAnsi"/>
        </w:rPr>
        <w:t xml:space="preserve">the </w:t>
      </w:r>
      <w:r w:rsidR="000618D5" w:rsidRPr="00446F4D">
        <w:rPr>
          <w:rFonts w:cstheme="majorHAnsi"/>
        </w:rPr>
        <w:t xml:space="preserve">vision of the CDR </w:t>
      </w:r>
      <w:r w:rsidR="0033516D">
        <w:rPr>
          <w:rFonts w:cstheme="majorHAnsi"/>
        </w:rPr>
        <w:t xml:space="preserve">to </w:t>
      </w:r>
      <w:r w:rsidR="000618D5" w:rsidRPr="00446F4D">
        <w:rPr>
          <w:rFonts w:cstheme="majorHAnsi"/>
        </w:rPr>
        <w:t xml:space="preserve">benefit </w:t>
      </w:r>
      <w:r w:rsidR="000618D5" w:rsidRPr="002D0E64">
        <w:rPr>
          <w:rFonts w:cstheme="majorHAnsi"/>
        </w:rPr>
        <w:t xml:space="preserve">consumers, the ability for the </w:t>
      </w:r>
      <w:r w:rsidR="00B92EE5" w:rsidRPr="002D0E64">
        <w:rPr>
          <w:rFonts w:cstheme="majorHAnsi"/>
        </w:rPr>
        <w:t>scheme</w:t>
      </w:r>
      <w:r w:rsidR="000618D5" w:rsidRPr="002D0E64">
        <w:rPr>
          <w:rFonts w:cstheme="majorHAnsi"/>
        </w:rPr>
        <w:t xml:space="preserve"> to drive innovation, building and maintaining trust in the CDR system, and integrating the CDR within the wider digital economy. </w:t>
      </w:r>
    </w:p>
    <w:p w14:paraId="6B7A799A" w14:textId="477BE7DF" w:rsidR="00265FE3" w:rsidRPr="00F3484D" w:rsidRDefault="00265FE3" w:rsidP="00F3484D">
      <w:pPr>
        <w:rPr>
          <w:rFonts w:cstheme="majorHAnsi"/>
        </w:rPr>
      </w:pPr>
      <w:r w:rsidRPr="002D0E64">
        <w:rPr>
          <w:rFonts w:cstheme="majorHAnsi"/>
        </w:rPr>
        <w:t xml:space="preserve">The </w:t>
      </w:r>
      <w:r w:rsidRPr="00F3484D">
        <w:rPr>
          <w:rFonts w:cstheme="majorHAnsi"/>
        </w:rPr>
        <w:t>Review heard that the consumer-centric utility of the CDR should remain a core objective</w:t>
      </w:r>
      <w:r w:rsidR="00943831" w:rsidRPr="00F3484D">
        <w:rPr>
          <w:rFonts w:cstheme="majorHAnsi"/>
        </w:rPr>
        <w:t xml:space="preserve"> and </w:t>
      </w:r>
      <w:r w:rsidRPr="00F3484D">
        <w:rPr>
          <w:rFonts w:cstheme="majorHAnsi"/>
        </w:rPr>
        <w:t xml:space="preserve">that further consideration be given to the needs of different cohorts, </w:t>
      </w:r>
      <w:r w:rsidR="00943831" w:rsidRPr="00F3484D">
        <w:rPr>
          <w:rFonts w:cstheme="majorHAnsi"/>
        </w:rPr>
        <w:t xml:space="preserve">particularly </w:t>
      </w:r>
      <w:r w:rsidR="00855CA7" w:rsidRPr="00F3484D">
        <w:rPr>
          <w:rFonts w:cstheme="majorHAnsi"/>
        </w:rPr>
        <w:t xml:space="preserve">small </w:t>
      </w:r>
      <w:r w:rsidRPr="00F3484D">
        <w:rPr>
          <w:rFonts w:cstheme="majorHAnsi"/>
        </w:rPr>
        <w:t>business consumers</w:t>
      </w:r>
      <w:r w:rsidR="00870B20" w:rsidRPr="00F3484D">
        <w:rPr>
          <w:rFonts w:cstheme="majorHAnsi"/>
        </w:rPr>
        <w:t>.</w:t>
      </w:r>
      <w:r w:rsidRPr="00F3484D">
        <w:rPr>
          <w:rFonts w:cstheme="majorHAnsi"/>
        </w:rPr>
        <w:t xml:space="preserve"> Consumers’ collective and individual benefit should remain the system’s primary </w:t>
      </w:r>
      <w:r w:rsidR="00F74690" w:rsidRPr="00F3484D">
        <w:rPr>
          <w:rFonts w:cstheme="majorHAnsi"/>
        </w:rPr>
        <w:t xml:space="preserve">objective </w:t>
      </w:r>
      <w:r w:rsidRPr="00F3484D">
        <w:rPr>
          <w:rFonts w:cstheme="majorHAnsi"/>
        </w:rPr>
        <w:t xml:space="preserve">and should factor significantly in its </w:t>
      </w:r>
      <w:r w:rsidR="00307C06" w:rsidRPr="00F3484D">
        <w:rPr>
          <w:rFonts w:cstheme="majorHAnsi"/>
        </w:rPr>
        <w:t xml:space="preserve">future </w:t>
      </w:r>
      <w:r w:rsidRPr="00F3484D">
        <w:rPr>
          <w:rFonts w:cstheme="majorHAnsi"/>
        </w:rPr>
        <w:t>development.</w:t>
      </w:r>
    </w:p>
    <w:p w14:paraId="54980CAB" w14:textId="323847D8" w:rsidR="00265FE3" w:rsidRPr="00F3484D" w:rsidRDefault="00265FE3" w:rsidP="00F3484D">
      <w:pPr>
        <w:rPr>
          <w:rFonts w:cstheme="majorHAnsi"/>
        </w:rPr>
      </w:pPr>
      <w:r w:rsidRPr="00F3484D">
        <w:rPr>
          <w:rFonts w:cstheme="majorHAnsi"/>
        </w:rPr>
        <w:t>The Review also heard that the CDR provides an adequate framework for potential development of data-driven innovation</w:t>
      </w:r>
      <w:r w:rsidR="00C46FBA" w:rsidRPr="00F3484D">
        <w:rPr>
          <w:rFonts w:cstheme="majorHAnsi"/>
        </w:rPr>
        <w:t>;</w:t>
      </w:r>
      <w:r w:rsidR="00A911E9" w:rsidRPr="00F3484D">
        <w:rPr>
          <w:rFonts w:cstheme="majorHAnsi"/>
        </w:rPr>
        <w:t xml:space="preserve"> </w:t>
      </w:r>
      <w:r w:rsidRPr="00F3484D">
        <w:rPr>
          <w:rFonts w:cstheme="majorHAnsi"/>
        </w:rPr>
        <w:t xml:space="preserve">novel applications combining data and insights from </w:t>
      </w:r>
      <w:r w:rsidR="00CC525B" w:rsidRPr="00F3484D">
        <w:rPr>
          <w:rFonts w:cstheme="majorHAnsi"/>
        </w:rPr>
        <w:t xml:space="preserve">a range of </w:t>
      </w:r>
      <w:r w:rsidRPr="00F3484D">
        <w:rPr>
          <w:rFonts w:cstheme="majorHAnsi"/>
        </w:rPr>
        <w:t>datasets should offer consumers new benefits and increase competition between participants. Th</w:t>
      </w:r>
      <w:r w:rsidR="00C46FBA" w:rsidRPr="00F3484D">
        <w:rPr>
          <w:rFonts w:cstheme="majorHAnsi"/>
        </w:rPr>
        <w:t>is</w:t>
      </w:r>
      <w:r w:rsidRPr="00F3484D">
        <w:rPr>
          <w:rFonts w:cstheme="majorHAnsi"/>
        </w:rPr>
        <w:t xml:space="preserve"> opportunit</w:t>
      </w:r>
      <w:r w:rsidR="00297BD6" w:rsidRPr="00F3484D">
        <w:rPr>
          <w:rFonts w:cstheme="majorHAnsi"/>
        </w:rPr>
        <w:t>y</w:t>
      </w:r>
      <w:r w:rsidRPr="00F3484D">
        <w:rPr>
          <w:rFonts w:cstheme="majorHAnsi"/>
        </w:rPr>
        <w:t xml:space="preserve"> </w:t>
      </w:r>
      <w:r w:rsidR="00297BD6" w:rsidRPr="00F3484D">
        <w:rPr>
          <w:rFonts w:cstheme="majorHAnsi"/>
        </w:rPr>
        <w:t>will only be realised if participants can</w:t>
      </w:r>
      <w:r w:rsidRPr="00F3484D">
        <w:rPr>
          <w:rFonts w:cstheme="majorHAnsi"/>
        </w:rPr>
        <w:t xml:space="preserve"> mee</w:t>
      </w:r>
      <w:r w:rsidR="00297BD6" w:rsidRPr="00F3484D">
        <w:rPr>
          <w:rFonts w:cstheme="majorHAnsi"/>
        </w:rPr>
        <w:t>t</w:t>
      </w:r>
      <w:r w:rsidRPr="00F3484D">
        <w:rPr>
          <w:rFonts w:cstheme="majorHAnsi"/>
        </w:rPr>
        <w:t xml:space="preserve"> costs</w:t>
      </w:r>
      <w:r w:rsidR="00733F45" w:rsidRPr="00F3484D">
        <w:rPr>
          <w:rFonts w:cstheme="majorHAnsi"/>
        </w:rPr>
        <w:t xml:space="preserve">, </w:t>
      </w:r>
      <w:r w:rsidR="00943831" w:rsidRPr="00F3484D">
        <w:rPr>
          <w:rFonts w:cstheme="majorHAnsi"/>
        </w:rPr>
        <w:t>manag</w:t>
      </w:r>
      <w:r w:rsidR="00297BD6" w:rsidRPr="00F3484D">
        <w:rPr>
          <w:rFonts w:cstheme="majorHAnsi"/>
        </w:rPr>
        <w:t>e</w:t>
      </w:r>
      <w:r w:rsidR="00943831" w:rsidRPr="00F3484D">
        <w:rPr>
          <w:rFonts w:cstheme="majorHAnsi"/>
        </w:rPr>
        <w:t xml:space="preserve"> </w:t>
      </w:r>
      <w:r w:rsidRPr="00F3484D">
        <w:rPr>
          <w:rFonts w:cstheme="majorHAnsi"/>
        </w:rPr>
        <w:t>complexity</w:t>
      </w:r>
      <w:r w:rsidR="00733F45" w:rsidRPr="00F3484D">
        <w:rPr>
          <w:rFonts w:cstheme="majorHAnsi"/>
        </w:rPr>
        <w:t xml:space="preserve"> and ensur</w:t>
      </w:r>
      <w:r w:rsidR="00297BD6" w:rsidRPr="00F3484D">
        <w:rPr>
          <w:rFonts w:cstheme="majorHAnsi"/>
        </w:rPr>
        <w:t>e</w:t>
      </w:r>
      <w:r w:rsidR="00733F45" w:rsidRPr="00F3484D">
        <w:rPr>
          <w:rFonts w:cstheme="majorHAnsi"/>
        </w:rPr>
        <w:t xml:space="preserve"> data is </w:t>
      </w:r>
      <w:r w:rsidR="00297BD6" w:rsidRPr="00F3484D">
        <w:rPr>
          <w:rFonts w:cstheme="majorHAnsi"/>
        </w:rPr>
        <w:t>improved</w:t>
      </w:r>
      <w:r w:rsidRPr="00F3484D">
        <w:rPr>
          <w:rFonts w:cstheme="majorHAnsi"/>
        </w:rPr>
        <w:t>.</w:t>
      </w:r>
    </w:p>
    <w:p w14:paraId="52CE3964" w14:textId="4C650331" w:rsidR="00045806" w:rsidRPr="00F3484D" w:rsidRDefault="001D16A3" w:rsidP="00F3484D">
      <w:pPr>
        <w:rPr>
          <w:rFonts w:cstheme="majorHAnsi"/>
        </w:rPr>
      </w:pPr>
      <w:r w:rsidRPr="00F3484D">
        <w:rPr>
          <w:rFonts w:cstheme="majorHAnsi"/>
        </w:rPr>
        <w:t>T</w:t>
      </w:r>
      <w:r w:rsidR="00943831" w:rsidRPr="00F3484D">
        <w:rPr>
          <w:rFonts w:cstheme="majorHAnsi"/>
        </w:rPr>
        <w:t xml:space="preserve">he </w:t>
      </w:r>
      <w:r w:rsidR="00265FE3" w:rsidRPr="00F3484D">
        <w:rPr>
          <w:rFonts w:cstheme="majorHAnsi"/>
        </w:rPr>
        <w:t xml:space="preserve">strong privacy </w:t>
      </w:r>
      <w:r w:rsidR="00144FEE" w:rsidRPr="00F3484D">
        <w:rPr>
          <w:rFonts w:cstheme="majorHAnsi"/>
        </w:rPr>
        <w:t xml:space="preserve">requirements </w:t>
      </w:r>
      <w:r w:rsidR="00265FE3" w:rsidRPr="00F3484D">
        <w:rPr>
          <w:rFonts w:cstheme="majorHAnsi"/>
        </w:rPr>
        <w:t xml:space="preserve">of the scheme </w:t>
      </w:r>
      <w:r w:rsidR="00144FEE" w:rsidRPr="00F3484D">
        <w:rPr>
          <w:rFonts w:cstheme="majorHAnsi"/>
        </w:rPr>
        <w:t xml:space="preserve">have </w:t>
      </w:r>
      <w:r w:rsidR="00265FE3" w:rsidRPr="00F3484D">
        <w:rPr>
          <w:rFonts w:cstheme="majorHAnsi"/>
        </w:rPr>
        <w:t>support</w:t>
      </w:r>
      <w:r w:rsidR="00144FEE" w:rsidRPr="00F3484D">
        <w:rPr>
          <w:rFonts w:cstheme="majorHAnsi"/>
        </w:rPr>
        <w:t>ed</w:t>
      </w:r>
      <w:r w:rsidR="00265FE3" w:rsidRPr="00F3484D">
        <w:rPr>
          <w:rFonts w:cstheme="majorHAnsi"/>
        </w:rPr>
        <w:t xml:space="preserve"> the </w:t>
      </w:r>
      <w:r w:rsidR="00144FEE" w:rsidRPr="00F3484D">
        <w:rPr>
          <w:rFonts w:cstheme="majorHAnsi"/>
        </w:rPr>
        <w:t>establishment</w:t>
      </w:r>
      <w:r w:rsidR="00265FE3" w:rsidRPr="00F3484D">
        <w:rPr>
          <w:rFonts w:cstheme="majorHAnsi"/>
        </w:rPr>
        <w:t xml:space="preserve"> of </w:t>
      </w:r>
      <w:r w:rsidR="00943831" w:rsidRPr="00F3484D">
        <w:rPr>
          <w:rFonts w:cstheme="majorHAnsi"/>
        </w:rPr>
        <w:t xml:space="preserve">the </w:t>
      </w:r>
      <w:r w:rsidR="00265FE3" w:rsidRPr="00F3484D">
        <w:rPr>
          <w:rFonts w:cstheme="majorHAnsi"/>
        </w:rPr>
        <w:t>CDR</w:t>
      </w:r>
      <w:r w:rsidR="0083384A" w:rsidRPr="00F3484D">
        <w:rPr>
          <w:rFonts w:cstheme="majorHAnsi"/>
        </w:rPr>
        <w:t>.</w:t>
      </w:r>
      <w:r w:rsidR="00265FE3" w:rsidRPr="00F3484D">
        <w:rPr>
          <w:rFonts w:cstheme="majorHAnsi"/>
        </w:rPr>
        <w:t xml:space="preserve"> </w:t>
      </w:r>
      <w:r w:rsidR="0083384A" w:rsidRPr="00F3484D">
        <w:rPr>
          <w:rFonts w:cstheme="majorHAnsi"/>
        </w:rPr>
        <w:t>They</w:t>
      </w:r>
      <w:r w:rsidR="00144FEE" w:rsidRPr="00F3484D">
        <w:rPr>
          <w:rFonts w:cstheme="majorHAnsi"/>
        </w:rPr>
        <w:t xml:space="preserve"> creat</w:t>
      </w:r>
      <w:r w:rsidR="0083384A" w:rsidRPr="00F3484D">
        <w:rPr>
          <w:rFonts w:cstheme="majorHAnsi"/>
        </w:rPr>
        <w:t>e</w:t>
      </w:r>
      <w:r w:rsidR="00144FEE" w:rsidRPr="00F3484D">
        <w:rPr>
          <w:rFonts w:cstheme="majorHAnsi"/>
        </w:rPr>
        <w:t xml:space="preserve"> a</w:t>
      </w:r>
      <w:r w:rsidR="009A03B4" w:rsidRPr="00F3484D">
        <w:rPr>
          <w:rFonts w:cstheme="majorHAnsi"/>
        </w:rPr>
        <w:t xml:space="preserve"> </w:t>
      </w:r>
      <w:r w:rsidR="00144FEE" w:rsidRPr="00F3484D">
        <w:rPr>
          <w:rFonts w:cstheme="majorHAnsi"/>
        </w:rPr>
        <w:t>foundation of</w:t>
      </w:r>
      <w:r w:rsidR="00265FE3" w:rsidRPr="00F3484D">
        <w:rPr>
          <w:rFonts w:cstheme="majorHAnsi"/>
        </w:rPr>
        <w:t xml:space="preserve"> trust, safety and security</w:t>
      </w:r>
      <w:r w:rsidR="00943831" w:rsidRPr="00F3484D">
        <w:rPr>
          <w:rFonts w:cstheme="majorHAnsi"/>
        </w:rPr>
        <w:t>, all of</w:t>
      </w:r>
      <w:r w:rsidR="009A03B4" w:rsidRPr="00F3484D">
        <w:rPr>
          <w:rFonts w:cstheme="majorHAnsi"/>
        </w:rPr>
        <w:t xml:space="preserve"> which will be central to engagement and uptake of the CDR from consumers and participants</w:t>
      </w:r>
      <w:r w:rsidR="00943831" w:rsidRPr="00F3484D">
        <w:rPr>
          <w:rFonts w:cstheme="majorHAnsi"/>
        </w:rPr>
        <w:t xml:space="preserve"> – </w:t>
      </w:r>
      <w:r w:rsidR="009A03B4" w:rsidRPr="00F3484D">
        <w:rPr>
          <w:rFonts w:cstheme="majorHAnsi"/>
        </w:rPr>
        <w:t>particularly when compared to other</w:t>
      </w:r>
      <w:r w:rsidR="00943831" w:rsidRPr="00F3484D">
        <w:rPr>
          <w:rFonts w:cstheme="majorHAnsi"/>
        </w:rPr>
        <w:t>,</w:t>
      </w:r>
      <w:r w:rsidR="009A03B4" w:rsidRPr="00F3484D">
        <w:rPr>
          <w:rFonts w:cstheme="majorHAnsi"/>
        </w:rPr>
        <w:t xml:space="preserve"> less</w:t>
      </w:r>
      <w:r w:rsidR="00943831" w:rsidRPr="00F3484D">
        <w:rPr>
          <w:rFonts w:cstheme="majorHAnsi"/>
        </w:rPr>
        <w:t xml:space="preserve"> </w:t>
      </w:r>
      <w:r w:rsidR="009A03B4" w:rsidRPr="00F3484D">
        <w:rPr>
          <w:rFonts w:cstheme="majorHAnsi"/>
        </w:rPr>
        <w:t>secure data</w:t>
      </w:r>
      <w:r w:rsidR="00BE7617" w:rsidRPr="00F3484D">
        <w:rPr>
          <w:rFonts w:cstheme="majorHAnsi"/>
        </w:rPr>
        <w:t xml:space="preserve"> </w:t>
      </w:r>
      <w:r w:rsidR="009A03B4" w:rsidRPr="00F3484D">
        <w:rPr>
          <w:rFonts w:cstheme="majorHAnsi"/>
        </w:rPr>
        <w:t>sharing mechanisms</w:t>
      </w:r>
      <w:r w:rsidR="00943831" w:rsidRPr="00F3484D">
        <w:rPr>
          <w:rFonts w:cstheme="majorHAnsi"/>
        </w:rPr>
        <w:t xml:space="preserve"> like </w:t>
      </w:r>
      <w:r w:rsidR="009A03B4" w:rsidRPr="00F3484D">
        <w:rPr>
          <w:rFonts w:cstheme="majorHAnsi"/>
        </w:rPr>
        <w:t>screen scraping</w:t>
      </w:r>
      <w:r w:rsidR="005A246A" w:rsidRPr="00F3484D">
        <w:rPr>
          <w:rFonts w:cstheme="majorHAnsi"/>
        </w:rPr>
        <w:t xml:space="preserve"> (also known as Digital Data Capture (DDC)).</w:t>
      </w:r>
      <w:r w:rsidR="009A03B4" w:rsidRPr="00F3484D">
        <w:rPr>
          <w:rFonts w:cstheme="majorHAnsi"/>
        </w:rPr>
        <w:t xml:space="preserve"> </w:t>
      </w:r>
      <w:r w:rsidRPr="00F3484D">
        <w:rPr>
          <w:rFonts w:cstheme="majorHAnsi"/>
        </w:rPr>
        <w:t>It is recognised that</w:t>
      </w:r>
      <w:r w:rsidR="004A038B" w:rsidRPr="00F3484D">
        <w:rPr>
          <w:rFonts w:cstheme="majorHAnsi"/>
        </w:rPr>
        <w:t xml:space="preserve"> t</w:t>
      </w:r>
      <w:r w:rsidR="00045806" w:rsidRPr="00F3484D">
        <w:rPr>
          <w:rFonts w:cstheme="majorHAnsi"/>
        </w:rPr>
        <w:t xml:space="preserve">hese </w:t>
      </w:r>
      <w:r w:rsidR="009A03B4" w:rsidRPr="00F3484D">
        <w:rPr>
          <w:rFonts w:cstheme="majorHAnsi"/>
        </w:rPr>
        <w:t>requir</w:t>
      </w:r>
      <w:r w:rsidR="00ED79E9" w:rsidRPr="00F3484D">
        <w:rPr>
          <w:rFonts w:cstheme="majorHAnsi"/>
        </w:rPr>
        <w:t>e</w:t>
      </w:r>
      <w:r w:rsidR="009A03B4" w:rsidRPr="00F3484D">
        <w:rPr>
          <w:rFonts w:cstheme="majorHAnsi"/>
        </w:rPr>
        <w:t>ments</w:t>
      </w:r>
      <w:r w:rsidR="00045806" w:rsidRPr="00F3484D">
        <w:rPr>
          <w:rFonts w:cstheme="majorHAnsi"/>
        </w:rPr>
        <w:t xml:space="preserve"> have </w:t>
      </w:r>
      <w:r w:rsidR="00144FEE" w:rsidRPr="00F3484D">
        <w:rPr>
          <w:rFonts w:cstheme="majorHAnsi"/>
        </w:rPr>
        <w:t>made</w:t>
      </w:r>
      <w:r w:rsidR="00045806" w:rsidRPr="00F3484D">
        <w:rPr>
          <w:rFonts w:cstheme="majorHAnsi"/>
        </w:rPr>
        <w:t xml:space="preserve"> </w:t>
      </w:r>
      <w:r w:rsidR="00144FEE" w:rsidRPr="00F3484D">
        <w:rPr>
          <w:rFonts w:cstheme="majorHAnsi"/>
        </w:rPr>
        <w:t>participati</w:t>
      </w:r>
      <w:r w:rsidR="00A911E9" w:rsidRPr="00F3484D">
        <w:rPr>
          <w:rFonts w:cstheme="majorHAnsi"/>
        </w:rPr>
        <w:t>ng</w:t>
      </w:r>
      <w:r w:rsidR="00144FEE" w:rsidRPr="00F3484D">
        <w:rPr>
          <w:rFonts w:cstheme="majorHAnsi"/>
        </w:rPr>
        <w:t xml:space="preserve"> in the scheme </w:t>
      </w:r>
      <w:r w:rsidR="00ED79E9" w:rsidRPr="00F3484D">
        <w:rPr>
          <w:rFonts w:cstheme="majorHAnsi"/>
        </w:rPr>
        <w:t xml:space="preserve">complex and costly </w:t>
      </w:r>
      <w:r w:rsidR="004A038B" w:rsidRPr="00F3484D">
        <w:rPr>
          <w:rFonts w:cstheme="majorHAnsi"/>
        </w:rPr>
        <w:t xml:space="preserve">for </w:t>
      </w:r>
      <w:r w:rsidR="00ED79E9" w:rsidRPr="00F3484D">
        <w:rPr>
          <w:rFonts w:cstheme="majorHAnsi"/>
        </w:rPr>
        <w:t>participants</w:t>
      </w:r>
      <w:r w:rsidR="00144FEE" w:rsidRPr="00F3484D">
        <w:rPr>
          <w:rFonts w:cstheme="majorHAnsi"/>
        </w:rPr>
        <w:t xml:space="preserve">, and the ongoing </w:t>
      </w:r>
      <w:r w:rsidR="006E4115" w:rsidRPr="00F3484D">
        <w:rPr>
          <w:rFonts w:cstheme="majorHAnsi"/>
        </w:rPr>
        <w:t>impact</w:t>
      </w:r>
      <w:r w:rsidR="00144FEE" w:rsidRPr="00F3484D">
        <w:rPr>
          <w:rFonts w:cstheme="majorHAnsi"/>
        </w:rPr>
        <w:t xml:space="preserve"> of these obligations will have to be monitored.</w:t>
      </w:r>
      <w:r w:rsidR="00AD632E" w:rsidRPr="00F3484D">
        <w:rPr>
          <w:rFonts w:cstheme="majorHAnsi"/>
        </w:rPr>
        <w:t xml:space="preserve"> </w:t>
      </w:r>
    </w:p>
    <w:p w14:paraId="6D83AFE4" w14:textId="63469638" w:rsidR="004A038B" w:rsidRDefault="00265FE3" w:rsidP="00F3484D">
      <w:r w:rsidRPr="00F3484D">
        <w:t>The Review also heard that</w:t>
      </w:r>
      <w:r w:rsidR="00943831" w:rsidRPr="00F3484D">
        <w:t xml:space="preserve"> the</w:t>
      </w:r>
      <w:r w:rsidRPr="00F3484D">
        <w:t xml:space="preserve"> CDR has significant potential as foundational national digital infrastructure and should be </w:t>
      </w:r>
      <w:r w:rsidRPr="00F3484D">
        <w:rPr>
          <w:rFonts w:cstheme="majorHAnsi"/>
        </w:rPr>
        <w:t>progressed</w:t>
      </w:r>
      <w:r w:rsidRPr="00F3484D">
        <w:t xml:space="preserve"> in alignment with other digital reforms</w:t>
      </w:r>
      <w:r w:rsidR="004D3EA5" w:rsidRPr="00F3484D">
        <w:t xml:space="preserve"> and existing infrastructure</w:t>
      </w:r>
      <w:r w:rsidR="00943831" w:rsidRPr="00F3484D">
        <w:t>,</w:t>
      </w:r>
      <w:r w:rsidR="004D3EA5" w:rsidRPr="00F3484D">
        <w:t xml:space="preserve"> such as </w:t>
      </w:r>
      <w:r w:rsidR="004D3EA5" w:rsidRPr="00F3484D">
        <w:rPr>
          <w:i/>
          <w:iCs/>
        </w:rPr>
        <w:t xml:space="preserve">Data Availability and Transparency Act 2022 </w:t>
      </w:r>
      <w:r w:rsidR="004D3EA5" w:rsidRPr="00F3484D">
        <w:t>(DATA 2022)</w:t>
      </w:r>
      <w:r w:rsidR="004D3EA5" w:rsidRPr="00F3484D">
        <w:rPr>
          <w:i/>
          <w:iCs/>
        </w:rPr>
        <w:t>,</w:t>
      </w:r>
      <w:r w:rsidR="004D3EA5" w:rsidRPr="00F3484D">
        <w:t xml:space="preserve"> </w:t>
      </w:r>
      <w:r w:rsidR="00D7189F" w:rsidRPr="00F3484D">
        <w:t xml:space="preserve">the </w:t>
      </w:r>
      <w:r w:rsidR="00B31214" w:rsidRPr="00F3484D">
        <w:t>payments system reform</w:t>
      </w:r>
      <w:r w:rsidR="00D7189F" w:rsidRPr="00F3484D">
        <w:t>s</w:t>
      </w:r>
      <w:r w:rsidR="00B31214" w:rsidRPr="00F3484D">
        <w:t>,</w:t>
      </w:r>
      <w:r w:rsidR="004D3EA5" w:rsidRPr="00F3484D">
        <w:t xml:space="preserve"> and ongoing work on digital identity. </w:t>
      </w:r>
      <w:r w:rsidR="00A911E9" w:rsidRPr="00F3484D">
        <w:t>The</w:t>
      </w:r>
      <w:r w:rsidR="00A92BB1" w:rsidRPr="00F3484D">
        <w:t xml:space="preserve"> CDR should </w:t>
      </w:r>
      <w:r w:rsidR="00F871F5" w:rsidRPr="00F3484D">
        <w:t xml:space="preserve">align </w:t>
      </w:r>
      <w:r w:rsidR="00A92BB1" w:rsidRPr="00F3484D">
        <w:t xml:space="preserve">with </w:t>
      </w:r>
      <w:r w:rsidR="00943831" w:rsidRPr="00F3484D">
        <w:t xml:space="preserve">these </w:t>
      </w:r>
      <w:r w:rsidR="00A92BB1" w:rsidRPr="00F3484D">
        <w:t xml:space="preserve">developments </w:t>
      </w:r>
      <w:r w:rsidR="00A911E9" w:rsidRPr="00F3484D">
        <w:t xml:space="preserve">as much as possible </w:t>
      </w:r>
      <w:r w:rsidR="00A92BB1" w:rsidRPr="00F3484D">
        <w:t xml:space="preserve">to create opportunities </w:t>
      </w:r>
      <w:r w:rsidR="00943831" w:rsidRPr="00F3484D">
        <w:t>it</w:t>
      </w:r>
      <w:r w:rsidR="00A92BB1" w:rsidRPr="00F3484D">
        <w:t xml:space="preserve"> could not</w:t>
      </w:r>
      <w:r w:rsidR="00943831" w:rsidRPr="00F3484D">
        <w:t xml:space="preserve"> by itself</w:t>
      </w:r>
      <w:r w:rsidR="00A92BB1" w:rsidRPr="00F3484D">
        <w:t xml:space="preserve"> offer</w:t>
      </w:r>
      <w:r w:rsidR="00943831" w:rsidRPr="00F3484D">
        <w:t>, and should reduce additional regulatory burdens and duplication.</w:t>
      </w:r>
      <w:r w:rsidR="00A92BB1">
        <w:t xml:space="preserve"> </w:t>
      </w:r>
    </w:p>
    <w:p w14:paraId="4DC14808" w14:textId="461E07E7" w:rsidR="00943831" w:rsidRDefault="008E608E" w:rsidP="00F3484D">
      <w:r>
        <w:t>The R</w:t>
      </w:r>
      <w:r w:rsidR="00943831">
        <w:t>eport is made up of four parts</w:t>
      </w:r>
      <w:r w:rsidR="00307C06">
        <w:t>:</w:t>
      </w:r>
      <w:r>
        <w:t xml:space="preserve"> Part One provid</w:t>
      </w:r>
      <w:r w:rsidR="00307C06">
        <w:t>es</w:t>
      </w:r>
      <w:r>
        <w:t xml:space="preserve"> analysis of issues relating to the CDR statutory framework, Part Two reflect</w:t>
      </w:r>
      <w:r w:rsidR="00307C06">
        <w:t>s</w:t>
      </w:r>
      <w:r>
        <w:t xml:space="preserve"> on the implementation of the </w:t>
      </w:r>
      <w:r w:rsidR="00E6039E">
        <w:t>s</w:t>
      </w:r>
      <w:r>
        <w:t xml:space="preserve">tatutory </w:t>
      </w:r>
      <w:r w:rsidR="00E6039E">
        <w:t>f</w:t>
      </w:r>
      <w:r>
        <w:t>ramework to date, Part Three provid</w:t>
      </w:r>
      <w:r w:rsidR="00307C06">
        <w:t>es</w:t>
      </w:r>
      <w:r>
        <w:t xml:space="preserve"> an overview of the how the CDR can develop into the future, and </w:t>
      </w:r>
      <w:r w:rsidRPr="00A9513B">
        <w:t xml:space="preserve">Part Four </w:t>
      </w:r>
      <w:r w:rsidR="00B14E6F" w:rsidRPr="00A9513B">
        <w:t>acknowledges</w:t>
      </w:r>
      <w:r w:rsidR="00A9513B" w:rsidRPr="008A32BF">
        <w:t xml:space="preserve"> other issues raised in submissions</w:t>
      </w:r>
      <w:r w:rsidRPr="00A9513B">
        <w:t>.</w:t>
      </w:r>
      <w:r>
        <w:t xml:space="preserve"> </w:t>
      </w:r>
    </w:p>
    <w:p w14:paraId="5751DA4A" w14:textId="77777777" w:rsidR="00265FE3" w:rsidRDefault="00265FE3" w:rsidP="00265FE3">
      <w:pPr>
        <w:pStyle w:val="Heading2"/>
      </w:pPr>
      <w:bookmarkStart w:id="18" w:name="_Toc106286067"/>
      <w:bookmarkStart w:id="19" w:name="_Toc106358377"/>
      <w:bookmarkStart w:id="20" w:name="_Toc106376901"/>
      <w:bookmarkStart w:id="21" w:name="_Toc110602860"/>
      <w:bookmarkStart w:id="22" w:name="_Hlk106723011"/>
      <w:r>
        <w:t>Part One: Consumer Data Right Framework</w:t>
      </w:r>
      <w:bookmarkEnd w:id="18"/>
      <w:bookmarkEnd w:id="19"/>
      <w:bookmarkEnd w:id="20"/>
      <w:bookmarkEnd w:id="21"/>
    </w:p>
    <w:p w14:paraId="7A302C9C" w14:textId="325A8E9F" w:rsidR="00265FE3" w:rsidRPr="002D0E64" w:rsidRDefault="00265FE3" w:rsidP="00F3484D">
      <w:pPr>
        <w:rPr>
          <w:rFonts w:cstheme="majorHAnsi"/>
        </w:rPr>
      </w:pPr>
      <w:r w:rsidRPr="006B484E">
        <w:rPr>
          <w:rFonts w:cstheme="majorHAnsi"/>
        </w:rPr>
        <w:t>Part One considers</w:t>
      </w:r>
      <w:r w:rsidRPr="00B4410B">
        <w:rPr>
          <w:rFonts w:cstheme="majorHAnsi"/>
        </w:rPr>
        <w:t xml:space="preserve"> the</w:t>
      </w:r>
      <w:r w:rsidR="00271859" w:rsidRPr="003B1689">
        <w:rPr>
          <w:rFonts w:cstheme="majorHAnsi"/>
        </w:rPr>
        <w:t xml:space="preserve"> issues relating to the</w:t>
      </w:r>
      <w:r w:rsidRPr="00F527F8">
        <w:rPr>
          <w:rFonts w:cstheme="majorHAnsi"/>
        </w:rPr>
        <w:t xml:space="preserve"> CDR statutory framework and how it supports the objectives of the CDR. The Review </w:t>
      </w:r>
      <w:r w:rsidR="00341701" w:rsidRPr="008A6FE4">
        <w:rPr>
          <w:rFonts w:cstheme="majorHAnsi"/>
        </w:rPr>
        <w:t>fin</w:t>
      </w:r>
      <w:r w:rsidR="00341701" w:rsidRPr="00D52F92">
        <w:rPr>
          <w:rFonts w:cstheme="majorHAnsi"/>
        </w:rPr>
        <w:t>ds</w:t>
      </w:r>
      <w:r w:rsidRPr="006E7399">
        <w:rPr>
          <w:rFonts w:cstheme="majorHAnsi"/>
        </w:rPr>
        <w:t xml:space="preserve"> </w:t>
      </w:r>
      <w:r w:rsidR="00EB544C" w:rsidRPr="002C4DDB">
        <w:rPr>
          <w:rFonts w:cstheme="majorHAnsi"/>
        </w:rPr>
        <w:t>that the</w:t>
      </w:r>
      <w:r w:rsidR="00626E4C" w:rsidRPr="003C0FC4">
        <w:rPr>
          <w:rFonts w:cstheme="majorHAnsi"/>
        </w:rPr>
        <w:t xml:space="preserve"> objects in</w:t>
      </w:r>
      <w:r w:rsidR="00567A2F" w:rsidRPr="00587AA9">
        <w:rPr>
          <w:rFonts w:cstheme="majorHAnsi"/>
        </w:rPr>
        <w:t xml:space="preserve"> the Act</w:t>
      </w:r>
      <w:r w:rsidR="00341701" w:rsidRPr="00446F4D">
        <w:rPr>
          <w:rFonts w:cstheme="majorHAnsi"/>
        </w:rPr>
        <w:t xml:space="preserve"> are broadly fit</w:t>
      </w:r>
      <w:r w:rsidR="00F050FD">
        <w:rPr>
          <w:rFonts w:cstheme="majorHAnsi"/>
        </w:rPr>
        <w:t>-</w:t>
      </w:r>
      <w:r w:rsidR="00341701" w:rsidRPr="002D0E64">
        <w:rPr>
          <w:rFonts w:cstheme="majorHAnsi"/>
        </w:rPr>
        <w:t>for</w:t>
      </w:r>
      <w:r w:rsidR="00F050FD">
        <w:rPr>
          <w:rFonts w:cstheme="majorHAnsi"/>
        </w:rPr>
        <w:t>-</w:t>
      </w:r>
      <w:r w:rsidR="00341701" w:rsidRPr="002D0E64">
        <w:rPr>
          <w:rFonts w:cstheme="majorHAnsi"/>
        </w:rPr>
        <w:t xml:space="preserve">purpose, but that there are elements </w:t>
      </w:r>
      <w:r w:rsidR="00D82E7C" w:rsidRPr="002D0E64">
        <w:rPr>
          <w:rFonts w:cstheme="majorHAnsi"/>
        </w:rPr>
        <w:t xml:space="preserve">that </w:t>
      </w:r>
      <w:r w:rsidR="00341701" w:rsidRPr="002D0E64">
        <w:rPr>
          <w:rFonts w:cstheme="majorHAnsi"/>
        </w:rPr>
        <w:t xml:space="preserve">are currently or will soon </w:t>
      </w:r>
      <w:r w:rsidR="009B23DC" w:rsidRPr="002D0E64">
        <w:rPr>
          <w:rFonts w:cstheme="majorHAnsi"/>
        </w:rPr>
        <w:t>produce</w:t>
      </w:r>
      <w:r w:rsidR="00341701" w:rsidRPr="002D0E64">
        <w:rPr>
          <w:rFonts w:cstheme="majorHAnsi"/>
        </w:rPr>
        <w:t xml:space="preserve"> challenges for participants and regulators</w:t>
      </w:r>
      <w:r w:rsidR="00D82E7C" w:rsidRPr="002D0E64">
        <w:rPr>
          <w:rFonts w:cstheme="majorHAnsi"/>
        </w:rPr>
        <w:t xml:space="preserve"> </w:t>
      </w:r>
      <w:r w:rsidR="00297BD6">
        <w:rPr>
          <w:rFonts w:cstheme="majorHAnsi"/>
        </w:rPr>
        <w:t xml:space="preserve">seeking to </w:t>
      </w:r>
      <w:r w:rsidR="00F74690">
        <w:rPr>
          <w:rFonts w:cstheme="majorHAnsi"/>
        </w:rPr>
        <w:t>deliver</w:t>
      </w:r>
      <w:r w:rsidR="00621E48" w:rsidRPr="002D0E64">
        <w:rPr>
          <w:rFonts w:cstheme="majorHAnsi"/>
        </w:rPr>
        <w:t xml:space="preserve"> consumer benefits</w:t>
      </w:r>
      <w:r w:rsidR="00341701" w:rsidRPr="002D0E64">
        <w:rPr>
          <w:rFonts w:cstheme="majorHAnsi"/>
        </w:rPr>
        <w:t>.</w:t>
      </w:r>
    </w:p>
    <w:p w14:paraId="1CBC1F0C" w14:textId="7F95537D" w:rsidR="00FD4C8D" w:rsidRPr="00F3484D" w:rsidRDefault="00FD4C8D" w:rsidP="00F3484D">
      <w:pPr>
        <w:rPr>
          <w:rFonts w:cstheme="majorHAnsi"/>
        </w:rPr>
      </w:pPr>
      <w:r w:rsidRPr="002D0E64">
        <w:rPr>
          <w:rFonts w:cstheme="majorHAnsi"/>
        </w:rPr>
        <w:t xml:space="preserve">The sector-by-sector approach to </w:t>
      </w:r>
      <w:r w:rsidR="009B4B67" w:rsidRPr="002D0E64">
        <w:rPr>
          <w:rFonts w:cstheme="majorHAnsi"/>
        </w:rPr>
        <w:t xml:space="preserve">CDR </w:t>
      </w:r>
      <w:r w:rsidRPr="002D0E64">
        <w:rPr>
          <w:rFonts w:cstheme="majorHAnsi"/>
        </w:rPr>
        <w:t xml:space="preserve">designation is being challenged by contemporary business </w:t>
      </w:r>
      <w:r w:rsidRPr="00F3484D">
        <w:rPr>
          <w:rFonts w:cstheme="majorHAnsi"/>
        </w:rPr>
        <w:t xml:space="preserve">models, while the process flow of privacy assessments and </w:t>
      </w:r>
      <w:r w:rsidR="004C35AC" w:rsidRPr="00F3484D">
        <w:rPr>
          <w:rFonts w:cstheme="majorHAnsi"/>
        </w:rPr>
        <w:t xml:space="preserve">uneven </w:t>
      </w:r>
      <w:r w:rsidRPr="00F3484D">
        <w:rPr>
          <w:rFonts w:cstheme="majorHAnsi"/>
        </w:rPr>
        <w:t>coordination between regulatory bodies generate</w:t>
      </w:r>
      <w:r w:rsidR="00297BD6" w:rsidRPr="00F3484D">
        <w:rPr>
          <w:rFonts w:cstheme="majorHAnsi"/>
        </w:rPr>
        <w:t>s</w:t>
      </w:r>
      <w:r w:rsidRPr="00F3484D">
        <w:rPr>
          <w:rFonts w:cstheme="majorHAnsi"/>
        </w:rPr>
        <w:t xml:space="preserve"> friction within the CDR system. </w:t>
      </w:r>
      <w:r w:rsidR="00B15A0F" w:rsidRPr="00F3484D">
        <w:rPr>
          <w:rFonts w:cstheme="majorHAnsi"/>
        </w:rPr>
        <w:t>Po</w:t>
      </w:r>
      <w:r w:rsidR="009B4B67" w:rsidRPr="00F3484D">
        <w:rPr>
          <w:rFonts w:cstheme="majorHAnsi"/>
        </w:rPr>
        <w:t>licy</w:t>
      </w:r>
      <w:r w:rsidRPr="00F3484D">
        <w:rPr>
          <w:rFonts w:cstheme="majorHAnsi"/>
        </w:rPr>
        <w:t xml:space="preserve"> settings </w:t>
      </w:r>
      <w:r w:rsidR="00B15A0F" w:rsidRPr="00F3484D">
        <w:rPr>
          <w:rFonts w:cstheme="majorHAnsi"/>
        </w:rPr>
        <w:t xml:space="preserve">are sufficiently flexible </w:t>
      </w:r>
      <w:r w:rsidR="00E843DB" w:rsidRPr="00F3484D">
        <w:rPr>
          <w:rFonts w:cstheme="majorHAnsi"/>
        </w:rPr>
        <w:t xml:space="preserve">in the </w:t>
      </w:r>
      <w:r w:rsidR="00E843DB" w:rsidRPr="00F3484D">
        <w:rPr>
          <w:bCs/>
          <w:szCs w:val="22"/>
        </w:rPr>
        <w:t>short to medium term</w:t>
      </w:r>
      <w:r w:rsidR="009B4B67" w:rsidRPr="00F3484D">
        <w:rPr>
          <w:rFonts w:cstheme="majorHAnsi"/>
        </w:rPr>
        <w:t xml:space="preserve">, </w:t>
      </w:r>
      <w:r w:rsidR="00B15A0F" w:rsidRPr="00F3484D">
        <w:rPr>
          <w:rFonts w:cstheme="majorHAnsi"/>
        </w:rPr>
        <w:t>but should</w:t>
      </w:r>
      <w:r w:rsidRPr="00F3484D">
        <w:rPr>
          <w:rFonts w:cstheme="majorHAnsi"/>
        </w:rPr>
        <w:t xml:space="preserve"> be </w:t>
      </w:r>
      <w:r w:rsidR="00E843DB" w:rsidRPr="00F3484D">
        <w:rPr>
          <w:rFonts w:cstheme="majorHAnsi"/>
        </w:rPr>
        <w:t xml:space="preserve">revisited </w:t>
      </w:r>
      <w:r w:rsidR="00BE7617" w:rsidRPr="00F3484D">
        <w:rPr>
          <w:rFonts w:cstheme="majorHAnsi"/>
        </w:rPr>
        <w:t xml:space="preserve">as the CDR matures </w:t>
      </w:r>
      <w:r w:rsidR="00E843DB" w:rsidRPr="00F3484D">
        <w:rPr>
          <w:rFonts w:cstheme="majorHAnsi"/>
        </w:rPr>
        <w:t xml:space="preserve">to support the growth of the </w:t>
      </w:r>
      <w:r w:rsidR="00BE7617" w:rsidRPr="00F3484D">
        <w:rPr>
          <w:rFonts w:cstheme="majorHAnsi"/>
        </w:rPr>
        <w:t>digital economy</w:t>
      </w:r>
      <w:r w:rsidR="00B15A0F" w:rsidRPr="00F3484D">
        <w:rPr>
          <w:rFonts w:cstheme="majorHAnsi"/>
        </w:rPr>
        <w:t xml:space="preserve"> and reflect changing business practices</w:t>
      </w:r>
      <w:r w:rsidR="00C75184" w:rsidRPr="00F3484D">
        <w:rPr>
          <w:rFonts w:cstheme="majorHAnsi"/>
        </w:rPr>
        <w:t>, as well as</w:t>
      </w:r>
      <w:r w:rsidR="00F80263" w:rsidRPr="00F3484D">
        <w:rPr>
          <w:rFonts w:cstheme="majorHAnsi"/>
        </w:rPr>
        <w:t xml:space="preserve"> to</w:t>
      </w:r>
      <w:r w:rsidR="00B15A0F" w:rsidRPr="00F3484D">
        <w:rPr>
          <w:rFonts w:cstheme="majorHAnsi"/>
        </w:rPr>
        <w:t xml:space="preserve"> ensure they continue to</w:t>
      </w:r>
      <w:r w:rsidR="00F80263" w:rsidRPr="00F3484D">
        <w:rPr>
          <w:rFonts w:cstheme="majorHAnsi"/>
        </w:rPr>
        <w:t xml:space="preserve"> meet</w:t>
      </w:r>
      <w:r w:rsidR="00C75184" w:rsidRPr="00F3484D">
        <w:rPr>
          <w:rFonts w:cstheme="majorHAnsi"/>
        </w:rPr>
        <w:t xml:space="preserve"> the</w:t>
      </w:r>
      <w:r w:rsidR="002D29E2" w:rsidRPr="00F3484D">
        <w:rPr>
          <w:rFonts w:cstheme="majorHAnsi"/>
        </w:rPr>
        <w:t xml:space="preserve"> operational demands of the increasingly complex system. </w:t>
      </w:r>
      <w:r w:rsidR="000B1E52" w:rsidRPr="00F3484D">
        <w:rPr>
          <w:rFonts w:cstheme="majorHAnsi"/>
        </w:rPr>
        <w:t>T</w:t>
      </w:r>
      <w:r w:rsidR="002D29E2" w:rsidRPr="00F3484D">
        <w:rPr>
          <w:rFonts w:cstheme="majorHAnsi"/>
        </w:rPr>
        <w:t>he framework</w:t>
      </w:r>
      <w:r w:rsidR="004C35AC" w:rsidRPr="00F3484D">
        <w:rPr>
          <w:rFonts w:cstheme="majorHAnsi"/>
        </w:rPr>
        <w:t xml:space="preserve"> </w:t>
      </w:r>
      <w:r w:rsidR="000B1E52" w:rsidRPr="00F3484D">
        <w:rPr>
          <w:rFonts w:cstheme="majorHAnsi"/>
        </w:rPr>
        <w:t>also</w:t>
      </w:r>
      <w:r w:rsidR="00C75184" w:rsidRPr="00F3484D">
        <w:rPr>
          <w:rFonts w:cstheme="majorHAnsi"/>
        </w:rPr>
        <w:t xml:space="preserve"> </w:t>
      </w:r>
      <w:r w:rsidR="004C35AC" w:rsidRPr="00F3484D">
        <w:rPr>
          <w:rFonts w:cstheme="majorHAnsi"/>
        </w:rPr>
        <w:t>supports the option of</w:t>
      </w:r>
      <w:r w:rsidR="002D29E2" w:rsidRPr="00F3484D">
        <w:rPr>
          <w:rFonts w:cstheme="majorHAnsi"/>
        </w:rPr>
        <w:t xml:space="preserve"> direct-to-consumer</w:t>
      </w:r>
      <w:r w:rsidR="00911DE1" w:rsidRPr="00F3484D">
        <w:rPr>
          <w:rFonts w:cstheme="majorHAnsi"/>
        </w:rPr>
        <w:t xml:space="preserve"> </w:t>
      </w:r>
      <w:r w:rsidR="004C35AC" w:rsidRPr="00F3484D">
        <w:rPr>
          <w:rFonts w:cstheme="majorHAnsi"/>
        </w:rPr>
        <w:t>functionality</w:t>
      </w:r>
      <w:r w:rsidR="00A02BE1" w:rsidRPr="00F3484D">
        <w:rPr>
          <w:rFonts w:cstheme="majorHAnsi"/>
        </w:rPr>
        <w:t xml:space="preserve"> </w:t>
      </w:r>
      <w:r w:rsidR="008F5659" w:rsidRPr="00F3484D">
        <w:rPr>
          <w:rFonts w:cstheme="majorHAnsi"/>
        </w:rPr>
        <w:t>and additional success metrics</w:t>
      </w:r>
      <w:r w:rsidR="00843F2E" w:rsidRPr="00F3484D">
        <w:rPr>
          <w:rFonts w:cstheme="majorHAnsi"/>
        </w:rPr>
        <w:t>.</w:t>
      </w:r>
    </w:p>
    <w:p w14:paraId="24B432A1" w14:textId="0592EC04" w:rsidR="00265FE3" w:rsidRPr="00F3484D" w:rsidRDefault="00265FE3" w:rsidP="00265FE3">
      <w:pPr>
        <w:pStyle w:val="Heading2"/>
      </w:pPr>
      <w:bookmarkStart w:id="23" w:name="_Toc110602861"/>
      <w:bookmarkStart w:id="24" w:name="_Toc106286068"/>
      <w:bookmarkStart w:id="25" w:name="_Toc106358378"/>
      <w:bookmarkStart w:id="26" w:name="_Toc106376902"/>
      <w:bookmarkStart w:id="27" w:name="_Hlk106718855"/>
      <w:bookmarkStart w:id="28" w:name="_Hlk106877767"/>
      <w:bookmarkEnd w:id="22"/>
      <w:r w:rsidRPr="00F3484D">
        <w:lastRenderedPageBreak/>
        <w:t xml:space="preserve">Part Two: Implementation and </w:t>
      </w:r>
      <w:r w:rsidR="00DD556B" w:rsidRPr="00F3484D">
        <w:t>l</w:t>
      </w:r>
      <w:r w:rsidRPr="00F3484D">
        <w:t xml:space="preserve">essons </w:t>
      </w:r>
      <w:r w:rsidR="00DD556B" w:rsidRPr="00F3484D">
        <w:t>l</w:t>
      </w:r>
      <w:r w:rsidRPr="00F3484D">
        <w:t>earnt</w:t>
      </w:r>
      <w:bookmarkEnd w:id="23"/>
      <w:r w:rsidR="00DD556B" w:rsidRPr="00F3484D" w:rsidDel="008840E6">
        <w:t xml:space="preserve"> </w:t>
      </w:r>
      <w:bookmarkEnd w:id="24"/>
      <w:bookmarkEnd w:id="25"/>
      <w:bookmarkEnd w:id="26"/>
    </w:p>
    <w:p w14:paraId="5069BE69" w14:textId="1EB0DF51" w:rsidR="00961C4B" w:rsidRPr="00F3484D" w:rsidRDefault="00961C4B" w:rsidP="00F3484D">
      <w:pPr>
        <w:rPr>
          <w:rFonts w:cstheme="majorHAnsi"/>
        </w:rPr>
      </w:pPr>
      <w:bookmarkStart w:id="29" w:name="_Hlk106178153"/>
      <w:r w:rsidRPr="00F3484D">
        <w:rPr>
          <w:rFonts w:cstheme="majorHAnsi"/>
        </w:rPr>
        <w:t>Part Two considers feedback related to the development and the functioning of the CDR to date</w:t>
      </w:r>
      <w:r w:rsidR="00D82E7C" w:rsidRPr="00F3484D">
        <w:rPr>
          <w:rFonts w:cstheme="majorHAnsi"/>
        </w:rPr>
        <w:t xml:space="preserve">, as well as </w:t>
      </w:r>
      <w:r w:rsidRPr="00F3484D">
        <w:rPr>
          <w:rFonts w:cstheme="majorHAnsi"/>
        </w:rPr>
        <w:t xml:space="preserve">lessons that </w:t>
      </w:r>
      <w:r w:rsidR="009B4B67" w:rsidRPr="00F3484D">
        <w:rPr>
          <w:rFonts w:cstheme="majorHAnsi"/>
        </w:rPr>
        <w:t>can</w:t>
      </w:r>
      <w:r w:rsidRPr="00F3484D">
        <w:rPr>
          <w:rFonts w:cstheme="majorHAnsi"/>
        </w:rPr>
        <w:t xml:space="preserve"> inform future rollout</w:t>
      </w:r>
      <w:r w:rsidR="00D82E7C" w:rsidRPr="00F3484D">
        <w:rPr>
          <w:rFonts w:cstheme="majorHAnsi"/>
        </w:rPr>
        <w:t>,</w:t>
      </w:r>
      <w:r w:rsidRPr="00F3484D">
        <w:rPr>
          <w:rFonts w:cstheme="majorHAnsi"/>
        </w:rPr>
        <w:t xml:space="preserve"> including governance structure, speed of expansion, the level of complexity </w:t>
      </w:r>
      <w:r w:rsidR="003D51E1" w:rsidRPr="00F3484D">
        <w:rPr>
          <w:rFonts w:cstheme="majorHAnsi"/>
        </w:rPr>
        <w:t xml:space="preserve">in </w:t>
      </w:r>
      <w:r w:rsidRPr="00F3484D">
        <w:rPr>
          <w:rFonts w:cstheme="majorHAnsi"/>
        </w:rPr>
        <w:t>the system and the accreditation process.</w:t>
      </w:r>
    </w:p>
    <w:p w14:paraId="03BAAE7F" w14:textId="213BF1A4" w:rsidR="00961C4B" w:rsidRPr="008A6FE4" w:rsidRDefault="00D52629" w:rsidP="00F3484D">
      <w:pPr>
        <w:rPr>
          <w:rFonts w:cstheme="majorHAnsi"/>
        </w:rPr>
      </w:pPr>
      <w:r w:rsidRPr="00F3484D">
        <w:rPr>
          <w:rFonts w:cstheme="majorHAnsi"/>
        </w:rPr>
        <w:t>The</w:t>
      </w:r>
      <w:r w:rsidR="00961C4B" w:rsidRPr="00F3484D">
        <w:rPr>
          <w:rFonts w:cstheme="majorHAnsi"/>
        </w:rPr>
        <w:t xml:space="preserve"> quality of CDR data is a key concern </w:t>
      </w:r>
      <w:r w:rsidR="009B4B67" w:rsidRPr="00F3484D">
        <w:rPr>
          <w:rFonts w:cstheme="majorHAnsi"/>
        </w:rPr>
        <w:t>for</w:t>
      </w:r>
      <w:r w:rsidR="00961C4B" w:rsidRPr="00F3484D">
        <w:rPr>
          <w:rFonts w:cstheme="majorHAnsi"/>
        </w:rPr>
        <w:t xml:space="preserve"> existing and prospective data recipients. The accreditation process and role </w:t>
      </w:r>
      <w:r w:rsidR="00297BD6" w:rsidRPr="00F3484D">
        <w:rPr>
          <w:rFonts w:cstheme="majorHAnsi"/>
        </w:rPr>
        <w:t xml:space="preserve">division </w:t>
      </w:r>
      <w:r w:rsidR="00961C4B" w:rsidRPr="00F3484D">
        <w:rPr>
          <w:rFonts w:cstheme="majorHAnsi"/>
        </w:rPr>
        <w:t>between government agencies ha</w:t>
      </w:r>
      <w:r w:rsidR="00297BD6" w:rsidRPr="00F3484D">
        <w:rPr>
          <w:rFonts w:cstheme="majorHAnsi"/>
        </w:rPr>
        <w:t>s</w:t>
      </w:r>
      <w:r w:rsidR="00961C4B" w:rsidRPr="00F3484D">
        <w:rPr>
          <w:rFonts w:cstheme="majorHAnsi"/>
        </w:rPr>
        <w:t xml:space="preserve"> </w:t>
      </w:r>
      <w:r w:rsidRPr="00F3484D">
        <w:rPr>
          <w:rFonts w:cstheme="majorHAnsi"/>
        </w:rPr>
        <w:t>created</w:t>
      </w:r>
      <w:r w:rsidR="00961C4B" w:rsidRPr="00F3484D">
        <w:rPr>
          <w:rFonts w:cstheme="majorHAnsi"/>
        </w:rPr>
        <w:t xml:space="preserve"> confusion </w:t>
      </w:r>
      <w:r w:rsidRPr="00F3484D">
        <w:rPr>
          <w:rFonts w:cstheme="majorHAnsi"/>
        </w:rPr>
        <w:t>and complexity for</w:t>
      </w:r>
      <w:r w:rsidR="00961C4B" w:rsidRPr="00F3484D">
        <w:rPr>
          <w:rFonts w:cstheme="majorHAnsi"/>
        </w:rPr>
        <w:t xml:space="preserve"> participants. Multiple regulators and </w:t>
      </w:r>
      <w:r w:rsidR="009B4B67" w:rsidRPr="00F3484D">
        <w:rPr>
          <w:rFonts w:cstheme="majorHAnsi"/>
        </w:rPr>
        <w:t xml:space="preserve">a proliferation of information </w:t>
      </w:r>
      <w:r w:rsidR="00961C4B" w:rsidRPr="00F3484D">
        <w:rPr>
          <w:rFonts w:cstheme="majorHAnsi"/>
        </w:rPr>
        <w:t>channels ha</w:t>
      </w:r>
      <w:r w:rsidR="00297BD6" w:rsidRPr="00F3484D">
        <w:rPr>
          <w:rFonts w:cstheme="majorHAnsi"/>
        </w:rPr>
        <w:t>s</w:t>
      </w:r>
      <w:r w:rsidR="00961C4B" w:rsidRPr="00F3484D">
        <w:rPr>
          <w:rFonts w:cstheme="majorHAnsi"/>
        </w:rPr>
        <w:t xml:space="preserve"> resulted in participants</w:t>
      </w:r>
      <w:r w:rsidR="003D51E1" w:rsidRPr="00F3484D">
        <w:rPr>
          <w:rFonts w:cstheme="majorHAnsi"/>
        </w:rPr>
        <w:t>, at times,</w:t>
      </w:r>
      <w:r w:rsidR="00961C4B" w:rsidRPr="00F3484D">
        <w:rPr>
          <w:rFonts w:cstheme="majorHAnsi"/>
        </w:rPr>
        <w:t xml:space="preserve"> receiv</w:t>
      </w:r>
      <w:r w:rsidRPr="00F3484D">
        <w:rPr>
          <w:rFonts w:cstheme="majorHAnsi"/>
        </w:rPr>
        <w:t>ing</w:t>
      </w:r>
      <w:r w:rsidR="00961C4B" w:rsidRPr="00F3484D">
        <w:rPr>
          <w:rFonts w:cstheme="majorHAnsi"/>
        </w:rPr>
        <w:t xml:space="preserve"> </w:t>
      </w:r>
      <w:r w:rsidR="00D82E7C" w:rsidRPr="00F3484D">
        <w:rPr>
          <w:rFonts w:cstheme="majorHAnsi"/>
        </w:rPr>
        <w:t>inconsistent</w:t>
      </w:r>
      <w:r w:rsidR="00D82E7C" w:rsidRPr="002D0E64">
        <w:rPr>
          <w:rFonts w:cstheme="majorHAnsi"/>
        </w:rPr>
        <w:t xml:space="preserve"> </w:t>
      </w:r>
      <w:r w:rsidRPr="002D0E64">
        <w:rPr>
          <w:rFonts w:cstheme="majorHAnsi"/>
        </w:rPr>
        <w:t xml:space="preserve">advice. Improving coordination within the existing CDR structure should be prioritised in the short to medium term. The Review notes that </w:t>
      </w:r>
      <w:r w:rsidR="00961C4B" w:rsidRPr="002D0E64">
        <w:rPr>
          <w:rFonts w:cstheme="majorHAnsi"/>
        </w:rPr>
        <w:t>Government</w:t>
      </w:r>
      <w:r w:rsidR="00961C4B" w:rsidRPr="006B484E">
        <w:rPr>
          <w:rFonts w:cstheme="majorHAnsi"/>
        </w:rPr>
        <w:t xml:space="preserve"> incentives for private sector solutions to system management also appear to </w:t>
      </w:r>
      <w:r w:rsidR="00961C4B" w:rsidRPr="00B4410B">
        <w:rPr>
          <w:rFonts w:cstheme="majorHAnsi"/>
        </w:rPr>
        <w:t xml:space="preserve">be increasingly viable as </w:t>
      </w:r>
      <w:r w:rsidR="00D82E7C" w:rsidRPr="003B1689">
        <w:rPr>
          <w:rFonts w:cstheme="majorHAnsi"/>
        </w:rPr>
        <w:t xml:space="preserve">the </w:t>
      </w:r>
      <w:r w:rsidR="00961C4B" w:rsidRPr="00F527F8">
        <w:rPr>
          <w:rFonts w:cstheme="majorHAnsi"/>
        </w:rPr>
        <w:t>CDR grows and matures.</w:t>
      </w:r>
    </w:p>
    <w:p w14:paraId="2BC4E447" w14:textId="19C13092" w:rsidR="00961C4B" w:rsidRPr="002D0E64" w:rsidRDefault="00961C4B" w:rsidP="00F3484D">
      <w:pPr>
        <w:rPr>
          <w:rFonts w:cstheme="majorHAnsi"/>
        </w:rPr>
      </w:pPr>
      <w:r w:rsidRPr="00D52F92">
        <w:rPr>
          <w:rFonts w:cstheme="majorHAnsi"/>
        </w:rPr>
        <w:t>Comple</w:t>
      </w:r>
      <w:r w:rsidRPr="006E7399">
        <w:rPr>
          <w:rFonts w:cstheme="majorHAnsi"/>
        </w:rPr>
        <w:t xml:space="preserve">x obligations around data handling also present participants with various challenges. The delineation of obligations between </w:t>
      </w:r>
      <w:r w:rsidR="00D93069" w:rsidRPr="002C4DDB">
        <w:rPr>
          <w:rFonts w:cstheme="majorHAnsi"/>
        </w:rPr>
        <w:t>different</w:t>
      </w:r>
      <w:r w:rsidRPr="003C0FC4">
        <w:rPr>
          <w:rFonts w:cstheme="majorHAnsi"/>
        </w:rPr>
        <w:t xml:space="preserve"> instruments means participants take time to develop system understanding to ensure compliance. Technical considerations l</w:t>
      </w:r>
      <w:r w:rsidRPr="00587AA9">
        <w:rPr>
          <w:rFonts w:cstheme="majorHAnsi"/>
        </w:rPr>
        <w:t xml:space="preserve">ike those with consent flows appear to </w:t>
      </w:r>
      <w:r w:rsidRPr="002D0E64">
        <w:rPr>
          <w:rFonts w:cstheme="majorHAnsi"/>
        </w:rPr>
        <w:t>generat</w:t>
      </w:r>
      <w:r w:rsidR="00D52629" w:rsidRPr="002D0E64">
        <w:rPr>
          <w:rFonts w:cstheme="majorHAnsi"/>
        </w:rPr>
        <w:t>e</w:t>
      </w:r>
      <w:r w:rsidRPr="002D0E64">
        <w:rPr>
          <w:rFonts w:cstheme="majorHAnsi"/>
        </w:rPr>
        <w:t xml:space="preserve"> friction for consumers. </w:t>
      </w:r>
    </w:p>
    <w:p w14:paraId="05066F6D" w14:textId="69EB6369" w:rsidR="00265FE3" w:rsidRDefault="00265FE3" w:rsidP="00265FE3">
      <w:pPr>
        <w:pStyle w:val="Heading2"/>
      </w:pPr>
      <w:bookmarkStart w:id="30" w:name="_Toc106286069"/>
      <w:bookmarkStart w:id="31" w:name="_Toc106358379"/>
      <w:bookmarkStart w:id="32" w:name="_Toc106376903"/>
      <w:bookmarkStart w:id="33" w:name="_Toc110602862"/>
      <w:bookmarkEnd w:id="27"/>
      <w:r>
        <w:t xml:space="preserve">Part Three: </w:t>
      </w:r>
      <w:r w:rsidRPr="0004761A">
        <w:t xml:space="preserve">CDR </w:t>
      </w:r>
      <w:r w:rsidR="008840E6">
        <w:t>w</w:t>
      </w:r>
      <w:r w:rsidRPr="0004761A">
        <w:t xml:space="preserve">ithin </w:t>
      </w:r>
      <w:r w:rsidR="00DD556B">
        <w:t>an emerging d</w:t>
      </w:r>
      <w:r w:rsidRPr="0004761A">
        <w:t xml:space="preserve">igital </w:t>
      </w:r>
      <w:r w:rsidR="00DD556B">
        <w:t>e</w:t>
      </w:r>
      <w:r w:rsidRPr="0004761A">
        <w:t>conomy</w:t>
      </w:r>
      <w:bookmarkEnd w:id="30"/>
      <w:bookmarkEnd w:id="31"/>
      <w:bookmarkEnd w:id="32"/>
      <w:bookmarkEnd w:id="33"/>
    </w:p>
    <w:p w14:paraId="15CA83B5" w14:textId="593178C4" w:rsidR="00CC7D8F" w:rsidRPr="002D0E64" w:rsidRDefault="002A6C75" w:rsidP="00302FB5">
      <w:pPr>
        <w:rPr>
          <w:rFonts w:cstheme="majorHAnsi"/>
        </w:rPr>
      </w:pPr>
      <w:r w:rsidRPr="006B484E">
        <w:rPr>
          <w:rFonts w:cstheme="majorHAnsi"/>
        </w:rPr>
        <w:t xml:space="preserve">Part Three provides an overview of </w:t>
      </w:r>
      <w:r w:rsidR="003D42E0" w:rsidRPr="00B4410B">
        <w:rPr>
          <w:rFonts w:cstheme="majorHAnsi"/>
        </w:rPr>
        <w:t xml:space="preserve">areas </w:t>
      </w:r>
      <w:r w:rsidRPr="003B1689">
        <w:rPr>
          <w:rFonts w:cstheme="majorHAnsi"/>
        </w:rPr>
        <w:t>that</w:t>
      </w:r>
      <w:r w:rsidR="00CC7D8F" w:rsidRPr="00F527F8">
        <w:rPr>
          <w:rFonts w:cstheme="majorHAnsi"/>
        </w:rPr>
        <w:t xml:space="preserve"> were identified in which</w:t>
      </w:r>
      <w:r w:rsidRPr="008A6FE4">
        <w:rPr>
          <w:rFonts w:cstheme="majorHAnsi"/>
        </w:rPr>
        <w:t xml:space="preserve"> </w:t>
      </w:r>
      <w:r w:rsidR="00EE70D8">
        <w:rPr>
          <w:rFonts w:cstheme="majorHAnsi"/>
        </w:rPr>
        <w:t xml:space="preserve">the </w:t>
      </w:r>
      <w:r w:rsidRPr="008A6FE4">
        <w:rPr>
          <w:rFonts w:cstheme="majorHAnsi"/>
        </w:rPr>
        <w:t>CDR can provide new opportunities</w:t>
      </w:r>
      <w:r w:rsidR="00CC7D8F" w:rsidRPr="00D52F92">
        <w:rPr>
          <w:rFonts w:cstheme="majorHAnsi"/>
        </w:rPr>
        <w:t>;</w:t>
      </w:r>
      <w:r w:rsidRPr="006E7399">
        <w:rPr>
          <w:rFonts w:cstheme="majorHAnsi"/>
        </w:rPr>
        <w:t xml:space="preserve"> both</w:t>
      </w:r>
      <w:r w:rsidR="00CC7D8F" w:rsidRPr="002C4DDB">
        <w:rPr>
          <w:rFonts w:cstheme="majorHAnsi"/>
        </w:rPr>
        <w:t xml:space="preserve"> through</w:t>
      </w:r>
      <w:r w:rsidRPr="003C0FC4">
        <w:rPr>
          <w:rFonts w:cstheme="majorHAnsi"/>
        </w:rPr>
        <w:t xml:space="preserve"> its own </w:t>
      </w:r>
      <w:r w:rsidR="00CC7D8F" w:rsidRPr="00587AA9">
        <w:rPr>
          <w:rFonts w:cstheme="majorHAnsi"/>
        </w:rPr>
        <w:t xml:space="preserve">evolving </w:t>
      </w:r>
      <w:r w:rsidRPr="00446F4D">
        <w:rPr>
          <w:rFonts w:cstheme="majorHAnsi"/>
        </w:rPr>
        <w:t xml:space="preserve">functionality and </w:t>
      </w:r>
      <w:r w:rsidR="00CC7D8F" w:rsidRPr="002D0E64">
        <w:rPr>
          <w:rFonts w:cstheme="majorHAnsi"/>
        </w:rPr>
        <w:t xml:space="preserve">through </w:t>
      </w:r>
      <w:r w:rsidRPr="002D0E64">
        <w:rPr>
          <w:rFonts w:cstheme="majorHAnsi"/>
        </w:rPr>
        <w:t xml:space="preserve">interactions with the broader digital economy. </w:t>
      </w:r>
    </w:p>
    <w:p w14:paraId="47FE9C73" w14:textId="440E935F" w:rsidR="002A6C75" w:rsidRPr="002D0E64" w:rsidRDefault="002A6C75" w:rsidP="00600205">
      <w:pPr>
        <w:rPr>
          <w:rFonts w:cstheme="majorHAnsi"/>
        </w:rPr>
      </w:pPr>
      <w:r w:rsidRPr="002D0E64">
        <w:rPr>
          <w:rFonts w:cstheme="majorHAnsi"/>
        </w:rPr>
        <w:t xml:space="preserve">Technological and regulatory developments </w:t>
      </w:r>
      <w:r w:rsidR="009A48D0" w:rsidRPr="002D0E64">
        <w:rPr>
          <w:rFonts w:cstheme="majorHAnsi"/>
        </w:rPr>
        <w:t xml:space="preserve">offer </w:t>
      </w:r>
      <w:r w:rsidR="00D52629" w:rsidRPr="002D0E64">
        <w:rPr>
          <w:rFonts w:cstheme="majorHAnsi"/>
        </w:rPr>
        <w:t>the</w:t>
      </w:r>
      <w:r w:rsidR="009A48D0" w:rsidRPr="002D0E64">
        <w:rPr>
          <w:rFonts w:cstheme="majorHAnsi"/>
        </w:rPr>
        <w:t xml:space="preserve"> potential for </w:t>
      </w:r>
      <w:r w:rsidR="00A21F84">
        <w:rPr>
          <w:rFonts w:cstheme="majorHAnsi"/>
        </w:rPr>
        <w:t>alignment</w:t>
      </w:r>
      <w:r w:rsidR="00A21F84" w:rsidRPr="002D0E64">
        <w:rPr>
          <w:rFonts w:cstheme="majorHAnsi"/>
        </w:rPr>
        <w:t xml:space="preserve"> </w:t>
      </w:r>
      <w:r w:rsidR="008840E6" w:rsidRPr="002D0E64">
        <w:rPr>
          <w:rFonts w:cstheme="majorHAnsi"/>
        </w:rPr>
        <w:t>between other initiatives and the CDR. Care must be taken to avoid</w:t>
      </w:r>
      <w:r w:rsidR="009A48D0" w:rsidRPr="002D0E64">
        <w:rPr>
          <w:rFonts w:cstheme="majorHAnsi"/>
        </w:rPr>
        <w:t xml:space="preserve"> duplicat</w:t>
      </w:r>
      <w:r w:rsidR="00D52629" w:rsidRPr="002D0E64">
        <w:rPr>
          <w:rFonts w:cstheme="majorHAnsi"/>
        </w:rPr>
        <w:t>e</w:t>
      </w:r>
      <w:r w:rsidR="009A48D0" w:rsidRPr="002D0E64">
        <w:rPr>
          <w:rFonts w:cstheme="majorHAnsi"/>
        </w:rPr>
        <w:t xml:space="preserve"> obligations or </w:t>
      </w:r>
      <w:r w:rsidR="00A37389" w:rsidRPr="002D0E64">
        <w:rPr>
          <w:rFonts w:cstheme="majorHAnsi"/>
        </w:rPr>
        <w:t xml:space="preserve">infrastructure </w:t>
      </w:r>
      <w:r w:rsidR="009A48D0" w:rsidRPr="002D0E64">
        <w:rPr>
          <w:rFonts w:cstheme="majorHAnsi"/>
        </w:rPr>
        <w:t>in areas like payments</w:t>
      </w:r>
      <w:r w:rsidR="00D52629" w:rsidRPr="002D0E64">
        <w:rPr>
          <w:rFonts w:cstheme="majorHAnsi"/>
        </w:rPr>
        <w:t>, digital identity</w:t>
      </w:r>
      <w:r w:rsidR="009A48D0" w:rsidRPr="002D0E64">
        <w:rPr>
          <w:rFonts w:cstheme="majorHAnsi"/>
        </w:rPr>
        <w:t xml:space="preserve"> and other data transfer </w:t>
      </w:r>
      <w:r w:rsidR="00B92EE5" w:rsidRPr="002D0E64">
        <w:rPr>
          <w:rFonts w:cstheme="majorHAnsi"/>
        </w:rPr>
        <w:t>initiatives</w:t>
      </w:r>
      <w:r w:rsidR="009A48D0" w:rsidRPr="002D0E64">
        <w:rPr>
          <w:rFonts w:cstheme="majorHAnsi"/>
        </w:rPr>
        <w:t>.</w:t>
      </w:r>
    </w:p>
    <w:p w14:paraId="4AA4329A" w14:textId="7C74E271" w:rsidR="00265FE3" w:rsidRPr="002D0E64" w:rsidRDefault="00265FE3" w:rsidP="00265FE3">
      <w:pPr>
        <w:rPr>
          <w:rFonts w:cstheme="majorHAnsi"/>
        </w:rPr>
      </w:pPr>
      <w:r w:rsidRPr="002D0E64">
        <w:rPr>
          <w:rFonts w:cstheme="majorHAnsi"/>
        </w:rPr>
        <w:t xml:space="preserve">A key area of the digital economy that has seen significant and rapid development is payments. The New Payments Platform (NPP) </w:t>
      </w:r>
      <w:r w:rsidR="00373EB7">
        <w:rPr>
          <w:rFonts w:cstheme="majorHAnsi"/>
        </w:rPr>
        <w:t>has</w:t>
      </w:r>
      <w:r w:rsidRPr="002D0E64">
        <w:rPr>
          <w:rFonts w:cstheme="majorHAnsi"/>
        </w:rPr>
        <w:t xml:space="preserve"> already demonstrated improvements to consumer payment experiences and promise</w:t>
      </w:r>
      <w:r w:rsidR="00373EB7">
        <w:rPr>
          <w:rFonts w:cstheme="majorHAnsi"/>
        </w:rPr>
        <w:t>s</w:t>
      </w:r>
      <w:r w:rsidRPr="002D0E64">
        <w:rPr>
          <w:rFonts w:cstheme="majorHAnsi"/>
        </w:rPr>
        <w:t xml:space="preserve"> to deliver further consumer value in the coming years</w:t>
      </w:r>
      <w:r w:rsidR="00373EB7">
        <w:rPr>
          <w:rFonts w:cstheme="majorHAnsi"/>
        </w:rPr>
        <w:t>, including through its PayTo service</w:t>
      </w:r>
      <w:r w:rsidRPr="002D0E64">
        <w:rPr>
          <w:rFonts w:cstheme="majorHAnsi"/>
        </w:rPr>
        <w:t xml:space="preserve">. Further development of the CDR should consider how its unique framework for secure transfers of consumer, product and service data can integrate with and augment existing </w:t>
      </w:r>
      <w:r w:rsidR="00EF70E2">
        <w:rPr>
          <w:rFonts w:cstheme="majorHAnsi"/>
        </w:rPr>
        <w:t>and emerging</w:t>
      </w:r>
      <w:r w:rsidRPr="002D0E64">
        <w:rPr>
          <w:rFonts w:cstheme="majorHAnsi"/>
        </w:rPr>
        <w:t xml:space="preserve"> </w:t>
      </w:r>
      <w:r w:rsidR="00EF70E2">
        <w:rPr>
          <w:rFonts w:cstheme="majorHAnsi"/>
        </w:rPr>
        <w:t xml:space="preserve">payment </w:t>
      </w:r>
      <w:r w:rsidRPr="002D0E64">
        <w:rPr>
          <w:rFonts w:cstheme="majorHAnsi"/>
        </w:rPr>
        <w:t>channels.</w:t>
      </w:r>
    </w:p>
    <w:p w14:paraId="18360A13" w14:textId="60CE084A" w:rsidR="00265FE3" w:rsidRDefault="00265FE3" w:rsidP="00F3484D">
      <w:r w:rsidRPr="002D0E64">
        <w:rPr>
          <w:rFonts w:cstheme="majorHAnsi"/>
        </w:rPr>
        <w:t xml:space="preserve">Alongside these </w:t>
      </w:r>
      <w:r w:rsidRPr="00F3484D">
        <w:rPr>
          <w:rFonts w:cstheme="majorHAnsi"/>
        </w:rPr>
        <w:t>technological advances, there ha</w:t>
      </w:r>
      <w:r w:rsidR="00D82E7C" w:rsidRPr="00F3484D">
        <w:rPr>
          <w:rFonts w:cstheme="majorHAnsi"/>
        </w:rPr>
        <w:t>ve</w:t>
      </w:r>
      <w:r w:rsidRPr="00F3484D">
        <w:rPr>
          <w:rFonts w:cstheme="majorHAnsi"/>
        </w:rPr>
        <w:t xml:space="preserve"> also been relevant advances and updates to the</w:t>
      </w:r>
      <w:r w:rsidRPr="00F3484D">
        <w:t xml:space="preserve"> legislative framework of Australia’s digital economy</w:t>
      </w:r>
      <w:r w:rsidR="00A05B51" w:rsidRPr="00F3484D">
        <w:t>, f</w:t>
      </w:r>
      <w:r w:rsidRPr="00F3484D">
        <w:t>or example</w:t>
      </w:r>
      <w:r w:rsidR="00A05B51" w:rsidRPr="00F3484D">
        <w:t>,</w:t>
      </w:r>
      <w:r w:rsidRPr="00F3484D">
        <w:t xml:space="preserve"> the recent DATA 2022 and the ongoing </w:t>
      </w:r>
      <w:r w:rsidRPr="00F3484D">
        <w:rPr>
          <w:i/>
          <w:iCs/>
        </w:rPr>
        <w:t xml:space="preserve">Privacy Act 1988 </w:t>
      </w:r>
      <w:r w:rsidRPr="00F3484D">
        <w:t xml:space="preserve">review. The CDR is already a </w:t>
      </w:r>
      <w:r w:rsidRPr="00F3484D">
        <w:rPr>
          <w:rFonts w:cstheme="majorHAnsi"/>
        </w:rPr>
        <w:t>complex statutory framework and</w:t>
      </w:r>
      <w:r w:rsidR="00A05B51" w:rsidRPr="00F3484D">
        <w:rPr>
          <w:rFonts w:cstheme="majorHAnsi"/>
        </w:rPr>
        <w:t>,</w:t>
      </w:r>
      <w:r w:rsidRPr="00F3484D">
        <w:rPr>
          <w:rFonts w:cstheme="majorHAnsi"/>
        </w:rPr>
        <w:t xml:space="preserve"> where possible</w:t>
      </w:r>
      <w:r w:rsidR="00A05B51" w:rsidRPr="00F3484D">
        <w:rPr>
          <w:rFonts w:cstheme="majorHAnsi"/>
        </w:rPr>
        <w:t>,</w:t>
      </w:r>
      <w:r w:rsidRPr="00F3484D">
        <w:rPr>
          <w:rFonts w:cstheme="majorHAnsi"/>
        </w:rPr>
        <w:t xml:space="preserve"> should </w:t>
      </w:r>
      <w:r w:rsidR="00A05B51" w:rsidRPr="00F3484D">
        <w:rPr>
          <w:rFonts w:cstheme="majorHAnsi"/>
        </w:rPr>
        <w:t xml:space="preserve">try to </w:t>
      </w:r>
      <w:r w:rsidRPr="00F3484D">
        <w:rPr>
          <w:rFonts w:cstheme="majorHAnsi"/>
        </w:rPr>
        <w:t xml:space="preserve">integrate and operate in </w:t>
      </w:r>
      <w:r w:rsidR="00D7189F" w:rsidRPr="00F3484D">
        <w:rPr>
          <w:rFonts w:cstheme="majorHAnsi"/>
        </w:rPr>
        <w:t xml:space="preserve">alignment </w:t>
      </w:r>
      <w:r w:rsidRPr="00F3484D">
        <w:rPr>
          <w:rFonts w:cstheme="majorHAnsi"/>
        </w:rPr>
        <w:t>with other government initiatives</w:t>
      </w:r>
      <w:r w:rsidR="00D52629" w:rsidRPr="00F3484D">
        <w:rPr>
          <w:rFonts w:cstheme="majorHAnsi"/>
        </w:rPr>
        <w:t>.</w:t>
      </w:r>
    </w:p>
    <w:p w14:paraId="0E6692A6" w14:textId="710AB997" w:rsidR="00265FE3" w:rsidRDefault="00265FE3" w:rsidP="00265FE3">
      <w:pPr>
        <w:pStyle w:val="Heading2"/>
      </w:pPr>
      <w:bookmarkStart w:id="34" w:name="_Toc106286070"/>
      <w:bookmarkStart w:id="35" w:name="_Toc106358380"/>
      <w:bookmarkStart w:id="36" w:name="_Toc106376904"/>
      <w:bookmarkStart w:id="37" w:name="_Toc110602863"/>
      <w:r w:rsidRPr="005C4C5C">
        <w:t xml:space="preserve">Part Four: </w:t>
      </w:r>
      <w:r w:rsidR="00CA5F16" w:rsidRPr="005C4C5C">
        <w:t xml:space="preserve">Other </w:t>
      </w:r>
      <w:r w:rsidR="00CF6E6C" w:rsidRPr="005C4C5C">
        <w:t>issues</w:t>
      </w:r>
      <w:r w:rsidR="00CA5F16" w:rsidRPr="005C4C5C">
        <w:t xml:space="preserve"> raised in submissions</w:t>
      </w:r>
      <w:bookmarkEnd w:id="34"/>
      <w:bookmarkEnd w:id="35"/>
      <w:bookmarkEnd w:id="36"/>
      <w:bookmarkEnd w:id="37"/>
    </w:p>
    <w:p w14:paraId="7220960D" w14:textId="1322F088" w:rsidR="00BF4EAE" w:rsidRPr="00446F4D" w:rsidRDefault="00E30C95" w:rsidP="00F3484D">
      <w:pPr>
        <w:rPr>
          <w:rFonts w:cstheme="majorHAnsi"/>
        </w:rPr>
      </w:pPr>
      <w:r w:rsidRPr="006B484E">
        <w:rPr>
          <w:rFonts w:cstheme="majorHAnsi"/>
        </w:rPr>
        <w:t>Part Fo</w:t>
      </w:r>
      <w:r w:rsidRPr="005C4C5C">
        <w:rPr>
          <w:rFonts w:cstheme="majorHAnsi"/>
        </w:rPr>
        <w:t xml:space="preserve">ur </w:t>
      </w:r>
      <w:r w:rsidR="0023042E" w:rsidRPr="005C4C5C">
        <w:rPr>
          <w:rFonts w:cstheme="majorHAnsi"/>
        </w:rPr>
        <w:t>covers</w:t>
      </w:r>
      <w:r w:rsidRPr="005C4C5C" w:rsidDel="00CF6E6C">
        <w:rPr>
          <w:rFonts w:cstheme="majorHAnsi"/>
        </w:rPr>
        <w:t xml:space="preserve"> </w:t>
      </w:r>
      <w:r w:rsidR="00526467" w:rsidRPr="005C4C5C">
        <w:rPr>
          <w:rFonts w:cstheme="majorHAnsi"/>
        </w:rPr>
        <w:t xml:space="preserve">additional suggestions from stakeholders that could be </w:t>
      </w:r>
      <w:r w:rsidR="00526467" w:rsidRPr="005C4C5C" w:rsidDel="00165BDE">
        <w:rPr>
          <w:rFonts w:cstheme="majorHAnsi"/>
        </w:rPr>
        <w:t xml:space="preserve">adopted or </w:t>
      </w:r>
      <w:r w:rsidR="00526467" w:rsidRPr="005C4C5C">
        <w:rPr>
          <w:rFonts w:cstheme="majorHAnsi"/>
        </w:rPr>
        <w:t>considered in the future development of the scheme</w:t>
      </w:r>
      <w:r w:rsidRPr="005C4C5C">
        <w:rPr>
          <w:rFonts w:cstheme="majorHAnsi"/>
        </w:rPr>
        <w:t xml:space="preserve"> such</w:t>
      </w:r>
      <w:r w:rsidRPr="003B1689">
        <w:rPr>
          <w:rFonts w:cstheme="majorHAnsi"/>
        </w:rPr>
        <w:t xml:space="preserve"> as possible changes to </w:t>
      </w:r>
      <w:r w:rsidR="0024784E" w:rsidRPr="00F527F8">
        <w:rPr>
          <w:rFonts w:cstheme="majorHAnsi"/>
        </w:rPr>
        <w:t xml:space="preserve">the objects, </w:t>
      </w:r>
      <w:r w:rsidRPr="008A6FE4">
        <w:rPr>
          <w:rFonts w:cstheme="majorHAnsi"/>
        </w:rPr>
        <w:t>rules</w:t>
      </w:r>
      <w:r w:rsidR="0024784E" w:rsidRPr="00D52F92">
        <w:rPr>
          <w:rFonts w:cstheme="majorHAnsi"/>
        </w:rPr>
        <w:t xml:space="preserve"> </w:t>
      </w:r>
      <w:r w:rsidR="00E8043B" w:rsidRPr="006E7399">
        <w:rPr>
          <w:rFonts w:cstheme="majorHAnsi"/>
        </w:rPr>
        <w:t>or the</w:t>
      </w:r>
      <w:r w:rsidR="0024784E" w:rsidRPr="002C4DDB">
        <w:rPr>
          <w:rFonts w:cstheme="majorHAnsi"/>
        </w:rPr>
        <w:t xml:space="preserve"> consumer testing processes</w:t>
      </w:r>
      <w:r w:rsidR="00E8043B" w:rsidRPr="003C0FC4">
        <w:rPr>
          <w:rFonts w:cstheme="majorHAnsi"/>
        </w:rPr>
        <w:t>.</w:t>
      </w:r>
      <w:r w:rsidR="00147AE1" w:rsidRPr="00587AA9">
        <w:rPr>
          <w:rFonts w:cstheme="majorHAnsi"/>
        </w:rPr>
        <w:t xml:space="preserve"> </w:t>
      </w:r>
      <w:bookmarkEnd w:id="28"/>
    </w:p>
    <w:p w14:paraId="3495F191" w14:textId="77777777" w:rsidR="00E23AB5" w:rsidRDefault="00E23AB5">
      <w:pPr>
        <w:spacing w:before="0" w:after="160" w:line="259" w:lineRule="auto"/>
        <w:rPr>
          <w:rFonts w:ascii="Calibri" w:hAnsi="Calibri" w:cs="Arial"/>
          <w:iCs/>
          <w:color w:val="2C384A"/>
          <w:kern w:val="32"/>
          <w:sz w:val="36"/>
          <w:szCs w:val="28"/>
        </w:rPr>
      </w:pPr>
      <w:r>
        <w:br w:type="page"/>
      </w:r>
    </w:p>
    <w:p w14:paraId="3E516093" w14:textId="1A2B08DC" w:rsidR="00923E8C" w:rsidRDefault="00923E8C" w:rsidP="00923E8C">
      <w:pPr>
        <w:pStyle w:val="Heading2"/>
      </w:pPr>
      <w:bookmarkStart w:id="38" w:name="_Toc110602864"/>
      <w:r>
        <w:lastRenderedPageBreak/>
        <w:t>Findings and recommendations from the Review</w:t>
      </w:r>
      <w:bookmarkEnd w:id="38"/>
    </w:p>
    <w:p w14:paraId="52F2C104" w14:textId="1FFA1B2C" w:rsidR="00923E8C" w:rsidRPr="00F527F8" w:rsidRDefault="00923E8C" w:rsidP="00F3484D">
      <w:pPr>
        <w:rPr>
          <w:rFonts w:cstheme="majorHAnsi"/>
        </w:rPr>
      </w:pPr>
      <w:r w:rsidRPr="006B484E">
        <w:rPr>
          <w:rFonts w:cstheme="majorHAnsi"/>
        </w:rPr>
        <w:t xml:space="preserve">The underlying conclusion of the Review is that the </w:t>
      </w:r>
      <w:r w:rsidR="00E6039E">
        <w:rPr>
          <w:rFonts w:cstheme="majorHAnsi"/>
        </w:rPr>
        <w:t>s</w:t>
      </w:r>
      <w:r w:rsidRPr="006B484E">
        <w:rPr>
          <w:rFonts w:cstheme="majorHAnsi"/>
        </w:rPr>
        <w:t xml:space="preserve">tatutory </w:t>
      </w:r>
      <w:r w:rsidR="00E6039E">
        <w:rPr>
          <w:rFonts w:cstheme="majorHAnsi"/>
        </w:rPr>
        <w:t>f</w:t>
      </w:r>
      <w:r w:rsidRPr="00B4410B">
        <w:rPr>
          <w:rFonts w:cstheme="majorHAnsi"/>
        </w:rPr>
        <w:t xml:space="preserve">ramework has been broadly effective in the rollout of the CDR to date, and that it is </w:t>
      </w:r>
      <w:r w:rsidR="00297BD6">
        <w:rPr>
          <w:rFonts w:cstheme="majorHAnsi"/>
        </w:rPr>
        <w:t>sufficiently</w:t>
      </w:r>
      <w:r w:rsidR="00297BD6" w:rsidRPr="00B4410B">
        <w:rPr>
          <w:rFonts w:cstheme="majorHAnsi"/>
        </w:rPr>
        <w:t xml:space="preserve"> </w:t>
      </w:r>
      <w:r w:rsidRPr="00B4410B">
        <w:rPr>
          <w:rFonts w:cstheme="majorHAnsi"/>
        </w:rPr>
        <w:t xml:space="preserve">flexible to accommodate further changes to achieve CDR policy objectives. The Review </w:t>
      </w:r>
      <w:r w:rsidRPr="000A76B8">
        <w:rPr>
          <w:rFonts w:cstheme="majorHAnsi"/>
        </w:rPr>
        <w:t>offers 1</w:t>
      </w:r>
      <w:r w:rsidR="00FF0B2F" w:rsidRPr="000A76B8">
        <w:rPr>
          <w:rFonts w:cstheme="majorHAnsi"/>
        </w:rPr>
        <w:t>5</w:t>
      </w:r>
      <w:r w:rsidRPr="000A76B8">
        <w:rPr>
          <w:rFonts w:cstheme="majorHAnsi"/>
        </w:rPr>
        <w:t xml:space="preserve"> findings and </w:t>
      </w:r>
      <w:r w:rsidR="00D36925" w:rsidRPr="000A76B8">
        <w:rPr>
          <w:rFonts w:cstheme="majorHAnsi"/>
        </w:rPr>
        <w:t>1</w:t>
      </w:r>
      <w:r w:rsidR="00812151" w:rsidRPr="000A76B8">
        <w:rPr>
          <w:rFonts w:cstheme="majorHAnsi"/>
        </w:rPr>
        <w:t>6</w:t>
      </w:r>
      <w:r w:rsidRPr="000A76B8">
        <w:rPr>
          <w:rFonts w:cstheme="majorHAnsi"/>
        </w:rPr>
        <w:t xml:space="preserve"> recommendations that</w:t>
      </w:r>
      <w:r w:rsidRPr="006B484E">
        <w:rPr>
          <w:rFonts w:cstheme="majorHAnsi"/>
        </w:rPr>
        <w:t xml:space="preserve"> provide specific comments </w:t>
      </w:r>
      <w:r w:rsidRPr="00B4410B">
        <w:rPr>
          <w:rFonts w:cstheme="majorHAnsi"/>
        </w:rPr>
        <w:t xml:space="preserve">on the state of the CDR as well as suggested changes to the </w:t>
      </w:r>
      <w:r w:rsidR="00E6039E">
        <w:rPr>
          <w:rFonts w:cstheme="majorHAnsi"/>
        </w:rPr>
        <w:t>s</w:t>
      </w:r>
      <w:r w:rsidRPr="00B4410B">
        <w:rPr>
          <w:rFonts w:cstheme="majorHAnsi"/>
        </w:rPr>
        <w:t xml:space="preserve">tatutory </w:t>
      </w:r>
      <w:r w:rsidR="00E6039E">
        <w:rPr>
          <w:rFonts w:cstheme="majorHAnsi"/>
        </w:rPr>
        <w:t>f</w:t>
      </w:r>
      <w:r w:rsidRPr="00B4410B">
        <w:rPr>
          <w:rFonts w:cstheme="majorHAnsi"/>
        </w:rPr>
        <w:t xml:space="preserve">ramework. Findings provide a summary of </w:t>
      </w:r>
      <w:r w:rsidR="00297BD6">
        <w:rPr>
          <w:rFonts w:cstheme="majorHAnsi"/>
        </w:rPr>
        <w:t xml:space="preserve">significant </w:t>
      </w:r>
      <w:r w:rsidRPr="00B4410B">
        <w:rPr>
          <w:rFonts w:cstheme="majorHAnsi"/>
        </w:rPr>
        <w:t xml:space="preserve">insights from </w:t>
      </w:r>
      <w:r w:rsidR="00297BD6">
        <w:rPr>
          <w:rFonts w:cstheme="majorHAnsi"/>
        </w:rPr>
        <w:t>the review process</w:t>
      </w:r>
      <w:r w:rsidRPr="00B4410B">
        <w:rPr>
          <w:rFonts w:cstheme="majorHAnsi"/>
        </w:rPr>
        <w:t xml:space="preserve">, </w:t>
      </w:r>
      <w:r w:rsidR="00297BD6">
        <w:rPr>
          <w:rFonts w:cstheme="majorHAnsi"/>
        </w:rPr>
        <w:t xml:space="preserve">while </w:t>
      </w:r>
      <w:r w:rsidRPr="00B4410B">
        <w:rPr>
          <w:rFonts w:cstheme="majorHAnsi"/>
        </w:rPr>
        <w:t xml:space="preserve">recommendations offer direct suggestions for changes to the </w:t>
      </w:r>
      <w:r w:rsidR="00E6039E">
        <w:rPr>
          <w:rFonts w:cstheme="majorHAnsi"/>
        </w:rPr>
        <w:t>s</w:t>
      </w:r>
      <w:r w:rsidRPr="00B4410B">
        <w:rPr>
          <w:rFonts w:cstheme="majorHAnsi"/>
        </w:rPr>
        <w:t>tatuto</w:t>
      </w:r>
      <w:r w:rsidRPr="003B1689">
        <w:rPr>
          <w:rFonts w:cstheme="majorHAnsi"/>
        </w:rPr>
        <w:t xml:space="preserve">ry </w:t>
      </w:r>
      <w:r w:rsidR="00E6039E">
        <w:rPr>
          <w:rFonts w:cstheme="majorHAnsi"/>
        </w:rPr>
        <w:t>f</w:t>
      </w:r>
      <w:r w:rsidRPr="003B1689">
        <w:rPr>
          <w:rFonts w:cstheme="majorHAnsi"/>
        </w:rPr>
        <w:t xml:space="preserve">ramework. </w:t>
      </w:r>
      <w:r w:rsidR="000B3C2E">
        <w:rPr>
          <w:rFonts w:cstheme="majorHAnsi"/>
        </w:rPr>
        <w:t>F</w:t>
      </w:r>
      <w:r w:rsidRPr="003B1689">
        <w:rPr>
          <w:rFonts w:cstheme="majorHAnsi"/>
        </w:rPr>
        <w:t xml:space="preserve">indings </w:t>
      </w:r>
      <w:r w:rsidR="000B3C2E">
        <w:rPr>
          <w:rFonts w:cstheme="majorHAnsi"/>
        </w:rPr>
        <w:t>may also</w:t>
      </w:r>
      <w:r w:rsidRPr="003B1689">
        <w:rPr>
          <w:rFonts w:cstheme="majorHAnsi"/>
        </w:rPr>
        <w:t xml:space="preserve"> suggest a direction for possible resolutions to issues and </w:t>
      </w:r>
      <w:r w:rsidR="000B3C2E">
        <w:rPr>
          <w:rFonts w:cstheme="majorHAnsi"/>
        </w:rPr>
        <w:t>prompts</w:t>
      </w:r>
      <w:r w:rsidRPr="003B1689">
        <w:rPr>
          <w:rFonts w:cstheme="majorHAnsi"/>
        </w:rPr>
        <w:t xml:space="preserve"> for future discussion. </w:t>
      </w:r>
    </w:p>
    <w:p w14:paraId="6209A730" w14:textId="77777777" w:rsidR="0029460E" w:rsidRDefault="0029460E" w:rsidP="0029460E">
      <w:pPr>
        <w:pStyle w:val="Heading2"/>
      </w:pPr>
      <w:bookmarkStart w:id="39" w:name="_Toc110602865"/>
      <w:r>
        <w:t>Consultation Process</w:t>
      </w:r>
      <w:bookmarkEnd w:id="39"/>
    </w:p>
    <w:p w14:paraId="275FD227" w14:textId="77777777" w:rsidR="0029460E" w:rsidRPr="003B1689" w:rsidRDefault="0029460E" w:rsidP="0029460E">
      <w:pPr>
        <w:rPr>
          <w:rFonts w:cstheme="majorHAnsi"/>
        </w:rPr>
      </w:pPr>
      <w:r w:rsidRPr="006B484E">
        <w:rPr>
          <w:rFonts w:cstheme="majorHAnsi"/>
        </w:rPr>
        <w:t>The Review published an Issues Paper on 16 March 2022, calling for submissions from interested stakeho</w:t>
      </w:r>
      <w:r w:rsidRPr="00B4410B">
        <w:rPr>
          <w:rFonts w:cstheme="majorHAnsi"/>
        </w:rPr>
        <w:t xml:space="preserve">lders on any or all aspects of the terms of reference by 20 May 2022. </w:t>
      </w:r>
    </w:p>
    <w:p w14:paraId="220DE35C" w14:textId="2AF20592" w:rsidR="0029460E" w:rsidRPr="00B4410B" w:rsidRDefault="0029460E" w:rsidP="0029460E">
      <w:pPr>
        <w:rPr>
          <w:rFonts w:cstheme="majorHAnsi"/>
        </w:rPr>
      </w:pPr>
      <w:r w:rsidRPr="00F527F8">
        <w:rPr>
          <w:rFonts w:cstheme="majorHAnsi"/>
        </w:rPr>
        <w:t>The Review received 4</w:t>
      </w:r>
      <w:r w:rsidR="0078565D">
        <w:rPr>
          <w:rFonts w:cstheme="majorHAnsi"/>
        </w:rPr>
        <w:t>6</w:t>
      </w:r>
      <w:r w:rsidRPr="00F527F8">
        <w:rPr>
          <w:rFonts w:cstheme="majorHAnsi"/>
        </w:rPr>
        <w:t xml:space="preserve"> submissions in response (which are noted </w:t>
      </w:r>
      <w:r w:rsidRPr="000A76B8">
        <w:rPr>
          <w:rFonts w:cstheme="majorHAnsi"/>
        </w:rPr>
        <w:t xml:space="preserve">in </w:t>
      </w:r>
      <w:r w:rsidRPr="000A76B8">
        <w:rPr>
          <w:rFonts w:cstheme="majorHAnsi"/>
          <w:u w:val="single"/>
        </w:rPr>
        <w:t>Appendix B</w:t>
      </w:r>
      <w:r w:rsidRPr="006B484E">
        <w:rPr>
          <w:rFonts w:cstheme="majorHAnsi"/>
        </w:rPr>
        <w:t xml:space="preserve">), from a wide range of stakeholders including: </w:t>
      </w:r>
    </w:p>
    <w:p w14:paraId="09D7F4F3" w14:textId="77777777" w:rsidR="0029460E" w:rsidRPr="0071035C" w:rsidRDefault="0029460E" w:rsidP="00D4755B">
      <w:pPr>
        <w:pStyle w:val="Bullet"/>
      </w:pPr>
      <w:r w:rsidRPr="0071035C">
        <w:t>Fintech businesses.</w:t>
      </w:r>
    </w:p>
    <w:p w14:paraId="3CDCCE6B" w14:textId="77777777" w:rsidR="0029460E" w:rsidRPr="0071035C" w:rsidRDefault="0029460E" w:rsidP="00D4755B">
      <w:pPr>
        <w:pStyle w:val="Bullet"/>
      </w:pPr>
      <w:r w:rsidRPr="0071035C">
        <w:t>Industry bodies.</w:t>
      </w:r>
    </w:p>
    <w:p w14:paraId="7DE7A4ED" w14:textId="77777777" w:rsidR="0029460E" w:rsidRPr="0071035C" w:rsidRDefault="0029460E" w:rsidP="00D4755B">
      <w:pPr>
        <w:pStyle w:val="Bullet"/>
      </w:pPr>
      <w:r w:rsidRPr="0071035C">
        <w:t>Consumer and privacy groups.</w:t>
      </w:r>
    </w:p>
    <w:p w14:paraId="3AAF11EF" w14:textId="77777777" w:rsidR="0029460E" w:rsidRPr="0071035C" w:rsidRDefault="0029460E" w:rsidP="00D4755B">
      <w:pPr>
        <w:pStyle w:val="Bullet"/>
      </w:pPr>
      <w:r w:rsidRPr="0071035C">
        <w:t>Private individuals.</w:t>
      </w:r>
    </w:p>
    <w:p w14:paraId="694FBEC9" w14:textId="77777777" w:rsidR="0029460E" w:rsidRPr="0071035C" w:rsidRDefault="0029460E" w:rsidP="00D4755B">
      <w:pPr>
        <w:pStyle w:val="Bullet"/>
      </w:pPr>
      <w:r w:rsidRPr="0071035C">
        <w:t>Regulators and other government agencies.</w:t>
      </w:r>
    </w:p>
    <w:p w14:paraId="3357115E" w14:textId="77777777" w:rsidR="0029460E" w:rsidRPr="0071035C" w:rsidRDefault="0029460E" w:rsidP="00D4755B">
      <w:pPr>
        <w:pStyle w:val="Bullet"/>
      </w:pPr>
      <w:r w:rsidRPr="0071035C">
        <w:t>Banking and financial services sector.</w:t>
      </w:r>
    </w:p>
    <w:p w14:paraId="2E420FA7" w14:textId="77777777" w:rsidR="0029460E" w:rsidRPr="0071035C" w:rsidRDefault="0029460E" w:rsidP="00D4755B">
      <w:pPr>
        <w:pStyle w:val="Bullet"/>
      </w:pPr>
      <w:r w:rsidRPr="0071035C">
        <w:t>Energy providers.</w:t>
      </w:r>
    </w:p>
    <w:p w14:paraId="7D45FC4B" w14:textId="424F5EFC" w:rsidR="00E30C95" w:rsidRPr="00D52F92" w:rsidRDefault="0029460E" w:rsidP="00600205">
      <w:pPr>
        <w:rPr>
          <w:rFonts w:cstheme="majorHAnsi"/>
        </w:rPr>
      </w:pPr>
      <w:r w:rsidRPr="006B484E">
        <w:rPr>
          <w:rFonts w:cstheme="majorHAnsi"/>
        </w:rPr>
        <w:t>To supplement information gathered through formal submissions, the Review secretariat met with a wide range of stakeholders. In t</w:t>
      </w:r>
      <w:r w:rsidRPr="00B4410B">
        <w:rPr>
          <w:rFonts w:cstheme="majorHAnsi"/>
        </w:rPr>
        <w:t>otal</w:t>
      </w:r>
      <w:r w:rsidRPr="00885603">
        <w:rPr>
          <w:rFonts w:cstheme="majorHAnsi"/>
        </w:rPr>
        <w:t xml:space="preserve">, </w:t>
      </w:r>
      <w:r w:rsidR="00885603" w:rsidRPr="00885603">
        <w:rPr>
          <w:rFonts w:cstheme="majorHAnsi"/>
        </w:rPr>
        <w:t>44</w:t>
      </w:r>
      <w:r w:rsidRPr="00885603">
        <w:rPr>
          <w:rFonts w:cstheme="majorHAnsi"/>
        </w:rPr>
        <w:t xml:space="preserve"> </w:t>
      </w:r>
      <w:r w:rsidR="00885603" w:rsidRPr="00885603">
        <w:rPr>
          <w:rFonts w:cstheme="majorHAnsi"/>
        </w:rPr>
        <w:t>engagements</w:t>
      </w:r>
      <w:r w:rsidR="00885603">
        <w:rPr>
          <w:rFonts w:cstheme="majorHAnsi"/>
        </w:rPr>
        <w:t xml:space="preserve"> </w:t>
      </w:r>
      <w:r w:rsidRPr="00F527F8">
        <w:rPr>
          <w:rFonts w:cstheme="majorHAnsi"/>
        </w:rPr>
        <w:t>were held with representatives from industry, consumer and privacy advocates, banks, fintechs, subject-area experts, government agencies and</w:t>
      </w:r>
      <w:r w:rsidRPr="008A6FE4">
        <w:rPr>
          <w:rFonts w:cstheme="majorHAnsi"/>
        </w:rPr>
        <w:t xml:space="preserve"> regulators and other interested parties.</w:t>
      </w:r>
    </w:p>
    <w:bookmarkEnd w:id="29"/>
    <w:p w14:paraId="63364A16" w14:textId="584E1990" w:rsidR="00265FE3" w:rsidRPr="00C824BA" w:rsidRDefault="00265FE3" w:rsidP="00600205">
      <w:pPr>
        <w:pStyle w:val="Bullet"/>
        <w:numPr>
          <w:ilvl w:val="0"/>
          <w:numId w:val="0"/>
        </w:numPr>
      </w:pPr>
      <w:r>
        <w:br w:type="page"/>
      </w:r>
    </w:p>
    <w:p w14:paraId="1EDC10BB" w14:textId="186BDAE5" w:rsidR="00AD4B28" w:rsidRDefault="00AD4B28" w:rsidP="00AD4B28">
      <w:pPr>
        <w:pStyle w:val="Heading1"/>
      </w:pPr>
      <w:bookmarkStart w:id="40" w:name="_Toc110602866"/>
      <w:r>
        <w:lastRenderedPageBreak/>
        <w:t>Fi</w:t>
      </w:r>
      <w:r w:rsidRPr="007702DC">
        <w:t>ndings</w:t>
      </w:r>
      <w:bookmarkEnd w:id="40"/>
    </w:p>
    <w:p w14:paraId="7B7A9ACA" w14:textId="77777777" w:rsidR="00AD4B28" w:rsidRDefault="00AD4B28" w:rsidP="00AD4B28"/>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25A56170" w14:textId="77777777" w:rsidTr="0093239C">
        <w:tc>
          <w:tcPr>
            <w:tcW w:w="5000" w:type="pct"/>
            <w:shd w:val="clear" w:color="auto" w:fill="F2F9FC"/>
            <w:hideMark/>
          </w:tcPr>
          <w:p w14:paraId="299134D1" w14:textId="77777777" w:rsidR="00AD4B28" w:rsidRPr="00CE4B29" w:rsidRDefault="00AD4B28" w:rsidP="00037E60">
            <w:pPr>
              <w:pStyle w:val="BoxHeading"/>
            </w:pPr>
            <w:r w:rsidRPr="00CE4B29">
              <w:t>Finding 1.1</w:t>
            </w:r>
          </w:p>
          <w:p w14:paraId="42A3EC19" w14:textId="77777777" w:rsidR="00AD4B28" w:rsidRPr="00CE4B29" w:rsidRDefault="00AD4B28" w:rsidP="00037E60">
            <w:pPr>
              <w:pStyle w:val="BoxText"/>
              <w:rPr>
                <w:b/>
                <w:color w:val="2C384A" w:themeColor="accent1"/>
              </w:rPr>
            </w:pPr>
            <w:r w:rsidRPr="00CE4B29">
              <w:rPr>
                <w:color w:val="2C384A" w:themeColor="accent1"/>
              </w:rPr>
              <w:t>The Review has found that the objects of Part IVD of the Act are broadly fit for purpose and will continue to support the economy-wide expansion of the CDR into the medium term.</w:t>
            </w:r>
          </w:p>
        </w:tc>
      </w:tr>
    </w:tbl>
    <w:p w14:paraId="5497BDCF"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67E615FD" w14:textId="77777777" w:rsidTr="0093239C">
        <w:tc>
          <w:tcPr>
            <w:tcW w:w="5000" w:type="pct"/>
            <w:shd w:val="clear" w:color="auto" w:fill="F2F9FC"/>
            <w:hideMark/>
          </w:tcPr>
          <w:p w14:paraId="5C5989E9" w14:textId="77777777" w:rsidR="00AD4B28" w:rsidRPr="00CE4B29" w:rsidRDefault="00AD4B28" w:rsidP="00037E60">
            <w:pPr>
              <w:pStyle w:val="BoxHeading"/>
            </w:pPr>
            <w:r w:rsidRPr="00CE4B29">
              <w:t>Finding 1.2</w:t>
            </w:r>
          </w:p>
          <w:p w14:paraId="720C9612" w14:textId="77777777" w:rsidR="00AD4B28" w:rsidRPr="00CE4B29" w:rsidRDefault="00AD4B28" w:rsidP="00037E60">
            <w:pPr>
              <w:pStyle w:val="BoxText"/>
              <w:rPr>
                <w:color w:val="2C384A" w:themeColor="accent1"/>
                <w:sz w:val="28"/>
                <w:szCs w:val="28"/>
              </w:rPr>
            </w:pPr>
            <w:r w:rsidRPr="00CE4B29">
              <w:rPr>
                <w:color w:val="2C384A" w:themeColor="accent1"/>
              </w:rPr>
              <w:t>In developing the CDR, multiple agencies are seeking regular feedback from a wide range of stakeholders. CDR participants, particularly smaller ones, have found it difficult to engage with these successive consultation processes. Consultation is important to successfully implement the CDR, however, the extent and scope of consultation are barriers particularly for smaller participants and consumer groups. Without better coordination or consideration of ways to lessen the consultation load, there may be adverse competition outcomes that are contrary to the policy objectives of the CDR.</w:t>
            </w:r>
          </w:p>
        </w:tc>
      </w:tr>
    </w:tbl>
    <w:p w14:paraId="00E68905"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1FEAE0FE" w14:textId="77777777" w:rsidTr="0093239C">
        <w:tc>
          <w:tcPr>
            <w:tcW w:w="5000" w:type="pct"/>
            <w:shd w:val="clear" w:color="auto" w:fill="F2F9FC"/>
            <w:hideMark/>
          </w:tcPr>
          <w:p w14:paraId="27232CD4" w14:textId="77777777" w:rsidR="00AD4B28" w:rsidRPr="00CE4B29" w:rsidRDefault="00AD4B28" w:rsidP="00037E60">
            <w:pPr>
              <w:pStyle w:val="BoxHeading"/>
            </w:pPr>
            <w:r w:rsidRPr="00CE4B29">
              <w:t>Finding 1.3</w:t>
            </w:r>
          </w:p>
          <w:p w14:paraId="0B7B9AB6" w14:textId="77777777" w:rsidR="00AD4B28" w:rsidRPr="00CE4B29" w:rsidRDefault="00AD4B28" w:rsidP="00037E60">
            <w:pPr>
              <w:pStyle w:val="BoxText"/>
              <w:ind w:right="227"/>
              <w:rPr>
                <w:color w:val="2C384A" w:themeColor="accent1"/>
              </w:rPr>
            </w:pPr>
            <w:r w:rsidRPr="00CE4B29">
              <w:rPr>
                <w:color w:val="2C384A" w:themeColor="accent1"/>
              </w:rPr>
              <w:t>Submissions recognised the risks associated with enabling direct-to-consumer data sharing under the CDR, particularly at this point in time. While many submissions supported this form of sharing in principle, few were able to offer examples of tangible consumer benefits that could justify enabling sharing in the presence of these risks. The Review finds that the statutory framework may require further consideration in the future if direct-to-consumer data sharing is to be enabled, particularly in relation to liability for loss. As the CDR matures, the risks associated with direct-to-consumer data sharing may decrease, at which point enabling data transfers should be reconsidered.</w:t>
            </w:r>
          </w:p>
        </w:tc>
      </w:tr>
    </w:tbl>
    <w:p w14:paraId="10C63A32"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0901C315" w14:textId="77777777" w:rsidTr="0093239C">
        <w:tc>
          <w:tcPr>
            <w:tcW w:w="5000" w:type="pct"/>
            <w:shd w:val="clear" w:color="auto" w:fill="F2F9FC"/>
            <w:hideMark/>
          </w:tcPr>
          <w:p w14:paraId="1FB337B1" w14:textId="77777777" w:rsidR="00AD4B28" w:rsidRPr="00CE4B29" w:rsidRDefault="00AD4B28" w:rsidP="00037E60">
            <w:pPr>
              <w:pStyle w:val="BoxHeading"/>
            </w:pPr>
            <w:r w:rsidRPr="00CE4B29">
              <w:t>Finding 2.1</w:t>
            </w:r>
          </w:p>
          <w:p w14:paraId="396C40E1" w14:textId="46B82206" w:rsidR="00AD4B28" w:rsidRPr="00CE4B29" w:rsidRDefault="00AD4B28" w:rsidP="00037E60">
            <w:pPr>
              <w:pStyle w:val="BoxText"/>
              <w:rPr>
                <w:color w:val="2C384A" w:themeColor="accent1"/>
              </w:rPr>
            </w:pPr>
            <w:r w:rsidRPr="00CE4B29" w:rsidDel="0011719E">
              <w:rPr>
                <w:color w:val="2C384A" w:themeColor="accent1"/>
              </w:rPr>
              <w:t>D</w:t>
            </w:r>
            <w:r w:rsidRPr="00CE4B29">
              <w:rPr>
                <w:color w:val="2C384A" w:themeColor="accent1"/>
              </w:rPr>
              <w:t>ata quality is limiting</w:t>
            </w:r>
            <w:r w:rsidRPr="00CE4B29" w:rsidDel="0011719E">
              <w:rPr>
                <w:color w:val="2C384A" w:themeColor="accent1"/>
              </w:rPr>
              <w:t xml:space="preserve"> </w:t>
            </w:r>
            <w:r w:rsidRPr="00CE4B29">
              <w:rPr>
                <w:color w:val="2C384A" w:themeColor="accent1"/>
              </w:rPr>
              <w:t xml:space="preserve">the wider adoption of the CDR. </w:t>
            </w:r>
            <w:r w:rsidR="00DF7FF6" w:rsidRPr="00CE4B29">
              <w:rPr>
                <w:color w:val="2C384A" w:themeColor="accent1"/>
              </w:rPr>
              <w:t>Addressing it as a priority, including through enforcement actions when necessary, will increase participant confidence in the CDR, leading to the development of new CDR products that benefit consumers and decrease reliance on risky practises like screen scraping.</w:t>
            </w:r>
          </w:p>
        </w:tc>
      </w:tr>
    </w:tbl>
    <w:p w14:paraId="23A5B56D"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4E6A0286" w14:textId="77777777" w:rsidTr="0093239C">
        <w:tc>
          <w:tcPr>
            <w:tcW w:w="5000" w:type="pct"/>
            <w:shd w:val="clear" w:color="auto" w:fill="F2F9FC"/>
            <w:hideMark/>
          </w:tcPr>
          <w:p w14:paraId="272DE44D" w14:textId="77777777" w:rsidR="00AD4B28" w:rsidRPr="00CE4B29" w:rsidRDefault="00AD4B28" w:rsidP="00037E60">
            <w:pPr>
              <w:pStyle w:val="BoxHeading"/>
            </w:pPr>
            <w:r w:rsidRPr="00CE4B29">
              <w:lastRenderedPageBreak/>
              <w:t>Finding 2.2</w:t>
            </w:r>
          </w:p>
          <w:p w14:paraId="269C1F50" w14:textId="77777777" w:rsidR="00AD4B28" w:rsidRPr="00CE4B29" w:rsidRDefault="00AD4B28" w:rsidP="00037E60">
            <w:pPr>
              <w:pStyle w:val="BoxText"/>
              <w:rPr>
                <w:color w:val="2C384A" w:themeColor="accent1"/>
              </w:rPr>
            </w:pPr>
            <w:r w:rsidRPr="00CE4B29">
              <w:rPr>
                <w:color w:val="2C384A" w:themeColor="accent1"/>
              </w:rPr>
              <w:t>The consent process is central to CDR’s realisation of informed consumer decision making and delivery of</w:t>
            </w:r>
            <w:r w:rsidRPr="00CE4B29" w:rsidDel="00DD594B">
              <w:rPr>
                <w:color w:val="2C384A" w:themeColor="accent1"/>
              </w:rPr>
              <w:t xml:space="preserve"> </w:t>
            </w:r>
            <w:r w:rsidRPr="00CE4B29">
              <w:rPr>
                <w:color w:val="2C384A" w:themeColor="accent1"/>
              </w:rPr>
              <w:t>consumer benefits. Complex consent processes may limit participation in the CDR and contribute to ‘consent fatigue’, which may undermine genuine consumer consent. As the CDR evolves, the consent process should be monitored and adjusted to ensure benefits are realised, and as the CDR expands to include actions and payments, further consideration should be given to other consent models, such as bundling of consents.</w:t>
            </w:r>
          </w:p>
        </w:tc>
      </w:tr>
    </w:tbl>
    <w:p w14:paraId="53EFACF0"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19B8EA2A" w14:textId="77777777" w:rsidTr="0093239C">
        <w:tc>
          <w:tcPr>
            <w:tcW w:w="5000" w:type="pct"/>
            <w:shd w:val="clear" w:color="auto" w:fill="F2F9FC"/>
            <w:hideMark/>
          </w:tcPr>
          <w:p w14:paraId="2CCA605C" w14:textId="77777777" w:rsidR="00AD4B28" w:rsidRPr="00CE4B29" w:rsidRDefault="00AD4B28" w:rsidP="00037E60">
            <w:pPr>
              <w:pStyle w:val="BoxHeading"/>
            </w:pPr>
            <w:r w:rsidRPr="00CE4B29">
              <w:t>Finding 2.3</w:t>
            </w:r>
          </w:p>
          <w:p w14:paraId="6ADF75D9" w14:textId="77777777" w:rsidR="00AD4B28" w:rsidRPr="00CE4B29" w:rsidRDefault="00AD4B28" w:rsidP="00037E60">
            <w:pPr>
              <w:pStyle w:val="BoxText"/>
              <w:rPr>
                <w:color w:val="2C384A" w:themeColor="accent1"/>
              </w:rPr>
            </w:pPr>
            <w:r w:rsidRPr="00CE4B29">
              <w:rPr>
                <w:color w:val="2C384A" w:themeColor="accent1"/>
              </w:rPr>
              <w:t xml:space="preserve">The Review heard from participants that their experience in the CDR has been compliance focussed to date. Concerns were raised by participants about complex and overly prescriptive rules and standards that have prevented them from focusing on developing new products and services. As the system develops and matures, including through the introduction of action initiation, consideration should be given to ways that implementation can reduce the complexity associated with rules and standards for participants. </w:t>
            </w:r>
          </w:p>
        </w:tc>
      </w:tr>
    </w:tbl>
    <w:p w14:paraId="65FC0920"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110335FC" w14:textId="77777777" w:rsidTr="0093239C">
        <w:tc>
          <w:tcPr>
            <w:tcW w:w="5000" w:type="pct"/>
            <w:shd w:val="clear" w:color="auto" w:fill="F2F9FC"/>
            <w:hideMark/>
          </w:tcPr>
          <w:p w14:paraId="10F6EF7D" w14:textId="77777777" w:rsidR="00AD4B28" w:rsidRPr="00CE4B29" w:rsidRDefault="00AD4B28" w:rsidP="00037E60">
            <w:pPr>
              <w:pStyle w:val="BoxHeading"/>
            </w:pPr>
            <w:r w:rsidRPr="00CE4B29">
              <w:t>Finding 2.4</w:t>
            </w:r>
          </w:p>
          <w:p w14:paraId="6C4E403C" w14:textId="77777777" w:rsidR="00AD4B28" w:rsidRPr="00CE4B29" w:rsidRDefault="00AD4B28" w:rsidP="00037E60">
            <w:pPr>
              <w:pStyle w:val="BoxText"/>
              <w:ind w:right="170"/>
              <w:rPr>
                <w:color w:val="2C384A" w:themeColor="accent1"/>
              </w:rPr>
            </w:pPr>
            <w:r w:rsidRPr="00CE4B29">
              <w:rPr>
                <w:color w:val="2C384A" w:themeColor="accent1"/>
              </w:rPr>
              <w:t>The introduction of new access pathways, such as the representative and sponsor-affiliate model, has increased available avenues for participation in the CDR. Government should monitor participation and uptake to ensure settings remain appropriate. If a particular model or pathway has low uptake, further exploration should be done to understand why it is not being used and to affirm that liability settings are meeting desired policy outcomes.</w:t>
            </w:r>
          </w:p>
        </w:tc>
      </w:tr>
    </w:tbl>
    <w:p w14:paraId="433AC583"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4CB1E837" w14:textId="77777777" w:rsidTr="0093239C">
        <w:tc>
          <w:tcPr>
            <w:tcW w:w="5000" w:type="pct"/>
            <w:shd w:val="clear" w:color="auto" w:fill="F2F9FC"/>
            <w:hideMark/>
          </w:tcPr>
          <w:p w14:paraId="40B7F893" w14:textId="77777777" w:rsidR="00AD4B28" w:rsidRPr="00CE4B29" w:rsidRDefault="00AD4B28" w:rsidP="00037E60">
            <w:pPr>
              <w:pStyle w:val="BoxHeading"/>
            </w:pPr>
            <w:r w:rsidRPr="00CE4B29">
              <w:t>Finding 2.5</w:t>
            </w:r>
          </w:p>
          <w:p w14:paraId="6CC7EBE7" w14:textId="77777777" w:rsidR="00AD4B28" w:rsidRPr="00CE4B29" w:rsidRDefault="00AD4B28" w:rsidP="00037E60">
            <w:pPr>
              <w:pStyle w:val="BoxText"/>
              <w:rPr>
                <w:color w:val="2C384A" w:themeColor="accent1"/>
              </w:rPr>
            </w:pPr>
            <w:r w:rsidRPr="00CE4B29">
              <w:rPr>
                <w:color w:val="2C384A" w:themeColor="accent1"/>
              </w:rPr>
              <w:t>As the CDR gains momentum and the incentives to participate increase, reciprocal data holder obligations should be monitored to ensure they are appropriately supporting the growth of a vibrant CDR ecosystem.</w:t>
            </w:r>
          </w:p>
        </w:tc>
      </w:tr>
    </w:tbl>
    <w:p w14:paraId="60266404" w14:textId="77777777" w:rsidR="00AD4B28" w:rsidRPr="00CE4B29" w:rsidRDefault="00AD4B28" w:rsidP="00AD4B28">
      <w:pPr>
        <w:rPr>
          <w:color w:val="2C384A" w:themeColor="accent1"/>
        </w:rPr>
      </w:pPr>
    </w:p>
    <w:p w14:paraId="3BD7C5B8" w14:textId="77777777" w:rsidR="00AD4B28" w:rsidRPr="00CE4B29" w:rsidRDefault="00AD4B28" w:rsidP="00AD4B28">
      <w:pPr>
        <w:rPr>
          <w:color w:val="2C384A" w:themeColor="accent1"/>
        </w:rPr>
      </w:pPr>
    </w:p>
    <w:p w14:paraId="5FC8FCA2"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585B852E" w14:textId="77777777" w:rsidTr="0093239C">
        <w:tc>
          <w:tcPr>
            <w:tcW w:w="5000" w:type="pct"/>
            <w:shd w:val="clear" w:color="auto" w:fill="F2F9FC"/>
            <w:hideMark/>
          </w:tcPr>
          <w:p w14:paraId="3C90B60F" w14:textId="77777777" w:rsidR="00AD4B28" w:rsidRPr="00CE4B29" w:rsidRDefault="00AD4B28" w:rsidP="00037E60">
            <w:pPr>
              <w:pStyle w:val="BoxHeading"/>
            </w:pPr>
            <w:r w:rsidRPr="00CE4B29">
              <w:lastRenderedPageBreak/>
              <w:t>Finding 3.1</w:t>
            </w:r>
          </w:p>
          <w:p w14:paraId="16A523CF" w14:textId="74F5A31A" w:rsidR="00AD4B28" w:rsidRPr="00CE4B29" w:rsidRDefault="00AD4B28" w:rsidP="00037E60">
            <w:pPr>
              <w:pStyle w:val="BoxText"/>
              <w:ind w:right="283"/>
              <w:rPr>
                <w:color w:val="2C384A" w:themeColor="accent1"/>
              </w:rPr>
            </w:pPr>
            <w:r w:rsidRPr="00CE4B29">
              <w:rPr>
                <w:color w:val="2C384A" w:themeColor="accent1"/>
              </w:rPr>
              <w:t>The CDR has the potential to provide benefits to millions of small businesses across Australia but, at present, participation is low. The Government should consider settings to facilitate small business participation, such as consent durations</w:t>
            </w:r>
            <w:r w:rsidR="00C75CD6" w:rsidRPr="00CE4B29">
              <w:rPr>
                <w:color w:val="2C384A" w:themeColor="accent1"/>
              </w:rPr>
              <w:t>,</w:t>
            </w:r>
            <w:r w:rsidRPr="00CE4B29">
              <w:rPr>
                <w:color w:val="2C384A" w:themeColor="accent1"/>
              </w:rPr>
              <w:t xml:space="preserve"> data handling and deletion </w:t>
            </w:r>
            <w:r w:rsidR="00C75CD6" w:rsidRPr="00CE4B29">
              <w:rPr>
                <w:color w:val="2C384A" w:themeColor="accent1"/>
              </w:rPr>
              <w:t>setting</w:t>
            </w:r>
            <w:r w:rsidRPr="00CE4B29">
              <w:rPr>
                <w:color w:val="2C384A" w:themeColor="accent1"/>
              </w:rPr>
              <w:t xml:space="preserve"> requirements. </w:t>
            </w:r>
            <w:r w:rsidR="00C75CD6" w:rsidRPr="00CE4B29">
              <w:rPr>
                <w:color w:val="2C384A" w:themeColor="accent1"/>
              </w:rPr>
              <w:t>Derived data settings should also be revisited to ensure that they remain appropriately calibrated and reflective of data disclosure needs and uses.</w:t>
            </w:r>
          </w:p>
        </w:tc>
      </w:tr>
    </w:tbl>
    <w:p w14:paraId="4A110C67"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7F5A88D6" w14:textId="77777777" w:rsidTr="0093239C">
        <w:tc>
          <w:tcPr>
            <w:tcW w:w="5000" w:type="pct"/>
            <w:shd w:val="clear" w:color="auto" w:fill="F2F9FC"/>
            <w:hideMark/>
          </w:tcPr>
          <w:p w14:paraId="0B15AB54" w14:textId="77777777" w:rsidR="00AD4B28" w:rsidRPr="00CE4B29" w:rsidRDefault="00AD4B28" w:rsidP="00037E60">
            <w:pPr>
              <w:pStyle w:val="BoxHeading"/>
            </w:pPr>
            <w:r w:rsidRPr="00CE4B29">
              <w:t>Finding 3.2</w:t>
            </w:r>
          </w:p>
          <w:p w14:paraId="595A7C2C" w14:textId="0AB5FE02" w:rsidR="00AD4B28" w:rsidRPr="00CE4B29" w:rsidRDefault="00AD4B28" w:rsidP="00037E60">
            <w:pPr>
              <w:pStyle w:val="BoxText"/>
              <w:ind w:right="227"/>
              <w:rPr>
                <w:color w:val="2C384A" w:themeColor="accent1"/>
              </w:rPr>
            </w:pPr>
            <w:r w:rsidRPr="00CE4B29">
              <w:rPr>
                <w:color w:val="2C384A" w:themeColor="accent1"/>
              </w:rPr>
              <w:t>Expanding the CDR to deliver cross-sectoral use cases will require a method of consumer identification that spans different sectors and interactions. This will require utilisation of identity solutions beyond the existing unique identifiers adopted in energy, financial and telecommunications sectors to enable seamless user experiences.</w:t>
            </w:r>
          </w:p>
        </w:tc>
      </w:tr>
    </w:tbl>
    <w:p w14:paraId="4F406650"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2A570218" w14:textId="77777777" w:rsidTr="0093239C">
        <w:tc>
          <w:tcPr>
            <w:tcW w:w="5000" w:type="pct"/>
            <w:shd w:val="clear" w:color="auto" w:fill="F2F9FC"/>
            <w:hideMark/>
          </w:tcPr>
          <w:p w14:paraId="74A1EC8B" w14:textId="77777777" w:rsidR="00AD4B28" w:rsidRPr="00CE4B29" w:rsidRDefault="00AD4B28" w:rsidP="00BD086F">
            <w:pPr>
              <w:pStyle w:val="BoxHeading"/>
            </w:pPr>
            <w:r w:rsidRPr="00CE4B29">
              <w:t>Finding 3.3</w:t>
            </w:r>
          </w:p>
          <w:p w14:paraId="02FC7667" w14:textId="77777777" w:rsidR="00AD4B28" w:rsidRPr="00CE4B29" w:rsidRDefault="00AD4B28" w:rsidP="00BD086F">
            <w:pPr>
              <w:pStyle w:val="BoxText"/>
              <w:rPr>
                <w:color w:val="2C384A" w:themeColor="accent1"/>
              </w:rPr>
            </w:pPr>
            <w:r w:rsidRPr="00CE4B29">
              <w:rPr>
                <w:color w:val="2C384A" w:themeColor="accent1"/>
              </w:rPr>
              <w:t>Prioritising the development of the CDR as an internationally interoperable data portability initiative will deliver significant consumer benefits by way of a greater willingness for participation from international product and service offerings.</w:t>
            </w:r>
          </w:p>
        </w:tc>
      </w:tr>
    </w:tbl>
    <w:p w14:paraId="66F820CB"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62569EFE" w14:textId="77777777" w:rsidTr="0093239C">
        <w:tc>
          <w:tcPr>
            <w:tcW w:w="5000" w:type="pct"/>
            <w:shd w:val="clear" w:color="auto" w:fill="F2F9FC"/>
            <w:hideMark/>
          </w:tcPr>
          <w:p w14:paraId="580F06ED" w14:textId="1F9591F0" w:rsidR="00AD4B28" w:rsidRPr="00CE4B29" w:rsidRDefault="00AD4B28" w:rsidP="00BD086F">
            <w:pPr>
              <w:pStyle w:val="BoxHeading"/>
            </w:pPr>
            <w:r w:rsidRPr="00CE4B29">
              <w:t>Finding 3.4</w:t>
            </w:r>
          </w:p>
          <w:p w14:paraId="5389A39D" w14:textId="6C95C9CF" w:rsidR="00AD4B28" w:rsidRPr="00CE4B29" w:rsidRDefault="00C75CD6" w:rsidP="00BD086F">
            <w:pPr>
              <w:pStyle w:val="BoxText"/>
              <w:ind w:right="227"/>
              <w:rPr>
                <w:color w:val="2C384A" w:themeColor="accent1"/>
              </w:rPr>
            </w:pPr>
            <w:r w:rsidRPr="00CE4B29">
              <w:rPr>
                <w:color w:val="2C384A" w:themeColor="accent1"/>
              </w:rPr>
              <w:t xml:space="preserve">Protections provided by the CDR are designed to ensure the integrity of the scheme is maintained as it moves across each sector working alongside the </w:t>
            </w:r>
            <w:r w:rsidRPr="00CE4B29">
              <w:rPr>
                <w:i/>
                <w:color w:val="2C384A" w:themeColor="accent1"/>
              </w:rPr>
              <w:t>Privacy Act 1988</w:t>
            </w:r>
            <w:r w:rsidRPr="00CE4B29">
              <w:rPr>
                <w:color w:val="2C384A" w:themeColor="accent1"/>
              </w:rPr>
              <w:t xml:space="preserve">. Where opportunities for alignment with the </w:t>
            </w:r>
            <w:r w:rsidRPr="00CE4B29">
              <w:rPr>
                <w:i/>
                <w:color w:val="2C384A" w:themeColor="accent1"/>
              </w:rPr>
              <w:t>Privacy Act 1988</w:t>
            </w:r>
            <w:r w:rsidRPr="00CE4B29">
              <w:rPr>
                <w:color w:val="2C384A" w:themeColor="accent1"/>
              </w:rPr>
              <w:t xml:space="preserve"> are identified, the CDR protections should be reviewed to reduce duplication and increase alignment.</w:t>
            </w:r>
          </w:p>
        </w:tc>
      </w:tr>
    </w:tbl>
    <w:p w14:paraId="21D158A1"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4EB9EE7A" w14:textId="77777777" w:rsidTr="0093239C">
        <w:tc>
          <w:tcPr>
            <w:tcW w:w="5000" w:type="pct"/>
            <w:shd w:val="clear" w:color="auto" w:fill="F2F9FC"/>
            <w:hideMark/>
          </w:tcPr>
          <w:p w14:paraId="7741E37D" w14:textId="77777777" w:rsidR="00AD4B28" w:rsidRPr="00CE4B29" w:rsidRDefault="00AD4B28" w:rsidP="00BD086F">
            <w:pPr>
              <w:pStyle w:val="BoxHeading"/>
            </w:pPr>
            <w:r w:rsidRPr="00CE4B29">
              <w:t>Finding 3.5</w:t>
            </w:r>
          </w:p>
          <w:p w14:paraId="35C12BCC" w14:textId="711CBB46" w:rsidR="00AD4B28" w:rsidRPr="00CE4B29" w:rsidRDefault="00C75CD6" w:rsidP="00BD086F">
            <w:pPr>
              <w:pStyle w:val="BoxText"/>
              <w:rPr>
                <w:rFonts w:ascii="Calibri" w:hAnsi="Calibri"/>
                <w:color w:val="2C384A" w:themeColor="accent1"/>
              </w:rPr>
            </w:pPr>
            <w:r w:rsidRPr="00CE4B29">
              <w:rPr>
                <w:color w:val="2C384A" w:themeColor="accent1"/>
              </w:rPr>
              <w:t xml:space="preserve">The regulatory environment that the CDR operates within is complex. Where possible, the CDR should seek opportunities for alignment with other regulatory </w:t>
            </w:r>
            <w:r w:rsidR="00800395" w:rsidRPr="00CE4B29">
              <w:rPr>
                <w:color w:val="2C384A" w:themeColor="accent1"/>
              </w:rPr>
              <w:t>schemes</w:t>
            </w:r>
            <w:r w:rsidRPr="00CE4B29">
              <w:rPr>
                <w:color w:val="2C384A" w:themeColor="accent1"/>
              </w:rPr>
              <w:t xml:space="preserve">, limiting duplication and overlapping regulatory obligations to make the CDR easier to navigate, reducing additional compliance burdens and confusion for participants. </w:t>
            </w:r>
          </w:p>
        </w:tc>
      </w:tr>
    </w:tbl>
    <w:p w14:paraId="4DFE8F18"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09BF53DF" w14:textId="77777777" w:rsidTr="0093239C">
        <w:tc>
          <w:tcPr>
            <w:tcW w:w="5000" w:type="pct"/>
            <w:shd w:val="clear" w:color="auto" w:fill="F2F9FC"/>
            <w:hideMark/>
          </w:tcPr>
          <w:p w14:paraId="39C45E37" w14:textId="77777777" w:rsidR="00AD4B28" w:rsidRPr="00CE4B29" w:rsidRDefault="00AD4B28" w:rsidP="00BD086F">
            <w:pPr>
              <w:pStyle w:val="BoxHeading"/>
            </w:pPr>
            <w:r w:rsidRPr="00CE4B29">
              <w:lastRenderedPageBreak/>
              <w:t>Finding 3.6</w:t>
            </w:r>
          </w:p>
          <w:p w14:paraId="3D5F3D4C" w14:textId="7569E79B" w:rsidR="00AD4B28" w:rsidRPr="00CE4B29" w:rsidRDefault="00C75CD6" w:rsidP="00BD086F">
            <w:pPr>
              <w:pStyle w:val="BoxText"/>
              <w:ind w:right="397"/>
              <w:rPr>
                <w:color w:val="2C384A" w:themeColor="accent1"/>
              </w:rPr>
            </w:pPr>
            <w:r w:rsidRPr="00CE4B29">
              <w:rPr>
                <w:color w:val="2C384A" w:themeColor="accent1"/>
              </w:rPr>
              <w:t>There is significant enthusiasm for the delivery of action initiation under the CDR, with many submissions noting the opportunities for the CDR to capitalise on concurrent work being undertaken within payments systems, such as PayTo. Where possible, the CDR should work in conjunction with other initiatives to minimise potential friction points and reduce regulatory compliance for participants, with the objective to create more streamlined consumer experiences.</w:t>
            </w:r>
          </w:p>
        </w:tc>
      </w:tr>
    </w:tbl>
    <w:p w14:paraId="0C013B87" w14:textId="77777777" w:rsidR="00AD4B28" w:rsidRPr="00CE4B29" w:rsidRDefault="00AD4B28" w:rsidP="00AD4B28">
      <w:pPr>
        <w:rPr>
          <w:color w:val="2C384A" w:themeColor="accent1"/>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E4B29" w:rsidRPr="00CE4B29" w14:paraId="7BDE9412" w14:textId="77777777" w:rsidTr="0093239C">
        <w:tc>
          <w:tcPr>
            <w:tcW w:w="5000" w:type="pct"/>
            <w:shd w:val="clear" w:color="auto" w:fill="F2F9FC"/>
            <w:hideMark/>
          </w:tcPr>
          <w:p w14:paraId="26554F49" w14:textId="77777777" w:rsidR="00AD4B28" w:rsidRPr="00CE4B29" w:rsidRDefault="00AD4B28" w:rsidP="00BD086F">
            <w:pPr>
              <w:pStyle w:val="BoxHeading"/>
            </w:pPr>
            <w:r w:rsidRPr="00CE4B29">
              <w:t>Finding 3.7</w:t>
            </w:r>
          </w:p>
          <w:p w14:paraId="31CF6190" w14:textId="77777777" w:rsidR="00AD4B28" w:rsidRPr="00CE4B29" w:rsidRDefault="00AD4B28" w:rsidP="00BD086F">
            <w:pPr>
              <w:pStyle w:val="BoxText"/>
              <w:ind w:right="340"/>
              <w:rPr>
                <w:color w:val="2C384A" w:themeColor="accent1"/>
              </w:rPr>
            </w:pPr>
            <w:r w:rsidRPr="00CE4B29">
              <w:rPr>
                <w:color w:val="2C384A" w:themeColor="accent1"/>
              </w:rPr>
              <w:t>Consider a future statutory review within the next five years. This review may consider direct-to-consumer data sharing, the implementation and governance arrangements of the CDR and other digital economy initiatives, reciprocal data holder obligations, as well as any other issues that arise.</w:t>
            </w:r>
          </w:p>
        </w:tc>
      </w:tr>
    </w:tbl>
    <w:p w14:paraId="24E370AD" w14:textId="77777777" w:rsidR="00AD4B28" w:rsidRDefault="00AD4B28" w:rsidP="00AD4B28"/>
    <w:p w14:paraId="44665352" w14:textId="77777777" w:rsidR="00AD4B28" w:rsidRDefault="00AD4B28" w:rsidP="00AD4B28">
      <w:pPr>
        <w:rPr>
          <w:rFonts w:ascii="Calibri" w:hAnsi="Calibri" w:cs="Arial"/>
          <w:color w:val="5D779D" w:themeColor="accent3"/>
          <w:kern w:val="32"/>
          <w:sz w:val="44"/>
          <w:szCs w:val="36"/>
        </w:rPr>
      </w:pPr>
      <w:r>
        <w:br w:type="page"/>
      </w:r>
    </w:p>
    <w:p w14:paraId="24974CA7" w14:textId="726A9517" w:rsidR="00AD4B28" w:rsidRDefault="00AD4B28" w:rsidP="00AD4B28">
      <w:pPr>
        <w:pStyle w:val="Heading1"/>
      </w:pPr>
      <w:bookmarkStart w:id="41" w:name="_Toc110602867"/>
      <w:r>
        <w:lastRenderedPageBreak/>
        <w:t>Recommendations</w:t>
      </w:r>
      <w:bookmarkEnd w:id="41"/>
    </w:p>
    <w:p w14:paraId="5B6470AB" w14:textId="77777777" w:rsidR="00AD4B28" w:rsidRDefault="00AD4B28" w:rsidP="00AD4B28">
      <w:pPr>
        <w:pStyle w:val="ListParagraph"/>
        <w:spacing w:after="0"/>
        <w:ind w:left="0"/>
        <w:contextualSpacing w:val="0"/>
      </w:pPr>
    </w:p>
    <w:tbl>
      <w:tblPr>
        <w:tblStyle w:val="TableGrid"/>
        <w:tblW w:w="5006"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83"/>
      </w:tblGrid>
      <w:tr w:rsidR="00AD4B28" w14:paraId="4E75BA1A" w14:textId="77777777" w:rsidTr="00BD086F">
        <w:trPr>
          <w:cnfStyle w:val="100000000000" w:firstRow="1" w:lastRow="0" w:firstColumn="0" w:lastColumn="0" w:oddVBand="0" w:evenVBand="0" w:oddHBand="0" w:evenHBand="0" w:firstRowFirstColumn="0" w:firstRowLastColumn="0" w:lastRowFirstColumn="0" w:lastRowLastColumn="0"/>
          <w:trHeight w:val="1631"/>
        </w:trPr>
        <w:tc>
          <w:tcPr>
            <w:tcW w:w="0" w:type="pct"/>
            <w:shd w:val="clear" w:color="auto" w:fill="FCEEE5" w:themeFill="accent6" w:themeFillTint="33"/>
            <w:hideMark/>
          </w:tcPr>
          <w:p w14:paraId="37432D55" w14:textId="77777777" w:rsidR="00AD4B28" w:rsidRPr="00822EF9" w:rsidRDefault="00AD4B28" w:rsidP="00BD086F">
            <w:pPr>
              <w:pStyle w:val="BoxHeading"/>
            </w:pPr>
            <w:r w:rsidRPr="00BD086F">
              <w:t>Recommendation 1.1</w:t>
            </w:r>
          </w:p>
          <w:p w14:paraId="272EEE39" w14:textId="6A6F85A2" w:rsidR="00AD4B28" w:rsidRPr="00511A43" w:rsidRDefault="00AD4B28" w:rsidP="00BD086F">
            <w:pPr>
              <w:pStyle w:val="BoxText"/>
            </w:pPr>
            <w:r w:rsidRPr="00D4755B">
              <w:rPr>
                <w:szCs w:val="24"/>
              </w:rPr>
              <w:t xml:space="preserve">In the short to medium term, the existing sector-by-sector approach can support the inclusion of targeted datasets that enable cross-sectoral use cases. </w:t>
            </w:r>
            <w:r w:rsidR="00270284" w:rsidRPr="00167D86">
              <w:rPr>
                <w:szCs w:val="24"/>
              </w:rPr>
              <w:t>Further consideration should be given to whether the sectoral approach for expansion is sufficiently fl</w:t>
            </w:r>
            <w:r w:rsidR="00270284" w:rsidRPr="00E6039E">
              <w:rPr>
                <w:szCs w:val="24"/>
              </w:rPr>
              <w:t>exible to support continued rollout of the CDR, with particular consideration given to introducing action initiation and government-held consumer data.</w:t>
            </w:r>
          </w:p>
        </w:tc>
      </w:tr>
    </w:tbl>
    <w:p w14:paraId="15715688"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1AEDC839"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38116624" w14:textId="77777777" w:rsidR="00AD4B28" w:rsidRPr="00822EF9" w:rsidRDefault="00AD4B28" w:rsidP="00BD086F">
            <w:pPr>
              <w:pStyle w:val="BoxHeading"/>
            </w:pPr>
            <w:r w:rsidRPr="00BD086F">
              <w:t>Recommendation 1.2</w:t>
            </w:r>
          </w:p>
          <w:p w14:paraId="0E88388A" w14:textId="77777777" w:rsidR="00AD4B28" w:rsidRPr="00511A43" w:rsidRDefault="00AD4B28" w:rsidP="00BD086F">
            <w:pPr>
              <w:pStyle w:val="BoxText"/>
            </w:pPr>
            <w:r w:rsidRPr="00D4755B">
              <w:rPr>
                <w:szCs w:val="24"/>
              </w:rPr>
              <w:t>A streamlined mechanism to update a designation instrument for technical/minor considerations should be introduced if relevant details arise after designation. Any such mechanism should not replace the need for a full sectoral assessment for genuine system expansions.</w:t>
            </w:r>
          </w:p>
        </w:tc>
      </w:tr>
    </w:tbl>
    <w:p w14:paraId="2F26EE20"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701AA802"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038A1D0B" w14:textId="77777777" w:rsidR="00AD4B28" w:rsidRPr="00822EF9" w:rsidRDefault="00AD4B28" w:rsidP="00BD086F">
            <w:pPr>
              <w:pStyle w:val="BoxHeading"/>
            </w:pPr>
            <w:r w:rsidRPr="00BD086F">
              <w:t>Recommendation 1.3</w:t>
            </w:r>
          </w:p>
          <w:p w14:paraId="6488D32F" w14:textId="7F04DCE6" w:rsidR="00AD4B28" w:rsidRPr="00511A43" w:rsidRDefault="00270284" w:rsidP="00BD086F">
            <w:pPr>
              <w:pStyle w:val="BoxText"/>
            </w:pPr>
            <w:r w:rsidRPr="00D4755B">
              <w:rPr>
                <w:szCs w:val="24"/>
              </w:rPr>
              <w:t>To ensure that privacy is properly factored into the designation design, it is recommended that the Information Commissioner’s assessment on privacy and confidentiality is</w:t>
            </w:r>
            <w:r w:rsidRPr="00167D86" w:rsidDel="00B05CD0">
              <w:rPr>
                <w:szCs w:val="24"/>
              </w:rPr>
              <w:t xml:space="preserve"> considered as part of</w:t>
            </w:r>
            <w:r w:rsidRPr="00167D86">
              <w:rPr>
                <w:szCs w:val="24"/>
              </w:rPr>
              <w:t xml:space="preserve"> the sectoral assessment report.  </w:t>
            </w:r>
          </w:p>
        </w:tc>
      </w:tr>
    </w:tbl>
    <w:p w14:paraId="49AC512F"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5A6D9400"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72B346AC" w14:textId="77777777" w:rsidR="00AD4B28" w:rsidRPr="00822EF9" w:rsidRDefault="00AD4B28" w:rsidP="00BD086F">
            <w:pPr>
              <w:pStyle w:val="BoxHeading"/>
            </w:pPr>
            <w:r w:rsidRPr="00BD086F">
              <w:t>Recommendation 1.4</w:t>
            </w:r>
          </w:p>
          <w:p w14:paraId="62AB2314" w14:textId="34EB36B2" w:rsidR="00AD4B28" w:rsidRPr="00511A43" w:rsidRDefault="00270284" w:rsidP="00BD086F">
            <w:pPr>
              <w:pStyle w:val="BoxText"/>
            </w:pPr>
            <w:r w:rsidRPr="00D4755B">
              <w:rPr>
                <w:szCs w:val="24"/>
              </w:rPr>
              <w:t xml:space="preserve">To provide greater clarity and certainty to all participants, the Government, with CDR agencies, should provide greater transparency on CDR consultation processes and a timeline that </w:t>
            </w:r>
            <w:r w:rsidR="00724518" w:rsidRPr="00167D86">
              <w:rPr>
                <w:szCs w:val="24"/>
              </w:rPr>
              <w:t>outlines</w:t>
            </w:r>
            <w:r w:rsidRPr="00167D86">
              <w:rPr>
                <w:szCs w:val="24"/>
              </w:rPr>
              <w:t xml:space="preserve"> expected future developments.</w:t>
            </w:r>
          </w:p>
        </w:tc>
      </w:tr>
    </w:tbl>
    <w:p w14:paraId="68A76EAB"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67DA1310"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7A4D90ED" w14:textId="77777777" w:rsidR="00AD4B28" w:rsidRPr="00822EF9" w:rsidRDefault="00AD4B28" w:rsidP="00BD086F">
            <w:pPr>
              <w:pStyle w:val="BoxHeading"/>
            </w:pPr>
            <w:r w:rsidRPr="00BD086F">
              <w:t>Recommendation 1.5</w:t>
            </w:r>
          </w:p>
          <w:p w14:paraId="0CBDC924" w14:textId="77777777" w:rsidR="00AD4B28" w:rsidRPr="00511A43" w:rsidRDefault="00AD4B28" w:rsidP="00BD086F">
            <w:pPr>
              <w:pStyle w:val="BoxText"/>
            </w:pPr>
            <w:r w:rsidRPr="00D4755B">
              <w:rPr>
                <w:szCs w:val="24"/>
              </w:rPr>
              <w:t>Greater visibility of success measures and system objectives will provide increased confidence and assurance to participants. Success measures should incorporate measures of system health and meaningful outcomes for consumers.</w:t>
            </w:r>
          </w:p>
        </w:tc>
      </w:tr>
    </w:tbl>
    <w:p w14:paraId="341A345D"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5414C9F8"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6C57AEAC" w14:textId="77777777" w:rsidR="00AD4B28" w:rsidRPr="00822EF9" w:rsidRDefault="00AD4B28" w:rsidP="00BD086F">
            <w:pPr>
              <w:pStyle w:val="BoxHeading"/>
            </w:pPr>
            <w:r w:rsidRPr="00BD086F">
              <w:lastRenderedPageBreak/>
              <w:t>Recommendation 2.1</w:t>
            </w:r>
          </w:p>
          <w:p w14:paraId="7AD4E2FC" w14:textId="0E00DD66" w:rsidR="00AD4B28" w:rsidRPr="00A96FB0" w:rsidRDefault="00AD4B28" w:rsidP="00167D86">
            <w:pPr>
              <w:pStyle w:val="BoxText"/>
              <w:rPr>
                <w:b/>
              </w:rPr>
            </w:pPr>
            <w:r w:rsidRPr="00167D86">
              <w:rPr>
                <w:szCs w:val="24"/>
              </w:rPr>
              <w:t xml:space="preserve">Screen scraping should be banned in the near future in sectors where the CDR is a viable alternative. Importantly, </w:t>
            </w:r>
            <w:r w:rsidR="00167D86">
              <w:rPr>
                <w:szCs w:val="24"/>
              </w:rPr>
              <w:t xml:space="preserve">the </w:t>
            </w:r>
            <w:r w:rsidRPr="00167D86">
              <w:rPr>
                <w:szCs w:val="24"/>
              </w:rPr>
              <w:t>Government should clearly signal when and how the implementation of the ban would take effect. This would provide certainty and adequate time for businesses to transition, along with stronger incentives to invest in moving to the CDR.</w:t>
            </w:r>
          </w:p>
        </w:tc>
      </w:tr>
    </w:tbl>
    <w:p w14:paraId="3C9502A4"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7003CF3C"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3B93155C" w14:textId="77777777" w:rsidR="00AD4B28" w:rsidRPr="00822EF9" w:rsidRDefault="00AD4B28" w:rsidP="00BD086F">
            <w:pPr>
              <w:pStyle w:val="BoxHeading"/>
            </w:pPr>
            <w:r w:rsidRPr="00BD086F">
              <w:t>Recommendation 2.2</w:t>
            </w:r>
          </w:p>
          <w:p w14:paraId="14A744B7" w14:textId="3A13B201" w:rsidR="00AD4B28" w:rsidRPr="00511A43" w:rsidRDefault="00AD4B28" w:rsidP="00BD086F">
            <w:pPr>
              <w:pStyle w:val="BoxText"/>
            </w:pPr>
            <w:r w:rsidRPr="00D4755B">
              <w:rPr>
                <w:szCs w:val="24"/>
              </w:rPr>
              <w:t xml:space="preserve">Creating a trusted ecosystem that supports the development of a range of products will encourage new market-driven innovation in the CDR. </w:t>
            </w:r>
            <w:r w:rsidR="00270284" w:rsidRPr="00167D86">
              <w:rPr>
                <w:szCs w:val="24"/>
              </w:rPr>
              <w:t xml:space="preserve">It is recommended that prospective </w:t>
            </w:r>
            <w:r w:rsidR="002F476E">
              <w:rPr>
                <w:szCs w:val="24"/>
              </w:rPr>
              <w:t>Accredited Data Recipients (</w:t>
            </w:r>
            <w:r w:rsidR="00270284" w:rsidRPr="00167D86">
              <w:rPr>
                <w:szCs w:val="24"/>
              </w:rPr>
              <w:t>ADRs</w:t>
            </w:r>
            <w:r w:rsidR="002F476E">
              <w:rPr>
                <w:szCs w:val="24"/>
              </w:rPr>
              <w:t>)</w:t>
            </w:r>
            <w:r w:rsidR="00270284" w:rsidRPr="00167D86">
              <w:rPr>
                <w:szCs w:val="24"/>
              </w:rPr>
              <w:t xml:space="preserve"> have the flexibility to choose who they undertake </w:t>
            </w:r>
            <w:r w:rsidR="00270284" w:rsidRPr="00167D86">
              <w:rPr>
                <w:szCs w:val="32"/>
              </w:rPr>
              <w:t>preliminary systems</w:t>
            </w:r>
            <w:r w:rsidR="00270284" w:rsidRPr="00BD086F">
              <w:rPr>
                <w:sz w:val="32"/>
                <w:szCs w:val="32"/>
              </w:rPr>
              <w:t xml:space="preserve"> </w:t>
            </w:r>
            <w:r w:rsidR="00270284" w:rsidRPr="00D4755B">
              <w:rPr>
                <w:szCs w:val="24"/>
              </w:rPr>
              <w:t xml:space="preserve">testing with, including through an accredited private sector solution or the </w:t>
            </w:r>
            <w:r w:rsidR="00E6039E">
              <w:rPr>
                <w:szCs w:val="24"/>
              </w:rPr>
              <w:t>Australian Competition and Consumer Commission (</w:t>
            </w:r>
            <w:r w:rsidR="00270284" w:rsidRPr="00D4755B">
              <w:rPr>
                <w:szCs w:val="24"/>
              </w:rPr>
              <w:t>ACCC</w:t>
            </w:r>
            <w:r w:rsidR="00E6039E">
              <w:rPr>
                <w:szCs w:val="24"/>
              </w:rPr>
              <w:t>)</w:t>
            </w:r>
            <w:r w:rsidR="00270284" w:rsidRPr="00D4755B">
              <w:rPr>
                <w:szCs w:val="24"/>
              </w:rPr>
              <w:t>.</w:t>
            </w:r>
          </w:p>
        </w:tc>
      </w:tr>
    </w:tbl>
    <w:p w14:paraId="5D3217D2"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5B8D565C"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65C8CA33" w14:textId="77777777" w:rsidR="00AD4B28" w:rsidRPr="00822EF9" w:rsidRDefault="00AD4B28" w:rsidP="00BD086F">
            <w:pPr>
              <w:pStyle w:val="BoxHeading"/>
            </w:pPr>
            <w:r w:rsidRPr="00BD086F">
              <w:t>Recommendation 2.3</w:t>
            </w:r>
          </w:p>
          <w:p w14:paraId="6301EA7B" w14:textId="2F9C1024" w:rsidR="00AD4B28" w:rsidRPr="00511A43" w:rsidRDefault="00270284" w:rsidP="00BD086F">
            <w:pPr>
              <w:pStyle w:val="BoxText"/>
            </w:pPr>
            <w:r w:rsidRPr="00D4755B">
              <w:rPr>
                <w:szCs w:val="24"/>
              </w:rPr>
              <w:t>Changes to CDR governance should not be made now, however, improvements to coordination within the existing CDR structures should be undertaken as a priority in</w:t>
            </w:r>
            <w:r w:rsidRPr="00167D86">
              <w:rPr>
                <w:szCs w:val="24"/>
              </w:rPr>
              <w:t xml:space="preserve"> the short to medium term. CDR agencies should make it easier for participants and users to resolve issues and seek advice, including by clarifying responsibility and ownership of issues, coordinating consultation and system releases, and publishing comprehensive statistics on the progress of the CDR.</w:t>
            </w:r>
          </w:p>
        </w:tc>
      </w:tr>
    </w:tbl>
    <w:p w14:paraId="5836F3EB"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72AEFC65"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4F3858CF" w14:textId="77777777" w:rsidR="00AD4B28" w:rsidRPr="00822EF9" w:rsidRDefault="00AD4B28" w:rsidP="00BD086F">
            <w:pPr>
              <w:pStyle w:val="BoxHeading"/>
            </w:pPr>
            <w:r w:rsidRPr="00BD086F">
              <w:t>Recommendation 2.4</w:t>
            </w:r>
          </w:p>
          <w:p w14:paraId="3FB3E041" w14:textId="77777777" w:rsidR="00AD4B28" w:rsidRPr="00511A43" w:rsidRDefault="00AD4B28" w:rsidP="00BD086F">
            <w:pPr>
              <w:pStyle w:val="BoxText"/>
            </w:pPr>
            <w:r w:rsidRPr="00D4755B">
              <w:rPr>
                <w:szCs w:val="24"/>
              </w:rPr>
              <w:t xml:space="preserve">To encourage and incentivise the development of innovative use cases, the Government should look to support initiatives like the UK’s Open Up 2020 Challenge, which could target a use case </w:t>
            </w:r>
            <w:r w:rsidRPr="00167D86">
              <w:rPr>
                <w:szCs w:val="24"/>
              </w:rPr>
              <w:t>that drives social benefit that is not being developed by the market. Collaboration with consumer advocacy groups should be considered to help identify relevant consumer challenges that could be addressed by the CDR.</w:t>
            </w:r>
          </w:p>
        </w:tc>
      </w:tr>
    </w:tbl>
    <w:p w14:paraId="426D0196" w14:textId="77777777" w:rsidR="004006B0" w:rsidRDefault="004006B0" w:rsidP="00AD4B28"/>
    <w:p w14:paraId="1DE8E759" w14:textId="77777777" w:rsidR="006D07C7" w:rsidRDefault="006D07C7">
      <w:r>
        <w:rPr>
          <w:b/>
        </w:rPr>
        <w:br w:type="page"/>
      </w:r>
    </w:p>
    <w:tbl>
      <w:tblPr>
        <w:tblStyle w:val="TableGrid"/>
        <w:tblpPr w:leftFromText="180" w:rightFromText="180" w:vertAnchor="text" w:horzAnchor="margin" w:tblpY="184"/>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4006B0" w14:paraId="2582EF10" w14:textId="77777777" w:rsidTr="00C05FCF">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4A8A8AF7" w14:textId="77777777" w:rsidR="004006B0" w:rsidRPr="00822EF9" w:rsidRDefault="004006B0" w:rsidP="00BD086F">
            <w:pPr>
              <w:pStyle w:val="BoxHeading"/>
            </w:pPr>
            <w:r w:rsidRPr="00BD086F">
              <w:lastRenderedPageBreak/>
              <w:t>Recommendation 2.5</w:t>
            </w:r>
          </w:p>
          <w:p w14:paraId="4001F0E2" w14:textId="38456111" w:rsidR="004006B0" w:rsidRPr="00511A43" w:rsidRDefault="004006B0" w:rsidP="00BD086F">
            <w:pPr>
              <w:pStyle w:val="BoxText"/>
            </w:pPr>
            <w:r w:rsidRPr="00D4755B">
              <w:rPr>
                <w:szCs w:val="24"/>
              </w:rPr>
              <w:t>The current pace of CDR rollout into new sectors has not allowed enough time for the system to mature and capitalise on the lessons learnt. Focussing on improving CDR functionality and data quality within already designated sectors should be prioritised, balan</w:t>
            </w:r>
            <w:r w:rsidRPr="00167D86">
              <w:rPr>
                <w:szCs w:val="24"/>
              </w:rPr>
              <w:t>ced with overall forward momentum into new sectors over time.</w:t>
            </w:r>
          </w:p>
        </w:tc>
      </w:tr>
    </w:tbl>
    <w:p w14:paraId="1C816232" w14:textId="40CE6B57" w:rsidR="004006B0" w:rsidRDefault="004006B0" w:rsidP="00BD086F">
      <w:pPr>
        <w:spacing w:after="0"/>
      </w:pPr>
    </w:p>
    <w:tbl>
      <w:tblPr>
        <w:tblStyle w:val="TableGrid"/>
        <w:tblpPr w:leftFromText="180" w:rightFromText="180" w:vertAnchor="text" w:horzAnchor="margin" w:tblpY="184"/>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F74281" w14:paraId="3587ED00" w14:textId="77777777" w:rsidTr="0018060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24EC6CA8" w14:textId="7DE68861" w:rsidR="00F74281" w:rsidRPr="00822EF9" w:rsidRDefault="00F74281" w:rsidP="00BD086F">
            <w:pPr>
              <w:pStyle w:val="BoxHeading"/>
            </w:pPr>
            <w:r w:rsidRPr="00BD086F">
              <w:t>Recommendation 2.6</w:t>
            </w:r>
          </w:p>
          <w:p w14:paraId="1D112367" w14:textId="36AB472A" w:rsidR="00F74281" w:rsidRPr="00511A43" w:rsidRDefault="00F74281" w:rsidP="00BD086F">
            <w:pPr>
              <w:pStyle w:val="BoxText"/>
            </w:pPr>
            <w:r w:rsidRPr="00D4755B">
              <w:rPr>
                <w:szCs w:val="24"/>
              </w:rPr>
              <w:t xml:space="preserve">At this point in the CDR’s development, </w:t>
            </w:r>
            <w:r w:rsidR="006F7A16">
              <w:rPr>
                <w:szCs w:val="24"/>
              </w:rPr>
              <w:t xml:space="preserve">the </w:t>
            </w:r>
            <w:r w:rsidRPr="00D4755B">
              <w:rPr>
                <w:szCs w:val="24"/>
              </w:rPr>
              <w:t xml:space="preserve">Government should consider undertaking a whole of </w:t>
            </w:r>
            <w:r w:rsidR="009B5DF3" w:rsidRPr="00D4755B">
              <w:rPr>
                <w:szCs w:val="24"/>
              </w:rPr>
              <w:t>ecosystem</w:t>
            </w:r>
            <w:r w:rsidRPr="00D4755B">
              <w:rPr>
                <w:szCs w:val="24"/>
              </w:rPr>
              <w:t xml:space="preserve"> cyber security assessment to ensure that the CDR cyber security architecture continues to be fit for purpose into the future.</w:t>
            </w:r>
          </w:p>
        </w:tc>
      </w:tr>
    </w:tbl>
    <w:p w14:paraId="305D9DB0" w14:textId="77777777" w:rsidR="00F74281" w:rsidRDefault="00F74281"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6C245324" w14:textId="77777777" w:rsidTr="00BD086F">
        <w:trPr>
          <w:cnfStyle w:val="100000000000" w:firstRow="1" w:lastRow="0" w:firstColumn="0" w:lastColumn="0" w:oddVBand="0" w:evenVBand="0" w:oddHBand="0" w:evenHBand="0" w:firstRowFirstColumn="0" w:firstRowLastColumn="0" w:lastRowFirstColumn="0" w:lastRowLastColumn="0"/>
        </w:trPr>
        <w:tc>
          <w:tcPr>
            <w:tcW w:w="0" w:type="pct"/>
            <w:shd w:val="clear" w:color="auto" w:fill="FCEEE5" w:themeFill="accent6" w:themeFillTint="33"/>
            <w:hideMark/>
          </w:tcPr>
          <w:p w14:paraId="56457B39" w14:textId="6D69D87F" w:rsidR="00AD4B28" w:rsidRPr="00BD086F" w:rsidRDefault="00AD4B28" w:rsidP="00BD086F">
            <w:pPr>
              <w:pStyle w:val="BoxHeading"/>
              <w:rPr>
                <w:b w:val="0"/>
              </w:rPr>
            </w:pPr>
            <w:r w:rsidRPr="00511A43">
              <w:t>Recommendation 2.</w:t>
            </w:r>
            <w:r w:rsidR="00F74281" w:rsidRPr="00230156">
              <w:t>7</w:t>
            </w:r>
          </w:p>
          <w:p w14:paraId="429513C5" w14:textId="31C47C4D" w:rsidR="00AD4B28" w:rsidRPr="00230156" w:rsidRDefault="00AD4B28" w:rsidP="00BD086F">
            <w:pPr>
              <w:pStyle w:val="BoxText"/>
            </w:pPr>
            <w:r w:rsidRPr="00BD086F">
              <w:rPr>
                <w:szCs w:val="24"/>
              </w:rPr>
              <w:t xml:space="preserve">Where appropriate, accreditation under the CDR should be aligned with other obligations on participants, in particular, accreditation requirements for </w:t>
            </w:r>
            <w:r w:rsidR="00845F3E" w:rsidRPr="00BD086F">
              <w:rPr>
                <w:szCs w:val="24"/>
              </w:rPr>
              <w:t>D</w:t>
            </w:r>
            <w:r w:rsidRPr="00BD086F">
              <w:rPr>
                <w:szCs w:val="24"/>
              </w:rPr>
              <w:t xml:space="preserve">igital </w:t>
            </w:r>
            <w:r w:rsidR="00845F3E" w:rsidRPr="00BD086F">
              <w:rPr>
                <w:szCs w:val="24"/>
              </w:rPr>
              <w:t>S</w:t>
            </w:r>
            <w:r w:rsidRPr="00BD086F">
              <w:rPr>
                <w:szCs w:val="24"/>
              </w:rPr>
              <w:t xml:space="preserve">ervice </w:t>
            </w:r>
            <w:r w:rsidR="00845F3E" w:rsidRPr="00BD086F">
              <w:rPr>
                <w:szCs w:val="24"/>
              </w:rPr>
              <w:t>P</w:t>
            </w:r>
            <w:r w:rsidRPr="00BD086F">
              <w:rPr>
                <w:szCs w:val="24"/>
              </w:rPr>
              <w:t>roviders registered with the ATO.</w:t>
            </w:r>
            <w:r w:rsidRPr="00511A43">
              <w:t xml:space="preserve"> </w:t>
            </w:r>
          </w:p>
        </w:tc>
      </w:tr>
    </w:tbl>
    <w:p w14:paraId="48967F78"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753DF161"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50A4EDF1" w14:textId="77777777" w:rsidR="00AD4B28" w:rsidRPr="00822EF9" w:rsidRDefault="00AD4B28" w:rsidP="00BD086F">
            <w:pPr>
              <w:pStyle w:val="BoxHeading"/>
            </w:pPr>
            <w:r w:rsidRPr="00BD086F">
              <w:t>Recommendation 3.1</w:t>
            </w:r>
          </w:p>
          <w:p w14:paraId="48C4C6A9" w14:textId="223848CA" w:rsidR="004006B0" w:rsidRPr="00BD086F" w:rsidRDefault="004006B0" w:rsidP="00BD086F">
            <w:pPr>
              <w:pStyle w:val="BoxText"/>
              <w:rPr>
                <w:sz w:val="24"/>
                <w:szCs w:val="24"/>
              </w:rPr>
            </w:pPr>
            <w:r w:rsidRPr="00D4755B">
              <w:rPr>
                <w:szCs w:val="24"/>
              </w:rPr>
              <w:t>Government should consider ways to increase small business participation in the CDR. This could include giving small businesses flexibility to consent to share their CDR data with parties outside the limited ‘trusted adviser’ categories currently defined u</w:t>
            </w:r>
            <w:r w:rsidRPr="00167D86">
              <w:rPr>
                <w:szCs w:val="24"/>
              </w:rPr>
              <w:t xml:space="preserve">nder the CDR </w:t>
            </w:r>
            <w:r w:rsidR="009D295F">
              <w:rPr>
                <w:szCs w:val="24"/>
              </w:rPr>
              <w:t>r</w:t>
            </w:r>
            <w:r w:rsidRPr="00167D86">
              <w:rPr>
                <w:szCs w:val="24"/>
              </w:rPr>
              <w:t xml:space="preserve">ules. </w:t>
            </w:r>
            <w:r w:rsidRPr="00167D86">
              <w:rPr>
                <w:szCs w:val="36"/>
              </w:rPr>
              <w:t>Consideration should also be given to enabling small businesses to consent to share data outside the CDR to a third party for explicitly business-related purposes.</w:t>
            </w:r>
          </w:p>
          <w:p w14:paraId="2A14A656" w14:textId="5AD0EA36" w:rsidR="00AD4B28" w:rsidRPr="00F3484D" w:rsidRDefault="004006B0" w:rsidP="00BD086F">
            <w:pPr>
              <w:pStyle w:val="BoxText"/>
            </w:pPr>
            <w:r w:rsidRPr="00D4755B">
              <w:rPr>
                <w:szCs w:val="24"/>
              </w:rPr>
              <w:t>Any amendments to support wider sharing of CDR data should ensure the maintenance of existing protections offered to individual consumers and carefully consider the impacts of any potential overlap between business and personal data.</w:t>
            </w:r>
          </w:p>
        </w:tc>
      </w:tr>
    </w:tbl>
    <w:p w14:paraId="646202A8" w14:textId="2D32B83E" w:rsidR="00AD4B28" w:rsidRDefault="00AD4B28" w:rsidP="00AD4B28"/>
    <w:p w14:paraId="0DD2E7B0" w14:textId="77777777" w:rsidR="00F74281" w:rsidRDefault="00F74281">
      <w:pPr>
        <w:spacing w:before="0" w:after="160" w:line="259" w:lineRule="auto"/>
      </w:pPr>
      <w:r>
        <w:br w:type="page"/>
      </w:r>
    </w:p>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4056A82B"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1F0CE0F1" w14:textId="77777777" w:rsidR="00AD4B28" w:rsidRPr="00822EF9" w:rsidRDefault="00AD4B28" w:rsidP="00247435">
            <w:pPr>
              <w:pStyle w:val="BoxHeading"/>
            </w:pPr>
            <w:r w:rsidRPr="00247435">
              <w:lastRenderedPageBreak/>
              <w:t>Recommendation 3.2</w:t>
            </w:r>
          </w:p>
          <w:p w14:paraId="4C1E4555" w14:textId="2599BB29" w:rsidR="00AD4B28" w:rsidRPr="00511A43" w:rsidRDefault="00AD4B28" w:rsidP="00BD086F">
            <w:r w:rsidRPr="00D4755B">
              <w:rPr>
                <w:szCs w:val="24"/>
              </w:rPr>
              <w:t xml:space="preserve">Facilitating government participation in the CDR should be a priority to ensure consumers benefit from more seamless government interactions and </w:t>
            </w:r>
            <w:r w:rsidRPr="00D4755B" w:rsidDel="00167D86">
              <w:rPr>
                <w:szCs w:val="24"/>
              </w:rPr>
              <w:t>an ability to</w:t>
            </w:r>
            <w:r w:rsidRPr="00D4755B">
              <w:rPr>
                <w:szCs w:val="24"/>
              </w:rPr>
              <w:t xml:space="preserve"> share their data across a greater range of services. Consideration should be given to how designation, accreditation and standard setting processes can optimally facili</w:t>
            </w:r>
            <w:r w:rsidRPr="00167D86">
              <w:rPr>
                <w:szCs w:val="24"/>
              </w:rPr>
              <w:t>tate government involvement alongside other initiatives, such as the Data Availability and Transparency scheme.</w:t>
            </w:r>
          </w:p>
        </w:tc>
      </w:tr>
    </w:tbl>
    <w:p w14:paraId="577E4EBD"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01A36A25" w14:textId="77777777" w:rsidTr="0093239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3F535022" w14:textId="77777777" w:rsidR="00AD4B28" w:rsidRPr="00822EF9" w:rsidRDefault="00AD4B28" w:rsidP="00247435">
            <w:pPr>
              <w:pStyle w:val="BoxHeading"/>
            </w:pPr>
            <w:r w:rsidRPr="00247435">
              <w:t>Recommendation 3.3</w:t>
            </w:r>
          </w:p>
          <w:p w14:paraId="7A35EBC9" w14:textId="170BA937" w:rsidR="00AD4B28" w:rsidRPr="00511A43" w:rsidRDefault="00AD4B28" w:rsidP="00247435">
            <w:pPr>
              <w:pStyle w:val="BoxText"/>
            </w:pPr>
            <w:r w:rsidRPr="00D4755B">
              <w:rPr>
                <w:szCs w:val="24"/>
              </w:rPr>
              <w:t>The consumer voice is amplified through consumer advocacy groups. These advocacy groups are generally under</w:t>
            </w:r>
            <w:r w:rsidR="00167D86">
              <w:rPr>
                <w:szCs w:val="24"/>
              </w:rPr>
              <w:t>-</w:t>
            </w:r>
            <w:r w:rsidRPr="00D4755B">
              <w:rPr>
                <w:szCs w:val="24"/>
              </w:rPr>
              <w:t>resourced, inev</w:t>
            </w:r>
            <w:r w:rsidRPr="00167D86">
              <w:rPr>
                <w:szCs w:val="24"/>
              </w:rPr>
              <w:t>itably diminishing the consumer input into the development of the CDR and other government consultation processes more broadly. Additional funding may be needed to support consumer advocacy groups to meaningfully participate in not just the development of the CDR but across government initiatives.</w:t>
            </w:r>
          </w:p>
        </w:tc>
      </w:tr>
    </w:tbl>
    <w:p w14:paraId="752BC51C" w14:textId="77777777" w:rsidR="00AD4B28" w:rsidRDefault="00AD4B28" w:rsidP="00AD4B28"/>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D4B28" w14:paraId="0EDCCFA2" w14:textId="77777777" w:rsidTr="0093239C">
        <w:trPr>
          <w:cnfStyle w:val="100000000000" w:firstRow="1" w:lastRow="0" w:firstColumn="0" w:lastColumn="0" w:oddVBand="0" w:evenVBand="0" w:oddHBand="0" w:evenHBand="0" w:firstRowFirstColumn="0" w:firstRowLastColumn="0" w:lastRowFirstColumn="0" w:lastRowLastColumn="0"/>
          <w:trHeight w:val="1554"/>
        </w:trPr>
        <w:tc>
          <w:tcPr>
            <w:tcW w:w="5000" w:type="pct"/>
            <w:shd w:val="clear" w:color="auto" w:fill="FCEEE5" w:themeFill="accent6" w:themeFillTint="33"/>
            <w:hideMark/>
          </w:tcPr>
          <w:p w14:paraId="2B35C1CE" w14:textId="77777777" w:rsidR="00AD4B28" w:rsidRPr="00822EF9" w:rsidRDefault="00AD4B28" w:rsidP="00247435">
            <w:pPr>
              <w:pStyle w:val="BoxHeading"/>
            </w:pPr>
            <w:r w:rsidRPr="00247435">
              <w:t>Recommendation 4.1</w:t>
            </w:r>
          </w:p>
          <w:p w14:paraId="4858B9CD" w14:textId="122CDB2D" w:rsidR="00AD4B28" w:rsidRPr="00511A43" w:rsidRDefault="00AD4B28" w:rsidP="00247435">
            <w:pPr>
              <w:pStyle w:val="BoxText"/>
            </w:pPr>
            <w:r w:rsidRPr="00D4755B">
              <w:rPr>
                <w:szCs w:val="24"/>
              </w:rPr>
              <w:t>Further consideration</w:t>
            </w:r>
            <w:r w:rsidR="00A0700F">
              <w:rPr>
                <w:szCs w:val="24"/>
              </w:rPr>
              <w:t xml:space="preserve"> should</w:t>
            </w:r>
            <w:r w:rsidRPr="00D4755B">
              <w:rPr>
                <w:szCs w:val="24"/>
              </w:rPr>
              <w:t xml:space="preserve"> be given to other issues raised during the Statutory Review in the context of ongoing future legislative, rule-making and standard-setting updates to ensure that the </w:t>
            </w:r>
            <w:r w:rsidRPr="00167D86">
              <w:rPr>
                <w:szCs w:val="24"/>
              </w:rPr>
              <w:t>CDR remains fit</w:t>
            </w:r>
            <w:r w:rsidR="00167D86">
              <w:rPr>
                <w:szCs w:val="24"/>
              </w:rPr>
              <w:noBreakHyphen/>
            </w:r>
            <w:r w:rsidRPr="00167D86">
              <w:rPr>
                <w:szCs w:val="24"/>
              </w:rPr>
              <w:t>for</w:t>
            </w:r>
            <w:r w:rsidR="00167D86">
              <w:rPr>
                <w:szCs w:val="24"/>
              </w:rPr>
              <w:noBreakHyphen/>
            </w:r>
            <w:r w:rsidRPr="00167D86">
              <w:rPr>
                <w:szCs w:val="24"/>
              </w:rPr>
              <w:t>purpose.</w:t>
            </w:r>
          </w:p>
        </w:tc>
      </w:tr>
    </w:tbl>
    <w:p w14:paraId="48162B61" w14:textId="77777777" w:rsidR="00AD4B28" w:rsidRDefault="00AD4B28" w:rsidP="00AD4B28"/>
    <w:p w14:paraId="158B048E" w14:textId="77777777" w:rsidR="00AD4B28" w:rsidRDefault="00AD4B28" w:rsidP="00AD4B28">
      <w:pPr>
        <w:spacing w:before="0" w:after="160" w:line="259" w:lineRule="auto"/>
      </w:pPr>
      <w:r>
        <w:br w:type="page"/>
      </w:r>
    </w:p>
    <w:p w14:paraId="34C51877" w14:textId="77777777" w:rsidR="00265FE3" w:rsidRDefault="00265FE3" w:rsidP="00265FE3">
      <w:pPr>
        <w:pStyle w:val="Heading1"/>
      </w:pPr>
      <w:bookmarkStart w:id="42" w:name="_Toc106286078"/>
      <w:bookmarkStart w:id="43" w:name="_Toc106358388"/>
      <w:bookmarkStart w:id="44" w:name="_Toc110602868"/>
      <w:r>
        <w:lastRenderedPageBreak/>
        <w:t>Part One: Consumer Data Right Framework</w:t>
      </w:r>
      <w:bookmarkEnd w:id="42"/>
      <w:bookmarkEnd w:id="43"/>
      <w:bookmarkEnd w:id="44"/>
      <w:r>
        <w:t xml:space="preserve"> </w:t>
      </w:r>
    </w:p>
    <w:p w14:paraId="08486B58" w14:textId="393DA9C0" w:rsidR="00265FE3" w:rsidRPr="00F3484D" w:rsidRDefault="00265FE3" w:rsidP="00265FE3">
      <w:pPr>
        <w:rPr>
          <w:rFonts w:cstheme="majorHAnsi"/>
        </w:rPr>
      </w:pPr>
      <w:r w:rsidDel="00960097">
        <w:rPr>
          <w:rFonts w:cstheme="majorHAnsi"/>
        </w:rPr>
        <w:t xml:space="preserve">Part </w:t>
      </w:r>
      <w:r>
        <w:rPr>
          <w:rFonts w:cstheme="majorHAnsi"/>
        </w:rPr>
        <w:t xml:space="preserve">One </w:t>
      </w:r>
      <w:r w:rsidR="000F75FE">
        <w:rPr>
          <w:rFonts w:cstheme="majorHAnsi"/>
        </w:rPr>
        <w:t>is</w:t>
      </w:r>
      <w:r w:rsidR="000F75FE" w:rsidRPr="00383A01">
        <w:rPr>
          <w:rFonts w:cstheme="majorHAnsi"/>
        </w:rPr>
        <w:t xml:space="preserve"> </w:t>
      </w:r>
      <w:r w:rsidRPr="00383A01">
        <w:rPr>
          <w:rFonts w:cstheme="majorHAnsi"/>
        </w:rPr>
        <w:t xml:space="preserve">an overview of the CDR statutory framework and describes how it supports the objectives of the </w:t>
      </w:r>
      <w:r>
        <w:rPr>
          <w:rFonts w:cstheme="majorHAnsi"/>
        </w:rPr>
        <w:t>CDR. It also</w:t>
      </w:r>
      <w:r w:rsidDel="00960097">
        <w:rPr>
          <w:rFonts w:cstheme="majorHAnsi"/>
        </w:rPr>
        <w:t xml:space="preserve"> </w:t>
      </w:r>
      <w:r w:rsidRPr="008E0060">
        <w:rPr>
          <w:rFonts w:cstheme="majorHAnsi"/>
        </w:rPr>
        <w:t>analys</w:t>
      </w:r>
      <w:r w:rsidR="000F75FE">
        <w:rPr>
          <w:rFonts w:cstheme="majorHAnsi"/>
        </w:rPr>
        <w:t xml:space="preserve">es </w:t>
      </w:r>
      <w:r>
        <w:rPr>
          <w:rFonts w:cstheme="majorHAnsi"/>
        </w:rPr>
        <w:t>perspectives</w:t>
      </w:r>
      <w:r w:rsidRPr="008E0060">
        <w:rPr>
          <w:rFonts w:cstheme="majorHAnsi"/>
        </w:rPr>
        <w:t xml:space="preserve"> raised through </w:t>
      </w:r>
      <w:r>
        <w:rPr>
          <w:rFonts w:cstheme="majorHAnsi"/>
        </w:rPr>
        <w:t xml:space="preserve">submissions </w:t>
      </w:r>
      <w:r w:rsidR="000F75FE">
        <w:rPr>
          <w:rFonts w:cstheme="majorHAnsi"/>
        </w:rPr>
        <w:t>regarding</w:t>
      </w:r>
      <w:r w:rsidRPr="008E0060">
        <w:rPr>
          <w:rFonts w:cstheme="majorHAnsi"/>
        </w:rPr>
        <w:t xml:space="preserve"> operation of the legal framework</w:t>
      </w:r>
      <w:r w:rsidR="000F75FE">
        <w:rPr>
          <w:rFonts w:cstheme="majorHAnsi"/>
        </w:rPr>
        <w:t>,</w:t>
      </w:r>
      <w:r>
        <w:rPr>
          <w:rFonts w:cstheme="majorHAnsi"/>
        </w:rPr>
        <w:t xml:space="preserve"> particular</w:t>
      </w:r>
      <w:r w:rsidR="000F75FE">
        <w:rPr>
          <w:rFonts w:cstheme="majorHAnsi"/>
        </w:rPr>
        <w:t>ly</w:t>
      </w:r>
      <w:r>
        <w:rPr>
          <w:rFonts w:cstheme="majorHAnsi"/>
        </w:rPr>
        <w:t xml:space="preserve"> the legislated sectoral designation approach, the rules and standards</w:t>
      </w:r>
      <w:r w:rsidR="007308B2">
        <w:rPr>
          <w:rFonts w:cstheme="majorHAnsi"/>
        </w:rPr>
        <w:t xml:space="preserve"> framework</w:t>
      </w:r>
      <w:r>
        <w:rPr>
          <w:rFonts w:cstheme="majorHAnsi"/>
        </w:rPr>
        <w:t>, the visibility of success measures, and the development of direct-to-consumer data</w:t>
      </w:r>
      <w:r w:rsidR="00BE7617">
        <w:rPr>
          <w:rFonts w:cstheme="majorHAnsi"/>
        </w:rPr>
        <w:t xml:space="preserve"> </w:t>
      </w:r>
      <w:r>
        <w:rPr>
          <w:rFonts w:cstheme="majorHAnsi"/>
        </w:rPr>
        <w:t xml:space="preserve">sharing as outlined in the </w:t>
      </w:r>
      <w:r w:rsidRPr="00F3484D">
        <w:rPr>
          <w:rFonts w:cstheme="majorHAnsi"/>
        </w:rPr>
        <w:t xml:space="preserve">primary legislation. This legal framework provides the foundation of the CDR as an innovation, competition and </w:t>
      </w:r>
      <w:r w:rsidR="001C0353" w:rsidRPr="00F3484D">
        <w:rPr>
          <w:rFonts w:cstheme="majorHAnsi"/>
        </w:rPr>
        <w:t xml:space="preserve">consumer empowerment </w:t>
      </w:r>
      <w:r w:rsidRPr="00F3484D">
        <w:rPr>
          <w:rFonts w:cstheme="majorHAnsi"/>
        </w:rPr>
        <w:t>initiative</w:t>
      </w:r>
      <w:r w:rsidR="00D54FDE" w:rsidRPr="00F3484D">
        <w:rPr>
          <w:rFonts w:cstheme="majorHAnsi"/>
        </w:rPr>
        <w:t>. S</w:t>
      </w:r>
      <w:r w:rsidRPr="00F3484D">
        <w:rPr>
          <w:rFonts w:cstheme="majorHAnsi"/>
        </w:rPr>
        <w:t xml:space="preserve">ubsequent sections consider the implications of the legal framework for ongoing implementation and the role of CDR within a broader digital ecosystem. </w:t>
      </w:r>
    </w:p>
    <w:p w14:paraId="12055AA8" w14:textId="7BD62FC9" w:rsidR="00EB17A7" w:rsidRDefault="00EB17A7" w:rsidP="00EB17A7">
      <w:pPr>
        <w:rPr>
          <w:rFonts w:cstheme="majorHAnsi"/>
        </w:rPr>
      </w:pPr>
      <w:r w:rsidRPr="00F3484D">
        <w:rPr>
          <w:rFonts w:cstheme="majorHAnsi"/>
        </w:rPr>
        <w:t xml:space="preserve">The CDR was enacted by the </w:t>
      </w:r>
      <w:r w:rsidRPr="00F3484D">
        <w:rPr>
          <w:rFonts w:cstheme="majorHAnsi"/>
          <w:i/>
          <w:iCs/>
        </w:rPr>
        <w:t>Treasury Laws Amendment (Consumer Data Right) Act 2019</w:t>
      </w:r>
      <w:r w:rsidRPr="00F3484D">
        <w:rPr>
          <w:rFonts w:cstheme="majorHAnsi"/>
        </w:rPr>
        <w:t xml:space="preserve"> (Cth), which inserted a new Part IVD into the </w:t>
      </w:r>
      <w:r w:rsidRPr="00F3484D">
        <w:rPr>
          <w:rFonts w:cstheme="majorHAnsi"/>
          <w:i/>
          <w:iCs/>
        </w:rPr>
        <w:t>Competition and Consumer Act 2010</w:t>
      </w:r>
      <w:r w:rsidRPr="00F3484D">
        <w:rPr>
          <w:rFonts w:cstheme="majorHAnsi"/>
        </w:rPr>
        <w:t xml:space="preserve"> (Cth) (the Act). This enabling legislation sets out the role, functions and powers of Treasury, the </w:t>
      </w:r>
      <w:r w:rsidR="0099372B">
        <w:rPr>
          <w:rFonts w:cstheme="majorHAnsi"/>
        </w:rPr>
        <w:t>Australian Competition and Consumer Commission (</w:t>
      </w:r>
      <w:r w:rsidRPr="00F3484D">
        <w:rPr>
          <w:rFonts w:cstheme="majorHAnsi"/>
        </w:rPr>
        <w:t>ACCC</w:t>
      </w:r>
      <w:r w:rsidR="0099372B">
        <w:rPr>
          <w:rFonts w:cstheme="majorHAnsi"/>
        </w:rPr>
        <w:t>)</w:t>
      </w:r>
      <w:r w:rsidRPr="00F3484D">
        <w:rPr>
          <w:rFonts w:cstheme="majorHAnsi"/>
        </w:rPr>
        <w:t xml:space="preserve">, the </w:t>
      </w:r>
      <w:r w:rsidR="0099372B">
        <w:rPr>
          <w:rFonts w:cstheme="majorHAnsi"/>
        </w:rPr>
        <w:t>Office of the Australian Information Commissioner (</w:t>
      </w:r>
      <w:r w:rsidRPr="00F3484D">
        <w:rPr>
          <w:rFonts w:cstheme="majorHAnsi"/>
        </w:rPr>
        <w:t>OAIC</w:t>
      </w:r>
      <w:r w:rsidR="0099372B">
        <w:rPr>
          <w:rFonts w:cstheme="majorHAnsi"/>
        </w:rPr>
        <w:t>),</w:t>
      </w:r>
      <w:r w:rsidRPr="00F3484D">
        <w:rPr>
          <w:rFonts w:cstheme="majorHAnsi"/>
        </w:rPr>
        <w:t xml:space="preserve"> </w:t>
      </w:r>
      <w:r w:rsidR="00B25ED6">
        <w:rPr>
          <w:rFonts w:cstheme="majorHAnsi"/>
        </w:rPr>
        <w:t>the</w:t>
      </w:r>
      <w:r w:rsidRPr="00F3484D">
        <w:rPr>
          <w:rFonts w:cstheme="majorHAnsi"/>
        </w:rPr>
        <w:t xml:space="preserve"> Data Standards </w:t>
      </w:r>
      <w:r w:rsidR="00B25ED6">
        <w:rPr>
          <w:rFonts w:cstheme="majorHAnsi"/>
        </w:rPr>
        <w:t xml:space="preserve">Chair </w:t>
      </w:r>
      <w:r w:rsidRPr="00F3484D">
        <w:rPr>
          <w:rFonts w:cstheme="majorHAnsi"/>
        </w:rPr>
        <w:t xml:space="preserve">and </w:t>
      </w:r>
      <w:r w:rsidR="00B25ED6">
        <w:rPr>
          <w:rFonts w:cstheme="majorHAnsi"/>
        </w:rPr>
        <w:t xml:space="preserve">the </w:t>
      </w:r>
      <w:r w:rsidRPr="00F3484D">
        <w:rPr>
          <w:rFonts w:cstheme="majorHAnsi"/>
        </w:rPr>
        <w:t xml:space="preserve">Data Standards Body </w:t>
      </w:r>
      <w:r w:rsidR="00B54FE7">
        <w:rPr>
          <w:rFonts w:cstheme="majorHAnsi"/>
        </w:rPr>
        <w:t>(DSB)</w:t>
      </w:r>
      <w:r w:rsidR="0002665F">
        <w:rPr>
          <w:rFonts w:cstheme="majorHAnsi"/>
        </w:rPr>
        <w:t xml:space="preserve"> </w:t>
      </w:r>
      <w:r w:rsidRPr="00F3484D">
        <w:rPr>
          <w:rFonts w:cstheme="majorHAnsi"/>
        </w:rPr>
        <w:t>and outlines the overarching objectives and principles for the CDR. The Act also gives the Minister the power to designate a sector of the Australian economy to be subject to the CDR</w:t>
      </w:r>
      <w:r w:rsidR="00B25ED6">
        <w:rPr>
          <w:rFonts w:cstheme="majorHAnsi"/>
        </w:rPr>
        <w:t>, and to make consumer data rules</w:t>
      </w:r>
      <w:r w:rsidRPr="00F3484D">
        <w:rPr>
          <w:rFonts w:cstheme="majorHAnsi"/>
        </w:rPr>
        <w:t>. A sector is designated by legislative instrument, which specifies the broad classes of data subject to the CDR and the class or classes of persons</w:t>
      </w:r>
      <w:r w:rsidRPr="00EB17A7">
        <w:rPr>
          <w:rFonts w:cstheme="majorHAnsi"/>
        </w:rPr>
        <w:t xml:space="preserve"> who hold the designated information (the data holders).</w:t>
      </w:r>
    </w:p>
    <w:p w14:paraId="473FF688" w14:textId="64C2454D" w:rsidR="00EB17A7" w:rsidRPr="00EB17A7" w:rsidRDefault="00EB17A7" w:rsidP="00EB17A7">
      <w:pPr>
        <w:rPr>
          <w:rFonts w:cstheme="majorHAnsi"/>
        </w:rPr>
      </w:pPr>
      <w:r w:rsidRPr="00EB17A7">
        <w:rPr>
          <w:rFonts w:cstheme="majorHAnsi"/>
        </w:rPr>
        <w:t xml:space="preserve">The designation instrument itself does not impose data sharing obligations. The requirement to disclose particular data emanates from the </w:t>
      </w:r>
      <w:r w:rsidRPr="00EB17A7">
        <w:rPr>
          <w:rFonts w:cstheme="majorHAnsi"/>
          <w:i/>
          <w:iCs/>
        </w:rPr>
        <w:t>Competition and Consumer (Consumer Data Right) Rules 2020</w:t>
      </w:r>
      <w:r w:rsidRPr="00EB17A7">
        <w:rPr>
          <w:rFonts w:cstheme="majorHAnsi"/>
        </w:rPr>
        <w:t xml:space="preserve"> (the </w:t>
      </w:r>
      <w:r w:rsidR="009D295F">
        <w:rPr>
          <w:rFonts w:cstheme="majorHAnsi"/>
        </w:rPr>
        <w:t>r</w:t>
      </w:r>
      <w:r w:rsidRPr="00EB17A7">
        <w:rPr>
          <w:rFonts w:cstheme="majorHAnsi"/>
        </w:rPr>
        <w:t xml:space="preserve">ules), which provide the framework for how the CDR operates in a particular sector. The </w:t>
      </w:r>
      <w:r w:rsidR="009D295F">
        <w:rPr>
          <w:rFonts w:cstheme="majorHAnsi"/>
        </w:rPr>
        <w:t>r</w:t>
      </w:r>
      <w:r w:rsidRPr="00EB17A7">
        <w:rPr>
          <w:rFonts w:cstheme="majorHAnsi"/>
        </w:rPr>
        <w:t>ules have been developed to apply universally across all sectors of the economy to the extent possible, with sector-specific provisions and modifications catered for in sector-specific schedules</w:t>
      </w:r>
      <w:r w:rsidR="002252C2">
        <w:rPr>
          <w:rFonts w:cstheme="majorHAnsi"/>
        </w:rPr>
        <w:t>,</w:t>
      </w:r>
      <w:r w:rsidRPr="00EB17A7">
        <w:rPr>
          <w:rFonts w:cstheme="majorHAnsi"/>
        </w:rPr>
        <w:t xml:space="preserve"> and will be </w:t>
      </w:r>
      <w:r w:rsidR="00793122">
        <w:rPr>
          <w:rFonts w:cstheme="majorHAnsi"/>
        </w:rPr>
        <w:t>progress</w:t>
      </w:r>
      <w:r w:rsidR="00CD50A9">
        <w:rPr>
          <w:rFonts w:cstheme="majorHAnsi"/>
        </w:rPr>
        <w:t>ively</w:t>
      </w:r>
      <w:r w:rsidRPr="00EB17A7">
        <w:rPr>
          <w:rFonts w:cstheme="majorHAnsi"/>
        </w:rPr>
        <w:t xml:space="preserve"> updated as the CDR evolves and expands. The technical standards, made by the Data Standards </w:t>
      </w:r>
      <w:r w:rsidR="004F5773">
        <w:rPr>
          <w:rFonts w:cstheme="majorHAnsi"/>
        </w:rPr>
        <w:t>Chair on the advice of the D</w:t>
      </w:r>
      <w:r w:rsidR="00B54FE7">
        <w:rPr>
          <w:rFonts w:cstheme="majorHAnsi"/>
        </w:rPr>
        <w:t>SB</w:t>
      </w:r>
      <w:r w:rsidRPr="00EB17A7">
        <w:rPr>
          <w:rFonts w:cstheme="majorHAnsi"/>
        </w:rPr>
        <w:t xml:space="preserve">, specify how the data holder </w:t>
      </w:r>
      <w:r w:rsidR="0002665F">
        <w:rPr>
          <w:rFonts w:cstheme="majorHAnsi"/>
        </w:rPr>
        <w:t xml:space="preserve">will </w:t>
      </w:r>
      <w:r w:rsidRPr="00EB17A7">
        <w:rPr>
          <w:rFonts w:cstheme="majorHAnsi"/>
        </w:rPr>
        <w:t xml:space="preserve">comply with the requirements of the rules. Further information on the designation and sectoral assessment processes, CDR rules and standards are </w:t>
      </w:r>
      <w:r w:rsidRPr="00421311">
        <w:rPr>
          <w:rFonts w:cstheme="majorHAnsi"/>
        </w:rPr>
        <w:t xml:space="preserve">summarised in </w:t>
      </w:r>
      <w:r w:rsidRPr="00421311">
        <w:rPr>
          <w:rFonts w:cstheme="majorHAnsi"/>
          <w:u w:val="single"/>
        </w:rPr>
        <w:t>Appendix C</w:t>
      </w:r>
      <w:r w:rsidRPr="00421311">
        <w:rPr>
          <w:rFonts w:cstheme="majorHAnsi"/>
        </w:rPr>
        <w:t>.</w:t>
      </w:r>
    </w:p>
    <w:p w14:paraId="18E157C7" w14:textId="563F2BE0" w:rsidR="00265FE3" w:rsidRDefault="00265FE3" w:rsidP="00265FE3">
      <w:pPr>
        <w:pStyle w:val="Heading2"/>
      </w:pPr>
      <w:bookmarkStart w:id="45" w:name="_Toc106286079"/>
      <w:bookmarkStart w:id="46" w:name="_Toc106358389"/>
      <w:bookmarkStart w:id="47" w:name="_Toc110602869"/>
      <w:r>
        <w:t xml:space="preserve">1.1 </w:t>
      </w:r>
      <w:bookmarkEnd w:id="45"/>
      <w:bookmarkEnd w:id="46"/>
      <w:r w:rsidR="00D86099">
        <w:t>Objects of the CDR</w:t>
      </w:r>
      <w:bookmarkEnd w:id="47"/>
    </w:p>
    <w:p w14:paraId="03B9C41B" w14:textId="3557F3EC" w:rsidR="00265FE3" w:rsidRDefault="00265FE3" w:rsidP="00265FE3">
      <w:pPr>
        <w:spacing w:after="0"/>
      </w:pPr>
      <w:bookmarkStart w:id="48" w:name="_Hlk102567699"/>
      <w:r>
        <w:t xml:space="preserve">The objects of the CDR are </w:t>
      </w:r>
      <w:r w:rsidR="00D54FDE">
        <w:t xml:space="preserve">set out </w:t>
      </w:r>
      <w:r>
        <w:t xml:space="preserve">in section 56AA of </w:t>
      </w:r>
      <w:r w:rsidRPr="00F616A6">
        <w:t>the Act</w:t>
      </w:r>
      <w:r w:rsidRPr="00421311">
        <w:rPr>
          <w:rStyle w:val="FootnoteReference"/>
          <w:sz w:val="22"/>
          <w:szCs w:val="24"/>
          <w:vertAlign w:val="superscript"/>
        </w:rPr>
        <w:footnoteReference w:id="2"/>
      </w:r>
      <w:r w:rsidRPr="00421311">
        <w:t xml:space="preserve"> </w:t>
      </w:r>
      <w:r w:rsidR="00FE1A24" w:rsidRPr="00421311">
        <w:t xml:space="preserve">(see </w:t>
      </w:r>
      <w:r w:rsidR="00966207" w:rsidRPr="00421311">
        <w:t>B</w:t>
      </w:r>
      <w:r w:rsidR="00FE1A24" w:rsidRPr="00421311">
        <w:t>ox 1.1)</w:t>
      </w:r>
      <w:r w:rsidR="0094459B" w:rsidRPr="00421311">
        <w:t xml:space="preserve"> </w:t>
      </w:r>
      <w:r w:rsidR="00FE1A24" w:rsidRPr="00421311">
        <w:t>and</w:t>
      </w:r>
      <w:r w:rsidDel="00FE1A24">
        <w:t xml:space="preserve"> </w:t>
      </w:r>
      <w:r>
        <w:t xml:space="preserve">have remained robust over the initial development stages of the CDR and appear to broadly support the scheme as it moves into an operational phase. To the extent that submissions raised concerns about the objects, these concerns where generally either minor </w:t>
      </w:r>
      <w:r w:rsidR="000F59A3">
        <w:t xml:space="preserve">in nature </w:t>
      </w:r>
      <w:r>
        <w:t>or regard</w:t>
      </w:r>
      <w:r w:rsidR="000F59A3">
        <w:t>ed</w:t>
      </w:r>
      <w:r>
        <w:t xml:space="preserve"> the application of the objects rather than the objects themselves. The minor changes recommended in submissions are considered </w:t>
      </w:r>
      <w:r w:rsidRPr="00421311">
        <w:t xml:space="preserve">in </w:t>
      </w:r>
      <w:r w:rsidR="009444A1" w:rsidRPr="00421311">
        <w:t>Part</w:t>
      </w:r>
      <w:r w:rsidRPr="00421311">
        <w:t xml:space="preserve"> 4.</w:t>
      </w:r>
    </w:p>
    <w:p w14:paraId="561E5417" w14:textId="04522173" w:rsidR="00456D62" w:rsidRDefault="00397220" w:rsidP="00265FE3">
      <w:pPr>
        <w:spacing w:after="0"/>
      </w:pPr>
      <w:r w:rsidRPr="00D7714A">
        <w:t xml:space="preserve">The </w:t>
      </w:r>
      <w:r w:rsidR="00DB6A07" w:rsidRPr="00D7714A">
        <w:t>R</w:t>
      </w:r>
      <w:r w:rsidRPr="00D7714A">
        <w:t xml:space="preserve">eview has </w:t>
      </w:r>
      <w:r w:rsidR="00666E07" w:rsidRPr="00D7714A">
        <w:t>conducted its assessment of the</w:t>
      </w:r>
      <w:r w:rsidR="005258ED" w:rsidRPr="00D7714A">
        <w:t xml:space="preserve"> CDR on the basis that the</w:t>
      </w:r>
      <w:r w:rsidRPr="00D7714A" w:rsidDel="00666E07">
        <w:t xml:space="preserve"> </w:t>
      </w:r>
      <w:r w:rsidRPr="00D7714A">
        <w:t xml:space="preserve">objects </w:t>
      </w:r>
      <w:r w:rsidR="00666E07" w:rsidRPr="00D7714A">
        <w:t>of the</w:t>
      </w:r>
      <w:r w:rsidR="00BC4A17" w:rsidRPr="00D7714A">
        <w:t xml:space="preserve"> </w:t>
      </w:r>
      <w:r w:rsidR="005258ED" w:rsidRPr="00D7714A">
        <w:t>Act</w:t>
      </w:r>
      <w:r w:rsidR="00BC4A17" w:rsidRPr="00D7714A">
        <w:t xml:space="preserve"> </w:t>
      </w:r>
      <w:r w:rsidR="00F24067" w:rsidRPr="00D7714A">
        <w:t>define</w:t>
      </w:r>
      <w:r w:rsidR="005258ED" w:rsidRPr="00D7714A">
        <w:t xml:space="preserve"> the broad scope and purpose</w:t>
      </w:r>
      <w:r w:rsidR="00BC4A17" w:rsidRPr="00D7714A">
        <w:t xml:space="preserve"> </w:t>
      </w:r>
      <w:r w:rsidR="00F24067" w:rsidRPr="00D7714A">
        <w:t>of</w:t>
      </w:r>
      <w:r w:rsidR="00BC4A17" w:rsidRPr="00D7714A">
        <w:t xml:space="preserve"> the CDR. </w:t>
      </w:r>
      <w:r w:rsidR="00DB6A07" w:rsidRPr="00D7714A">
        <w:t xml:space="preserve">The Review acknowledges that </w:t>
      </w:r>
      <w:r w:rsidR="005258ED" w:rsidRPr="00D7714A">
        <w:t>CDR</w:t>
      </w:r>
      <w:r w:rsidR="00DB6A07" w:rsidRPr="00D7714A">
        <w:t xml:space="preserve"> policy settings</w:t>
      </w:r>
      <w:r w:rsidR="00BC4A17" w:rsidRPr="00D7714A">
        <w:t xml:space="preserve"> will continue to evolve over time</w:t>
      </w:r>
      <w:r w:rsidR="00DB6A07" w:rsidRPr="00D7714A" w:rsidDel="00BC4A17">
        <w:t xml:space="preserve"> </w:t>
      </w:r>
      <w:r w:rsidR="00DB6A07" w:rsidRPr="00D7714A">
        <w:t>in response to</w:t>
      </w:r>
      <w:r w:rsidR="00456D62" w:rsidRPr="00D7714A">
        <w:t xml:space="preserve"> changing priorities and </w:t>
      </w:r>
      <w:r w:rsidR="00BC4A17" w:rsidRPr="00D7714A">
        <w:t xml:space="preserve">ecosystem development. Ultimately the scheme’s core purpose and policy settings remain a matter for Government. </w:t>
      </w:r>
      <w:r w:rsidR="00456D62" w:rsidRPr="00D7714A">
        <w:t xml:space="preserve">As such, the Review has not sought to </w:t>
      </w:r>
      <w:r w:rsidR="00AD072B" w:rsidRPr="00D7714A">
        <w:t xml:space="preserve">redefine the </w:t>
      </w:r>
      <w:r w:rsidR="005258ED" w:rsidRPr="00D7714A">
        <w:t xml:space="preserve">intent or purpose of the </w:t>
      </w:r>
      <w:r w:rsidR="00AD072B" w:rsidRPr="00D7714A">
        <w:t>CDR</w:t>
      </w:r>
      <w:r w:rsidR="00CF7D35" w:rsidRPr="00D7714A">
        <w:t xml:space="preserve"> and</w:t>
      </w:r>
      <w:r w:rsidR="00AD072B" w:rsidRPr="00D7714A">
        <w:t xml:space="preserve"> acknowledges that </w:t>
      </w:r>
      <w:r w:rsidR="00CF7D35" w:rsidRPr="00D7714A">
        <w:t xml:space="preserve">the scheme will continue to </w:t>
      </w:r>
      <w:r w:rsidR="00F24067" w:rsidRPr="00D7714A">
        <w:t>develop in</w:t>
      </w:r>
      <w:r w:rsidR="00CF7D35" w:rsidRPr="00D7714A">
        <w:t xml:space="preserve"> the future.</w:t>
      </w:r>
      <w:r w:rsidR="00A94D78" w:rsidRPr="00D7714A">
        <w:t xml:space="preserve"> </w:t>
      </w:r>
    </w:p>
    <w:p w14:paraId="4F8ED23C" w14:textId="4917F8E4" w:rsidR="00397220" w:rsidRDefault="00397220" w:rsidP="00265FE3">
      <w:pPr>
        <w:spacing w:after="0"/>
      </w:pP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FE1A24" w14:paraId="06F386B4" w14:textId="77777777" w:rsidTr="00F90639">
        <w:trPr>
          <w:cnfStyle w:val="100000000000" w:firstRow="1" w:lastRow="0" w:firstColumn="0" w:lastColumn="0" w:oddVBand="0" w:evenVBand="0" w:oddHBand="0" w:evenHBand="0" w:firstRowFirstColumn="0" w:firstRowLastColumn="0" w:lastRowFirstColumn="0" w:lastRowLastColumn="0"/>
          <w:trHeight w:val="3886"/>
        </w:trPr>
        <w:tc>
          <w:tcPr>
            <w:tcW w:w="0" w:type="pct"/>
            <w:shd w:val="clear" w:color="auto" w:fill="F2F2F2" w:themeFill="background1" w:themeFillShade="F2"/>
          </w:tcPr>
          <w:p w14:paraId="03867203" w14:textId="186607A1" w:rsidR="002C2FB7" w:rsidRPr="00822EF9" w:rsidRDefault="00FE1A24" w:rsidP="00F90639">
            <w:pPr>
              <w:pStyle w:val="BoxHeading"/>
            </w:pPr>
            <w:r w:rsidRPr="00F90639">
              <w:lastRenderedPageBreak/>
              <w:t>Box 1.1 – Objects of 56AA of the Act</w:t>
            </w:r>
          </w:p>
          <w:p w14:paraId="1CAF4608" w14:textId="77777777" w:rsidR="002C2FB7" w:rsidRPr="008C73D5" w:rsidRDefault="002C2FB7" w:rsidP="00F90639">
            <w:pPr>
              <w:pStyle w:val="Listparagraph-level1"/>
              <w:ind w:left="284" w:hanging="284"/>
              <w:rPr>
                <w:szCs w:val="28"/>
              </w:rPr>
            </w:pPr>
            <w:r w:rsidRPr="008C73D5">
              <w:rPr>
                <w:szCs w:val="28"/>
              </w:rPr>
              <w:t>to enable consumers in certain sectors of the Australian economy to require information relating to themselves in those sectors to be disclosed safely, efficiently and conveniently</w:t>
            </w:r>
          </w:p>
          <w:p w14:paraId="0B1E58E2" w14:textId="77777777" w:rsidR="002C2FB7" w:rsidRPr="008C73D5" w:rsidRDefault="002C2FB7" w:rsidP="00F90639">
            <w:pPr>
              <w:pStyle w:val="Listparagraph-level2"/>
              <w:rPr>
                <w:color w:val="2C384A" w:themeColor="accent1"/>
                <w:szCs w:val="22"/>
              </w:rPr>
            </w:pPr>
            <w:r w:rsidRPr="008C73D5">
              <w:rPr>
                <w:b w:val="0"/>
                <w:color w:val="2C384A" w:themeColor="accent1"/>
                <w:szCs w:val="22"/>
              </w:rPr>
              <w:t>to themselves for use as they see fit; or</w:t>
            </w:r>
          </w:p>
          <w:p w14:paraId="26447D84" w14:textId="77777777" w:rsidR="002C2FB7" w:rsidRPr="008C73D5" w:rsidRDefault="002C2FB7" w:rsidP="00F90639">
            <w:pPr>
              <w:pStyle w:val="Listparagraph-level2"/>
              <w:rPr>
                <w:color w:val="2C384A" w:themeColor="accent1"/>
                <w:szCs w:val="22"/>
              </w:rPr>
            </w:pPr>
            <w:r w:rsidRPr="008C73D5">
              <w:rPr>
                <w:b w:val="0"/>
                <w:color w:val="2C384A" w:themeColor="accent1"/>
                <w:szCs w:val="22"/>
              </w:rPr>
              <w:t>to accredited persons for use subject to privacy safeguards; and</w:t>
            </w:r>
          </w:p>
          <w:p w14:paraId="2C8FF943" w14:textId="77777777" w:rsidR="002C2FB7" w:rsidRPr="008C73D5" w:rsidRDefault="002C2FB7" w:rsidP="00F90639">
            <w:pPr>
              <w:pStyle w:val="Listparagraph-level1"/>
              <w:ind w:left="284" w:hanging="284"/>
              <w:rPr>
                <w:szCs w:val="28"/>
              </w:rPr>
            </w:pPr>
            <w:r w:rsidRPr="008C73D5">
              <w:rPr>
                <w:szCs w:val="28"/>
              </w:rPr>
              <w:t>to enable any person to efficiently and conveniently access information in those sectors that:</w:t>
            </w:r>
          </w:p>
          <w:p w14:paraId="2A5A3DAF" w14:textId="77777777" w:rsidR="002C2FB7" w:rsidRPr="008C73D5" w:rsidRDefault="002C2FB7" w:rsidP="00F90639">
            <w:pPr>
              <w:pStyle w:val="Listparagraph-level2"/>
              <w:numPr>
                <w:ilvl w:val="0"/>
                <w:numId w:val="63"/>
              </w:numPr>
              <w:ind w:left="568" w:hanging="284"/>
              <w:rPr>
                <w:color w:val="2C384A" w:themeColor="accent1"/>
                <w:szCs w:val="22"/>
              </w:rPr>
            </w:pPr>
            <w:r w:rsidRPr="008C73D5">
              <w:rPr>
                <w:b w:val="0"/>
                <w:color w:val="2C384A" w:themeColor="accent1"/>
                <w:szCs w:val="22"/>
              </w:rPr>
              <w:t>is about goods (such as products) or services; and</w:t>
            </w:r>
          </w:p>
          <w:p w14:paraId="62FD1AD8" w14:textId="77777777" w:rsidR="002C2FB7" w:rsidRPr="008C73D5" w:rsidRDefault="002C2FB7" w:rsidP="00F90639">
            <w:pPr>
              <w:pStyle w:val="Listparagraph-level2"/>
              <w:rPr>
                <w:color w:val="2C384A" w:themeColor="accent1"/>
                <w:szCs w:val="22"/>
              </w:rPr>
            </w:pPr>
            <w:r w:rsidRPr="008C73D5">
              <w:rPr>
                <w:b w:val="0"/>
                <w:color w:val="2C384A" w:themeColor="accent1"/>
                <w:szCs w:val="22"/>
              </w:rPr>
              <w:t>does not relate to any identifiable, or reasonably identifiable, consumers; and</w:t>
            </w:r>
          </w:p>
          <w:p w14:paraId="7036F21F" w14:textId="713EF8C5" w:rsidR="00FE1A24" w:rsidRPr="00511A43" w:rsidRDefault="002C2FB7" w:rsidP="00F90639">
            <w:pPr>
              <w:pStyle w:val="Listparagraph-level1"/>
              <w:ind w:left="284" w:hanging="284"/>
            </w:pPr>
            <w:r w:rsidRPr="008C73D5">
              <w:rPr>
                <w:szCs w:val="28"/>
              </w:rPr>
              <w:t>as a result of paragraphs (a) and (b), to create more choice and competition, or to otherwise promote the public interest.</w:t>
            </w:r>
          </w:p>
        </w:tc>
      </w:tr>
    </w:tbl>
    <w:p w14:paraId="6C6F6703" w14:textId="77777777" w:rsidR="00FE1A24" w:rsidRDefault="00FE1A24" w:rsidP="00265FE3">
      <w:pPr>
        <w:spacing w:after="0"/>
      </w:pPr>
    </w:p>
    <w:p w14:paraId="64D39B31" w14:textId="3E32FA5B" w:rsidR="00923E8C" w:rsidRPr="00F3484D" w:rsidRDefault="00923E8C" w:rsidP="00923E8C">
      <w:r w:rsidRPr="00F3484D">
        <w:t>The Review heard that consumer benefit</w:t>
      </w:r>
      <w:r w:rsidR="00EE310F" w:rsidRPr="00F3484D">
        <w:t>s</w:t>
      </w:r>
      <w:r w:rsidRPr="00F3484D">
        <w:t xml:space="preserve"> can take various forms, ranging from outcomes like lower prices through greater competition on comparable products and services – easing frictions on provider switching – to more individualised products and services that leverage data from across multiple sectors. For example, PEXA’s submission suggested that the CDR could bring value to consumers in the property sector by utilising multiple datasets to provide additional information and transparency on factors that may have an impact on property valuation, lending and insurance </w:t>
      </w:r>
      <w:r w:rsidR="001A314E" w:rsidRPr="00F3484D">
        <w:t xml:space="preserve">by </w:t>
      </w:r>
      <w:r w:rsidRPr="00F3484D">
        <w:t xml:space="preserve">using environmental, traffic and land use data. It is expected that cross-sectoral applications of this nature will begin to emerge as new datasets come into the CDR from energy and, later, telecommunications and other financial sectors. Many submissions to the Review noted that the scheme should prioritise the inclusion of targeted datasets that enable use cases of greatest consumer benefit. </w:t>
      </w:r>
    </w:p>
    <w:p w14:paraId="1A9C81CF" w14:textId="6861B726" w:rsidR="00265FE3" w:rsidRDefault="00923E8C" w:rsidP="00600205">
      <w:r w:rsidRPr="00F3484D">
        <w:t xml:space="preserve">As the CDR matures, </w:t>
      </w:r>
      <w:r w:rsidR="00AF04A4">
        <w:t>the Government</w:t>
      </w:r>
      <w:r w:rsidR="00297BD6" w:rsidRPr="00F3484D">
        <w:t xml:space="preserve"> should</w:t>
      </w:r>
      <w:r w:rsidRPr="00F3484D">
        <w:t xml:space="preserve"> reflect on the different needs of consumer cohorts in the system. </w:t>
      </w:r>
      <w:bookmarkStart w:id="49" w:name="_Hlk102567750"/>
      <w:bookmarkEnd w:id="48"/>
      <w:r w:rsidR="00265FE3">
        <w:t xml:space="preserve">Under the </w:t>
      </w:r>
      <w:r w:rsidR="00E6039E">
        <w:t>s</w:t>
      </w:r>
      <w:r w:rsidR="00265FE3">
        <w:t xml:space="preserve">tatutory </w:t>
      </w:r>
      <w:r w:rsidR="00E6039E">
        <w:t>f</w:t>
      </w:r>
      <w:r w:rsidR="00265FE3">
        <w:t xml:space="preserve">ramework, a CDR consumer is not limited to an individual retail customer and includes small businesses and other </w:t>
      </w:r>
      <w:r w:rsidR="00265FE3" w:rsidRPr="0048691B">
        <w:t>entities utilising</w:t>
      </w:r>
      <w:r w:rsidR="00265FE3" w:rsidRPr="00383A01">
        <w:t xml:space="preserve"> </w:t>
      </w:r>
      <w:r w:rsidR="00265FE3" w:rsidRPr="0048691B">
        <w:t>CDR</w:t>
      </w:r>
      <w:r w:rsidR="00265FE3" w:rsidRPr="007715A8">
        <w:t xml:space="preserve"> data-powered products and services</w:t>
      </w:r>
      <w:r w:rsidR="00265FE3">
        <w:t>.</w:t>
      </w:r>
      <w:r w:rsidR="00265FE3" w:rsidRPr="00600205">
        <w:rPr>
          <w:rStyle w:val="FootnoteReference"/>
          <w:sz w:val="22"/>
          <w:szCs w:val="24"/>
          <w:vertAlign w:val="superscript"/>
        </w:rPr>
        <w:footnoteReference w:id="3"/>
      </w:r>
      <w:r w:rsidR="00265FE3">
        <w:t xml:space="preserve"> Many of the datasets accessible under the CDR have been most beneficial to individual </w:t>
      </w:r>
      <w:r w:rsidR="00265FE3" w:rsidDel="0048691B">
        <w:t>consumers</w:t>
      </w:r>
      <w:r w:rsidR="00265FE3">
        <w:t xml:space="preserve"> (for example, consumer banking data). As the system matures</w:t>
      </w:r>
      <w:r w:rsidR="00144B77">
        <w:t>,</w:t>
      </w:r>
      <w:r w:rsidR="00265FE3">
        <w:t xml:space="preserve"> </w:t>
      </w:r>
      <w:r w:rsidR="00144B77">
        <w:t>the</w:t>
      </w:r>
      <w:r w:rsidR="00265FE3">
        <w:t xml:space="preserve"> CDR </w:t>
      </w:r>
      <w:r w:rsidR="00144B77">
        <w:t xml:space="preserve">could </w:t>
      </w:r>
      <w:r w:rsidR="00265FE3">
        <w:t xml:space="preserve">better distinguish between business and individual consumers and consider how </w:t>
      </w:r>
      <w:r w:rsidR="00144B77">
        <w:t>it</w:t>
      </w:r>
      <w:r w:rsidR="00265FE3">
        <w:t xml:space="preserve"> supports the different needs of both </w:t>
      </w:r>
      <w:r w:rsidR="000F59A3">
        <w:t>(</w:t>
      </w:r>
      <w:r w:rsidR="000F59A3" w:rsidRPr="00421311">
        <w:t xml:space="preserve">see </w:t>
      </w:r>
      <w:r w:rsidR="00C3526E" w:rsidRPr="00421311">
        <w:t xml:space="preserve">section </w:t>
      </w:r>
      <w:r w:rsidR="000F59A3" w:rsidRPr="00421311">
        <w:t>3.1)</w:t>
      </w:r>
      <w:r w:rsidR="00265FE3" w:rsidRPr="00421311">
        <w:t>. The CDR presents an opportunity for small businesses to access new products and</w:t>
      </w:r>
      <w:r w:rsidR="00265FE3">
        <w:t xml:space="preserve"> services that increase the efficiency of their operations, further </w:t>
      </w:r>
      <w:r w:rsidR="00564CBA">
        <w:t xml:space="preserve">reducing </w:t>
      </w:r>
      <w:r w:rsidR="00265FE3">
        <w:t xml:space="preserve">the </w:t>
      </w:r>
      <w:r w:rsidR="00637EAE">
        <w:t xml:space="preserve">burden of </w:t>
      </w:r>
      <w:r w:rsidR="00265FE3">
        <w:t xml:space="preserve">business administration and </w:t>
      </w:r>
      <w:r w:rsidR="00144B77">
        <w:t>enabling more</w:t>
      </w:r>
      <w:r w:rsidR="00265FE3">
        <w:t xml:space="preserve"> focus on growing business</w:t>
      </w:r>
      <w:r w:rsidR="00297BD6">
        <w:t>es</w:t>
      </w:r>
      <w:r w:rsidR="00265FE3">
        <w:t xml:space="preserve">. </w:t>
      </w:r>
      <w:bookmarkEnd w:id="49"/>
    </w:p>
    <w:p w14:paraId="2A81B0F7" w14:textId="0E62911D" w:rsidR="00265FE3" w:rsidRDefault="00265FE3" w:rsidP="00265FE3">
      <w:pPr>
        <w:spacing w:after="0"/>
      </w:pPr>
      <w:r>
        <w:t>Data safety, security and information privacy also remain priorit</w:t>
      </w:r>
      <w:r w:rsidR="00144B77">
        <w:t>ies</w:t>
      </w:r>
      <w:r>
        <w:t xml:space="preserve"> for all participants in the system, from consumers to data holders, </w:t>
      </w:r>
      <w:r w:rsidR="00144B77">
        <w:t xml:space="preserve">to </w:t>
      </w:r>
      <w:r>
        <w:t xml:space="preserve">intermediaries and data recipients. </w:t>
      </w:r>
      <w:r w:rsidR="00144B77">
        <w:t>A</w:t>
      </w:r>
      <w:r>
        <w:t xml:space="preserve"> recent report by a CDR </w:t>
      </w:r>
      <w:r w:rsidR="002F476E">
        <w:t>Accredited Data Recipient (</w:t>
      </w:r>
      <w:r>
        <w:t>ADR</w:t>
      </w:r>
      <w:r w:rsidR="002F476E">
        <w:t>)</w:t>
      </w:r>
      <w:r>
        <w:t xml:space="preserve"> Frollo, </w:t>
      </w:r>
      <w:r w:rsidR="00144B77">
        <w:t xml:space="preserve">for example, </w:t>
      </w:r>
      <w:r>
        <w:t xml:space="preserve">surveyed consumers </w:t>
      </w:r>
      <w:r w:rsidR="00144B77">
        <w:t xml:space="preserve">who </w:t>
      </w:r>
      <w:r>
        <w:t>rated security as one of the most important features of financial information</w:t>
      </w:r>
      <w:r w:rsidR="00144B77">
        <w:t>-</w:t>
      </w:r>
      <w:r>
        <w:t>sharing.</w:t>
      </w:r>
      <w:r w:rsidRPr="00600205">
        <w:rPr>
          <w:rStyle w:val="FootnoteReference"/>
          <w:sz w:val="22"/>
          <w:szCs w:val="24"/>
          <w:vertAlign w:val="superscript"/>
        </w:rPr>
        <w:footnoteReference w:id="4"/>
      </w:r>
      <w:r>
        <w:t xml:space="preserve"> </w:t>
      </w:r>
    </w:p>
    <w:p w14:paraId="0315C434" w14:textId="3D811762" w:rsidR="00E82256" w:rsidRDefault="00923E8C" w:rsidP="008A32BF">
      <w:r w:rsidRPr="00F3484D">
        <w:lastRenderedPageBreak/>
        <w:t xml:space="preserve">The CDR is an ecosystem based on trust, safety and security. Obligations for participants around access, use and handling of personal information through the Privacy Safeguards embedded in the </w:t>
      </w:r>
      <w:r w:rsidR="00EE310F" w:rsidRPr="00F3484D">
        <w:t>Act</w:t>
      </w:r>
      <w:r w:rsidRPr="00F3484D">
        <w:t xml:space="preserve"> provide a strong foundation that will </w:t>
      </w:r>
      <w:r w:rsidR="001A314E" w:rsidRPr="00F3484D">
        <w:t>promote</w:t>
      </w:r>
      <w:r w:rsidRPr="00F3484D">
        <w:t xml:space="preserve"> uptake of the CDR from both consumers and participants. When compared to the Australian Privacy Principles (APP) established under the </w:t>
      </w:r>
      <w:r w:rsidRPr="00F3484D">
        <w:rPr>
          <w:i/>
        </w:rPr>
        <w:t>Privacy Act 1988</w:t>
      </w:r>
      <w:r w:rsidRPr="00F3484D">
        <w:t xml:space="preserve">, many submissions noted the CDR’s Privacy Safeguards afford a higher level of protection </w:t>
      </w:r>
      <w:r w:rsidR="00637EAE" w:rsidRPr="00F3484D">
        <w:t xml:space="preserve">for </w:t>
      </w:r>
      <w:r w:rsidRPr="00F3484D">
        <w:t>consumers than the APP, reflecting the increased volume and accessibility of personal information under the scheme.</w:t>
      </w:r>
      <w:r w:rsidRPr="00F3484D" w:rsidDel="00174705">
        <w:t xml:space="preserve"> </w:t>
      </w:r>
      <w:r w:rsidRPr="00F3484D">
        <w:t>Submissions also acknowledged CDR as a more secure system for data</w:t>
      </w:r>
      <w:r w:rsidR="00BE7617">
        <w:t xml:space="preserve"> </w:t>
      </w:r>
      <w:r w:rsidRPr="00F3484D">
        <w:t>sharing than other channels like screen-scraping.</w:t>
      </w:r>
      <w:r w:rsidR="00C77FEA">
        <w:t xml:space="preserve"> </w:t>
      </w:r>
      <w:r w:rsidR="00C77FEA" w:rsidRPr="00BE548E">
        <w:t>To this end</w:t>
      </w:r>
      <w:r w:rsidR="00BA1B8E">
        <w:t>,</w:t>
      </w:r>
      <w:r w:rsidR="00C77FEA">
        <w:t xml:space="preserve"> the</w:t>
      </w:r>
      <w:r w:rsidR="00265FE3" w:rsidDel="00C77FEA">
        <w:t xml:space="preserve"> </w:t>
      </w:r>
      <w:r w:rsidR="00265FE3">
        <w:t>Data Standards Chair has</w:t>
      </w:r>
      <w:r w:rsidR="00BC1790">
        <w:t xml:space="preserve"> also</w:t>
      </w:r>
      <w:r w:rsidR="00265FE3">
        <w:t xml:space="preserve"> overseen the development of comprehensive data standards that </w:t>
      </w:r>
      <w:r w:rsidR="00265FE3" w:rsidRPr="00591794">
        <w:t xml:space="preserve">reflect the high-level of data, privacy and security protections required under the CDR. </w:t>
      </w:r>
    </w:p>
    <w:p w14:paraId="426F46B1" w14:textId="2DFF9B4C" w:rsidR="00A14292" w:rsidRPr="00600205" w:rsidRDefault="00265FE3" w:rsidP="00600205">
      <w:pPr>
        <w:spacing w:after="0"/>
      </w:pPr>
      <w:r w:rsidRPr="00591794">
        <w:t xml:space="preserve">While important </w:t>
      </w:r>
      <w:r>
        <w:t xml:space="preserve">to building </w:t>
      </w:r>
      <w:r w:rsidRPr="00591794">
        <w:t xml:space="preserve">trust in the CDR, some participants report that regulatory requirements and standards </w:t>
      </w:r>
      <w:r>
        <w:t>have led to significant regulatory costs and continue to form a barrier to entry for smaller entities without sophisticated IT capabilities and significant resources. There is clearly a balance to be struck between data security and safety on the one hand and increased consumer choice, innovation and competition on the other</w:t>
      </w:r>
      <w:r w:rsidR="00144B77">
        <w:t xml:space="preserve"> – with</w:t>
      </w:r>
      <w:r>
        <w:t xml:space="preserve"> </w:t>
      </w:r>
      <w:r w:rsidR="00144B77">
        <w:t xml:space="preserve">the former </w:t>
      </w:r>
      <w:r>
        <w:t xml:space="preserve">currently </w:t>
      </w:r>
      <w:r w:rsidR="00144B77">
        <w:t>out</w:t>
      </w:r>
      <w:r>
        <w:t>weigh</w:t>
      </w:r>
      <w:r w:rsidR="00144B77">
        <w:t>ing the latter</w:t>
      </w:r>
      <w:r>
        <w:t>. Both remain valid objects of the CDR, however</w:t>
      </w:r>
      <w:r w:rsidR="00144B77">
        <w:t>,</w:t>
      </w:r>
      <w:r>
        <w:t xml:space="preserve"> </w:t>
      </w:r>
      <w:r w:rsidR="00022EC6">
        <w:t>and</w:t>
      </w:r>
      <w:r>
        <w:t xml:space="preserve"> most participants agree that the existing high levels of information and data security are necessary to underpin trust and confidence in the CDR</w:t>
      </w:r>
      <w:r w:rsidR="00D86099">
        <w:t xml:space="preserve">, </w:t>
      </w:r>
      <w:r>
        <w:t xml:space="preserve">and provide a secure foundation for future expansion. For the same reasons, the privacy safeguards continue to be viewed as an important element of the CDR, especially in building a trusted system. </w:t>
      </w:r>
    </w:p>
    <w:p w14:paraId="4612305E" w14:textId="62274B52" w:rsidR="00A14292" w:rsidRPr="00F3484D" w:rsidRDefault="00A14292" w:rsidP="00A14292">
      <w:r w:rsidRPr="00F3484D">
        <w:t xml:space="preserve">The Review </w:t>
      </w:r>
      <w:r w:rsidR="001A314E" w:rsidRPr="00F3484D">
        <w:t>also</w:t>
      </w:r>
      <w:r w:rsidRPr="00F3484D">
        <w:t xml:space="preserve"> heard that the CDR offers safe and secure access to datasets from which to create consumer-centred products and services. The immediate consumer benefits of greater access to data have been well-documented, particularly around provider comparison and switching. Participants anticipate that the designation of new datasets from energy, telecommunications and finance will drive the development of new use cases, increase uptake and, especially with the introduction of action initiation (noted by some as the ‘game changer’), will enhance the potential to deliver </w:t>
      </w:r>
      <w:r w:rsidR="001A314E" w:rsidRPr="00F3484D">
        <w:t>efficiency</w:t>
      </w:r>
      <w:r w:rsidRPr="00F3484D">
        <w:t xml:space="preserve"> and convenience to consumers. </w:t>
      </w:r>
    </w:p>
    <w:p w14:paraId="14846970" w14:textId="77777777" w:rsidR="00A14292" w:rsidRPr="00F3484D" w:rsidRDefault="00A14292" w:rsidP="00F90639">
      <w:pPr>
        <w:pStyle w:val="Quote"/>
      </w:pPr>
      <w:r w:rsidRPr="00F3484D">
        <w:t xml:space="preserve">“Red and Lumo have consistently supported the CDR and recognise the potential benefits it will generate for Australian energy consumers. It will assist them with their energy choices, encourage efficient energy use and facilitate efficient investment in solar, batteries and other distributed energy resources. The potential benefits are wide ranging and include product innovation, reduced energy prices and more efficient use of energy infrastructure” </w:t>
      </w:r>
      <w:r w:rsidRPr="00F3484D">
        <w:rPr>
          <w:b/>
        </w:rPr>
        <w:t>– Red Energy and Lumo Energy</w:t>
      </w:r>
    </w:p>
    <w:p w14:paraId="38352C69" w14:textId="696B7936" w:rsidR="00265FE3" w:rsidRDefault="00265FE3" w:rsidP="00F90639">
      <w:pPr>
        <w:spacing w:after="0"/>
        <w:ind w:right="170"/>
      </w:pPr>
      <w:r>
        <w:t xml:space="preserve">While </w:t>
      </w:r>
      <w:r w:rsidRPr="00A64535">
        <w:t>efficiency</w:t>
      </w:r>
      <w:r>
        <w:t xml:space="preserve"> and convenience remain important </w:t>
      </w:r>
      <w:r w:rsidR="002E3299">
        <w:t xml:space="preserve">objects </w:t>
      </w:r>
      <w:r>
        <w:t xml:space="preserve">for the CDR, it is apparent that </w:t>
      </w:r>
      <w:r w:rsidR="00144B77">
        <w:t>they have</w:t>
      </w:r>
      <w:r>
        <w:t xml:space="preserve"> not yet been broadly achieved for participants. Partly reflecting the stage of implementation of </w:t>
      </w:r>
      <w:r w:rsidR="00144B77">
        <w:t xml:space="preserve">the </w:t>
      </w:r>
      <w:r>
        <w:t xml:space="preserve">CDR, many participants currently find participation in the scheme complex and expensive (further </w:t>
      </w:r>
      <w:r w:rsidRPr="00421311">
        <w:t>discussed at section 1.</w:t>
      </w:r>
      <w:r w:rsidR="00C3526E" w:rsidRPr="00421311">
        <w:t>5</w:t>
      </w:r>
      <w:r w:rsidRPr="00421311">
        <w:t>)</w:t>
      </w:r>
      <w:r w:rsidR="00D86099" w:rsidRPr="00421311">
        <w:t>.</w:t>
      </w:r>
      <w:r w:rsidR="00144B77" w:rsidRPr="00421311">
        <w:t xml:space="preserve"> </w:t>
      </w:r>
      <w:r w:rsidR="00D86099" w:rsidRPr="00421311">
        <w:t>A</w:t>
      </w:r>
      <w:r w:rsidRPr="00421311">
        <w:t>s the</w:t>
      </w:r>
      <w:r>
        <w:t xml:space="preserve"> system matures</w:t>
      </w:r>
      <w:r w:rsidR="00144B77">
        <w:t>,</w:t>
      </w:r>
      <w:r>
        <w:t xml:space="preserve"> focus </w:t>
      </w:r>
      <w:r w:rsidR="00D86099">
        <w:t xml:space="preserve">should be </w:t>
      </w:r>
      <w:r>
        <w:t xml:space="preserve">on removing complexity and encouraging greater ease of participation for consumers, data holders and </w:t>
      </w:r>
      <w:r w:rsidR="003544C2">
        <w:t>ADRs</w:t>
      </w:r>
      <w:r>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265FE3" w14:paraId="4CF00953" w14:textId="77777777" w:rsidTr="002161DB">
        <w:tc>
          <w:tcPr>
            <w:tcW w:w="5000" w:type="pct"/>
            <w:shd w:val="clear" w:color="auto" w:fill="F2F9FC"/>
            <w:hideMark/>
          </w:tcPr>
          <w:p w14:paraId="6AF5967A" w14:textId="1D071CF7" w:rsidR="00265FE3" w:rsidRPr="00CE4B29" w:rsidRDefault="00265FE3" w:rsidP="00F90639">
            <w:pPr>
              <w:pStyle w:val="BoxHeading"/>
            </w:pPr>
            <w:r w:rsidRPr="00CE4B29">
              <w:lastRenderedPageBreak/>
              <w:t>Finding 1.1</w:t>
            </w:r>
          </w:p>
          <w:p w14:paraId="6A9ABA75" w14:textId="4C96AB8A" w:rsidR="00265FE3" w:rsidRDefault="00847813" w:rsidP="00F90639">
            <w:pPr>
              <w:pStyle w:val="BoxText"/>
            </w:pPr>
            <w:r w:rsidRPr="00CE4B29">
              <w:rPr>
                <w:color w:val="2C384A" w:themeColor="accent1"/>
              </w:rPr>
              <w:t>The Review has found that the objects of Part IVD of the Act are broadly fit</w:t>
            </w:r>
            <w:r w:rsidR="00F050FD" w:rsidRPr="00CE4B29">
              <w:rPr>
                <w:color w:val="2C384A" w:themeColor="accent1"/>
              </w:rPr>
              <w:t>-</w:t>
            </w:r>
            <w:r w:rsidRPr="00CE4B29">
              <w:rPr>
                <w:color w:val="2C384A" w:themeColor="accent1"/>
              </w:rPr>
              <w:t>for</w:t>
            </w:r>
            <w:r w:rsidR="00F050FD" w:rsidRPr="00CE4B29">
              <w:rPr>
                <w:color w:val="2C384A" w:themeColor="accent1"/>
              </w:rPr>
              <w:t>-</w:t>
            </w:r>
            <w:r w:rsidRPr="00CE4B29">
              <w:rPr>
                <w:color w:val="2C384A" w:themeColor="accent1"/>
              </w:rPr>
              <w:t xml:space="preserve">purpose and </w:t>
            </w:r>
            <w:r w:rsidR="001A314E" w:rsidRPr="00CE4B29">
              <w:rPr>
                <w:color w:val="2C384A" w:themeColor="accent1"/>
              </w:rPr>
              <w:t>will continue</w:t>
            </w:r>
            <w:r w:rsidRPr="00CE4B29">
              <w:rPr>
                <w:color w:val="2C384A" w:themeColor="accent1"/>
              </w:rPr>
              <w:t xml:space="preserve"> to </w:t>
            </w:r>
            <w:r w:rsidR="001A314E" w:rsidRPr="00CE4B29">
              <w:rPr>
                <w:color w:val="2C384A" w:themeColor="accent1"/>
              </w:rPr>
              <w:t>support</w:t>
            </w:r>
            <w:r w:rsidRPr="00CE4B29">
              <w:rPr>
                <w:color w:val="2C384A" w:themeColor="accent1"/>
              </w:rPr>
              <w:t xml:space="preserve"> </w:t>
            </w:r>
            <w:r w:rsidR="001A314E" w:rsidRPr="00CE4B29">
              <w:rPr>
                <w:color w:val="2C384A" w:themeColor="accent1"/>
              </w:rPr>
              <w:t>the</w:t>
            </w:r>
            <w:r w:rsidRPr="00CE4B29">
              <w:rPr>
                <w:color w:val="2C384A" w:themeColor="accent1"/>
              </w:rPr>
              <w:t xml:space="preserve"> economy-wide expansion of the CDR</w:t>
            </w:r>
            <w:r w:rsidR="001A314E" w:rsidRPr="00CE4B29">
              <w:rPr>
                <w:color w:val="2C384A" w:themeColor="accent1"/>
              </w:rPr>
              <w:t xml:space="preserve"> into the </w:t>
            </w:r>
            <w:r w:rsidR="005A246A" w:rsidRPr="00CE4B29">
              <w:rPr>
                <w:color w:val="2C384A" w:themeColor="accent1"/>
              </w:rPr>
              <w:t>medium</w:t>
            </w:r>
            <w:r w:rsidR="00396585" w:rsidRPr="00CE4B29">
              <w:rPr>
                <w:color w:val="2C384A" w:themeColor="accent1"/>
              </w:rPr>
              <w:t xml:space="preserve"> </w:t>
            </w:r>
            <w:r w:rsidR="005A246A" w:rsidRPr="00CE4B29">
              <w:rPr>
                <w:color w:val="2C384A" w:themeColor="accent1"/>
              </w:rPr>
              <w:t>term</w:t>
            </w:r>
            <w:r w:rsidRPr="00CE4B29">
              <w:rPr>
                <w:color w:val="2C384A" w:themeColor="accent1"/>
              </w:rPr>
              <w:t>.</w:t>
            </w:r>
          </w:p>
        </w:tc>
      </w:tr>
    </w:tbl>
    <w:p w14:paraId="4928B6C4" w14:textId="61047D4D" w:rsidR="00265FE3" w:rsidRPr="00F3484D" w:rsidRDefault="00265FE3" w:rsidP="00265FE3">
      <w:pPr>
        <w:pStyle w:val="Heading2"/>
      </w:pPr>
      <w:bookmarkStart w:id="50" w:name="_Toc106286080"/>
      <w:bookmarkStart w:id="51" w:name="_Toc106358390"/>
      <w:bookmarkStart w:id="52" w:name="_Toc110602870"/>
      <w:bookmarkStart w:id="53" w:name="_Hlk102567776"/>
      <w:r>
        <w:t>1</w:t>
      </w:r>
      <w:r w:rsidRPr="00F3484D">
        <w:t xml:space="preserve">.2 Sector-by-sector approach to </w:t>
      </w:r>
      <w:bookmarkEnd w:id="50"/>
      <w:bookmarkEnd w:id="51"/>
      <w:r w:rsidR="00DC4871" w:rsidRPr="00F3484D">
        <w:t>expansion</w:t>
      </w:r>
      <w:bookmarkEnd w:id="52"/>
    </w:p>
    <w:p w14:paraId="061EFEF5" w14:textId="01E682CD" w:rsidR="00265FE3" w:rsidRDefault="00265FE3" w:rsidP="00265FE3">
      <w:pPr>
        <w:spacing w:after="0"/>
      </w:pPr>
      <w:r w:rsidRPr="00F3484D">
        <w:t>The CDR is designed as a whole-of-economy measure</w:t>
      </w:r>
      <w:r w:rsidR="00805CB3">
        <w:t xml:space="preserve"> and</w:t>
      </w:r>
      <w:r w:rsidRPr="00F3484D">
        <w:t xml:space="preserve"> its implementation has been on a sector-by-sector basis</w:t>
      </w:r>
      <w:r w:rsidR="00AF2C7F" w:rsidRPr="00F3484D">
        <w:t>, commencing with banking</w:t>
      </w:r>
      <w:r w:rsidR="00CD635F">
        <w:t xml:space="preserve">, to be followed </w:t>
      </w:r>
      <w:r w:rsidR="00AF2C7F" w:rsidRPr="00F3484D">
        <w:t>by energy and telecommunications</w:t>
      </w:r>
      <w:r w:rsidRPr="00F3484D">
        <w:t>. The Review considered whether the designation</w:t>
      </w:r>
      <w:r>
        <w:t xml:space="preserve"> process has the agility to support the CDR </w:t>
      </w:r>
      <w:r w:rsidR="00CC51D3">
        <w:t>as it brings in datasets from across different sectors of the e</w:t>
      </w:r>
      <w:r>
        <w:t xml:space="preserve">conomy, </w:t>
      </w:r>
      <w:r w:rsidR="00CC51D3" w:rsidRPr="00421311">
        <w:t>driven by an increased</w:t>
      </w:r>
      <w:r w:rsidRPr="00421311">
        <w:t xml:space="preserve"> focus on cross-sector use cases. The international experience of other jurisdictions </w:t>
      </w:r>
      <w:r w:rsidR="005D4ED6" w:rsidRPr="00421311">
        <w:t>(see Box 1.</w:t>
      </w:r>
      <w:r w:rsidR="009444A1" w:rsidRPr="00421311">
        <w:t>2</w:t>
      </w:r>
      <w:r w:rsidR="005D4ED6" w:rsidRPr="00421311">
        <w:t>)</w:t>
      </w:r>
      <w:r w:rsidRPr="00421311">
        <w:t xml:space="preserve"> and</w:t>
      </w:r>
      <w:r>
        <w:t xml:space="preserve"> the findings of the </w:t>
      </w:r>
      <w:r w:rsidR="00A12CEF">
        <w:t xml:space="preserve">Treasury-led CDR </w:t>
      </w:r>
      <w:r>
        <w:t xml:space="preserve">Strategic Assessment </w:t>
      </w:r>
      <w:r w:rsidR="00A12CEF">
        <w:t>(202</w:t>
      </w:r>
      <w:r w:rsidR="00503546">
        <w:t>2</w:t>
      </w:r>
      <w:r w:rsidR="00A12CEF">
        <w:t>)</w:t>
      </w:r>
      <w:r w:rsidR="00503546" w:rsidRPr="00F3484D">
        <w:rPr>
          <w:rStyle w:val="FootnoteReference"/>
          <w:sz w:val="22"/>
          <w:szCs w:val="22"/>
          <w:vertAlign w:val="superscript"/>
        </w:rPr>
        <w:footnoteReference w:id="5"/>
      </w:r>
      <w:r>
        <w:t xml:space="preserve"> </w:t>
      </w:r>
      <w:r w:rsidR="00564CBA" w:rsidRPr="00F3484D">
        <w:t>were also considered</w:t>
      </w:r>
      <w:r>
        <w:t>.</w:t>
      </w:r>
      <w:r w:rsidR="005D4ED6">
        <w:t xml:space="preserve"> </w:t>
      </w:r>
    </w:p>
    <w:bookmarkEnd w:id="53"/>
    <w:p w14:paraId="5BF9781F" w14:textId="498C7F9A" w:rsidR="00265FE3" w:rsidRDefault="00946B4C" w:rsidP="00265FE3">
      <w:pPr>
        <w:spacing w:after="0"/>
      </w:pPr>
      <w:r>
        <w:t>The</w:t>
      </w:r>
      <w:r w:rsidR="00CC51D3">
        <w:t xml:space="preserve"> </w:t>
      </w:r>
      <w:r w:rsidR="00265FE3">
        <w:t xml:space="preserve">Strategic Assessment recommended a </w:t>
      </w:r>
      <w:r w:rsidR="00CC51D3">
        <w:t>consumer use</w:t>
      </w:r>
      <w:r w:rsidR="004170F4">
        <w:t xml:space="preserve"> </w:t>
      </w:r>
      <w:r w:rsidR="00CC51D3">
        <w:t>case</w:t>
      </w:r>
      <w:r w:rsidR="00FB0FE9">
        <w:t xml:space="preserve"> focused</w:t>
      </w:r>
      <w:r w:rsidR="00CC51D3">
        <w:t xml:space="preserve"> </w:t>
      </w:r>
      <w:r w:rsidR="00265FE3">
        <w:t xml:space="preserve">approach to designation, </w:t>
      </w:r>
      <w:r w:rsidR="00805CB3">
        <w:t xml:space="preserve">starting with </w:t>
      </w:r>
      <w:r w:rsidR="00265FE3">
        <w:t xml:space="preserve">exploring </w:t>
      </w:r>
      <w:r w:rsidR="00DD5211">
        <w:t xml:space="preserve">CDR </w:t>
      </w:r>
      <w:r w:rsidR="00265FE3">
        <w:t xml:space="preserve">applications </w:t>
      </w:r>
      <w:r w:rsidR="00CC51D3">
        <w:t>across the</w:t>
      </w:r>
      <w:r w:rsidR="00265FE3">
        <w:t xml:space="preserve"> finance sector</w:t>
      </w:r>
      <w:r w:rsidR="00DD5211">
        <w:t>,</w:t>
      </w:r>
      <w:r w:rsidR="00265FE3">
        <w:t xml:space="preserve"> including non-bank lending, merchant acquiring services and key datasets in </w:t>
      </w:r>
      <w:r w:rsidR="0044191F">
        <w:t xml:space="preserve">general </w:t>
      </w:r>
      <w:r w:rsidR="00265FE3">
        <w:t>insurance and superannuation (collectively referred to as ‘Open Finance’).</w:t>
      </w:r>
      <w:r w:rsidR="00265FE3" w:rsidRPr="00600205">
        <w:rPr>
          <w:vertAlign w:val="superscript"/>
        </w:rPr>
        <w:footnoteReference w:id="6"/>
      </w:r>
      <w:r w:rsidR="00265FE3" w:rsidRPr="00600205">
        <w:rPr>
          <w:vertAlign w:val="superscript"/>
        </w:rPr>
        <w:t xml:space="preserve"> </w:t>
      </w:r>
      <w:r w:rsidR="00265FE3">
        <w:t xml:space="preserve">The Strategic Assessment found that the activity of data holders and </w:t>
      </w:r>
      <w:r w:rsidR="00265FE3" w:rsidRPr="00421311">
        <w:t>businesses was increasingly moving beyond traditional sectoral boundaries and definitions</w:t>
      </w:r>
      <w:r w:rsidR="004A7D05" w:rsidRPr="00421311">
        <w:t xml:space="preserve"> (see </w:t>
      </w:r>
      <w:r w:rsidR="004A7D05" w:rsidRPr="00421311">
        <w:rPr>
          <w:u w:val="single"/>
        </w:rPr>
        <w:t>Appendix C</w:t>
      </w:r>
      <w:r w:rsidR="004A7D05" w:rsidRPr="00421311">
        <w:t>)</w:t>
      </w:r>
      <w:r w:rsidR="00265FE3" w:rsidRPr="00421311">
        <w:t>.</w:t>
      </w:r>
      <w:r w:rsidR="00265FE3">
        <w:t xml:space="preserve"> A data purpose-driven approach</w:t>
      </w:r>
      <w:r w:rsidR="00DD5211">
        <w:t>,</w:t>
      </w:r>
      <w:r w:rsidR="00265FE3">
        <w:t xml:space="preserve"> which </w:t>
      </w:r>
      <w:r w:rsidR="00FB0FE9">
        <w:t xml:space="preserve">considers </w:t>
      </w:r>
      <w:r w:rsidR="00265FE3">
        <w:t>how datasets would complement data already designated and produce the most compelling consumer use cases</w:t>
      </w:r>
      <w:r w:rsidR="00DD5211">
        <w:t>,</w:t>
      </w:r>
      <w:r w:rsidR="00265FE3">
        <w:t xml:space="preserve"> was proposed as a pathway for more targeted and agile expansion of </w:t>
      </w:r>
      <w:r w:rsidR="00DD5211">
        <w:t xml:space="preserve">the </w:t>
      </w:r>
      <w:r w:rsidR="00265FE3">
        <w:t>CDR.</w:t>
      </w:r>
    </w:p>
    <w:p w14:paraId="32E53DD7" w14:textId="183E061E" w:rsidR="00E62C6B" w:rsidRPr="005C4C5C" w:rsidRDefault="00C431DE" w:rsidP="00E62C6B">
      <w:pPr>
        <w:spacing w:after="0"/>
      </w:pPr>
      <w:r>
        <w:t>A</w:t>
      </w:r>
      <w:r w:rsidR="00CD635F">
        <w:t>n</w:t>
      </w:r>
      <w:r w:rsidR="00C36237">
        <w:t xml:space="preserve"> </w:t>
      </w:r>
      <w:r w:rsidR="009B1F9F" w:rsidRPr="005C4C5C">
        <w:t xml:space="preserve">expansion </w:t>
      </w:r>
      <w:r w:rsidR="00C36237" w:rsidRPr="005C4C5C">
        <w:t>approach that considers and prioritises high value use cases</w:t>
      </w:r>
      <w:r w:rsidR="00265FE3" w:rsidRPr="005C4C5C">
        <w:t xml:space="preserve"> sector-by-sector </w:t>
      </w:r>
      <w:r w:rsidRPr="005C4C5C">
        <w:t>is a viable way of achieving a wider coverage of CDR in the</w:t>
      </w:r>
      <w:r>
        <w:t xml:space="preserve"> economy over the medium term. </w:t>
      </w:r>
      <w:bookmarkStart w:id="54" w:name="_Hlk108612499"/>
      <w:r>
        <w:t>This includes designating targeted datasets</w:t>
      </w:r>
      <w:r w:rsidDel="001A6359">
        <w:t xml:space="preserve"> </w:t>
      </w:r>
      <w:r w:rsidR="00E62C6B" w:rsidRPr="00622D80">
        <w:t>to support high value use cases</w:t>
      </w:r>
      <w:r w:rsidR="009F70C5" w:rsidRPr="00F3484D">
        <w:t xml:space="preserve"> (see </w:t>
      </w:r>
      <w:r w:rsidR="009F70C5" w:rsidRPr="00421311">
        <w:t>also section 1.3)</w:t>
      </w:r>
      <w:r w:rsidR="00E62C6B" w:rsidRPr="00421311">
        <w:t>.</w:t>
      </w:r>
      <w:r w:rsidR="00E62C6B" w:rsidRPr="00622D80">
        <w:t xml:space="preserve"> </w:t>
      </w:r>
      <w:r>
        <w:t>The c</w:t>
      </w:r>
      <w:r w:rsidR="006860D9" w:rsidRPr="00F3484D">
        <w:t xml:space="preserve">urrent </w:t>
      </w:r>
      <w:r w:rsidR="006860D9" w:rsidRPr="005C4C5C">
        <w:t xml:space="preserve">statutory </w:t>
      </w:r>
      <w:r w:rsidRPr="005C4C5C">
        <w:t xml:space="preserve">framework </w:t>
      </w:r>
      <w:r w:rsidR="00871C35" w:rsidRPr="005C4C5C">
        <w:t>appears</w:t>
      </w:r>
      <w:r w:rsidRPr="005C4C5C">
        <w:t xml:space="preserve"> flexible enough</w:t>
      </w:r>
      <w:r w:rsidR="001A6359" w:rsidRPr="005C4C5C">
        <w:t xml:space="preserve"> </w:t>
      </w:r>
      <w:r w:rsidRPr="005C4C5C">
        <w:t>to allow targeted</w:t>
      </w:r>
      <w:r w:rsidR="00C44F20" w:rsidRPr="005C4C5C">
        <w:t xml:space="preserve"> datasets to be brought into the system as more use cases are identified</w:t>
      </w:r>
      <w:r w:rsidR="004102AB" w:rsidRPr="005C4C5C">
        <w:t>.</w:t>
      </w:r>
      <w:r w:rsidR="00BC3348" w:rsidRPr="005C4C5C">
        <w:t xml:space="preserve"> </w:t>
      </w:r>
      <w:r w:rsidR="00885555" w:rsidRPr="005C4C5C">
        <w:t xml:space="preserve">This </w:t>
      </w:r>
      <w:r w:rsidR="00871C35" w:rsidRPr="005C4C5C">
        <w:t>will be tested</w:t>
      </w:r>
      <w:r w:rsidR="00885555" w:rsidRPr="005C4C5C">
        <w:t xml:space="preserve"> in the current </w:t>
      </w:r>
      <w:r w:rsidR="00C1071C" w:rsidRPr="005C4C5C">
        <w:t xml:space="preserve">sectoral </w:t>
      </w:r>
      <w:r w:rsidR="00885555" w:rsidRPr="005C4C5C">
        <w:t xml:space="preserve">assessment process for </w:t>
      </w:r>
      <w:r w:rsidR="00265FE3" w:rsidRPr="005C4C5C">
        <w:t>target</w:t>
      </w:r>
      <w:r w:rsidR="00BC3348" w:rsidRPr="005C4C5C">
        <w:t>ing</w:t>
      </w:r>
      <w:r w:rsidR="00265FE3" w:rsidRPr="005C4C5C">
        <w:t xml:space="preserve"> datasets</w:t>
      </w:r>
      <w:r w:rsidR="00885555" w:rsidRPr="005C4C5C">
        <w:t xml:space="preserve"> in Open Finance. The g</w:t>
      </w:r>
      <w:r w:rsidR="00265FE3" w:rsidRPr="005C4C5C">
        <w:t xml:space="preserve">eneral insurance </w:t>
      </w:r>
      <w:r w:rsidR="00885555" w:rsidRPr="005C4C5C">
        <w:t xml:space="preserve">sector </w:t>
      </w:r>
      <w:r w:rsidR="00526CC3" w:rsidRPr="005C4C5C">
        <w:t xml:space="preserve">is </w:t>
      </w:r>
      <w:r w:rsidR="00885555" w:rsidRPr="005C4C5C">
        <w:t>expected to</w:t>
      </w:r>
      <w:r w:rsidRPr="005C4C5C">
        <w:t xml:space="preserve"> focus on targeted datasets </w:t>
      </w:r>
      <w:r w:rsidR="008C3861" w:rsidRPr="005C4C5C">
        <w:t>informed by the most apparent and compelling consumer use cases</w:t>
      </w:r>
      <w:r w:rsidR="00ED6EE8" w:rsidRPr="005C4C5C">
        <w:t>.</w:t>
      </w:r>
    </w:p>
    <w:bookmarkEnd w:id="54"/>
    <w:p w14:paraId="5C5E73A0" w14:textId="4CFC7BE0" w:rsidR="006E6D85" w:rsidRPr="005C4C5C" w:rsidRDefault="00D71931" w:rsidP="00F3484D">
      <w:pPr>
        <w:spacing w:after="0"/>
      </w:pPr>
      <w:r w:rsidRPr="005C4C5C">
        <w:t>S</w:t>
      </w:r>
      <w:r w:rsidR="006E6D85" w:rsidRPr="005C4C5C">
        <w:t>ectoral assessment</w:t>
      </w:r>
      <w:r w:rsidRPr="005C4C5C">
        <w:t xml:space="preserve">s are required </w:t>
      </w:r>
      <w:r w:rsidR="003F004D" w:rsidRPr="005C4C5C">
        <w:t xml:space="preserve">to </w:t>
      </w:r>
      <w:r w:rsidR="006E6D85" w:rsidRPr="005C4C5C">
        <w:t xml:space="preserve">add new datasets into the system. </w:t>
      </w:r>
      <w:r w:rsidRPr="005C4C5C">
        <w:t>T</w:t>
      </w:r>
      <w:r w:rsidR="006E6D85" w:rsidRPr="005C4C5C">
        <w:t xml:space="preserve">he current legislative framework provides sufficient flexibility </w:t>
      </w:r>
      <w:r w:rsidR="00D35ED0" w:rsidRPr="005C4C5C">
        <w:t>to bring in</w:t>
      </w:r>
      <w:r w:rsidR="005716B3" w:rsidRPr="005C4C5C">
        <w:t xml:space="preserve"> new datasets from</w:t>
      </w:r>
      <w:r w:rsidRPr="005C4C5C">
        <w:t xml:space="preserve"> an existing sector</w:t>
      </w:r>
      <w:r w:rsidR="006E6D85" w:rsidRPr="005C4C5C">
        <w:t xml:space="preserve"> </w:t>
      </w:r>
      <w:r w:rsidR="00D35ED0" w:rsidRPr="005C4C5C">
        <w:t>without the need to r</w:t>
      </w:r>
      <w:r w:rsidR="006E6D85" w:rsidRPr="005C4C5C">
        <w:t>eassess datasets that have already been designated</w:t>
      </w:r>
      <w:r w:rsidR="005716B3" w:rsidRPr="005C4C5C">
        <w:t>.</w:t>
      </w:r>
    </w:p>
    <w:p w14:paraId="1828CC91" w14:textId="6D76EEE9" w:rsidR="004B0FC3" w:rsidRDefault="00157A60" w:rsidP="00265FE3">
      <w:pPr>
        <w:spacing w:after="0"/>
      </w:pPr>
      <w:r w:rsidRPr="005C4C5C">
        <w:t>T</w:t>
      </w:r>
      <w:r w:rsidR="00265FE3" w:rsidRPr="005C4C5C">
        <w:t>he suitability of sector</w:t>
      </w:r>
      <w:r w:rsidR="00892E38" w:rsidRPr="005C4C5C">
        <w:t>-based</w:t>
      </w:r>
      <w:r w:rsidR="00265FE3" w:rsidRPr="005C4C5C">
        <w:t xml:space="preserve"> assessment </w:t>
      </w:r>
      <w:r w:rsidR="00FC3C3F" w:rsidRPr="005C4C5C">
        <w:t xml:space="preserve">should </w:t>
      </w:r>
      <w:r w:rsidR="00265FE3" w:rsidRPr="005C4C5C">
        <w:t xml:space="preserve">be considered in </w:t>
      </w:r>
      <w:r w:rsidR="00FC3C3F" w:rsidRPr="005C4C5C">
        <w:t>the context of the ongoing expansion of</w:t>
      </w:r>
      <w:r w:rsidR="00265FE3" w:rsidRPr="005C4C5C" w:rsidDel="00FC3C3F">
        <w:t xml:space="preserve"> </w:t>
      </w:r>
      <w:r w:rsidR="00265FE3" w:rsidRPr="005C4C5C">
        <w:t>the CDR.</w:t>
      </w:r>
      <w:r w:rsidR="00FC3C3F" w:rsidRPr="005C4C5C">
        <w:t xml:space="preserve"> </w:t>
      </w:r>
      <w:r w:rsidR="00D72D9C" w:rsidRPr="005C4C5C">
        <w:t>I</w:t>
      </w:r>
      <w:r w:rsidR="0077260A" w:rsidRPr="005C4C5C">
        <w:t>ncreasingly consumers will expect to access data-</w:t>
      </w:r>
      <w:r w:rsidR="00D72D9C" w:rsidRPr="005C4C5C">
        <w:t>enabled</w:t>
      </w:r>
      <w:r w:rsidR="0077260A" w:rsidRPr="005C4C5C">
        <w:t xml:space="preserve"> services that have touch points across a broad </w:t>
      </w:r>
      <w:r w:rsidR="00D72D9C" w:rsidRPr="005C4C5C">
        <w:t>range</w:t>
      </w:r>
      <w:r w:rsidR="0077260A" w:rsidRPr="005C4C5C">
        <w:t xml:space="preserve"> of sectors</w:t>
      </w:r>
      <w:r w:rsidR="00550CE9" w:rsidRPr="005C4C5C">
        <w:t xml:space="preserve"> and data holders</w:t>
      </w:r>
      <w:r w:rsidR="0077260A" w:rsidRPr="005C4C5C">
        <w:t xml:space="preserve">. </w:t>
      </w:r>
      <w:r w:rsidR="00D72D9C" w:rsidRPr="005C4C5C">
        <w:t xml:space="preserve">As the CDR evolves, and </w:t>
      </w:r>
      <w:r w:rsidR="00D35ED0" w:rsidRPr="005C4C5C">
        <w:t xml:space="preserve">as </w:t>
      </w:r>
      <w:r w:rsidR="00D72D9C" w:rsidRPr="005C4C5C">
        <w:t>more cross</w:t>
      </w:r>
      <w:r w:rsidR="003D0786">
        <w:noBreakHyphen/>
      </w:r>
      <w:r w:rsidR="00D72D9C" w:rsidRPr="005C4C5C">
        <w:t>sectoral use cases develop</w:t>
      </w:r>
      <w:r w:rsidR="00F91517" w:rsidRPr="005C4C5C">
        <w:t xml:space="preserve"> and business models increasingly move beyond conventional sectoral boundaries</w:t>
      </w:r>
      <w:r w:rsidR="00D72D9C" w:rsidRPr="005C4C5C">
        <w:t xml:space="preserve">, further </w:t>
      </w:r>
      <w:r w:rsidR="0077260A" w:rsidRPr="005C4C5C">
        <w:t xml:space="preserve">consideration should be given </w:t>
      </w:r>
      <w:r w:rsidR="00D72D9C" w:rsidRPr="005C4C5C">
        <w:t xml:space="preserve">as </w:t>
      </w:r>
      <w:r w:rsidR="0077260A" w:rsidRPr="005C4C5C">
        <w:t>to whether the sector-based assessment model remains fit</w:t>
      </w:r>
      <w:r w:rsidR="00F050FD" w:rsidRPr="005C4C5C">
        <w:t>-</w:t>
      </w:r>
      <w:r w:rsidR="0077260A" w:rsidRPr="005C4C5C">
        <w:t>for</w:t>
      </w:r>
      <w:r w:rsidR="00F050FD" w:rsidRPr="005C4C5C">
        <w:t>-</w:t>
      </w:r>
      <w:r w:rsidR="0077260A" w:rsidRPr="005C4C5C">
        <w:t>purpose and provides an appropriate framework for CDR expansion</w:t>
      </w:r>
      <w:r w:rsidR="00E26ACA" w:rsidRPr="005C4C5C">
        <w:t>. This includes considering how</w:t>
      </w:r>
      <w:r w:rsidR="0077260A" w:rsidRPr="005C4C5C">
        <w:t xml:space="preserve"> </w:t>
      </w:r>
      <w:r w:rsidR="00D72D9C" w:rsidRPr="005C4C5C">
        <w:t>to bring in</w:t>
      </w:r>
      <w:r w:rsidR="0077260A" w:rsidRPr="005C4C5C">
        <w:t xml:space="preserve"> government-held datasets and </w:t>
      </w:r>
      <w:r w:rsidR="00E26ACA" w:rsidRPr="005C4C5C">
        <w:t xml:space="preserve">how </w:t>
      </w:r>
      <w:r w:rsidR="00D72D9C" w:rsidRPr="005C4C5C">
        <w:t xml:space="preserve">to enable </w:t>
      </w:r>
      <w:r w:rsidR="0077260A" w:rsidRPr="005C4C5C">
        <w:t xml:space="preserve">action and payment initiation. </w:t>
      </w:r>
    </w:p>
    <w:p w14:paraId="40D3A859" w14:textId="3E05FFEA" w:rsidR="00B407F7" w:rsidRPr="005C4C5C" w:rsidRDefault="0084101B" w:rsidP="00265FE3">
      <w:pPr>
        <w:spacing w:after="0"/>
      </w:pPr>
      <w:r>
        <w:lastRenderedPageBreak/>
        <w:t>T</w:t>
      </w:r>
      <w:r w:rsidR="006C5AE9">
        <w:t>he</w:t>
      </w:r>
      <w:r w:rsidR="006C5AE9" w:rsidRPr="005C4C5C">
        <w:t xml:space="preserve"> existing sectoral approach only permits inclusion of government data where it relates to a designated sector</w:t>
      </w:r>
      <w:r>
        <w:t xml:space="preserve"> (further </w:t>
      </w:r>
      <w:r w:rsidRPr="00421311">
        <w:t>discussed in section 3.4</w:t>
      </w:r>
      <w:r>
        <w:t>)</w:t>
      </w:r>
      <w:r w:rsidR="0036415A">
        <w:t>.</w:t>
      </w:r>
      <w:r>
        <w:t xml:space="preserve"> </w:t>
      </w:r>
      <w:r w:rsidRPr="005C4C5C">
        <w:t>For example, the Australian Energy Market Operator</w:t>
      </w:r>
      <w:r w:rsidR="0036415A" w:rsidRPr="005C4C5C">
        <w:t xml:space="preserve"> </w:t>
      </w:r>
      <w:r w:rsidRPr="005C4C5C">
        <w:t>(</w:t>
      </w:r>
      <w:r w:rsidR="00294712" w:rsidRPr="005C4C5C">
        <w:t>AEMO</w:t>
      </w:r>
      <w:r w:rsidRPr="005C4C5C">
        <w:t>)</w:t>
      </w:r>
      <w:r w:rsidR="004B0FC3" w:rsidRPr="005C4C5C">
        <w:t>, a</w:t>
      </w:r>
      <w:r w:rsidR="00294712" w:rsidRPr="005C4C5C">
        <w:t xml:space="preserve"> secondary data holder in the energy sector, </w:t>
      </w:r>
      <w:r w:rsidR="007876BA" w:rsidRPr="005C4C5C">
        <w:t xml:space="preserve">will provide </w:t>
      </w:r>
      <w:r w:rsidR="004B0FC3" w:rsidRPr="005C4C5C">
        <w:t>consumer energy usage data that retailers do not have direct access to.</w:t>
      </w:r>
      <w:r w:rsidR="00294712" w:rsidRPr="005C4C5C">
        <w:t xml:space="preserve"> </w:t>
      </w:r>
      <w:r w:rsidR="00452F84" w:rsidRPr="005C4C5C">
        <w:t xml:space="preserve">The sectoral approach also does not readily accommodate ‘government’ as its own sector. </w:t>
      </w:r>
      <w:r w:rsidR="00766E70" w:rsidRPr="005C4C5C">
        <w:t xml:space="preserve">Further consideration should be given </w:t>
      </w:r>
      <w:r w:rsidR="007876BA" w:rsidRPr="005C4C5C">
        <w:t>on how to</w:t>
      </w:r>
      <w:r w:rsidR="00766E70" w:rsidRPr="005C4C5C">
        <w:t xml:space="preserve"> </w:t>
      </w:r>
      <w:r w:rsidR="004B0FC3" w:rsidRPr="005C4C5C">
        <w:t>include c</w:t>
      </w:r>
      <w:r w:rsidR="00294712" w:rsidRPr="005C4C5C">
        <w:t>omplementary consumer data</w:t>
      </w:r>
      <w:r w:rsidR="007876BA" w:rsidRPr="005C4C5C">
        <w:t xml:space="preserve"> that does</w:t>
      </w:r>
      <w:r w:rsidR="00CA5E0C" w:rsidRPr="005C4C5C">
        <w:t xml:space="preserve"> not relate to their activities in</w:t>
      </w:r>
      <w:r w:rsidR="007876BA" w:rsidRPr="005C4C5C">
        <w:t xml:space="preserve"> designated sectors</w:t>
      </w:r>
      <w:r w:rsidR="000077E3" w:rsidRPr="005C4C5C">
        <w:t xml:space="preserve">, including interactions with other data sharing initiatives like </w:t>
      </w:r>
      <w:r w:rsidR="00712D71" w:rsidRPr="00FF0B2F">
        <w:t>DATA 2022</w:t>
      </w:r>
      <w:r w:rsidR="007876BA">
        <w:t>.</w:t>
      </w:r>
      <w:r w:rsidR="000077E3" w:rsidRPr="00FF0B2F">
        <w:t xml:space="preserve"> </w:t>
      </w:r>
    </w:p>
    <w:p w14:paraId="7D93869C" w14:textId="7D046389" w:rsidR="00265FE3" w:rsidRDefault="004102AB" w:rsidP="00265FE3">
      <w:pPr>
        <w:spacing w:after="0"/>
      </w:pPr>
      <w:r w:rsidRPr="005C4C5C">
        <w:t xml:space="preserve">Future consideration </w:t>
      </w:r>
      <w:r w:rsidR="002C31E3" w:rsidRPr="005C4C5C">
        <w:t>o</w:t>
      </w:r>
      <w:r w:rsidR="005716B3" w:rsidRPr="005C4C5C">
        <w:t>f</w:t>
      </w:r>
      <w:r w:rsidRPr="005C4C5C">
        <w:t xml:space="preserve"> expansion </w:t>
      </w:r>
      <w:r w:rsidR="009D5389" w:rsidRPr="005C4C5C">
        <w:t xml:space="preserve">should also </w:t>
      </w:r>
      <w:r w:rsidR="000C6B29" w:rsidRPr="005C4C5C">
        <w:t>include</w:t>
      </w:r>
      <w:r w:rsidR="009D5389" w:rsidRPr="005C4C5C">
        <w:t xml:space="preserve"> how </w:t>
      </w:r>
      <w:r w:rsidR="002C31E3" w:rsidRPr="005C4C5C">
        <w:t xml:space="preserve">to </w:t>
      </w:r>
      <w:r w:rsidR="00E26ACA">
        <w:t>enable</w:t>
      </w:r>
      <w:r w:rsidR="002C31E3" w:rsidRPr="005C4C5C">
        <w:t xml:space="preserve"> actions</w:t>
      </w:r>
      <w:r w:rsidR="002C31E3">
        <w:t xml:space="preserve"> and payments</w:t>
      </w:r>
      <w:r w:rsidR="00265FE3" w:rsidRPr="002C31E3">
        <w:t>.</w:t>
      </w:r>
      <w:r w:rsidR="000C6B29">
        <w:t xml:space="preserve"> The </w:t>
      </w:r>
      <w:r w:rsidR="00150555">
        <w:t xml:space="preserve">Future Directions Inquiry </w:t>
      </w:r>
      <w:r w:rsidR="00AB22F1">
        <w:t xml:space="preserve">explored the </w:t>
      </w:r>
      <w:r w:rsidR="000909B5">
        <w:t>curr</w:t>
      </w:r>
      <w:r w:rsidR="00D75AB6">
        <w:t>e</w:t>
      </w:r>
      <w:r w:rsidR="000909B5">
        <w:t>nt</w:t>
      </w:r>
      <w:r w:rsidR="000C6B29">
        <w:t xml:space="preserve"> framework </w:t>
      </w:r>
      <w:r w:rsidR="000909B5">
        <w:t>and found that it</w:t>
      </w:r>
      <w:r w:rsidR="000C6B29">
        <w:t xml:space="preserve"> </w:t>
      </w:r>
      <w:r w:rsidR="00150555">
        <w:t xml:space="preserve">is not equipped for introducing actions into CDR </w:t>
      </w:r>
      <w:r w:rsidR="00AB22F1">
        <w:t xml:space="preserve">and made recommendations affirming that legislative changes will be necessary. </w:t>
      </w:r>
    </w:p>
    <w:tbl>
      <w:tblPr>
        <w:tblStyle w:val="TableGrid"/>
        <w:tblpPr w:leftFromText="180" w:rightFromText="180" w:vertAnchor="text" w:horzAnchor="margin" w:tblpY="1788"/>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A23C94" w14:paraId="62993BF9" w14:textId="77777777" w:rsidTr="00B81555">
        <w:trPr>
          <w:cnfStyle w:val="100000000000" w:firstRow="1" w:lastRow="0" w:firstColumn="0" w:lastColumn="0" w:oddVBand="0" w:evenVBand="0" w:oddHBand="0" w:evenHBand="0" w:firstRowFirstColumn="0" w:firstRowLastColumn="0" w:lastRowFirstColumn="0" w:lastRowLastColumn="0"/>
        </w:trPr>
        <w:tc>
          <w:tcPr>
            <w:tcW w:w="0" w:type="pct"/>
            <w:shd w:val="clear" w:color="auto" w:fill="FCEEE5" w:themeFill="accent6" w:themeFillTint="33"/>
          </w:tcPr>
          <w:p w14:paraId="136B3F1C" w14:textId="77777777" w:rsidR="00A23C94" w:rsidRPr="00822EF9" w:rsidRDefault="00A23C94" w:rsidP="00F90639">
            <w:pPr>
              <w:pStyle w:val="BoxHeading"/>
            </w:pPr>
            <w:r w:rsidRPr="00F90639">
              <w:t>Recommendation 1.1</w:t>
            </w:r>
          </w:p>
          <w:p w14:paraId="1460DA09" w14:textId="77777777" w:rsidR="00A23C94" w:rsidRPr="00511A43" w:rsidRDefault="00A23C94" w:rsidP="00F90639">
            <w:pPr>
              <w:pStyle w:val="BoxText"/>
            </w:pPr>
            <w:r w:rsidRPr="00D4755B">
              <w:rPr>
                <w:szCs w:val="24"/>
              </w:rPr>
              <w:t>In the short to medium term, the existing sector-by-sector approach can support the inclusion of targeted da</w:t>
            </w:r>
            <w:r w:rsidRPr="00167D86">
              <w:rPr>
                <w:szCs w:val="24"/>
              </w:rPr>
              <w:t xml:space="preserve">tasets that enable cross-sectoral use cases. Further consideration should be given to whether the sectoral approach for expansion is sufficiently flexible to support continued rollout of the CDR, with particular consideration given to introducing action initiation and government-held consumer data. </w:t>
            </w:r>
          </w:p>
        </w:tc>
      </w:tr>
    </w:tbl>
    <w:p w14:paraId="0F5FC432" w14:textId="315D7E9E" w:rsidR="00E55FD9" w:rsidRDefault="00696DBC" w:rsidP="00696DBC">
      <w:pPr>
        <w:pStyle w:val="ListParagraph"/>
        <w:spacing w:after="0"/>
        <w:ind w:left="0"/>
        <w:contextualSpacing w:val="0"/>
      </w:pPr>
      <w:r>
        <w:t>This range of considerations demonstrates that a</w:t>
      </w:r>
      <w:r w:rsidRPr="009659D4">
        <w:t xml:space="preserve"> more </w:t>
      </w:r>
      <w:r>
        <w:t>flexible</w:t>
      </w:r>
      <w:r w:rsidRPr="009659D4">
        <w:t xml:space="preserve"> and agile designation process </w:t>
      </w:r>
      <w:r>
        <w:t>will become increasingly valuable to optimise the CDR rollout.</w:t>
      </w:r>
      <w:r w:rsidRPr="009659D4">
        <w:t xml:space="preserve"> </w:t>
      </w:r>
      <w:r>
        <w:t xml:space="preserve">A </w:t>
      </w:r>
      <w:r w:rsidR="0055182A">
        <w:t>new</w:t>
      </w:r>
      <w:r>
        <w:t xml:space="preserve"> approach would likely better</w:t>
      </w:r>
      <w:r w:rsidRPr="009659D4">
        <w:t xml:space="preserve"> support the implementation of action initiation</w:t>
      </w:r>
      <w:r>
        <w:t xml:space="preserve"> and may be necessary in the context of introducing future voluntary datasets. </w:t>
      </w:r>
    </w:p>
    <w:tbl>
      <w:tblPr>
        <w:tblStyle w:val="TableGrid"/>
        <w:tblW w:w="5000" w:type="pct"/>
        <w:tblCellMar>
          <w:top w:w="170" w:type="dxa"/>
          <w:left w:w="227" w:type="dxa"/>
          <w:bottom w:w="170" w:type="dxa"/>
          <w:right w:w="227" w:type="dxa"/>
        </w:tblCellMar>
        <w:tblLook w:val="04A0" w:firstRow="1" w:lastRow="0" w:firstColumn="1" w:lastColumn="0" w:noHBand="0" w:noVBand="1"/>
      </w:tblPr>
      <w:tblGrid>
        <w:gridCol w:w="9072"/>
      </w:tblGrid>
      <w:tr w:rsidR="00E55FD9" w14:paraId="3725BA5B" w14:textId="77777777" w:rsidTr="00CF7B1B">
        <w:trPr>
          <w:cnfStyle w:val="100000000000" w:firstRow="1" w:lastRow="0" w:firstColumn="0" w:lastColumn="0" w:oddVBand="0" w:evenVBand="0" w:oddHBand="0" w:evenHBand="0" w:firstRowFirstColumn="0" w:firstRowLastColumn="0" w:lastRowFirstColumn="0" w:lastRowLastColumn="0"/>
          <w:trHeight w:val="11456"/>
        </w:trPr>
        <w:tc>
          <w:tcPr>
            <w:tcW w:w="0" w:type="pct"/>
          </w:tcPr>
          <w:p w14:paraId="64861199" w14:textId="185414AA" w:rsidR="00E55FD9" w:rsidRPr="008B2769" w:rsidRDefault="00027A4F">
            <w:pPr>
              <w:pStyle w:val="BoxHeading"/>
            </w:pPr>
            <w:r w:rsidRPr="00822EF9">
              <w:lastRenderedPageBreak/>
              <w:t>Box 1.2 – Data Portability Coverage in the UK and New Zealand</w:t>
            </w:r>
          </w:p>
          <w:p w14:paraId="5922DF3D" w14:textId="79DFAFF1" w:rsidR="00E55FD9" w:rsidRPr="00F90639" w:rsidRDefault="00E55FD9" w:rsidP="00F90639">
            <w:pPr>
              <w:pStyle w:val="BoxText"/>
              <w:ind w:right="57"/>
              <w:rPr>
                <w:sz w:val="24"/>
                <w:szCs w:val="24"/>
              </w:rPr>
            </w:pPr>
            <w:r w:rsidRPr="00D4755B">
              <w:rPr>
                <w:szCs w:val="24"/>
              </w:rPr>
              <w:t xml:space="preserve">Although the UK has one of the most mature open banking schemes operating </w:t>
            </w:r>
            <w:r w:rsidRPr="00AC4D8D">
              <w:rPr>
                <w:szCs w:val="24"/>
              </w:rPr>
              <w:t>globally, its economy does not yet have an equivalent of Australia’s data portability scheme. Open banking in the UK was the result of the Payment Services Regulations (PSRs), transp</w:t>
            </w:r>
            <w:r w:rsidRPr="00167D86">
              <w:rPr>
                <w:szCs w:val="24"/>
              </w:rPr>
              <w:t xml:space="preserve">osing the EU’s Second Payment Services Directive (PSD2) in the UK and the Competition and Markets Authority’s Retail Banking Order, which mandated participation for the nine largest UK banks. This scheme is supported by several legislative instruments including the </w:t>
            </w:r>
            <w:r w:rsidRPr="00E6039E">
              <w:rPr>
                <w:i/>
                <w:szCs w:val="24"/>
              </w:rPr>
              <w:t>Data Protection Act 2018</w:t>
            </w:r>
            <w:r w:rsidRPr="00E6039E">
              <w:rPr>
                <w:szCs w:val="24"/>
              </w:rPr>
              <w:t>, which is the UK’s implementation of the EU’s General Data Protection Regulation (GDPR). The UK’s Open Banking scheme includes functionality that has not yet been incorporated in the Australian scheme, in particular, customers being able to initiate payments via open banking – Australia has foc</w:t>
            </w:r>
            <w:r w:rsidRPr="002252C2">
              <w:rPr>
                <w:szCs w:val="24"/>
              </w:rPr>
              <w:t>used on building the foundations for data sharing or ‘read access’ to date. While the UK began with deeper functionality, it is only</w:t>
            </w:r>
            <w:r w:rsidR="007F6530">
              <w:rPr>
                <w:szCs w:val="24"/>
              </w:rPr>
              <w:t xml:space="preserve"> now</w:t>
            </w:r>
            <w:r w:rsidRPr="002252C2" w:rsidDel="00C539C1">
              <w:rPr>
                <w:szCs w:val="24"/>
              </w:rPr>
              <w:t xml:space="preserve"> </w:t>
            </w:r>
            <w:r w:rsidR="00C539C1">
              <w:rPr>
                <w:szCs w:val="24"/>
              </w:rPr>
              <w:t>introducing</w:t>
            </w:r>
            <w:r w:rsidRPr="002252C2">
              <w:rPr>
                <w:szCs w:val="24"/>
              </w:rPr>
              <w:t xml:space="preserve"> legislative changes to expand beyond Open Banking through its ‘Smart Data Initiative’. This contrasts with the Australian approach, which established a framework that encompasses a wider section of the economy with substantial capacity to expand through the sectoral assessment and designation processes. </w:t>
            </w:r>
          </w:p>
          <w:p w14:paraId="29DB01C0" w14:textId="77777777" w:rsidR="00E55FD9" w:rsidRPr="00F90639" w:rsidRDefault="00E55FD9" w:rsidP="00F90639">
            <w:pPr>
              <w:pStyle w:val="BoxText"/>
              <w:rPr>
                <w:sz w:val="24"/>
                <w:szCs w:val="24"/>
              </w:rPr>
            </w:pPr>
            <w:r w:rsidRPr="00D4755B">
              <w:rPr>
                <w:szCs w:val="24"/>
              </w:rPr>
              <w:t xml:space="preserve">New Zealand’s data portability scheme, announced in July </w:t>
            </w:r>
            <w:r w:rsidRPr="00AC4D8D">
              <w:rPr>
                <w:szCs w:val="24"/>
              </w:rPr>
              <w:t>2021, intends to follow a path similar to Australia’s by establishing a statutory framework rolled out on a sector-by-sector basis that can support the wide expansion of data portability</w:t>
            </w:r>
            <w:r w:rsidRPr="00167D86">
              <w:rPr>
                <w:szCs w:val="24"/>
              </w:rPr>
              <w:t xml:space="preserve"> across different markets, industries and sectors.</w:t>
            </w:r>
            <w:r w:rsidRPr="00167D86">
              <w:rPr>
                <w:szCs w:val="24"/>
                <w:vertAlign w:val="superscript"/>
              </w:rPr>
              <w:footnoteReference w:id="7"/>
            </w:r>
            <w:r w:rsidRPr="00167D86">
              <w:rPr>
                <w:szCs w:val="24"/>
              </w:rPr>
              <w:t xml:space="preserve"> </w:t>
            </w:r>
            <w:r w:rsidRPr="00167D86">
              <w:rPr>
                <w:szCs w:val="24"/>
                <w:vertAlign w:val="superscript"/>
              </w:rPr>
              <w:footnoteReference w:id="8"/>
            </w:r>
            <w:r w:rsidRPr="00167D86">
              <w:rPr>
                <w:szCs w:val="24"/>
              </w:rPr>
              <w:t xml:space="preserve"> The implementa</w:t>
            </w:r>
            <w:r w:rsidRPr="00E6039E">
              <w:rPr>
                <w:szCs w:val="24"/>
              </w:rPr>
              <w:t>tion of New Zealand’s Consumer Data Right is intended to allow consumers to consent to both read access data sharing and action initiation in the initial designation process.</w:t>
            </w:r>
            <w:r w:rsidRPr="002252C2">
              <w:rPr>
                <w:szCs w:val="24"/>
                <w:vertAlign w:val="superscript"/>
              </w:rPr>
              <w:footnoteReference w:id="9"/>
            </w:r>
            <w:r w:rsidRPr="002252C2">
              <w:rPr>
                <w:szCs w:val="24"/>
                <w:vertAlign w:val="superscript"/>
              </w:rPr>
              <w:t xml:space="preserve"> </w:t>
            </w:r>
            <w:r w:rsidRPr="002252C2">
              <w:rPr>
                <w:szCs w:val="24"/>
              </w:rPr>
              <w:t>While the design is being finalised, the New Zealand Government is expected to introduce a bill implementing a consumer data right to the New Zealand Parliament in 2022.</w:t>
            </w:r>
            <w:r w:rsidRPr="003D0786">
              <w:rPr>
                <w:szCs w:val="24"/>
                <w:vertAlign w:val="superscript"/>
              </w:rPr>
              <w:footnoteReference w:id="10"/>
            </w:r>
            <w:r w:rsidRPr="00733964">
              <w:rPr>
                <w:szCs w:val="24"/>
                <w:vertAlign w:val="superscript"/>
              </w:rPr>
              <w:t xml:space="preserve"> </w:t>
            </w:r>
            <w:r w:rsidRPr="00AF34C5">
              <w:rPr>
                <w:szCs w:val="24"/>
              </w:rPr>
              <w:t>Figure 1.1 provides an overview of selected international data portability initiatives.</w:t>
            </w:r>
          </w:p>
          <w:p w14:paraId="51DEED61" w14:textId="77777777" w:rsidR="00E55FD9" w:rsidRDefault="00E55FD9" w:rsidP="00E55FD9">
            <w:pPr>
              <w:spacing w:after="0"/>
            </w:pPr>
          </w:p>
          <w:p w14:paraId="4697585D" w14:textId="40094D50" w:rsidR="00027A4F" w:rsidRPr="008D5E2B" w:rsidRDefault="008B2769" w:rsidP="00E55FD9">
            <w:pPr>
              <w:rPr>
                <w:b/>
                <w:szCs w:val="22"/>
              </w:rPr>
            </w:pPr>
            <w:r w:rsidRPr="002001EF">
              <w:rPr>
                <w:rFonts w:ascii="Times New Roman" w:hAnsi="Times New Roman"/>
                <w:bCs/>
                <w:i/>
                <w:iCs/>
                <w:noProof/>
                <w:sz w:val="18"/>
                <w:szCs w:val="18"/>
              </w:rPr>
              <w:drawing>
                <wp:anchor distT="0" distB="0" distL="114300" distR="114300" simplePos="0" relativeHeight="251658241" behindDoc="0" locked="0" layoutInCell="1" allowOverlap="1" wp14:anchorId="343762A1" wp14:editId="2ECA20DB">
                  <wp:simplePos x="0" y="0"/>
                  <wp:positionH relativeFrom="column">
                    <wp:posOffset>10795</wp:posOffset>
                  </wp:positionH>
                  <wp:positionV relativeFrom="paragraph">
                    <wp:posOffset>330835</wp:posOffset>
                  </wp:positionV>
                  <wp:extent cx="5436870" cy="24352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6870"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FD9" w:rsidRPr="002001EF">
              <w:rPr>
                <w:i/>
                <w:sz w:val="18"/>
                <w:szCs w:val="18"/>
              </w:rPr>
              <w:t>Figure 1.1 – Snapshot of data portability internationally</w:t>
            </w:r>
          </w:p>
        </w:tc>
      </w:tr>
    </w:tbl>
    <w:p w14:paraId="4C00F188" w14:textId="77777777" w:rsidR="00DD172F" w:rsidRDefault="00DD172F" w:rsidP="00027A4F">
      <w:pPr>
        <w:pStyle w:val="Bullet"/>
        <w:numPr>
          <w:ilvl w:val="0"/>
          <w:numId w:val="0"/>
        </w:numPr>
      </w:pPr>
      <w:bookmarkStart w:id="55" w:name="_Toc106286081"/>
      <w:bookmarkStart w:id="56" w:name="_Toc106358391"/>
    </w:p>
    <w:p w14:paraId="6D8F41EB" w14:textId="77777777" w:rsidR="0016204B" w:rsidRDefault="0016204B">
      <w:pPr>
        <w:spacing w:before="0" w:after="160" w:line="259" w:lineRule="auto"/>
        <w:rPr>
          <w:rFonts w:ascii="Calibri" w:hAnsi="Calibri" w:cs="Arial"/>
          <w:iCs/>
          <w:color w:val="2C384A"/>
          <w:kern w:val="32"/>
          <w:sz w:val="36"/>
          <w:szCs w:val="28"/>
        </w:rPr>
      </w:pPr>
      <w:r>
        <w:br w:type="page"/>
      </w:r>
    </w:p>
    <w:p w14:paraId="1FA00C67" w14:textId="03D716B8" w:rsidR="00265FE3" w:rsidRDefault="00265FE3" w:rsidP="00265FE3">
      <w:pPr>
        <w:pStyle w:val="Heading2"/>
      </w:pPr>
      <w:bookmarkStart w:id="57" w:name="_Toc110602871"/>
      <w:r w:rsidRPr="00383A01">
        <w:lastRenderedPageBreak/>
        <w:t>1.</w:t>
      </w:r>
      <w:r>
        <w:t>3</w:t>
      </w:r>
      <w:r w:rsidRPr="00383A01">
        <w:t xml:space="preserve"> </w:t>
      </w:r>
      <w:bookmarkEnd w:id="55"/>
      <w:bookmarkEnd w:id="56"/>
      <w:r w:rsidR="00AB22F1">
        <w:t>Narrower and targeted designations</w:t>
      </w:r>
      <w:bookmarkEnd w:id="57"/>
    </w:p>
    <w:p w14:paraId="3C0A3CD6" w14:textId="3A45DFD6" w:rsidR="00265FE3" w:rsidRDefault="00011A76" w:rsidP="00421311">
      <w:bookmarkStart w:id="58" w:name="_Hlk103158074"/>
      <w:r>
        <w:t>The Review considers that a</w:t>
      </w:r>
      <w:r w:rsidRPr="009659D4">
        <w:t xml:space="preserve"> </w:t>
      </w:r>
      <w:r>
        <w:t xml:space="preserve">narrower </w:t>
      </w:r>
      <w:r w:rsidRPr="009659D4">
        <w:t>approach to designation introduce</w:t>
      </w:r>
      <w:r w:rsidR="00BC46B7">
        <w:t>s</w:t>
      </w:r>
      <w:r w:rsidRPr="009659D4">
        <w:t xml:space="preserve"> greater focus and better targeting</w:t>
      </w:r>
      <w:r w:rsidRPr="00951076">
        <w:t xml:space="preserve"> </w:t>
      </w:r>
      <w:r w:rsidRPr="00383A01">
        <w:t xml:space="preserve">of </w:t>
      </w:r>
      <w:r>
        <w:t xml:space="preserve">CDR </w:t>
      </w:r>
      <w:r w:rsidRPr="00383A01">
        <w:t>use</w:t>
      </w:r>
      <w:r>
        <w:t xml:space="preserve"> </w:t>
      </w:r>
      <w:r w:rsidRPr="00383A01">
        <w:t>cases</w:t>
      </w:r>
      <w:r>
        <w:t>. It mean</w:t>
      </w:r>
      <w:r w:rsidR="00BC46B7">
        <w:t>s</w:t>
      </w:r>
      <w:r>
        <w:t xml:space="preserve"> that there is greater clarity on the coverage of datasets for designated entities from the outset, and no requirement from data holders to potentially overhaul systems for low-value</w:t>
      </w:r>
      <w:r w:rsidR="00CC7390" w:rsidRPr="00CC7390">
        <w:t xml:space="preserve"> </w:t>
      </w:r>
      <w:r w:rsidR="00CC7390">
        <w:t>CDR datasets</w:t>
      </w:r>
      <w:r>
        <w:t xml:space="preserve"> or bespoke products. </w:t>
      </w:r>
      <w:r w:rsidR="00EB17A7">
        <w:t xml:space="preserve">As discussed </w:t>
      </w:r>
      <w:r w:rsidR="00EB17A7" w:rsidRPr="00421311">
        <w:t>in section 1.2, t</w:t>
      </w:r>
      <w:r w:rsidR="00CC7390" w:rsidRPr="00421311">
        <w:t>he</w:t>
      </w:r>
      <w:r w:rsidR="00CC7390" w:rsidRPr="0081534B">
        <w:t xml:space="preserve"> Strategic Assessment endo</w:t>
      </w:r>
      <w:r w:rsidR="00CC7390" w:rsidRPr="00692670">
        <w:t>rsed a more targeted approach to designatio</w:t>
      </w:r>
      <w:r w:rsidR="00CC7390" w:rsidRPr="00C83B3E">
        <w:t xml:space="preserve">n, which </w:t>
      </w:r>
      <w:r w:rsidRPr="00044F2F">
        <w:t>informed the sectoral assessment process</w:t>
      </w:r>
      <w:r w:rsidR="00CC7390" w:rsidRPr="00044F2F">
        <w:t xml:space="preserve"> currently</w:t>
      </w:r>
      <w:r w:rsidRPr="00044F2F">
        <w:t xml:space="preserve"> underway for Open Finance.</w:t>
      </w:r>
      <w:r w:rsidR="00AE37D3" w:rsidRPr="00044F2F">
        <w:t xml:space="preserve"> </w:t>
      </w:r>
      <w:r w:rsidR="00CC7390" w:rsidRPr="00044F2F">
        <w:t>Taking a targeted approach</w:t>
      </w:r>
      <w:r w:rsidR="00AE37D3" w:rsidRPr="00044F2F">
        <w:t xml:space="preserve"> will also ensure that the most useful and valuable datasets are integrated into the CDR as matters of priority</w:t>
      </w:r>
      <w:r w:rsidR="00AC3B65" w:rsidRPr="00044F2F">
        <w:t>.</w:t>
      </w:r>
    </w:p>
    <w:p w14:paraId="1C46D9D2" w14:textId="7F6D49CB" w:rsidR="00265FE3" w:rsidRPr="00F3484D" w:rsidRDefault="00265FE3" w:rsidP="00F90639">
      <w:pPr>
        <w:pStyle w:val="Quote"/>
        <w:rPr>
          <w:b/>
        </w:rPr>
      </w:pPr>
      <w:r>
        <w:t>“</w:t>
      </w:r>
      <w:r w:rsidRPr="00383A01">
        <w:t>The ABA notes the current approach of taking an ‘all in’ approach to banking datasets has been done without a clear evaluation on the benefits for consumers or the value of those datasets as CDR data. For example, products used by mainly institutional clients are within scope, which are unlikely to be used by those clients nor retail consumers or small businesses</w:t>
      </w:r>
      <w:r>
        <w:t>.”</w:t>
      </w:r>
      <w:r w:rsidR="008B2769">
        <w:t xml:space="preserve"> </w:t>
      </w:r>
      <w:r w:rsidRPr="00F3484D">
        <w:rPr>
          <w:b/>
        </w:rPr>
        <w:t>– Australian Banking Association</w:t>
      </w:r>
    </w:p>
    <w:p w14:paraId="7990AA0F" w14:textId="2DB9F2E7" w:rsidR="00354110" w:rsidRDefault="00354110" w:rsidP="00354110">
      <w:pPr>
        <w:rPr>
          <w:rFonts w:ascii="Calibri" w:hAnsi="Calibri"/>
        </w:rPr>
      </w:pPr>
      <w:r w:rsidRPr="00622D80">
        <w:t>The designation process is currently aimed at broadly capturing datasets and participants across a candidate sector. A robust sectoral assessment is undertaken to consider the viability of a sector for inclusion in the CDR. It identifies the consumer and product datasets, data holders, and other relevant factors, which then underpins the creation of a designation instrument if the sector is considered a viable addition. The designation instrument defines the broad classes of information and product types, and the designated entities known to hold that data. The rules then narrow the requirements around which datasets and products data sharing obligations will apply within the broad parameters established by the designation instrument.</w:t>
      </w:r>
    </w:p>
    <w:p w14:paraId="51BE5387" w14:textId="15454DAE" w:rsidR="005D71B8" w:rsidRDefault="00F90719" w:rsidP="005E139B">
      <w:bookmarkStart w:id="59" w:name="_Hlk105681745"/>
      <w:r>
        <w:t>Th</w:t>
      </w:r>
      <w:r w:rsidR="009A6445" w:rsidRPr="009659D4">
        <w:t>e Review</w:t>
      </w:r>
      <w:r>
        <w:t xml:space="preserve"> </w:t>
      </w:r>
      <w:r w:rsidR="009A6445" w:rsidRPr="009659D4">
        <w:t>acknowledge</w:t>
      </w:r>
      <w:r w:rsidR="00795C06">
        <w:t>s</w:t>
      </w:r>
      <w:r w:rsidR="009A6445" w:rsidRPr="009659D4">
        <w:t xml:space="preserve"> </w:t>
      </w:r>
      <w:r>
        <w:t>the</w:t>
      </w:r>
      <w:r w:rsidR="009A6445" w:rsidRPr="009659D4">
        <w:t xml:space="preserve"> implications </w:t>
      </w:r>
      <w:r w:rsidR="005D71B8">
        <w:t>of adopting narrower designations</w:t>
      </w:r>
      <w:r>
        <w:t xml:space="preserve">, which </w:t>
      </w:r>
      <w:r w:rsidR="005D71B8">
        <w:t xml:space="preserve">elevates the need to ‘get it right’ the first time. The experience with rules revisions demonstrates that certain </w:t>
      </w:r>
      <w:r w:rsidR="007F2705">
        <w:t>insights</w:t>
      </w:r>
      <w:r w:rsidR="005D71B8">
        <w:t xml:space="preserve"> may only be revealed </w:t>
      </w:r>
      <w:r>
        <w:t>by way of</w:t>
      </w:r>
      <w:r w:rsidR="005D71B8">
        <w:t xml:space="preserve"> implementation, and so an element of flexibility is desirable to ensure that a designation </w:t>
      </w:r>
      <w:r>
        <w:t>can</w:t>
      </w:r>
      <w:r w:rsidR="005D71B8">
        <w:t xml:space="preserve"> </w:t>
      </w:r>
      <w:r w:rsidR="00067643">
        <w:t>appropriate</w:t>
      </w:r>
      <w:r>
        <w:t xml:space="preserve">ly </w:t>
      </w:r>
      <w:r w:rsidR="00067643">
        <w:t xml:space="preserve">support the innovation and use case outcomes the CDR is designed to </w:t>
      </w:r>
      <w:r>
        <w:t>encourage</w:t>
      </w:r>
      <w:r w:rsidR="00067643">
        <w:t>.</w:t>
      </w:r>
    </w:p>
    <w:p w14:paraId="6C29A602" w14:textId="1EC1BF9D" w:rsidR="009A6445" w:rsidRDefault="009A6445" w:rsidP="005E139B">
      <w:r w:rsidRPr="009659D4">
        <w:t>A targeted designation requires</w:t>
      </w:r>
      <w:r>
        <w:t xml:space="preserve"> a</w:t>
      </w:r>
      <w:r w:rsidRPr="009659D4">
        <w:t xml:space="preserve"> </w:t>
      </w:r>
      <w:r w:rsidRPr="00383A01">
        <w:t>significant</w:t>
      </w:r>
      <w:r w:rsidRPr="009659D4">
        <w:t xml:space="preserve"> upfront</w:t>
      </w:r>
      <w:r>
        <w:t xml:space="preserve"> depth of</w:t>
      </w:r>
      <w:r w:rsidRPr="009659D4">
        <w:t xml:space="preserve"> </w:t>
      </w:r>
      <w:r>
        <w:t>knowledge of sectoral data practices</w:t>
      </w:r>
      <w:r w:rsidRPr="009659D4">
        <w:t xml:space="preserve"> for</w:t>
      </w:r>
      <w:r>
        <w:t xml:space="preserve"> the</w:t>
      </w:r>
      <w:r w:rsidRPr="009659D4">
        <w:t xml:space="preserve"> </w:t>
      </w:r>
      <w:r w:rsidR="00067643" w:rsidRPr="009659D4">
        <w:t>assessment</w:t>
      </w:r>
      <w:r w:rsidR="00067643">
        <w:t xml:space="preserve"> and</w:t>
      </w:r>
      <w:r w:rsidRPr="009659D4">
        <w:t xml:space="preserve"> runs the risk of missing product or consumer data classes </w:t>
      </w:r>
      <w:r w:rsidR="006B6F5B">
        <w:t>(</w:t>
      </w:r>
      <w:r w:rsidRPr="009659D4">
        <w:t>once enacted</w:t>
      </w:r>
      <w:r w:rsidR="006B6F5B">
        <w:t>)</w:t>
      </w:r>
      <w:r w:rsidRPr="009659D4">
        <w:t xml:space="preserve"> that the rules would normally address and capture.</w:t>
      </w:r>
      <w:r w:rsidR="005D71B8">
        <w:t xml:space="preserve"> Any attempts to revise a designation will require a fresh sectoral assessment process, which adds burden across the system for policymakers, regulators and participants for what may be a </w:t>
      </w:r>
      <w:r w:rsidR="00067643">
        <w:t>minor but important amendment</w:t>
      </w:r>
      <w:r w:rsidR="0051521F">
        <w:t xml:space="preserve"> to meet the intended coverage of the underpinning sectoral assessment</w:t>
      </w:r>
      <w:r w:rsidR="00067643">
        <w:t>.</w:t>
      </w:r>
    </w:p>
    <w:p w14:paraId="7EC66E01" w14:textId="50B96809" w:rsidR="00265FE3" w:rsidRPr="009659D4" w:rsidRDefault="00265FE3" w:rsidP="005E139B">
      <w:r w:rsidRPr="00CC6416">
        <w:lastRenderedPageBreak/>
        <w:t>In this scenario, revisit</w:t>
      </w:r>
      <w:r w:rsidR="006B6F5B" w:rsidRPr="00CC6416">
        <w:t>ing</w:t>
      </w:r>
      <w:r w:rsidRPr="00CC6416">
        <w:t xml:space="preserve"> a designation is administratively cumbersome and </w:t>
      </w:r>
      <w:r w:rsidR="0032175F" w:rsidRPr="00CC6416">
        <w:t xml:space="preserve">will likely </w:t>
      </w:r>
      <w:r w:rsidRPr="00CC6416">
        <w:t>require an additional</w:t>
      </w:r>
      <w:r w:rsidR="0026233B" w:rsidRPr="00CC6416">
        <w:t xml:space="preserve"> </w:t>
      </w:r>
      <w:r w:rsidRPr="00CC6416">
        <w:t xml:space="preserve">sectoral assessment process to revisit the same designated </w:t>
      </w:r>
      <w:r w:rsidR="009C3213" w:rsidRPr="00CC6416">
        <w:t>datasets</w:t>
      </w:r>
      <w:r w:rsidRPr="008D10D1">
        <w:t xml:space="preserve">. The requirements around such assessments could be amended to allow a streamlined designation update if conducted within a reasonable timeframe since the initial sectoral assessment. </w:t>
      </w:r>
      <w:bookmarkEnd w:id="59"/>
      <w:r w:rsidR="00F04E9D" w:rsidRPr="008D10D1">
        <w:t>A streamlined process for designation may also be useful in the context of future considerations to introduce voluntary datasets</w:t>
      </w:r>
      <w:r w:rsidR="00F04E9D" w:rsidRPr="007D0A57">
        <w:t>.</w:t>
      </w:r>
      <w:r w:rsidR="00067643">
        <w:t xml:space="preserve"> </w:t>
      </w:r>
    </w:p>
    <w:p w14:paraId="0B509FF5" w14:textId="77777777" w:rsidR="00F04E9D" w:rsidRDefault="00F04E9D" w:rsidP="00265FE3">
      <w:pPr>
        <w:pStyle w:val="ListParagraph"/>
        <w:spacing w:after="0"/>
        <w:ind w:left="0"/>
        <w:contextualSpacing w:val="0"/>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587DB6" w14:paraId="76A81170" w14:textId="77777777" w:rsidTr="00F3484D">
        <w:tc>
          <w:tcPr>
            <w:tcW w:w="5000" w:type="pct"/>
            <w:shd w:val="clear" w:color="auto" w:fill="FCEEE5" w:themeFill="accent6" w:themeFillTint="33"/>
            <w:hideMark/>
          </w:tcPr>
          <w:p w14:paraId="09B6E8CE" w14:textId="09BA5635" w:rsidR="00587DB6" w:rsidRPr="00F90639" w:rsidRDefault="00822164" w:rsidP="00F90639">
            <w:pPr>
              <w:pStyle w:val="BoxHeading"/>
              <w:rPr>
                <w:b w:val="0"/>
              </w:rPr>
            </w:pPr>
            <w:r w:rsidRPr="00822EF9">
              <w:t xml:space="preserve">Recommendation </w:t>
            </w:r>
            <w:r w:rsidR="00587DB6" w:rsidRPr="00822EF9">
              <w:t>1.</w:t>
            </w:r>
            <w:r w:rsidR="00AA1AF8" w:rsidRPr="00DC03B9">
              <w:t>2</w:t>
            </w:r>
          </w:p>
          <w:p w14:paraId="021B9176" w14:textId="2BA833C1" w:rsidR="00587DB6" w:rsidRDefault="00587DB6" w:rsidP="00F90639">
            <w:pPr>
              <w:pStyle w:val="BoxText"/>
            </w:pPr>
            <w:r w:rsidRPr="008C73D5">
              <w:rPr>
                <w:color w:val="2C384A" w:themeColor="accent1"/>
              </w:rPr>
              <w:t xml:space="preserve">A streamlined mechanism to update a designation instrument for technical/minor considerations </w:t>
            </w:r>
            <w:r w:rsidR="00FC0DA6" w:rsidRPr="008C73D5">
              <w:rPr>
                <w:color w:val="2C384A" w:themeColor="accent1"/>
              </w:rPr>
              <w:t xml:space="preserve">should </w:t>
            </w:r>
            <w:r w:rsidRPr="008C73D5">
              <w:rPr>
                <w:color w:val="2C384A" w:themeColor="accent1"/>
              </w:rPr>
              <w:t>be introduced if relevant details arise after designation</w:t>
            </w:r>
            <w:r w:rsidR="000D14C7" w:rsidRPr="008C73D5">
              <w:rPr>
                <w:color w:val="2C384A" w:themeColor="accent1"/>
              </w:rPr>
              <w:t>.</w:t>
            </w:r>
            <w:r w:rsidRPr="008C73D5">
              <w:rPr>
                <w:color w:val="2C384A" w:themeColor="accent1"/>
              </w:rPr>
              <w:t xml:space="preserve"> Any such mechanism should not replace the need for a full sectoral assessment for genuine system expansions.</w:t>
            </w:r>
          </w:p>
        </w:tc>
      </w:tr>
    </w:tbl>
    <w:p w14:paraId="28B1F106" w14:textId="77777777" w:rsidR="00587DB6" w:rsidRDefault="00587DB6" w:rsidP="00F90639">
      <w:pPr>
        <w:spacing w:before="0"/>
      </w:pPr>
    </w:p>
    <w:p w14:paraId="7D61BA7D" w14:textId="29DD7A79" w:rsidR="00265FE3" w:rsidRDefault="00265FE3" w:rsidP="005E139B">
      <w:r w:rsidRPr="009659D4">
        <w:t xml:space="preserve">From a </w:t>
      </w:r>
      <w:r>
        <w:t>data holder</w:t>
      </w:r>
      <w:r w:rsidR="00E84753">
        <w:t>’</w:t>
      </w:r>
      <w:r w:rsidRPr="009659D4">
        <w:t xml:space="preserve">s </w:t>
      </w:r>
      <w:r w:rsidR="006B6F5B">
        <w:t>perspective</w:t>
      </w:r>
      <w:r w:rsidRPr="009659D4">
        <w:t xml:space="preserve">, the impact of a narrow versus a broad designation </w:t>
      </w:r>
      <w:r w:rsidR="006B6F5B">
        <w:t>is</w:t>
      </w:r>
      <w:r w:rsidR="006B6F5B" w:rsidRPr="009659D4">
        <w:t xml:space="preserve"> </w:t>
      </w:r>
      <w:r w:rsidRPr="009659D4">
        <w:t>significant in either scenario</w:t>
      </w:r>
      <w:r w:rsidR="00B52D60">
        <w:t>, so</w:t>
      </w:r>
      <w:r w:rsidRPr="009659D4">
        <w:t xml:space="preserve"> there may be occasions where a broader designation is </w:t>
      </w:r>
      <w:r w:rsidR="00637EAE">
        <w:t>prefer</w:t>
      </w:r>
      <w:r w:rsidR="00DF675A">
        <w:t>r</w:t>
      </w:r>
      <w:r w:rsidR="00637EAE">
        <w:t>ed</w:t>
      </w:r>
      <w:r w:rsidRPr="009659D4">
        <w:t xml:space="preserve">. Data holders will </w:t>
      </w:r>
      <w:r w:rsidR="009528CE">
        <w:t>likely</w:t>
      </w:r>
      <w:r w:rsidRPr="009659D4">
        <w:t xml:space="preserve"> need to centralise data systems and initiate an internal technological infrastructure overhaul to meet the requirements </w:t>
      </w:r>
      <w:r w:rsidRPr="00383A01">
        <w:t xml:space="preserve">of </w:t>
      </w:r>
      <w:r w:rsidRPr="009659D4">
        <w:t>the CDR. The initial outlay to comply with a narrower designation may</w:t>
      </w:r>
      <w:r w:rsidR="006B6F5B">
        <w:t>,</w:t>
      </w:r>
      <w:r w:rsidRPr="009659D4">
        <w:t xml:space="preserve"> in some cases</w:t>
      </w:r>
      <w:r w:rsidR="006B6F5B">
        <w:t>,</w:t>
      </w:r>
      <w:r w:rsidRPr="009659D4">
        <w:t xml:space="preserve"> be similar or even identical to a more comprehensive designation, which would also introduce more datasets and opportunities for innovation. While this will inevitably vary </w:t>
      </w:r>
      <w:r w:rsidR="006B6F5B">
        <w:t>across</w:t>
      </w:r>
      <w:r w:rsidR="006B6F5B" w:rsidRPr="009659D4">
        <w:t xml:space="preserve"> </w:t>
      </w:r>
      <w:r w:rsidRPr="009659D4">
        <w:t>data holder</w:t>
      </w:r>
      <w:r w:rsidR="006B6F5B">
        <w:t>s</w:t>
      </w:r>
      <w:r w:rsidRPr="009659D4">
        <w:t>, some industr</w:t>
      </w:r>
      <w:r w:rsidR="00DF675A">
        <w:t>y</w:t>
      </w:r>
      <w:r w:rsidRPr="009659D4">
        <w:t xml:space="preserve"> practices may mean that the types and range of legacy systems look similar </w:t>
      </w:r>
      <w:r w:rsidR="004137FF">
        <w:t>and would</w:t>
      </w:r>
      <w:r w:rsidR="004137FF" w:rsidRPr="009659D4">
        <w:t xml:space="preserve"> </w:t>
      </w:r>
      <w:r w:rsidRPr="009659D4">
        <w:t>support a broader designation, particularly as businesses are already initiating digital transformation programs</w:t>
      </w:r>
      <w:r w:rsidR="00DF675A">
        <w:t>.</w:t>
      </w:r>
      <w:bookmarkStart w:id="60" w:name="_Hlk103157916"/>
    </w:p>
    <w:p w14:paraId="26F5921E" w14:textId="3D772576" w:rsidR="00265FE3" w:rsidRPr="001E5C36" w:rsidRDefault="00265FE3" w:rsidP="00265FE3">
      <w:pPr>
        <w:pStyle w:val="Heading2"/>
      </w:pPr>
      <w:bookmarkStart w:id="61" w:name="_Toc106286082"/>
      <w:bookmarkStart w:id="62" w:name="_Toc106358392"/>
      <w:bookmarkStart w:id="63" w:name="_Toc110602872"/>
      <w:bookmarkEnd w:id="58"/>
      <w:bookmarkEnd w:id="60"/>
      <w:r>
        <w:t xml:space="preserve">1.4 Consideration of privacy issues in </w:t>
      </w:r>
      <w:r w:rsidR="00A82AE1">
        <w:t>the</w:t>
      </w:r>
      <w:r>
        <w:t xml:space="preserve"> designation</w:t>
      </w:r>
      <w:r w:rsidRPr="00DE3561">
        <w:t xml:space="preserve"> process</w:t>
      </w:r>
      <w:bookmarkEnd w:id="61"/>
      <w:bookmarkEnd w:id="62"/>
      <w:bookmarkEnd w:id="63"/>
    </w:p>
    <w:p w14:paraId="4A9B2828" w14:textId="45E57925" w:rsidR="00265FE3" w:rsidRPr="005C4C5C" w:rsidRDefault="002E2802" w:rsidP="00265FE3">
      <w:r w:rsidRPr="005C4C5C">
        <w:t>M</w:t>
      </w:r>
      <w:r w:rsidR="002B0D7B" w:rsidRPr="005C4C5C">
        <w:t xml:space="preserve">any </w:t>
      </w:r>
      <w:r w:rsidR="00265FE3" w:rsidRPr="005C4C5C">
        <w:t>participants</w:t>
      </w:r>
      <w:r w:rsidRPr="005C4C5C">
        <w:t>’ submissions to the Review</w:t>
      </w:r>
      <w:r w:rsidR="00E82256" w:rsidRPr="005C4C5C">
        <w:t xml:space="preserve"> </w:t>
      </w:r>
      <w:r w:rsidR="006741AC" w:rsidRPr="005C4C5C">
        <w:t xml:space="preserve">highlighted </w:t>
      </w:r>
      <w:r w:rsidR="000C2614" w:rsidRPr="005C4C5C">
        <w:t xml:space="preserve">the </w:t>
      </w:r>
      <w:r w:rsidR="006741AC" w:rsidRPr="005C4C5C">
        <w:t>importance of privacy to the success of the CDR and</w:t>
      </w:r>
      <w:r w:rsidR="00E82256" w:rsidRPr="005C4C5C">
        <w:t xml:space="preserve"> </w:t>
      </w:r>
      <w:r w:rsidR="006741AC" w:rsidRPr="005C4C5C">
        <w:t xml:space="preserve">generally </w:t>
      </w:r>
      <w:r w:rsidR="00E82256" w:rsidRPr="005C4C5C">
        <w:t>supported maintaining</w:t>
      </w:r>
      <w:r w:rsidR="002B0D7B" w:rsidRPr="005C4C5C">
        <w:t xml:space="preserve"> high privacy</w:t>
      </w:r>
      <w:r w:rsidR="00265FE3" w:rsidRPr="005C4C5C" w:rsidDel="002B0D7B">
        <w:t xml:space="preserve"> </w:t>
      </w:r>
      <w:r w:rsidR="00265FE3" w:rsidRPr="005C4C5C">
        <w:t>standards</w:t>
      </w:r>
      <w:r w:rsidR="002B0D7B" w:rsidRPr="005C4C5C">
        <w:t>.</w:t>
      </w:r>
      <w:r w:rsidR="00265FE3" w:rsidRPr="005C4C5C">
        <w:t xml:space="preserve"> The role of the Information Commissioner </w:t>
      </w:r>
      <w:r w:rsidR="006B6F5B" w:rsidRPr="005C4C5C">
        <w:t>is crucial in this respect</w:t>
      </w:r>
      <w:r w:rsidR="00265FE3" w:rsidRPr="005C4C5C">
        <w:t>.</w:t>
      </w:r>
    </w:p>
    <w:p w14:paraId="40597612" w14:textId="7CE86F00" w:rsidR="00265FE3" w:rsidRPr="005C4C5C" w:rsidRDefault="006B6F5B" w:rsidP="00265FE3">
      <w:r w:rsidRPr="005C4C5C">
        <w:t>Currently the Act provides that, before</w:t>
      </w:r>
      <w:r w:rsidR="00265FE3" w:rsidRPr="005C4C5C">
        <w:t xml:space="preserve"> designat</w:t>
      </w:r>
      <w:r w:rsidRPr="005C4C5C">
        <w:t xml:space="preserve">ing </w:t>
      </w:r>
      <w:r w:rsidR="00265FE3" w:rsidRPr="005C4C5C">
        <w:t>a sector, the Minister must consider the privacy or confidentiality of consumers’ information</w:t>
      </w:r>
      <w:r w:rsidRPr="005C4C5C">
        <w:t xml:space="preserve">, as well as </w:t>
      </w:r>
      <w:r w:rsidR="00265FE3" w:rsidRPr="005C4C5C">
        <w:t>factors including (but not limited to)</w:t>
      </w:r>
      <w:r w:rsidRPr="005C4C5C">
        <w:t xml:space="preserve"> the</w:t>
      </w:r>
      <w:r w:rsidR="00265FE3" w:rsidRPr="005C4C5C">
        <w:t xml:space="preserve"> interests of consumers, competition outcomes</w:t>
      </w:r>
      <w:r w:rsidR="0002665F">
        <w:t xml:space="preserve"> and</w:t>
      </w:r>
      <w:r w:rsidR="00265FE3" w:rsidRPr="005C4C5C">
        <w:t>, opportunities for data-driven innovation</w:t>
      </w:r>
      <w:r w:rsidRPr="005C4C5C">
        <w:t>. In addition to</w:t>
      </w:r>
      <w:r w:rsidR="00265FE3" w:rsidRPr="005C4C5C">
        <w:t xml:space="preserve"> a thorough </w:t>
      </w:r>
      <w:r w:rsidR="00952DDD" w:rsidRPr="005C4C5C">
        <w:t xml:space="preserve">sectoral </w:t>
      </w:r>
      <w:r w:rsidR="00265FE3" w:rsidRPr="005C4C5C">
        <w:t>assessment</w:t>
      </w:r>
      <w:r w:rsidR="00662490" w:rsidRPr="005C4C5C">
        <w:t xml:space="preserve"> needing to be undertak</w:t>
      </w:r>
      <w:r w:rsidR="00952DDD" w:rsidRPr="005C4C5C">
        <w:t>en</w:t>
      </w:r>
      <w:r w:rsidR="00A3062E">
        <w:t>,</w:t>
      </w:r>
      <w:r w:rsidR="0002665F">
        <w:t xml:space="preserve"> which includes</w:t>
      </w:r>
      <w:r w:rsidR="00F345C5" w:rsidRPr="005C4C5C">
        <w:t xml:space="preserve"> consulting with the </w:t>
      </w:r>
      <w:r w:rsidR="00952DDD" w:rsidRPr="005C4C5C">
        <w:t>Information Commissioner</w:t>
      </w:r>
      <w:r w:rsidR="00265FE3" w:rsidRPr="005C4C5C">
        <w:t xml:space="preserve"> </w:t>
      </w:r>
      <w:r w:rsidRPr="005C4C5C">
        <w:t>to gauge this</w:t>
      </w:r>
      <w:r w:rsidR="00265FE3" w:rsidRPr="005C4C5C">
        <w:t xml:space="preserve">, the Minister must write to the </w:t>
      </w:r>
      <w:r w:rsidR="003829F9">
        <w:t xml:space="preserve">Information </w:t>
      </w:r>
      <w:r w:rsidR="00265FE3" w:rsidRPr="005C4C5C">
        <w:t xml:space="preserve">Commissioner directly to seek views on </w:t>
      </w:r>
      <w:r w:rsidR="00F72361" w:rsidRPr="00F72361">
        <w:t>the likely effect of designating a sector on the privacy and confidentiality of consumers’ information</w:t>
      </w:r>
      <w:r w:rsidR="00265FE3" w:rsidRPr="005C4C5C">
        <w:t>.</w:t>
      </w:r>
    </w:p>
    <w:p w14:paraId="5F61E46C" w14:textId="715C2353" w:rsidR="00265FE3" w:rsidRDefault="00265FE3" w:rsidP="00265FE3">
      <w:r w:rsidRPr="005C4C5C">
        <w:t>This process ensure</w:t>
      </w:r>
      <w:r w:rsidR="006B6F5B" w:rsidRPr="005C4C5C">
        <w:t>s</w:t>
      </w:r>
      <w:r w:rsidRPr="005C4C5C">
        <w:t xml:space="preserve"> privacy is included by design </w:t>
      </w:r>
      <w:r w:rsidR="006B6F5B" w:rsidRPr="005C4C5C">
        <w:t>right from the beginning</w:t>
      </w:r>
      <w:r w:rsidRPr="005C4C5C">
        <w:t xml:space="preserve">. </w:t>
      </w:r>
      <w:r w:rsidR="00E35358" w:rsidRPr="005C4C5C">
        <w:t xml:space="preserve">In </w:t>
      </w:r>
      <w:r w:rsidR="00F72361">
        <w:t>its</w:t>
      </w:r>
      <w:r w:rsidR="00E35358" w:rsidRPr="005C4C5C">
        <w:t xml:space="preserve"> submission t</w:t>
      </w:r>
      <w:r w:rsidR="008B3D18" w:rsidRPr="005C4C5C">
        <w:t>he Financial Rights Legal Centre</w:t>
      </w:r>
      <w:r w:rsidR="0024046A" w:rsidRPr="005C4C5C">
        <w:t xml:space="preserve"> </w:t>
      </w:r>
      <w:r w:rsidR="008B3D18" w:rsidRPr="005C4C5C">
        <w:t>suggested the Privacy Impact Assessment (PIA) should be embedded and implemented at an earlier stage in the process to influence the outcome.</w:t>
      </w:r>
      <w:r w:rsidRPr="005C4C5C">
        <w:t xml:space="preserve"> </w:t>
      </w:r>
      <w:r w:rsidR="00E35358" w:rsidRPr="005C4C5C">
        <w:t>Whilst t</w:t>
      </w:r>
      <w:r w:rsidR="008B3D18" w:rsidRPr="005C4C5C">
        <w:t>he Review acknowledges this recommendation</w:t>
      </w:r>
      <w:r w:rsidR="00E35358" w:rsidRPr="005C4C5C">
        <w:t xml:space="preserve">, the review notes the PIA is informed by the consultation process which includes </w:t>
      </w:r>
      <w:r w:rsidR="004F0E9A">
        <w:t xml:space="preserve">the </w:t>
      </w:r>
      <w:r w:rsidR="00DD1BAA" w:rsidRPr="005C4C5C">
        <w:t>Information Commissioner’s assessment</w:t>
      </w:r>
      <w:r w:rsidR="00E35358" w:rsidRPr="005C4C5C">
        <w:t xml:space="preserve">, and it is </w:t>
      </w:r>
      <w:r w:rsidR="004F0E9A">
        <w:t>the</w:t>
      </w:r>
      <w:r w:rsidR="00E35358" w:rsidRPr="005C4C5C">
        <w:t xml:space="preserve"> timing of </w:t>
      </w:r>
      <w:r w:rsidR="00AA4F63" w:rsidRPr="005C4C5C">
        <w:t xml:space="preserve">this </w:t>
      </w:r>
      <w:r w:rsidR="00DD1BAA" w:rsidRPr="005C4C5C">
        <w:t>assessment</w:t>
      </w:r>
      <w:r w:rsidR="00E35358" w:rsidRPr="005C4C5C">
        <w:t xml:space="preserve"> into the consultation process </w:t>
      </w:r>
      <w:r w:rsidR="00A3062E">
        <w:t>that</w:t>
      </w:r>
      <w:r w:rsidR="00A3062E" w:rsidRPr="005C4C5C">
        <w:t xml:space="preserve"> </w:t>
      </w:r>
      <w:r w:rsidR="00E35358" w:rsidRPr="005C4C5C">
        <w:t xml:space="preserve">is </w:t>
      </w:r>
      <w:r w:rsidR="003C7EF4" w:rsidRPr="005C4C5C">
        <w:t>crucial rather than the timing of the PIA</w:t>
      </w:r>
      <w:r w:rsidR="00E35358" w:rsidRPr="005C4C5C">
        <w:t xml:space="preserve">. </w:t>
      </w:r>
      <w:r w:rsidRPr="005C4C5C">
        <w:t xml:space="preserve">The Review has identified </w:t>
      </w:r>
      <w:r w:rsidR="006B6F5B" w:rsidRPr="005C4C5C">
        <w:t>an apparent</w:t>
      </w:r>
      <w:r w:rsidRPr="005C4C5C">
        <w:t xml:space="preserve"> lack of clarity in the legislation on when th</w:t>
      </w:r>
      <w:r w:rsidR="00E35055" w:rsidRPr="005C4C5C">
        <w:t xml:space="preserve">e </w:t>
      </w:r>
      <w:r w:rsidR="0079400C" w:rsidRPr="005C4C5C">
        <w:t>assessment</w:t>
      </w:r>
      <w:r w:rsidR="00E35055" w:rsidRPr="005C4C5C">
        <w:t xml:space="preserve"> from the </w:t>
      </w:r>
      <w:r w:rsidR="00952DDD" w:rsidRPr="005C4C5C">
        <w:t xml:space="preserve">Information </w:t>
      </w:r>
      <w:r w:rsidR="0079400C" w:rsidRPr="005C4C5C">
        <w:t>Commissioner</w:t>
      </w:r>
      <w:r>
        <w:t xml:space="preserve"> must be provided to</w:t>
      </w:r>
      <w:r w:rsidR="006B6F5B">
        <w:t xml:space="preserve"> the</w:t>
      </w:r>
      <w:r>
        <w:t xml:space="preserve"> Minister. For any advice to be well considered and </w:t>
      </w:r>
      <w:r w:rsidR="006B6F5B">
        <w:t>capable of</w:t>
      </w:r>
      <w:r>
        <w:t xml:space="preserve"> influenc</w:t>
      </w:r>
      <w:r w:rsidR="006B6F5B">
        <w:t>ing</w:t>
      </w:r>
      <w:r>
        <w:t xml:space="preserve"> the scope of the Minister’s designation</w:t>
      </w:r>
      <w:r w:rsidR="006B6F5B">
        <w:t>,</w:t>
      </w:r>
      <w:r>
        <w:t xml:space="preserve"> it must come earlier in the process, </w:t>
      </w:r>
      <w:r w:rsidR="006B6F5B">
        <w:t>before</w:t>
      </w:r>
      <w:r>
        <w:t xml:space="preserve"> the finalisation of </w:t>
      </w:r>
      <w:r w:rsidR="00662490">
        <w:t xml:space="preserve">the sectoral assessment </w:t>
      </w:r>
      <w:r>
        <w:t xml:space="preserve">report. </w:t>
      </w:r>
    </w:p>
    <w:p w14:paraId="4984E996" w14:textId="4F3DAA65" w:rsidR="00265FE3" w:rsidRDefault="00265FE3" w:rsidP="00265FE3">
      <w:r>
        <w:lastRenderedPageBreak/>
        <w:t xml:space="preserve">Consideration should be given to ensuring </w:t>
      </w:r>
      <w:r w:rsidR="00E35055">
        <w:t xml:space="preserve">the </w:t>
      </w:r>
      <w:r w:rsidR="00DD1BAA" w:rsidRPr="00FF0B2F">
        <w:t>Information Commissioner’s assessment</w:t>
      </w:r>
      <w:r w:rsidR="00DD1BAA">
        <w:t xml:space="preserve"> </w:t>
      </w:r>
      <w:r w:rsidR="000E1D4C">
        <w:t xml:space="preserve">is provided </w:t>
      </w:r>
      <w:r w:rsidR="004302D4" w:rsidRPr="00D7714A">
        <w:t>as part of</w:t>
      </w:r>
      <w:r w:rsidRPr="00D7714A">
        <w:t xml:space="preserve"> the </w:t>
      </w:r>
      <w:r w:rsidR="004302D4" w:rsidRPr="00D7714A">
        <w:t>sectoral</w:t>
      </w:r>
      <w:r>
        <w:t xml:space="preserve"> assessment and designation process</w:t>
      </w:r>
      <w:r w:rsidR="006B6F5B">
        <w:t>es</w:t>
      </w:r>
      <w:r>
        <w:t xml:space="preserve">. Failure to do so </w:t>
      </w:r>
      <w:r w:rsidR="00596A76">
        <w:t xml:space="preserve">may </w:t>
      </w:r>
      <w:r>
        <w:t xml:space="preserve">diminish the </w:t>
      </w:r>
      <w:r w:rsidR="006B6F5B">
        <w:t>role of</w:t>
      </w:r>
      <w:r>
        <w:t xml:space="preserve"> privacy and the ability </w:t>
      </w:r>
      <w:r w:rsidRPr="00B415B3">
        <w:t>to appropriately balance advice on the privacy impacts and other objectives</w:t>
      </w:r>
      <w:r w:rsidR="006B6F5B">
        <w:t>,</w:t>
      </w:r>
      <w:r w:rsidRPr="00B415B3">
        <w:t xml:space="preserve"> such as consumer benefit, competition and innovation</w:t>
      </w:r>
      <w:r>
        <w:t xml:space="preserve">. </w:t>
      </w:r>
    </w:p>
    <w:p w14:paraId="0D083070" w14:textId="70A3215B" w:rsidR="00265FE3" w:rsidRDefault="00265FE3" w:rsidP="00265FE3">
      <w:r>
        <w:t>Additionally, these processes should be reviewed over time to ensure they are continually fit</w:t>
      </w:r>
      <w:r w:rsidR="00F050FD">
        <w:t>-</w:t>
      </w:r>
      <w:r>
        <w:t>for</w:t>
      </w:r>
      <w:r w:rsidR="00F050FD">
        <w:t>-</w:t>
      </w:r>
      <w:r>
        <w:t>purpose and recalibrated as required. Once the system reaches a level of maturity</w:t>
      </w:r>
      <w:r w:rsidR="006B6F5B">
        <w:t>,</w:t>
      </w:r>
      <w:r>
        <w:t xml:space="preserve"> consideration could be given to streamlining these processes.</w:t>
      </w:r>
    </w:p>
    <w:p w14:paraId="3998FFC7" w14:textId="77777777" w:rsidR="00265FE3" w:rsidRDefault="00265FE3" w:rsidP="00265FE3"/>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265FE3" w14:paraId="65FC25B0" w14:textId="77777777" w:rsidTr="00421311">
        <w:trPr>
          <w:cnfStyle w:val="100000000000" w:firstRow="1" w:lastRow="0" w:firstColumn="0" w:lastColumn="0" w:oddVBand="0" w:evenVBand="0" w:oddHBand="0" w:evenHBand="0" w:firstRowFirstColumn="0" w:firstRowLastColumn="0" w:lastRowFirstColumn="0" w:lastRowLastColumn="0"/>
          <w:trHeight w:val="1384"/>
        </w:trPr>
        <w:tc>
          <w:tcPr>
            <w:tcW w:w="0" w:type="pct"/>
            <w:shd w:val="clear" w:color="auto" w:fill="FCEEE5" w:themeFill="accent6" w:themeFillTint="33"/>
          </w:tcPr>
          <w:p w14:paraId="3D994624" w14:textId="4D274E44" w:rsidR="00265FE3" w:rsidRPr="008C73D5" w:rsidRDefault="00265FE3" w:rsidP="00F90639">
            <w:pPr>
              <w:pStyle w:val="BoxHeading"/>
            </w:pPr>
            <w:r w:rsidRPr="008C73D5">
              <w:t>Recommendation 1.</w:t>
            </w:r>
            <w:r w:rsidR="00AA1AF8" w:rsidRPr="008C73D5">
              <w:t>3</w:t>
            </w:r>
          </w:p>
          <w:p w14:paraId="3C24AC8B" w14:textId="35F90894" w:rsidR="00B94B60" w:rsidRPr="00511A43" w:rsidRDefault="009B4CD4" w:rsidP="00F90639">
            <w:pPr>
              <w:pStyle w:val="BoxText"/>
              <w:rPr>
                <w:highlight w:val="yellow"/>
              </w:rPr>
            </w:pPr>
            <w:r w:rsidRPr="008C73D5">
              <w:rPr>
                <w:szCs w:val="24"/>
              </w:rPr>
              <w:t xml:space="preserve">To </w:t>
            </w:r>
            <w:r w:rsidR="00163F4C" w:rsidRPr="008C73D5">
              <w:rPr>
                <w:szCs w:val="24"/>
              </w:rPr>
              <w:t>ensure that privacy is properly factored into the designation design, it is recommended that the Information Commissioner’s assessment on privacy and confidentiality</w:t>
            </w:r>
            <w:r w:rsidR="004302D4" w:rsidRPr="008C73D5">
              <w:rPr>
                <w:szCs w:val="24"/>
              </w:rPr>
              <w:t xml:space="preserve"> is </w:t>
            </w:r>
            <w:r w:rsidR="00163F4C" w:rsidRPr="008C73D5" w:rsidDel="00B05CD0">
              <w:rPr>
                <w:szCs w:val="24"/>
              </w:rPr>
              <w:t>considered as part of</w:t>
            </w:r>
            <w:r w:rsidR="004302D4" w:rsidRPr="008C73D5">
              <w:rPr>
                <w:szCs w:val="24"/>
              </w:rPr>
              <w:t xml:space="preserve"> the sectoral assessment report.</w:t>
            </w:r>
            <w:r w:rsidR="00163F4C" w:rsidRPr="008C73D5">
              <w:rPr>
                <w:szCs w:val="24"/>
              </w:rPr>
              <w:t xml:space="preserve"> </w:t>
            </w:r>
            <w:r w:rsidR="00EE287B" w:rsidRPr="008C73D5">
              <w:rPr>
                <w:szCs w:val="24"/>
              </w:rPr>
              <w:t xml:space="preserve"> </w:t>
            </w:r>
          </w:p>
        </w:tc>
      </w:tr>
    </w:tbl>
    <w:p w14:paraId="53EDB6D5" w14:textId="77777777" w:rsidR="00265FE3" w:rsidRDefault="00265FE3" w:rsidP="00265FE3">
      <w:pPr>
        <w:pStyle w:val="Heading2"/>
      </w:pPr>
      <w:bookmarkStart w:id="64" w:name="_Toc106286083"/>
      <w:bookmarkStart w:id="65" w:name="_Toc106358393"/>
      <w:bookmarkStart w:id="66" w:name="_Toc110602873"/>
      <w:r w:rsidRPr="00383A01">
        <w:t>1.</w:t>
      </w:r>
      <w:r>
        <w:t>5</w:t>
      </w:r>
      <w:r w:rsidRPr="00383A01">
        <w:t xml:space="preserve"> Complexity of engagement with multiple CDR processes</w:t>
      </w:r>
      <w:bookmarkEnd w:id="64"/>
      <w:bookmarkEnd w:id="65"/>
      <w:bookmarkEnd w:id="66"/>
      <w:r>
        <w:t xml:space="preserve"> </w:t>
      </w:r>
    </w:p>
    <w:p w14:paraId="505638F8" w14:textId="15CD4F95" w:rsidR="00265FE3" w:rsidRDefault="00265FE3" w:rsidP="00F90639">
      <w:r>
        <w:t xml:space="preserve">There is a view by </w:t>
      </w:r>
      <w:r w:rsidR="00AE6F9D">
        <w:t xml:space="preserve">many </w:t>
      </w:r>
      <w:r>
        <w:t xml:space="preserve">CDR participants that the </w:t>
      </w:r>
      <w:r w:rsidRPr="00E1079B">
        <w:t>assessment, designation, rule-making and standard</w:t>
      </w:r>
      <w:r w:rsidR="006B6F5B">
        <w:t>-</w:t>
      </w:r>
      <w:r w:rsidRPr="00E1079B">
        <w:t>setting requirements are time</w:t>
      </w:r>
      <w:r w:rsidR="006B6F5B">
        <w:t>-</w:t>
      </w:r>
      <w:r w:rsidRPr="00E1079B">
        <w:t>consuming</w:t>
      </w:r>
      <w:r>
        <w:t xml:space="preserve">, duplicative and </w:t>
      </w:r>
      <w:r w:rsidRPr="00E1079B">
        <w:t xml:space="preserve">expensive. </w:t>
      </w:r>
      <w:r>
        <w:t xml:space="preserve">Making enhancements or updates to </w:t>
      </w:r>
      <w:r w:rsidR="006B6F5B">
        <w:t xml:space="preserve">the </w:t>
      </w:r>
      <w:r>
        <w:t>CDR requires consultation or stakeholder engagement on:</w:t>
      </w:r>
    </w:p>
    <w:p w14:paraId="16D468E6" w14:textId="567EB7C9" w:rsidR="00265FE3" w:rsidRPr="00383A01" w:rsidRDefault="00265FE3" w:rsidP="00F90639">
      <w:pPr>
        <w:pStyle w:val="Bullet"/>
      </w:pPr>
      <w:r>
        <w:t>Amendments to the Competition and Consumer Act 2010</w:t>
      </w:r>
    </w:p>
    <w:p w14:paraId="6DC8FB1F" w14:textId="565D6E63" w:rsidR="00265FE3" w:rsidRDefault="00265FE3" w:rsidP="00F90639">
      <w:pPr>
        <w:pStyle w:val="Bullet"/>
      </w:pPr>
      <w:r>
        <w:t>Sectoral assessment processes</w:t>
      </w:r>
    </w:p>
    <w:p w14:paraId="5256BD9C" w14:textId="5960BA09" w:rsidR="00265FE3" w:rsidRDefault="00265FE3" w:rsidP="00F90639">
      <w:pPr>
        <w:pStyle w:val="Bullet"/>
      </w:pPr>
      <w:r>
        <w:t>Sectoral designation instruments</w:t>
      </w:r>
    </w:p>
    <w:p w14:paraId="64B4F27F" w14:textId="6ECDBE96" w:rsidR="00265FE3" w:rsidRDefault="00265FE3" w:rsidP="00F90639">
      <w:pPr>
        <w:pStyle w:val="Bullet"/>
      </w:pPr>
      <w:r>
        <w:t>Changes to foundational CDR rules</w:t>
      </w:r>
    </w:p>
    <w:p w14:paraId="0CC7D066" w14:textId="66158018" w:rsidR="00265FE3" w:rsidRDefault="00265FE3" w:rsidP="00F90639">
      <w:pPr>
        <w:pStyle w:val="Bullet"/>
      </w:pPr>
      <w:r>
        <w:t>Changes to CDR rules for specific sectors</w:t>
      </w:r>
    </w:p>
    <w:p w14:paraId="68929FDC" w14:textId="34E978CB" w:rsidR="00265FE3" w:rsidRDefault="00265FE3" w:rsidP="00F90639">
      <w:pPr>
        <w:pStyle w:val="Bullet"/>
      </w:pPr>
      <w:r>
        <w:t xml:space="preserve">Changes to CDR </w:t>
      </w:r>
      <w:r w:rsidR="004F0F45">
        <w:t>d</w:t>
      </w:r>
      <w:r>
        <w:t xml:space="preserve">ata </w:t>
      </w:r>
      <w:r w:rsidR="004F0F45">
        <w:t>s</w:t>
      </w:r>
      <w:r>
        <w:t>tandards or guidelines</w:t>
      </w:r>
    </w:p>
    <w:p w14:paraId="5C0BADB6" w14:textId="69579360" w:rsidR="00265FE3" w:rsidRDefault="00265FE3" w:rsidP="00F90639">
      <w:pPr>
        <w:pStyle w:val="Bullet"/>
      </w:pPr>
      <w:r>
        <w:t>Privacy Impact Assessments</w:t>
      </w:r>
    </w:p>
    <w:p w14:paraId="47140372" w14:textId="5FBDB758" w:rsidR="00265FE3" w:rsidRDefault="00265FE3" w:rsidP="00F90639">
      <w:pPr>
        <w:pStyle w:val="Bullet"/>
      </w:pPr>
      <w:r>
        <w:t>Changes to the Register and Accreditation Application Platform (RAAP)</w:t>
      </w:r>
      <w:r w:rsidR="006B6F5B">
        <w:t>,</w:t>
      </w:r>
      <w:r>
        <w:t xml:space="preserve"> and</w:t>
      </w:r>
    </w:p>
    <w:p w14:paraId="399CCEEE" w14:textId="0DA6F1DA" w:rsidR="00265FE3" w:rsidRDefault="00265FE3" w:rsidP="00F90639">
      <w:pPr>
        <w:pStyle w:val="Bullet"/>
      </w:pPr>
      <w:r>
        <w:t>Introduction of regulatory guidance.</w:t>
      </w:r>
    </w:p>
    <w:p w14:paraId="61E2E960" w14:textId="183191EA" w:rsidR="00265FE3" w:rsidRDefault="00265FE3" w:rsidP="009E5D65">
      <w:pPr>
        <w:spacing w:after="0"/>
      </w:pPr>
      <w:r>
        <w:t>These consultations may be separately run by Treasury, the ACCC, the OAIC or the Data Standards Body, and may require different processes</w:t>
      </w:r>
      <w:r w:rsidR="00100200">
        <w:t xml:space="preserve"> and</w:t>
      </w:r>
      <w:r>
        <w:t xml:space="preserve"> timelines.</w:t>
      </w:r>
    </w:p>
    <w:p w14:paraId="39AF7DCC" w14:textId="3BAB7319" w:rsidR="00265FE3" w:rsidRPr="00F3484D" w:rsidRDefault="00265FE3" w:rsidP="00F90639">
      <w:r w:rsidRPr="00383A01">
        <w:t>A number of</w:t>
      </w:r>
      <w:r w:rsidRPr="00B71E49">
        <w:t xml:space="preserve"> participants</w:t>
      </w:r>
      <w:r w:rsidRPr="00E1079B">
        <w:t xml:space="preserve"> spoke of the </w:t>
      </w:r>
      <w:r>
        <w:t>difficulty of p</w:t>
      </w:r>
      <w:r w:rsidRPr="00E1079B">
        <w:t>articipati</w:t>
      </w:r>
      <w:r>
        <w:t>ng</w:t>
      </w:r>
      <w:r w:rsidRPr="00E1079B">
        <w:t xml:space="preserve"> in these processes </w:t>
      </w:r>
      <w:r>
        <w:t>with</w:t>
      </w:r>
      <w:r w:rsidRPr="00E1079B">
        <w:t xml:space="preserve"> concurrent consultations </w:t>
      </w:r>
      <w:r>
        <w:t xml:space="preserve">with </w:t>
      </w:r>
      <w:r w:rsidRPr="00E1079B">
        <w:t>multiple regulators requiring deep technical knowledge and expertise to meaningfully contribute</w:t>
      </w:r>
      <w:r>
        <w:t xml:space="preserve"> and resolve issues</w:t>
      </w:r>
      <w:r w:rsidRPr="00E1079B">
        <w:t xml:space="preserve">. </w:t>
      </w:r>
      <w:bookmarkStart w:id="67" w:name="_Hlk103601833"/>
      <w:r w:rsidR="002B346C">
        <w:t xml:space="preserve">These requirements </w:t>
      </w:r>
      <w:r w:rsidR="006B6F5B">
        <w:t xml:space="preserve">mean that </w:t>
      </w:r>
      <w:r w:rsidRPr="00E1079B">
        <w:t>business</w:t>
      </w:r>
      <w:r w:rsidR="006B6F5B">
        <w:t xml:space="preserve">es must </w:t>
      </w:r>
      <w:r w:rsidRPr="00E1079B">
        <w:t>devot</w:t>
      </w:r>
      <w:r w:rsidR="006B6F5B">
        <w:t>e</w:t>
      </w:r>
      <w:r>
        <w:t xml:space="preserve"> </w:t>
      </w:r>
      <w:r w:rsidRPr="00E1079B">
        <w:t xml:space="preserve">resources to regulatory compliance </w:t>
      </w:r>
      <w:r w:rsidR="00100200">
        <w:t xml:space="preserve">and provision of advice </w:t>
      </w:r>
      <w:r>
        <w:t xml:space="preserve">rather than </w:t>
      </w:r>
      <w:r w:rsidRPr="00E1079B">
        <w:t>product development and innovation</w:t>
      </w:r>
      <w:bookmarkEnd w:id="67"/>
      <w:r w:rsidR="006B6F5B">
        <w:t xml:space="preserve">, </w:t>
      </w:r>
      <w:r w:rsidR="00DF675A">
        <w:t xml:space="preserve">with a </w:t>
      </w:r>
      <w:r w:rsidR="006B6F5B">
        <w:t>resulting opportunity cost</w:t>
      </w:r>
      <w:r>
        <w:t xml:space="preserve">. This sentiment was shared by </w:t>
      </w:r>
      <w:r w:rsidR="006B6F5B">
        <w:t xml:space="preserve">both large and small </w:t>
      </w:r>
      <w:r>
        <w:t>participants</w:t>
      </w:r>
      <w:r w:rsidR="006B6F5B">
        <w:t xml:space="preserve">, </w:t>
      </w:r>
      <w:r>
        <w:t xml:space="preserve">who suggested it was difficult to see the forest </w:t>
      </w:r>
      <w:r w:rsidR="002B346C">
        <w:t xml:space="preserve">for </w:t>
      </w:r>
      <w:r>
        <w:t xml:space="preserve">the trees when </w:t>
      </w:r>
      <w:r w:rsidR="00FC6B03">
        <w:t xml:space="preserve">they </w:t>
      </w:r>
      <w:r w:rsidR="006B6F5B">
        <w:t>cannot</w:t>
      </w:r>
      <w:r>
        <w:t xml:space="preserve"> adequately devote time to meet</w:t>
      </w:r>
      <w:r w:rsidR="006B6F5B">
        <w:t>ing</w:t>
      </w:r>
      <w:r>
        <w:t xml:space="preserve"> compliance obligations and consider</w:t>
      </w:r>
      <w:r w:rsidR="006B6F5B">
        <w:t>ing</w:t>
      </w:r>
      <w:r w:rsidR="00075346">
        <w:t xml:space="preserve"> </w:t>
      </w:r>
      <w:r>
        <w:t xml:space="preserve">commercial opportunities. Consumer and privacy groups also highlighted the significant burden of consultation as being a barrier to adequately representing consumer perspectives in the scheme. </w:t>
      </w:r>
    </w:p>
    <w:p w14:paraId="06A3BA35" w14:textId="3F45B2E9" w:rsidR="00265FE3" w:rsidRPr="00F3484D" w:rsidRDefault="00265FE3" w:rsidP="00F90639">
      <w:pPr>
        <w:pStyle w:val="Quote"/>
        <w:ind w:left="964" w:right="964"/>
      </w:pPr>
      <w:r w:rsidRPr="005E139B">
        <w:lastRenderedPageBreak/>
        <w:t>“While consumer groups have been actively engaged in CDR over a number of years, the burden placed on consumer groups during consultation is extensive and excessive.”</w:t>
      </w:r>
      <w:r w:rsidR="008B2769">
        <w:t xml:space="preserve"> </w:t>
      </w:r>
      <w:r w:rsidRPr="00F3484D">
        <w:t xml:space="preserve">– </w:t>
      </w:r>
      <w:r w:rsidRPr="005E139B">
        <w:rPr>
          <w:b/>
          <w:bCs/>
        </w:rPr>
        <w:t>Consumer Policy Research Centre</w:t>
      </w:r>
    </w:p>
    <w:p w14:paraId="02CE262F" w14:textId="12B8A842" w:rsidR="00265FE3" w:rsidRDefault="00FC6B03" w:rsidP="00284283">
      <w:r>
        <w:t>T</w:t>
      </w:r>
      <w:r w:rsidR="00265FE3">
        <w:t xml:space="preserve">his opportunity cost can more easily be borne by larger participants </w:t>
      </w:r>
      <w:r w:rsidR="00EE0316">
        <w:t>with</w:t>
      </w:r>
      <w:r w:rsidR="00265FE3">
        <w:t xml:space="preserve"> the ability to commit resources to policy engagement and compliance in a competitive market</w:t>
      </w:r>
      <w:r w:rsidR="00EE0316">
        <w:t>. M</w:t>
      </w:r>
      <w:r w:rsidR="00265FE3">
        <w:t>any smaller participants</w:t>
      </w:r>
      <w:r w:rsidR="00EE0316">
        <w:t>, however,</w:t>
      </w:r>
      <w:r w:rsidR="00265FE3">
        <w:t xml:space="preserve"> will find it increasingly difficult to contribute to policy development and ensure compliance with the CDR. </w:t>
      </w:r>
      <w:r w:rsidR="00BD3E36">
        <w:t xml:space="preserve">The review heard this may result in some </w:t>
      </w:r>
      <w:r w:rsidR="00265FE3">
        <w:t>data holders</w:t>
      </w:r>
      <w:r w:rsidR="00265FE3" w:rsidDel="00F16B3D">
        <w:t xml:space="preserve"> </w:t>
      </w:r>
      <w:r w:rsidR="00034370">
        <w:t xml:space="preserve">considering </w:t>
      </w:r>
      <w:r w:rsidR="00BD3E36">
        <w:t>merging</w:t>
      </w:r>
      <w:r w:rsidR="00265FE3">
        <w:t xml:space="preserve"> with other data holders to pool resources and expertise as a viable option to avoid </w:t>
      </w:r>
      <w:r w:rsidR="00034370">
        <w:t xml:space="preserve">dropping </w:t>
      </w:r>
      <w:r w:rsidR="00265FE3">
        <w:t xml:space="preserve">out of the market entirely or </w:t>
      </w:r>
      <w:r w:rsidR="00034370">
        <w:t xml:space="preserve">risk </w:t>
      </w:r>
      <w:r w:rsidR="00EE0316">
        <w:t xml:space="preserve">being </w:t>
      </w:r>
      <w:r w:rsidR="00265FE3">
        <w:t xml:space="preserve">overtaken by a larger participant. In any scenario, this has the potential to reduce the level of competition in the market, </w:t>
      </w:r>
      <w:r w:rsidR="00EE0316">
        <w:t xml:space="preserve">which is </w:t>
      </w:r>
      <w:r w:rsidR="00265FE3">
        <w:t>contrary to the policy objectives of the CDR.</w:t>
      </w:r>
    </w:p>
    <w:p w14:paraId="399B7FF6" w14:textId="77777777" w:rsidR="00265FE3" w:rsidRPr="00FC31AB" w:rsidRDefault="00265FE3" w:rsidP="00F90639">
      <w:pPr>
        <w:pStyle w:val="Quote"/>
        <w:ind w:left="1020" w:right="1020"/>
      </w:pPr>
      <w:r>
        <w:t>“</w:t>
      </w:r>
      <w:r w:rsidRPr="00FC31AB">
        <w:t xml:space="preserve">there is a risk that the CDR could be used to further expand the consumer market share of the major retailers, enabling them to further dominate the market, as they have the means and ability to join as a </w:t>
      </w:r>
      <w:r>
        <w:t>[data recipient]</w:t>
      </w:r>
      <w:r w:rsidRPr="00FC31AB">
        <w:t xml:space="preserve">, alongside their </w:t>
      </w:r>
      <w:r>
        <w:t>[data holder]</w:t>
      </w:r>
      <w:r w:rsidRPr="00FC31AB">
        <w:t xml:space="preserve"> obligation, and invest in CDR opportunities. With high barriers to entry it makes it challenging for smaller retailers to gain the benefits of participating in the CDR</w:t>
      </w:r>
      <w:r>
        <w:t xml:space="preserve">” </w:t>
      </w:r>
      <w:r w:rsidRPr="005E139B">
        <w:t xml:space="preserve">– </w:t>
      </w:r>
      <w:r w:rsidRPr="005E139B">
        <w:rPr>
          <w:b/>
          <w:bCs/>
        </w:rPr>
        <w:t>EY</w:t>
      </w:r>
    </w:p>
    <w:p w14:paraId="27B799F4" w14:textId="3569EB8C" w:rsidR="00265FE3" w:rsidRDefault="00FC6B03" w:rsidP="005E139B">
      <w:r>
        <w:t>S</w:t>
      </w:r>
      <w:r w:rsidR="00265FE3" w:rsidRPr="00E1079B">
        <w:t xml:space="preserve">maller </w:t>
      </w:r>
      <w:r w:rsidR="00265FE3">
        <w:t>participants find it difficult to fully participate in the various consultation processes involved in the rollout of the CDR. Without the capacity and resources to dedicate to multiple consultation processes and tight submission deadlines</w:t>
      </w:r>
      <w:r w:rsidR="00EE0316">
        <w:t>,</w:t>
      </w:r>
      <w:r w:rsidR="00265FE3">
        <w:t xml:space="preserve"> smaller participants may become disenfranchised, leaving the CDR to be steered by larger players. This </w:t>
      </w:r>
      <w:r w:rsidR="00EE0316">
        <w:t xml:space="preserve">could </w:t>
      </w:r>
      <w:r w:rsidR="00265FE3">
        <w:t>disadvantage smaller players</w:t>
      </w:r>
      <w:r w:rsidR="00EE0316">
        <w:t xml:space="preserve"> by leaving them</w:t>
      </w:r>
      <w:r w:rsidR="00265FE3">
        <w:t xml:space="preserve"> unable to advocate for their interests and may harm consumers who lose access to the innovative CDR products offered by smaller players </w:t>
      </w:r>
      <w:r w:rsidR="00EE0316">
        <w:t xml:space="preserve">should </w:t>
      </w:r>
      <w:r w:rsidR="00265FE3">
        <w:t xml:space="preserve">they exit the market. </w:t>
      </w:r>
    </w:p>
    <w:p w14:paraId="6A6C5B4F" w14:textId="77777777" w:rsidR="00265FE3" w:rsidRDefault="00265FE3" w:rsidP="00265FE3"/>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265FE3" w14:paraId="363CE96D" w14:textId="77777777" w:rsidTr="00284283">
        <w:trPr>
          <w:trHeight w:val="2334"/>
        </w:trPr>
        <w:tc>
          <w:tcPr>
            <w:tcW w:w="5000" w:type="pct"/>
            <w:shd w:val="clear" w:color="auto" w:fill="F2F9FC"/>
            <w:hideMark/>
          </w:tcPr>
          <w:p w14:paraId="59F7D604" w14:textId="44E597E4" w:rsidR="00265FE3" w:rsidRPr="00CE4B29" w:rsidRDefault="00265FE3" w:rsidP="00F90639">
            <w:pPr>
              <w:pStyle w:val="BoxHeading"/>
            </w:pPr>
            <w:r w:rsidRPr="00CE4B29">
              <w:t>Finding 1.</w:t>
            </w:r>
            <w:r w:rsidR="00AA1AF8" w:rsidRPr="00CE4B29">
              <w:t>2</w:t>
            </w:r>
          </w:p>
          <w:p w14:paraId="13DA3C03" w14:textId="546795F3" w:rsidR="00265FE3" w:rsidRPr="000D14C7" w:rsidRDefault="001B18E2" w:rsidP="00F90639">
            <w:pPr>
              <w:pStyle w:val="BoxText"/>
            </w:pPr>
            <w:r w:rsidRPr="00CE4B29">
              <w:rPr>
                <w:color w:val="2C384A" w:themeColor="accent1"/>
              </w:rPr>
              <w:t>In developing the CDR, multiple agencies are seeking</w:t>
            </w:r>
            <w:r w:rsidR="00795AF2" w:rsidRPr="00CE4B29">
              <w:rPr>
                <w:color w:val="2C384A" w:themeColor="accent1"/>
              </w:rPr>
              <w:t xml:space="preserve"> regular</w:t>
            </w:r>
            <w:r w:rsidR="00BA7252" w:rsidRPr="00CE4B29">
              <w:rPr>
                <w:color w:val="2C384A" w:themeColor="accent1"/>
              </w:rPr>
              <w:t xml:space="preserve"> </w:t>
            </w:r>
            <w:r w:rsidRPr="00CE4B29">
              <w:rPr>
                <w:color w:val="2C384A" w:themeColor="accent1"/>
              </w:rPr>
              <w:t>f</w:t>
            </w:r>
            <w:r w:rsidR="001C76CB" w:rsidRPr="00CE4B29">
              <w:rPr>
                <w:color w:val="2C384A" w:themeColor="accent1"/>
              </w:rPr>
              <w:t>eedback</w:t>
            </w:r>
            <w:r w:rsidR="006F7D4D" w:rsidRPr="00CE4B29">
              <w:rPr>
                <w:color w:val="2C384A" w:themeColor="accent1"/>
              </w:rPr>
              <w:t xml:space="preserve"> from a wide range of stakeholders</w:t>
            </w:r>
            <w:r w:rsidR="001C76CB" w:rsidRPr="00CE4B29">
              <w:rPr>
                <w:color w:val="2C384A" w:themeColor="accent1"/>
              </w:rPr>
              <w:t xml:space="preserve">. </w:t>
            </w:r>
            <w:r w:rsidR="00BA7252" w:rsidRPr="00CE4B29">
              <w:rPr>
                <w:color w:val="2C384A" w:themeColor="accent1"/>
              </w:rPr>
              <w:t>CDR participants, particularly smaller ones, have found it difficult to engage with the</w:t>
            </w:r>
            <w:r w:rsidR="00EE0316" w:rsidRPr="00CE4B29">
              <w:rPr>
                <w:color w:val="2C384A" w:themeColor="accent1"/>
              </w:rPr>
              <w:t>se</w:t>
            </w:r>
            <w:r w:rsidR="00BA7252" w:rsidRPr="00CE4B29">
              <w:rPr>
                <w:color w:val="2C384A" w:themeColor="accent1"/>
              </w:rPr>
              <w:t xml:space="preserve"> </w:t>
            </w:r>
            <w:r w:rsidR="006F7D4D" w:rsidRPr="00CE4B29">
              <w:rPr>
                <w:color w:val="2C384A" w:themeColor="accent1"/>
              </w:rPr>
              <w:t xml:space="preserve">successive </w:t>
            </w:r>
            <w:r w:rsidR="00BA7252" w:rsidRPr="00CE4B29">
              <w:rPr>
                <w:color w:val="2C384A" w:themeColor="accent1"/>
              </w:rPr>
              <w:t>consultation process</w:t>
            </w:r>
            <w:r w:rsidR="001C76CB" w:rsidRPr="00CE4B29">
              <w:rPr>
                <w:color w:val="2C384A" w:themeColor="accent1"/>
              </w:rPr>
              <w:t>es</w:t>
            </w:r>
            <w:r w:rsidR="00BA7252" w:rsidRPr="00CE4B29">
              <w:rPr>
                <w:color w:val="2C384A" w:themeColor="accent1"/>
              </w:rPr>
              <w:t xml:space="preserve">. </w:t>
            </w:r>
            <w:r w:rsidR="000D14C7" w:rsidRPr="00CE4B29">
              <w:rPr>
                <w:bCs/>
                <w:color w:val="2C384A" w:themeColor="accent1"/>
              </w:rPr>
              <w:t xml:space="preserve">Consultation is important to successfully implement the CDR, however, the extent and scope of consultation are barriers particularly for smaller participants and consumer groups. Without better coordination or consideration of ways to lessen the consultation load, there may be adverse competition outcomes </w:t>
            </w:r>
            <w:r w:rsidR="000D14C7" w:rsidRPr="00CE4B29">
              <w:rPr>
                <w:color w:val="2C384A" w:themeColor="accent1"/>
                <w:szCs w:val="22"/>
              </w:rPr>
              <w:t xml:space="preserve">that are </w:t>
            </w:r>
            <w:r w:rsidR="000D14C7" w:rsidRPr="00CE4B29">
              <w:rPr>
                <w:bCs/>
                <w:color w:val="2C384A" w:themeColor="accent1"/>
              </w:rPr>
              <w:t>contrary to the policy objectives of the CDR.</w:t>
            </w:r>
          </w:p>
        </w:tc>
      </w:tr>
    </w:tbl>
    <w:p w14:paraId="4999F896" w14:textId="77777777" w:rsidR="00265FE3" w:rsidRDefault="00265FE3" w:rsidP="00265FE3">
      <w:pPr>
        <w:pStyle w:val="ListParagraph"/>
        <w:spacing w:after="0"/>
        <w:ind w:left="0"/>
        <w:contextualSpacing w:val="0"/>
      </w:pPr>
    </w:p>
    <w:p w14:paraId="0D5F5BBE" w14:textId="688C62F9" w:rsidR="007D736E" w:rsidRDefault="00265FE3" w:rsidP="00F90639">
      <w:pPr>
        <w:spacing w:before="0" w:after="160" w:line="259" w:lineRule="auto"/>
        <w:ind w:right="57"/>
      </w:pPr>
      <w:r>
        <w:t xml:space="preserve">Though industry submissions raised some clear issues with the current approach to consultation, there are also potential benefits from maintaining aspects of the status quo. For instance, having separate processes allows each topic to be considered in sufficient detail, prevents progress across the entire initiative being delayed due to complications in distinct streams of work, and allows stakeholders who are only interested in specific aspects of the CDR to determine what is and is not most relevant to them. </w:t>
      </w:r>
    </w:p>
    <w:p w14:paraId="2D915C9F" w14:textId="50CAE83E" w:rsidR="007D736E" w:rsidRDefault="00A86108" w:rsidP="005E139B">
      <w:r>
        <w:t xml:space="preserve">There were also suggestions </w:t>
      </w:r>
      <w:r w:rsidR="007D736E">
        <w:t xml:space="preserve">that </w:t>
      </w:r>
      <w:r>
        <w:t xml:space="preserve">any </w:t>
      </w:r>
      <w:r w:rsidR="007D736E">
        <w:t xml:space="preserve">updates to rules and standards be signposted well in advance, </w:t>
      </w:r>
      <w:r>
        <w:t>with the</w:t>
      </w:r>
      <w:r w:rsidR="007D736E">
        <w:t xml:space="preserve"> Australian Banking Association (ABA) recommend</w:t>
      </w:r>
      <w:r>
        <w:t>ing</w:t>
      </w:r>
      <w:r w:rsidR="007D736E">
        <w:t xml:space="preserve"> that they be updated in predictable </w:t>
      </w:r>
      <w:r w:rsidR="007D736E">
        <w:lastRenderedPageBreak/>
        <w:t xml:space="preserve">intervals that allowed for sufficient time to “consult, comply, and integrate to the software management and oversight processes”. These intervals, it was proposed during consultations, should correspond to business cycles for IT projects, such as 6 months </w:t>
      </w:r>
      <w:r w:rsidR="007D736E" w:rsidRPr="00F3484D">
        <w:t>intervals between changes or as required</w:t>
      </w:r>
      <w:r w:rsidR="007D736E">
        <w:t xml:space="preserve">. This is not an unreasonable request from participants. </w:t>
      </w:r>
    </w:p>
    <w:p w14:paraId="7277A4FA" w14:textId="3B067F62" w:rsidR="001C76CB" w:rsidRDefault="00265FE3" w:rsidP="005E139B">
      <w:r>
        <w:t>A first step</w:t>
      </w:r>
      <w:r w:rsidR="00CF6379">
        <w:t xml:space="preserve"> </w:t>
      </w:r>
      <w:r w:rsidR="001C3C9C">
        <w:t>towards</w:t>
      </w:r>
      <w:r w:rsidR="00CF6379">
        <w:t xml:space="preserve"> achieving</w:t>
      </w:r>
      <w:r>
        <w:t xml:space="preserve"> greater coordination of consultation processes </w:t>
      </w:r>
      <w:r w:rsidR="00075346">
        <w:t>includes p</w:t>
      </w:r>
      <w:r w:rsidR="001C76CB">
        <w:t xml:space="preserve">ublishing a unified consultation </w:t>
      </w:r>
      <w:r w:rsidR="00824C4A">
        <w:t>schedule</w:t>
      </w:r>
      <w:r w:rsidR="001C76CB">
        <w:t xml:space="preserve"> for </w:t>
      </w:r>
      <w:r w:rsidR="00CF6379">
        <w:t xml:space="preserve">all CDR </w:t>
      </w:r>
      <w:r w:rsidR="00075346">
        <w:t xml:space="preserve">agencies, and ensuring adequate time </w:t>
      </w:r>
      <w:r w:rsidR="00CF6379">
        <w:t xml:space="preserve">on submission deadlines for consultation. </w:t>
      </w:r>
      <w:r w:rsidR="003B59CF">
        <w:t xml:space="preserve">The </w:t>
      </w:r>
      <w:r w:rsidR="00CD00E2">
        <w:t>Government should consider appropriate timing for releasing rules and standards to provide participants the maximum allowable time to undertake the required changes and reduce the risk that deadlines will be missed.</w:t>
      </w:r>
      <w:r w:rsidR="00CD00E2" w:rsidDel="00E7333A">
        <w:t xml:space="preserve"> </w:t>
      </w:r>
    </w:p>
    <w:p w14:paraId="0D50A4A1" w14:textId="77777777" w:rsidR="00CD00E2" w:rsidRDefault="00CD00E2" w:rsidP="00265FE3">
      <w:pPr>
        <w:pStyle w:val="ListParagraph"/>
        <w:spacing w:after="0"/>
        <w:ind w:left="0"/>
        <w:contextualSpacing w:val="0"/>
      </w:pPr>
    </w:p>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1C76CB" w14:paraId="7EF293FA" w14:textId="77777777" w:rsidTr="00FF21BD">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4F42A8C2" w14:textId="4B3E4019" w:rsidR="001C76CB" w:rsidRPr="00822EF9" w:rsidRDefault="001C76CB" w:rsidP="00F90639">
            <w:pPr>
              <w:pStyle w:val="BoxHeading"/>
            </w:pPr>
            <w:r w:rsidRPr="00F90639">
              <w:t>Recommendation 1.</w:t>
            </w:r>
            <w:r w:rsidR="00AA1AF8" w:rsidRPr="00F90639">
              <w:t>4</w:t>
            </w:r>
          </w:p>
          <w:p w14:paraId="4B5109D2" w14:textId="3FC4E5FB" w:rsidR="001C76CB" w:rsidRPr="00511A43" w:rsidRDefault="00FB0EBB" w:rsidP="00F90639">
            <w:pPr>
              <w:pStyle w:val="BoxText"/>
            </w:pPr>
            <w:r w:rsidRPr="00D4755B">
              <w:rPr>
                <w:szCs w:val="24"/>
              </w:rPr>
              <w:t>To p</w:t>
            </w:r>
            <w:r w:rsidRPr="00167D86">
              <w:rPr>
                <w:szCs w:val="24"/>
              </w:rPr>
              <w:t xml:space="preserve">rovide greater clarity and certainty to all participants, </w:t>
            </w:r>
            <w:r w:rsidR="00847279" w:rsidRPr="00167D86">
              <w:rPr>
                <w:szCs w:val="24"/>
              </w:rPr>
              <w:t>the Government</w:t>
            </w:r>
            <w:r w:rsidR="002D0AE6" w:rsidRPr="003C558F">
              <w:rPr>
                <w:szCs w:val="24"/>
              </w:rPr>
              <w:t>,</w:t>
            </w:r>
            <w:r w:rsidR="00847279" w:rsidRPr="002F476E">
              <w:rPr>
                <w:szCs w:val="24"/>
              </w:rPr>
              <w:t xml:space="preserve"> with </w:t>
            </w:r>
            <w:r w:rsidRPr="00E6039E">
              <w:rPr>
                <w:szCs w:val="24"/>
              </w:rPr>
              <w:t>CDR agencies</w:t>
            </w:r>
            <w:r w:rsidR="002D0AE6" w:rsidRPr="00E6039E">
              <w:rPr>
                <w:szCs w:val="24"/>
              </w:rPr>
              <w:t>,</w:t>
            </w:r>
            <w:r w:rsidRPr="00E6039E">
              <w:rPr>
                <w:szCs w:val="24"/>
              </w:rPr>
              <w:t xml:space="preserve"> should provide greater transparency on </w:t>
            </w:r>
            <w:r w:rsidR="002D0AE6" w:rsidRPr="002252C2">
              <w:rPr>
                <w:szCs w:val="24"/>
              </w:rPr>
              <w:t xml:space="preserve">CDR </w:t>
            </w:r>
            <w:r w:rsidRPr="002252C2">
              <w:rPr>
                <w:szCs w:val="24"/>
              </w:rPr>
              <w:t>consultation processes</w:t>
            </w:r>
            <w:r w:rsidR="00847279" w:rsidRPr="002252C2">
              <w:rPr>
                <w:szCs w:val="24"/>
              </w:rPr>
              <w:t xml:space="preserve"> and a</w:t>
            </w:r>
            <w:r w:rsidRPr="009D5D2E">
              <w:rPr>
                <w:szCs w:val="24"/>
              </w:rPr>
              <w:t xml:space="preserve"> timeline that </w:t>
            </w:r>
            <w:r w:rsidR="00F74281" w:rsidRPr="003D0786">
              <w:rPr>
                <w:szCs w:val="24"/>
              </w:rPr>
              <w:t xml:space="preserve">outlines </w:t>
            </w:r>
            <w:r w:rsidR="002D0AE6" w:rsidRPr="003D0786">
              <w:rPr>
                <w:szCs w:val="24"/>
              </w:rPr>
              <w:t xml:space="preserve">expected </w:t>
            </w:r>
            <w:r w:rsidRPr="003D0786">
              <w:rPr>
                <w:szCs w:val="24"/>
              </w:rPr>
              <w:t>future developments.</w:t>
            </w:r>
          </w:p>
        </w:tc>
      </w:tr>
    </w:tbl>
    <w:p w14:paraId="3CBB7E59" w14:textId="362778C7" w:rsidR="00265FE3" w:rsidRPr="00383A01" w:rsidRDefault="00265FE3" w:rsidP="00265FE3">
      <w:pPr>
        <w:pStyle w:val="Heading2"/>
      </w:pPr>
      <w:bookmarkStart w:id="68" w:name="_Toc106286084"/>
      <w:bookmarkStart w:id="69" w:name="_Toc106358394"/>
      <w:bookmarkStart w:id="70" w:name="_Toc110602874"/>
      <w:r w:rsidRPr="00383A01">
        <w:t>1.</w:t>
      </w:r>
      <w:r>
        <w:t>6</w:t>
      </w:r>
      <w:r w:rsidRPr="00383A01">
        <w:t xml:space="preserve"> Direct</w:t>
      </w:r>
      <w:r w:rsidR="001C3C9C">
        <w:t>-</w:t>
      </w:r>
      <w:r w:rsidRPr="00383A01">
        <w:t>to</w:t>
      </w:r>
      <w:r w:rsidR="001C3C9C">
        <w:t>-</w:t>
      </w:r>
      <w:r w:rsidRPr="00383A01">
        <w:t>consumer data</w:t>
      </w:r>
      <w:r w:rsidR="00BE7617">
        <w:t xml:space="preserve"> </w:t>
      </w:r>
      <w:r w:rsidRPr="00383A01">
        <w:t>sharing</w:t>
      </w:r>
      <w:bookmarkEnd w:id="68"/>
      <w:bookmarkEnd w:id="69"/>
      <w:bookmarkEnd w:id="70"/>
    </w:p>
    <w:p w14:paraId="24F4E0BD" w14:textId="63C2CBE8" w:rsidR="00E65C61" w:rsidRDefault="00265FE3" w:rsidP="00F90639">
      <w:pPr>
        <w:ind w:right="227"/>
      </w:pPr>
      <w:r w:rsidRPr="001D66FD">
        <w:t>Direct</w:t>
      </w:r>
      <w:r w:rsidR="001C3C9C">
        <w:t>-</w:t>
      </w:r>
      <w:r w:rsidRPr="001D66FD">
        <w:t>to</w:t>
      </w:r>
      <w:r w:rsidR="001C3C9C">
        <w:t>-</w:t>
      </w:r>
      <w:r w:rsidRPr="001D66FD">
        <w:t>consumer data</w:t>
      </w:r>
      <w:r w:rsidR="00BE7617">
        <w:t xml:space="preserve"> </w:t>
      </w:r>
      <w:r w:rsidRPr="001D66FD">
        <w:t xml:space="preserve">sharing </w:t>
      </w:r>
      <w:r>
        <w:t>is</w:t>
      </w:r>
      <w:r w:rsidRPr="001D66FD">
        <w:t xml:space="preserve"> a key </w:t>
      </w:r>
      <w:r>
        <w:t>part</w:t>
      </w:r>
      <w:r w:rsidRPr="001D66FD">
        <w:t xml:space="preserve"> of </w:t>
      </w:r>
      <w:r>
        <w:t xml:space="preserve">CDR objects </w:t>
      </w:r>
      <w:r w:rsidRPr="001D66FD">
        <w:t>and has totemic significance.</w:t>
      </w:r>
      <w:r>
        <w:t xml:space="preserve"> In the initial formulation of the CDR,</w:t>
      </w:r>
      <w:r w:rsidRPr="00600205">
        <w:rPr>
          <w:rStyle w:val="FootnoteReference"/>
          <w:sz w:val="22"/>
          <w:szCs w:val="22"/>
          <w:vertAlign w:val="superscript"/>
        </w:rPr>
        <w:footnoteReference w:id="11"/>
      </w:r>
      <w:r>
        <w:t xml:space="preserve"> the </w:t>
      </w:r>
      <w:r w:rsidR="00153F67">
        <w:t>scheme</w:t>
      </w:r>
      <w:r>
        <w:t xml:space="preserve"> was conceived not only as a competition policy, but also as a means to provide consumers with access to their own data held by organisations. </w:t>
      </w:r>
      <w:r w:rsidR="005D644B">
        <w:t>T</w:t>
      </w:r>
      <w:r>
        <w:t xml:space="preserve">he CDR </w:t>
      </w:r>
      <w:r w:rsidR="006A27D7">
        <w:t>r</w:t>
      </w:r>
      <w:r>
        <w:t xml:space="preserve">ules do not </w:t>
      </w:r>
      <w:r w:rsidR="005D644B">
        <w:t xml:space="preserve">currently </w:t>
      </w:r>
      <w:r>
        <w:t xml:space="preserve">oblige the sharing of data directly from data holders to consumers, with the </w:t>
      </w:r>
      <w:r w:rsidR="002E7AE5">
        <w:t>obligation</w:t>
      </w:r>
      <w:r>
        <w:t xml:space="preserve"> effectively turned off within the commencement timeline for the banking sector, and not applying in the energy sector. The Review has considered some of the risks and opportunities associated with direct</w:t>
      </w:r>
      <w:r w:rsidR="00BB1D82">
        <w:t>-</w:t>
      </w:r>
      <w:r>
        <w:t>to</w:t>
      </w:r>
      <w:r w:rsidR="00BB1D82">
        <w:t>-</w:t>
      </w:r>
      <w:r>
        <w:t>consumer data</w:t>
      </w:r>
      <w:r w:rsidR="00BE7617">
        <w:t xml:space="preserve"> </w:t>
      </w:r>
      <w:r>
        <w:t>sharing and whether the objectives of the Act remain fit</w:t>
      </w:r>
      <w:r w:rsidR="00525621">
        <w:noBreakHyphen/>
      </w:r>
      <w:r>
        <w:t>for</w:t>
      </w:r>
      <w:r w:rsidR="00FD5FFC">
        <w:t>-</w:t>
      </w:r>
      <w:r>
        <w:t xml:space="preserve">purpose in this regard. </w:t>
      </w:r>
    </w:p>
    <w:p w14:paraId="0F6F6D7F" w14:textId="671FDBB9" w:rsidR="006144C0" w:rsidRPr="00600205" w:rsidRDefault="00E65C61" w:rsidP="005E139B">
      <w:r>
        <w:t xml:space="preserve">Two perspectives emerged through the Review’s consultations. The first is </w:t>
      </w:r>
      <w:r w:rsidR="00B41CCD">
        <w:t xml:space="preserve">best represented </w:t>
      </w:r>
      <w:r>
        <w:t>in s</w:t>
      </w:r>
      <w:r w:rsidR="006144C0" w:rsidRPr="00600205">
        <w:t>ubmissions from the Financial Rights Legal Centre and the Consumer Policy Research Centre</w:t>
      </w:r>
      <w:r w:rsidR="001C3C9C">
        <w:t>, which</w:t>
      </w:r>
      <w:r w:rsidR="006144C0" w:rsidRPr="00600205">
        <w:t xml:space="preserve"> raised concerns that s56AA(a)(i), stipulating consumers can disclose data “to themselves for use as they see fit”, has yet to be fulfilled. </w:t>
      </w:r>
      <w:r w:rsidR="00A972B8">
        <w:t>This perspective assert</w:t>
      </w:r>
      <w:r w:rsidR="00B86870">
        <w:t>s</w:t>
      </w:r>
      <w:r w:rsidR="00A972B8">
        <w:t xml:space="preserve"> that consumer benefit and empowerment </w:t>
      </w:r>
      <w:r w:rsidR="00066C97">
        <w:t>would not be</w:t>
      </w:r>
      <w:r w:rsidR="00A972B8">
        <w:t xml:space="preserve"> realised</w:t>
      </w:r>
      <w:r w:rsidR="00066C97">
        <w:t xml:space="preserve"> in </w:t>
      </w:r>
      <w:r w:rsidR="001C3C9C">
        <w:t xml:space="preserve">the </w:t>
      </w:r>
      <w:r w:rsidR="00066C97">
        <w:t>CDR until consumers can directly access and interrogate their data from data holders, rather than through a third party.</w:t>
      </w:r>
    </w:p>
    <w:p w14:paraId="604CB263" w14:textId="6C364F3D" w:rsidR="00265FE3" w:rsidRPr="001D66FD" w:rsidRDefault="00A972B8" w:rsidP="005E139B">
      <w:r>
        <w:t>The second and more commonly held perspective came from m</w:t>
      </w:r>
      <w:r w:rsidR="00265FE3">
        <w:t>any</w:t>
      </w:r>
      <w:r w:rsidR="00265FE3" w:rsidRPr="001D66FD">
        <w:t xml:space="preserve"> </w:t>
      </w:r>
      <w:r w:rsidR="00265FE3">
        <w:t xml:space="preserve">CDR </w:t>
      </w:r>
      <w:r w:rsidR="00265FE3" w:rsidRPr="001D66FD">
        <w:t xml:space="preserve">participants </w:t>
      </w:r>
      <w:r>
        <w:t>who identified</w:t>
      </w:r>
      <w:r w:rsidR="00265FE3" w:rsidDel="002A398A">
        <w:t xml:space="preserve"> </w:t>
      </w:r>
      <w:r w:rsidR="00265FE3" w:rsidRPr="001D66FD">
        <w:t xml:space="preserve">risks </w:t>
      </w:r>
      <w:r w:rsidR="00265FE3">
        <w:t>of</w:t>
      </w:r>
      <w:r w:rsidR="00265FE3" w:rsidRPr="001D66FD">
        <w:t xml:space="preserve"> direct</w:t>
      </w:r>
      <w:r w:rsidR="001C3C9C">
        <w:t>-</w:t>
      </w:r>
      <w:r w:rsidR="00265FE3" w:rsidRPr="001D66FD">
        <w:t>to</w:t>
      </w:r>
      <w:r w:rsidR="001C3C9C">
        <w:t>-</w:t>
      </w:r>
      <w:r w:rsidR="00265FE3" w:rsidRPr="001D66FD">
        <w:t>consumer data</w:t>
      </w:r>
      <w:r w:rsidR="00BE7617">
        <w:t xml:space="preserve"> </w:t>
      </w:r>
      <w:r w:rsidR="00265FE3" w:rsidRPr="001D66FD">
        <w:t>sharing</w:t>
      </w:r>
      <w:r w:rsidR="00265FE3">
        <w:t xml:space="preserve"> in a machine-readable form</w:t>
      </w:r>
      <w:r w:rsidR="00265FE3" w:rsidRPr="001D66FD">
        <w:t xml:space="preserve">, </w:t>
      </w:r>
      <w:r w:rsidR="00265FE3">
        <w:t xml:space="preserve">citing </w:t>
      </w:r>
      <w:r w:rsidR="00075346">
        <w:t xml:space="preserve">the </w:t>
      </w:r>
      <w:r w:rsidR="00265FE3">
        <w:t>dangers</w:t>
      </w:r>
      <w:r w:rsidR="00265FE3" w:rsidRPr="001D66FD">
        <w:t xml:space="preserve"> </w:t>
      </w:r>
      <w:r w:rsidR="00075346">
        <w:t>of</w:t>
      </w:r>
      <w:r w:rsidR="00075346" w:rsidRPr="001D66FD">
        <w:t xml:space="preserve"> </w:t>
      </w:r>
      <w:r w:rsidR="00265FE3" w:rsidRPr="001D66FD">
        <w:t>frictionless data transfer. Once CDR data leaves the protection of the CDR system</w:t>
      </w:r>
      <w:r w:rsidR="001C3C9C">
        <w:t>,</w:t>
      </w:r>
      <w:r w:rsidR="00265FE3" w:rsidRPr="001D66FD">
        <w:t xml:space="preserve"> the </w:t>
      </w:r>
      <w:r w:rsidR="00265FE3">
        <w:t>data</w:t>
      </w:r>
      <w:r w:rsidR="00265FE3" w:rsidRPr="001D66FD">
        <w:t xml:space="preserve"> </w:t>
      </w:r>
      <w:r w:rsidR="00265FE3">
        <w:t>conceivably</w:t>
      </w:r>
      <w:r w:rsidR="00265FE3" w:rsidRPr="001D66FD">
        <w:t xml:space="preserve"> becomes vulnerable to exploitation or misuse</w:t>
      </w:r>
      <w:r w:rsidR="00265FE3">
        <w:t xml:space="preserve">. Unscrupulous actors may direct a consumer to request their data </w:t>
      </w:r>
      <w:r w:rsidR="00265FE3" w:rsidRPr="00F3484D">
        <w:t>in machine</w:t>
      </w:r>
      <w:r w:rsidR="001C3C9C" w:rsidRPr="00F3484D">
        <w:t>-</w:t>
      </w:r>
      <w:r w:rsidR="00265FE3" w:rsidRPr="00F3484D">
        <w:t xml:space="preserve">readable form to be forwarded, allowing for the circumnavigation of protections within CDR and </w:t>
      </w:r>
      <w:r w:rsidR="00C91757" w:rsidRPr="00F3484D">
        <w:t>for that data to be used</w:t>
      </w:r>
      <w:r w:rsidR="00265FE3" w:rsidRPr="00F3484D">
        <w:t>, share</w:t>
      </w:r>
      <w:r w:rsidR="00C91757" w:rsidRPr="00F3484D">
        <w:t>d,</w:t>
      </w:r>
      <w:r w:rsidR="00265FE3" w:rsidRPr="00F3484D">
        <w:t xml:space="preserve"> and alter</w:t>
      </w:r>
      <w:r w:rsidR="00C91757" w:rsidRPr="00F3484D">
        <w:t>ed</w:t>
      </w:r>
      <w:r w:rsidR="00265FE3" w:rsidRPr="00F3484D">
        <w:t xml:space="preserve"> </w:t>
      </w:r>
      <w:r w:rsidR="00C91757" w:rsidRPr="00F3484D">
        <w:t>in any way without the consumer’s consent</w:t>
      </w:r>
      <w:r w:rsidR="00265FE3" w:rsidRPr="001D66FD">
        <w:t xml:space="preserve">. </w:t>
      </w:r>
      <w:r w:rsidR="00265FE3">
        <w:t>While</w:t>
      </w:r>
      <w:r w:rsidR="00265FE3" w:rsidDel="00093B4B">
        <w:t xml:space="preserve"> </w:t>
      </w:r>
      <w:r w:rsidR="00093B4B">
        <w:t>it</w:t>
      </w:r>
      <w:r w:rsidR="00265FE3">
        <w:t xml:space="preserve"> could bring about a potentially safer </w:t>
      </w:r>
      <w:r w:rsidR="001C3C9C">
        <w:t>alternative to</w:t>
      </w:r>
      <w:r w:rsidR="00265FE3">
        <w:t xml:space="preserve"> screen</w:t>
      </w:r>
      <w:r w:rsidR="001C3C9C">
        <w:t>-</w:t>
      </w:r>
      <w:r w:rsidR="00265FE3">
        <w:t xml:space="preserve">scraping – </w:t>
      </w:r>
      <w:r w:rsidR="00093B4B">
        <w:t xml:space="preserve">by </w:t>
      </w:r>
      <w:r w:rsidR="00265FE3">
        <w:t xml:space="preserve">allowing individuals to request and share their data without giving up password information </w:t>
      </w:r>
      <w:r w:rsidR="0030264B">
        <w:t>to third parties</w:t>
      </w:r>
      <w:r w:rsidR="00265FE3">
        <w:t xml:space="preserve"> – it </w:t>
      </w:r>
      <w:r w:rsidR="001C3C9C">
        <w:t xml:space="preserve">would </w:t>
      </w:r>
      <w:r w:rsidR="00265FE3">
        <w:t xml:space="preserve">also reduce the incentive to become an ADR and invest in creating CDR-powered products. Why would a </w:t>
      </w:r>
      <w:r w:rsidR="00265FE3">
        <w:lastRenderedPageBreak/>
        <w:t>prospective participant go through the process of becoming an ADR when it would be far simpler to build an application to process consumer</w:t>
      </w:r>
      <w:r w:rsidR="001C3C9C">
        <w:t>-</w:t>
      </w:r>
      <w:r w:rsidR="00265FE3">
        <w:t xml:space="preserve">provided data outside CDR protections? </w:t>
      </w:r>
    </w:p>
    <w:p w14:paraId="196E8A2B" w14:textId="45C8659B" w:rsidR="00265FE3" w:rsidRDefault="00265FE3" w:rsidP="00421311">
      <w:r>
        <w:t>Submissions</w:t>
      </w:r>
      <w:r w:rsidDel="002A398A">
        <w:t xml:space="preserve"> </w:t>
      </w:r>
      <w:r>
        <w:t>to the Review largely focused on whether it was appropriate to pursue direct</w:t>
      </w:r>
      <w:r w:rsidR="001C3C9C">
        <w:t>-</w:t>
      </w:r>
      <w:r>
        <w:t>to</w:t>
      </w:r>
      <w:r w:rsidR="001C3C9C">
        <w:t>-</w:t>
      </w:r>
      <w:r>
        <w:t>consumer data</w:t>
      </w:r>
      <w:r w:rsidR="00BE7617">
        <w:t xml:space="preserve"> </w:t>
      </w:r>
      <w:r>
        <w:t xml:space="preserve">sharing at this stage of the CDR rollout and </w:t>
      </w:r>
      <w:r w:rsidR="00237463">
        <w:t>emphasised</w:t>
      </w:r>
      <w:r>
        <w:t xml:space="preserve"> that the existing CDR legislation can already support these data</w:t>
      </w:r>
      <w:r w:rsidR="00BE7617">
        <w:t xml:space="preserve"> </w:t>
      </w:r>
      <w:r>
        <w:t xml:space="preserve">sharing opportunities. Few submissions were able to suggest a </w:t>
      </w:r>
      <w:r w:rsidRPr="001D66FD">
        <w:t>use</w:t>
      </w:r>
      <w:r>
        <w:t xml:space="preserve"> </w:t>
      </w:r>
      <w:r w:rsidRPr="001D66FD">
        <w:t>case for direct</w:t>
      </w:r>
      <w:r w:rsidR="001C3C9C">
        <w:t>-</w:t>
      </w:r>
      <w:r w:rsidRPr="001D66FD">
        <w:t>to</w:t>
      </w:r>
      <w:r w:rsidR="001C3C9C">
        <w:t>-</w:t>
      </w:r>
      <w:r w:rsidRPr="001D66FD">
        <w:t>consumer data</w:t>
      </w:r>
      <w:r>
        <w:t xml:space="preserve"> in a machine-readable form</w:t>
      </w:r>
      <w:r w:rsidRPr="001D66FD">
        <w:t>. CDR data, of itself,</w:t>
      </w:r>
      <w:r w:rsidRPr="001D66FD" w:rsidDel="0070292D">
        <w:t xml:space="preserve"> </w:t>
      </w:r>
      <w:r>
        <w:t>is</w:t>
      </w:r>
      <w:r w:rsidRPr="001D66FD">
        <w:t xml:space="preserve"> unlikely to be useful without the addition of </w:t>
      </w:r>
      <w:r w:rsidR="00237463">
        <w:t>third</w:t>
      </w:r>
      <w:r w:rsidR="0030264B">
        <w:t xml:space="preserve"> </w:t>
      </w:r>
      <w:r w:rsidR="00237463">
        <w:t>party</w:t>
      </w:r>
      <w:r w:rsidRPr="001D66FD">
        <w:t xml:space="preserve"> product</w:t>
      </w:r>
      <w:r>
        <w:t>s</w:t>
      </w:r>
      <w:r w:rsidRPr="001D66FD">
        <w:t xml:space="preserve"> or service</w:t>
      </w:r>
      <w:r>
        <w:t>s</w:t>
      </w:r>
      <w:r w:rsidRPr="001D66FD">
        <w:t xml:space="preserve">. </w:t>
      </w:r>
      <w:r w:rsidR="00EA60F2">
        <w:t>Although there could</w:t>
      </w:r>
      <w:r w:rsidRPr="001D66FD">
        <w:t xml:space="preserve"> be a small </w:t>
      </w:r>
      <w:r>
        <w:t>subset</w:t>
      </w:r>
      <w:r w:rsidRPr="001D66FD">
        <w:t xml:space="preserve"> of </w:t>
      </w:r>
      <w:r>
        <w:t>consumers</w:t>
      </w:r>
      <w:r w:rsidRPr="001D66FD">
        <w:t xml:space="preserve"> with</w:t>
      </w:r>
      <w:r w:rsidR="00EA60F2">
        <w:t xml:space="preserve"> the</w:t>
      </w:r>
      <w:r w:rsidRPr="001D66FD">
        <w:t xml:space="preserve"> technical expertise </w:t>
      </w:r>
      <w:r>
        <w:t>to make</w:t>
      </w:r>
      <w:r w:rsidRPr="001D66FD">
        <w:t xml:space="preserve"> use </w:t>
      </w:r>
      <w:r>
        <w:t xml:space="preserve">of </w:t>
      </w:r>
      <w:r w:rsidRPr="001D66FD">
        <w:t>their own CDR data</w:t>
      </w:r>
      <w:r>
        <w:t xml:space="preserve"> in machine</w:t>
      </w:r>
      <w:r w:rsidR="001C3C9C">
        <w:t>-</w:t>
      </w:r>
      <w:r>
        <w:t>readable form</w:t>
      </w:r>
      <w:r w:rsidRPr="001D66FD">
        <w:t xml:space="preserve">, the vast majority of </w:t>
      </w:r>
      <w:r>
        <w:t>consumers</w:t>
      </w:r>
      <w:r w:rsidRPr="001D66FD">
        <w:t xml:space="preserve"> would </w:t>
      </w:r>
      <w:r w:rsidR="00EA60F2">
        <w:t xml:space="preserve">either </w:t>
      </w:r>
      <w:r w:rsidRPr="001D66FD">
        <w:t>be unable to do so</w:t>
      </w:r>
      <w:r>
        <w:t xml:space="preserve"> and unlikely to have desire to</w:t>
      </w:r>
      <w:r w:rsidR="00EA60F2">
        <w:t xml:space="preserve"> do so</w:t>
      </w:r>
      <w:r w:rsidRPr="001D66FD">
        <w:t xml:space="preserve">. </w:t>
      </w:r>
    </w:p>
    <w:p w14:paraId="7A120C5F" w14:textId="590E90EC" w:rsidR="00265FE3" w:rsidRDefault="00265FE3" w:rsidP="00F90639">
      <w:pPr>
        <w:pStyle w:val="Quote"/>
        <w:ind w:left="1020" w:right="1020"/>
      </w:pPr>
      <w:r w:rsidRPr="005E139B">
        <w:t>“</w:t>
      </w:r>
      <w:r w:rsidR="00525621">
        <w:t>T</w:t>
      </w:r>
      <w:r w:rsidRPr="005E139B">
        <w:t>he key issue with direct to consumer data access is not whether the framework should, and could safely, facilitate this kind of access but rather the timing and extent to which this should occur across designated sectors given the current barriers to entry that exist for participation as an ADR… We consider that these issues need to be addressed before direct to consumer access is contemplated, otherwise this will exacerbate the issues with participation in CDR by incentivising businesses to obtain indirect access to machine-readable data via consumers to avoid CDR obligations.”</w:t>
      </w:r>
      <w:r>
        <w:t xml:space="preserve"> </w:t>
      </w:r>
      <w:r w:rsidRPr="00F3484D">
        <w:rPr>
          <w:b/>
        </w:rPr>
        <w:t>– TrueLayer</w:t>
      </w:r>
    </w:p>
    <w:p w14:paraId="2171987E" w14:textId="15AC14C7" w:rsidR="00265FE3" w:rsidRDefault="00265FE3" w:rsidP="00F90639">
      <w:pPr>
        <w:pStyle w:val="Quote"/>
      </w:pPr>
      <w:r w:rsidRPr="00383A01">
        <w:t>“In our view, imposing [direct to consumer data sharing] obligations is not yet timely</w:t>
      </w:r>
      <w:r w:rsidR="00795AF2">
        <w:t>…</w:t>
      </w:r>
      <w:r w:rsidRPr="00383A01">
        <w:t xml:space="preserve"> given the complexity of the CDR ecosystem and the importance of ensuring data is handled safely and securely, it is essential to first establish that the current system is functioning as intended. The roll out of CDR needs to be a step-by-step secure process.”</w:t>
      </w:r>
      <w:r>
        <w:t xml:space="preserve"> </w:t>
      </w:r>
      <w:r w:rsidRPr="00F3484D">
        <w:rPr>
          <w:b/>
        </w:rPr>
        <w:t>– Scientia Professor Ross P Buckley &amp; Dr. Natalia Jevglevskaja, University of New South Wales</w:t>
      </w:r>
    </w:p>
    <w:p w14:paraId="2E7A51E3" w14:textId="41634429" w:rsidR="00265FE3" w:rsidRDefault="00EA60F2" w:rsidP="0025128E">
      <w:r>
        <w:t>It is</w:t>
      </w:r>
      <w:r w:rsidR="00265FE3">
        <w:t xml:space="preserve"> easy to see</w:t>
      </w:r>
      <w:r>
        <w:t xml:space="preserve"> </w:t>
      </w:r>
      <w:r w:rsidR="00265FE3">
        <w:t>how direct access to consumer data</w:t>
      </w:r>
      <w:r w:rsidR="00265FE3" w:rsidRPr="001D66FD">
        <w:t xml:space="preserve"> could</w:t>
      </w:r>
      <w:r w:rsidR="00265FE3">
        <w:t xml:space="preserve"> result in</w:t>
      </w:r>
      <w:r w:rsidR="00265FE3" w:rsidRPr="001D66FD">
        <w:t xml:space="preserve"> consumer harm. </w:t>
      </w:r>
      <w:r w:rsidR="00265FE3">
        <w:t>Under current settings, it</w:t>
      </w:r>
      <w:r>
        <w:t xml:space="preserve"> i</w:t>
      </w:r>
      <w:r w:rsidR="00265FE3">
        <w:t>s not clear</w:t>
      </w:r>
      <w:r w:rsidR="00265FE3" w:rsidRPr="001D66FD">
        <w:t xml:space="preserve"> how the CDR could be altered to </w:t>
      </w:r>
      <w:r w:rsidR="00265FE3">
        <w:t>restrain</w:t>
      </w:r>
      <w:r w:rsidR="00265FE3" w:rsidRPr="001D66FD">
        <w:t xml:space="preserve"> data</w:t>
      </w:r>
      <w:r>
        <w:t>-</w:t>
      </w:r>
      <w:r w:rsidR="00265FE3">
        <w:t>disclosed</w:t>
      </w:r>
      <w:r w:rsidR="00265FE3" w:rsidRPr="001D66FD">
        <w:t xml:space="preserve"> consumers without fundamentally undermining consumer</w:t>
      </w:r>
      <w:r>
        <w:t>s’</w:t>
      </w:r>
      <w:r w:rsidR="00265FE3" w:rsidRPr="001D66FD">
        <w:t xml:space="preserve"> freedom to hold and use their own data. Further expansion of direct</w:t>
      </w:r>
      <w:r w:rsidR="00265FE3">
        <w:t>-</w:t>
      </w:r>
      <w:r w:rsidR="00265FE3" w:rsidRPr="001D66FD">
        <w:t>to</w:t>
      </w:r>
      <w:r w:rsidR="00265FE3">
        <w:t>-</w:t>
      </w:r>
      <w:r w:rsidR="00265FE3" w:rsidRPr="00F3484D">
        <w:t>consumer data</w:t>
      </w:r>
      <w:r w:rsidR="00BE7617" w:rsidRPr="00F3484D">
        <w:t xml:space="preserve"> </w:t>
      </w:r>
      <w:r w:rsidR="00265FE3" w:rsidRPr="00F3484D">
        <w:t>sharing must be underpinned by a comprehensive liability framework</w:t>
      </w:r>
      <w:r w:rsidRPr="00F3484D">
        <w:t xml:space="preserve">, which </w:t>
      </w:r>
      <w:r w:rsidR="00265FE3" w:rsidRPr="00F3484D">
        <w:t>does not currently exist</w:t>
      </w:r>
      <w:r w:rsidR="00C91757" w:rsidRPr="00F3484D">
        <w:t xml:space="preserve"> and would likely be administratively complex</w:t>
      </w:r>
      <w:r w:rsidR="00265FE3" w:rsidRPr="00F3484D">
        <w:t>.</w:t>
      </w:r>
      <w:r w:rsidR="00265FE3">
        <w:t xml:space="preserve"> </w:t>
      </w:r>
      <w:r w:rsidR="00D156B6" w:rsidRPr="005C4C5C">
        <w:t>In any scenario considering disclosures to unaccredited parties, CDR settings should ensure that consumer risks are reduced by either limiting the eligible recipients or requiring that the data disclosed meet a specific, limited purpose – as is the case with trusted advisors</w:t>
      </w:r>
      <w:r w:rsidR="00FB5682" w:rsidRPr="005C4C5C">
        <w:t xml:space="preserve"> (</w:t>
      </w:r>
      <w:r w:rsidR="00FB5682" w:rsidRPr="00421311">
        <w:t>see also section 3.</w:t>
      </w:r>
      <w:r w:rsidR="00F364F3" w:rsidRPr="00421311">
        <w:t>2</w:t>
      </w:r>
      <w:r w:rsidR="00FB5682" w:rsidRPr="00421311">
        <w:t>)</w:t>
      </w:r>
      <w:r w:rsidR="00D156B6" w:rsidRPr="00421311">
        <w:t xml:space="preserve">. </w:t>
      </w:r>
    </w:p>
    <w:p w14:paraId="7CDCAF42" w14:textId="77777777" w:rsidR="00AA5CC1" w:rsidRDefault="00AA5CC1">
      <w:pPr>
        <w:spacing w:before="0" w:after="160" w:line="259" w:lineRule="auto"/>
      </w:pPr>
      <w:r>
        <w:br w:type="page"/>
      </w:r>
    </w:p>
    <w:p w14:paraId="25BD866B" w14:textId="6D5BFE04" w:rsidR="00DC6732" w:rsidRDefault="00122B88" w:rsidP="00254E99">
      <w:r>
        <w:lastRenderedPageBreak/>
        <w:t xml:space="preserve">A number of </w:t>
      </w:r>
      <w:r w:rsidR="00265FE3">
        <w:t>submissions also noted that</w:t>
      </w:r>
      <w:r w:rsidR="00EA60F2">
        <w:t>,</w:t>
      </w:r>
      <w:r w:rsidR="00265FE3">
        <w:t xml:space="preserve"> outside </w:t>
      </w:r>
      <w:r w:rsidR="000333EB">
        <w:t xml:space="preserve">the </w:t>
      </w:r>
      <w:r w:rsidR="00265FE3">
        <w:t>CDR, consumers are increasingly offered personal data from data holders in banking, energy</w:t>
      </w:r>
      <w:r w:rsidR="00EA60F2">
        <w:t xml:space="preserve">, </w:t>
      </w:r>
      <w:r w:rsidR="00265FE3">
        <w:t xml:space="preserve">telecommunications sectors and other </w:t>
      </w:r>
      <w:r w:rsidR="000333EB">
        <w:t>non-</w:t>
      </w:r>
      <w:r w:rsidR="00265FE3">
        <w:t xml:space="preserve">CDR </w:t>
      </w:r>
      <w:r w:rsidR="000333EB">
        <w:t>spheres like</w:t>
      </w:r>
      <w:r w:rsidR="00265FE3">
        <w:t xml:space="preserve"> social media.</w:t>
      </w:r>
      <w:r w:rsidRPr="00600205">
        <w:rPr>
          <w:rStyle w:val="FootnoteReference"/>
          <w:sz w:val="22"/>
          <w:szCs w:val="24"/>
          <w:vertAlign w:val="superscript"/>
        </w:rPr>
        <w:footnoteReference w:id="12"/>
      </w:r>
      <w:r w:rsidR="00265FE3">
        <w:t xml:space="preserve"> </w:t>
      </w:r>
      <w:r w:rsidR="00EA60F2">
        <w:t>O</w:t>
      </w:r>
      <w:r w:rsidR="00265FE3">
        <w:t>pportunities</w:t>
      </w:r>
      <w:r w:rsidR="00EA60F2">
        <w:t>, however,</w:t>
      </w:r>
      <w:r w:rsidR="00265FE3">
        <w:t xml:space="preserve"> vary between sectors</w:t>
      </w:r>
      <w:r w:rsidR="000333EB">
        <w:t>.</w:t>
      </w:r>
      <w:r w:rsidR="00265FE3">
        <w:t xml:space="preserve"> </w:t>
      </w:r>
      <w:r w:rsidR="000333EB" w:rsidRPr="00A15B13">
        <w:t>F</w:t>
      </w:r>
      <w:r w:rsidR="00265FE3" w:rsidRPr="00A15B13">
        <w:t>or instance</w:t>
      </w:r>
      <w:r w:rsidR="000333EB" w:rsidRPr="00A15B13">
        <w:t>,</w:t>
      </w:r>
      <w:r w:rsidR="00265FE3" w:rsidRPr="00A15B13">
        <w:t xml:space="preserve"> </w:t>
      </w:r>
      <w:r w:rsidR="00254E99" w:rsidRPr="00A15B13">
        <w:t>as noted in Origin Energy’s submission</w:t>
      </w:r>
      <w:r w:rsidR="00254E99" w:rsidRPr="00F3484D">
        <w:t>,</w:t>
      </w:r>
      <w:r w:rsidR="00254E99" w:rsidRPr="00A15B13">
        <w:t xml:space="preserve"> customers </w:t>
      </w:r>
      <w:r w:rsidR="00254E99" w:rsidRPr="00F3484D">
        <w:t xml:space="preserve">with smart meters </w:t>
      </w:r>
      <w:r w:rsidR="00B46FE8">
        <w:t>can</w:t>
      </w:r>
      <w:r w:rsidR="00254E99" w:rsidRPr="00A15B13">
        <w:t xml:space="preserve"> log into </w:t>
      </w:r>
      <w:r w:rsidR="00254E99" w:rsidRPr="00F3484D">
        <w:t>their energy companies</w:t>
      </w:r>
      <w:r w:rsidR="00B46FE8">
        <w:t>’</w:t>
      </w:r>
      <w:r w:rsidR="00254E99" w:rsidRPr="00F3484D">
        <w:t xml:space="preserve"> </w:t>
      </w:r>
      <w:r w:rsidR="00254E99" w:rsidRPr="00A15B13">
        <w:t xml:space="preserve">web portals to obtain energy consumption data and in-home energy displays can be installed </w:t>
      </w:r>
      <w:r w:rsidR="00254E99" w:rsidRPr="00F3484D">
        <w:t xml:space="preserve">allowing for the real-time viewing of </w:t>
      </w:r>
      <w:r w:rsidR="00254E99" w:rsidRPr="00A15B13">
        <w:t>usage</w:t>
      </w:r>
      <w:r w:rsidR="00254E99" w:rsidRPr="00F3484D">
        <w:t xml:space="preserve">, or alternatively </w:t>
      </w:r>
      <w:r w:rsidR="00207A86">
        <w:t xml:space="preserve">they </w:t>
      </w:r>
      <w:r w:rsidR="00254E99" w:rsidRPr="00F3484D">
        <w:t xml:space="preserve">can </w:t>
      </w:r>
      <w:r w:rsidR="00254E99" w:rsidRPr="00A15B13">
        <w:t>directly request information from energy companies</w:t>
      </w:r>
      <w:r w:rsidR="00D4469B">
        <w:t xml:space="preserve">. </w:t>
      </w:r>
      <w:r w:rsidR="00265FE3">
        <w:t xml:space="preserve">These provide some avenues for consumers beyond what can be offered under the CDR, at least in the short to medium term. In the longer term, as recommended in the recent </w:t>
      </w:r>
      <w:r w:rsidR="00265FE3" w:rsidRPr="00600205">
        <w:t>Strategic Assessment</w:t>
      </w:r>
      <w:r w:rsidR="00265FE3">
        <w:rPr>
          <w:i/>
          <w:iCs/>
        </w:rPr>
        <w:t xml:space="preserve"> </w:t>
      </w:r>
      <w:r w:rsidR="00265FE3">
        <w:t xml:space="preserve">of the CDR, it is worth considering how these existing data sharing opportunities could be integrated with the CDR to offer consumers access to relevant data in a potentially more standardised form than currently </w:t>
      </w:r>
      <w:r w:rsidR="00DC6732">
        <w:t>available.</w:t>
      </w:r>
    </w:p>
    <w:p w14:paraId="58CE1EF3" w14:textId="714C639C" w:rsidR="00066C97" w:rsidRDefault="00066C97">
      <w:r>
        <w:t>The Review acknowledges both main perspectives on the treatment of direct</w:t>
      </w:r>
      <w:r w:rsidR="000333EB">
        <w:t>-</w:t>
      </w:r>
      <w:r>
        <w:t>to</w:t>
      </w:r>
      <w:r w:rsidR="000333EB">
        <w:t>-</w:t>
      </w:r>
      <w:r>
        <w:t xml:space="preserve">consumer data access. </w:t>
      </w:r>
      <w:r w:rsidR="00B41CCD">
        <w:t xml:space="preserve">It </w:t>
      </w:r>
      <w:r>
        <w:t>also</w:t>
      </w:r>
      <w:r w:rsidR="00B41CCD">
        <w:t xml:space="preserve"> recognises</w:t>
      </w:r>
      <w:r>
        <w:t xml:space="preserve"> the </w:t>
      </w:r>
      <w:r w:rsidR="00EB6204">
        <w:t>potential</w:t>
      </w:r>
      <w:r>
        <w:t xml:space="preserve"> self-interest inherent in the cohort of data holders and recipients </w:t>
      </w:r>
      <w:r w:rsidR="00EA071A">
        <w:t>advocating</w:t>
      </w:r>
      <w:r>
        <w:t xml:space="preserve"> </w:t>
      </w:r>
      <w:r w:rsidR="005D644B">
        <w:t xml:space="preserve">for </w:t>
      </w:r>
      <w:r>
        <w:t>restricting direct</w:t>
      </w:r>
      <w:r w:rsidR="000333EB">
        <w:t>-</w:t>
      </w:r>
      <w:r>
        <w:t>to</w:t>
      </w:r>
      <w:r w:rsidR="000333EB">
        <w:t>-</w:t>
      </w:r>
      <w:r>
        <w:t>consumer data access</w:t>
      </w:r>
      <w:r w:rsidR="00B41CCD">
        <w:t>.</w:t>
      </w:r>
      <w:r w:rsidR="005D644B">
        <w:t xml:space="preserve"> W</w:t>
      </w:r>
      <w:r w:rsidR="00EB6204">
        <w:t>hile</w:t>
      </w:r>
      <w:r w:rsidR="00B41CCD">
        <w:t xml:space="preserve"> different</w:t>
      </w:r>
      <w:r w:rsidR="000333EB">
        <w:t xml:space="preserve"> consumer</w:t>
      </w:r>
      <w:r w:rsidR="00B41CCD">
        <w:t xml:space="preserve"> cohorts </w:t>
      </w:r>
      <w:r w:rsidR="000333EB">
        <w:t>will have</w:t>
      </w:r>
      <w:r w:rsidR="00B41CCD">
        <w:t xml:space="preserve"> different risk profiles, at the time of th</w:t>
      </w:r>
      <w:r w:rsidR="005D644B">
        <w:t>is</w:t>
      </w:r>
      <w:r w:rsidR="00B41CCD">
        <w:t xml:space="preserve"> Review</w:t>
      </w:r>
      <w:r w:rsidR="000333EB">
        <w:t>,</w:t>
      </w:r>
      <w:r w:rsidR="00B41CCD">
        <w:t xml:space="preserve"> data literacy across the broad community is still relatively </w:t>
      </w:r>
      <w:r w:rsidR="005D644B">
        <w:t>low</w:t>
      </w:r>
      <w:r w:rsidR="000333EB">
        <w:t>,</w:t>
      </w:r>
      <w:r w:rsidR="00B41CCD">
        <w:t xml:space="preserve"> lending </w:t>
      </w:r>
      <w:r w:rsidR="00CD50A9">
        <w:t>weight</w:t>
      </w:r>
      <w:r w:rsidR="00B41CCD">
        <w:t xml:space="preserve"> to warnings of </w:t>
      </w:r>
      <w:r w:rsidR="00CD50A9">
        <w:t xml:space="preserve">adverse </w:t>
      </w:r>
      <w:r w:rsidR="00B41CCD">
        <w:t xml:space="preserve">outcomes for consumers </w:t>
      </w:r>
      <w:r w:rsidR="005D644B">
        <w:t>if</w:t>
      </w:r>
      <w:r w:rsidR="00B41CCD">
        <w:t xml:space="preserve"> direct</w:t>
      </w:r>
      <w:r w:rsidR="000333EB">
        <w:t>-</w:t>
      </w:r>
      <w:r w:rsidR="00B41CCD">
        <w:t>to</w:t>
      </w:r>
      <w:r w:rsidR="000333EB">
        <w:t>-</w:t>
      </w:r>
      <w:r w:rsidR="00B41CCD">
        <w:t>consumer data</w:t>
      </w:r>
      <w:r w:rsidR="00BE7617">
        <w:t xml:space="preserve"> </w:t>
      </w:r>
      <w:r w:rsidR="00B41CCD" w:rsidRPr="00F3484D">
        <w:t>sharing</w:t>
      </w:r>
      <w:r w:rsidR="005D644B" w:rsidRPr="00F3484D">
        <w:t xml:space="preserve"> </w:t>
      </w:r>
      <w:r w:rsidR="00C91757" w:rsidRPr="00F3484D">
        <w:t xml:space="preserve">is enabled </w:t>
      </w:r>
      <w:r w:rsidR="005D644B" w:rsidRPr="00F3484D">
        <w:t>too</w:t>
      </w:r>
      <w:r w:rsidR="005D644B">
        <w:t xml:space="preserve"> early</w:t>
      </w:r>
      <w:r w:rsidR="00B41CCD">
        <w:t>.</w:t>
      </w:r>
      <w:r>
        <w:t xml:space="preserve"> </w:t>
      </w:r>
    </w:p>
    <w:p w14:paraId="07B27176" w14:textId="782EDD57" w:rsidR="007B24FD" w:rsidRDefault="00DC6732" w:rsidP="00600205">
      <w:r>
        <w:t>The</w:t>
      </w:r>
      <w:r w:rsidR="00265FE3" w:rsidDel="007B24FD">
        <w:t xml:space="preserve"> statutory settings </w:t>
      </w:r>
      <w:r>
        <w:t>themselves are</w:t>
      </w:r>
      <w:r w:rsidR="00265FE3" w:rsidDel="007B24FD">
        <w:t xml:space="preserve"> fit</w:t>
      </w:r>
      <w:r w:rsidR="00F050FD">
        <w:t>-</w:t>
      </w:r>
      <w:r w:rsidR="00265FE3">
        <w:t>for</w:t>
      </w:r>
      <w:r w:rsidR="00F050FD">
        <w:t>-</w:t>
      </w:r>
      <w:r w:rsidR="00265FE3" w:rsidRPr="00DC6732">
        <w:t>purpose</w:t>
      </w:r>
      <w:r w:rsidR="00265FE3">
        <w:t xml:space="preserve"> in facilitating direct</w:t>
      </w:r>
      <w:r w:rsidR="000333EB">
        <w:t>-</w:t>
      </w:r>
      <w:r w:rsidR="00265FE3">
        <w:t>to</w:t>
      </w:r>
      <w:r w:rsidR="000333EB">
        <w:t>-</w:t>
      </w:r>
      <w:r w:rsidR="00265FE3">
        <w:t>consumer data transfers</w:t>
      </w:r>
      <w:r w:rsidR="000333EB">
        <w:t>, and t</w:t>
      </w:r>
      <w:r w:rsidR="00265FE3">
        <w:t>here is a built-in capacity to enable direct</w:t>
      </w:r>
      <w:r w:rsidR="000333EB">
        <w:t>-</w:t>
      </w:r>
      <w:r w:rsidR="00265FE3">
        <w:t>to</w:t>
      </w:r>
      <w:r w:rsidR="000333EB">
        <w:t>-</w:t>
      </w:r>
      <w:r w:rsidR="00265FE3">
        <w:t>consumer functionality through the rules. The current priority should be to continue building maturity in the system</w:t>
      </w:r>
      <w:r w:rsidR="000333EB">
        <w:t xml:space="preserve">, which </w:t>
      </w:r>
      <w:r w:rsidR="00265FE3">
        <w:t>may lead to a change in the risks associated with direct</w:t>
      </w:r>
      <w:r w:rsidR="000333EB">
        <w:t>-</w:t>
      </w:r>
      <w:r w:rsidR="00265FE3">
        <w:t>to</w:t>
      </w:r>
      <w:r w:rsidR="000333EB">
        <w:t>-</w:t>
      </w:r>
      <w:r w:rsidR="00265FE3">
        <w:t>consumer data disclosures. For example, as the system matures</w:t>
      </w:r>
      <w:r w:rsidR="000333EB">
        <w:t>,</w:t>
      </w:r>
      <w:r w:rsidR="00265FE3">
        <w:t xml:space="preserve"> the incentives for participating outside the CDR may diminish. A more mature system may also build stronger consumer representation</w:t>
      </w:r>
      <w:r w:rsidR="000333EB">
        <w:t xml:space="preserve"> and </w:t>
      </w:r>
      <w:r w:rsidR="00265FE3">
        <w:t>greater data literacy</w:t>
      </w:r>
      <w:r w:rsidR="000333EB">
        <w:t>,</w:t>
      </w:r>
      <w:r w:rsidR="00265FE3">
        <w:t xml:space="preserve"> which</w:t>
      </w:r>
      <w:r w:rsidR="000333EB">
        <w:t>,</w:t>
      </w:r>
      <w:r w:rsidR="00265FE3">
        <w:t xml:space="preserve"> together</w:t>
      </w:r>
      <w:r w:rsidR="000333EB">
        <w:t>,</w:t>
      </w:r>
      <w:r w:rsidR="00265FE3">
        <w:t xml:space="preserve"> may decrease the risk of consumer harm. </w:t>
      </w:r>
      <w:r w:rsidR="007B24FD">
        <w:t xml:space="preserve">Given these risks </w:t>
      </w:r>
      <w:r w:rsidR="00CD50A9">
        <w:t xml:space="preserve">will </w:t>
      </w:r>
      <w:r w:rsidR="007B24FD">
        <w:t xml:space="preserve">change </w:t>
      </w:r>
      <w:r w:rsidR="00CD50A9">
        <w:t>as the CDR matures</w:t>
      </w:r>
      <w:r w:rsidR="000333EB">
        <w:t>,</w:t>
      </w:r>
      <w:r w:rsidR="007B24FD">
        <w:t xml:space="preserve"> direct</w:t>
      </w:r>
      <w:r w:rsidR="000333EB">
        <w:t>-</w:t>
      </w:r>
      <w:r w:rsidR="007B24FD">
        <w:t>to</w:t>
      </w:r>
      <w:r w:rsidR="000333EB">
        <w:t>-</w:t>
      </w:r>
      <w:r w:rsidR="007B24FD">
        <w:t>consumer data</w:t>
      </w:r>
      <w:r w:rsidR="00BE7617">
        <w:t xml:space="preserve"> </w:t>
      </w:r>
      <w:r w:rsidR="007B24FD">
        <w:t xml:space="preserve">sharing </w:t>
      </w:r>
      <w:r w:rsidR="00CD50A9">
        <w:t xml:space="preserve">is likely to </w:t>
      </w:r>
      <w:r w:rsidR="007B24FD">
        <w:t xml:space="preserve">become a </w:t>
      </w:r>
      <w:r w:rsidR="00CD50A9">
        <w:t xml:space="preserve">valuable </w:t>
      </w:r>
      <w:r w:rsidR="007B24FD">
        <w:t>feature of the CDR</w:t>
      </w:r>
      <w:r w:rsidR="00CD50A9">
        <w:t xml:space="preserve"> in the future</w:t>
      </w:r>
      <w:r w:rsidR="000333EB">
        <w:t>. U</w:t>
      </w:r>
      <w:r w:rsidR="007B24FD">
        <w:t xml:space="preserve">ntil </w:t>
      </w:r>
      <w:r w:rsidR="000333EB">
        <w:t>that</w:t>
      </w:r>
      <w:r w:rsidR="007B24FD">
        <w:t xml:space="preserve"> point</w:t>
      </w:r>
      <w:r w:rsidR="000333EB">
        <w:t>,</w:t>
      </w:r>
      <w:r w:rsidR="007B24FD">
        <w:t xml:space="preserve"> it is in the interest of consumers that this function remain disabled. </w:t>
      </w:r>
    </w:p>
    <w:p w14:paraId="49DE3CE3" w14:textId="77777777" w:rsidR="007B24FD" w:rsidRDefault="007B24FD" w:rsidP="00265FE3"/>
    <w:tbl>
      <w:tblPr>
        <w:tblpPr w:leftFromText="180" w:rightFromText="180" w:vertAnchor="text" w:horzAnchor="margin" w:tblpY="-14"/>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7B24FD" w14:paraId="7E4C1519" w14:textId="77777777" w:rsidTr="007B24FD">
        <w:tc>
          <w:tcPr>
            <w:tcW w:w="5000" w:type="pct"/>
            <w:shd w:val="clear" w:color="auto" w:fill="F2F9FC"/>
            <w:hideMark/>
          </w:tcPr>
          <w:p w14:paraId="146A3814" w14:textId="7081D4E5" w:rsidR="007B24FD" w:rsidRPr="00CE4B29" w:rsidRDefault="007B24FD" w:rsidP="00F90639">
            <w:pPr>
              <w:pStyle w:val="BoxHeading"/>
            </w:pPr>
            <w:r w:rsidRPr="00CE4B29">
              <w:t>Finding 1.</w:t>
            </w:r>
            <w:r w:rsidR="008C0830" w:rsidRPr="00CE4B29">
              <w:t>3</w:t>
            </w:r>
          </w:p>
          <w:p w14:paraId="49F605DF" w14:textId="5A6696F6" w:rsidR="007B24FD" w:rsidRDefault="007B24FD" w:rsidP="00F90639">
            <w:pPr>
              <w:pStyle w:val="BoxText"/>
              <w:ind w:right="57"/>
            </w:pPr>
            <w:r w:rsidRPr="00CE4B29">
              <w:rPr>
                <w:color w:val="2C384A" w:themeColor="accent1"/>
              </w:rPr>
              <w:t>Submissions recognised the risks associated with enabling direct</w:t>
            </w:r>
            <w:r w:rsidR="000333EB" w:rsidRPr="00CE4B29">
              <w:rPr>
                <w:color w:val="2C384A" w:themeColor="accent1"/>
              </w:rPr>
              <w:t>-</w:t>
            </w:r>
            <w:r w:rsidRPr="00CE4B29">
              <w:rPr>
                <w:color w:val="2C384A" w:themeColor="accent1"/>
              </w:rPr>
              <w:t>to</w:t>
            </w:r>
            <w:r w:rsidR="000333EB" w:rsidRPr="00CE4B29">
              <w:rPr>
                <w:color w:val="2C384A" w:themeColor="accent1"/>
              </w:rPr>
              <w:t>-</w:t>
            </w:r>
            <w:r w:rsidRPr="00CE4B29">
              <w:rPr>
                <w:color w:val="2C384A" w:themeColor="accent1"/>
              </w:rPr>
              <w:t>consumer data</w:t>
            </w:r>
            <w:r w:rsidR="00BE7617" w:rsidRPr="00CE4B29">
              <w:rPr>
                <w:color w:val="2C384A" w:themeColor="accent1"/>
              </w:rPr>
              <w:t xml:space="preserve"> </w:t>
            </w:r>
            <w:r w:rsidRPr="00CE4B29">
              <w:rPr>
                <w:color w:val="2C384A" w:themeColor="accent1"/>
              </w:rPr>
              <w:t>sharing under the CDR</w:t>
            </w:r>
            <w:r w:rsidR="00795AF2" w:rsidRPr="00CE4B29">
              <w:rPr>
                <w:color w:val="2C384A" w:themeColor="accent1"/>
              </w:rPr>
              <w:t>, particularly at this point in time</w:t>
            </w:r>
            <w:r w:rsidRPr="00CE4B29">
              <w:rPr>
                <w:color w:val="2C384A" w:themeColor="accent1"/>
              </w:rPr>
              <w:t>. While many submissions support</w:t>
            </w:r>
            <w:r w:rsidR="000333EB" w:rsidRPr="00CE4B29">
              <w:rPr>
                <w:color w:val="2C384A" w:themeColor="accent1"/>
              </w:rPr>
              <w:t xml:space="preserve">ed </w:t>
            </w:r>
            <w:r w:rsidRPr="00CE4B29">
              <w:rPr>
                <w:color w:val="2C384A" w:themeColor="accent1"/>
              </w:rPr>
              <w:t xml:space="preserve">this form of sharing in principle, few were able to offer examples </w:t>
            </w:r>
            <w:r w:rsidR="00DC4E0C" w:rsidRPr="00CE4B29">
              <w:rPr>
                <w:color w:val="2C384A" w:themeColor="accent1"/>
              </w:rPr>
              <w:t>of</w:t>
            </w:r>
            <w:r w:rsidRPr="00CE4B29">
              <w:rPr>
                <w:color w:val="2C384A" w:themeColor="accent1"/>
              </w:rPr>
              <w:t xml:space="preserve"> tangible consumer benefits that could justify enabling sharing in the presence of these risks. The</w:t>
            </w:r>
            <w:r w:rsidR="00237463" w:rsidRPr="00CE4B29">
              <w:rPr>
                <w:color w:val="2C384A" w:themeColor="accent1"/>
              </w:rPr>
              <w:t xml:space="preserve"> Review finds that</w:t>
            </w:r>
            <w:r w:rsidRPr="00CE4B29">
              <w:rPr>
                <w:color w:val="2C384A" w:themeColor="accent1"/>
              </w:rPr>
              <w:t xml:space="preserve"> </w:t>
            </w:r>
            <w:r w:rsidR="000333EB" w:rsidRPr="00CE4B29">
              <w:rPr>
                <w:color w:val="2C384A" w:themeColor="accent1"/>
              </w:rPr>
              <w:t xml:space="preserve">the </w:t>
            </w:r>
            <w:r w:rsidRPr="00CE4B29">
              <w:rPr>
                <w:color w:val="2C384A" w:themeColor="accent1"/>
              </w:rPr>
              <w:t>statutory</w:t>
            </w:r>
            <w:r w:rsidR="00DF675A" w:rsidRPr="00CE4B29">
              <w:rPr>
                <w:color w:val="2C384A" w:themeColor="accent1"/>
              </w:rPr>
              <w:t xml:space="preserve"> framework may require further consideration in the future if direct-to-consumer data sharing is to be enabled, particularly in relation to liability for loss</w:t>
            </w:r>
            <w:r w:rsidRPr="00CE4B29">
              <w:rPr>
                <w:color w:val="2C384A" w:themeColor="accent1"/>
              </w:rPr>
              <w:t>. As the CDR matures, the risks associated with direct</w:t>
            </w:r>
            <w:r w:rsidR="000333EB" w:rsidRPr="00CE4B29">
              <w:rPr>
                <w:color w:val="2C384A" w:themeColor="accent1"/>
              </w:rPr>
              <w:t>-</w:t>
            </w:r>
            <w:r w:rsidRPr="00CE4B29">
              <w:rPr>
                <w:color w:val="2C384A" w:themeColor="accent1"/>
              </w:rPr>
              <w:t>to</w:t>
            </w:r>
            <w:r w:rsidR="000333EB" w:rsidRPr="00CE4B29">
              <w:rPr>
                <w:color w:val="2C384A" w:themeColor="accent1"/>
              </w:rPr>
              <w:t>-</w:t>
            </w:r>
            <w:r w:rsidRPr="00CE4B29">
              <w:rPr>
                <w:color w:val="2C384A" w:themeColor="accent1"/>
              </w:rPr>
              <w:t>consumer data</w:t>
            </w:r>
            <w:r w:rsidR="00BE7617" w:rsidRPr="00CE4B29">
              <w:rPr>
                <w:color w:val="2C384A" w:themeColor="accent1"/>
              </w:rPr>
              <w:t xml:space="preserve"> </w:t>
            </w:r>
            <w:r w:rsidRPr="00CE4B29">
              <w:rPr>
                <w:color w:val="2C384A" w:themeColor="accent1"/>
              </w:rPr>
              <w:t>sharing may decrease</w:t>
            </w:r>
            <w:r w:rsidR="000333EB" w:rsidRPr="00CE4B29">
              <w:rPr>
                <w:color w:val="2C384A" w:themeColor="accent1"/>
              </w:rPr>
              <w:t>,</w:t>
            </w:r>
            <w:r w:rsidRPr="00CE4B29">
              <w:rPr>
                <w:color w:val="2C384A" w:themeColor="accent1"/>
              </w:rPr>
              <w:t xml:space="preserve"> at which point enabling data transfers should be reconsidered. </w:t>
            </w:r>
          </w:p>
        </w:tc>
      </w:tr>
    </w:tbl>
    <w:p w14:paraId="26F92B27" w14:textId="77777777" w:rsidR="00297EC0" w:rsidRDefault="00297EC0" w:rsidP="00265FE3">
      <w:pPr>
        <w:pStyle w:val="Heading2"/>
      </w:pPr>
      <w:bookmarkStart w:id="71" w:name="_Toc106286085"/>
      <w:bookmarkStart w:id="72" w:name="_Toc106358395"/>
    </w:p>
    <w:p w14:paraId="59217CDB" w14:textId="77777777" w:rsidR="00297EC0" w:rsidRDefault="00297EC0">
      <w:pPr>
        <w:spacing w:before="0" w:after="160" w:line="259" w:lineRule="auto"/>
        <w:rPr>
          <w:rFonts w:ascii="Calibri" w:hAnsi="Calibri" w:cs="Arial"/>
          <w:iCs/>
          <w:color w:val="2C384A"/>
          <w:kern w:val="32"/>
          <w:sz w:val="36"/>
          <w:szCs w:val="28"/>
        </w:rPr>
      </w:pPr>
      <w:r>
        <w:br w:type="page"/>
      </w:r>
    </w:p>
    <w:p w14:paraId="6FB326A5" w14:textId="705EC601" w:rsidR="00265FE3" w:rsidRPr="001D66FD" w:rsidRDefault="00265FE3">
      <w:pPr>
        <w:pStyle w:val="Heading2"/>
      </w:pPr>
      <w:bookmarkStart w:id="73" w:name="_Toc110602875"/>
      <w:r>
        <w:lastRenderedPageBreak/>
        <w:t>1.7</w:t>
      </w:r>
      <w:r w:rsidDel="00C140F0">
        <w:t xml:space="preserve"> </w:t>
      </w:r>
      <w:r w:rsidR="00AA5CC1">
        <w:tab/>
      </w:r>
      <w:r>
        <w:t>Clear measures of success provide certainty and direction for participants</w:t>
      </w:r>
      <w:bookmarkEnd w:id="71"/>
      <w:bookmarkEnd w:id="72"/>
      <w:bookmarkEnd w:id="73"/>
    </w:p>
    <w:p w14:paraId="688BAF7A" w14:textId="6E306C6C" w:rsidR="009E5D65" w:rsidRDefault="00723E15" w:rsidP="00265FE3">
      <w:r>
        <w:t xml:space="preserve">Many </w:t>
      </w:r>
      <w:r w:rsidR="00265FE3">
        <w:t>submissions</w:t>
      </w:r>
      <w:r w:rsidR="00F83DC7" w:rsidRPr="00600205">
        <w:rPr>
          <w:rStyle w:val="FootnoteReference"/>
          <w:sz w:val="22"/>
          <w:szCs w:val="24"/>
          <w:vertAlign w:val="superscript"/>
        </w:rPr>
        <w:footnoteReference w:id="13"/>
      </w:r>
      <w:r w:rsidR="00265FE3">
        <w:t xml:space="preserve"> to the Review noted that the success of the CDR to date has been difficult to gauge due to the lack of visibility of public success measures for the CDR as a whole. Without public visibility of success measures, uncertainty </w:t>
      </w:r>
      <w:r w:rsidR="00AE481F">
        <w:t>could</w:t>
      </w:r>
      <w:r w:rsidR="00265FE3">
        <w:t xml:space="preserve"> erode the trust between CDR agencies and participants </w:t>
      </w:r>
      <w:r w:rsidR="00AE481F">
        <w:t xml:space="preserve">in </w:t>
      </w:r>
      <w:r w:rsidR="00265FE3">
        <w:t xml:space="preserve">the CDR ecosystem. </w:t>
      </w:r>
    </w:p>
    <w:p w14:paraId="11150F8E" w14:textId="3A2DF2D2" w:rsidR="009E5D65" w:rsidRPr="00383A01" w:rsidRDefault="00265FE3" w:rsidP="00F90639">
      <w:pPr>
        <w:pStyle w:val="Quote"/>
        <w:ind w:left="1134" w:right="1134"/>
      </w:pPr>
      <w:r>
        <w:t>“</w:t>
      </w:r>
      <w:r w:rsidR="00DD3258">
        <w:t>M</w:t>
      </w:r>
      <w:r w:rsidRPr="00383A01">
        <w:t>etrics need to be established and tracked to assess the actual benefit that the CDR is delivering in terms of practical outcomes for consumers. The focus currently on the number of parties accredited is not a success metric of CDR</w:t>
      </w:r>
      <w:r>
        <w:t>”</w:t>
      </w:r>
      <w:r w:rsidRPr="00383A01">
        <w:t xml:space="preserve"> </w:t>
      </w:r>
      <w:r w:rsidRPr="00F3484D">
        <w:rPr>
          <w:b/>
        </w:rPr>
        <w:t>– Consumer Action Law Centre</w:t>
      </w:r>
    </w:p>
    <w:p w14:paraId="5E87E1A3" w14:textId="249D7412" w:rsidR="00265FE3" w:rsidRPr="00F805CA" w:rsidRDefault="00265FE3" w:rsidP="00265FE3">
      <w:r>
        <w:t>Currently</w:t>
      </w:r>
      <w:r w:rsidR="00AE481F">
        <w:t>,</w:t>
      </w:r>
      <w:r>
        <w:t xml:space="preserve"> the CDR website offers up-to-date metrics on performance </w:t>
      </w:r>
      <w:r w:rsidR="00AE481F">
        <w:t xml:space="preserve">in </w:t>
      </w:r>
      <w:r>
        <w:t>the system, showing the service availability of data holders, average response times and number of data holder brands. For example</w:t>
      </w:r>
      <w:r w:rsidR="0075538D" w:rsidRPr="00421311">
        <w:t>,</w:t>
      </w:r>
      <w:r w:rsidRPr="00421311">
        <w:t xml:space="preserve"> </w:t>
      </w:r>
      <w:r w:rsidR="001525FE" w:rsidRPr="00421311">
        <w:t xml:space="preserve">for the period </w:t>
      </w:r>
      <w:r w:rsidRPr="00421311">
        <w:t>o</w:t>
      </w:r>
      <w:r w:rsidR="001525FE" w:rsidRPr="00421311">
        <w:t>f 1 June 2022 to</w:t>
      </w:r>
      <w:r w:rsidRPr="00421311">
        <w:t xml:space="preserve"> </w:t>
      </w:r>
      <w:r w:rsidR="001525FE" w:rsidRPr="00421311">
        <w:t>30</w:t>
      </w:r>
      <w:r w:rsidRPr="00421311">
        <w:t xml:space="preserve"> June 2022, the data holders’ average service availability (the percent</w:t>
      </w:r>
      <w:r w:rsidR="00C50582" w:rsidRPr="00421311">
        <w:t>age</w:t>
      </w:r>
      <w:r w:rsidRPr="00421311">
        <w:t xml:space="preserve"> of time data holders’ systems were able to service data requests) was 9</w:t>
      </w:r>
      <w:r w:rsidR="001525FE" w:rsidRPr="00421311">
        <w:t>7</w:t>
      </w:r>
      <w:r w:rsidRPr="00421311">
        <w:t>.</w:t>
      </w:r>
      <w:r w:rsidR="001525FE" w:rsidRPr="00421311">
        <w:t>1</w:t>
      </w:r>
      <w:r w:rsidR="00C50582" w:rsidRPr="00421311">
        <w:t xml:space="preserve"> per cent</w:t>
      </w:r>
      <w:r>
        <w:t>.</w:t>
      </w:r>
      <w:r w:rsidRPr="00600205">
        <w:rPr>
          <w:rStyle w:val="FootnoteReference"/>
          <w:sz w:val="22"/>
          <w:szCs w:val="22"/>
          <w:vertAlign w:val="superscript"/>
        </w:rPr>
        <w:footnoteReference w:id="14"/>
      </w:r>
      <w:r>
        <w:t xml:space="preserve"> This is a starting point for participants and the public, however</w:t>
      </w:r>
      <w:r w:rsidR="00AE481F">
        <w:t>,</w:t>
      </w:r>
      <w:r>
        <w:t xml:space="preserve"> it could be improved with additional data relevant to the growth of the ecosystem. For example, in the UK</w:t>
      </w:r>
      <w:r w:rsidR="00AE481F">
        <w:t>,</w:t>
      </w:r>
      <w:r>
        <w:t xml:space="preserve"> the Open Banking Implementation Entity (OBIE) provides details on wide-ranging success measures through its </w:t>
      </w:r>
      <w:r>
        <w:rPr>
          <w:i/>
          <w:iCs/>
        </w:rPr>
        <w:t>Open Banking Impact Report</w:t>
      </w:r>
      <w:r>
        <w:t xml:space="preserve"> – the most recent edition of which (</w:t>
      </w:r>
      <w:r w:rsidR="00C1467F">
        <w:t xml:space="preserve">June </w:t>
      </w:r>
      <w:r>
        <w:t>202</w:t>
      </w:r>
      <w:r w:rsidR="00C1467F">
        <w:t>2</w:t>
      </w:r>
      <w:r>
        <w:t xml:space="preserve">) includes statistics on </w:t>
      </w:r>
      <w:r w:rsidR="00AE481F">
        <w:t>the growing</w:t>
      </w:r>
      <w:r>
        <w:t xml:space="preserve"> use of </w:t>
      </w:r>
      <w:r w:rsidR="00E132A4">
        <w:t>O</w:t>
      </w:r>
      <w:r>
        <w:t xml:space="preserve">pen </w:t>
      </w:r>
      <w:r w:rsidR="00E132A4">
        <w:t>B</w:t>
      </w:r>
      <w:r>
        <w:t xml:space="preserve">anking services, the number of payments made via </w:t>
      </w:r>
      <w:r w:rsidR="00E132A4">
        <w:t>O</w:t>
      </w:r>
      <w:r>
        <w:t xml:space="preserve">pen </w:t>
      </w:r>
      <w:r w:rsidR="00E132A4">
        <w:t>B</w:t>
      </w:r>
      <w:r>
        <w:t>anking, how customers are engaging with Open Banking, and customer feedback on savings through Open Banking.</w:t>
      </w:r>
      <w:r w:rsidRPr="00600205">
        <w:rPr>
          <w:rStyle w:val="FootnoteReference"/>
          <w:sz w:val="22"/>
          <w:szCs w:val="22"/>
          <w:vertAlign w:val="superscript"/>
        </w:rPr>
        <w:footnoteReference w:id="15"/>
      </w:r>
      <w:r>
        <w:t xml:space="preserve"> </w:t>
      </w:r>
    </w:p>
    <w:p w14:paraId="1DE810F2" w14:textId="1C96C3CB" w:rsidR="00265FE3" w:rsidRDefault="00265FE3" w:rsidP="00265FE3">
      <w:pPr>
        <w:ind w:hanging="993"/>
      </w:pPr>
      <w:r>
        <w:tab/>
      </w:r>
      <w:r w:rsidR="003464F6">
        <w:t>O</w:t>
      </w:r>
      <w:r>
        <w:t xml:space="preserve">ne success measure raised </w:t>
      </w:r>
      <w:r w:rsidR="003464F6">
        <w:t xml:space="preserve">by the </w:t>
      </w:r>
      <w:r w:rsidR="003464F6" w:rsidRPr="00600205">
        <w:rPr>
          <w:i/>
          <w:iCs/>
        </w:rPr>
        <w:t>Inquiry</w:t>
      </w:r>
      <w:r w:rsidR="004E25A1" w:rsidRPr="00600205">
        <w:rPr>
          <w:i/>
          <w:iCs/>
        </w:rPr>
        <w:t xml:space="preserve"> into the </w:t>
      </w:r>
      <w:r w:rsidR="005A246A" w:rsidRPr="00600205">
        <w:rPr>
          <w:i/>
          <w:iCs/>
        </w:rPr>
        <w:t xml:space="preserve">Future Directions </w:t>
      </w:r>
      <w:r w:rsidR="004E25A1" w:rsidRPr="00600205">
        <w:rPr>
          <w:i/>
          <w:iCs/>
        </w:rPr>
        <w:t>for the Consumer Data Right</w:t>
      </w:r>
      <w:r w:rsidR="004E25A1">
        <w:t xml:space="preserve"> (Future Directions Inquiry)</w:t>
      </w:r>
      <w:r w:rsidR="003464F6">
        <w:t xml:space="preserve"> </w:t>
      </w:r>
      <w:r>
        <w:t xml:space="preserve">was the degree to which screen scraping is used </w:t>
      </w:r>
      <w:r w:rsidR="00AE481F">
        <w:t>relative to the CDR</w:t>
      </w:r>
      <w:r>
        <w:t xml:space="preserve">. The consultation process revealed that there is still significant use of screen scraping in sectors both within and outside the CDR. </w:t>
      </w:r>
      <w:r w:rsidR="00AE481F">
        <w:t>A</w:t>
      </w:r>
      <w:r w:rsidR="004B22AF">
        <w:t xml:space="preserve"> submission from Digital Service Providers </w:t>
      </w:r>
      <w:r w:rsidR="00723E15">
        <w:t>Australia and New Zealand</w:t>
      </w:r>
      <w:r w:rsidR="00AE481F">
        <w:t xml:space="preserve"> </w:t>
      </w:r>
      <w:r w:rsidR="00723E15">
        <w:t xml:space="preserve">noted that some of their members reverted to screen scraping because of data quality issues in the CDR. </w:t>
      </w:r>
      <w:r w:rsidR="003464F6">
        <w:t>Becoming more aware</w:t>
      </w:r>
      <w:r>
        <w:t xml:space="preserve"> of the use and prevalence of screen scraping </w:t>
      </w:r>
      <w:r w:rsidR="003464F6">
        <w:t xml:space="preserve">could </w:t>
      </w:r>
      <w:r>
        <w:t xml:space="preserve">inform how the </w:t>
      </w:r>
      <w:r w:rsidR="003464F6">
        <w:t xml:space="preserve">evolution of the </w:t>
      </w:r>
      <w:r>
        <w:t xml:space="preserve">CDR </w:t>
      </w:r>
      <w:r w:rsidR="003464F6">
        <w:t>should both address</w:t>
      </w:r>
      <w:r>
        <w:t xml:space="preserve"> the needs of those that use screen scraping </w:t>
      </w:r>
      <w:r w:rsidR="003464F6">
        <w:t xml:space="preserve">and </w:t>
      </w:r>
      <w:r>
        <w:t>encourage adopting CDR given its significant</w:t>
      </w:r>
      <w:r w:rsidR="003464F6">
        <w:t>ly better</w:t>
      </w:r>
      <w:r>
        <w:t xml:space="preserve"> privacy and security. </w:t>
      </w:r>
    </w:p>
    <w:p w14:paraId="6ADEC883" w14:textId="475E2C31" w:rsidR="00265FE3" w:rsidRDefault="00265FE3" w:rsidP="00265FE3">
      <w:r w:rsidRPr="00421311">
        <w:t xml:space="preserve">It </w:t>
      </w:r>
      <w:r w:rsidR="0060083E" w:rsidRPr="00421311">
        <w:t xml:space="preserve">is </w:t>
      </w:r>
      <w:r w:rsidRPr="00421311">
        <w:t>important to also overlay any success measures with a visible timeline for the CDR</w:t>
      </w:r>
      <w:r w:rsidR="00C328F8" w:rsidRPr="00421311">
        <w:t xml:space="preserve"> (see </w:t>
      </w:r>
      <w:r w:rsidR="000E099B">
        <w:t>R</w:t>
      </w:r>
      <w:r w:rsidR="00C328F8" w:rsidRPr="00421311">
        <w:t>ecommendation 1.4</w:t>
      </w:r>
      <w:r w:rsidR="00C328F8">
        <w:t>)</w:t>
      </w:r>
      <w:r>
        <w:t>. Greater visibility of success measures and system objectives will provide increased confidence</w:t>
      </w:r>
      <w:r w:rsidRPr="00D96A29">
        <w:t xml:space="preserve"> </w:t>
      </w:r>
      <w:r>
        <w:t>and assurance to participants who have made significant investment to date either as data holder</w:t>
      </w:r>
      <w:r w:rsidR="003464F6">
        <w:t>s</w:t>
      </w:r>
      <w:r>
        <w:t xml:space="preserve"> or ADRs</w:t>
      </w:r>
      <w:r w:rsidR="003464F6">
        <w:t>,</w:t>
      </w:r>
      <w:r>
        <w:t xml:space="preserve"> and reinforce </w:t>
      </w:r>
      <w:r w:rsidR="003464F6">
        <w:t xml:space="preserve">with </w:t>
      </w:r>
      <w:r>
        <w:t xml:space="preserve">participants that success in the CDR will not be achieved overnight. </w:t>
      </w:r>
    </w:p>
    <w:p w14:paraId="2417C415" w14:textId="77777777" w:rsidR="00265FE3" w:rsidRDefault="00265FE3" w:rsidP="00265FE3"/>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265FE3" w14:paraId="1432C165" w14:textId="77777777" w:rsidTr="002161D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3ECA15CC" w14:textId="10824889" w:rsidR="00265FE3" w:rsidRPr="00822EF9" w:rsidRDefault="00265FE3" w:rsidP="00F90639">
            <w:pPr>
              <w:pStyle w:val="BoxHeading"/>
            </w:pPr>
            <w:r w:rsidRPr="00F90639">
              <w:lastRenderedPageBreak/>
              <w:t>Recommendation 1.</w:t>
            </w:r>
            <w:r w:rsidR="00AA1AF8" w:rsidRPr="00F90639">
              <w:t>5</w:t>
            </w:r>
          </w:p>
          <w:p w14:paraId="69B3077A" w14:textId="57199E75" w:rsidR="00265FE3" w:rsidRPr="00511A43" w:rsidRDefault="00FB0EBB" w:rsidP="00F90639">
            <w:pPr>
              <w:pStyle w:val="BoxText"/>
            </w:pPr>
            <w:r w:rsidRPr="00D4755B">
              <w:rPr>
                <w:szCs w:val="24"/>
              </w:rPr>
              <w:t xml:space="preserve">Greater visibility of success measures and system objectives will provide increased confidence and assurance to participants. </w:t>
            </w:r>
            <w:r w:rsidR="00907FC9" w:rsidRPr="00167D86">
              <w:rPr>
                <w:szCs w:val="24"/>
              </w:rPr>
              <w:t>Success measures should incorporate measures of system health and meaningful outcomes for consumers.</w:t>
            </w:r>
          </w:p>
        </w:tc>
      </w:tr>
    </w:tbl>
    <w:p w14:paraId="50A38415" w14:textId="77777777" w:rsidR="00722AE0" w:rsidRDefault="00722AE0" w:rsidP="00265FE3"/>
    <w:p w14:paraId="7FBF370E" w14:textId="48F0AFEB" w:rsidR="00265FE3" w:rsidRDefault="00265FE3" w:rsidP="00265FE3">
      <w:r>
        <w:t xml:space="preserve">Improving the visibility of success measures may further help to resolve data quality issues (see also </w:t>
      </w:r>
      <w:r w:rsidRPr="00421311">
        <w:t>section 2.1)</w:t>
      </w:r>
      <w:r>
        <w:t xml:space="preserve"> by highlighting deficiencies </w:t>
      </w:r>
      <w:r w:rsidR="003D72DC">
        <w:t xml:space="preserve">in </w:t>
      </w:r>
      <w:r>
        <w:t>direct compliance efforts</w:t>
      </w:r>
      <w:r w:rsidR="003D72DC">
        <w:t>,</w:t>
      </w:r>
      <w:r>
        <w:t xml:space="preserve"> </w:t>
      </w:r>
      <w:r w:rsidR="003D72DC">
        <w:t>thus</w:t>
      </w:r>
      <w:r>
        <w:t xml:space="preserve"> building a level of public transparency </w:t>
      </w:r>
      <w:r w:rsidR="003D72DC">
        <w:t>and</w:t>
      </w:r>
      <w:r>
        <w:t xml:space="preserve"> better performance.</w:t>
      </w:r>
      <w:r w:rsidRPr="00D22EB6">
        <w:t xml:space="preserve"> </w:t>
      </w:r>
      <w:r w:rsidR="00DA69D7">
        <w:t>In early 2022</w:t>
      </w:r>
      <w:r w:rsidR="004F2ABE">
        <w:t>,</w:t>
      </w:r>
      <w:r w:rsidRPr="00D22EB6">
        <w:t xml:space="preserve"> </w:t>
      </w:r>
      <w:r w:rsidR="004F2ABE">
        <w:t>t</w:t>
      </w:r>
      <w:r>
        <w:t xml:space="preserve">he DSB </w:t>
      </w:r>
      <w:r w:rsidR="00DA69D7">
        <w:t xml:space="preserve">opened for </w:t>
      </w:r>
      <w:r>
        <w:t>public consultation a proposal to capture further metrics directly from ADRs on the performance of Data Holders via an API</w:t>
      </w:r>
      <w:r w:rsidR="00E3016E">
        <w:t>.</w:t>
      </w:r>
      <w:r w:rsidRPr="00600205">
        <w:rPr>
          <w:rStyle w:val="FootnoteReference"/>
          <w:sz w:val="22"/>
          <w:szCs w:val="22"/>
          <w:vertAlign w:val="superscript"/>
        </w:rPr>
        <w:footnoteReference w:id="16"/>
      </w:r>
      <w:r>
        <w:t xml:space="preserve"> </w:t>
      </w:r>
      <w:r w:rsidR="00E3016E">
        <w:t xml:space="preserve">Whilst the proposal </w:t>
      </w:r>
      <w:r w:rsidR="00DA69D7">
        <w:t>closed with no decision taken</w:t>
      </w:r>
      <w:r w:rsidR="00E3016E">
        <w:t xml:space="preserve">, it reflects there has been thinking undertaken and </w:t>
      </w:r>
      <w:r w:rsidR="00375CB6">
        <w:t>there is a</w:t>
      </w:r>
      <w:r w:rsidR="00E3016E">
        <w:t xml:space="preserve"> desire </w:t>
      </w:r>
      <w:r w:rsidR="00375CB6">
        <w:t xml:space="preserve">to </w:t>
      </w:r>
      <w:r w:rsidR="004F2ABE">
        <w:t xml:space="preserve">capture measurable metrics, which </w:t>
      </w:r>
      <w:r w:rsidR="00E3016E">
        <w:t>i</w:t>
      </w:r>
      <w:r>
        <w:t xml:space="preserve">f implemented </w:t>
      </w:r>
      <w:r w:rsidR="003D72DC">
        <w:t>effectively</w:t>
      </w:r>
      <w:r>
        <w:t xml:space="preserve"> could </w:t>
      </w:r>
      <w:r w:rsidR="00375CB6">
        <w:t xml:space="preserve">assist </w:t>
      </w:r>
      <w:r>
        <w:t xml:space="preserve">regulators and participants to identify data quality issues. </w:t>
      </w:r>
      <w:r w:rsidR="004F2ABE">
        <w:t>C</w:t>
      </w:r>
      <w:r w:rsidR="00627404">
        <w:t>are should</w:t>
      </w:r>
      <w:r>
        <w:t xml:space="preserve"> be taken not to create unnecessary burden</w:t>
      </w:r>
      <w:r w:rsidR="003D72DC">
        <w:t>s</w:t>
      </w:r>
      <w:r>
        <w:t xml:space="preserve"> on </w:t>
      </w:r>
      <w:r w:rsidR="004F2ABE">
        <w:t>participants</w:t>
      </w:r>
      <w:r w:rsidR="00375CB6">
        <w:t xml:space="preserve"> in developing</w:t>
      </w:r>
      <w:r w:rsidR="00C50582">
        <w:t xml:space="preserve"> the</w:t>
      </w:r>
      <w:r w:rsidR="00375CB6">
        <w:t xml:space="preserve"> measures</w:t>
      </w:r>
      <w:r>
        <w:t>.</w:t>
      </w:r>
    </w:p>
    <w:p w14:paraId="3134D38B" w14:textId="2754D3C1" w:rsidR="00265FE3" w:rsidRDefault="00265FE3" w:rsidP="00DA5329">
      <w:pPr>
        <w:ind w:hanging="993"/>
      </w:pPr>
      <w:r>
        <w:tab/>
      </w:r>
      <w:r w:rsidR="003D72DC">
        <w:t>There</w:t>
      </w:r>
      <w:r>
        <w:t xml:space="preserve"> is significant effort currently underway within CDR agencies to expand the visible success measures of the </w:t>
      </w:r>
      <w:r w:rsidR="00153F67">
        <w:t>scheme</w:t>
      </w:r>
      <w:r>
        <w:t>. The continued focus on this important work is strongly encouraged.</w:t>
      </w:r>
      <w:r w:rsidR="00184702">
        <w:br/>
      </w:r>
    </w:p>
    <w:p w14:paraId="52A43BA2" w14:textId="02499C1B" w:rsidR="00265FE3" w:rsidRPr="00383A01" w:rsidRDefault="00265FE3" w:rsidP="008A32BF">
      <w:pPr>
        <w:pStyle w:val="Heading2"/>
        <w:spacing w:before="0"/>
      </w:pPr>
      <w:bookmarkStart w:id="74" w:name="_Toc106286086"/>
      <w:bookmarkStart w:id="75" w:name="_Toc106358396"/>
      <w:bookmarkStart w:id="76" w:name="_Toc110602876"/>
      <w:r w:rsidRPr="00383A01">
        <w:t>1.</w:t>
      </w:r>
      <w:r w:rsidRPr="001F53E3">
        <w:t>8</w:t>
      </w:r>
      <w:r w:rsidRPr="00383A01">
        <w:t xml:space="preserve"> Part </w:t>
      </w:r>
      <w:r>
        <w:t>One</w:t>
      </w:r>
      <w:r w:rsidRPr="00383A01">
        <w:t xml:space="preserve"> </w:t>
      </w:r>
      <w:r w:rsidR="00BE3C5D">
        <w:t xml:space="preserve">– </w:t>
      </w:r>
      <w:r w:rsidRPr="00383A01">
        <w:t>Conclusion</w:t>
      </w:r>
      <w:bookmarkEnd w:id="74"/>
      <w:bookmarkEnd w:id="75"/>
      <w:bookmarkEnd w:id="76"/>
    </w:p>
    <w:p w14:paraId="24AE2AE7" w14:textId="3000DF8D" w:rsidR="00265FE3" w:rsidRPr="001D66FD" w:rsidRDefault="00265FE3" w:rsidP="009E5D65">
      <w:pPr>
        <w:spacing w:after="0"/>
      </w:pPr>
      <w:r>
        <w:t xml:space="preserve">The CDR </w:t>
      </w:r>
      <w:r w:rsidR="002E3299">
        <w:t xml:space="preserve">objects </w:t>
      </w:r>
      <w:r>
        <w:t>remain fit</w:t>
      </w:r>
      <w:r w:rsidR="00010795">
        <w:t>-</w:t>
      </w:r>
      <w:r>
        <w:t>for</w:t>
      </w:r>
      <w:r w:rsidR="00010795">
        <w:t>-</w:t>
      </w:r>
      <w:r>
        <w:t>purpose in the medium</w:t>
      </w:r>
      <w:r w:rsidR="003D72DC">
        <w:t xml:space="preserve"> </w:t>
      </w:r>
      <w:r>
        <w:t xml:space="preserve">term and have broad support </w:t>
      </w:r>
      <w:r w:rsidR="003D72DC">
        <w:t>among</w:t>
      </w:r>
      <w:r>
        <w:t xml:space="preserve"> system participants. During the implementation phase, priority has been </w:t>
      </w:r>
      <w:r w:rsidR="00010795">
        <w:t xml:space="preserve">appropriately </w:t>
      </w:r>
      <w:r>
        <w:t>given to safety, security and privacy safeguards</w:t>
      </w:r>
      <w:r w:rsidR="003D72DC">
        <w:t xml:space="preserve">, which </w:t>
      </w:r>
      <w:r>
        <w:t>have built trust in the system. As implementa</w:t>
      </w:r>
      <w:r w:rsidR="003D72DC">
        <w:t>t</w:t>
      </w:r>
      <w:r>
        <w:t>ion continues</w:t>
      </w:r>
      <w:r w:rsidR="00266BEE">
        <w:t>,</w:t>
      </w:r>
      <w:r>
        <w:t xml:space="preserve"> and consumer participation and confidence </w:t>
      </w:r>
      <w:r w:rsidR="003829F9">
        <w:t xml:space="preserve">in the </w:t>
      </w:r>
      <w:r>
        <w:t>system grow</w:t>
      </w:r>
      <w:r w:rsidR="003829F9">
        <w:t>s</w:t>
      </w:r>
      <w:r w:rsidR="00266BEE">
        <w:t>,</w:t>
      </w:r>
      <w:r>
        <w:t xml:space="preserve"> the </w:t>
      </w:r>
      <w:r w:rsidR="00266BEE">
        <w:t xml:space="preserve">relative </w:t>
      </w:r>
      <w:r>
        <w:t xml:space="preserve">weighting </w:t>
      </w:r>
      <w:r w:rsidR="003D72DC">
        <w:t xml:space="preserve">of CDR </w:t>
      </w:r>
      <w:r>
        <w:t>objectives may need to be adjusted</w:t>
      </w:r>
      <w:r w:rsidR="003D72DC">
        <w:t>,</w:t>
      </w:r>
      <w:r>
        <w:t xml:space="preserve"> with greater focus </w:t>
      </w:r>
      <w:r w:rsidR="003D72DC">
        <w:t xml:space="preserve">assigned </w:t>
      </w:r>
      <w:r>
        <w:t xml:space="preserve">to creating more consumer choice, promoting innovation and increasing competition to promote the public interest. </w:t>
      </w:r>
    </w:p>
    <w:p w14:paraId="40C21C1B" w14:textId="77777777" w:rsidR="00335433" w:rsidRDefault="00335433" w:rsidP="007040D5">
      <w:pPr>
        <w:pStyle w:val="ListParagraph"/>
        <w:numPr>
          <w:ilvl w:val="1"/>
          <w:numId w:val="11"/>
        </w:numPr>
        <w:spacing w:before="0" w:after="160" w:line="259" w:lineRule="auto"/>
        <w:sectPr w:rsidR="00335433" w:rsidSect="00896062">
          <w:footerReference w:type="even" r:id="rId30"/>
          <w:footerReference w:type="default" r:id="rId31"/>
          <w:pgSz w:w="11906" w:h="16838" w:code="9"/>
          <w:pgMar w:top="1843" w:right="1417" w:bottom="1417" w:left="1417" w:header="709" w:footer="709" w:gutter="0"/>
          <w:pgNumType w:start="1"/>
          <w:cols w:space="708"/>
          <w:docGrid w:linePitch="360"/>
        </w:sectPr>
      </w:pPr>
    </w:p>
    <w:p w14:paraId="3B130FD8" w14:textId="202312E4" w:rsidR="00265FE3" w:rsidRDefault="00265FE3" w:rsidP="0053646C">
      <w:pPr>
        <w:pStyle w:val="Heading1"/>
        <w:spacing w:before="0"/>
      </w:pPr>
      <w:bookmarkStart w:id="77" w:name="_Toc106286087"/>
      <w:bookmarkStart w:id="78" w:name="_Toc106358397"/>
      <w:bookmarkStart w:id="79" w:name="_Toc110602877"/>
      <w:r>
        <w:lastRenderedPageBreak/>
        <w:t xml:space="preserve">Part Two: </w:t>
      </w:r>
      <w:bookmarkStart w:id="80" w:name="_Hlk106216298"/>
      <w:r>
        <w:t xml:space="preserve">Implementation and </w:t>
      </w:r>
      <w:r w:rsidR="00DD556B">
        <w:t>l</w:t>
      </w:r>
      <w:r>
        <w:t xml:space="preserve">essons </w:t>
      </w:r>
      <w:r w:rsidR="00DD556B">
        <w:t>l</w:t>
      </w:r>
      <w:r>
        <w:t>earnt</w:t>
      </w:r>
      <w:bookmarkEnd w:id="77"/>
      <w:bookmarkEnd w:id="78"/>
      <w:bookmarkEnd w:id="79"/>
      <w:bookmarkEnd w:id="80"/>
    </w:p>
    <w:p w14:paraId="6553B4D2" w14:textId="7B34092D" w:rsidR="00265FE3" w:rsidRPr="00D548EC" w:rsidRDefault="00265FE3" w:rsidP="0025128E">
      <w:r>
        <w:t xml:space="preserve">The CDR has </w:t>
      </w:r>
      <w:r w:rsidR="00F801FC">
        <w:t xml:space="preserve">developed </w:t>
      </w:r>
      <w:r>
        <w:t>significant</w:t>
      </w:r>
      <w:r w:rsidR="00F801FC">
        <w:t xml:space="preserve">ly </w:t>
      </w:r>
      <w:r>
        <w:t xml:space="preserve">since its establishment in 2019 and </w:t>
      </w:r>
      <w:r w:rsidR="00E23B3A">
        <w:t xml:space="preserve">the </w:t>
      </w:r>
      <w:r>
        <w:t xml:space="preserve">initial rollout to the banking sector. </w:t>
      </w:r>
      <w:r w:rsidRPr="00B17046">
        <w:t xml:space="preserve">As of </w:t>
      </w:r>
      <w:r w:rsidR="00206FAE" w:rsidRPr="00B17046">
        <w:t>26</w:t>
      </w:r>
      <w:r w:rsidRPr="00B17046">
        <w:t xml:space="preserve"> July 2022, 11</w:t>
      </w:r>
      <w:r w:rsidR="00206FAE" w:rsidRPr="00B17046">
        <w:t>4</w:t>
      </w:r>
      <w:r w:rsidRPr="00B17046">
        <w:t xml:space="preserve"> data holder brands are now live in the CDR system, </w:t>
      </w:r>
      <w:r w:rsidR="00206FAE" w:rsidRPr="00B17046">
        <w:t>with 76 designated data holders and an additional 38 brands.</w:t>
      </w:r>
      <w:r w:rsidRPr="00B17046">
        <w:t xml:space="preserve"> The number of ADRs has also been steadily growing</w:t>
      </w:r>
      <w:r w:rsidR="00F801FC" w:rsidRPr="00B17046">
        <w:t>,</w:t>
      </w:r>
      <w:r w:rsidRPr="00B17046">
        <w:t xml:space="preserve"> with </w:t>
      </w:r>
      <w:r w:rsidR="00206FAE" w:rsidRPr="00B17046">
        <w:t>32</w:t>
      </w:r>
      <w:r w:rsidRPr="00B17046">
        <w:t xml:space="preserve"> ADRs, </w:t>
      </w:r>
      <w:r w:rsidR="00206FAE" w:rsidRPr="00B17046">
        <w:t>20</w:t>
      </w:r>
      <w:r w:rsidRPr="00B17046">
        <w:t xml:space="preserve"> of which are active</w:t>
      </w:r>
      <w:r w:rsidR="00206FAE" w:rsidRPr="00B17046">
        <w:t xml:space="preserve">. This </w:t>
      </w:r>
      <w:r w:rsidRPr="00B17046">
        <w:t>represent</w:t>
      </w:r>
      <w:r w:rsidR="00206FAE" w:rsidRPr="00B17046">
        <w:t>s</w:t>
      </w:r>
      <w:r w:rsidRPr="00B17046">
        <w:t xml:space="preserve"> a market share of more than 9</w:t>
      </w:r>
      <w:r w:rsidR="00206FAE" w:rsidRPr="00B17046">
        <w:t>9</w:t>
      </w:r>
      <w:r w:rsidRPr="00B17046">
        <w:t xml:space="preserve"> per cent of Australian household deposits</w:t>
      </w:r>
      <w:r w:rsidR="00206FAE" w:rsidRPr="00B17046">
        <w:t xml:space="preserve"> being covered by CDR data-sharing</w:t>
      </w:r>
      <w:r w:rsidRPr="00B17046">
        <w:t xml:space="preserve">. </w:t>
      </w:r>
    </w:p>
    <w:p w14:paraId="574CD6F2" w14:textId="5AABC250" w:rsidR="00265FE3" w:rsidRPr="00D548EC" w:rsidRDefault="00265FE3" w:rsidP="0025128E">
      <w:r>
        <w:t xml:space="preserve">Part Two of the Report considers feedback </w:t>
      </w:r>
      <w:r w:rsidR="00F801FC">
        <w:t>on</w:t>
      </w:r>
      <w:r>
        <w:t xml:space="preserve"> the development and functioning of the CDR to date and the lessons that should be gleaned to inform future rollout</w:t>
      </w:r>
      <w:r w:rsidR="00F801FC">
        <w:t>,</w:t>
      </w:r>
      <w:r>
        <w:t xml:space="preserve"> including governance structure, speed of expansion, the level of </w:t>
      </w:r>
      <w:r w:rsidR="00F801FC">
        <w:t xml:space="preserve">system </w:t>
      </w:r>
      <w:r>
        <w:t>complexity and the accreditation process.</w:t>
      </w:r>
    </w:p>
    <w:p w14:paraId="39DEE904" w14:textId="0A4A4AE9" w:rsidR="00265FE3" w:rsidRPr="00EB7733" w:rsidRDefault="00265FE3" w:rsidP="0025128E">
      <w:r w:rsidRPr="00D548EC">
        <w:t>The CDR has expanded and developed since its launch, most notably with the designation of additional sectors (energy and telecommunications), and the ongoing assessment of Open Finance. Along with increasing the coverage of CDR data, there have been continuous developments in the rules and standards to support the expansion of the system, as well as improve</w:t>
      </w:r>
      <w:r w:rsidR="00F801FC">
        <w:t>ments in</w:t>
      </w:r>
      <w:r w:rsidRPr="00D548EC">
        <w:t xml:space="preserve"> the functioning of the framework in existing sectors. There have now been four version updates of the rules, while the standards have received rolling updates, with 10 maintenance cycles completed in addition to a number of narrower updates from Decision Proposals. </w:t>
      </w:r>
    </w:p>
    <w:p w14:paraId="379E15E5" w14:textId="20CC0EE2" w:rsidR="00265FE3" w:rsidRDefault="00265FE3" w:rsidP="0025128E">
      <w:r w:rsidRPr="00D548EC">
        <w:t xml:space="preserve">The CDR framework provides </w:t>
      </w:r>
      <w:r w:rsidR="00F801FC">
        <w:t>a</w:t>
      </w:r>
      <w:r w:rsidR="00F801FC" w:rsidRPr="00D548EC">
        <w:t xml:space="preserve"> </w:t>
      </w:r>
      <w:r w:rsidRPr="00D548EC">
        <w:t xml:space="preserve">foundation that has the potential to support economy-wide digital transformation and deliver significant consumer benefit. However, </w:t>
      </w:r>
      <w:r w:rsidR="007023EA" w:rsidRPr="00D548EC">
        <w:t>this Review’s consultations have found</w:t>
      </w:r>
      <w:r w:rsidRPr="00D548EC">
        <w:t xml:space="preserve"> that the system is not yet at a point where these benefits are being delivered. Part Two of this Report considers a number of concerns related to the implementation of the CDR to date and what lessons could be considered in </w:t>
      </w:r>
      <w:r w:rsidR="00F7527E">
        <w:t>relation to</w:t>
      </w:r>
      <w:r w:rsidRPr="00D548EC">
        <w:t xml:space="preserve"> the </w:t>
      </w:r>
      <w:r w:rsidR="00E6039E">
        <w:t>s</w:t>
      </w:r>
      <w:r w:rsidRPr="00D548EC">
        <w:t xml:space="preserve">tatutory </w:t>
      </w:r>
      <w:r w:rsidR="00E6039E">
        <w:t>f</w:t>
      </w:r>
      <w:r w:rsidRPr="00D548EC">
        <w:t xml:space="preserve">ramework. </w:t>
      </w:r>
      <w:bookmarkStart w:id="81" w:name="_Hlk106719223"/>
      <w:r w:rsidRPr="00D548EC">
        <w:t>These concerns include</w:t>
      </w:r>
      <w:r w:rsidR="00F801FC">
        <w:t>,</w:t>
      </w:r>
      <w:r w:rsidRPr="00D548EC">
        <w:t xml:space="preserve"> but are not limited to</w:t>
      </w:r>
      <w:r w:rsidR="00F801FC">
        <w:t>,</w:t>
      </w:r>
      <w:r w:rsidRPr="00D548EC">
        <w:t xml:space="preserve"> the quality of CDR data, the level of coordination between CDR agencies, the accreditation process, the lack of consumer awareness of the CDR, the uptake of CDR products, and some potentially adverse competition outcomes from the CDR rollout. Many stakeholders informed the Review that some of these concerns have directly prevented them from choosing to participate in the CDR – stakeholders whose participation would otherwise create additional consumer value and contribute to a vibrant CDR and digital ecosystem.</w:t>
      </w:r>
    </w:p>
    <w:p w14:paraId="46BACB0E" w14:textId="2FA4BA7E" w:rsidR="00265FE3" w:rsidRPr="00F3484D" w:rsidRDefault="00265FE3" w:rsidP="00265FE3">
      <w:pPr>
        <w:pStyle w:val="Heading2"/>
      </w:pPr>
      <w:bookmarkStart w:id="82" w:name="_Toc106286088"/>
      <w:bookmarkStart w:id="83" w:name="_Toc106358398"/>
      <w:bookmarkStart w:id="84" w:name="_Toc110602878"/>
      <w:bookmarkEnd w:id="81"/>
      <w:r w:rsidRPr="00F3484D">
        <w:t xml:space="preserve">2.1 </w:t>
      </w:r>
      <w:r w:rsidR="001F79FD" w:rsidRPr="00F3484D">
        <w:t>D</w:t>
      </w:r>
      <w:r w:rsidRPr="00F3484D">
        <w:t xml:space="preserve">ata quality </w:t>
      </w:r>
      <w:bookmarkEnd w:id="82"/>
      <w:bookmarkEnd w:id="83"/>
      <w:r w:rsidR="001F79FD" w:rsidRPr="00F3484D">
        <w:t>and screen scraping</w:t>
      </w:r>
      <w:bookmarkEnd w:id="84"/>
    </w:p>
    <w:p w14:paraId="0F854694" w14:textId="4A5CA9B8" w:rsidR="00265FE3" w:rsidRPr="00F3484D" w:rsidRDefault="008064FE" w:rsidP="0025128E">
      <w:r w:rsidRPr="00D7714A">
        <w:t>Under CDR privacy safeguard</w:t>
      </w:r>
      <w:r w:rsidR="00800FAE" w:rsidRPr="00D7714A">
        <w:t xml:space="preserve"> 11</w:t>
      </w:r>
      <w:r w:rsidR="00026016" w:rsidRPr="00D7714A">
        <w:t>,</w:t>
      </w:r>
      <w:r w:rsidRPr="00D7714A">
        <w:t xml:space="preserve"> data holders and ADRs </w:t>
      </w:r>
      <w:r w:rsidR="00800FAE" w:rsidRPr="00D7714A">
        <w:t>are required to</w:t>
      </w:r>
      <w:r w:rsidRPr="00D7714A">
        <w:t xml:space="preserve"> take reasonable steps to ensure that the CDR data is, having regard to the purpose for which it is held, accurate, up to date and complete</w:t>
      </w:r>
      <w:r w:rsidR="007A7B05" w:rsidRPr="00D7714A">
        <w:t>.</w:t>
      </w:r>
      <w:r w:rsidR="007A7B05" w:rsidRPr="00F3484D">
        <w:rPr>
          <w:rStyle w:val="FootnoteReference"/>
          <w:sz w:val="22"/>
          <w:szCs w:val="22"/>
          <w:vertAlign w:val="superscript"/>
        </w:rPr>
        <w:footnoteReference w:id="17"/>
      </w:r>
      <w:r w:rsidR="00265FE3" w:rsidRPr="00F3484D">
        <w:t xml:space="preserve"> The data put into the system should be of a quality that maintains consumer trust and gives system participants confidence to invest</w:t>
      </w:r>
      <w:r w:rsidR="00265FE3" w:rsidRPr="00F3484D" w:rsidDel="00A3072B">
        <w:t xml:space="preserve"> </w:t>
      </w:r>
      <w:r w:rsidR="00265FE3" w:rsidRPr="00F3484D">
        <w:t>in developing the innovative products and services that compel consumers to move away from alternatives, such as screen scraping</w:t>
      </w:r>
      <w:r w:rsidR="005A246A" w:rsidRPr="00F3484D">
        <w:t>.</w:t>
      </w:r>
      <w:r w:rsidR="00265FE3" w:rsidRPr="00F3484D">
        <w:t xml:space="preserve"> </w:t>
      </w:r>
      <w:r w:rsidR="00F801FC" w:rsidRPr="00F3484D">
        <w:t>A</w:t>
      </w:r>
      <w:r w:rsidR="00265FE3" w:rsidRPr="00F3484D">
        <w:t xml:space="preserve"> number of </w:t>
      </w:r>
      <w:r w:rsidR="00F801FC" w:rsidRPr="00F3484D">
        <w:t xml:space="preserve">Review </w:t>
      </w:r>
      <w:r w:rsidR="00265FE3" w:rsidRPr="00F3484D">
        <w:t xml:space="preserve">participants spoke </w:t>
      </w:r>
      <w:r w:rsidR="00F801FC" w:rsidRPr="00F3484D">
        <w:t xml:space="preserve">about </w:t>
      </w:r>
      <w:r w:rsidR="00265FE3" w:rsidRPr="00F3484D">
        <w:t xml:space="preserve">issues </w:t>
      </w:r>
      <w:r w:rsidR="00F801FC" w:rsidRPr="00F3484D">
        <w:t xml:space="preserve">of </w:t>
      </w:r>
      <w:r w:rsidR="00265FE3" w:rsidRPr="00F3484D">
        <w:t xml:space="preserve">inconsistent data quality, with </w:t>
      </w:r>
      <w:r w:rsidR="00265FE3" w:rsidRPr="00F3484D" w:rsidDel="001A4010">
        <w:t>a number of</w:t>
      </w:r>
      <w:r w:rsidR="00265FE3" w:rsidRPr="00F3484D">
        <w:t xml:space="preserve"> ADRs suggesting that product development has been held back by data </w:t>
      </w:r>
      <w:r w:rsidR="00076706" w:rsidRPr="00F3484D">
        <w:t xml:space="preserve">range and </w:t>
      </w:r>
      <w:r w:rsidR="00265FE3" w:rsidRPr="00F3484D">
        <w:t xml:space="preserve">quality issues. </w:t>
      </w:r>
      <w:r w:rsidR="002501FD">
        <w:t>The F</w:t>
      </w:r>
      <w:r w:rsidR="002501FD" w:rsidRPr="002501FD">
        <w:t xml:space="preserve">inancial Data and Technology Association </w:t>
      </w:r>
      <w:r w:rsidR="002501FD">
        <w:t>(</w:t>
      </w:r>
      <w:r w:rsidR="00265FE3" w:rsidRPr="00F3484D">
        <w:t>FDATA</w:t>
      </w:r>
      <w:r w:rsidR="002501FD">
        <w:t>)</w:t>
      </w:r>
      <w:r w:rsidR="00265FE3" w:rsidRPr="00F3484D">
        <w:t xml:space="preserve"> noted </w:t>
      </w:r>
      <w:r w:rsidR="00F801FC" w:rsidRPr="00F3484D">
        <w:t>that</w:t>
      </w:r>
      <w:r w:rsidR="00265FE3" w:rsidRPr="00F3484D">
        <w:t xml:space="preserve"> many of its “members regularly share concerns around poor quality data, delays in data being received (in some cases up to 24 hours by major ADIs), missing fields, erroneous data fields, garbled and inconsistent data”.</w:t>
      </w:r>
      <w:r w:rsidR="001F79FD" w:rsidRPr="00F3484D">
        <w:t xml:space="preserve"> </w:t>
      </w:r>
    </w:p>
    <w:p w14:paraId="304EABC0" w14:textId="77777777" w:rsidR="00184702" w:rsidRDefault="00184702">
      <w:pPr>
        <w:spacing w:before="0" w:after="160" w:line="259" w:lineRule="auto"/>
      </w:pPr>
      <w:r>
        <w:br w:type="page"/>
      </w:r>
    </w:p>
    <w:p w14:paraId="193E90D9" w14:textId="11C319EF" w:rsidR="001F79FD" w:rsidRPr="000A5DFD" w:rsidRDefault="001F79FD" w:rsidP="00B17046">
      <w:pPr>
        <w:rPr>
          <w:highlight w:val="yellow"/>
        </w:rPr>
      </w:pPr>
      <w:r w:rsidRPr="00F3484D">
        <w:lastRenderedPageBreak/>
        <w:t xml:space="preserve">Data quality issues won’t resolve overnight. It will take a concerted effort by all participants in the CDR ecosystem to work collectively to resolve data quality issues as they arise. ADRs report feeling that the onus is on them to resolve issues related to the quality of data they have received from data holders, with little action taken by the data holders themselves. There is also the perception </w:t>
      </w:r>
      <w:r w:rsidR="00005C86" w:rsidRPr="00F3484D">
        <w:t>amongst ADRs</w:t>
      </w:r>
      <w:r w:rsidRPr="00F3484D">
        <w:t xml:space="preserve"> </w:t>
      </w:r>
      <w:r w:rsidR="0063061A" w:rsidRPr="00F3484D">
        <w:t xml:space="preserve">that </w:t>
      </w:r>
      <w:r w:rsidRPr="00F3484D">
        <w:t>there is limited follow-up enforcement action by the ACCC</w:t>
      </w:r>
      <w:r w:rsidR="00CD50A9">
        <w:t xml:space="preserve">. </w:t>
      </w:r>
      <w:r w:rsidR="00C91469" w:rsidRPr="00D7714A">
        <w:t xml:space="preserve">While the ACCC has powers to undertake enforcement actions, they have taken a facilitative approach to </w:t>
      </w:r>
      <w:r w:rsidR="00C93572" w:rsidRPr="00D7714A">
        <w:t>resolving data quality issues</w:t>
      </w:r>
      <w:r w:rsidR="00C91469" w:rsidRPr="00D7714A">
        <w:t xml:space="preserve"> to date.</w:t>
      </w:r>
      <w:r w:rsidR="00C91469">
        <w:t xml:space="preserve"> </w:t>
      </w:r>
      <w:r w:rsidR="00CD50A9">
        <w:t xml:space="preserve">The Review </w:t>
      </w:r>
      <w:r w:rsidR="00C93572">
        <w:t xml:space="preserve">also </w:t>
      </w:r>
      <w:r w:rsidR="00CD50A9">
        <w:t>understands</w:t>
      </w:r>
      <w:r w:rsidR="00EC18E6">
        <w:t xml:space="preserve"> that</w:t>
      </w:r>
      <w:r w:rsidR="00CD50A9">
        <w:t xml:space="preserve"> </w:t>
      </w:r>
      <w:r w:rsidRPr="00F3484D">
        <w:t xml:space="preserve">a regulatory agency </w:t>
      </w:r>
      <w:r w:rsidR="000841D5" w:rsidRPr="00F3484D">
        <w:t>cannot</w:t>
      </w:r>
      <w:r w:rsidRPr="00F3484D">
        <w:t xml:space="preserve"> reveal publicly who they are investigating and intending to take enforcement action </w:t>
      </w:r>
      <w:r w:rsidRPr="00E428D4">
        <w:t>against</w:t>
      </w:r>
      <w:r w:rsidR="00A21D2B">
        <w:t>,</w:t>
      </w:r>
      <w:r w:rsidR="00C93572" w:rsidRPr="00E428D4">
        <w:t xml:space="preserve"> leading to some confusion around when action is being undertaken.</w:t>
      </w:r>
      <w:r w:rsidR="00C93572">
        <w:t xml:space="preserve"> </w:t>
      </w:r>
      <w:r w:rsidR="00CD50A9">
        <w:t xml:space="preserve"> </w:t>
      </w:r>
    </w:p>
    <w:p w14:paraId="10479AE5" w14:textId="50C1D544" w:rsidR="001F79FD" w:rsidRDefault="001F79FD" w:rsidP="00B17046">
      <w:pPr>
        <w:pStyle w:val="Quote"/>
        <w:ind w:left="1020" w:right="1020"/>
        <w:rPr>
          <w:b/>
        </w:rPr>
      </w:pPr>
      <w:r w:rsidRPr="0025128E">
        <w:t>“It is clear from various stakeholder workshops that many banks are failing to meet the standards on data quality and it is often left to the data recipients to identify and flag these issues. To date, we are not aware of any enforcement action taken to date against data holders failing to meet the standards when it comes to data quality.”</w:t>
      </w:r>
      <w:r w:rsidRPr="000A5DFD">
        <w:t xml:space="preserve"> </w:t>
      </w:r>
      <w:r w:rsidRPr="000A5DFD">
        <w:rPr>
          <w:b/>
        </w:rPr>
        <w:t>– Finder</w:t>
      </w:r>
    </w:p>
    <w:p w14:paraId="43F70516" w14:textId="77777777" w:rsidR="00F029A0" w:rsidRDefault="00F029A0" w:rsidP="00A018DD">
      <w:pPr>
        <w:spacing w:after="0"/>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1F79FD" w14:paraId="2A2A388E" w14:textId="77777777" w:rsidTr="000A5DFD">
        <w:tc>
          <w:tcPr>
            <w:tcW w:w="5000" w:type="pct"/>
            <w:shd w:val="clear" w:color="auto" w:fill="F2F9FC"/>
            <w:hideMark/>
          </w:tcPr>
          <w:p w14:paraId="2CC3F963" w14:textId="77777777" w:rsidR="001F79FD" w:rsidRPr="00CE4B29" w:rsidRDefault="001F79FD" w:rsidP="00DD4CB2">
            <w:pPr>
              <w:rPr>
                <w:b/>
                <w:bCs/>
                <w:color w:val="2C384A" w:themeColor="accent1"/>
                <w:sz w:val="28"/>
                <w:szCs w:val="24"/>
                <w:lang w:eastAsia="en-US"/>
              </w:rPr>
            </w:pPr>
            <w:r w:rsidRPr="00CE4B29">
              <w:rPr>
                <w:b/>
                <w:bCs/>
                <w:color w:val="2C384A" w:themeColor="accent1"/>
                <w:sz w:val="28"/>
                <w:szCs w:val="24"/>
                <w:lang w:eastAsia="en-US"/>
              </w:rPr>
              <w:t>Finding 2.1</w:t>
            </w:r>
          </w:p>
          <w:p w14:paraId="75431930" w14:textId="07B19187" w:rsidR="001F79FD" w:rsidRDefault="00FB0EBB" w:rsidP="0025128E">
            <w:pPr>
              <w:rPr>
                <w:lang w:eastAsia="en-US"/>
              </w:rPr>
            </w:pPr>
            <w:r w:rsidRPr="00CE4B29">
              <w:rPr>
                <w:color w:val="2C384A" w:themeColor="accent1"/>
                <w:lang w:eastAsia="en-US"/>
              </w:rPr>
              <w:t xml:space="preserve">Data quality is limiting the wider adoption of the CDR. </w:t>
            </w:r>
            <w:r w:rsidRPr="00CE4B29">
              <w:rPr>
                <w:color w:val="2C384A" w:themeColor="accent1"/>
              </w:rPr>
              <w:t>Addressing it as a priority</w:t>
            </w:r>
            <w:r w:rsidR="00C91469" w:rsidRPr="00CE4B29">
              <w:rPr>
                <w:color w:val="2C384A" w:themeColor="accent1"/>
              </w:rPr>
              <w:t>, including through enforcement actions when necessary,</w:t>
            </w:r>
            <w:r w:rsidRPr="00CE4B29">
              <w:rPr>
                <w:color w:val="2C384A" w:themeColor="accent1"/>
              </w:rPr>
              <w:t xml:space="preserve"> will increase participant confidence in the CDR, leading to the development of new CDR products that benefit consumers and decrease reliance on risky practises like screen scraping.</w:t>
            </w:r>
          </w:p>
        </w:tc>
      </w:tr>
    </w:tbl>
    <w:p w14:paraId="686AFB87" w14:textId="77777777" w:rsidR="001F79FD" w:rsidRDefault="001F79FD" w:rsidP="00265FE3">
      <w:pPr>
        <w:pStyle w:val="ListParagraph"/>
        <w:spacing w:after="0"/>
        <w:ind w:left="0"/>
        <w:contextualSpacing w:val="0"/>
      </w:pPr>
    </w:p>
    <w:p w14:paraId="75C1296E" w14:textId="345C68F7" w:rsidR="00265FE3" w:rsidRDefault="00F801FC" w:rsidP="00421311">
      <w:r>
        <w:t>While</w:t>
      </w:r>
      <w:r w:rsidR="00265FE3">
        <w:t xml:space="preserve"> the CDR</w:t>
      </w:r>
      <w:r w:rsidR="00265FE3" w:rsidDel="00741C30">
        <w:t xml:space="preserve"> </w:t>
      </w:r>
      <w:r w:rsidR="00265FE3">
        <w:t>provides a</w:t>
      </w:r>
      <w:r>
        <w:t xml:space="preserve"> safe</w:t>
      </w:r>
      <w:r w:rsidR="00265FE3">
        <w:t xml:space="preserve"> </w:t>
      </w:r>
      <w:r w:rsidR="00265FE3" w:rsidRPr="00046C1C">
        <w:t>alternative to screen scraping</w:t>
      </w:r>
      <w:r w:rsidR="000D443A">
        <w:t xml:space="preserve"> (also known as </w:t>
      </w:r>
      <w:r w:rsidR="000D443A" w:rsidRPr="00F3484D">
        <w:rPr>
          <w:rFonts w:cstheme="majorHAnsi"/>
        </w:rPr>
        <w:t>Digital Data Capture</w:t>
      </w:r>
      <w:r w:rsidR="000D443A">
        <w:rPr>
          <w:rFonts w:cstheme="majorHAnsi"/>
        </w:rPr>
        <w:t xml:space="preserve"> or DDC)</w:t>
      </w:r>
      <w:r>
        <w:t>, s</w:t>
      </w:r>
      <w:r w:rsidR="00265FE3">
        <w:t>ubmissions noted a number of reasons why businesses have continued to use screen scraping despite the possibility of receiving data through the CDR.</w:t>
      </w:r>
    </w:p>
    <w:p w14:paraId="79F1B317" w14:textId="3951920F" w:rsidR="00265FE3" w:rsidRDefault="00265FE3" w:rsidP="00B17046">
      <w:pPr>
        <w:pStyle w:val="Quote"/>
      </w:pPr>
      <w:r w:rsidRPr="0025128E">
        <w:t>“When considering the ease and lower cost of implementation of DDC when compared to CDR processes, it is not surprising that the majority of financial services organisations continue to use DDC”</w:t>
      </w:r>
      <w:r w:rsidRPr="00033645">
        <w:t xml:space="preserve"> </w:t>
      </w:r>
      <w:r w:rsidRPr="00F3484D">
        <w:rPr>
          <w:b/>
        </w:rPr>
        <w:t>– illion</w:t>
      </w:r>
    </w:p>
    <w:p w14:paraId="63F3A29A" w14:textId="3BF7EB54" w:rsidR="00265FE3" w:rsidRPr="00383A01" w:rsidRDefault="00265FE3" w:rsidP="00B17046">
      <w:pPr>
        <w:pStyle w:val="Quote"/>
        <w:rPr>
          <w:b/>
        </w:rPr>
      </w:pPr>
      <w:r>
        <w:t>“</w:t>
      </w:r>
      <w:r w:rsidRPr="00383A01">
        <w:t>DSPANZ has heard specific feedback from our members on the quality of Open Banking data. Some members have reverted back to screen scraping methods (where they do not have access to direct bank feeds) due to the quality of the data</w:t>
      </w:r>
      <w:r>
        <w:t>”</w:t>
      </w:r>
      <w:r w:rsidRPr="00383A01">
        <w:t xml:space="preserve"> </w:t>
      </w:r>
      <w:r w:rsidRPr="00F3484D">
        <w:rPr>
          <w:b/>
        </w:rPr>
        <w:t>– Digital Service Providers Australia New Zealand</w:t>
      </w:r>
      <w:r w:rsidR="00F33A65">
        <w:rPr>
          <w:b/>
          <w:bCs/>
        </w:rPr>
        <w:t xml:space="preserve"> (DSPANZ)</w:t>
      </w:r>
    </w:p>
    <w:p w14:paraId="07944A4B" w14:textId="70593DE8" w:rsidR="00265FE3" w:rsidRDefault="00265FE3" w:rsidP="0025128E">
      <w:r>
        <w:t>Many fintechs informed the Review that</w:t>
      </w:r>
      <w:r w:rsidR="00F801FC">
        <w:t>,</w:t>
      </w:r>
      <w:r>
        <w:t xml:space="preserve"> until these issues are addressed, they will have little choice but to rely on screen scraping to support their use cases. </w:t>
      </w:r>
    </w:p>
    <w:p w14:paraId="70DF5C58" w14:textId="59A90375" w:rsidR="00265FE3" w:rsidRDefault="00265FE3" w:rsidP="00421311">
      <w:r>
        <w:t xml:space="preserve">Once the data provided under CDR </w:t>
      </w:r>
      <w:r w:rsidR="00591E88">
        <w:t xml:space="preserve">becomes </w:t>
      </w:r>
      <w:r w:rsidR="0023295F">
        <w:t>comparable to that</w:t>
      </w:r>
      <w:r>
        <w:t xml:space="preserve"> collected via screen scraping</w:t>
      </w:r>
      <w:r w:rsidR="00591E88">
        <w:t>,</w:t>
      </w:r>
      <w:r>
        <w:t xml:space="preserve"> </w:t>
      </w:r>
      <w:r w:rsidR="00E23B3A">
        <w:t>most</w:t>
      </w:r>
      <w:r w:rsidR="00C50582">
        <w:t xml:space="preserve"> </w:t>
      </w:r>
      <w:r>
        <w:t xml:space="preserve">participants </w:t>
      </w:r>
      <w:r w:rsidR="0023295F">
        <w:t xml:space="preserve">are </w:t>
      </w:r>
      <w:r w:rsidR="00591E88">
        <w:t xml:space="preserve">willing </w:t>
      </w:r>
      <w:r w:rsidRPr="00046C1C">
        <w:t xml:space="preserve">to move </w:t>
      </w:r>
      <w:r>
        <w:t xml:space="preserve">fully </w:t>
      </w:r>
      <w:r w:rsidRPr="00046C1C">
        <w:t>to the CDR</w:t>
      </w:r>
      <w:r>
        <w:t>.</w:t>
      </w:r>
      <w:r w:rsidRPr="00151403">
        <w:t xml:space="preserve"> </w:t>
      </w:r>
      <w:r>
        <w:t xml:space="preserve">Until </w:t>
      </w:r>
      <w:r w:rsidR="00591E88">
        <w:t xml:space="preserve">that </w:t>
      </w:r>
      <w:r>
        <w:t>occurs</w:t>
      </w:r>
      <w:r w:rsidR="00591E88">
        <w:t>,</w:t>
      </w:r>
      <w:r>
        <w:t xml:space="preserve"> poor data quality will limit potential uses cases and continue to dissuade many from joining the </w:t>
      </w:r>
      <w:r w:rsidRPr="00046C1C">
        <w:t>CDR</w:t>
      </w:r>
      <w:r w:rsidR="0023295F">
        <w:t>, even though they concede it is a superior data sharing system</w:t>
      </w:r>
      <w:r>
        <w:t>.</w:t>
      </w:r>
    </w:p>
    <w:p w14:paraId="43E695E1" w14:textId="77777777" w:rsidR="00265FE3" w:rsidRDefault="00265FE3" w:rsidP="00421311">
      <w:pPr>
        <w:pStyle w:val="Quote"/>
      </w:pPr>
      <w:r w:rsidRPr="00FC31AB">
        <w:lastRenderedPageBreak/>
        <w:t>“</w:t>
      </w:r>
      <w:r>
        <w:t>i</w:t>
      </w:r>
      <w:r w:rsidRPr="00FC31AB">
        <w:t>llion’s conclusion is that CDR is technically a far superior solution to the Digital Data Capture mechanisms currently used in financial services</w:t>
      </w:r>
      <w:r>
        <w:t>”</w:t>
      </w:r>
      <w:r w:rsidRPr="00FC31AB">
        <w:t xml:space="preserve"> </w:t>
      </w:r>
      <w:r w:rsidRPr="00F3484D">
        <w:rPr>
          <w:b/>
        </w:rPr>
        <w:t>– illion</w:t>
      </w:r>
    </w:p>
    <w:p w14:paraId="7BB94463" w14:textId="55EE747D" w:rsidR="00B2221F" w:rsidRDefault="00265FE3" w:rsidP="0025128E">
      <w:r>
        <w:t xml:space="preserve">In </w:t>
      </w:r>
      <w:r w:rsidR="00591E88">
        <w:t xml:space="preserve">its </w:t>
      </w:r>
      <w:r>
        <w:t>submission</w:t>
      </w:r>
      <w:r w:rsidR="00591E88">
        <w:t>,</w:t>
      </w:r>
      <w:r>
        <w:t xml:space="preserve"> Verifier recommended a sunset on screen scraping. The </w:t>
      </w:r>
      <w:r w:rsidR="000D443A">
        <w:t>G</w:t>
      </w:r>
      <w:r w:rsidRPr="00046C1C">
        <w:t xml:space="preserve">overnment </w:t>
      </w:r>
      <w:r>
        <w:t>should consider this recommendation and provide an indication to industry of the intention to move away from screen scraping</w:t>
      </w:r>
      <w:r w:rsidR="0035644C">
        <w:t xml:space="preserve">. </w:t>
      </w:r>
      <w:r w:rsidR="00C27E19">
        <w:t xml:space="preserve">Signalling the intention to prohibit screen scraping will provide participants with </w:t>
      </w:r>
      <w:r w:rsidR="00C141E5">
        <w:t>greater</w:t>
      </w:r>
      <w:r w:rsidR="00C27E19">
        <w:t xml:space="preserve"> certainty and provide an incentive to direct resources into </w:t>
      </w:r>
      <w:r w:rsidR="0035644C">
        <w:t xml:space="preserve">complying with CDR requirements rather than maintaining screen scraping </w:t>
      </w:r>
      <w:r w:rsidR="0035644C" w:rsidRPr="00F21FF1">
        <w:t xml:space="preserve">capabilities. </w:t>
      </w:r>
      <w:r w:rsidR="007A76DD" w:rsidRPr="007A76DD">
        <w:t>The Government could incentivise industry by clearly signalling when and how this prohibition will come into effect, providing them with certainty and adequate time to transition.</w:t>
      </w:r>
    </w:p>
    <w:p w14:paraId="18EDC87A" w14:textId="61348787" w:rsidR="00265FE3" w:rsidRDefault="00591E88" w:rsidP="0025128E">
      <w:r>
        <w:t>C</w:t>
      </w:r>
      <w:r w:rsidR="00265FE3" w:rsidRPr="00046C1C">
        <w:t>onsideration</w:t>
      </w:r>
      <w:r w:rsidR="0035644C">
        <w:t xml:space="preserve"> of prohibiting screen scaping</w:t>
      </w:r>
      <w:r w:rsidR="00265FE3" w:rsidRPr="00046C1C">
        <w:t xml:space="preserve"> should </w:t>
      </w:r>
      <w:r w:rsidR="00EC18E6">
        <w:t>take account of</w:t>
      </w:r>
      <w:r w:rsidR="00265FE3" w:rsidRPr="00046C1C">
        <w:t xml:space="preserve"> the difficulty </w:t>
      </w:r>
      <w:r w:rsidR="00D17B39">
        <w:t xml:space="preserve">that </w:t>
      </w:r>
      <w:r w:rsidR="00265FE3" w:rsidRPr="00046C1C">
        <w:t>small business</w:t>
      </w:r>
      <w:r w:rsidR="00265FE3">
        <w:t>es</w:t>
      </w:r>
      <w:r w:rsidR="00265FE3" w:rsidRPr="00046C1C">
        <w:t xml:space="preserve"> experience in participating in the CDR</w:t>
      </w:r>
      <w:r w:rsidR="001F0E4B">
        <w:t>,</w:t>
      </w:r>
      <w:r w:rsidR="00265FE3" w:rsidRPr="00046C1C">
        <w:t xml:space="preserve"> </w:t>
      </w:r>
      <w:r w:rsidR="001F0E4B">
        <w:t>as well as</w:t>
      </w:r>
      <w:r w:rsidR="00265FE3">
        <w:t xml:space="preserve"> the context of the </w:t>
      </w:r>
      <w:r w:rsidR="004E25A1">
        <w:t xml:space="preserve">Future Directions </w:t>
      </w:r>
      <w:r w:rsidR="00265FE3" w:rsidRPr="00383A01">
        <w:t>Inquiry</w:t>
      </w:r>
      <w:r>
        <w:t>,</w:t>
      </w:r>
      <w:r w:rsidR="00265FE3">
        <w:t xml:space="preserve"> which previously proposed prohibit</w:t>
      </w:r>
      <w:r>
        <w:t>ing it</w:t>
      </w:r>
      <w:r w:rsidR="00265FE3">
        <w:t xml:space="preserve"> for payment initiation.</w:t>
      </w:r>
      <w:r w:rsidR="00265FE3" w:rsidRPr="00600205">
        <w:rPr>
          <w:rStyle w:val="FootnoteReference"/>
          <w:sz w:val="22"/>
          <w:szCs w:val="24"/>
          <w:vertAlign w:val="superscript"/>
        </w:rPr>
        <w:footnoteReference w:id="18"/>
      </w:r>
    </w:p>
    <w:p w14:paraId="70DA380E" w14:textId="77777777" w:rsidR="00265FE3" w:rsidRDefault="00265FE3" w:rsidP="00265FE3"/>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265FE3" w14:paraId="2C02AFD4" w14:textId="77777777" w:rsidTr="00F3484D">
        <w:trPr>
          <w:cnfStyle w:val="100000000000" w:firstRow="1" w:lastRow="0" w:firstColumn="0" w:lastColumn="0" w:oddVBand="0" w:evenVBand="0" w:oddHBand="0" w:evenHBand="0" w:firstRowFirstColumn="0" w:firstRowLastColumn="0" w:lastRowFirstColumn="0" w:lastRowLastColumn="0"/>
          <w:trHeight w:val="1490"/>
        </w:trPr>
        <w:tc>
          <w:tcPr>
            <w:tcW w:w="0" w:type="pct"/>
            <w:shd w:val="clear" w:color="auto" w:fill="FCEEE5" w:themeFill="accent6" w:themeFillTint="33"/>
          </w:tcPr>
          <w:p w14:paraId="7EA55B55" w14:textId="77777777" w:rsidR="00265FE3" w:rsidRPr="00DD4CB2" w:rsidRDefault="00265FE3" w:rsidP="00B17046">
            <w:pPr>
              <w:pStyle w:val="BoxHeading"/>
              <w:rPr>
                <w:color w:val="2C384A"/>
                <w:sz w:val="28"/>
                <w:szCs w:val="28"/>
              </w:rPr>
            </w:pPr>
            <w:r w:rsidRPr="00DD4CB2">
              <w:t>Recommendation 2.1</w:t>
            </w:r>
          </w:p>
          <w:p w14:paraId="28ADBB99" w14:textId="57F7AE2D" w:rsidR="00265FE3" w:rsidRPr="0025128E" w:rsidRDefault="00265FE3" w:rsidP="0025128E">
            <w:pPr>
              <w:rPr>
                <w:b/>
                <w:szCs w:val="22"/>
              </w:rPr>
            </w:pPr>
            <w:r w:rsidRPr="00DD4CB2">
              <w:rPr>
                <w:color w:val="2C384A"/>
                <w:szCs w:val="22"/>
              </w:rPr>
              <w:t xml:space="preserve">Screen scraping should be banned in the near future in sectors where the CDR is a </w:t>
            </w:r>
            <w:r w:rsidR="0023295F" w:rsidRPr="00DD4CB2">
              <w:rPr>
                <w:color w:val="2C384A"/>
                <w:szCs w:val="22"/>
              </w:rPr>
              <w:t xml:space="preserve">viable </w:t>
            </w:r>
            <w:r w:rsidRPr="00DD4CB2">
              <w:rPr>
                <w:color w:val="2C384A"/>
                <w:szCs w:val="22"/>
              </w:rPr>
              <w:t xml:space="preserve">alternative. Importantly, </w:t>
            </w:r>
            <w:r w:rsidR="00644500">
              <w:rPr>
                <w:color w:val="2C384A"/>
                <w:szCs w:val="22"/>
              </w:rPr>
              <w:t xml:space="preserve">the </w:t>
            </w:r>
            <w:r w:rsidR="0075722F" w:rsidRPr="00DD4CB2">
              <w:rPr>
                <w:color w:val="2C384A"/>
                <w:szCs w:val="22"/>
              </w:rPr>
              <w:t>G</w:t>
            </w:r>
            <w:r w:rsidRPr="00DD4CB2">
              <w:rPr>
                <w:color w:val="2C384A"/>
                <w:szCs w:val="22"/>
              </w:rPr>
              <w:t>overnment should</w:t>
            </w:r>
            <w:r w:rsidR="00EA0B36" w:rsidRPr="00DD4CB2">
              <w:rPr>
                <w:color w:val="2C384A"/>
                <w:szCs w:val="22"/>
              </w:rPr>
              <w:t xml:space="preserve"> clearly</w:t>
            </w:r>
            <w:r w:rsidRPr="00DD4CB2">
              <w:rPr>
                <w:color w:val="2C384A"/>
                <w:szCs w:val="22"/>
              </w:rPr>
              <w:t xml:space="preserve"> signal </w:t>
            </w:r>
            <w:r w:rsidR="00EA0B36" w:rsidRPr="00DD4CB2">
              <w:rPr>
                <w:color w:val="2C384A"/>
                <w:szCs w:val="22"/>
              </w:rPr>
              <w:t xml:space="preserve">when and how the </w:t>
            </w:r>
            <w:r w:rsidRPr="00DD4CB2">
              <w:rPr>
                <w:color w:val="2C384A"/>
                <w:szCs w:val="22"/>
              </w:rPr>
              <w:t>implement</w:t>
            </w:r>
            <w:r w:rsidR="00EA0B36" w:rsidRPr="00DD4CB2">
              <w:rPr>
                <w:color w:val="2C384A"/>
                <w:szCs w:val="22"/>
              </w:rPr>
              <w:t>ation</w:t>
            </w:r>
            <w:r w:rsidRPr="00DD4CB2">
              <w:rPr>
                <w:color w:val="2C384A"/>
                <w:szCs w:val="22"/>
              </w:rPr>
              <w:t xml:space="preserve"> </w:t>
            </w:r>
            <w:r w:rsidR="00EA0B36" w:rsidRPr="00DD4CB2">
              <w:rPr>
                <w:color w:val="2C384A"/>
                <w:szCs w:val="22"/>
              </w:rPr>
              <w:t>of the ban</w:t>
            </w:r>
            <w:r w:rsidRPr="00DD4CB2">
              <w:rPr>
                <w:color w:val="2C384A"/>
                <w:szCs w:val="22"/>
              </w:rPr>
              <w:t xml:space="preserve"> </w:t>
            </w:r>
            <w:r w:rsidR="00E467AF" w:rsidRPr="00DD4CB2">
              <w:rPr>
                <w:color w:val="2C384A"/>
                <w:szCs w:val="22"/>
              </w:rPr>
              <w:t>would</w:t>
            </w:r>
            <w:r w:rsidR="00EA0B36" w:rsidRPr="00DD4CB2">
              <w:rPr>
                <w:color w:val="2C384A"/>
                <w:szCs w:val="22"/>
              </w:rPr>
              <w:t xml:space="preserve"> take effect</w:t>
            </w:r>
            <w:r w:rsidR="001E1089" w:rsidRPr="00DD4CB2">
              <w:rPr>
                <w:rFonts w:cs="Calibri Light"/>
                <w:color w:val="2C384A"/>
                <w:szCs w:val="22"/>
              </w:rPr>
              <w:t xml:space="preserve">. This </w:t>
            </w:r>
            <w:r w:rsidR="00E467AF" w:rsidRPr="00DD4CB2">
              <w:rPr>
                <w:rFonts w:cs="Calibri Light"/>
                <w:color w:val="2C384A"/>
                <w:szCs w:val="22"/>
              </w:rPr>
              <w:t>would</w:t>
            </w:r>
            <w:r w:rsidR="00EA0B36" w:rsidRPr="00DD4CB2">
              <w:rPr>
                <w:color w:val="2C384A"/>
                <w:szCs w:val="22"/>
              </w:rPr>
              <w:t xml:space="preserve"> provide certainty and adequate time for businesses to transition, along with </w:t>
            </w:r>
            <w:r w:rsidRPr="00DD4CB2">
              <w:rPr>
                <w:color w:val="2C384A"/>
                <w:szCs w:val="22"/>
              </w:rPr>
              <w:t>stronger incentives to invest in moving to the CDR</w:t>
            </w:r>
            <w:r w:rsidR="00EA0B36" w:rsidRPr="00DD4CB2">
              <w:rPr>
                <w:color w:val="2C384A"/>
                <w:szCs w:val="22"/>
              </w:rPr>
              <w:t>.</w:t>
            </w:r>
          </w:p>
        </w:tc>
      </w:tr>
    </w:tbl>
    <w:p w14:paraId="5DC57C00" w14:textId="7D5331A7" w:rsidR="00265FE3" w:rsidRPr="00500AE1" w:rsidRDefault="0043272A" w:rsidP="00600205">
      <w:pPr>
        <w:pStyle w:val="Heading2"/>
      </w:pPr>
      <w:bookmarkStart w:id="85" w:name="_Toc110602879"/>
      <w:r w:rsidRPr="00500AE1">
        <w:t>2.</w:t>
      </w:r>
      <w:r w:rsidR="00D9644D" w:rsidRPr="00600205">
        <w:t>2</w:t>
      </w:r>
      <w:r w:rsidRPr="00500AE1">
        <w:t xml:space="preserve"> </w:t>
      </w:r>
      <w:r w:rsidR="00D9644D" w:rsidRPr="00790393">
        <w:rPr>
          <w:color w:val="auto"/>
        </w:rPr>
        <w:t>Accreditation</w:t>
      </w:r>
      <w:r w:rsidR="00D9644D" w:rsidRPr="00600205">
        <w:t xml:space="preserve"> and compliance </w:t>
      </w:r>
      <w:r w:rsidR="00D9644D" w:rsidRPr="00500AE1">
        <w:t>tools</w:t>
      </w:r>
      <w:bookmarkEnd w:id="85"/>
      <w:r w:rsidR="00D9644D" w:rsidRPr="00500AE1">
        <w:t xml:space="preserve"> </w:t>
      </w:r>
    </w:p>
    <w:p w14:paraId="4280F223" w14:textId="2D1560D9" w:rsidR="00F36CB8" w:rsidRPr="00A238A6" w:rsidRDefault="00F36CB8" w:rsidP="008D5E2B">
      <w:r w:rsidRPr="00A238A6">
        <w:t xml:space="preserve">Issues related to conformance testing, accreditation processes and compliance tools were raised </w:t>
      </w:r>
      <w:r w:rsidR="00D76CD2" w:rsidRPr="00A238A6">
        <w:t>throughout the</w:t>
      </w:r>
      <w:r w:rsidRPr="00A238A6">
        <w:t xml:space="preserve"> Review. Stakeholder comments ranged from</w:t>
      </w:r>
      <w:r w:rsidR="00D76CD2" w:rsidRPr="00A238A6">
        <w:t xml:space="preserve"> identifying</w:t>
      </w:r>
      <w:r w:rsidRPr="00A238A6">
        <w:t xml:space="preserve"> potential conflicts of roles in these processes to </w:t>
      </w:r>
      <w:r w:rsidR="00D76CD2" w:rsidRPr="00A238A6">
        <w:t xml:space="preserve">unmet </w:t>
      </w:r>
      <w:r w:rsidRPr="00A238A6">
        <w:t>expectations about what these accreditation processes mean for data quality in the</w:t>
      </w:r>
      <w:r w:rsidR="00D76CD2" w:rsidRPr="00A238A6">
        <w:t xml:space="preserve"> CDR</w:t>
      </w:r>
      <w:r w:rsidRPr="00A238A6">
        <w:t xml:space="preserve"> system.   </w:t>
      </w:r>
    </w:p>
    <w:p w14:paraId="3A2B4046" w14:textId="24987296" w:rsidR="00184702" w:rsidRDefault="002B0D7B" w:rsidP="001B1150">
      <w:pPr>
        <w:ind w:right="340"/>
      </w:pPr>
      <w:r w:rsidRPr="00790393">
        <w:t>Some s</w:t>
      </w:r>
      <w:r w:rsidR="00265FE3" w:rsidRPr="00790393">
        <w:t xml:space="preserve">takeholders implied there was a perceived conflict </w:t>
      </w:r>
      <w:r w:rsidR="00E467AF" w:rsidRPr="00790393">
        <w:t xml:space="preserve">in </w:t>
      </w:r>
      <w:r w:rsidR="00265FE3" w:rsidRPr="00790393">
        <w:t>the ACCC</w:t>
      </w:r>
      <w:r w:rsidR="00E467AF" w:rsidRPr="00790393">
        <w:t>’s</w:t>
      </w:r>
      <w:r w:rsidR="00265FE3" w:rsidRPr="00790393">
        <w:t xml:space="preserve"> responsib</w:t>
      </w:r>
      <w:r w:rsidR="00E467AF" w:rsidRPr="00790393">
        <w:t>ility</w:t>
      </w:r>
      <w:r w:rsidR="00265FE3" w:rsidRPr="00790393">
        <w:t xml:space="preserve"> for </w:t>
      </w:r>
      <w:r w:rsidR="00146354" w:rsidRPr="00790393">
        <w:t xml:space="preserve">CDR </w:t>
      </w:r>
      <w:r w:rsidR="00265FE3" w:rsidRPr="00790393">
        <w:t>accreditation</w:t>
      </w:r>
      <w:r w:rsidR="00E467AF" w:rsidRPr="00790393">
        <w:t xml:space="preserve">, </w:t>
      </w:r>
      <w:r w:rsidR="00265FE3" w:rsidRPr="00790393">
        <w:t xml:space="preserve">operations </w:t>
      </w:r>
      <w:r w:rsidR="00E467AF" w:rsidRPr="00790393">
        <w:t>and</w:t>
      </w:r>
      <w:r w:rsidR="00265FE3" w:rsidRPr="00790393">
        <w:t xml:space="preserve"> compliance</w:t>
      </w:r>
      <w:r w:rsidR="00E467AF" w:rsidRPr="00790393">
        <w:t xml:space="preserve"> enforcement</w:t>
      </w:r>
      <w:r w:rsidR="00265FE3" w:rsidRPr="00790393">
        <w:t xml:space="preserve">; </w:t>
      </w:r>
      <w:r w:rsidR="00E467AF" w:rsidRPr="00790393">
        <w:t xml:space="preserve">in other words, </w:t>
      </w:r>
      <w:r w:rsidR="00265FE3" w:rsidRPr="00790393">
        <w:t xml:space="preserve">being responsible for onboarding new participants into the system makes it difficult to </w:t>
      </w:r>
      <w:r w:rsidR="00E467AF" w:rsidRPr="00790393">
        <w:t xml:space="preserve">then </w:t>
      </w:r>
      <w:r w:rsidR="00265FE3" w:rsidRPr="00790393">
        <w:t xml:space="preserve">undertake enforcement activities. </w:t>
      </w:r>
      <w:r w:rsidR="00146354" w:rsidRPr="00A238A6">
        <w:t>P</w:t>
      </w:r>
      <w:r w:rsidR="00265FE3" w:rsidRPr="00A238A6">
        <w:t>articipants</w:t>
      </w:r>
      <w:r w:rsidR="00146354" w:rsidRPr="00A238A6">
        <w:t xml:space="preserve"> raised concerns</w:t>
      </w:r>
      <w:r w:rsidR="00265FE3" w:rsidRPr="00A238A6">
        <w:t xml:space="preserve"> that</w:t>
      </w:r>
      <w:r w:rsidR="00265FE3" w:rsidRPr="00790393">
        <w:t xml:space="preserve"> any engagement could later </w:t>
      </w:r>
      <w:r w:rsidR="00E467AF" w:rsidRPr="00790393">
        <w:t xml:space="preserve">be </w:t>
      </w:r>
      <w:r w:rsidR="00265FE3" w:rsidRPr="00790393">
        <w:t xml:space="preserve">used as evidence of non-compliance. </w:t>
      </w:r>
      <w:r w:rsidR="004A7F28" w:rsidRPr="00790393">
        <w:t xml:space="preserve">In </w:t>
      </w:r>
      <w:r w:rsidR="00E467AF" w:rsidRPr="00790393">
        <w:t>its</w:t>
      </w:r>
      <w:r w:rsidR="004A7F28" w:rsidRPr="00790393">
        <w:t xml:space="preserve"> submission, t</w:t>
      </w:r>
      <w:r w:rsidR="00265FE3" w:rsidRPr="00790393">
        <w:t>he ACCC</w:t>
      </w:r>
      <w:r w:rsidR="004A7F28" w:rsidRPr="00790393" w:rsidDel="00906AFC">
        <w:t xml:space="preserve"> </w:t>
      </w:r>
      <w:r w:rsidR="004A7F28" w:rsidRPr="00790393">
        <w:t>also</w:t>
      </w:r>
      <w:r w:rsidR="00906AFC" w:rsidRPr="00790393">
        <w:t xml:space="preserve"> discussed</w:t>
      </w:r>
      <w:r w:rsidR="004A7F28" w:rsidRPr="00790393" w:rsidDel="00906AFC">
        <w:t xml:space="preserve"> </w:t>
      </w:r>
      <w:r w:rsidR="004A7F28" w:rsidRPr="00790393">
        <w:t>separating these</w:t>
      </w:r>
      <w:r w:rsidR="00906AFC" w:rsidRPr="00790393">
        <w:t xml:space="preserve"> operational and</w:t>
      </w:r>
      <w:r w:rsidR="004A7F28" w:rsidRPr="00790393">
        <w:t xml:space="preserve"> </w:t>
      </w:r>
      <w:r w:rsidR="009A5609" w:rsidRPr="00790393">
        <w:t xml:space="preserve">enforcement </w:t>
      </w:r>
      <w:r w:rsidR="004A7F28" w:rsidRPr="00790393">
        <w:t>roles</w:t>
      </w:r>
      <w:r w:rsidR="009A5609" w:rsidRPr="00790393">
        <w:t>.</w:t>
      </w:r>
      <w:r w:rsidR="009A5609" w:rsidRPr="005702BA">
        <w:t xml:space="preserve"> </w:t>
      </w:r>
    </w:p>
    <w:p w14:paraId="40046833" w14:textId="57484BD0" w:rsidR="00265FE3" w:rsidRPr="006027C7" w:rsidRDefault="00265FE3" w:rsidP="008D5E2B">
      <w:r>
        <w:t>While this is a</w:t>
      </w:r>
      <w:r w:rsidR="002B0D7B">
        <w:t>n understandable</w:t>
      </w:r>
      <w:r>
        <w:t xml:space="preserve"> concern,</w:t>
      </w:r>
      <w:r w:rsidR="002B0D7B">
        <w:t xml:space="preserve"> there would be risks associated with</w:t>
      </w:r>
      <w:r w:rsidR="00906AFC">
        <w:t xml:space="preserve"> possible</w:t>
      </w:r>
      <w:r w:rsidR="002B0D7B">
        <w:t xml:space="preserve"> conflicting interpretations of rules if accreditation and operations were separated from the body enforcing the rules and</w:t>
      </w:r>
      <w:r>
        <w:t xml:space="preserve"> it is difficult to </w:t>
      </w:r>
      <w:r w:rsidR="00E467AF">
        <w:t xml:space="preserve">see </w:t>
      </w:r>
      <w:r>
        <w:t xml:space="preserve">where else the accreditation </w:t>
      </w:r>
      <w:r w:rsidRPr="006027C7">
        <w:t>and operations responsibilities should go</w:t>
      </w:r>
      <w:r w:rsidR="00E467AF" w:rsidRPr="006027C7">
        <w:t xml:space="preserve"> within</w:t>
      </w:r>
      <w:r w:rsidRPr="006027C7">
        <w:t xml:space="preserve"> </w:t>
      </w:r>
      <w:r w:rsidR="00E467AF" w:rsidRPr="006027C7">
        <w:t xml:space="preserve">in the existing governance of the CDR, </w:t>
      </w:r>
      <w:r w:rsidRPr="006027C7">
        <w:t>if not the ACCC</w:t>
      </w:r>
      <w:r w:rsidR="008427CF" w:rsidRPr="006027C7">
        <w:t xml:space="preserve"> (see also section 2.3)</w:t>
      </w:r>
      <w:r w:rsidRPr="006027C7">
        <w:t xml:space="preserve">. </w:t>
      </w:r>
      <w:r w:rsidR="005F1194" w:rsidRPr="006027C7">
        <w:t xml:space="preserve">While these functions are maintained by the ACCC, it </w:t>
      </w:r>
      <w:r w:rsidRPr="006027C7">
        <w:t>will be important to address these concerns (real</w:t>
      </w:r>
      <w:r>
        <w:t xml:space="preserve"> or perceived)</w:t>
      </w:r>
      <w:r w:rsidR="005F1194">
        <w:t xml:space="preserve"> to give </w:t>
      </w:r>
      <w:r>
        <w:t>industry confidence they can work in collaboration with the ACCC to address issues as they arise. To this end</w:t>
      </w:r>
      <w:r w:rsidR="005F1194">
        <w:t>,</w:t>
      </w:r>
      <w:r>
        <w:t xml:space="preserve"> it is encouraging to see the </w:t>
      </w:r>
      <w:r w:rsidR="005F1194">
        <w:t xml:space="preserve">ACCC’s </w:t>
      </w:r>
      <w:r>
        <w:t xml:space="preserve">public willingness to take action </w:t>
      </w:r>
      <w:r w:rsidR="00690DC7">
        <w:t xml:space="preserve">when </w:t>
      </w:r>
      <w:r>
        <w:lastRenderedPageBreak/>
        <w:t xml:space="preserve">data holders </w:t>
      </w:r>
      <w:r w:rsidR="005F1194">
        <w:t xml:space="preserve">fail </w:t>
      </w:r>
      <w:r>
        <w:t xml:space="preserve">to meet </w:t>
      </w:r>
      <w:r w:rsidR="005F1194">
        <w:t xml:space="preserve">their </w:t>
      </w:r>
      <w:r>
        <w:t>CDR obligations</w:t>
      </w:r>
      <w:r w:rsidR="00690DC7">
        <w:t>,</w:t>
      </w:r>
      <w:r w:rsidR="00323FBE" w:rsidRPr="005702BA">
        <w:rPr>
          <w:rStyle w:val="FootnoteReference"/>
          <w:sz w:val="22"/>
          <w:szCs w:val="24"/>
          <w:vertAlign w:val="superscript"/>
        </w:rPr>
        <w:footnoteReference w:id="19"/>
      </w:r>
      <w:r w:rsidR="00323FBE" w:rsidRPr="005702BA">
        <w:rPr>
          <w:sz w:val="28"/>
          <w:szCs w:val="24"/>
        </w:rPr>
        <w:t xml:space="preserve"> </w:t>
      </w:r>
      <w:r w:rsidR="005F315D" w:rsidRPr="00DC5CB0">
        <w:t>a</w:t>
      </w:r>
      <w:r w:rsidR="00690DC7" w:rsidRPr="00DC5CB0">
        <w:t>s</w:t>
      </w:r>
      <w:r w:rsidR="005F315D" w:rsidRPr="00DC5CB0">
        <w:t xml:space="preserve"> was </w:t>
      </w:r>
      <w:r w:rsidR="00A14613" w:rsidRPr="00DC5CB0">
        <w:t xml:space="preserve">recently </w:t>
      </w:r>
      <w:r w:rsidR="005F315D" w:rsidRPr="00DC5CB0">
        <w:t xml:space="preserve">observed </w:t>
      </w:r>
      <w:r w:rsidR="00690DC7" w:rsidRPr="00DC5CB0">
        <w:t>in</w:t>
      </w:r>
      <w:r w:rsidR="003C448E" w:rsidRPr="00DC5CB0">
        <w:t xml:space="preserve"> </w:t>
      </w:r>
      <w:r w:rsidR="00A14613" w:rsidRPr="00DC5CB0">
        <w:t xml:space="preserve">the </w:t>
      </w:r>
      <w:r w:rsidR="00EC18E6">
        <w:t xml:space="preserve">issue of the </w:t>
      </w:r>
      <w:r w:rsidR="00A14613" w:rsidRPr="00DC5CB0">
        <w:t xml:space="preserve">infringement notice against the </w:t>
      </w:r>
      <w:r w:rsidR="00323FBE" w:rsidRPr="00DC5CB0">
        <w:t xml:space="preserve">Bank of </w:t>
      </w:r>
      <w:r w:rsidR="00323FBE" w:rsidRPr="006027C7">
        <w:t>Queensland</w:t>
      </w:r>
      <w:r w:rsidR="00690DC7" w:rsidRPr="006027C7">
        <w:t>.</w:t>
      </w:r>
      <w:r w:rsidRPr="006027C7">
        <w:rPr>
          <w:rStyle w:val="FootnoteReference"/>
          <w:sz w:val="22"/>
          <w:szCs w:val="24"/>
          <w:vertAlign w:val="superscript"/>
        </w:rPr>
        <w:footnoteReference w:id="20"/>
      </w:r>
      <w:r w:rsidRPr="006027C7">
        <w:rPr>
          <w:sz w:val="28"/>
          <w:szCs w:val="24"/>
          <w:vertAlign w:val="superscript"/>
        </w:rPr>
        <w:t xml:space="preserve"> </w:t>
      </w:r>
    </w:p>
    <w:p w14:paraId="041E38CF" w14:textId="605017F9" w:rsidR="00265FE3" w:rsidRDefault="00265FE3" w:rsidP="008D5E2B">
      <w:r w:rsidRPr="006027C7">
        <w:t>Despite passing the Conformance Test Suite (CTS) (see Box 2.1)</w:t>
      </w:r>
      <w:r w:rsidR="005F1194" w:rsidRPr="006027C7">
        <w:t xml:space="preserve">, </w:t>
      </w:r>
      <w:r w:rsidRPr="006027C7">
        <w:t xml:space="preserve">ADRs were </w:t>
      </w:r>
      <w:r w:rsidR="00287272" w:rsidRPr="006027C7">
        <w:t xml:space="preserve">also </w:t>
      </w:r>
      <w:r w:rsidRPr="006027C7">
        <w:t xml:space="preserve">consistently concerned about the quality of data received </w:t>
      </w:r>
      <w:r w:rsidR="00287272" w:rsidRPr="006027C7">
        <w:t>through the system</w:t>
      </w:r>
      <w:r w:rsidRPr="006027C7">
        <w:t xml:space="preserve"> and</w:t>
      </w:r>
      <w:r w:rsidRPr="006027C7" w:rsidDel="00027C0F">
        <w:t xml:space="preserve"> </w:t>
      </w:r>
      <w:r w:rsidRPr="006027C7">
        <w:t xml:space="preserve">noted </w:t>
      </w:r>
      <w:r w:rsidR="00A77F3C" w:rsidRPr="006027C7">
        <w:t>that d</w:t>
      </w:r>
      <w:r w:rsidRPr="006027C7">
        <w:t xml:space="preserve">ata </w:t>
      </w:r>
      <w:r w:rsidR="00A77F3C" w:rsidRPr="006027C7">
        <w:t>h</w:t>
      </w:r>
      <w:r w:rsidRPr="006027C7">
        <w:t xml:space="preserve">olders routinely provided poor quality, non-conforming data. </w:t>
      </w:r>
      <w:r w:rsidR="00755D38" w:rsidRPr="006027C7">
        <w:t>T</w:t>
      </w:r>
      <w:r w:rsidR="00790393" w:rsidRPr="006027C7">
        <w:t>he Review notes that</w:t>
      </w:r>
      <w:r w:rsidR="008051A9" w:rsidRPr="006027C7">
        <w:t xml:space="preserve"> the </w:t>
      </w:r>
      <w:r w:rsidRPr="006027C7">
        <w:t xml:space="preserve">CTS does not test </w:t>
      </w:r>
      <w:r w:rsidR="009408C8" w:rsidRPr="006027C7">
        <w:t xml:space="preserve">the </w:t>
      </w:r>
      <w:r w:rsidR="00287272" w:rsidRPr="006027C7">
        <w:t>data quality</w:t>
      </w:r>
      <w:r w:rsidR="009408C8" w:rsidRPr="006027C7">
        <w:t xml:space="preserve"> of data holders</w:t>
      </w:r>
      <w:r w:rsidR="00287272" w:rsidRPr="006027C7">
        <w:t>.</w:t>
      </w:r>
      <w:r w:rsidR="009408C8" w:rsidRPr="006027C7">
        <w:t xml:space="preserve"> Before being ‘activated’ in the register</w:t>
      </w:r>
      <w:r w:rsidR="009408C8" w:rsidRPr="00A238A6">
        <w:t xml:space="preserve"> by the ACCC to </w:t>
      </w:r>
      <w:r w:rsidR="005424BA" w:rsidRPr="00A238A6">
        <w:t>begin</w:t>
      </w:r>
      <w:r w:rsidR="009408C8" w:rsidRPr="00A238A6">
        <w:t xml:space="preserve"> data sharing, both ADRs and </w:t>
      </w:r>
      <w:r w:rsidR="00940786" w:rsidRPr="00A238A6">
        <w:t>d</w:t>
      </w:r>
      <w:r w:rsidR="009408C8" w:rsidRPr="00A238A6">
        <w:t xml:space="preserve">ata </w:t>
      </w:r>
      <w:r w:rsidR="00940786" w:rsidRPr="00A238A6">
        <w:t>h</w:t>
      </w:r>
      <w:r w:rsidR="009408C8" w:rsidRPr="00A238A6">
        <w:t>olders are required by the ACCC to complete testing of their systems and successfully complete testing against the CTS</w:t>
      </w:r>
      <w:r w:rsidR="005424BA" w:rsidRPr="00A238A6">
        <w:t xml:space="preserve">. </w:t>
      </w:r>
      <w:r w:rsidRPr="00A238A6">
        <w:t>Understandably</w:t>
      </w:r>
      <w:r w:rsidR="00422014" w:rsidRPr="00A238A6">
        <w:t xml:space="preserve"> however</w:t>
      </w:r>
      <w:r w:rsidR="00A77F3C" w:rsidRPr="00A238A6">
        <w:t>,</w:t>
      </w:r>
      <w:r w:rsidRPr="00A238A6">
        <w:t xml:space="preserve"> </w:t>
      </w:r>
      <w:r w:rsidR="00A77F3C" w:rsidRPr="00790393">
        <w:t>d</w:t>
      </w:r>
      <w:r w:rsidRPr="00790393">
        <w:t xml:space="preserve">ata </w:t>
      </w:r>
      <w:r w:rsidR="00A77F3C" w:rsidRPr="00790393">
        <w:t>h</w:t>
      </w:r>
      <w:r w:rsidRPr="00790393">
        <w:t xml:space="preserve">olders </w:t>
      </w:r>
      <w:r w:rsidRPr="00A238A6">
        <w:t xml:space="preserve">see compliance with the CTS as evidence of </w:t>
      </w:r>
      <w:r w:rsidR="00ED2B9E" w:rsidRPr="00A238A6">
        <w:t>their provision of quality data</w:t>
      </w:r>
      <w:r w:rsidR="00755D38" w:rsidRPr="00A238A6">
        <w:t>. This</w:t>
      </w:r>
      <w:r w:rsidRPr="00A238A6">
        <w:t xml:space="preserve"> often leav</w:t>
      </w:r>
      <w:r w:rsidR="00755D38" w:rsidRPr="00A238A6">
        <w:t>es</w:t>
      </w:r>
      <w:r w:rsidRPr="00A238A6">
        <w:t xml:space="preserve"> ADRs feeling </w:t>
      </w:r>
      <w:r w:rsidR="005F1194" w:rsidRPr="00A238A6">
        <w:t>that</w:t>
      </w:r>
      <w:r w:rsidR="00A77F3C" w:rsidRPr="00A238A6">
        <w:t xml:space="preserve"> </w:t>
      </w:r>
      <w:r w:rsidRPr="00A238A6">
        <w:t>they bear the burden of determining data defects, raising issue</w:t>
      </w:r>
      <w:r w:rsidR="00A77F3C" w:rsidRPr="00A238A6">
        <w:t>s</w:t>
      </w:r>
      <w:r w:rsidRPr="00A238A6">
        <w:t xml:space="preserve"> with the ACCC and ultimately working with data holders to correct data quality issues.</w:t>
      </w:r>
      <w:r>
        <w:t xml:space="preserve"> </w:t>
      </w:r>
    </w:p>
    <w:p w14:paraId="0BF55327" w14:textId="77777777" w:rsidR="00265FE3" w:rsidRDefault="00265FE3" w:rsidP="00265FE3"/>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265FE3" w14:paraId="4E004D56" w14:textId="77777777" w:rsidTr="00600205">
        <w:trPr>
          <w:cnfStyle w:val="100000000000" w:firstRow="1" w:lastRow="0" w:firstColumn="0" w:lastColumn="0" w:oddVBand="0" w:evenVBand="0" w:oddHBand="0" w:evenHBand="0" w:firstRowFirstColumn="0" w:firstRowLastColumn="0" w:lastRowFirstColumn="0" w:lastRowLastColumn="0"/>
          <w:trHeight w:val="2700"/>
        </w:trPr>
        <w:tc>
          <w:tcPr>
            <w:tcW w:w="0" w:type="pct"/>
            <w:shd w:val="clear" w:color="auto" w:fill="F2F2F2" w:themeFill="background1" w:themeFillShade="F2"/>
          </w:tcPr>
          <w:p w14:paraId="5D83B065" w14:textId="0AE62017" w:rsidR="00265FE3" w:rsidRPr="00822EF9" w:rsidRDefault="00265FE3" w:rsidP="00B17046">
            <w:pPr>
              <w:pStyle w:val="BoxHeading"/>
            </w:pPr>
            <w:bookmarkStart w:id="86" w:name="_Hlk108607447"/>
            <w:r w:rsidRPr="00B17046">
              <w:t>Box 2.1 – What is the Conformance Test Suite?</w:t>
            </w:r>
          </w:p>
          <w:p w14:paraId="2012F97F" w14:textId="099502CE" w:rsidR="00265FE3" w:rsidRPr="00B17046" w:rsidRDefault="00265FE3" w:rsidP="00B17046">
            <w:pPr>
              <w:pStyle w:val="BoxText"/>
              <w:rPr>
                <w:sz w:val="24"/>
                <w:szCs w:val="24"/>
              </w:rPr>
            </w:pPr>
            <w:r w:rsidRPr="00D4755B">
              <w:rPr>
                <w:szCs w:val="24"/>
              </w:rPr>
              <w:t>As part of the</w:t>
            </w:r>
            <w:r w:rsidRPr="00167D86" w:rsidDel="00F0537B">
              <w:rPr>
                <w:szCs w:val="24"/>
              </w:rPr>
              <w:t xml:space="preserve"> </w:t>
            </w:r>
            <w:r w:rsidRPr="00167D86">
              <w:rPr>
                <w:szCs w:val="24"/>
              </w:rPr>
              <w:t>onboarding process, the ACCC operates a Conformance Test Suite</w:t>
            </w:r>
            <w:r w:rsidR="005F1194" w:rsidRPr="00E6039E">
              <w:rPr>
                <w:szCs w:val="24"/>
              </w:rPr>
              <w:t xml:space="preserve">, or </w:t>
            </w:r>
            <w:r w:rsidRPr="00E6039E">
              <w:rPr>
                <w:szCs w:val="24"/>
              </w:rPr>
              <w:t>CTS</w:t>
            </w:r>
            <w:r w:rsidR="005F1194" w:rsidRPr="002252C2">
              <w:rPr>
                <w:szCs w:val="24"/>
              </w:rPr>
              <w:t xml:space="preserve">, whose </w:t>
            </w:r>
            <w:r w:rsidRPr="002252C2">
              <w:rPr>
                <w:szCs w:val="24"/>
              </w:rPr>
              <w:t>purpose is to test if participants (data holders and ADRs) can conform with the Consumer Data Standards (CDS) in a secure environment without exposing consumer data or interacting with live products/data.</w:t>
            </w:r>
            <w:r w:rsidR="00F0537B" w:rsidRPr="002252C2">
              <w:rPr>
                <w:szCs w:val="24"/>
              </w:rPr>
              <w:t xml:space="preserve"> Participants must pass the CTS before they receive an active status on the CDR Public Register</w:t>
            </w:r>
            <w:r w:rsidR="0070495D" w:rsidRPr="003D0786">
              <w:rPr>
                <w:szCs w:val="24"/>
              </w:rPr>
              <w:t>.</w:t>
            </w:r>
          </w:p>
          <w:p w14:paraId="245E3ABE" w14:textId="309B504C" w:rsidR="00265FE3" w:rsidRPr="00265FE3" w:rsidRDefault="00265FE3" w:rsidP="00B17046">
            <w:pPr>
              <w:pStyle w:val="BoxText"/>
            </w:pPr>
            <w:r w:rsidRPr="00D4755B">
              <w:rPr>
                <w:szCs w:val="24"/>
              </w:rPr>
              <w:t>The CTS is designed to test how a p</w:t>
            </w:r>
            <w:r w:rsidRPr="00167D86">
              <w:rPr>
                <w:szCs w:val="24"/>
              </w:rPr>
              <w:t>articipant’s software interacts within the CDR ecosystem</w:t>
            </w:r>
            <w:r w:rsidR="005F1194" w:rsidRPr="00167D86">
              <w:rPr>
                <w:szCs w:val="24"/>
              </w:rPr>
              <w:t xml:space="preserve">, </w:t>
            </w:r>
            <w:r w:rsidRPr="00E6039E">
              <w:rPr>
                <w:szCs w:val="24"/>
              </w:rPr>
              <w:t>give consumers confidence that participants can enter the CDR ecosystem without disruption,</w:t>
            </w:r>
            <w:r w:rsidR="005F1194" w:rsidRPr="002252C2">
              <w:rPr>
                <w:szCs w:val="24"/>
              </w:rPr>
              <w:t xml:space="preserve"> and</w:t>
            </w:r>
            <w:r w:rsidRPr="002252C2">
              <w:rPr>
                <w:szCs w:val="24"/>
              </w:rPr>
              <w:t xml:space="preserve"> </w:t>
            </w:r>
            <w:r w:rsidR="003829F9" w:rsidRPr="002252C2">
              <w:rPr>
                <w:szCs w:val="24"/>
              </w:rPr>
              <w:t xml:space="preserve">demonstrate participants </w:t>
            </w:r>
            <w:r w:rsidRPr="003D0786">
              <w:rPr>
                <w:szCs w:val="24"/>
              </w:rPr>
              <w:t xml:space="preserve">are capable of conforming with the CDS and the Register design. Participants </w:t>
            </w:r>
            <w:r w:rsidRPr="0093479C">
              <w:rPr>
                <w:szCs w:val="24"/>
              </w:rPr>
              <w:t>must pass the CTS to become accredited as active by the ACCC.</w:t>
            </w:r>
          </w:p>
        </w:tc>
      </w:tr>
      <w:bookmarkEnd w:id="86"/>
    </w:tbl>
    <w:p w14:paraId="49E65478" w14:textId="77777777" w:rsidR="00265FE3" w:rsidRDefault="00265FE3" w:rsidP="00265FE3">
      <w:pPr>
        <w:tabs>
          <w:tab w:val="left" w:pos="426"/>
          <w:tab w:val="left" w:pos="8647"/>
        </w:tabs>
        <w:spacing w:after="0"/>
      </w:pPr>
    </w:p>
    <w:p w14:paraId="244356BD" w14:textId="34996125" w:rsidR="00265FE3" w:rsidRDefault="00265FE3" w:rsidP="008D5E2B">
      <w:r w:rsidRPr="00046C1C">
        <w:t xml:space="preserve">Although </w:t>
      </w:r>
      <w:r>
        <w:t xml:space="preserve">there was </w:t>
      </w:r>
      <w:r w:rsidRPr="00046C1C">
        <w:t xml:space="preserve">generally positive </w:t>
      </w:r>
      <w:r>
        <w:t xml:space="preserve">feedback </w:t>
      </w:r>
      <w:r w:rsidRPr="00046C1C">
        <w:t xml:space="preserve">about the </w:t>
      </w:r>
      <w:r w:rsidRPr="00A238A6">
        <w:t>accreditation</w:t>
      </w:r>
      <w:r w:rsidR="00F0537B" w:rsidRPr="00A238A6">
        <w:t xml:space="preserve"> and onboarding</w:t>
      </w:r>
      <w:r w:rsidRPr="00046C1C">
        <w:t xml:space="preserve"> process</w:t>
      </w:r>
      <w:r w:rsidR="005F1194">
        <w:t>,</w:t>
      </w:r>
      <w:r>
        <w:t xml:space="preserve"> t</w:t>
      </w:r>
      <w:r w:rsidRPr="00046C1C">
        <w:t xml:space="preserve">here </w:t>
      </w:r>
      <w:r>
        <w:t xml:space="preserve">is still </w:t>
      </w:r>
      <w:r w:rsidRPr="00046C1C">
        <w:t>confusion</w:t>
      </w:r>
      <w:r>
        <w:t xml:space="preserve"> among participants </w:t>
      </w:r>
      <w:r w:rsidR="005F1194">
        <w:t xml:space="preserve">about </w:t>
      </w:r>
      <w:r>
        <w:t>the purpose of the CTS, despite the ACCC providing guidance on this.</w:t>
      </w:r>
      <w:r w:rsidR="00CA22E9">
        <w:t xml:space="preserve"> </w:t>
      </w:r>
      <w:r>
        <w:t>Participants appear to believe that</w:t>
      </w:r>
      <w:r w:rsidR="005F1194">
        <w:t>,</w:t>
      </w:r>
      <w:r>
        <w:t xml:space="preserve"> once an applicant has passed</w:t>
      </w:r>
      <w:r w:rsidRPr="00046C1C">
        <w:t xml:space="preserve"> th</w:t>
      </w:r>
      <w:r>
        <w:t xml:space="preserve">e </w:t>
      </w:r>
      <w:r w:rsidRPr="00046C1C">
        <w:t>CTS</w:t>
      </w:r>
      <w:r w:rsidR="005F1194">
        <w:t>,</w:t>
      </w:r>
      <w:r w:rsidRPr="00046C1C">
        <w:t xml:space="preserve"> the ACCC </w:t>
      </w:r>
      <w:r>
        <w:t xml:space="preserve">has effectively given them a ‘clean bill of health’ to participate in the CDR. </w:t>
      </w:r>
      <w:r w:rsidR="005F1194">
        <w:t>The</w:t>
      </w:r>
      <w:r>
        <w:t xml:space="preserve"> CTS</w:t>
      </w:r>
      <w:r w:rsidR="005F1194">
        <w:t>, however,</w:t>
      </w:r>
      <w:r>
        <w:t xml:space="preserve"> only tests whether participants conform with the standards and register design and meet their obligations, not </w:t>
      </w:r>
      <w:r w:rsidR="005F1194">
        <w:t xml:space="preserve">whether </w:t>
      </w:r>
      <w:r>
        <w:t>the data provided is of adequate quality.</w:t>
      </w:r>
    </w:p>
    <w:p w14:paraId="46634DA7" w14:textId="77777777" w:rsidR="00265FE3" w:rsidRDefault="00265FE3" w:rsidP="00265FE3">
      <w:pPr>
        <w:pStyle w:val="ListParagraph"/>
        <w:spacing w:after="0"/>
        <w:ind w:left="0"/>
        <w:contextualSpacing w:val="0"/>
      </w:pPr>
    </w:p>
    <w:p w14:paraId="6AA6D3F6" w14:textId="39DDDF1C" w:rsidR="00265FE3" w:rsidRDefault="00265FE3" w:rsidP="00B17046">
      <w:pPr>
        <w:ind w:left="737" w:right="737"/>
        <w:jc w:val="center"/>
      </w:pPr>
      <w:r w:rsidRPr="008D5E2B">
        <w:rPr>
          <w:i/>
          <w:iCs/>
        </w:rPr>
        <w:t>“</w:t>
      </w:r>
      <w:r w:rsidRPr="00B17046">
        <w:rPr>
          <w:rStyle w:val="QuoteChar"/>
        </w:rPr>
        <w:t xml:space="preserve">Unfortunately the Conformance Testing that is performed to validate whether a Data Holder has met their obligations, does not test the quality of the financial data. As a result, nobody can confidently measure the quality of the data, nor guarantee that the data that is supplied via the Open Banking APIs is complete” </w:t>
      </w:r>
      <w:r w:rsidR="00F33A65" w:rsidRPr="00B17046">
        <w:rPr>
          <w:rStyle w:val="QuoteChar"/>
        </w:rPr>
        <w:t>–</w:t>
      </w:r>
      <w:r w:rsidRPr="00B17046">
        <w:rPr>
          <w:rStyle w:val="QuoteChar"/>
        </w:rPr>
        <w:t xml:space="preserve"> </w:t>
      </w:r>
      <w:r w:rsidRPr="00643250">
        <w:rPr>
          <w:rStyle w:val="QuoteChar"/>
          <w:b/>
          <w:bCs/>
        </w:rPr>
        <w:t>Basiq</w:t>
      </w:r>
    </w:p>
    <w:p w14:paraId="1D1E6B79" w14:textId="77777777" w:rsidR="00265FE3" w:rsidRDefault="00265FE3" w:rsidP="00265FE3">
      <w:pPr>
        <w:pStyle w:val="ListParagraph"/>
        <w:spacing w:after="0"/>
        <w:ind w:left="0"/>
        <w:contextualSpacing w:val="0"/>
      </w:pPr>
    </w:p>
    <w:p w14:paraId="436ACB94" w14:textId="5A134D1B" w:rsidR="00BD30A0" w:rsidRDefault="00265FE3" w:rsidP="00BD30A0">
      <w:r>
        <w:lastRenderedPageBreak/>
        <w:t xml:space="preserve">Future consideration should be given to the service the ACCC offers in this space. </w:t>
      </w:r>
      <w:r w:rsidR="005F1194">
        <w:t xml:space="preserve">Although it is </w:t>
      </w:r>
      <w:r>
        <w:t xml:space="preserve">understandable </w:t>
      </w:r>
      <w:r w:rsidR="00842131">
        <w:t xml:space="preserve">that </w:t>
      </w:r>
      <w:r>
        <w:t xml:space="preserve">participants </w:t>
      </w:r>
      <w:r w:rsidRPr="00F3484D">
        <w:t xml:space="preserve">would look to </w:t>
      </w:r>
      <w:r w:rsidR="005768FA" w:rsidRPr="00F3484D">
        <w:t>g</w:t>
      </w:r>
      <w:r w:rsidRPr="00F3484D">
        <w:t xml:space="preserve">overnment in the formative stages of the CDR, the system would be better served by more comprehensive service offerings in the marketplace. </w:t>
      </w:r>
      <w:r w:rsidR="00A911BF" w:rsidRPr="00F3484D">
        <w:t>It is noted s</w:t>
      </w:r>
      <w:r w:rsidRPr="00F3484D">
        <w:t xml:space="preserve">everal participants </w:t>
      </w:r>
      <w:r w:rsidR="004C6AF6" w:rsidRPr="00F3484D">
        <w:t>already offer testing solution</w:t>
      </w:r>
      <w:r w:rsidR="00E119DB" w:rsidRPr="00F3484D">
        <w:t>s</w:t>
      </w:r>
      <w:r w:rsidR="004C6AF6" w:rsidRPr="00F3484D">
        <w:t xml:space="preserve"> of some form, either in combination with</w:t>
      </w:r>
      <w:r w:rsidR="00A911BF" w:rsidRPr="00F3484D">
        <w:t xml:space="preserve"> </w:t>
      </w:r>
      <w:r w:rsidR="004C6AF6" w:rsidRPr="00F3484D">
        <w:t xml:space="preserve">their other offerings as </w:t>
      </w:r>
      <w:r w:rsidR="00812176" w:rsidRPr="00F3484D">
        <w:t>turnkey</w:t>
      </w:r>
      <w:r w:rsidR="00A911BF" w:rsidRPr="00F3484D">
        <w:t xml:space="preserve"> solutions</w:t>
      </w:r>
      <w:r w:rsidR="004C6AF6" w:rsidRPr="00F3484D">
        <w:t xml:space="preserve"> or as an individual product</w:t>
      </w:r>
      <w:r w:rsidRPr="00F3484D">
        <w:t>.</w:t>
      </w:r>
      <w:r w:rsidR="009A2DE6">
        <w:t xml:space="preserve"> </w:t>
      </w:r>
      <w:r w:rsidR="00FE70C3" w:rsidRPr="00A238A6">
        <w:t>This said,</w:t>
      </w:r>
      <w:r w:rsidR="00FE70C3">
        <w:t xml:space="preserve"> </w:t>
      </w:r>
      <w:r w:rsidR="00FE70C3" w:rsidRPr="00A238A6">
        <w:t>i</w:t>
      </w:r>
      <w:r w:rsidR="009A2DE6" w:rsidRPr="00A238A6">
        <w:t xml:space="preserve">t’s important to </w:t>
      </w:r>
      <w:r w:rsidR="00FE70C3" w:rsidRPr="00A238A6">
        <w:t>maintain</w:t>
      </w:r>
      <w:r w:rsidR="009A2DE6" w:rsidRPr="00A238A6">
        <w:t xml:space="preserve"> that</w:t>
      </w:r>
      <w:r w:rsidR="00FE70C3" w:rsidRPr="00A238A6">
        <w:t xml:space="preserve"> the</w:t>
      </w:r>
      <w:r w:rsidR="009A2DE6" w:rsidRPr="00A238A6">
        <w:t xml:space="preserve"> Government remains the ultimate arbiter of regulatory compliance and</w:t>
      </w:r>
      <w:r w:rsidR="00755D38" w:rsidRPr="00A238A6">
        <w:t xml:space="preserve"> that any</w:t>
      </w:r>
      <w:r w:rsidR="009A2DE6" w:rsidRPr="00A238A6">
        <w:t xml:space="preserve"> market</w:t>
      </w:r>
      <w:r w:rsidR="00755D38" w:rsidRPr="00A238A6">
        <w:t xml:space="preserve"> developed</w:t>
      </w:r>
      <w:r w:rsidR="009A2DE6" w:rsidRPr="00A238A6">
        <w:t xml:space="preserve"> solutions assist participation </w:t>
      </w:r>
      <w:r w:rsidR="00755D38" w:rsidRPr="00A238A6">
        <w:t xml:space="preserve">but </w:t>
      </w:r>
      <w:r w:rsidR="00FE70C3" w:rsidRPr="00A238A6">
        <w:t>are not</w:t>
      </w:r>
      <w:r w:rsidR="009A2DE6" w:rsidRPr="00A238A6">
        <w:t xml:space="preserve"> </w:t>
      </w:r>
      <w:r w:rsidR="00FE70C3" w:rsidRPr="00A238A6">
        <w:t>equivalent or</w:t>
      </w:r>
      <w:r w:rsidR="00A57796" w:rsidRPr="00A238A6">
        <w:t xml:space="preserve"> a</w:t>
      </w:r>
      <w:r w:rsidR="00FE70C3" w:rsidRPr="00A238A6">
        <w:t xml:space="preserve"> replacement</w:t>
      </w:r>
      <w:r w:rsidR="002B2A9F" w:rsidRPr="00A238A6">
        <w:t xml:space="preserve"> for government regulation</w:t>
      </w:r>
      <w:r w:rsidR="00FE70C3" w:rsidRPr="00A238A6">
        <w:t>.</w:t>
      </w:r>
      <w:r w:rsidR="00806E64" w:rsidRPr="00F3484D">
        <w:t xml:space="preserve"> </w:t>
      </w:r>
      <w:r w:rsidR="005F1194" w:rsidRPr="00F3484D">
        <w:t>Regardless</w:t>
      </w:r>
      <w:r w:rsidR="005F1194">
        <w:t xml:space="preserve"> of whether </w:t>
      </w:r>
      <w:r>
        <w:t>participants</w:t>
      </w:r>
      <w:r w:rsidR="005F1194">
        <w:t xml:space="preserve"> are offered</w:t>
      </w:r>
      <w:r>
        <w:t xml:space="preserve"> government or market solution</w:t>
      </w:r>
      <w:r w:rsidR="005F1194">
        <w:t>s</w:t>
      </w:r>
      <w:r w:rsidR="00A57796">
        <w:t xml:space="preserve"> </w:t>
      </w:r>
      <w:r w:rsidR="00A57796" w:rsidRPr="00A238A6">
        <w:t>to aid compliance</w:t>
      </w:r>
      <w:r w:rsidR="00D517FB" w:rsidRPr="00A238A6">
        <w:t xml:space="preserve"> and onboarding</w:t>
      </w:r>
      <w:r>
        <w:t xml:space="preserve">, the timing will be crucial to ensure </w:t>
      </w:r>
      <w:r w:rsidR="005F1194">
        <w:t>they</w:t>
      </w:r>
      <w:r>
        <w:t xml:space="preserve"> can be updated and available once the rules and standards are finalised to allow participants to quickly build, test and implement changes. This will rely on close coordination between CDR agencies, testing solutions </w:t>
      </w:r>
      <w:r w:rsidRPr="006027C7">
        <w:t xml:space="preserve">providers and participants, </w:t>
      </w:r>
      <w:r w:rsidR="005F1194" w:rsidRPr="006027C7">
        <w:t xml:space="preserve">as well as on </w:t>
      </w:r>
      <w:r w:rsidRPr="006027C7">
        <w:t xml:space="preserve">visibility of forward timelines to appropriately plan (see </w:t>
      </w:r>
      <w:r w:rsidR="004A7F28" w:rsidRPr="006027C7">
        <w:t>s</w:t>
      </w:r>
      <w:r w:rsidRPr="006027C7">
        <w:t>ection 2.</w:t>
      </w:r>
      <w:r w:rsidR="00AE6965" w:rsidRPr="006027C7">
        <w:t>3</w:t>
      </w:r>
      <w:r w:rsidRPr="006027C7">
        <w:t xml:space="preserve"> for further information).</w:t>
      </w:r>
      <w:r w:rsidR="00E81B60" w:rsidRPr="006027C7">
        <w:t xml:space="preserve"> </w:t>
      </w:r>
      <w:r w:rsidR="00D527BB" w:rsidRPr="006027C7">
        <w:t>The</w:t>
      </w:r>
      <w:r w:rsidR="0030476D" w:rsidRPr="006027C7">
        <w:t xml:space="preserve"> </w:t>
      </w:r>
      <w:r w:rsidR="00B00B1E" w:rsidRPr="006027C7">
        <w:t>G</w:t>
      </w:r>
      <w:r w:rsidR="0030476D" w:rsidRPr="006027C7">
        <w:t>overnment should</w:t>
      </w:r>
      <w:r w:rsidR="00CC1100" w:rsidRPr="006027C7">
        <w:t xml:space="preserve"> regularly</w:t>
      </w:r>
      <w:r w:rsidR="0030476D" w:rsidRPr="006027C7">
        <w:t xml:space="preserve"> look to the market for solutions where it is better placed</w:t>
      </w:r>
      <w:r w:rsidR="0030476D">
        <w:t xml:space="preserve"> to provide </w:t>
      </w:r>
      <w:r w:rsidR="005F1194">
        <w:t>them</w:t>
      </w:r>
      <w:r w:rsidR="0030476D">
        <w:t>.</w:t>
      </w:r>
    </w:p>
    <w:tbl>
      <w:tblPr>
        <w:tblStyle w:val="TableGrid"/>
        <w:tblpPr w:leftFromText="180" w:rightFromText="180" w:vertAnchor="text" w:horzAnchor="margin" w:tblpY="291"/>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BD30A0" w14:paraId="7F9ADE12" w14:textId="77777777" w:rsidTr="00BD30A0">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60361D87" w14:textId="38F5342C" w:rsidR="00BD30A0" w:rsidRPr="00822EF9" w:rsidRDefault="00BD30A0" w:rsidP="00B17046">
            <w:pPr>
              <w:pStyle w:val="BoxHeading"/>
            </w:pPr>
            <w:r w:rsidRPr="00B17046">
              <w:t>Recommendation 2.2</w:t>
            </w:r>
          </w:p>
          <w:p w14:paraId="17179AD0" w14:textId="3B0E5B5F" w:rsidR="00BD30A0" w:rsidRPr="00511A43" w:rsidRDefault="00BD30A0" w:rsidP="00B17046">
            <w:pPr>
              <w:pStyle w:val="BoxText"/>
            </w:pPr>
            <w:r w:rsidRPr="00D4755B">
              <w:rPr>
                <w:szCs w:val="24"/>
              </w:rPr>
              <w:t>Creating a trusted ecosystem that supports the development of a range of products will encourage new ma</w:t>
            </w:r>
            <w:r w:rsidRPr="00167D86">
              <w:rPr>
                <w:szCs w:val="24"/>
              </w:rPr>
              <w:t xml:space="preserve">rket-driven innovation in the CDR. It is recommended that prospective </w:t>
            </w:r>
            <w:r w:rsidR="00BD086F">
              <w:rPr>
                <w:szCs w:val="24"/>
              </w:rPr>
              <w:t>Accredited Data Recipients (</w:t>
            </w:r>
            <w:r w:rsidRPr="00167D86">
              <w:rPr>
                <w:szCs w:val="24"/>
              </w:rPr>
              <w:t>ADRs</w:t>
            </w:r>
            <w:r w:rsidR="00BD086F">
              <w:rPr>
                <w:szCs w:val="24"/>
              </w:rPr>
              <w:t>)</w:t>
            </w:r>
            <w:r w:rsidRPr="00167D86">
              <w:rPr>
                <w:szCs w:val="24"/>
              </w:rPr>
              <w:t xml:space="preserve"> have the flexibility to choose who they undertake </w:t>
            </w:r>
            <w:r w:rsidR="00946BA6" w:rsidRPr="00167D86">
              <w:rPr>
                <w:szCs w:val="32"/>
              </w:rPr>
              <w:t>preliminary systems</w:t>
            </w:r>
            <w:r w:rsidR="00946BA6" w:rsidRPr="00BD086F">
              <w:rPr>
                <w:sz w:val="32"/>
                <w:szCs w:val="32"/>
              </w:rPr>
              <w:t xml:space="preserve"> </w:t>
            </w:r>
            <w:r w:rsidRPr="00E6039E">
              <w:rPr>
                <w:szCs w:val="24"/>
              </w:rPr>
              <w:t xml:space="preserve">testing with, including through an accredited private sector solution or the </w:t>
            </w:r>
            <w:r w:rsidR="00BD086F">
              <w:rPr>
                <w:szCs w:val="24"/>
              </w:rPr>
              <w:t>Australian Competition and Consumer Commission (</w:t>
            </w:r>
            <w:r w:rsidRPr="00E6039E">
              <w:rPr>
                <w:szCs w:val="24"/>
              </w:rPr>
              <w:t>ACCC</w:t>
            </w:r>
            <w:r w:rsidR="00BD086F">
              <w:rPr>
                <w:szCs w:val="24"/>
              </w:rPr>
              <w:t>)</w:t>
            </w:r>
            <w:r w:rsidR="00BD086F" w:rsidRPr="00D4755B">
              <w:rPr>
                <w:szCs w:val="24"/>
              </w:rPr>
              <w:t>.</w:t>
            </w:r>
          </w:p>
        </w:tc>
      </w:tr>
    </w:tbl>
    <w:p w14:paraId="1DCDE9D0" w14:textId="3AA926A7" w:rsidR="00BD30A0" w:rsidRDefault="00BD30A0" w:rsidP="00265FE3">
      <w:pPr>
        <w:pStyle w:val="ListParagraph"/>
        <w:spacing w:after="0"/>
        <w:ind w:left="0"/>
        <w:contextualSpacing w:val="0"/>
      </w:pPr>
    </w:p>
    <w:p w14:paraId="19D6D225" w14:textId="333D3799" w:rsidR="00265FE3" w:rsidRDefault="00265FE3" w:rsidP="00265FE3">
      <w:pPr>
        <w:tabs>
          <w:tab w:val="left" w:pos="426"/>
          <w:tab w:val="left" w:pos="8647"/>
        </w:tabs>
        <w:spacing w:after="0"/>
      </w:pPr>
      <w:r>
        <w:t>Submissions from both the Commonwealth Bank of Australia and EY</w:t>
      </w:r>
      <w:r w:rsidDel="002A3051">
        <w:t xml:space="preserve"> </w:t>
      </w:r>
      <w:r>
        <w:t xml:space="preserve">supported the </w:t>
      </w:r>
      <w:r w:rsidRPr="00600205">
        <w:t>announcement</w:t>
      </w:r>
      <w:r>
        <w:t xml:space="preserve"> of a sandbox for ADRs to test their APIs and validate that these APIs function as expected in a realistic environment. In a submission from FDATA it was noted that the UK also experienced data quality issues</w:t>
      </w:r>
      <w:r w:rsidR="005F1194">
        <w:t>,</w:t>
      </w:r>
      <w:r>
        <w:t xml:space="preserve"> which were substantially improved after the development of a “dedicated testing function and sandbox for API validation and testing”. The implementation of this sandbox will be an important addition to existing resources </w:t>
      </w:r>
      <w:r w:rsidR="005F1194">
        <w:t>for</w:t>
      </w:r>
      <w:r>
        <w:t xml:space="preserve"> those seeking to become accredited under the CDR,</w:t>
      </w:r>
      <w:r w:rsidR="007A7B05">
        <w:t xml:space="preserve"> </w:t>
      </w:r>
      <w:r>
        <w:t xml:space="preserve">and will offer participants further opportunity to resolve data quality issues beyond the CTS. </w:t>
      </w:r>
      <w:r w:rsidR="00EC18E6">
        <w:t>T</w:t>
      </w:r>
      <w:r>
        <w:t>here is also an opportunity here for the market to provide solutions for participants.</w:t>
      </w:r>
    </w:p>
    <w:p w14:paraId="6BF60640" w14:textId="77777777" w:rsidR="00184702" w:rsidRDefault="00184702">
      <w:pPr>
        <w:spacing w:before="0" w:after="160" w:line="259" w:lineRule="auto"/>
        <w:rPr>
          <w:rFonts w:ascii="Calibri" w:hAnsi="Calibri" w:cs="Arial"/>
          <w:iCs/>
          <w:color w:val="2C384A"/>
          <w:kern w:val="32"/>
          <w:sz w:val="36"/>
          <w:szCs w:val="28"/>
        </w:rPr>
      </w:pPr>
      <w:bookmarkStart w:id="87" w:name="_Toc106286089"/>
      <w:bookmarkStart w:id="88" w:name="_Toc106358399"/>
      <w:r>
        <w:br w:type="page"/>
      </w:r>
    </w:p>
    <w:p w14:paraId="61489E0C" w14:textId="3D18C5F9" w:rsidR="00265FE3" w:rsidRPr="00383A01" w:rsidRDefault="00265FE3" w:rsidP="00265FE3">
      <w:pPr>
        <w:pStyle w:val="Heading2"/>
      </w:pPr>
      <w:bookmarkStart w:id="89" w:name="_Toc110602880"/>
      <w:r w:rsidRPr="00383A01">
        <w:lastRenderedPageBreak/>
        <w:t>2.</w:t>
      </w:r>
      <w:r w:rsidR="00D9644D">
        <w:t>3</w:t>
      </w:r>
      <w:r w:rsidRPr="00383A01">
        <w:t xml:space="preserve"> The role for an implementation body</w:t>
      </w:r>
      <w:bookmarkEnd w:id="87"/>
      <w:bookmarkEnd w:id="88"/>
      <w:bookmarkEnd w:id="89"/>
      <w:r w:rsidRPr="00383A01">
        <w:t xml:space="preserve"> </w:t>
      </w:r>
    </w:p>
    <w:p w14:paraId="39E40C93" w14:textId="62DE0788" w:rsidR="00265FE3" w:rsidRPr="007F6AD0" w:rsidRDefault="00265FE3" w:rsidP="008D5E2B">
      <w:r>
        <w:t>The CDR has been operating since 2019 and has attracted feedback and suggestions on how implementation could or should have been approached differently. It is important in these discussions to maintain awareness of the system’s context as a world</w:t>
      </w:r>
      <w:r w:rsidR="005F1194">
        <w:t>-</w:t>
      </w:r>
      <w:r>
        <w:t>leading initiative, in terms of both depth and scope. Australia’s CDR is an internationally unprecedented framework that supports broad multi</w:t>
      </w:r>
      <w:r w:rsidR="00616E0E">
        <w:noBreakHyphen/>
      </w:r>
      <w:r>
        <w:t>sector data</w:t>
      </w:r>
      <w:r w:rsidR="00BE7617">
        <w:t xml:space="preserve"> </w:t>
      </w:r>
      <w:r>
        <w:t>sharing, with no set formula and few examples to learn from. The CDR has an ambitious vision and</w:t>
      </w:r>
      <w:r w:rsidR="005F1194">
        <w:t>,</w:t>
      </w:r>
      <w:r>
        <w:t xml:space="preserve"> to ensure its success</w:t>
      </w:r>
      <w:r w:rsidR="005F1194">
        <w:t>,</w:t>
      </w:r>
      <w:r>
        <w:t xml:space="preserve"> we must consider the lessons from </w:t>
      </w:r>
      <w:r w:rsidR="005F1194">
        <w:t xml:space="preserve">its </w:t>
      </w:r>
      <w:r>
        <w:t>implementation to date.</w:t>
      </w:r>
    </w:p>
    <w:p w14:paraId="269221E8" w14:textId="6D0DB0A0" w:rsidR="002C5B8C" w:rsidRPr="00F3484D" w:rsidRDefault="004F4FB1" w:rsidP="008D5E2B">
      <w:r w:rsidRPr="00F3484D">
        <w:t xml:space="preserve">Feedback from </w:t>
      </w:r>
      <w:r w:rsidR="007E2892" w:rsidRPr="00F3484D">
        <w:t>p</w:t>
      </w:r>
      <w:r w:rsidR="00265FE3" w:rsidRPr="00F3484D">
        <w:t>articipants h</w:t>
      </w:r>
      <w:r w:rsidR="007E2892" w:rsidRPr="00F3484D">
        <w:t xml:space="preserve">as indicated </w:t>
      </w:r>
      <w:r w:rsidR="00265FE3" w:rsidRPr="00F3484D">
        <w:t xml:space="preserve">that </w:t>
      </w:r>
      <w:r w:rsidR="00740047" w:rsidRPr="00F3484D">
        <w:t>implementing systems and engaging with</w:t>
      </w:r>
      <w:r w:rsidR="00BC718C" w:rsidRPr="00F3484D">
        <w:t xml:space="preserve"> the CDR</w:t>
      </w:r>
      <w:r w:rsidR="00740047" w:rsidRPr="00F3484D">
        <w:t xml:space="preserve"> and its administrators</w:t>
      </w:r>
      <w:r w:rsidR="00265FE3" w:rsidRPr="00F3484D">
        <w:t xml:space="preserve"> has</w:t>
      </w:r>
      <w:r w:rsidRPr="00F3484D">
        <w:t xml:space="preserve"> been </w:t>
      </w:r>
      <w:r w:rsidR="007E2892" w:rsidRPr="00F3484D">
        <w:t>difficult and complex</w:t>
      </w:r>
      <w:r w:rsidR="00265FE3" w:rsidRPr="00F3484D">
        <w:t xml:space="preserve">. While most were generally complimentary about their experience with individual regulators, many also spoke of the burden of dealing with multiple regulators, each with their own objectives, and a perception they were not well coordinated across government and lacking appropriate tools to support participants. </w:t>
      </w:r>
    </w:p>
    <w:p w14:paraId="7985986E" w14:textId="34743627" w:rsidR="00B65E11" w:rsidRPr="006027C7" w:rsidRDefault="006009E8" w:rsidP="00B17046">
      <w:r w:rsidRPr="00F3484D">
        <w:t>T</w:t>
      </w:r>
      <w:r w:rsidR="00EA4942" w:rsidRPr="00F3484D">
        <w:t>his Review’s consultations reveal</w:t>
      </w:r>
      <w:r w:rsidRPr="00F3484D">
        <w:t>ed</w:t>
      </w:r>
      <w:r w:rsidR="00EA4942" w:rsidRPr="00F3484D">
        <w:t xml:space="preserve"> a common experience </w:t>
      </w:r>
      <w:r w:rsidRPr="00F3484D">
        <w:t>of</w:t>
      </w:r>
      <w:r w:rsidR="00EA4942" w:rsidRPr="00F3484D">
        <w:t xml:space="preserve"> participants being referred back and forth between regulators</w:t>
      </w:r>
      <w:r w:rsidRPr="00F3484D">
        <w:t>,</w:t>
      </w:r>
      <w:r w:rsidR="00EA4942" w:rsidRPr="00F3484D">
        <w:t xml:space="preserve"> without </w:t>
      </w:r>
      <w:r w:rsidRPr="00F3484D">
        <w:t xml:space="preserve">receiving </w:t>
      </w:r>
      <w:r w:rsidR="00EA4942" w:rsidRPr="00F3484D">
        <w:t>clear solutions</w:t>
      </w:r>
      <w:r w:rsidR="00ED7524" w:rsidRPr="00F3484D">
        <w:t xml:space="preserve"> and </w:t>
      </w:r>
      <w:r w:rsidRPr="00F3484D">
        <w:t>resulting in a</w:t>
      </w:r>
      <w:r w:rsidR="00ED7524" w:rsidRPr="00F3484D">
        <w:t xml:space="preserve"> perceived lack of </w:t>
      </w:r>
      <w:r w:rsidR="00ED7524" w:rsidRPr="006027C7">
        <w:t>ownership</w:t>
      </w:r>
      <w:r w:rsidR="00EA4942" w:rsidRPr="006027C7">
        <w:t>. This</w:t>
      </w:r>
      <w:r w:rsidR="00ED7524" w:rsidRPr="006027C7" w:rsidDel="00906AFC">
        <w:t xml:space="preserve"> </w:t>
      </w:r>
      <w:r w:rsidR="00EA4942" w:rsidRPr="006027C7">
        <w:t xml:space="preserve">highlights </w:t>
      </w:r>
      <w:r w:rsidR="004463B1" w:rsidRPr="006027C7">
        <w:t xml:space="preserve">the complexity of the </w:t>
      </w:r>
      <w:r w:rsidR="00EA4942" w:rsidRPr="006027C7">
        <w:t xml:space="preserve">CDR’s governance structure and the roles and </w:t>
      </w:r>
      <w:r w:rsidR="00454018" w:rsidRPr="006027C7">
        <w:t>responsibilities</w:t>
      </w:r>
      <w:r w:rsidR="003D6AA5" w:rsidRPr="006027C7">
        <w:t xml:space="preserve"> of the CDR agencies</w:t>
      </w:r>
      <w:r w:rsidR="0045613F" w:rsidRPr="006027C7">
        <w:t xml:space="preserve"> and the Minister</w:t>
      </w:r>
      <w:r w:rsidR="00E94AC8" w:rsidRPr="006027C7">
        <w:t xml:space="preserve">, </w:t>
      </w:r>
      <w:r w:rsidR="0045613F" w:rsidRPr="006027C7">
        <w:t xml:space="preserve">for further information see </w:t>
      </w:r>
      <w:r w:rsidR="00E94AC8" w:rsidRPr="006027C7">
        <w:rPr>
          <w:u w:val="single"/>
        </w:rPr>
        <w:t>A</w:t>
      </w:r>
      <w:r w:rsidR="0045613F" w:rsidRPr="006027C7">
        <w:rPr>
          <w:u w:val="single"/>
        </w:rPr>
        <w:t>ppendix C</w:t>
      </w:r>
      <w:r w:rsidR="00454018" w:rsidRPr="006027C7">
        <w:t>. The</w:t>
      </w:r>
      <w:r w:rsidR="00EA4942" w:rsidRPr="006027C7">
        <w:t xml:space="preserve"> Review supports </w:t>
      </w:r>
      <w:r w:rsidR="00454018" w:rsidRPr="006027C7">
        <w:t>implementing a</w:t>
      </w:r>
      <w:r w:rsidR="00EA4942" w:rsidRPr="006027C7">
        <w:t xml:space="preserve"> ‘no wrong door’ approach to interactions</w:t>
      </w:r>
      <w:r w:rsidR="00454018" w:rsidRPr="006027C7">
        <w:t xml:space="preserve"> including for consumers (see </w:t>
      </w:r>
      <w:r w:rsidR="00464EA9" w:rsidRPr="006027C7">
        <w:t>s</w:t>
      </w:r>
      <w:r w:rsidR="00454018" w:rsidRPr="006027C7">
        <w:t>ection 3.7)</w:t>
      </w:r>
      <w:r w:rsidR="00EA4942" w:rsidRPr="006027C7">
        <w:t xml:space="preserve">, which will require improving coordination </w:t>
      </w:r>
      <w:r w:rsidR="003D6AA5" w:rsidRPr="006027C7">
        <w:t xml:space="preserve">and clarifying role and responsibilities </w:t>
      </w:r>
      <w:r w:rsidR="00EA4942" w:rsidRPr="006027C7">
        <w:t>between CDR agencies</w:t>
      </w:r>
      <w:r w:rsidR="003D6AA5" w:rsidRPr="006027C7">
        <w:t>.</w:t>
      </w:r>
    </w:p>
    <w:p w14:paraId="24151EF0" w14:textId="5E3E2FE9" w:rsidR="00B65E11" w:rsidRDefault="00B65E11" w:rsidP="00B17046">
      <w:pPr>
        <w:pStyle w:val="Quote"/>
        <w:rPr>
          <w:b/>
          <w:bCs/>
        </w:rPr>
      </w:pPr>
      <w:r w:rsidRPr="006027C7">
        <w:t>“While engaging on important</w:t>
      </w:r>
      <w:r w:rsidRPr="008D5E2B">
        <w:t xml:space="preserve"> CDR issues, the AEC has sometimes found it unclear what body or organisation was the responsible decision maker and there appeared to be administrative confusion between the respective bodies over who held responsibility for which roles. At times, this has had reduced the quality of consultation and made it difficult for data holders to receive the guidance they need on grey areas in the CDR ecosystem.”</w:t>
      </w:r>
      <w:r w:rsidRPr="00DB08CC">
        <w:t xml:space="preserve"> – </w:t>
      </w:r>
      <w:r w:rsidRPr="000A5DFD">
        <w:rPr>
          <w:b/>
          <w:bCs/>
        </w:rPr>
        <w:t>Australian Energy Council submission</w:t>
      </w:r>
    </w:p>
    <w:p w14:paraId="626E346A" w14:textId="3E43C696" w:rsidR="007257FB" w:rsidRDefault="00265FE3" w:rsidP="008D5E2B">
      <w:r>
        <w:t>Participants often cited the absence of a centralised implementation entity or market operator, such as the OBIE in the UK, to address these concerns.</w:t>
      </w:r>
      <w:r w:rsidR="00B65E11">
        <w:t xml:space="preserve"> </w:t>
      </w:r>
      <w:r w:rsidR="006B15D0">
        <w:t xml:space="preserve">The </w:t>
      </w:r>
      <w:r w:rsidR="004A5329">
        <w:t>OBIE was established</w:t>
      </w:r>
      <w:r w:rsidR="006B15D0" w:rsidRPr="006B15D0">
        <w:t xml:space="preserve"> </w:t>
      </w:r>
      <w:r w:rsidR="006B15D0">
        <w:t>to implement Open Banking in the UK</w:t>
      </w:r>
      <w:r w:rsidR="00906AFC">
        <w:t xml:space="preserve"> as part of a multi-agency governance framework</w:t>
      </w:r>
      <w:r w:rsidR="00413DB7">
        <w:t>, with t</w:t>
      </w:r>
      <w:r w:rsidR="007257FB">
        <w:t xml:space="preserve">he key </w:t>
      </w:r>
      <w:r w:rsidR="00413DB7">
        <w:t>organisations</w:t>
      </w:r>
      <w:r w:rsidR="007257FB">
        <w:t xml:space="preserve"> being</w:t>
      </w:r>
      <w:r w:rsidR="00413DB7">
        <w:t>:</w:t>
      </w:r>
    </w:p>
    <w:p w14:paraId="17D5B4DE" w14:textId="31ECD09A" w:rsidR="007257FB" w:rsidRPr="00A403CE" w:rsidRDefault="007257FB" w:rsidP="008A32BF">
      <w:pPr>
        <w:pStyle w:val="Bullet"/>
      </w:pPr>
      <w:r w:rsidRPr="00A403CE">
        <w:t xml:space="preserve">the Competition &amp; Markets Authority </w:t>
      </w:r>
      <w:r w:rsidR="00616E0E">
        <w:t xml:space="preserve">(CMA) </w:t>
      </w:r>
      <w:r w:rsidR="000A38A1" w:rsidRPr="008A32BF">
        <w:t xml:space="preserve">which has </w:t>
      </w:r>
      <w:r w:rsidRPr="00D83978">
        <w:t>responsib</w:t>
      </w:r>
      <w:r w:rsidR="000A38A1" w:rsidRPr="008A32BF">
        <w:t>ility</w:t>
      </w:r>
      <w:r w:rsidRPr="00D83978">
        <w:t xml:space="preserve"> for the obligations under the CMA Orde</w:t>
      </w:r>
      <w:r w:rsidRPr="00A403CE">
        <w:t xml:space="preserve">r and oversight the OBIE, </w:t>
      </w:r>
    </w:p>
    <w:p w14:paraId="70E94878" w14:textId="37B33902" w:rsidR="007257FB" w:rsidRPr="00A403CE" w:rsidRDefault="007257FB" w:rsidP="008A32BF">
      <w:pPr>
        <w:pStyle w:val="Bullet"/>
      </w:pPr>
      <w:r w:rsidRPr="00A403CE">
        <w:t xml:space="preserve">the Financial Conduct Authority </w:t>
      </w:r>
      <w:r w:rsidR="003829F9">
        <w:t>which</w:t>
      </w:r>
      <w:r w:rsidR="003829F9" w:rsidRPr="00A403CE">
        <w:t xml:space="preserve"> </w:t>
      </w:r>
      <w:r w:rsidRPr="00A403CE">
        <w:t xml:space="preserve">authorises, regulates and supervises Open Banking and payment firms, </w:t>
      </w:r>
    </w:p>
    <w:p w14:paraId="55AA50A5" w14:textId="4B352F32" w:rsidR="007257FB" w:rsidRPr="00A403CE" w:rsidRDefault="007257FB" w:rsidP="008A32BF">
      <w:pPr>
        <w:pStyle w:val="Bullet"/>
      </w:pPr>
      <w:r w:rsidRPr="00A403CE">
        <w:t>the Payment Systems Regulator which is the economic regulator for payment systems, and</w:t>
      </w:r>
    </w:p>
    <w:p w14:paraId="66A9C17C" w14:textId="087F526F" w:rsidR="007257FB" w:rsidRPr="00A403CE" w:rsidRDefault="007257FB" w:rsidP="008A32BF">
      <w:pPr>
        <w:pStyle w:val="Bullet"/>
      </w:pPr>
      <w:r w:rsidRPr="00A403CE">
        <w:t xml:space="preserve">HM Treasury which </w:t>
      </w:r>
      <w:r w:rsidR="000A38A1" w:rsidRPr="008A32BF">
        <w:t>h</w:t>
      </w:r>
      <w:r w:rsidRPr="00D83978">
        <w:t xml:space="preserve">as </w:t>
      </w:r>
      <w:r w:rsidRPr="00A403CE">
        <w:t>responsibility for overarching financial policy.</w:t>
      </w:r>
    </w:p>
    <w:p w14:paraId="23AFE1C3" w14:textId="373FED0D" w:rsidR="00265FE3" w:rsidRPr="008A32BF" w:rsidRDefault="00265FE3" w:rsidP="008D5E2B">
      <w:pPr>
        <w:rPr>
          <w:highlight w:val="green"/>
        </w:rPr>
      </w:pPr>
      <w:r>
        <w:t>This model offered participants (business operators using open banking as well as consumers using products and services supported by open banking) a</w:t>
      </w:r>
      <w:r w:rsidR="00906AFC">
        <w:t xml:space="preserve"> clearer</w:t>
      </w:r>
      <w:r>
        <w:t xml:space="preserve"> ‘front door’ for interaction with </w:t>
      </w:r>
      <w:r w:rsidR="0066038A">
        <w:t xml:space="preserve">the UK Open Banking scheme </w:t>
      </w:r>
      <w:r>
        <w:t>and participation in</w:t>
      </w:r>
      <w:r w:rsidR="0066038A">
        <w:t xml:space="preserve"> it</w:t>
      </w:r>
      <w:r>
        <w:t>.</w:t>
      </w:r>
      <w:r w:rsidRPr="00F7004D">
        <w:t xml:space="preserve"> </w:t>
      </w:r>
    </w:p>
    <w:p w14:paraId="1B684C98" w14:textId="77777777" w:rsidR="00E17E29" w:rsidRDefault="00E17E29" w:rsidP="00E17E29"/>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9D1C6D" w14:paraId="036EBE6A" w14:textId="77777777" w:rsidTr="00772EF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7F3CEA0D" w14:textId="77777777" w:rsidR="009D1C6D" w:rsidRPr="00822EF9" w:rsidRDefault="009D1C6D" w:rsidP="00B17046">
            <w:pPr>
              <w:pStyle w:val="BoxHeading"/>
            </w:pPr>
            <w:r w:rsidRPr="00B17046">
              <w:lastRenderedPageBreak/>
              <w:t>Box 2.2 – UK’s Open Banking Implementation Entity (OBIE)</w:t>
            </w:r>
          </w:p>
          <w:p w14:paraId="65F1AC60" w14:textId="4EF09379" w:rsidR="009D1C6D" w:rsidRPr="00511A43" w:rsidRDefault="009D1C6D" w:rsidP="00B17046">
            <w:pPr>
              <w:pStyle w:val="BoxText"/>
            </w:pPr>
            <w:r w:rsidRPr="00D4755B">
              <w:rPr>
                <w:szCs w:val="24"/>
              </w:rPr>
              <w:t>The OBIE was established in 2016 in the Competition &amp; Markets Authority (CMA) order, which also required the nine</w:t>
            </w:r>
            <w:r w:rsidRPr="00167D86">
              <w:rPr>
                <w:szCs w:val="24"/>
              </w:rPr>
              <w:t xml:space="preserve"> largest banks (covering 90</w:t>
            </w:r>
            <w:r w:rsidR="00E23B3A" w:rsidRPr="00167D86">
              <w:rPr>
                <w:szCs w:val="24"/>
              </w:rPr>
              <w:t xml:space="preserve"> per cent</w:t>
            </w:r>
            <w:r w:rsidRPr="00E6039E">
              <w:rPr>
                <w:szCs w:val="24"/>
              </w:rPr>
              <w:t xml:space="preserve"> of the market) to fund the entities’ implementation activities, including constructing the infrastructure and services underlying Open Banking, providing guidance and monitoring the rollout of Open Banking, and promotin</w:t>
            </w:r>
            <w:r w:rsidRPr="002252C2">
              <w:rPr>
                <w:szCs w:val="24"/>
              </w:rPr>
              <w:t>g the adoption of Open Banking</w:t>
            </w:r>
            <w:r w:rsidRPr="002252C2" w:rsidDel="00F00822">
              <w:rPr>
                <w:szCs w:val="24"/>
              </w:rPr>
              <w:t>. This body still receives government oversight through the CMA</w:t>
            </w:r>
            <w:r w:rsidRPr="002252C2" w:rsidDel="00BC1790">
              <w:rPr>
                <w:szCs w:val="24"/>
              </w:rPr>
              <w:t xml:space="preserve">. </w:t>
            </w:r>
            <w:r w:rsidRPr="003D0786">
              <w:rPr>
                <w:szCs w:val="24"/>
              </w:rPr>
              <w:t>As the implementation activities set out in the CMA order are close to completion, a Joint Regulatory Oversight Committee has recently been announced to o</w:t>
            </w:r>
            <w:r w:rsidRPr="0093479C">
              <w:rPr>
                <w:szCs w:val="24"/>
              </w:rPr>
              <w:t>versee the development of Open Banking beyond the scope of the CMA Order and advise on how to transition from existing governance arrangements to a future, long</w:t>
            </w:r>
            <w:r w:rsidR="00396585" w:rsidRPr="0002173D">
              <w:rPr>
                <w:szCs w:val="24"/>
              </w:rPr>
              <w:t xml:space="preserve"> </w:t>
            </w:r>
            <w:r w:rsidRPr="003D33CE">
              <w:rPr>
                <w:szCs w:val="24"/>
              </w:rPr>
              <w:t>term regulatory framework for Open Banking.</w:t>
            </w:r>
          </w:p>
        </w:tc>
      </w:tr>
    </w:tbl>
    <w:p w14:paraId="72A6D688" w14:textId="44331E5F" w:rsidR="00265FE3" w:rsidRDefault="00265FE3" w:rsidP="00600205"/>
    <w:p w14:paraId="41282316" w14:textId="4120F3C6" w:rsidR="000B697C" w:rsidRPr="00CB38E4" w:rsidRDefault="00265FE3" w:rsidP="008D5E2B">
      <w:r>
        <w:t>Many</w:t>
      </w:r>
      <w:r w:rsidRPr="00046C1C">
        <w:t xml:space="preserve"> </w:t>
      </w:r>
      <w:r>
        <w:t xml:space="preserve">CDR </w:t>
      </w:r>
      <w:r w:rsidRPr="00046C1C">
        <w:t>participant</w:t>
      </w:r>
      <w:r>
        <w:t xml:space="preserve">s </w:t>
      </w:r>
      <w:r w:rsidRPr="00046C1C">
        <w:t>questioned whether the current implementation and regulatory arrangements</w:t>
      </w:r>
      <w:r>
        <w:t xml:space="preserve">, with multiple implementation agencies coordinated via </w:t>
      </w:r>
      <w:r w:rsidR="00521461">
        <w:t xml:space="preserve">the </w:t>
      </w:r>
      <w:r>
        <w:t>CDR Board,</w:t>
      </w:r>
      <w:r w:rsidRPr="00046C1C">
        <w:t xml:space="preserve"> </w:t>
      </w:r>
      <w:r w:rsidR="00521461" w:rsidRPr="00A238A6">
        <w:t xml:space="preserve">which is </w:t>
      </w:r>
      <w:r w:rsidR="00F27034" w:rsidRPr="00A238A6">
        <w:t>an</w:t>
      </w:r>
      <w:r w:rsidR="00521461" w:rsidRPr="00A238A6">
        <w:t xml:space="preserve"> advisory </w:t>
      </w:r>
      <w:r w:rsidR="00F27034" w:rsidRPr="00A238A6">
        <w:t>body</w:t>
      </w:r>
      <w:r w:rsidR="00521461" w:rsidRPr="00A238A6">
        <w:t>,</w:t>
      </w:r>
      <w:r w:rsidR="00521461">
        <w:t xml:space="preserve"> </w:t>
      </w:r>
      <w:r w:rsidRPr="00046C1C">
        <w:t>remain fit</w:t>
      </w:r>
      <w:r w:rsidR="00F050FD">
        <w:t>-</w:t>
      </w:r>
      <w:r w:rsidRPr="00046C1C">
        <w:t>for</w:t>
      </w:r>
      <w:r w:rsidR="00F050FD">
        <w:t>-</w:t>
      </w:r>
      <w:r w:rsidRPr="00046C1C">
        <w:t>purpose as the CDR expands across multiple sectors of the economy</w:t>
      </w:r>
      <w:r>
        <w:t xml:space="preserve">. Envestnet |Yodlee’s submission raised that “[c]onflicting opinions or gaps in knowledge abound” between CDR agencies, and “areas where rules are made yet technical standards have been ignored or not thought through in their entirety”. </w:t>
      </w:r>
    </w:p>
    <w:p w14:paraId="0A9C1045" w14:textId="56F41101" w:rsidR="00265FE3" w:rsidRDefault="00265FE3" w:rsidP="00B17046">
      <w:r>
        <w:t>Inspired by the OBIE, many advocated</w:t>
      </w:r>
      <w:r w:rsidRPr="00046C1C">
        <w:t xml:space="preserve"> the creation of a</w:t>
      </w:r>
      <w:r>
        <w:t xml:space="preserve"> dedicated</w:t>
      </w:r>
      <w:r w:rsidRPr="00046C1C">
        <w:t xml:space="preserve"> entity to implement, operate and maintain the CDR, </w:t>
      </w:r>
      <w:r>
        <w:t>act as</w:t>
      </w:r>
      <w:r w:rsidRPr="00046C1C">
        <w:t xml:space="preserve"> repository of deep technical expertise in data and generate momentum to take the CDR </w:t>
      </w:r>
      <w:r w:rsidR="006B15D0">
        <w:t xml:space="preserve">across the </w:t>
      </w:r>
      <w:r w:rsidRPr="00046C1C">
        <w:t>economy</w:t>
      </w:r>
      <w:r>
        <w:t xml:space="preserve"> as the solution to this lack of coordination</w:t>
      </w:r>
      <w:r w:rsidRPr="00046C1C">
        <w:t>.</w:t>
      </w:r>
      <w:r>
        <w:t xml:space="preserve"> Participants envis</w:t>
      </w:r>
      <w:r w:rsidR="006B15D0">
        <w:t>age</w:t>
      </w:r>
      <w:r>
        <w:t xml:space="preserve">d that such an entity could maintain a </w:t>
      </w:r>
      <w:r w:rsidRPr="00046C1C">
        <w:t xml:space="preserve">single voice, advocate </w:t>
      </w:r>
      <w:r>
        <w:t>and educate around</w:t>
      </w:r>
      <w:r w:rsidRPr="00046C1C">
        <w:t xml:space="preserve"> the system</w:t>
      </w:r>
      <w:r>
        <w:t>,</w:t>
      </w:r>
      <w:r w:rsidRPr="00046C1C">
        <w:t xml:space="preserve"> </w:t>
      </w:r>
      <w:r>
        <w:t>as well as</w:t>
      </w:r>
      <w:r w:rsidRPr="00046C1C">
        <w:t xml:space="preserve"> understand the complexity of IT builds</w:t>
      </w:r>
      <w:r>
        <w:t>. The entity would conceivably have a better understanding of</w:t>
      </w:r>
      <w:r w:rsidRPr="00046C1C">
        <w:t xml:space="preserve"> the difficulty of constantly changing requirements and realistic timeframes informed by practical realities rather than externally imposed deadlines. </w:t>
      </w:r>
      <w:r>
        <w:t xml:space="preserve">The view is </w:t>
      </w:r>
      <w:r w:rsidR="006B15D0">
        <w:t>this</w:t>
      </w:r>
      <w:r w:rsidR="006B15D0" w:rsidRPr="00046C1C">
        <w:t xml:space="preserve"> </w:t>
      </w:r>
      <w:r w:rsidRPr="00046C1C">
        <w:t xml:space="preserve">would also assist </w:t>
      </w:r>
      <w:r>
        <w:t xml:space="preserve">participants, particularly </w:t>
      </w:r>
      <w:r w:rsidRPr="00046C1C">
        <w:t xml:space="preserve">smaller </w:t>
      </w:r>
      <w:r>
        <w:t>ones,</w:t>
      </w:r>
      <w:r w:rsidRPr="00046C1C">
        <w:t xml:space="preserve"> who currently struggle to access and understand the information </w:t>
      </w:r>
      <w:r>
        <w:t xml:space="preserve">and lack the capital and technical expertise </w:t>
      </w:r>
      <w:r w:rsidRPr="00046C1C">
        <w:t>need</w:t>
      </w:r>
      <w:r w:rsidR="006B15D0">
        <w:t>ed</w:t>
      </w:r>
      <w:r w:rsidRPr="00046C1C">
        <w:t xml:space="preserve"> to participate in the CDR. </w:t>
      </w:r>
    </w:p>
    <w:p w14:paraId="5818D1E7" w14:textId="56DEE862" w:rsidR="00265FE3" w:rsidRPr="00600205" w:rsidRDefault="00265FE3" w:rsidP="00B17046">
      <w:pPr>
        <w:pStyle w:val="Quote"/>
      </w:pPr>
      <w:r w:rsidRPr="00600205">
        <w:t>“The governance of the CDR should be simplified and consolidated under a single regulator with powers to set rules, technical standards, conduct accreditation, registration and enforcement. Treasury should retain policy responsibility for CDR and set the strategic direction.”</w:t>
      </w:r>
      <w:r w:rsidR="0025509F">
        <w:rPr>
          <w:b/>
        </w:rPr>
        <w:t xml:space="preserve"> </w:t>
      </w:r>
      <w:r w:rsidRPr="00F3484D">
        <w:rPr>
          <w:b/>
        </w:rPr>
        <w:t>– Australian Banking Association</w:t>
      </w:r>
    </w:p>
    <w:p w14:paraId="49753CBF" w14:textId="71C3C21D" w:rsidR="00265FE3" w:rsidRPr="005C4C5C" w:rsidRDefault="0023295F" w:rsidP="008D5E2B">
      <w:r>
        <w:t xml:space="preserve">The Review notes </w:t>
      </w:r>
      <w:r w:rsidR="00F83B2A">
        <w:t xml:space="preserve">that </w:t>
      </w:r>
      <w:r>
        <w:t>th</w:t>
      </w:r>
      <w:r w:rsidR="00270DE1">
        <w:t>e</w:t>
      </w:r>
      <w:r>
        <w:t xml:space="preserve"> </w:t>
      </w:r>
      <w:r w:rsidR="00270DE1">
        <w:t xml:space="preserve">UK </w:t>
      </w:r>
      <w:r>
        <w:t>approach</w:t>
      </w:r>
      <w:r w:rsidR="00265FE3">
        <w:t xml:space="preserve"> </w:t>
      </w:r>
      <w:r w:rsidR="00270DE1">
        <w:t xml:space="preserve">is also a multi-agency approach, the OBIE was time limited to the implementation of data-sharing by nine entities, and </w:t>
      </w:r>
      <w:r w:rsidR="00265FE3">
        <w:t xml:space="preserve">was </w:t>
      </w:r>
      <w:r w:rsidR="00A52ECA">
        <w:t xml:space="preserve">made possible </w:t>
      </w:r>
      <w:r w:rsidR="00265FE3">
        <w:t>through industry funding in the UK</w:t>
      </w:r>
      <w:r w:rsidR="00270DE1">
        <w:t xml:space="preserve"> by those</w:t>
      </w:r>
      <w:r w:rsidR="00C63DE5">
        <w:t xml:space="preserve"> </w:t>
      </w:r>
      <w:r w:rsidR="00265FE3">
        <w:t>nine major banks</w:t>
      </w:r>
      <w:r w:rsidR="00270DE1" w:rsidRPr="005C4C5C">
        <w:t>.</w:t>
      </w:r>
      <w:r w:rsidR="00265FE3" w:rsidRPr="005C4C5C" w:rsidDel="00270DE1">
        <w:t xml:space="preserve"> </w:t>
      </w:r>
      <w:r w:rsidRPr="005C4C5C">
        <w:t xml:space="preserve">The Review </w:t>
      </w:r>
      <w:r w:rsidRPr="005C4C5C" w:rsidDel="00C0036F">
        <w:t>is conscious</w:t>
      </w:r>
      <w:r w:rsidR="00C0036F" w:rsidRPr="005C4C5C">
        <w:t xml:space="preserve"> </w:t>
      </w:r>
      <w:r w:rsidRPr="005C4C5C">
        <w:t xml:space="preserve">that </w:t>
      </w:r>
      <w:r w:rsidR="00F81F82" w:rsidRPr="005C4C5C">
        <w:t xml:space="preserve">participants </w:t>
      </w:r>
      <w:r w:rsidR="009B650F" w:rsidRPr="005C4C5C">
        <w:t>and the government</w:t>
      </w:r>
      <w:r w:rsidR="00C0036F" w:rsidRPr="005C4C5C">
        <w:t xml:space="preserve"> </w:t>
      </w:r>
      <w:r w:rsidRPr="005C4C5C">
        <w:t xml:space="preserve">have already expended significant resources in building </w:t>
      </w:r>
      <w:r w:rsidR="00BE6E87" w:rsidRPr="005C4C5C">
        <w:t>the CDR ecosystem</w:t>
      </w:r>
      <w:r w:rsidRPr="005C4C5C">
        <w:t xml:space="preserve"> and</w:t>
      </w:r>
      <w:r w:rsidR="00FA6B6A" w:rsidRPr="005C4C5C">
        <w:t xml:space="preserve"> </w:t>
      </w:r>
      <w:r w:rsidR="00BE6E87" w:rsidRPr="005C4C5C">
        <w:t xml:space="preserve">submissions </w:t>
      </w:r>
      <w:r w:rsidR="00580999" w:rsidRPr="005C4C5C">
        <w:t>did not offer solutions or proposals as to</w:t>
      </w:r>
      <w:r w:rsidR="00BE6E87" w:rsidRPr="005C4C5C">
        <w:t xml:space="preserve"> </w:t>
      </w:r>
      <w:r w:rsidR="00C60952" w:rsidRPr="005C4C5C">
        <w:t xml:space="preserve">how </w:t>
      </w:r>
      <w:r w:rsidR="006903E5" w:rsidRPr="005C4C5C" w:rsidDel="00C60952">
        <w:t>s</w:t>
      </w:r>
      <w:r w:rsidR="006903E5" w:rsidRPr="005C4C5C">
        <w:t>uch</w:t>
      </w:r>
      <w:r w:rsidR="00EF4D26" w:rsidRPr="005C4C5C">
        <w:t xml:space="preserve"> an entity</w:t>
      </w:r>
      <w:r w:rsidR="00C60952" w:rsidRPr="005C4C5C">
        <w:t xml:space="preserve"> </w:t>
      </w:r>
      <w:r w:rsidR="00580999" w:rsidRPr="005C4C5C" w:rsidDel="00623D67">
        <w:t>w</w:t>
      </w:r>
      <w:r w:rsidR="00C60952" w:rsidRPr="005C4C5C">
        <w:t xml:space="preserve">ould be </w:t>
      </w:r>
      <w:r w:rsidR="00433061" w:rsidRPr="005C4C5C">
        <w:t xml:space="preserve">resourced and </w:t>
      </w:r>
      <w:r w:rsidR="00C60952" w:rsidRPr="005C4C5C" w:rsidDel="00C0036F">
        <w:t xml:space="preserve">funded in </w:t>
      </w:r>
      <w:r w:rsidR="00C60952" w:rsidRPr="005C4C5C">
        <w:t>Australia</w:t>
      </w:r>
      <w:r w:rsidRPr="005C4C5C">
        <w:t xml:space="preserve">. </w:t>
      </w:r>
      <w:r w:rsidR="00265FE3" w:rsidRPr="005C4C5C">
        <w:t>Th</w:t>
      </w:r>
      <w:r w:rsidR="009B171F">
        <w:t>e UK</w:t>
      </w:r>
      <w:r w:rsidR="000B4CF0" w:rsidRPr="005C4C5C">
        <w:t xml:space="preserve"> </w:t>
      </w:r>
      <w:r w:rsidR="00265FE3" w:rsidRPr="005C4C5C">
        <w:t xml:space="preserve">approach was </w:t>
      </w:r>
      <w:r w:rsidR="00265FE3" w:rsidRPr="005C4C5C" w:rsidDel="000B4CF0">
        <w:t xml:space="preserve">also </w:t>
      </w:r>
      <w:r w:rsidR="00265FE3" w:rsidRPr="005C4C5C">
        <w:t xml:space="preserve">designed </w:t>
      </w:r>
      <w:r w:rsidR="00C63DE5" w:rsidRPr="005C4C5C">
        <w:t>to</w:t>
      </w:r>
      <w:r w:rsidR="00265FE3" w:rsidRPr="005C4C5C">
        <w:t xml:space="preserve"> support </w:t>
      </w:r>
      <w:r w:rsidR="006A721E">
        <w:t xml:space="preserve">a </w:t>
      </w:r>
      <w:r w:rsidR="00265FE3" w:rsidRPr="005C4C5C">
        <w:t>single</w:t>
      </w:r>
      <w:r w:rsidR="00A52ECA" w:rsidRPr="005C4C5C">
        <w:t>-</w:t>
      </w:r>
      <w:r w:rsidR="00265FE3" w:rsidRPr="005C4C5C">
        <w:t>sector rollout with deep functionality</w:t>
      </w:r>
      <w:r w:rsidR="006D4D9A" w:rsidRPr="005C4C5C">
        <w:t>,</w:t>
      </w:r>
      <w:r w:rsidR="00265FE3" w:rsidRPr="005C4C5C">
        <w:t xml:space="preserve"> </w:t>
      </w:r>
      <w:r w:rsidR="006D4D9A" w:rsidRPr="005C4C5C">
        <w:t>and</w:t>
      </w:r>
      <w:r w:rsidR="00265FE3" w:rsidRPr="005C4C5C">
        <w:t xml:space="preserve"> is not readily transferable to support</w:t>
      </w:r>
      <w:r w:rsidR="00A52ECA" w:rsidRPr="005C4C5C">
        <w:t>ing</w:t>
      </w:r>
      <w:r w:rsidR="00265FE3" w:rsidRPr="005C4C5C">
        <w:t xml:space="preserve"> the policy objectives of the CDR as an economy-wide </w:t>
      </w:r>
      <w:r w:rsidR="002870FA" w:rsidRPr="005C4C5C">
        <w:t>initiative</w:t>
      </w:r>
      <w:r w:rsidR="00265FE3" w:rsidRPr="005C4C5C">
        <w:t xml:space="preserve">. </w:t>
      </w:r>
      <w:r w:rsidR="00326AB8" w:rsidRPr="005C4C5C">
        <w:t>I</w:t>
      </w:r>
      <w:r w:rsidR="00264853" w:rsidRPr="005C4C5C">
        <w:t>n the Australian context</w:t>
      </w:r>
      <w:r w:rsidR="00326AB8" w:rsidRPr="005C4C5C">
        <w:t>, the addition of another body</w:t>
      </w:r>
      <w:r w:rsidR="00264853" w:rsidRPr="005C4C5C">
        <w:t xml:space="preserve"> </w:t>
      </w:r>
      <w:r w:rsidR="00D83978" w:rsidRPr="005C4C5C">
        <w:t>may inadvertently lead to further fragmentation in the CDR ecosystem, particularly in any transition</w:t>
      </w:r>
      <w:r w:rsidR="008F7623" w:rsidRPr="005C4C5C">
        <w:t xml:space="preserve"> period</w:t>
      </w:r>
      <w:r w:rsidR="00D83978" w:rsidRPr="005C4C5C">
        <w:t xml:space="preserve">, and would inevitably divert resources across the system </w:t>
      </w:r>
      <w:r w:rsidR="00326AB8" w:rsidRPr="005C4C5C">
        <w:t>at the expense of</w:t>
      </w:r>
      <w:r w:rsidR="00D83978" w:rsidRPr="005C4C5C" w:rsidDel="00326AB8">
        <w:t xml:space="preserve"> </w:t>
      </w:r>
      <w:r w:rsidR="00D83978" w:rsidRPr="005C4C5C">
        <w:t>system expansion and deepening of functionality.</w:t>
      </w:r>
    </w:p>
    <w:p w14:paraId="0EB69A04" w14:textId="68E6AF46" w:rsidR="00B47AF7" w:rsidRPr="005C4C5C" w:rsidRDefault="00265FE3" w:rsidP="008D5E2B">
      <w:r w:rsidRPr="005C4C5C">
        <w:t>The current arrangements</w:t>
      </w:r>
      <w:r w:rsidRPr="005C4C5C" w:rsidDel="00270DE1">
        <w:t xml:space="preserve"> </w:t>
      </w:r>
      <w:r w:rsidRPr="005C4C5C">
        <w:t xml:space="preserve">attempt to </w:t>
      </w:r>
      <w:r w:rsidR="00DD0B04" w:rsidRPr="005C4C5C">
        <w:t xml:space="preserve">distribute policy, rule-making and regulatory responsibilities to the appropriate Government Ministers and agencies, </w:t>
      </w:r>
      <w:r w:rsidRPr="005C4C5C">
        <w:t xml:space="preserve">balance technical and policy expertise with </w:t>
      </w:r>
      <w:r w:rsidRPr="005C4C5C">
        <w:lastRenderedPageBreak/>
        <w:t xml:space="preserve">industry involvement and ownership while continuing to provide appropriate compliance oversight. </w:t>
      </w:r>
      <w:r w:rsidR="006D4D9A" w:rsidRPr="005C4C5C">
        <w:t>The Review does acknowledge</w:t>
      </w:r>
      <w:r w:rsidRPr="005C4C5C">
        <w:t xml:space="preserve"> CDR participant feedback that these arrangements have not always worked effectively. </w:t>
      </w:r>
    </w:p>
    <w:p w14:paraId="4A25319C" w14:textId="5655DF43" w:rsidR="00FB4C08" w:rsidRDefault="00DD5C1B" w:rsidP="00B17046">
      <w:r w:rsidRPr="005C4C5C">
        <w:t>In the future as the CDR and other digital initiatives mature,</w:t>
      </w:r>
      <w:r w:rsidR="004B222B" w:rsidRPr="005C4C5C" w:rsidDel="007B62CB">
        <w:t xml:space="preserve"> </w:t>
      </w:r>
      <w:r w:rsidR="00E809FB" w:rsidRPr="005C4C5C">
        <w:t>i</w:t>
      </w:r>
      <w:r w:rsidRPr="005C4C5C">
        <w:t>mplementation and regulatory</w:t>
      </w:r>
      <w:r w:rsidR="00980015" w:rsidRPr="005C4C5C">
        <w:t xml:space="preserve"> arrangements</w:t>
      </w:r>
      <w:r w:rsidRPr="005C4C5C">
        <w:t xml:space="preserve"> across initiatives</w:t>
      </w:r>
      <w:r w:rsidR="00980015" w:rsidRPr="005C4C5C">
        <w:t xml:space="preserve"> should be revisited</w:t>
      </w:r>
      <w:r w:rsidRPr="005C4C5C">
        <w:t>.</w:t>
      </w:r>
      <w:r w:rsidR="00BE4BB0" w:rsidRPr="005C4C5C">
        <w:t xml:space="preserve"> </w:t>
      </w:r>
      <w:r w:rsidR="00980015" w:rsidRPr="005C4C5C">
        <w:t>H</w:t>
      </w:r>
      <w:r w:rsidR="00676E16" w:rsidRPr="005C4C5C">
        <w:t>owever</w:t>
      </w:r>
      <w:r w:rsidR="00676E16">
        <w:t xml:space="preserve">, </w:t>
      </w:r>
      <w:r w:rsidR="00265FE3" w:rsidDel="005F315D">
        <w:t>i</w:t>
      </w:r>
      <w:r w:rsidR="00265FE3">
        <w:t>n the short to medium term (up to five years)</w:t>
      </w:r>
      <w:r w:rsidR="00A52ECA">
        <w:t>,</w:t>
      </w:r>
      <w:r w:rsidR="00265FE3">
        <w:t xml:space="preserve"> priority should be given to working with and improving the existing CDR governance structures, coordination and clarity between CDR agencies</w:t>
      </w:r>
      <w:r w:rsidR="00265FE3" w:rsidDel="005F315D">
        <w:t>.</w:t>
      </w:r>
      <w:r w:rsidR="00265FE3">
        <w:t xml:space="preserve"> Suggestions to this end include CDR agencies:</w:t>
      </w:r>
    </w:p>
    <w:p w14:paraId="480B941C" w14:textId="3B4C377E" w:rsidR="00265FE3" w:rsidRPr="00184702" w:rsidRDefault="00FB4C08" w:rsidP="00B17046">
      <w:pPr>
        <w:pStyle w:val="Bullet"/>
      </w:pPr>
      <w:r w:rsidRPr="00184702">
        <w:t>P</w:t>
      </w:r>
      <w:r w:rsidR="00265FE3" w:rsidRPr="00184702">
        <w:t>roviding greater direction on future rollouts and timelines for key releases</w:t>
      </w:r>
      <w:r w:rsidR="00F621DE" w:rsidRPr="00184702">
        <w:t xml:space="preserve"> and consultation processes</w:t>
      </w:r>
      <w:r w:rsidR="00265FE3" w:rsidRPr="00184702">
        <w:t>, ensuring a coordinated and consistent approach is taken to limit overlap</w:t>
      </w:r>
      <w:r w:rsidR="006A721E">
        <w:t>,</w:t>
      </w:r>
      <w:r w:rsidR="00265FE3" w:rsidRPr="00184702">
        <w:t xml:space="preserve"> and maintaining a level of situational and environmental awareness to limit conflict with major dates and events inside and outside the CDR</w:t>
      </w:r>
      <w:r w:rsidR="007257FB" w:rsidRPr="00184702">
        <w:t>,</w:t>
      </w:r>
    </w:p>
    <w:p w14:paraId="7F3DDC12" w14:textId="40C0B05D" w:rsidR="00265FE3" w:rsidRPr="00184702" w:rsidRDefault="00FB4C08" w:rsidP="00B17046">
      <w:pPr>
        <w:pStyle w:val="Bullet"/>
      </w:pPr>
      <w:r w:rsidRPr="00184702">
        <w:t>C</w:t>
      </w:r>
      <w:r w:rsidR="00992031" w:rsidRPr="00184702">
        <w:t>larifying</w:t>
      </w:r>
      <w:r w:rsidR="00F621DE" w:rsidRPr="00184702">
        <w:t xml:space="preserve"> the</w:t>
      </w:r>
      <w:r w:rsidR="00992031" w:rsidRPr="00184702">
        <w:t xml:space="preserve"> roles and responsibilities </w:t>
      </w:r>
      <w:r w:rsidR="00F621DE" w:rsidRPr="00184702">
        <w:t xml:space="preserve">of CDR agencies </w:t>
      </w:r>
      <w:r w:rsidR="00992031" w:rsidRPr="00184702">
        <w:t xml:space="preserve">with clear ownership of issues to ensure </w:t>
      </w:r>
      <w:r w:rsidR="00265FE3" w:rsidRPr="00184702">
        <w:t xml:space="preserve">participants are receiving consistent </w:t>
      </w:r>
      <w:r w:rsidR="00992031" w:rsidRPr="00184702">
        <w:t xml:space="preserve">and clear </w:t>
      </w:r>
      <w:r w:rsidR="00265FE3" w:rsidRPr="00184702">
        <w:t xml:space="preserve">messaging across </w:t>
      </w:r>
      <w:r w:rsidR="00F621DE" w:rsidRPr="00184702">
        <w:t xml:space="preserve">all </w:t>
      </w:r>
      <w:r w:rsidR="00265FE3" w:rsidRPr="00184702">
        <w:t>interactions</w:t>
      </w:r>
      <w:r w:rsidR="007132EB" w:rsidRPr="00184702">
        <w:t>, and implementing a ‘no wrong door’ approach</w:t>
      </w:r>
      <w:r w:rsidR="007257FB" w:rsidRPr="00184702">
        <w:t>,</w:t>
      </w:r>
    </w:p>
    <w:p w14:paraId="03309FF2" w14:textId="347E27C6" w:rsidR="00265FE3" w:rsidRPr="00184702" w:rsidRDefault="00FB4C08" w:rsidP="00B17046">
      <w:pPr>
        <w:pStyle w:val="Bullet"/>
      </w:pPr>
      <w:r w:rsidRPr="00184702">
        <w:t>P</w:t>
      </w:r>
      <w:r w:rsidR="00265FE3" w:rsidRPr="00184702">
        <w:t>ublishing more comprehensive information</w:t>
      </w:r>
      <w:r w:rsidR="0064445D" w:rsidRPr="00184702">
        <w:t>, such as schedules and timelines</w:t>
      </w:r>
      <w:r w:rsidR="00265FE3" w:rsidRPr="00184702">
        <w:t xml:space="preserve"> on the progress of the </w:t>
      </w:r>
      <w:r w:rsidR="002870FA" w:rsidRPr="00184702">
        <w:t>scheme</w:t>
      </w:r>
      <w:r w:rsidR="00A52ECA" w:rsidRPr="00184702">
        <w:t>, and</w:t>
      </w:r>
    </w:p>
    <w:p w14:paraId="74C71127" w14:textId="31DCF8E6" w:rsidR="00BD30A0" w:rsidRPr="00184702" w:rsidRDefault="00FB4C08" w:rsidP="00B17046">
      <w:pPr>
        <w:pStyle w:val="Bullet"/>
        <w:rPr>
          <w:rFonts w:asciiTheme="minorHAnsi" w:eastAsiaTheme="minorHAnsi" w:hAnsiTheme="minorHAnsi" w:cstheme="minorBidi"/>
          <w:szCs w:val="22"/>
        </w:rPr>
      </w:pPr>
      <w:r w:rsidRPr="00184702">
        <w:t>H</w:t>
      </w:r>
      <w:r w:rsidR="00265FE3" w:rsidRPr="00184702">
        <w:t xml:space="preserve">aving a coordinated </w:t>
      </w:r>
      <w:r w:rsidR="00FA295C" w:rsidRPr="00184702">
        <w:t xml:space="preserve">and targeted </w:t>
      </w:r>
      <w:r w:rsidR="00265FE3" w:rsidRPr="00184702">
        <w:t>communications and media approach, including website</w:t>
      </w:r>
      <w:r w:rsidR="00AA7DDD" w:rsidRPr="00184702">
        <w:t>s</w:t>
      </w:r>
      <w:r w:rsidR="00265FE3" w:rsidRPr="00184702">
        <w:t>, newsletters and general email communications.</w:t>
      </w:r>
    </w:p>
    <w:tbl>
      <w:tblPr>
        <w:tblStyle w:val="TableGrid"/>
        <w:tblpPr w:leftFromText="180" w:rightFromText="180" w:vertAnchor="text" w:horzAnchor="margin" w:tblpY="247"/>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BD30A0" w14:paraId="27CF1B74" w14:textId="77777777" w:rsidTr="00BD30A0">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6E49FD7E" w14:textId="6736A069" w:rsidR="00BD30A0" w:rsidRPr="00822EF9" w:rsidRDefault="00BD30A0" w:rsidP="00B17046">
            <w:pPr>
              <w:pStyle w:val="BoxHeading"/>
            </w:pPr>
            <w:r w:rsidRPr="00B17046">
              <w:t>Recommendation 2.3</w:t>
            </w:r>
          </w:p>
          <w:p w14:paraId="278EAEA8" w14:textId="75F42CE1" w:rsidR="00BD30A0" w:rsidRPr="00511A43" w:rsidRDefault="00DC5260" w:rsidP="00B17046">
            <w:pPr>
              <w:pStyle w:val="BoxText"/>
            </w:pPr>
            <w:r w:rsidRPr="00D4755B">
              <w:rPr>
                <w:szCs w:val="24"/>
              </w:rPr>
              <w:t>Changes to CDR governance should not be made now, however, i</w:t>
            </w:r>
            <w:r w:rsidR="00980723" w:rsidRPr="00167D86">
              <w:rPr>
                <w:szCs w:val="24"/>
              </w:rPr>
              <w:t>mprov</w:t>
            </w:r>
            <w:r w:rsidR="00F85E59" w:rsidRPr="00167D86">
              <w:rPr>
                <w:szCs w:val="24"/>
              </w:rPr>
              <w:t>ements to</w:t>
            </w:r>
            <w:r w:rsidR="00980723" w:rsidRPr="00E6039E">
              <w:rPr>
                <w:szCs w:val="24"/>
              </w:rPr>
              <w:t xml:space="preserve"> coordination within the existing CDR structure</w:t>
            </w:r>
            <w:r w:rsidRPr="002252C2">
              <w:rPr>
                <w:szCs w:val="24"/>
              </w:rPr>
              <w:t>s</w:t>
            </w:r>
            <w:r w:rsidR="005D0025" w:rsidRPr="002252C2">
              <w:rPr>
                <w:szCs w:val="24"/>
              </w:rPr>
              <w:t xml:space="preserve"> should be undertaken </w:t>
            </w:r>
            <w:r w:rsidRPr="002252C2">
              <w:rPr>
                <w:szCs w:val="24"/>
              </w:rPr>
              <w:t xml:space="preserve">as a priority </w:t>
            </w:r>
            <w:r w:rsidR="005D0025" w:rsidRPr="002252C2">
              <w:rPr>
                <w:szCs w:val="24"/>
              </w:rPr>
              <w:t>in the short to medium term</w:t>
            </w:r>
            <w:r w:rsidR="00BD30A0" w:rsidRPr="003D0786">
              <w:rPr>
                <w:szCs w:val="24"/>
              </w:rPr>
              <w:t>.</w:t>
            </w:r>
            <w:r w:rsidR="00BD30A0" w:rsidRPr="0093479C">
              <w:rPr>
                <w:szCs w:val="24"/>
              </w:rPr>
              <w:t xml:space="preserve"> CDR agencies should make it easier for participants and users to resolve issues and seek advice, including by clarifying responsibility and ownership of issues, coordinating consultation and system releases, and publishing comprehensive sta</w:t>
            </w:r>
            <w:r w:rsidR="00BD30A0" w:rsidRPr="0002173D">
              <w:rPr>
                <w:szCs w:val="24"/>
              </w:rPr>
              <w:t xml:space="preserve">tistics on the progress of the </w:t>
            </w:r>
            <w:r w:rsidR="00BD30A0" w:rsidRPr="003D33CE">
              <w:rPr>
                <w:szCs w:val="24"/>
              </w:rPr>
              <w:t>CDR.</w:t>
            </w:r>
          </w:p>
        </w:tc>
      </w:tr>
    </w:tbl>
    <w:p w14:paraId="62147135" w14:textId="77777777" w:rsidR="00BD30A0" w:rsidRDefault="00BD30A0" w:rsidP="00B17046">
      <w:pPr>
        <w:pStyle w:val="Bullet"/>
        <w:numPr>
          <w:ilvl w:val="0"/>
          <w:numId w:val="0"/>
        </w:numPr>
        <w:spacing w:after="0"/>
        <w:rPr>
          <w:rFonts w:asciiTheme="minorHAnsi" w:eastAsiaTheme="minorHAnsi" w:hAnsiTheme="minorHAnsi" w:cstheme="minorBidi"/>
          <w:szCs w:val="22"/>
          <w:lang w:eastAsia="en-US"/>
        </w:rPr>
      </w:pPr>
    </w:p>
    <w:p w14:paraId="64F9F941" w14:textId="78DDBB43" w:rsidR="00C0786C" w:rsidRDefault="00CB38E4" w:rsidP="00B17046">
      <w:pPr>
        <w:spacing w:before="0"/>
      </w:pPr>
      <w:r w:rsidRPr="005C4C5C">
        <w:rPr>
          <w:rFonts w:eastAsiaTheme="minorHAnsi"/>
        </w:rPr>
        <w:t>When</w:t>
      </w:r>
      <w:r w:rsidR="00265FE3" w:rsidRPr="005C4C5C">
        <w:rPr>
          <w:rFonts w:eastAsiaTheme="minorHAnsi"/>
        </w:rPr>
        <w:t xml:space="preserve"> looking beyond the short to medium term, </w:t>
      </w:r>
      <w:r w:rsidR="000466A3" w:rsidRPr="005C4C5C">
        <w:rPr>
          <w:rFonts w:eastAsiaTheme="minorHAnsi"/>
        </w:rPr>
        <w:t>CDR</w:t>
      </w:r>
      <w:r w:rsidR="00265FE3" w:rsidRPr="005C4C5C">
        <w:rPr>
          <w:rFonts w:eastAsiaTheme="minorHAnsi"/>
        </w:rPr>
        <w:t xml:space="preserve"> governance </w:t>
      </w:r>
      <w:r w:rsidR="000466A3" w:rsidRPr="005C4C5C">
        <w:rPr>
          <w:rFonts w:eastAsiaTheme="minorHAnsi"/>
        </w:rPr>
        <w:t>arrangements should be revisited alongside that of other digital initiatives to ensure policy aims across the digital economy are met</w:t>
      </w:r>
      <w:r w:rsidR="007E2892" w:rsidRPr="005C4C5C">
        <w:rPr>
          <w:rFonts w:eastAsiaTheme="minorHAnsi"/>
        </w:rPr>
        <w:t xml:space="preserve">. </w:t>
      </w:r>
      <w:r w:rsidR="00796F00" w:rsidRPr="005C4C5C">
        <w:rPr>
          <w:rFonts w:eastAsiaTheme="minorHAnsi"/>
        </w:rPr>
        <w:t>For CDR specifically, t</w:t>
      </w:r>
      <w:r w:rsidR="00203797" w:rsidRPr="005C4C5C">
        <w:rPr>
          <w:rFonts w:eastAsiaTheme="minorHAnsi"/>
        </w:rPr>
        <w:t xml:space="preserve">his includes </w:t>
      </w:r>
      <w:r w:rsidR="000466A3" w:rsidRPr="005C4C5C">
        <w:rPr>
          <w:rFonts w:eastAsiaTheme="minorHAnsi"/>
        </w:rPr>
        <w:t xml:space="preserve">ensuring that </w:t>
      </w:r>
      <w:r w:rsidR="00796F00" w:rsidRPr="005C4C5C">
        <w:rPr>
          <w:rFonts w:eastAsiaTheme="minorHAnsi"/>
        </w:rPr>
        <w:t>the system</w:t>
      </w:r>
      <w:r w:rsidR="00203797" w:rsidRPr="005C4C5C">
        <w:rPr>
          <w:rFonts w:eastAsiaTheme="minorHAnsi"/>
        </w:rPr>
        <w:t xml:space="preserve"> work</w:t>
      </w:r>
      <w:r w:rsidR="000466A3" w:rsidRPr="005C4C5C">
        <w:rPr>
          <w:rFonts w:eastAsiaTheme="minorHAnsi"/>
        </w:rPr>
        <w:t>s</w:t>
      </w:r>
      <w:r w:rsidR="00265FE3" w:rsidRPr="005C4C5C">
        <w:rPr>
          <w:rFonts w:eastAsiaTheme="minorHAnsi"/>
        </w:rPr>
        <w:t xml:space="preserve"> horizontally across sectors with</w:t>
      </w:r>
      <w:r w:rsidR="00265FE3" w:rsidRPr="003B1689">
        <w:rPr>
          <w:rFonts w:eastAsiaTheme="minorHAnsi"/>
        </w:rPr>
        <w:t xml:space="preserve"> a high d</w:t>
      </w:r>
      <w:r w:rsidR="00265FE3" w:rsidRPr="00C0786C">
        <w:rPr>
          <w:rFonts w:eastAsiaTheme="minorHAnsi"/>
        </w:rPr>
        <w:t>egree of interoperability with other initiatives (</w:t>
      </w:r>
      <w:r w:rsidR="00A52ECA" w:rsidRPr="00C0786C">
        <w:rPr>
          <w:rFonts w:eastAsiaTheme="minorHAnsi"/>
        </w:rPr>
        <w:t>e</w:t>
      </w:r>
      <w:r w:rsidR="004F6554" w:rsidRPr="00C0786C">
        <w:rPr>
          <w:rFonts w:eastAsiaTheme="minorHAnsi"/>
        </w:rPr>
        <w:t>.</w:t>
      </w:r>
      <w:r w:rsidR="00A52ECA" w:rsidRPr="00C0786C">
        <w:rPr>
          <w:rFonts w:eastAsiaTheme="minorHAnsi"/>
        </w:rPr>
        <w:t>g</w:t>
      </w:r>
      <w:r w:rsidR="004F6554" w:rsidRPr="00C0786C">
        <w:rPr>
          <w:rFonts w:eastAsiaTheme="minorHAnsi"/>
        </w:rPr>
        <w:t>.</w:t>
      </w:r>
      <w:r w:rsidR="00A52ECA" w:rsidRPr="00C0786C">
        <w:rPr>
          <w:rFonts w:eastAsiaTheme="minorHAnsi"/>
        </w:rPr>
        <w:t xml:space="preserve"> </w:t>
      </w:r>
      <w:r w:rsidR="00265FE3" w:rsidRPr="00C0786C">
        <w:rPr>
          <w:rFonts w:eastAsiaTheme="minorHAnsi"/>
        </w:rPr>
        <w:t xml:space="preserve">PayTo, </w:t>
      </w:r>
      <w:r w:rsidR="00755515" w:rsidRPr="00C0786C">
        <w:rPr>
          <w:rFonts w:eastAsiaTheme="minorHAnsi"/>
        </w:rPr>
        <w:t>d</w:t>
      </w:r>
      <w:r w:rsidR="00265FE3" w:rsidRPr="00C0786C">
        <w:rPr>
          <w:rFonts w:eastAsiaTheme="minorHAnsi"/>
        </w:rPr>
        <w:t xml:space="preserve">igital </w:t>
      </w:r>
      <w:r w:rsidR="00755515" w:rsidRPr="00C0786C">
        <w:rPr>
          <w:rFonts w:eastAsiaTheme="minorHAnsi"/>
        </w:rPr>
        <w:t>i</w:t>
      </w:r>
      <w:r w:rsidR="00265FE3" w:rsidRPr="00C0786C">
        <w:rPr>
          <w:rFonts w:eastAsiaTheme="minorHAnsi"/>
        </w:rPr>
        <w:t>dentity) and integrates effectively with a wider global digital economy.</w:t>
      </w:r>
      <w:r w:rsidR="00265FE3" w:rsidRPr="00F3484D">
        <w:rPr>
          <w:rFonts w:eastAsiaTheme="minorHAnsi"/>
        </w:rPr>
        <w:t xml:space="preserve"> </w:t>
      </w:r>
      <w:r w:rsidR="00A243CA">
        <w:t>T</w:t>
      </w:r>
      <w:r w:rsidR="00265FE3">
        <w:t xml:space="preserve">he CDR governance structure </w:t>
      </w:r>
      <w:r w:rsidR="00A52ECA">
        <w:t>would</w:t>
      </w:r>
      <w:r w:rsidR="00A243CA">
        <w:t xml:space="preserve"> need to be well-positioned</w:t>
      </w:r>
      <w:r w:rsidR="00265FE3">
        <w:t xml:space="preserve"> to support a growing ecosystem by:</w:t>
      </w:r>
    </w:p>
    <w:p w14:paraId="42737817" w14:textId="0B90C044" w:rsidR="00265FE3" w:rsidRPr="0025509F" w:rsidRDefault="00FB4C08" w:rsidP="00B17046">
      <w:pPr>
        <w:pStyle w:val="Bullet"/>
      </w:pPr>
      <w:r w:rsidRPr="0025509F">
        <w:t>L</w:t>
      </w:r>
      <w:r w:rsidR="00265FE3" w:rsidRPr="0025509F">
        <w:t xml:space="preserve">eading the vision of </w:t>
      </w:r>
      <w:r w:rsidR="00A243CA" w:rsidRPr="0025509F">
        <w:t xml:space="preserve">the </w:t>
      </w:r>
      <w:r w:rsidR="00265FE3" w:rsidRPr="0025509F">
        <w:t>economy-wide rollout of the CDR</w:t>
      </w:r>
    </w:p>
    <w:p w14:paraId="62D2DF19" w14:textId="24116A32" w:rsidR="00265FE3" w:rsidRPr="0025509F" w:rsidRDefault="00FB4C08" w:rsidP="00B17046">
      <w:pPr>
        <w:pStyle w:val="Bullet"/>
      </w:pPr>
      <w:r w:rsidRPr="0025509F">
        <w:t>P</w:t>
      </w:r>
      <w:r w:rsidR="00265FE3" w:rsidRPr="0025509F">
        <w:t>roviding a single source of truth</w:t>
      </w:r>
      <w:r w:rsidR="006A721E">
        <w:t xml:space="preserve"> for</w:t>
      </w:r>
      <w:r w:rsidR="00265FE3" w:rsidRPr="0025509F">
        <w:t xml:space="preserve"> advice</w:t>
      </w:r>
      <w:r w:rsidR="006A721E">
        <w:t xml:space="preserve">, </w:t>
      </w:r>
      <w:r w:rsidR="00265FE3" w:rsidRPr="0025509F">
        <w:t>guidance and resolution of issues</w:t>
      </w:r>
    </w:p>
    <w:p w14:paraId="01B66293" w14:textId="1499387D" w:rsidR="00894E06" w:rsidRPr="0025509F" w:rsidRDefault="00FB4C08" w:rsidP="00B17046">
      <w:pPr>
        <w:pStyle w:val="Bullet"/>
      </w:pPr>
      <w:r w:rsidRPr="0025509F">
        <w:t>H</w:t>
      </w:r>
      <w:r w:rsidR="00265FE3" w:rsidRPr="0025509F">
        <w:t>aving the authority to make unilateral decisions</w:t>
      </w:r>
      <w:r w:rsidR="00A52ECA" w:rsidRPr="0025509F">
        <w:t>, and</w:t>
      </w:r>
    </w:p>
    <w:p w14:paraId="329A1BC1" w14:textId="37766230" w:rsidR="00510D56" w:rsidRPr="0025509F" w:rsidRDefault="00FB4C08" w:rsidP="00B17046">
      <w:pPr>
        <w:pStyle w:val="Bullet"/>
      </w:pPr>
      <w:r w:rsidRPr="0025509F">
        <w:t>P</w:t>
      </w:r>
      <w:r w:rsidR="00265FE3" w:rsidRPr="0025509F">
        <w:t>rovid</w:t>
      </w:r>
      <w:r w:rsidR="00A243CA" w:rsidRPr="0025509F">
        <w:t>ing</w:t>
      </w:r>
      <w:r w:rsidR="00265FE3" w:rsidRPr="0025509F">
        <w:t xml:space="preserve"> agile</w:t>
      </w:r>
      <w:r w:rsidR="00067079" w:rsidRPr="0025509F">
        <w:t>,</w:t>
      </w:r>
      <w:r w:rsidR="00265FE3" w:rsidRPr="0025509F">
        <w:t xml:space="preserve"> customer</w:t>
      </w:r>
      <w:r w:rsidR="00067079" w:rsidRPr="0025509F">
        <w:t>-</w:t>
      </w:r>
      <w:r w:rsidR="00265FE3" w:rsidRPr="0025509F">
        <w:t>focussed service delivery</w:t>
      </w:r>
      <w:r w:rsidRPr="0025509F">
        <w:t>.</w:t>
      </w:r>
    </w:p>
    <w:p w14:paraId="12A5792E" w14:textId="77777777" w:rsidR="00265FE3" w:rsidRDefault="00265FE3" w:rsidP="00B17046">
      <w:pPr>
        <w:pStyle w:val="Quote"/>
        <w:rPr>
          <w:rFonts w:asciiTheme="minorHAnsi" w:eastAsiaTheme="minorHAnsi" w:hAnsiTheme="minorHAnsi" w:cstheme="minorBidi"/>
          <w:szCs w:val="22"/>
          <w:lang w:eastAsia="en-US"/>
        </w:rPr>
      </w:pPr>
      <w:r w:rsidRPr="00484BD6">
        <w:rPr>
          <w:rFonts w:eastAsiaTheme="minorHAnsi"/>
        </w:rPr>
        <w:t xml:space="preserve">“Whilst jurisdictions such as the United Kingdom and Brazil have established an independent entity to oversee the deployment and ongoing operations of Open </w:t>
      </w:r>
      <w:r w:rsidRPr="00484BD6">
        <w:rPr>
          <w:rFonts w:eastAsiaTheme="minorHAnsi"/>
        </w:rPr>
        <w:lastRenderedPageBreak/>
        <w:t>Banking, Australia’s fragmented and fractured approach has created further misalignment, delays, assumptions and, in some cases, a false responsibility to carry out the priorities of others to the detriment of the overall Right.”</w:t>
      </w:r>
      <w:r w:rsidRPr="00BA5865">
        <w:rPr>
          <w:rFonts w:asciiTheme="minorHAnsi" w:eastAsiaTheme="minorHAnsi" w:hAnsiTheme="minorHAnsi" w:cstheme="minorBidi"/>
          <w:szCs w:val="22"/>
          <w:lang w:eastAsia="en-US"/>
        </w:rPr>
        <w:t xml:space="preserve"> </w:t>
      </w:r>
      <w:r w:rsidRPr="00B6530F">
        <w:rPr>
          <w:rFonts w:eastAsiaTheme="minorHAnsi"/>
        </w:rPr>
        <w:t xml:space="preserve">– </w:t>
      </w:r>
      <w:r w:rsidRPr="00F3484D">
        <w:rPr>
          <w:rFonts w:eastAsiaTheme="minorHAnsi"/>
          <w:b/>
        </w:rPr>
        <w:t>FDATA</w:t>
      </w:r>
    </w:p>
    <w:p w14:paraId="5333C80E" w14:textId="4A3182E9" w:rsidR="0043272A" w:rsidRDefault="00AC1651" w:rsidP="00484BD6">
      <w:r>
        <w:t>Since its inception, the</w:t>
      </w:r>
      <w:r w:rsidR="00E66B24" w:rsidRPr="00B6530F">
        <w:t xml:space="preserve"> CDR governance structure has not remained </w:t>
      </w:r>
      <w:r w:rsidR="00A243CA">
        <w:t>static</w:t>
      </w:r>
      <w:r w:rsidR="00E66B24" w:rsidRPr="00B6530F">
        <w:t>,</w:t>
      </w:r>
      <w:r w:rsidR="00A243CA">
        <w:t xml:space="preserve"> with</w:t>
      </w:r>
      <w:r w:rsidR="00E66B24" w:rsidRPr="00B6530F">
        <w:t xml:space="preserve"> changes made in 2021</w:t>
      </w:r>
      <w:r w:rsidR="00A243CA">
        <w:t xml:space="preserve"> to</w:t>
      </w:r>
      <w:r w:rsidR="00E66B24" w:rsidRPr="00B6530F">
        <w:t xml:space="preserve"> move some accountability and responsibility from the ACCC to Treasury t</w:t>
      </w:r>
      <w:r w:rsidR="00E66B24" w:rsidRPr="006027C7">
        <w:t>o provide a</w:t>
      </w:r>
      <w:r w:rsidR="00A243CA" w:rsidRPr="006027C7">
        <w:t xml:space="preserve"> more</w:t>
      </w:r>
      <w:r w:rsidR="00E66B24" w:rsidRPr="006027C7">
        <w:t xml:space="preserve"> streamline</w:t>
      </w:r>
      <w:r w:rsidR="00A243CA" w:rsidRPr="006027C7">
        <w:t>d</w:t>
      </w:r>
      <w:r w:rsidR="00E66B24" w:rsidRPr="006027C7">
        <w:t xml:space="preserve"> and unified approach to development and implementation (see </w:t>
      </w:r>
      <w:r w:rsidR="00E66B24" w:rsidRPr="006027C7">
        <w:rPr>
          <w:u w:val="single"/>
        </w:rPr>
        <w:t>Appendix C</w:t>
      </w:r>
      <w:r w:rsidR="00E66B24" w:rsidRPr="006027C7">
        <w:t>). However, as the system continues to evolve and expand</w:t>
      </w:r>
      <w:r w:rsidR="00067079" w:rsidRPr="006027C7">
        <w:t>,</w:t>
      </w:r>
      <w:r w:rsidR="00E66B24" w:rsidRPr="006027C7">
        <w:t xml:space="preserve"> the roles and responsibilities </w:t>
      </w:r>
      <w:r w:rsidR="00067079" w:rsidRPr="006027C7">
        <w:t>(</w:t>
      </w:r>
      <w:r w:rsidR="00E66B24" w:rsidRPr="006027C7">
        <w:t>including service delivery, regulatory functions, and technical standards</w:t>
      </w:r>
      <w:r w:rsidR="00067079" w:rsidRPr="006027C7">
        <w:t>)</w:t>
      </w:r>
      <w:r w:rsidR="00E66B24" w:rsidRPr="006027C7">
        <w:t xml:space="preserve"> of the current structure </w:t>
      </w:r>
      <w:r w:rsidR="00067079" w:rsidRPr="006027C7">
        <w:t xml:space="preserve">should be </w:t>
      </w:r>
      <w:r w:rsidR="00E66B24" w:rsidRPr="006027C7">
        <w:t>revisited and lessons learnt to ensure the best structure is in place to support the CDR going forward. This</w:t>
      </w:r>
      <w:r w:rsidR="00E66B24" w:rsidRPr="00B6530F">
        <w:t xml:space="preserve"> Review </w:t>
      </w:r>
      <w:r w:rsidR="0023295F">
        <w:t>found no clear consensus around a</w:t>
      </w:r>
      <w:r w:rsidR="00E66B24" w:rsidRPr="00B6530F">
        <w:t xml:space="preserve"> suggested governance model and</w:t>
      </w:r>
      <w:r w:rsidR="00067079">
        <w:t>,</w:t>
      </w:r>
      <w:r w:rsidR="00E66B24" w:rsidRPr="00B6530F">
        <w:t xml:space="preserve"> in the medium term</w:t>
      </w:r>
      <w:r w:rsidR="00067079">
        <w:t>,</w:t>
      </w:r>
      <w:r w:rsidR="00E66B24" w:rsidRPr="00B6530F">
        <w:t xml:space="preserve"> </w:t>
      </w:r>
      <w:r w:rsidR="00E66B24">
        <w:t xml:space="preserve">suggests </w:t>
      </w:r>
      <w:r w:rsidR="00E66B24" w:rsidRPr="00B6530F">
        <w:t xml:space="preserve">further consideration be given to what model best supports the CDR as it expands and integrates with the wider digital economy. </w:t>
      </w:r>
    </w:p>
    <w:p w14:paraId="73E8CD3E" w14:textId="4038F056" w:rsidR="00E66B24" w:rsidRPr="00961023" w:rsidRDefault="0043272A" w:rsidP="00600205">
      <w:pPr>
        <w:pStyle w:val="Heading2"/>
      </w:pPr>
      <w:bookmarkStart w:id="90" w:name="_Toc110602881"/>
      <w:r w:rsidRPr="00961023">
        <w:t>2.</w:t>
      </w:r>
      <w:r w:rsidR="00522BC0">
        <w:t>4</w:t>
      </w:r>
      <w:r w:rsidRPr="00961023">
        <w:t xml:space="preserve"> </w:t>
      </w:r>
      <w:r w:rsidR="00B34064" w:rsidRPr="00600205">
        <w:t>Increasing</w:t>
      </w:r>
      <w:r w:rsidR="00062E84" w:rsidRPr="00961023">
        <w:t xml:space="preserve"> awareness</w:t>
      </w:r>
      <w:r w:rsidR="00B34064" w:rsidRPr="00600205">
        <w:t xml:space="preserve"> and engagement</w:t>
      </w:r>
      <w:bookmarkEnd w:id="90"/>
      <w:r w:rsidR="00062E84" w:rsidRPr="00961023">
        <w:t xml:space="preserve"> </w:t>
      </w:r>
    </w:p>
    <w:p w14:paraId="35D920C3" w14:textId="5F28642E" w:rsidR="00265FE3" w:rsidRDefault="00265FE3" w:rsidP="00484BD6">
      <w:r>
        <w:t xml:space="preserve">Submissions raised issues with the </w:t>
      </w:r>
      <w:r w:rsidRPr="00D629A6">
        <w:t>implementation framework that might be addressed with adjustments to the governance structure for the CDR</w:t>
      </w:r>
      <w:r>
        <w:t xml:space="preserve">. Most stakeholders noted that there is very little consumer awareness of the CDR. One submission by Finder cited their </w:t>
      </w:r>
      <w:r>
        <w:rPr>
          <w:i/>
          <w:iCs/>
        </w:rPr>
        <w:t>Consumer Sentiment Tracker</w:t>
      </w:r>
      <w:r>
        <w:t xml:space="preserve"> survey</w:t>
      </w:r>
      <w:r w:rsidR="00AC1651">
        <w:t>,</w:t>
      </w:r>
      <w:r>
        <w:t xml:space="preserve"> which suggests that</w:t>
      </w:r>
      <w:r w:rsidR="00AC1651">
        <w:t>,</w:t>
      </w:r>
      <w:r>
        <w:t xml:space="preserve"> in May 2022</w:t>
      </w:r>
      <w:r w:rsidR="00AC1651">
        <w:t>,</w:t>
      </w:r>
      <w:r>
        <w:t xml:space="preserve"> only 5</w:t>
      </w:r>
      <w:r w:rsidR="00E23B3A">
        <w:t xml:space="preserve"> per cent</w:t>
      </w:r>
      <w:r>
        <w:t xml:space="preserve"> of their sample could correctly identify what the CDR is, down from 8</w:t>
      </w:r>
      <w:r w:rsidR="00E23B3A">
        <w:t xml:space="preserve"> per cent</w:t>
      </w:r>
      <w:r>
        <w:t xml:space="preserve"> in March 2021.</w:t>
      </w:r>
      <w:r w:rsidRPr="00600205">
        <w:rPr>
          <w:rStyle w:val="FootnoteReference"/>
          <w:sz w:val="22"/>
          <w:szCs w:val="24"/>
          <w:vertAlign w:val="superscript"/>
        </w:rPr>
        <w:footnoteReference w:id="21"/>
      </w:r>
      <w:r w:rsidRPr="00600205">
        <w:rPr>
          <w:sz w:val="28"/>
          <w:szCs w:val="24"/>
          <w:vertAlign w:val="superscript"/>
        </w:rPr>
        <w:t xml:space="preserve"> </w:t>
      </w:r>
      <w:r>
        <w:t xml:space="preserve">Some submissions suggested that this lack of awareness results in little consumer demand for new use cases of the CDR, reducing incentives to produce new use cases. </w:t>
      </w:r>
    </w:p>
    <w:p w14:paraId="693D8CC7" w14:textId="4456F67F" w:rsidR="009E5D65" w:rsidRDefault="00265FE3" w:rsidP="00B17046">
      <w:pPr>
        <w:pStyle w:val="Quote"/>
      </w:pPr>
      <w:r w:rsidRPr="00484BD6">
        <w:t>“The CBA encourages the Government and the Regulators to support education for consumers on the use and benefits of the CDR regime to increase engagement and drive consumer benefits.”</w:t>
      </w:r>
      <w:r w:rsidR="0025509F">
        <w:rPr>
          <w:b/>
        </w:rPr>
        <w:t xml:space="preserve"> </w:t>
      </w:r>
      <w:r w:rsidRPr="00CA07D4">
        <w:rPr>
          <w:b/>
        </w:rPr>
        <w:t>–</w:t>
      </w:r>
      <w:r w:rsidRPr="00F3484D">
        <w:rPr>
          <w:b/>
        </w:rPr>
        <w:t xml:space="preserve"> Commonweal</w:t>
      </w:r>
      <w:r w:rsidR="00862557" w:rsidRPr="00F3484D">
        <w:rPr>
          <w:b/>
        </w:rPr>
        <w:t>th</w:t>
      </w:r>
      <w:r w:rsidRPr="00F3484D">
        <w:rPr>
          <w:b/>
        </w:rPr>
        <w:t xml:space="preserve"> Bank of Australia</w:t>
      </w:r>
    </w:p>
    <w:p w14:paraId="22478519" w14:textId="12EC9D28" w:rsidR="00265FE3" w:rsidRPr="00383A01" w:rsidRDefault="00265FE3" w:rsidP="00B17046">
      <w:pPr>
        <w:pStyle w:val="Quote"/>
      </w:pPr>
      <w:r w:rsidRPr="00484BD6">
        <w:t>“An increase in consumer participation and awareness can only be achieved through planned</w:t>
      </w:r>
      <w:r w:rsidR="00906EC2" w:rsidRPr="00484BD6">
        <w:t xml:space="preserve"> </w:t>
      </w:r>
      <w:r w:rsidRPr="00484BD6">
        <w:t>educational and marketing programmes”</w:t>
      </w:r>
      <w:r>
        <w:t xml:space="preserve"> </w:t>
      </w:r>
      <w:r w:rsidRPr="00F3484D">
        <w:rPr>
          <w:b/>
        </w:rPr>
        <w:t>– Cuscal</w:t>
      </w:r>
    </w:p>
    <w:p w14:paraId="3562AD63" w14:textId="58F9CC4E" w:rsidR="00265FE3" w:rsidRDefault="00265FE3" w:rsidP="00421311">
      <w:r>
        <w:t xml:space="preserve">Increasing consumer awareness of the CDR has been discussed in previous review processes, including submissions to the recent sectoral assessment of </w:t>
      </w:r>
      <w:r w:rsidRPr="00117EE2">
        <w:t>Open Finance</w:t>
      </w:r>
      <w:r w:rsidR="00AC1651">
        <w:t>,</w:t>
      </w:r>
      <w:r>
        <w:t xml:space="preserve"> as well as in recommendations from the </w:t>
      </w:r>
      <w:r w:rsidRPr="00D338E4">
        <w:rPr>
          <w:i/>
          <w:iCs/>
        </w:rPr>
        <w:t>Open Banking Review</w:t>
      </w:r>
      <w:r w:rsidRPr="00600205">
        <w:rPr>
          <w:rStyle w:val="FootnoteReference"/>
          <w:sz w:val="22"/>
          <w:szCs w:val="24"/>
          <w:vertAlign w:val="superscript"/>
        </w:rPr>
        <w:footnoteReference w:id="22"/>
      </w:r>
      <w:r>
        <w:t xml:space="preserve"> and the </w:t>
      </w:r>
      <w:r w:rsidR="004E25A1">
        <w:t xml:space="preserve">Future Directions </w:t>
      </w:r>
      <w:r w:rsidRPr="00383A01">
        <w:t>Inquiry</w:t>
      </w:r>
      <w:r w:rsidR="00BF767F">
        <w:t>.</w:t>
      </w:r>
      <w:r w:rsidRPr="00600205">
        <w:rPr>
          <w:rStyle w:val="FootnoteReference"/>
          <w:sz w:val="22"/>
          <w:szCs w:val="24"/>
          <w:vertAlign w:val="superscript"/>
        </w:rPr>
        <w:footnoteReference w:id="23"/>
      </w:r>
      <w:r>
        <w:t xml:space="preserve"> This Review has found that the assertion that education </w:t>
      </w:r>
      <w:r w:rsidR="00AC1651">
        <w:t xml:space="preserve">would </w:t>
      </w:r>
      <w:r>
        <w:t>drive consumer uptake of the CDR overstate</w:t>
      </w:r>
      <w:r w:rsidR="00AC1651">
        <w:t>s</w:t>
      </w:r>
      <w:r>
        <w:t xml:space="preserve"> its role in consumer decision</w:t>
      </w:r>
      <w:r w:rsidR="00AC1651">
        <w:t>-</w:t>
      </w:r>
      <w:r>
        <w:t>making related to CDR-powered products. While understanding of the CDR may drive uptake for consumers who closely follow technological developments, for the majority of consumers</w:t>
      </w:r>
      <w:r w:rsidR="00AC1651">
        <w:t>,</w:t>
      </w:r>
      <w:r>
        <w:t xml:space="preserve"> uptake will be determined by the new products and services on offer </w:t>
      </w:r>
      <w:r w:rsidR="00AC1651">
        <w:t xml:space="preserve">that </w:t>
      </w:r>
      <w:r>
        <w:t xml:space="preserve">can remove frictions from their lives or benefit them in other ways. This </w:t>
      </w:r>
      <w:r w:rsidR="00AC1651">
        <w:t>does</w:t>
      </w:r>
      <w:r>
        <w:t xml:space="preserve"> not disregard the need for consumer education and </w:t>
      </w:r>
      <w:r>
        <w:lastRenderedPageBreak/>
        <w:t>awareness; consumers should understand the risks of data</w:t>
      </w:r>
      <w:r w:rsidR="00BE7617">
        <w:t xml:space="preserve"> </w:t>
      </w:r>
      <w:r>
        <w:t xml:space="preserve">sharing practises, </w:t>
      </w:r>
      <w:r w:rsidR="00AC1651">
        <w:t>whether that be</w:t>
      </w:r>
      <w:r w:rsidR="00447EEF">
        <w:t xml:space="preserve"> </w:t>
      </w:r>
      <w:r>
        <w:t xml:space="preserve">CDR </w:t>
      </w:r>
      <w:r w:rsidR="00AC1651">
        <w:t xml:space="preserve">or </w:t>
      </w:r>
      <w:r>
        <w:t xml:space="preserve">screen scraping. </w:t>
      </w:r>
    </w:p>
    <w:p w14:paraId="25A272DA" w14:textId="0076B6BD" w:rsidR="00265FE3" w:rsidRDefault="00265FE3" w:rsidP="00B17046">
      <w:pPr>
        <w:pStyle w:val="Quote"/>
      </w:pPr>
      <w:r w:rsidRPr="00AE2573">
        <w:t>“Community acceptance and use of the CDR regime will be boosted by timely consumer education focused on the benefits of data sharing and how to mitigate its risks and costs.”</w:t>
      </w:r>
      <w:r w:rsidRPr="00F3484D">
        <w:rPr>
          <w:b/>
        </w:rPr>
        <w:t xml:space="preserve"> – Scientia Professor Ross P Buckley &amp; Dr. Natalia Jevglevskaja, University of New South Wales</w:t>
      </w:r>
    </w:p>
    <w:p w14:paraId="4B056BE1" w14:textId="551AE1CB" w:rsidR="00076FFF" w:rsidRDefault="00076FFF" w:rsidP="00484BD6">
      <w:r>
        <w:t xml:space="preserve">Any consumer education </w:t>
      </w:r>
      <w:r w:rsidR="00613A26">
        <w:t>efforts concerning</w:t>
      </w:r>
      <w:r>
        <w:t xml:space="preserve"> the CDR</w:t>
      </w:r>
      <w:r w:rsidR="0060540D">
        <w:t>,</w:t>
      </w:r>
      <w:r>
        <w:t xml:space="preserve"> regardless of the message</w:t>
      </w:r>
      <w:r w:rsidR="0060540D">
        <w:t>,</w:t>
      </w:r>
      <w:r>
        <w:t xml:space="preserve"> will also need to consider the target audience and adapt accordingly</w:t>
      </w:r>
      <w:r w:rsidR="00613A26">
        <w:t>.</w:t>
      </w:r>
      <w:r>
        <w:t xml:space="preserve"> Targeting small business</w:t>
      </w:r>
      <w:r w:rsidR="00613A26">
        <w:t>es</w:t>
      </w:r>
      <w:r>
        <w:t xml:space="preserve"> will be </w:t>
      </w:r>
      <w:r w:rsidR="0060540D">
        <w:t>especially</w:t>
      </w:r>
      <w:r>
        <w:t xml:space="preserve"> difficult given </w:t>
      </w:r>
      <w:r w:rsidR="00613A26">
        <w:t>the diversity of the cohort</w:t>
      </w:r>
      <w:r w:rsidR="0060540D">
        <w:t>.</w:t>
      </w:r>
      <w:r>
        <w:t xml:space="preserve"> </w:t>
      </w:r>
      <w:r w:rsidR="0060540D">
        <w:t>Small business owners</w:t>
      </w:r>
      <w:r w:rsidR="00613A26">
        <w:t xml:space="preserve"> listen to</w:t>
      </w:r>
      <w:r>
        <w:t xml:space="preserve"> </w:t>
      </w:r>
      <w:r w:rsidR="00613A26">
        <w:t>different</w:t>
      </w:r>
      <w:r>
        <w:t xml:space="preserve"> voices </w:t>
      </w:r>
      <w:r w:rsidR="00613A26">
        <w:t>within their respective</w:t>
      </w:r>
      <w:r w:rsidR="0060540D">
        <w:t xml:space="preserve"> networks which makes</w:t>
      </w:r>
      <w:r>
        <w:t xml:space="preserve"> cutting </w:t>
      </w:r>
      <w:r w:rsidR="0060540D">
        <w:t xml:space="preserve">through </w:t>
      </w:r>
      <w:r>
        <w:t>difficult</w:t>
      </w:r>
      <w:r w:rsidR="0060540D">
        <w:t>. Conventional government campaigns have historically had difficulty achieving broad coverage amongst these smaller business operators.</w:t>
      </w:r>
      <w:r>
        <w:t xml:space="preserve"> </w:t>
      </w:r>
    </w:p>
    <w:p w14:paraId="428CDAA7" w14:textId="22EB3A17" w:rsidR="00265FE3" w:rsidRDefault="0082133B" w:rsidP="00484BD6">
      <w:r>
        <w:t>C</w:t>
      </w:r>
      <w:r w:rsidR="00265FE3">
        <w:t xml:space="preserve">onsumer education and technical understanding are unlikely to be the core drivers of consumer adoption, and the focus should be </w:t>
      </w:r>
      <w:r w:rsidR="00D93829">
        <w:t xml:space="preserve">on </w:t>
      </w:r>
      <w:r w:rsidR="00265FE3">
        <w:t xml:space="preserve">building the CDR brand as </w:t>
      </w:r>
      <w:r w:rsidR="00F019FD">
        <w:t>a</w:t>
      </w:r>
      <w:r w:rsidR="00265FE3">
        <w:t xml:space="preserve"> trusted form of data</w:t>
      </w:r>
      <w:r w:rsidR="00BE7617">
        <w:t xml:space="preserve"> </w:t>
      </w:r>
      <w:r w:rsidR="00265FE3">
        <w:t xml:space="preserve">sharing, a trust mark of sorts, and </w:t>
      </w:r>
      <w:r w:rsidR="00EC18E6">
        <w:t xml:space="preserve">to </w:t>
      </w:r>
      <w:r w:rsidR="00265FE3">
        <w:t xml:space="preserve">provide the warning signs of unsafe practices. To borrow Scott Farrell’s analogy from the </w:t>
      </w:r>
      <w:r w:rsidR="004E25A1">
        <w:t>Future Directions</w:t>
      </w:r>
      <w:r w:rsidR="00265FE3">
        <w:t xml:space="preserve"> </w:t>
      </w:r>
      <w:r w:rsidR="00265FE3" w:rsidRPr="00383A01">
        <w:t>Inquiry</w:t>
      </w:r>
      <w:r w:rsidR="00265FE3">
        <w:t xml:space="preserve">, </w:t>
      </w:r>
      <w:r w:rsidR="00027F74">
        <w:t xml:space="preserve">if </w:t>
      </w:r>
      <w:r w:rsidR="00265FE3">
        <w:t xml:space="preserve">the CDR is the new highway for driving consumers to data quickly and securely, </w:t>
      </w:r>
      <w:r w:rsidR="00027F74">
        <w:t>then</w:t>
      </w:r>
      <w:r w:rsidR="00265FE3">
        <w:t xml:space="preserve"> consumer</w:t>
      </w:r>
      <w:r w:rsidR="00027F74">
        <w:t>s are primarily</w:t>
      </w:r>
      <w:r w:rsidR="00265FE3">
        <w:t xml:space="preserve"> interested in getting to the</w:t>
      </w:r>
      <w:r w:rsidR="00027F74">
        <w:t>ir</w:t>
      </w:r>
      <w:r w:rsidR="00265FE3">
        <w:t xml:space="preserve"> destination</w:t>
      </w:r>
      <w:r w:rsidR="00027F74">
        <w:t>s</w:t>
      </w:r>
      <w:r w:rsidR="00265FE3">
        <w:t xml:space="preserve"> safely and quickly</w:t>
      </w:r>
      <w:r w:rsidR="00027F74">
        <w:t xml:space="preserve">, rather than in </w:t>
      </w:r>
      <w:r w:rsidR="00265FE3">
        <w:t>the highway itself.</w:t>
      </w:r>
      <w:r w:rsidR="00076FFF">
        <w:t xml:space="preserve"> </w:t>
      </w:r>
    </w:p>
    <w:p w14:paraId="67188F67" w14:textId="7CAAF3BB" w:rsidR="00BD10C2" w:rsidRDefault="00265FE3" w:rsidP="00B17046">
      <w:pPr>
        <w:ind w:right="227"/>
      </w:pPr>
      <w:r>
        <w:t xml:space="preserve">Further consideration will also need to be given to the education, guidance, promotion and incentivisation of system adoption </w:t>
      </w:r>
      <w:r w:rsidR="00027F74">
        <w:t xml:space="preserve">for </w:t>
      </w:r>
      <w:r>
        <w:t xml:space="preserve">existing and potential participants. The CDR highway isn’t yet fully built, with some of it built in </w:t>
      </w:r>
      <w:r w:rsidR="00027F74">
        <w:t xml:space="preserve">only </w:t>
      </w:r>
      <w:r>
        <w:t>one direction (</w:t>
      </w:r>
      <w:r w:rsidR="00027F74">
        <w:t xml:space="preserve">that is, </w:t>
      </w:r>
      <w:r w:rsidR="00BC718C">
        <w:t>data</w:t>
      </w:r>
      <w:r w:rsidR="00D91E14">
        <w:t xml:space="preserve"> </w:t>
      </w:r>
      <w:r w:rsidR="00BC718C">
        <w:t>sharing only in banking</w:t>
      </w:r>
      <w:r>
        <w:t xml:space="preserve">) or </w:t>
      </w:r>
      <w:r w:rsidR="00BC718C">
        <w:t xml:space="preserve">only partially constructed </w:t>
      </w:r>
      <w:r>
        <w:t xml:space="preserve">(energy and telecommunications). </w:t>
      </w:r>
      <w:r w:rsidR="00E94E31">
        <w:t xml:space="preserve">The Government </w:t>
      </w:r>
      <w:r>
        <w:t>need</w:t>
      </w:r>
      <w:r w:rsidR="00E94E31">
        <w:t>s</w:t>
      </w:r>
      <w:r>
        <w:t xml:space="preserve"> to ensure there is enough awareness and understanding among those who will build the highway by demonstrating the utility of the system, drawing them into the ecosystem and committing to the long</w:t>
      </w:r>
      <w:r w:rsidR="00396585">
        <w:t xml:space="preserve"> </w:t>
      </w:r>
      <w:r>
        <w:t xml:space="preserve">term vision of the CDR. </w:t>
      </w:r>
    </w:p>
    <w:p w14:paraId="4A44E4FA" w14:textId="27D2A821" w:rsidR="00265FE3" w:rsidRDefault="00265FE3" w:rsidP="00484BD6">
      <w:r>
        <w:t xml:space="preserve">The </w:t>
      </w:r>
      <w:r w:rsidR="004E25A1">
        <w:t>Future Directions</w:t>
      </w:r>
      <w:r>
        <w:t xml:space="preserve"> Inquiry addressed the concept of incentivisation for participation by recommending the establishment of a grants program to support developers to build products to benefit consumers.</w:t>
      </w:r>
      <w:r w:rsidRPr="00600205">
        <w:rPr>
          <w:rStyle w:val="FootnoteReference"/>
          <w:sz w:val="22"/>
          <w:szCs w:val="24"/>
          <w:vertAlign w:val="superscript"/>
        </w:rPr>
        <w:footnoteReference w:id="24"/>
      </w:r>
      <w:r>
        <w:t xml:space="preserve"> Grants alongside other incentives were raised in submissions </w:t>
      </w:r>
      <w:r w:rsidRPr="002161DB">
        <w:t xml:space="preserve">to both the </w:t>
      </w:r>
      <w:r w:rsidR="004E25A1">
        <w:t>Future Directions</w:t>
      </w:r>
      <w:r w:rsidRPr="002161DB">
        <w:t xml:space="preserve"> Inquiry</w:t>
      </w:r>
      <w:r>
        <w:t xml:space="preserve"> and th</w:t>
      </w:r>
      <w:r w:rsidR="00CA5AAC">
        <w:t>is</w:t>
      </w:r>
      <w:r>
        <w:t xml:space="preserve"> Review</w:t>
      </w:r>
      <w:r w:rsidR="00EC18E6">
        <w:t xml:space="preserve">. The Review suggests that more effective incentives than grants could be provided by other mechanisms </w:t>
      </w:r>
      <w:r w:rsidR="00EC18E6" w:rsidRPr="006027C7">
        <w:t>such as challenge-based funding and sponsoring prizes</w:t>
      </w:r>
      <w:r w:rsidR="008D4124" w:rsidRPr="006027C7">
        <w:t>. For example, the OBIE</w:t>
      </w:r>
      <w:r w:rsidR="00027F74" w:rsidRPr="006027C7">
        <w:t>-</w:t>
      </w:r>
      <w:r w:rsidR="008D4124" w:rsidRPr="006027C7">
        <w:t xml:space="preserve">backed ‘Open Up 2020 Challenge’ </w:t>
      </w:r>
      <w:r w:rsidR="00034370" w:rsidRPr="006027C7">
        <w:t xml:space="preserve">(see </w:t>
      </w:r>
      <w:r w:rsidR="00051F4A" w:rsidRPr="006027C7">
        <w:t>B</w:t>
      </w:r>
      <w:r w:rsidR="00034370" w:rsidRPr="006027C7">
        <w:t xml:space="preserve">ox 2.3) </w:t>
      </w:r>
      <w:r w:rsidRPr="006027C7">
        <w:t xml:space="preserve">is an example of the role incentivisation can play in promoting and encouraging innovation </w:t>
      </w:r>
      <w:r w:rsidR="00F46AE4" w:rsidRPr="006027C7">
        <w:t>and the</w:t>
      </w:r>
      <w:r w:rsidRPr="006027C7">
        <w:t xml:space="preserve"> development of practical use cases. Indeed</w:t>
      </w:r>
      <w:r w:rsidR="000A3E8B" w:rsidRPr="006027C7">
        <w:t>,</w:t>
      </w:r>
      <w:r w:rsidRPr="006027C7">
        <w:t xml:space="preserve"> Australia has not been absent in this space</w:t>
      </w:r>
      <w:r w:rsidR="000A3E8B" w:rsidRPr="006027C7">
        <w:t>,</w:t>
      </w:r>
      <w:r w:rsidRPr="006027C7">
        <w:t xml:space="preserve"> with</w:t>
      </w:r>
      <w:r>
        <w:t xml:space="preserve"> the </w:t>
      </w:r>
      <w:r w:rsidR="000A3E8B" w:rsidDel="003829F9">
        <w:t xml:space="preserve">Department of </w:t>
      </w:r>
      <w:r w:rsidR="000A3E8B" w:rsidRPr="007A219A">
        <w:t>Industry, Science and Resources</w:t>
      </w:r>
      <w:r w:rsidR="000A3E8B">
        <w:t xml:space="preserve">’ </w:t>
      </w:r>
      <w:r w:rsidRPr="002161DB">
        <w:t>Business Research and Innovation Initiative</w:t>
      </w:r>
      <w:r>
        <w:t xml:space="preserve">, which offered similar incentives to </w:t>
      </w:r>
      <w:r w:rsidR="000A3E8B">
        <w:t>solving</w:t>
      </w:r>
      <w:r>
        <w:t xml:space="preserve"> various</w:t>
      </w:r>
      <w:r w:rsidR="00237463">
        <w:t xml:space="preserve"> policy</w:t>
      </w:r>
      <w:r>
        <w:t xml:space="preserve"> challenges.</w:t>
      </w:r>
    </w:p>
    <w:p w14:paraId="154E00C3" w14:textId="77777777" w:rsidR="0004286A" w:rsidRDefault="0004286A"/>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04286A" w14:paraId="15BA8DEA" w14:textId="77777777" w:rsidTr="0063544C">
        <w:trPr>
          <w:cnfStyle w:val="100000000000" w:firstRow="1" w:lastRow="0" w:firstColumn="0" w:lastColumn="0" w:oddVBand="0" w:evenVBand="0" w:oddHBand="0" w:evenHBand="0" w:firstRowFirstColumn="0" w:firstRowLastColumn="0" w:lastRowFirstColumn="0" w:lastRowLastColumn="0"/>
          <w:trHeight w:val="4311"/>
        </w:trPr>
        <w:tc>
          <w:tcPr>
            <w:tcW w:w="0" w:type="pct"/>
            <w:shd w:val="clear" w:color="auto" w:fill="F2F2F2" w:themeFill="background1" w:themeFillShade="F2"/>
          </w:tcPr>
          <w:p w14:paraId="33C6C470" w14:textId="77777777" w:rsidR="0004286A" w:rsidRPr="00822EF9" w:rsidRDefault="0004286A" w:rsidP="0063544C">
            <w:pPr>
              <w:pStyle w:val="BoxHeading"/>
            </w:pPr>
            <w:r w:rsidRPr="0063544C">
              <w:lastRenderedPageBreak/>
              <w:t xml:space="preserve">Box 2.3 – The Open Up 2020 Challenge </w:t>
            </w:r>
          </w:p>
          <w:p w14:paraId="3132B288" w14:textId="55DEFEBB" w:rsidR="0004286A" w:rsidRPr="00511A43" w:rsidRDefault="0004286A" w:rsidP="0063544C">
            <w:pPr>
              <w:pStyle w:val="BoxText"/>
              <w:rPr>
                <w:szCs w:val="22"/>
              </w:rPr>
            </w:pPr>
            <w:r w:rsidRPr="00D4755B">
              <w:rPr>
                <w:rFonts w:cs="Calibri Light"/>
                <w:bCs/>
                <w:szCs w:val="22"/>
              </w:rPr>
              <w:t xml:space="preserve">The Open Up 2020 Challenge was the second </w:t>
            </w:r>
            <w:r w:rsidRPr="00167D86">
              <w:rPr>
                <w:bCs/>
                <w:szCs w:val="22"/>
              </w:rPr>
              <w:t xml:space="preserve">open banking challenge offered in a partnership between Nesta Challenges and the </w:t>
            </w:r>
            <w:r w:rsidRPr="00167D86">
              <w:rPr>
                <w:rFonts w:cs="Calibri Light"/>
                <w:bCs/>
                <w:szCs w:val="22"/>
              </w:rPr>
              <w:t xml:space="preserve">UK’s </w:t>
            </w:r>
            <w:r w:rsidRPr="00E6039E">
              <w:rPr>
                <w:bCs/>
                <w:szCs w:val="22"/>
              </w:rPr>
              <w:t>OBIE part of the UK’s world-leading open banking agenda.</w:t>
            </w:r>
            <w:r w:rsidR="00F51BC1" w:rsidRPr="0063544C">
              <w:rPr>
                <w:rStyle w:val="FootnoteReference"/>
                <w:color w:val="2C384A"/>
                <w:sz w:val="22"/>
                <w:szCs w:val="22"/>
                <w:vertAlign w:val="superscript"/>
              </w:rPr>
              <w:footnoteReference w:id="25"/>
            </w:r>
            <w:r w:rsidRPr="00D4755B">
              <w:rPr>
                <w:rFonts w:cs="Calibri Light"/>
                <w:szCs w:val="22"/>
              </w:rPr>
              <w:t xml:space="preserve"> This challenge, which</w:t>
            </w:r>
            <w:r w:rsidRPr="00167D86">
              <w:rPr>
                <w:bCs/>
                <w:szCs w:val="22"/>
              </w:rPr>
              <w:t xml:space="preserve"> offered </w:t>
            </w:r>
            <w:r w:rsidRPr="00167D86">
              <w:rPr>
                <w:rFonts w:cs="Calibri Light"/>
                <w:bCs/>
                <w:szCs w:val="22"/>
              </w:rPr>
              <w:t xml:space="preserve">a £1.5 million </w:t>
            </w:r>
            <w:r w:rsidRPr="00167D86" w:rsidDel="009B4AF9">
              <w:rPr>
                <w:rFonts w:cs="Calibri Light"/>
                <w:bCs/>
                <w:szCs w:val="22"/>
              </w:rPr>
              <w:t xml:space="preserve">challenge </w:t>
            </w:r>
            <w:r w:rsidRPr="00167D86">
              <w:rPr>
                <w:rFonts w:cs="Calibri Light"/>
                <w:bCs/>
                <w:szCs w:val="22"/>
              </w:rPr>
              <w:t xml:space="preserve">prize to unlock the power of open banking for UK consumers, was designed and timed to boost consumer awareness and adoption of open banking-enabled products. It sought products and apps that use open </w:t>
            </w:r>
            <w:r w:rsidRPr="00E6039E">
              <w:rPr>
                <w:rFonts w:cs="Calibri Light"/>
                <w:bCs/>
                <w:szCs w:val="22"/>
              </w:rPr>
              <w:t>banking to help people better manage their money via more transparent, accessible and fair products.</w:t>
            </w:r>
          </w:p>
          <w:p w14:paraId="046E4786" w14:textId="5228EE98" w:rsidR="0004286A" w:rsidRDefault="0004286A" w:rsidP="0063544C">
            <w:pPr>
              <w:pStyle w:val="BoxText"/>
            </w:pPr>
            <w:r w:rsidRPr="00D4755B">
              <w:rPr>
                <w:rFonts w:cs="Calibri Light"/>
                <w:szCs w:val="22"/>
              </w:rPr>
              <w:t>Finalists were provided grants of £50,000 to further develop their solutions, with a bonus £50,000 awarded to those demonstrating the clearest alignment wi</w:t>
            </w:r>
            <w:r w:rsidRPr="00167D86">
              <w:rPr>
                <w:rFonts w:cs="Calibri Light"/>
                <w:bCs/>
                <w:szCs w:val="22"/>
              </w:rPr>
              <w:t xml:space="preserve">th the financial inclusion goals of the challenge. Winners of the challenge received a further £150,000 to finalise the development of their solution. These solutions included a personal finance tool aiding in mortgage </w:t>
            </w:r>
            <w:r w:rsidRPr="00167D86">
              <w:rPr>
                <w:bCs/>
                <w:szCs w:val="22"/>
              </w:rPr>
              <w:t>applications (Mojo), an investing pla</w:t>
            </w:r>
            <w:r w:rsidRPr="00E6039E">
              <w:rPr>
                <w:bCs/>
                <w:szCs w:val="22"/>
              </w:rPr>
              <w:t>tform that included personalised savings suggestions (Plum), a savings tool that supports savings contributions in the course of ordinary spending activities (Moneybox) and a service for employers that allows employees to easily manage their earned wages (</w:t>
            </w:r>
            <w:r w:rsidRPr="002252C2">
              <w:rPr>
                <w:bCs/>
                <w:szCs w:val="22"/>
              </w:rPr>
              <w:t>Wagestream).</w:t>
            </w:r>
          </w:p>
        </w:tc>
      </w:tr>
    </w:tbl>
    <w:p w14:paraId="39F517FF" w14:textId="77777777" w:rsidR="0004286A" w:rsidRPr="00600205" w:rsidRDefault="0004286A" w:rsidP="0063544C">
      <w:pPr>
        <w:spacing w:before="0"/>
      </w:pPr>
    </w:p>
    <w:p w14:paraId="185811AF" w14:textId="25130CA9" w:rsidR="002F0FBF" w:rsidRDefault="000A3E8B" w:rsidP="0063544C">
      <w:r>
        <w:t>In the case of the</w:t>
      </w:r>
      <w:r w:rsidR="00265FE3">
        <w:t xml:space="preserve"> CDR, a</w:t>
      </w:r>
      <w:r w:rsidR="00265FE3" w:rsidRPr="007601A5">
        <w:t xml:space="preserve"> challenge sponsored by Government could be run in parallel to CDR processes (e.g. during sectoral assessment) to generate and demonstrate use cases </w:t>
      </w:r>
      <w:r>
        <w:t>before</w:t>
      </w:r>
      <w:r w:rsidR="00265FE3" w:rsidRPr="007601A5">
        <w:t xml:space="preserve"> designation. Challenges could also be run in partnership with consumer advocacy groups to solve a particular consumer problem where there are </w:t>
      </w:r>
      <w:r w:rsidR="00F46AE4">
        <w:t>limited commercial</w:t>
      </w:r>
      <w:r w:rsidR="00265FE3" w:rsidRPr="007601A5">
        <w:t xml:space="preserve"> financial incentives, for example</w:t>
      </w:r>
      <w:r w:rsidR="00384F17">
        <w:t>,</w:t>
      </w:r>
      <w:r w:rsidR="00265FE3" w:rsidRPr="007601A5">
        <w:t xml:space="preserve"> addressing financial concerns for vulnerable consumers.</w:t>
      </w:r>
      <w:r w:rsidR="00265FE3">
        <w:t xml:space="preserve"> </w:t>
      </w:r>
    </w:p>
    <w:p w14:paraId="1117D101" w14:textId="1D01B188" w:rsidR="00847953" w:rsidRDefault="00847953" w:rsidP="0063544C">
      <w:pPr>
        <w:pStyle w:val="Quote"/>
        <w:ind w:left="1134" w:right="1134"/>
      </w:pPr>
      <w:r>
        <w:t>“</w:t>
      </w:r>
      <w:r w:rsidRPr="00FC31AB">
        <w:t>EML also believes education is critical to the adoption &amp; application of CDR. EML would be in favor of the government providing incentives or grants to encourage adoption by fintechs and to help stimulate the creation of innovative use cases</w:t>
      </w:r>
      <w:r>
        <w:t xml:space="preserve">” </w:t>
      </w:r>
      <w:r w:rsidRPr="00F3484D">
        <w:rPr>
          <w:b/>
        </w:rPr>
        <w:t>– EML Payments</w:t>
      </w:r>
    </w:p>
    <w:p w14:paraId="540F7947" w14:textId="1E925F91" w:rsidR="00265FE3" w:rsidRDefault="00265FE3" w:rsidP="0063544C">
      <w:pPr>
        <w:spacing w:after="0"/>
      </w:pPr>
      <w:r>
        <w:t>While education campaigns and guidance are part of the solution, to truly build awareness and drive development of working innovative use cases, it</w:t>
      </w:r>
      <w:r w:rsidR="00862557">
        <w:t xml:space="preserve"> i</w:t>
      </w:r>
      <w:r>
        <w:t>s time</w:t>
      </w:r>
      <w:r w:rsidR="00862557">
        <w:t xml:space="preserve"> for</w:t>
      </w:r>
      <w:r>
        <w:t xml:space="preserve"> </w:t>
      </w:r>
      <w:r w:rsidR="00384F17">
        <w:t>G</w:t>
      </w:r>
      <w:r>
        <w:t>overnment</w:t>
      </w:r>
      <w:r w:rsidR="00862557">
        <w:t xml:space="preserve"> to</w:t>
      </w:r>
      <w:r>
        <w:t xml:space="preserve"> explore initiatives that incentivise industry participation.</w:t>
      </w:r>
    </w:p>
    <w:p w14:paraId="2910601F" w14:textId="77777777" w:rsidR="00DB7A35" w:rsidRDefault="00DB7A35" w:rsidP="0063544C">
      <w:pPr>
        <w:pStyle w:val="ListParagraph"/>
        <w:spacing w:before="0" w:after="0"/>
        <w:ind w:left="0"/>
        <w:contextualSpacing w:val="0"/>
      </w:pPr>
    </w:p>
    <w:tbl>
      <w:tblPr>
        <w:tblStyle w:val="TableGrid"/>
        <w:tblpPr w:leftFromText="180" w:rightFromText="180" w:vertAnchor="text" w:horzAnchor="margin" w:tblpY="184"/>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C00BF6" w14:paraId="0F699BE6" w14:textId="77777777" w:rsidTr="00C00BF6">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4DEB210F" w14:textId="77777777" w:rsidR="00C00BF6" w:rsidRPr="00822EF9" w:rsidRDefault="00C00BF6" w:rsidP="0063544C">
            <w:pPr>
              <w:pStyle w:val="BoxHeading"/>
            </w:pPr>
            <w:bookmarkStart w:id="91" w:name="_Toc106286090"/>
            <w:bookmarkStart w:id="92" w:name="_Toc106358400"/>
            <w:r w:rsidRPr="0063544C">
              <w:t>Recommendation 2.4</w:t>
            </w:r>
          </w:p>
          <w:p w14:paraId="506009ED" w14:textId="124891D7" w:rsidR="00C00BF6" w:rsidRPr="00511A43" w:rsidRDefault="00631C17" w:rsidP="0063544C">
            <w:pPr>
              <w:pStyle w:val="BoxText"/>
            </w:pPr>
            <w:r w:rsidRPr="00D4755B">
              <w:rPr>
                <w:szCs w:val="24"/>
              </w:rPr>
              <w:t>To encourage and incentivise the development of innovati</w:t>
            </w:r>
            <w:r w:rsidRPr="00167D86">
              <w:rPr>
                <w:szCs w:val="24"/>
              </w:rPr>
              <w:t>ve use cases</w:t>
            </w:r>
            <w:r w:rsidR="00384F17" w:rsidRPr="00167D86">
              <w:rPr>
                <w:szCs w:val="24"/>
              </w:rPr>
              <w:t>,</w:t>
            </w:r>
            <w:r w:rsidRPr="00E6039E">
              <w:rPr>
                <w:szCs w:val="24"/>
              </w:rPr>
              <w:t xml:space="preserve"> t</w:t>
            </w:r>
            <w:r w:rsidR="00C00BF6" w:rsidRPr="002252C2">
              <w:rPr>
                <w:szCs w:val="24"/>
              </w:rPr>
              <w:t xml:space="preserve">he Government </w:t>
            </w:r>
            <w:r w:rsidRPr="002252C2">
              <w:rPr>
                <w:szCs w:val="24"/>
              </w:rPr>
              <w:t>should look to</w:t>
            </w:r>
            <w:r w:rsidR="00C00BF6" w:rsidRPr="002252C2">
              <w:rPr>
                <w:szCs w:val="24"/>
              </w:rPr>
              <w:t xml:space="preserve"> </w:t>
            </w:r>
            <w:r w:rsidR="00CD292B" w:rsidRPr="002252C2">
              <w:rPr>
                <w:szCs w:val="24"/>
              </w:rPr>
              <w:t>support</w:t>
            </w:r>
            <w:r w:rsidRPr="002252C2">
              <w:rPr>
                <w:szCs w:val="24"/>
              </w:rPr>
              <w:t xml:space="preserve"> </w:t>
            </w:r>
            <w:r w:rsidR="00BC718C" w:rsidRPr="003D0786">
              <w:rPr>
                <w:szCs w:val="24"/>
              </w:rPr>
              <w:t>initiatives</w:t>
            </w:r>
            <w:r w:rsidR="00C00BF6" w:rsidRPr="0093479C">
              <w:rPr>
                <w:szCs w:val="24"/>
              </w:rPr>
              <w:t xml:space="preserve"> like the UK’s Open Up 2020 Challenge</w:t>
            </w:r>
            <w:r w:rsidR="00384F17" w:rsidRPr="0002173D">
              <w:rPr>
                <w:szCs w:val="24"/>
              </w:rPr>
              <w:t xml:space="preserve">, which could </w:t>
            </w:r>
            <w:r w:rsidR="00081A42" w:rsidRPr="003D33CE">
              <w:rPr>
                <w:szCs w:val="24"/>
              </w:rPr>
              <w:t xml:space="preserve">target a use case that drives social benefit </w:t>
            </w:r>
            <w:r w:rsidR="00BC718C" w:rsidRPr="006E230E">
              <w:rPr>
                <w:szCs w:val="24"/>
              </w:rPr>
              <w:t xml:space="preserve">that is not being </w:t>
            </w:r>
            <w:r w:rsidR="00081A42" w:rsidRPr="006E230E">
              <w:rPr>
                <w:szCs w:val="24"/>
              </w:rPr>
              <w:t xml:space="preserve">developed by the market. Collaboration with consumer advocacy groups </w:t>
            </w:r>
            <w:r w:rsidR="00E3047E" w:rsidRPr="00C75EC8">
              <w:rPr>
                <w:szCs w:val="24"/>
              </w:rPr>
              <w:t xml:space="preserve">should be considered to </w:t>
            </w:r>
            <w:r w:rsidR="00081A42" w:rsidRPr="003B59CF">
              <w:rPr>
                <w:szCs w:val="24"/>
              </w:rPr>
              <w:t>help identify</w:t>
            </w:r>
            <w:r w:rsidR="00DB7A35" w:rsidRPr="00DD3258">
              <w:rPr>
                <w:szCs w:val="24"/>
              </w:rPr>
              <w:t xml:space="preserve"> relevant</w:t>
            </w:r>
            <w:r w:rsidR="00081A42" w:rsidRPr="00D774A4">
              <w:rPr>
                <w:szCs w:val="24"/>
              </w:rPr>
              <w:t xml:space="preserve"> </w:t>
            </w:r>
            <w:r w:rsidR="00CD292B" w:rsidRPr="00D774A4">
              <w:rPr>
                <w:szCs w:val="24"/>
              </w:rPr>
              <w:t>consumer challenges</w:t>
            </w:r>
            <w:r w:rsidR="00DB7A35" w:rsidRPr="003A7032">
              <w:rPr>
                <w:szCs w:val="24"/>
              </w:rPr>
              <w:t xml:space="preserve"> that </w:t>
            </w:r>
            <w:r w:rsidR="00384F17" w:rsidRPr="00936E31">
              <w:rPr>
                <w:szCs w:val="24"/>
              </w:rPr>
              <w:t xml:space="preserve">could be addressed by </w:t>
            </w:r>
            <w:r w:rsidR="00DB7A35" w:rsidRPr="00511A43">
              <w:rPr>
                <w:szCs w:val="24"/>
              </w:rPr>
              <w:t xml:space="preserve">the CDR. </w:t>
            </w:r>
          </w:p>
        </w:tc>
      </w:tr>
    </w:tbl>
    <w:p w14:paraId="70AC80B7" w14:textId="67298B50" w:rsidR="00265FE3" w:rsidRPr="00383A01" w:rsidRDefault="00265FE3" w:rsidP="00265FE3">
      <w:pPr>
        <w:pStyle w:val="Heading2"/>
      </w:pPr>
      <w:bookmarkStart w:id="93" w:name="_Toc110602882"/>
      <w:r w:rsidRPr="00383A01">
        <w:lastRenderedPageBreak/>
        <w:t>2.</w:t>
      </w:r>
      <w:r w:rsidR="00522BC0">
        <w:t>5</w:t>
      </w:r>
      <w:r w:rsidRPr="00383A01">
        <w:t xml:space="preserve"> Balancing expansion with system maturity</w:t>
      </w:r>
      <w:bookmarkEnd w:id="91"/>
      <w:bookmarkEnd w:id="92"/>
      <w:bookmarkEnd w:id="93"/>
      <w:r w:rsidRPr="00383A01">
        <w:t xml:space="preserve"> </w:t>
      </w:r>
    </w:p>
    <w:p w14:paraId="4A6FEBAA" w14:textId="0BF7A0E3" w:rsidR="00265FE3" w:rsidRDefault="00265FE3" w:rsidP="002001EF">
      <w:pPr>
        <w:rPr>
          <w:vertAlign w:val="superscript"/>
        </w:rPr>
      </w:pPr>
      <w:r>
        <w:t xml:space="preserve">The </w:t>
      </w:r>
      <w:r w:rsidR="00751BCA">
        <w:t xml:space="preserve">CDR’s </w:t>
      </w:r>
      <w:r>
        <w:t xml:space="preserve">rollout </w:t>
      </w:r>
      <w:r w:rsidR="00751BCA">
        <w:t>of</w:t>
      </w:r>
      <w:r>
        <w:t xml:space="preserve"> data portability </w:t>
      </w:r>
      <w:r w:rsidR="00751BCA">
        <w:t xml:space="preserve">to date has provided </w:t>
      </w:r>
      <w:r>
        <w:t xml:space="preserve">wide </w:t>
      </w:r>
      <w:r w:rsidR="00F46AE4">
        <w:t xml:space="preserve">coverage and the </w:t>
      </w:r>
      <w:r>
        <w:t xml:space="preserve">focus </w:t>
      </w:r>
      <w:r w:rsidR="00F46AE4">
        <w:t xml:space="preserve">should now turn to </w:t>
      </w:r>
      <w:r>
        <w:t>deepening</w:t>
      </w:r>
      <w:r w:rsidR="00F46AE4">
        <w:t xml:space="preserve"> the framework</w:t>
      </w:r>
      <w:r>
        <w:t xml:space="preserve">. While other data portability frameworks were able to achieve some capabilities faster, </w:t>
      </w:r>
      <w:r w:rsidR="00EC1806">
        <w:t>none has achieved Australia’s</w:t>
      </w:r>
      <w:r>
        <w:t xml:space="preserve"> breadth</w:t>
      </w:r>
      <w:r w:rsidR="00F46AE4">
        <w:t xml:space="preserve"> of coverage across sectors</w:t>
      </w:r>
      <w:r w:rsidR="00EC1806">
        <w:t>.</w:t>
      </w:r>
      <w:r>
        <w:t xml:space="preserve"> For example, the Open Banking</w:t>
      </w:r>
      <w:r w:rsidR="001A6ABA">
        <w:t xml:space="preserve"> </w:t>
      </w:r>
      <w:r w:rsidR="00E11F68">
        <w:t>scheme</w:t>
      </w:r>
      <w:r>
        <w:t xml:space="preserve"> in the UK</w:t>
      </w:r>
      <w:r w:rsidR="00732114">
        <w:t xml:space="preserve"> </w:t>
      </w:r>
      <w:r w:rsidR="001A6ABA">
        <w:t>c</w:t>
      </w:r>
      <w:r>
        <w:t>ommenc</w:t>
      </w:r>
      <w:r w:rsidR="001A6ABA">
        <w:t>ed</w:t>
      </w:r>
      <w:r w:rsidR="004D0F85">
        <w:t xml:space="preserve"> a phased delivery</w:t>
      </w:r>
      <w:r>
        <w:t xml:space="preserve"> in early</w:t>
      </w:r>
      <w:r w:rsidR="001A6ABA">
        <w:t xml:space="preserve"> </w:t>
      </w:r>
      <w:r>
        <w:t>2018</w:t>
      </w:r>
      <w:r w:rsidR="00EC1806">
        <w:t>,</w:t>
      </w:r>
      <w:r w:rsidR="00732114">
        <w:t xml:space="preserve"> </w:t>
      </w:r>
      <w:r w:rsidR="004D0F85">
        <w:t>which enabled payment initiation in mid</w:t>
      </w:r>
      <w:r w:rsidR="00EC1806">
        <w:t>-</w:t>
      </w:r>
      <w:r w:rsidR="004D0F85">
        <w:t>2020</w:t>
      </w:r>
      <w:r>
        <w:t xml:space="preserve">. At the time of publishing, it has been two years since the first implementation of the CDR in the banking </w:t>
      </w:r>
      <w:r w:rsidRPr="00F3484D">
        <w:t xml:space="preserve">sector and </w:t>
      </w:r>
      <w:r w:rsidRPr="00F3484D" w:rsidDel="00C47EDE">
        <w:t xml:space="preserve">the </w:t>
      </w:r>
      <w:r w:rsidR="00C73690" w:rsidRPr="00F3484D">
        <w:t xml:space="preserve">scheme does not currently include </w:t>
      </w:r>
      <w:r w:rsidRPr="00F3484D">
        <w:t>action and payment initiation</w:t>
      </w:r>
      <w:r w:rsidR="00C73690" w:rsidRPr="00F3484D">
        <w:t>.</w:t>
      </w:r>
      <w:r w:rsidR="00C47EDE" w:rsidRPr="00F3484D">
        <w:t xml:space="preserve"> </w:t>
      </w:r>
      <w:r>
        <w:t xml:space="preserve">While the inclusion of </w:t>
      </w:r>
      <w:r w:rsidR="004D0F85">
        <w:t>payment</w:t>
      </w:r>
      <w:r>
        <w:t xml:space="preserve"> initiation in Australia’s data portability</w:t>
      </w:r>
      <w:r w:rsidR="002F5BD7">
        <w:t xml:space="preserve"> scheme</w:t>
      </w:r>
      <w:r>
        <w:t xml:space="preserve"> in the banking sector will be </w:t>
      </w:r>
      <w:r w:rsidR="00E14CE4">
        <w:t xml:space="preserve">later </w:t>
      </w:r>
      <w:r>
        <w:t>than in the UK, Australia</w:t>
      </w:r>
      <w:r w:rsidR="002F5BD7">
        <w:t xml:space="preserve"> </w:t>
      </w:r>
      <w:r>
        <w:t>has already</w:t>
      </w:r>
      <w:r w:rsidR="00F46AE4">
        <w:t xml:space="preserve"> implemented beyond banking and</w:t>
      </w:r>
      <w:r>
        <w:t xml:space="preserve"> made significant headway in expanding to energy and telecommunications</w:t>
      </w:r>
      <w:r w:rsidR="00EC1806">
        <w:t>,</w:t>
      </w:r>
      <w:r>
        <w:t xml:space="preserve"> while the UK is grappling with legislation required to expand its </w:t>
      </w:r>
      <w:r w:rsidR="00800395">
        <w:t xml:space="preserve">scheme </w:t>
      </w:r>
      <w:r>
        <w:t xml:space="preserve">beyond payments within banking and </w:t>
      </w:r>
      <w:r w:rsidR="00F46AE4">
        <w:t xml:space="preserve">to </w:t>
      </w:r>
      <w:r>
        <w:t xml:space="preserve">other sectors. </w:t>
      </w:r>
      <w:r w:rsidR="006E1B75">
        <w:t>See Figure 2.1 for a graphical representation of differences in participation between the UK and Australia.</w:t>
      </w:r>
      <w:r w:rsidR="006E1B75" w:rsidRPr="00600205">
        <w:rPr>
          <w:rStyle w:val="FootnoteReference"/>
          <w:sz w:val="22"/>
          <w:szCs w:val="24"/>
          <w:vertAlign w:val="superscript"/>
        </w:rPr>
        <w:footnoteReference w:id="26"/>
      </w:r>
      <w:r w:rsidR="006E1B75" w:rsidRPr="00600205">
        <w:rPr>
          <w:vertAlign w:val="superscript"/>
        </w:rPr>
        <w:t xml:space="preserve"> </w:t>
      </w:r>
    </w:p>
    <w:p w14:paraId="5D29BD21" w14:textId="4DEC3975" w:rsidR="004E3DE6" w:rsidRPr="002001EF" w:rsidRDefault="004E3DE6" w:rsidP="0063544C">
      <w:pPr>
        <w:spacing w:after="240"/>
        <w:rPr>
          <w:i/>
          <w:iCs/>
          <w:sz w:val="18"/>
          <w:szCs w:val="16"/>
        </w:rPr>
      </w:pPr>
      <w:r w:rsidRPr="002001EF">
        <w:rPr>
          <w:i/>
          <w:iCs/>
          <w:sz w:val="18"/>
          <w:szCs w:val="16"/>
        </w:rPr>
        <w:t>Figure 2.1 - Growth in open banking</w:t>
      </w:r>
    </w:p>
    <w:p w14:paraId="284AB21C" w14:textId="1A35BAA1" w:rsidR="004E3DE6" w:rsidRDefault="00507142" w:rsidP="00265FE3">
      <w:r>
        <w:rPr>
          <w:noProof/>
        </w:rPr>
        <w:drawing>
          <wp:inline distT="0" distB="0" distL="0" distR="0" wp14:anchorId="0BB9C2FB" wp14:editId="5A5F0DC2">
            <wp:extent cx="5760720" cy="2745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745703"/>
                    </a:xfrm>
                    <a:prstGeom prst="rect">
                      <a:avLst/>
                    </a:prstGeom>
                  </pic:spPr>
                </pic:pic>
              </a:graphicData>
            </a:graphic>
          </wp:inline>
        </w:drawing>
      </w:r>
    </w:p>
    <w:p w14:paraId="46D43F31" w14:textId="0124DCA0" w:rsidR="00780C76" w:rsidRDefault="00770393" w:rsidP="0063544C">
      <w:pPr>
        <w:spacing w:before="240"/>
        <w:rPr>
          <w:i/>
        </w:rPr>
      </w:pPr>
      <w:r>
        <w:t>The Review heard some concerns about the speed of rollout</w:t>
      </w:r>
      <w:r w:rsidR="00265FE3">
        <w:t xml:space="preserve"> of the CDR. Stakeholders recognised the importance of balancing expansion with the iterative process of developing a secure and useful regulatory framework. While some stakeholders noted their appetite for receiving some CDR-enabled products faster (such as those enabled through action initiation), other</w:t>
      </w:r>
      <w:r w:rsidR="00EC1806">
        <w:t xml:space="preserve">s </w:t>
      </w:r>
      <w:r w:rsidR="00265FE3">
        <w:t xml:space="preserve">noted moving ahead quickly with the </w:t>
      </w:r>
      <w:r w:rsidR="002F5BD7">
        <w:t xml:space="preserve">scheme </w:t>
      </w:r>
      <w:r w:rsidR="00265FE3">
        <w:t>could leave some data holders already finding it difficult to meet compliance requirements and consultation deadlines</w:t>
      </w:r>
      <w:r w:rsidR="00EC1806">
        <w:t xml:space="preserve"> behind</w:t>
      </w:r>
      <w:r w:rsidR="00265FE3">
        <w:t xml:space="preserve">. </w:t>
      </w:r>
    </w:p>
    <w:p w14:paraId="42C5160D" w14:textId="6739CBC4" w:rsidR="00265FE3" w:rsidRDefault="00265FE3" w:rsidP="0063544C">
      <w:pPr>
        <w:pStyle w:val="Quote"/>
      </w:pPr>
      <w:r w:rsidRPr="00383A01">
        <w:t>“</w:t>
      </w:r>
      <w:r w:rsidR="0063544C">
        <w:t>…</w:t>
      </w:r>
      <w:r w:rsidRPr="00383A01">
        <w:t>the continuing compliance pipeline of overlapping commencement dates has reduced the capacity of many of our members to even consider becoming an accredited data recipient.”</w:t>
      </w:r>
      <w:r>
        <w:t xml:space="preserve"> </w:t>
      </w:r>
      <w:r w:rsidRPr="00F3484D">
        <w:rPr>
          <w:b/>
        </w:rPr>
        <w:t>– Customer Owned Banking Association</w:t>
      </w:r>
    </w:p>
    <w:p w14:paraId="2D050BF9" w14:textId="77777777" w:rsidR="007663FB" w:rsidRDefault="007663FB" w:rsidP="0063544C">
      <w:pPr>
        <w:pStyle w:val="Quote"/>
      </w:pPr>
      <w:r>
        <w:lastRenderedPageBreak/>
        <w:t>“</w:t>
      </w:r>
      <w:r w:rsidRPr="008E0060">
        <w:t>Future assessment and designation should consider where the greatest benefit will be realised. The</w:t>
      </w:r>
      <w:r>
        <w:t xml:space="preserve"> </w:t>
      </w:r>
      <w:r w:rsidRPr="008E0060">
        <w:t>current published focus is delivering a new sector/dataset per year whereas deepening the functionality should be prioritised.”</w:t>
      </w:r>
      <w:r w:rsidRPr="005A5523">
        <w:t xml:space="preserve"> </w:t>
      </w:r>
      <w:r w:rsidRPr="00F3484D">
        <w:rPr>
          <w:b/>
        </w:rPr>
        <w:t>– EY</w:t>
      </w:r>
    </w:p>
    <w:p w14:paraId="1CCD3E09" w14:textId="3830EDCB" w:rsidR="00265FE3" w:rsidRDefault="00265FE3" w:rsidP="00265FE3">
      <w:r>
        <w:t>Finding a balance is a difficult task</w:t>
      </w:r>
      <w:r w:rsidR="000D4A20">
        <w:t xml:space="preserve"> –</w:t>
      </w:r>
      <w:r>
        <w:t xml:space="preserve"> the system cannot move at the pace of the slowest participant, nor can it continue at a pace participant</w:t>
      </w:r>
      <w:r w:rsidR="00D04E49">
        <w:t>s struggle to</w:t>
      </w:r>
      <w:r>
        <w:t xml:space="preserve"> </w:t>
      </w:r>
      <w:r w:rsidR="000D4A20">
        <w:t>maintain</w:t>
      </w:r>
      <w:r>
        <w:t xml:space="preserve">. </w:t>
      </w:r>
      <w:r w:rsidR="00C67BF1">
        <w:t xml:space="preserve">Consideration should be given to finding a </w:t>
      </w:r>
      <w:r w:rsidR="00310C74">
        <w:t>tempo</w:t>
      </w:r>
      <w:r>
        <w:t xml:space="preserve"> that focuses on implementing what has been proposed to date, bedding down the core CDR framework/rules/standards and allowing time for the system to mature before progressing into further expansion. This does not mean stagnation or resting on our laurels. To become truly economy</w:t>
      </w:r>
      <w:r w:rsidR="00C67BF1">
        <w:t>-</w:t>
      </w:r>
      <w:r>
        <w:t>wide</w:t>
      </w:r>
      <w:r w:rsidR="00C67BF1">
        <w:t>,</w:t>
      </w:r>
      <w:r>
        <w:t xml:space="preserve"> the CDR should always look </w:t>
      </w:r>
      <w:r w:rsidR="00034370">
        <w:t>to the</w:t>
      </w:r>
      <w:r>
        <w:t xml:space="preserve"> horizon for the next </w:t>
      </w:r>
      <w:r w:rsidR="00034370">
        <w:t xml:space="preserve">opportunity </w:t>
      </w:r>
      <w:r>
        <w:t xml:space="preserve">and </w:t>
      </w:r>
      <w:r w:rsidR="00F46AE4">
        <w:t xml:space="preserve">be </w:t>
      </w:r>
      <w:r>
        <w:t xml:space="preserve">ready to move with consideration </w:t>
      </w:r>
      <w:r w:rsidR="00F46AE4">
        <w:t>of</w:t>
      </w:r>
      <w:r>
        <w:t xml:space="preserve"> the overall ecosyste</w:t>
      </w:r>
      <w:r w:rsidR="0040415C">
        <w:t>m a</w:t>
      </w:r>
      <w:r w:rsidRPr="00383A01">
        <w:t>nd greater digital economy</w:t>
      </w:r>
      <w:r>
        <w:t xml:space="preserve">, </w:t>
      </w:r>
      <w:r w:rsidR="00034370">
        <w:t xml:space="preserve">allowing for expansion to </w:t>
      </w:r>
      <w:r>
        <w:t>new sectors or datasets</w:t>
      </w:r>
      <w:r w:rsidR="006A27D7">
        <w:t xml:space="preserve"> with</w:t>
      </w:r>
      <w:r w:rsidR="00034370">
        <w:t xml:space="preserve"> </w:t>
      </w:r>
      <w:r>
        <w:t>new rule changes made only as required.</w:t>
      </w:r>
    </w:p>
    <w:p w14:paraId="6C44EC0E" w14:textId="6703A966" w:rsidR="00265FE3" w:rsidRDefault="00265FE3" w:rsidP="00265FE3">
      <w:pPr>
        <w:spacing w:after="0"/>
      </w:pPr>
      <w:r>
        <w:t>Submissions to the Review illustrated a tension between the vision for a digital economy enhanced by a wide rollout of the CDR</w:t>
      </w:r>
      <w:r w:rsidR="001E25F4">
        <w:t>,</w:t>
      </w:r>
      <w:r>
        <w:t xml:space="preserve"> and deepening and improving of functionality of the CDR in already designated sectors. Consultation revealed that the ambitions for an economy-wide CDR are </w:t>
      </w:r>
      <w:r w:rsidR="00F46AE4">
        <w:t>widespread</w:t>
      </w:r>
      <w:r>
        <w:t xml:space="preserve"> and will result in greater value in the long run. </w:t>
      </w:r>
    </w:p>
    <w:p w14:paraId="2B20C328" w14:textId="77777777" w:rsidR="00265FE3" w:rsidRPr="00F3484D" w:rsidRDefault="00265FE3" w:rsidP="0063544C">
      <w:pPr>
        <w:pStyle w:val="Quote"/>
        <w:rPr>
          <w:b/>
        </w:rPr>
      </w:pPr>
      <w:r>
        <w:t>“</w:t>
      </w:r>
      <w:r w:rsidRPr="00204826">
        <w:t>We believe that sectors should take time to implement the current framework, take time to gather learnings from an operational sector, ensure data sharing models are operationally efficient and then gauge the extent to which additional services or functionally is required under the scheme</w:t>
      </w:r>
      <w:r>
        <w:t xml:space="preserve">.” </w:t>
      </w:r>
      <w:r w:rsidRPr="00F3484D">
        <w:rPr>
          <w:b/>
        </w:rPr>
        <w:t>– Origin</w:t>
      </w:r>
    </w:p>
    <w:p w14:paraId="249C7542" w14:textId="7CEC4F6C" w:rsidR="00265FE3" w:rsidRDefault="00265FE3" w:rsidP="00265FE3">
      <w:pPr>
        <w:spacing w:after="0"/>
      </w:pPr>
      <w:r>
        <w:t xml:space="preserve">This sentiment was also captured in the </w:t>
      </w:r>
      <w:r w:rsidRPr="00600205">
        <w:t>Strategic Assessment</w:t>
      </w:r>
      <w:r w:rsidRPr="008A29FD">
        <w:t xml:space="preserve"> </w:t>
      </w:r>
      <w:r>
        <w:t>of the CDR, where stakeholders reported that including multiple sectors increase</w:t>
      </w:r>
      <w:r w:rsidR="001E25F4">
        <w:t>d</w:t>
      </w:r>
      <w:r>
        <w:t xml:space="preserve"> the value of datasets through sectoral synergies.</w:t>
      </w:r>
      <w:r w:rsidR="00770393" w:rsidRPr="00600205">
        <w:rPr>
          <w:rStyle w:val="FootnoteReference"/>
          <w:sz w:val="22"/>
          <w:szCs w:val="24"/>
          <w:vertAlign w:val="superscript"/>
        </w:rPr>
        <w:footnoteReference w:id="27"/>
      </w:r>
      <w:r>
        <w:t xml:space="preserve"> Several stakeholders consulted through the Statutory Review of the CDR indicated that</w:t>
      </w:r>
      <w:r w:rsidR="001E25F4">
        <w:t>,</w:t>
      </w:r>
      <w:r>
        <w:t xml:space="preserve"> without fully completing one sector first</w:t>
      </w:r>
      <w:r w:rsidR="001E25F4">
        <w:t>,</w:t>
      </w:r>
      <w:r>
        <w:t xml:space="preserve"> the rollout </w:t>
      </w:r>
      <w:r w:rsidR="001E25F4">
        <w:t xml:space="preserve">would </w:t>
      </w:r>
      <w:r w:rsidR="001E0A41">
        <w:t>not</w:t>
      </w:r>
      <w:r>
        <w:t xml:space="preserve"> benefit from lessons learn</w:t>
      </w:r>
      <w:r w:rsidR="00034370">
        <w:t>t</w:t>
      </w:r>
      <w:r>
        <w:t xml:space="preserve"> and </w:t>
      </w:r>
      <w:r w:rsidR="001E0A41">
        <w:t xml:space="preserve">could </w:t>
      </w:r>
      <w:r>
        <w:t xml:space="preserve">repeat the same mistakes in </w:t>
      </w:r>
      <w:r w:rsidR="001E0A41">
        <w:t xml:space="preserve">relation </w:t>
      </w:r>
      <w:r>
        <w:t xml:space="preserve">to new sectors. There were also views among some stakeholders that continuing to expand the CDR to new sectors </w:t>
      </w:r>
      <w:r w:rsidR="001E0A41">
        <w:t xml:space="preserve">could </w:t>
      </w:r>
      <w:r>
        <w:t>demand resources from the implementation agencies at the expense of higher priority policy changes like deepening functionality, for example</w:t>
      </w:r>
      <w:r w:rsidR="001E0A41">
        <w:t>,</w:t>
      </w:r>
      <w:r>
        <w:t xml:space="preserve"> through action initiation. Balancing the breadth of datasets included under the CDR with the depth of functionality will continue to be a challenge for the CDR. </w:t>
      </w:r>
      <w:r w:rsidR="0025509F">
        <w:br/>
      </w:r>
    </w:p>
    <w:tbl>
      <w:tblPr>
        <w:tblStyle w:val="TableGrid"/>
        <w:tblpPr w:leftFromText="180" w:rightFromText="180" w:vertAnchor="text" w:horzAnchor="margin" w:tblpY="184"/>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D04E49" w14:paraId="57173716" w14:textId="77777777" w:rsidTr="00184795">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1CBC8F19" w14:textId="205777AB" w:rsidR="00D04E49" w:rsidRPr="00822EF9" w:rsidRDefault="00D04E49" w:rsidP="0063544C">
            <w:pPr>
              <w:pStyle w:val="BoxHeading"/>
            </w:pPr>
            <w:r w:rsidRPr="0063544C">
              <w:t>Recommendation 2.</w:t>
            </w:r>
            <w:r w:rsidR="008C6C5C" w:rsidRPr="0063544C">
              <w:t>5</w:t>
            </w:r>
          </w:p>
          <w:p w14:paraId="08CA61D1" w14:textId="6062A43A" w:rsidR="00D04E49" w:rsidRPr="00511A43" w:rsidRDefault="00BA6D95" w:rsidP="0063544C">
            <w:pPr>
              <w:pStyle w:val="BoxText"/>
            </w:pPr>
            <w:r w:rsidRPr="00D4755B">
              <w:rPr>
                <w:szCs w:val="24"/>
              </w:rPr>
              <w:t>T</w:t>
            </w:r>
            <w:r w:rsidR="0004050D" w:rsidRPr="00167D86">
              <w:rPr>
                <w:szCs w:val="24"/>
              </w:rPr>
              <w:t xml:space="preserve">he current pace of </w:t>
            </w:r>
            <w:r w:rsidRPr="00167D86">
              <w:rPr>
                <w:szCs w:val="24"/>
              </w:rPr>
              <w:t xml:space="preserve">CDR </w:t>
            </w:r>
            <w:r w:rsidR="0004050D" w:rsidRPr="00E6039E">
              <w:rPr>
                <w:szCs w:val="24"/>
              </w:rPr>
              <w:t>rollout into new sectors has not allowed enough t</w:t>
            </w:r>
            <w:r w:rsidR="0004050D" w:rsidRPr="002252C2">
              <w:rPr>
                <w:szCs w:val="24"/>
              </w:rPr>
              <w:t xml:space="preserve">ime for the system to mature and capitalise on the lessons learnt. Focussing on improving </w:t>
            </w:r>
            <w:r w:rsidRPr="002252C2">
              <w:rPr>
                <w:szCs w:val="24"/>
              </w:rPr>
              <w:t>CDR</w:t>
            </w:r>
            <w:r w:rsidR="0004050D" w:rsidRPr="002252C2">
              <w:rPr>
                <w:szCs w:val="24"/>
              </w:rPr>
              <w:t xml:space="preserve"> functionality </w:t>
            </w:r>
            <w:r w:rsidRPr="003D0786">
              <w:rPr>
                <w:szCs w:val="24"/>
              </w:rPr>
              <w:t>and data quality</w:t>
            </w:r>
            <w:r w:rsidR="0004050D" w:rsidRPr="0093479C">
              <w:rPr>
                <w:szCs w:val="24"/>
              </w:rPr>
              <w:t xml:space="preserve"> within already designated sectors should be prioritised, </w:t>
            </w:r>
            <w:r w:rsidR="006C4F83" w:rsidRPr="0002173D">
              <w:rPr>
                <w:szCs w:val="24"/>
              </w:rPr>
              <w:t>balanced with overall forward momentum into new sectors over time.</w:t>
            </w:r>
          </w:p>
        </w:tc>
      </w:tr>
    </w:tbl>
    <w:p w14:paraId="047058B3" w14:textId="1DD776E7" w:rsidR="004D400F" w:rsidRDefault="004D400F" w:rsidP="00265FE3">
      <w:pPr>
        <w:pStyle w:val="Heading2"/>
      </w:pPr>
      <w:bookmarkStart w:id="94" w:name="_Toc110602883"/>
      <w:bookmarkStart w:id="95" w:name="_Toc106286091"/>
      <w:bookmarkStart w:id="96" w:name="_Toc106358401"/>
      <w:r w:rsidRPr="0036567D">
        <w:lastRenderedPageBreak/>
        <w:t>2.</w:t>
      </w:r>
      <w:r w:rsidR="003D3435" w:rsidRPr="00381CC5">
        <w:t>6</w:t>
      </w:r>
      <w:r w:rsidRPr="0036567D">
        <w:t xml:space="preserve"> Cyber security</w:t>
      </w:r>
      <w:bookmarkEnd w:id="94"/>
    </w:p>
    <w:p w14:paraId="636F4D6D" w14:textId="0FA5864B" w:rsidR="005B7B80" w:rsidRPr="00381CC5" w:rsidRDefault="004D400F" w:rsidP="004D400F">
      <w:r w:rsidRPr="0036567D">
        <w:t xml:space="preserve">The Review </w:t>
      </w:r>
      <w:r w:rsidRPr="00994480">
        <w:t xml:space="preserve">generally </w:t>
      </w:r>
      <w:r w:rsidRPr="00381CC5">
        <w:t xml:space="preserve">did not hear </w:t>
      </w:r>
      <w:r w:rsidR="00C7234D" w:rsidRPr="00381CC5">
        <w:t xml:space="preserve">many </w:t>
      </w:r>
      <w:r w:rsidRPr="0036567D">
        <w:t>concerns</w:t>
      </w:r>
      <w:r w:rsidRPr="00994480">
        <w:t xml:space="preserve"> from stakeholders</w:t>
      </w:r>
      <w:r w:rsidRPr="00381CC5">
        <w:t xml:space="preserve"> about </w:t>
      </w:r>
      <w:r w:rsidR="00740A9E" w:rsidRPr="00381CC5">
        <w:t xml:space="preserve">the </w:t>
      </w:r>
      <w:r w:rsidRPr="0036567D">
        <w:t xml:space="preserve">cyber security settings of </w:t>
      </w:r>
      <w:r w:rsidR="00740A9E" w:rsidRPr="00381CC5">
        <w:t xml:space="preserve">the </w:t>
      </w:r>
      <w:r w:rsidRPr="0036567D">
        <w:t>CDR.</w:t>
      </w:r>
      <w:r w:rsidRPr="00994480">
        <w:t xml:space="preserve"> </w:t>
      </w:r>
      <w:r w:rsidR="00F659AD" w:rsidRPr="00381CC5">
        <w:t>Where they were raised, s</w:t>
      </w:r>
      <w:r w:rsidR="00EB51CF" w:rsidRPr="00381CC5">
        <w:t xml:space="preserve">ecurity settings and requirements were generally discussed in the context of </w:t>
      </w:r>
      <w:r w:rsidR="00154A77" w:rsidRPr="00381CC5">
        <w:t xml:space="preserve">the sum of compliance matters that accompanies </w:t>
      </w:r>
      <w:r w:rsidR="006F7A16">
        <w:t xml:space="preserve">the </w:t>
      </w:r>
      <w:r w:rsidR="00154A77" w:rsidRPr="00381CC5">
        <w:t>CDR, rather than any observations as to the adequacy of the settings themselves.</w:t>
      </w:r>
      <w:r w:rsidR="00B378CF" w:rsidRPr="00381CC5">
        <w:t xml:space="preserve"> </w:t>
      </w:r>
      <w:r w:rsidR="00C7234D" w:rsidRPr="00381CC5">
        <w:t>The Review a</w:t>
      </w:r>
      <w:r w:rsidR="00B378CF" w:rsidRPr="00381CC5">
        <w:t>cknowledg</w:t>
      </w:r>
      <w:r w:rsidR="00C7234D" w:rsidRPr="00381CC5">
        <w:t>es</w:t>
      </w:r>
      <w:r w:rsidR="00B378CF" w:rsidRPr="0036567D">
        <w:t xml:space="preserve"> the role of the DSB</w:t>
      </w:r>
      <w:r w:rsidR="00B378CF" w:rsidRPr="00994480">
        <w:t xml:space="preserve"> </w:t>
      </w:r>
      <w:r w:rsidR="00175BC2" w:rsidRPr="00381CC5">
        <w:t xml:space="preserve">and the Data Standards Chair </w:t>
      </w:r>
      <w:r w:rsidR="00B378CF" w:rsidRPr="00381CC5">
        <w:t>to</w:t>
      </w:r>
      <w:r w:rsidR="00651D6C" w:rsidRPr="00381CC5">
        <w:t xml:space="preserve"> form</w:t>
      </w:r>
      <w:r w:rsidR="00175BC2" w:rsidRPr="00381CC5">
        <w:t xml:space="preserve"> data</w:t>
      </w:r>
      <w:r w:rsidR="00651D6C" w:rsidRPr="00381CC5">
        <w:t xml:space="preserve"> standards</w:t>
      </w:r>
      <w:r w:rsidR="00852001" w:rsidRPr="00381CC5">
        <w:t xml:space="preserve"> for</w:t>
      </w:r>
      <w:r w:rsidR="00175BC2" w:rsidRPr="0036567D">
        <w:t xml:space="preserve"> CDR data</w:t>
      </w:r>
      <w:r w:rsidR="00852001" w:rsidRPr="00381CC5">
        <w:t xml:space="preserve"> security</w:t>
      </w:r>
      <w:r w:rsidR="00861DBD" w:rsidRPr="0036567D">
        <w:t xml:space="preserve"> and the regular</w:t>
      </w:r>
      <w:r w:rsidR="00861DBD" w:rsidRPr="00994480">
        <w:t xml:space="preserve"> maintenance cycles performed in updating th</w:t>
      </w:r>
      <w:r w:rsidR="004542EF" w:rsidRPr="00381CC5">
        <w:t>os</w:t>
      </w:r>
      <w:r w:rsidR="00861DBD" w:rsidRPr="00381CC5">
        <w:t>e standards</w:t>
      </w:r>
      <w:r w:rsidR="00C7234D" w:rsidRPr="00381CC5">
        <w:t>. Although the CDR has these embedded processes and standards, it is understood that</w:t>
      </w:r>
      <w:r w:rsidR="00861DBD" w:rsidRPr="0036567D" w:rsidDel="00C7234D">
        <w:t xml:space="preserve"> </w:t>
      </w:r>
      <w:r w:rsidR="00C7234D" w:rsidRPr="00381CC5">
        <w:t xml:space="preserve">a whole </w:t>
      </w:r>
      <w:r w:rsidR="00C7234D" w:rsidRPr="00FA3146">
        <w:t xml:space="preserve">of </w:t>
      </w:r>
      <w:r w:rsidR="009B5DF3" w:rsidRPr="00FA3146">
        <w:t>eco</w:t>
      </w:r>
      <w:r w:rsidR="00C7234D" w:rsidRPr="00FA3146">
        <w:t xml:space="preserve">system </w:t>
      </w:r>
      <w:r w:rsidR="00861DBD" w:rsidRPr="00FA3146">
        <w:t>review</w:t>
      </w:r>
      <w:r w:rsidR="00861DBD" w:rsidRPr="0036567D">
        <w:t xml:space="preserve"> has</w:t>
      </w:r>
      <w:r w:rsidR="00CC25D2" w:rsidRPr="00381CC5">
        <w:t xml:space="preserve"> not</w:t>
      </w:r>
      <w:r w:rsidR="00861DBD" w:rsidRPr="0036567D">
        <w:t xml:space="preserve"> been undertaken on cyber security matters.</w:t>
      </w:r>
      <w:r w:rsidR="004542EF" w:rsidRPr="00381CC5">
        <w:t xml:space="preserve"> As the CDR matures and expands across</w:t>
      </w:r>
      <w:r w:rsidR="00492B24" w:rsidRPr="00381CC5">
        <w:t xml:space="preserve"> the economy to include new </w:t>
      </w:r>
      <w:r w:rsidR="00C450B9" w:rsidRPr="00381CC5">
        <w:t xml:space="preserve">sectors, </w:t>
      </w:r>
      <w:r w:rsidR="00492B24" w:rsidRPr="00381CC5">
        <w:t>data holders and entities</w:t>
      </w:r>
      <w:r w:rsidR="00C450B9" w:rsidRPr="00381CC5">
        <w:t>, the likelihood of</w:t>
      </w:r>
      <w:r w:rsidR="003A6CBB" w:rsidRPr="00381CC5">
        <w:t xml:space="preserve"> compatibility and</w:t>
      </w:r>
      <w:r w:rsidR="00C450B9" w:rsidRPr="0036567D">
        <w:t xml:space="preserve"> </w:t>
      </w:r>
      <w:r w:rsidR="00C7234D" w:rsidRPr="00381CC5">
        <w:t xml:space="preserve">cyber security </w:t>
      </w:r>
      <w:r w:rsidR="00C450B9" w:rsidRPr="0036567D">
        <w:t>issues arising increases.</w:t>
      </w:r>
      <w:r w:rsidR="005B7B80" w:rsidRPr="00994480">
        <w:t xml:space="preserve"> </w:t>
      </w:r>
    </w:p>
    <w:p w14:paraId="5AA50693" w14:textId="503F197A" w:rsidR="00FE3AEB" w:rsidRDefault="005B7B80" w:rsidP="0063544C">
      <w:pPr>
        <w:spacing w:after="240"/>
        <w:ind w:right="57"/>
      </w:pPr>
      <w:r w:rsidRPr="00381CC5">
        <w:t xml:space="preserve">With the introduction of participants from the energy and </w:t>
      </w:r>
      <w:r w:rsidRPr="00FA3146">
        <w:t>telecommunications sectors, the Review considers that it is timely to revisit cyber security settings across the CDR</w:t>
      </w:r>
      <w:r w:rsidR="008D42E1" w:rsidRPr="00FA3146">
        <w:t xml:space="preserve"> ecosystem</w:t>
      </w:r>
      <w:r w:rsidRPr="00FA3146">
        <w:t>.</w:t>
      </w:r>
      <w:r w:rsidR="00EC5A37" w:rsidRPr="00FA3146">
        <w:t xml:space="preserve"> While not a priority apparently raised by </w:t>
      </w:r>
      <w:r w:rsidR="00D126ED" w:rsidRPr="00FA3146">
        <w:t>CDR</w:t>
      </w:r>
      <w:r w:rsidR="00EC5A37" w:rsidRPr="00FA3146">
        <w:t xml:space="preserve"> participants,</w:t>
      </w:r>
      <w:r w:rsidR="00740A9E" w:rsidRPr="00FA3146">
        <w:t xml:space="preserve"> and </w:t>
      </w:r>
      <w:r w:rsidR="00D126ED" w:rsidRPr="00FA3146">
        <w:t xml:space="preserve">with </w:t>
      </w:r>
      <w:r w:rsidR="00740A9E" w:rsidRPr="00FA3146">
        <w:t xml:space="preserve">no known </w:t>
      </w:r>
      <w:r w:rsidR="00AB5AF0" w:rsidRPr="00FA3146">
        <w:t xml:space="preserve">cyber </w:t>
      </w:r>
      <w:r w:rsidR="00740A9E" w:rsidRPr="00FA3146">
        <w:t>breaches having</w:t>
      </w:r>
      <w:r w:rsidR="00740A9E" w:rsidRPr="00381CC5">
        <w:t xml:space="preserve"> occurred,</w:t>
      </w:r>
      <w:r w:rsidR="00EC5A37" w:rsidRPr="00381CC5">
        <w:t xml:space="preserve"> the Review considers that the cyber security settings of the CDR are a fundamental element to ensuring the ability to</w:t>
      </w:r>
      <w:r w:rsidR="006257FE" w:rsidRPr="00381CC5">
        <w:t>,</w:t>
      </w:r>
      <w:r w:rsidR="00EC5A37" w:rsidRPr="00381CC5">
        <w:t xml:space="preserve"> as well as viability of</w:t>
      </w:r>
      <w:r w:rsidR="006257FE" w:rsidRPr="00381CC5">
        <w:t>,</w:t>
      </w:r>
      <w:r w:rsidR="00EC5A37" w:rsidRPr="00381CC5">
        <w:t xml:space="preserve"> delivering CDR-powered products and services.</w:t>
      </w:r>
      <w:r w:rsidRPr="00381CC5">
        <w:t xml:space="preserve"> Conducting a review at this earlier stage of implementation </w:t>
      </w:r>
      <w:r w:rsidR="00E02BEA" w:rsidRPr="00381CC5">
        <w:t xml:space="preserve">would ensure not only that the settings remain appropriate to the operating environment, but also that they are </w:t>
      </w:r>
      <w:r w:rsidR="002F783E" w:rsidRPr="00381CC5">
        <w:t>resilient and can accommodate</w:t>
      </w:r>
      <w:r w:rsidR="00E02BEA" w:rsidRPr="00381CC5">
        <w:t xml:space="preserve"> new challenges brought on by connecting increasing numbers of historically </w:t>
      </w:r>
      <w:r w:rsidR="00251C1E" w:rsidRPr="00381CC5">
        <w:t>distinct</w:t>
      </w:r>
      <w:r w:rsidR="00E02BEA" w:rsidRPr="00381CC5">
        <w:t xml:space="preserve"> data holders and data systems.</w:t>
      </w:r>
    </w:p>
    <w:tbl>
      <w:tblPr>
        <w:tblStyle w:val="TableGrid"/>
        <w:tblpPr w:leftFromText="180" w:rightFromText="180" w:vertAnchor="text" w:horzAnchor="margin" w:tblpY="184"/>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FE3AEB" w14:paraId="4686A84A" w14:textId="77777777" w:rsidTr="001F79BE">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5A8E349E" w14:textId="741C0EBE" w:rsidR="00FE3AEB" w:rsidRPr="0063544C" w:rsidRDefault="00FE3AEB" w:rsidP="0063544C">
            <w:pPr>
              <w:pStyle w:val="BoxHeading"/>
            </w:pPr>
            <w:r w:rsidRPr="0063544C">
              <w:t>Recommendation 2.</w:t>
            </w:r>
            <w:r w:rsidR="003D3435" w:rsidRPr="0063544C">
              <w:t>6</w:t>
            </w:r>
          </w:p>
          <w:p w14:paraId="1C857282" w14:textId="4674738D" w:rsidR="00FE3AEB" w:rsidRPr="00511A43" w:rsidRDefault="002136A9" w:rsidP="0063544C">
            <w:pPr>
              <w:pStyle w:val="BoxText"/>
            </w:pPr>
            <w:r w:rsidRPr="00D4755B">
              <w:rPr>
                <w:szCs w:val="24"/>
              </w:rPr>
              <w:t xml:space="preserve">At this point </w:t>
            </w:r>
            <w:r w:rsidR="00B31C4A" w:rsidRPr="00167D86">
              <w:rPr>
                <w:szCs w:val="24"/>
              </w:rPr>
              <w:t>in</w:t>
            </w:r>
            <w:r w:rsidRPr="00167D86">
              <w:rPr>
                <w:szCs w:val="24"/>
              </w:rPr>
              <w:t xml:space="preserve"> </w:t>
            </w:r>
            <w:r w:rsidR="004E22AA" w:rsidRPr="00E6039E">
              <w:rPr>
                <w:szCs w:val="24"/>
              </w:rPr>
              <w:t>the</w:t>
            </w:r>
            <w:r w:rsidRPr="002252C2">
              <w:rPr>
                <w:szCs w:val="24"/>
              </w:rPr>
              <w:t xml:space="preserve"> CDR</w:t>
            </w:r>
            <w:r w:rsidR="004E22AA" w:rsidRPr="002252C2">
              <w:rPr>
                <w:szCs w:val="24"/>
              </w:rPr>
              <w:t>’s development</w:t>
            </w:r>
            <w:r w:rsidRPr="002252C2">
              <w:rPr>
                <w:szCs w:val="24"/>
              </w:rPr>
              <w:t>,</w:t>
            </w:r>
            <w:r w:rsidR="00B31C4A" w:rsidRPr="002252C2">
              <w:rPr>
                <w:szCs w:val="24"/>
              </w:rPr>
              <w:t xml:space="preserve"> </w:t>
            </w:r>
            <w:r w:rsidR="006F7A16">
              <w:rPr>
                <w:szCs w:val="24"/>
              </w:rPr>
              <w:t xml:space="preserve">the </w:t>
            </w:r>
            <w:r w:rsidR="00B31C4A" w:rsidRPr="002252C2">
              <w:rPr>
                <w:szCs w:val="24"/>
              </w:rPr>
              <w:t>Government should consider undertaking</w:t>
            </w:r>
            <w:r w:rsidRPr="002252C2">
              <w:rPr>
                <w:szCs w:val="24"/>
              </w:rPr>
              <w:t xml:space="preserve"> a whole of </w:t>
            </w:r>
            <w:r w:rsidR="009B5DF3" w:rsidRPr="003D0786">
              <w:rPr>
                <w:szCs w:val="24"/>
              </w:rPr>
              <w:t>eco</w:t>
            </w:r>
            <w:r w:rsidRPr="0093479C">
              <w:rPr>
                <w:szCs w:val="24"/>
              </w:rPr>
              <w:t>system</w:t>
            </w:r>
            <w:r w:rsidRPr="0002173D">
              <w:rPr>
                <w:szCs w:val="24"/>
              </w:rPr>
              <w:t xml:space="preserve"> cyber security assessment to ensure that the </w:t>
            </w:r>
            <w:r w:rsidR="00095DF8" w:rsidRPr="006E230E">
              <w:rPr>
                <w:szCs w:val="24"/>
              </w:rPr>
              <w:t xml:space="preserve">CDR </w:t>
            </w:r>
            <w:r w:rsidRPr="006E230E">
              <w:rPr>
                <w:szCs w:val="24"/>
              </w:rPr>
              <w:t>cyber security architecture continues to be fit for purpose into the future.</w:t>
            </w:r>
            <w:r w:rsidRPr="0063544C">
              <w:rPr>
                <w:sz w:val="32"/>
                <w:szCs w:val="36"/>
              </w:rPr>
              <w:t xml:space="preserve"> </w:t>
            </w:r>
          </w:p>
        </w:tc>
      </w:tr>
    </w:tbl>
    <w:p w14:paraId="0973EF05" w14:textId="1406955F" w:rsidR="00265FE3" w:rsidRPr="00383A01" w:rsidRDefault="00265FE3" w:rsidP="00265FE3">
      <w:pPr>
        <w:pStyle w:val="Heading2"/>
      </w:pPr>
      <w:bookmarkStart w:id="97" w:name="_Toc110602884"/>
      <w:r w:rsidRPr="00383A01">
        <w:t>2.</w:t>
      </w:r>
      <w:r w:rsidR="003D3435">
        <w:t>7</w:t>
      </w:r>
      <w:r w:rsidRPr="00383A01">
        <w:t xml:space="preserve"> </w:t>
      </w:r>
      <w:bookmarkEnd w:id="95"/>
      <w:bookmarkEnd w:id="96"/>
      <w:r w:rsidR="00FD093E" w:rsidRPr="00DE1DFC">
        <w:t>C</w:t>
      </w:r>
      <w:r w:rsidR="00AD7E2D" w:rsidRPr="00DE1DFC">
        <w:t>onsent</w:t>
      </w:r>
      <w:r w:rsidR="00FD093E" w:rsidRPr="00DE1DFC">
        <w:t xml:space="preserve"> journey and consumer experience</w:t>
      </w:r>
      <w:bookmarkStart w:id="98" w:name="_Hlk106803359"/>
      <w:bookmarkEnd w:id="97"/>
    </w:p>
    <w:bookmarkEnd w:id="98"/>
    <w:p w14:paraId="46AF51BF" w14:textId="1DEB984A" w:rsidR="0094069B" w:rsidRPr="00DE1DFC" w:rsidRDefault="00265FE3" w:rsidP="005B3628">
      <w:pPr>
        <w:ind w:right="170"/>
      </w:pPr>
      <w:r>
        <w:t xml:space="preserve">It </w:t>
      </w:r>
      <w:r w:rsidRPr="004867CE">
        <w:t xml:space="preserve">is </w:t>
      </w:r>
      <w:r>
        <w:t xml:space="preserve">also </w:t>
      </w:r>
      <w:r w:rsidRPr="004867CE">
        <w:t xml:space="preserve">clear that the CDR is not yet </w:t>
      </w:r>
      <w:r>
        <w:t>fully optimised to meet consumer</w:t>
      </w:r>
      <w:r w:rsidR="00D8412B">
        <w:t>s’</w:t>
      </w:r>
      <w:r>
        <w:t xml:space="preserve"> needs</w:t>
      </w:r>
      <w:r w:rsidR="00FD093E">
        <w:t xml:space="preserve"> and experience</w:t>
      </w:r>
      <w:r w:rsidRPr="004867CE">
        <w:t xml:space="preserve">. Data standards and consent requirements have </w:t>
      </w:r>
      <w:r>
        <w:t xml:space="preserve">a direct </w:t>
      </w:r>
      <w:r w:rsidRPr="004867CE">
        <w:t xml:space="preserve">impact on the consumer experience. </w:t>
      </w:r>
      <w:bookmarkStart w:id="99" w:name="_Hlk104971152"/>
      <w:r>
        <w:t xml:space="preserve">In </w:t>
      </w:r>
      <w:r w:rsidR="00D8412B">
        <w:t xml:space="preserve">its </w:t>
      </w:r>
      <w:r>
        <w:t>submission</w:t>
      </w:r>
      <w:r w:rsidR="00D8412B">
        <w:t>,</w:t>
      </w:r>
      <w:r>
        <w:t xml:space="preserve"> Basiq noted up to 11 screens could be presented to a consumer</w:t>
      </w:r>
      <w:r w:rsidR="00193E5F">
        <w:t xml:space="preserve"> </w:t>
      </w:r>
      <w:r w:rsidR="00193E5F" w:rsidRPr="00F3484D">
        <w:t xml:space="preserve">in the </w:t>
      </w:r>
      <w:r w:rsidR="00E7333A" w:rsidRPr="00F3484D">
        <w:t>steps to</w:t>
      </w:r>
      <w:r w:rsidR="00193E5F" w:rsidRPr="00F3484D">
        <w:t xml:space="preserve"> link a bank account </w:t>
      </w:r>
      <w:r w:rsidR="00F15D31" w:rsidRPr="00F3484D">
        <w:t>to a</w:t>
      </w:r>
      <w:r w:rsidR="00533EE8" w:rsidRPr="00F3484D">
        <w:t>n</w:t>
      </w:r>
      <w:r w:rsidR="00F15D31" w:rsidRPr="00F3484D">
        <w:t xml:space="preserve"> ADR service</w:t>
      </w:r>
      <w:r w:rsidR="00193E5F" w:rsidRPr="00F3484D">
        <w:t xml:space="preserve"> </w:t>
      </w:r>
      <w:r w:rsidR="00533EE8" w:rsidRPr="00F3484D">
        <w:t xml:space="preserve">(including </w:t>
      </w:r>
      <w:r w:rsidR="00193E5F" w:rsidRPr="00F3484D">
        <w:t>pre-consent, consent, authentication and authorisation</w:t>
      </w:r>
      <w:r w:rsidR="00533EE8" w:rsidRPr="00F3484D">
        <w:t>)</w:t>
      </w:r>
      <w:r w:rsidRPr="00F3484D" w:rsidDel="00E7333A">
        <w:t>,</w:t>
      </w:r>
      <w:r w:rsidR="009F11D6" w:rsidRPr="00F3484D">
        <w:t xml:space="preserve"> and </w:t>
      </w:r>
      <w:r w:rsidR="00533EE8" w:rsidRPr="00F3484D">
        <w:t>flagged that</w:t>
      </w:r>
      <w:r w:rsidR="009F11D6" w:rsidRPr="00F3484D">
        <w:t xml:space="preserve"> this doesn’t include</w:t>
      </w:r>
      <w:r w:rsidR="00E7333A" w:rsidRPr="00F3484D">
        <w:t xml:space="preserve"> additional </w:t>
      </w:r>
      <w:r w:rsidRPr="00F3484D">
        <w:t xml:space="preserve">screens that may </w:t>
      </w:r>
      <w:r w:rsidR="00F15D31" w:rsidRPr="00F3484D">
        <w:t xml:space="preserve">also </w:t>
      </w:r>
      <w:r w:rsidRPr="00F3484D">
        <w:t xml:space="preserve">be required for </w:t>
      </w:r>
      <w:r w:rsidR="00F15D31" w:rsidRPr="00F3484D">
        <w:t>the</w:t>
      </w:r>
      <w:r w:rsidRPr="00F3484D">
        <w:t xml:space="preserve"> bank account </w:t>
      </w:r>
      <w:r w:rsidR="007B617F">
        <w:t>login</w:t>
      </w:r>
      <w:r w:rsidRPr="00F3484D">
        <w:t xml:space="preserve"> process </w:t>
      </w:r>
      <w:r w:rsidR="00F15D31" w:rsidRPr="00F3484D">
        <w:t xml:space="preserve">(user registration, email verification, </w:t>
      </w:r>
      <w:r w:rsidR="007B617F" w:rsidRPr="00F3484D">
        <w:t>K</w:t>
      </w:r>
      <w:r w:rsidR="007B617F">
        <w:t xml:space="preserve">now </w:t>
      </w:r>
      <w:r w:rsidR="007B617F" w:rsidRPr="00F3484D">
        <w:t>Y</w:t>
      </w:r>
      <w:r w:rsidR="007B617F">
        <w:t xml:space="preserve">our </w:t>
      </w:r>
      <w:r w:rsidR="007B617F" w:rsidRPr="00DE1DFC">
        <w:t>Customer (</w:t>
      </w:r>
      <w:r w:rsidR="00F15D31" w:rsidRPr="00DE1DFC">
        <w:t>KYC</w:t>
      </w:r>
      <w:r w:rsidR="007B617F" w:rsidRPr="00DE1DFC">
        <w:t>)</w:t>
      </w:r>
      <w:r w:rsidR="00F15D31" w:rsidRPr="00DE1DFC">
        <w:t xml:space="preserve"> </w:t>
      </w:r>
      <w:r w:rsidR="00E41B98" w:rsidRPr="00DE1DFC">
        <w:t>checks etc.)</w:t>
      </w:r>
      <w:r w:rsidR="0069475D" w:rsidRPr="00DE1DFC">
        <w:t xml:space="preserve"> </w:t>
      </w:r>
      <w:r w:rsidRPr="00DE1DFC">
        <w:t xml:space="preserve">to link to the </w:t>
      </w:r>
      <w:r w:rsidR="00F15D31" w:rsidRPr="00DE1DFC">
        <w:t>service</w:t>
      </w:r>
      <w:r w:rsidRPr="00DE1DFC">
        <w:t>, to fully comply with regulatory requirements.</w:t>
      </w:r>
      <w:bookmarkEnd w:id="99"/>
      <w:r w:rsidRPr="00DE1DFC">
        <w:t xml:space="preserve"> Friction and high cognitive load can cause consumers to disengage</w:t>
      </w:r>
      <w:r w:rsidRPr="00DE1DFC" w:rsidDel="00F8629A">
        <w:t xml:space="preserve"> </w:t>
      </w:r>
      <w:r w:rsidRPr="00DE1DFC">
        <w:t xml:space="preserve">before they obtain any value </w:t>
      </w:r>
      <w:r w:rsidR="00F07A9E" w:rsidRPr="00DE1DFC">
        <w:t xml:space="preserve">– </w:t>
      </w:r>
      <w:r w:rsidRPr="00DE1DFC">
        <w:t xml:space="preserve">only the </w:t>
      </w:r>
      <w:r w:rsidR="00F07A9E" w:rsidRPr="00DE1DFC">
        <w:t xml:space="preserve">most </w:t>
      </w:r>
      <w:r w:rsidRPr="00DE1DFC">
        <w:t xml:space="preserve">committed persist. At this stage in implementation, most participants focus on compliance and building trust and confidence in the system. </w:t>
      </w:r>
    </w:p>
    <w:p w14:paraId="4EDFD6F1" w14:textId="0A0F01A7" w:rsidR="0089296E" w:rsidRPr="006027C7" w:rsidRDefault="0094271B" w:rsidP="00790CC4">
      <w:pPr>
        <w:rPr>
          <w:bCs/>
          <w:szCs w:val="22"/>
        </w:rPr>
      </w:pPr>
      <w:r w:rsidRPr="00DE1DFC">
        <w:t>F</w:t>
      </w:r>
      <w:r w:rsidR="00265FE3" w:rsidRPr="00DE1DFC">
        <w:t>urther attention and consideration should be given to ensuring the experience is intuitive for consumers by designing the consent journey from a consumer perspective, for example</w:t>
      </w:r>
      <w:r w:rsidR="00F07A9E" w:rsidRPr="00DE1DFC">
        <w:t>,</w:t>
      </w:r>
      <w:r w:rsidR="00265FE3" w:rsidRPr="00DE1DFC">
        <w:t xml:space="preserve"> by allowing bundled consents</w:t>
      </w:r>
      <w:r w:rsidR="0069710B" w:rsidRPr="00DE1DFC">
        <w:t>,</w:t>
      </w:r>
      <w:r w:rsidR="00F278CC" w:rsidRPr="00DE1DFC">
        <w:t xml:space="preserve"> </w:t>
      </w:r>
      <w:r w:rsidR="0069710B" w:rsidRPr="00DE1DFC">
        <w:t xml:space="preserve">which involves a single </w:t>
      </w:r>
      <w:r w:rsidR="003F599D" w:rsidRPr="00DE1DFC">
        <w:t>bundled</w:t>
      </w:r>
      <w:r w:rsidR="0069710B" w:rsidRPr="00DE1DFC">
        <w:t xml:space="preserve"> request that contains several requests to collect, use and disclose </w:t>
      </w:r>
      <w:r w:rsidR="00557184" w:rsidRPr="00DE1DFC">
        <w:t>a consumer’s</w:t>
      </w:r>
      <w:r w:rsidR="0069710B" w:rsidRPr="00DE1DFC">
        <w:t xml:space="preserve"> personal information, </w:t>
      </w:r>
      <w:r w:rsidR="00794711" w:rsidRPr="00DE1DFC">
        <w:t>which could increase convenience for consumers.</w:t>
      </w:r>
      <w:r w:rsidR="0069710B" w:rsidRPr="00DE1DFC">
        <w:t xml:space="preserve"> </w:t>
      </w:r>
      <w:r w:rsidR="00F7084C">
        <w:t>However, t</w:t>
      </w:r>
      <w:r w:rsidR="00E41B98" w:rsidRPr="00DE1DFC">
        <w:t xml:space="preserve">his convenience potentially comes at a cost of </w:t>
      </w:r>
      <w:r w:rsidR="00526416" w:rsidRPr="00DE1DFC">
        <w:t>apparent transparency</w:t>
      </w:r>
      <w:r w:rsidR="00E41B98" w:rsidRPr="00DE1DFC">
        <w:t xml:space="preserve"> </w:t>
      </w:r>
      <w:r w:rsidR="004434E3" w:rsidRPr="00DE1DFC">
        <w:t>and consumer comprehension</w:t>
      </w:r>
      <w:r w:rsidR="001605B5">
        <w:t>,</w:t>
      </w:r>
      <w:r w:rsidR="00E41B98" w:rsidRPr="00DE1DFC">
        <w:t xml:space="preserve"> </w:t>
      </w:r>
      <w:r w:rsidR="00556F51">
        <w:t xml:space="preserve">as </w:t>
      </w:r>
      <w:r w:rsidR="00E41B98" w:rsidRPr="00D55EB1">
        <w:t xml:space="preserve">bundled consents inherently </w:t>
      </w:r>
      <w:r w:rsidR="00E41B98" w:rsidRPr="00F3484D">
        <w:t>do</w:t>
      </w:r>
      <w:r w:rsidR="00E41B98" w:rsidRPr="00D55EB1">
        <w:t xml:space="preserve"> not </w:t>
      </w:r>
      <w:r w:rsidR="00E41B98" w:rsidRPr="00F3484D">
        <w:t>provide</w:t>
      </w:r>
      <w:r w:rsidR="00E41B98" w:rsidRPr="00D55EB1">
        <w:t xml:space="preserve"> a consumer </w:t>
      </w:r>
      <w:r w:rsidR="00E41B98" w:rsidRPr="00F3484D">
        <w:t>opportunity to</w:t>
      </w:r>
      <w:r w:rsidR="00E41B98" w:rsidRPr="00D55EB1">
        <w:t xml:space="preserve"> choose </w:t>
      </w:r>
      <w:r w:rsidR="00E41B98" w:rsidRPr="00D55EB1">
        <w:lastRenderedPageBreak/>
        <w:t xml:space="preserve">which ones they consent to and which they </w:t>
      </w:r>
      <w:r w:rsidR="00E41B98">
        <w:t>do not</w:t>
      </w:r>
      <w:r w:rsidR="00E41B98" w:rsidRPr="00D55EB1">
        <w:t>.</w:t>
      </w:r>
      <w:r w:rsidR="00E41B98">
        <w:t xml:space="preserve"> </w:t>
      </w:r>
      <w:r w:rsidR="00E41B98" w:rsidRPr="00F3484D">
        <w:t>This</w:t>
      </w:r>
      <w:r w:rsidR="00E41B98" w:rsidRPr="00D55EB1">
        <w:rPr>
          <w:szCs w:val="22"/>
        </w:rPr>
        <w:t xml:space="preserve"> is only one </w:t>
      </w:r>
      <w:r w:rsidR="00E41B98" w:rsidRPr="006027C7">
        <w:rPr>
          <w:szCs w:val="22"/>
        </w:rPr>
        <w:t>potential option and may only be applicable in some circumstances. In any scenario, changes to the rules would be needed</w:t>
      </w:r>
      <w:r w:rsidR="00E41B98" w:rsidRPr="006027C7">
        <w:rPr>
          <w:bCs/>
          <w:szCs w:val="22"/>
        </w:rPr>
        <w:t xml:space="preserve"> (</w:t>
      </w:r>
      <w:r w:rsidR="00E41B98" w:rsidRPr="006027C7">
        <w:rPr>
          <w:szCs w:val="22"/>
        </w:rPr>
        <w:t xml:space="preserve">see </w:t>
      </w:r>
      <w:r w:rsidR="009444A1" w:rsidRPr="006027C7">
        <w:rPr>
          <w:szCs w:val="22"/>
        </w:rPr>
        <w:t>Part 4</w:t>
      </w:r>
      <w:r w:rsidR="00E41B98" w:rsidRPr="006027C7">
        <w:rPr>
          <w:bCs/>
          <w:szCs w:val="22"/>
        </w:rPr>
        <w:t xml:space="preserve">) </w:t>
      </w:r>
      <w:r w:rsidR="00E41B98" w:rsidRPr="006027C7">
        <w:rPr>
          <w:szCs w:val="22"/>
        </w:rPr>
        <w:t xml:space="preserve">and care must be taken to ensure any changes do not undermine the </w:t>
      </w:r>
      <w:r w:rsidR="007B617F" w:rsidRPr="006027C7">
        <w:rPr>
          <w:szCs w:val="22"/>
        </w:rPr>
        <w:t>consumer</w:t>
      </w:r>
      <w:r w:rsidR="00B26273" w:rsidRPr="006027C7">
        <w:rPr>
          <w:szCs w:val="22"/>
        </w:rPr>
        <w:t>’</w:t>
      </w:r>
      <w:r w:rsidR="007B617F" w:rsidRPr="006027C7">
        <w:rPr>
          <w:szCs w:val="22"/>
        </w:rPr>
        <w:t xml:space="preserve">s informed </w:t>
      </w:r>
      <w:r w:rsidR="00E41B98" w:rsidRPr="006027C7">
        <w:rPr>
          <w:szCs w:val="22"/>
        </w:rPr>
        <w:t>consent</w:t>
      </w:r>
      <w:r w:rsidR="00A252DB" w:rsidRPr="006027C7">
        <w:rPr>
          <w:szCs w:val="22"/>
        </w:rPr>
        <w:t>.</w:t>
      </w:r>
    </w:p>
    <w:p w14:paraId="0AB6CB3E" w14:textId="70512E0A" w:rsidR="00265FE3" w:rsidRDefault="00265FE3" w:rsidP="00790CC4">
      <w:r w:rsidRPr="006027C7">
        <w:t>Concern around consumer requirements has also been heard from consumer advocates – a submission from the Financial Rights Legal Centre (endorsed by the Consumer Action Law Centre and supported by the Public Interest Advocacy Centre) suggests there is a risk</w:t>
      </w:r>
      <w:r w:rsidR="001605B5" w:rsidRPr="006027C7">
        <w:t xml:space="preserve"> that</w:t>
      </w:r>
      <w:r w:rsidRPr="006027C7">
        <w:t xml:space="preserve"> the</w:t>
      </w:r>
      <w:r w:rsidRPr="006027C7" w:rsidDel="001A213F">
        <w:t xml:space="preserve"> </w:t>
      </w:r>
      <w:r w:rsidR="00F07A9E" w:rsidRPr="006027C7">
        <w:t>CDR’s</w:t>
      </w:r>
      <w:r w:rsidR="00F07A9E">
        <w:t xml:space="preserve"> </w:t>
      </w:r>
      <w:r>
        <w:t xml:space="preserve">complexity </w:t>
      </w:r>
      <w:r w:rsidR="00F07A9E">
        <w:t xml:space="preserve">could </w:t>
      </w:r>
      <w:r>
        <w:t xml:space="preserve">undermine a genuine consent process, </w:t>
      </w:r>
      <w:r w:rsidR="00F07A9E">
        <w:t>with a resultant risk that</w:t>
      </w:r>
      <w:r>
        <w:t xml:space="preserve"> “</w:t>
      </w:r>
      <w:r w:rsidRPr="00383A01">
        <w:t>CDR consent in this context essentially falls back to the much maligned tick and flick settings that the CDR was meant to resolve”.</w:t>
      </w:r>
    </w:p>
    <w:p w14:paraId="56D1AD2D" w14:textId="5BFE50C6" w:rsidR="00265FE3" w:rsidRDefault="00265FE3" w:rsidP="00790CC4">
      <w:r>
        <w:t>Unless further consideration is given to improving the consumer experience</w:t>
      </w:r>
      <w:r w:rsidR="00E707FF">
        <w:t>,</w:t>
      </w:r>
      <w:r>
        <w:t xml:space="preserve"> consumers will become fatigued in their interactions within the CDR ecosystem</w:t>
      </w:r>
      <w:r w:rsidR="00E707FF">
        <w:t xml:space="preserve"> and</w:t>
      </w:r>
      <w:r>
        <w:t xml:space="preserve"> drop out </w:t>
      </w:r>
      <w:r w:rsidR="00E707FF">
        <w:t>before</w:t>
      </w:r>
      <w:r>
        <w:t xml:space="preserve"> obtaining value</w:t>
      </w:r>
      <w:r w:rsidR="00E707FF">
        <w:t>.</w:t>
      </w:r>
      <w:r>
        <w:t xml:space="preserve"> </w:t>
      </w:r>
      <w:r w:rsidR="00E707FF">
        <w:t xml:space="preserve">This, in turn, </w:t>
      </w:r>
      <w:r>
        <w:t>will reduce the adoption of CDR</w:t>
      </w:r>
      <w:r w:rsidR="00E707FF">
        <w:t>-</w:t>
      </w:r>
      <w:r>
        <w:t>powered products and increas</w:t>
      </w:r>
      <w:r w:rsidR="00E707FF">
        <w:t>e</w:t>
      </w:r>
      <w:r>
        <w:t xml:space="preserve"> the disincentive for participants to invest in innovative products and services.</w:t>
      </w:r>
    </w:p>
    <w:p w14:paraId="1F589F02" w14:textId="5C7E6AE1" w:rsidR="00265FE3" w:rsidRDefault="00265FE3" w:rsidP="0063544C">
      <w:pPr>
        <w:pStyle w:val="Quote"/>
      </w:pPr>
      <w:r w:rsidRPr="00790CC4">
        <w:t>“If consumers have poor experiences in open banking, there is a risk to future implementation across the economy. Consumer uptake will be essential to economy-wide expansion. A core concern of our members is the friction of consent being too great.”</w:t>
      </w:r>
      <w:r w:rsidRPr="00383A01">
        <w:t xml:space="preserve"> </w:t>
      </w:r>
      <w:r w:rsidRPr="00F3484D">
        <w:rPr>
          <w:b/>
        </w:rPr>
        <w:t>– FinTech Australia</w:t>
      </w:r>
    </w:p>
    <w:p w14:paraId="25D8D7A9" w14:textId="6A117F46" w:rsidR="00265FE3" w:rsidRPr="00F3484D" w:rsidRDefault="00265FE3" w:rsidP="0063544C">
      <w:pPr>
        <w:pStyle w:val="Quote"/>
        <w:rPr>
          <w:b/>
        </w:rPr>
      </w:pPr>
      <w:r w:rsidRPr="00790CC4">
        <w:t>“This flow appears designed to deliberately reduce the likelihood that a consumer will take advantage of data sharing. As a result, some TCA members have been reluctant to invest in developing services using CDR data”</w:t>
      </w:r>
      <w:r>
        <w:t xml:space="preserve"> </w:t>
      </w:r>
      <w:r w:rsidRPr="00F3484D">
        <w:rPr>
          <w:b/>
        </w:rPr>
        <w:t>– Tech Council Australia</w:t>
      </w:r>
    </w:p>
    <w:p w14:paraId="44B7F785" w14:textId="6636FA5F" w:rsidR="00923E8C" w:rsidRPr="00F3484D" w:rsidRDefault="00923E8C" w:rsidP="00923E8C">
      <w:r w:rsidRPr="00F3484D">
        <w:t>Furthermore</w:t>
      </w:r>
      <w:r w:rsidR="009A1EBB" w:rsidRPr="00F3484D">
        <w:t>,</w:t>
      </w:r>
      <w:r w:rsidRPr="00F3484D">
        <w:t xml:space="preserve"> submissions to the Review noted the current disclosure and consent model of CDR is inadequate to fully inform consumers of potential privacy risk, given the comprehensiveness of the consent requirements. </w:t>
      </w:r>
    </w:p>
    <w:p w14:paraId="6509A996" w14:textId="75F67C8E" w:rsidR="00923E8C" w:rsidRPr="00F3484D" w:rsidRDefault="00923E8C" w:rsidP="0063544C">
      <w:pPr>
        <w:pStyle w:val="Quote"/>
        <w:rPr>
          <w:szCs w:val="22"/>
        </w:rPr>
      </w:pPr>
      <w:r w:rsidRPr="00F3484D">
        <w:rPr>
          <w:szCs w:val="22"/>
        </w:rPr>
        <w:t xml:space="preserve">“Therein lies the risk for consumers – that the complexity will lead to them to choose not to engage with the consent system enough to truly know and understand what they are consenting to.” </w:t>
      </w:r>
      <w:r w:rsidRPr="00F3484D">
        <w:rPr>
          <w:b/>
          <w:szCs w:val="22"/>
        </w:rPr>
        <w:t>– Financial Rights Legal Centre</w:t>
      </w:r>
    </w:p>
    <w:p w14:paraId="6F049193" w14:textId="7CB27575" w:rsidR="00116022" w:rsidRPr="00D116C2" w:rsidRDefault="00923E8C" w:rsidP="00923E8C">
      <w:pPr>
        <w:rPr>
          <w:highlight w:val="green"/>
        </w:rPr>
      </w:pPr>
      <w:r w:rsidRPr="00F3484D">
        <w:rPr>
          <w:szCs w:val="22"/>
        </w:rPr>
        <w:t xml:space="preserve">Extensive consent requirements can perversely inhibit a consumer’s understanding of what they are consenting to, and complicated consent processes can also deter consumers from engaging with CDR products and services. </w:t>
      </w:r>
    </w:p>
    <w:p w14:paraId="627DE93E" w14:textId="77777777" w:rsidR="00E17E29" w:rsidRDefault="00E17E29" w:rsidP="00E17E29"/>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E17E29" w14:paraId="53D72073" w14:textId="77777777" w:rsidTr="002161DB">
        <w:tc>
          <w:tcPr>
            <w:tcW w:w="5000" w:type="pct"/>
            <w:shd w:val="clear" w:color="auto" w:fill="F2F9FC"/>
            <w:hideMark/>
          </w:tcPr>
          <w:p w14:paraId="1369E520" w14:textId="77777777" w:rsidR="00E17E29" w:rsidRPr="00CE4B29" w:rsidRDefault="00E17E29" w:rsidP="0063544C">
            <w:pPr>
              <w:pStyle w:val="BoxHeading"/>
            </w:pPr>
            <w:r w:rsidRPr="00CE4B29">
              <w:t>Finding 2.2</w:t>
            </w:r>
          </w:p>
          <w:p w14:paraId="6087C681" w14:textId="66A27AB5" w:rsidR="00E17E29" w:rsidRDefault="000B422A" w:rsidP="0063544C">
            <w:pPr>
              <w:pStyle w:val="BoxText"/>
            </w:pPr>
            <w:r w:rsidRPr="00CE4B29">
              <w:rPr>
                <w:color w:val="2C384A" w:themeColor="accent1"/>
              </w:rPr>
              <w:t>The consent process is central to CDR’s realisation of informed consumer decision making and delivery of consumer benefits. Complex consent processes may limit participation in the CDR and contribute to ‘consent fatigue’, which may undermine genuine consumer consent. As the CDR evolves, the consent process should be monitored and adjusted to ensure benefits are realised, and as the CDR expands to include actions and payments, further consideration should be given to other consent models, such as bundling of consents.</w:t>
            </w:r>
          </w:p>
        </w:tc>
      </w:tr>
    </w:tbl>
    <w:p w14:paraId="0AD63043" w14:textId="36EC4541" w:rsidR="00265FE3" w:rsidRDefault="00265FE3" w:rsidP="00DA5329">
      <w:pPr>
        <w:pStyle w:val="ListParagraph"/>
        <w:spacing w:after="0"/>
        <w:ind w:left="0"/>
        <w:contextualSpacing w:val="0"/>
        <w:rPr>
          <w:highlight w:val="green"/>
        </w:rPr>
      </w:pPr>
    </w:p>
    <w:p w14:paraId="6638B29D" w14:textId="6FD11496" w:rsidR="00B04583" w:rsidRPr="00B04583" w:rsidRDefault="00B04583" w:rsidP="00790CC4">
      <w:r>
        <w:lastRenderedPageBreak/>
        <w:t xml:space="preserve">As the CDR continues to build momentum expanding in both functionality and sectors, it is expected that many consumers will access the CDR via multiple applications provided by their service providers, such as a bank or energy provider, a third party fintech, or a combination of both. It is easy to see how the average consumer may lose track and become overwhelmed if managing multiple consents across multiple applications and across various sectors that also differ in format. This has also been raised in the Future Directions </w:t>
      </w:r>
      <w:r w:rsidRPr="00F3484D">
        <w:t>Inquiry</w:t>
      </w:r>
      <w:r>
        <w:t>,</w:t>
      </w:r>
      <w:r w:rsidRPr="00383A01">
        <w:rPr>
          <w:i/>
        </w:rPr>
        <w:t xml:space="preserve"> </w:t>
      </w:r>
      <w:r>
        <w:t>along with the joint submission by the Chartered Accountants Australia and New Zealand, CPA Australia and the Institute of Public Accounts and a submission from FDATA ANZ, and so consideration could be given to improving the long term experience of consumers in the CDR ecosystem by providing a consolidated consumer dashboard</w:t>
      </w:r>
      <w:r w:rsidDel="007B7D02">
        <w:t xml:space="preserve"> </w:t>
      </w:r>
      <w:r>
        <w:t>to track and manage consents, with appropriate consideration given to potential risks and burdens on participants.</w:t>
      </w:r>
    </w:p>
    <w:p w14:paraId="5005125F" w14:textId="1F356D63" w:rsidR="00B04583" w:rsidRPr="00DE1DFC" w:rsidRDefault="00B04583" w:rsidP="00B04583">
      <w:pPr>
        <w:pStyle w:val="Heading2"/>
      </w:pPr>
      <w:bookmarkStart w:id="100" w:name="_Toc110602885"/>
      <w:r w:rsidRPr="00B04583">
        <w:t>2.</w:t>
      </w:r>
      <w:r w:rsidR="003D3435">
        <w:t>8</w:t>
      </w:r>
      <w:r w:rsidRPr="00B04583">
        <w:t xml:space="preserve"> </w:t>
      </w:r>
      <w:r w:rsidR="009444A1" w:rsidRPr="00DE1DFC">
        <w:t>Complexity of rules and standards</w:t>
      </w:r>
      <w:bookmarkEnd w:id="100"/>
    </w:p>
    <w:p w14:paraId="096D30EC" w14:textId="0F00B6D1" w:rsidR="00FD093E" w:rsidRPr="006027C7" w:rsidRDefault="00FD093E" w:rsidP="00790CC4">
      <w:r w:rsidRPr="00DE1DFC">
        <w:t>Many participants also noted that, aside from the consultation processes, the rules and standards had also not been implemented in a way that was appropriate to their business needs. Stakeholders felt that there was an assumption, upon release of rules and standards, that there were technical experts waiting at their computers for the latest implementation updates.</w:t>
      </w:r>
      <w:r w:rsidRPr="00DE1DFC" w:rsidDel="0082589B">
        <w:t xml:space="preserve"> </w:t>
      </w:r>
      <w:r w:rsidRPr="00DE1DFC">
        <w:t xml:space="preserve">This experience was exacerbated </w:t>
      </w:r>
      <w:r w:rsidR="0051332B">
        <w:t>by</w:t>
      </w:r>
      <w:r w:rsidRPr="00DE1DFC">
        <w:t xml:space="preserve"> concurrent consultations and updates to both rules and standards which made the CDR rollout a very demanding process for stakeholders (see </w:t>
      </w:r>
      <w:r w:rsidRPr="006027C7">
        <w:t xml:space="preserve">also section 1.5). </w:t>
      </w:r>
    </w:p>
    <w:p w14:paraId="442732F9" w14:textId="76D01C1C" w:rsidR="00265FE3" w:rsidRPr="006027C7" w:rsidRDefault="00265FE3" w:rsidP="00790CC4">
      <w:r w:rsidRPr="006027C7">
        <w:t xml:space="preserve">The complex and, according to one participant, </w:t>
      </w:r>
      <w:r w:rsidR="00940119" w:rsidRPr="006027C7">
        <w:t>“</w:t>
      </w:r>
      <w:r w:rsidRPr="006027C7">
        <w:t>overly prescriptive</w:t>
      </w:r>
      <w:r w:rsidR="00940119" w:rsidRPr="006027C7">
        <w:t>”</w:t>
      </w:r>
      <w:r w:rsidRPr="006027C7">
        <w:t xml:space="preserve"> rules and standards </w:t>
      </w:r>
      <w:r w:rsidR="00940119" w:rsidRPr="006027C7">
        <w:t>may risk</w:t>
      </w:r>
      <w:r w:rsidRPr="006027C7">
        <w:t xml:space="preserve"> participants </w:t>
      </w:r>
      <w:r w:rsidR="00940119" w:rsidRPr="006027C7">
        <w:t>finding it difficult</w:t>
      </w:r>
      <w:r w:rsidRPr="006027C7">
        <w:t xml:space="preserve"> to meet the requirements set out for all products and services. The ABA noted in </w:t>
      </w:r>
      <w:r w:rsidR="00940119" w:rsidRPr="006027C7">
        <w:t xml:space="preserve">its </w:t>
      </w:r>
      <w:r w:rsidRPr="006027C7">
        <w:t xml:space="preserve">submission “that regulation of the CDR should not be used to drive homogenous outcomes in products and should instead encourage and enable data holders to innovate”. </w:t>
      </w:r>
      <w:r w:rsidR="00A83459" w:rsidRPr="006027C7">
        <w:t xml:space="preserve">A submission from EnergyAustralia </w:t>
      </w:r>
      <w:r w:rsidR="00940119" w:rsidRPr="006027C7">
        <w:t>noted</w:t>
      </w:r>
      <w:r w:rsidR="00A83459" w:rsidRPr="006027C7">
        <w:t xml:space="preserve"> the same was true of the energy sector.</w:t>
      </w:r>
      <w:r w:rsidRPr="006027C7">
        <w:t xml:space="preserve"> </w:t>
      </w:r>
      <w:r w:rsidR="004A327D" w:rsidRPr="006027C7">
        <w:t xml:space="preserve">The Review heard </w:t>
      </w:r>
      <w:r w:rsidR="00E640B6" w:rsidRPr="006027C7">
        <w:t xml:space="preserve">from participants </w:t>
      </w:r>
      <w:r w:rsidR="004A327D" w:rsidRPr="006027C7">
        <w:t>concern</w:t>
      </w:r>
      <w:r w:rsidR="00E640B6" w:rsidRPr="006027C7">
        <w:t>ed</w:t>
      </w:r>
      <w:r w:rsidRPr="006027C7" w:rsidDel="004A327D">
        <w:t xml:space="preserve"> </w:t>
      </w:r>
      <w:r w:rsidR="004A327D" w:rsidRPr="006027C7">
        <w:t xml:space="preserve">that the </w:t>
      </w:r>
      <w:r w:rsidR="00E640B6" w:rsidRPr="006027C7">
        <w:t>overly prescriptive</w:t>
      </w:r>
      <w:r w:rsidRPr="006027C7">
        <w:t xml:space="preserve"> </w:t>
      </w:r>
      <w:r w:rsidR="00E640B6" w:rsidRPr="006027C7">
        <w:t xml:space="preserve">standards </w:t>
      </w:r>
      <w:r w:rsidRPr="006027C7">
        <w:t xml:space="preserve">may cause some </w:t>
      </w:r>
      <w:r w:rsidR="00E640B6" w:rsidRPr="006027C7">
        <w:t xml:space="preserve">data holders </w:t>
      </w:r>
      <w:r w:rsidRPr="006027C7">
        <w:t xml:space="preserve">to shift consumers </w:t>
      </w:r>
      <w:r w:rsidR="00940119" w:rsidRPr="006027C7">
        <w:t xml:space="preserve">from </w:t>
      </w:r>
      <w:r w:rsidRPr="006027C7">
        <w:t>bespoke or niche products to standard offerings or</w:t>
      </w:r>
      <w:r w:rsidR="00940119" w:rsidRPr="006027C7">
        <w:t>,</w:t>
      </w:r>
      <w:r w:rsidRPr="006027C7">
        <w:t xml:space="preserve"> alternatively</w:t>
      </w:r>
      <w:r w:rsidR="00940119" w:rsidRPr="006027C7">
        <w:t>,</w:t>
      </w:r>
      <w:r w:rsidRPr="006027C7">
        <w:t xml:space="preserve"> may adjust their products to fit the standards resulting </w:t>
      </w:r>
      <w:r w:rsidR="00940119" w:rsidRPr="006027C7">
        <w:t>in</w:t>
      </w:r>
      <w:r w:rsidRPr="006027C7">
        <w:t xml:space="preserve"> more homogenised offerings across the market, less value for consumer</w:t>
      </w:r>
      <w:r w:rsidR="00940119" w:rsidRPr="006027C7">
        <w:t>s</w:t>
      </w:r>
      <w:r w:rsidRPr="006027C7">
        <w:t xml:space="preserve"> and reduced competition in the marketplace. </w:t>
      </w:r>
    </w:p>
    <w:p w14:paraId="2EDB43E3" w14:textId="5565A41B" w:rsidR="00265FE3" w:rsidRPr="006027C7" w:rsidRDefault="00265FE3" w:rsidP="00790CC4">
      <w:r w:rsidRPr="006027C7">
        <w:t xml:space="preserve">Despite </w:t>
      </w:r>
      <w:r w:rsidR="00940119" w:rsidRPr="006027C7">
        <w:t xml:space="preserve">some of </w:t>
      </w:r>
      <w:r w:rsidRPr="006027C7">
        <w:t>the</w:t>
      </w:r>
      <w:r w:rsidR="00940119" w:rsidRPr="006027C7">
        <w:t>se</w:t>
      </w:r>
      <w:r w:rsidRPr="006027C7">
        <w:t xml:space="preserve"> complexities</w:t>
      </w:r>
      <w:r w:rsidR="00940119" w:rsidRPr="006027C7">
        <w:t>,</w:t>
      </w:r>
      <w:r w:rsidRPr="006027C7">
        <w:t xml:space="preserve"> it was exciting to hear participants speak with optimism about the prospect of becoming an ADR and the introduction of action initiation as the </w:t>
      </w:r>
      <w:r w:rsidR="00940119" w:rsidRPr="006027C7">
        <w:t>“</w:t>
      </w:r>
      <w:r w:rsidRPr="006027C7">
        <w:t>game changer</w:t>
      </w:r>
      <w:r w:rsidR="00940119" w:rsidRPr="006027C7">
        <w:t>”</w:t>
      </w:r>
      <w:r w:rsidRPr="006027C7">
        <w:t xml:space="preserve">, </w:t>
      </w:r>
      <w:r w:rsidR="00940119" w:rsidRPr="006027C7">
        <w:t xml:space="preserve">which also </w:t>
      </w:r>
      <w:r w:rsidRPr="006027C7">
        <w:t>highlight</w:t>
      </w:r>
      <w:r w:rsidR="00940119" w:rsidRPr="006027C7">
        <w:t xml:space="preserve">ed the point that </w:t>
      </w:r>
      <w:r w:rsidRPr="006027C7">
        <w:t xml:space="preserve">benefits will be realised </w:t>
      </w:r>
      <w:r w:rsidR="00940119" w:rsidRPr="006027C7">
        <w:t xml:space="preserve">only </w:t>
      </w:r>
      <w:r w:rsidRPr="006027C7">
        <w:t xml:space="preserve">at </w:t>
      </w:r>
      <w:r w:rsidR="00940119" w:rsidRPr="006027C7">
        <w:t xml:space="preserve">that </w:t>
      </w:r>
      <w:r w:rsidRPr="006027C7">
        <w:t xml:space="preserve">point. </w:t>
      </w:r>
      <w:r w:rsidR="00940119" w:rsidRPr="006027C7">
        <w:t>To</w:t>
      </w:r>
      <w:r w:rsidRPr="006027C7">
        <w:t xml:space="preserve"> get to this point</w:t>
      </w:r>
      <w:r w:rsidR="00940119" w:rsidRPr="006027C7">
        <w:t>,</w:t>
      </w:r>
      <w:r w:rsidRPr="006027C7">
        <w:t xml:space="preserve"> the system will need appropriate time to breathe and mature. The CDR is on the right path to providing certainty to participants</w:t>
      </w:r>
      <w:r w:rsidR="00940119" w:rsidRPr="006027C7">
        <w:t>, which, in turn,</w:t>
      </w:r>
      <w:r w:rsidRPr="006027C7">
        <w:t xml:space="preserve"> </w:t>
      </w:r>
      <w:r w:rsidR="00940119" w:rsidRPr="006027C7">
        <w:t>gives</w:t>
      </w:r>
      <w:r w:rsidRPr="006027C7">
        <w:t xml:space="preserve"> them the time to transition from being solely focussed on compliance to innovation and new product development. </w:t>
      </w:r>
    </w:p>
    <w:p w14:paraId="17BD427E" w14:textId="6F75FC3C" w:rsidR="00265FE3" w:rsidRPr="006027C7" w:rsidRDefault="00265FE3" w:rsidP="0063544C">
      <w:pPr>
        <w:pStyle w:val="Quote"/>
      </w:pPr>
      <w:r w:rsidRPr="006027C7">
        <w:t xml:space="preserve">“We acknowledge that the implementation of CDR to date has been driven largely by compliance, and recognise that as the CDR matures and stabilises, the development of more strategic customer value propositions will emerge” </w:t>
      </w:r>
      <w:r w:rsidRPr="006027C7">
        <w:rPr>
          <w:b/>
        </w:rPr>
        <w:t>– Commonwealth Bank of Australia</w:t>
      </w:r>
    </w:p>
    <w:p w14:paraId="52ACA4AE" w14:textId="77777777" w:rsidR="00265FE3" w:rsidRPr="006027C7" w:rsidRDefault="00265FE3" w:rsidP="0063544C">
      <w:pPr>
        <w:pStyle w:val="ListParagraph"/>
        <w:spacing w:before="0" w:after="0"/>
        <w:ind w:left="0"/>
        <w:contextualSpacing w:val="0"/>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B04583" w:rsidRPr="006027C7" w14:paraId="34F04783" w14:textId="77777777" w:rsidTr="008E6E44">
        <w:tc>
          <w:tcPr>
            <w:tcW w:w="5000" w:type="pct"/>
            <w:shd w:val="clear" w:color="auto" w:fill="F2F9FC"/>
            <w:hideMark/>
          </w:tcPr>
          <w:p w14:paraId="6CC62AC0" w14:textId="28D35D2D" w:rsidR="00B04583" w:rsidRPr="00CE4B29" w:rsidRDefault="00B04583" w:rsidP="0063544C">
            <w:pPr>
              <w:pStyle w:val="BoxHeading"/>
            </w:pPr>
            <w:r w:rsidRPr="00CE4B29">
              <w:lastRenderedPageBreak/>
              <w:t>Finding 2.</w:t>
            </w:r>
            <w:r w:rsidR="009444A1" w:rsidRPr="00CE4B29">
              <w:t>3</w:t>
            </w:r>
          </w:p>
          <w:p w14:paraId="0962F8D2" w14:textId="66E66A17" w:rsidR="00B04583" w:rsidRPr="006027C7" w:rsidRDefault="00B04583" w:rsidP="0063544C">
            <w:pPr>
              <w:pStyle w:val="BoxText"/>
            </w:pPr>
            <w:r w:rsidRPr="00CE4B29">
              <w:rPr>
                <w:color w:val="2C384A" w:themeColor="accent1"/>
              </w:rPr>
              <w:t xml:space="preserve">The Review heard from participants that </w:t>
            </w:r>
            <w:r w:rsidR="00526467" w:rsidRPr="00CE4B29">
              <w:rPr>
                <w:color w:val="2C384A" w:themeColor="accent1"/>
              </w:rPr>
              <w:t>their experience in</w:t>
            </w:r>
            <w:r w:rsidRPr="00CE4B29">
              <w:rPr>
                <w:color w:val="2C384A" w:themeColor="accent1"/>
              </w:rPr>
              <w:t xml:space="preserve"> the </w:t>
            </w:r>
            <w:r w:rsidR="00526467" w:rsidRPr="00CE4B29">
              <w:rPr>
                <w:color w:val="2C384A" w:themeColor="accent1"/>
              </w:rPr>
              <w:t>CDR has been compliance focussed</w:t>
            </w:r>
            <w:r w:rsidR="008331AB" w:rsidRPr="00CE4B29">
              <w:rPr>
                <w:color w:val="2C384A" w:themeColor="accent1"/>
              </w:rPr>
              <w:t xml:space="preserve"> to </w:t>
            </w:r>
            <w:r w:rsidR="00526467" w:rsidRPr="00CE4B29">
              <w:rPr>
                <w:color w:val="2C384A" w:themeColor="accent1"/>
              </w:rPr>
              <w:t>date</w:t>
            </w:r>
            <w:r w:rsidR="00257721" w:rsidRPr="00CE4B29">
              <w:rPr>
                <w:color w:val="2C384A" w:themeColor="accent1"/>
              </w:rPr>
              <w:t>. C</w:t>
            </w:r>
            <w:r w:rsidR="00526467" w:rsidRPr="00CE4B29">
              <w:rPr>
                <w:color w:val="2C384A" w:themeColor="accent1"/>
              </w:rPr>
              <w:t>oncern</w:t>
            </w:r>
            <w:r w:rsidR="00257721" w:rsidRPr="00CE4B29">
              <w:rPr>
                <w:color w:val="2C384A" w:themeColor="accent1"/>
              </w:rPr>
              <w:t>s were raised</w:t>
            </w:r>
            <w:r w:rsidR="00526467" w:rsidRPr="00CE4B29">
              <w:rPr>
                <w:color w:val="2C384A" w:themeColor="accent1"/>
              </w:rPr>
              <w:t xml:space="preserve"> </w:t>
            </w:r>
            <w:r w:rsidR="00257721" w:rsidRPr="00CE4B29">
              <w:rPr>
                <w:color w:val="2C384A" w:themeColor="accent1"/>
              </w:rPr>
              <w:t xml:space="preserve">by participants </w:t>
            </w:r>
            <w:r w:rsidR="00526467" w:rsidRPr="00CE4B29">
              <w:rPr>
                <w:color w:val="2C384A" w:themeColor="accent1"/>
              </w:rPr>
              <w:t xml:space="preserve">about complex and overly prescriptive rules and standards </w:t>
            </w:r>
            <w:r w:rsidR="00257721" w:rsidRPr="00CE4B29">
              <w:rPr>
                <w:color w:val="2C384A" w:themeColor="accent1"/>
              </w:rPr>
              <w:t xml:space="preserve">that </w:t>
            </w:r>
            <w:r w:rsidR="00776ED1" w:rsidRPr="00CE4B29">
              <w:rPr>
                <w:color w:val="2C384A" w:themeColor="accent1"/>
              </w:rPr>
              <w:t xml:space="preserve">have prevented </w:t>
            </w:r>
            <w:r w:rsidR="00776ED1" w:rsidRPr="00CE4B29" w:rsidDel="00257721">
              <w:rPr>
                <w:color w:val="2C384A" w:themeColor="accent1"/>
              </w:rPr>
              <w:t>them</w:t>
            </w:r>
            <w:r w:rsidR="00776ED1" w:rsidRPr="00CE4B29">
              <w:rPr>
                <w:color w:val="2C384A" w:themeColor="accent1"/>
              </w:rPr>
              <w:t xml:space="preserve"> from focusing on developing new products and services. </w:t>
            </w:r>
            <w:r w:rsidR="006455B9" w:rsidRPr="00CE4B29">
              <w:rPr>
                <w:color w:val="2C384A" w:themeColor="accent1"/>
              </w:rPr>
              <w:t xml:space="preserve">As the system develops and matures, including through the introduction of action initiation, consideration should be given to ways that implementation can reduce the complexity </w:t>
            </w:r>
            <w:r w:rsidR="00DD278A" w:rsidRPr="00CE4B29">
              <w:rPr>
                <w:color w:val="2C384A" w:themeColor="accent1"/>
              </w:rPr>
              <w:t>associated with</w:t>
            </w:r>
            <w:r w:rsidR="006455B9" w:rsidRPr="00CE4B29">
              <w:rPr>
                <w:color w:val="2C384A" w:themeColor="accent1"/>
              </w:rPr>
              <w:t xml:space="preserve"> rules and standards for participants. </w:t>
            </w:r>
          </w:p>
        </w:tc>
      </w:tr>
    </w:tbl>
    <w:p w14:paraId="0477A1D8" w14:textId="75765EE4" w:rsidR="00265FE3" w:rsidRPr="006027C7" w:rsidRDefault="00265FE3" w:rsidP="00265FE3">
      <w:pPr>
        <w:pStyle w:val="Heading2"/>
      </w:pPr>
      <w:bookmarkStart w:id="101" w:name="_Toc110602886"/>
      <w:r w:rsidRPr="006027C7">
        <w:t>2.</w:t>
      </w:r>
      <w:bookmarkStart w:id="102" w:name="_Toc106286092"/>
      <w:bookmarkStart w:id="103" w:name="_Toc106358402"/>
      <w:r w:rsidR="003D3435" w:rsidRPr="006027C7">
        <w:t>9</w:t>
      </w:r>
      <w:r w:rsidRPr="006027C7">
        <w:t xml:space="preserve"> </w:t>
      </w:r>
      <w:bookmarkStart w:id="104" w:name="_Hlk106803411"/>
      <w:r w:rsidR="00B966A3" w:rsidRPr="006027C7">
        <w:t xml:space="preserve">Pathways for </w:t>
      </w:r>
      <w:bookmarkEnd w:id="102"/>
      <w:bookmarkEnd w:id="103"/>
      <w:bookmarkEnd w:id="104"/>
      <w:r w:rsidR="00C5328E" w:rsidRPr="006027C7">
        <w:t xml:space="preserve">CDR </w:t>
      </w:r>
      <w:r w:rsidR="00D301A4" w:rsidRPr="006027C7">
        <w:t>participation</w:t>
      </w:r>
      <w:bookmarkEnd w:id="101"/>
    </w:p>
    <w:p w14:paraId="2014123E" w14:textId="25F28BE9" w:rsidR="00265FE3" w:rsidRPr="006027C7" w:rsidRDefault="00265FE3" w:rsidP="0063544C">
      <w:r w:rsidRPr="006027C7">
        <w:t xml:space="preserve">Submissions suggested that the </w:t>
      </w:r>
      <w:r w:rsidR="006D746A" w:rsidRPr="006027C7">
        <w:t>compliance and liability settings for CDR accreditation and pathways</w:t>
      </w:r>
      <w:r w:rsidR="002A20F7" w:rsidRPr="006027C7">
        <w:t xml:space="preserve"> for</w:t>
      </w:r>
      <w:r w:rsidR="006D746A" w:rsidRPr="006027C7">
        <w:t xml:space="preserve"> participation did not readily incentivise prospective </w:t>
      </w:r>
      <w:r w:rsidR="002A20F7" w:rsidRPr="006027C7">
        <w:t>business participants</w:t>
      </w:r>
      <w:r w:rsidR="006D746A" w:rsidRPr="006027C7">
        <w:t>.</w:t>
      </w:r>
      <w:r w:rsidRPr="006027C7">
        <w:t xml:space="preserve"> </w:t>
      </w:r>
    </w:p>
    <w:p w14:paraId="3D0C859A" w14:textId="77777777" w:rsidR="00265FE3" w:rsidRPr="006027C7" w:rsidRDefault="00265FE3" w:rsidP="0063544C">
      <w:pPr>
        <w:pStyle w:val="Quote"/>
      </w:pPr>
      <w:r w:rsidRPr="006027C7">
        <w:t xml:space="preserve">“Excessive compliance and accreditation burdens within the CDR ecosystem are having the perverse effect of encouraging more activity outside the CDR’s boundaries, ultimately undermining consumer protection and privacy” </w:t>
      </w:r>
      <w:r w:rsidRPr="006027C7">
        <w:rPr>
          <w:b/>
        </w:rPr>
        <w:t>– TrueLayer</w:t>
      </w:r>
    </w:p>
    <w:p w14:paraId="34461860" w14:textId="62458651" w:rsidR="00265FE3" w:rsidRDefault="00265FE3" w:rsidP="00790CC4">
      <w:r w:rsidRPr="006027C7">
        <w:t xml:space="preserve">Introducing tiered accreditation was recommended in the </w:t>
      </w:r>
      <w:r w:rsidR="004E25A1" w:rsidRPr="006027C7">
        <w:t xml:space="preserve">Future Directions </w:t>
      </w:r>
      <w:r w:rsidRPr="006027C7">
        <w:t>Inquiry</w:t>
      </w:r>
      <w:r w:rsidRPr="006027C7">
        <w:rPr>
          <w:i/>
          <w:iCs/>
        </w:rPr>
        <w:t xml:space="preserve"> </w:t>
      </w:r>
      <w:r w:rsidRPr="006027C7">
        <w:t>as one way to reduce costs for prospective participants by offering alternatives to the demanding process of becoming an unrestricted ADR.</w:t>
      </w:r>
      <w:r w:rsidRPr="006027C7">
        <w:rPr>
          <w:rStyle w:val="FootnoteReference"/>
          <w:sz w:val="22"/>
          <w:szCs w:val="24"/>
          <w:vertAlign w:val="superscript"/>
        </w:rPr>
        <w:footnoteReference w:id="28"/>
      </w:r>
      <w:r w:rsidRPr="006027C7">
        <w:t xml:space="preserve"> </w:t>
      </w:r>
      <w:r w:rsidR="00D301A4" w:rsidRPr="006027C7">
        <w:t>Additional access models</w:t>
      </w:r>
      <w:r w:rsidRPr="006027C7">
        <w:t xml:space="preserve"> </w:t>
      </w:r>
      <w:r w:rsidR="00D301A4" w:rsidRPr="006027C7">
        <w:t xml:space="preserve">were </w:t>
      </w:r>
      <w:r w:rsidRPr="006027C7">
        <w:t>introduced to the CDR in version 3 of the Rules, which provided several new pathways to participating in the CDR other than becoming an ADR</w:t>
      </w:r>
      <w:r w:rsidR="00775927" w:rsidRPr="006027C7">
        <w:t xml:space="preserve"> </w:t>
      </w:r>
      <w:r w:rsidR="008F311E" w:rsidRPr="006027C7">
        <w:t>(</w:t>
      </w:r>
      <w:r w:rsidR="00775927" w:rsidRPr="006027C7">
        <w:t>with unrestricted accreditation</w:t>
      </w:r>
      <w:r w:rsidR="008F311E" w:rsidRPr="006027C7">
        <w:t>)</w:t>
      </w:r>
      <w:r w:rsidRPr="006027C7">
        <w:t>, including the CDR representative model and sponsored accreditation</w:t>
      </w:r>
      <w:r w:rsidR="006B456C" w:rsidRPr="006027C7">
        <w:t>,</w:t>
      </w:r>
      <w:r w:rsidRPr="006027C7">
        <w:t xml:space="preserve"> as well as establishing a role for trusted advisers (see Figure 2.2).</w:t>
      </w:r>
    </w:p>
    <w:p w14:paraId="04B9A147" w14:textId="77777777" w:rsidR="006E093A" w:rsidRDefault="006E093A">
      <w:pPr>
        <w:spacing w:before="0" w:after="160" w:line="259" w:lineRule="auto"/>
        <w:rPr>
          <w:i/>
          <w:iCs/>
          <w:sz w:val="18"/>
          <w:szCs w:val="18"/>
        </w:rPr>
      </w:pPr>
      <w:r>
        <w:rPr>
          <w:i/>
          <w:iCs/>
          <w:sz w:val="18"/>
          <w:szCs w:val="18"/>
        </w:rPr>
        <w:br w:type="page"/>
      </w:r>
    </w:p>
    <w:p w14:paraId="0021DD1E" w14:textId="40DB1082" w:rsidR="00265FE3" w:rsidRPr="00790CC4" w:rsidRDefault="00265FE3" w:rsidP="00790CC4">
      <w:pPr>
        <w:rPr>
          <w:i/>
          <w:iCs/>
          <w:sz w:val="18"/>
          <w:szCs w:val="18"/>
        </w:rPr>
      </w:pPr>
      <w:r w:rsidRPr="00790CC4">
        <w:rPr>
          <w:i/>
          <w:iCs/>
          <w:sz w:val="18"/>
          <w:szCs w:val="18"/>
        </w:rPr>
        <w:lastRenderedPageBreak/>
        <w:t xml:space="preserve">Figure 2.2 – Represents </w:t>
      </w:r>
      <w:r w:rsidR="00775927" w:rsidRPr="00790CC4">
        <w:rPr>
          <w:i/>
          <w:iCs/>
          <w:sz w:val="18"/>
          <w:szCs w:val="18"/>
        </w:rPr>
        <w:t xml:space="preserve">the </w:t>
      </w:r>
      <w:r w:rsidRPr="00790CC4">
        <w:rPr>
          <w:i/>
          <w:iCs/>
          <w:sz w:val="18"/>
          <w:szCs w:val="18"/>
        </w:rPr>
        <w:t xml:space="preserve">data flow through the different </w:t>
      </w:r>
      <w:r w:rsidR="00C5328E" w:rsidRPr="00790CC4">
        <w:rPr>
          <w:i/>
          <w:iCs/>
          <w:sz w:val="18"/>
          <w:szCs w:val="18"/>
        </w:rPr>
        <w:t>access models</w:t>
      </w:r>
      <w:r w:rsidRPr="00790CC4">
        <w:rPr>
          <w:i/>
          <w:iCs/>
          <w:sz w:val="18"/>
          <w:szCs w:val="18"/>
        </w:rPr>
        <w:t xml:space="preserve"> </w:t>
      </w:r>
    </w:p>
    <w:p w14:paraId="2E2C6AE4" w14:textId="5D38CC2D" w:rsidR="00265FE3" w:rsidRDefault="001B148A" w:rsidP="00AA4C8B">
      <w:pPr>
        <w:pStyle w:val="ListParagraph"/>
        <w:keepNext/>
        <w:spacing w:after="0"/>
        <w:ind w:left="0"/>
        <w:contextualSpacing w:val="0"/>
      </w:pPr>
      <w:r>
        <w:rPr>
          <w:noProof/>
        </w:rPr>
        <w:drawing>
          <wp:inline distT="0" distB="0" distL="0" distR="0" wp14:anchorId="30F85BF3" wp14:editId="44D657B0">
            <wp:extent cx="5749442" cy="414302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7497" cy="4148827"/>
                    </a:xfrm>
                    <a:prstGeom prst="rect">
                      <a:avLst/>
                    </a:prstGeom>
                  </pic:spPr>
                </pic:pic>
              </a:graphicData>
            </a:graphic>
          </wp:inline>
        </w:drawing>
      </w:r>
    </w:p>
    <w:p w14:paraId="790D7FFF" w14:textId="77777777" w:rsidR="00265FE3" w:rsidRDefault="00265FE3" w:rsidP="00265FE3">
      <w:pPr>
        <w:pStyle w:val="ListParagraph"/>
        <w:spacing w:after="0"/>
        <w:ind w:left="0"/>
        <w:contextualSpacing w:val="0"/>
      </w:pPr>
    </w:p>
    <w:p w14:paraId="15F459B1" w14:textId="1B71D7AF" w:rsidR="00265FE3" w:rsidRDefault="00265FE3" w:rsidP="00790CC4">
      <w:r>
        <w:t xml:space="preserve">While these pathways to participation have created more options for prospective CDR participants, some have suggested that revision is needed for </w:t>
      </w:r>
      <w:r w:rsidR="006B456C">
        <w:t>such</w:t>
      </w:r>
      <w:r>
        <w:t xml:space="preserve"> pathways to be fit-for-purpose.</w:t>
      </w:r>
    </w:p>
    <w:p w14:paraId="56E1DDC5" w14:textId="7320F893" w:rsidR="00265FE3" w:rsidRDefault="00265FE3" w:rsidP="00AA4C8B">
      <w:pPr>
        <w:pStyle w:val="Quote"/>
      </w:pPr>
      <w:r>
        <w:t>“</w:t>
      </w:r>
      <w:r w:rsidRPr="00E514AE">
        <w:t>Trying to gain accreditation or rely on another entity’s accreditation has become an enormous task due to the liability framework and the different accreditation models have not made a large difference</w:t>
      </w:r>
      <w:r>
        <w:t xml:space="preserve">” </w:t>
      </w:r>
      <w:r w:rsidRPr="00F3484D">
        <w:rPr>
          <w:b/>
        </w:rPr>
        <w:t>– Envestnet | Yodlee</w:t>
      </w:r>
    </w:p>
    <w:p w14:paraId="439839FE" w14:textId="2DC87C4F" w:rsidR="008F7C73" w:rsidRPr="00DE1DFC" w:rsidRDefault="002F2565" w:rsidP="00265FE3">
      <w:r>
        <w:t>T</w:t>
      </w:r>
      <w:r w:rsidR="00265FE3">
        <w:t>he representative model</w:t>
      </w:r>
      <w:r w:rsidR="00247B76">
        <w:t>, where a CDR Principal take</w:t>
      </w:r>
      <w:r w:rsidR="00DC42FE">
        <w:t>s</w:t>
      </w:r>
      <w:r w:rsidR="00247B76">
        <w:t xml:space="preserve"> on the liability for a CDR rep</w:t>
      </w:r>
      <w:r w:rsidR="00F6204D">
        <w:t>re</w:t>
      </w:r>
      <w:r w:rsidR="00247B76">
        <w:t>sentative,</w:t>
      </w:r>
      <w:r w:rsidR="00265FE3">
        <w:t xml:space="preserve"> has the potential to expand the number of products and services powered by the CDR</w:t>
      </w:r>
      <w:r w:rsidR="00247B76">
        <w:t>.</w:t>
      </w:r>
      <w:r>
        <w:t xml:space="preserve"> This has been borne out in experience, where there are now almost as many CDR representatives as there are ADRs in the CDR ecosystem.</w:t>
      </w:r>
      <w:r w:rsidR="00265FE3">
        <w:t xml:space="preserve"> However</w:t>
      </w:r>
      <w:r w:rsidR="00384FF0">
        <w:t>,</w:t>
      </w:r>
      <w:r w:rsidR="00265FE3">
        <w:t xml:space="preserve"> this model also introduces risks to CDR Principals </w:t>
      </w:r>
      <w:r w:rsidR="0019382C">
        <w:t xml:space="preserve">that </w:t>
      </w:r>
      <w:r w:rsidR="00265FE3">
        <w:t xml:space="preserve">may have adverse effects on the CDR ecosystem. </w:t>
      </w:r>
      <w:r w:rsidR="0019382C">
        <w:t>A</w:t>
      </w:r>
      <w:r w:rsidR="00265FE3">
        <w:t xml:space="preserve"> submission from illion</w:t>
      </w:r>
      <w:r w:rsidR="0019382C">
        <w:t xml:space="preserve"> </w:t>
      </w:r>
      <w:r w:rsidR="00265FE3">
        <w:t xml:space="preserve">suggested that large firms will be unwilling to “take on a large number of </w:t>
      </w:r>
      <w:r w:rsidR="00265FE3" w:rsidRPr="00DE1DFC">
        <w:t xml:space="preserve">representatives due to the liability risk of non-compliance, as well as the reputational risk it places on their other business”, </w:t>
      </w:r>
      <w:r w:rsidR="00FA2194" w:rsidRPr="00DE1DFC">
        <w:t xml:space="preserve">potentially encouraging higher risk </w:t>
      </w:r>
      <w:r w:rsidR="007047C1" w:rsidRPr="00DE1DFC">
        <w:t>thresholds and tolerances</w:t>
      </w:r>
      <w:r w:rsidR="00FA2194" w:rsidRPr="00DE1DFC">
        <w:t xml:space="preserve"> from Principals</w:t>
      </w:r>
      <w:r w:rsidR="007047C1" w:rsidRPr="00DE1DFC">
        <w:t xml:space="preserve"> sponsoring</w:t>
      </w:r>
      <w:r w:rsidR="00FA2194" w:rsidRPr="00DE1DFC">
        <w:t xml:space="preserve"> </w:t>
      </w:r>
      <w:r w:rsidR="007047C1" w:rsidRPr="00DE1DFC">
        <w:t>representatives</w:t>
      </w:r>
      <w:r w:rsidR="00FA2194" w:rsidRPr="00DE1DFC">
        <w:t>.</w:t>
      </w:r>
      <w:r w:rsidR="00265FE3" w:rsidRPr="00DE1DFC">
        <w:t xml:space="preserve"> </w:t>
      </w:r>
    </w:p>
    <w:p w14:paraId="17861B7E" w14:textId="77777777" w:rsidR="009372B4" w:rsidRDefault="009372B4">
      <w:pPr>
        <w:spacing w:before="0" w:after="160" w:line="259" w:lineRule="auto"/>
      </w:pPr>
      <w:r>
        <w:br w:type="page"/>
      </w:r>
    </w:p>
    <w:p w14:paraId="7B04AED4" w14:textId="4BA3EFF8" w:rsidR="0050212E" w:rsidRPr="00DE1DFC" w:rsidRDefault="00265FE3" w:rsidP="005055B9">
      <w:r w:rsidRPr="00DE1DFC">
        <w:lastRenderedPageBreak/>
        <w:t>Introducing the representative model to the CDR ecosystem is a step forward</w:t>
      </w:r>
      <w:r w:rsidR="005055B9" w:rsidRPr="00DE1DFC">
        <w:t>,</w:t>
      </w:r>
      <w:r w:rsidRPr="00DE1DFC">
        <w:t xml:space="preserve"> and </w:t>
      </w:r>
      <w:r w:rsidR="005055B9" w:rsidRPr="00DE1DFC">
        <w:t>while</w:t>
      </w:r>
      <w:r w:rsidRPr="00DE1DFC">
        <w:t xml:space="preserve"> liability concerns may be justified</w:t>
      </w:r>
      <w:r w:rsidR="0019382C" w:rsidRPr="00DE1DFC">
        <w:t xml:space="preserve">, </w:t>
      </w:r>
      <w:r w:rsidRPr="00DE1DFC">
        <w:t xml:space="preserve">it is not clear </w:t>
      </w:r>
      <w:r w:rsidR="00384FF0" w:rsidRPr="00DE1DFC">
        <w:t>whether</w:t>
      </w:r>
      <w:r w:rsidRPr="00DE1DFC">
        <w:t xml:space="preserve"> </w:t>
      </w:r>
      <w:r w:rsidR="0019382C" w:rsidRPr="00DE1DFC">
        <w:t xml:space="preserve">there are </w:t>
      </w:r>
      <w:r w:rsidRPr="00DE1DFC">
        <w:t>alternatives</w:t>
      </w:r>
      <w:r w:rsidR="00384FF0" w:rsidRPr="00DE1DFC">
        <w:t xml:space="preserve"> </w:t>
      </w:r>
      <w:r w:rsidR="0019382C" w:rsidRPr="00DE1DFC">
        <w:t>that would</w:t>
      </w:r>
      <w:r w:rsidRPr="00DE1DFC">
        <w:t xml:space="preserve"> do significantly better. </w:t>
      </w:r>
      <w:r w:rsidR="00481883" w:rsidRPr="00DE1DFC">
        <w:t xml:space="preserve">The </w:t>
      </w:r>
      <w:r w:rsidR="00944A84" w:rsidRPr="00DE1DFC">
        <w:t>affiliate/sponsorship</w:t>
      </w:r>
      <w:r w:rsidR="00481883" w:rsidRPr="00DE1DFC">
        <w:t xml:space="preserve"> ADR model has a joint liability model where both a sponsoring ADR and the </w:t>
      </w:r>
      <w:r w:rsidR="00944A84" w:rsidRPr="00DE1DFC">
        <w:t>affiliate</w:t>
      </w:r>
      <w:r w:rsidR="00481883" w:rsidRPr="00DE1DFC">
        <w:t xml:space="preserve"> ADR are both liable for consumer data requests made by the sponsor</w:t>
      </w:r>
      <w:r w:rsidR="004A0E61" w:rsidRPr="00DE1DFC">
        <w:t>ing ADR</w:t>
      </w:r>
      <w:r w:rsidR="00481883" w:rsidRPr="00DE1DFC">
        <w:t xml:space="preserve">. </w:t>
      </w:r>
      <w:r w:rsidR="005055B9" w:rsidRPr="00DE1DFC">
        <w:t xml:space="preserve">In comparison to the representative model, </w:t>
      </w:r>
      <w:r w:rsidR="00521461" w:rsidRPr="00A238A6">
        <w:t>while</w:t>
      </w:r>
      <w:r w:rsidR="00521461">
        <w:t xml:space="preserve"> </w:t>
      </w:r>
      <w:r w:rsidR="005055B9" w:rsidRPr="00DE1DFC">
        <w:t xml:space="preserve">few submissions noted the affiliate/sponsorship model, </w:t>
      </w:r>
      <w:r w:rsidR="004B70BE">
        <w:t>i</w:t>
      </w:r>
      <w:r w:rsidR="005055B9" w:rsidRPr="00DE1DFC">
        <w:t xml:space="preserve">llion’s submission </w:t>
      </w:r>
      <w:r w:rsidR="00521461" w:rsidRPr="00A238A6">
        <w:t>noted</w:t>
      </w:r>
      <w:r w:rsidR="00521461" w:rsidRPr="00521461">
        <w:t xml:space="preserve"> </w:t>
      </w:r>
      <w:r w:rsidR="005055B9" w:rsidRPr="00DE1DFC">
        <w:t>that some non-bank lenders are actively choosing not to engage in this model (or unrestricted accreditation</w:t>
      </w:r>
      <w:r w:rsidR="005055B9" w:rsidRPr="00A238A6">
        <w:t>)</w:t>
      </w:r>
      <w:r w:rsidR="00FA64F1">
        <w:t>.</w:t>
      </w:r>
      <w:r w:rsidR="00C17FC7" w:rsidRPr="00A238A6">
        <w:rPr>
          <w:rStyle w:val="FootnoteReference"/>
          <w:sz w:val="22"/>
          <w:szCs w:val="22"/>
          <w:vertAlign w:val="superscript"/>
        </w:rPr>
        <w:footnoteReference w:id="29"/>
      </w:r>
      <w:r w:rsidR="005055B9" w:rsidRPr="00DE1DFC">
        <w:t xml:space="preserve"> The submission noted many are avoiding this model as it would require them to meet reciprocal data holder obligations, so as an alternative are looking to engage through the representative model. However, to date no non-bank lenders have become CDR representatives. This suggests that other factors besides reciprocal data </w:t>
      </w:r>
      <w:r w:rsidR="008331AB" w:rsidRPr="00DE1DFC">
        <w:t>holder</w:t>
      </w:r>
      <w:r w:rsidR="005055B9" w:rsidRPr="00DE1DFC">
        <w:t xml:space="preserve"> obligations are impeding non-banking lenders from participating in the CDR.</w:t>
      </w:r>
      <w:r w:rsidR="00481883" w:rsidRPr="00DE1DFC">
        <w:t xml:space="preserve"> </w:t>
      </w:r>
    </w:p>
    <w:p w14:paraId="55250850" w14:textId="1278D7E8" w:rsidR="005055B9" w:rsidRPr="00DE1DFC" w:rsidRDefault="0050212E" w:rsidP="005055B9">
      <w:r w:rsidRPr="00DE1DFC">
        <w:t>Noting the recent implementation of the representative (</w:t>
      </w:r>
      <w:r w:rsidR="00CF7B1B">
        <w:t>17 November</w:t>
      </w:r>
      <w:r w:rsidRPr="00DE1DFC">
        <w:t xml:space="preserve"> 2021) and sponsored (1</w:t>
      </w:r>
      <w:r w:rsidR="00CF7B1B">
        <w:t> </w:t>
      </w:r>
      <w:r w:rsidRPr="00DE1DFC">
        <w:t xml:space="preserve">February 2022) accreditation models, the Review suggests time be given to allow for current and potential participants to become </w:t>
      </w:r>
      <w:r w:rsidR="0085512E" w:rsidRPr="00DE1DFC">
        <w:t xml:space="preserve">accustomed </w:t>
      </w:r>
      <w:r w:rsidR="0051332B">
        <w:t>to</w:t>
      </w:r>
      <w:r w:rsidRPr="00DE1DFC">
        <w:t xml:space="preserve"> these avenues </w:t>
      </w:r>
      <w:r w:rsidR="0085512E" w:rsidRPr="00DE1DFC">
        <w:t>for</w:t>
      </w:r>
      <w:r w:rsidRPr="00DE1DFC">
        <w:t xml:space="preserve"> participation before exploring alternatives. If a particular model</w:t>
      </w:r>
      <w:r w:rsidR="00381B91" w:rsidRPr="00DE1DFC">
        <w:t xml:space="preserve"> </w:t>
      </w:r>
      <w:r w:rsidR="0085512E" w:rsidRPr="00DE1DFC">
        <w:t xml:space="preserve">has </w:t>
      </w:r>
      <w:r w:rsidR="00381B91" w:rsidRPr="00DE1DFC">
        <w:t>low uptake</w:t>
      </w:r>
      <w:r w:rsidRPr="00DE1DFC">
        <w:t xml:space="preserve"> </w:t>
      </w:r>
      <w:r w:rsidR="0085512E" w:rsidRPr="00DE1DFC">
        <w:t>(</w:t>
      </w:r>
      <w:r w:rsidRPr="00DE1DFC">
        <w:t>e.g. sponsored accreditation</w:t>
      </w:r>
      <w:r w:rsidR="0085512E" w:rsidRPr="00DE1DFC">
        <w:t>)</w:t>
      </w:r>
      <w:r w:rsidRPr="00DE1DFC">
        <w:t>, f</w:t>
      </w:r>
      <w:r w:rsidR="00481883" w:rsidRPr="00DE1DFC">
        <w:t xml:space="preserve">urther exploration </w:t>
      </w:r>
      <w:r w:rsidRPr="00DE1DFC">
        <w:t xml:space="preserve">to understand why it is not being used </w:t>
      </w:r>
      <w:r w:rsidR="00326AB8" w:rsidRPr="00DE1DFC">
        <w:t>would be warranted.</w:t>
      </w:r>
      <w:r w:rsidR="00481883" w:rsidRPr="00DE1DFC" w:rsidDel="00326AB8">
        <w:t xml:space="preserve"> </w:t>
      </w:r>
      <w:r w:rsidR="0085512E" w:rsidRPr="00DE1DFC">
        <w:t>Liability settings should be at front of mind when considering participation models so as not to inadvertently encourage risk</w:t>
      </w:r>
      <w:r w:rsidR="0051332B">
        <w:t>y</w:t>
      </w:r>
      <w:r w:rsidR="0085512E" w:rsidRPr="00DE1DFC">
        <w:t xml:space="preserve"> behaviour.</w:t>
      </w:r>
      <w:r w:rsidRPr="00DE1DFC">
        <w:t xml:space="preserve"> </w:t>
      </w:r>
    </w:p>
    <w:p w14:paraId="5BB3D8EE" w14:textId="77777777" w:rsidR="004A0E61" w:rsidRPr="00DE1DFC" w:rsidRDefault="004A0E61" w:rsidP="005055B9"/>
    <w:tbl>
      <w:tblPr>
        <w:tblW w:w="5000" w:type="pct"/>
        <w:shd w:val="clear" w:color="auto" w:fill="FCEEE5" w:themeFill="accent6" w:themeFillTint="33"/>
        <w:tblCellMar>
          <w:top w:w="227" w:type="dxa"/>
          <w:left w:w="227" w:type="dxa"/>
          <w:bottom w:w="227" w:type="dxa"/>
          <w:right w:w="227" w:type="dxa"/>
        </w:tblCellMar>
        <w:tblLook w:val="01E0" w:firstRow="1" w:lastRow="1" w:firstColumn="1" w:lastColumn="1" w:noHBand="0" w:noVBand="0"/>
      </w:tblPr>
      <w:tblGrid>
        <w:gridCol w:w="9072"/>
      </w:tblGrid>
      <w:tr w:rsidR="00FB1D9F" w14:paraId="37397B7B" w14:textId="77777777" w:rsidTr="008A32BF">
        <w:tc>
          <w:tcPr>
            <w:tcW w:w="5000" w:type="pct"/>
            <w:shd w:val="clear" w:color="auto" w:fill="F2F9FC"/>
            <w:hideMark/>
          </w:tcPr>
          <w:p w14:paraId="524DAD0F" w14:textId="045EFD47" w:rsidR="00FB1D9F" w:rsidRPr="006A592C" w:rsidRDefault="00481883" w:rsidP="006A592C">
            <w:pPr>
              <w:rPr>
                <w:b/>
                <w:bCs/>
                <w:color w:val="2C384A"/>
                <w:sz w:val="28"/>
                <w:szCs w:val="24"/>
                <w:lang w:eastAsia="en-US"/>
              </w:rPr>
            </w:pPr>
            <w:r w:rsidRPr="006A592C">
              <w:rPr>
                <w:b/>
                <w:bCs/>
                <w:color w:val="2C384A"/>
                <w:sz w:val="28"/>
                <w:szCs w:val="24"/>
                <w:lang w:eastAsia="en-US"/>
              </w:rPr>
              <w:t xml:space="preserve">Finding </w:t>
            </w:r>
            <w:r w:rsidR="00FB1D9F" w:rsidRPr="006A592C">
              <w:rPr>
                <w:b/>
                <w:bCs/>
                <w:color w:val="2C384A"/>
                <w:sz w:val="28"/>
                <w:szCs w:val="24"/>
                <w:lang w:eastAsia="en-US"/>
              </w:rPr>
              <w:t>2.</w:t>
            </w:r>
            <w:r w:rsidR="009444A1" w:rsidRPr="006A592C">
              <w:rPr>
                <w:b/>
                <w:bCs/>
                <w:color w:val="2C384A"/>
                <w:sz w:val="28"/>
                <w:szCs w:val="24"/>
                <w:lang w:eastAsia="en-US"/>
              </w:rPr>
              <w:t>4</w:t>
            </w:r>
          </w:p>
          <w:p w14:paraId="08F4ED1F" w14:textId="26CCE9F0" w:rsidR="00FB1D9F" w:rsidRPr="00DE1DFC" w:rsidRDefault="00FB1D9F" w:rsidP="00790CC4">
            <w:pPr>
              <w:rPr>
                <w:color w:val="2C384A" w:themeColor="accent1"/>
              </w:rPr>
            </w:pPr>
            <w:r w:rsidRPr="006A592C">
              <w:rPr>
                <w:color w:val="2C384A"/>
              </w:rPr>
              <w:t xml:space="preserve">The introduction of new </w:t>
            </w:r>
            <w:r w:rsidR="00B966A3" w:rsidRPr="006A592C">
              <w:rPr>
                <w:color w:val="2C384A"/>
              </w:rPr>
              <w:t xml:space="preserve">access </w:t>
            </w:r>
            <w:r w:rsidRPr="006A592C">
              <w:rPr>
                <w:color w:val="2C384A"/>
              </w:rPr>
              <w:t xml:space="preserve">pathways, such as the representative and sponsor-affiliate model, has increased available avenues for participation in the CDR. </w:t>
            </w:r>
            <w:r w:rsidR="004A0E61" w:rsidRPr="006A592C">
              <w:rPr>
                <w:color w:val="2C384A"/>
              </w:rPr>
              <w:t xml:space="preserve">Government should monitor participation and uptake to ensure settings remain appropriate. </w:t>
            </w:r>
            <w:r w:rsidR="00381B91" w:rsidRPr="006A592C">
              <w:rPr>
                <w:color w:val="2C384A"/>
              </w:rPr>
              <w:t xml:space="preserve">If a particular model </w:t>
            </w:r>
            <w:r w:rsidR="004A0E61" w:rsidRPr="006A592C">
              <w:rPr>
                <w:color w:val="2C384A"/>
              </w:rPr>
              <w:t xml:space="preserve">or pathway has </w:t>
            </w:r>
            <w:r w:rsidR="00381B91" w:rsidRPr="006A592C">
              <w:rPr>
                <w:color w:val="2C384A"/>
              </w:rPr>
              <w:t xml:space="preserve">low uptake, further exploration </w:t>
            </w:r>
            <w:r w:rsidR="00FA2194" w:rsidRPr="006A592C">
              <w:rPr>
                <w:color w:val="2C384A"/>
              </w:rPr>
              <w:t>should be done</w:t>
            </w:r>
            <w:r w:rsidR="00381B91" w:rsidRPr="006A592C">
              <w:rPr>
                <w:color w:val="2C384A"/>
              </w:rPr>
              <w:t xml:space="preserve"> to understand why it is not being used </w:t>
            </w:r>
            <w:r w:rsidR="00FA2194" w:rsidRPr="006A592C">
              <w:rPr>
                <w:color w:val="2C384A"/>
              </w:rPr>
              <w:t>and to affirm that liability settings are meeting desired policy outcomes</w:t>
            </w:r>
            <w:r w:rsidR="00381B91" w:rsidRPr="006A592C">
              <w:rPr>
                <w:color w:val="2C384A"/>
              </w:rPr>
              <w:t>.</w:t>
            </w:r>
            <w:r w:rsidRPr="006A592C">
              <w:rPr>
                <w:color w:val="2C384A"/>
              </w:rPr>
              <w:t xml:space="preserve"> </w:t>
            </w:r>
          </w:p>
        </w:tc>
      </w:tr>
    </w:tbl>
    <w:p w14:paraId="52BFEE8E" w14:textId="77777777" w:rsidR="00FB1D9F" w:rsidRDefault="00FB1D9F" w:rsidP="00265FE3"/>
    <w:p w14:paraId="1D69EBCB" w14:textId="7B3238E6" w:rsidR="00265FE3" w:rsidRDefault="00265FE3" w:rsidP="00265FE3">
      <w:r>
        <w:t xml:space="preserve">A further concern was voiced in relation to the lack of recognition of the role of ‘intermediaries’ in </w:t>
      </w:r>
      <w:r w:rsidR="00DC42FE">
        <w:t xml:space="preserve">the </w:t>
      </w:r>
      <w:r>
        <w:t xml:space="preserve">accreditation structure. </w:t>
      </w:r>
    </w:p>
    <w:p w14:paraId="2C9E40D7" w14:textId="374C6B57" w:rsidR="00265FE3" w:rsidRDefault="00265FE3" w:rsidP="00421311">
      <w:pPr>
        <w:pStyle w:val="Quote"/>
        <w:rPr>
          <w:b/>
        </w:rPr>
      </w:pPr>
      <w:r>
        <w:t>“</w:t>
      </w:r>
      <w:r w:rsidRPr="00383A01">
        <w:t>Cuscal believes that to foster trust in the CDR ecosystem it is critical that CDR intermediaries are recognised, and separately accredited to enable new products and services under the regulatory umbrella of CDR.</w:t>
      </w:r>
      <w:r>
        <w:t xml:space="preserve">” </w:t>
      </w:r>
      <w:r w:rsidRPr="00F3484D">
        <w:rPr>
          <w:b/>
        </w:rPr>
        <w:t>– Cuscal</w:t>
      </w:r>
    </w:p>
    <w:p w14:paraId="4E2A4B5A" w14:textId="60CBEC91" w:rsidR="00265FE3" w:rsidRDefault="00265FE3" w:rsidP="00421311">
      <w:pPr>
        <w:pStyle w:val="Quote"/>
      </w:pPr>
      <w:r>
        <w:t>“</w:t>
      </w:r>
      <w:r w:rsidRPr="00383A01">
        <w:t>The designation of CDR intermediaries is a crucial aspect of growing the CDR ecosystem…. This new segment of CDR participants is not currently recognised under the CDR rules.”</w:t>
      </w:r>
      <w:r>
        <w:t xml:space="preserve"> </w:t>
      </w:r>
      <w:r w:rsidRPr="00F3484D">
        <w:rPr>
          <w:b/>
        </w:rPr>
        <w:t>– FDATA</w:t>
      </w:r>
    </w:p>
    <w:p w14:paraId="5C583D14" w14:textId="76C81889" w:rsidR="00FA10BD" w:rsidRDefault="00265FE3" w:rsidP="00AE7243">
      <w:pPr>
        <w:spacing w:before="0" w:after="160" w:line="259" w:lineRule="auto"/>
      </w:pPr>
      <w:r>
        <w:t xml:space="preserve">In this context, </w:t>
      </w:r>
      <w:r w:rsidR="00335548">
        <w:t xml:space="preserve">the Review </w:t>
      </w:r>
      <w:r w:rsidR="00800E1C">
        <w:t xml:space="preserve">is </w:t>
      </w:r>
      <w:r w:rsidR="009959A2">
        <w:t>treat</w:t>
      </w:r>
      <w:r w:rsidR="00800E1C">
        <w:t>ing</w:t>
      </w:r>
      <w:r>
        <w:t xml:space="preserve"> an intermediary</w:t>
      </w:r>
      <w:r w:rsidR="00800E1C">
        <w:t xml:space="preserve"> </w:t>
      </w:r>
      <w:r w:rsidR="00800E1C" w:rsidRPr="00D55EB1">
        <w:t>(including outsourced service providers (OSPs)</w:t>
      </w:r>
      <w:r w:rsidR="00DA572C" w:rsidRPr="00F3484D">
        <w:t>)</w:t>
      </w:r>
      <w:r w:rsidR="00F01700">
        <w:t xml:space="preserve"> </w:t>
      </w:r>
      <w:r>
        <w:t>as someone who provides a service to another CDR participant that assists them in delivering a product or service to an end consumer. This</w:t>
      </w:r>
      <w:r w:rsidR="00800E1C">
        <w:t xml:space="preserve"> </w:t>
      </w:r>
      <w:r>
        <w:t>could</w:t>
      </w:r>
      <w:r w:rsidR="00800E1C">
        <w:t xml:space="preserve"> </w:t>
      </w:r>
      <w:r>
        <w:t xml:space="preserve">include, for instance, a business </w:t>
      </w:r>
      <w:r w:rsidR="0019382C">
        <w:t xml:space="preserve">that </w:t>
      </w:r>
      <w:r>
        <w:t xml:space="preserve">specialises in </w:t>
      </w:r>
      <w:r>
        <w:lastRenderedPageBreak/>
        <w:t>the collection or storage of CDR data on behalf of other ADRs or a business that provides the data analytics software that allows an ADR to provide consumer services. These participants may not necessarily offer any consumer</w:t>
      </w:r>
      <w:r w:rsidR="00B95491">
        <w:t>-</w:t>
      </w:r>
      <w:r>
        <w:t xml:space="preserve">facing CDR services of their own. </w:t>
      </w:r>
      <w:r w:rsidR="00974CAF" w:rsidRPr="00D55EB1">
        <w:t>T</w:t>
      </w:r>
      <w:r w:rsidR="00B95491" w:rsidRPr="00D55EB1">
        <w:t>he</w:t>
      </w:r>
      <w:r w:rsidR="006E2494" w:rsidRPr="00D55EB1">
        <w:t xml:space="preserve"> Review recognises the role</w:t>
      </w:r>
      <w:r w:rsidRPr="00D55EB1">
        <w:t xml:space="preserve"> intermediaries </w:t>
      </w:r>
      <w:r w:rsidR="006E2494" w:rsidRPr="00D55EB1">
        <w:t xml:space="preserve">play </w:t>
      </w:r>
      <w:r w:rsidRPr="00D55EB1">
        <w:t>in the CDR ecosystem</w:t>
      </w:r>
      <w:r w:rsidR="004D4578" w:rsidRPr="00D55EB1">
        <w:t xml:space="preserve">, </w:t>
      </w:r>
      <w:r w:rsidR="00974CAF" w:rsidRPr="00D55EB1">
        <w:t xml:space="preserve">but </w:t>
      </w:r>
      <w:r w:rsidR="00365703" w:rsidRPr="00D55EB1">
        <w:t xml:space="preserve">the Review did not hear from submissions </w:t>
      </w:r>
      <w:r w:rsidR="00FA10BD" w:rsidRPr="00D55EB1">
        <w:t xml:space="preserve">how the </w:t>
      </w:r>
      <w:r w:rsidR="00E652EA" w:rsidRPr="00D55EB1">
        <w:t xml:space="preserve">existing accreditation models </w:t>
      </w:r>
      <w:r w:rsidR="00C339E0" w:rsidRPr="00F3484D">
        <w:t>fail</w:t>
      </w:r>
      <w:r w:rsidR="00FA10BD" w:rsidRPr="00D55EB1">
        <w:t xml:space="preserve"> </w:t>
      </w:r>
      <w:r w:rsidR="007C496C" w:rsidRPr="00F3484D">
        <w:t xml:space="preserve">to </w:t>
      </w:r>
      <w:r w:rsidR="00FA10BD" w:rsidRPr="00D55EB1">
        <w:t xml:space="preserve">meet their needs and what potential changes might be required to facilitate their role in the CDR ecosystem. Without a clear picture of the underlying problem it is difficult to see what a bespoke intermediary accreditation </w:t>
      </w:r>
      <w:r w:rsidR="0051332B">
        <w:t xml:space="preserve">process </w:t>
      </w:r>
      <w:r w:rsidR="00FA10BD" w:rsidRPr="00D55EB1">
        <w:t>would look like in practice</w:t>
      </w:r>
      <w:r w:rsidR="007C496C">
        <w:t>.</w:t>
      </w:r>
      <w:r w:rsidR="00FA10BD" w:rsidDel="00365703">
        <w:t xml:space="preserve"> </w:t>
      </w:r>
    </w:p>
    <w:p w14:paraId="2E5A37DE" w14:textId="2875AE99" w:rsidR="007071EC" w:rsidRDefault="00265FE3" w:rsidP="00265FE3">
      <w:r>
        <w:t xml:space="preserve">While expansion </w:t>
      </w:r>
      <w:r w:rsidR="00E652EA">
        <w:t xml:space="preserve">of accreditation </w:t>
      </w:r>
      <w:r>
        <w:t xml:space="preserve">may create new opportunities for involvement, it may also add to the complexity of the accreditation process and </w:t>
      </w:r>
      <w:r w:rsidR="00E652EA">
        <w:t>further add to existing</w:t>
      </w:r>
      <w:r>
        <w:t xml:space="preserve"> concern</w:t>
      </w:r>
      <w:r w:rsidR="00E652EA">
        <w:t>s</w:t>
      </w:r>
      <w:r>
        <w:t xml:space="preserve"> that further options have not made it easier to engage with the CDR</w:t>
      </w:r>
      <w:r w:rsidR="00B95491">
        <w:t xml:space="preserve"> to date</w:t>
      </w:r>
      <w:r w:rsidR="00365703">
        <w:t xml:space="preserve">, </w:t>
      </w:r>
      <w:r w:rsidR="00365703" w:rsidRPr="00D55EB1">
        <w:t xml:space="preserve">as noted by Basiq in </w:t>
      </w:r>
      <w:r w:rsidR="00587562">
        <w:t>its</w:t>
      </w:r>
      <w:r w:rsidR="00587562" w:rsidRPr="00D55EB1">
        <w:t xml:space="preserve"> </w:t>
      </w:r>
      <w:r w:rsidR="00365703" w:rsidRPr="00D55EB1">
        <w:t>submission</w:t>
      </w:r>
      <w:r w:rsidR="007071EC">
        <w:t>:</w:t>
      </w:r>
      <w:r w:rsidR="00365703" w:rsidRPr="00D55EB1">
        <w:t xml:space="preserve"> </w:t>
      </w:r>
    </w:p>
    <w:p w14:paraId="5356E9D6" w14:textId="448145A9" w:rsidR="00365703" w:rsidRPr="00B81555" w:rsidRDefault="00365703" w:rsidP="00284283">
      <w:pPr>
        <w:pStyle w:val="Quote"/>
        <w:ind w:left="964" w:right="964"/>
      </w:pPr>
      <w:r w:rsidRPr="00B81555">
        <w:t>“Although these models have provided greater options, we feel that they have still not solved the underlying problems that were originally raised during the proposal phase. As it stands now, the accreditations are still considered to be expensive to implement, lengthy to acquire and complicated to interpret the rules associated with them.”</w:t>
      </w:r>
    </w:p>
    <w:p w14:paraId="100C8A48" w14:textId="09569303" w:rsidR="00265FE3" w:rsidRPr="00F3484D" w:rsidRDefault="00265FE3" w:rsidP="00265FE3">
      <w:pPr>
        <w:rPr>
          <w:color w:val="FF0000"/>
        </w:rPr>
      </w:pPr>
      <w:r w:rsidRPr="00FA10BD">
        <w:t xml:space="preserve">Introducing new pathways </w:t>
      </w:r>
      <w:r w:rsidR="00E43DCA" w:rsidRPr="00FA10BD">
        <w:t xml:space="preserve">to </w:t>
      </w:r>
      <w:r w:rsidRPr="00FA10BD">
        <w:t>accreditation should remain a possibility as the CDR develops</w:t>
      </w:r>
      <w:r w:rsidR="00E43DCA" w:rsidRPr="00FA10BD">
        <w:t xml:space="preserve">. However, </w:t>
      </w:r>
      <w:r w:rsidRPr="00FA10BD">
        <w:t>in the spirit of allowing the CDR to mature before introducing further optionality to the system, constructing a new intermediary accreditation may not be a priorit</w:t>
      </w:r>
      <w:r w:rsidR="00FA10BD">
        <w:t>y</w:t>
      </w:r>
      <w:r w:rsidR="00FA10BD" w:rsidRPr="00D55EB1">
        <w:t>, allowing time for further explor</w:t>
      </w:r>
      <w:r w:rsidR="00A10CDB" w:rsidRPr="00F3484D">
        <w:t>ation of</w:t>
      </w:r>
      <w:r w:rsidR="00FA10BD" w:rsidRPr="00D55EB1">
        <w:t xml:space="preserve"> </w:t>
      </w:r>
      <w:r w:rsidRPr="00D55EB1">
        <w:t xml:space="preserve">how intermediaries interact with the CDR </w:t>
      </w:r>
      <w:r w:rsidR="0097774E" w:rsidRPr="00D55EB1">
        <w:t>to understand how</w:t>
      </w:r>
      <w:r w:rsidR="00FA10BD" w:rsidRPr="00F3484D">
        <w:t xml:space="preserve"> their participation in the CDR </w:t>
      </w:r>
      <w:r w:rsidR="0097774E" w:rsidRPr="00D55EB1">
        <w:t xml:space="preserve">can be </w:t>
      </w:r>
      <w:r w:rsidR="00FA10BD" w:rsidRPr="00F3484D">
        <w:t>facilitated.</w:t>
      </w:r>
    </w:p>
    <w:p w14:paraId="4C219B49" w14:textId="624D548B" w:rsidR="00265FE3" w:rsidRDefault="00265FE3" w:rsidP="00265FE3">
      <w:r>
        <w:t>Several submissions also noted that the requirements for CDR accreditation could be more closely aligned with existing requirements under other government initiatives. For example, there are existing security and privacy requirements for Digital Service Providers (DSPs) under the Operational Security Framework (OSF) for the Australian Tax</w:t>
      </w:r>
      <w:r w:rsidR="005239DA">
        <w:t>ation</w:t>
      </w:r>
      <w:r>
        <w:t xml:space="preserve"> Office (ATO), however</w:t>
      </w:r>
      <w:r w:rsidR="00E43DCA">
        <w:t>,</w:t>
      </w:r>
      <w:r>
        <w:t xml:space="preserve"> the CDR framework </w:t>
      </w:r>
      <w:r w:rsidR="00E43DCA">
        <w:t xml:space="preserve">demands </w:t>
      </w:r>
      <w:r>
        <w:t>more of data recipients.</w:t>
      </w:r>
      <w:r w:rsidRPr="00600205">
        <w:rPr>
          <w:rStyle w:val="FootnoteReference"/>
          <w:sz w:val="22"/>
          <w:szCs w:val="24"/>
          <w:vertAlign w:val="superscript"/>
        </w:rPr>
        <w:footnoteReference w:id="30"/>
      </w:r>
      <w:r>
        <w:t xml:space="preserve"> Indeed</w:t>
      </w:r>
      <w:r w:rsidR="00E43DCA">
        <w:t>,</w:t>
      </w:r>
      <w:r>
        <w:t xml:space="preserve"> many participants inside and outside the system may see it as an un</w:t>
      </w:r>
      <w:r w:rsidRPr="00C37D1E">
        <w:t>reasonable expectation o</w:t>
      </w:r>
      <w:r w:rsidR="00E43DCA">
        <w:t>f</w:t>
      </w:r>
      <w:r w:rsidRPr="00C37D1E">
        <w:t xml:space="preserve"> business</w:t>
      </w:r>
      <w:r w:rsidR="00E43DCA">
        <w:t>es</w:t>
      </w:r>
      <w:r w:rsidRPr="00C37D1E">
        <w:t xml:space="preserve"> </w:t>
      </w:r>
      <w:r>
        <w:t xml:space="preserve">to undergo multiple accreditation processes for </w:t>
      </w:r>
      <w:r w:rsidR="00800395">
        <w:t>schemes</w:t>
      </w:r>
      <w:r w:rsidR="00487B59">
        <w:t xml:space="preserve"> </w:t>
      </w:r>
      <w:r w:rsidR="00B47502">
        <w:t>focus</w:t>
      </w:r>
      <w:r w:rsidR="00446258">
        <w:t>ed</w:t>
      </w:r>
      <w:r w:rsidR="00487B59">
        <w:t xml:space="preserve"> on data protection</w:t>
      </w:r>
      <w:r w:rsidR="00FA64F1">
        <w:t>.</w:t>
      </w:r>
      <w:r w:rsidR="00487B59" w:rsidRPr="00B81555">
        <w:rPr>
          <w:rStyle w:val="FootnoteReference"/>
          <w:sz w:val="22"/>
          <w:szCs w:val="22"/>
          <w:vertAlign w:val="superscript"/>
        </w:rPr>
        <w:footnoteReference w:id="31"/>
      </w:r>
    </w:p>
    <w:p w14:paraId="404F2306" w14:textId="13C242F7" w:rsidR="00265FE3" w:rsidRDefault="00265FE3" w:rsidP="00421311">
      <w:pPr>
        <w:pStyle w:val="Quote"/>
      </w:pPr>
      <w:r w:rsidRPr="008E0060">
        <w:rPr>
          <w:color w:val="000000"/>
          <w:sz w:val="27"/>
          <w:szCs w:val="27"/>
        </w:rPr>
        <w:t>“</w:t>
      </w:r>
      <w:r w:rsidRPr="008E0060">
        <w:t>Xero is confident recognising this Security Framework</w:t>
      </w:r>
      <w:r>
        <w:t xml:space="preserve"> [including the Privacy Act, the ATO OSF and the Security Standard for Add-on Marketplace (SSAM)]</w:t>
      </w:r>
      <w:r w:rsidRPr="008E0060">
        <w:t xml:space="preserve"> would materially increase ADR participation, connecting business consumers with the innovation and competition measures intended for the CDR.”</w:t>
      </w:r>
      <w:r>
        <w:t xml:space="preserve"> </w:t>
      </w:r>
      <w:r w:rsidRPr="00F3484D">
        <w:rPr>
          <w:b/>
        </w:rPr>
        <w:t>– Xero</w:t>
      </w:r>
    </w:p>
    <w:p w14:paraId="29CD2BD5" w14:textId="77777777" w:rsidR="00494032" w:rsidRDefault="00E43DCA" w:rsidP="00265FE3">
      <w:r>
        <w:t>During consultations, it was suggested</w:t>
      </w:r>
      <w:r w:rsidR="00265FE3">
        <w:t xml:space="preserve"> that</w:t>
      </w:r>
      <w:r>
        <w:t>,</w:t>
      </w:r>
      <w:r w:rsidR="00265FE3">
        <w:t xml:space="preserve"> if ATO requirements are not </w:t>
      </w:r>
      <w:r>
        <w:t xml:space="preserve">sufficiently </w:t>
      </w:r>
      <w:r w:rsidR="00265FE3">
        <w:t>strong</w:t>
      </w:r>
      <w:r>
        <w:t>,</w:t>
      </w:r>
      <w:r w:rsidR="00265FE3">
        <w:t xml:space="preserve"> they should be b</w:t>
      </w:r>
      <w:r w:rsidR="005239DA">
        <w:t>r</w:t>
      </w:r>
      <w:r w:rsidR="00265FE3">
        <w:t>ought in line with CDR accreditation requirements</w:t>
      </w:r>
      <w:r>
        <w:t xml:space="preserve"> –</w:t>
      </w:r>
      <w:r w:rsidR="00265FE3">
        <w:t xml:space="preserve"> otherwise the </w:t>
      </w:r>
      <w:r>
        <w:t>G</w:t>
      </w:r>
      <w:r w:rsidR="00265FE3">
        <w:t xml:space="preserve">overnment should </w:t>
      </w:r>
      <w:r w:rsidR="00265FE3">
        <w:lastRenderedPageBreak/>
        <w:t>not feel the need to outline a distinct set of compliance requirements. Either way</w:t>
      </w:r>
      <w:r>
        <w:t>,</w:t>
      </w:r>
      <w:r w:rsidR="00265FE3">
        <w:t xml:space="preserve"> participants are dissatisfied with the existing data compliance requirements across </w:t>
      </w:r>
      <w:r>
        <w:t>G</w:t>
      </w:r>
      <w:r w:rsidR="00265FE3">
        <w:t>overnment. Recognition of other accreditations (for example, the DSP requirements)</w:t>
      </w:r>
      <w:r>
        <w:t>,</w:t>
      </w:r>
      <w:r w:rsidR="00265FE3">
        <w:t xml:space="preserve"> where equivalent</w:t>
      </w:r>
      <w:r>
        <w:t>,</w:t>
      </w:r>
      <w:r w:rsidR="00265FE3">
        <w:t xml:space="preserve"> could significantly reduce the complexity of the accreditation process for the CDR and reduce barriers to entry. </w:t>
      </w:r>
    </w:p>
    <w:p w14:paraId="36FF7F69" w14:textId="112E89DB" w:rsidR="00265FE3" w:rsidRDefault="00265FE3" w:rsidP="00265FE3">
      <w:r w:rsidRPr="00F3484D">
        <w:t>While mutual recognition may not always be feasible due to differing legislative requirements, as the rollout of the CDR continues</w:t>
      </w:r>
      <w:r w:rsidR="00E43DCA" w:rsidRPr="00F3484D">
        <w:t>,</w:t>
      </w:r>
      <w:r w:rsidRPr="00F3484D">
        <w:t xml:space="preserve"> </w:t>
      </w:r>
      <w:r w:rsidR="00775927" w:rsidRPr="00F3484D">
        <w:t xml:space="preserve">Government </w:t>
      </w:r>
      <w:r w:rsidRPr="00F3484D">
        <w:t xml:space="preserve">should continue to look for every opportunity to </w:t>
      </w:r>
      <w:r w:rsidR="00B41C19" w:rsidRPr="00F3484D">
        <w:t xml:space="preserve">align </w:t>
      </w:r>
      <w:r w:rsidRPr="00F3484D">
        <w:t xml:space="preserve">CDR obligations with existing </w:t>
      </w:r>
      <w:r w:rsidR="00E43DCA" w:rsidRPr="00F3484D">
        <w:t>ones</w:t>
      </w:r>
      <w:r w:rsidRPr="00F3484D">
        <w:t>.</w:t>
      </w:r>
      <w:r>
        <w:t xml:space="preserve"> </w:t>
      </w:r>
      <w:r w:rsidR="00B22CD5">
        <w:br/>
      </w:r>
    </w:p>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E17E29" w14:paraId="07C8B123" w14:textId="77777777" w:rsidTr="00421311">
        <w:trPr>
          <w:cnfStyle w:val="100000000000" w:firstRow="1" w:lastRow="0" w:firstColumn="0" w:lastColumn="0" w:oddVBand="0" w:evenVBand="0" w:oddHBand="0" w:evenHBand="0" w:firstRowFirstColumn="0" w:firstRowLastColumn="0" w:lastRowFirstColumn="0" w:lastRowLastColumn="0"/>
          <w:trHeight w:val="1173"/>
        </w:trPr>
        <w:tc>
          <w:tcPr>
            <w:tcW w:w="0" w:type="pct"/>
            <w:shd w:val="clear" w:color="auto" w:fill="FCEEE5" w:themeFill="accent6" w:themeFillTint="33"/>
          </w:tcPr>
          <w:p w14:paraId="185B4520" w14:textId="068A0C62" w:rsidR="00E17E29" w:rsidRPr="00822EF9" w:rsidRDefault="00E17E29" w:rsidP="00421311">
            <w:pPr>
              <w:pStyle w:val="BoxHeading"/>
            </w:pPr>
            <w:bookmarkStart w:id="105" w:name="_Hlk107323849"/>
            <w:r w:rsidRPr="00421311">
              <w:t>Recommendation 2.</w:t>
            </w:r>
            <w:r w:rsidR="003D3435" w:rsidRPr="00421311">
              <w:t>7</w:t>
            </w:r>
          </w:p>
          <w:p w14:paraId="00779CD8" w14:textId="48CD6653" w:rsidR="00E17E29" w:rsidRPr="00511A43" w:rsidRDefault="007718BC" w:rsidP="00BD086F">
            <w:pPr>
              <w:pStyle w:val="BoxText"/>
            </w:pPr>
            <w:r w:rsidRPr="00D4755B">
              <w:rPr>
                <w:szCs w:val="24"/>
              </w:rPr>
              <w:t xml:space="preserve">Where appropriate, accreditation under the CDR should be </w:t>
            </w:r>
            <w:r w:rsidR="00C46DCF" w:rsidRPr="00167D86">
              <w:rPr>
                <w:szCs w:val="24"/>
              </w:rPr>
              <w:t xml:space="preserve">aligned </w:t>
            </w:r>
            <w:r w:rsidRPr="00167D86">
              <w:rPr>
                <w:szCs w:val="24"/>
              </w:rPr>
              <w:t>with other obligations on participants, in particular</w:t>
            </w:r>
            <w:r w:rsidR="00E43DCA" w:rsidRPr="00E6039E">
              <w:rPr>
                <w:szCs w:val="24"/>
              </w:rPr>
              <w:t>,</w:t>
            </w:r>
            <w:r w:rsidRPr="00E6039E">
              <w:rPr>
                <w:szCs w:val="24"/>
              </w:rPr>
              <w:t xml:space="preserve"> </w:t>
            </w:r>
            <w:r w:rsidR="00D83B56" w:rsidRPr="002252C2">
              <w:rPr>
                <w:szCs w:val="24"/>
              </w:rPr>
              <w:t xml:space="preserve">accreditation requirements for </w:t>
            </w:r>
            <w:r w:rsidR="00845F3E">
              <w:rPr>
                <w:szCs w:val="24"/>
              </w:rPr>
              <w:t>D</w:t>
            </w:r>
            <w:r w:rsidR="00D83B56" w:rsidRPr="002252C2">
              <w:rPr>
                <w:szCs w:val="24"/>
              </w:rPr>
              <w:t xml:space="preserve">igital </w:t>
            </w:r>
            <w:r w:rsidR="00845F3E">
              <w:rPr>
                <w:szCs w:val="24"/>
              </w:rPr>
              <w:t>S</w:t>
            </w:r>
            <w:r w:rsidR="00D83B56" w:rsidRPr="002252C2">
              <w:rPr>
                <w:szCs w:val="24"/>
              </w:rPr>
              <w:t xml:space="preserve">ervice </w:t>
            </w:r>
            <w:r w:rsidR="00845F3E">
              <w:rPr>
                <w:szCs w:val="24"/>
              </w:rPr>
              <w:t>P</w:t>
            </w:r>
            <w:r w:rsidR="00D83B56" w:rsidRPr="002252C2">
              <w:rPr>
                <w:szCs w:val="24"/>
              </w:rPr>
              <w:t xml:space="preserve">roviders </w:t>
            </w:r>
            <w:r w:rsidR="007B3122" w:rsidRPr="002252C2">
              <w:rPr>
                <w:szCs w:val="24"/>
              </w:rPr>
              <w:t>registered with</w:t>
            </w:r>
            <w:r w:rsidR="00D83B56" w:rsidRPr="002252C2">
              <w:rPr>
                <w:szCs w:val="24"/>
              </w:rPr>
              <w:t xml:space="preserve"> the ATO. </w:t>
            </w:r>
          </w:p>
        </w:tc>
      </w:tr>
    </w:tbl>
    <w:p w14:paraId="43D1048E" w14:textId="4DA82FA9" w:rsidR="00265FE3" w:rsidRPr="00383A01" w:rsidRDefault="00265FE3" w:rsidP="00265FE3">
      <w:pPr>
        <w:pStyle w:val="Heading2"/>
      </w:pPr>
      <w:bookmarkStart w:id="106" w:name="_Toc106286093"/>
      <w:bookmarkStart w:id="107" w:name="_Toc106358403"/>
      <w:bookmarkStart w:id="108" w:name="_Toc110602887"/>
      <w:bookmarkEnd w:id="105"/>
      <w:r w:rsidRPr="00383A01">
        <w:t>2.</w:t>
      </w:r>
      <w:r w:rsidR="003D3435">
        <w:t>10</w:t>
      </w:r>
      <w:r w:rsidRPr="00383A01">
        <w:t xml:space="preserve"> </w:t>
      </w:r>
      <w:r w:rsidR="00384FF0">
        <w:t>R</w:t>
      </w:r>
      <w:r w:rsidRPr="00383A01">
        <w:t>eciprocity in the CDR</w:t>
      </w:r>
      <w:bookmarkEnd w:id="106"/>
      <w:bookmarkEnd w:id="107"/>
      <w:bookmarkEnd w:id="108"/>
    </w:p>
    <w:p w14:paraId="7EB6EEDE" w14:textId="13CCE263" w:rsidR="00F37DFA" w:rsidRPr="00DE1DFC" w:rsidRDefault="00F37DFA" w:rsidP="00265FE3">
      <w:r>
        <w:t xml:space="preserve">Reciprocal data holder obligations </w:t>
      </w:r>
      <w:r w:rsidR="00A51F97">
        <w:t>were built into the system</w:t>
      </w:r>
      <w:r w:rsidR="009559A8">
        <w:t xml:space="preserve"> to grow the scope of data available for consumers and to ensure that those </w:t>
      </w:r>
      <w:r w:rsidR="00D65DE1">
        <w:t>who</w:t>
      </w:r>
      <w:r w:rsidR="009559A8">
        <w:t xml:space="preserve"> join the system also contribute to the system, which is ultimately for </w:t>
      </w:r>
      <w:r w:rsidR="009559A8" w:rsidRPr="00DE1DFC">
        <w:t>the benefit of consumers</w:t>
      </w:r>
      <w:r w:rsidR="002B4149" w:rsidRPr="00DE1DFC">
        <w:t>.</w:t>
      </w:r>
      <w:r w:rsidR="002B4149" w:rsidRPr="00DE1DFC">
        <w:rPr>
          <w:rStyle w:val="FootnoteReference"/>
          <w:sz w:val="22"/>
          <w:szCs w:val="24"/>
          <w:vertAlign w:val="superscript"/>
        </w:rPr>
        <w:footnoteReference w:id="32"/>
      </w:r>
      <w:r w:rsidR="002B4149" w:rsidRPr="00DE1DFC">
        <w:t xml:space="preserve"> </w:t>
      </w:r>
      <w:r w:rsidR="00C93B54" w:rsidRPr="00DE1DFC">
        <w:rPr>
          <w:rStyle w:val="FootnoteReference"/>
          <w:sz w:val="22"/>
          <w:szCs w:val="24"/>
          <w:vertAlign w:val="superscript"/>
        </w:rPr>
        <w:footnoteReference w:id="33"/>
      </w:r>
      <w:r w:rsidR="00C93B54" w:rsidRPr="00DE1DFC">
        <w:t xml:space="preserve"> </w:t>
      </w:r>
      <w:r w:rsidR="0037556C" w:rsidRPr="00DE1DFC">
        <w:t>Not all</w:t>
      </w:r>
      <w:r w:rsidR="00DE1496" w:rsidRPr="00DE1DFC">
        <w:t xml:space="preserve"> ADRs are subject to reciprocal data </w:t>
      </w:r>
      <w:r w:rsidR="0037556C" w:rsidRPr="00DE1DFC">
        <w:t xml:space="preserve">holder </w:t>
      </w:r>
      <w:r w:rsidR="00DE1496" w:rsidRPr="00DE1DFC">
        <w:t>obligations</w:t>
      </w:r>
      <w:r w:rsidR="0037556C" w:rsidRPr="00DE1DFC">
        <w:t>, the</w:t>
      </w:r>
      <w:r w:rsidR="00DE1496" w:rsidRPr="00DE1DFC">
        <w:t xml:space="preserve"> ADRs who </w:t>
      </w:r>
      <w:r w:rsidR="0037556C" w:rsidRPr="00DE1DFC">
        <w:t xml:space="preserve">are </w:t>
      </w:r>
      <w:r w:rsidR="00DE1496" w:rsidRPr="00DE1DFC">
        <w:t xml:space="preserve">subject to </w:t>
      </w:r>
      <w:r w:rsidR="0037556C" w:rsidRPr="00DE1DFC">
        <w:t>them</w:t>
      </w:r>
      <w:r w:rsidR="00DE1496" w:rsidRPr="00DE1DFC">
        <w:t xml:space="preserve"> (such as non-bank lenders) are avoiding accreditation or looking to use alternative access models such as becoming a CDR representative (which does not activ</w:t>
      </w:r>
      <w:r w:rsidR="00BB1F59" w:rsidRPr="00DE1DFC">
        <w:t>at</w:t>
      </w:r>
      <w:r w:rsidR="00DE1496" w:rsidRPr="00DE1DFC">
        <w:t xml:space="preserve">e reciprocal data </w:t>
      </w:r>
      <w:r w:rsidR="008331AB" w:rsidRPr="00DE1DFC">
        <w:t>holder</w:t>
      </w:r>
      <w:r w:rsidR="00DE1496" w:rsidRPr="00DE1DFC">
        <w:t xml:space="preserve"> obligations)</w:t>
      </w:r>
      <w:r w:rsidR="0037556C" w:rsidRPr="00DE1DFC">
        <w:t xml:space="preserve">, </w:t>
      </w:r>
      <w:r w:rsidR="008462C9" w:rsidRPr="00DE1DFC">
        <w:t>resulting in no ADRs currently subject to reciprocal data sharing obligations.</w:t>
      </w:r>
    </w:p>
    <w:p w14:paraId="3E58EB04" w14:textId="77777777" w:rsidR="00C7235F" w:rsidRPr="00DE1DFC" w:rsidRDefault="00C7235F" w:rsidP="00265FE3"/>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A55999" w14:paraId="0832267A" w14:textId="77777777" w:rsidTr="008E6E44">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25211470" w14:textId="36159C79" w:rsidR="00A55999" w:rsidRPr="00822EF9" w:rsidRDefault="00A55999" w:rsidP="00421311">
            <w:pPr>
              <w:pStyle w:val="BoxHeading"/>
            </w:pPr>
            <w:r w:rsidRPr="00421311">
              <w:t>Box 2.</w:t>
            </w:r>
            <w:r w:rsidR="009444A1" w:rsidRPr="00421311">
              <w:t>4</w:t>
            </w:r>
            <w:r w:rsidRPr="00421311">
              <w:t xml:space="preserve"> – </w:t>
            </w:r>
            <w:r w:rsidR="00D259B9" w:rsidRPr="00421311">
              <w:t>Reciprocal data holder obligations</w:t>
            </w:r>
          </w:p>
          <w:p w14:paraId="5726D7D0" w14:textId="55BA8DA9" w:rsidR="00A55999" w:rsidRPr="00511A43" w:rsidRDefault="00A55999" w:rsidP="00421311">
            <w:pPr>
              <w:pStyle w:val="BoxText"/>
            </w:pPr>
            <w:r w:rsidRPr="00D4755B">
              <w:rPr>
                <w:szCs w:val="24"/>
              </w:rPr>
              <w:t xml:space="preserve">Where an ADR holds CDR data that was not disclosed to them under the consumer data rules (that is, not disclosed to them in their capacity as an ADR), they have </w:t>
            </w:r>
            <w:r w:rsidRPr="00167D86">
              <w:rPr>
                <w:szCs w:val="24"/>
              </w:rPr>
              <w:t>reciprocal data holder obligations in relation to that data. Reciprocal data holder obligations mean that the ADR, like a designated data holder, will be required to share CDR data it holds free of charge. This includes data generated by the ADR.</w:t>
            </w:r>
          </w:p>
        </w:tc>
      </w:tr>
    </w:tbl>
    <w:p w14:paraId="7938F876" w14:textId="77777777" w:rsidR="00A55999" w:rsidRDefault="00A55999" w:rsidP="00265FE3"/>
    <w:p w14:paraId="4CAEF9AB" w14:textId="77777777" w:rsidR="009372B4" w:rsidRDefault="009372B4">
      <w:pPr>
        <w:spacing w:before="0" w:after="160" w:line="259" w:lineRule="auto"/>
      </w:pPr>
      <w:r>
        <w:br w:type="page"/>
      </w:r>
    </w:p>
    <w:p w14:paraId="1145CD1D" w14:textId="1E376A7D" w:rsidR="00265FE3" w:rsidRDefault="00265FE3" w:rsidP="00265FE3">
      <w:r>
        <w:lastRenderedPageBreak/>
        <w:t xml:space="preserve">The Review </w:t>
      </w:r>
      <w:r w:rsidR="008453E0">
        <w:t xml:space="preserve">heard </w:t>
      </w:r>
      <w:r>
        <w:t xml:space="preserve">conflicting </w:t>
      </w:r>
      <w:r w:rsidR="008453E0">
        <w:t xml:space="preserve">proposals </w:t>
      </w:r>
      <w:r>
        <w:t>on reciprocity. Submissions from major data holders (in particular,</w:t>
      </w:r>
      <w:r w:rsidR="00486E93">
        <w:t xml:space="preserve"> data holders in</w:t>
      </w:r>
      <w:r>
        <w:t xml:space="preserve"> the banking and telecommunications sectors) advocated for </w:t>
      </w:r>
      <w:r w:rsidR="00DE1496">
        <w:t xml:space="preserve">the </w:t>
      </w:r>
      <w:r>
        <w:t xml:space="preserve">expansion of reciprocity to support competitive outcomes in line with the </w:t>
      </w:r>
      <w:r w:rsidR="004E25A1">
        <w:t xml:space="preserve">Future Directions </w:t>
      </w:r>
      <w:r>
        <w:t>Inquiry recommendations.</w:t>
      </w:r>
      <w:r w:rsidRPr="00600205">
        <w:rPr>
          <w:rStyle w:val="FootnoteReference"/>
          <w:sz w:val="22"/>
          <w:szCs w:val="24"/>
          <w:vertAlign w:val="superscript"/>
        </w:rPr>
        <w:footnoteReference w:id="34"/>
      </w:r>
      <w:r>
        <w:t xml:space="preserve"> The inclusion of data </w:t>
      </w:r>
      <w:r w:rsidR="008462C9" w:rsidRPr="008A6F37">
        <w:t>holder</w:t>
      </w:r>
      <w:r w:rsidR="008462C9">
        <w:t xml:space="preserve"> </w:t>
      </w:r>
      <w:r>
        <w:t xml:space="preserve">obligations acknowledges that designated participants incurred significant costs in implementing CDR requirements and </w:t>
      </w:r>
      <w:r w:rsidR="00486E93">
        <w:t>lose</w:t>
      </w:r>
      <w:r>
        <w:t xml:space="preserve"> exclusive access to the data they h</w:t>
      </w:r>
      <w:r w:rsidR="00486E93">
        <w:t>o</w:t>
      </w:r>
      <w:r>
        <w:t xml:space="preserve">ld. Reciprocity ensures that those </w:t>
      </w:r>
      <w:r w:rsidR="00F05FD6">
        <w:t>firms that</w:t>
      </w:r>
      <w:r>
        <w:t xml:space="preserve"> benefit from </w:t>
      </w:r>
      <w:r w:rsidR="00F05FD6">
        <w:t>new data available through the CDR</w:t>
      </w:r>
      <w:r>
        <w:t xml:space="preserve"> are required to make </w:t>
      </w:r>
      <w:r w:rsidR="00DE1496" w:rsidRPr="00F3484D">
        <w:t xml:space="preserve">the </w:t>
      </w:r>
      <w:r w:rsidR="008462C9" w:rsidRPr="008A6F37">
        <w:t>other CDR</w:t>
      </w:r>
      <w:r w:rsidR="00DE1496" w:rsidRPr="008A6F37">
        <w:t xml:space="preserve"> data</w:t>
      </w:r>
      <w:r w:rsidR="00DE1496" w:rsidRPr="00F3484D">
        <w:t xml:space="preserve"> they also hold</w:t>
      </w:r>
      <w:r w:rsidR="00DE1496">
        <w:t xml:space="preserve"> </w:t>
      </w:r>
      <w:r>
        <w:t>available</w:t>
      </w:r>
      <w:r w:rsidR="00C93B54">
        <w:t xml:space="preserve">. </w:t>
      </w:r>
    </w:p>
    <w:p w14:paraId="3DDA8E74" w14:textId="6F915B10" w:rsidR="00265FE3" w:rsidRDefault="00265FE3" w:rsidP="00421311">
      <w:pPr>
        <w:pStyle w:val="Quote"/>
        <w:rPr>
          <w:b/>
        </w:rPr>
      </w:pPr>
      <w:r>
        <w:t>“</w:t>
      </w:r>
      <w:r w:rsidRPr="00383A01">
        <w:t>Based on the principles and scenarios identified under the CDR Act, and the desire to have CDR apply economy-wide, we would encourage greater use of the principle of reciprocity to ensure competitive neutrality in the CDR regime.</w:t>
      </w:r>
      <w:r>
        <w:t xml:space="preserve">” </w:t>
      </w:r>
      <w:r w:rsidRPr="00F3484D">
        <w:rPr>
          <w:b/>
        </w:rPr>
        <w:t>– Telstra</w:t>
      </w:r>
    </w:p>
    <w:p w14:paraId="0497C578" w14:textId="5BF75077" w:rsidR="00265FE3" w:rsidRDefault="00265FE3" w:rsidP="00421311">
      <w:pPr>
        <w:pStyle w:val="Quote"/>
      </w:pPr>
      <w:r>
        <w:t>“</w:t>
      </w:r>
      <w:r w:rsidRPr="00383A01">
        <w:t>It</w:t>
      </w:r>
      <w:r w:rsidRPr="00383A01">
        <w:rPr>
          <w:color w:val="000000"/>
          <w:sz w:val="27"/>
          <w:szCs w:val="27"/>
        </w:rPr>
        <w:t xml:space="preserve"> </w:t>
      </w:r>
      <w:r w:rsidRPr="00383A01">
        <w:t>is clear that designing a system of economy-wide reciprocity would have a resource impact for regulators and ADRs, but the ABA considers it vital for consumers to fully benefit from the CDR and to ensure fair competition between designated and non-designated industries.</w:t>
      </w:r>
      <w:r>
        <w:t>”</w:t>
      </w:r>
      <w:r>
        <w:br/>
        <w:t xml:space="preserve"> </w:t>
      </w:r>
      <w:r w:rsidRPr="00F3484D">
        <w:rPr>
          <w:b/>
        </w:rPr>
        <w:t>– Australian Banking Association</w:t>
      </w:r>
    </w:p>
    <w:p w14:paraId="1C9938C3" w14:textId="67AE7194" w:rsidR="000600BF" w:rsidRDefault="00B63A93" w:rsidP="000600BF">
      <w:r>
        <w:t>S</w:t>
      </w:r>
      <w:r w:rsidR="00265FE3">
        <w:t xml:space="preserve">ome participants </w:t>
      </w:r>
      <w:r w:rsidR="00FA1CC7">
        <w:t>commented that</w:t>
      </w:r>
      <w:r w:rsidR="00265FE3">
        <w:t xml:space="preserve"> reciprocity requirements may serve to increase market share </w:t>
      </w:r>
      <w:r w:rsidR="00265FE3" w:rsidDel="00367463">
        <w:t xml:space="preserve">for </w:t>
      </w:r>
      <w:r w:rsidR="00265FE3">
        <w:t xml:space="preserve">incumbent data holders who are also ADRs </w:t>
      </w:r>
      <w:r w:rsidR="0085155D">
        <w:t>because they create</w:t>
      </w:r>
      <w:r w:rsidR="00265FE3">
        <w:t xml:space="preserve"> </w:t>
      </w:r>
      <w:r w:rsidR="008A6F03">
        <w:t>higher compliance costs</w:t>
      </w:r>
      <w:r w:rsidR="0085155D">
        <w:t xml:space="preserve"> </w:t>
      </w:r>
      <w:r w:rsidR="00CD18B6">
        <w:t xml:space="preserve">for smaller ADRs </w:t>
      </w:r>
      <w:r w:rsidR="0085155D">
        <w:t xml:space="preserve">and </w:t>
      </w:r>
      <w:r w:rsidR="00B9609A">
        <w:t>forc</w:t>
      </w:r>
      <w:r w:rsidR="00CD18B6">
        <w:t>e</w:t>
      </w:r>
      <w:r w:rsidR="00B9609A">
        <w:t xml:space="preserve"> the</w:t>
      </w:r>
      <w:r w:rsidR="0085155D">
        <w:t xml:space="preserve"> sharing of data that might </w:t>
      </w:r>
      <w:r w:rsidR="00CD18B6">
        <w:t xml:space="preserve">otherwise </w:t>
      </w:r>
      <w:r w:rsidR="0085155D">
        <w:t xml:space="preserve">be a competitive advantage for smaller </w:t>
      </w:r>
      <w:r w:rsidR="00CD18B6">
        <w:t>participants</w:t>
      </w:r>
      <w:r w:rsidR="0085155D">
        <w:t xml:space="preserve">. </w:t>
      </w:r>
      <w:r w:rsidR="0056282D">
        <w:t>These</w:t>
      </w:r>
      <w:r w:rsidR="000600BF">
        <w:t xml:space="preserve"> obligations </w:t>
      </w:r>
      <w:r w:rsidR="00196333">
        <w:t>may</w:t>
      </w:r>
      <w:r w:rsidR="000600BF">
        <w:t xml:space="preserve"> </w:t>
      </w:r>
      <w:r w:rsidR="0056282D">
        <w:t xml:space="preserve">therefore </w:t>
      </w:r>
      <w:r w:rsidR="000600BF">
        <w:t xml:space="preserve">limit </w:t>
      </w:r>
      <w:r w:rsidR="0056282D">
        <w:t xml:space="preserve">and disincentivise </w:t>
      </w:r>
      <w:r w:rsidR="000600BF">
        <w:t xml:space="preserve">participation </w:t>
      </w:r>
      <w:r w:rsidR="00196333">
        <w:t>by</w:t>
      </w:r>
      <w:r w:rsidR="000600BF">
        <w:t xml:space="preserve"> smaller participants</w:t>
      </w:r>
      <w:r w:rsidR="00202F23">
        <w:t>,</w:t>
      </w:r>
      <w:r w:rsidR="00CA7089">
        <w:t xml:space="preserve"> </w:t>
      </w:r>
      <w:r w:rsidR="00B9609A">
        <w:t xml:space="preserve">which is at odds with the CDR’s objective to increase competition. </w:t>
      </w:r>
    </w:p>
    <w:p w14:paraId="73ECBED1" w14:textId="7D6FD03D" w:rsidR="00AB1189" w:rsidRDefault="00AB1189" w:rsidP="00421311">
      <w:pPr>
        <w:pStyle w:val="Quote"/>
        <w:ind w:left="850" w:right="850"/>
        <w:rPr>
          <w:b/>
          <w:bCs/>
        </w:rPr>
      </w:pPr>
      <w:r>
        <w:t>“</w:t>
      </w:r>
      <w:r w:rsidRPr="00383A01">
        <w:t xml:space="preserve">Whilst reciprocity embodies the purist view of the CDR with open consumer data, it is seen to be unpopular amongst DRs </w:t>
      </w:r>
      <w:r w:rsidR="008462C9">
        <w:t>(data recipient)</w:t>
      </w:r>
      <w:r w:rsidRPr="00383A01">
        <w:t xml:space="preserve"> as it exposes their consumer data to the major data holders (DHs), who are often also DRs, therefore presenting greater opportunity for the majors to capture additional market share.</w:t>
      </w:r>
      <w:r>
        <w:t xml:space="preserve">” </w:t>
      </w:r>
      <w:r w:rsidRPr="00F3484D">
        <w:rPr>
          <w:b/>
          <w:bCs/>
        </w:rPr>
        <w:t>– EY</w:t>
      </w:r>
    </w:p>
    <w:p w14:paraId="38491BA4" w14:textId="1767F7C7" w:rsidR="00265FE3" w:rsidRDefault="00265FE3" w:rsidP="00421311">
      <w:pPr>
        <w:pStyle w:val="Quote"/>
      </w:pPr>
      <w:r>
        <w:t>“</w:t>
      </w:r>
      <w:r w:rsidRPr="00600205">
        <w:t xml:space="preserve">Unfortunately </w:t>
      </w:r>
      <w:r w:rsidRPr="00AB5CD5">
        <w:t xml:space="preserve">[reciprocity] … </w:t>
      </w:r>
      <w:r w:rsidRPr="00600205">
        <w:t>has discouraged</w:t>
      </w:r>
      <w:r w:rsidRPr="00AB5CD5">
        <w:t xml:space="preserve"> </w:t>
      </w:r>
      <w:r w:rsidRPr="00600205">
        <w:t xml:space="preserve">companies that would be beneficiaries of Open Banking data to avoid the adoption, or try and find loop-holes by seeking non-accreditation access such as via the </w:t>
      </w:r>
      <w:r w:rsidR="00812176" w:rsidRPr="00600205">
        <w:t>Principal</w:t>
      </w:r>
      <w:r w:rsidRPr="00600205">
        <w:t xml:space="preserve"> Representative (PR) model to circumvent this requirement.”</w:t>
      </w:r>
      <w:r w:rsidRPr="002161DB">
        <w:rPr>
          <w:rFonts w:asciiTheme="minorHAnsi" w:hAnsiTheme="minorHAnsi" w:cstheme="minorBidi"/>
        </w:rPr>
        <w:t xml:space="preserve"> – </w:t>
      </w:r>
      <w:r w:rsidRPr="00421311">
        <w:rPr>
          <w:rFonts w:asciiTheme="minorHAnsi" w:hAnsiTheme="minorHAnsi" w:cstheme="minorBidi"/>
          <w:b/>
          <w:bCs/>
        </w:rPr>
        <w:t>Basiq</w:t>
      </w:r>
    </w:p>
    <w:p w14:paraId="3C2B5BC0" w14:textId="30379E6D" w:rsidR="00E17E29" w:rsidRDefault="00DB7024" w:rsidP="00421311">
      <w:pPr>
        <w:ind w:right="170"/>
      </w:pPr>
      <w:r>
        <w:t>A</w:t>
      </w:r>
      <w:r w:rsidR="00A02372">
        <w:t xml:space="preserve">s </w:t>
      </w:r>
      <w:r w:rsidR="006D016C">
        <w:t xml:space="preserve">the </w:t>
      </w:r>
      <w:r w:rsidR="00265FE3">
        <w:t>system gathers momentum</w:t>
      </w:r>
      <w:r w:rsidR="006D016C">
        <w:t xml:space="preserve"> </w:t>
      </w:r>
      <w:r w:rsidR="00A02372">
        <w:t xml:space="preserve">the disincentives of </w:t>
      </w:r>
      <w:r w:rsidR="006D016C">
        <w:t xml:space="preserve">reciprocity </w:t>
      </w:r>
      <w:r w:rsidR="00F53FA5">
        <w:t xml:space="preserve">obligations </w:t>
      </w:r>
      <w:r w:rsidR="0085155D">
        <w:t xml:space="preserve">for smaller ADRs </w:t>
      </w:r>
      <w:r w:rsidR="00A02372">
        <w:t>will be offset by greater data availability</w:t>
      </w:r>
      <w:r w:rsidR="00F53FA5">
        <w:t xml:space="preserve"> as the </w:t>
      </w:r>
      <w:r w:rsidR="00F53FA5" w:rsidRPr="00DE1DFC">
        <w:t>CDR grows</w:t>
      </w:r>
      <w:r w:rsidR="00307E0F" w:rsidRPr="00DE1DFC">
        <w:t xml:space="preserve">. Developments to bring in </w:t>
      </w:r>
      <w:r w:rsidR="00D259B9" w:rsidRPr="00DE1DFC">
        <w:t>Open Finance</w:t>
      </w:r>
      <w:r w:rsidR="00086D26" w:rsidRPr="00DE1DFC">
        <w:t xml:space="preserve"> datasets into the CDR</w:t>
      </w:r>
      <w:r w:rsidR="00B5256D" w:rsidRPr="00DE1DFC">
        <w:t>, including the potential designation of non-bank lending</w:t>
      </w:r>
      <w:r w:rsidR="00086D26" w:rsidRPr="00DE1DFC">
        <w:t xml:space="preserve">, </w:t>
      </w:r>
      <w:r w:rsidR="00B5256D" w:rsidRPr="00DE1DFC">
        <w:t>is likely to</w:t>
      </w:r>
      <w:r w:rsidR="00086D26" w:rsidRPr="00DE1DFC">
        <w:t xml:space="preserve"> </w:t>
      </w:r>
      <w:r w:rsidR="00B5256D" w:rsidRPr="00DE1DFC">
        <w:t>further offset some of the issues raised around reciprocity</w:t>
      </w:r>
      <w:r w:rsidR="00265FE3" w:rsidRPr="00DE1DFC">
        <w:t xml:space="preserve">. </w:t>
      </w:r>
      <w:r w:rsidR="00B5256D" w:rsidRPr="00DE1DFC">
        <w:t>In the meantime,</w:t>
      </w:r>
      <w:r w:rsidR="00436E2E" w:rsidRPr="00DE1DFC">
        <w:t xml:space="preserve"> </w:t>
      </w:r>
      <w:r w:rsidR="00A966B0" w:rsidRPr="00DE1DFC">
        <w:t xml:space="preserve">consideration could be given to whether </w:t>
      </w:r>
      <w:r w:rsidR="00B5256D" w:rsidRPr="00DE1DFC">
        <w:t>reciproc</w:t>
      </w:r>
      <w:r w:rsidR="00671D15" w:rsidRPr="00DE1DFC">
        <w:t>al obligation</w:t>
      </w:r>
      <w:r w:rsidR="00B5256D" w:rsidRPr="00DE1DFC">
        <w:t xml:space="preserve"> deferrals are an effective </w:t>
      </w:r>
      <w:r w:rsidR="00436E2E" w:rsidRPr="00DE1DFC">
        <w:t>way</w:t>
      </w:r>
      <w:r w:rsidR="00834D30" w:rsidRPr="00DE1DFC">
        <w:t xml:space="preserve"> to</w:t>
      </w:r>
      <w:r w:rsidR="00A02372" w:rsidRPr="00DE1DFC">
        <w:t xml:space="preserve"> </w:t>
      </w:r>
      <w:r w:rsidR="00436E2E" w:rsidRPr="00DE1DFC">
        <w:t xml:space="preserve">support the transition of participants into the CDR </w:t>
      </w:r>
      <w:r w:rsidR="00B5256D" w:rsidRPr="00DE1DFC">
        <w:t xml:space="preserve">until the </w:t>
      </w:r>
      <w:r w:rsidR="005870B7" w:rsidRPr="00DE1DFC">
        <w:t>system</w:t>
      </w:r>
      <w:r w:rsidR="00A02372" w:rsidRPr="00DE1DFC" w:rsidDel="00B5256D">
        <w:t xml:space="preserve"> </w:t>
      </w:r>
      <w:r w:rsidR="00A02372" w:rsidRPr="00DE1DFC">
        <w:t>reach</w:t>
      </w:r>
      <w:r w:rsidR="00B5256D" w:rsidRPr="00DE1DFC">
        <w:t>es</w:t>
      </w:r>
      <w:r w:rsidR="00A02372" w:rsidRPr="00DE1DFC">
        <w:t xml:space="preserve"> </w:t>
      </w:r>
      <w:r w:rsidR="005953B2" w:rsidRPr="00DE1DFC">
        <w:t xml:space="preserve">a point of maturity </w:t>
      </w:r>
      <w:r w:rsidR="005870B7" w:rsidRPr="00DE1DFC">
        <w:t xml:space="preserve">and growth </w:t>
      </w:r>
      <w:r w:rsidR="00436E2E" w:rsidRPr="00DE1DFC">
        <w:t xml:space="preserve">where </w:t>
      </w:r>
      <w:r w:rsidR="00671D15" w:rsidRPr="00DE1DFC">
        <w:t>these</w:t>
      </w:r>
      <w:r w:rsidR="00265FE3" w:rsidRPr="00DE1DFC">
        <w:t xml:space="preserve"> obligations </w:t>
      </w:r>
      <w:r w:rsidR="00436E2E" w:rsidRPr="00DE1DFC">
        <w:t>could be reconsidered</w:t>
      </w:r>
      <w:r w:rsidR="000A103E" w:rsidRPr="00DE1DFC">
        <w:t>.</w:t>
      </w:r>
    </w:p>
    <w:p w14:paraId="7BA737DD" w14:textId="77777777" w:rsidR="00DB7024" w:rsidRDefault="00DB7024" w:rsidP="00E17E29"/>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E17E29" w14:paraId="30D08AF4" w14:textId="77777777" w:rsidTr="002161DB">
        <w:tc>
          <w:tcPr>
            <w:tcW w:w="5000" w:type="pct"/>
            <w:shd w:val="clear" w:color="auto" w:fill="F2F9FC"/>
            <w:hideMark/>
          </w:tcPr>
          <w:p w14:paraId="666BB674" w14:textId="60C5919D" w:rsidR="00E17E29" w:rsidRPr="00CE4B29" w:rsidRDefault="00E17E29" w:rsidP="00421311">
            <w:pPr>
              <w:pStyle w:val="BoxHeading"/>
            </w:pPr>
            <w:r w:rsidRPr="00CE4B29">
              <w:t>Finding 2.</w:t>
            </w:r>
            <w:r w:rsidR="009444A1" w:rsidRPr="00CE4B29">
              <w:t>5</w:t>
            </w:r>
          </w:p>
          <w:p w14:paraId="4D437AF3" w14:textId="5485C95B" w:rsidR="00E17E29" w:rsidRDefault="006209DB" w:rsidP="00421311">
            <w:pPr>
              <w:pStyle w:val="BoxText"/>
            </w:pPr>
            <w:r w:rsidRPr="00CE4B29">
              <w:rPr>
                <w:color w:val="2C384A" w:themeColor="accent1"/>
              </w:rPr>
              <w:t xml:space="preserve">As the CDR gains momentum and </w:t>
            </w:r>
            <w:r w:rsidR="00966715" w:rsidRPr="00CE4B29">
              <w:rPr>
                <w:color w:val="2C384A" w:themeColor="accent1"/>
              </w:rPr>
              <w:t xml:space="preserve">the </w:t>
            </w:r>
            <w:r w:rsidRPr="00CE4B29">
              <w:rPr>
                <w:color w:val="2C384A" w:themeColor="accent1"/>
              </w:rPr>
              <w:t xml:space="preserve">incentives to participate </w:t>
            </w:r>
            <w:r w:rsidR="00176B03" w:rsidRPr="00CE4B29">
              <w:rPr>
                <w:color w:val="2C384A" w:themeColor="accent1"/>
              </w:rPr>
              <w:t xml:space="preserve">increase, </w:t>
            </w:r>
            <w:r w:rsidR="00966715" w:rsidRPr="00CE4B29">
              <w:rPr>
                <w:color w:val="2C384A" w:themeColor="accent1"/>
              </w:rPr>
              <w:t>r</w:t>
            </w:r>
            <w:r w:rsidR="00E17E29" w:rsidRPr="00CE4B29">
              <w:rPr>
                <w:color w:val="2C384A" w:themeColor="accent1"/>
              </w:rPr>
              <w:t>eciprocal data</w:t>
            </w:r>
            <w:r w:rsidR="00BE7617" w:rsidRPr="00CE4B29">
              <w:rPr>
                <w:color w:val="2C384A" w:themeColor="accent1"/>
              </w:rPr>
              <w:t xml:space="preserve"> </w:t>
            </w:r>
            <w:r w:rsidR="008331AB" w:rsidRPr="00CE4B29">
              <w:rPr>
                <w:color w:val="2C384A" w:themeColor="accent1"/>
              </w:rPr>
              <w:t>holder</w:t>
            </w:r>
            <w:r w:rsidR="00E17E29" w:rsidRPr="00CE4B29">
              <w:rPr>
                <w:color w:val="2C384A" w:themeColor="accent1"/>
              </w:rPr>
              <w:t xml:space="preserve"> obligations </w:t>
            </w:r>
            <w:r w:rsidR="00CA7089" w:rsidRPr="00CE4B29">
              <w:rPr>
                <w:color w:val="2C384A" w:themeColor="accent1"/>
              </w:rPr>
              <w:t xml:space="preserve">should </w:t>
            </w:r>
            <w:r w:rsidR="00966715" w:rsidRPr="00CE4B29">
              <w:rPr>
                <w:color w:val="2C384A" w:themeColor="accent1"/>
              </w:rPr>
              <w:t xml:space="preserve">be </w:t>
            </w:r>
            <w:r w:rsidR="00912CDB" w:rsidRPr="00CE4B29">
              <w:rPr>
                <w:color w:val="2C384A" w:themeColor="accent1"/>
              </w:rPr>
              <w:t>monitored</w:t>
            </w:r>
            <w:r w:rsidR="00966715" w:rsidRPr="00CE4B29">
              <w:rPr>
                <w:color w:val="2C384A" w:themeColor="accent1"/>
              </w:rPr>
              <w:t xml:space="preserve"> to ensure they are </w:t>
            </w:r>
            <w:r w:rsidR="00D11577" w:rsidRPr="00CE4B29">
              <w:rPr>
                <w:color w:val="2C384A" w:themeColor="accent1"/>
              </w:rPr>
              <w:t xml:space="preserve">appropriately </w:t>
            </w:r>
            <w:r w:rsidR="00966715" w:rsidRPr="00CE4B29">
              <w:rPr>
                <w:color w:val="2C384A" w:themeColor="accent1"/>
              </w:rPr>
              <w:t>supporting the growth of a vibrant CDR ecosystem.</w:t>
            </w:r>
          </w:p>
        </w:tc>
      </w:tr>
    </w:tbl>
    <w:p w14:paraId="4D770DD6" w14:textId="799F4CD8" w:rsidR="00265FE3" w:rsidRPr="00383A01" w:rsidRDefault="00265FE3" w:rsidP="00265FE3">
      <w:pPr>
        <w:pStyle w:val="Heading2"/>
        <w:rPr>
          <w:rFonts w:asciiTheme="majorHAnsi" w:hAnsiTheme="majorHAnsi"/>
        </w:rPr>
      </w:pPr>
      <w:bookmarkStart w:id="109" w:name="_Toc106286094"/>
      <w:bookmarkStart w:id="110" w:name="_Toc106358404"/>
      <w:bookmarkStart w:id="111" w:name="_Toc110602888"/>
      <w:r>
        <w:t>2.</w:t>
      </w:r>
      <w:r w:rsidR="00B04583">
        <w:t>1</w:t>
      </w:r>
      <w:r w:rsidR="003D3435">
        <w:t>1</w:t>
      </w:r>
      <w:r>
        <w:t xml:space="preserve"> </w:t>
      </w:r>
      <w:r w:rsidRPr="00383A01">
        <w:t xml:space="preserve">Part </w:t>
      </w:r>
      <w:r>
        <w:t>Two</w:t>
      </w:r>
      <w:r w:rsidRPr="00383A01">
        <w:t xml:space="preserve"> – Conclusion</w:t>
      </w:r>
      <w:bookmarkEnd w:id="109"/>
      <w:bookmarkEnd w:id="110"/>
      <w:bookmarkEnd w:id="111"/>
    </w:p>
    <w:p w14:paraId="45622A4B" w14:textId="66020AFE" w:rsidR="00664074" w:rsidRDefault="008453E0" w:rsidP="00664074">
      <w:pPr>
        <w:rPr>
          <w:rFonts w:eastAsiaTheme="minorHAnsi"/>
        </w:rPr>
      </w:pPr>
      <w:r>
        <w:rPr>
          <w:rFonts w:eastAsiaTheme="minorHAnsi"/>
        </w:rPr>
        <w:t>T</w:t>
      </w:r>
      <w:r w:rsidR="00265FE3" w:rsidRPr="000749B3">
        <w:rPr>
          <w:rFonts w:eastAsiaTheme="minorHAnsi"/>
        </w:rPr>
        <w:t>he CDR has not been easy to engage with</w:t>
      </w:r>
      <w:r w:rsidR="00196333">
        <w:rPr>
          <w:rFonts w:eastAsiaTheme="minorHAnsi"/>
        </w:rPr>
        <w:t>. This is</w:t>
      </w:r>
      <w:r w:rsidR="00265FE3" w:rsidRPr="000749B3">
        <w:rPr>
          <w:rFonts w:eastAsiaTheme="minorHAnsi"/>
        </w:rPr>
        <w:t xml:space="preserve"> </w:t>
      </w:r>
      <w:r>
        <w:rPr>
          <w:rFonts w:eastAsiaTheme="minorHAnsi"/>
        </w:rPr>
        <w:t>an issue that</w:t>
      </w:r>
      <w:r w:rsidR="00265FE3" w:rsidRPr="000749B3">
        <w:rPr>
          <w:rFonts w:eastAsiaTheme="minorHAnsi"/>
        </w:rPr>
        <w:t xml:space="preserve"> must be addressed if the CDR is to continue to develop. Significant efforts have already been made to improve the system, but further effort is </w:t>
      </w:r>
      <w:r w:rsidR="00196333">
        <w:rPr>
          <w:rFonts w:eastAsiaTheme="minorHAnsi"/>
        </w:rPr>
        <w:t>needed</w:t>
      </w:r>
      <w:r w:rsidR="00196333" w:rsidRPr="000749B3">
        <w:rPr>
          <w:rFonts w:eastAsiaTheme="minorHAnsi"/>
        </w:rPr>
        <w:t xml:space="preserve"> </w:t>
      </w:r>
      <w:r w:rsidR="00265FE3" w:rsidRPr="000749B3">
        <w:rPr>
          <w:rFonts w:eastAsiaTheme="minorHAnsi"/>
        </w:rPr>
        <w:t>to ensure</w:t>
      </w:r>
      <w:r>
        <w:rPr>
          <w:rFonts w:eastAsiaTheme="minorHAnsi"/>
        </w:rPr>
        <w:t xml:space="preserve"> that</w:t>
      </w:r>
      <w:r w:rsidR="00265FE3" w:rsidRPr="000749B3">
        <w:rPr>
          <w:rFonts w:eastAsiaTheme="minorHAnsi"/>
        </w:rPr>
        <w:t xml:space="preserve"> consumers and businesses can</w:t>
      </w:r>
      <w:r>
        <w:rPr>
          <w:rFonts w:eastAsiaTheme="minorHAnsi"/>
        </w:rPr>
        <w:t xml:space="preserve"> readily</w:t>
      </w:r>
      <w:r w:rsidR="00265FE3" w:rsidRPr="000749B3">
        <w:rPr>
          <w:rFonts w:eastAsiaTheme="minorHAnsi"/>
        </w:rPr>
        <w:t xml:space="preserve"> engage with </w:t>
      </w:r>
      <w:r w:rsidR="00196333">
        <w:rPr>
          <w:rFonts w:eastAsiaTheme="minorHAnsi"/>
        </w:rPr>
        <w:t>it</w:t>
      </w:r>
      <w:r w:rsidR="00265FE3" w:rsidRPr="000749B3">
        <w:rPr>
          <w:rFonts w:eastAsiaTheme="minorHAnsi"/>
        </w:rPr>
        <w:t xml:space="preserve">. </w:t>
      </w:r>
    </w:p>
    <w:p w14:paraId="119380D8" w14:textId="4BECD73C" w:rsidR="00265FE3" w:rsidRPr="000749B3" w:rsidRDefault="00265FE3" w:rsidP="00600205">
      <w:pPr>
        <w:rPr>
          <w:rFonts w:eastAsiaTheme="minorHAnsi"/>
        </w:rPr>
      </w:pPr>
      <w:r w:rsidRPr="000749B3">
        <w:rPr>
          <w:rFonts w:eastAsiaTheme="minorHAnsi"/>
        </w:rPr>
        <w:t xml:space="preserve">Priority should be given to improving coordination between CDR agencies and addressing data quality issues. More thought must be given to how consumers interact with CDR products and services, particularly with the consent requirements, about which </w:t>
      </w:r>
      <w:r w:rsidR="00196333">
        <w:rPr>
          <w:rFonts w:eastAsiaTheme="minorHAnsi"/>
        </w:rPr>
        <w:t>concerns</w:t>
      </w:r>
      <w:r w:rsidRPr="000749B3">
        <w:rPr>
          <w:rFonts w:eastAsiaTheme="minorHAnsi"/>
        </w:rPr>
        <w:t xml:space="preserve"> were raised by a variety of stakeholders. Work should continue on refining pathways for consumer</w:t>
      </w:r>
      <w:r w:rsidR="00196333">
        <w:rPr>
          <w:rFonts w:eastAsiaTheme="minorHAnsi"/>
        </w:rPr>
        <w:t>s</w:t>
      </w:r>
      <w:r w:rsidRPr="000749B3">
        <w:rPr>
          <w:rFonts w:eastAsiaTheme="minorHAnsi"/>
        </w:rPr>
        <w:t xml:space="preserve"> to receive CDR data</w:t>
      </w:r>
      <w:r w:rsidR="00196333">
        <w:rPr>
          <w:rFonts w:eastAsiaTheme="minorHAnsi"/>
        </w:rPr>
        <w:t>,</w:t>
      </w:r>
      <w:r w:rsidRPr="000749B3">
        <w:rPr>
          <w:rFonts w:eastAsiaTheme="minorHAnsi"/>
        </w:rPr>
        <w:t xml:space="preserve"> with particular attention to liability requirements and how they could be adjusted to spread risk more effectively in the ecosystem. With this work, the CDR will be well placed to build the momentum it needs to become economy-wide </w:t>
      </w:r>
      <w:r w:rsidR="00196333">
        <w:rPr>
          <w:rFonts w:eastAsiaTheme="minorHAnsi"/>
        </w:rPr>
        <w:t>and</w:t>
      </w:r>
      <w:r w:rsidRPr="000749B3">
        <w:rPr>
          <w:rFonts w:eastAsiaTheme="minorHAnsi"/>
        </w:rPr>
        <w:t xml:space="preserve"> conducive to significant consumer benefit. </w:t>
      </w:r>
      <w:r w:rsidR="0051332B">
        <w:rPr>
          <w:rFonts w:eastAsiaTheme="minorHAnsi"/>
        </w:rPr>
        <w:t>Further</w:t>
      </w:r>
      <w:r w:rsidRPr="000749B3">
        <w:rPr>
          <w:rFonts w:eastAsiaTheme="minorHAnsi"/>
        </w:rPr>
        <w:t xml:space="preserve"> changes to the system, including to the governance structure and reciprocal data holder obligations, may be </w:t>
      </w:r>
      <w:r w:rsidR="0051332B">
        <w:rPr>
          <w:rFonts w:eastAsiaTheme="minorHAnsi"/>
        </w:rPr>
        <w:t xml:space="preserve">in the future </w:t>
      </w:r>
      <w:r w:rsidRPr="000749B3">
        <w:rPr>
          <w:rFonts w:eastAsiaTheme="minorHAnsi"/>
        </w:rPr>
        <w:t xml:space="preserve">necessary to support </w:t>
      </w:r>
      <w:r w:rsidR="00196333">
        <w:rPr>
          <w:rFonts w:eastAsiaTheme="minorHAnsi"/>
        </w:rPr>
        <w:t xml:space="preserve">its </w:t>
      </w:r>
      <w:r w:rsidRPr="000749B3">
        <w:rPr>
          <w:rFonts w:eastAsiaTheme="minorHAnsi"/>
        </w:rPr>
        <w:t>longer</w:t>
      </w:r>
      <w:r w:rsidR="00196333">
        <w:rPr>
          <w:rFonts w:eastAsiaTheme="minorHAnsi"/>
        </w:rPr>
        <w:t>-</w:t>
      </w:r>
      <w:r w:rsidRPr="000749B3">
        <w:rPr>
          <w:rFonts w:eastAsiaTheme="minorHAnsi"/>
        </w:rPr>
        <w:t>term objectives.</w:t>
      </w:r>
    </w:p>
    <w:p w14:paraId="62C29BD5" w14:textId="77777777" w:rsidR="00265FE3" w:rsidRDefault="00265FE3" w:rsidP="00265FE3">
      <w:r>
        <w:br w:type="page"/>
      </w:r>
    </w:p>
    <w:p w14:paraId="5EE13183" w14:textId="63DA83CC" w:rsidR="00265FE3" w:rsidRPr="0051274E" w:rsidRDefault="00265FE3" w:rsidP="00421311">
      <w:pPr>
        <w:pStyle w:val="Heading1"/>
        <w:ind w:right="624"/>
      </w:pPr>
      <w:bookmarkStart w:id="112" w:name="_Toc106286095"/>
      <w:bookmarkStart w:id="113" w:name="_Toc106358405"/>
      <w:bookmarkStart w:id="114" w:name="_Toc110602889"/>
      <w:r w:rsidRPr="0051274E">
        <w:lastRenderedPageBreak/>
        <w:t xml:space="preserve">Part Three: The CDR </w:t>
      </w:r>
      <w:r w:rsidR="00DD556B">
        <w:t>w</w:t>
      </w:r>
      <w:r w:rsidRPr="0051274E">
        <w:t xml:space="preserve">ithin an </w:t>
      </w:r>
      <w:r w:rsidR="00DD556B">
        <w:t>e</w:t>
      </w:r>
      <w:r w:rsidRPr="0051274E">
        <w:t>merging</w:t>
      </w:r>
      <w:r w:rsidRPr="00383A01">
        <w:t xml:space="preserve"> </w:t>
      </w:r>
      <w:r w:rsidR="00DD556B">
        <w:t>d</w:t>
      </w:r>
      <w:r w:rsidRPr="0051274E">
        <w:t xml:space="preserve">igital </w:t>
      </w:r>
      <w:r w:rsidR="00DD556B">
        <w:t>e</w:t>
      </w:r>
      <w:r w:rsidRPr="0051274E">
        <w:t>conomy</w:t>
      </w:r>
      <w:bookmarkEnd w:id="112"/>
      <w:bookmarkEnd w:id="113"/>
      <w:bookmarkEnd w:id="114"/>
    </w:p>
    <w:p w14:paraId="00356774" w14:textId="3084DF12" w:rsidR="00265FE3" w:rsidRDefault="00265FE3" w:rsidP="00265FE3">
      <w:r>
        <w:t xml:space="preserve">The Review heard significant enthusiasm </w:t>
      </w:r>
      <w:r w:rsidR="00516A08">
        <w:t xml:space="preserve">regarding </w:t>
      </w:r>
      <w:r>
        <w:t xml:space="preserve">opportunities for the CDR to integrate with Australia’s broader digital economy. Part Three provides an overview of some </w:t>
      </w:r>
      <w:r w:rsidR="00516A08">
        <w:t xml:space="preserve">of the </w:t>
      </w:r>
      <w:r>
        <w:t xml:space="preserve">areas </w:t>
      </w:r>
      <w:r w:rsidR="00516A08">
        <w:t>that were</w:t>
      </w:r>
      <w:r>
        <w:t xml:space="preserve"> </w:t>
      </w:r>
      <w:r w:rsidR="00E872B6">
        <w:t>identified</w:t>
      </w:r>
      <w:r>
        <w:t xml:space="preserve"> </w:t>
      </w:r>
      <w:r w:rsidR="00516A08">
        <w:t xml:space="preserve">where </w:t>
      </w:r>
      <w:r w:rsidR="00B27CA0">
        <w:t xml:space="preserve">the </w:t>
      </w:r>
      <w:r>
        <w:t>CDR could provide new opportunities</w:t>
      </w:r>
      <w:r w:rsidR="00516A08">
        <w:t>,</w:t>
      </w:r>
      <w:r>
        <w:t xml:space="preserve"> </w:t>
      </w:r>
      <w:r w:rsidRPr="00F3484D">
        <w:t xml:space="preserve">including </w:t>
      </w:r>
      <w:r w:rsidR="00727F0A" w:rsidRPr="00F3484D">
        <w:t>aligning</w:t>
      </w:r>
      <w:r w:rsidR="00727F0A">
        <w:t xml:space="preserve"> </w:t>
      </w:r>
      <w:r>
        <w:t xml:space="preserve">with technological developments in payments infrastructure as well as with regulatory developments underway. </w:t>
      </w:r>
    </w:p>
    <w:p w14:paraId="3857D977" w14:textId="2E2E8D3C" w:rsidR="001D16A3" w:rsidRPr="00F3484D" w:rsidRDefault="001D16A3" w:rsidP="00265FE3">
      <w:r w:rsidRPr="00F3484D">
        <w:t xml:space="preserve">The CDR could become a key driver of Australia’s digital economy by providing consumers the infrastructure to share their data safely and securely to obtain benefits. </w:t>
      </w:r>
      <w:r w:rsidR="00A66C23" w:rsidRPr="003D3435">
        <w:t>The CDR also provides the framework that can create a flourishing data market in Australia.</w:t>
      </w:r>
      <w:r w:rsidR="00A66C23">
        <w:t xml:space="preserve"> </w:t>
      </w:r>
      <w:r w:rsidRPr="00F3484D">
        <w:t xml:space="preserve">The Review has heard and recognised the need for </w:t>
      </w:r>
      <w:r w:rsidR="007C6E32">
        <w:t xml:space="preserve">alignment </w:t>
      </w:r>
      <w:r w:rsidRPr="00F3484D">
        <w:t xml:space="preserve">with other digital initiatives and regulatory frameworks, limiting duplication where possible. </w:t>
      </w:r>
    </w:p>
    <w:p w14:paraId="1BCE8018" w14:textId="22E30F0B" w:rsidR="00265FE3" w:rsidRDefault="00265FE3" w:rsidP="00265FE3">
      <w:r>
        <w:t xml:space="preserve">A key area of the digital economy that has seen significant and rapid development is payments. The New Payments Platform (NPP) </w:t>
      </w:r>
      <w:r w:rsidR="00B349B1">
        <w:t xml:space="preserve">has </w:t>
      </w:r>
      <w:r>
        <w:t>already demonstrated improvements to consumer payment experiences and promise</w:t>
      </w:r>
      <w:r w:rsidR="00B349B1">
        <w:t>s</w:t>
      </w:r>
      <w:r>
        <w:t xml:space="preserve"> to deliver further consumer value in the coming years</w:t>
      </w:r>
      <w:r w:rsidR="00B349B1">
        <w:t>, including through its PayTo service</w:t>
      </w:r>
      <w:r>
        <w:t xml:space="preserve">. Further development of the CDR should consider how its unique framework for secure transfers of consumer, product and service data </w:t>
      </w:r>
      <w:r w:rsidR="00516A08">
        <w:t xml:space="preserve">could </w:t>
      </w:r>
      <w:r>
        <w:t xml:space="preserve">integrate with and augment existing </w:t>
      </w:r>
      <w:r w:rsidR="00EF70E2">
        <w:t xml:space="preserve">and emerging payment </w:t>
      </w:r>
      <w:r>
        <w:t>channels.</w:t>
      </w:r>
    </w:p>
    <w:p w14:paraId="5C14DFFA" w14:textId="7CCA5257" w:rsidR="00265FE3" w:rsidRDefault="00265FE3" w:rsidP="00265FE3">
      <w:r>
        <w:t>Alongside these technological advances, there ha</w:t>
      </w:r>
      <w:r w:rsidR="00E872B6">
        <w:t>ve</w:t>
      </w:r>
      <w:r>
        <w:t xml:space="preserve"> also been updates to the legislative framework of Australia’s digital economy</w:t>
      </w:r>
      <w:r w:rsidR="00516A08">
        <w:t>, f</w:t>
      </w:r>
      <w:r>
        <w:t>or example</w:t>
      </w:r>
      <w:r w:rsidR="00EB4E6B">
        <w:t>,</w:t>
      </w:r>
      <w:r>
        <w:t xml:space="preserve"> the recent </w:t>
      </w:r>
      <w:r>
        <w:rPr>
          <w:i/>
          <w:iCs/>
        </w:rPr>
        <w:t xml:space="preserve">Data Availability and Transparency Act </w:t>
      </w:r>
      <w:r>
        <w:t xml:space="preserve">2022 (DATA 2022) and the ongoing </w:t>
      </w:r>
      <w:r>
        <w:rPr>
          <w:i/>
          <w:iCs/>
        </w:rPr>
        <w:t xml:space="preserve">Privacy Act 1988 </w:t>
      </w:r>
      <w:r>
        <w:t>review. The CDR is a complex statutory framework and</w:t>
      </w:r>
      <w:r w:rsidR="00516A08">
        <w:t>,</w:t>
      </w:r>
      <w:r>
        <w:t xml:space="preserve"> where possible</w:t>
      </w:r>
      <w:r w:rsidR="00516A08">
        <w:t xml:space="preserve">, </w:t>
      </w:r>
      <w:r>
        <w:t xml:space="preserve">should seek </w:t>
      </w:r>
      <w:r w:rsidR="00516A08">
        <w:t xml:space="preserve">to </w:t>
      </w:r>
      <w:r>
        <w:t xml:space="preserve">integrate and operate in </w:t>
      </w:r>
      <w:r w:rsidR="00E872B6">
        <w:t xml:space="preserve">concert </w:t>
      </w:r>
      <w:r>
        <w:t xml:space="preserve">with other government </w:t>
      </w:r>
      <w:r w:rsidR="001D16A3">
        <w:t>and international</w:t>
      </w:r>
      <w:r>
        <w:t xml:space="preserve"> initiatives. </w:t>
      </w:r>
    </w:p>
    <w:p w14:paraId="27E15815" w14:textId="6EECFC27" w:rsidR="00265FE3" w:rsidRDefault="00265FE3" w:rsidP="00265FE3">
      <w:pPr>
        <w:pStyle w:val="Heading2"/>
      </w:pPr>
      <w:bookmarkStart w:id="115" w:name="_Toc106286096"/>
      <w:bookmarkStart w:id="116" w:name="_Toc106358406"/>
      <w:bookmarkStart w:id="117" w:name="_Toc110602890"/>
      <w:bookmarkStart w:id="118" w:name="_Hlk106699586"/>
      <w:r w:rsidRPr="00383A01">
        <w:t xml:space="preserve">3.1 </w:t>
      </w:r>
      <w:bookmarkEnd w:id="115"/>
      <w:bookmarkEnd w:id="116"/>
      <w:r w:rsidR="009372B4">
        <w:tab/>
      </w:r>
      <w:r w:rsidR="001B7820" w:rsidRPr="00DE1DFC">
        <w:t xml:space="preserve">Improving settings to </w:t>
      </w:r>
      <w:r w:rsidR="00990E4A" w:rsidRPr="00DE1DFC">
        <w:t>support CDR</w:t>
      </w:r>
      <w:r w:rsidR="009D68E6" w:rsidRPr="00DE1DFC">
        <w:t xml:space="preserve"> services for small business consumers</w:t>
      </w:r>
      <w:bookmarkEnd w:id="117"/>
      <w:r w:rsidR="001B7820" w:rsidRPr="001B7820">
        <w:t xml:space="preserve"> </w:t>
      </w:r>
    </w:p>
    <w:p w14:paraId="6A3C81BE" w14:textId="083C6666" w:rsidR="00C50267" w:rsidRDefault="00265FE3" w:rsidP="00790CC4">
      <w:pPr>
        <w:rPr>
          <w:highlight w:val="magenta"/>
        </w:rPr>
      </w:pPr>
      <w:r>
        <w:t xml:space="preserve">It </w:t>
      </w:r>
      <w:r w:rsidR="00516A08">
        <w:t>was</w:t>
      </w:r>
      <w:r w:rsidR="003F5CF1">
        <w:t xml:space="preserve"> </w:t>
      </w:r>
      <w:r w:rsidR="001445A1">
        <w:t xml:space="preserve">consistently </w:t>
      </w:r>
      <w:r>
        <w:t xml:space="preserve">acknowledged </w:t>
      </w:r>
      <w:r w:rsidR="001445A1">
        <w:t>by stakeholders</w:t>
      </w:r>
      <w:r>
        <w:t xml:space="preserve"> </w:t>
      </w:r>
      <w:r w:rsidR="003F5CF1">
        <w:t xml:space="preserve">that </w:t>
      </w:r>
      <w:r>
        <w:t>the core user and focus of the CDR has always been, and should remain, the consumer</w:t>
      </w:r>
      <w:r w:rsidR="001B7820">
        <w:t xml:space="preserve"> – including small business consumers</w:t>
      </w:r>
      <w:r w:rsidRPr="00F3484D" w:rsidDel="001B7820">
        <w:t>.</w:t>
      </w:r>
      <w:r w:rsidRPr="00F3484D">
        <w:t xml:space="preserve"> </w:t>
      </w:r>
      <w:r w:rsidR="001B7820">
        <w:t>However, o</w:t>
      </w:r>
      <w:r w:rsidR="00CF0202" w:rsidRPr="00F3484D">
        <w:t xml:space="preserve">bligations to facilitate the sharing </w:t>
      </w:r>
      <w:r w:rsidR="00DB3EA5">
        <w:t>of</w:t>
      </w:r>
      <w:r w:rsidR="00CF0202" w:rsidRPr="00F3484D">
        <w:t xml:space="preserve"> business data ha</w:t>
      </w:r>
      <w:r w:rsidR="001B7820">
        <w:t>ve</w:t>
      </w:r>
      <w:r w:rsidR="00CF0202" w:rsidRPr="00F3484D">
        <w:t xml:space="preserve"> either </w:t>
      </w:r>
      <w:r w:rsidR="001B7820">
        <w:t xml:space="preserve">only </w:t>
      </w:r>
      <w:r w:rsidR="00CF0202" w:rsidRPr="00F3484D">
        <w:t>recently taken effect (major banks commenced in November 2021) or ha</w:t>
      </w:r>
      <w:r w:rsidR="001B7820">
        <w:t>ve</w:t>
      </w:r>
      <w:r w:rsidR="00CF0202" w:rsidRPr="00F3484D">
        <w:t xml:space="preserve"> yet to take effect (non-major banks </w:t>
      </w:r>
      <w:r w:rsidR="00034470">
        <w:t xml:space="preserve">will </w:t>
      </w:r>
      <w:r w:rsidR="00CF0202" w:rsidRPr="00F3484D">
        <w:t>commence in November 2022)</w:t>
      </w:r>
      <w:r w:rsidR="00BA4906" w:rsidRPr="00F3484D">
        <w:t>.</w:t>
      </w:r>
      <w:r w:rsidR="00CF0202" w:rsidRPr="00F3484D">
        <w:t xml:space="preserve"> </w:t>
      </w:r>
      <w:r w:rsidRPr="00F3484D">
        <w:t xml:space="preserve">With </w:t>
      </w:r>
      <w:r w:rsidR="00516A08" w:rsidRPr="00F3484D">
        <w:t>the majority of Australia’s</w:t>
      </w:r>
      <w:r w:rsidRPr="00F3484D">
        <w:t xml:space="preserve"> approximately 2.4 million businesses in a position to benefit from using the CDR to disclose their own data,</w:t>
      </w:r>
      <w:r w:rsidRPr="00F3484D">
        <w:rPr>
          <w:rStyle w:val="FootnoteReference"/>
          <w:sz w:val="22"/>
          <w:szCs w:val="24"/>
          <w:vertAlign w:val="superscript"/>
        </w:rPr>
        <w:footnoteReference w:id="35"/>
      </w:r>
      <w:r w:rsidRPr="00F3484D">
        <w:t xml:space="preserve"> designing the CDR to facilitate the participation </w:t>
      </w:r>
      <w:r w:rsidR="00516A08" w:rsidRPr="00F3484D">
        <w:t xml:space="preserve">and particular needs </w:t>
      </w:r>
      <w:r w:rsidRPr="00F3484D">
        <w:t>of these businesses</w:t>
      </w:r>
      <w:r w:rsidR="00516A08" w:rsidRPr="00F3484D">
        <w:t xml:space="preserve"> </w:t>
      </w:r>
      <w:r w:rsidRPr="00F3484D">
        <w:t xml:space="preserve">could significantly increase the value </w:t>
      </w:r>
      <w:r w:rsidR="00683BD5" w:rsidRPr="00F3484D">
        <w:t xml:space="preserve">obtained </w:t>
      </w:r>
      <w:r w:rsidRPr="00F3484D">
        <w:t>from the CDR.</w:t>
      </w:r>
      <w:r w:rsidR="005D7A07" w:rsidRPr="00F3484D">
        <w:t xml:space="preserve"> </w:t>
      </w:r>
      <w:r w:rsidR="006C2679" w:rsidRPr="00F3484D">
        <w:t xml:space="preserve">These </w:t>
      </w:r>
      <w:r w:rsidR="00212C82" w:rsidRPr="00F3484D">
        <w:t xml:space="preserve">benefits </w:t>
      </w:r>
      <w:r w:rsidR="006C2679" w:rsidRPr="00F3484D">
        <w:t xml:space="preserve">have </w:t>
      </w:r>
      <w:r w:rsidR="00212C82" w:rsidRPr="00F3484D">
        <w:t>begun to be realised</w:t>
      </w:r>
      <w:r w:rsidR="006C2679" w:rsidRPr="00F3484D">
        <w:t xml:space="preserve"> for small businesses under the UK</w:t>
      </w:r>
      <w:r w:rsidR="00F40B95" w:rsidRPr="00F3484D">
        <w:t xml:space="preserve"> </w:t>
      </w:r>
      <w:r w:rsidR="006C2679" w:rsidRPr="00F3484D">
        <w:t xml:space="preserve">Open Banking </w:t>
      </w:r>
      <w:r w:rsidR="00800395">
        <w:t>scheme</w:t>
      </w:r>
      <w:r w:rsidR="00BC14D5" w:rsidRPr="00F3484D">
        <w:t>,</w:t>
      </w:r>
      <w:r w:rsidR="00A4397A" w:rsidRPr="00F3484D">
        <w:t xml:space="preserve"> and were recently highlighted in the latest OBIE</w:t>
      </w:r>
      <w:r w:rsidR="00A4397A" w:rsidRPr="000A5DFD">
        <w:t xml:space="preserve"> impact report</w:t>
      </w:r>
      <w:r w:rsidR="00A4397A" w:rsidRPr="000A5DFD">
        <w:rPr>
          <w:rStyle w:val="FootnoteReference"/>
          <w:sz w:val="22"/>
          <w:szCs w:val="22"/>
          <w:vertAlign w:val="superscript"/>
        </w:rPr>
        <w:footnoteReference w:id="36"/>
      </w:r>
      <w:r w:rsidR="00A4397A">
        <w:t xml:space="preserve"> which focussed on how businesses utilise cloud accounting services with the integration of open banking.</w:t>
      </w:r>
    </w:p>
    <w:p w14:paraId="48664568" w14:textId="1F455B0D" w:rsidR="00C50267" w:rsidRDefault="00C50267" w:rsidP="00265FE3">
      <w:pPr>
        <w:pStyle w:val="ListParagraph"/>
        <w:spacing w:after="0"/>
        <w:ind w:left="0"/>
        <w:contextualSpacing w:val="0"/>
        <w:rPr>
          <w:highlight w:val="magenta"/>
        </w:rPr>
      </w:pP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985C9C" w14:paraId="34314066" w14:textId="77777777" w:rsidTr="00124FC6">
        <w:trPr>
          <w:cnfStyle w:val="100000000000" w:firstRow="1" w:lastRow="0" w:firstColumn="0" w:lastColumn="0" w:oddVBand="0" w:evenVBand="0" w:oddHBand="0" w:evenHBand="0" w:firstRowFirstColumn="0" w:firstRowLastColumn="0" w:lastRowFirstColumn="0" w:lastRowLastColumn="0"/>
          <w:trHeight w:val="7009"/>
        </w:trPr>
        <w:tc>
          <w:tcPr>
            <w:tcW w:w="0" w:type="pct"/>
            <w:shd w:val="clear" w:color="auto" w:fill="F2F2F2" w:themeFill="background1" w:themeFillShade="F2"/>
          </w:tcPr>
          <w:p w14:paraId="425926EB" w14:textId="1E98B9B3" w:rsidR="00985C9C" w:rsidRPr="00822EF9" w:rsidRDefault="00985C9C" w:rsidP="00124FC6">
            <w:pPr>
              <w:pStyle w:val="BoxHeading"/>
              <w:rPr>
                <w:i/>
              </w:rPr>
            </w:pPr>
            <w:r w:rsidRPr="00124FC6">
              <w:lastRenderedPageBreak/>
              <w:t>Box 3.1 – The Open Banking Impact Report June 2022</w:t>
            </w:r>
          </w:p>
          <w:p w14:paraId="1C324B8F" w14:textId="77777777" w:rsidR="00985C9C" w:rsidRPr="00124FC6" w:rsidRDefault="00985C9C" w:rsidP="00124FC6">
            <w:pPr>
              <w:pStyle w:val="BoxText"/>
              <w:ind w:right="170"/>
              <w:rPr>
                <w:sz w:val="24"/>
                <w:szCs w:val="24"/>
              </w:rPr>
            </w:pPr>
            <w:r w:rsidRPr="00D4755B">
              <w:rPr>
                <w:szCs w:val="24"/>
              </w:rPr>
              <w:t>Released in June 2022, the latest</w:t>
            </w:r>
            <w:r w:rsidRPr="00167D86">
              <w:rPr>
                <w:szCs w:val="24"/>
              </w:rPr>
              <w:t xml:space="preserve"> OBIE impact report focusses on how small businesses are utilising cloud accounting, of which Open Banking feeds are an integral part. It explored how the adoption of cloud accounting has delivered efficiencies and improvements in how small businesses are able to manage their accounts and improve business decisions. </w:t>
            </w:r>
          </w:p>
          <w:p w14:paraId="50896478" w14:textId="46973A01" w:rsidR="00985C9C" w:rsidRPr="00124FC6" w:rsidRDefault="00985C9C" w:rsidP="00124FC6">
            <w:pPr>
              <w:pStyle w:val="BoxText"/>
              <w:ind w:right="57"/>
              <w:rPr>
                <w:sz w:val="24"/>
                <w:szCs w:val="24"/>
              </w:rPr>
            </w:pPr>
            <w:r w:rsidRPr="00D4755B">
              <w:rPr>
                <w:szCs w:val="24"/>
              </w:rPr>
              <w:t>While cloud accounting services pre-date Open Banking</w:t>
            </w:r>
            <w:r w:rsidR="00EB05CB" w:rsidRPr="00167D86">
              <w:rPr>
                <w:szCs w:val="24"/>
              </w:rPr>
              <w:t xml:space="preserve">, </w:t>
            </w:r>
            <w:r w:rsidR="000D460D" w:rsidRPr="00167D86">
              <w:rPr>
                <w:szCs w:val="24"/>
              </w:rPr>
              <w:t>cloud accounting services</w:t>
            </w:r>
            <w:r w:rsidR="00EB05CB" w:rsidRPr="00E6039E">
              <w:rPr>
                <w:szCs w:val="24"/>
              </w:rPr>
              <w:t xml:space="preserve"> only started to </w:t>
            </w:r>
            <w:r w:rsidR="008F6763" w:rsidRPr="00E6039E">
              <w:rPr>
                <w:szCs w:val="24"/>
              </w:rPr>
              <w:t xml:space="preserve">be </w:t>
            </w:r>
            <w:r w:rsidR="00EB05CB" w:rsidRPr="002252C2">
              <w:rPr>
                <w:szCs w:val="24"/>
              </w:rPr>
              <w:t>incorporate</w:t>
            </w:r>
            <w:r w:rsidR="008F6763" w:rsidRPr="002252C2">
              <w:rPr>
                <w:szCs w:val="24"/>
              </w:rPr>
              <w:t>d into</w:t>
            </w:r>
            <w:r w:rsidR="00EB05CB" w:rsidRPr="002252C2">
              <w:rPr>
                <w:szCs w:val="24"/>
              </w:rPr>
              <w:t xml:space="preserve"> Open Banking </w:t>
            </w:r>
            <w:r w:rsidRPr="002252C2">
              <w:rPr>
                <w:szCs w:val="24"/>
              </w:rPr>
              <w:t>in 2019</w:t>
            </w:r>
            <w:r w:rsidR="000D460D" w:rsidRPr="003D0786">
              <w:rPr>
                <w:szCs w:val="24"/>
              </w:rPr>
              <w:t>.</w:t>
            </w:r>
            <w:r w:rsidRPr="0002173D">
              <w:rPr>
                <w:rFonts w:cs="Calibri Light"/>
                <w:szCs w:val="24"/>
              </w:rPr>
              <w:t xml:space="preserve"> 11 per cent of respondents would stop using their cu</w:t>
            </w:r>
            <w:r w:rsidRPr="003D33CE">
              <w:rPr>
                <w:rFonts w:cs="Calibri Light"/>
                <w:szCs w:val="24"/>
              </w:rPr>
              <w:t>rrent service if the ability to incorporate real time transactions from Open Banking was lost and a further 50 per cent would seek out an alternative. The key findings</w:t>
            </w:r>
            <w:r w:rsidRPr="003D33CE">
              <w:rPr>
                <w:szCs w:val="24"/>
              </w:rPr>
              <w:t xml:space="preserve"> from the report revealed:</w:t>
            </w:r>
          </w:p>
          <w:p w14:paraId="41E04049" w14:textId="77777777" w:rsidR="00985C9C" w:rsidRPr="0035223B" w:rsidRDefault="00985C9C" w:rsidP="00124FC6">
            <w:pPr>
              <w:pStyle w:val="Boxbullet"/>
              <w:rPr>
                <w:color w:val="2C384A" w:themeColor="accent1"/>
                <w:sz w:val="24"/>
                <w:szCs w:val="24"/>
              </w:rPr>
            </w:pPr>
            <w:r w:rsidRPr="0035223B">
              <w:rPr>
                <w:color w:val="2C384A" w:themeColor="accent1"/>
                <w:szCs w:val="24"/>
              </w:rPr>
              <w:t>77 per cent of small business respondents reported they now have more immediate and accurate insights into their financial position at any given time as a result of using cloud accounting services, and 84 per cent agreed cloud accounting led to them feeling more efficient.</w:t>
            </w:r>
          </w:p>
          <w:p w14:paraId="530F118D" w14:textId="7D1F649B" w:rsidR="00985C9C" w:rsidRPr="0035223B" w:rsidRDefault="00985C9C" w:rsidP="00124FC6">
            <w:pPr>
              <w:pStyle w:val="Boxbullet"/>
              <w:rPr>
                <w:color w:val="2C384A" w:themeColor="accent1"/>
                <w:sz w:val="24"/>
                <w:szCs w:val="24"/>
              </w:rPr>
            </w:pPr>
            <w:r w:rsidRPr="0035223B">
              <w:rPr>
                <w:color w:val="2C384A" w:themeColor="accent1"/>
                <w:szCs w:val="24"/>
              </w:rPr>
              <w:t xml:space="preserve">72 per cent of respondents indicated the ability to connect to a bank account was an important feature, and 58 per cent felt the same regarding the availability of real-time transactions, a consequence of open banking connections. </w:t>
            </w:r>
          </w:p>
          <w:p w14:paraId="595BDC54" w14:textId="1D019162" w:rsidR="005C276D" w:rsidRPr="0035223B" w:rsidRDefault="00985C9C" w:rsidP="00124FC6">
            <w:pPr>
              <w:pStyle w:val="Boxbullet"/>
              <w:rPr>
                <w:color w:val="2C384A" w:themeColor="accent1"/>
                <w:sz w:val="24"/>
                <w:szCs w:val="24"/>
              </w:rPr>
            </w:pPr>
            <w:r w:rsidRPr="0035223B">
              <w:rPr>
                <w:color w:val="2C384A" w:themeColor="accent1"/>
                <w:szCs w:val="24"/>
              </w:rPr>
              <w:t>Some respondents suggested that cloud accounting services are saving them money, with 59 per cent saying it delivered internal savings and 64 per cent external cost savings.</w:t>
            </w:r>
          </w:p>
          <w:p w14:paraId="7207E6E1" w14:textId="0855509E" w:rsidR="00985C9C" w:rsidRPr="00FC2132" w:rsidRDefault="00985C9C" w:rsidP="00124FC6">
            <w:pPr>
              <w:pStyle w:val="Boxbullet"/>
            </w:pPr>
            <w:r w:rsidRPr="0035223B">
              <w:rPr>
                <w:color w:val="2C384A" w:themeColor="accent1"/>
                <w:szCs w:val="24"/>
              </w:rPr>
              <w:t>The service is beneficial when it comes to managing late payments, with 70 per cent of respondents saying so.</w:t>
            </w:r>
          </w:p>
        </w:tc>
      </w:tr>
    </w:tbl>
    <w:p w14:paraId="6C30AB60" w14:textId="335C49A5" w:rsidR="00D046C5" w:rsidRPr="00DE1DFC" w:rsidRDefault="00732388" w:rsidP="00790CC4">
      <w:bookmarkStart w:id="119" w:name="_Hlk108166811"/>
      <w:r>
        <w:br/>
      </w:r>
      <w:r w:rsidR="00B642F2">
        <w:t>T</w:t>
      </w:r>
      <w:r w:rsidR="00265FE3">
        <w:t>he CDR has</w:t>
      </w:r>
      <w:r w:rsidR="00B642F2">
        <w:t xml:space="preserve"> so far</w:t>
      </w:r>
      <w:r w:rsidR="00265FE3">
        <w:t xml:space="preserve"> been </w:t>
      </w:r>
      <w:r w:rsidR="001A76FE">
        <w:t xml:space="preserve">implemented </w:t>
      </w:r>
      <w:r w:rsidR="003F5CF1">
        <w:t>with a primary focus</w:t>
      </w:r>
      <w:r w:rsidR="00B642F2">
        <w:t xml:space="preserve"> on individual consumers,</w:t>
      </w:r>
      <w:r w:rsidR="00265FE3">
        <w:t xml:space="preserve"> particularly </w:t>
      </w:r>
      <w:r w:rsidR="00547D94">
        <w:t xml:space="preserve">their </w:t>
      </w:r>
      <w:r w:rsidR="00265FE3">
        <w:t xml:space="preserve">safety and security. </w:t>
      </w:r>
      <w:r w:rsidR="00B642F2">
        <w:t>It</w:t>
      </w:r>
      <w:r w:rsidR="00265FE3">
        <w:t xml:space="preserve"> </w:t>
      </w:r>
      <w:r w:rsidR="00547D94">
        <w:t>would</w:t>
      </w:r>
      <w:r w:rsidR="00265FE3">
        <w:t xml:space="preserve"> be bene</w:t>
      </w:r>
      <w:r w:rsidR="00B642F2">
        <w:t>ficial to give more</w:t>
      </w:r>
      <w:r w:rsidR="00265FE3">
        <w:t xml:space="preserve"> </w:t>
      </w:r>
      <w:r w:rsidR="00265FE3" w:rsidRPr="00DE1DFC">
        <w:t>consider</w:t>
      </w:r>
      <w:r w:rsidR="00B642F2" w:rsidRPr="00DE1DFC">
        <w:t>ation to</w:t>
      </w:r>
      <w:r w:rsidR="00265FE3" w:rsidRPr="00DE1DFC">
        <w:t xml:space="preserve"> the unique needs of small businesses within the CDR </w:t>
      </w:r>
      <w:r w:rsidR="00B642F2" w:rsidRPr="00DE1DFC">
        <w:t>as the system matures</w:t>
      </w:r>
      <w:r w:rsidR="009D68E6" w:rsidRPr="00DE1DFC">
        <w:t xml:space="preserve">, and of their service providers who </w:t>
      </w:r>
      <w:r w:rsidR="008E32FD" w:rsidRPr="00DE1DFC">
        <w:t>may</w:t>
      </w:r>
      <w:r w:rsidR="009D68E6" w:rsidRPr="00DE1DFC">
        <w:t xml:space="preserve"> have </w:t>
      </w:r>
      <w:r w:rsidR="008E32FD" w:rsidRPr="00DE1DFC">
        <w:t xml:space="preserve">additional </w:t>
      </w:r>
      <w:r w:rsidR="009D68E6" w:rsidRPr="00DE1DFC">
        <w:t>regulatory requirements beyond CDR</w:t>
      </w:r>
      <w:r w:rsidR="00265FE3" w:rsidRPr="00DE1DFC">
        <w:t xml:space="preserve">. </w:t>
      </w:r>
      <w:r w:rsidR="00961827" w:rsidRPr="00DE1DFC">
        <w:t>S</w:t>
      </w:r>
      <w:r w:rsidR="00265FE3" w:rsidRPr="00DE1DFC">
        <w:t xml:space="preserve">takeholders </w:t>
      </w:r>
      <w:r w:rsidR="00961827" w:rsidRPr="00DE1DFC">
        <w:t>have expressed concern</w:t>
      </w:r>
      <w:r w:rsidR="00265FE3" w:rsidRPr="00DE1DFC">
        <w:t xml:space="preserve"> that the high</w:t>
      </w:r>
      <w:r w:rsidR="00B642F2" w:rsidRPr="00DE1DFC">
        <w:t xml:space="preserve"> </w:t>
      </w:r>
      <w:r w:rsidR="00265FE3" w:rsidRPr="00DE1DFC">
        <w:t xml:space="preserve">level of safeguards, </w:t>
      </w:r>
      <w:r w:rsidR="00540F1B" w:rsidRPr="00DE1DFC">
        <w:t>along with</w:t>
      </w:r>
      <w:r w:rsidR="0051094B" w:rsidRPr="00DE1DFC">
        <w:t xml:space="preserve"> obligations around handling</w:t>
      </w:r>
      <w:r w:rsidR="00540F1B" w:rsidRPr="00DE1DFC">
        <w:t xml:space="preserve"> </w:t>
      </w:r>
      <w:r w:rsidR="00265FE3" w:rsidRPr="00DE1DFC">
        <w:t xml:space="preserve">derived data and </w:t>
      </w:r>
      <w:r w:rsidR="00540F1B" w:rsidRPr="00DE1DFC">
        <w:t>data deletion</w:t>
      </w:r>
      <w:r w:rsidR="00265FE3" w:rsidRPr="00DE1DFC">
        <w:t xml:space="preserve">, </w:t>
      </w:r>
      <w:r w:rsidR="00961827" w:rsidRPr="00DE1DFC">
        <w:t>impair participation from service providers.</w:t>
      </w:r>
      <w:r w:rsidR="00265FE3" w:rsidRPr="00DE1DFC">
        <w:t xml:space="preserve"> </w:t>
      </w:r>
    </w:p>
    <w:p w14:paraId="36A51624" w14:textId="5595DDE0" w:rsidR="002368D3" w:rsidRDefault="002368D3" w:rsidP="00790CC4">
      <w:r>
        <w:t xml:space="preserve">There is value in exploring an expansion of the consent time periods for </w:t>
      </w:r>
      <w:r w:rsidR="00CC595E">
        <w:t>small business</w:t>
      </w:r>
      <w:r>
        <w:t xml:space="preserve"> consumer</w:t>
      </w:r>
      <w:r w:rsidR="00CC595E">
        <w:t>s</w:t>
      </w:r>
      <w:r>
        <w:t xml:space="preserve"> to recognise the higher frequency and enduring nature of their data usage, allowing them to maintain business setting continuity over a longer period. Under the current CDR rules, </w:t>
      </w:r>
      <w:r w:rsidRPr="00F975D2">
        <w:t>consumer</w:t>
      </w:r>
      <w:r>
        <w:t>s</w:t>
      </w:r>
      <w:r w:rsidRPr="00F975D2">
        <w:t xml:space="preserve"> choose how long </w:t>
      </w:r>
      <w:r>
        <w:t xml:space="preserve">they consent to </w:t>
      </w:r>
      <w:r w:rsidRPr="00F975D2">
        <w:t>the</w:t>
      </w:r>
      <w:r>
        <w:t>ir</w:t>
      </w:r>
      <w:r w:rsidRPr="00F975D2">
        <w:t xml:space="preserve"> data be</w:t>
      </w:r>
      <w:r>
        <w:t>ing</w:t>
      </w:r>
      <w:r w:rsidRPr="00F975D2">
        <w:t xml:space="preserve"> shared for, up to the maximum of 12 months</w:t>
      </w:r>
      <w:r>
        <w:t>.</w:t>
      </w:r>
      <w:r w:rsidRPr="00600205">
        <w:rPr>
          <w:rStyle w:val="FootnoteReference"/>
          <w:sz w:val="22"/>
          <w:szCs w:val="24"/>
          <w:vertAlign w:val="superscript"/>
        </w:rPr>
        <w:footnoteReference w:id="37"/>
      </w:r>
      <w:r>
        <w:t xml:space="preserve"> In the event that consent from a small business consumer lapses, if that consent is not actively renewed, the ADR will be compelled under the CDR rules to delete or de-identify the data for that business, resulting in a potential loss for a small business consumer who relies on a CDR data product or service. It’s easy to see how this could unintentionally occur in small businesses with many competing pressures. The CDR needs to reflect the realities for small business consumers by removing administrative burdens where able to allow them to focus on their core business priorities.</w:t>
      </w:r>
    </w:p>
    <w:p w14:paraId="764F2F47" w14:textId="289147B9" w:rsidR="002368D3" w:rsidRDefault="002368D3" w:rsidP="00790CC4">
      <w:r>
        <w:lastRenderedPageBreak/>
        <w:t xml:space="preserve">A number of stakeholders also expressed their concern that the </w:t>
      </w:r>
      <w:r w:rsidRPr="00AE7A32">
        <w:t xml:space="preserve">CDR </w:t>
      </w:r>
      <w:r>
        <w:t xml:space="preserve">includes </w:t>
      </w:r>
      <w:r w:rsidRPr="00AE7A32">
        <w:t>data deletion requirements</w:t>
      </w:r>
      <w:r>
        <w:t xml:space="preserve"> that compel </w:t>
      </w:r>
      <w:r w:rsidRPr="00AE7A32">
        <w:t xml:space="preserve">an </w:t>
      </w:r>
      <w:r>
        <w:t>ADR</w:t>
      </w:r>
      <w:r w:rsidRPr="00AE7A32">
        <w:t xml:space="preserve"> to delete data when a consumer elects to </w:t>
      </w:r>
      <w:r>
        <w:t xml:space="preserve">withdraw their consent. </w:t>
      </w:r>
      <w:r w:rsidRPr="00F3484D">
        <w:t xml:space="preserve">This requirement raised concerns from participants </w:t>
      </w:r>
      <w:r w:rsidR="0051332B">
        <w:t xml:space="preserve">that </w:t>
      </w:r>
      <w:r w:rsidRPr="00F3484D">
        <w:t>it would negatively impact</w:t>
      </w:r>
      <w:r>
        <w:t xml:space="preserve"> </w:t>
      </w:r>
      <w:r w:rsidRPr="00F3484D">
        <w:t>professionals who rely on accredited accounting or business management software platforms</w:t>
      </w:r>
      <w:r>
        <w:t xml:space="preserve">, such as accountants, </w:t>
      </w:r>
      <w:r w:rsidR="0051332B">
        <w:t xml:space="preserve">as they </w:t>
      </w:r>
      <w:r>
        <w:t>would be unable to meet their legal obligations to retain certain types of data (such as for tax purposes) received through the CDR</w:t>
      </w:r>
      <w:r w:rsidRPr="00AE7A32">
        <w:t xml:space="preserve">. </w:t>
      </w:r>
      <w:r>
        <w:t xml:space="preserve">The Review also notes, however, that Privacy safeguard 12 does provide an exemption to the data deletion requirements for CDR data where “the </w:t>
      </w:r>
      <w:r w:rsidRPr="00C66803">
        <w:t>accredited data recipient or designated gateway is required by law or a court/tribunal order to keep the CDR data</w:t>
      </w:r>
      <w:r>
        <w:t>”.</w:t>
      </w:r>
      <w:r w:rsidRPr="00600205">
        <w:rPr>
          <w:rStyle w:val="FootnoteReference"/>
          <w:sz w:val="22"/>
          <w:szCs w:val="24"/>
          <w:vertAlign w:val="superscript"/>
        </w:rPr>
        <w:footnoteReference w:id="38"/>
      </w:r>
    </w:p>
    <w:p w14:paraId="2418543E" w14:textId="512F0F1A" w:rsidR="002368D3" w:rsidRDefault="008A1D41" w:rsidP="00790CC4">
      <w:r>
        <w:t>A further consideration influencing existing and prospective ADRs relates</w:t>
      </w:r>
      <w:r w:rsidR="002E35D9">
        <w:t xml:space="preserve"> to derived data.</w:t>
      </w:r>
      <w:r>
        <w:t xml:space="preserve"> </w:t>
      </w:r>
      <w:r w:rsidR="002368D3" w:rsidRPr="00F3484D">
        <w:t>The Act states that any data that is directly or indirectly derived from other CDR data is itself CDR data,</w:t>
      </w:r>
      <w:r w:rsidR="002368D3" w:rsidRPr="00F3484D">
        <w:rPr>
          <w:rStyle w:val="FootnoteReference"/>
          <w:sz w:val="22"/>
          <w:szCs w:val="22"/>
          <w:vertAlign w:val="superscript"/>
        </w:rPr>
        <w:footnoteReference w:id="39"/>
      </w:r>
      <w:r w:rsidR="002368D3" w:rsidRPr="00D55EB1">
        <w:t xml:space="preserve"> </w:t>
      </w:r>
      <w:r w:rsidR="00A9515B" w:rsidRPr="00A238A6">
        <w:t>meaning that any previously non-CDR data that mixes with CDR data will attract the same CDR data handling requirements, including limitations on disclosure.</w:t>
      </w:r>
      <w:r w:rsidR="002368D3" w:rsidRPr="00D55EB1">
        <w:t xml:space="preserve"> This has caused concern among current and potential participants and is seen by some as a strong disincentive to participate in the system.</w:t>
      </w:r>
    </w:p>
    <w:p w14:paraId="316E4E0F" w14:textId="3FC6AE62" w:rsidR="002368D3" w:rsidRDefault="002368D3" w:rsidP="00421311">
      <w:pPr>
        <w:pStyle w:val="Quote"/>
      </w:pPr>
      <w:r w:rsidRPr="00790CC4">
        <w:t>“The concept that CDR data is any data derived from mandated files and/or touches CDR data forever and ever until the data can no longer be attributed to the original individual/entity is near-sighted and a blatant overreach by the regulator”</w:t>
      </w:r>
      <w:r>
        <w:t xml:space="preserve"> </w:t>
      </w:r>
      <w:r w:rsidRPr="00F3484D">
        <w:rPr>
          <w:b/>
        </w:rPr>
        <w:t>– FDATA</w:t>
      </w:r>
    </w:p>
    <w:p w14:paraId="1AF78409" w14:textId="77777777" w:rsidR="002368D3" w:rsidRDefault="002368D3" w:rsidP="00421311">
      <w:pPr>
        <w:pStyle w:val="Quote"/>
      </w:pPr>
      <w:r w:rsidRPr="00790CC4">
        <w:t>“It is unclear why Australia has chosen to extend the definition of CDR data to derived data, as this is creating barriers to participation to avoid the ‘poison pill’ effect”</w:t>
      </w:r>
      <w:r>
        <w:t xml:space="preserve"> </w:t>
      </w:r>
      <w:r w:rsidRPr="00F3484D">
        <w:rPr>
          <w:b/>
          <w:bCs/>
        </w:rPr>
        <w:t xml:space="preserve">– </w:t>
      </w:r>
      <w:r w:rsidRPr="00F3484D">
        <w:rPr>
          <w:b/>
        </w:rPr>
        <w:t>Joint submission CAANZ, CPA, IPA</w:t>
      </w:r>
    </w:p>
    <w:p w14:paraId="6D5D0873" w14:textId="72D916FC" w:rsidR="002368D3" w:rsidRPr="006027C7" w:rsidRDefault="002368D3" w:rsidP="00790CC4">
      <w:r>
        <w:t xml:space="preserve">A possible solution to this problem </w:t>
      </w:r>
      <w:r w:rsidRPr="006027C7">
        <w:t>would be to ensure that everyone downstream undergoes some form of accreditation, but this ignores the significant cost and complexity of participating in the ecosystem (see also sections 1.5, 2.</w:t>
      </w:r>
      <w:r w:rsidR="00293139" w:rsidRPr="006027C7">
        <w:t>8</w:t>
      </w:r>
      <w:r w:rsidRPr="006027C7">
        <w:t xml:space="preserve"> and 2.</w:t>
      </w:r>
      <w:r w:rsidR="00293139" w:rsidRPr="006027C7">
        <w:t>9</w:t>
      </w:r>
      <w:r w:rsidRPr="006027C7">
        <w:t>), creating further disincentives for participation.</w:t>
      </w:r>
    </w:p>
    <w:p w14:paraId="40B73CF1" w14:textId="77777777" w:rsidR="00CC595E" w:rsidRPr="006027C7" w:rsidRDefault="00CC595E" w:rsidP="002368D3">
      <w:pPr>
        <w:pStyle w:val="ListParagraph"/>
        <w:spacing w:after="0"/>
        <w:ind w:left="0"/>
        <w:contextualSpacing w:val="0"/>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CC595E" w:rsidRPr="006027C7" w14:paraId="307F861A" w14:textId="77777777" w:rsidTr="002067D5">
        <w:tc>
          <w:tcPr>
            <w:tcW w:w="5000" w:type="pct"/>
            <w:shd w:val="clear" w:color="auto" w:fill="F2F9FC"/>
            <w:hideMark/>
          </w:tcPr>
          <w:p w14:paraId="203CDA85" w14:textId="3C8D58BF" w:rsidR="00CC595E" w:rsidRPr="00CE4B29" w:rsidRDefault="00CC595E" w:rsidP="00421311">
            <w:pPr>
              <w:pStyle w:val="BoxHeading"/>
            </w:pPr>
            <w:r w:rsidRPr="00CE4B29">
              <w:t>Finding 3.1</w:t>
            </w:r>
          </w:p>
          <w:p w14:paraId="5997D2D1" w14:textId="1B6456FC" w:rsidR="00CC595E" w:rsidRPr="006027C7" w:rsidRDefault="00775FE4" w:rsidP="00421311">
            <w:pPr>
              <w:pStyle w:val="BoxText"/>
            </w:pPr>
            <w:r w:rsidRPr="00CE4B29">
              <w:rPr>
                <w:color w:val="2C384A" w:themeColor="accent1"/>
              </w:rPr>
              <w:t xml:space="preserve">The CDR has the potential to provide benefits to millions of small businesses across Australia but, at present, participation is low. </w:t>
            </w:r>
            <w:r w:rsidR="00CC595E" w:rsidRPr="00CE4B29">
              <w:rPr>
                <w:color w:val="2C384A" w:themeColor="accent1"/>
              </w:rPr>
              <w:t xml:space="preserve">The Government should </w:t>
            </w:r>
            <w:r w:rsidRPr="00CE4B29">
              <w:rPr>
                <w:color w:val="2C384A" w:themeColor="accent1"/>
              </w:rPr>
              <w:t xml:space="preserve">consider settings to facilitate small business participation, such as </w:t>
            </w:r>
            <w:r w:rsidR="00CC595E" w:rsidRPr="00CE4B29">
              <w:rPr>
                <w:color w:val="2C384A" w:themeColor="accent1"/>
              </w:rPr>
              <w:t>consent durations</w:t>
            </w:r>
            <w:r w:rsidR="00C123F5" w:rsidRPr="00CE4B29">
              <w:rPr>
                <w:color w:val="2C384A" w:themeColor="accent1"/>
              </w:rPr>
              <w:t xml:space="preserve">, </w:t>
            </w:r>
            <w:r w:rsidR="00CC595E" w:rsidRPr="00CE4B29">
              <w:rPr>
                <w:color w:val="2C384A" w:themeColor="accent1"/>
              </w:rPr>
              <w:t xml:space="preserve">data handling and deletion </w:t>
            </w:r>
            <w:r w:rsidR="00345F78" w:rsidRPr="00CE4B29">
              <w:rPr>
                <w:color w:val="2C384A" w:themeColor="accent1"/>
              </w:rPr>
              <w:t>setting</w:t>
            </w:r>
            <w:r w:rsidR="00CC595E" w:rsidRPr="00CE4B29">
              <w:rPr>
                <w:color w:val="2C384A" w:themeColor="accent1"/>
              </w:rPr>
              <w:t xml:space="preserve"> </w:t>
            </w:r>
            <w:r w:rsidRPr="00CE4B29">
              <w:rPr>
                <w:color w:val="2C384A" w:themeColor="accent1"/>
              </w:rPr>
              <w:t xml:space="preserve">requirements. </w:t>
            </w:r>
            <w:r w:rsidR="0051332B" w:rsidRPr="00CE4B29">
              <w:rPr>
                <w:color w:val="2C384A" w:themeColor="accent1"/>
              </w:rPr>
              <w:t>D</w:t>
            </w:r>
            <w:r w:rsidR="00CC595E" w:rsidRPr="00CE4B29">
              <w:rPr>
                <w:color w:val="2C384A" w:themeColor="accent1"/>
              </w:rPr>
              <w:t>erived data se</w:t>
            </w:r>
            <w:r w:rsidR="00215801" w:rsidRPr="00CE4B29">
              <w:rPr>
                <w:color w:val="2C384A" w:themeColor="accent1"/>
              </w:rPr>
              <w:t>t</w:t>
            </w:r>
            <w:r w:rsidR="00CC595E" w:rsidRPr="00CE4B29">
              <w:rPr>
                <w:color w:val="2C384A" w:themeColor="accent1"/>
              </w:rPr>
              <w:t>tings</w:t>
            </w:r>
            <w:r w:rsidR="00215801" w:rsidRPr="00CE4B29">
              <w:rPr>
                <w:color w:val="2C384A" w:themeColor="accent1"/>
              </w:rPr>
              <w:t xml:space="preserve"> should also be revisited</w:t>
            </w:r>
            <w:r w:rsidR="00CC595E" w:rsidRPr="00CE4B29">
              <w:rPr>
                <w:color w:val="2C384A" w:themeColor="accent1"/>
              </w:rPr>
              <w:t xml:space="preserve"> to ensure </w:t>
            </w:r>
            <w:r w:rsidR="00215801" w:rsidRPr="00CE4B29">
              <w:rPr>
                <w:color w:val="2C384A" w:themeColor="accent1"/>
              </w:rPr>
              <w:t xml:space="preserve">that </w:t>
            </w:r>
            <w:r w:rsidR="00CC595E" w:rsidRPr="00CE4B29">
              <w:rPr>
                <w:color w:val="2C384A" w:themeColor="accent1"/>
              </w:rPr>
              <w:t>they remain appropriately calibrated and reflective of data disclosure needs and uses</w:t>
            </w:r>
            <w:r w:rsidR="00215801" w:rsidRPr="00CE4B29">
              <w:rPr>
                <w:color w:val="2C384A" w:themeColor="accent1"/>
              </w:rPr>
              <w:t>.</w:t>
            </w:r>
            <w:r w:rsidR="00CC595E" w:rsidRPr="00CE4B29">
              <w:rPr>
                <w:color w:val="2C384A" w:themeColor="accent1"/>
              </w:rPr>
              <w:t xml:space="preserve"> </w:t>
            </w:r>
          </w:p>
        </w:tc>
      </w:tr>
    </w:tbl>
    <w:p w14:paraId="6F435401" w14:textId="0170709D" w:rsidR="00AB3860" w:rsidRPr="006027C7" w:rsidRDefault="00AB3860" w:rsidP="00265FE3">
      <w:pPr>
        <w:pStyle w:val="ListParagraph"/>
        <w:spacing w:after="0"/>
        <w:ind w:left="0"/>
        <w:contextualSpacing w:val="0"/>
        <w:rPr>
          <w:b/>
          <w:bCs/>
        </w:rPr>
      </w:pPr>
    </w:p>
    <w:p w14:paraId="61427CEA" w14:textId="08B7E212" w:rsidR="009D68E6" w:rsidRPr="006027C7" w:rsidRDefault="009D68E6" w:rsidP="00421311">
      <w:pPr>
        <w:pStyle w:val="Heading2"/>
        <w:ind w:right="1814"/>
      </w:pPr>
      <w:bookmarkStart w:id="120" w:name="_Toc110602891"/>
      <w:r w:rsidRPr="006027C7">
        <w:lastRenderedPageBreak/>
        <w:t xml:space="preserve">3.2 </w:t>
      </w:r>
      <w:r w:rsidR="009372B4" w:rsidRPr="006027C7">
        <w:tab/>
      </w:r>
      <w:r w:rsidRPr="006027C7">
        <w:t>Data disclosures and small business consumer participation</w:t>
      </w:r>
      <w:bookmarkEnd w:id="120"/>
    </w:p>
    <w:p w14:paraId="364B8D7E" w14:textId="517D3C92" w:rsidR="002E35D9" w:rsidRPr="006027C7" w:rsidRDefault="002E35D9" w:rsidP="00790CC4">
      <w:r w:rsidRPr="006027C7">
        <w:t>Stakeholders</w:t>
      </w:r>
      <w:r w:rsidR="000E7871" w:rsidRPr="006027C7">
        <w:t xml:space="preserve"> have</w:t>
      </w:r>
      <w:r w:rsidRPr="006027C7">
        <w:t xml:space="preserve"> emphasised the CDR currently doesn’t offer the appropriate levels of flexibility to allow business</w:t>
      </w:r>
      <w:r w:rsidR="000E7871" w:rsidRPr="006027C7">
        <w:t xml:space="preserve"> consumers</w:t>
      </w:r>
      <w:r w:rsidRPr="006027C7">
        <w:t xml:space="preserve"> to operate in the ecosystem</w:t>
      </w:r>
      <w:r w:rsidR="000E7871" w:rsidRPr="006027C7">
        <w:t>.</w:t>
      </w:r>
      <w:r w:rsidRPr="006027C7">
        <w:t xml:space="preserve"> </w:t>
      </w:r>
      <w:r w:rsidR="000E7871" w:rsidRPr="006027C7">
        <w:t>T</w:t>
      </w:r>
      <w:r w:rsidRPr="006027C7">
        <w:t>he recent introduction of trusted advisers has gone some way to alleviate this,</w:t>
      </w:r>
      <w:r w:rsidRPr="006027C7" w:rsidDel="00CA0896">
        <w:t xml:space="preserve"> </w:t>
      </w:r>
      <w:r w:rsidR="000E7871" w:rsidRPr="006027C7">
        <w:t xml:space="preserve">but </w:t>
      </w:r>
      <w:r w:rsidRPr="006027C7">
        <w:t xml:space="preserve">the framework falls short in addressing how </w:t>
      </w:r>
      <w:r w:rsidR="000E7871" w:rsidRPr="006027C7">
        <w:t>a</w:t>
      </w:r>
      <w:r w:rsidRPr="006027C7">
        <w:t xml:space="preserve"> majority of small businesses operate in practice.</w:t>
      </w:r>
    </w:p>
    <w:p w14:paraId="5A5A1732" w14:textId="5FC2D5BD" w:rsidR="00265FE3" w:rsidRPr="006027C7" w:rsidRDefault="000E7871" w:rsidP="00790CC4">
      <w:r w:rsidRPr="006027C7">
        <w:t>Under the current framework</w:t>
      </w:r>
      <w:r w:rsidR="00EB4E6B" w:rsidRPr="006027C7">
        <w:t>,</w:t>
      </w:r>
      <w:r w:rsidR="00265FE3" w:rsidRPr="006027C7">
        <w:t xml:space="preserve"> the trusted advis</w:t>
      </w:r>
      <w:r w:rsidR="00547D94" w:rsidRPr="006027C7">
        <w:t>e</w:t>
      </w:r>
      <w:r w:rsidR="00265FE3" w:rsidRPr="006027C7">
        <w:t xml:space="preserve">r specification does not </w:t>
      </w:r>
      <w:r w:rsidR="00444E98" w:rsidRPr="006027C7">
        <w:t xml:space="preserve">reflect the needs of </w:t>
      </w:r>
      <w:r w:rsidR="00E90BF4" w:rsidRPr="006027C7">
        <w:t>small business consumers</w:t>
      </w:r>
      <w:r w:rsidR="00265FE3" w:rsidRPr="006027C7">
        <w:t xml:space="preserve">, </w:t>
      </w:r>
      <w:r w:rsidR="004840E6" w:rsidRPr="006027C7">
        <w:t>including</w:t>
      </w:r>
      <w:r w:rsidR="00265FE3" w:rsidRPr="006027C7">
        <w:t xml:space="preserve"> sole traders </w:t>
      </w:r>
      <w:r w:rsidR="004840E6" w:rsidRPr="006027C7">
        <w:t>and small</w:t>
      </w:r>
      <w:r w:rsidR="00265FE3" w:rsidRPr="006027C7">
        <w:t xml:space="preserve"> family businesses, where the role of a trusted advis</w:t>
      </w:r>
      <w:r w:rsidR="00547D94" w:rsidRPr="006027C7">
        <w:t>e</w:t>
      </w:r>
      <w:r w:rsidR="00265FE3" w:rsidRPr="006027C7">
        <w:t>r can often fall to a family member or employee. In some cases</w:t>
      </w:r>
      <w:r w:rsidR="004840E6" w:rsidRPr="006027C7">
        <w:t>,</w:t>
      </w:r>
      <w:r w:rsidR="00265FE3" w:rsidRPr="006027C7">
        <w:t xml:space="preserve"> th</w:t>
      </w:r>
      <w:r w:rsidR="004840E6" w:rsidRPr="006027C7">
        <w:t xml:space="preserve">is </w:t>
      </w:r>
      <w:r w:rsidR="00547D94" w:rsidRPr="006027C7">
        <w:t>adviser</w:t>
      </w:r>
      <w:r w:rsidR="00265FE3" w:rsidRPr="006027C7">
        <w:t xml:space="preserve"> may not hold formal accounting qualifications (</w:t>
      </w:r>
      <w:r w:rsidR="004840E6" w:rsidRPr="006027C7">
        <w:t>e.g.</w:t>
      </w:r>
      <w:r w:rsidR="00265FE3" w:rsidRPr="006027C7">
        <w:t xml:space="preserve"> a CPA) and </w:t>
      </w:r>
      <w:r w:rsidR="00547D94" w:rsidRPr="006027C7">
        <w:t xml:space="preserve">might </w:t>
      </w:r>
      <w:r w:rsidR="00265FE3" w:rsidRPr="006027C7">
        <w:t xml:space="preserve">solely manage the business </w:t>
      </w:r>
      <w:r w:rsidR="004840E6" w:rsidRPr="006027C7">
        <w:t>using</w:t>
      </w:r>
      <w:r w:rsidR="00265FE3" w:rsidRPr="006027C7">
        <w:t xml:space="preserve"> an accounting or business management</w:t>
      </w:r>
      <w:r w:rsidR="004840E6" w:rsidRPr="006027C7">
        <w:t xml:space="preserve"> software</w:t>
      </w:r>
      <w:r w:rsidR="00265FE3" w:rsidRPr="006027C7">
        <w:t xml:space="preserve"> platform, </w:t>
      </w:r>
      <w:r w:rsidR="00547D94" w:rsidRPr="006027C7">
        <w:t xml:space="preserve">meaning that they </w:t>
      </w:r>
      <w:r w:rsidR="004840E6" w:rsidRPr="006027C7">
        <w:t>would be</w:t>
      </w:r>
      <w:r w:rsidR="00265FE3" w:rsidRPr="006027C7">
        <w:t xml:space="preserve"> unlikely to be included under the definition of trusted </w:t>
      </w:r>
      <w:r w:rsidR="00547D94" w:rsidRPr="006027C7">
        <w:t>advis</w:t>
      </w:r>
      <w:r w:rsidR="00DA69D7" w:rsidRPr="006027C7">
        <w:t>e</w:t>
      </w:r>
      <w:r w:rsidR="00547D94" w:rsidRPr="006027C7">
        <w:t>r</w:t>
      </w:r>
      <w:r w:rsidR="00265FE3" w:rsidRPr="006027C7">
        <w:t xml:space="preserve">. </w:t>
      </w:r>
    </w:p>
    <w:p w14:paraId="1490EF85" w14:textId="7C78F614" w:rsidR="00265FE3" w:rsidRPr="006027C7" w:rsidRDefault="00265FE3" w:rsidP="00421311">
      <w:pPr>
        <w:pStyle w:val="Quote"/>
      </w:pPr>
      <w:r w:rsidRPr="006027C7">
        <w:t xml:space="preserve">“Many SMEs rely on bookkeepers, who may not otherwise have formal qualifications, to keep their business afloat. Disrupting this practice by excluding bookkeepers from the definition of ‘trusted </w:t>
      </w:r>
      <w:r w:rsidR="00547D94" w:rsidRPr="006027C7">
        <w:t>adviser</w:t>
      </w:r>
      <w:r w:rsidRPr="006027C7">
        <w:t xml:space="preserve">’ and limiting a consumer’s ability to control who they trust with their data, fundamentally risks undermining the usability of the CDR and risks existing market practices” </w:t>
      </w:r>
      <w:r w:rsidR="00E55804" w:rsidRPr="006027C7">
        <w:rPr>
          <w:b/>
          <w:bCs/>
        </w:rPr>
        <w:t>–</w:t>
      </w:r>
      <w:r w:rsidRPr="006027C7">
        <w:rPr>
          <w:b/>
          <w:bCs/>
        </w:rPr>
        <w:t xml:space="preserve"> FDATA</w:t>
      </w:r>
    </w:p>
    <w:p w14:paraId="0FA8CDCC" w14:textId="657F8AEC" w:rsidR="00265FE3" w:rsidRPr="006027C7" w:rsidRDefault="004840E6" w:rsidP="00790CC4">
      <w:r w:rsidRPr="006027C7">
        <w:t>M</w:t>
      </w:r>
      <w:r w:rsidR="00265FE3" w:rsidRPr="006027C7">
        <w:t>any</w:t>
      </w:r>
      <w:r w:rsidRPr="006027C7">
        <w:t xml:space="preserve"> business consumers are unlikely</w:t>
      </w:r>
      <w:r w:rsidR="00265FE3" w:rsidRPr="006027C7">
        <w:t xml:space="preserve"> </w:t>
      </w:r>
      <w:r w:rsidRPr="006027C7">
        <w:t>to</w:t>
      </w:r>
      <w:r w:rsidR="00265FE3" w:rsidRPr="006027C7">
        <w:t xml:space="preserve"> make the switch from unsafe </w:t>
      </w:r>
      <w:r w:rsidR="000E7871" w:rsidRPr="006027C7">
        <w:t>but</w:t>
      </w:r>
      <w:r w:rsidR="00C25117" w:rsidRPr="006027C7">
        <w:t xml:space="preserve"> more</w:t>
      </w:r>
      <w:r w:rsidR="000E7871" w:rsidRPr="006027C7">
        <w:t xml:space="preserve"> convenient </w:t>
      </w:r>
      <w:r w:rsidR="00265FE3" w:rsidRPr="006027C7">
        <w:t xml:space="preserve">alternatives </w:t>
      </w:r>
      <w:r w:rsidR="00547D94" w:rsidRPr="006027C7">
        <w:t>like</w:t>
      </w:r>
      <w:r w:rsidR="00265FE3" w:rsidRPr="006027C7">
        <w:t xml:space="preserve"> screen scraping</w:t>
      </w:r>
      <w:r w:rsidRPr="006027C7">
        <w:t xml:space="preserve"> until the</w:t>
      </w:r>
      <w:r w:rsidR="000E7871" w:rsidRPr="006027C7">
        <w:t xml:space="preserve"> CDR can meet their</w:t>
      </w:r>
      <w:r w:rsidRPr="006027C7">
        <w:t xml:space="preserve"> needs</w:t>
      </w:r>
      <w:r w:rsidRPr="006027C7" w:rsidDel="000E7871">
        <w:t xml:space="preserve"> </w:t>
      </w:r>
      <w:r w:rsidR="000E7871" w:rsidRPr="006027C7">
        <w:t>and provide a comparable service</w:t>
      </w:r>
      <w:r w:rsidR="00265FE3" w:rsidRPr="006027C7">
        <w:t>.</w:t>
      </w:r>
      <w:r w:rsidRPr="006027C7" w:rsidDel="000E7871">
        <w:t xml:space="preserve"> </w:t>
      </w:r>
      <w:r w:rsidR="000E7871" w:rsidRPr="006027C7">
        <w:t xml:space="preserve">A factor </w:t>
      </w:r>
      <w:r w:rsidR="00F552BE" w:rsidRPr="006027C7">
        <w:t>for</w:t>
      </w:r>
      <w:r w:rsidR="000E7871" w:rsidRPr="006027C7">
        <w:t xml:space="preserve"> this </w:t>
      </w:r>
      <w:r w:rsidR="00265FE3" w:rsidRPr="006027C7">
        <w:t>is improving data quality</w:t>
      </w:r>
      <w:r w:rsidR="0094209B" w:rsidRPr="006027C7">
        <w:t xml:space="preserve"> </w:t>
      </w:r>
      <w:r w:rsidR="00265FE3" w:rsidRPr="006027C7">
        <w:t>(</w:t>
      </w:r>
      <w:r w:rsidRPr="006027C7">
        <w:t>see</w:t>
      </w:r>
      <w:r w:rsidR="00265FE3" w:rsidRPr="006027C7">
        <w:t xml:space="preserve"> section 2.1)</w:t>
      </w:r>
      <w:r w:rsidR="0094209B" w:rsidRPr="006027C7">
        <w:t>,</w:t>
      </w:r>
      <w:r w:rsidR="00265FE3" w:rsidRPr="006027C7">
        <w:t xml:space="preserve"> </w:t>
      </w:r>
      <w:r w:rsidR="00C96EA9" w:rsidRPr="006027C7">
        <w:t xml:space="preserve">with </w:t>
      </w:r>
      <w:r w:rsidR="00265FE3" w:rsidRPr="006027C7">
        <w:t>current</w:t>
      </w:r>
      <w:r w:rsidR="000E7871" w:rsidRPr="006027C7">
        <w:t xml:space="preserve"> service</w:t>
      </w:r>
      <w:r w:rsidR="00265FE3" w:rsidRPr="006027C7">
        <w:t xml:space="preserve"> providers </w:t>
      </w:r>
      <w:r w:rsidR="00C96EA9" w:rsidRPr="006027C7">
        <w:t xml:space="preserve">potentially hesitant to switch to the CDR due to the concern they will </w:t>
      </w:r>
      <w:r w:rsidR="00F2591D" w:rsidRPr="006027C7">
        <w:t>inadvertently</w:t>
      </w:r>
      <w:r w:rsidR="00265FE3" w:rsidRPr="006027C7">
        <w:t xml:space="preserve"> provid</w:t>
      </w:r>
      <w:r w:rsidR="00C96EA9" w:rsidRPr="006027C7">
        <w:t>e</w:t>
      </w:r>
      <w:r w:rsidR="00265FE3" w:rsidRPr="006027C7">
        <w:t xml:space="preserve"> a poorer quality experience</w:t>
      </w:r>
      <w:r w:rsidR="0013281E" w:rsidRPr="006027C7">
        <w:t xml:space="preserve"> </w:t>
      </w:r>
      <w:r w:rsidR="00265FE3" w:rsidRPr="006027C7">
        <w:t>and product</w:t>
      </w:r>
      <w:r w:rsidR="00F2591D" w:rsidRPr="006027C7">
        <w:t xml:space="preserve"> </w:t>
      </w:r>
      <w:r w:rsidR="0013281E" w:rsidRPr="006027C7">
        <w:t xml:space="preserve">for their customers </w:t>
      </w:r>
      <w:r w:rsidR="00F2591D" w:rsidRPr="006027C7">
        <w:t>than the less secure but more convenient alternatives</w:t>
      </w:r>
      <w:r w:rsidR="00265FE3" w:rsidRPr="006027C7">
        <w:t>.</w:t>
      </w:r>
    </w:p>
    <w:p w14:paraId="514640F4" w14:textId="77777777" w:rsidR="00CC595E" w:rsidRPr="00BE33AD" w:rsidRDefault="00CC595E" w:rsidP="00421311">
      <w:pPr>
        <w:pStyle w:val="Quote"/>
        <w:rPr>
          <w:rFonts w:ascii="Calibri" w:hAnsi="Calibri" w:cs="Calibri"/>
          <w:color w:val="000000"/>
        </w:rPr>
      </w:pPr>
      <w:r w:rsidRPr="006027C7">
        <w:rPr>
          <w:rFonts w:ascii="Calibri" w:hAnsi="Calibri" w:cs="Calibri"/>
          <w:color w:val="000000"/>
        </w:rPr>
        <w:t>“</w:t>
      </w:r>
      <w:r w:rsidRPr="006027C7">
        <w:t>Treasury’s intention for the rules to facilitate current consumer practices of the permissioned sharing of their data with trusted third parties … is a</w:t>
      </w:r>
      <w:r w:rsidRPr="00383A01">
        <w:t xml:space="preserve"> good one and deserves support. However, it doesn’t encompass the agency small businesses in Australia currently enjoy and depend upon to run their businesses</w:t>
      </w:r>
      <w:r w:rsidRPr="00BE33AD">
        <w:rPr>
          <w:rFonts w:ascii="Calibri" w:hAnsi="Calibri" w:cs="Calibri"/>
          <w:color w:val="000000"/>
        </w:rPr>
        <w:t>.</w:t>
      </w:r>
      <w:r>
        <w:rPr>
          <w:rFonts w:ascii="Calibri" w:hAnsi="Calibri" w:cs="Calibri"/>
          <w:color w:val="000000"/>
        </w:rPr>
        <w:t xml:space="preserve">” </w:t>
      </w:r>
      <w:r w:rsidRPr="002067D5">
        <w:rPr>
          <w:b/>
        </w:rPr>
        <w:t>– Xero</w:t>
      </w:r>
    </w:p>
    <w:p w14:paraId="450C65E1" w14:textId="336E45CA" w:rsidR="00265FE3" w:rsidRDefault="0054033A" w:rsidP="00790CC4">
      <w:r>
        <w:t>T</w:t>
      </w:r>
      <w:r w:rsidR="00265FE3">
        <w:t>he differences between individual consumers and small business</w:t>
      </w:r>
      <w:r>
        <w:t xml:space="preserve"> consumers need to be acknowledged</w:t>
      </w:r>
      <w:r w:rsidR="00265FE3">
        <w:t xml:space="preserve">, including different requirements and potential tolerances </w:t>
      </w:r>
      <w:r>
        <w:t xml:space="preserve">around </w:t>
      </w:r>
      <w:r w:rsidR="00265FE3">
        <w:t xml:space="preserve">who the data is </w:t>
      </w:r>
      <w:r w:rsidR="00D669A4">
        <w:t>shared with</w:t>
      </w:r>
      <w:r w:rsidR="00265FE3">
        <w:t xml:space="preserve">. </w:t>
      </w:r>
      <w:r w:rsidR="00096E4A" w:rsidRPr="00F3484D">
        <w:t xml:space="preserve">While </w:t>
      </w:r>
      <w:r w:rsidR="0013281E" w:rsidRPr="00F3484D">
        <w:t>both individual and small business</w:t>
      </w:r>
      <w:r w:rsidR="00F94C22" w:rsidRPr="00F3484D">
        <w:t xml:space="preserve"> </w:t>
      </w:r>
      <w:r w:rsidR="00096E4A" w:rsidRPr="00F3484D">
        <w:t xml:space="preserve">consumers </w:t>
      </w:r>
      <w:r w:rsidR="00F94C22" w:rsidRPr="00F3484D">
        <w:t>have access to trusted adviser disclosures</w:t>
      </w:r>
      <w:r w:rsidR="00096E4A">
        <w:t>, particular</w:t>
      </w:r>
      <w:r w:rsidR="00F94C22">
        <w:t xml:space="preserve"> </w:t>
      </w:r>
      <w:r w:rsidR="00265FE3">
        <w:t>consideration</w:t>
      </w:r>
      <w:r w:rsidR="00096E4A">
        <w:t xml:space="preserve"> should be given to</w:t>
      </w:r>
      <w:r w:rsidR="00265FE3">
        <w:t xml:space="preserve"> </w:t>
      </w:r>
      <w:r w:rsidR="00710F8B">
        <w:t>providing</w:t>
      </w:r>
      <w:r w:rsidR="00265FE3">
        <w:t xml:space="preserve"> small business</w:t>
      </w:r>
      <w:r>
        <w:t xml:space="preserve"> consumers</w:t>
      </w:r>
      <w:r w:rsidR="00265FE3">
        <w:t xml:space="preserve"> the flexibility to consent to shar</w:t>
      </w:r>
      <w:r w:rsidR="005239DA">
        <w:t>ing</w:t>
      </w:r>
      <w:r w:rsidR="00265FE3">
        <w:t xml:space="preserve"> </w:t>
      </w:r>
      <w:r w:rsidR="00265FE3" w:rsidRPr="00E506C0">
        <w:t xml:space="preserve">their </w:t>
      </w:r>
      <w:r w:rsidR="008462C9" w:rsidRPr="00E506C0">
        <w:t>CDR</w:t>
      </w:r>
      <w:r w:rsidR="00265FE3">
        <w:t xml:space="preserve"> data</w:t>
      </w:r>
      <w:r>
        <w:t xml:space="preserve"> </w:t>
      </w:r>
      <w:r w:rsidR="005239DA">
        <w:t>with</w:t>
      </w:r>
      <w:r w:rsidR="00265FE3">
        <w:t xml:space="preserve"> individuals outside the limited categories </w:t>
      </w:r>
      <w:r w:rsidR="008A18CC">
        <w:t xml:space="preserve">of trusted advisers </w:t>
      </w:r>
      <w:r w:rsidR="00265FE3">
        <w:t xml:space="preserve">currently defined under the </w:t>
      </w:r>
      <w:r w:rsidR="009D295F">
        <w:t>r</w:t>
      </w:r>
      <w:r w:rsidR="00265FE3">
        <w:t>ules</w:t>
      </w:r>
      <w:r w:rsidR="00F94C22">
        <w:t xml:space="preserve">, </w:t>
      </w:r>
      <w:r w:rsidR="00F94C22">
        <w:rPr>
          <w:bCs/>
          <w:szCs w:val="22"/>
        </w:rPr>
        <w:t>while maintaining the current protections offered to individual consumers.</w:t>
      </w:r>
    </w:p>
    <w:p w14:paraId="37FCCA45" w14:textId="26478063" w:rsidR="00672369" w:rsidRDefault="0054033A" w:rsidP="00790CC4">
      <w:r>
        <w:t>The Review</w:t>
      </w:r>
      <w:r w:rsidR="00265FE3">
        <w:t xml:space="preserve"> acknowledge</w:t>
      </w:r>
      <w:r>
        <w:t>s</w:t>
      </w:r>
      <w:r w:rsidR="00265FE3">
        <w:t xml:space="preserve"> that some submissions</w:t>
      </w:r>
      <w:r>
        <w:t xml:space="preserve"> by contrast</w:t>
      </w:r>
      <w:r w:rsidR="00265FE3">
        <w:t xml:space="preserve"> </w:t>
      </w:r>
      <w:r>
        <w:t>advocated</w:t>
      </w:r>
      <w:r w:rsidR="00265FE3">
        <w:t xml:space="preserve"> removing trusted </w:t>
      </w:r>
      <w:r w:rsidR="0013281E">
        <w:t>adviser disclosures</w:t>
      </w:r>
      <w:r w:rsidR="00F653CF">
        <w:t xml:space="preserve"> entirely</w:t>
      </w:r>
      <w:r w:rsidR="00265FE3">
        <w:t xml:space="preserve"> from the CDR due to the increased risk</w:t>
      </w:r>
      <w:r w:rsidR="00015EF9">
        <w:t>s associated with</w:t>
      </w:r>
      <w:r w:rsidR="00265FE3">
        <w:t xml:space="preserve"> CDR data exiting the CDR system. </w:t>
      </w:r>
      <w:r w:rsidR="00923E8C">
        <w:t xml:space="preserve">Some submissions </w:t>
      </w:r>
      <w:r w:rsidR="00923E8C" w:rsidRPr="00F3484D">
        <w:t xml:space="preserve">raised concerns relating to instances where consumer consent can be given for data to be disclosed to unaccredited persons outside the CDR to whom the Privacy Safeguards, and potentially the APP, do not apply. </w:t>
      </w:r>
      <w:r w:rsidR="00B2560E" w:rsidRPr="00F3484D">
        <w:t>In allowing</w:t>
      </w:r>
      <w:r w:rsidR="00923E8C" w:rsidRPr="00F3484D">
        <w:t xml:space="preserve"> disclosures to unaccredited parties</w:t>
      </w:r>
      <w:r w:rsidR="00B2560E" w:rsidRPr="00F3484D">
        <w:t>, CDR settings</w:t>
      </w:r>
      <w:r w:rsidR="00923E8C" w:rsidRPr="00F3484D">
        <w:t xml:space="preserve"> should ensure that consumer risks are reduced by either limiting the eligible recipients or requiring that the data disclosed meet a specific, limited purpose. </w:t>
      </w:r>
      <w:r w:rsidR="006E04C8" w:rsidRPr="00F3484D">
        <w:t>In the case of small business consumers, this would seem to favour the latter setting – where disclosures are explicit</w:t>
      </w:r>
      <w:r w:rsidR="005164D4" w:rsidRPr="00F3484D">
        <w:t>ly for</w:t>
      </w:r>
      <w:r w:rsidR="006E04C8" w:rsidRPr="00F3484D">
        <w:t xml:space="preserve"> business-related purposes.</w:t>
      </w:r>
    </w:p>
    <w:p w14:paraId="781B2133" w14:textId="3AC5F92E" w:rsidR="00672369" w:rsidRDefault="0054033A" w:rsidP="00790CC4">
      <w:bookmarkStart w:id="121" w:name="_Hlk108164794"/>
      <w:r>
        <w:lastRenderedPageBreak/>
        <w:t>T</w:t>
      </w:r>
      <w:r w:rsidR="00265FE3">
        <w:t>he Review</w:t>
      </w:r>
      <w:r>
        <w:t xml:space="preserve"> recognises the importance of data handling protections and </w:t>
      </w:r>
      <w:r w:rsidR="00671D57">
        <w:t>their</w:t>
      </w:r>
      <w:r>
        <w:t xml:space="preserve"> </w:t>
      </w:r>
      <w:r w:rsidR="00672369">
        <w:t xml:space="preserve">importance </w:t>
      </w:r>
      <w:r>
        <w:t>in system and consumer safety outcomes</w:t>
      </w:r>
      <w:r w:rsidR="00923E8C">
        <w:t>. In balancing the settings for business and individual consumers it is</w:t>
      </w:r>
      <w:r w:rsidR="00265FE3">
        <w:t xml:space="preserve"> important to recognise that risk and benefit</w:t>
      </w:r>
      <w:r>
        <w:t xml:space="preserve"> profiles</w:t>
      </w:r>
      <w:r w:rsidR="00265FE3">
        <w:t xml:space="preserve"> </w:t>
      </w:r>
      <w:r>
        <w:t xml:space="preserve">will </w:t>
      </w:r>
      <w:r w:rsidR="00265FE3">
        <w:t xml:space="preserve">be different for </w:t>
      </w:r>
      <w:r w:rsidR="00B2560E">
        <w:t>different cohorts of CDR users</w:t>
      </w:r>
      <w:r>
        <w:t xml:space="preserve">, particularly </w:t>
      </w:r>
      <w:r w:rsidR="00671D57">
        <w:t>in relation</w:t>
      </w:r>
      <w:r>
        <w:t xml:space="preserve"> to </w:t>
      </w:r>
      <w:r w:rsidR="00923E8C">
        <w:t>promoting safer data sharing</w:t>
      </w:r>
      <w:r w:rsidR="00B2560E">
        <w:t xml:space="preserve"> practices</w:t>
      </w:r>
      <w:r w:rsidR="00923E8C">
        <w:t xml:space="preserve"> (compared to practices like screen scraping)</w:t>
      </w:r>
      <w:r w:rsidR="00016460">
        <w:t xml:space="preserve"> and support</w:t>
      </w:r>
      <w:r w:rsidR="00B2560E">
        <w:t xml:space="preserve">ing </w:t>
      </w:r>
      <w:r w:rsidR="00016460">
        <w:t>improved business operational outcomes.</w:t>
      </w:r>
      <w:r w:rsidR="00F94C22">
        <w:t xml:space="preserve"> </w:t>
      </w:r>
    </w:p>
    <w:bookmarkEnd w:id="119"/>
    <w:bookmarkEnd w:id="121"/>
    <w:p w14:paraId="4FF0DF4A" w14:textId="26577C0E" w:rsidR="002368D3" w:rsidRDefault="002368D3" w:rsidP="00790CC4">
      <w:r>
        <w:t xml:space="preserve">A potential remedy to </w:t>
      </w:r>
      <w:r w:rsidR="00F653CF">
        <w:t>improve</w:t>
      </w:r>
      <w:r w:rsidR="004419AF">
        <w:t xml:space="preserve"> CDR utility for</w:t>
      </w:r>
      <w:r w:rsidR="00F653CF">
        <w:t xml:space="preserve"> small business consumer</w:t>
      </w:r>
      <w:r w:rsidR="004419AF">
        <w:t>s</w:t>
      </w:r>
      <w:r w:rsidR="00F653CF">
        <w:t xml:space="preserve"> </w:t>
      </w:r>
      <w:r>
        <w:t>is to give further thought to how small business</w:t>
      </w:r>
      <w:r w:rsidR="00B259D8">
        <w:t>es</w:t>
      </w:r>
      <w:r>
        <w:t xml:space="preserve"> operat</w:t>
      </w:r>
      <w:r w:rsidR="00B259D8">
        <w:t>e</w:t>
      </w:r>
      <w:r w:rsidR="00C25117">
        <w:t xml:space="preserve"> and </w:t>
      </w:r>
      <w:r w:rsidR="00B259D8">
        <w:t>what</w:t>
      </w:r>
      <w:r w:rsidR="00C25117">
        <w:t xml:space="preserve"> services they use.</w:t>
      </w:r>
      <w:r>
        <w:t xml:space="preserve"> For example, should the small business consumer desire, consideration should be given to allowing the data sharing outside the CDR with a third party with their consent.</w:t>
      </w:r>
    </w:p>
    <w:p w14:paraId="11C2CA12" w14:textId="77777777" w:rsidR="00C25117" w:rsidRDefault="002368D3" w:rsidP="00790CC4">
      <w:r>
        <w:t xml:space="preserve">There are some risks with this approach as any CDR data provided to an unaccredited third party (other than a CDR representative or an outsourced service provider) would then be outside the protections of the CDR and, where the recipient has an annual turnover below $3 million, they would not be covered under the obligations of the </w:t>
      </w:r>
      <w:r w:rsidRPr="00600205">
        <w:rPr>
          <w:i/>
          <w:iCs/>
        </w:rPr>
        <w:t>Privacy Act 1988</w:t>
      </w:r>
      <w:r>
        <w:t>. This is unlikely to be optimal for an individual consumer but may be appropriate for the needs of small business consumers.</w:t>
      </w:r>
    </w:p>
    <w:p w14:paraId="75D2350E" w14:textId="7369C342" w:rsidR="00F653CF" w:rsidRDefault="002368D3" w:rsidP="00790CC4">
      <w:r>
        <w:t xml:space="preserve">Any change would need to consider how to differentiate an individual versus a small business consumer and ensure the protection of vulnerable consumers </w:t>
      </w:r>
      <w:r w:rsidRPr="00F3484D">
        <w:t>(which can include small business operators)</w:t>
      </w:r>
      <w:r w:rsidR="00C25117">
        <w:t>. The Review</w:t>
      </w:r>
      <w:r w:rsidRPr="00F3484D" w:rsidDel="00C25117">
        <w:t xml:space="preserve"> </w:t>
      </w:r>
      <w:r w:rsidRPr="00F3484D">
        <w:t>recognis</w:t>
      </w:r>
      <w:r w:rsidR="00C25117">
        <w:t>es that</w:t>
      </w:r>
      <w:r w:rsidR="00F653CF" w:rsidRPr="00F3484D" w:rsidDel="00C25117">
        <w:t xml:space="preserve"> </w:t>
      </w:r>
      <w:r w:rsidR="00F653CF" w:rsidRPr="00F3484D">
        <w:t xml:space="preserve">many small business and sole traders can have significant overlap in their personal and business accounts, making it difficult to separate personal and business data, the latter </w:t>
      </w:r>
      <w:r w:rsidR="00C25117">
        <w:t xml:space="preserve">of </w:t>
      </w:r>
      <w:r w:rsidR="00F653CF" w:rsidRPr="00F3484D">
        <w:t>which could include financial information and activity from third</w:t>
      </w:r>
      <w:r w:rsidR="00F653CF">
        <w:t xml:space="preserve"> </w:t>
      </w:r>
      <w:r w:rsidR="00F653CF" w:rsidRPr="00F3484D">
        <w:t>parties. Careful consideration must be given to ensur</w:t>
      </w:r>
      <w:r w:rsidR="00C25117">
        <w:t>ing</w:t>
      </w:r>
      <w:r w:rsidR="00F653CF" w:rsidRPr="00F3484D">
        <w:t xml:space="preserve"> appropriate protections are maintained accordingly.</w:t>
      </w:r>
    </w:p>
    <w:p w14:paraId="381316E0" w14:textId="77777777" w:rsidR="002368D3" w:rsidRDefault="002368D3" w:rsidP="00E17E29"/>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E17E29" w14:paraId="7507DCF0" w14:textId="77777777" w:rsidTr="002161D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68C76217" w14:textId="63BD7CD3" w:rsidR="00E17E29" w:rsidRPr="00822EF9" w:rsidRDefault="00E17E29" w:rsidP="00421311">
            <w:pPr>
              <w:pStyle w:val="BoxHeading"/>
            </w:pPr>
            <w:r w:rsidRPr="00421311">
              <w:t>Recommendation 3.1</w:t>
            </w:r>
          </w:p>
          <w:p w14:paraId="48B0691F" w14:textId="7D060355" w:rsidR="00A632C7" w:rsidRPr="00421311" w:rsidRDefault="00C123F5" w:rsidP="00421311">
            <w:pPr>
              <w:pStyle w:val="BoxText"/>
              <w:rPr>
                <w:sz w:val="24"/>
                <w:szCs w:val="24"/>
              </w:rPr>
            </w:pPr>
            <w:r w:rsidRPr="00D4755B">
              <w:rPr>
                <w:szCs w:val="24"/>
              </w:rPr>
              <w:t xml:space="preserve">Government </w:t>
            </w:r>
            <w:r w:rsidR="00560A55" w:rsidRPr="00167D86">
              <w:rPr>
                <w:szCs w:val="24"/>
              </w:rPr>
              <w:t xml:space="preserve">should </w:t>
            </w:r>
            <w:r w:rsidRPr="00167D86">
              <w:rPr>
                <w:szCs w:val="24"/>
              </w:rPr>
              <w:t>consider</w:t>
            </w:r>
            <w:r w:rsidR="00560A55" w:rsidRPr="00E6039E" w:rsidDel="00C123F5">
              <w:rPr>
                <w:szCs w:val="24"/>
              </w:rPr>
              <w:t xml:space="preserve"> </w:t>
            </w:r>
            <w:r w:rsidRPr="00E6039E">
              <w:rPr>
                <w:szCs w:val="24"/>
              </w:rPr>
              <w:t>ways to increase small business participation in the CDR. This could include giving</w:t>
            </w:r>
            <w:r w:rsidR="00560A55" w:rsidRPr="002252C2">
              <w:rPr>
                <w:szCs w:val="24"/>
              </w:rPr>
              <w:t xml:space="preserve"> small businesses flexibility to consent to share their </w:t>
            </w:r>
            <w:r w:rsidR="008462C9" w:rsidRPr="002252C2">
              <w:rPr>
                <w:szCs w:val="24"/>
              </w:rPr>
              <w:t>CDR</w:t>
            </w:r>
            <w:r w:rsidR="00560A55" w:rsidRPr="002252C2">
              <w:rPr>
                <w:szCs w:val="24"/>
              </w:rPr>
              <w:t xml:space="preserve"> data with parties outside the limited ‘trusted advis</w:t>
            </w:r>
            <w:r w:rsidR="008462C9" w:rsidRPr="002252C2">
              <w:rPr>
                <w:szCs w:val="24"/>
              </w:rPr>
              <w:t>e</w:t>
            </w:r>
            <w:r w:rsidR="00560A55" w:rsidRPr="002252C2">
              <w:rPr>
                <w:szCs w:val="24"/>
              </w:rPr>
              <w:t xml:space="preserve">r’ categories currently defined under the </w:t>
            </w:r>
            <w:r w:rsidRPr="003D0786">
              <w:rPr>
                <w:szCs w:val="24"/>
              </w:rPr>
              <w:t xml:space="preserve">CDR </w:t>
            </w:r>
            <w:r w:rsidR="009D295F">
              <w:rPr>
                <w:szCs w:val="24"/>
              </w:rPr>
              <w:t>r</w:t>
            </w:r>
            <w:r w:rsidR="00560A55" w:rsidRPr="0002173D">
              <w:rPr>
                <w:szCs w:val="24"/>
              </w:rPr>
              <w:t>ules.</w:t>
            </w:r>
            <w:r w:rsidR="00A632C7" w:rsidRPr="003D33CE">
              <w:rPr>
                <w:szCs w:val="24"/>
              </w:rPr>
              <w:t xml:space="preserve"> Consideration should also be given to enabling small businesses to consent to share data outside the CDR to a third party for explicitly business-related purposes</w:t>
            </w:r>
            <w:r w:rsidR="00A632C7" w:rsidRPr="003D33CE">
              <w:rPr>
                <w:szCs w:val="36"/>
              </w:rPr>
              <w:t>.</w:t>
            </w:r>
          </w:p>
          <w:p w14:paraId="440AFFE5" w14:textId="67A2576B" w:rsidR="001D7CDF" w:rsidRPr="009628A1" w:rsidRDefault="00560A55" w:rsidP="00421311">
            <w:pPr>
              <w:pStyle w:val="BoxText"/>
            </w:pPr>
            <w:r w:rsidRPr="00D4755B">
              <w:rPr>
                <w:szCs w:val="24"/>
              </w:rPr>
              <w:t xml:space="preserve">Any amendments to support </w:t>
            </w:r>
            <w:r w:rsidR="009628A1" w:rsidRPr="00167D86">
              <w:rPr>
                <w:szCs w:val="24"/>
              </w:rPr>
              <w:t xml:space="preserve">wider </w:t>
            </w:r>
            <w:r w:rsidRPr="00167D86">
              <w:rPr>
                <w:szCs w:val="24"/>
              </w:rPr>
              <w:t xml:space="preserve">sharing of </w:t>
            </w:r>
            <w:r w:rsidR="008462C9" w:rsidRPr="00E6039E">
              <w:rPr>
                <w:szCs w:val="24"/>
              </w:rPr>
              <w:t>CDR</w:t>
            </w:r>
            <w:r w:rsidRPr="00E6039E">
              <w:rPr>
                <w:szCs w:val="24"/>
              </w:rPr>
              <w:t xml:space="preserve"> data should ensure the maintenance of existing protections offered to individual consumers and carefully consider the impacts of any potential overlap between business and personal data.</w:t>
            </w:r>
          </w:p>
        </w:tc>
      </w:tr>
    </w:tbl>
    <w:p w14:paraId="027E0E2F" w14:textId="69CC1FE6" w:rsidR="00265FE3" w:rsidRDefault="00265FE3" w:rsidP="00421311">
      <w:pPr>
        <w:pStyle w:val="Heading2"/>
        <w:ind w:right="1361"/>
      </w:pPr>
      <w:bookmarkStart w:id="122" w:name="_Toc106286097"/>
      <w:bookmarkStart w:id="123" w:name="_Toc106358407"/>
      <w:bookmarkStart w:id="124" w:name="_Toc110602892"/>
      <w:bookmarkEnd w:id="118"/>
      <w:r w:rsidRPr="00383A01">
        <w:t>3.</w:t>
      </w:r>
      <w:r w:rsidR="00C97733">
        <w:t>3</w:t>
      </w:r>
      <w:r w:rsidRPr="00383A01">
        <w:t xml:space="preserve"> </w:t>
      </w:r>
      <w:r w:rsidR="009372B4">
        <w:tab/>
      </w:r>
      <w:r w:rsidRPr="00383A01">
        <w:t>Supporting cross</w:t>
      </w:r>
      <w:r w:rsidR="003122DF">
        <w:t>-</w:t>
      </w:r>
      <w:r w:rsidRPr="00383A01">
        <w:t>sectoral use cases across the digital economy</w:t>
      </w:r>
      <w:bookmarkEnd w:id="122"/>
      <w:bookmarkEnd w:id="123"/>
      <w:bookmarkEnd w:id="124"/>
    </w:p>
    <w:p w14:paraId="38F2DCCB" w14:textId="4EFD1021" w:rsidR="00265FE3" w:rsidRDefault="00265FE3" w:rsidP="00790CC4">
      <w:r>
        <w:t xml:space="preserve">As Australia and the rest of the world move towards a more horizontally integrated economy where </w:t>
      </w:r>
      <w:r w:rsidR="00DD3FC2">
        <w:t>businesses provide</w:t>
      </w:r>
      <w:r>
        <w:t xml:space="preserve"> products and services that span traditional sector boundaries, the vertical structures between sectors will become </w:t>
      </w:r>
      <w:r w:rsidR="00A97A2F">
        <w:t xml:space="preserve">increasingly </w:t>
      </w:r>
      <w:r>
        <w:t>blurred and consumers will expect a greater level of integration</w:t>
      </w:r>
      <w:r w:rsidR="00DD3FC2">
        <w:t xml:space="preserve"> across</w:t>
      </w:r>
      <w:r w:rsidR="00694AAC">
        <w:t xml:space="preserve"> different</w:t>
      </w:r>
      <w:r w:rsidR="00DD3FC2">
        <w:t xml:space="preserve"> domains of their lives</w:t>
      </w:r>
      <w:r>
        <w:t xml:space="preserve">. The CDR is optimally placed to facilitate this and is on the precipice of doing so by providing </w:t>
      </w:r>
      <w:r w:rsidR="00DD3FC2">
        <w:t xml:space="preserve">a </w:t>
      </w:r>
      <w:r>
        <w:t>conduit from which businesses can compete across multiple sectors. Some stakeholders suggested that cross</w:t>
      </w:r>
      <w:r w:rsidR="00561654">
        <w:t>-</w:t>
      </w:r>
      <w:r>
        <w:t xml:space="preserve">sectoral use cases had the greatest capacity to drive consumer value. </w:t>
      </w:r>
    </w:p>
    <w:p w14:paraId="355785EA" w14:textId="77777777" w:rsidR="00C0786C" w:rsidRDefault="00C0786C" w:rsidP="00F3484D">
      <w:pPr>
        <w:pStyle w:val="ListParagraph"/>
        <w:spacing w:after="0"/>
        <w:ind w:left="0"/>
        <w:contextualSpacing w:val="0"/>
      </w:pPr>
    </w:p>
    <w:p w14:paraId="580D28AB" w14:textId="77777777" w:rsidR="00265FE3" w:rsidRDefault="00265FE3" w:rsidP="00421311">
      <w:pPr>
        <w:pStyle w:val="Quote"/>
      </w:pPr>
      <w:r w:rsidRPr="00445D6D">
        <w:lastRenderedPageBreak/>
        <w:t>“The TCA recommends moving away from the current sector-based model toward a sector-agnostic, use-based model that is standardised by data use cases such as online payments and mortgage applications.”</w:t>
      </w:r>
      <w:r>
        <w:t xml:space="preserve"> </w:t>
      </w:r>
      <w:r w:rsidRPr="00F3484D">
        <w:rPr>
          <w:b/>
        </w:rPr>
        <w:t>– Tech Council of Australia</w:t>
      </w:r>
    </w:p>
    <w:p w14:paraId="636D78F4" w14:textId="369B1AE9" w:rsidR="00265FE3" w:rsidRPr="00F3484D" w:rsidRDefault="00265FE3" w:rsidP="00421311">
      <w:pPr>
        <w:pStyle w:val="Quote"/>
        <w:rPr>
          <w:rFonts w:cs="Calibri Light"/>
          <w:b/>
          <w:color w:val="000000"/>
        </w:rPr>
      </w:pPr>
      <w:r w:rsidRPr="00600205">
        <w:rPr>
          <w:rFonts w:cs="Calibri Light"/>
          <w:color w:val="000000"/>
        </w:rPr>
        <w:t xml:space="preserve">“Continue with expansion and acceleration of CDR to include broader government and private sector datasets to enable more innovative customer value propositions.” </w:t>
      </w:r>
      <w:r w:rsidRPr="00F3484D">
        <w:rPr>
          <w:rFonts w:cs="Calibri Light"/>
          <w:b/>
          <w:color w:val="000000"/>
        </w:rPr>
        <w:t>– Commonwealth Bank of Australia</w:t>
      </w:r>
    </w:p>
    <w:p w14:paraId="3F8D357F" w14:textId="7534FAEE" w:rsidR="00265FE3" w:rsidRDefault="00DD3FC2" w:rsidP="00445D6D">
      <w:r>
        <w:t>F</w:t>
      </w:r>
      <w:r w:rsidR="00265FE3">
        <w:t>acilitating these use cases may be particularly difficult</w:t>
      </w:r>
      <w:r w:rsidRPr="00DD3FC2">
        <w:t xml:space="preserve"> </w:t>
      </w:r>
      <w:r>
        <w:t>under the existing sector-by-sector approach</w:t>
      </w:r>
      <w:r w:rsidR="00786C30">
        <w:t xml:space="preserve"> to</w:t>
      </w:r>
      <w:r>
        <w:t xml:space="preserve"> roll</w:t>
      </w:r>
      <w:r w:rsidR="00561654">
        <w:t xml:space="preserve">ing </w:t>
      </w:r>
      <w:r>
        <w:t>out the CDR</w:t>
      </w:r>
      <w:r w:rsidR="00265FE3">
        <w:t xml:space="preserve">. </w:t>
      </w:r>
    </w:p>
    <w:p w14:paraId="274A315D" w14:textId="77777777" w:rsidR="00265FE3" w:rsidRDefault="00265FE3" w:rsidP="00421311">
      <w:pPr>
        <w:pStyle w:val="Quote"/>
      </w:pPr>
      <w:r w:rsidRPr="00445D6D">
        <w:t>“The government needs to consider the impacts and consequences as sectors are designated, as sectors do not function in isolation. It is important to understand and recognise some sectors have cross sector dependencies.”</w:t>
      </w:r>
      <w:r>
        <w:t xml:space="preserve"> </w:t>
      </w:r>
      <w:r w:rsidRPr="00F3484D">
        <w:rPr>
          <w:b/>
        </w:rPr>
        <w:t>–</w:t>
      </w:r>
      <w:r w:rsidRPr="00F3484D" w:rsidDel="00B94F1A">
        <w:rPr>
          <w:b/>
        </w:rPr>
        <w:t xml:space="preserve"> </w:t>
      </w:r>
      <w:r w:rsidRPr="00F3484D">
        <w:rPr>
          <w:b/>
        </w:rPr>
        <w:t>PEXA</w:t>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E17E29" w14:paraId="69A256A6" w14:textId="77777777" w:rsidTr="002161D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3CC46BF6" w14:textId="168738A6" w:rsidR="00E17E29" w:rsidRPr="00822EF9" w:rsidRDefault="00E17E29" w:rsidP="00421311">
            <w:pPr>
              <w:pStyle w:val="BoxHeading"/>
              <w:rPr>
                <w:sz w:val="36"/>
                <w:szCs w:val="36"/>
              </w:rPr>
            </w:pPr>
            <w:r w:rsidRPr="00421311">
              <w:t>Box 3.</w:t>
            </w:r>
            <w:r w:rsidR="00BC0907" w:rsidRPr="00421311">
              <w:t>2</w:t>
            </w:r>
            <w:r w:rsidRPr="00421311">
              <w:t xml:space="preserve"> – Cross</w:t>
            </w:r>
            <w:r w:rsidR="005D49C0" w:rsidRPr="00421311">
              <w:t>-</w:t>
            </w:r>
            <w:r w:rsidRPr="00421311">
              <w:t>sectoral products, use case example</w:t>
            </w:r>
          </w:p>
          <w:p w14:paraId="566E899E" w14:textId="4E000FBF" w:rsidR="00E17E29" w:rsidRPr="00511A43" w:rsidRDefault="00E17E29" w:rsidP="00421311">
            <w:pPr>
              <w:pStyle w:val="BoxText"/>
            </w:pPr>
            <w:r w:rsidRPr="00D4755B">
              <w:rPr>
                <w:szCs w:val="24"/>
              </w:rPr>
              <w:t xml:space="preserve">Considering the purchase of rooftop solar can be a complex </w:t>
            </w:r>
            <w:r w:rsidRPr="00167D86">
              <w:rPr>
                <w:szCs w:val="24"/>
              </w:rPr>
              <w:t>process. To make an effective decision</w:t>
            </w:r>
            <w:r w:rsidR="005C432B" w:rsidRPr="00167D86">
              <w:rPr>
                <w:szCs w:val="24"/>
              </w:rPr>
              <w:t>,</w:t>
            </w:r>
            <w:r w:rsidRPr="00E6039E">
              <w:rPr>
                <w:szCs w:val="24"/>
              </w:rPr>
              <w:t xml:space="preserve"> consumers need to consider their existing household energy usage, whether they have the capacity to absorb the upfront costs or whether a loan might be required and</w:t>
            </w:r>
            <w:r w:rsidR="005C432B" w:rsidRPr="002252C2">
              <w:rPr>
                <w:szCs w:val="24"/>
              </w:rPr>
              <w:t>,</w:t>
            </w:r>
            <w:r w:rsidRPr="002252C2">
              <w:rPr>
                <w:szCs w:val="24"/>
              </w:rPr>
              <w:t xml:space="preserve"> if so, whether </w:t>
            </w:r>
            <w:r w:rsidR="005C432B" w:rsidRPr="002252C2">
              <w:rPr>
                <w:szCs w:val="24"/>
              </w:rPr>
              <w:t xml:space="preserve">the </w:t>
            </w:r>
            <w:r w:rsidRPr="002252C2">
              <w:rPr>
                <w:szCs w:val="24"/>
              </w:rPr>
              <w:t>benefits of installation outwei</w:t>
            </w:r>
            <w:r w:rsidRPr="003D0786">
              <w:rPr>
                <w:szCs w:val="24"/>
              </w:rPr>
              <w:t>gh the cost. To support this difficult decision, a CDR-powered service could access customer financial data and energy data simultaneously to provide a complete picture of the value of pursuing rooftop solar, as well as provide bespoke product recommendati</w:t>
            </w:r>
            <w:r w:rsidRPr="0002173D">
              <w:rPr>
                <w:szCs w:val="24"/>
              </w:rPr>
              <w:t xml:space="preserve">ons. </w:t>
            </w:r>
          </w:p>
        </w:tc>
      </w:tr>
    </w:tbl>
    <w:p w14:paraId="1A32002C" w14:textId="77777777" w:rsidR="00265FE3" w:rsidRDefault="00265FE3" w:rsidP="00265FE3">
      <w:pPr>
        <w:pStyle w:val="Bullet"/>
        <w:numPr>
          <w:ilvl w:val="0"/>
          <w:numId w:val="0"/>
        </w:numPr>
      </w:pPr>
    </w:p>
    <w:p w14:paraId="0B3D616B" w14:textId="398D84B8" w:rsidR="00265FE3" w:rsidRDefault="00265FE3" w:rsidP="00445D6D">
      <w:r>
        <w:t xml:space="preserve">Whilst the </w:t>
      </w:r>
      <w:r w:rsidR="00F32AEF">
        <w:t>sector-by-sector</w:t>
      </w:r>
      <w:r>
        <w:t xml:space="preserve"> rollout is a pragmatic and </w:t>
      </w:r>
      <w:r w:rsidR="009C41AF">
        <w:t xml:space="preserve">intuitive </w:t>
      </w:r>
      <w:r>
        <w:t xml:space="preserve">approach in the short term, it has also resulted in </w:t>
      </w:r>
      <w:r w:rsidR="009725AC">
        <w:t xml:space="preserve">new </w:t>
      </w:r>
      <w:r>
        <w:t xml:space="preserve">rules/standards/consent processes for each sector. These bespoke processes </w:t>
      </w:r>
      <w:r w:rsidR="009725AC">
        <w:t xml:space="preserve">are </w:t>
      </w:r>
      <w:r>
        <w:t xml:space="preserve">developed in </w:t>
      </w:r>
      <w:r w:rsidR="009725AC">
        <w:t>response to</w:t>
      </w:r>
      <w:r>
        <w:t xml:space="preserve"> the </w:t>
      </w:r>
      <w:r w:rsidR="009725AC">
        <w:t xml:space="preserve">particulars </w:t>
      </w:r>
      <w:r>
        <w:t>of</w:t>
      </w:r>
      <w:r w:rsidR="009725AC">
        <w:t xml:space="preserve"> each</w:t>
      </w:r>
      <w:r>
        <w:t xml:space="preserve"> sector, but also </w:t>
      </w:r>
      <w:r w:rsidR="009725AC">
        <w:t>reinforce</w:t>
      </w:r>
      <w:r>
        <w:t xml:space="preserve"> the vertical sectoral</w:t>
      </w:r>
      <w:r w:rsidR="009725AC">
        <w:t xml:space="preserve"> silos, increasing system complexity and</w:t>
      </w:r>
      <w:r>
        <w:t xml:space="preserve"> </w:t>
      </w:r>
      <w:r w:rsidR="009725AC">
        <w:t>friction for cross</w:t>
      </w:r>
      <w:r w:rsidR="005C432B">
        <w:t>-</w:t>
      </w:r>
      <w:r w:rsidR="009725AC">
        <w:t>sectoral activity</w:t>
      </w:r>
      <w:r>
        <w:t>, potentially providing a barrier for more innovative cross</w:t>
      </w:r>
      <w:r w:rsidR="005C432B">
        <w:t>-</w:t>
      </w:r>
      <w:r>
        <w:t xml:space="preserve">sectoral use cases. </w:t>
      </w:r>
      <w:r w:rsidR="009725AC">
        <w:t>T</w:t>
      </w:r>
      <w:r>
        <w:t>his also increases the burden on participants</w:t>
      </w:r>
      <w:r w:rsidR="005C432B">
        <w:t>,</w:t>
      </w:r>
      <w:r>
        <w:t xml:space="preserve"> who either spend considerable time and effort </w:t>
      </w:r>
      <w:r w:rsidR="005C432B">
        <w:t xml:space="preserve">trying to </w:t>
      </w:r>
      <w:r>
        <w:t xml:space="preserve">understand and build to </w:t>
      </w:r>
      <w:r w:rsidR="009725AC">
        <w:t>different requirements by business activity</w:t>
      </w:r>
      <w:r>
        <w:t xml:space="preserve">, increasing costs, or forgoing expansion to a particular sector. Neither </w:t>
      </w:r>
      <w:r w:rsidR="009725AC">
        <w:t xml:space="preserve">result </w:t>
      </w:r>
      <w:r>
        <w:t xml:space="preserve">is </w:t>
      </w:r>
      <w:r w:rsidR="009725AC">
        <w:t>desirable</w:t>
      </w:r>
      <w:r>
        <w:t xml:space="preserve">, </w:t>
      </w:r>
      <w:r w:rsidR="009725AC">
        <w:t xml:space="preserve">with </w:t>
      </w:r>
      <w:r>
        <w:t>the first disincentiv</w:t>
      </w:r>
      <w:r w:rsidR="009725AC">
        <w:t>ising</w:t>
      </w:r>
      <w:r>
        <w:t xml:space="preserve"> participation and the second result</w:t>
      </w:r>
      <w:r w:rsidR="009725AC">
        <w:t>ing</w:t>
      </w:r>
      <w:r>
        <w:t xml:space="preserve"> in reduced consumer value and innovation. </w:t>
      </w:r>
    </w:p>
    <w:p w14:paraId="4CCEF9A5" w14:textId="459F60D7" w:rsidR="00265FE3" w:rsidRDefault="00265FE3" w:rsidP="00445D6D">
      <w:r>
        <w:t>To build a truly cross-sectoral CDR</w:t>
      </w:r>
      <w:r w:rsidR="00D00E2D">
        <w:t>,</w:t>
      </w:r>
      <w:r>
        <w:t xml:space="preserve"> further consideration </w:t>
      </w:r>
      <w:r w:rsidR="00D00E2D">
        <w:t xml:space="preserve">will </w:t>
      </w:r>
      <w:r>
        <w:t xml:space="preserve">need to be given to moving towards greater </w:t>
      </w:r>
      <w:r w:rsidR="00A21F84">
        <w:t xml:space="preserve">alignment </w:t>
      </w:r>
      <w:r w:rsidR="00D00E2D">
        <w:t xml:space="preserve">and </w:t>
      </w:r>
      <w:r w:rsidR="00D00E2D" w:rsidRPr="00F3484D">
        <w:t xml:space="preserve">sector </w:t>
      </w:r>
      <w:r w:rsidR="00E663DC" w:rsidRPr="00F3484D">
        <w:t xml:space="preserve">neutrality </w:t>
      </w:r>
      <w:r w:rsidRPr="00F3484D">
        <w:t>of</w:t>
      </w:r>
      <w:r>
        <w:t xml:space="preserve"> the rules</w:t>
      </w:r>
      <w:r w:rsidR="00B326A7">
        <w:t xml:space="preserve">, </w:t>
      </w:r>
      <w:r>
        <w:t>standards and consents</w:t>
      </w:r>
      <w:r w:rsidR="00D00E2D">
        <w:t xml:space="preserve"> for participants</w:t>
      </w:r>
      <w:r>
        <w:t xml:space="preserve">. </w:t>
      </w:r>
      <w:r w:rsidR="005C432B">
        <w:t>T</w:t>
      </w:r>
      <w:r>
        <w:t xml:space="preserve">he CDR </w:t>
      </w:r>
      <w:r w:rsidR="00DD6214">
        <w:t xml:space="preserve">should aim for </w:t>
      </w:r>
      <w:r>
        <w:t xml:space="preserve">horizontal integration </w:t>
      </w:r>
      <w:r w:rsidR="00DD6214">
        <w:t xml:space="preserve">and </w:t>
      </w:r>
      <w:r>
        <w:t xml:space="preserve">reusability across sectors </w:t>
      </w:r>
      <w:r w:rsidR="00DD6214">
        <w:t>in its design</w:t>
      </w:r>
      <w:r>
        <w:t xml:space="preserve"> and differences </w:t>
      </w:r>
      <w:r w:rsidR="00DD6214">
        <w:t xml:space="preserve">should be by </w:t>
      </w:r>
      <w:r>
        <w:t>exception.</w:t>
      </w:r>
    </w:p>
    <w:p w14:paraId="3B4C1C7D" w14:textId="674EFB7B" w:rsidR="00265FE3" w:rsidRDefault="00265FE3" w:rsidP="00421311">
      <w:pPr>
        <w:pStyle w:val="Quote"/>
      </w:pPr>
      <w:r w:rsidRPr="00445D6D">
        <w:t>“CDR authorities must work together to create a single set of standards and rules that all sectors can use. Only then will we be able to see the full potential of the Consumer Data Right”</w:t>
      </w:r>
      <w:r>
        <w:t xml:space="preserve"> </w:t>
      </w:r>
      <w:r w:rsidRPr="00F3484D">
        <w:rPr>
          <w:b/>
        </w:rPr>
        <w:t>– Intuit</w:t>
      </w:r>
    </w:p>
    <w:p w14:paraId="77D4C530" w14:textId="77777777" w:rsidR="00DA5329" w:rsidRPr="008A7FFD" w:rsidRDefault="00DA5329" w:rsidP="00265FE3">
      <w:pPr>
        <w:pStyle w:val="Bullet"/>
        <w:numPr>
          <w:ilvl w:val="0"/>
          <w:numId w:val="0"/>
        </w:numPr>
        <w:jc w:val="center"/>
        <w:rPr>
          <w:i/>
          <w:iCs/>
        </w:rPr>
      </w:pPr>
    </w:p>
    <w:p w14:paraId="32ADD3E0" w14:textId="3E8196D9" w:rsidR="00265FE3" w:rsidRDefault="00A21F84" w:rsidP="00445D6D">
      <w:r>
        <w:lastRenderedPageBreak/>
        <w:t>Alignment</w:t>
      </w:r>
      <w:r w:rsidR="00265FE3">
        <w:t xml:space="preserve"> must also extend to address the use of different unique identifiers between sectors to identify the consumer. </w:t>
      </w:r>
      <w:r w:rsidR="009C41AF">
        <w:t>Currently</w:t>
      </w:r>
      <w:r w:rsidR="005C432B">
        <w:t>,</w:t>
      </w:r>
      <w:r w:rsidR="00265FE3">
        <w:t xml:space="preserve"> energy providers use an address and/or metering device, banking uses a customer identification number, government financial initiatives use a Tax Fi</w:t>
      </w:r>
      <w:r w:rsidR="009C41AF">
        <w:t>l</w:t>
      </w:r>
      <w:r w:rsidR="00265FE3">
        <w:t xml:space="preserve">e Number (TFN), and businesses are primarily identified by an Australian Business Number (ABN). To </w:t>
      </w:r>
      <w:r w:rsidR="009C41AF">
        <w:t>support future</w:t>
      </w:r>
      <w:r w:rsidR="00265FE3">
        <w:t xml:space="preserve"> cross</w:t>
      </w:r>
      <w:r w:rsidR="005C432B">
        <w:t>-</w:t>
      </w:r>
      <w:r w:rsidR="00265FE3">
        <w:t xml:space="preserve">sectoral use cases, it </w:t>
      </w:r>
      <w:r w:rsidR="009C41AF">
        <w:t xml:space="preserve">will be </w:t>
      </w:r>
      <w:r w:rsidR="00265FE3">
        <w:t xml:space="preserve">critical </w:t>
      </w:r>
      <w:r w:rsidR="009C41AF">
        <w:t>to have</w:t>
      </w:r>
      <w:r w:rsidR="00265FE3">
        <w:t xml:space="preserve"> an overarching </w:t>
      </w:r>
      <w:r w:rsidR="00BC2182">
        <w:t>unique identif</w:t>
      </w:r>
      <w:r w:rsidR="005C432B">
        <w:t>ying</w:t>
      </w:r>
      <w:r w:rsidR="00265FE3">
        <w:t xml:space="preserve"> </w:t>
      </w:r>
      <w:r w:rsidR="00BC42CC">
        <w:t xml:space="preserve">layer </w:t>
      </w:r>
      <w:r w:rsidR="00265FE3">
        <w:t xml:space="preserve">or data interoperability mechanism between </w:t>
      </w:r>
      <w:r w:rsidR="00BC2182">
        <w:t>unique identifiers</w:t>
      </w:r>
      <w:r w:rsidR="00265FE3">
        <w:t xml:space="preserve"> within the CDR to reliably identify the consumer and manage consents </w:t>
      </w:r>
      <w:r w:rsidR="00265FE3" w:rsidRPr="002603C4">
        <w:t>while maintaining appropriate privacy protections</w:t>
      </w:r>
      <w:r w:rsidR="009C41AF">
        <w:t>. Without this</w:t>
      </w:r>
      <w:r w:rsidR="005C432B">
        <w:t>,</w:t>
      </w:r>
      <w:r w:rsidR="009C41AF">
        <w:t xml:space="preserve"> it </w:t>
      </w:r>
      <w:r w:rsidR="00265FE3">
        <w:t xml:space="preserve">will be </w:t>
      </w:r>
      <w:r w:rsidR="00381623">
        <w:t xml:space="preserve">more </w:t>
      </w:r>
      <w:r w:rsidR="00265FE3">
        <w:t xml:space="preserve">difficult </w:t>
      </w:r>
      <w:r w:rsidR="00265FE3" w:rsidDel="00660C6E">
        <w:t xml:space="preserve">to </w:t>
      </w:r>
      <w:r w:rsidR="00265FE3">
        <w:t xml:space="preserve">bring together </w:t>
      </w:r>
      <w:r w:rsidR="00381623">
        <w:t xml:space="preserve">consumers’ </w:t>
      </w:r>
      <w:r w:rsidR="00265FE3">
        <w:t xml:space="preserve">datasets </w:t>
      </w:r>
      <w:r w:rsidR="00381623">
        <w:t xml:space="preserve">from </w:t>
      </w:r>
      <w:r w:rsidR="00265FE3">
        <w:t>across sectors</w:t>
      </w:r>
      <w:r w:rsidR="00381623">
        <w:t xml:space="preserve"> and providers</w:t>
      </w:r>
      <w:r w:rsidR="00265FE3">
        <w:t xml:space="preserve">. </w:t>
      </w:r>
      <w:r w:rsidR="00E5040D">
        <w:t>C</w:t>
      </w:r>
      <w:r w:rsidR="00265FE3">
        <w:t>onsideration needs to be given to addressing this issue to allow</w:t>
      </w:r>
      <w:r w:rsidR="00381623">
        <w:t xml:space="preserve"> better </w:t>
      </w:r>
      <w:r w:rsidR="005C432B">
        <w:t xml:space="preserve">cross-sectoral </w:t>
      </w:r>
      <w:r w:rsidR="00381623">
        <w:t>operation, both within the</w:t>
      </w:r>
      <w:r w:rsidR="00265FE3">
        <w:t xml:space="preserve"> </w:t>
      </w:r>
      <w:r w:rsidR="00381623">
        <w:t xml:space="preserve">CDR and </w:t>
      </w:r>
      <w:r w:rsidR="00265FE3">
        <w:t>across the broader digital economy</w:t>
      </w:r>
      <w:r w:rsidR="00381623">
        <w:t>,</w:t>
      </w:r>
      <w:r w:rsidR="00265FE3">
        <w:t xml:space="preserve"> with the use of common</w:t>
      </w:r>
      <w:r w:rsidR="005C432B">
        <w:t>,</w:t>
      </w:r>
      <w:r w:rsidR="00265FE3">
        <w:t xml:space="preserve"> economy</w:t>
      </w:r>
      <w:r w:rsidR="00381623">
        <w:t>-</w:t>
      </w:r>
      <w:r w:rsidR="00265FE3">
        <w:t>wide identifier</w:t>
      </w:r>
      <w:r w:rsidR="00381623">
        <w:t>s</w:t>
      </w:r>
      <w:r w:rsidR="005C432B">
        <w:t>,</w:t>
      </w:r>
      <w:r w:rsidR="00265FE3">
        <w:t xml:space="preserve"> such as </w:t>
      </w:r>
      <w:r w:rsidR="00755515">
        <w:t>d</w:t>
      </w:r>
      <w:r w:rsidR="00265FE3">
        <w:t xml:space="preserve">igital </w:t>
      </w:r>
      <w:r w:rsidR="00755515">
        <w:t>i</w:t>
      </w:r>
      <w:r w:rsidR="00265FE3">
        <w:t>dentity</w:t>
      </w:r>
      <w:r w:rsidR="00265FE3" w:rsidDel="001842E5">
        <w:t>.</w:t>
      </w:r>
    </w:p>
    <w:p w14:paraId="4691E326" w14:textId="3BEE4B01" w:rsidR="00265FE3" w:rsidRDefault="00265FE3" w:rsidP="00421311">
      <w:pPr>
        <w:pStyle w:val="Quote"/>
      </w:pPr>
      <w:r w:rsidRPr="00445D6D">
        <w:t>“Without introducing a common identification framework or including a Digital Identity, cross-sectoral data sharing will be impossible from a consent perspective”</w:t>
      </w:r>
      <w:r>
        <w:t xml:space="preserve"> </w:t>
      </w:r>
      <w:r w:rsidRPr="008A32BF">
        <w:rPr>
          <w:b/>
        </w:rPr>
        <w:t>– FDATA</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E17E29" w14:paraId="4A5007EA" w14:textId="77777777" w:rsidTr="002161DB">
        <w:tc>
          <w:tcPr>
            <w:tcW w:w="5000" w:type="pct"/>
            <w:shd w:val="clear" w:color="auto" w:fill="F2F9FC"/>
            <w:hideMark/>
          </w:tcPr>
          <w:p w14:paraId="2BA2A59D" w14:textId="662311FE" w:rsidR="00E17E29" w:rsidRPr="00CE4B29" w:rsidRDefault="00E17E29" w:rsidP="00421311">
            <w:pPr>
              <w:pStyle w:val="BoxHeading"/>
            </w:pPr>
            <w:r w:rsidRPr="00CE4B29">
              <w:t>Finding 3.</w:t>
            </w:r>
            <w:r w:rsidR="00B40BA3" w:rsidRPr="00CE4B29">
              <w:t>2</w:t>
            </w:r>
          </w:p>
          <w:p w14:paraId="19B83182" w14:textId="5D60B035" w:rsidR="00E17E29" w:rsidRDefault="005C432B" w:rsidP="00421311">
            <w:pPr>
              <w:pStyle w:val="BoxText"/>
            </w:pPr>
            <w:r w:rsidRPr="00CE4B29">
              <w:rPr>
                <w:color w:val="2C384A" w:themeColor="accent1"/>
              </w:rPr>
              <w:t>Expanding</w:t>
            </w:r>
            <w:r w:rsidR="00C34035" w:rsidRPr="00CE4B29">
              <w:rPr>
                <w:color w:val="2C384A" w:themeColor="accent1"/>
              </w:rPr>
              <w:t xml:space="preserve"> the CDR to deliver cross</w:t>
            </w:r>
            <w:r w:rsidR="003530C3" w:rsidRPr="00CE4B29">
              <w:rPr>
                <w:color w:val="2C384A" w:themeColor="accent1"/>
              </w:rPr>
              <w:t>-</w:t>
            </w:r>
            <w:r w:rsidR="00C34035" w:rsidRPr="00CE4B29">
              <w:rPr>
                <w:color w:val="2C384A" w:themeColor="accent1"/>
              </w:rPr>
              <w:t>sectoral</w:t>
            </w:r>
            <w:r w:rsidR="00E5040D" w:rsidRPr="00CE4B29">
              <w:rPr>
                <w:color w:val="2C384A" w:themeColor="accent1"/>
              </w:rPr>
              <w:t xml:space="preserve"> use cases </w:t>
            </w:r>
            <w:r w:rsidR="00C34035" w:rsidRPr="00CE4B29">
              <w:rPr>
                <w:color w:val="2C384A" w:themeColor="accent1"/>
              </w:rPr>
              <w:t>will require a method of consumer</w:t>
            </w:r>
            <w:r w:rsidR="003530C3" w:rsidRPr="00CE4B29">
              <w:rPr>
                <w:color w:val="2C384A" w:themeColor="accent1"/>
              </w:rPr>
              <w:t xml:space="preserve"> identification that spans</w:t>
            </w:r>
            <w:r w:rsidR="00C34035" w:rsidRPr="00CE4B29">
              <w:rPr>
                <w:color w:val="2C384A" w:themeColor="accent1"/>
              </w:rPr>
              <w:t xml:space="preserve"> different sectors</w:t>
            </w:r>
            <w:r w:rsidR="003530C3" w:rsidRPr="00CE4B29">
              <w:rPr>
                <w:color w:val="2C384A" w:themeColor="accent1"/>
              </w:rPr>
              <w:t xml:space="preserve"> and interactions</w:t>
            </w:r>
            <w:r w:rsidR="00C34035" w:rsidRPr="00CE4B29">
              <w:rPr>
                <w:color w:val="2C384A" w:themeColor="accent1"/>
              </w:rPr>
              <w:t xml:space="preserve">. </w:t>
            </w:r>
            <w:r w:rsidR="00E5040D" w:rsidRPr="00CE4B29">
              <w:rPr>
                <w:color w:val="2C384A" w:themeColor="accent1"/>
              </w:rPr>
              <w:t xml:space="preserve">This </w:t>
            </w:r>
            <w:r w:rsidR="003530C3" w:rsidRPr="00CE4B29">
              <w:rPr>
                <w:color w:val="2C384A" w:themeColor="accent1"/>
              </w:rPr>
              <w:t>will</w:t>
            </w:r>
            <w:r w:rsidR="00E5040D" w:rsidRPr="00CE4B29">
              <w:rPr>
                <w:color w:val="2C384A" w:themeColor="accent1"/>
              </w:rPr>
              <w:t xml:space="preserve"> require </w:t>
            </w:r>
            <w:r w:rsidR="003530C3" w:rsidRPr="00CE4B29">
              <w:rPr>
                <w:color w:val="2C384A" w:themeColor="accent1"/>
              </w:rPr>
              <w:t>utilisation of identity solutions</w:t>
            </w:r>
            <w:r w:rsidR="00E5040D" w:rsidRPr="00CE4B29">
              <w:rPr>
                <w:color w:val="2C384A" w:themeColor="accent1"/>
              </w:rPr>
              <w:t xml:space="preserve"> beyond the existing unique identifiers adopted in energy, financial and telecommunications sectors to enable</w:t>
            </w:r>
            <w:r w:rsidR="0099549D" w:rsidRPr="00CE4B29">
              <w:rPr>
                <w:color w:val="2C384A" w:themeColor="accent1"/>
              </w:rPr>
              <w:t xml:space="preserve"> </w:t>
            </w:r>
            <w:r w:rsidR="003530C3" w:rsidRPr="00CE4B29">
              <w:rPr>
                <w:color w:val="2C384A" w:themeColor="accent1"/>
              </w:rPr>
              <w:t xml:space="preserve">seamless user experiences. </w:t>
            </w:r>
          </w:p>
        </w:tc>
      </w:tr>
    </w:tbl>
    <w:p w14:paraId="3FC03A8F" w14:textId="77777777" w:rsidR="00E17E29" w:rsidRDefault="00E17E29" w:rsidP="00445D6D"/>
    <w:p w14:paraId="2F6451F1" w14:textId="0C84D39C" w:rsidR="000F4D0D" w:rsidRDefault="00265FE3" w:rsidP="00445D6D">
      <w:r>
        <w:t>Australia</w:t>
      </w:r>
      <w:r w:rsidR="003530C3">
        <w:t>’s CDR</w:t>
      </w:r>
      <w:r>
        <w:t xml:space="preserve"> does</w:t>
      </w:r>
      <w:r w:rsidR="00177FA9">
        <w:t xml:space="preserve"> </w:t>
      </w:r>
      <w:r>
        <w:t>n</w:t>
      </w:r>
      <w:r w:rsidR="00177FA9">
        <w:t>o</w:t>
      </w:r>
      <w:r>
        <w:t>t operate in a vacuum</w:t>
      </w:r>
      <w:r w:rsidR="000F4D0D">
        <w:t>.</w:t>
      </w:r>
      <w:r>
        <w:t xml:space="preserve"> </w:t>
      </w:r>
      <w:r w:rsidR="000F4D0D">
        <w:t>I</w:t>
      </w:r>
      <w:r>
        <w:t>t is part of larger global digital economy</w:t>
      </w:r>
      <w:r w:rsidR="000F4D0D">
        <w:t xml:space="preserve">, a fact highlighted in the Future Directions </w:t>
      </w:r>
      <w:r w:rsidR="00177FA9" w:rsidRPr="00383A01">
        <w:t>Inquiry</w:t>
      </w:r>
      <w:r w:rsidR="000F4D0D">
        <w:t>.</w:t>
      </w:r>
      <w:r w:rsidR="00177FA9" w:rsidRPr="00F72C8F">
        <w:rPr>
          <w:rStyle w:val="FootnoteReference"/>
          <w:sz w:val="22"/>
          <w:szCs w:val="24"/>
          <w:vertAlign w:val="superscript"/>
        </w:rPr>
        <w:footnoteReference w:id="40"/>
      </w:r>
      <w:r>
        <w:t xml:space="preserve"> It has been suggested the CDR is</w:t>
      </w:r>
      <w:r w:rsidDel="00A8053A">
        <w:t xml:space="preserve"> </w:t>
      </w:r>
      <w:r>
        <w:t>“quite simply world leading”,</w:t>
      </w:r>
      <w:r w:rsidRPr="00600205">
        <w:rPr>
          <w:rStyle w:val="FootnoteReference"/>
          <w:sz w:val="22"/>
          <w:szCs w:val="24"/>
          <w:vertAlign w:val="superscript"/>
        </w:rPr>
        <w:footnoteReference w:id="41"/>
      </w:r>
      <w:r>
        <w:t xml:space="preserve"> but we risk losing this position and missing opportunities to compete in a larger global ecosystem if we don’t address the issues that prevent interoperability across sectors. Failure to do so will leave Australian businesses at a disadvantage to competitors </w:t>
      </w:r>
      <w:r w:rsidR="000F4D0D">
        <w:t xml:space="preserve">from </w:t>
      </w:r>
      <w:r>
        <w:t xml:space="preserve">international markets and consumers potentially </w:t>
      </w:r>
      <w:r w:rsidR="000F4D0D">
        <w:t xml:space="preserve">ultimately </w:t>
      </w:r>
      <w:r>
        <w:t>worse off</w:t>
      </w:r>
      <w:r w:rsidR="000F4D0D">
        <w:t>.</w:t>
      </w:r>
      <w:r>
        <w:t xml:space="preserve"> </w:t>
      </w:r>
      <w:r w:rsidR="000F4D0D">
        <w:t>It may also lead to a situation of</w:t>
      </w:r>
      <w:r>
        <w:t xml:space="preserve"> increase</w:t>
      </w:r>
      <w:r w:rsidR="000F4D0D">
        <w:t>d</w:t>
      </w:r>
      <w:r>
        <w:t xml:space="preserve"> compliance burdens on participants operating across multiple </w:t>
      </w:r>
      <w:r w:rsidR="00800395">
        <w:t xml:space="preserve">schemes </w:t>
      </w:r>
      <w:r>
        <w:t>internationally</w:t>
      </w:r>
      <w:r w:rsidR="00595CA8">
        <w:t>.</w:t>
      </w:r>
      <w:r w:rsidDel="00595CA8">
        <w:t xml:space="preserve"> </w:t>
      </w:r>
    </w:p>
    <w:p w14:paraId="2344AB49" w14:textId="015E4735" w:rsidR="00DA5329" w:rsidRDefault="00265FE3" w:rsidP="00421311">
      <w:r>
        <w:t>Australia is unique</w:t>
      </w:r>
      <w:r w:rsidR="00D51BC9">
        <w:t>ly placed</w:t>
      </w:r>
      <w:r>
        <w:t xml:space="preserve"> to </w:t>
      </w:r>
      <w:r w:rsidR="00D51BC9">
        <w:t xml:space="preserve">promote </w:t>
      </w:r>
      <w:r>
        <w:t>the CDR as defin</w:t>
      </w:r>
      <w:r w:rsidR="005C432B">
        <w:t>ing</w:t>
      </w:r>
      <w:r>
        <w:t xml:space="preserve"> the standard for data portability frameworks, particularly </w:t>
      </w:r>
      <w:r w:rsidR="00D51BC9">
        <w:t xml:space="preserve">given that </w:t>
      </w:r>
      <w:r>
        <w:t xml:space="preserve">there is no </w:t>
      </w:r>
      <w:r w:rsidR="00D51BC9">
        <w:t>universal or preeminent</w:t>
      </w:r>
      <w:r>
        <w:t xml:space="preserve"> standard</w:t>
      </w:r>
      <w:r w:rsidR="000F4D0D">
        <w:t xml:space="preserve"> globally</w:t>
      </w:r>
      <w:r w:rsidR="00D51BC9">
        <w:t>.</w:t>
      </w:r>
      <w:r>
        <w:t xml:space="preserve"> </w:t>
      </w:r>
    </w:p>
    <w:p w14:paraId="2D2D3407" w14:textId="7DE18A6F" w:rsidR="00265FE3" w:rsidRDefault="00265FE3" w:rsidP="00421311">
      <w:pPr>
        <w:pStyle w:val="Quote"/>
        <w:rPr>
          <w:b/>
        </w:rPr>
      </w:pPr>
      <w:r w:rsidRPr="00445D6D">
        <w:t>“Wherever possible, we suggest harmonising data security and privacy obligations with existing systems and international standards. With many Australian businesses operating overseas, adopting internationally consistent rules minimises compliance burden”</w:t>
      </w:r>
      <w:r w:rsidRPr="00383A01">
        <w:t xml:space="preserve"> </w:t>
      </w:r>
      <w:r w:rsidRPr="00F3484D">
        <w:rPr>
          <w:b/>
        </w:rPr>
        <w:t>– Tech Council of Australia</w:t>
      </w:r>
    </w:p>
    <w:p w14:paraId="1D5BCF56" w14:textId="77777777" w:rsidR="00B21A99" w:rsidRDefault="00B21A99" w:rsidP="00445D6D">
      <w:pPr>
        <w:jc w:val="center"/>
        <w:rPr>
          <w:iCs/>
        </w:r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E17E29" w14:paraId="20E2AE4E" w14:textId="77777777" w:rsidTr="002161DB">
        <w:tc>
          <w:tcPr>
            <w:tcW w:w="5000" w:type="pct"/>
            <w:shd w:val="clear" w:color="auto" w:fill="F2F9FC"/>
            <w:hideMark/>
          </w:tcPr>
          <w:p w14:paraId="1D011C51" w14:textId="1F9E0EF9" w:rsidR="00E17E29" w:rsidRPr="00CE4B29" w:rsidRDefault="00E17E29" w:rsidP="00421311">
            <w:pPr>
              <w:pStyle w:val="BoxHeading"/>
            </w:pPr>
            <w:r w:rsidRPr="00CE4B29">
              <w:lastRenderedPageBreak/>
              <w:t>Fin</w:t>
            </w:r>
            <w:r w:rsidR="001D4879" w:rsidRPr="00CE4B29">
              <w:t>d</w:t>
            </w:r>
            <w:r w:rsidRPr="00CE4B29">
              <w:t>ing 3.</w:t>
            </w:r>
            <w:r w:rsidR="00B40BA3" w:rsidRPr="00CE4B29">
              <w:t>3</w:t>
            </w:r>
          </w:p>
          <w:p w14:paraId="4EA812B6" w14:textId="48AAA4D2" w:rsidR="00E17E29" w:rsidRDefault="003530C3" w:rsidP="00421311">
            <w:pPr>
              <w:pStyle w:val="BoxText"/>
            </w:pPr>
            <w:r w:rsidRPr="00CE4B29">
              <w:rPr>
                <w:color w:val="2C384A" w:themeColor="accent1"/>
              </w:rPr>
              <w:t>Prioritising the development of the CDR as</w:t>
            </w:r>
            <w:r w:rsidR="00E17E29" w:rsidRPr="00CE4B29">
              <w:rPr>
                <w:color w:val="2C384A" w:themeColor="accent1"/>
              </w:rPr>
              <w:t xml:space="preserve"> an internationally interoperable data portability </w:t>
            </w:r>
            <w:r w:rsidR="00C34035" w:rsidRPr="00CE4B29">
              <w:rPr>
                <w:color w:val="2C384A" w:themeColor="accent1"/>
              </w:rPr>
              <w:t>initiative</w:t>
            </w:r>
            <w:r w:rsidR="00E31C75" w:rsidRPr="00CE4B29">
              <w:rPr>
                <w:color w:val="2C384A" w:themeColor="accent1"/>
              </w:rPr>
              <w:t xml:space="preserve"> </w:t>
            </w:r>
            <w:r w:rsidRPr="00CE4B29">
              <w:rPr>
                <w:color w:val="2C384A" w:themeColor="accent1"/>
              </w:rPr>
              <w:t xml:space="preserve">will </w:t>
            </w:r>
            <w:r w:rsidR="00E17E29" w:rsidRPr="00CE4B29">
              <w:rPr>
                <w:color w:val="2C384A" w:themeColor="accent1"/>
              </w:rPr>
              <w:t xml:space="preserve">deliver significant consumer benefits </w:t>
            </w:r>
            <w:r w:rsidR="005C432B" w:rsidRPr="00CE4B29">
              <w:rPr>
                <w:color w:val="2C384A" w:themeColor="accent1"/>
              </w:rPr>
              <w:t>by way of</w:t>
            </w:r>
            <w:r w:rsidR="00E17E29" w:rsidRPr="00CE4B29">
              <w:rPr>
                <w:color w:val="2C384A" w:themeColor="accent1"/>
              </w:rPr>
              <w:t xml:space="preserve"> a greater willingness for participation from international product and service</w:t>
            </w:r>
            <w:r w:rsidR="00C34035" w:rsidRPr="00CE4B29">
              <w:rPr>
                <w:color w:val="2C384A" w:themeColor="accent1"/>
              </w:rPr>
              <w:t xml:space="preserve"> offerings</w:t>
            </w:r>
            <w:r w:rsidR="00E17E29" w:rsidRPr="00CE4B29">
              <w:rPr>
                <w:color w:val="2C384A" w:themeColor="accent1"/>
              </w:rPr>
              <w:t>.</w:t>
            </w:r>
          </w:p>
        </w:tc>
      </w:tr>
    </w:tbl>
    <w:p w14:paraId="1F9BCC67" w14:textId="7DF8F4DA" w:rsidR="00265FE3" w:rsidRPr="00383A01" w:rsidRDefault="00265FE3" w:rsidP="00265FE3">
      <w:pPr>
        <w:pStyle w:val="Heading2"/>
      </w:pPr>
      <w:bookmarkStart w:id="125" w:name="_Toc106286098"/>
      <w:bookmarkStart w:id="126" w:name="_Toc106358408"/>
      <w:bookmarkStart w:id="127" w:name="_Toc110602893"/>
      <w:r w:rsidRPr="00383A01">
        <w:t>3.</w:t>
      </w:r>
      <w:r w:rsidR="00C97733">
        <w:t>4</w:t>
      </w:r>
      <w:r w:rsidRPr="00383A01">
        <w:t xml:space="preserve"> Role for government </w:t>
      </w:r>
      <w:r w:rsidR="00980A35">
        <w:t xml:space="preserve">participation </w:t>
      </w:r>
      <w:r w:rsidRPr="00383A01">
        <w:t>in th</w:t>
      </w:r>
      <w:r w:rsidR="007C6E32">
        <w:t>e</w:t>
      </w:r>
      <w:r w:rsidRPr="00383A01">
        <w:t xml:space="preserve"> CDR</w:t>
      </w:r>
      <w:bookmarkEnd w:id="125"/>
      <w:bookmarkEnd w:id="126"/>
      <w:bookmarkEnd w:id="127"/>
    </w:p>
    <w:p w14:paraId="36FD4497" w14:textId="498CE1BD" w:rsidR="00265FE3" w:rsidRDefault="00265FE3" w:rsidP="00445D6D">
      <w:r w:rsidRPr="008C0B8E">
        <w:t xml:space="preserve">The CDR already includes some </w:t>
      </w:r>
      <w:r w:rsidR="00FD6E4D">
        <w:t xml:space="preserve">government </w:t>
      </w:r>
      <w:r w:rsidR="00FD6E4D" w:rsidRPr="00A238A6">
        <w:t>participa</w:t>
      </w:r>
      <w:r w:rsidR="00417A1E" w:rsidRPr="00A238A6">
        <w:t>tion</w:t>
      </w:r>
      <w:r w:rsidRPr="00A238A6">
        <w:t xml:space="preserve"> –</w:t>
      </w:r>
      <w:r w:rsidRPr="00A238A6" w:rsidDel="008A6988">
        <w:t xml:space="preserve"> </w:t>
      </w:r>
      <w:r w:rsidR="008A6988" w:rsidRPr="00A238A6">
        <w:t xml:space="preserve">the Australian Energy Regulator (AER) </w:t>
      </w:r>
      <w:r w:rsidRPr="00A238A6">
        <w:t>will act as a data holder for the energy sector</w:t>
      </w:r>
      <w:r>
        <w:t>. A clear theme of the recent Treasury Strategic Assessment was the desire for the wider inclusion of public sector data in the CDR. This assessment suggested the use of public sector data to drive innovation and improve how consumers use government services, as well as</w:t>
      </w:r>
      <w:r w:rsidR="00F2718F">
        <w:t xml:space="preserve"> to</w:t>
      </w:r>
      <w:r>
        <w:t xml:space="preserve"> increase consumer trust in both government data use and the CDR. Similar suggestions were heard in submissions to this </w:t>
      </w:r>
      <w:r w:rsidR="008B5592">
        <w:t>R</w:t>
      </w:r>
      <w:r>
        <w:t>eview.</w:t>
      </w:r>
    </w:p>
    <w:p w14:paraId="2D3D1F09" w14:textId="77777777" w:rsidR="00265FE3" w:rsidRDefault="00265FE3" w:rsidP="00421311">
      <w:pPr>
        <w:pStyle w:val="Quote"/>
      </w:pPr>
      <w:r>
        <w:t>“</w:t>
      </w:r>
      <w:r w:rsidRPr="00383A01">
        <w:t>The convenience to have data securely shared both between government agencies and between agencies and business, and the efficiencies to deliver services faster will provide significant value to Australian citizens.</w:t>
      </w:r>
      <w:r w:rsidRPr="00835CAA">
        <w:t xml:space="preserve">” </w:t>
      </w:r>
      <w:r w:rsidRPr="00F3484D">
        <w:rPr>
          <w:b/>
        </w:rPr>
        <w:t>– EY</w:t>
      </w:r>
    </w:p>
    <w:p w14:paraId="1CDC6F5E" w14:textId="77777777" w:rsidR="00265FE3" w:rsidRDefault="00265FE3" w:rsidP="00421311">
      <w:pPr>
        <w:pStyle w:val="Quote"/>
        <w:ind w:left="1020" w:right="1020"/>
      </w:pPr>
      <w:r>
        <w:t>“</w:t>
      </w:r>
      <w:r w:rsidRPr="00383A01">
        <w:t>Rather than scrap Public Datasets from the CDR, a concerted effort much (</w:t>
      </w:r>
      <w:r w:rsidRPr="00835CAA">
        <w:t>sic</w:t>
      </w:r>
      <w:r w:rsidRPr="00383A01">
        <w:t>) be made to find a way to include them in the CDR, as this will supercharge the adoption of CDR through the development of complex and beneficial use cases</w:t>
      </w:r>
      <w:r>
        <w:t>.</w:t>
      </w:r>
      <w:r w:rsidRPr="00383A01">
        <w:t>”</w:t>
      </w:r>
      <w:r>
        <w:t xml:space="preserve"> </w:t>
      </w:r>
      <w:r w:rsidRPr="00F3484D">
        <w:rPr>
          <w:b/>
        </w:rPr>
        <w:t>– FDATA ANZ</w:t>
      </w:r>
    </w:p>
    <w:p w14:paraId="2842BAB3" w14:textId="0658C15B" w:rsidR="00265FE3" w:rsidRDefault="00837663" w:rsidP="00265FE3">
      <w:r>
        <w:t>There is also</w:t>
      </w:r>
      <w:r w:rsidR="00265FE3">
        <w:t xml:space="preserve"> potential for consumer value through government </w:t>
      </w:r>
      <w:r w:rsidR="002F3D11">
        <w:t xml:space="preserve">agencies participating </w:t>
      </w:r>
      <w:r w:rsidR="00265FE3">
        <w:t>as recipient</w:t>
      </w:r>
      <w:r w:rsidR="002F3D11">
        <w:t>s</w:t>
      </w:r>
      <w:r w:rsidR="00265FE3">
        <w:t xml:space="preserve"> of CDR data. Australians are increasingly interacting with government services </w:t>
      </w:r>
      <w:r w:rsidR="0083001D">
        <w:t xml:space="preserve">through </w:t>
      </w:r>
      <w:r w:rsidR="00265FE3">
        <w:t xml:space="preserve">digital </w:t>
      </w:r>
      <w:r w:rsidR="0083001D">
        <w:t>channels</w:t>
      </w:r>
      <w:r w:rsidR="00265FE3">
        <w:t xml:space="preserve">, </w:t>
      </w:r>
      <w:r w:rsidR="0083001D">
        <w:t>and when</w:t>
      </w:r>
      <w:r w:rsidR="00265FE3">
        <w:t xml:space="preserve"> government agencies</w:t>
      </w:r>
      <w:r w:rsidR="0083001D">
        <w:t xml:space="preserve"> are</w:t>
      </w:r>
      <w:r w:rsidR="00265FE3">
        <w:t xml:space="preserve"> able to use consumer information with </w:t>
      </w:r>
      <w:r w:rsidR="00B469CC">
        <w:t xml:space="preserve">consumers’ </w:t>
      </w:r>
      <w:r w:rsidR="0083001D">
        <w:t>consent,</w:t>
      </w:r>
      <w:r w:rsidR="00265FE3">
        <w:t xml:space="preserve"> they can deliver more seamless experiences for Australians through a more </w:t>
      </w:r>
      <w:r w:rsidR="0083001D">
        <w:t xml:space="preserve">integrated </w:t>
      </w:r>
      <w:r w:rsidR="00265FE3">
        <w:t xml:space="preserve">digital ecosystem. The use of consumer data </w:t>
      </w:r>
      <w:r w:rsidR="0083001D">
        <w:t>to support tax payments</w:t>
      </w:r>
      <w:r w:rsidR="00265FE3">
        <w:t xml:space="preserve"> should be considered as one possible starting point for expan</w:t>
      </w:r>
      <w:r w:rsidR="00190245">
        <w:t>d</w:t>
      </w:r>
      <w:r w:rsidR="00265FE3">
        <w:t>i</w:t>
      </w:r>
      <w:r w:rsidR="006B3879">
        <w:t xml:space="preserve">ng </w:t>
      </w:r>
      <w:r w:rsidR="00265FE3">
        <w:t xml:space="preserve">the CDR </w:t>
      </w:r>
      <w:r w:rsidR="00F35CDC">
        <w:t>to government participants</w:t>
      </w:r>
      <w:r w:rsidR="00265FE3">
        <w:t xml:space="preserve">. </w:t>
      </w:r>
    </w:p>
    <w:p w14:paraId="31D5AE5B" w14:textId="370FDF79" w:rsidR="002908D4" w:rsidRDefault="002908D4" w:rsidP="002908D4">
      <w:r w:rsidRPr="00FA0029">
        <w:t xml:space="preserve">In March 2021, Her Majesty’s Revenue and Customs (HMRC) partnered with the private sector to deliver an open banking solution to paying personal taxes. This </w:t>
      </w:r>
      <w:r>
        <w:t>solution enabled taxpayers to consent to allowing a third</w:t>
      </w:r>
      <w:r w:rsidR="0030264B">
        <w:t xml:space="preserve"> </w:t>
      </w:r>
      <w:r>
        <w:t xml:space="preserve">party provider to initiate a payment by prefilling payment reference number and amount, decreasing human error and risk of fraud. As </w:t>
      </w:r>
      <w:r w:rsidR="004B70BE">
        <w:t>of</w:t>
      </w:r>
      <w:r>
        <w:t xml:space="preserve"> January 2022, open </w:t>
      </w:r>
      <w:r w:rsidDel="00E132A4">
        <w:t>b</w:t>
      </w:r>
      <w:r>
        <w:t>anking was used to support the transfer of over £2.4billion</w:t>
      </w:r>
      <w:r w:rsidDel="002723D6">
        <w:t xml:space="preserve"> </w:t>
      </w:r>
      <w:r>
        <w:t>with 13 different tax categories now supported under the scheme.</w:t>
      </w:r>
      <w:r w:rsidRPr="00600205">
        <w:rPr>
          <w:rStyle w:val="FootnoteReference"/>
          <w:sz w:val="22"/>
          <w:szCs w:val="24"/>
          <w:vertAlign w:val="superscript"/>
        </w:rPr>
        <w:footnoteReference w:id="42"/>
      </w:r>
      <w:r w:rsidDel="00FE05F3">
        <w:t xml:space="preserve"> </w:t>
      </w:r>
      <w:r>
        <w:t xml:space="preserve">HMRC’s participation in the UK Open Banking </w:t>
      </w:r>
      <w:r w:rsidR="00800395">
        <w:t xml:space="preserve">scheme </w:t>
      </w:r>
      <w:r>
        <w:t xml:space="preserve">demonstrates that government participation has the potential to unlock significant opportunities for consumer benefit, and to provide opportunities to support private sector innovation in the digital economy. </w:t>
      </w:r>
    </w:p>
    <w:p w14:paraId="560696E5" w14:textId="77777777" w:rsidR="00A35340" w:rsidRDefault="00A35340" w:rsidP="00845B9B"/>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845B9B" w14:paraId="62510E26" w14:textId="77777777" w:rsidTr="002161D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4ECB08D6" w14:textId="5989CF98" w:rsidR="00845B9B" w:rsidRPr="00822EF9" w:rsidRDefault="00845B9B" w:rsidP="002524F9">
            <w:pPr>
              <w:pStyle w:val="BoxHeading"/>
            </w:pPr>
            <w:r w:rsidRPr="002524F9">
              <w:lastRenderedPageBreak/>
              <w:t>Box 3.</w:t>
            </w:r>
            <w:r w:rsidR="00BC0907" w:rsidRPr="002524F9">
              <w:t>3</w:t>
            </w:r>
            <w:r w:rsidRPr="002524F9">
              <w:t xml:space="preserve"> – Unlocking Government</w:t>
            </w:r>
            <w:r w:rsidR="00137A2F" w:rsidRPr="002524F9">
              <w:t>-held</w:t>
            </w:r>
            <w:r w:rsidRPr="002524F9">
              <w:t xml:space="preserve"> data, use case example</w:t>
            </w:r>
          </w:p>
          <w:p w14:paraId="5E1EE556" w14:textId="6C8B7040" w:rsidR="00845B9B" w:rsidRPr="00511A43" w:rsidRDefault="00C235F8" w:rsidP="002524F9">
            <w:pPr>
              <w:pStyle w:val="BoxText"/>
            </w:pPr>
            <w:r w:rsidRPr="00D4755B">
              <w:rPr>
                <w:szCs w:val="24"/>
              </w:rPr>
              <w:t>Businesses often rely on trusted advis</w:t>
            </w:r>
            <w:r w:rsidR="007D736E" w:rsidRPr="00167D86">
              <w:rPr>
                <w:szCs w:val="24"/>
              </w:rPr>
              <w:t>e</w:t>
            </w:r>
            <w:r w:rsidRPr="00167D86">
              <w:rPr>
                <w:szCs w:val="24"/>
              </w:rPr>
              <w:t>rs and other services t</w:t>
            </w:r>
            <w:r w:rsidR="002908D4" w:rsidRPr="00E6039E">
              <w:rPr>
                <w:szCs w:val="24"/>
              </w:rPr>
              <w:t>o understand their tax requirements and status</w:t>
            </w:r>
            <w:r w:rsidR="002A7E9D" w:rsidRPr="002252C2">
              <w:rPr>
                <w:szCs w:val="24"/>
              </w:rPr>
              <w:t>,</w:t>
            </w:r>
            <w:r w:rsidR="002908D4" w:rsidRPr="002252C2">
              <w:rPr>
                <w:szCs w:val="24"/>
              </w:rPr>
              <w:t xml:space="preserve"> effectively manage their finances</w:t>
            </w:r>
            <w:r w:rsidR="003F54AC" w:rsidRPr="002252C2">
              <w:rPr>
                <w:szCs w:val="24"/>
              </w:rPr>
              <w:t>, and</w:t>
            </w:r>
            <w:r w:rsidR="002908D4" w:rsidRPr="002252C2">
              <w:rPr>
                <w:szCs w:val="24"/>
              </w:rPr>
              <w:t xml:space="preserve"> comply with regulatory obligations. This i</w:t>
            </w:r>
            <w:r w:rsidR="002908D4" w:rsidRPr="003D0786">
              <w:rPr>
                <w:szCs w:val="24"/>
              </w:rPr>
              <w:t xml:space="preserve">ncludes providing tax returns, business activity statements and other tax information for loan and credit applications. Finding and accessing appropriate financing could be simplified for consumers with the ability to share relevant tax data directly from </w:t>
            </w:r>
            <w:r w:rsidR="002908D4" w:rsidRPr="0002173D">
              <w:rPr>
                <w:szCs w:val="24"/>
              </w:rPr>
              <w:t>the ATO to the service assessing their loan applications or helping to manage their finances.</w:t>
            </w:r>
          </w:p>
        </w:tc>
      </w:tr>
    </w:tbl>
    <w:p w14:paraId="230137E6" w14:textId="77777777" w:rsidR="00265FE3" w:rsidRDefault="00265FE3" w:rsidP="00265FE3"/>
    <w:p w14:paraId="00CA485A" w14:textId="3776819D" w:rsidR="00265FE3" w:rsidRDefault="00DA12B1" w:rsidP="00265FE3">
      <w:r>
        <w:t>More g</w:t>
      </w:r>
      <w:r w:rsidR="00265FE3">
        <w:t>overnment</w:t>
      </w:r>
      <w:r w:rsidR="00900E3B" w:rsidRPr="00A238A6">
        <w:t>-held</w:t>
      </w:r>
      <w:r w:rsidR="00265FE3">
        <w:t xml:space="preserve"> data could be included in the CDR. With most Australian </w:t>
      </w:r>
      <w:r w:rsidR="006B3879">
        <w:t>g</w:t>
      </w:r>
      <w:r w:rsidR="00265FE3">
        <w:t xml:space="preserve">overnments </w:t>
      </w:r>
      <w:r w:rsidR="009A60CC">
        <w:t>(State and Federal)</w:t>
      </w:r>
      <w:r w:rsidR="00265FE3">
        <w:t xml:space="preserve"> supporting and promoting the opportunities of the digital economy to unlock future growth and productivity gains, it is important for </w:t>
      </w:r>
      <w:r w:rsidR="000705AD">
        <w:t xml:space="preserve">the </w:t>
      </w:r>
      <w:r w:rsidR="006B3879">
        <w:t>G</w:t>
      </w:r>
      <w:r w:rsidR="00265FE3">
        <w:t xml:space="preserve">overnment to model the behaviour it seeks from the broader economy. </w:t>
      </w:r>
    </w:p>
    <w:p w14:paraId="6B465758" w14:textId="3B0E809A" w:rsidR="00265FE3" w:rsidRPr="006027C7" w:rsidRDefault="00265FE3" w:rsidP="00265FE3">
      <w:r>
        <w:t>Some modification to the CDR framework may be necessary to support expansion of the CDR into government datasets</w:t>
      </w:r>
      <w:r w:rsidR="00CC6416">
        <w:t xml:space="preserve"> (</w:t>
      </w:r>
      <w:r w:rsidR="00CC6416" w:rsidRPr="006027C7">
        <w:t>see also Recommendation 1.1)</w:t>
      </w:r>
      <w:r w:rsidRPr="006027C7">
        <w:t>. The existing sectoral approach has limited capacity to designate government data</w:t>
      </w:r>
      <w:r w:rsidR="006B3879" w:rsidRPr="006027C7">
        <w:t xml:space="preserve"> as </w:t>
      </w:r>
      <w:r w:rsidRPr="006027C7">
        <w:t xml:space="preserve">government-held datasets can </w:t>
      </w:r>
      <w:r w:rsidR="006B3879" w:rsidRPr="006027C7">
        <w:t xml:space="preserve">currently </w:t>
      </w:r>
      <w:r w:rsidRPr="006027C7">
        <w:t>only be included as part of a CDR rollout to a designated sector.</w:t>
      </w:r>
      <w:r w:rsidRPr="006027C7">
        <w:rPr>
          <w:rStyle w:val="FootnoteReference"/>
          <w:sz w:val="22"/>
          <w:szCs w:val="24"/>
          <w:vertAlign w:val="superscript"/>
        </w:rPr>
        <w:footnoteReference w:id="43"/>
      </w:r>
      <w:r w:rsidRPr="006027C7">
        <w:rPr>
          <w:sz w:val="28"/>
          <w:szCs w:val="24"/>
          <w:vertAlign w:val="superscript"/>
        </w:rPr>
        <w:t xml:space="preserve"> </w:t>
      </w:r>
      <w:r w:rsidRPr="006027C7">
        <w:t>This Review has already suggested that a more discriminating or targeted approach may be warranted for designating new datasets,</w:t>
      </w:r>
      <w:r w:rsidR="00DA12B1" w:rsidRPr="006027C7">
        <w:t xml:space="preserve"> and</w:t>
      </w:r>
      <w:r w:rsidRPr="006027C7">
        <w:t xml:space="preserve"> this may </w:t>
      </w:r>
      <w:r w:rsidR="006B3879" w:rsidRPr="006027C7">
        <w:t>need</w:t>
      </w:r>
      <w:r w:rsidRPr="006027C7">
        <w:t xml:space="preserve"> to support the incorporation of government</w:t>
      </w:r>
      <w:r w:rsidR="00DA12B1" w:rsidRPr="006027C7">
        <w:t>-</w:t>
      </w:r>
      <w:r w:rsidRPr="006027C7">
        <w:t>held data</w:t>
      </w:r>
      <w:r w:rsidR="0028040F" w:rsidRPr="006027C7">
        <w:t>,</w:t>
      </w:r>
      <w:r w:rsidRPr="006027C7">
        <w:t xml:space="preserve"> unless government</w:t>
      </w:r>
      <w:r w:rsidR="00BD0276" w:rsidRPr="006027C7">
        <w:t>-held</w:t>
      </w:r>
      <w:r w:rsidRPr="006027C7">
        <w:t xml:space="preserve"> data can be designated as </w:t>
      </w:r>
      <w:r w:rsidR="00DA12B1" w:rsidRPr="006027C7">
        <w:t xml:space="preserve">its own </w:t>
      </w:r>
      <w:r w:rsidRPr="006027C7">
        <w:t xml:space="preserve">‘sector’. </w:t>
      </w:r>
      <w:r w:rsidR="00263F66" w:rsidRPr="006027C7">
        <w:t>Undertaking a sectoral assessment of government</w:t>
      </w:r>
      <w:r w:rsidR="00F37A3B" w:rsidRPr="006027C7">
        <w:t>-held</w:t>
      </w:r>
      <w:r w:rsidR="00263F66" w:rsidRPr="006027C7">
        <w:t xml:space="preserve"> </w:t>
      </w:r>
      <w:r w:rsidR="00465DCE" w:rsidRPr="006027C7">
        <w:t>data</w:t>
      </w:r>
      <w:r w:rsidR="0051332B" w:rsidRPr="006027C7">
        <w:t xml:space="preserve"> </w:t>
      </w:r>
      <w:r w:rsidRPr="006027C7">
        <w:t xml:space="preserve">would be extremely difficult to facilitate given the wide breadth of functions government </w:t>
      </w:r>
      <w:r w:rsidR="0051332B" w:rsidRPr="006027C7">
        <w:t>fulfils</w:t>
      </w:r>
      <w:r w:rsidR="0067195E" w:rsidRPr="006027C7">
        <w:t>. Designating government as a sector</w:t>
      </w:r>
      <w:r w:rsidRPr="006027C7">
        <w:t xml:space="preserve"> could </w:t>
      </w:r>
      <w:r w:rsidR="0067195E" w:rsidRPr="006027C7">
        <w:t xml:space="preserve">also </w:t>
      </w:r>
      <w:r w:rsidRPr="006027C7">
        <w:t>overlap with existing government data</w:t>
      </w:r>
      <w:r w:rsidR="00BE7617" w:rsidRPr="006027C7">
        <w:t xml:space="preserve"> </w:t>
      </w:r>
      <w:r w:rsidRPr="006027C7">
        <w:t>sharing initiatives (such as DATA 2022)</w:t>
      </w:r>
      <w:r w:rsidR="006B3879" w:rsidRPr="006027C7">
        <w:t>,</w:t>
      </w:r>
      <w:r w:rsidRPr="006027C7">
        <w:t xml:space="preserve"> which</w:t>
      </w:r>
      <w:r w:rsidR="00DA12B1" w:rsidRPr="006027C7">
        <w:t xml:space="preserve"> would</w:t>
      </w:r>
      <w:r w:rsidRPr="006027C7">
        <w:t xml:space="preserve"> unnecessarily add to the complexity of the data regulations in Australia. If legislative changes are needed </w:t>
      </w:r>
      <w:r w:rsidR="006B3879" w:rsidRPr="006027C7">
        <w:t>for</w:t>
      </w:r>
      <w:r w:rsidRPr="006027C7">
        <w:t xml:space="preserve"> a more targeted approach to CDR expansion to support high</w:t>
      </w:r>
      <w:r w:rsidR="006B3879" w:rsidRPr="006027C7">
        <w:t>-</w:t>
      </w:r>
      <w:r w:rsidRPr="006027C7">
        <w:t xml:space="preserve">value and safe use cases facilitated by government data, this </w:t>
      </w:r>
      <w:r w:rsidR="00DA12B1" w:rsidRPr="006027C7">
        <w:t>should</w:t>
      </w:r>
      <w:r w:rsidRPr="006027C7">
        <w:t xml:space="preserve"> be addressed as a matter of priority. </w:t>
      </w:r>
    </w:p>
    <w:p w14:paraId="0491C315" w14:textId="47A686D0" w:rsidR="00265FE3" w:rsidRPr="006027C7" w:rsidRDefault="00265FE3" w:rsidP="00265FE3">
      <w:r w:rsidRPr="006027C7">
        <w:t xml:space="preserve">Further areas of existing legislation </w:t>
      </w:r>
      <w:r w:rsidR="006B3879" w:rsidRPr="006027C7">
        <w:t xml:space="preserve">that </w:t>
      </w:r>
      <w:r w:rsidRPr="006027C7">
        <w:t>may require attention include:</w:t>
      </w:r>
    </w:p>
    <w:p w14:paraId="66F5C23C" w14:textId="594D9336" w:rsidR="00265FE3" w:rsidRPr="006027C7" w:rsidRDefault="00265FE3" w:rsidP="002524F9">
      <w:pPr>
        <w:pStyle w:val="Bullet"/>
        <w:ind w:left="284" w:hanging="284"/>
      </w:pPr>
      <w:r w:rsidRPr="006027C7">
        <w:t>secrecy provisions that prevent the sharing of government-held data, even with a consumer’s consent. The Data Availability and Use report found that together these (over 500) provisions “impose considerable limitations on the availability and use of identifiable data</w:t>
      </w:r>
      <w:r w:rsidR="00644D7C" w:rsidRPr="006027C7">
        <w:t>.</w:t>
      </w:r>
      <w:r w:rsidRPr="006027C7">
        <w:t>” With these provisions in place</w:t>
      </w:r>
      <w:r w:rsidR="00DA12B1" w:rsidRPr="006027C7">
        <w:t>,</w:t>
      </w:r>
      <w:r w:rsidRPr="006027C7">
        <w:t xml:space="preserve"> the existing CDR statutory framework may not be able to enable sharing government-held data.</w:t>
      </w:r>
      <w:r w:rsidRPr="006027C7">
        <w:rPr>
          <w:rStyle w:val="FootnoteReference"/>
          <w:sz w:val="22"/>
          <w:vertAlign w:val="superscript"/>
        </w:rPr>
        <w:footnoteReference w:id="44"/>
      </w:r>
    </w:p>
    <w:p w14:paraId="7D296E2E" w14:textId="26305771" w:rsidR="00265FE3" w:rsidRPr="006027C7" w:rsidRDefault="00265FE3" w:rsidP="002524F9">
      <w:pPr>
        <w:pStyle w:val="Bullet"/>
        <w:ind w:left="284" w:hanging="284"/>
      </w:pPr>
      <w:r w:rsidRPr="006027C7">
        <w:t>fit</w:t>
      </w:r>
      <w:r w:rsidR="00FC5E6B" w:rsidRPr="006027C7">
        <w:t>ness</w:t>
      </w:r>
      <w:r w:rsidRPr="006027C7">
        <w:t>-for-purpose of the scheme’s accreditation and other requirements for government recipients. This could include how the scheme’s privacy safeguards would operate in practice for government ADRs,</w:t>
      </w:r>
      <w:r w:rsidRPr="006027C7">
        <w:rPr>
          <w:rStyle w:val="FootnoteReference"/>
          <w:sz w:val="22"/>
          <w:vertAlign w:val="superscript"/>
        </w:rPr>
        <w:footnoteReference w:id="45"/>
      </w:r>
      <w:r w:rsidRPr="006027C7">
        <w:t xml:space="preserve"> and implications of derived data requirements.</w:t>
      </w:r>
    </w:p>
    <w:p w14:paraId="045DE9C2" w14:textId="77777777" w:rsidR="00A35340" w:rsidRPr="006027C7" w:rsidRDefault="00A35340" w:rsidP="00D56991"/>
    <w:tbl>
      <w:tblPr>
        <w:tblStyle w:val="TableGrid"/>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845B9B" w:rsidRPr="006027C7" w14:paraId="7E39599B" w14:textId="77777777" w:rsidTr="002161D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18F9BBE6" w14:textId="77777777" w:rsidR="00845B9B" w:rsidRPr="006027C7" w:rsidRDefault="00845B9B" w:rsidP="002524F9">
            <w:pPr>
              <w:pStyle w:val="BoxHeading"/>
            </w:pPr>
            <w:r w:rsidRPr="006027C7">
              <w:lastRenderedPageBreak/>
              <w:t>Recommendation 3.2</w:t>
            </w:r>
          </w:p>
          <w:p w14:paraId="3FAA2AD1" w14:textId="74C082C3" w:rsidR="00845B9B" w:rsidRPr="006027C7" w:rsidRDefault="00716396" w:rsidP="002524F9">
            <w:pPr>
              <w:pStyle w:val="BoxText"/>
            </w:pPr>
            <w:r w:rsidRPr="006027C7">
              <w:rPr>
                <w:szCs w:val="24"/>
              </w:rPr>
              <w:t>Facilitating government participation in the CDR should be a priority to ensure consumers benefit from more seamless government interactions and an ability to share their data across a greater range of services. Consideration should be given to how designation, accreditation and standard setting processes can optimally facilitate government involvement alongside other initiatives, such as the Data Availability and Transparency scheme.</w:t>
            </w:r>
          </w:p>
        </w:tc>
      </w:tr>
    </w:tbl>
    <w:p w14:paraId="17ECC45E" w14:textId="27B3A09A" w:rsidR="007B7942" w:rsidRPr="006027C7" w:rsidRDefault="007B7942" w:rsidP="007B7942">
      <w:pPr>
        <w:pStyle w:val="Heading2"/>
      </w:pPr>
      <w:bookmarkStart w:id="128" w:name="_Toc110602894"/>
      <w:bookmarkStart w:id="129" w:name="_Toc106286099"/>
      <w:bookmarkStart w:id="130" w:name="_Toc106358409"/>
      <w:bookmarkStart w:id="131" w:name="_Hlk106803739"/>
      <w:r w:rsidRPr="006027C7">
        <w:t>3.5 Awareness of the regulatory landscape outside the CDR</w:t>
      </w:r>
      <w:bookmarkEnd w:id="128"/>
      <w:r w:rsidRPr="006027C7">
        <w:t xml:space="preserve"> </w:t>
      </w:r>
    </w:p>
    <w:p w14:paraId="71360D6E" w14:textId="039850A6" w:rsidR="007B7942" w:rsidRPr="006027C7" w:rsidRDefault="00384471" w:rsidP="007B7942">
      <w:r w:rsidRPr="006027C7">
        <w:t>T</w:t>
      </w:r>
      <w:r w:rsidR="007B7942" w:rsidRPr="006027C7">
        <w:t xml:space="preserve">he CDR should align with regulatory changes and limit duplication where possible. Participants spoke of the impacts caused by separate but concurrent regulatory processes and obligations within and outside of the CDR. There are several changes that are set to have a significant impact on shaping the digital economy, including the </w:t>
      </w:r>
      <w:r w:rsidR="007B7942" w:rsidRPr="006027C7">
        <w:rPr>
          <w:i/>
          <w:iCs/>
        </w:rPr>
        <w:t xml:space="preserve">Data Availability and Transparency Act </w:t>
      </w:r>
      <w:r w:rsidR="007B7942" w:rsidRPr="006027C7">
        <w:rPr>
          <w:i/>
        </w:rPr>
        <w:t>2022</w:t>
      </w:r>
      <w:r w:rsidR="007B7942" w:rsidRPr="006027C7">
        <w:t xml:space="preserve"> (DATA), the review of the </w:t>
      </w:r>
      <w:r w:rsidR="007B7942" w:rsidRPr="006027C7">
        <w:rPr>
          <w:i/>
          <w:iCs/>
        </w:rPr>
        <w:t xml:space="preserve">Privacy Act 1988, </w:t>
      </w:r>
      <w:r w:rsidR="007B7942" w:rsidRPr="006027C7">
        <w:t xml:space="preserve">the review of the Financial Services Legislation, the payments system reforms, and the ongoing Quality of Advice Review. It is crucial that these policies work together effectively and minimise unnecessary overlap and compliance burden. </w:t>
      </w:r>
    </w:p>
    <w:p w14:paraId="41AE3982" w14:textId="77777777" w:rsidR="007B7942" w:rsidRPr="006027C7" w:rsidRDefault="007B7942" w:rsidP="007B7942">
      <w:r w:rsidRPr="006027C7">
        <w:t xml:space="preserve">The recent passage of </w:t>
      </w:r>
      <w:r w:rsidRPr="006027C7" w:rsidDel="00F724C2">
        <w:t>DATA</w:t>
      </w:r>
      <w:r w:rsidRPr="006027C7">
        <w:t xml:space="preserve"> will</w:t>
      </w:r>
      <w:r w:rsidRPr="006027C7">
        <w:rPr>
          <w:i/>
          <w:iCs/>
        </w:rPr>
        <w:t xml:space="preserve"> </w:t>
      </w:r>
      <w:r w:rsidRPr="006027C7">
        <w:t>allow government agencies to share data with accredited Australian state and federal government agencies and Australian universities. DATA enables sharing for the delivery of government services; informing government policy and programs; and research and development. The CDR and DATA share similarities, including an accreditation framework for data recipients, bespoke privacy safeguards and use cases to streamline service delivery for consumers. There are, however, clear differences between the two schemes. The objectives of the schemes are different – DATA aims to promote the availability of public sector data for prescribed purposes, while the CDR aims to promote consumer choice, innovation and competition through greater consumer, product and service data portability in designated sectors. DATA does not mandate data sharing, which is subject to the agreement of the data holder and accredited recipient rather than being consumer-initiated. As the CDR moves to increase government participation in the CDR as both a data holder and a data recipient, careful consideration should be given to how these systems can operate most effectively together and whether aspects of their implementation can be aligned, such as:</w:t>
      </w:r>
    </w:p>
    <w:p w14:paraId="53E11681" w14:textId="77777777" w:rsidR="007B7942" w:rsidRPr="006027C7" w:rsidRDefault="007B7942" w:rsidP="007B7942">
      <w:pPr>
        <w:pStyle w:val="Bullet"/>
      </w:pPr>
      <w:r w:rsidRPr="006027C7">
        <w:t>facilitating the inclusion of government-held datasets, noting the differing objectives of the DATA and the CDR,</w:t>
      </w:r>
    </w:p>
    <w:p w14:paraId="7D292A60" w14:textId="09E9AA9A" w:rsidR="007B7942" w:rsidRPr="006027C7" w:rsidRDefault="007B7942" w:rsidP="007B7942">
      <w:pPr>
        <w:pStyle w:val="Bullet"/>
      </w:pPr>
      <w:r w:rsidRPr="006027C7">
        <w:t>recognition and alignment of accreditation frameworks (</w:t>
      </w:r>
      <w:r w:rsidR="00606DC0" w:rsidRPr="006027C7">
        <w:t>see</w:t>
      </w:r>
      <w:r w:rsidRPr="006027C7">
        <w:t xml:space="preserve"> Recommendation 2.</w:t>
      </w:r>
      <w:r w:rsidR="00293139" w:rsidRPr="006027C7">
        <w:t>7</w:t>
      </w:r>
      <w:r w:rsidRPr="006027C7">
        <w:t>), and</w:t>
      </w:r>
    </w:p>
    <w:p w14:paraId="2F4BAB13" w14:textId="77777777" w:rsidR="007B7942" w:rsidRPr="006027C7" w:rsidRDefault="007B7942" w:rsidP="007B7942">
      <w:pPr>
        <w:pStyle w:val="Bullet"/>
      </w:pPr>
      <w:r w:rsidRPr="006027C7">
        <w:t>alignment of data standards, including terminology where possible.</w:t>
      </w:r>
    </w:p>
    <w:p w14:paraId="04EEB7AC" w14:textId="77777777" w:rsidR="007B7942" w:rsidRDefault="007B7942" w:rsidP="007B7942">
      <w:r w:rsidRPr="006027C7">
        <w:t>The Digital Transformation Agency (DTA) has also been developing legislation for an Australian Government Digital Identity System, building on the infrastructure developed to deliver myGovID. Though focused on proving identity, this is, at core, a data sharing framework. Should the Government</w:t>
      </w:r>
      <w:r>
        <w:t xml:space="preserve"> be inclined to continue this work, it is important for the CDR and Digital Identity framework to complement each other where possible to ensure a seamless digital experience for users and a navigable system for those delivering services.</w:t>
      </w:r>
    </w:p>
    <w:p w14:paraId="5508E4B3" w14:textId="77777777" w:rsidR="007B7942" w:rsidRDefault="007B7942" w:rsidP="007B7942">
      <w:r>
        <w:t xml:space="preserve">The </w:t>
      </w:r>
      <w:r>
        <w:rPr>
          <w:i/>
          <w:iCs/>
        </w:rPr>
        <w:t xml:space="preserve">Privacy Act 1988 </w:t>
      </w:r>
      <w:r>
        <w:t xml:space="preserve">was also raised by several submissions, with general concern that the </w:t>
      </w:r>
      <w:r>
        <w:rPr>
          <w:i/>
          <w:iCs/>
        </w:rPr>
        <w:t xml:space="preserve">Privacy Act 1988 </w:t>
      </w:r>
      <w:r>
        <w:t>and the CDR create dual requirements for participants in the CDR</w:t>
      </w:r>
      <w:r>
        <w:rPr>
          <w:i/>
          <w:iCs/>
        </w:rPr>
        <w:t xml:space="preserve">. </w:t>
      </w:r>
      <w:r>
        <w:t xml:space="preserve">Participants noted that these dual requirements create significant and unnecessary complexity, particularly for smaller participants (without large legal teams) required to interpret their obligations under each of these frameworks. </w:t>
      </w:r>
    </w:p>
    <w:p w14:paraId="4E90BDBF" w14:textId="77777777" w:rsidR="007B7942" w:rsidRDefault="007B7942" w:rsidP="002524F9">
      <w:pPr>
        <w:pStyle w:val="Quote"/>
      </w:pPr>
      <w:r>
        <w:lastRenderedPageBreak/>
        <w:t>“</w:t>
      </w:r>
      <w:r w:rsidRPr="00383A01">
        <w:t>Placing privacy protections into legislation not related to privacy not only increases the complexity of that legislation but creates a risk that people seeking to understand how the privacy of their data transmitted through CDR channels is protected in the Privacy Act 1988 (Cth) will potentially consider that none exists.</w:t>
      </w:r>
      <w:r>
        <w:t xml:space="preserve">” </w:t>
      </w:r>
      <w:r w:rsidRPr="00F3484D">
        <w:rPr>
          <w:b/>
        </w:rPr>
        <w:t>–</w:t>
      </w:r>
      <w:r w:rsidRPr="00F3484D" w:rsidDel="00B94F1A">
        <w:rPr>
          <w:b/>
        </w:rPr>
        <w:t xml:space="preserve"> </w:t>
      </w:r>
      <w:r w:rsidRPr="00F3484D">
        <w:rPr>
          <w:b/>
        </w:rPr>
        <w:t>Joint submission CAANZ, CPA, IPA</w:t>
      </w:r>
    </w:p>
    <w:p w14:paraId="329CB676" w14:textId="77777777" w:rsidR="007B7942" w:rsidRDefault="007B7942" w:rsidP="007B7942">
      <w:r>
        <w:t xml:space="preserve">The requirements on participants for data sharing and use under the privacy safeguards were, however, generally seen as being appropriate for participating in the CDR. It is difficult to see how these arrangements could be simplified while providing a high degree of consumer protection without making general changes to the </w:t>
      </w:r>
      <w:r>
        <w:rPr>
          <w:i/>
          <w:iCs/>
        </w:rPr>
        <w:t xml:space="preserve">Privacy Act </w:t>
      </w:r>
      <w:r w:rsidRPr="00F3484D">
        <w:rPr>
          <w:i/>
          <w:iCs/>
        </w:rPr>
        <w:t>1988</w:t>
      </w:r>
      <w:r w:rsidRPr="00F3484D">
        <w:t>. The CDR should not be the mechanism through which changes to Australia’s general privacy landscape are achieved. Instead</w:t>
      </w:r>
      <w:r>
        <w:t xml:space="preserve">, the ongoing Privacy Act Review should consider what the appropriate privacy settings are for the wider economy. If this results in a lifting of standards to a level similar to the CDR privacy safeguards, then consideration should be given to amending the </w:t>
      </w:r>
      <w:r w:rsidRPr="00F3484D">
        <w:rPr>
          <w:iCs/>
        </w:rPr>
        <w:t>Act</w:t>
      </w:r>
      <w:r>
        <w:t xml:space="preserve"> and the CDR rules, removing any duplicative obligations and providing a level of alignment</w:t>
      </w:r>
      <w:r w:rsidDel="00D0099E">
        <w:t>.</w:t>
      </w:r>
    </w:p>
    <w:p w14:paraId="37F1F2C1" w14:textId="77777777" w:rsidR="007B7942" w:rsidRDefault="007B7942" w:rsidP="002524F9">
      <w:pPr>
        <w:pStyle w:val="Quote"/>
      </w:pPr>
      <w:r>
        <w:t>“</w:t>
      </w:r>
      <w:r w:rsidRPr="002161DB">
        <w:t>Simplicity and consistency in privacy obligations will benefit both businesses and consumers in understanding their rights and responsibilities and will also aide situations where businesses may operate internationally (and therefore be subject to a range of international privacy requirements as well).”</w:t>
      </w:r>
      <w:r w:rsidRPr="00A75613">
        <w:t xml:space="preserve"> </w:t>
      </w:r>
      <w:r w:rsidRPr="00F3484D">
        <w:rPr>
          <w:b/>
        </w:rPr>
        <w:t>– Telstra</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7B7942" w14:paraId="4F5ED367" w14:textId="77777777" w:rsidTr="000B1136">
        <w:tc>
          <w:tcPr>
            <w:tcW w:w="5000" w:type="pct"/>
            <w:shd w:val="clear" w:color="auto" w:fill="F2F9FC"/>
            <w:hideMark/>
          </w:tcPr>
          <w:p w14:paraId="44239902" w14:textId="3A809800" w:rsidR="007B7942" w:rsidRPr="00CE4B29" w:rsidRDefault="007B7942" w:rsidP="002524F9">
            <w:pPr>
              <w:pStyle w:val="BoxHeading"/>
            </w:pPr>
            <w:r w:rsidRPr="00CE4B29">
              <w:t>Finding 3.4</w:t>
            </w:r>
          </w:p>
          <w:p w14:paraId="24B1ADA2" w14:textId="77777777" w:rsidR="007B7942" w:rsidRDefault="007B7942" w:rsidP="002524F9">
            <w:pPr>
              <w:pStyle w:val="BoxText"/>
            </w:pPr>
            <w:r w:rsidRPr="00CE4B29">
              <w:rPr>
                <w:color w:val="2C384A" w:themeColor="accent1"/>
              </w:rPr>
              <w:t xml:space="preserve">Protections provided by the CDR are designed to ensure the integrity of the scheme is maintained as it moves across each sector working alongside the </w:t>
            </w:r>
            <w:r w:rsidRPr="00CE4B29">
              <w:rPr>
                <w:i/>
                <w:color w:val="2C384A" w:themeColor="accent1"/>
              </w:rPr>
              <w:t>Privacy Act 1988</w:t>
            </w:r>
            <w:r w:rsidRPr="00CE4B29">
              <w:rPr>
                <w:color w:val="2C384A" w:themeColor="accent1"/>
              </w:rPr>
              <w:t xml:space="preserve">. Where opportunities for alignment with the </w:t>
            </w:r>
            <w:r w:rsidRPr="00CE4B29">
              <w:rPr>
                <w:i/>
                <w:color w:val="2C384A" w:themeColor="accent1"/>
              </w:rPr>
              <w:t>Privacy Act 1988</w:t>
            </w:r>
            <w:r w:rsidRPr="00CE4B29">
              <w:rPr>
                <w:color w:val="2C384A" w:themeColor="accent1"/>
              </w:rPr>
              <w:t xml:space="preserve"> are identified, the CDR protections should be reviewed to reduce duplication and increase alignment.</w:t>
            </w:r>
          </w:p>
        </w:tc>
      </w:tr>
    </w:tbl>
    <w:p w14:paraId="03E0EF10" w14:textId="77777777" w:rsidR="007B7942" w:rsidRDefault="007B7942" w:rsidP="007B7942"/>
    <w:p w14:paraId="673FE7B7" w14:textId="77777777" w:rsidR="007B7942" w:rsidRDefault="007B7942" w:rsidP="007B7942">
      <w:r>
        <w:t xml:space="preserve">Although they impact only those in the financial services sector, the ongoing </w:t>
      </w:r>
      <w:r w:rsidRPr="002D1412">
        <w:t>Review of the Legislative Framework for Corporations and Financial Services Regulation</w:t>
      </w:r>
      <w:r>
        <w:t xml:space="preserve"> by the Australian Law Reform Commission are good examples cited in illion’s submission of ongoing processes that may provide some avenue for regulatory alignment. </w:t>
      </w:r>
    </w:p>
    <w:p w14:paraId="19A94C72" w14:textId="04275EED" w:rsidR="007B7942" w:rsidRDefault="007B7942" w:rsidP="007B7942">
      <w:r>
        <w:t xml:space="preserve">A close eye should also be kept on any potential decisions and regulatory changes impacting payments systems, which include the nascent technologies of cryptocurrency and digital wallets. With the CDR poised to make the step into payment initiation, any changes to the payment ecosystem may have potential overlaps that should be considered. In particular, Scott Farrell recommended in the recent </w:t>
      </w:r>
      <w:r w:rsidRPr="002161DB">
        <w:t>Review of the Australian Payments System</w:t>
      </w:r>
      <w:r>
        <w:rPr>
          <w:b/>
          <w:bCs/>
        </w:rPr>
        <w:t xml:space="preserve"> </w:t>
      </w:r>
      <w:r w:rsidRPr="00600205">
        <w:t>“</w:t>
      </w:r>
      <w:r>
        <w:t>aligning the requirements under CDR accreditation with the payment services licence where appropriate. For example, the payment services licence should contain requirements that are built on top of the relevant information security requirements under the CDR.”</w:t>
      </w:r>
      <w:r w:rsidRPr="00600205">
        <w:rPr>
          <w:rStyle w:val="FootnoteReference"/>
          <w:sz w:val="22"/>
          <w:szCs w:val="24"/>
          <w:vertAlign w:val="superscript"/>
        </w:rPr>
        <w:footnoteReference w:id="46"/>
      </w:r>
      <w:r>
        <w:t xml:space="preserve"> </w:t>
      </w:r>
    </w:p>
    <w:p w14:paraId="0EE679A6" w14:textId="77777777" w:rsidR="007B7942" w:rsidRDefault="007B7942" w:rsidP="002524F9">
      <w:pPr>
        <w:pStyle w:val="Quote"/>
      </w:pPr>
      <w:r>
        <w:lastRenderedPageBreak/>
        <w:t>“</w:t>
      </w:r>
      <w:r w:rsidRPr="004F2000">
        <w:t xml:space="preserve">We recommend government consider the cumulative regulatory burden associated with all of these reforms as it contemplates the CDR legislative framework. Moreover, any changes to the </w:t>
      </w:r>
      <w:r>
        <w:t>CDR should avoid confusion or tension between regulatory frameworks across portfolios. It would not be helpful for any proposed changes to the Privacy Act to be at odds with the legislative framework or rules underpinning the CDR, for example. Similarly the Payments System Review is also contemplating similar issues, including a right to action. We strongly encourage Treasury and all relevant portfolios work proactively together to ensure alignment between the various streams of related work.”</w:t>
      </w:r>
      <w:r>
        <w:br/>
      </w:r>
      <w:r w:rsidRPr="00F3484D">
        <w:rPr>
          <w:b/>
        </w:rPr>
        <w:t xml:space="preserve"> – Business Council of Australia</w:t>
      </w:r>
    </w:p>
    <w:p w14:paraId="2D82AB9B" w14:textId="77777777" w:rsidR="007B7942" w:rsidRPr="00600205" w:rsidRDefault="007B7942" w:rsidP="007B7942">
      <w:pPr>
        <w:rPr>
          <w:bCs/>
        </w:rPr>
      </w:pPr>
      <w:r>
        <w:rPr>
          <w:bCs/>
        </w:rPr>
        <w:t>The CDR has also been specifically called out in the terms of reference for the</w:t>
      </w:r>
      <w:r w:rsidRPr="00600205">
        <w:rPr>
          <w:bCs/>
        </w:rPr>
        <w:t xml:space="preserve"> </w:t>
      </w:r>
      <w:r>
        <w:rPr>
          <w:bCs/>
        </w:rPr>
        <w:t>ongoing Quality of Advice Review (QOAR). Given the CDR has the potential to streamline the provision of a data collection process for the digital tools used by financial advisers, reducing the time and effort to collect customer data and thus the cost for the consumer, there is high level of overlap between the two Reviews. Attention should be given to the final report for the QOAR, particularly as it relates to any findings or recommendations that specifically reference the CDR, such as potential use cases and the identification of new datasets.</w:t>
      </w:r>
    </w:p>
    <w:p w14:paraId="08FE1C39" w14:textId="03848F24" w:rsidR="007B7942" w:rsidRDefault="007B7942" w:rsidP="007B7942">
      <w:r>
        <w:t xml:space="preserve">It is important, as the CDR moves forward, that it remains cognisant of the both the existing and emerging regulatory landscape, keeping an eye on overlapping </w:t>
      </w:r>
      <w:r w:rsidR="00800395">
        <w:t>schemes</w:t>
      </w:r>
      <w:r>
        <w:t xml:space="preserve">, recognising the pre-existing regulatory burdens that have already been placed on certain sectors and seeking out opportunities for alignment and remove duplication where possible. </w:t>
      </w:r>
    </w:p>
    <w:p w14:paraId="178D720E" w14:textId="77777777" w:rsidR="007B7942" w:rsidRDefault="007B7942" w:rsidP="007B7942"/>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7B7942" w14:paraId="59EEEBCF" w14:textId="77777777" w:rsidTr="000B1136">
        <w:tc>
          <w:tcPr>
            <w:tcW w:w="5000" w:type="pct"/>
            <w:shd w:val="clear" w:color="auto" w:fill="F2F9FC"/>
            <w:hideMark/>
          </w:tcPr>
          <w:p w14:paraId="285D312B" w14:textId="271C626F" w:rsidR="007B7942" w:rsidRPr="00CE4B29" w:rsidRDefault="007B7942">
            <w:pPr>
              <w:pStyle w:val="BoxHeading"/>
            </w:pPr>
            <w:r w:rsidRPr="00CE4B29">
              <w:t>Finding 3.5</w:t>
            </w:r>
          </w:p>
          <w:p w14:paraId="1A340D4C" w14:textId="0F73FFB8" w:rsidR="007B7942" w:rsidRDefault="00DF7FF6" w:rsidP="002524F9">
            <w:pPr>
              <w:pStyle w:val="BoxText"/>
            </w:pPr>
            <w:r w:rsidRPr="00CE4B29">
              <w:rPr>
                <w:color w:val="2C384A" w:themeColor="accent1"/>
              </w:rPr>
              <w:t xml:space="preserve">The regulatory environment that the CDR operates within is complex. </w:t>
            </w:r>
            <w:r w:rsidR="007B7942" w:rsidRPr="00CE4B29">
              <w:rPr>
                <w:color w:val="2C384A" w:themeColor="accent1"/>
              </w:rPr>
              <w:t xml:space="preserve">Where possible, the CDR should seek opportunities for alignment with other regulatory </w:t>
            </w:r>
            <w:r w:rsidR="00800395" w:rsidRPr="00CE4B29">
              <w:rPr>
                <w:color w:val="2C384A" w:themeColor="accent1"/>
              </w:rPr>
              <w:t>schemes</w:t>
            </w:r>
            <w:r w:rsidR="007B7942" w:rsidRPr="00CE4B29">
              <w:rPr>
                <w:color w:val="2C384A" w:themeColor="accent1"/>
              </w:rPr>
              <w:t xml:space="preserve">, limiting duplication and overlapping regulatory obligations to make the CDR easier to navigate, reducing additional compliance burdens and confusion for participants. </w:t>
            </w:r>
          </w:p>
        </w:tc>
      </w:tr>
    </w:tbl>
    <w:p w14:paraId="52F39545" w14:textId="7025ECB0" w:rsidR="00265FE3" w:rsidRDefault="00265FE3" w:rsidP="00265FE3">
      <w:pPr>
        <w:pStyle w:val="Heading2"/>
      </w:pPr>
      <w:bookmarkStart w:id="132" w:name="_Toc110602895"/>
      <w:r w:rsidRPr="00F3484D">
        <w:t>3.</w:t>
      </w:r>
      <w:r w:rsidR="007B7942" w:rsidRPr="00A238A6">
        <w:t>6</w:t>
      </w:r>
      <w:r w:rsidRPr="00F3484D">
        <w:t xml:space="preserve"> </w:t>
      </w:r>
      <w:r w:rsidR="007C6E32" w:rsidRPr="00F3484D">
        <w:t xml:space="preserve">Alignment </w:t>
      </w:r>
      <w:r w:rsidRPr="00F3484D">
        <w:t>with</w:t>
      </w:r>
      <w:r w:rsidRPr="00383A01">
        <w:t xml:space="preserve"> other initiatives in the digital economy</w:t>
      </w:r>
      <w:bookmarkEnd w:id="129"/>
      <w:bookmarkEnd w:id="130"/>
      <w:bookmarkEnd w:id="132"/>
    </w:p>
    <w:bookmarkEnd w:id="131"/>
    <w:p w14:paraId="086F7B41" w14:textId="5446AE06" w:rsidR="00265FE3" w:rsidRDefault="00265FE3" w:rsidP="002524F9">
      <w:pPr>
        <w:ind w:right="340"/>
      </w:pPr>
      <w:r w:rsidRPr="00E357B3">
        <w:t>The CDR has the potential to become a key driver of</w:t>
      </w:r>
      <w:r>
        <w:t xml:space="preserve"> </w:t>
      </w:r>
      <w:r w:rsidRPr="00E357B3">
        <w:t xml:space="preserve">Australia’s digital economy. Data portability is a </w:t>
      </w:r>
      <w:r w:rsidR="005D49C0">
        <w:t>core</w:t>
      </w:r>
      <w:r w:rsidR="005D49C0" w:rsidRPr="00E357B3">
        <w:t xml:space="preserve"> </w:t>
      </w:r>
      <w:r w:rsidRPr="00E357B3">
        <w:t>capability t</w:t>
      </w:r>
      <w:r w:rsidR="005D49C0">
        <w:t>hat</w:t>
      </w:r>
      <w:r w:rsidRPr="00E357B3">
        <w:t xml:space="preserve"> support</w:t>
      </w:r>
      <w:r w:rsidR="005D49C0">
        <w:t>s</w:t>
      </w:r>
      <w:r w:rsidRPr="00E357B3">
        <w:t xml:space="preserve"> digital services,</w:t>
      </w:r>
      <w:r>
        <w:t xml:space="preserve"> </w:t>
      </w:r>
      <w:r w:rsidRPr="00E357B3">
        <w:t>including streamlined and/or automated payment transfers and supporting capabilities for these services</w:t>
      </w:r>
      <w:r w:rsidR="006B3879">
        <w:t>,</w:t>
      </w:r>
      <w:r w:rsidRPr="00E357B3">
        <w:t xml:space="preserve"> such as digital identity. </w:t>
      </w:r>
    </w:p>
    <w:p w14:paraId="37D82077" w14:textId="64F71FE3" w:rsidR="00265FE3" w:rsidRDefault="005D49C0" w:rsidP="002524F9">
      <w:pPr>
        <w:ind w:right="113"/>
      </w:pPr>
      <w:r>
        <w:t>The Review has discussed</w:t>
      </w:r>
      <w:r w:rsidR="00265FE3">
        <w:t xml:space="preserve"> the importance of digital identity to enable CDR cross-sectoral use cases, a view supported by many </w:t>
      </w:r>
      <w:r w:rsidR="00265FE3" w:rsidRPr="00AE7A32">
        <w:t xml:space="preserve">participants </w:t>
      </w:r>
      <w:r w:rsidR="00265FE3">
        <w:t xml:space="preserve">who </w:t>
      </w:r>
      <w:r w:rsidR="00265FE3" w:rsidRPr="00AE7A32">
        <w:t>saw digital identity as important to future growth in the CDR system and a key dependency</w:t>
      </w:r>
      <w:r w:rsidR="00265FE3">
        <w:t xml:space="preserve"> for the system, particularly </w:t>
      </w:r>
      <w:r w:rsidR="006B3879">
        <w:t xml:space="preserve">in </w:t>
      </w:r>
      <w:r w:rsidR="00265FE3">
        <w:t>support</w:t>
      </w:r>
      <w:r w:rsidR="006B3879">
        <w:t>ing</w:t>
      </w:r>
      <w:r w:rsidR="00265FE3">
        <w:t xml:space="preserve"> payment and action initiation. </w:t>
      </w:r>
      <w:r>
        <w:t>T</w:t>
      </w:r>
      <w:r w:rsidR="00265FE3" w:rsidRPr="00AE7A32">
        <w:t xml:space="preserve">he </w:t>
      </w:r>
      <w:r w:rsidR="004E25A1">
        <w:t xml:space="preserve">Future Directions </w:t>
      </w:r>
      <w:r w:rsidR="00265FE3" w:rsidRPr="00383A01">
        <w:t>Inquiry</w:t>
      </w:r>
      <w:r w:rsidR="00265FE3">
        <w:t xml:space="preserve"> and </w:t>
      </w:r>
      <w:r w:rsidR="00265FE3" w:rsidRPr="00600205">
        <w:t>Strategic Assessment</w:t>
      </w:r>
      <w:r w:rsidR="00265FE3">
        <w:t xml:space="preserve"> also raised it as a recommendation.</w:t>
      </w:r>
    </w:p>
    <w:p w14:paraId="14DBE951" w14:textId="77777777" w:rsidR="00E2374D" w:rsidRDefault="00E2374D" w:rsidP="00265FE3">
      <w:pPr>
        <w:pStyle w:val="ListParagraph"/>
        <w:spacing w:after="0"/>
        <w:ind w:left="0"/>
        <w:contextualSpacing w:val="0"/>
      </w:pP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845B9B" w14:paraId="24730880" w14:textId="77777777" w:rsidTr="002161D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62C02A72" w14:textId="25345320" w:rsidR="00845B9B" w:rsidRPr="00822EF9" w:rsidRDefault="00845B9B" w:rsidP="002524F9">
            <w:pPr>
              <w:pStyle w:val="BoxHeading"/>
            </w:pPr>
            <w:r w:rsidRPr="002524F9">
              <w:lastRenderedPageBreak/>
              <w:t>Box 3.</w:t>
            </w:r>
            <w:r w:rsidR="00BC0907" w:rsidRPr="002524F9">
              <w:t>4</w:t>
            </w:r>
            <w:r w:rsidRPr="002524F9">
              <w:t xml:space="preserve"> – What is </w:t>
            </w:r>
            <w:r w:rsidR="00D61613" w:rsidRPr="002524F9">
              <w:t>d</w:t>
            </w:r>
            <w:r w:rsidRPr="002524F9">
              <w:t xml:space="preserve">igital </w:t>
            </w:r>
            <w:r w:rsidR="00D61613" w:rsidRPr="002524F9">
              <w:t>i</w:t>
            </w:r>
            <w:r w:rsidRPr="002524F9">
              <w:t>dentity?</w:t>
            </w:r>
          </w:p>
          <w:p w14:paraId="01293215" w14:textId="1993A12A" w:rsidR="00845B9B" w:rsidRPr="00511A43" w:rsidRDefault="00845B9B" w:rsidP="002524F9">
            <w:pPr>
              <w:pStyle w:val="BoxText"/>
              <w:ind w:right="227"/>
            </w:pPr>
            <w:r w:rsidRPr="00D4755B">
              <w:rPr>
                <w:szCs w:val="24"/>
              </w:rPr>
              <w:t xml:space="preserve">Digital identity can help individuals verify their identity in a safe and secure way to access </w:t>
            </w:r>
            <w:r w:rsidRPr="00167D86">
              <w:rPr>
                <w:szCs w:val="24"/>
              </w:rPr>
              <w:t>services online. This can include services provided by the Commonwealth, states and territories and the private sector. Digital identity can remove the need for individuals and businesses to visit a shopfront with their identity documents for some transactions but does not replace the foundational, typically government-originated documents that support identity proofing and verification.</w:t>
            </w:r>
          </w:p>
        </w:tc>
      </w:tr>
    </w:tbl>
    <w:p w14:paraId="5DEA6536" w14:textId="63CF6018" w:rsidR="00265FE3" w:rsidRPr="00FC31AB" w:rsidRDefault="00265FE3" w:rsidP="002524F9">
      <w:pPr>
        <w:pStyle w:val="Quote"/>
      </w:pPr>
      <w:r w:rsidRPr="00D77A72">
        <w:t>“With the expansion of CDR into other sectors, CDR and Digital Identity ecosystems will require strong interoperability, particularly between private and public sector networks. Each system needs to maintain their own independence, as not all Digital Identity use cases will involve data sharing or have a link into CDR use cases, but CDR will become a very important user of an interoperable digital identity ecosystem, driving strong consumer choice and a more streamlined approach to customer verification and authentication requirements under CDR.”</w:t>
      </w:r>
      <w:r>
        <w:t xml:space="preserve"> </w:t>
      </w:r>
      <w:r w:rsidRPr="00F3484D">
        <w:rPr>
          <w:b/>
        </w:rPr>
        <w:t>– NAB</w:t>
      </w:r>
    </w:p>
    <w:p w14:paraId="27F43BAC" w14:textId="6365C44C" w:rsidR="00265FE3" w:rsidRDefault="00265FE3" w:rsidP="00D77A72">
      <w:r>
        <w:t>Noting</w:t>
      </w:r>
      <w:r w:rsidR="00F57131">
        <w:t xml:space="preserve"> that</w:t>
      </w:r>
      <w:r>
        <w:t xml:space="preserve"> there are various proposed solutions to provide digital identity for government and private sector services, many participants </w:t>
      </w:r>
      <w:r w:rsidR="00F57131">
        <w:t xml:space="preserve">the Review </w:t>
      </w:r>
      <w:r>
        <w:t xml:space="preserve">spoke to saw a role for government in facilitating broader uptake and use of digital identity. This included providing channels for the market to leverage government </w:t>
      </w:r>
      <w:r w:rsidRPr="00AE7A32">
        <w:t xml:space="preserve">biometrics </w:t>
      </w:r>
      <w:r>
        <w:t xml:space="preserve">databases to enable high-level identity </w:t>
      </w:r>
      <w:r w:rsidR="006A7D51">
        <w:t xml:space="preserve">verification </w:t>
      </w:r>
      <w:r>
        <w:t xml:space="preserve">for online transactions or actions where a high degree of </w:t>
      </w:r>
      <w:r w:rsidR="006B3879">
        <w:t xml:space="preserve">identity </w:t>
      </w:r>
      <w:r>
        <w:t>assurance is needed.</w:t>
      </w:r>
    </w:p>
    <w:p w14:paraId="5FA1F7A5" w14:textId="6F52E32A" w:rsidR="00265FE3" w:rsidRDefault="00265FE3" w:rsidP="00D77A72">
      <w:r>
        <w:t xml:space="preserve">In considering </w:t>
      </w:r>
      <w:r w:rsidR="00F57131">
        <w:t xml:space="preserve">any </w:t>
      </w:r>
      <w:r>
        <w:t xml:space="preserve">approach to digital identity, </w:t>
      </w:r>
      <w:r w:rsidR="00612730">
        <w:t xml:space="preserve">the </w:t>
      </w:r>
      <w:r w:rsidR="001F5A79">
        <w:t>G</w:t>
      </w:r>
      <w:r>
        <w:t>overnment should be careful not to provide</w:t>
      </w:r>
      <w:r w:rsidR="00F57131">
        <w:t xml:space="preserve"> potential</w:t>
      </w:r>
      <w:r w:rsidDel="00E357B3">
        <w:t xml:space="preserve"> </w:t>
      </w:r>
      <w:r>
        <w:t>solutions through the CDR that duplicate existing solutions or are disconnected from existing solutions under development. Noting the challenges of establishing an effective</w:t>
      </w:r>
      <w:r w:rsidR="006B3879">
        <w:t>, economy-wide</w:t>
      </w:r>
      <w:r>
        <w:t xml:space="preserve"> approach </w:t>
      </w:r>
      <w:r w:rsidR="006B3879">
        <w:t>to</w:t>
      </w:r>
      <w:r>
        <w:t xml:space="preserve"> digital identity, further work should be done to ensure any integration of digital identity in the CDR ecosystem is aligned with and support</w:t>
      </w:r>
      <w:r w:rsidR="006B3879">
        <w:t>s</w:t>
      </w:r>
      <w:r>
        <w:t xml:space="preserve"> existing regulatory and legal frameworks. Any approach should also align with and not duplicate existing regulatory obligations in the wider market or sectors where the CDR operates, such as K</w:t>
      </w:r>
      <w:r w:rsidR="00612730">
        <w:t xml:space="preserve">now </w:t>
      </w:r>
      <w:r>
        <w:t>Y</w:t>
      </w:r>
      <w:r w:rsidR="00612730">
        <w:t xml:space="preserve">our </w:t>
      </w:r>
      <w:r>
        <w:t>C</w:t>
      </w:r>
      <w:r w:rsidR="00612730">
        <w:t>ustomer</w:t>
      </w:r>
      <w:r w:rsidR="007B617F">
        <w:t xml:space="preserve"> checks</w:t>
      </w:r>
      <w:r>
        <w:t xml:space="preserve"> and </w:t>
      </w:r>
      <w:r w:rsidRPr="00383A01">
        <w:rPr>
          <w:i/>
        </w:rPr>
        <w:t>Anti-Money Laundering and Counter-Terrorism Financing Act</w:t>
      </w:r>
      <w:r w:rsidRPr="00866E66">
        <w:t xml:space="preserve"> </w:t>
      </w:r>
      <w:r w:rsidRPr="00383A01">
        <w:rPr>
          <w:i/>
        </w:rPr>
        <w:t>2006</w:t>
      </w:r>
      <w:r w:rsidRPr="00866E66">
        <w:t xml:space="preserve"> (AML/CTF Act)</w:t>
      </w:r>
      <w:r>
        <w:t xml:space="preserve"> obligations that apply in the financial sector</w:t>
      </w:r>
      <w:r w:rsidR="00587AA9" w:rsidRPr="00F3484D">
        <w:t xml:space="preserve">. </w:t>
      </w:r>
      <w:r w:rsidR="006C4F2B" w:rsidRPr="00F3484D">
        <w:t>D</w:t>
      </w:r>
      <w:r w:rsidR="00587AA9" w:rsidRPr="00F3484D">
        <w:t>epend</w:t>
      </w:r>
      <w:r w:rsidR="006C4F2B" w:rsidRPr="00F3484D">
        <w:t>ing</w:t>
      </w:r>
      <w:r w:rsidR="00587AA9" w:rsidRPr="00F3484D">
        <w:t xml:space="preserve"> on what digital identity solution is used, some obligations such as AML/CTF may r</w:t>
      </w:r>
      <w:r w:rsidR="00FD7687" w:rsidRPr="00F3484D">
        <w:t xml:space="preserve">equire </w:t>
      </w:r>
      <w:r w:rsidR="00E20AE9" w:rsidRPr="00F3484D">
        <w:t>the inclusion of additional data not currently covered by the CDR e.g. date of birth.</w:t>
      </w:r>
    </w:p>
    <w:p w14:paraId="63A65DB0" w14:textId="036AB2E6" w:rsidR="00265FE3" w:rsidRDefault="00DA5329" w:rsidP="002524F9">
      <w:pPr>
        <w:pStyle w:val="Quote"/>
      </w:pPr>
      <w:r w:rsidRPr="00D77A72">
        <w:t>“</w:t>
      </w:r>
      <w:r w:rsidR="00265FE3" w:rsidRPr="00D77A72">
        <w:t>We recommend Treasury work with AUSTRAC and with the Digital Transformation Agency, which has developed the Trusted Digital Identity Framework, to better assess how account creation can be enabled digitally within a robust regulatory and legal framework to avoid regulatory duplication by attempting to solve for digital identity via the CDR”</w:t>
      </w:r>
      <w:r w:rsidR="00265FE3">
        <w:t xml:space="preserve"> </w:t>
      </w:r>
      <w:r w:rsidR="00265FE3" w:rsidRPr="00F3484D">
        <w:rPr>
          <w:b/>
        </w:rPr>
        <w:t>– Commonwealth Bank of Australia</w:t>
      </w:r>
    </w:p>
    <w:p w14:paraId="42BD4265" w14:textId="64331CB5" w:rsidR="00D95787" w:rsidRDefault="00265FE3" w:rsidP="009372B4">
      <w:pPr>
        <w:spacing w:after="240"/>
      </w:pPr>
      <w:r>
        <w:t>Though the CDR cannot provide a frame</w:t>
      </w:r>
      <w:r w:rsidR="00E2374D">
        <w:t>work</w:t>
      </w:r>
      <w:r>
        <w:t xml:space="preserve"> </w:t>
      </w:r>
      <w:r w:rsidR="006B3879">
        <w:t xml:space="preserve">for </w:t>
      </w:r>
      <w:r>
        <w:t>deliver</w:t>
      </w:r>
      <w:r w:rsidR="006B3879">
        <w:t>ing</w:t>
      </w:r>
      <w:r>
        <w:t xml:space="preserve"> a</w:t>
      </w:r>
      <w:r w:rsidR="006B3879">
        <w:t>n economy-wide</w:t>
      </w:r>
      <w:r>
        <w:t xml:space="preserve"> digital identity solution, there is potential for the CDR to </w:t>
      </w:r>
      <w:r w:rsidR="00F57131">
        <w:t xml:space="preserve">do </w:t>
      </w:r>
      <w:r>
        <w:t>more than</w:t>
      </w:r>
      <w:r w:rsidR="00F57131">
        <w:t xml:space="preserve"> just use</w:t>
      </w:r>
      <w:r>
        <w:t xml:space="preserve"> digital identity. </w:t>
      </w:r>
      <w:r w:rsidR="00E2374D">
        <w:t xml:space="preserve">The </w:t>
      </w:r>
      <w:r>
        <w:t>CDR has the potential to enable or support digital identity by allowing consumers to share compl</w:t>
      </w:r>
      <w:r w:rsidR="00612730">
        <w:t>e</w:t>
      </w:r>
      <w:r>
        <w:t xml:space="preserve">mentary datasets to strengthen authentication of their identity and/or attributes (e.g. that they hold qualifications or credentials they say they do). </w:t>
      </w:r>
    </w:p>
    <w:p w14:paraId="7896A1A1" w14:textId="77777777" w:rsidR="00D95787" w:rsidRDefault="00D95787">
      <w:pPr>
        <w:spacing w:before="0" w:after="160" w:line="259" w:lineRule="auto"/>
      </w:pPr>
      <w:r>
        <w:br w:type="page"/>
      </w:r>
    </w:p>
    <w:p w14:paraId="784608CB" w14:textId="1119B521" w:rsidR="00C0786C" w:rsidRDefault="00265FE3" w:rsidP="002524F9">
      <w:pPr>
        <w:spacing w:after="240"/>
      </w:pPr>
      <w:r>
        <w:lastRenderedPageBreak/>
        <w:t>For example, when a person is required to confirm their identity and attributes with an unaccredited third</w:t>
      </w:r>
      <w:r w:rsidR="0030264B">
        <w:t xml:space="preserve"> </w:t>
      </w:r>
      <w:r>
        <w:t>party provider (such as a real estate agent), that third</w:t>
      </w:r>
      <w:r w:rsidR="0030264B">
        <w:t xml:space="preserve"> </w:t>
      </w:r>
      <w:r>
        <w:t xml:space="preserve">party could ask the person to provide consent for an ADR to receive attribute data through the CDR from data holders (such as banking information or energy bills) so that the ADR can verify the identity and attribute information for the third party. This process could save consumers the onerous process of collecting, formatting and providing attribute information themselves and would be more secure than existing processes to share identity and attribute information with third parties. </w:t>
      </w:r>
    </w:p>
    <w:p w14:paraId="43866026" w14:textId="77777777" w:rsidR="00265FE3" w:rsidRDefault="00265FE3" w:rsidP="00265FE3">
      <w:pPr>
        <w:pStyle w:val="Caption"/>
        <w:keepNext/>
      </w:pPr>
      <w:r>
        <w:t>Figure 3.1 – CDR and attribute verification</w:t>
      </w:r>
    </w:p>
    <w:p w14:paraId="15235DDC" w14:textId="2341D8EB" w:rsidR="00265FE3" w:rsidRDefault="009969F9" w:rsidP="002524F9">
      <w:pPr>
        <w:pStyle w:val="Bullet"/>
        <w:numPr>
          <w:ilvl w:val="0"/>
          <w:numId w:val="0"/>
        </w:numPr>
        <w:jc w:val="center"/>
      </w:pPr>
      <w:r>
        <w:rPr>
          <w:rFonts w:ascii="Calibri" w:hAnsi="Calibri"/>
          <w:noProof/>
          <w:sz w:val="16"/>
          <w:szCs w:val="16"/>
        </w:rPr>
        <w:drawing>
          <wp:inline distT="0" distB="0" distL="0" distR="0" wp14:anchorId="302B7AAD" wp14:editId="3912AD77">
            <wp:extent cx="4501828" cy="273847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01828" cy="2738476"/>
                    </a:xfrm>
                    <a:prstGeom prst="rect">
                      <a:avLst/>
                    </a:prstGeom>
                  </pic:spPr>
                </pic:pic>
              </a:graphicData>
            </a:graphic>
          </wp:inline>
        </w:drawing>
      </w:r>
    </w:p>
    <w:p w14:paraId="5DC3ADB6" w14:textId="50A1B1C6" w:rsidR="00265FE3" w:rsidRDefault="00265FE3" w:rsidP="00D77A72">
      <w:r>
        <w:t>With the CDR providing the framework to support</w:t>
      </w:r>
      <w:r w:rsidRPr="00AE7A32">
        <w:t xml:space="preserve"> </w:t>
      </w:r>
      <w:r w:rsidR="00786F2E">
        <w:t>o</w:t>
      </w:r>
      <w:r w:rsidRPr="00AE7A32">
        <w:t xml:space="preserve">pen </w:t>
      </w:r>
      <w:r w:rsidR="00786F2E">
        <w:t>b</w:t>
      </w:r>
      <w:r w:rsidRPr="00AE7A32">
        <w:t>anking and Open Finance</w:t>
      </w:r>
      <w:r>
        <w:t>, along with the former Government’s agreement</w:t>
      </w:r>
      <w:r w:rsidRPr="00600205">
        <w:rPr>
          <w:rStyle w:val="FootnoteReference"/>
          <w:sz w:val="22"/>
          <w:szCs w:val="24"/>
          <w:vertAlign w:val="superscript"/>
        </w:rPr>
        <w:footnoteReference w:id="47"/>
      </w:r>
      <w:r>
        <w:t xml:space="preserve"> to accept the </w:t>
      </w:r>
      <w:r w:rsidR="00E20AE9">
        <w:t xml:space="preserve">Future Directions Inquiry </w:t>
      </w:r>
      <w:r>
        <w:t xml:space="preserve">recommendation to implement </w:t>
      </w:r>
      <w:r w:rsidR="00B349B1">
        <w:t>p</w:t>
      </w:r>
      <w:r>
        <w:t xml:space="preserve">ayment </w:t>
      </w:r>
      <w:r w:rsidR="00B349B1">
        <w:t>i</w:t>
      </w:r>
      <w:r>
        <w:t>nitiation</w:t>
      </w:r>
      <w:r w:rsidRPr="00AE7A32">
        <w:t>,</w:t>
      </w:r>
      <w:r>
        <w:t xml:space="preserve"> the CDR </w:t>
      </w:r>
      <w:r w:rsidR="00C73954">
        <w:t xml:space="preserve">will </w:t>
      </w:r>
      <w:r w:rsidR="00C73954" w:rsidRPr="006027C7">
        <w:t xml:space="preserve">interact </w:t>
      </w:r>
      <w:r w:rsidRPr="006027C7">
        <w:t>with the New Payments Platform (NPP)</w:t>
      </w:r>
      <w:r w:rsidR="006670DE" w:rsidRPr="006027C7">
        <w:t xml:space="preserve"> (see</w:t>
      </w:r>
      <w:r w:rsidRPr="006027C7">
        <w:t xml:space="preserve"> Box</w:t>
      </w:r>
      <w:r w:rsidR="0005201F" w:rsidRPr="006027C7">
        <w:t> </w:t>
      </w:r>
      <w:r w:rsidRPr="006027C7">
        <w:t>3.</w:t>
      </w:r>
      <w:r w:rsidR="0012199A" w:rsidRPr="006027C7">
        <w:t>5</w:t>
      </w:r>
      <w:r w:rsidR="006670DE" w:rsidRPr="006027C7">
        <w:t>)</w:t>
      </w:r>
      <w:r w:rsidRPr="006027C7">
        <w:t xml:space="preserve">. </w:t>
      </w:r>
      <w:r w:rsidR="0002628E" w:rsidRPr="006027C7">
        <w:t>S</w:t>
      </w:r>
      <w:r w:rsidRPr="006027C7">
        <w:t>ubmissions</w:t>
      </w:r>
      <w:r w:rsidR="0002628E" w:rsidRPr="006027C7">
        <w:t xml:space="preserve"> to the </w:t>
      </w:r>
      <w:r w:rsidR="006670DE" w:rsidRPr="006027C7">
        <w:t>R</w:t>
      </w:r>
      <w:r w:rsidR="0002628E" w:rsidRPr="006027C7">
        <w:t xml:space="preserve">eview from the </w:t>
      </w:r>
      <w:r w:rsidR="0080424E" w:rsidRPr="006027C7">
        <w:t>ABA</w:t>
      </w:r>
      <w:r w:rsidR="0002628E" w:rsidRPr="006027C7">
        <w:t xml:space="preserve"> and the Australian Payments Network</w:t>
      </w:r>
      <w:r w:rsidRPr="006027C7">
        <w:t xml:space="preserve"> highlighted the similarit</w:t>
      </w:r>
      <w:r w:rsidR="0080424E" w:rsidRPr="006027C7">
        <w:t xml:space="preserve">ies between the </w:t>
      </w:r>
      <w:r w:rsidRPr="006027C7">
        <w:t>NPP</w:t>
      </w:r>
      <w:r w:rsidR="00C73954" w:rsidRPr="006027C7">
        <w:t xml:space="preserve"> and its new</w:t>
      </w:r>
      <w:r w:rsidRPr="006027C7">
        <w:t xml:space="preserve"> PayTo </w:t>
      </w:r>
      <w:r w:rsidR="00C73954" w:rsidRPr="006027C7">
        <w:t xml:space="preserve">service offering </w:t>
      </w:r>
      <w:r w:rsidRPr="006027C7">
        <w:t>to support and streamline payment transfers, with many suggesting the CDR should be leveraging and aligned with this work, potentially achieving a ‘quick win’ for payment initiation</w:t>
      </w:r>
      <w:r w:rsidRPr="00F3484D">
        <w:t>.</w:t>
      </w:r>
      <w:r w:rsidRPr="00F3484D" w:rsidDel="00F92579">
        <w:t xml:space="preserve"> </w:t>
      </w:r>
      <w:r w:rsidRPr="00F3484D">
        <w:t xml:space="preserve">This alignment includes looking </w:t>
      </w:r>
      <w:r w:rsidR="004342DF" w:rsidRPr="00F3484D">
        <w:t xml:space="preserve">to minimise </w:t>
      </w:r>
      <w:r w:rsidR="006208F2" w:rsidRPr="00F3484D">
        <w:t xml:space="preserve">friction points </w:t>
      </w:r>
      <w:r w:rsidR="004342DF" w:rsidRPr="00F3484D">
        <w:t xml:space="preserve">where possible to improve the consumer experience </w:t>
      </w:r>
      <w:r w:rsidR="00E30B7C" w:rsidRPr="00F3484D">
        <w:t>(</w:t>
      </w:r>
      <w:r w:rsidR="004342DF" w:rsidRPr="00F3484D">
        <w:t>such as</w:t>
      </w:r>
      <w:r w:rsidR="00E30B7C" w:rsidRPr="00F3484D">
        <w:t xml:space="preserve"> with</w:t>
      </w:r>
      <w:r w:rsidR="004342DF" w:rsidRPr="00F3484D">
        <w:t xml:space="preserve"> the consents process</w:t>
      </w:r>
      <w:r w:rsidR="00E30B7C" w:rsidRPr="00F3484D">
        <w:t>)</w:t>
      </w:r>
      <w:r w:rsidR="004342DF" w:rsidRPr="00F3484D">
        <w:t xml:space="preserve">, </w:t>
      </w:r>
      <w:r w:rsidR="006208F2" w:rsidRPr="00F3484D">
        <w:t>and reduc</w:t>
      </w:r>
      <w:r w:rsidR="00C73954" w:rsidRPr="00F3484D">
        <w:t>e</w:t>
      </w:r>
      <w:r w:rsidR="006208F2" w:rsidRPr="00F3484D">
        <w:t xml:space="preserve"> regulatory compliance for participants</w:t>
      </w:r>
      <w:r w:rsidR="007F0081" w:rsidRPr="00F3484D">
        <w:t xml:space="preserve">, with </w:t>
      </w:r>
      <w:r w:rsidR="00515CF1" w:rsidRPr="00F3484D">
        <w:t>consideration to any potential risks</w:t>
      </w:r>
      <w:r w:rsidR="00515CF1" w:rsidRPr="00F3484D" w:rsidDel="00515CF1">
        <w:t xml:space="preserve"> </w:t>
      </w:r>
      <w:r w:rsidR="007F0081" w:rsidRPr="00F3484D">
        <w:t>that may undermine the integrity of the system</w:t>
      </w:r>
      <w:r w:rsidR="006208F2" w:rsidRPr="00F3484D">
        <w:t xml:space="preserve">. </w:t>
      </w:r>
      <w:r w:rsidRPr="00F3484D">
        <w:t>For</w:t>
      </w:r>
      <w:r>
        <w:t xml:space="preserve"> example, </w:t>
      </w:r>
      <w:r w:rsidR="0080424E">
        <w:t>the</w:t>
      </w:r>
      <w:r>
        <w:t xml:space="preserve"> submission by Australian Payments Network noted that the CDR consent flow (in the </w:t>
      </w:r>
      <w:r w:rsidR="000D15CA">
        <w:t>Consumer Experience (</w:t>
      </w:r>
      <w:r>
        <w:t>CX</w:t>
      </w:r>
      <w:r w:rsidR="000D15CA">
        <w:t>)</w:t>
      </w:r>
      <w:r>
        <w:t xml:space="preserve"> guidelines published by the DSB) currently requires consumer involvement in five distinct steps of the flow</w:t>
      </w:r>
      <w:r w:rsidR="0080424E">
        <w:t>,</w:t>
      </w:r>
      <w:r>
        <w:t xml:space="preserve"> whereas PayTo allow</w:t>
      </w:r>
      <w:r w:rsidR="0080424E">
        <w:t>s</w:t>
      </w:r>
      <w:r>
        <w:t xml:space="preserve"> a consumer to authorise a third</w:t>
      </w:r>
      <w:r w:rsidR="0030264B">
        <w:t xml:space="preserve"> </w:t>
      </w:r>
      <w:r>
        <w:t xml:space="preserve">party to provide specific payments on their behalf, offering a streamlined interaction for the consumer. </w:t>
      </w:r>
    </w:p>
    <w:p w14:paraId="176A8655" w14:textId="77777777" w:rsidR="00B44757" w:rsidRDefault="00B44757" w:rsidP="00B44757"/>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2"/>
      </w:tblGrid>
      <w:tr w:rsidR="00B44757" w14:paraId="7FC52D3B" w14:textId="77777777" w:rsidTr="002161D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6CB023E6" w14:textId="3BCE08BC" w:rsidR="00B44757" w:rsidRPr="00CE4B29" w:rsidRDefault="00B44757" w:rsidP="002524F9">
            <w:pPr>
              <w:pStyle w:val="BoxHeading"/>
            </w:pPr>
            <w:r w:rsidRPr="00CE4B29">
              <w:lastRenderedPageBreak/>
              <w:t>Box 3.</w:t>
            </w:r>
            <w:r w:rsidR="00BC0907" w:rsidRPr="00CE4B29">
              <w:t>5</w:t>
            </w:r>
            <w:r w:rsidRPr="00CE4B29">
              <w:t xml:space="preserve"> – New Payments Platform (NPP) and PayTo at a glance</w:t>
            </w:r>
          </w:p>
          <w:p w14:paraId="3C5E1129" w14:textId="7F8651AF" w:rsidR="00B44757" w:rsidRPr="00412FCC" w:rsidRDefault="00C73954" w:rsidP="002524F9">
            <w:pPr>
              <w:pStyle w:val="BoxText"/>
            </w:pPr>
            <w:r w:rsidRPr="00CE4B29">
              <w:rPr>
                <w:szCs w:val="24"/>
              </w:rPr>
              <w:t>L</w:t>
            </w:r>
            <w:r w:rsidR="00B44757" w:rsidRPr="00CE4B29">
              <w:rPr>
                <w:szCs w:val="24"/>
              </w:rPr>
              <w:t>aunched in 2018</w:t>
            </w:r>
            <w:r w:rsidRPr="00CE4B29">
              <w:rPr>
                <w:szCs w:val="24"/>
              </w:rPr>
              <w:t xml:space="preserve">, </w:t>
            </w:r>
            <w:r w:rsidR="008500BE" w:rsidRPr="00CE4B29">
              <w:rPr>
                <w:szCs w:val="24"/>
              </w:rPr>
              <w:t xml:space="preserve">the New Payments Platform (NPP) </w:t>
            </w:r>
            <w:r w:rsidR="005B79D9" w:rsidRPr="00CE4B29">
              <w:rPr>
                <w:szCs w:val="24"/>
              </w:rPr>
              <w:t xml:space="preserve">is Australia’s real-time payments infrastructure </w:t>
            </w:r>
            <w:r w:rsidR="0098150F" w:rsidRPr="00CE4B29">
              <w:rPr>
                <w:szCs w:val="24"/>
              </w:rPr>
              <w:t xml:space="preserve">that supports the </w:t>
            </w:r>
            <w:r w:rsidRPr="00CE4B29">
              <w:rPr>
                <w:szCs w:val="24"/>
              </w:rPr>
              <w:t xml:space="preserve">transfer of </w:t>
            </w:r>
            <w:r w:rsidR="00B44757" w:rsidRPr="00CE4B29">
              <w:rPr>
                <w:szCs w:val="24"/>
              </w:rPr>
              <w:t xml:space="preserve">funds </w:t>
            </w:r>
            <w:r w:rsidRPr="00CE4B29">
              <w:rPr>
                <w:szCs w:val="24"/>
              </w:rPr>
              <w:t>on a 24/7 basis</w:t>
            </w:r>
            <w:r w:rsidR="00B44757" w:rsidRPr="00CE4B29">
              <w:rPr>
                <w:szCs w:val="24"/>
              </w:rPr>
              <w:t>.</w:t>
            </w:r>
            <w:r w:rsidR="00235F29" w:rsidRPr="00CE4B29">
              <w:rPr>
                <w:szCs w:val="24"/>
              </w:rPr>
              <w:t xml:space="preserve"> </w:t>
            </w:r>
            <w:r w:rsidR="008500BE" w:rsidRPr="00CE4B29">
              <w:rPr>
                <w:szCs w:val="24"/>
              </w:rPr>
              <w:t xml:space="preserve">The NPP’s new </w:t>
            </w:r>
            <w:r w:rsidR="005B79D9" w:rsidRPr="00CE4B29">
              <w:rPr>
                <w:szCs w:val="24"/>
              </w:rPr>
              <w:t xml:space="preserve">PayTo </w:t>
            </w:r>
            <w:r w:rsidR="008500BE" w:rsidRPr="00CE4B29">
              <w:rPr>
                <w:szCs w:val="24"/>
              </w:rPr>
              <w:t xml:space="preserve">service streamlines payments authorisations and </w:t>
            </w:r>
            <w:r w:rsidR="005B79D9" w:rsidRPr="00CE4B29">
              <w:rPr>
                <w:szCs w:val="24"/>
              </w:rPr>
              <w:t>supports a range of use</w:t>
            </w:r>
            <w:r w:rsidR="00235F29" w:rsidRPr="00CE4B29">
              <w:rPr>
                <w:szCs w:val="24"/>
              </w:rPr>
              <w:t xml:space="preserve"> </w:t>
            </w:r>
            <w:r w:rsidR="005B79D9" w:rsidRPr="00CE4B29">
              <w:rPr>
                <w:szCs w:val="24"/>
              </w:rPr>
              <w:t>cases from recurring or subscription payments, ecommerce and in-app payments, one-off payments, funding for other payment options such as digital wallets to third</w:t>
            </w:r>
            <w:r w:rsidR="0030264B" w:rsidRPr="00CE4B29">
              <w:rPr>
                <w:szCs w:val="24"/>
              </w:rPr>
              <w:t xml:space="preserve"> </w:t>
            </w:r>
            <w:r w:rsidR="005B79D9" w:rsidRPr="00CE4B29">
              <w:rPr>
                <w:szCs w:val="24"/>
              </w:rPr>
              <w:t>party payment services such as corporate payroll</w:t>
            </w:r>
            <w:r w:rsidR="00B44757" w:rsidRPr="00CE4B29">
              <w:rPr>
                <w:szCs w:val="24"/>
              </w:rPr>
              <w:t xml:space="preserve">. </w:t>
            </w:r>
            <w:r w:rsidR="005B79D9" w:rsidRPr="00CE4B29">
              <w:rPr>
                <w:szCs w:val="24"/>
              </w:rPr>
              <w:t>For example a consumer could set up a recurring payment</w:t>
            </w:r>
            <w:r w:rsidR="006E1273" w:rsidRPr="00CE4B29">
              <w:rPr>
                <w:szCs w:val="24"/>
              </w:rPr>
              <w:t xml:space="preserve"> in their internet or mobile banking app</w:t>
            </w:r>
            <w:r w:rsidR="005B79D9" w:rsidRPr="00CE4B29">
              <w:rPr>
                <w:szCs w:val="24"/>
              </w:rPr>
              <w:t xml:space="preserve"> as an alternative to direct debit, allow</w:t>
            </w:r>
            <w:r w:rsidR="00235F29" w:rsidRPr="00CE4B29">
              <w:rPr>
                <w:szCs w:val="24"/>
              </w:rPr>
              <w:t>ing</w:t>
            </w:r>
            <w:r w:rsidR="005B79D9" w:rsidRPr="00CE4B29">
              <w:rPr>
                <w:szCs w:val="24"/>
              </w:rPr>
              <w:t xml:space="preserve"> them to see and control recurring payments, with the ability to stop </w:t>
            </w:r>
            <w:r w:rsidR="0098150F" w:rsidRPr="00CE4B29">
              <w:rPr>
                <w:szCs w:val="24"/>
              </w:rPr>
              <w:t>them</w:t>
            </w:r>
            <w:r w:rsidR="005B79D9" w:rsidRPr="00CE4B29">
              <w:rPr>
                <w:szCs w:val="24"/>
              </w:rPr>
              <w:t xml:space="preserve"> at any time.</w:t>
            </w:r>
            <w:r w:rsidR="00B44757" w:rsidRPr="00CE4B29">
              <w:rPr>
                <w:szCs w:val="24"/>
              </w:rPr>
              <w:t xml:space="preserve"> </w:t>
            </w:r>
            <w:r w:rsidR="0060024B" w:rsidRPr="00CE4B29">
              <w:rPr>
                <w:szCs w:val="24"/>
              </w:rPr>
              <w:t>The rollout of PayTo by businesses participating in the NPP started in June 2022.</w:t>
            </w:r>
          </w:p>
        </w:tc>
      </w:tr>
    </w:tbl>
    <w:p w14:paraId="423FACFA" w14:textId="0E396F33" w:rsidR="00265FE3" w:rsidRPr="00383A01" w:rsidRDefault="00265FE3" w:rsidP="002524F9">
      <w:pPr>
        <w:pStyle w:val="Quote"/>
      </w:pPr>
      <w:r w:rsidRPr="00D77A72">
        <w:t>“The ABA supports greater alignment of these requirements now to ensure that as banks continue to</w:t>
      </w:r>
      <w:r w:rsidR="00D77A72" w:rsidRPr="00D77A72">
        <w:t xml:space="preserve"> </w:t>
      </w:r>
      <w:r w:rsidRPr="00D77A72">
        <w:t>build for both the CDR payments initiation and PayTo, they can do so in a manner that ensures</w:t>
      </w:r>
      <w:r w:rsidR="00D77A72" w:rsidRPr="00D77A72">
        <w:t xml:space="preserve"> </w:t>
      </w:r>
      <w:r w:rsidRPr="00D77A72">
        <w:t>interoperability between the two as this will ensure a better consumer experience”</w:t>
      </w:r>
      <w:r w:rsidRPr="00000BD3">
        <w:t xml:space="preserve"> </w:t>
      </w:r>
      <w:r w:rsidRPr="00F3484D">
        <w:rPr>
          <w:b/>
        </w:rPr>
        <w:t>– Australian Banking Association</w:t>
      </w:r>
    </w:p>
    <w:p w14:paraId="0F22A7D8" w14:textId="5605CC47" w:rsidR="00265FE3" w:rsidRDefault="00265FE3" w:rsidP="002524F9">
      <w:pPr>
        <w:pStyle w:val="Quote"/>
      </w:pPr>
      <w:r w:rsidRPr="00D77A72">
        <w:t>“As significant payments infrastructure with a fully developed rules framework and liability model, PayTo should be closely considered when the detailed design work is performed to extend the CDR framework to include payment initiation and when the accompanying legislation is developed”</w:t>
      </w:r>
      <w:r w:rsidR="00732388">
        <w:t xml:space="preserve"> </w:t>
      </w:r>
      <w:r w:rsidRPr="00F3484D">
        <w:rPr>
          <w:b/>
        </w:rPr>
        <w:t>– New Payments Platform</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B44757" w14:paraId="1219A681" w14:textId="77777777" w:rsidTr="002161DB">
        <w:tc>
          <w:tcPr>
            <w:tcW w:w="5000" w:type="pct"/>
            <w:shd w:val="clear" w:color="auto" w:fill="F2F9FC"/>
            <w:hideMark/>
          </w:tcPr>
          <w:p w14:paraId="3879BBB2" w14:textId="79F61AA3" w:rsidR="00B44757" w:rsidRPr="00CE4B29" w:rsidRDefault="00B44757" w:rsidP="002524F9">
            <w:pPr>
              <w:pStyle w:val="BoxHeading"/>
            </w:pPr>
            <w:r w:rsidRPr="00CE4B29">
              <w:t>Finding 3.</w:t>
            </w:r>
            <w:r w:rsidR="00746307" w:rsidRPr="00CE4B29">
              <w:t>6</w:t>
            </w:r>
          </w:p>
          <w:p w14:paraId="3122761B" w14:textId="297536E5" w:rsidR="00B44757" w:rsidRPr="00F236DF" w:rsidRDefault="003B40BC" w:rsidP="002524F9">
            <w:pPr>
              <w:pStyle w:val="BoxText"/>
              <w:ind w:right="454"/>
              <w:rPr>
                <w:rFonts w:ascii="Calibri" w:hAnsi="Calibri" w:cs="Calibri"/>
                <w:color w:val="000000"/>
              </w:rPr>
            </w:pPr>
            <w:r w:rsidRPr="00CE4B29">
              <w:rPr>
                <w:color w:val="2C384A" w:themeColor="accent1"/>
              </w:rPr>
              <w:t xml:space="preserve">There is significant enthusiasm for the delivery of action initiation under the CDR, </w:t>
            </w:r>
            <w:r w:rsidR="001823A7" w:rsidRPr="00CE4B29">
              <w:rPr>
                <w:color w:val="2C384A" w:themeColor="accent1"/>
              </w:rPr>
              <w:t xml:space="preserve">with </w:t>
            </w:r>
            <w:r w:rsidRPr="00CE4B29">
              <w:rPr>
                <w:color w:val="2C384A" w:themeColor="accent1"/>
              </w:rPr>
              <w:t>many submissions not</w:t>
            </w:r>
            <w:r w:rsidR="001823A7" w:rsidRPr="00CE4B29">
              <w:rPr>
                <w:color w:val="2C384A" w:themeColor="accent1"/>
              </w:rPr>
              <w:t>ing</w:t>
            </w:r>
            <w:r w:rsidRPr="00CE4B29">
              <w:rPr>
                <w:color w:val="2C384A" w:themeColor="accent1"/>
              </w:rPr>
              <w:t xml:space="preserve"> the opportunities for the CDR to capitalise on concurrent work </w:t>
            </w:r>
            <w:r w:rsidR="006208F2" w:rsidRPr="00CE4B29">
              <w:rPr>
                <w:color w:val="2C384A" w:themeColor="accent1"/>
              </w:rPr>
              <w:t xml:space="preserve">being undertaken </w:t>
            </w:r>
            <w:r w:rsidR="00F32F41" w:rsidRPr="00CE4B29">
              <w:rPr>
                <w:color w:val="2C384A" w:themeColor="accent1"/>
              </w:rPr>
              <w:t xml:space="preserve">within </w:t>
            </w:r>
            <w:r w:rsidRPr="00CE4B29">
              <w:rPr>
                <w:color w:val="2C384A" w:themeColor="accent1"/>
              </w:rPr>
              <w:t>payments systems</w:t>
            </w:r>
            <w:r w:rsidR="006208F2" w:rsidRPr="00CE4B29">
              <w:rPr>
                <w:color w:val="2C384A" w:themeColor="accent1"/>
              </w:rPr>
              <w:t>, such as PayTo</w:t>
            </w:r>
            <w:r w:rsidRPr="00CE4B29">
              <w:rPr>
                <w:color w:val="2C384A" w:themeColor="accent1"/>
              </w:rPr>
              <w:t>. Where possible</w:t>
            </w:r>
            <w:r w:rsidR="001823A7" w:rsidRPr="00CE4B29">
              <w:rPr>
                <w:color w:val="2C384A" w:themeColor="accent1"/>
              </w:rPr>
              <w:t>,</w:t>
            </w:r>
            <w:r w:rsidRPr="00CE4B29">
              <w:rPr>
                <w:color w:val="2C384A" w:themeColor="accent1"/>
              </w:rPr>
              <w:t xml:space="preserve"> the CDR should </w:t>
            </w:r>
            <w:r w:rsidR="00524FE7" w:rsidRPr="00CE4B29">
              <w:rPr>
                <w:color w:val="2C384A" w:themeColor="accent1"/>
              </w:rPr>
              <w:t xml:space="preserve">work </w:t>
            </w:r>
            <w:r w:rsidR="001823A7" w:rsidRPr="00CE4B29">
              <w:rPr>
                <w:color w:val="2C384A" w:themeColor="accent1"/>
              </w:rPr>
              <w:t>in</w:t>
            </w:r>
            <w:r w:rsidR="00524FE7" w:rsidRPr="00CE4B29">
              <w:rPr>
                <w:color w:val="2C384A" w:themeColor="accent1"/>
              </w:rPr>
              <w:t xml:space="preserve"> conjunction with other initiatives</w:t>
            </w:r>
            <w:r w:rsidRPr="00CE4B29">
              <w:rPr>
                <w:color w:val="2C384A" w:themeColor="accent1"/>
              </w:rPr>
              <w:t xml:space="preserve"> to </w:t>
            </w:r>
            <w:r w:rsidR="00524FE7" w:rsidRPr="00CE4B29">
              <w:rPr>
                <w:color w:val="2C384A" w:themeColor="accent1"/>
              </w:rPr>
              <w:t xml:space="preserve">minimise potential </w:t>
            </w:r>
            <w:r w:rsidR="006208F2" w:rsidRPr="00CE4B29">
              <w:rPr>
                <w:color w:val="2C384A" w:themeColor="accent1"/>
              </w:rPr>
              <w:t>friction points and reduce regulatory compliance for participants</w:t>
            </w:r>
            <w:r w:rsidR="00524FE7" w:rsidRPr="00CE4B29">
              <w:rPr>
                <w:color w:val="2C384A" w:themeColor="accent1"/>
              </w:rPr>
              <w:t xml:space="preserve">, with the </w:t>
            </w:r>
            <w:r w:rsidR="00876086" w:rsidRPr="00CE4B29">
              <w:rPr>
                <w:color w:val="2C384A" w:themeColor="accent1"/>
              </w:rPr>
              <w:t>objective</w:t>
            </w:r>
            <w:r w:rsidR="00524FE7" w:rsidRPr="00CE4B29">
              <w:rPr>
                <w:color w:val="2C384A" w:themeColor="accent1"/>
              </w:rPr>
              <w:t xml:space="preserve"> to </w:t>
            </w:r>
            <w:r w:rsidR="006208F2" w:rsidRPr="00CE4B29">
              <w:rPr>
                <w:color w:val="2C384A" w:themeColor="accent1"/>
              </w:rPr>
              <w:t>create more streamlined consumer experiences</w:t>
            </w:r>
            <w:r w:rsidR="00524FE7" w:rsidRPr="00CE4B29">
              <w:rPr>
                <w:color w:val="2C384A" w:themeColor="accent1"/>
              </w:rPr>
              <w:t>.</w:t>
            </w:r>
          </w:p>
        </w:tc>
      </w:tr>
    </w:tbl>
    <w:p w14:paraId="6F54A08B" w14:textId="77777777" w:rsidR="009372B4" w:rsidRDefault="009372B4" w:rsidP="00265FE3">
      <w:pPr>
        <w:pStyle w:val="Heading2"/>
      </w:pPr>
      <w:bookmarkStart w:id="133" w:name="_Toc106286101"/>
      <w:bookmarkStart w:id="134" w:name="_Toc106358411"/>
    </w:p>
    <w:p w14:paraId="3C2E2ECC" w14:textId="77777777" w:rsidR="009372B4" w:rsidRDefault="009372B4">
      <w:pPr>
        <w:spacing w:before="0" w:after="160" w:line="259" w:lineRule="auto"/>
        <w:rPr>
          <w:rFonts w:ascii="Calibri" w:hAnsi="Calibri" w:cs="Arial"/>
          <w:iCs/>
          <w:color w:val="2C384A"/>
          <w:kern w:val="32"/>
          <w:sz w:val="36"/>
          <w:szCs w:val="28"/>
        </w:rPr>
      </w:pPr>
      <w:r>
        <w:br w:type="page"/>
      </w:r>
    </w:p>
    <w:p w14:paraId="15B57DB7" w14:textId="744D7E6B" w:rsidR="00265FE3" w:rsidRDefault="00265FE3" w:rsidP="00265FE3">
      <w:pPr>
        <w:pStyle w:val="Heading2"/>
      </w:pPr>
      <w:bookmarkStart w:id="135" w:name="_Toc110602896"/>
      <w:r w:rsidRPr="00383A01">
        <w:lastRenderedPageBreak/>
        <w:t>3.</w:t>
      </w:r>
      <w:r w:rsidR="00C97733">
        <w:t>7</w:t>
      </w:r>
      <w:r w:rsidRPr="00383A01">
        <w:t xml:space="preserve"> Role and importance of the consumer voice in the CDR</w:t>
      </w:r>
      <w:bookmarkEnd w:id="133"/>
      <w:bookmarkEnd w:id="134"/>
      <w:bookmarkEnd w:id="135"/>
    </w:p>
    <w:p w14:paraId="6EA49073" w14:textId="73F3572C" w:rsidR="00265FE3" w:rsidRDefault="005D66D0" w:rsidP="00265FE3">
      <w:r>
        <w:t xml:space="preserve">As flagged at the </w:t>
      </w:r>
      <w:r w:rsidR="009425FF">
        <w:t>outset</w:t>
      </w:r>
      <w:r>
        <w:t>, a</w:t>
      </w:r>
      <w:r w:rsidR="00265FE3">
        <w:t xml:space="preserve"> key theme </w:t>
      </w:r>
      <w:r>
        <w:t>encountered in this Review</w:t>
      </w:r>
      <w:r w:rsidR="00265FE3">
        <w:t xml:space="preserve"> is consumer</w:t>
      </w:r>
      <w:r>
        <w:t>-</w:t>
      </w:r>
      <w:r w:rsidR="00265FE3">
        <w:t>centric utility as a core objective of the CDR. Some submissions have raised concern</w:t>
      </w:r>
      <w:r w:rsidR="009425FF">
        <w:t>s</w:t>
      </w:r>
      <w:r w:rsidR="00265FE3">
        <w:t xml:space="preserve"> that the consultation on CDR developments has favoured those deeply engaged with the CDR ecosystem (such as fintechs and businesses in designated sectors) with the resources to </w:t>
      </w:r>
      <w:r>
        <w:t>participate</w:t>
      </w:r>
      <w:r w:rsidR="009425FF">
        <w:t>,</w:t>
      </w:r>
      <w:r>
        <w:t xml:space="preserve"> and</w:t>
      </w:r>
      <w:r w:rsidR="00265FE3">
        <w:t xml:space="preserve"> </w:t>
      </w:r>
      <w:r>
        <w:t>has lacked</w:t>
      </w:r>
      <w:r w:rsidR="00265FE3">
        <w:t xml:space="preserve"> adequate consideration of consumer voice</w:t>
      </w:r>
      <w:r w:rsidR="009425FF">
        <w:t>s</w:t>
      </w:r>
      <w:r w:rsidR="00265FE3">
        <w:t xml:space="preserve">. Without a well-represented consumer </w:t>
      </w:r>
      <w:r>
        <w:t xml:space="preserve">perspective </w:t>
      </w:r>
      <w:r w:rsidR="00265FE3">
        <w:t>to balance the voices of other participants in the system, some are concerned the CDR will be driven from the core objects of the CDR</w:t>
      </w:r>
      <w:r w:rsidR="00885EA0">
        <w:t xml:space="preserve"> for </w:t>
      </w:r>
      <w:r w:rsidR="00265FE3">
        <w:t>consumer benefit.</w:t>
      </w:r>
    </w:p>
    <w:p w14:paraId="3A467ABF" w14:textId="752EC032" w:rsidR="00265FE3" w:rsidRDefault="00265FE3" w:rsidP="002524F9">
      <w:pPr>
        <w:pStyle w:val="Quote"/>
        <w:ind w:left="1020" w:right="1020"/>
      </w:pPr>
      <w:r w:rsidRPr="00383A01">
        <w:t xml:space="preserve">“The FinTech and financial services sector view of the consumer perspective is </w:t>
      </w:r>
      <w:r w:rsidR="00776F95">
        <w:t>…</w:t>
      </w:r>
      <w:r w:rsidRPr="00383A01">
        <w:t xml:space="preserve"> inevitably seen through a profit motive lens, rather than developing the CDR to address genuine consumer needs.”</w:t>
      </w:r>
      <w:r>
        <w:t xml:space="preserve"> </w:t>
      </w:r>
      <w:r w:rsidRPr="00F3484D">
        <w:rPr>
          <w:b/>
        </w:rPr>
        <w:t>– Financial Rights Legal Centre</w:t>
      </w:r>
    </w:p>
    <w:p w14:paraId="3CDFCBAD" w14:textId="7D198A6D" w:rsidR="00265FE3" w:rsidRPr="00FC31AB" w:rsidRDefault="00885EA0" w:rsidP="00265FE3">
      <w:r>
        <w:t>C</w:t>
      </w:r>
      <w:r w:rsidR="00265FE3">
        <w:t>onsumer advocacy groups have been actively attempting to fill this void</w:t>
      </w:r>
      <w:r>
        <w:t xml:space="preserve"> at personal cost</w:t>
      </w:r>
      <w:r w:rsidR="009425FF">
        <w:t>;</w:t>
      </w:r>
      <w:r w:rsidR="00265FE3">
        <w:t xml:space="preserve"> as noted by the Consumer Policy Research Centre, “</w:t>
      </w:r>
      <w:r w:rsidR="00265FE3" w:rsidRPr="00B47206">
        <w:t>the burden placed on consumer groups during consultation is extensive and excessive”</w:t>
      </w:r>
      <w:r w:rsidR="00265FE3">
        <w:t xml:space="preserve">. The CDR will need to continue to look to consumer advocacy groups </w:t>
      </w:r>
      <w:r w:rsidR="009425FF">
        <w:t>because it is not</w:t>
      </w:r>
      <w:r w:rsidR="00265FE3">
        <w:t xml:space="preserve"> </w:t>
      </w:r>
      <w:r>
        <w:t>feasible</w:t>
      </w:r>
      <w:r w:rsidR="00265FE3">
        <w:t xml:space="preserve"> to expect ordinary consumers to engage directly in these processes. </w:t>
      </w:r>
      <w:r>
        <w:t>The</w:t>
      </w:r>
      <w:r w:rsidR="00265FE3">
        <w:t xml:space="preserve"> Review</w:t>
      </w:r>
      <w:r>
        <w:t xml:space="preserve"> was</w:t>
      </w:r>
      <w:r w:rsidR="00265FE3">
        <w:t xml:space="preserve"> grateful to receive </w:t>
      </w:r>
      <w:r>
        <w:t>a submission</w:t>
      </w:r>
      <w:r w:rsidR="00265FE3">
        <w:t xml:space="preserve"> from a private citizen</w:t>
      </w:r>
      <w:r w:rsidR="009425FF">
        <w:t xml:space="preserve"> </w:t>
      </w:r>
      <w:r w:rsidR="00265FE3">
        <w:t>with the time and knowledge required to effectively participate in a consultation process</w:t>
      </w:r>
      <w:r w:rsidR="009425FF">
        <w:t>,</w:t>
      </w:r>
      <w:r w:rsidR="00265FE3">
        <w:t xml:space="preserve"> </w:t>
      </w:r>
      <w:r w:rsidR="00D4175A">
        <w:t xml:space="preserve">but </w:t>
      </w:r>
      <w:r w:rsidR="00265FE3">
        <w:t>this participation is an exception rather than the rule. The issue of consumer representation is not isolated to the CDR</w:t>
      </w:r>
      <w:r>
        <w:t>, rather</w:t>
      </w:r>
      <w:r w:rsidR="009425FF">
        <w:t>,</w:t>
      </w:r>
      <w:r w:rsidR="00265FE3">
        <w:t xml:space="preserve"> it is endemic across many </w:t>
      </w:r>
      <w:r w:rsidR="001F5A79">
        <w:t>g</w:t>
      </w:r>
      <w:r w:rsidR="00265FE3">
        <w:t>overnment consultation processes</w:t>
      </w:r>
      <w:r>
        <w:t>. This</w:t>
      </w:r>
      <w:r w:rsidR="00265FE3">
        <w:t xml:space="preserve"> further compound</w:t>
      </w:r>
      <w:r>
        <w:t>s</w:t>
      </w:r>
      <w:r w:rsidR="00265FE3">
        <w:t xml:space="preserve"> the realities faced by consumer advocacy groups on how to best allocate their limited resources and effectively participate in these processes. </w:t>
      </w:r>
    </w:p>
    <w:p w14:paraId="709580F7" w14:textId="1041807C" w:rsidR="00265FE3" w:rsidRDefault="00265FE3" w:rsidP="00643250">
      <w:pPr>
        <w:pStyle w:val="Quote"/>
      </w:pPr>
      <w:r>
        <w:t>“</w:t>
      </w:r>
      <w:r w:rsidRPr="00383A01">
        <w:t>The ability for policymakers to fully consider the benefits and risks of a reform like CDR relies upon the ability for consumer organisations to effectively participate in such processes. CPRC strongly encourages the Australian Government to make provisions to adequately fund consumer representation to effectively participate in these processes.</w:t>
      </w:r>
      <w:r>
        <w:t xml:space="preserve">” </w:t>
      </w:r>
      <w:r w:rsidRPr="00F3484D">
        <w:rPr>
          <w:b/>
        </w:rPr>
        <w:t>– Consumer Policy Research Centre</w:t>
      </w:r>
    </w:p>
    <w:p w14:paraId="32816AC2" w14:textId="3ED5C6DF" w:rsidR="00265FE3" w:rsidRPr="00F3484D" w:rsidRDefault="00265FE3" w:rsidP="00265FE3">
      <w:r>
        <w:t>The importance of consumer advocacy groups as representative</w:t>
      </w:r>
      <w:r w:rsidR="00461CBC">
        <w:t>s</w:t>
      </w:r>
      <w:r>
        <w:t xml:space="preserve"> for consumer</w:t>
      </w:r>
      <w:r w:rsidR="00461CBC">
        <w:t>s</w:t>
      </w:r>
      <w:r>
        <w:t xml:space="preserve"> cannot be </w:t>
      </w:r>
      <w:r w:rsidR="009425FF">
        <w:t>over</w:t>
      </w:r>
      <w:r>
        <w:t xml:space="preserve">stated, but </w:t>
      </w:r>
      <w:r w:rsidR="00461CBC">
        <w:t xml:space="preserve">it is </w:t>
      </w:r>
      <w:r w:rsidR="00461CBC" w:rsidRPr="00F3484D">
        <w:t xml:space="preserve">not an </w:t>
      </w:r>
      <w:r w:rsidRPr="00F3484D">
        <w:t xml:space="preserve">issue solely for the CDR </w:t>
      </w:r>
      <w:r w:rsidR="00461CBC" w:rsidRPr="00F3484D">
        <w:t>or its processes</w:t>
      </w:r>
      <w:r w:rsidRPr="00F3484D">
        <w:t>. Rather</w:t>
      </w:r>
      <w:r w:rsidR="00461CBC" w:rsidRPr="00F3484D">
        <w:t>,</w:t>
      </w:r>
      <w:r w:rsidRPr="00F3484D">
        <w:t xml:space="preserve"> </w:t>
      </w:r>
      <w:r w:rsidR="009425FF" w:rsidRPr="00F3484D">
        <w:t>Government must take</w:t>
      </w:r>
      <w:r w:rsidR="002F1CBF" w:rsidRPr="00F3484D">
        <w:t xml:space="preserve"> a</w:t>
      </w:r>
      <w:r w:rsidRPr="00F3484D">
        <w:t xml:space="preserve"> consolidated approach, which </w:t>
      </w:r>
      <w:r w:rsidR="002D06D7" w:rsidRPr="00F3484D">
        <w:t xml:space="preserve">may </w:t>
      </w:r>
      <w:r w:rsidRPr="00F3484D">
        <w:t>include provi</w:t>
      </w:r>
      <w:r w:rsidR="009425FF" w:rsidRPr="00F3484D">
        <w:t xml:space="preserve">ding </w:t>
      </w:r>
      <w:r w:rsidRPr="00F3484D">
        <w:t>additional funding for consumer advocacy groups to meaningfully participate in processes</w:t>
      </w:r>
      <w:r w:rsidR="00461CBC" w:rsidRPr="00F3484D">
        <w:t xml:space="preserve"> with clear and direct impacts on consumer cohorts</w:t>
      </w:r>
      <w:r w:rsidRPr="00F3484D">
        <w:t>.</w:t>
      </w:r>
    </w:p>
    <w:p w14:paraId="3C9DF980" w14:textId="581679AA" w:rsidR="00B44757" w:rsidRPr="00F3484D" w:rsidRDefault="00B44757" w:rsidP="00B44757"/>
    <w:tbl>
      <w:tblPr>
        <w:tblW w:w="5000" w:type="pct"/>
        <w:shd w:val="clear" w:color="auto" w:fill="FCEEE5" w:themeFill="accent6" w:themeFillTint="33"/>
        <w:tblCellMar>
          <w:top w:w="227" w:type="dxa"/>
          <w:left w:w="227" w:type="dxa"/>
          <w:bottom w:w="227" w:type="dxa"/>
          <w:right w:w="227" w:type="dxa"/>
        </w:tblCellMar>
        <w:tblLook w:val="01E0" w:firstRow="1" w:lastRow="1" w:firstColumn="1" w:lastColumn="1" w:noHBand="0" w:noVBand="0"/>
      </w:tblPr>
      <w:tblGrid>
        <w:gridCol w:w="9072"/>
      </w:tblGrid>
      <w:tr w:rsidR="00B44757" w14:paraId="67B97A8F" w14:textId="77777777" w:rsidTr="00600205">
        <w:tc>
          <w:tcPr>
            <w:tcW w:w="5000" w:type="pct"/>
            <w:shd w:val="clear" w:color="auto" w:fill="FCEEE5" w:themeFill="accent6" w:themeFillTint="33"/>
            <w:hideMark/>
          </w:tcPr>
          <w:p w14:paraId="137967D6" w14:textId="2A3B1EEC" w:rsidR="00B44757" w:rsidRPr="0019341B" w:rsidRDefault="005A4CF3" w:rsidP="00643250">
            <w:pPr>
              <w:pStyle w:val="BoxHeading"/>
            </w:pPr>
            <w:r w:rsidRPr="0019341B">
              <w:t xml:space="preserve">Recommendation </w:t>
            </w:r>
            <w:r w:rsidR="00B44757" w:rsidRPr="0019341B">
              <w:t>3.</w:t>
            </w:r>
            <w:r w:rsidR="008B1D7A" w:rsidRPr="0019341B">
              <w:t>3</w:t>
            </w:r>
          </w:p>
          <w:p w14:paraId="33914965" w14:textId="56E0FAF9" w:rsidR="00B44757" w:rsidRDefault="00B44757" w:rsidP="009D295F">
            <w:pPr>
              <w:pStyle w:val="BoxText"/>
              <w:ind w:right="113"/>
            </w:pPr>
            <w:r w:rsidRPr="000C2896">
              <w:rPr>
                <w:color w:val="2C384A" w:themeColor="accent1"/>
              </w:rPr>
              <w:t>The consumer voice is amplified through consumer advocacy groups. These advocacy groups are generally under</w:t>
            </w:r>
            <w:r w:rsidR="009D295F" w:rsidRPr="000C2896">
              <w:rPr>
                <w:color w:val="2C384A" w:themeColor="accent1"/>
              </w:rPr>
              <w:t>-</w:t>
            </w:r>
            <w:r w:rsidRPr="000C2896">
              <w:rPr>
                <w:color w:val="2C384A" w:themeColor="accent1"/>
              </w:rPr>
              <w:t>resourced</w:t>
            </w:r>
            <w:r w:rsidR="0083692D" w:rsidRPr="000C2896">
              <w:rPr>
                <w:color w:val="2C384A" w:themeColor="accent1"/>
              </w:rPr>
              <w:t>,</w:t>
            </w:r>
            <w:r w:rsidRPr="000C2896">
              <w:rPr>
                <w:color w:val="2C384A" w:themeColor="accent1"/>
              </w:rPr>
              <w:t xml:space="preserve"> inevitably diminish</w:t>
            </w:r>
            <w:r w:rsidR="0083692D" w:rsidRPr="000C2896">
              <w:rPr>
                <w:color w:val="2C384A" w:themeColor="accent1"/>
              </w:rPr>
              <w:t>ing</w:t>
            </w:r>
            <w:r w:rsidRPr="000C2896">
              <w:rPr>
                <w:color w:val="2C384A" w:themeColor="accent1"/>
              </w:rPr>
              <w:t xml:space="preserve"> the consumer input into the development of the CDR </w:t>
            </w:r>
            <w:r w:rsidR="00516BB9" w:rsidRPr="000C2896">
              <w:rPr>
                <w:color w:val="2C384A" w:themeColor="accent1"/>
              </w:rPr>
              <w:t xml:space="preserve">and other government consultation processes more broadly. </w:t>
            </w:r>
            <w:r w:rsidR="002D06D7" w:rsidRPr="000C2896">
              <w:rPr>
                <w:color w:val="2C384A" w:themeColor="accent1"/>
              </w:rPr>
              <w:t>Additional f</w:t>
            </w:r>
            <w:r w:rsidRPr="000C2896">
              <w:rPr>
                <w:color w:val="2C384A" w:themeColor="accent1"/>
              </w:rPr>
              <w:t xml:space="preserve">unding may be needed to support consumer advocacy groups to meaningfully participate in </w:t>
            </w:r>
            <w:r w:rsidR="00516BB9" w:rsidRPr="000C2896">
              <w:rPr>
                <w:color w:val="2C384A" w:themeColor="accent1"/>
              </w:rPr>
              <w:t>not just</w:t>
            </w:r>
            <w:r w:rsidRPr="000C2896">
              <w:rPr>
                <w:color w:val="2C384A" w:themeColor="accent1"/>
              </w:rPr>
              <w:t xml:space="preserve"> the development of the CDR</w:t>
            </w:r>
            <w:r w:rsidR="00516BB9" w:rsidRPr="000C2896">
              <w:rPr>
                <w:color w:val="2C384A" w:themeColor="accent1"/>
              </w:rPr>
              <w:t xml:space="preserve"> but across government</w:t>
            </w:r>
            <w:r w:rsidR="00B92EE5" w:rsidRPr="000C2896">
              <w:rPr>
                <w:color w:val="2C384A" w:themeColor="accent1"/>
              </w:rPr>
              <w:t xml:space="preserve"> initiatives</w:t>
            </w:r>
            <w:r w:rsidRPr="000C2896">
              <w:rPr>
                <w:color w:val="2C384A" w:themeColor="accent1"/>
              </w:rPr>
              <w:t>.</w:t>
            </w:r>
            <w:r w:rsidRPr="000C2896">
              <w:rPr>
                <w:rFonts w:ascii="Calibri" w:hAnsi="Calibri" w:cs="Calibri"/>
                <w:color w:val="2C384A" w:themeColor="accent1"/>
              </w:rPr>
              <w:t xml:space="preserve"> </w:t>
            </w:r>
          </w:p>
        </w:tc>
      </w:tr>
    </w:tbl>
    <w:p w14:paraId="4DE139A6" w14:textId="77777777" w:rsidR="00B44757" w:rsidRDefault="00B44757" w:rsidP="00265FE3"/>
    <w:p w14:paraId="29E96507" w14:textId="16D55FED" w:rsidR="00265FE3" w:rsidRPr="006027C7" w:rsidRDefault="00265FE3" w:rsidP="00265FE3">
      <w:r>
        <w:lastRenderedPageBreak/>
        <w:t xml:space="preserve">Part of amplifying the consumer voice is creating a CDR ecosystem </w:t>
      </w:r>
      <w:r w:rsidR="00146AE2">
        <w:t>that</w:t>
      </w:r>
      <w:r>
        <w:t xml:space="preserve"> is easy and encourage</w:t>
      </w:r>
      <w:r w:rsidR="00146AE2">
        <w:t xml:space="preserve">s </w:t>
      </w:r>
      <w:r>
        <w:t xml:space="preserve">consumers to raise complaints. A </w:t>
      </w:r>
      <w:r w:rsidRPr="006027C7">
        <w:t>submission from Cuscal suggested that “[a]s the regime expands it will become difficult for consumers to ascertain which organisation, they are required to raise complaints and seek actions for redress”. Cuscal go</w:t>
      </w:r>
      <w:r w:rsidR="00146AE2" w:rsidRPr="006027C7">
        <w:t>es</w:t>
      </w:r>
      <w:r w:rsidRPr="006027C7">
        <w:t xml:space="preserve"> on to suggest that a single agency could be defined through which consumers raise complaints and </w:t>
      </w:r>
      <w:r w:rsidR="00146AE2" w:rsidRPr="006027C7">
        <w:t xml:space="preserve">which </w:t>
      </w:r>
      <w:r w:rsidRPr="006027C7">
        <w:t>direct</w:t>
      </w:r>
      <w:r w:rsidR="00146AE2" w:rsidRPr="006027C7">
        <w:t>s</w:t>
      </w:r>
      <w:r w:rsidRPr="006027C7">
        <w:t xml:space="preserve"> these complaints as required. </w:t>
      </w:r>
    </w:p>
    <w:p w14:paraId="70FDFCC3" w14:textId="4FC3BB9F" w:rsidR="00EA4942" w:rsidRPr="006027C7" w:rsidRDefault="00265FE3" w:rsidP="00265FE3">
      <w:r w:rsidRPr="006027C7">
        <w:t xml:space="preserve">As a cross-sectoral scheme, the CDR </w:t>
      </w:r>
      <w:r w:rsidR="00146AE2" w:rsidRPr="006027C7">
        <w:t xml:space="preserve">was </w:t>
      </w:r>
      <w:r w:rsidRPr="006027C7">
        <w:t>always designed to include multiple regulators to fulfil separate roles and responsibilities</w:t>
      </w:r>
      <w:r w:rsidR="008C7C91" w:rsidRPr="006027C7">
        <w:t>.</w:t>
      </w:r>
      <w:r w:rsidRPr="006027C7">
        <w:rPr>
          <w:rStyle w:val="FootnoteReference"/>
          <w:sz w:val="22"/>
          <w:szCs w:val="24"/>
          <w:vertAlign w:val="superscript"/>
        </w:rPr>
        <w:footnoteReference w:id="48"/>
      </w:r>
      <w:r w:rsidR="007132EB" w:rsidRPr="006027C7">
        <w:t xml:space="preserve"> </w:t>
      </w:r>
      <w:r w:rsidR="00AA69FD" w:rsidRPr="006027C7">
        <w:t>The</w:t>
      </w:r>
      <w:r w:rsidRPr="006027C7">
        <w:t xml:space="preserve"> </w:t>
      </w:r>
      <w:r w:rsidR="00AA69FD" w:rsidRPr="006027C7">
        <w:t xml:space="preserve">Review </w:t>
      </w:r>
      <w:r w:rsidRPr="006027C7">
        <w:t>recognise</w:t>
      </w:r>
      <w:r w:rsidR="00AA69FD" w:rsidRPr="006027C7">
        <w:t>s and supports</w:t>
      </w:r>
      <w:r w:rsidRPr="006027C7">
        <w:t xml:space="preserve"> </w:t>
      </w:r>
      <w:r w:rsidR="00AA69FD" w:rsidRPr="006027C7">
        <w:t xml:space="preserve">that </w:t>
      </w:r>
      <w:r w:rsidRPr="006027C7">
        <w:t>from the outset that</w:t>
      </w:r>
      <w:r w:rsidR="00146AE2" w:rsidRPr="006027C7">
        <w:t>,</w:t>
      </w:r>
      <w:r w:rsidRPr="006027C7">
        <w:t xml:space="preserve"> to be an effective consumer-facing policy</w:t>
      </w:r>
      <w:r w:rsidR="00146AE2" w:rsidRPr="006027C7">
        <w:t>,</w:t>
      </w:r>
      <w:r w:rsidRPr="006027C7">
        <w:t xml:space="preserve"> the CDR should have a ‘no wrong door’ approach </w:t>
      </w:r>
      <w:r w:rsidR="008C7C91" w:rsidRPr="006027C7">
        <w:t xml:space="preserve">(see </w:t>
      </w:r>
      <w:r w:rsidR="001836FD" w:rsidRPr="006027C7">
        <w:t>s</w:t>
      </w:r>
      <w:r w:rsidR="008C7C91" w:rsidRPr="006027C7">
        <w:t>ection</w:t>
      </w:r>
      <w:r w:rsidR="001836FD" w:rsidRPr="006027C7">
        <w:t> </w:t>
      </w:r>
      <w:r w:rsidR="008C7C91" w:rsidRPr="006027C7">
        <w:t xml:space="preserve">2.3) </w:t>
      </w:r>
      <w:r w:rsidRPr="006027C7">
        <w:t>to handling consumer complaints</w:t>
      </w:r>
      <w:r w:rsidR="004A4197" w:rsidRPr="006027C7">
        <w:t>, so as</w:t>
      </w:r>
      <w:r w:rsidRPr="006027C7">
        <w:t xml:space="preserve"> to avoid, as the original Productivity Commission report</w:t>
      </w:r>
      <w:r w:rsidR="00146AE2" w:rsidRPr="006027C7">
        <w:t xml:space="preserve"> put it</w:t>
      </w:r>
      <w:r w:rsidRPr="006027C7">
        <w:t xml:space="preserve">, </w:t>
      </w:r>
      <w:r w:rsidR="00146AE2" w:rsidRPr="006027C7">
        <w:t>leaving</w:t>
      </w:r>
      <w:r w:rsidRPr="006027C7">
        <w:t xml:space="preserve"> “the consumer straddling in a regulator abyss”. </w:t>
      </w:r>
    </w:p>
    <w:p w14:paraId="44AEAB6B" w14:textId="7E123CCE" w:rsidR="00026969" w:rsidRPr="006027C7" w:rsidRDefault="00265FE3" w:rsidP="00026969">
      <w:pPr>
        <w:pStyle w:val="Heading2"/>
      </w:pPr>
      <w:bookmarkStart w:id="136" w:name="_Toc110602897"/>
      <w:bookmarkStart w:id="137" w:name="_Toc106358412"/>
      <w:r w:rsidRPr="006027C7">
        <w:t>3.</w:t>
      </w:r>
      <w:r w:rsidR="00C97733" w:rsidRPr="006027C7">
        <w:t>8</w:t>
      </w:r>
      <w:r w:rsidRPr="006027C7">
        <w:t xml:space="preserve"> </w:t>
      </w:r>
      <w:r w:rsidR="007A0C01" w:rsidRPr="006027C7">
        <w:t>Beyond the Statutory Review</w:t>
      </w:r>
      <w:bookmarkEnd w:id="136"/>
      <w:r w:rsidR="007A0C01" w:rsidRPr="006027C7">
        <w:t xml:space="preserve"> </w:t>
      </w:r>
    </w:p>
    <w:p w14:paraId="452DEFAC" w14:textId="34C9CD76" w:rsidR="00026969" w:rsidRPr="006027C7" w:rsidRDefault="00026969" w:rsidP="00026969">
      <w:r w:rsidRPr="006027C7">
        <w:t>Th</w:t>
      </w:r>
      <w:r w:rsidR="00BB37C4" w:rsidRPr="006027C7">
        <w:t xml:space="preserve">is Statutory Review takes place five years after the initial conception of the CDR in the Productivity Commission’s Data </w:t>
      </w:r>
      <w:r w:rsidR="0083692D" w:rsidRPr="006027C7">
        <w:t>Availability</w:t>
      </w:r>
      <w:r w:rsidR="00BB37C4" w:rsidRPr="006027C7">
        <w:t xml:space="preserve"> and </w:t>
      </w:r>
      <w:r w:rsidR="0083692D" w:rsidRPr="006027C7">
        <w:t xml:space="preserve">Use </w:t>
      </w:r>
      <w:r w:rsidR="00BB37C4" w:rsidRPr="006027C7">
        <w:t xml:space="preserve">report. </w:t>
      </w:r>
      <w:r w:rsidR="00945DFD" w:rsidRPr="006027C7">
        <w:t xml:space="preserve">As </w:t>
      </w:r>
      <w:r w:rsidR="0083692D" w:rsidRPr="006027C7">
        <w:t>previously stated,</w:t>
      </w:r>
      <w:r w:rsidR="00945DFD" w:rsidRPr="006027C7">
        <w:t xml:space="preserve"> </w:t>
      </w:r>
      <w:r w:rsidR="00E30B7C" w:rsidRPr="006027C7">
        <w:t>it</w:t>
      </w:r>
      <w:r w:rsidR="00945DFD" w:rsidRPr="006027C7">
        <w:t xml:space="preserve"> comes at an important time for the CDR as it transitions from a build phase into a phase of maturing to develop </w:t>
      </w:r>
      <w:r w:rsidR="00146AE2" w:rsidRPr="006027C7">
        <w:t>its</w:t>
      </w:r>
      <w:r w:rsidR="00945DFD" w:rsidRPr="006027C7">
        <w:t xml:space="preserve"> scope to deliver significant consumer benefits. </w:t>
      </w:r>
      <w:r w:rsidR="00791126" w:rsidRPr="006027C7">
        <w:rPr>
          <w:rFonts w:eastAsiaTheme="majorEastAsia"/>
        </w:rPr>
        <w:t>This Review has offered a number of short to medium</w:t>
      </w:r>
      <w:r w:rsidR="00396585" w:rsidRPr="006027C7">
        <w:rPr>
          <w:rFonts w:eastAsiaTheme="majorEastAsia"/>
        </w:rPr>
        <w:t xml:space="preserve"> </w:t>
      </w:r>
      <w:r w:rsidR="00791126" w:rsidRPr="006027C7">
        <w:rPr>
          <w:rFonts w:eastAsiaTheme="majorEastAsia"/>
        </w:rPr>
        <w:t xml:space="preserve">term changes to the statutory framework to support the maturation of the CDR. </w:t>
      </w:r>
      <w:r w:rsidR="006B24EC" w:rsidRPr="006027C7">
        <w:rPr>
          <w:rFonts w:eastAsiaTheme="majorEastAsia"/>
        </w:rPr>
        <w:t>It</w:t>
      </w:r>
      <w:r w:rsidR="00791126" w:rsidRPr="006027C7">
        <w:rPr>
          <w:rFonts w:eastAsiaTheme="majorEastAsia"/>
        </w:rPr>
        <w:t xml:space="preserve"> also recognises that some of these changes may not be long</w:t>
      </w:r>
      <w:r w:rsidR="00396585" w:rsidRPr="006027C7">
        <w:rPr>
          <w:rFonts w:eastAsiaTheme="majorEastAsia"/>
        </w:rPr>
        <w:t xml:space="preserve"> </w:t>
      </w:r>
      <w:r w:rsidR="00791126" w:rsidRPr="006027C7">
        <w:rPr>
          <w:rFonts w:eastAsiaTheme="majorEastAsia"/>
        </w:rPr>
        <w:t>term solutions</w:t>
      </w:r>
      <w:r w:rsidR="006B24EC" w:rsidRPr="006027C7">
        <w:rPr>
          <w:rFonts w:eastAsiaTheme="majorEastAsia"/>
        </w:rPr>
        <w:t xml:space="preserve"> and</w:t>
      </w:r>
      <w:r w:rsidR="00945DFD" w:rsidRPr="006027C7">
        <w:t xml:space="preserve"> identifie</w:t>
      </w:r>
      <w:r w:rsidR="003E17AB" w:rsidRPr="006027C7">
        <w:t>s</w:t>
      </w:r>
      <w:r w:rsidR="00945DFD" w:rsidRPr="006027C7">
        <w:t xml:space="preserve"> a number of elements of the statutory framework that may need further consideration in the future</w:t>
      </w:r>
      <w:r w:rsidR="00C16D7A" w:rsidRPr="006027C7">
        <w:t xml:space="preserve">, </w:t>
      </w:r>
      <w:r w:rsidR="003E17AB" w:rsidRPr="006027C7">
        <w:t xml:space="preserve">which </w:t>
      </w:r>
      <w:r w:rsidR="00C16D7A" w:rsidRPr="006027C7">
        <w:t xml:space="preserve">could </w:t>
      </w:r>
      <w:r w:rsidR="00791126" w:rsidRPr="006027C7">
        <w:t xml:space="preserve">include: </w:t>
      </w:r>
    </w:p>
    <w:p w14:paraId="553CB517" w14:textId="6EBC4332" w:rsidR="00791126" w:rsidRPr="006027C7" w:rsidRDefault="00791126" w:rsidP="00C1168A">
      <w:pPr>
        <w:pStyle w:val="Bullet"/>
        <w:ind w:left="284" w:hanging="284"/>
        <w:rPr>
          <w:rFonts w:eastAsiaTheme="majorEastAsia"/>
        </w:rPr>
      </w:pPr>
      <w:r w:rsidRPr="006027C7">
        <w:rPr>
          <w:rFonts w:eastAsiaTheme="majorEastAsia"/>
        </w:rPr>
        <w:t>direct</w:t>
      </w:r>
      <w:r w:rsidR="00026969" w:rsidRPr="006027C7">
        <w:rPr>
          <w:rFonts w:eastAsiaTheme="majorEastAsia"/>
        </w:rPr>
        <w:t xml:space="preserve"> to </w:t>
      </w:r>
      <w:r w:rsidRPr="006027C7">
        <w:rPr>
          <w:rFonts w:eastAsiaTheme="majorEastAsia"/>
        </w:rPr>
        <w:t>consumer data sharing (section 1.6)</w:t>
      </w:r>
    </w:p>
    <w:p w14:paraId="432A7937" w14:textId="6A0CE56D" w:rsidR="00791126" w:rsidRPr="006027C7" w:rsidRDefault="00791126" w:rsidP="00C1168A">
      <w:pPr>
        <w:pStyle w:val="Bullet"/>
        <w:ind w:left="284" w:hanging="284"/>
        <w:rPr>
          <w:rFonts w:eastAsiaTheme="majorEastAsia"/>
        </w:rPr>
      </w:pPr>
      <w:r w:rsidRPr="006027C7">
        <w:rPr>
          <w:rFonts w:eastAsiaTheme="majorEastAsia"/>
        </w:rPr>
        <w:t>implementation and governance arrangements</w:t>
      </w:r>
      <w:r w:rsidR="00C80B28" w:rsidRPr="006027C7">
        <w:rPr>
          <w:rFonts w:eastAsiaTheme="majorEastAsia"/>
        </w:rPr>
        <w:t xml:space="preserve"> </w:t>
      </w:r>
      <w:r w:rsidR="00C80B28" w:rsidRPr="006027C7">
        <w:t>of the CDR and other digital economy initiatives</w:t>
      </w:r>
      <w:r w:rsidRPr="006027C7">
        <w:rPr>
          <w:rFonts w:eastAsiaTheme="majorEastAsia"/>
        </w:rPr>
        <w:t xml:space="preserve"> (section 2.</w:t>
      </w:r>
      <w:r w:rsidR="0012199A" w:rsidRPr="006027C7">
        <w:rPr>
          <w:rFonts w:eastAsiaTheme="majorEastAsia"/>
        </w:rPr>
        <w:t>3</w:t>
      </w:r>
      <w:r w:rsidRPr="006027C7">
        <w:rPr>
          <w:rFonts w:eastAsiaTheme="majorEastAsia"/>
        </w:rPr>
        <w:t>)</w:t>
      </w:r>
      <w:r w:rsidR="00146AE2" w:rsidRPr="006027C7">
        <w:rPr>
          <w:rFonts w:eastAsiaTheme="majorEastAsia"/>
        </w:rPr>
        <w:t>,</w:t>
      </w:r>
      <w:r w:rsidRPr="006027C7">
        <w:rPr>
          <w:rFonts w:eastAsiaTheme="majorEastAsia"/>
        </w:rPr>
        <w:t xml:space="preserve"> and</w:t>
      </w:r>
    </w:p>
    <w:p w14:paraId="51736A96" w14:textId="47B4CD6F" w:rsidR="00791126" w:rsidRPr="006027C7" w:rsidRDefault="00791126" w:rsidP="00C1168A">
      <w:pPr>
        <w:pStyle w:val="Bullet"/>
        <w:ind w:left="284" w:hanging="284"/>
        <w:rPr>
          <w:rFonts w:eastAsiaTheme="majorEastAsia"/>
        </w:rPr>
      </w:pPr>
      <w:r w:rsidRPr="006027C7">
        <w:rPr>
          <w:rFonts w:eastAsiaTheme="majorEastAsia"/>
        </w:rPr>
        <w:t>reciprocal data</w:t>
      </w:r>
      <w:r w:rsidR="00BE7617" w:rsidRPr="006027C7">
        <w:rPr>
          <w:rFonts w:eastAsiaTheme="majorEastAsia"/>
        </w:rPr>
        <w:t xml:space="preserve"> </w:t>
      </w:r>
      <w:r w:rsidR="008331AB" w:rsidRPr="006027C7">
        <w:rPr>
          <w:rFonts w:eastAsiaTheme="majorEastAsia"/>
        </w:rPr>
        <w:t>holder</w:t>
      </w:r>
      <w:r w:rsidRPr="006027C7">
        <w:rPr>
          <w:rFonts w:eastAsiaTheme="majorEastAsia"/>
        </w:rPr>
        <w:t xml:space="preserve"> obligations (section 2.</w:t>
      </w:r>
      <w:r w:rsidR="006140EB" w:rsidRPr="006027C7">
        <w:rPr>
          <w:rFonts w:eastAsiaTheme="majorEastAsia"/>
        </w:rPr>
        <w:t>10</w:t>
      </w:r>
      <w:r w:rsidRPr="006027C7">
        <w:rPr>
          <w:rFonts w:eastAsiaTheme="majorEastAsia"/>
        </w:rPr>
        <w:t>).</w:t>
      </w:r>
    </w:p>
    <w:p w14:paraId="42FA39ED" w14:textId="77777777" w:rsidR="00E30B7C" w:rsidRDefault="0083692D">
      <w:pPr>
        <w:rPr>
          <w:rFonts w:eastAsiaTheme="majorEastAsia"/>
        </w:rPr>
      </w:pPr>
      <w:r w:rsidRPr="006027C7">
        <w:rPr>
          <w:rFonts w:eastAsiaTheme="majorEastAsia"/>
        </w:rPr>
        <w:t xml:space="preserve">The </w:t>
      </w:r>
      <w:r w:rsidR="006722BE" w:rsidRPr="006027C7">
        <w:rPr>
          <w:rFonts w:eastAsiaTheme="majorEastAsia"/>
        </w:rPr>
        <w:t xml:space="preserve">CDR </w:t>
      </w:r>
      <w:r w:rsidR="00770A01" w:rsidRPr="006027C7">
        <w:rPr>
          <w:rFonts w:eastAsiaTheme="majorEastAsia"/>
        </w:rPr>
        <w:t xml:space="preserve">has undergone substantial adjustments even in these early stages, and there should be an ongoing provision for considered review </w:t>
      </w:r>
      <w:r w:rsidR="006722BE" w:rsidRPr="006027C7">
        <w:rPr>
          <w:rFonts w:eastAsiaTheme="majorEastAsia"/>
        </w:rPr>
        <w:t>to ensure it remains agile</w:t>
      </w:r>
      <w:r w:rsidR="006722BE">
        <w:rPr>
          <w:rFonts w:eastAsiaTheme="majorEastAsia"/>
        </w:rPr>
        <w:t xml:space="preserve"> and fit</w:t>
      </w:r>
      <w:r w:rsidR="00FD4729">
        <w:rPr>
          <w:rFonts w:eastAsiaTheme="majorEastAsia"/>
        </w:rPr>
        <w:t>-</w:t>
      </w:r>
      <w:r w:rsidR="006722BE">
        <w:rPr>
          <w:rFonts w:eastAsiaTheme="majorEastAsia"/>
        </w:rPr>
        <w:t>for</w:t>
      </w:r>
      <w:r w:rsidR="00FD4729">
        <w:rPr>
          <w:rFonts w:eastAsiaTheme="majorEastAsia"/>
        </w:rPr>
        <w:t>-</w:t>
      </w:r>
      <w:r w:rsidR="006722BE">
        <w:rPr>
          <w:rFonts w:eastAsiaTheme="majorEastAsia"/>
        </w:rPr>
        <w:t xml:space="preserve">purpose. </w:t>
      </w:r>
      <w:r w:rsidR="00026969">
        <w:rPr>
          <w:rFonts w:eastAsiaTheme="majorEastAsia"/>
        </w:rPr>
        <w:t xml:space="preserve">Submissions from the Australian Energy Council and the OAIC recommended that a further statutory review of the CDR be conducted in the future, with the former suggesting repeating reviews every three years and the latter suggesting a further review within the next five years. </w:t>
      </w:r>
    </w:p>
    <w:p w14:paraId="481A89E6" w14:textId="09C6016F" w:rsidR="00026969" w:rsidRPr="00026969" w:rsidRDefault="00026969">
      <w:pPr>
        <w:rPr>
          <w:rFonts w:eastAsiaTheme="majorEastAsia"/>
        </w:rPr>
      </w:pPr>
      <w:r>
        <w:rPr>
          <w:rFonts w:eastAsiaTheme="majorEastAsia"/>
        </w:rPr>
        <w:t>Th</w:t>
      </w:r>
      <w:r w:rsidR="00770A01">
        <w:rPr>
          <w:rFonts w:eastAsiaTheme="majorEastAsia"/>
        </w:rPr>
        <w:t>is</w:t>
      </w:r>
      <w:r>
        <w:rPr>
          <w:rFonts w:eastAsiaTheme="majorEastAsia"/>
        </w:rPr>
        <w:t xml:space="preserve"> Review supports a further statutory review occurring within the next five years</w:t>
      </w:r>
      <w:r w:rsidR="00770A01">
        <w:rPr>
          <w:rFonts w:eastAsiaTheme="majorEastAsia"/>
        </w:rPr>
        <w:t>,</w:t>
      </w:r>
      <w:r>
        <w:rPr>
          <w:rFonts w:eastAsiaTheme="majorEastAsia"/>
        </w:rPr>
        <w:t xml:space="preserve"> </w:t>
      </w:r>
      <w:r w:rsidR="00770A01">
        <w:rPr>
          <w:rFonts w:eastAsiaTheme="majorEastAsia"/>
        </w:rPr>
        <w:t>capturing the lessons from the next iterations of the economy-wide rollout and allowing an additional</w:t>
      </w:r>
      <w:r w:rsidR="006722BE">
        <w:rPr>
          <w:rFonts w:eastAsiaTheme="majorEastAsia"/>
        </w:rPr>
        <w:t xml:space="preserve"> course check and</w:t>
      </w:r>
      <w:r w:rsidR="00770A01">
        <w:rPr>
          <w:rFonts w:eastAsiaTheme="majorEastAsia"/>
        </w:rPr>
        <w:t xml:space="preserve"> design</w:t>
      </w:r>
      <w:r w:rsidR="006722BE">
        <w:rPr>
          <w:rFonts w:eastAsiaTheme="majorEastAsia"/>
        </w:rPr>
        <w:t xml:space="preserve"> calibration </w:t>
      </w:r>
      <w:r w:rsidR="00770A01">
        <w:rPr>
          <w:rFonts w:eastAsiaTheme="majorEastAsia"/>
        </w:rPr>
        <w:t>as the system continues to</w:t>
      </w:r>
      <w:r w:rsidR="006722BE">
        <w:rPr>
          <w:rFonts w:eastAsiaTheme="majorEastAsia"/>
        </w:rPr>
        <w:t xml:space="preserve"> matur</w:t>
      </w:r>
      <w:r w:rsidR="00770A01">
        <w:rPr>
          <w:rFonts w:eastAsiaTheme="majorEastAsia"/>
        </w:rPr>
        <w:t>e</w:t>
      </w:r>
      <w:r w:rsidR="00791126">
        <w:rPr>
          <w:rFonts w:eastAsiaTheme="majorEastAsia"/>
        </w:rPr>
        <w:t xml:space="preserve">. A future </w:t>
      </w:r>
      <w:r w:rsidR="00770A01">
        <w:rPr>
          <w:rFonts w:eastAsiaTheme="majorEastAsia"/>
        </w:rPr>
        <w:t>s</w:t>
      </w:r>
      <w:r w:rsidR="00791126">
        <w:rPr>
          <w:rFonts w:eastAsiaTheme="majorEastAsia"/>
        </w:rPr>
        <w:t xml:space="preserve">tatutory </w:t>
      </w:r>
      <w:r w:rsidR="00770A01">
        <w:rPr>
          <w:rFonts w:eastAsiaTheme="majorEastAsia"/>
        </w:rPr>
        <w:t>r</w:t>
      </w:r>
      <w:r w:rsidR="00791126">
        <w:rPr>
          <w:rFonts w:eastAsiaTheme="majorEastAsia"/>
        </w:rPr>
        <w:t xml:space="preserve">eview </w:t>
      </w:r>
      <w:r w:rsidR="006722BE">
        <w:rPr>
          <w:rFonts w:eastAsiaTheme="majorEastAsia"/>
        </w:rPr>
        <w:t xml:space="preserve">could </w:t>
      </w:r>
      <w:r>
        <w:rPr>
          <w:rFonts w:eastAsiaTheme="majorEastAsia"/>
        </w:rPr>
        <w:t xml:space="preserve">address the considerations listed above if they remain </w:t>
      </w:r>
      <w:r w:rsidR="00791126">
        <w:rPr>
          <w:rFonts w:eastAsiaTheme="majorEastAsia"/>
        </w:rPr>
        <w:t>pertinent</w:t>
      </w:r>
      <w:r w:rsidR="006722BE">
        <w:rPr>
          <w:rFonts w:eastAsiaTheme="majorEastAsia"/>
        </w:rPr>
        <w:t xml:space="preserve"> along with </w:t>
      </w:r>
      <w:r>
        <w:rPr>
          <w:rFonts w:eastAsiaTheme="majorEastAsia"/>
        </w:rPr>
        <w:t xml:space="preserve">any further issues that arise in the meantime, particularly </w:t>
      </w:r>
      <w:r w:rsidR="00146AE2">
        <w:rPr>
          <w:rFonts w:eastAsiaTheme="majorEastAsia"/>
        </w:rPr>
        <w:t>in relation</w:t>
      </w:r>
      <w:r>
        <w:rPr>
          <w:rFonts w:eastAsiaTheme="majorEastAsia"/>
        </w:rPr>
        <w:t xml:space="preserve"> to the development of the CDR to include payment and action initiation</w:t>
      </w:r>
      <w:r w:rsidR="00631AC5">
        <w:rPr>
          <w:rFonts w:eastAsiaTheme="majorEastAsia"/>
        </w:rPr>
        <w:t xml:space="preserve"> and other developments in the wider digital economy</w:t>
      </w:r>
      <w:r>
        <w:rPr>
          <w:rFonts w:eastAsiaTheme="majorEastAsia"/>
        </w:rPr>
        <w:t>.</w:t>
      </w:r>
    </w:p>
    <w:p w14:paraId="1A52F279" w14:textId="77777777" w:rsidR="009372B4" w:rsidRDefault="009372B4">
      <w:r>
        <w:rPr>
          <w:b/>
        </w:rPr>
        <w:br w:type="page"/>
      </w:r>
    </w:p>
    <w:tbl>
      <w:tblPr>
        <w:tblpPr w:leftFromText="180" w:rightFromText="180" w:vertAnchor="text" w:horzAnchor="margin" w:tblpY="245"/>
        <w:tblW w:w="5000" w:type="pct"/>
        <w:shd w:val="clear" w:color="auto" w:fill="FCEEE5" w:themeFill="accent6" w:themeFillTint="33"/>
        <w:tblCellMar>
          <w:top w:w="227" w:type="dxa"/>
          <w:left w:w="227" w:type="dxa"/>
          <w:bottom w:w="227" w:type="dxa"/>
          <w:right w:w="227" w:type="dxa"/>
        </w:tblCellMar>
        <w:tblLook w:val="01E0" w:firstRow="1" w:lastRow="1" w:firstColumn="1" w:lastColumn="1" w:noHBand="0" w:noVBand="0"/>
      </w:tblPr>
      <w:tblGrid>
        <w:gridCol w:w="9072"/>
      </w:tblGrid>
      <w:tr w:rsidR="00BF47EC" w14:paraId="699765C8" w14:textId="77777777" w:rsidTr="00BF47EC">
        <w:tc>
          <w:tcPr>
            <w:tcW w:w="5000" w:type="pct"/>
            <w:shd w:val="clear" w:color="auto" w:fill="F2F9FC"/>
            <w:hideMark/>
          </w:tcPr>
          <w:p w14:paraId="4CABC75D" w14:textId="77777777" w:rsidR="00BF47EC" w:rsidRPr="00CE4B29" w:rsidRDefault="00BF47EC" w:rsidP="00C1168A">
            <w:pPr>
              <w:pStyle w:val="BoxHeading"/>
            </w:pPr>
            <w:r w:rsidRPr="00CE4B29">
              <w:lastRenderedPageBreak/>
              <w:t>Finding 3.7</w:t>
            </w:r>
          </w:p>
          <w:p w14:paraId="750C07E2" w14:textId="536ECFF8" w:rsidR="00BF47EC" w:rsidRDefault="00BF47EC" w:rsidP="00C1168A">
            <w:pPr>
              <w:pStyle w:val="BoxText"/>
              <w:ind w:right="170"/>
            </w:pPr>
            <w:r w:rsidRPr="00CE4B29">
              <w:rPr>
                <w:color w:val="2C384A" w:themeColor="accent1"/>
              </w:rPr>
              <w:t>Consider a future statutory review within the next five years. This review may consider direct</w:t>
            </w:r>
            <w:r w:rsidR="008F02AF" w:rsidRPr="00CE4B29">
              <w:rPr>
                <w:color w:val="2C384A" w:themeColor="accent1"/>
              </w:rPr>
              <w:noBreakHyphen/>
            </w:r>
            <w:r w:rsidRPr="00CE4B29">
              <w:rPr>
                <w:color w:val="2C384A" w:themeColor="accent1"/>
              </w:rPr>
              <w:t>to-consumer data sharing, the implementation and governance arrangements of the CDR and other digital economy initiatives, reciprocal data holder obligations, as well as any other issues that arise.</w:t>
            </w:r>
          </w:p>
        </w:tc>
      </w:tr>
    </w:tbl>
    <w:p w14:paraId="25B7D21E" w14:textId="24C5C5A6" w:rsidR="00265FE3" w:rsidRDefault="00265FE3" w:rsidP="00663AB4">
      <w:pPr>
        <w:pStyle w:val="Heading2"/>
        <w:rPr>
          <w:i/>
        </w:rPr>
      </w:pPr>
      <w:bookmarkStart w:id="138" w:name="_Toc110602898"/>
      <w:r>
        <w:t>3.</w:t>
      </w:r>
      <w:r w:rsidR="00C97733">
        <w:t>9</w:t>
      </w:r>
      <w:r>
        <w:t xml:space="preserve"> </w:t>
      </w:r>
      <w:r w:rsidRPr="00383A01">
        <w:t xml:space="preserve">Part </w:t>
      </w:r>
      <w:r>
        <w:t>Three</w:t>
      </w:r>
      <w:r w:rsidRPr="00383A01">
        <w:t xml:space="preserve"> – Conclusion</w:t>
      </w:r>
      <w:bookmarkEnd w:id="137"/>
      <w:bookmarkEnd w:id="138"/>
    </w:p>
    <w:p w14:paraId="180483F2" w14:textId="61CAC236" w:rsidR="00265FE3" w:rsidRDefault="00265FE3" w:rsidP="00C1168A">
      <w:pPr>
        <w:ind w:right="113"/>
      </w:pPr>
      <w:r>
        <w:t xml:space="preserve">The Review encountered sincere enthusiasm and optimism from stakeholders around opportunities that will arise as the country continues its </w:t>
      </w:r>
      <w:r w:rsidR="005D3954">
        <w:t>development as</w:t>
      </w:r>
      <w:r>
        <w:t xml:space="preserve"> a digital economy. Australia has already made significant advances in areas including payments, e-invoicing</w:t>
      </w:r>
      <w:r w:rsidR="00146AE2">
        <w:t xml:space="preserve"> </w:t>
      </w:r>
      <w:r>
        <w:t xml:space="preserve">and the digital delivery of government services. Stakeholders were confident that the CDR is an important part of the future Australian digital economy. </w:t>
      </w:r>
    </w:p>
    <w:p w14:paraId="52643D02" w14:textId="4B6139BE" w:rsidR="00340565" w:rsidRDefault="00340565" w:rsidP="00265FE3">
      <w:r>
        <w:t>To capitalise on the opportunities of the digital economy</w:t>
      </w:r>
      <w:r w:rsidR="00146AE2">
        <w:t>,</w:t>
      </w:r>
      <w:r>
        <w:t xml:space="preserve"> the CDR </w:t>
      </w:r>
      <w:r w:rsidR="00CF1B9E">
        <w:t>must be</w:t>
      </w:r>
      <w:r>
        <w:t xml:space="preserve"> appropriate</w:t>
      </w:r>
      <w:r w:rsidR="00146AE2">
        <w:t>ly</w:t>
      </w:r>
      <w:r>
        <w:t xml:space="preserve"> configured to facilitate the inclusion of different types of consumers </w:t>
      </w:r>
      <w:r w:rsidR="00146AE2">
        <w:t>like</w:t>
      </w:r>
      <w:r>
        <w:t xml:space="preserve"> business, to grow the ecosystem, whil</w:t>
      </w:r>
      <w:r w:rsidR="00146AE2">
        <w:t>e</w:t>
      </w:r>
      <w:r>
        <w:t xml:space="preserve"> ensuring the broader consumer voice isn’t lost. Thought also needs to be given to how the CDR will operate </w:t>
      </w:r>
      <w:r w:rsidR="00D342B9">
        <w:t xml:space="preserve">across sectors </w:t>
      </w:r>
      <w:r w:rsidR="00CF1B9E">
        <w:t>and</w:t>
      </w:r>
      <w:r>
        <w:t xml:space="preserve"> </w:t>
      </w:r>
      <w:r w:rsidR="00CF1B9E">
        <w:t>which</w:t>
      </w:r>
      <w:r>
        <w:t xml:space="preserve"> components are </w:t>
      </w:r>
      <w:r w:rsidR="00CF1B9E">
        <w:t>needed</w:t>
      </w:r>
      <w:r>
        <w:t xml:space="preserve"> to allow interoperability not just between sectors, but also internationally. Finally</w:t>
      </w:r>
      <w:r w:rsidR="00CF1B9E">
        <w:t>,</w:t>
      </w:r>
      <w:r>
        <w:t xml:space="preserve"> the CDR needs </w:t>
      </w:r>
      <w:r w:rsidR="0051332B">
        <w:t xml:space="preserve">to </w:t>
      </w:r>
      <w:r w:rsidR="00CF1B9E">
        <w:t>keep</w:t>
      </w:r>
      <w:r>
        <w:t xml:space="preserve"> a finger on the pulse of other regulatory frameworks and initiatives within the digital economy, looking </w:t>
      </w:r>
      <w:r w:rsidR="00F871F5">
        <w:t>for alignment</w:t>
      </w:r>
      <w:r>
        <w:t xml:space="preserve"> where possible and lever</w:t>
      </w:r>
      <w:r w:rsidR="00300356">
        <w:t>ag</w:t>
      </w:r>
      <w:r w:rsidR="00CF1B9E">
        <w:t>ing</w:t>
      </w:r>
      <w:r>
        <w:t xml:space="preserve"> existing infrastructure</w:t>
      </w:r>
      <w:r w:rsidR="00CF1B9E">
        <w:t>.</w:t>
      </w:r>
      <w:r>
        <w:t xml:space="preserve"> </w:t>
      </w:r>
    </w:p>
    <w:p w14:paraId="57499AD8" w14:textId="767B129D" w:rsidR="006D2F1A" w:rsidRDefault="00265FE3" w:rsidP="00591D78">
      <w:pPr>
        <w:pStyle w:val="Heading1"/>
      </w:pPr>
      <w:r>
        <w:br w:type="page"/>
      </w:r>
      <w:bookmarkStart w:id="139" w:name="_Hlk106803897"/>
      <w:bookmarkStart w:id="140" w:name="_Toc106286102"/>
      <w:bookmarkStart w:id="141" w:name="_Toc106358413"/>
      <w:bookmarkStart w:id="142" w:name="_Toc108797515"/>
      <w:bookmarkStart w:id="143" w:name="_Toc110602899"/>
      <w:r>
        <w:lastRenderedPageBreak/>
        <w:t xml:space="preserve">Part Four: </w:t>
      </w:r>
      <w:r w:rsidR="009B650F">
        <w:t xml:space="preserve">Other </w:t>
      </w:r>
      <w:r w:rsidR="00383DC2">
        <w:t>issues</w:t>
      </w:r>
      <w:r w:rsidR="009B650F">
        <w:t xml:space="preserve"> raised in submissions</w:t>
      </w:r>
      <w:bookmarkStart w:id="144" w:name="_Toc106286103"/>
      <w:bookmarkStart w:id="145" w:name="_Toc106358414"/>
      <w:bookmarkEnd w:id="139"/>
      <w:bookmarkEnd w:id="140"/>
      <w:bookmarkEnd w:id="141"/>
      <w:bookmarkEnd w:id="142"/>
      <w:bookmarkEnd w:id="143"/>
    </w:p>
    <w:p w14:paraId="1B76A3DC" w14:textId="2B8AA02A" w:rsidR="00F27D4D" w:rsidRPr="006027C7" w:rsidRDefault="00F27D4D" w:rsidP="00C1168A">
      <w:pPr>
        <w:spacing w:after="240"/>
      </w:pPr>
      <w:r w:rsidRPr="006D2F1A">
        <w:t xml:space="preserve">As detailed throughout this Report, </w:t>
      </w:r>
      <w:r w:rsidR="006D2F1A">
        <w:t xml:space="preserve">the Review </w:t>
      </w:r>
      <w:r w:rsidR="0002713B">
        <w:t xml:space="preserve">has </w:t>
      </w:r>
      <w:r w:rsidR="000910E9">
        <w:t>responded to</w:t>
      </w:r>
      <w:r w:rsidRPr="006D2F1A">
        <w:t xml:space="preserve"> </w:t>
      </w:r>
      <w:r w:rsidR="00D548EC">
        <w:t>stakeholder</w:t>
      </w:r>
      <w:r w:rsidR="006D2F1A">
        <w:t xml:space="preserve"> </w:t>
      </w:r>
      <w:r w:rsidR="006D2F1A" w:rsidRPr="006D2F1A">
        <w:t>observations</w:t>
      </w:r>
      <w:r w:rsidRPr="006D2F1A">
        <w:t xml:space="preserve"> and </w:t>
      </w:r>
      <w:r w:rsidR="006D2F1A" w:rsidRPr="006D2F1A">
        <w:t>suggestions</w:t>
      </w:r>
      <w:r w:rsidRPr="006D2F1A">
        <w:t xml:space="preserve"> that went to the functioning</w:t>
      </w:r>
      <w:r w:rsidRPr="000910E9">
        <w:t xml:space="preserve"> of the overall CDR </w:t>
      </w:r>
      <w:r w:rsidRPr="006D2F1A">
        <w:t xml:space="preserve">framework and its </w:t>
      </w:r>
      <w:r w:rsidR="00CF1B9E">
        <w:t>continuing</w:t>
      </w:r>
      <w:r w:rsidRPr="006D2F1A">
        <w:t xml:space="preserve"> implementation.</w:t>
      </w:r>
      <w:r w:rsidRPr="00683BD5">
        <w:t xml:space="preserve"> </w:t>
      </w:r>
      <w:r w:rsidRPr="006D2F1A">
        <w:t>T</w:t>
      </w:r>
      <w:r w:rsidRPr="00683BD5">
        <w:t>he Review</w:t>
      </w:r>
      <w:r w:rsidRPr="006D2F1A">
        <w:t xml:space="preserve"> also </w:t>
      </w:r>
      <w:r w:rsidR="00250DD9" w:rsidRPr="00E506C0">
        <w:t xml:space="preserve">acknowledges </w:t>
      </w:r>
      <w:r w:rsidR="00C70889" w:rsidRPr="006027C7">
        <w:t>additional</w:t>
      </w:r>
      <w:r w:rsidR="006D2F1A" w:rsidRPr="006027C7">
        <w:t xml:space="preserve"> suggestions from stakeholders that could be considered in the future development of the scheme</w:t>
      </w:r>
      <w:r w:rsidR="00C70889" w:rsidRPr="006027C7">
        <w:t xml:space="preserve"> (see table 4.1)</w:t>
      </w:r>
      <w:r w:rsidR="006D2F1A" w:rsidRPr="006027C7">
        <w:t xml:space="preserve">. </w:t>
      </w:r>
      <w:r w:rsidR="00250DD9" w:rsidRPr="006027C7">
        <w:t xml:space="preserve">Any further consideration of </w:t>
      </w:r>
      <w:r w:rsidR="006D2F1A" w:rsidRPr="006027C7">
        <w:t>the issues</w:t>
      </w:r>
      <w:r w:rsidR="00A60426" w:rsidRPr="006027C7" w:rsidDel="00383DC2">
        <w:t xml:space="preserve"> </w:t>
      </w:r>
      <w:r w:rsidR="000910E9" w:rsidRPr="006027C7">
        <w:t>identified</w:t>
      </w:r>
      <w:r w:rsidR="006D2F1A" w:rsidRPr="006027C7">
        <w:t xml:space="preserve"> in this section </w:t>
      </w:r>
      <w:r w:rsidR="00250DD9" w:rsidRPr="006027C7">
        <w:t>should be undertaken</w:t>
      </w:r>
      <w:r w:rsidR="006D2F1A" w:rsidRPr="006027C7">
        <w:t xml:space="preserve"> in the context of </w:t>
      </w:r>
      <w:r w:rsidR="00665708" w:rsidRPr="006027C7">
        <w:t xml:space="preserve">ongoing </w:t>
      </w:r>
      <w:r w:rsidR="006D2F1A" w:rsidRPr="006027C7">
        <w:t xml:space="preserve">future legislative, rule-making and standard-setting </w:t>
      </w:r>
      <w:r w:rsidR="00665708" w:rsidRPr="006027C7">
        <w:t>updates</w:t>
      </w:r>
      <w:r w:rsidR="000910E9" w:rsidRPr="006027C7">
        <w:t>, with a view to ensur</w:t>
      </w:r>
      <w:r w:rsidR="00CF1B9E" w:rsidRPr="006027C7">
        <w:t>ing</w:t>
      </w:r>
      <w:r w:rsidR="000910E9" w:rsidRPr="006027C7">
        <w:t xml:space="preserve"> that the framework remains fit-for-purpose into the future. </w:t>
      </w:r>
      <w:r w:rsidR="001112CE" w:rsidRPr="006027C7">
        <w:t xml:space="preserve">Some of these issues are relatively </w:t>
      </w:r>
      <w:r w:rsidR="00E25472" w:rsidRPr="006027C7">
        <w:t>technical</w:t>
      </w:r>
      <w:r w:rsidR="001112CE" w:rsidRPr="006027C7">
        <w:t xml:space="preserve"> in nature</w:t>
      </w:r>
      <w:r w:rsidR="00587CCE" w:rsidRPr="006027C7">
        <w:t>,</w:t>
      </w:r>
      <w:r w:rsidR="001112CE" w:rsidRPr="006027C7">
        <w:t xml:space="preserve"> others extend beyond the scope of this review </w:t>
      </w:r>
      <w:r w:rsidR="00587CCE" w:rsidRPr="006027C7">
        <w:t xml:space="preserve">or require </w:t>
      </w:r>
      <w:r w:rsidR="00707E02" w:rsidRPr="006027C7">
        <w:t>further consideration</w:t>
      </w:r>
      <w:r w:rsidR="001976DC" w:rsidRPr="006027C7">
        <w:t xml:space="preserve"> </w:t>
      </w:r>
      <w:r w:rsidR="001112CE" w:rsidRPr="006027C7">
        <w:t xml:space="preserve">in the context of </w:t>
      </w:r>
      <w:r w:rsidR="00587CCE" w:rsidRPr="006027C7">
        <w:t>an</w:t>
      </w:r>
      <w:r w:rsidR="001112CE" w:rsidRPr="006027C7">
        <w:t xml:space="preserve"> evolving CDR system. </w:t>
      </w:r>
    </w:p>
    <w:p w14:paraId="11521F39" w14:textId="3A2F0DC1" w:rsidR="00050AC1" w:rsidRPr="006027C7" w:rsidRDefault="00050AC1" w:rsidP="00A96FB0">
      <w:pPr>
        <w:rPr>
          <w:i/>
          <w:iCs/>
          <w:sz w:val="18"/>
          <w:szCs w:val="16"/>
        </w:rPr>
      </w:pPr>
      <w:r w:rsidRPr="006027C7">
        <w:rPr>
          <w:i/>
          <w:iCs/>
          <w:sz w:val="18"/>
          <w:szCs w:val="16"/>
        </w:rPr>
        <w:t>Table 4.1 –</w:t>
      </w:r>
      <w:r w:rsidR="002C7A64" w:rsidRPr="006027C7">
        <w:rPr>
          <w:i/>
          <w:iCs/>
          <w:sz w:val="18"/>
          <w:szCs w:val="16"/>
        </w:rPr>
        <w:t xml:space="preserve"> </w:t>
      </w:r>
      <w:r w:rsidR="00884136" w:rsidRPr="006027C7">
        <w:rPr>
          <w:i/>
          <w:iCs/>
          <w:sz w:val="18"/>
          <w:szCs w:val="16"/>
        </w:rPr>
        <w:t xml:space="preserve">Other </w:t>
      </w:r>
      <w:r w:rsidR="00383DC2" w:rsidRPr="006027C7">
        <w:rPr>
          <w:i/>
          <w:iCs/>
          <w:sz w:val="18"/>
          <w:szCs w:val="16"/>
        </w:rPr>
        <w:t>issues</w:t>
      </w:r>
      <w:r w:rsidR="00884136" w:rsidRPr="006027C7">
        <w:rPr>
          <w:i/>
          <w:iCs/>
          <w:sz w:val="18"/>
          <w:szCs w:val="16"/>
        </w:rPr>
        <w:t xml:space="preserve"> raised in submissions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7106"/>
      </w:tblGrid>
      <w:tr w:rsidR="003B6FC0" w:rsidRPr="006027C7" w14:paraId="65222534" w14:textId="77777777" w:rsidTr="00452B8F">
        <w:tc>
          <w:tcPr>
            <w:tcW w:w="5000" w:type="pct"/>
            <w:gridSpan w:val="2"/>
            <w:shd w:val="clear" w:color="auto" w:fill="E5E5E5"/>
          </w:tcPr>
          <w:bookmarkEnd w:id="144"/>
          <w:bookmarkEnd w:id="145"/>
          <w:p w14:paraId="0199DE72" w14:textId="13F49B21" w:rsidR="003B6FC0" w:rsidRPr="006027C7" w:rsidRDefault="00E26992" w:rsidP="00C1168A">
            <w:pPr>
              <w:pStyle w:val="TableColumnHeadingLeft"/>
              <w:spacing w:before="80"/>
              <w:rPr>
                <w:b w:val="0"/>
              </w:rPr>
            </w:pPr>
            <w:r w:rsidRPr="006027C7">
              <w:t>I</w:t>
            </w:r>
            <w:r w:rsidR="00884136" w:rsidRPr="006027C7">
              <w:t xml:space="preserve">ssues </w:t>
            </w:r>
            <w:r w:rsidR="007F43EF" w:rsidRPr="006027C7">
              <w:t xml:space="preserve">that could be adopted in </w:t>
            </w:r>
            <w:r w:rsidRPr="006027C7">
              <w:t xml:space="preserve">the context of </w:t>
            </w:r>
            <w:r w:rsidR="007F43EF" w:rsidRPr="006027C7">
              <w:t xml:space="preserve">future </w:t>
            </w:r>
            <w:r w:rsidRPr="006027C7">
              <w:t>CDR updates</w:t>
            </w:r>
          </w:p>
        </w:tc>
      </w:tr>
      <w:tr w:rsidR="00884136" w:rsidRPr="008B5F7A" w14:paraId="5CE92C99" w14:textId="77777777" w:rsidTr="00911CD7">
        <w:tc>
          <w:tcPr>
            <w:tcW w:w="1079" w:type="pct"/>
          </w:tcPr>
          <w:p w14:paraId="6C55579D" w14:textId="442E8CB1" w:rsidR="00884136" w:rsidRPr="006027C7" w:rsidRDefault="00884136" w:rsidP="00C1168A">
            <w:pPr>
              <w:pStyle w:val="TableColumnHeadingLeft"/>
            </w:pPr>
            <w:r w:rsidRPr="006027C7">
              <w:t>Aligning consent processes across the payments and digital ecosystem</w:t>
            </w:r>
          </w:p>
        </w:tc>
        <w:tc>
          <w:tcPr>
            <w:tcW w:w="3921" w:type="pct"/>
          </w:tcPr>
          <w:p w14:paraId="210F241D" w14:textId="6AB499E7" w:rsidR="00884136" w:rsidRPr="008B5F7A" w:rsidRDefault="00884136" w:rsidP="00C1168A">
            <w:pPr>
              <w:pStyle w:val="TableTextLeft"/>
            </w:pPr>
            <w:r w:rsidRPr="006027C7">
              <w:t>Section 3.</w:t>
            </w:r>
            <w:r w:rsidR="004434B2" w:rsidRPr="006027C7">
              <w:t>6</w:t>
            </w:r>
            <w:r w:rsidRPr="006027C7">
              <w:t xml:space="preserve"> of the Report </w:t>
            </w:r>
            <w:r w:rsidR="0021686A" w:rsidRPr="006027C7">
              <w:t>finds</w:t>
            </w:r>
            <w:r w:rsidRPr="006027C7">
              <w:t xml:space="preserve"> that the CDR should look at opportunities to align and interface with PayTo and other payment initiatives to deliver action initiation. In addition, and to achieve this, consent flows across payments and CDR need further separate consideration. Multiple submissions suggested that work needs to be done to align the consent flows under the CDR with those for PayTo where possible. In particular, the Australian Payments Network recommended that a review of r</w:t>
            </w:r>
            <w:r w:rsidR="00F45892" w:rsidRPr="006027C7">
              <w:t xml:space="preserve">ules </w:t>
            </w:r>
            <w:r w:rsidRPr="006027C7">
              <w:t>4.11(1)(c), 4.13(1), 4.22 and 4.2</w:t>
            </w:r>
            <w:r w:rsidR="007E3942" w:rsidRPr="006027C7">
              <w:t>5</w:t>
            </w:r>
            <w:r w:rsidRPr="006027C7">
              <w:t xml:space="preserve">(1) will be necessary to facilitate </w:t>
            </w:r>
            <w:r w:rsidR="0051332B" w:rsidRPr="006027C7">
              <w:t>this</w:t>
            </w:r>
            <w:r w:rsidRPr="006027C7">
              <w:t>. The Review encourages further assessment of the necessary rule changes once the primary legislation has been amended to enable action initiation, which go to Finding 3.</w:t>
            </w:r>
            <w:r w:rsidR="00746307" w:rsidRPr="006027C7">
              <w:t>6</w:t>
            </w:r>
            <w:r w:rsidRPr="006027C7">
              <w:t>, that consideration could be given to aligning the CDR and PayTo consent requirements where appropriate.</w:t>
            </w:r>
          </w:p>
        </w:tc>
      </w:tr>
      <w:tr w:rsidR="003B6FC0" w:rsidRPr="008B5F7A" w14:paraId="4B178C32" w14:textId="77777777" w:rsidTr="00911CD7">
        <w:tc>
          <w:tcPr>
            <w:tcW w:w="1079" w:type="pct"/>
          </w:tcPr>
          <w:p w14:paraId="69FA2F6E" w14:textId="6B904DFA" w:rsidR="003B6FC0" w:rsidRPr="00A96FB0" w:rsidRDefault="003B6FC0" w:rsidP="00C1168A">
            <w:pPr>
              <w:pStyle w:val="TableColumnHeadingLeft"/>
            </w:pPr>
            <w:r w:rsidRPr="00A96FB0">
              <w:t>Better defining sectors</w:t>
            </w:r>
          </w:p>
        </w:tc>
        <w:tc>
          <w:tcPr>
            <w:tcW w:w="3921" w:type="pct"/>
          </w:tcPr>
          <w:p w14:paraId="3DFA6C3F" w14:textId="2AA7C1E6" w:rsidR="003B6FC0" w:rsidRPr="008B5F7A" w:rsidRDefault="003B6FC0" w:rsidP="00C1168A">
            <w:pPr>
              <w:pStyle w:val="TableTextLeft"/>
            </w:pPr>
            <w:r w:rsidRPr="008B5F7A">
              <w:t xml:space="preserve">Submissions from the Australian Payments Network and Australian Energy Council noted that the language of the objects in s56AA(a) </w:t>
            </w:r>
            <w:r w:rsidR="00B37117">
              <w:t xml:space="preserve">in the Act </w:t>
            </w:r>
            <w:r w:rsidRPr="008B5F7A">
              <w:t xml:space="preserve">could be sharpened. Notably, the objects refer to </w:t>
            </w:r>
            <w:r w:rsidRPr="008B5F7A">
              <w:rPr>
                <w:i/>
                <w:iCs/>
              </w:rPr>
              <w:t>certain</w:t>
            </w:r>
            <w:r w:rsidRPr="008B5F7A">
              <w:t xml:space="preserve"> sectors being covered by the CDR, where it could instead refer to </w:t>
            </w:r>
            <w:r w:rsidRPr="008B5F7A">
              <w:rPr>
                <w:i/>
                <w:iCs/>
              </w:rPr>
              <w:t>designated</w:t>
            </w:r>
            <w:r w:rsidRPr="008B5F7A">
              <w:t xml:space="preserve"> sectors. The Review supports such a change to improve focus in the language and meaning of the part’s application to designated sectors. </w:t>
            </w:r>
          </w:p>
        </w:tc>
      </w:tr>
      <w:tr w:rsidR="00884136" w:rsidRPr="008B5F7A" w14:paraId="39628022" w14:textId="77777777" w:rsidTr="00911CD7">
        <w:tc>
          <w:tcPr>
            <w:tcW w:w="1079" w:type="pct"/>
          </w:tcPr>
          <w:p w14:paraId="557E4A3A" w14:textId="2222FF15" w:rsidR="00884136" w:rsidRPr="00A96FB0" w:rsidRDefault="00884136" w:rsidP="00C1168A">
            <w:pPr>
              <w:pStyle w:val="TableColumnHeadingLeft"/>
            </w:pPr>
            <w:r w:rsidRPr="00A96FB0">
              <w:t>Clarifying ‘accredited persons’</w:t>
            </w:r>
          </w:p>
        </w:tc>
        <w:tc>
          <w:tcPr>
            <w:tcW w:w="3921" w:type="pct"/>
          </w:tcPr>
          <w:p w14:paraId="68F27AEB" w14:textId="22FB5301" w:rsidR="00884136" w:rsidRDefault="00884136" w:rsidP="00C1168A">
            <w:pPr>
              <w:pStyle w:val="TableTextLeft"/>
            </w:pPr>
            <w:r w:rsidRPr="008B5F7A">
              <w:t xml:space="preserve">The Financial Rights Legal Centre and Rajbhandari and Burden noted that s56AA(a)(ii) refers to accredited persons as the only ones able to access data through the CDR. Under existing data sharing arrangements, data can be shared with unaccredited persons such as Trusted Advisers or CDR Representatives. To reflect these arrangements, s56AA(a)(ii) </w:t>
            </w:r>
            <w:r w:rsidR="00B37117">
              <w:t xml:space="preserve">in the Act </w:t>
            </w:r>
            <w:r w:rsidRPr="008B5F7A">
              <w:t>may need to be clarified.</w:t>
            </w:r>
          </w:p>
        </w:tc>
      </w:tr>
    </w:tbl>
    <w:p w14:paraId="13D25FDD" w14:textId="77777777" w:rsidR="00122DE0" w:rsidRDefault="00122DE0">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7106"/>
      </w:tblGrid>
      <w:tr w:rsidR="00884136" w:rsidRPr="006027C7" w14:paraId="37008894" w14:textId="77777777" w:rsidTr="00911CD7">
        <w:tc>
          <w:tcPr>
            <w:tcW w:w="1079" w:type="pct"/>
          </w:tcPr>
          <w:p w14:paraId="572A4DD4" w14:textId="21F374BE" w:rsidR="00884136" w:rsidRPr="006027C7" w:rsidRDefault="00884136" w:rsidP="00C1168A">
            <w:pPr>
              <w:pStyle w:val="TableColumnHeadingLeft"/>
            </w:pPr>
            <w:r w:rsidRPr="006027C7">
              <w:lastRenderedPageBreak/>
              <w:t>Enabling direct to consumer data sharing</w:t>
            </w:r>
          </w:p>
        </w:tc>
        <w:tc>
          <w:tcPr>
            <w:tcW w:w="3921" w:type="pct"/>
          </w:tcPr>
          <w:p w14:paraId="2B7ABFA4" w14:textId="77777777" w:rsidR="00884136" w:rsidRPr="006027C7" w:rsidRDefault="00884136" w:rsidP="00C1168A">
            <w:pPr>
              <w:pStyle w:val="TableTextLeft"/>
            </w:pPr>
            <w:r w:rsidRPr="006027C7">
              <w:t>The legislative framework is broadly suitable to support direct-to-consumer data sharing. Part 3 of the CDR rules outlines requirements for data holders and direct to consumer data sharing.</w:t>
            </w:r>
          </w:p>
          <w:p w14:paraId="1F16D13E" w14:textId="5AFD38C8" w:rsidR="00884136" w:rsidRPr="006027C7" w:rsidRDefault="00884136" w:rsidP="00C1168A">
            <w:pPr>
              <w:pStyle w:val="TableTextLeft"/>
            </w:pPr>
            <w:r w:rsidRPr="006027C7">
              <w:t>Whether it is timely to ‘switch on’ direct-to-consumer data sharing is a separate matter, and the Review has found that it is not timely to do so (Finding 1.3). Consumer data sharing at this stage would not offer significant benefits to consumers and poses apparent risks. These risks may change as the CDR system matures, and the nature of consumers’ engagement with data changes, at which point safely enabling direct-to-consumer data sharing may be worthwhile.</w:t>
            </w:r>
          </w:p>
          <w:p w14:paraId="4966091F" w14:textId="77777777" w:rsidR="00884136" w:rsidRPr="006027C7" w:rsidRDefault="00884136" w:rsidP="00C1168A">
            <w:pPr>
              <w:pStyle w:val="TableTextLeft"/>
            </w:pPr>
            <w:r w:rsidRPr="006027C7">
              <w:t xml:space="preserve">When conditions have reached a point that risks around direct-to-consumer data sharing have decreased on balance, the functionality and obligations can be enabled through a rule change to the relevant schedules. </w:t>
            </w:r>
          </w:p>
          <w:p w14:paraId="6A78BCAE" w14:textId="77777777" w:rsidR="00884136" w:rsidRPr="006027C7" w:rsidRDefault="00884136" w:rsidP="00C1168A">
            <w:pPr>
              <w:pStyle w:val="TableTextLeft"/>
            </w:pPr>
            <w:r w:rsidRPr="006027C7">
              <w:t>Data holders are not restricted from enabling direct-to-consumer data sharing of their own volition. The CDR supports data holders making that available without waiting for rules requiring them to share it. This would be the case for the banking sector and any data holders electing to disclose ahead of being required to (Rules Schedule 3, Clause 6.5) according to the commencement table (Schedule 3, Clause 6.6 – which is silent on Part 3 obligations – effectively leaving them switched off). There are caveats to this in that there is a requirement to adhere to CDR standards in making this disclosure – standards which don’t currently exist – and for it to be provided in a human-readable form. Any attempts to develop a CDR-compliant data sharing mechanism ‘through CDR’ in this context will potentially need to be revised if these settings change, and banks already often have existing methods for sharing data with customers outside of CDR.</w:t>
            </w:r>
          </w:p>
          <w:p w14:paraId="0CF891DD" w14:textId="34EB57EC" w:rsidR="00884136" w:rsidRPr="006027C7" w:rsidRDefault="00884136" w:rsidP="00C1168A">
            <w:pPr>
              <w:pStyle w:val="TableTextLeft"/>
            </w:pPr>
            <w:r w:rsidRPr="006027C7">
              <w:t>In the energy sector, obligations around Part 3 of the rules are explicitly referenced as not applying (Schedule 4, Clause 8.5), so any disclosures made by data holders to requests from consumers would be outside the CDR, unless that obligation is revised in rules updates.</w:t>
            </w:r>
          </w:p>
        </w:tc>
      </w:tr>
    </w:tbl>
    <w:p w14:paraId="01A0B2F2" w14:textId="77777777" w:rsidR="00122DE0" w:rsidRPr="006027C7" w:rsidRDefault="00122DE0">
      <w:r w:rsidRPr="006027C7">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7106"/>
      </w:tblGrid>
      <w:tr w:rsidR="00884136" w:rsidRPr="006027C7" w14:paraId="7C4E2025" w14:textId="77777777" w:rsidTr="00911CD7">
        <w:tc>
          <w:tcPr>
            <w:tcW w:w="1079" w:type="pct"/>
          </w:tcPr>
          <w:p w14:paraId="2456647A" w14:textId="6316ED76" w:rsidR="00884136" w:rsidRPr="006027C7" w:rsidRDefault="00884136" w:rsidP="00C1168A">
            <w:pPr>
              <w:pStyle w:val="TableColumnHeadingLeft"/>
            </w:pPr>
            <w:r w:rsidRPr="006027C7">
              <w:lastRenderedPageBreak/>
              <w:t>Expanding CDR rules to support the use of CDR data in credit assessments</w:t>
            </w:r>
          </w:p>
        </w:tc>
        <w:tc>
          <w:tcPr>
            <w:tcW w:w="3921" w:type="pct"/>
          </w:tcPr>
          <w:p w14:paraId="21595CE9" w14:textId="6D3C4572" w:rsidR="00884136" w:rsidRPr="006027C7" w:rsidRDefault="00884136" w:rsidP="00C1168A">
            <w:pPr>
              <w:pStyle w:val="TableTextLeft"/>
            </w:pPr>
            <w:r w:rsidRPr="006027C7">
              <w:t>The Australian Banking Association, Australian Retail Credit Association and the Commonwealth Bank of Australia suggested amending Clause 7.2 of Schedule 3 of the rules to expand the condition of data sharing to include circumstances where a consumer applies for and/or acquires a product. The current rules limit the use of CDR data for the purposes of credit decisions by allowing the data to be retained only if the consumer acquires this product, in the circumstance a product is not acquired the data must be deleted. This suggestion could enable further use cases to be developed in credit assessments, potentially allowing consumers to more easily switch providers or access products.</w:t>
            </w:r>
          </w:p>
        </w:tc>
      </w:tr>
      <w:tr w:rsidR="00884136" w:rsidRPr="006027C7" w14:paraId="04C5D52E" w14:textId="77777777" w:rsidTr="00911CD7">
        <w:tc>
          <w:tcPr>
            <w:tcW w:w="1079" w:type="pct"/>
          </w:tcPr>
          <w:p w14:paraId="1B83D647" w14:textId="602C0B25" w:rsidR="00884136" w:rsidRPr="006027C7" w:rsidRDefault="00884136" w:rsidP="00C1168A">
            <w:pPr>
              <w:pStyle w:val="TableColumnHeadingLeft"/>
            </w:pPr>
            <w:r w:rsidRPr="006027C7">
              <w:t>Rules changes to improve user experience, potentially through allowing bundling of consents</w:t>
            </w:r>
          </w:p>
        </w:tc>
        <w:tc>
          <w:tcPr>
            <w:tcW w:w="3921" w:type="pct"/>
          </w:tcPr>
          <w:p w14:paraId="2BC0212F" w14:textId="46C67BF6" w:rsidR="00884136" w:rsidRPr="006027C7" w:rsidRDefault="00884136" w:rsidP="00C1168A">
            <w:pPr>
              <w:pStyle w:val="TableTextLeft"/>
            </w:pPr>
            <w:r w:rsidRPr="006027C7">
              <w:t>The Australian Payments Network submission suggested a rules change was necessary to support payment initiation and consent bundling. Notably, rule 4.10(b)(ii) explicitly prohibits the bundling of consents with other directions, permissions, consents or agreements. Further attention could be given to allowing consent bundling in certain circumstances with a view to where the benefits of a simplified consumer interface can outweigh the potential risks, noting this is only part solution as mentioned in section 2.</w:t>
            </w:r>
            <w:r w:rsidR="003341E6" w:rsidRPr="006027C7">
              <w:t>7</w:t>
            </w:r>
            <w:r w:rsidRPr="006027C7">
              <w:t>. If such an assessment concludes in favour of consent bundling, then r4.10(b)(ii) may need to be amended, noting that r4.9(d) suggests that consents are required to be ‘specific to a purpose’ which, as pointed out by the Australian Payments Network, may be sufficient to protect against inappropriate use of bundled consents. Such amendments should be considered in light of Finding 2.2.</w:t>
            </w:r>
          </w:p>
        </w:tc>
      </w:tr>
    </w:tbl>
    <w:p w14:paraId="5AD9CF86" w14:textId="77777777" w:rsidR="00FE24CF" w:rsidRPr="006027C7" w:rsidRDefault="00FE24CF" w:rsidP="00C1168A">
      <w:pPr>
        <w:pStyle w:val="TableTextLeft"/>
        <w:rPr>
          <w:sz w:val="4"/>
          <w:szCs w:val="4"/>
        </w:rPr>
      </w:pPr>
    </w:p>
    <w:p w14:paraId="35BB0EBF" w14:textId="77777777" w:rsidR="00122DE0" w:rsidRPr="006027C7" w:rsidRDefault="00122DE0">
      <w:r w:rsidRPr="006027C7">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7083"/>
      </w:tblGrid>
      <w:tr w:rsidR="00816CE6" w:rsidRPr="006027C7" w14:paraId="49F7D073" w14:textId="77777777" w:rsidTr="006D4EC2">
        <w:tc>
          <w:tcPr>
            <w:tcW w:w="5000" w:type="pct"/>
            <w:gridSpan w:val="2"/>
            <w:shd w:val="clear" w:color="auto" w:fill="E5E5E5"/>
          </w:tcPr>
          <w:p w14:paraId="10F60A5A" w14:textId="6A7215CB" w:rsidR="00816CE6" w:rsidRPr="006027C7" w:rsidRDefault="00816CE6" w:rsidP="00C1168A">
            <w:pPr>
              <w:pStyle w:val="TableColumnHeadingLeft"/>
              <w:spacing w:before="80"/>
            </w:pPr>
            <w:r w:rsidRPr="006027C7" w:rsidDel="00182752">
              <w:lastRenderedPageBreak/>
              <w:t>Other</w:t>
            </w:r>
            <w:r w:rsidRPr="006027C7">
              <w:t xml:space="preserve"> </w:t>
            </w:r>
            <w:r w:rsidRPr="006027C7" w:rsidDel="00A60426">
              <w:t xml:space="preserve">issues </w:t>
            </w:r>
            <w:r w:rsidRPr="006027C7">
              <w:t>raised in submissions</w:t>
            </w:r>
          </w:p>
        </w:tc>
      </w:tr>
      <w:tr w:rsidR="00816CE6" w:rsidRPr="006027C7" w:rsidDel="0016637F" w14:paraId="629F81CB" w14:textId="77777777" w:rsidTr="006D4EC2">
        <w:tc>
          <w:tcPr>
            <w:tcW w:w="1092" w:type="pct"/>
            <w:shd w:val="clear" w:color="auto" w:fill="auto"/>
          </w:tcPr>
          <w:p w14:paraId="430496A1" w14:textId="77777777" w:rsidR="00816CE6" w:rsidRPr="006027C7" w:rsidDel="0016637F" w:rsidRDefault="00816CE6" w:rsidP="00C1168A">
            <w:pPr>
              <w:pStyle w:val="TableColumnHeadingLeft"/>
              <w:rPr>
                <w:rFonts w:eastAsiaTheme="majorEastAsia"/>
              </w:rPr>
            </w:pPr>
            <w:r w:rsidRPr="006027C7">
              <w:rPr>
                <w:rFonts w:eastAsiaTheme="majorEastAsia"/>
              </w:rPr>
              <w:t>Adopting a stronger commitment to expanding CDR based on cost-benefit analysis</w:t>
            </w:r>
          </w:p>
        </w:tc>
        <w:tc>
          <w:tcPr>
            <w:tcW w:w="3908" w:type="pct"/>
            <w:shd w:val="clear" w:color="auto" w:fill="auto"/>
          </w:tcPr>
          <w:p w14:paraId="221389F0" w14:textId="65DF0F01" w:rsidR="00816CE6" w:rsidRPr="006027C7" w:rsidDel="0016637F" w:rsidRDefault="00816CE6" w:rsidP="00C1168A">
            <w:pPr>
              <w:pStyle w:val="TableTextLeft"/>
            </w:pPr>
            <w:r w:rsidRPr="006027C7">
              <w:t>Submissions to the Review suggested that the Government should adopt a stronger cost-benefit approach to decision making in the CDR statutory framework. This includes framework features such as designation, privacy and security requirements in producing the Regulatory Impact Statements (RIS), and accreditation requirements. Submissions from the Australian Banking Association¸ Australian Energy Council, Consumer Policy Research Centre, Financial Rights Legal Centre and Telstra noted a need to undertake cost benefit analys</w:t>
            </w:r>
            <w:r w:rsidR="005C6C92" w:rsidRPr="006027C7">
              <w:t>e</w:t>
            </w:r>
            <w:r w:rsidRPr="006027C7">
              <w:t>s at various stages to inform decision making. The Review recognises the importance of appropriate cost-benefit analyses, but also notes that a careful balance is required so as not to duplicate existing processes, introduce further barriers and complexity to the system, or add further burden to participants.</w:t>
            </w:r>
          </w:p>
        </w:tc>
      </w:tr>
      <w:tr w:rsidR="00816CE6" w:rsidRPr="00B15C22" w:rsidDel="0016637F" w14:paraId="412E6CD2" w14:textId="77777777" w:rsidTr="006D4EC2">
        <w:tc>
          <w:tcPr>
            <w:tcW w:w="1092" w:type="pct"/>
            <w:shd w:val="clear" w:color="auto" w:fill="auto"/>
          </w:tcPr>
          <w:p w14:paraId="1C433F23" w14:textId="77777777" w:rsidR="00816CE6" w:rsidRPr="006027C7" w:rsidDel="0016637F" w:rsidRDefault="00816CE6" w:rsidP="00C1168A">
            <w:pPr>
              <w:pStyle w:val="TableColumnHeadingLeft"/>
            </w:pPr>
            <w:r w:rsidRPr="006027C7">
              <w:rPr>
                <w:rFonts w:eastAsiaTheme="majorEastAsia"/>
              </w:rPr>
              <w:t>Increasing consideration for a wider range of consumers, particularly vulnerable consumers</w:t>
            </w:r>
          </w:p>
        </w:tc>
        <w:tc>
          <w:tcPr>
            <w:tcW w:w="3908" w:type="pct"/>
            <w:shd w:val="clear" w:color="auto" w:fill="auto"/>
          </w:tcPr>
          <w:p w14:paraId="5AD9D4E4" w14:textId="77777777" w:rsidR="00816CE6" w:rsidRPr="006027C7" w:rsidRDefault="00816CE6" w:rsidP="00C1168A">
            <w:pPr>
              <w:pStyle w:val="TableTextLeft"/>
            </w:pPr>
            <w:r w:rsidRPr="006027C7">
              <w:t>As noted in section 3.7, the elevation of consumer interests should be considered to ensure the CDR continues to deliver its objectives. These considerations should be made across the various elements of system design. The Future Directions Inquiry similarly has made recommendations to support the participation and protection of vulnerable consumers in the CDR (particularly through Chapter 7).</w:t>
            </w:r>
          </w:p>
          <w:p w14:paraId="71C90AFD" w14:textId="6A76BE2E" w:rsidR="00816CE6" w:rsidRPr="006027C7" w:rsidRDefault="00816CE6" w:rsidP="00C1168A">
            <w:pPr>
              <w:pStyle w:val="TableTextLeft"/>
            </w:pPr>
            <w:r w:rsidRPr="006027C7">
              <w:t>In a submission from the Financial Rights Legal Centre, it was suggested that some CX testing to date did not include a statistically significant sample,</w:t>
            </w:r>
            <w:r w:rsidRPr="006027C7">
              <w:rPr>
                <w:vertAlign w:val="superscript"/>
              </w:rPr>
              <w:footnoteReference w:id="49"/>
            </w:r>
            <w:r w:rsidRPr="006027C7">
              <w:rPr>
                <w:vertAlign w:val="superscript"/>
              </w:rPr>
              <w:t xml:space="preserve"> </w:t>
            </w:r>
            <w:r w:rsidRPr="006027C7">
              <w:t xml:space="preserve">and it was also suggested that this testing has failed to adequately capture the voice of a number of groups of vulnerable Australians. </w:t>
            </w:r>
          </w:p>
          <w:p w14:paraId="48B775C9" w14:textId="29AD47B4" w:rsidR="00816CE6" w:rsidRPr="00B15C22" w:rsidDel="0016637F" w:rsidRDefault="00816CE6" w:rsidP="00C1168A">
            <w:pPr>
              <w:pStyle w:val="TableTextLeft"/>
            </w:pPr>
            <w:r w:rsidRPr="006027C7">
              <w:rPr>
                <w:rFonts w:eastAsiaTheme="majorEastAsia"/>
              </w:rPr>
              <w:t>Through consultation for this review</w:t>
            </w:r>
            <w:r w:rsidR="003341E6" w:rsidRPr="006027C7">
              <w:rPr>
                <w:rFonts w:eastAsiaTheme="majorEastAsia"/>
              </w:rPr>
              <w:t>,</w:t>
            </w:r>
            <w:r w:rsidRPr="006027C7">
              <w:rPr>
                <w:rFonts w:eastAsiaTheme="majorEastAsia"/>
              </w:rPr>
              <w:t xml:space="preserve"> it was clear that attention hasn’t been given to actively incorporating the voice of vulnerable consumers in the rollout of the CDR, particularly to culturally and linguistically diverse communities. The Review encourages further work to attend to vulnerable consumer needs as a priority, and to be cognisant of cohorts who might be particularly at risk from new developments from the CDR (for example, older Australians). Consideration should also be given to how CDR sector assessment processes can best identify any unintended consequences for vulnerable groups, as raised by Bednarz et al in their submission on the inclusion of insurance data. Greater attention should also be given in providing opportunities where vulnerable consumers can be assisted to better engage with the CDR.</w:t>
            </w:r>
          </w:p>
        </w:tc>
      </w:tr>
    </w:tbl>
    <w:p w14:paraId="6C73A132" w14:textId="77777777" w:rsidR="00122DE0" w:rsidRDefault="00122DE0">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7083"/>
      </w:tblGrid>
      <w:tr w:rsidR="00816CE6" w:rsidRPr="00E506C0" w:rsidDel="0016637F" w14:paraId="6DBEF99D" w14:textId="77777777" w:rsidTr="006D4EC2">
        <w:tc>
          <w:tcPr>
            <w:tcW w:w="1092" w:type="pct"/>
            <w:shd w:val="clear" w:color="auto" w:fill="auto"/>
          </w:tcPr>
          <w:p w14:paraId="2D119519" w14:textId="3CC8550D" w:rsidR="00816CE6" w:rsidRPr="00A96FB0" w:rsidDel="0016637F" w:rsidRDefault="00816CE6" w:rsidP="00C1168A">
            <w:pPr>
              <w:pStyle w:val="TableColumnHeadingLeft"/>
            </w:pPr>
            <w:r w:rsidRPr="00A96FB0">
              <w:rPr>
                <w:rFonts w:eastAsiaTheme="majorEastAsia"/>
              </w:rPr>
              <w:lastRenderedPageBreak/>
              <w:t>Introducing a fiduciary obligation for data holders</w:t>
            </w:r>
          </w:p>
        </w:tc>
        <w:tc>
          <w:tcPr>
            <w:tcW w:w="3908" w:type="pct"/>
            <w:shd w:val="clear" w:color="auto" w:fill="auto"/>
          </w:tcPr>
          <w:p w14:paraId="1691ADA3" w14:textId="77777777" w:rsidR="00816CE6" w:rsidRPr="00E506C0" w:rsidDel="0016637F" w:rsidRDefault="00816CE6" w:rsidP="00C1168A">
            <w:pPr>
              <w:pStyle w:val="TableTextLeft"/>
            </w:pPr>
            <w:r w:rsidRPr="00E506C0">
              <w:rPr>
                <w:rFonts w:eastAsiaTheme="majorEastAsia"/>
              </w:rPr>
              <w:t>Submissions, including from the Financial Rights Legal Centre, Consumer Action Law Centre and the ACCC, recommended establishing a fiduciary duty for CDR participants (ADRs and data holders) to use data in the best interests of consumers. It is suggested that these duties can increase consumer confidence in the CDR system, in a similar way that these duties have been established in other realms where consumers are dependent on another party completing a service for them (such as doctors, lawyers and accountants). The Review notes that such a duty would likely increase the regulatory burden for CDR participants, however, submissions note this may be offset by increased trust from consumers and willingness to participate in the CDR.</w:t>
            </w:r>
            <w:r w:rsidRPr="00E506C0">
              <w:rPr>
                <w:rFonts w:eastAsiaTheme="majorEastAsia"/>
                <w:vertAlign w:val="superscript"/>
              </w:rPr>
              <w:footnoteReference w:id="50"/>
            </w:r>
            <w:r w:rsidRPr="00E506C0">
              <w:rPr>
                <w:rFonts w:eastAsiaTheme="majorEastAsia"/>
              </w:rPr>
              <w:t xml:space="preserve"> As a general principle, the Review notes that the CDR framework should not seek to impose additional regulatory obligations outside of those that are required to successfully operate the system. Where other regulatory frameworks are better placed to address a potential harm or issue, they should be relied upon. </w:t>
            </w:r>
            <w:r>
              <w:rPr>
                <w:rFonts w:eastAsiaTheme="majorEastAsia"/>
              </w:rPr>
              <w:t>It is not clear that</w:t>
            </w:r>
            <w:r w:rsidRPr="00E506C0">
              <w:rPr>
                <w:rFonts w:eastAsiaTheme="majorEastAsia"/>
              </w:rPr>
              <w:t xml:space="preserve"> the potential benefits </w:t>
            </w:r>
            <w:r>
              <w:rPr>
                <w:rFonts w:eastAsiaTheme="majorEastAsia"/>
              </w:rPr>
              <w:t xml:space="preserve">of bringing in these obligations </w:t>
            </w:r>
            <w:r w:rsidRPr="00E506C0">
              <w:rPr>
                <w:rFonts w:eastAsiaTheme="majorEastAsia"/>
              </w:rPr>
              <w:t xml:space="preserve">outweigh </w:t>
            </w:r>
            <w:r>
              <w:rPr>
                <w:rFonts w:eastAsiaTheme="majorEastAsia"/>
              </w:rPr>
              <w:t xml:space="preserve">the </w:t>
            </w:r>
            <w:r w:rsidRPr="00E506C0">
              <w:rPr>
                <w:rFonts w:eastAsiaTheme="majorEastAsia"/>
              </w:rPr>
              <w:t xml:space="preserve">additional regulatory burden </w:t>
            </w:r>
            <w:r>
              <w:rPr>
                <w:rFonts w:eastAsiaTheme="majorEastAsia"/>
              </w:rPr>
              <w:t xml:space="preserve">on </w:t>
            </w:r>
            <w:r w:rsidRPr="00E506C0">
              <w:rPr>
                <w:rFonts w:eastAsiaTheme="majorEastAsia"/>
              </w:rPr>
              <w:t>CDR participants</w:t>
            </w:r>
            <w:r>
              <w:rPr>
                <w:rFonts w:eastAsiaTheme="majorEastAsia"/>
              </w:rPr>
              <w:t>.</w:t>
            </w:r>
          </w:p>
        </w:tc>
      </w:tr>
      <w:tr w:rsidR="00816CE6" w:rsidRPr="00E506C0" w:rsidDel="0016637F" w14:paraId="4393F3BA" w14:textId="77777777" w:rsidTr="006D4EC2">
        <w:tc>
          <w:tcPr>
            <w:tcW w:w="1092" w:type="pct"/>
            <w:shd w:val="clear" w:color="auto" w:fill="auto"/>
          </w:tcPr>
          <w:p w14:paraId="527AED1A" w14:textId="77777777" w:rsidR="00816CE6" w:rsidRPr="00A96FB0" w:rsidDel="0016637F" w:rsidRDefault="00816CE6" w:rsidP="00C1168A">
            <w:pPr>
              <w:pStyle w:val="TableColumnHeadingLeft"/>
            </w:pPr>
            <w:r w:rsidRPr="00A96FB0">
              <w:rPr>
                <w:rFonts w:eastAsiaTheme="majorEastAsia"/>
              </w:rPr>
              <w:t>Joint accounts and consent rules</w:t>
            </w:r>
          </w:p>
        </w:tc>
        <w:tc>
          <w:tcPr>
            <w:tcW w:w="3908" w:type="pct"/>
            <w:shd w:val="clear" w:color="auto" w:fill="auto"/>
          </w:tcPr>
          <w:p w14:paraId="50E6DC08" w14:textId="77777777" w:rsidR="00816CE6" w:rsidRPr="00E506C0" w:rsidDel="0016637F" w:rsidRDefault="00816CE6" w:rsidP="00C1168A">
            <w:pPr>
              <w:pStyle w:val="TableTextLeft"/>
            </w:pPr>
            <w:r w:rsidRPr="00E506C0">
              <w:t xml:space="preserve">The joint submission by the Australian Banking Association, Financial Rights Legal Centre, Consumer Action Law Centre and the Consumer Policy Research Centre also raised concern over the current opt-out model for joint accounts and noted they had previously recommended it be implemented as an opt-in model to ensure the safety of users. Their joint submission recommended the model should be reconsidered in the context of the rollout of payments initiation to allow time to evaluate the model and to determine whether sufficient protections are in place for consumers, particularly in relation to privacy, complaints handling and liability. The Review recognises the potential risks identified in submissions by the opt-out model and also sees the potential frictions an opt-in would present to the consumer. It is noted that the current model was subject to consultation and only recently implemented by major banks on 1 July 2022. It has yet to be implemented by non-major banks (compliance date 1 October 2022). At this point in time the Review finds </w:t>
            </w:r>
            <w:r>
              <w:t>an insufficient basis to reassess the model</w:t>
            </w:r>
            <w:r w:rsidRPr="00E506C0">
              <w:t xml:space="preserve">, and suggests time should be given to allow the system to mature and develop, </w:t>
            </w:r>
            <w:r>
              <w:t>before further considering a change</w:t>
            </w:r>
            <w:r w:rsidRPr="00E506C0">
              <w:t>.</w:t>
            </w:r>
          </w:p>
        </w:tc>
      </w:tr>
    </w:tbl>
    <w:p w14:paraId="2415A3A4" w14:textId="77777777" w:rsidR="00122DE0" w:rsidRDefault="00122DE0">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7083"/>
      </w:tblGrid>
      <w:tr w:rsidR="00816CE6" w:rsidRPr="00E506C0" w14:paraId="5EDA51BE" w14:textId="77777777" w:rsidTr="006D4EC2">
        <w:tc>
          <w:tcPr>
            <w:tcW w:w="1092" w:type="pct"/>
            <w:shd w:val="clear" w:color="auto" w:fill="auto"/>
          </w:tcPr>
          <w:p w14:paraId="1DF9F1BA" w14:textId="20CAEDE8" w:rsidR="00816CE6" w:rsidRPr="00A96FB0" w:rsidRDefault="00816CE6" w:rsidP="00C1168A">
            <w:pPr>
              <w:pStyle w:val="TableColumnHeadingLeft"/>
              <w:rPr>
                <w:rFonts w:eastAsiaTheme="majorEastAsia"/>
              </w:rPr>
            </w:pPr>
            <w:r w:rsidRPr="00A96FB0">
              <w:rPr>
                <w:rFonts w:eastAsiaTheme="majorEastAsia"/>
              </w:rPr>
              <w:lastRenderedPageBreak/>
              <w:t>Safety-by-design</w:t>
            </w:r>
          </w:p>
        </w:tc>
        <w:tc>
          <w:tcPr>
            <w:tcW w:w="3908" w:type="pct"/>
            <w:shd w:val="clear" w:color="auto" w:fill="auto"/>
          </w:tcPr>
          <w:p w14:paraId="18BB272B" w14:textId="77777777" w:rsidR="00816CE6" w:rsidRPr="00E506C0" w:rsidRDefault="00816CE6" w:rsidP="00C1168A">
            <w:pPr>
              <w:pStyle w:val="TableTextLeft"/>
            </w:pPr>
            <w:r w:rsidRPr="00E506C0">
              <w:t xml:space="preserve">In their joint submission the Australian Banking Association, Financial Rights Legal Centre, Consumer Action Law Centre and the Consumer Policy Research Centre proposed the adoption of safety-by-design principles developed by the eSafety Commissioner to prevent products and services from being misused to cause detriment to customers or third parties. </w:t>
            </w:r>
            <w:r>
              <w:t>The Review notes that many participants support the current privacy and security settings and yet other participants find them to be overly complex. Further enhancements to protect consumers should be considered in this context and the system should be allowed to mature before adding further complexity.</w:t>
            </w:r>
          </w:p>
        </w:tc>
      </w:tr>
    </w:tbl>
    <w:tbl>
      <w:tblPr>
        <w:tblStyle w:val="TableGrid"/>
        <w:tblpPr w:leftFromText="180" w:rightFromText="180" w:vertAnchor="text" w:horzAnchor="margin" w:tblpY="276"/>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816CE6" w14:paraId="6975AA15" w14:textId="77777777" w:rsidTr="00816CE6">
        <w:trPr>
          <w:cnfStyle w:val="100000000000" w:firstRow="1" w:lastRow="0" w:firstColumn="0" w:lastColumn="0" w:oddVBand="0" w:evenVBand="0" w:oddHBand="0" w:evenHBand="0" w:firstRowFirstColumn="0" w:firstRowLastColumn="0" w:lastRowFirstColumn="0" w:lastRowLastColumn="0"/>
          <w:trHeight w:val="1554"/>
        </w:trPr>
        <w:tc>
          <w:tcPr>
            <w:tcW w:w="5000" w:type="pct"/>
            <w:shd w:val="clear" w:color="auto" w:fill="FCEEE5" w:themeFill="accent6" w:themeFillTint="33"/>
          </w:tcPr>
          <w:p w14:paraId="589E8EC8" w14:textId="77777777" w:rsidR="00816CE6" w:rsidRPr="00822EF9" w:rsidRDefault="00816CE6" w:rsidP="00C1168A">
            <w:pPr>
              <w:pStyle w:val="BoxHeading"/>
            </w:pPr>
            <w:r w:rsidRPr="00C1168A">
              <w:t>Recommendation 4.1</w:t>
            </w:r>
          </w:p>
          <w:p w14:paraId="55D863B3" w14:textId="63E3CAF2" w:rsidR="00816CE6" w:rsidRPr="00511A43" w:rsidRDefault="00816CE6" w:rsidP="00C1168A">
            <w:pPr>
              <w:pStyle w:val="BoxText"/>
            </w:pPr>
            <w:r w:rsidRPr="00D4755B">
              <w:rPr>
                <w:szCs w:val="24"/>
              </w:rPr>
              <w:t xml:space="preserve">Further consideration </w:t>
            </w:r>
            <w:r w:rsidR="00A0700F">
              <w:rPr>
                <w:szCs w:val="24"/>
              </w:rPr>
              <w:t xml:space="preserve">should </w:t>
            </w:r>
            <w:r w:rsidRPr="00D4755B">
              <w:rPr>
                <w:szCs w:val="24"/>
              </w:rPr>
              <w:t xml:space="preserve">be given to other issues raised during the Statutory Review in the context of ongoing future legislative, rule-making and standard-setting updates to ensure that the CDR remains fit-for-purpose. </w:t>
            </w:r>
          </w:p>
        </w:tc>
      </w:tr>
    </w:tbl>
    <w:p w14:paraId="7EBDCE1A" w14:textId="484003AD" w:rsidR="00816CE6" w:rsidRDefault="00816CE6" w:rsidP="003B6FC0">
      <w:pPr>
        <w:rPr>
          <w:sz w:val="4"/>
          <w:szCs w:val="4"/>
        </w:rPr>
        <w:sectPr w:rsidR="00816CE6" w:rsidSect="004572E9">
          <w:footerReference w:type="even" r:id="rId35"/>
          <w:footerReference w:type="default" r:id="rId36"/>
          <w:pgSz w:w="11906" w:h="16838" w:code="9"/>
          <w:pgMar w:top="1843" w:right="1417" w:bottom="1417" w:left="1417" w:header="709" w:footer="709" w:gutter="0"/>
          <w:cols w:space="708"/>
          <w:docGrid w:linePitch="360"/>
        </w:sectPr>
      </w:pPr>
    </w:p>
    <w:p w14:paraId="1AC94BB5" w14:textId="454B54E4" w:rsidR="00AD4B28" w:rsidRPr="00C414EE" w:rsidRDefault="00AD4B28" w:rsidP="00AD4B28">
      <w:pPr>
        <w:pStyle w:val="Heading1"/>
        <w:spacing w:before="0"/>
      </w:pPr>
      <w:bookmarkStart w:id="146" w:name="_Toc110602900"/>
      <w:bookmarkStart w:id="147" w:name="_Toc106358419"/>
      <w:bookmarkStart w:id="148" w:name="_Toc108797516"/>
      <w:bookmarkStart w:id="149" w:name="_Toc106286108"/>
      <w:r w:rsidRPr="00693150">
        <w:lastRenderedPageBreak/>
        <w:t>Glossary</w:t>
      </w:r>
      <w:bookmarkEnd w:id="146"/>
    </w:p>
    <w:tbl>
      <w:tblPr>
        <w:tblStyle w:val="LightShadi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2"/>
        <w:gridCol w:w="6520"/>
      </w:tblGrid>
      <w:tr w:rsidR="00F5392A" w:rsidRPr="00CB776D" w14:paraId="1D289CFE" w14:textId="77777777" w:rsidTr="00E26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vAlign w:val="top"/>
          </w:tcPr>
          <w:p w14:paraId="376A2A5B" w14:textId="77777777" w:rsidR="00AD4B28" w:rsidRPr="00407D5F" w:rsidRDefault="00AD4B28">
            <w:pPr>
              <w:rPr>
                <w:sz w:val="22"/>
                <w:szCs w:val="22"/>
              </w:rPr>
            </w:pPr>
            <w:r w:rsidRPr="00407D5F">
              <w:rPr>
                <w:sz w:val="22"/>
                <w:szCs w:val="22"/>
              </w:rPr>
              <w:t>Accredited Data Recipient (ADR)</w:t>
            </w:r>
          </w:p>
        </w:tc>
        <w:tc>
          <w:tcPr>
            <w:tcW w:w="6520" w:type="dxa"/>
            <w:tcBorders>
              <w:top w:val="none" w:sz="0" w:space="0" w:color="auto"/>
              <w:left w:val="none" w:sz="0" w:space="0" w:color="auto"/>
              <w:bottom w:val="none" w:sz="0" w:space="0" w:color="auto"/>
              <w:right w:val="none" w:sz="0" w:space="0" w:color="auto"/>
            </w:tcBorders>
            <w:vAlign w:val="top"/>
          </w:tcPr>
          <w:p w14:paraId="7EE7C976" w14:textId="77777777" w:rsidR="00AD4B28" w:rsidRPr="00407D5F" w:rsidRDefault="00AD4B28">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407D5F">
              <w:rPr>
                <w:b w:val="0"/>
                <w:bCs w:val="0"/>
                <w:sz w:val="22"/>
                <w:szCs w:val="22"/>
              </w:rPr>
              <w:t xml:space="preserve">Accredited Data Recipient (ADR) under section 56AK of the </w:t>
            </w:r>
            <w:r w:rsidRPr="00407D5F">
              <w:rPr>
                <w:b w:val="0"/>
                <w:bCs w:val="0"/>
                <w:i/>
                <w:sz w:val="22"/>
                <w:szCs w:val="22"/>
              </w:rPr>
              <w:t>Competition and Consumer Act 2010</w:t>
            </w:r>
            <w:r w:rsidRPr="00407D5F">
              <w:rPr>
                <w:b w:val="0"/>
                <w:bCs w:val="0"/>
                <w:sz w:val="22"/>
                <w:szCs w:val="22"/>
              </w:rPr>
              <w:t xml:space="preserve">. An ADR can receive CDR data after being accredited by the Data Recipient Accreditor (the ACCC).  </w:t>
            </w:r>
          </w:p>
        </w:tc>
      </w:tr>
      <w:tr w:rsidR="00F5392A" w:rsidRPr="00CB776D" w14:paraId="6DF2BB63" w14:textId="77777777" w:rsidTr="00E266D2">
        <w:tc>
          <w:tcPr>
            <w:cnfStyle w:val="001000000000" w:firstRow="0" w:lastRow="0" w:firstColumn="1" w:lastColumn="0" w:oddVBand="0" w:evenVBand="0" w:oddHBand="0" w:evenHBand="0" w:firstRowFirstColumn="0" w:firstRowLastColumn="0" w:lastRowFirstColumn="0" w:lastRowLastColumn="0"/>
            <w:tcW w:w="2552" w:type="dxa"/>
            <w:vAlign w:val="top"/>
          </w:tcPr>
          <w:p w14:paraId="3A1B901E" w14:textId="77777777" w:rsidR="00AD4B28" w:rsidRPr="00407D5F" w:rsidRDefault="00AD4B28">
            <w:pPr>
              <w:rPr>
                <w:sz w:val="22"/>
                <w:szCs w:val="22"/>
              </w:rPr>
            </w:pPr>
            <w:r w:rsidRPr="00407D5F">
              <w:rPr>
                <w:sz w:val="22"/>
                <w:szCs w:val="22"/>
              </w:rPr>
              <w:t>Anti-Money Laundering/Counter Terrorism Financing (AML/CTF)</w:t>
            </w:r>
          </w:p>
        </w:tc>
        <w:tc>
          <w:tcPr>
            <w:tcW w:w="6520" w:type="dxa"/>
            <w:vAlign w:val="top"/>
          </w:tcPr>
          <w:p w14:paraId="4E74B28D" w14:textId="02929A9A"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The </w:t>
            </w:r>
            <w:r w:rsidRPr="00407D5F">
              <w:rPr>
                <w:i/>
                <w:sz w:val="22"/>
                <w:szCs w:val="22"/>
              </w:rPr>
              <w:t>Anti-Money Laundering/Counter Terrorism Financing Act 2006</w:t>
            </w:r>
            <w:r w:rsidRPr="00407D5F">
              <w:rPr>
                <w:sz w:val="22"/>
                <w:szCs w:val="22"/>
              </w:rPr>
              <w:t xml:space="preserve"> (AML/CTF Act), and the AML/CTF Rules aim to prevent money laundering and the financing of terrorism</w:t>
            </w:r>
            <w:r w:rsidR="00AB7146">
              <w:rPr>
                <w:sz w:val="22"/>
                <w:szCs w:val="22"/>
              </w:rPr>
              <w:t>.</w:t>
            </w:r>
          </w:p>
        </w:tc>
      </w:tr>
      <w:tr w:rsidR="00F5392A" w:rsidRPr="00CB776D" w14:paraId="2FE45157"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140BC1F3" w14:textId="77777777" w:rsidR="00AD4B28" w:rsidRPr="00407D5F" w:rsidRDefault="00AD4B28">
            <w:pPr>
              <w:rPr>
                <w:sz w:val="22"/>
                <w:szCs w:val="22"/>
              </w:rPr>
            </w:pPr>
            <w:r w:rsidRPr="00407D5F">
              <w:rPr>
                <w:sz w:val="22"/>
                <w:szCs w:val="22"/>
              </w:rPr>
              <w:t>Application programming interface (API)</w:t>
            </w:r>
          </w:p>
        </w:tc>
        <w:tc>
          <w:tcPr>
            <w:tcW w:w="6520" w:type="dxa"/>
            <w:vAlign w:val="top"/>
          </w:tcPr>
          <w:p w14:paraId="221C39DB"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Software designed to help other software interact with an underlying system. </w:t>
            </w:r>
          </w:p>
        </w:tc>
      </w:tr>
      <w:tr w:rsidR="00F5392A" w:rsidRPr="00CB776D" w14:paraId="5619D4D6"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651134B8" w14:textId="2156038F" w:rsidR="00AD4B28" w:rsidRPr="00407D5F" w:rsidRDefault="00AD4B28">
            <w:pPr>
              <w:rPr>
                <w:sz w:val="22"/>
                <w:szCs w:val="22"/>
              </w:rPr>
            </w:pPr>
            <w:r w:rsidRPr="00407D5F">
              <w:rPr>
                <w:sz w:val="22"/>
                <w:szCs w:val="22"/>
              </w:rPr>
              <w:t xml:space="preserve">Australian Competition </w:t>
            </w:r>
            <w:r w:rsidR="00122DE0">
              <w:rPr>
                <w:sz w:val="22"/>
                <w:szCs w:val="22"/>
              </w:rPr>
              <w:br/>
            </w:r>
            <w:r w:rsidRPr="00407D5F">
              <w:rPr>
                <w:sz w:val="22"/>
                <w:szCs w:val="22"/>
              </w:rPr>
              <w:t>and Consumer Commission (ACCC)</w:t>
            </w:r>
          </w:p>
        </w:tc>
        <w:tc>
          <w:tcPr>
            <w:tcW w:w="6520" w:type="dxa"/>
            <w:vAlign w:val="top"/>
          </w:tcPr>
          <w:p w14:paraId="602066EF"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An independent Commonwealth statutory authority whose role is to enforce the </w:t>
            </w:r>
            <w:r w:rsidRPr="00407D5F">
              <w:rPr>
                <w:i/>
                <w:sz w:val="22"/>
                <w:szCs w:val="22"/>
              </w:rPr>
              <w:t>Competition and Consumer Act 2010</w:t>
            </w:r>
            <w:r w:rsidRPr="00407D5F">
              <w:rPr>
                <w:sz w:val="22"/>
                <w:szCs w:val="22"/>
              </w:rPr>
              <w:t xml:space="preserve"> and a range of additional legislation, promoting competition, fair trading and regulating national infrastructure for the benefit of all Australians.</w:t>
            </w:r>
            <w:r>
              <w:rPr>
                <w:sz w:val="22"/>
                <w:szCs w:val="22"/>
              </w:rPr>
              <w:t xml:space="preserve"> The ACCC is a co-regulator of the CDR with the OAIC.</w:t>
            </w:r>
          </w:p>
        </w:tc>
      </w:tr>
      <w:tr w:rsidR="00F5392A" w:rsidRPr="00CB776D" w14:paraId="2126732A"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3806F2CE" w14:textId="0167A9A7" w:rsidR="00AD4B28" w:rsidRPr="00407D5F" w:rsidRDefault="00AD4B28">
            <w:pPr>
              <w:rPr>
                <w:sz w:val="22"/>
                <w:szCs w:val="22"/>
              </w:rPr>
            </w:pPr>
            <w:r w:rsidRPr="00407D5F">
              <w:rPr>
                <w:sz w:val="22"/>
                <w:szCs w:val="22"/>
              </w:rPr>
              <w:t xml:space="preserve">Consumer Data Right </w:t>
            </w:r>
            <w:r w:rsidR="00122DE0">
              <w:rPr>
                <w:sz w:val="22"/>
                <w:szCs w:val="22"/>
              </w:rPr>
              <w:br/>
            </w:r>
            <w:r w:rsidRPr="00407D5F">
              <w:rPr>
                <w:sz w:val="22"/>
                <w:szCs w:val="22"/>
              </w:rPr>
              <w:t>(CDR)</w:t>
            </w:r>
          </w:p>
        </w:tc>
        <w:tc>
          <w:tcPr>
            <w:tcW w:w="6520" w:type="dxa"/>
            <w:vAlign w:val="top"/>
          </w:tcPr>
          <w:p w14:paraId="7D9D933C"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Australia’s data portability initiative. Allowing consumers to consent to disclosures of their data to third parties. </w:t>
            </w:r>
          </w:p>
        </w:tc>
      </w:tr>
      <w:tr w:rsidR="00F5392A" w:rsidRPr="0048154D" w14:paraId="292C6AED"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5B1CCA3A" w14:textId="3A1CF92A" w:rsidR="00AD4B28" w:rsidRPr="00407D5F" w:rsidRDefault="00AD4B28">
            <w:pPr>
              <w:rPr>
                <w:sz w:val="22"/>
                <w:szCs w:val="22"/>
              </w:rPr>
            </w:pPr>
            <w:r w:rsidRPr="00407D5F">
              <w:rPr>
                <w:sz w:val="22"/>
                <w:szCs w:val="22"/>
              </w:rPr>
              <w:t xml:space="preserve">Consumer Data Right </w:t>
            </w:r>
            <w:r w:rsidR="00122DE0">
              <w:rPr>
                <w:sz w:val="22"/>
                <w:szCs w:val="22"/>
              </w:rPr>
              <w:br/>
            </w:r>
            <w:r w:rsidRPr="00407D5F">
              <w:rPr>
                <w:sz w:val="22"/>
                <w:szCs w:val="22"/>
              </w:rPr>
              <w:t>(CDR) agencies</w:t>
            </w:r>
          </w:p>
        </w:tc>
        <w:tc>
          <w:tcPr>
            <w:tcW w:w="6520" w:type="dxa"/>
            <w:vAlign w:val="top"/>
          </w:tcPr>
          <w:p w14:paraId="7A870735"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CDR agencies are the ACCC, OAIC, DSB and the Treasury.</w:t>
            </w:r>
          </w:p>
        </w:tc>
      </w:tr>
      <w:tr w:rsidR="00F5392A" w:rsidRPr="0048154D" w14:paraId="603B2C54"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280EC484" w14:textId="0EB86B1B" w:rsidR="00AD4B28" w:rsidRPr="00407D5F" w:rsidRDefault="00AD4B28">
            <w:pPr>
              <w:rPr>
                <w:sz w:val="22"/>
                <w:szCs w:val="22"/>
              </w:rPr>
            </w:pPr>
            <w:r w:rsidRPr="00407D5F">
              <w:rPr>
                <w:sz w:val="22"/>
                <w:szCs w:val="22"/>
              </w:rPr>
              <w:t xml:space="preserve">Consumer Data Right </w:t>
            </w:r>
            <w:r w:rsidR="00122DE0">
              <w:rPr>
                <w:sz w:val="22"/>
                <w:szCs w:val="22"/>
              </w:rPr>
              <w:br/>
            </w:r>
            <w:r w:rsidRPr="00407D5F">
              <w:rPr>
                <w:sz w:val="22"/>
                <w:szCs w:val="22"/>
              </w:rPr>
              <w:t>(CDR) consumer</w:t>
            </w:r>
          </w:p>
        </w:tc>
        <w:tc>
          <w:tcPr>
            <w:tcW w:w="6520" w:type="dxa"/>
            <w:vAlign w:val="top"/>
          </w:tcPr>
          <w:p w14:paraId="5995BB31"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The ‘CDR consumer’ is the person who has the right to access the CDR data held by a data holder, and direct that the CDR data be disclosed to them (not currently enabled) or to an accredited or trusted person. For the purposes of the CDR a ‘person’ can be an individual or a business.</w:t>
            </w:r>
          </w:p>
        </w:tc>
      </w:tr>
      <w:tr w:rsidR="00F5392A" w:rsidRPr="0048154D" w14:paraId="0281DE70"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59207113" w14:textId="08F484AB" w:rsidR="00AD4B28" w:rsidRPr="00407D5F" w:rsidRDefault="00AD4B28">
            <w:pPr>
              <w:rPr>
                <w:sz w:val="22"/>
                <w:szCs w:val="22"/>
              </w:rPr>
            </w:pPr>
            <w:r w:rsidRPr="00407D5F">
              <w:rPr>
                <w:sz w:val="22"/>
                <w:szCs w:val="22"/>
              </w:rPr>
              <w:t xml:space="preserve">Consumer Data Right </w:t>
            </w:r>
            <w:r w:rsidR="00122DE0">
              <w:rPr>
                <w:sz w:val="22"/>
                <w:szCs w:val="22"/>
              </w:rPr>
              <w:br/>
            </w:r>
            <w:r w:rsidRPr="00407D5F">
              <w:rPr>
                <w:sz w:val="22"/>
                <w:szCs w:val="22"/>
              </w:rPr>
              <w:t>(CDR) data</w:t>
            </w:r>
          </w:p>
        </w:tc>
        <w:tc>
          <w:tcPr>
            <w:tcW w:w="6520" w:type="dxa"/>
            <w:vAlign w:val="top"/>
          </w:tcPr>
          <w:p w14:paraId="4C9EC895"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Information within a class specified in a CDR designation instrument, or information wholly or partly derived from such information.</w:t>
            </w:r>
          </w:p>
        </w:tc>
      </w:tr>
      <w:tr w:rsidR="00F5392A" w:rsidRPr="0048154D" w14:paraId="41F7A75C"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4B3F2E27" w14:textId="77777777" w:rsidR="00AD4B28" w:rsidRPr="00407D5F" w:rsidRDefault="00AD4B28">
            <w:pPr>
              <w:rPr>
                <w:sz w:val="22"/>
                <w:szCs w:val="22"/>
              </w:rPr>
            </w:pPr>
            <w:r w:rsidRPr="00407D5F">
              <w:rPr>
                <w:sz w:val="22"/>
                <w:szCs w:val="22"/>
              </w:rPr>
              <w:t>CDR Rules</w:t>
            </w:r>
          </w:p>
        </w:tc>
        <w:tc>
          <w:tcPr>
            <w:tcW w:w="6520" w:type="dxa"/>
            <w:vAlign w:val="top"/>
          </w:tcPr>
          <w:p w14:paraId="51DA623D" w14:textId="5595D949"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The </w:t>
            </w:r>
            <w:r w:rsidRPr="00407D5F">
              <w:rPr>
                <w:i/>
                <w:sz w:val="22"/>
                <w:szCs w:val="22"/>
              </w:rPr>
              <w:t>Competition and Consumer (Consumer Data Right) Rules 2020</w:t>
            </w:r>
            <w:r w:rsidRPr="00407D5F">
              <w:rPr>
                <w:sz w:val="22"/>
                <w:szCs w:val="22"/>
              </w:rPr>
              <w:t xml:space="preserve"> (the CDR </w:t>
            </w:r>
            <w:r w:rsidR="009D295F">
              <w:rPr>
                <w:sz w:val="22"/>
                <w:szCs w:val="22"/>
              </w:rPr>
              <w:t>r</w:t>
            </w:r>
            <w:r w:rsidRPr="00407D5F">
              <w:rPr>
                <w:sz w:val="22"/>
                <w:szCs w:val="22"/>
              </w:rPr>
              <w:t>ules) provides the framework for how the CDR it is to be implemented and operated.</w:t>
            </w:r>
          </w:p>
        </w:tc>
      </w:tr>
      <w:tr w:rsidR="00F5392A" w:rsidRPr="0048154D" w14:paraId="7ADF6D2A"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54DC4F29" w14:textId="77777777" w:rsidR="00AD4B28" w:rsidRPr="00407D5F" w:rsidRDefault="00AD4B28">
            <w:pPr>
              <w:rPr>
                <w:sz w:val="22"/>
                <w:szCs w:val="22"/>
              </w:rPr>
            </w:pPr>
            <w:r w:rsidRPr="00407D5F">
              <w:rPr>
                <w:sz w:val="22"/>
                <w:szCs w:val="22"/>
              </w:rPr>
              <w:t>Consent</w:t>
            </w:r>
          </w:p>
        </w:tc>
        <w:tc>
          <w:tcPr>
            <w:tcW w:w="6520" w:type="dxa"/>
            <w:vAlign w:val="top"/>
          </w:tcPr>
          <w:p w14:paraId="22D5B076"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Communication to an accredited person of the datasets and actions that the consumer is allowing them to access or perform, and the purposes for which the consumer agrees to their data being used and actions being initiated on their behalf.</w:t>
            </w:r>
          </w:p>
        </w:tc>
      </w:tr>
      <w:tr w:rsidR="00F5392A" w:rsidRPr="0048154D" w14:paraId="501EBFE9"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686BDD57" w14:textId="77777777" w:rsidR="00AD4B28" w:rsidRPr="00407D5F" w:rsidRDefault="00AD4B28">
            <w:pPr>
              <w:rPr>
                <w:sz w:val="22"/>
                <w:szCs w:val="22"/>
              </w:rPr>
            </w:pPr>
            <w:r w:rsidRPr="00407D5F">
              <w:rPr>
                <w:sz w:val="22"/>
                <w:szCs w:val="22"/>
              </w:rPr>
              <w:t>CX</w:t>
            </w:r>
          </w:p>
        </w:tc>
        <w:tc>
          <w:tcPr>
            <w:tcW w:w="6520" w:type="dxa"/>
            <w:vAlign w:val="top"/>
          </w:tcPr>
          <w:p w14:paraId="0D1740D4"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Consumer Experience</w:t>
            </w:r>
          </w:p>
        </w:tc>
      </w:tr>
      <w:tr w:rsidR="00F5392A" w:rsidRPr="0048154D" w14:paraId="25464A23"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46B51EA4" w14:textId="77777777" w:rsidR="00AD4B28" w:rsidRPr="00407D5F" w:rsidRDefault="00AD4B28">
            <w:pPr>
              <w:rPr>
                <w:sz w:val="22"/>
                <w:szCs w:val="22"/>
              </w:rPr>
            </w:pPr>
            <w:r w:rsidRPr="00407D5F">
              <w:rPr>
                <w:sz w:val="22"/>
                <w:szCs w:val="22"/>
              </w:rPr>
              <w:t>Data Availability and Transparency Act 2022 (DATA 2022)</w:t>
            </w:r>
          </w:p>
        </w:tc>
        <w:tc>
          <w:tcPr>
            <w:tcW w:w="6520" w:type="dxa"/>
            <w:vAlign w:val="top"/>
          </w:tcPr>
          <w:p w14:paraId="2D6560FB"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The </w:t>
            </w:r>
            <w:r w:rsidRPr="00407D5F">
              <w:rPr>
                <w:i/>
                <w:sz w:val="22"/>
                <w:szCs w:val="22"/>
              </w:rPr>
              <w:t>Data Availability and Transparency Act 2022</w:t>
            </w:r>
            <w:r w:rsidRPr="00407D5F">
              <w:rPr>
                <w:sz w:val="22"/>
                <w:szCs w:val="22"/>
              </w:rPr>
              <w:t xml:space="preserve"> (DATA 2022) enables sharing for the delivery of government services; informing government policy and programs; and research and development.</w:t>
            </w:r>
          </w:p>
        </w:tc>
      </w:tr>
      <w:tr w:rsidR="00F5392A" w:rsidRPr="0048154D" w14:paraId="4F35BBD7"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1496E919" w14:textId="77777777" w:rsidR="00AD4B28" w:rsidRPr="00407D5F" w:rsidRDefault="00AD4B28">
            <w:pPr>
              <w:rPr>
                <w:sz w:val="22"/>
                <w:szCs w:val="22"/>
              </w:rPr>
            </w:pPr>
            <w:r w:rsidRPr="00407D5F">
              <w:rPr>
                <w:sz w:val="22"/>
                <w:szCs w:val="22"/>
              </w:rPr>
              <w:lastRenderedPageBreak/>
              <w:t>Data holder</w:t>
            </w:r>
          </w:p>
        </w:tc>
        <w:tc>
          <w:tcPr>
            <w:tcW w:w="6520" w:type="dxa"/>
            <w:vAlign w:val="top"/>
          </w:tcPr>
          <w:p w14:paraId="7C792963"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A party that holds data to which the Consumer Data Right will apply, carrying obligations to provide that data to CDR participants.</w:t>
            </w:r>
          </w:p>
        </w:tc>
      </w:tr>
      <w:tr w:rsidR="00F5392A" w:rsidRPr="0048154D" w14:paraId="42934D44"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5B741121" w14:textId="77777777" w:rsidR="00AD4B28" w:rsidRPr="00407D5F" w:rsidRDefault="00AD4B28">
            <w:pPr>
              <w:rPr>
                <w:sz w:val="22"/>
                <w:szCs w:val="22"/>
              </w:rPr>
            </w:pPr>
            <w:r w:rsidRPr="00407D5F">
              <w:rPr>
                <w:sz w:val="22"/>
                <w:szCs w:val="22"/>
              </w:rPr>
              <w:t>Data / Datasets</w:t>
            </w:r>
          </w:p>
        </w:tc>
        <w:tc>
          <w:tcPr>
            <w:tcW w:w="6520" w:type="dxa"/>
            <w:vAlign w:val="top"/>
          </w:tcPr>
          <w:p w14:paraId="0EC1F9A8"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Data is information translated into a form for efficient storage, transport or processing, and is increasingly synonymous with digital information. It includes product data (data related to the product/service advertised for example: descriptions, prices, terms, and conditions) and consumer data (data related to the consumer of the product/service for example: consumer contact details, or information relevant to their eligibility for a service).</w:t>
            </w:r>
            <w:r w:rsidRPr="00407D5F" w:rsidDel="00AE2606">
              <w:rPr>
                <w:sz w:val="22"/>
                <w:szCs w:val="22"/>
              </w:rPr>
              <w:t xml:space="preserve"> </w:t>
            </w:r>
          </w:p>
        </w:tc>
      </w:tr>
      <w:tr w:rsidR="00F5392A" w:rsidRPr="0048154D" w14:paraId="653700D5"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2807FC20" w14:textId="77777777" w:rsidR="00AD4B28" w:rsidRPr="00407D5F" w:rsidRDefault="00AD4B28">
            <w:pPr>
              <w:rPr>
                <w:sz w:val="22"/>
                <w:szCs w:val="22"/>
              </w:rPr>
            </w:pPr>
            <w:r w:rsidRPr="00407D5F">
              <w:rPr>
                <w:sz w:val="22"/>
                <w:szCs w:val="22"/>
              </w:rPr>
              <w:t>Data portability</w:t>
            </w:r>
          </w:p>
        </w:tc>
        <w:tc>
          <w:tcPr>
            <w:tcW w:w="6520" w:type="dxa"/>
            <w:vAlign w:val="top"/>
          </w:tcPr>
          <w:p w14:paraId="556029F8"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The ability to move data from one place to another. </w:t>
            </w:r>
          </w:p>
        </w:tc>
      </w:tr>
      <w:tr w:rsidR="00F5392A" w:rsidRPr="0048154D" w14:paraId="034F70F4"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0A27E13F" w14:textId="61C86548" w:rsidR="00AD4B28" w:rsidRPr="00407D5F" w:rsidRDefault="00AD4B28">
            <w:pPr>
              <w:rPr>
                <w:sz w:val="22"/>
                <w:szCs w:val="22"/>
              </w:rPr>
            </w:pPr>
            <w:r w:rsidRPr="00407D5F">
              <w:rPr>
                <w:sz w:val="22"/>
                <w:szCs w:val="22"/>
              </w:rPr>
              <w:t xml:space="preserve">Data Standards Body </w:t>
            </w:r>
            <w:r w:rsidR="00122DE0">
              <w:rPr>
                <w:sz w:val="22"/>
                <w:szCs w:val="22"/>
              </w:rPr>
              <w:br/>
            </w:r>
            <w:r w:rsidRPr="00407D5F">
              <w:rPr>
                <w:sz w:val="22"/>
                <w:szCs w:val="22"/>
              </w:rPr>
              <w:t>(DSB)</w:t>
            </w:r>
          </w:p>
        </w:tc>
        <w:tc>
          <w:tcPr>
            <w:tcW w:w="6520" w:type="dxa"/>
            <w:vAlign w:val="top"/>
          </w:tcPr>
          <w:p w14:paraId="36F8D6A6" w14:textId="0315A3F4"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A body responsible for assisting the Data Standards Chair in the development of common technical standards to allow Australians to access data held about them by businesses and direct its safe transfer to others</w:t>
            </w:r>
            <w:r w:rsidR="00B250F4">
              <w:rPr>
                <w:sz w:val="22"/>
                <w:szCs w:val="22"/>
              </w:rPr>
              <w:t>.</w:t>
            </w:r>
          </w:p>
        </w:tc>
      </w:tr>
      <w:tr w:rsidR="00F5392A" w:rsidRPr="0048154D" w14:paraId="02787FDD"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19AD0188" w14:textId="7098688D" w:rsidR="00AD4B28" w:rsidRPr="00407D5F" w:rsidRDefault="00AD4B28">
            <w:pPr>
              <w:rPr>
                <w:sz w:val="22"/>
                <w:szCs w:val="22"/>
              </w:rPr>
            </w:pPr>
            <w:r w:rsidRPr="00407D5F">
              <w:rPr>
                <w:sz w:val="22"/>
                <w:szCs w:val="22"/>
              </w:rPr>
              <w:t xml:space="preserve">Data Standards Chair </w:t>
            </w:r>
            <w:r w:rsidR="00122DE0">
              <w:rPr>
                <w:sz w:val="22"/>
                <w:szCs w:val="22"/>
              </w:rPr>
              <w:br/>
            </w:r>
            <w:r w:rsidRPr="00407D5F">
              <w:rPr>
                <w:sz w:val="22"/>
                <w:szCs w:val="22"/>
              </w:rPr>
              <w:t>(DSC)</w:t>
            </w:r>
          </w:p>
        </w:tc>
        <w:tc>
          <w:tcPr>
            <w:tcW w:w="6520" w:type="dxa"/>
            <w:vAlign w:val="top"/>
          </w:tcPr>
          <w:p w14:paraId="1D207D6D"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The person responsible for making data standards for the CDR, supported by the DSB.</w:t>
            </w:r>
          </w:p>
        </w:tc>
      </w:tr>
      <w:tr w:rsidR="00F5392A" w:rsidRPr="0048154D" w14:paraId="44290A49"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63CDFCC7" w14:textId="77777777" w:rsidR="00AD4B28" w:rsidRPr="00407D5F" w:rsidRDefault="00AD4B28">
            <w:pPr>
              <w:rPr>
                <w:sz w:val="22"/>
                <w:szCs w:val="22"/>
              </w:rPr>
            </w:pPr>
            <w:r w:rsidRPr="00407D5F">
              <w:rPr>
                <w:sz w:val="22"/>
                <w:szCs w:val="22"/>
              </w:rPr>
              <w:t>Derived data</w:t>
            </w:r>
          </w:p>
        </w:tc>
        <w:tc>
          <w:tcPr>
            <w:tcW w:w="6520" w:type="dxa"/>
            <w:vAlign w:val="top"/>
          </w:tcPr>
          <w:p w14:paraId="706740AC"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Under Section 56AI(2) of the </w:t>
            </w:r>
            <w:r w:rsidRPr="00407D5F">
              <w:rPr>
                <w:i/>
                <w:sz w:val="22"/>
                <w:szCs w:val="22"/>
              </w:rPr>
              <w:t>Competition and Consumer Act 2010</w:t>
            </w:r>
            <w:r w:rsidRPr="00407D5F">
              <w:rPr>
                <w:sz w:val="22"/>
                <w:szCs w:val="22"/>
              </w:rPr>
              <w:t>. ‘Derived CDR data’ is data that has been wholly or partly derived from CDR data, or data derived from previously derived data. This means data derived from ‘derived CDR data’ is also ‘derived CDR data’.</w:t>
            </w:r>
          </w:p>
        </w:tc>
      </w:tr>
      <w:tr w:rsidR="00F5392A" w14:paraId="07D950D1"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757C5979" w14:textId="77777777" w:rsidR="00AD4B28" w:rsidRPr="00407D5F" w:rsidRDefault="00AD4B28">
            <w:pPr>
              <w:rPr>
                <w:sz w:val="22"/>
                <w:szCs w:val="22"/>
              </w:rPr>
            </w:pPr>
            <w:r w:rsidRPr="00407D5F">
              <w:rPr>
                <w:sz w:val="22"/>
                <w:szCs w:val="22"/>
              </w:rPr>
              <w:t>Designation</w:t>
            </w:r>
          </w:p>
        </w:tc>
        <w:tc>
          <w:tcPr>
            <w:tcW w:w="6520" w:type="dxa"/>
            <w:vAlign w:val="top"/>
          </w:tcPr>
          <w:p w14:paraId="3E8177AF"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The designation instrument enlivens the Rule making power by designating a sector of the economy as a sector to which the CDR applies. </w:t>
            </w:r>
          </w:p>
        </w:tc>
      </w:tr>
      <w:tr w:rsidR="00F5392A" w:rsidRPr="0048154D" w14:paraId="45969A29"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36FE060B" w14:textId="77777777" w:rsidR="00AD4B28" w:rsidRPr="00407D5F" w:rsidRDefault="00AD4B28">
            <w:pPr>
              <w:rPr>
                <w:sz w:val="22"/>
                <w:szCs w:val="22"/>
              </w:rPr>
            </w:pPr>
            <w:r w:rsidRPr="00407D5F">
              <w:rPr>
                <w:sz w:val="22"/>
                <w:szCs w:val="22"/>
              </w:rPr>
              <w:t>Digital Economy</w:t>
            </w:r>
          </w:p>
        </w:tc>
        <w:tc>
          <w:tcPr>
            <w:tcW w:w="6520" w:type="dxa"/>
            <w:vAlign w:val="top"/>
          </w:tcPr>
          <w:p w14:paraId="4A3A9C9A"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Economic activities conducted or facilitated through digital computing technologies</w:t>
            </w:r>
            <w:r>
              <w:rPr>
                <w:sz w:val="22"/>
                <w:szCs w:val="22"/>
              </w:rPr>
              <w:t>.</w:t>
            </w:r>
          </w:p>
        </w:tc>
      </w:tr>
      <w:tr w:rsidR="00F5392A" w:rsidRPr="0048154D" w14:paraId="176BD58B"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3DA4E50C" w14:textId="77777777" w:rsidR="00AD4B28" w:rsidRPr="00407D5F" w:rsidRDefault="00AD4B28">
            <w:pPr>
              <w:rPr>
                <w:sz w:val="22"/>
                <w:szCs w:val="22"/>
                <w:highlight w:val="yellow"/>
              </w:rPr>
            </w:pPr>
            <w:r w:rsidRPr="00407D5F">
              <w:rPr>
                <w:sz w:val="22"/>
                <w:szCs w:val="22"/>
              </w:rPr>
              <w:t>Digital identity</w:t>
            </w:r>
          </w:p>
        </w:tc>
        <w:tc>
          <w:tcPr>
            <w:tcW w:w="6520" w:type="dxa"/>
            <w:vAlign w:val="top"/>
          </w:tcPr>
          <w:p w14:paraId="79F3C224"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highlight w:val="yellow"/>
              </w:rPr>
            </w:pPr>
            <w:r w:rsidRPr="00407D5F">
              <w:rPr>
                <w:sz w:val="22"/>
                <w:szCs w:val="22"/>
              </w:rPr>
              <w:t>Information that represents a person or organisation on a computer system. A digital identity allows a user to prove to a remote system that they are who they say they are.</w:t>
            </w:r>
          </w:p>
        </w:tc>
      </w:tr>
      <w:tr w:rsidR="00F5392A" w:rsidRPr="0048154D" w14:paraId="3B96878A"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1EEBEFB8" w14:textId="77777777" w:rsidR="00AD4B28" w:rsidRPr="00407D5F" w:rsidRDefault="00AD4B28">
            <w:pPr>
              <w:rPr>
                <w:sz w:val="22"/>
                <w:szCs w:val="22"/>
              </w:rPr>
            </w:pPr>
            <w:r w:rsidRPr="00407D5F">
              <w:rPr>
                <w:sz w:val="22"/>
                <w:szCs w:val="22"/>
              </w:rPr>
              <w:t>New Payments Platform (NPP)</w:t>
            </w:r>
          </w:p>
        </w:tc>
        <w:tc>
          <w:tcPr>
            <w:tcW w:w="6520" w:type="dxa"/>
            <w:vAlign w:val="top"/>
          </w:tcPr>
          <w:p w14:paraId="5C581E7D"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Australia’s real-time payments infrastructure, introduced in 2018, which allows consumers and businesses to make and receive fast payments which are secure and data-rich.</w:t>
            </w:r>
          </w:p>
        </w:tc>
      </w:tr>
      <w:tr w:rsidR="00F5392A" w:rsidRPr="0048154D" w14:paraId="430B051B"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18DA82B7" w14:textId="77777777" w:rsidR="00AD4B28" w:rsidRPr="00407D5F" w:rsidRDefault="00AD4B28">
            <w:pPr>
              <w:rPr>
                <w:sz w:val="22"/>
                <w:szCs w:val="22"/>
              </w:rPr>
            </w:pPr>
            <w:r w:rsidRPr="00407D5F">
              <w:rPr>
                <w:sz w:val="22"/>
                <w:szCs w:val="22"/>
              </w:rPr>
              <w:t>Office of the Australian Information Commissioner (OAIC)</w:t>
            </w:r>
          </w:p>
        </w:tc>
        <w:tc>
          <w:tcPr>
            <w:tcW w:w="6520" w:type="dxa"/>
            <w:vAlign w:val="top"/>
          </w:tcPr>
          <w:p w14:paraId="11D56832"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The independent national regulator for privacy and freedom of information.</w:t>
            </w:r>
            <w:r>
              <w:rPr>
                <w:sz w:val="22"/>
                <w:szCs w:val="22"/>
              </w:rPr>
              <w:t xml:space="preserve"> The OAIC is a co-regulator of the CDR with the ACCC.</w:t>
            </w:r>
          </w:p>
        </w:tc>
      </w:tr>
      <w:tr w:rsidR="00F5392A" w:rsidRPr="0048154D" w14:paraId="23342AD4" w14:textId="77777777" w:rsidTr="00822EF9">
        <w:tc>
          <w:tcPr>
            <w:cnfStyle w:val="001000000000" w:firstRow="0" w:lastRow="0" w:firstColumn="1" w:lastColumn="0" w:oddVBand="0" w:evenVBand="0" w:oddHBand="0" w:evenHBand="0" w:firstRowFirstColumn="0" w:firstRowLastColumn="0" w:lastRowFirstColumn="0" w:lastRowLastColumn="0"/>
            <w:tcW w:w="2552" w:type="dxa"/>
            <w:vAlign w:val="top"/>
          </w:tcPr>
          <w:p w14:paraId="18CFA677" w14:textId="10D5E30B" w:rsidR="00AD4B28" w:rsidRPr="00407D5F" w:rsidRDefault="00AD4B28">
            <w:pPr>
              <w:rPr>
                <w:sz w:val="22"/>
                <w:szCs w:val="22"/>
              </w:rPr>
            </w:pPr>
            <w:r w:rsidRPr="00407D5F">
              <w:rPr>
                <w:sz w:val="22"/>
                <w:szCs w:val="22"/>
              </w:rPr>
              <w:t>Open Banking</w:t>
            </w:r>
          </w:p>
        </w:tc>
        <w:tc>
          <w:tcPr>
            <w:tcW w:w="6520" w:type="dxa"/>
            <w:vAlign w:val="top"/>
          </w:tcPr>
          <w:p w14:paraId="7131EBE9"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The CDR based system giving customers access to and control over their banking data and data on banks’ products and services.</w:t>
            </w:r>
          </w:p>
        </w:tc>
      </w:tr>
    </w:tbl>
    <w:p w14:paraId="3ADD4C5B" w14:textId="77777777" w:rsidR="00122DE0" w:rsidRDefault="00122DE0">
      <w:r>
        <w:br w:type="page"/>
      </w:r>
    </w:p>
    <w:tbl>
      <w:tblPr>
        <w:tblStyle w:val="LightShading"/>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1"/>
        <w:gridCol w:w="6519"/>
      </w:tblGrid>
      <w:tr w:rsidR="00F5392A" w:rsidRPr="0048154D" w14:paraId="029BEACA" w14:textId="77777777" w:rsidTr="00E26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top"/>
          </w:tcPr>
          <w:p w14:paraId="235BD11F" w14:textId="26197D01" w:rsidR="00AD4B28" w:rsidRPr="00407D5F" w:rsidRDefault="00AD4B28">
            <w:pPr>
              <w:rPr>
                <w:sz w:val="22"/>
                <w:szCs w:val="22"/>
              </w:rPr>
            </w:pPr>
            <w:r w:rsidRPr="00407D5F">
              <w:rPr>
                <w:sz w:val="22"/>
                <w:szCs w:val="22"/>
              </w:rPr>
              <w:lastRenderedPageBreak/>
              <w:t>Outsourced service provider (OSP)</w:t>
            </w:r>
          </w:p>
        </w:tc>
        <w:tc>
          <w:tcPr>
            <w:tcW w:w="6520" w:type="dxa"/>
            <w:tcBorders>
              <w:top w:val="none" w:sz="0" w:space="0" w:color="auto"/>
              <w:left w:val="none" w:sz="0" w:space="0" w:color="auto"/>
              <w:bottom w:val="none" w:sz="0" w:space="0" w:color="auto"/>
              <w:right w:val="none" w:sz="0" w:space="0" w:color="auto"/>
            </w:tcBorders>
            <w:vAlign w:val="top"/>
          </w:tcPr>
          <w:p w14:paraId="14725E64" w14:textId="2A902E09" w:rsidR="00AD4B28" w:rsidRPr="00264953" w:rsidRDefault="00AD4B28">
            <w:pPr>
              <w:cnfStyle w:val="100000000000" w:firstRow="1" w:lastRow="0" w:firstColumn="0" w:lastColumn="0" w:oddVBand="0" w:evenVBand="0" w:oddHBand="0" w:evenHBand="0" w:firstRowFirstColumn="0" w:firstRowLastColumn="0" w:lastRowFirstColumn="0" w:lastRowLastColumn="0"/>
              <w:rPr>
                <w:b w:val="0"/>
                <w:sz w:val="22"/>
                <w:szCs w:val="24"/>
              </w:rPr>
            </w:pPr>
            <w:r w:rsidRPr="00264953">
              <w:rPr>
                <w:b w:val="0"/>
                <w:sz w:val="22"/>
                <w:szCs w:val="24"/>
              </w:rPr>
              <w:t xml:space="preserve">A person who, under a CDR outsourcing arrangement, receives CDR data from, or potentially discloses CDR data to, an accredited person </w:t>
            </w:r>
            <w:r w:rsidR="00264953">
              <w:rPr>
                <w:b w:val="0"/>
                <w:bCs w:val="0"/>
                <w:sz w:val="22"/>
                <w:szCs w:val="24"/>
              </w:rPr>
              <w:t>i</w:t>
            </w:r>
            <w:r w:rsidRPr="00264953">
              <w:rPr>
                <w:b w:val="0"/>
                <w:bCs w:val="0"/>
                <w:sz w:val="22"/>
                <w:szCs w:val="24"/>
              </w:rPr>
              <w:t>n</w:t>
            </w:r>
            <w:r w:rsidRPr="00264953">
              <w:rPr>
                <w:b w:val="0"/>
                <w:sz w:val="22"/>
                <w:szCs w:val="24"/>
              </w:rPr>
              <w:t xml:space="preserve"> order to assist the accredited person to provide goods and services to CDR consumers.</w:t>
            </w:r>
          </w:p>
        </w:tc>
      </w:tr>
      <w:tr w:rsidR="00F5392A" w:rsidRPr="0048154D" w14:paraId="1E832867" w14:textId="77777777" w:rsidTr="00E266D2">
        <w:tc>
          <w:tcPr>
            <w:cnfStyle w:val="001000000000" w:firstRow="0" w:lastRow="0" w:firstColumn="1" w:lastColumn="0" w:oddVBand="0" w:evenVBand="0" w:oddHBand="0" w:evenHBand="0" w:firstRowFirstColumn="0" w:firstRowLastColumn="0" w:lastRowFirstColumn="0" w:lastRowLastColumn="0"/>
            <w:tcW w:w="2551" w:type="dxa"/>
            <w:vAlign w:val="top"/>
          </w:tcPr>
          <w:p w14:paraId="328AED4C" w14:textId="77777777" w:rsidR="00AD4B28" w:rsidRPr="00407D5F" w:rsidRDefault="00AD4B28">
            <w:pPr>
              <w:rPr>
                <w:sz w:val="22"/>
                <w:szCs w:val="22"/>
              </w:rPr>
            </w:pPr>
            <w:r w:rsidRPr="00407D5F">
              <w:rPr>
                <w:sz w:val="22"/>
                <w:szCs w:val="22"/>
              </w:rPr>
              <w:t>PayTo</w:t>
            </w:r>
          </w:p>
        </w:tc>
        <w:tc>
          <w:tcPr>
            <w:tcW w:w="6520" w:type="dxa"/>
            <w:vAlign w:val="top"/>
          </w:tcPr>
          <w:p w14:paraId="16BE5302" w14:textId="119A2971"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PayTo is a new, digital way for merchants and businesses to initiate real</w:t>
            </w:r>
            <w:r w:rsidR="00AF2B64">
              <w:rPr>
                <w:sz w:val="22"/>
                <w:szCs w:val="22"/>
              </w:rPr>
              <w:noBreakHyphen/>
            </w:r>
            <w:r w:rsidRPr="00407D5F">
              <w:rPr>
                <w:sz w:val="22"/>
                <w:szCs w:val="22"/>
              </w:rPr>
              <w:t>time payments from their customers' bank accounts.</w:t>
            </w:r>
          </w:p>
        </w:tc>
      </w:tr>
      <w:tr w:rsidR="00F5392A" w:rsidRPr="0048154D" w14:paraId="59FEA2DC" w14:textId="77777777" w:rsidTr="00822EF9">
        <w:tc>
          <w:tcPr>
            <w:cnfStyle w:val="001000000000" w:firstRow="0" w:lastRow="0" w:firstColumn="1" w:lastColumn="0" w:oddVBand="0" w:evenVBand="0" w:oddHBand="0" w:evenHBand="0" w:firstRowFirstColumn="0" w:firstRowLastColumn="0" w:lastRowFirstColumn="0" w:lastRowLastColumn="0"/>
            <w:tcW w:w="2551" w:type="dxa"/>
            <w:vAlign w:val="top"/>
          </w:tcPr>
          <w:p w14:paraId="28B1C57F" w14:textId="77777777" w:rsidR="00AD4B28" w:rsidRPr="00407D5F" w:rsidRDefault="00AD4B28">
            <w:pPr>
              <w:rPr>
                <w:i/>
                <w:sz w:val="22"/>
                <w:szCs w:val="22"/>
              </w:rPr>
            </w:pPr>
            <w:r w:rsidRPr="00407D5F">
              <w:rPr>
                <w:sz w:val="22"/>
                <w:szCs w:val="22"/>
              </w:rPr>
              <w:t>Participant</w:t>
            </w:r>
          </w:p>
        </w:tc>
        <w:tc>
          <w:tcPr>
            <w:tcW w:w="6520" w:type="dxa"/>
            <w:vAlign w:val="top"/>
          </w:tcPr>
          <w:p w14:paraId="46F256F4"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CDR participants include ADRs, Data Holders, Representatives, Affiliates, Trusted Advisers. </w:t>
            </w:r>
          </w:p>
        </w:tc>
      </w:tr>
      <w:tr w:rsidR="00F5392A" w:rsidRPr="0048154D" w14:paraId="35CC1ECC" w14:textId="77777777" w:rsidTr="00822EF9">
        <w:tc>
          <w:tcPr>
            <w:cnfStyle w:val="001000000000" w:firstRow="0" w:lastRow="0" w:firstColumn="1" w:lastColumn="0" w:oddVBand="0" w:evenVBand="0" w:oddHBand="0" w:evenHBand="0" w:firstRowFirstColumn="0" w:firstRowLastColumn="0" w:lastRowFirstColumn="0" w:lastRowLastColumn="0"/>
            <w:tcW w:w="2551" w:type="dxa"/>
            <w:vAlign w:val="top"/>
          </w:tcPr>
          <w:p w14:paraId="18BAB20F" w14:textId="77777777" w:rsidR="00AD4B28" w:rsidRPr="00407D5F" w:rsidRDefault="00AD4B28">
            <w:pPr>
              <w:rPr>
                <w:sz w:val="22"/>
                <w:szCs w:val="22"/>
              </w:rPr>
            </w:pPr>
            <w:r w:rsidRPr="00407D5F">
              <w:rPr>
                <w:i/>
                <w:sz w:val="22"/>
                <w:szCs w:val="22"/>
              </w:rPr>
              <w:t>Privacy Act 1998</w:t>
            </w:r>
          </w:p>
        </w:tc>
        <w:tc>
          <w:tcPr>
            <w:tcW w:w="6520" w:type="dxa"/>
            <w:vAlign w:val="top"/>
          </w:tcPr>
          <w:p w14:paraId="4D4D9EA6"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Legislation designed to promote and protect the privacy of individuals and to regulate how Australian Government agencies and organisations with an annual turnover of more than $3 million, and some other organisations, handle personal information.</w:t>
            </w:r>
          </w:p>
        </w:tc>
      </w:tr>
      <w:tr w:rsidR="00F5392A" w:rsidRPr="0048154D" w14:paraId="5B6820BF" w14:textId="77777777" w:rsidTr="00822EF9">
        <w:tc>
          <w:tcPr>
            <w:cnfStyle w:val="001000000000" w:firstRow="0" w:lastRow="0" w:firstColumn="1" w:lastColumn="0" w:oddVBand="0" w:evenVBand="0" w:oddHBand="0" w:evenHBand="0" w:firstRowFirstColumn="0" w:firstRowLastColumn="0" w:lastRowFirstColumn="0" w:lastRowLastColumn="0"/>
            <w:tcW w:w="2551" w:type="dxa"/>
            <w:vAlign w:val="top"/>
          </w:tcPr>
          <w:p w14:paraId="72C63F70" w14:textId="77777777" w:rsidR="00AD4B28" w:rsidRPr="00407D5F" w:rsidRDefault="00AD4B28">
            <w:pPr>
              <w:rPr>
                <w:sz w:val="22"/>
                <w:szCs w:val="22"/>
              </w:rPr>
            </w:pPr>
            <w:r w:rsidRPr="00407D5F">
              <w:rPr>
                <w:sz w:val="22"/>
                <w:szCs w:val="22"/>
              </w:rPr>
              <w:t>Screen scraping</w:t>
            </w:r>
          </w:p>
        </w:tc>
        <w:tc>
          <w:tcPr>
            <w:tcW w:w="6520" w:type="dxa"/>
            <w:vAlign w:val="top"/>
          </w:tcPr>
          <w:p w14:paraId="3A7CA8E5"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The practice of third parties using a customer’s login credentials provided by the customer to extract data (such as account balance and transactions) from the information that the customer may see on their digital display.</w:t>
            </w:r>
          </w:p>
        </w:tc>
      </w:tr>
      <w:tr w:rsidR="00F5392A" w:rsidRPr="0048154D" w14:paraId="51F00948" w14:textId="77777777" w:rsidTr="00822EF9">
        <w:tc>
          <w:tcPr>
            <w:cnfStyle w:val="001000000000" w:firstRow="0" w:lastRow="0" w:firstColumn="1" w:lastColumn="0" w:oddVBand="0" w:evenVBand="0" w:oddHBand="0" w:evenHBand="0" w:firstRowFirstColumn="0" w:firstRowLastColumn="0" w:lastRowFirstColumn="0" w:lastRowLastColumn="0"/>
            <w:tcW w:w="2551" w:type="dxa"/>
            <w:vAlign w:val="top"/>
          </w:tcPr>
          <w:p w14:paraId="44BD2B22" w14:textId="77777777" w:rsidR="00AD4B28" w:rsidRPr="00407D5F" w:rsidRDefault="00AD4B28">
            <w:pPr>
              <w:rPr>
                <w:sz w:val="22"/>
                <w:szCs w:val="22"/>
              </w:rPr>
            </w:pPr>
            <w:r w:rsidRPr="00407D5F">
              <w:rPr>
                <w:sz w:val="22"/>
                <w:szCs w:val="22"/>
              </w:rPr>
              <w:t>Standard/s</w:t>
            </w:r>
          </w:p>
        </w:tc>
        <w:tc>
          <w:tcPr>
            <w:tcW w:w="6520" w:type="dxa"/>
            <w:vAlign w:val="top"/>
          </w:tcPr>
          <w:p w14:paraId="282C98D6" w14:textId="2A05209F"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 xml:space="preserve">The technical and consumer experience data standards made by the Data Standards Chair for the purpose of the Consumer Data Right to inform participants on how to comply with the </w:t>
            </w:r>
            <w:r w:rsidR="009D295F">
              <w:rPr>
                <w:sz w:val="22"/>
                <w:szCs w:val="22"/>
              </w:rPr>
              <w:t>r</w:t>
            </w:r>
            <w:r w:rsidRPr="00407D5F">
              <w:rPr>
                <w:sz w:val="22"/>
                <w:szCs w:val="22"/>
              </w:rPr>
              <w:t xml:space="preserve">ules. </w:t>
            </w:r>
          </w:p>
        </w:tc>
      </w:tr>
      <w:tr w:rsidR="00F5392A" w:rsidRPr="0048154D" w14:paraId="55D75E57" w14:textId="77777777" w:rsidTr="00822EF9">
        <w:tc>
          <w:tcPr>
            <w:cnfStyle w:val="001000000000" w:firstRow="0" w:lastRow="0" w:firstColumn="1" w:lastColumn="0" w:oddVBand="0" w:evenVBand="0" w:oddHBand="0" w:evenHBand="0" w:firstRowFirstColumn="0" w:firstRowLastColumn="0" w:lastRowFirstColumn="0" w:lastRowLastColumn="0"/>
            <w:tcW w:w="2551" w:type="dxa"/>
            <w:vAlign w:val="top"/>
          </w:tcPr>
          <w:p w14:paraId="00A0EA33" w14:textId="77777777" w:rsidR="00AD4B28" w:rsidRPr="00407D5F" w:rsidRDefault="00AD4B28">
            <w:pPr>
              <w:rPr>
                <w:sz w:val="22"/>
                <w:szCs w:val="22"/>
              </w:rPr>
            </w:pPr>
            <w:r w:rsidRPr="00407D5F">
              <w:rPr>
                <w:sz w:val="22"/>
                <w:szCs w:val="22"/>
              </w:rPr>
              <w:t>Strategic Assessment</w:t>
            </w:r>
          </w:p>
        </w:tc>
        <w:tc>
          <w:tcPr>
            <w:tcW w:w="6520" w:type="dxa"/>
            <w:vAlign w:val="top"/>
          </w:tcPr>
          <w:p w14:paraId="38454E3D"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A three-month assessment to inform an economy-wide Consumer Data Right, as announced as part of the former Government’s Digital Economy Strategy announced in the 2021-22 Budget.</w:t>
            </w:r>
          </w:p>
        </w:tc>
      </w:tr>
      <w:tr w:rsidR="00F5392A" w:rsidRPr="0048154D" w14:paraId="283A64DB" w14:textId="77777777" w:rsidTr="00822EF9">
        <w:trPr>
          <w:trHeight w:val="818"/>
        </w:trPr>
        <w:tc>
          <w:tcPr>
            <w:cnfStyle w:val="001000000000" w:firstRow="0" w:lastRow="0" w:firstColumn="1" w:lastColumn="0" w:oddVBand="0" w:evenVBand="0" w:oddHBand="0" w:evenHBand="0" w:firstRowFirstColumn="0" w:firstRowLastColumn="0" w:lastRowFirstColumn="0" w:lastRowLastColumn="0"/>
            <w:tcW w:w="2551" w:type="dxa"/>
            <w:vAlign w:val="top"/>
          </w:tcPr>
          <w:p w14:paraId="424B0F4A" w14:textId="77777777" w:rsidR="00AD4B28" w:rsidRPr="00407D5F" w:rsidRDefault="00AD4B28">
            <w:pPr>
              <w:rPr>
                <w:sz w:val="22"/>
                <w:szCs w:val="22"/>
              </w:rPr>
            </w:pPr>
            <w:r w:rsidRPr="00407D5F">
              <w:rPr>
                <w:sz w:val="22"/>
                <w:szCs w:val="22"/>
              </w:rPr>
              <w:t>Trusted Adviser</w:t>
            </w:r>
          </w:p>
        </w:tc>
        <w:tc>
          <w:tcPr>
            <w:tcW w:w="6520" w:type="dxa"/>
            <w:vAlign w:val="top"/>
          </w:tcPr>
          <w:p w14:paraId="549661FF"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A person who can be nominated by a consumer and with consent receive that consumer’s data from an ADR. Trusted advisers must belong to one of the specified professions listed in CDR Rule 1.10C(2). For example, accountants, registered tax agents, BAS agents.</w:t>
            </w:r>
          </w:p>
        </w:tc>
      </w:tr>
      <w:tr w:rsidR="00F5392A" w:rsidRPr="0048154D" w14:paraId="4467CE3F" w14:textId="77777777" w:rsidTr="00822EF9">
        <w:tc>
          <w:tcPr>
            <w:cnfStyle w:val="001000000000" w:firstRow="0" w:lastRow="0" w:firstColumn="1" w:lastColumn="0" w:oddVBand="0" w:evenVBand="0" w:oddHBand="0" w:evenHBand="0" w:firstRowFirstColumn="0" w:firstRowLastColumn="0" w:lastRowFirstColumn="0" w:lastRowLastColumn="0"/>
            <w:tcW w:w="2551" w:type="dxa"/>
            <w:vAlign w:val="top"/>
          </w:tcPr>
          <w:p w14:paraId="633BEAA4" w14:textId="77777777" w:rsidR="00AD4B28" w:rsidRPr="00407D5F" w:rsidRDefault="00AD4B28">
            <w:pPr>
              <w:rPr>
                <w:sz w:val="22"/>
                <w:szCs w:val="22"/>
              </w:rPr>
            </w:pPr>
            <w:r w:rsidRPr="00407D5F">
              <w:rPr>
                <w:sz w:val="22"/>
                <w:szCs w:val="22"/>
              </w:rPr>
              <w:t>Unique identifiers</w:t>
            </w:r>
          </w:p>
        </w:tc>
        <w:tc>
          <w:tcPr>
            <w:tcW w:w="6520" w:type="dxa"/>
            <w:vAlign w:val="top"/>
          </w:tcPr>
          <w:p w14:paraId="0CA5818E" w14:textId="4E16CEEF"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A unique identifier is an identifier that marks that particular record as unique from every other record</w:t>
            </w:r>
            <w:r w:rsidR="007A4B61">
              <w:rPr>
                <w:sz w:val="22"/>
                <w:szCs w:val="22"/>
              </w:rPr>
              <w:t>.</w:t>
            </w:r>
          </w:p>
        </w:tc>
      </w:tr>
      <w:tr w:rsidR="00F5392A" w:rsidRPr="0048154D" w14:paraId="7223E959" w14:textId="77777777" w:rsidTr="00822EF9">
        <w:tc>
          <w:tcPr>
            <w:cnfStyle w:val="001000000000" w:firstRow="0" w:lastRow="0" w:firstColumn="1" w:lastColumn="0" w:oddVBand="0" w:evenVBand="0" w:oddHBand="0" w:evenHBand="0" w:firstRowFirstColumn="0" w:firstRowLastColumn="0" w:lastRowFirstColumn="0" w:lastRowLastColumn="0"/>
            <w:tcW w:w="2551" w:type="dxa"/>
            <w:vAlign w:val="top"/>
          </w:tcPr>
          <w:p w14:paraId="5D60206D" w14:textId="77777777" w:rsidR="00AD4B28" w:rsidRPr="00407D5F" w:rsidRDefault="00AD4B28">
            <w:pPr>
              <w:rPr>
                <w:sz w:val="22"/>
                <w:szCs w:val="22"/>
              </w:rPr>
            </w:pPr>
            <w:r w:rsidRPr="00407D5F">
              <w:rPr>
                <w:sz w:val="22"/>
                <w:szCs w:val="22"/>
              </w:rPr>
              <w:t>Use case</w:t>
            </w:r>
          </w:p>
        </w:tc>
        <w:tc>
          <w:tcPr>
            <w:tcW w:w="6520" w:type="dxa"/>
            <w:vAlign w:val="top"/>
          </w:tcPr>
          <w:p w14:paraId="4BC8D1C2"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Where a particular dataset has a current and demonstrable application to the provision of a product or service.</w:t>
            </w:r>
          </w:p>
        </w:tc>
      </w:tr>
      <w:tr w:rsidR="00F5392A" w:rsidRPr="0048154D" w14:paraId="3E35CD93" w14:textId="77777777" w:rsidTr="00822EF9">
        <w:tc>
          <w:tcPr>
            <w:cnfStyle w:val="001000000000" w:firstRow="0" w:lastRow="0" w:firstColumn="1" w:lastColumn="0" w:oddVBand="0" w:evenVBand="0" w:oddHBand="0" w:evenHBand="0" w:firstRowFirstColumn="0" w:firstRowLastColumn="0" w:lastRowFirstColumn="0" w:lastRowLastColumn="0"/>
            <w:tcW w:w="2551" w:type="dxa"/>
            <w:vAlign w:val="top"/>
          </w:tcPr>
          <w:p w14:paraId="66BBEE6B" w14:textId="77777777" w:rsidR="00AD4B28" w:rsidRPr="00407D5F" w:rsidRDefault="00AD4B28">
            <w:pPr>
              <w:rPr>
                <w:sz w:val="22"/>
                <w:szCs w:val="22"/>
              </w:rPr>
            </w:pPr>
            <w:r w:rsidRPr="00407D5F">
              <w:rPr>
                <w:sz w:val="22"/>
                <w:szCs w:val="22"/>
              </w:rPr>
              <w:t>Vertical and horizontal integration</w:t>
            </w:r>
          </w:p>
        </w:tc>
        <w:tc>
          <w:tcPr>
            <w:tcW w:w="6520" w:type="dxa"/>
            <w:vAlign w:val="top"/>
          </w:tcPr>
          <w:p w14:paraId="52B67F13" w14:textId="77777777" w:rsidR="00AD4B28" w:rsidRPr="00407D5F" w:rsidRDefault="00AD4B28">
            <w:pPr>
              <w:cnfStyle w:val="000000000000" w:firstRow="0" w:lastRow="0" w:firstColumn="0" w:lastColumn="0" w:oddVBand="0" w:evenVBand="0" w:oddHBand="0" w:evenHBand="0" w:firstRowFirstColumn="0" w:firstRowLastColumn="0" w:lastRowFirstColumn="0" w:lastRowLastColumn="0"/>
              <w:rPr>
                <w:sz w:val="22"/>
                <w:szCs w:val="22"/>
              </w:rPr>
            </w:pPr>
            <w:r w:rsidRPr="00407D5F">
              <w:rPr>
                <w:sz w:val="22"/>
                <w:szCs w:val="22"/>
              </w:rPr>
              <w:t>Vertical integration is the capacity for innovators to engage consumer within their industry. Horizontal integration is the connectedness between sectors particularly such that cross-sectoral use cases are enabled.</w:t>
            </w:r>
          </w:p>
        </w:tc>
      </w:tr>
    </w:tbl>
    <w:p w14:paraId="2A6727CB" w14:textId="77777777" w:rsidR="00206C74" w:rsidRDefault="00206C74">
      <w:pPr>
        <w:spacing w:before="0" w:after="160" w:line="259" w:lineRule="auto"/>
        <w:rPr>
          <w:rFonts w:ascii="Calibri" w:hAnsi="Calibri" w:cs="Arial"/>
          <w:b/>
          <w:color w:val="5D779D" w:themeColor="accent3"/>
          <w:kern w:val="32"/>
          <w:sz w:val="44"/>
          <w:szCs w:val="36"/>
        </w:rPr>
      </w:pPr>
      <w:bookmarkStart w:id="150" w:name="_Toc106286111"/>
      <w:bookmarkStart w:id="151" w:name="_Toc106358422"/>
      <w:bookmarkStart w:id="152" w:name="_Toc108797518"/>
      <w:bookmarkEnd w:id="147"/>
      <w:bookmarkEnd w:id="148"/>
      <w:bookmarkEnd w:id="149"/>
      <w:r>
        <w:br w:type="page"/>
      </w:r>
    </w:p>
    <w:p w14:paraId="3841C2C1" w14:textId="77777777" w:rsidR="00265FE3" w:rsidRDefault="00265FE3">
      <w:pPr>
        <w:pStyle w:val="Heading1"/>
      </w:pPr>
      <w:bookmarkStart w:id="153" w:name="_Toc110602901"/>
      <w:r>
        <w:lastRenderedPageBreak/>
        <w:t>Appendix A – Context of the Review</w:t>
      </w:r>
      <w:bookmarkEnd w:id="150"/>
      <w:bookmarkEnd w:id="151"/>
      <w:bookmarkEnd w:id="152"/>
      <w:bookmarkEnd w:id="153"/>
    </w:p>
    <w:p w14:paraId="32F78AC5" w14:textId="77777777" w:rsidR="005C4428" w:rsidRPr="00693150" w:rsidRDefault="005C4428" w:rsidP="005C4428">
      <w:pPr>
        <w:pStyle w:val="Heading2"/>
      </w:pPr>
      <w:bookmarkStart w:id="154" w:name="_Toc107222977"/>
      <w:bookmarkStart w:id="155" w:name="_Toc107397662"/>
      <w:bookmarkStart w:id="156" w:name="_Toc107397962"/>
      <w:bookmarkStart w:id="157" w:name="_Toc107404842"/>
      <w:bookmarkStart w:id="158" w:name="_Toc107404913"/>
      <w:bookmarkStart w:id="159" w:name="_Toc107406856"/>
      <w:bookmarkStart w:id="160" w:name="_Toc107479747"/>
      <w:bookmarkStart w:id="161" w:name="_Toc108188834"/>
      <w:bookmarkStart w:id="162" w:name="_Toc108441839"/>
      <w:bookmarkStart w:id="163" w:name="_Toc108442537"/>
      <w:bookmarkStart w:id="164" w:name="_Toc108623249"/>
      <w:bookmarkStart w:id="165" w:name="_Toc108689090"/>
      <w:bookmarkStart w:id="166" w:name="_Toc108797519"/>
      <w:bookmarkStart w:id="167" w:name="_Toc108798800"/>
      <w:bookmarkStart w:id="168" w:name="_Toc108799294"/>
      <w:bookmarkStart w:id="169" w:name="_Toc109390409"/>
      <w:bookmarkStart w:id="170" w:name="_Toc109810550"/>
      <w:bookmarkStart w:id="171" w:name="_Toc110409191"/>
      <w:bookmarkStart w:id="172" w:name="_Toc110602902"/>
      <w:bookmarkStart w:id="173" w:name="_Toc105667688"/>
      <w:bookmarkStart w:id="174" w:name="_Toc106115761"/>
      <w:bookmarkStart w:id="175" w:name="_Toc106286112"/>
      <w:bookmarkStart w:id="176" w:name="_Toc106358492"/>
      <w:bookmarkStart w:id="177" w:name="_Toc106358423"/>
      <w:bookmarkStart w:id="178" w:name="_Toc106376947"/>
      <w:bookmarkStart w:id="179" w:name="_Toc105139653"/>
      <w:bookmarkStart w:id="180" w:name="_Toc105149437"/>
      <w:bookmarkStart w:id="181" w:name="_Toc105162728"/>
      <w:r w:rsidRPr="00693150">
        <w:t>Background to the Review</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5D936A1A" w14:textId="77777777" w:rsidR="005C4428" w:rsidRDefault="005C4428" w:rsidP="005C4428">
      <w:pPr>
        <w:rPr>
          <w:rFonts w:cstheme="minorHAnsi"/>
        </w:rPr>
      </w:pPr>
      <w:r>
        <w:rPr>
          <w:rFonts w:cstheme="minorHAnsi"/>
        </w:rPr>
        <w:t xml:space="preserve">This Review was undertaken in the context of significant policy and governance developments in the CDR. This includes the roll out of the CDR to the banking sector, the introduction of rules to bring the energy sector into the CDR from late 2022, and the finalisation of the sectoral assessment and designation process for the telecommunications sector. The practical application of the CDR initiative to these three sectors provides a good opportunity to reflect on the efficacy of the statutory framework as the CDR grows. </w:t>
      </w:r>
    </w:p>
    <w:p w14:paraId="7B5A4CAC" w14:textId="77777777" w:rsidR="005C4428" w:rsidRDefault="005C4428" w:rsidP="005C4428">
      <w:pPr>
        <w:rPr>
          <w:rFonts w:cstheme="minorHAnsi"/>
        </w:rPr>
      </w:pPr>
      <w:r>
        <w:rPr>
          <w:rFonts w:cstheme="minorHAnsi"/>
        </w:rPr>
        <w:t>The CDR is a multi-year, complex initiative that will continue to grow and evolve over the next decade. As such the Review will need to consider the policy, governance and any other relevant recent developments in the CDR in responding to the Terms of Reference, including:</w:t>
      </w:r>
    </w:p>
    <w:p w14:paraId="523C4B88" w14:textId="275D8506" w:rsidR="005C4428" w:rsidRDefault="005C4428" w:rsidP="00F42744">
      <w:pPr>
        <w:pStyle w:val="Bullet"/>
        <w:numPr>
          <w:ilvl w:val="0"/>
          <w:numId w:val="1"/>
        </w:numPr>
        <w:tabs>
          <w:tab w:val="clear" w:pos="283"/>
          <w:tab w:val="num" w:pos="720"/>
        </w:tabs>
        <w:spacing w:line="240" w:lineRule="auto"/>
        <w:ind w:left="284"/>
      </w:pPr>
      <w:r>
        <w:t>The former Government’s response</w:t>
      </w:r>
      <w:r w:rsidRPr="00600205">
        <w:rPr>
          <w:rStyle w:val="FootnoteReference"/>
          <w:rFonts w:cstheme="minorHAnsi"/>
          <w:vertAlign w:val="superscript"/>
        </w:rPr>
        <w:footnoteReference w:id="51"/>
      </w:r>
      <w:r>
        <w:t xml:space="preserve"> to the final report</w:t>
      </w:r>
      <w:r w:rsidRPr="00600205">
        <w:rPr>
          <w:rStyle w:val="FootnoteReference"/>
          <w:rFonts w:cstheme="minorHAnsi"/>
          <w:vertAlign w:val="superscript"/>
        </w:rPr>
        <w:footnoteReference w:id="52"/>
      </w:r>
      <w:r>
        <w:t xml:space="preserve"> of the </w:t>
      </w:r>
      <w:r w:rsidR="004E25A1">
        <w:t xml:space="preserve">Future Directions </w:t>
      </w:r>
      <w:r>
        <w:t>Inquiry, which provides options to expand and enhance the functionality of the CDR.</w:t>
      </w:r>
    </w:p>
    <w:p w14:paraId="6E2A93B8" w14:textId="42EF4755" w:rsidR="005C4428" w:rsidRDefault="005C4428" w:rsidP="00F42744">
      <w:pPr>
        <w:pStyle w:val="Bullet"/>
        <w:numPr>
          <w:ilvl w:val="0"/>
          <w:numId w:val="1"/>
        </w:numPr>
        <w:tabs>
          <w:tab w:val="clear" w:pos="283"/>
          <w:tab w:val="num" w:pos="720"/>
        </w:tabs>
        <w:spacing w:line="240" w:lineRule="auto"/>
        <w:ind w:left="284"/>
      </w:pPr>
      <w:r>
        <w:t>The release of the former Government’s Digital Economy Strategy</w:t>
      </w:r>
      <w:r w:rsidRPr="00B81555">
        <w:rPr>
          <w:rStyle w:val="FootnoteReference"/>
          <w:rFonts w:cstheme="minorHAnsi"/>
          <w:sz w:val="22"/>
          <w:szCs w:val="22"/>
          <w:vertAlign w:val="superscript"/>
        </w:rPr>
        <w:footnoteReference w:id="53"/>
      </w:r>
      <w:r>
        <w:t xml:space="preserve"> (announced as part of the 2021-22 Budget), which sets out a roadmap of initiatives to ensure Australia is a world-leading Digital Economy by 2030 – including the Australian Data Strategy,</w:t>
      </w:r>
      <w:r w:rsidRPr="007E1873">
        <w:rPr>
          <w:rStyle w:val="FootnoteReference"/>
          <w:rFonts w:cstheme="minorHAnsi"/>
          <w:sz w:val="22"/>
          <w:szCs w:val="22"/>
          <w:vertAlign w:val="superscript"/>
        </w:rPr>
        <w:footnoteReference w:id="54"/>
      </w:r>
      <w:r>
        <w:t xml:space="preserve"> and the expansion of the Digital Identity System. </w:t>
      </w:r>
    </w:p>
    <w:p w14:paraId="7271E896" w14:textId="77777777" w:rsidR="005C4428" w:rsidRDefault="005C4428" w:rsidP="00F42744">
      <w:pPr>
        <w:pStyle w:val="Bullet"/>
        <w:numPr>
          <w:ilvl w:val="0"/>
          <w:numId w:val="1"/>
        </w:numPr>
        <w:tabs>
          <w:tab w:val="clear" w:pos="283"/>
          <w:tab w:val="num" w:pos="720"/>
        </w:tabs>
        <w:spacing w:line="240" w:lineRule="auto"/>
        <w:ind w:left="284"/>
      </w:pPr>
      <w:r>
        <w:t>The CDR Strategic Assessment to inform the future expansion of the CDR, with a relevant consultation paper released by Treasury in July 2021.</w:t>
      </w:r>
      <w:r w:rsidRPr="007E1873">
        <w:rPr>
          <w:rStyle w:val="FootnoteReference"/>
          <w:rFonts w:cstheme="minorHAnsi"/>
          <w:sz w:val="22"/>
          <w:szCs w:val="24"/>
          <w:vertAlign w:val="superscript"/>
        </w:rPr>
        <w:footnoteReference w:id="55"/>
      </w:r>
      <w:r>
        <w:t xml:space="preserve"> </w:t>
      </w:r>
    </w:p>
    <w:p w14:paraId="16F4AE51" w14:textId="77777777" w:rsidR="005C4428" w:rsidRDefault="005C4428" w:rsidP="00F42744">
      <w:pPr>
        <w:pStyle w:val="Bullet"/>
        <w:numPr>
          <w:ilvl w:val="0"/>
          <w:numId w:val="1"/>
        </w:numPr>
        <w:tabs>
          <w:tab w:val="clear" w:pos="283"/>
          <w:tab w:val="num" w:pos="720"/>
        </w:tabs>
        <w:spacing w:line="240" w:lineRule="auto"/>
        <w:ind w:left="284"/>
      </w:pPr>
      <w:r>
        <w:t>Updates to CDR rules to support greater participation within the CDR ecosystem.</w:t>
      </w:r>
    </w:p>
    <w:p w14:paraId="2A655DB8" w14:textId="47EAEF1D" w:rsidR="005C4428" w:rsidRDefault="005C4428" w:rsidP="00600205">
      <w:pPr>
        <w:pStyle w:val="Bullet"/>
        <w:numPr>
          <w:ilvl w:val="0"/>
          <w:numId w:val="1"/>
        </w:numPr>
        <w:tabs>
          <w:tab w:val="clear" w:pos="283"/>
          <w:tab w:val="num" w:pos="720"/>
        </w:tabs>
        <w:spacing w:line="240" w:lineRule="auto"/>
        <w:ind w:left="284"/>
      </w:pPr>
      <w:r>
        <w:t>International developments in consumer-initiated data portability.</w:t>
      </w:r>
    </w:p>
    <w:p w14:paraId="09354D05" w14:textId="77777777" w:rsidR="00122DE0" w:rsidRDefault="00122DE0">
      <w:pPr>
        <w:spacing w:before="0" w:after="160" w:line="259" w:lineRule="auto"/>
        <w:rPr>
          <w:rFonts w:ascii="Calibri" w:hAnsi="Calibri" w:cs="Arial"/>
          <w:iCs/>
          <w:color w:val="2C384A"/>
          <w:kern w:val="32"/>
          <w:sz w:val="36"/>
          <w:szCs w:val="28"/>
        </w:rPr>
      </w:pPr>
      <w:bookmarkStart w:id="182" w:name="_Toc107222978"/>
      <w:bookmarkStart w:id="183" w:name="_Toc107397663"/>
      <w:bookmarkStart w:id="184" w:name="_Toc107397963"/>
      <w:bookmarkStart w:id="185" w:name="_Toc107404843"/>
      <w:bookmarkStart w:id="186" w:name="_Toc107404914"/>
      <w:bookmarkStart w:id="187" w:name="_Toc107406857"/>
      <w:bookmarkStart w:id="188" w:name="_Toc107479748"/>
      <w:bookmarkStart w:id="189" w:name="_Toc108188835"/>
      <w:bookmarkStart w:id="190" w:name="_Toc108441840"/>
      <w:bookmarkStart w:id="191" w:name="_Toc108442538"/>
      <w:bookmarkStart w:id="192" w:name="_Toc108623250"/>
      <w:bookmarkStart w:id="193" w:name="_Toc108689091"/>
      <w:bookmarkStart w:id="194" w:name="_Toc108797520"/>
      <w:bookmarkStart w:id="195" w:name="_Toc108798801"/>
      <w:bookmarkStart w:id="196" w:name="_Toc108799295"/>
      <w:bookmarkStart w:id="197" w:name="_Toc109390410"/>
      <w:bookmarkStart w:id="198" w:name="_Toc109810551"/>
      <w:bookmarkStart w:id="199" w:name="_Toc110409192"/>
      <w:bookmarkEnd w:id="173"/>
      <w:bookmarkEnd w:id="174"/>
      <w:bookmarkEnd w:id="175"/>
      <w:bookmarkEnd w:id="176"/>
      <w:bookmarkEnd w:id="177"/>
      <w:bookmarkEnd w:id="178"/>
      <w:r>
        <w:br w:type="page"/>
      </w:r>
    </w:p>
    <w:p w14:paraId="4DD92BB9" w14:textId="1FA7F381" w:rsidR="00265FE3" w:rsidRPr="001705A1" w:rsidRDefault="00265FE3" w:rsidP="00265FE3">
      <w:pPr>
        <w:pStyle w:val="Heading2"/>
      </w:pPr>
      <w:bookmarkStart w:id="200" w:name="_Toc110602903"/>
      <w:r>
        <w:lastRenderedPageBreak/>
        <w:t>Terms of Reference</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F6F283C" w14:textId="77777777" w:rsidR="00265FE3" w:rsidRPr="00015397" w:rsidRDefault="00265FE3" w:rsidP="00F42744">
      <w:pPr>
        <w:pStyle w:val="Bullet"/>
        <w:numPr>
          <w:ilvl w:val="0"/>
          <w:numId w:val="1"/>
        </w:numPr>
        <w:tabs>
          <w:tab w:val="clear" w:pos="283"/>
          <w:tab w:val="num" w:pos="720"/>
        </w:tabs>
        <w:spacing w:before="120" w:line="240" w:lineRule="auto"/>
        <w:ind w:left="284"/>
      </w:pPr>
      <w:r w:rsidRPr="00015397">
        <w:t xml:space="preserve">Are the objects of Part IVD of the Act fit-for-purpose and optimally aligned to facilitate economy-wide expansion of the CDR? </w:t>
      </w:r>
    </w:p>
    <w:p w14:paraId="066738FA" w14:textId="77777777" w:rsidR="00265FE3" w:rsidRPr="00015397" w:rsidRDefault="00265FE3" w:rsidP="00F42744">
      <w:pPr>
        <w:pStyle w:val="Bullet"/>
        <w:numPr>
          <w:ilvl w:val="0"/>
          <w:numId w:val="1"/>
        </w:numPr>
        <w:tabs>
          <w:tab w:val="clear" w:pos="283"/>
          <w:tab w:val="num" w:pos="720"/>
        </w:tabs>
        <w:spacing w:before="120" w:line="240" w:lineRule="auto"/>
        <w:ind w:left="284"/>
      </w:pPr>
      <w:r w:rsidRPr="00015397">
        <w:t xml:space="preserve">Do the existing assessment, designation, rule-making and standard-setting requirements of the CDR framework support future implementation of the CDR, including to government-held datasets? </w:t>
      </w:r>
    </w:p>
    <w:p w14:paraId="4101849E" w14:textId="77777777" w:rsidR="00265FE3" w:rsidRPr="00015397" w:rsidRDefault="00265FE3" w:rsidP="00F42744">
      <w:pPr>
        <w:pStyle w:val="Bullet"/>
        <w:numPr>
          <w:ilvl w:val="0"/>
          <w:numId w:val="1"/>
        </w:numPr>
        <w:tabs>
          <w:tab w:val="clear" w:pos="283"/>
          <w:tab w:val="num" w:pos="720"/>
        </w:tabs>
        <w:spacing w:before="120" w:line="240" w:lineRule="auto"/>
        <w:ind w:left="284"/>
      </w:pPr>
      <w:r w:rsidRPr="00015397">
        <w:t xml:space="preserve">Does the current operation of the statutory settings enable the development of CDR-powered products and services to benefit consumers? </w:t>
      </w:r>
    </w:p>
    <w:p w14:paraId="72498B45" w14:textId="77777777" w:rsidR="00265FE3" w:rsidRDefault="00265FE3" w:rsidP="00F42744">
      <w:pPr>
        <w:pStyle w:val="Bullet"/>
        <w:numPr>
          <w:ilvl w:val="0"/>
          <w:numId w:val="1"/>
        </w:numPr>
        <w:tabs>
          <w:tab w:val="clear" w:pos="283"/>
          <w:tab w:val="num" w:pos="720"/>
        </w:tabs>
        <w:spacing w:before="120" w:line="240" w:lineRule="auto"/>
        <w:ind w:left="284"/>
      </w:pPr>
      <w:r w:rsidRPr="00015397">
        <w:t xml:space="preserve">Could the CDR statutory framework be revised to facilitate direct to consumer data sharing opportunities and address potential risks? </w:t>
      </w:r>
    </w:p>
    <w:p w14:paraId="0A70C929" w14:textId="77777777" w:rsidR="00265FE3" w:rsidRPr="00962350" w:rsidRDefault="00265FE3" w:rsidP="00F42744">
      <w:pPr>
        <w:pStyle w:val="Bullet"/>
        <w:numPr>
          <w:ilvl w:val="0"/>
          <w:numId w:val="1"/>
        </w:numPr>
        <w:tabs>
          <w:tab w:val="clear" w:pos="283"/>
          <w:tab w:val="num" w:pos="720"/>
        </w:tabs>
        <w:spacing w:before="120" w:line="240" w:lineRule="auto"/>
        <w:ind w:left="284"/>
        <w:rPr>
          <w:rFonts w:eastAsiaTheme="majorEastAsia"/>
        </w:rPr>
      </w:pPr>
      <w:r w:rsidRPr="00015397">
        <w:t>Are further statutory changes required to support the policy aims of CDR and the delivery of its functions?</w:t>
      </w:r>
    </w:p>
    <w:p w14:paraId="23E1DD5F" w14:textId="77777777" w:rsidR="00265FE3" w:rsidRDefault="00265FE3" w:rsidP="00265FE3">
      <w:pPr>
        <w:pStyle w:val="Heading2"/>
      </w:pPr>
      <w:bookmarkStart w:id="201" w:name="_Toc105667689"/>
      <w:bookmarkStart w:id="202" w:name="_Toc106115762"/>
      <w:bookmarkStart w:id="203" w:name="_Toc106286113"/>
      <w:bookmarkStart w:id="204" w:name="_Toc106358493"/>
      <w:bookmarkStart w:id="205" w:name="_Toc106358424"/>
      <w:bookmarkStart w:id="206" w:name="_Toc106376948"/>
      <w:bookmarkStart w:id="207" w:name="_Toc107222979"/>
      <w:bookmarkStart w:id="208" w:name="_Toc107397664"/>
      <w:bookmarkStart w:id="209" w:name="_Toc107397964"/>
      <w:bookmarkStart w:id="210" w:name="_Toc107404844"/>
      <w:bookmarkStart w:id="211" w:name="_Toc107404915"/>
      <w:bookmarkStart w:id="212" w:name="_Toc107406858"/>
      <w:bookmarkStart w:id="213" w:name="_Toc107479749"/>
      <w:bookmarkStart w:id="214" w:name="_Toc108188836"/>
      <w:bookmarkStart w:id="215" w:name="_Toc108441841"/>
      <w:bookmarkStart w:id="216" w:name="_Toc108442539"/>
      <w:bookmarkStart w:id="217" w:name="_Toc108623251"/>
      <w:bookmarkStart w:id="218" w:name="_Toc108689092"/>
      <w:bookmarkStart w:id="219" w:name="_Toc108797521"/>
      <w:bookmarkStart w:id="220" w:name="_Toc108798802"/>
      <w:bookmarkStart w:id="221" w:name="_Toc108799296"/>
      <w:bookmarkStart w:id="222" w:name="_Toc109390411"/>
      <w:bookmarkStart w:id="223" w:name="_Toc109810552"/>
      <w:bookmarkStart w:id="224" w:name="_Toc110409193"/>
      <w:bookmarkStart w:id="225" w:name="_Toc110602904"/>
      <w:r>
        <w:t>Objects of 56AA of the Act</w:t>
      </w:r>
      <w:bookmarkEnd w:id="179"/>
      <w:bookmarkEnd w:id="180"/>
      <w:bookmarkEnd w:id="181"/>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AF6572F" w14:textId="77777777" w:rsidR="00265FE3" w:rsidRDefault="00265FE3" w:rsidP="00265FE3">
      <w:r>
        <w:t>The object of this Part is:</w:t>
      </w:r>
    </w:p>
    <w:p w14:paraId="477B7F77" w14:textId="77777777" w:rsidR="00265FE3" w:rsidRPr="00DC03B9" w:rsidRDefault="00265FE3" w:rsidP="00C1168A">
      <w:pPr>
        <w:pStyle w:val="alist"/>
      </w:pPr>
      <w:r w:rsidRPr="00822EF9">
        <w:t>to enable consumers in certain sectors of the Australian economy to require information relating to themselves in those sectors to be disclosed safely, efficiently and conveniently</w:t>
      </w:r>
    </w:p>
    <w:p w14:paraId="67D5C674" w14:textId="77777777" w:rsidR="00265FE3" w:rsidRPr="00167D86" w:rsidRDefault="00265FE3" w:rsidP="00C1168A">
      <w:pPr>
        <w:pStyle w:val="alist-level2"/>
      </w:pPr>
      <w:r w:rsidRPr="00D4755B">
        <w:t>to themselves for use as they see fit; or</w:t>
      </w:r>
    </w:p>
    <w:p w14:paraId="0F2B4242" w14:textId="77777777" w:rsidR="00265FE3" w:rsidRPr="002252C2" w:rsidRDefault="00265FE3" w:rsidP="00C1168A">
      <w:pPr>
        <w:pStyle w:val="alist-level2"/>
      </w:pPr>
      <w:r w:rsidRPr="00E6039E">
        <w:t>to accredited persons for use subject to privacy safeguards; and</w:t>
      </w:r>
    </w:p>
    <w:p w14:paraId="0999A9F5" w14:textId="77777777" w:rsidR="00265FE3" w:rsidRDefault="00265FE3" w:rsidP="00C1168A">
      <w:pPr>
        <w:pStyle w:val="alist"/>
      </w:pPr>
      <w:r>
        <w:t>to enable any person to efficiently and conveniently access information in those sectors that:</w:t>
      </w:r>
    </w:p>
    <w:p w14:paraId="6719D685" w14:textId="77777777" w:rsidR="00265FE3" w:rsidRPr="00DC03B9" w:rsidRDefault="00265FE3" w:rsidP="00C1168A">
      <w:pPr>
        <w:pStyle w:val="alist-level2"/>
        <w:numPr>
          <w:ilvl w:val="0"/>
          <w:numId w:val="52"/>
        </w:numPr>
        <w:ind w:left="568" w:hanging="284"/>
      </w:pPr>
      <w:r w:rsidRPr="00822EF9">
        <w:t>is about goods (such as products) or services; and</w:t>
      </w:r>
    </w:p>
    <w:p w14:paraId="6547A732" w14:textId="77777777" w:rsidR="00265FE3" w:rsidRPr="00167D86" w:rsidRDefault="00265FE3" w:rsidP="00C1168A">
      <w:pPr>
        <w:pStyle w:val="alist-level2"/>
      </w:pPr>
      <w:r w:rsidRPr="00D4755B">
        <w:t>does not relate to any identifiable, or reasonably identifiable, consumers; and</w:t>
      </w:r>
    </w:p>
    <w:p w14:paraId="16717D70" w14:textId="6059FDF6" w:rsidR="003E5888" w:rsidRDefault="00265FE3" w:rsidP="00C1168A">
      <w:pPr>
        <w:pStyle w:val="alist-level2"/>
      </w:pPr>
      <w:r>
        <w:t>as a result of paragraphs (a) and (b), to create more choice and competition, or to otherwise promote the public interest.</w:t>
      </w:r>
    </w:p>
    <w:p w14:paraId="215B6866" w14:textId="2DF31688" w:rsidR="003E5888" w:rsidRDefault="00357FA5" w:rsidP="003E5888">
      <w:pPr>
        <w:pStyle w:val="Heading2"/>
      </w:pPr>
      <w:bookmarkStart w:id="226" w:name="_Toc108188837"/>
      <w:bookmarkStart w:id="227" w:name="_Toc108441842"/>
      <w:bookmarkStart w:id="228" w:name="_Toc108442540"/>
      <w:bookmarkStart w:id="229" w:name="_Toc108623252"/>
      <w:bookmarkStart w:id="230" w:name="_Toc108689093"/>
      <w:bookmarkStart w:id="231" w:name="_Toc108797522"/>
      <w:bookmarkStart w:id="232" w:name="_Toc108798803"/>
      <w:bookmarkStart w:id="233" w:name="_Toc108799297"/>
      <w:bookmarkStart w:id="234" w:name="_Toc109390412"/>
      <w:bookmarkStart w:id="235" w:name="_Toc109810553"/>
      <w:bookmarkStart w:id="236" w:name="_Toc110409194"/>
      <w:bookmarkStart w:id="237" w:name="_Toc110602905"/>
      <w:bookmarkStart w:id="238" w:name="_Toc107222980"/>
      <w:bookmarkStart w:id="239" w:name="_Toc107397665"/>
      <w:bookmarkStart w:id="240" w:name="_Toc107397965"/>
      <w:bookmarkStart w:id="241" w:name="_Toc107404845"/>
      <w:bookmarkStart w:id="242" w:name="_Toc107404916"/>
      <w:bookmarkStart w:id="243" w:name="_Toc107406859"/>
      <w:bookmarkStart w:id="244" w:name="_Toc107479750"/>
      <w:r>
        <w:t xml:space="preserve">CDR </w:t>
      </w:r>
      <w:r w:rsidR="006A27D7">
        <w:t>r</w:t>
      </w:r>
      <w:r>
        <w:t xml:space="preserve">ules </w:t>
      </w:r>
      <w:r w:rsidR="00CC5106">
        <w:t>discussed</w:t>
      </w:r>
      <w:r>
        <w:t xml:space="preserve"> </w:t>
      </w:r>
      <w:r w:rsidR="00CC5106">
        <w:t>in</w:t>
      </w:r>
      <w:r>
        <w:t xml:space="preserve"> the </w:t>
      </w:r>
      <w:r w:rsidR="00CC5106">
        <w:t>r</w:t>
      </w:r>
      <w:r>
        <w:t>eview</w:t>
      </w:r>
      <w:bookmarkEnd w:id="226"/>
      <w:bookmarkEnd w:id="227"/>
      <w:bookmarkEnd w:id="228"/>
      <w:bookmarkEnd w:id="229"/>
      <w:bookmarkEnd w:id="230"/>
      <w:bookmarkEnd w:id="231"/>
      <w:bookmarkEnd w:id="232"/>
      <w:bookmarkEnd w:id="233"/>
      <w:bookmarkEnd w:id="234"/>
      <w:bookmarkEnd w:id="235"/>
      <w:bookmarkEnd w:id="236"/>
      <w:bookmarkEnd w:id="237"/>
      <w:r>
        <w:t xml:space="preserve"> </w:t>
      </w:r>
      <w:bookmarkEnd w:id="238"/>
      <w:bookmarkEnd w:id="239"/>
      <w:bookmarkEnd w:id="240"/>
      <w:bookmarkEnd w:id="241"/>
      <w:bookmarkEnd w:id="242"/>
      <w:bookmarkEnd w:id="243"/>
      <w:bookmarkEnd w:id="244"/>
    </w:p>
    <w:p w14:paraId="200A65E9" w14:textId="6982C13F" w:rsidR="00CC5106" w:rsidRPr="00C1168A" w:rsidRDefault="00CC5106" w:rsidP="00786F2E">
      <w:pPr>
        <w:pStyle w:val="numberedlist"/>
      </w:pPr>
      <w:r w:rsidRPr="00713D6A">
        <w:t>4.9</w:t>
      </w:r>
      <w:r w:rsidR="00713D6A" w:rsidRPr="00713D6A">
        <w:tab/>
      </w:r>
      <w:r w:rsidRPr="00713D6A">
        <w:t>Object</w:t>
      </w:r>
      <w:r w:rsidR="00452043">
        <w:t xml:space="preserve"> – </w:t>
      </w:r>
      <w:r w:rsidRPr="00452043">
        <w:t>The object of this Division is to ensure that a consent given by a CDR consumer to collect and use CDR data is:</w:t>
      </w:r>
    </w:p>
    <w:p w14:paraId="49F46FDD" w14:textId="31FDD0F0" w:rsidR="00CC5106" w:rsidRPr="00C1168A" w:rsidRDefault="00CC5106" w:rsidP="00C1168A">
      <w:pPr>
        <w:pStyle w:val="Listparagraph-level1"/>
        <w:numPr>
          <w:ilvl w:val="0"/>
          <w:numId w:val="54"/>
        </w:numPr>
        <w:ind w:left="851" w:hanging="284"/>
      </w:pPr>
      <w:r w:rsidRPr="00822EF9">
        <w:t>voluntary; and</w:t>
      </w:r>
    </w:p>
    <w:p w14:paraId="4174516B" w14:textId="19F7473D" w:rsidR="00CC5106" w:rsidRPr="00C1168A" w:rsidRDefault="00CC5106" w:rsidP="00C1168A">
      <w:pPr>
        <w:pStyle w:val="blist-level2"/>
      </w:pPr>
      <w:r w:rsidRPr="00822EF9">
        <w:t>express; and</w:t>
      </w:r>
    </w:p>
    <w:p w14:paraId="2664516F" w14:textId="247879D5" w:rsidR="00CC5106" w:rsidRPr="00C1168A" w:rsidRDefault="00CC5106" w:rsidP="00C1168A">
      <w:pPr>
        <w:pStyle w:val="blist-level2"/>
      </w:pPr>
      <w:r w:rsidRPr="00822EF9">
        <w:t>informed; and</w:t>
      </w:r>
    </w:p>
    <w:p w14:paraId="7194E7D0" w14:textId="6C67C124" w:rsidR="00CC5106" w:rsidRPr="00C1168A" w:rsidRDefault="00CC5106" w:rsidP="00C1168A">
      <w:pPr>
        <w:pStyle w:val="blist-level2"/>
      </w:pPr>
      <w:r w:rsidRPr="00822EF9">
        <w:t>specific as to purpose; and</w:t>
      </w:r>
    </w:p>
    <w:p w14:paraId="788E0441" w14:textId="6953E28D" w:rsidR="00CC5106" w:rsidRPr="00C1168A" w:rsidRDefault="00CC5106" w:rsidP="00C1168A">
      <w:pPr>
        <w:pStyle w:val="blist-level2"/>
      </w:pPr>
      <w:r w:rsidRPr="00822EF9">
        <w:t>time limited; and</w:t>
      </w:r>
    </w:p>
    <w:p w14:paraId="7B462ED1" w14:textId="20F0ABFC" w:rsidR="00CC5106" w:rsidRPr="00DC03B9" w:rsidRDefault="00CC5106" w:rsidP="00C1168A">
      <w:pPr>
        <w:pStyle w:val="blist-level2"/>
      </w:pPr>
      <w:r w:rsidRPr="00822EF9">
        <w:t>easily withdrawn.</w:t>
      </w:r>
    </w:p>
    <w:p w14:paraId="29CCE9BA" w14:textId="77777777" w:rsidR="006231D2" w:rsidRPr="00B55399" w:rsidRDefault="006231D2" w:rsidP="00600205">
      <w:pPr>
        <w:spacing w:before="0" w:after="0"/>
        <w:ind w:left="720" w:firstLine="720"/>
        <w:rPr>
          <w:b/>
          <w:bCs/>
          <w:szCs w:val="22"/>
        </w:rPr>
      </w:pPr>
    </w:p>
    <w:p w14:paraId="77AA4B4A" w14:textId="15FED4A2" w:rsidR="00CC5106" w:rsidRPr="00C1168A" w:rsidRDefault="00CC5106" w:rsidP="00786F2E">
      <w:pPr>
        <w:pStyle w:val="numberedlist"/>
      </w:pPr>
      <w:r w:rsidRPr="00713D6A">
        <w:lastRenderedPageBreak/>
        <w:t>4.10   Requirements relating to accredited person’s processes for seeking consent</w:t>
      </w:r>
      <w:r w:rsidR="00713D6A" w:rsidRPr="00713D6A">
        <w:br/>
      </w:r>
      <w:r w:rsidRPr="00713D6A">
        <w:t>An accredited person’s processes for asking a CDR consumer to give consent:</w:t>
      </w:r>
    </w:p>
    <w:p w14:paraId="5B173E55" w14:textId="18537311" w:rsidR="00CC5106" w:rsidRPr="00C1168A" w:rsidRDefault="00CC5106" w:rsidP="00C1168A">
      <w:pPr>
        <w:pStyle w:val="Listparagraph-level1"/>
        <w:numPr>
          <w:ilvl w:val="0"/>
          <w:numId w:val="56"/>
        </w:numPr>
        <w:ind w:left="851" w:hanging="284"/>
      </w:pPr>
      <w:r w:rsidRPr="00822EF9">
        <w:t>must:</w:t>
      </w:r>
    </w:p>
    <w:p w14:paraId="25BF24D0" w14:textId="2B2B4B59" w:rsidR="00CC5106" w:rsidRPr="00C1168A" w:rsidRDefault="00CC5106" w:rsidP="00C1168A">
      <w:pPr>
        <w:pStyle w:val="blist-level3"/>
      </w:pPr>
      <w:r w:rsidRPr="0083734B">
        <w:t>accord with the data standards; and</w:t>
      </w:r>
    </w:p>
    <w:p w14:paraId="30F4028D" w14:textId="1CBF9502" w:rsidR="00CC5106" w:rsidRPr="00C1168A" w:rsidRDefault="00CC5106" w:rsidP="00C1168A">
      <w:pPr>
        <w:pStyle w:val="blist-level3"/>
      </w:pPr>
      <w:r w:rsidRPr="0083734B">
        <w:t>having regard to any consumer experience guidelines developed by the Data Standards Body, be as easy to understand as practicable, including by use of concise language and, where appropriate, visual aids; and</w:t>
      </w:r>
    </w:p>
    <w:p w14:paraId="1C129D89" w14:textId="383ED391" w:rsidR="00CC5106" w:rsidRPr="00C1168A" w:rsidRDefault="00CC5106" w:rsidP="00C1168A">
      <w:pPr>
        <w:pStyle w:val="blist-level2"/>
      </w:pPr>
      <w:r w:rsidRPr="00822EF9">
        <w:t>must</w:t>
      </w:r>
      <w:r w:rsidRPr="00DC03B9">
        <w:t xml:space="preserve"> not:</w:t>
      </w:r>
    </w:p>
    <w:p w14:paraId="11326119" w14:textId="0B73DADC" w:rsidR="00CC5106" w:rsidRPr="0083734B" w:rsidRDefault="00CC5106" w:rsidP="00C1168A">
      <w:pPr>
        <w:pStyle w:val="numberedlist-level3"/>
        <w:numPr>
          <w:ilvl w:val="2"/>
          <w:numId w:val="57"/>
        </w:numPr>
        <w:ind w:left="1135" w:hanging="284"/>
      </w:pPr>
      <w:r w:rsidRPr="0083734B">
        <w:t>include or refer to other documents so as to reduce comprehensibility; or</w:t>
      </w:r>
    </w:p>
    <w:p w14:paraId="04F2D006" w14:textId="48926001" w:rsidR="00CC5106" w:rsidRDefault="00CC5106" w:rsidP="00A364A3">
      <w:pPr>
        <w:pStyle w:val="blist-level3"/>
      </w:pPr>
      <w:r w:rsidRPr="0083734B">
        <w:t>bundle consents with other directions, permissions, consents or agreements.</w:t>
      </w:r>
    </w:p>
    <w:p w14:paraId="3279E034" w14:textId="77777777" w:rsidR="005B1FED" w:rsidRPr="0083734B" w:rsidRDefault="005B1FED" w:rsidP="00C1168A">
      <w:pPr>
        <w:pStyle w:val="blist-level3"/>
        <w:numPr>
          <w:ilvl w:val="0"/>
          <w:numId w:val="0"/>
        </w:numPr>
        <w:ind w:left="851"/>
      </w:pPr>
    </w:p>
    <w:p w14:paraId="59C40612" w14:textId="2F030BE4" w:rsidR="00CC5106" w:rsidRPr="00452043" w:rsidRDefault="00D56948" w:rsidP="00C1168A">
      <w:pPr>
        <w:pStyle w:val="numberedlist"/>
      </w:pPr>
      <w:r w:rsidRPr="00452043">
        <w:t>4.11</w:t>
      </w:r>
      <w:r w:rsidR="00452043" w:rsidRPr="00452043">
        <w:tab/>
      </w:r>
      <w:r w:rsidR="00CC5106" w:rsidRPr="00452043">
        <w:t>Asking CDR consumer to give consent to collect and use CDR data</w:t>
      </w:r>
    </w:p>
    <w:p w14:paraId="5029B79B" w14:textId="3FB44FF7" w:rsidR="00CC5106" w:rsidRPr="00D4755B" w:rsidRDefault="00CC5106" w:rsidP="00C1168A">
      <w:pPr>
        <w:pStyle w:val="Listparagraph-level1"/>
        <w:numPr>
          <w:ilvl w:val="0"/>
          <w:numId w:val="58"/>
        </w:numPr>
        <w:ind w:left="851" w:hanging="284"/>
      </w:pPr>
      <w:r w:rsidRPr="00822EF9">
        <w:t>ask</w:t>
      </w:r>
      <w:r w:rsidRPr="00DC03B9">
        <w:t xml:space="preserve"> for the CDR consumer’s express consent:</w:t>
      </w:r>
    </w:p>
    <w:p w14:paraId="6B7591B1" w14:textId="77777777" w:rsidR="00CC5106" w:rsidRPr="00D56948" w:rsidRDefault="00CC5106" w:rsidP="00C1168A">
      <w:pPr>
        <w:pStyle w:val="numberedlist-level3"/>
        <w:numPr>
          <w:ilvl w:val="2"/>
          <w:numId w:val="59"/>
        </w:numPr>
        <w:ind w:left="1135" w:hanging="284"/>
      </w:pPr>
      <w:r w:rsidRPr="00D56948">
        <w:t>for the accredited person to collect those types of CDR data over that period of time; and</w:t>
      </w:r>
    </w:p>
    <w:p w14:paraId="18633215" w14:textId="77777777" w:rsidR="00CC5106" w:rsidRPr="00D56948" w:rsidRDefault="00CC5106" w:rsidP="00C1168A">
      <w:pPr>
        <w:pStyle w:val="blist-level3"/>
      </w:pPr>
      <w:r w:rsidRPr="00D56948">
        <w:t>for those uses of the collected CDR data; and</w:t>
      </w:r>
    </w:p>
    <w:p w14:paraId="30850FFE" w14:textId="729E4A86" w:rsidR="00CC5106" w:rsidRDefault="00CC5106" w:rsidP="00C1168A">
      <w:pPr>
        <w:pStyle w:val="blist-level3"/>
      </w:pPr>
      <w:r w:rsidRPr="00D56948">
        <w:t xml:space="preserve">to any direct marketing the accredited person intends to undertake; </w:t>
      </w:r>
    </w:p>
    <w:p w14:paraId="462748CE" w14:textId="77777777" w:rsidR="00D56948" w:rsidRPr="00D56948" w:rsidRDefault="00D56948" w:rsidP="00C1168A">
      <w:pPr>
        <w:pStyle w:val="AlphaParagraph"/>
        <w:numPr>
          <w:ilvl w:val="0"/>
          <w:numId w:val="0"/>
        </w:numPr>
      </w:pPr>
    </w:p>
    <w:p w14:paraId="7BC35E3C" w14:textId="77777777" w:rsidR="00CC5106" w:rsidRPr="00600205" w:rsidRDefault="00CC5106" w:rsidP="00C1168A">
      <w:pPr>
        <w:pStyle w:val="numberedlist"/>
      </w:pPr>
      <w:r w:rsidRPr="00CC5106">
        <w:t xml:space="preserve">4.13  </w:t>
      </w:r>
      <w:r w:rsidRPr="00CC5106">
        <w:tab/>
        <w:t>Withdrawal of consent to collect and use CDR data and notification</w:t>
      </w:r>
    </w:p>
    <w:p w14:paraId="11031145" w14:textId="77777777" w:rsidR="00CC5106" w:rsidRPr="00600205" w:rsidRDefault="00CC5106" w:rsidP="00C1168A">
      <w:pPr>
        <w:pStyle w:val="numberedlist"/>
        <w:ind w:firstLine="0"/>
      </w:pPr>
      <w:r w:rsidRPr="00CC5106">
        <w:t>(1)  The CDR consumer who gave a consent to collect and use particular CDR data may withdraw the consent at any time:</w:t>
      </w:r>
    </w:p>
    <w:p w14:paraId="3DBA4614" w14:textId="5773AFC3" w:rsidR="00CC5106" w:rsidRPr="00D56948" w:rsidRDefault="00CC5106" w:rsidP="00C1168A">
      <w:pPr>
        <w:pStyle w:val="Listparagraph-level1"/>
        <w:numPr>
          <w:ilvl w:val="0"/>
          <w:numId w:val="60"/>
        </w:numPr>
        <w:ind w:left="851" w:hanging="284"/>
      </w:pPr>
      <w:r w:rsidRPr="00D56948">
        <w:t>by communicating the withdrawal to the accredited person in writing; or</w:t>
      </w:r>
    </w:p>
    <w:p w14:paraId="2E1F4815" w14:textId="40171B49" w:rsidR="00CC5106" w:rsidRPr="00D56948" w:rsidRDefault="00CC5106" w:rsidP="00C1168A">
      <w:pPr>
        <w:pStyle w:val="blist-level2"/>
      </w:pPr>
      <w:r w:rsidRPr="00D56948">
        <w:t>by using the accredited person’s consumer dashboard.</w:t>
      </w:r>
    </w:p>
    <w:p w14:paraId="1F6E00B2" w14:textId="77777777" w:rsidR="006231D2" w:rsidRPr="00600205" w:rsidRDefault="006231D2" w:rsidP="00CC5106">
      <w:pPr>
        <w:pStyle w:val="Bullet"/>
        <w:numPr>
          <w:ilvl w:val="0"/>
          <w:numId w:val="0"/>
        </w:numPr>
        <w:spacing w:after="0"/>
        <w:ind w:left="1003"/>
        <w:rPr>
          <w:bCs/>
          <w:szCs w:val="22"/>
        </w:rPr>
      </w:pPr>
    </w:p>
    <w:p w14:paraId="011D06CE" w14:textId="621A2D41" w:rsidR="00CC5106" w:rsidRPr="00600205" w:rsidRDefault="00CC5106" w:rsidP="00C1168A">
      <w:pPr>
        <w:pStyle w:val="numberedlist"/>
      </w:pPr>
      <w:r w:rsidRPr="00CC5106">
        <w:t>4.22</w:t>
      </w:r>
      <w:r w:rsidR="005B1FED">
        <w:tab/>
      </w:r>
      <w:r w:rsidRPr="00CC5106">
        <w:t>Requirements relating to data holder’s processes for seeking authorisation</w:t>
      </w:r>
    </w:p>
    <w:p w14:paraId="519AB0A7" w14:textId="77777777" w:rsidR="00CC5106" w:rsidRPr="00600205" w:rsidRDefault="00CC5106" w:rsidP="00D56948">
      <w:pPr>
        <w:ind w:left="567"/>
      </w:pPr>
      <w:r w:rsidRPr="00CC5106">
        <w:t>A data holder’s processes for asking a CDR consumer to give an authorisation must:</w:t>
      </w:r>
    </w:p>
    <w:p w14:paraId="3677C9C4" w14:textId="77777777" w:rsidR="00CC5106" w:rsidRPr="00D56948" w:rsidRDefault="00CC5106" w:rsidP="00C1168A">
      <w:pPr>
        <w:pStyle w:val="Listparagraph-level1"/>
        <w:numPr>
          <w:ilvl w:val="0"/>
          <w:numId w:val="61"/>
        </w:numPr>
        <w:ind w:left="851" w:hanging="284"/>
      </w:pPr>
      <w:r w:rsidRPr="00D56948">
        <w:t>accord with the data standards; and</w:t>
      </w:r>
    </w:p>
    <w:p w14:paraId="2C843401" w14:textId="58DC4671" w:rsidR="00CC5106" w:rsidRPr="00D56948" w:rsidRDefault="00CC5106" w:rsidP="00C1168A">
      <w:pPr>
        <w:pStyle w:val="blist-level2"/>
      </w:pPr>
      <w:r w:rsidRPr="00D56948">
        <w:t>having regard to any consumer experience guidelines developed by the Data Standards Body, be as easy to understand as practicable, including by use of concise language and, where appropriate, visual aids.</w:t>
      </w:r>
    </w:p>
    <w:p w14:paraId="15873133" w14:textId="77777777" w:rsidR="006231D2" w:rsidRPr="00600205" w:rsidRDefault="006231D2" w:rsidP="00D56948"/>
    <w:p w14:paraId="66CBCEFF" w14:textId="59A8F814" w:rsidR="00CC5106" w:rsidRPr="00600205" w:rsidRDefault="00CC5106" w:rsidP="00C1168A">
      <w:pPr>
        <w:pStyle w:val="numberedlist"/>
      </w:pPr>
      <w:r w:rsidRPr="00CC5106">
        <w:t>4.25</w:t>
      </w:r>
      <w:r w:rsidR="005B1FED">
        <w:tab/>
      </w:r>
      <w:r w:rsidRPr="00CC5106">
        <w:t>Withdrawal of authorisation to disclose CDR data and notification</w:t>
      </w:r>
    </w:p>
    <w:p w14:paraId="33D0F52A" w14:textId="77777777" w:rsidR="00CC5106" w:rsidRPr="00600205" w:rsidRDefault="00CC5106" w:rsidP="00C1168A">
      <w:pPr>
        <w:pStyle w:val="numberedlist"/>
        <w:ind w:firstLine="0"/>
        <w:rPr>
          <w:bCs/>
          <w:szCs w:val="22"/>
        </w:rPr>
      </w:pPr>
      <w:r w:rsidRPr="00D56948">
        <w:t xml:space="preserve">(1)  The CDR consumer who gave, to a data holder, an authorisation to disclose particular CDR </w:t>
      </w:r>
      <w:r w:rsidRPr="00CC5106">
        <w:rPr>
          <w:bCs/>
          <w:szCs w:val="22"/>
        </w:rPr>
        <w:t>data to an accredited person may withdraw the authorisation at any time:</w:t>
      </w:r>
    </w:p>
    <w:p w14:paraId="725A0EA4" w14:textId="0556875A" w:rsidR="00CC5106" w:rsidRPr="00D56948" w:rsidRDefault="00CC5106" w:rsidP="00C1168A">
      <w:pPr>
        <w:pStyle w:val="Listparagraph-level1"/>
        <w:numPr>
          <w:ilvl w:val="0"/>
          <w:numId w:val="62"/>
        </w:numPr>
        <w:ind w:left="851" w:hanging="284"/>
      </w:pPr>
      <w:r w:rsidRPr="00D56948">
        <w:t>by communicating the withdrawal to the data holder in writing; or</w:t>
      </w:r>
    </w:p>
    <w:p w14:paraId="674D6FE8" w14:textId="6F2D49D8" w:rsidR="003E5888" w:rsidRDefault="00CC5106" w:rsidP="00C1168A">
      <w:pPr>
        <w:pStyle w:val="blist-level2"/>
      </w:pPr>
      <w:r w:rsidRPr="00D56948">
        <w:t>by using the data holder’s consumer dashboard.</w:t>
      </w:r>
    </w:p>
    <w:p w14:paraId="5F37CAFC" w14:textId="77777777" w:rsidR="00265FE3" w:rsidRPr="00E36F66" w:rsidRDefault="00265FE3" w:rsidP="00265FE3">
      <w:pPr>
        <w:pStyle w:val="Heading1"/>
      </w:pPr>
      <w:r>
        <w:br w:type="page"/>
      </w:r>
      <w:bookmarkStart w:id="245" w:name="_Toc106286115"/>
      <w:bookmarkStart w:id="246" w:name="_Toc106358426"/>
      <w:bookmarkStart w:id="247" w:name="_Toc108797523"/>
      <w:bookmarkStart w:id="248" w:name="_Toc110602906"/>
      <w:r>
        <w:lastRenderedPageBreak/>
        <w:t>Appendix B – List of Submissions</w:t>
      </w:r>
      <w:bookmarkEnd w:id="245"/>
      <w:bookmarkEnd w:id="246"/>
      <w:bookmarkEnd w:id="247"/>
      <w:bookmarkEnd w:id="248"/>
    </w:p>
    <w:p w14:paraId="7A7321B3" w14:textId="7F657799" w:rsidR="00265FE3" w:rsidRDefault="00265FE3" w:rsidP="00265FE3">
      <w:r>
        <w:t xml:space="preserve">The Review received </w:t>
      </w:r>
      <w:r w:rsidRPr="00383A01">
        <w:t>4</w:t>
      </w:r>
      <w:r w:rsidR="0078565D">
        <w:t>6</w:t>
      </w:r>
      <w:r>
        <w:t xml:space="preserve"> written submissions. The organisations and individuals that made public submissions are included in Table </w:t>
      </w:r>
      <w:r w:rsidR="00593367">
        <w:t>B</w:t>
      </w:r>
      <w:r>
        <w:t xml:space="preserve">.1. </w:t>
      </w:r>
    </w:p>
    <w:p w14:paraId="2DE0CF68" w14:textId="4C559651" w:rsidR="00265FE3" w:rsidRPr="00280D36" w:rsidRDefault="00265FE3" w:rsidP="00265FE3">
      <w:pPr>
        <w:pStyle w:val="Heading2"/>
      </w:pPr>
      <w:bookmarkStart w:id="249" w:name="_Toc106286116"/>
      <w:bookmarkStart w:id="250" w:name="_Toc106358496"/>
      <w:bookmarkStart w:id="251" w:name="_Toc106358427"/>
      <w:bookmarkStart w:id="252" w:name="_Toc106376951"/>
      <w:bookmarkStart w:id="253" w:name="_Toc107222982"/>
      <w:bookmarkStart w:id="254" w:name="_Toc107397667"/>
      <w:bookmarkStart w:id="255" w:name="_Toc107397967"/>
      <w:bookmarkStart w:id="256" w:name="_Toc107404918"/>
      <w:bookmarkStart w:id="257" w:name="_Toc107406861"/>
      <w:bookmarkStart w:id="258" w:name="_Toc107479752"/>
      <w:bookmarkStart w:id="259" w:name="_Toc108188839"/>
      <w:bookmarkStart w:id="260" w:name="_Toc108441844"/>
      <w:bookmarkStart w:id="261" w:name="_Toc108442542"/>
      <w:bookmarkStart w:id="262" w:name="_Toc108623254"/>
      <w:bookmarkStart w:id="263" w:name="_Toc108689095"/>
      <w:bookmarkStart w:id="264" w:name="_Toc108797524"/>
      <w:bookmarkStart w:id="265" w:name="_Toc108798805"/>
      <w:bookmarkStart w:id="266" w:name="_Toc108799299"/>
      <w:bookmarkStart w:id="267" w:name="_Toc109390414"/>
      <w:bookmarkStart w:id="268" w:name="_Toc109810555"/>
      <w:bookmarkStart w:id="269" w:name="_Toc110409196"/>
      <w:bookmarkStart w:id="270" w:name="_Toc110602907"/>
      <w:r>
        <w:t xml:space="preserve">Table </w:t>
      </w:r>
      <w:r w:rsidR="004F2000">
        <w:t>B</w:t>
      </w:r>
      <w:r>
        <w:t>.1 – Public Submissions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tbl>
      <w:tblPr>
        <w:tblStyle w:val="GridTable2-Accent1"/>
        <w:tblW w:w="0" w:type="auto"/>
        <w:tblLook w:val="00A0" w:firstRow="1" w:lastRow="0" w:firstColumn="1" w:lastColumn="0" w:noHBand="0" w:noVBand="0"/>
      </w:tblPr>
      <w:tblGrid>
        <w:gridCol w:w="9016"/>
      </w:tblGrid>
      <w:tr w:rsidR="00265FE3" w14:paraId="1B120D67" w14:textId="77777777" w:rsidTr="002161D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bottom w:val="single" w:sz="4" w:space="0" w:color="90B6F0" w:themeColor="accent5"/>
              <w:right w:val="single" w:sz="4" w:space="0" w:color="90B6F0" w:themeColor="accent5"/>
            </w:tcBorders>
            <w:shd w:val="clear" w:color="auto" w:fill="2C384A" w:themeFill="accent1"/>
          </w:tcPr>
          <w:p w14:paraId="24819A88" w14:textId="77777777" w:rsidR="00265FE3" w:rsidRPr="00822EF9" w:rsidRDefault="00265FE3" w:rsidP="00C1168A">
            <w:pPr>
              <w:pStyle w:val="TableColumnHeadingLeft"/>
              <w:spacing w:before="80"/>
            </w:pPr>
            <w:r w:rsidRPr="00C1168A">
              <w:rPr>
                <w:b/>
                <w:color w:val="FFFFFF" w:themeColor="background1"/>
              </w:rPr>
              <w:t>Organisations and individuals</w:t>
            </w:r>
          </w:p>
        </w:tc>
      </w:tr>
      <w:tr w:rsidR="00265FE3" w14:paraId="6C9CCACE"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1E98F286" w14:textId="77777777" w:rsidR="00265FE3" w:rsidRPr="00C1168A" w:rsidRDefault="00265FE3" w:rsidP="00C1168A">
            <w:pPr>
              <w:pStyle w:val="TableTextLeft"/>
              <w:rPr>
                <w:b w:val="0"/>
                <w:bCs w:val="0"/>
              </w:rPr>
            </w:pPr>
            <w:r w:rsidRPr="00822EF9">
              <w:t>Australian Banking Association</w:t>
            </w:r>
          </w:p>
        </w:tc>
      </w:tr>
      <w:tr w:rsidR="00174EC0" w14:paraId="6F081CAE"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115E7055" w14:textId="67F065B7" w:rsidR="00174EC0" w:rsidRPr="00C1168A" w:rsidRDefault="00174EC0" w:rsidP="00C1168A">
            <w:pPr>
              <w:pStyle w:val="TableTextLeft"/>
              <w:rPr>
                <w:b w:val="0"/>
                <w:bCs w:val="0"/>
              </w:rPr>
            </w:pPr>
            <w:r w:rsidRPr="00822EF9">
              <w:t xml:space="preserve">Australian Banking Association, Consumer Action Law Centre, Consumer Policy Research Centre, </w:t>
            </w:r>
            <w:r w:rsidRPr="00DC03B9">
              <w:t>Financial Rights Legal Centre (joint submission)</w:t>
            </w:r>
          </w:p>
        </w:tc>
      </w:tr>
      <w:tr w:rsidR="00265FE3" w14:paraId="38BA0C62"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561D2FA7" w14:textId="77777777" w:rsidR="00265FE3" w:rsidRPr="00C1168A" w:rsidRDefault="00265FE3" w:rsidP="00C1168A">
            <w:pPr>
              <w:pStyle w:val="TableTextLeft"/>
              <w:rPr>
                <w:b w:val="0"/>
                <w:bCs w:val="0"/>
              </w:rPr>
            </w:pPr>
            <w:r w:rsidRPr="00822EF9">
              <w:t>Australian Communications Consumer Action Network (ACCAN)</w:t>
            </w:r>
          </w:p>
        </w:tc>
      </w:tr>
      <w:tr w:rsidR="009A5198" w14:paraId="40B95E3C"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0D0CD7A4" w14:textId="0AC0A1C2" w:rsidR="009A5198" w:rsidRPr="00C1168A" w:rsidRDefault="009A5198" w:rsidP="00C1168A">
            <w:pPr>
              <w:pStyle w:val="TableTextLeft"/>
              <w:rPr>
                <w:b w:val="0"/>
                <w:bCs w:val="0"/>
              </w:rPr>
            </w:pPr>
            <w:r w:rsidRPr="00822EF9">
              <w:t>Australian Competition &amp; Consumer Commission</w:t>
            </w:r>
          </w:p>
        </w:tc>
      </w:tr>
      <w:tr w:rsidR="00265FE3" w14:paraId="63EB0BA4"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5479E8F6" w14:textId="77777777" w:rsidR="00265FE3" w:rsidRPr="00C1168A" w:rsidRDefault="00265FE3" w:rsidP="00C1168A">
            <w:pPr>
              <w:pStyle w:val="TableTextLeft"/>
              <w:rPr>
                <w:b w:val="0"/>
                <w:bCs w:val="0"/>
              </w:rPr>
            </w:pPr>
            <w:r w:rsidRPr="00822EF9">
              <w:t>Australian Energy Council</w:t>
            </w:r>
          </w:p>
        </w:tc>
      </w:tr>
      <w:tr w:rsidR="00265FE3" w14:paraId="3AF4B856"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4B2A9075" w14:textId="77777777" w:rsidR="00265FE3" w:rsidRPr="00C1168A" w:rsidRDefault="00265FE3" w:rsidP="00C1168A">
            <w:pPr>
              <w:pStyle w:val="TableTextLeft"/>
              <w:rPr>
                <w:b w:val="0"/>
                <w:bCs w:val="0"/>
              </w:rPr>
            </w:pPr>
            <w:r w:rsidRPr="00822EF9">
              <w:t>Australian Payments Network</w:t>
            </w:r>
          </w:p>
        </w:tc>
      </w:tr>
      <w:tr w:rsidR="00265FE3" w14:paraId="0548A339"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5950A14B" w14:textId="77777777" w:rsidR="00265FE3" w:rsidRPr="00C1168A" w:rsidRDefault="00265FE3" w:rsidP="00C1168A">
            <w:pPr>
              <w:pStyle w:val="TableTextLeft"/>
              <w:rPr>
                <w:b w:val="0"/>
                <w:bCs w:val="0"/>
              </w:rPr>
            </w:pPr>
            <w:r w:rsidRPr="00822EF9">
              <w:t>Australian Retail Credit Association</w:t>
            </w:r>
          </w:p>
        </w:tc>
      </w:tr>
      <w:tr w:rsidR="00265FE3" w14:paraId="7F1E9E0F"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4EAA878A" w14:textId="77777777" w:rsidR="00265FE3" w:rsidRPr="00C1168A" w:rsidRDefault="00265FE3" w:rsidP="00C1168A">
            <w:pPr>
              <w:pStyle w:val="TableTextLeft"/>
              <w:rPr>
                <w:b w:val="0"/>
                <w:bCs w:val="0"/>
                <w:color w:val="1F3864"/>
              </w:rPr>
            </w:pPr>
            <w:r w:rsidRPr="00822EF9">
              <w:t>Austral</w:t>
            </w:r>
            <w:r w:rsidRPr="00DC03B9">
              <w:t>ian Small Business and Family Enterprise Ombudsman</w:t>
            </w:r>
          </w:p>
        </w:tc>
      </w:tr>
      <w:tr w:rsidR="00265FE3" w14:paraId="7CD3FF58"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54A298FD" w14:textId="77777777" w:rsidR="00265FE3" w:rsidRPr="00C1168A" w:rsidRDefault="00265FE3" w:rsidP="00C1168A">
            <w:pPr>
              <w:pStyle w:val="TableTextLeft"/>
              <w:rPr>
                <w:b w:val="0"/>
                <w:bCs w:val="0"/>
              </w:rPr>
            </w:pPr>
            <w:r w:rsidRPr="00822EF9">
              <w:t>Basiq</w:t>
            </w:r>
          </w:p>
        </w:tc>
      </w:tr>
      <w:tr w:rsidR="0078565D" w14:paraId="0D50B8B8"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5E5C12F9" w14:textId="281995E7" w:rsidR="0078565D" w:rsidRPr="00822EF9" w:rsidRDefault="0078565D" w:rsidP="0078565D">
            <w:pPr>
              <w:pStyle w:val="TableTextLeft"/>
            </w:pPr>
            <w:r w:rsidRPr="00822EF9">
              <w:t xml:space="preserve">Dr Zofia Bednarz, Mr Chris Dolman </w:t>
            </w:r>
            <w:r w:rsidRPr="00DC03B9">
              <w:t>FIAA, and Prof Kimberlee Weatherall</w:t>
            </w:r>
          </w:p>
        </w:tc>
      </w:tr>
      <w:tr w:rsidR="0078565D" w14:paraId="53C08390"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636C7B3B" w14:textId="0C55170C" w:rsidR="0078565D" w:rsidRPr="00822EF9" w:rsidRDefault="0078565D" w:rsidP="0078565D">
            <w:pPr>
              <w:pStyle w:val="TableTextLeft"/>
            </w:pPr>
            <w:r w:rsidRPr="0078565D">
              <w:t>Scientia Professor Ross P Buckley &amp; Dr. Natalia Jevglevskaja, University of New South Wales</w:t>
            </w:r>
          </w:p>
        </w:tc>
      </w:tr>
      <w:tr w:rsidR="0078565D" w14:paraId="1A95D187"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6BF7C036" w14:textId="121FBE69" w:rsidR="0078565D" w:rsidRPr="00C1168A" w:rsidRDefault="0078565D" w:rsidP="0078565D">
            <w:pPr>
              <w:pStyle w:val="TableTextLeft"/>
              <w:rPr>
                <w:b w:val="0"/>
                <w:bCs w:val="0"/>
              </w:rPr>
            </w:pPr>
            <w:r w:rsidRPr="00822EF9">
              <w:t>Business Council of Australia</w:t>
            </w:r>
          </w:p>
        </w:tc>
      </w:tr>
      <w:tr w:rsidR="0078565D" w14:paraId="46672BD0"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90B6F0" w:themeColor="accent5"/>
              <w:left w:val="single" w:sz="4" w:space="0" w:color="90B6F0" w:themeColor="accent5"/>
              <w:right w:val="single" w:sz="4" w:space="0" w:color="90B6F0" w:themeColor="accent5"/>
            </w:tcBorders>
          </w:tcPr>
          <w:p w14:paraId="0093EFE7" w14:textId="77777777" w:rsidR="0078565D" w:rsidRPr="00C1168A" w:rsidRDefault="0078565D" w:rsidP="0078565D">
            <w:pPr>
              <w:pStyle w:val="TableTextLeft"/>
              <w:rPr>
                <w:b w:val="0"/>
                <w:bCs w:val="0"/>
              </w:rPr>
            </w:pPr>
            <w:r w:rsidRPr="00822EF9">
              <w:t>Chartered Accountants ANZ, CPA Australia &amp; Institute of Public Accountants Australia</w:t>
            </w:r>
          </w:p>
        </w:tc>
      </w:tr>
      <w:tr w:rsidR="0078565D" w14:paraId="0844AFD1"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7F089B8F" w14:textId="77777777" w:rsidR="0078565D" w:rsidRPr="00C1168A" w:rsidRDefault="0078565D" w:rsidP="0078565D">
            <w:pPr>
              <w:pStyle w:val="TableTextLeft"/>
              <w:rPr>
                <w:b w:val="0"/>
                <w:bCs w:val="0"/>
              </w:rPr>
            </w:pPr>
            <w:r w:rsidRPr="00822EF9">
              <w:t>Communications Alliance Ltd</w:t>
            </w:r>
          </w:p>
        </w:tc>
      </w:tr>
      <w:tr w:rsidR="0078565D" w14:paraId="49991AD4"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4E19A9EF" w14:textId="77777777" w:rsidR="0078565D" w:rsidRPr="00C1168A" w:rsidRDefault="0078565D" w:rsidP="0078565D">
            <w:pPr>
              <w:pStyle w:val="TableTextLeft"/>
              <w:rPr>
                <w:b w:val="0"/>
                <w:bCs w:val="0"/>
              </w:rPr>
            </w:pPr>
            <w:r w:rsidRPr="00822EF9">
              <w:t>Commonwealth Bank of Australia</w:t>
            </w:r>
          </w:p>
        </w:tc>
      </w:tr>
      <w:tr w:rsidR="0078565D" w14:paraId="5063FD0F"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11A70B2A" w14:textId="77777777" w:rsidR="0078565D" w:rsidRPr="00C1168A" w:rsidRDefault="0078565D" w:rsidP="0078565D">
            <w:pPr>
              <w:pStyle w:val="TableTextLeft"/>
              <w:rPr>
                <w:b w:val="0"/>
                <w:bCs w:val="0"/>
              </w:rPr>
            </w:pPr>
            <w:r w:rsidRPr="00822EF9">
              <w:t>Customer Owned Banking Association</w:t>
            </w:r>
          </w:p>
        </w:tc>
      </w:tr>
      <w:tr w:rsidR="0078565D" w14:paraId="6174D877"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26F00822" w14:textId="77777777" w:rsidR="0078565D" w:rsidRPr="00C1168A" w:rsidRDefault="0078565D" w:rsidP="0078565D">
            <w:pPr>
              <w:pStyle w:val="TableTextLeft"/>
              <w:rPr>
                <w:b w:val="0"/>
                <w:bCs w:val="0"/>
              </w:rPr>
            </w:pPr>
            <w:r w:rsidRPr="00822EF9">
              <w:t>Consumer Action Law Centre</w:t>
            </w:r>
          </w:p>
        </w:tc>
      </w:tr>
      <w:tr w:rsidR="0078565D" w14:paraId="76E586DC"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5AA13E72" w14:textId="77777777" w:rsidR="0078565D" w:rsidRPr="00C1168A" w:rsidRDefault="0078565D" w:rsidP="0078565D">
            <w:pPr>
              <w:pStyle w:val="TableTextLeft"/>
              <w:rPr>
                <w:b w:val="0"/>
                <w:bCs w:val="0"/>
              </w:rPr>
            </w:pPr>
            <w:r w:rsidRPr="00822EF9">
              <w:t>Consumer Policy Research Centre</w:t>
            </w:r>
          </w:p>
        </w:tc>
      </w:tr>
      <w:tr w:rsidR="0078565D" w14:paraId="12B0CE4B"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5E7391E4" w14:textId="77777777" w:rsidR="0078565D" w:rsidRPr="00C1168A" w:rsidRDefault="0078565D" w:rsidP="0078565D">
            <w:pPr>
              <w:pStyle w:val="TableTextLeft"/>
              <w:rPr>
                <w:rFonts w:ascii="Avenir" w:hAnsi="Avenir"/>
                <w:b w:val="0"/>
                <w:bCs w:val="0"/>
                <w:sz w:val="21"/>
                <w:szCs w:val="21"/>
              </w:rPr>
            </w:pPr>
            <w:r w:rsidRPr="00822EF9">
              <w:t>Cuscal</w:t>
            </w:r>
          </w:p>
        </w:tc>
      </w:tr>
      <w:tr w:rsidR="0078565D" w14:paraId="68624D5E"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23E6CD64" w14:textId="77777777" w:rsidR="0078565D" w:rsidRPr="00C1168A" w:rsidRDefault="0078565D" w:rsidP="0078565D">
            <w:pPr>
              <w:pStyle w:val="TableTextLeft"/>
              <w:rPr>
                <w:b w:val="0"/>
                <w:bCs w:val="0"/>
              </w:rPr>
            </w:pPr>
            <w:r w:rsidRPr="00822EF9">
              <w:t>Digital Service Providers Australia New Zealand</w:t>
            </w:r>
          </w:p>
        </w:tc>
      </w:tr>
      <w:tr w:rsidR="0078565D" w14:paraId="4A3D0CF2"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233BDA93" w14:textId="77777777" w:rsidR="0078565D" w:rsidRPr="00C1168A" w:rsidRDefault="0078565D" w:rsidP="0078565D">
            <w:pPr>
              <w:pStyle w:val="TableTextLeft"/>
              <w:rPr>
                <w:b w:val="0"/>
                <w:bCs w:val="0"/>
              </w:rPr>
            </w:pPr>
            <w:r w:rsidRPr="00822EF9">
              <w:lastRenderedPageBreak/>
              <w:t>EML Payments Ltd (EML)</w:t>
            </w:r>
          </w:p>
        </w:tc>
      </w:tr>
      <w:tr w:rsidR="0078565D" w14:paraId="1924AFBE"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23268E10" w14:textId="77777777" w:rsidR="0078565D" w:rsidRPr="00C1168A" w:rsidRDefault="0078565D" w:rsidP="0078565D">
            <w:pPr>
              <w:pStyle w:val="TableTextLeft"/>
              <w:rPr>
                <w:b w:val="0"/>
                <w:bCs w:val="0"/>
              </w:rPr>
            </w:pPr>
            <w:r w:rsidRPr="00822EF9">
              <w:t>EnergyAustralia</w:t>
            </w:r>
          </w:p>
        </w:tc>
      </w:tr>
      <w:tr w:rsidR="0078565D" w14:paraId="78E84B51"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2F76BAC8" w14:textId="77777777" w:rsidR="0078565D" w:rsidRPr="00C1168A" w:rsidRDefault="0078565D" w:rsidP="0078565D">
            <w:pPr>
              <w:pStyle w:val="TableTextLeft"/>
              <w:rPr>
                <w:b w:val="0"/>
                <w:bCs w:val="0"/>
              </w:rPr>
            </w:pPr>
            <w:r w:rsidRPr="00822EF9">
              <w:t>Energy Queensland</w:t>
            </w:r>
          </w:p>
        </w:tc>
      </w:tr>
      <w:tr w:rsidR="0078565D" w14:paraId="0FD33C7B"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029E5944" w14:textId="77777777" w:rsidR="0078565D" w:rsidRPr="00C1168A" w:rsidRDefault="0078565D" w:rsidP="0078565D">
            <w:pPr>
              <w:pStyle w:val="TableTextLeft"/>
              <w:rPr>
                <w:b w:val="0"/>
                <w:bCs w:val="0"/>
              </w:rPr>
            </w:pPr>
            <w:r w:rsidRPr="00822EF9">
              <w:t>Envestnet | Yodlee</w:t>
            </w:r>
          </w:p>
        </w:tc>
      </w:tr>
      <w:tr w:rsidR="0078565D" w14:paraId="374FB22F"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35C3E5B2" w14:textId="28D3CCB8" w:rsidR="0078565D" w:rsidRPr="00C1168A" w:rsidRDefault="0078565D" w:rsidP="0078565D">
            <w:pPr>
              <w:pStyle w:val="TableTextLeft"/>
              <w:rPr>
                <w:b w:val="0"/>
                <w:bCs w:val="0"/>
              </w:rPr>
            </w:pPr>
            <w:r w:rsidRPr="00822EF9">
              <w:t>Ernst &amp; Young</w:t>
            </w:r>
            <w:r>
              <w:t xml:space="preserve"> (EY)</w:t>
            </w:r>
          </w:p>
        </w:tc>
      </w:tr>
      <w:tr w:rsidR="0078565D" w14:paraId="769D7FEB"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07738AB9" w14:textId="77777777" w:rsidR="0078565D" w:rsidRPr="00C1168A" w:rsidRDefault="0078565D" w:rsidP="0078565D">
            <w:pPr>
              <w:pStyle w:val="TableTextLeft"/>
              <w:rPr>
                <w:b w:val="0"/>
                <w:bCs w:val="0"/>
              </w:rPr>
            </w:pPr>
            <w:r w:rsidRPr="00822EF9">
              <w:t>Financial Data and Technology Association (FDATA)</w:t>
            </w:r>
          </w:p>
        </w:tc>
      </w:tr>
      <w:tr w:rsidR="0078565D" w14:paraId="4D424AE4"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13415ABA" w14:textId="77777777" w:rsidR="0078565D" w:rsidRPr="00C1168A" w:rsidRDefault="0078565D" w:rsidP="0078565D">
            <w:pPr>
              <w:pStyle w:val="TableTextLeft"/>
              <w:rPr>
                <w:b w:val="0"/>
                <w:bCs w:val="0"/>
              </w:rPr>
            </w:pPr>
            <w:r w:rsidRPr="00822EF9">
              <w:t>Financial Rights Legal Centre</w:t>
            </w:r>
          </w:p>
        </w:tc>
      </w:tr>
      <w:tr w:rsidR="0078565D" w14:paraId="453EE2C4"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033FE4F3" w14:textId="77777777" w:rsidR="0078565D" w:rsidRPr="00C1168A" w:rsidRDefault="0078565D" w:rsidP="0078565D">
            <w:pPr>
              <w:pStyle w:val="TableTextLeft"/>
              <w:rPr>
                <w:b w:val="0"/>
                <w:bCs w:val="0"/>
              </w:rPr>
            </w:pPr>
            <w:r w:rsidRPr="00822EF9">
              <w:t>Finder</w:t>
            </w:r>
          </w:p>
        </w:tc>
      </w:tr>
      <w:tr w:rsidR="0078565D" w14:paraId="4B3B11E0"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078D1A6A" w14:textId="232EC190" w:rsidR="0078565D" w:rsidRPr="00822EF9" w:rsidRDefault="0078565D" w:rsidP="0078565D">
            <w:pPr>
              <w:pStyle w:val="TableTextLeft"/>
            </w:pPr>
            <w:r>
              <w:t>Fin</w:t>
            </w:r>
            <w:r w:rsidR="00214A91">
              <w:t>T</w:t>
            </w:r>
            <w:r>
              <w:t>ech Australia</w:t>
            </w:r>
          </w:p>
        </w:tc>
      </w:tr>
      <w:tr w:rsidR="0078565D" w14:paraId="29B83748"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188E64A8" w14:textId="4FDAAF73" w:rsidR="0078565D" w:rsidRPr="00C1168A" w:rsidRDefault="0078565D" w:rsidP="0078565D">
            <w:pPr>
              <w:pStyle w:val="TableTextLeft"/>
              <w:rPr>
                <w:b w:val="0"/>
                <w:bCs w:val="0"/>
              </w:rPr>
            </w:pPr>
            <w:r>
              <w:t>i</w:t>
            </w:r>
            <w:r w:rsidRPr="00DC03B9">
              <w:t>llion</w:t>
            </w:r>
          </w:p>
        </w:tc>
      </w:tr>
      <w:tr w:rsidR="0078565D" w14:paraId="3D650EE6"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1B2D8C1E" w14:textId="77777777" w:rsidR="0078565D" w:rsidRPr="00C1168A" w:rsidRDefault="0078565D" w:rsidP="0078565D">
            <w:pPr>
              <w:pStyle w:val="TableTextLeft"/>
              <w:rPr>
                <w:b w:val="0"/>
                <w:bCs w:val="0"/>
              </w:rPr>
            </w:pPr>
            <w:r w:rsidRPr="00822EF9">
              <w:t xml:space="preserve">Internet </w:t>
            </w:r>
            <w:r w:rsidRPr="00DC03B9">
              <w:t>Association of Australia</w:t>
            </w:r>
          </w:p>
        </w:tc>
      </w:tr>
      <w:tr w:rsidR="0078565D" w14:paraId="43569B7C"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68F969A4" w14:textId="77777777" w:rsidR="0078565D" w:rsidRPr="00C1168A" w:rsidRDefault="0078565D" w:rsidP="0078565D">
            <w:pPr>
              <w:pStyle w:val="TableTextLeft"/>
              <w:rPr>
                <w:b w:val="0"/>
                <w:bCs w:val="0"/>
              </w:rPr>
            </w:pPr>
            <w:r w:rsidRPr="00822EF9">
              <w:t>Intuit</w:t>
            </w:r>
          </w:p>
        </w:tc>
      </w:tr>
      <w:tr w:rsidR="0078565D" w14:paraId="13038EA9"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6C97B4E4" w14:textId="77777777" w:rsidR="0078565D" w:rsidRPr="00C1168A" w:rsidRDefault="0078565D" w:rsidP="0078565D">
            <w:pPr>
              <w:pStyle w:val="TableTextLeft"/>
              <w:rPr>
                <w:b w:val="0"/>
                <w:bCs w:val="0"/>
              </w:rPr>
            </w:pPr>
            <w:r w:rsidRPr="00822EF9">
              <w:t>National Australia Bank</w:t>
            </w:r>
          </w:p>
        </w:tc>
      </w:tr>
      <w:tr w:rsidR="0078565D" w14:paraId="75BBDB3B"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631D4A64" w14:textId="28EB8132" w:rsidR="0078565D" w:rsidRPr="00822EF9" w:rsidRDefault="0078565D" w:rsidP="0078565D">
            <w:pPr>
              <w:pStyle w:val="TableTextLeft"/>
            </w:pPr>
            <w:r>
              <w:t>New Payments Platform</w:t>
            </w:r>
          </w:p>
        </w:tc>
      </w:tr>
      <w:tr w:rsidR="0078565D" w14:paraId="1BD67072"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0A849861" w14:textId="2F55A08E" w:rsidR="0078565D" w:rsidRPr="00C1168A" w:rsidRDefault="0078565D" w:rsidP="0078565D">
            <w:pPr>
              <w:pStyle w:val="TableTextLeft"/>
              <w:rPr>
                <w:b w:val="0"/>
                <w:bCs w:val="0"/>
              </w:rPr>
            </w:pPr>
            <w:r w:rsidRPr="00822EF9">
              <w:t>Office of the Australia</w:t>
            </w:r>
            <w:r>
              <w:t>n</w:t>
            </w:r>
            <w:r w:rsidRPr="00822EF9">
              <w:t xml:space="preserve"> Information Commissioner</w:t>
            </w:r>
          </w:p>
        </w:tc>
      </w:tr>
      <w:tr w:rsidR="0078565D" w14:paraId="1F3CB7CB"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0CA48987" w14:textId="77777777" w:rsidR="0078565D" w:rsidRPr="00C1168A" w:rsidRDefault="0078565D" w:rsidP="0078565D">
            <w:pPr>
              <w:pStyle w:val="TableTextLeft"/>
              <w:rPr>
                <w:b w:val="0"/>
                <w:bCs w:val="0"/>
              </w:rPr>
            </w:pPr>
            <w:r w:rsidRPr="00822EF9">
              <w:t>Origin Energy</w:t>
            </w:r>
          </w:p>
        </w:tc>
      </w:tr>
      <w:tr w:rsidR="0078565D" w14:paraId="43EF4511"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77639F9D" w14:textId="77777777" w:rsidR="0078565D" w:rsidRPr="00C1168A" w:rsidRDefault="0078565D" w:rsidP="0078565D">
            <w:pPr>
              <w:pStyle w:val="TableTextLeft"/>
              <w:rPr>
                <w:b w:val="0"/>
                <w:bCs w:val="0"/>
              </w:rPr>
            </w:pPr>
            <w:r w:rsidRPr="00822EF9">
              <w:t>Mr James Mackie</w:t>
            </w:r>
          </w:p>
        </w:tc>
      </w:tr>
      <w:tr w:rsidR="0078565D" w14:paraId="3213150E"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4D3980E8" w14:textId="77777777" w:rsidR="0078565D" w:rsidRPr="00C1168A" w:rsidRDefault="0078565D" w:rsidP="0078565D">
            <w:pPr>
              <w:pStyle w:val="TableTextLeft"/>
              <w:rPr>
                <w:b w:val="0"/>
                <w:bCs w:val="0"/>
              </w:rPr>
            </w:pPr>
            <w:r w:rsidRPr="00822EF9">
              <w:t>PEXA</w:t>
            </w:r>
          </w:p>
        </w:tc>
      </w:tr>
      <w:tr w:rsidR="0078565D" w14:paraId="38ED0972"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211B8C96" w14:textId="77777777" w:rsidR="0078565D" w:rsidRPr="00C1168A" w:rsidRDefault="0078565D" w:rsidP="0078565D">
            <w:pPr>
              <w:pStyle w:val="TableTextLeft"/>
              <w:rPr>
                <w:b w:val="0"/>
                <w:bCs w:val="0"/>
              </w:rPr>
            </w:pPr>
            <w:r w:rsidRPr="00822EF9">
              <w:t>Public Interest Advocacy Centre</w:t>
            </w:r>
          </w:p>
        </w:tc>
      </w:tr>
      <w:tr w:rsidR="007A6A32" w14:paraId="459B67BF"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3EA4714D" w14:textId="47981FDF" w:rsidR="007A6A32" w:rsidRPr="00822EF9" w:rsidRDefault="007A6A32" w:rsidP="0078565D">
            <w:pPr>
              <w:pStyle w:val="TableTextLeft"/>
            </w:pPr>
            <w:r w:rsidRPr="00822EF9">
              <w:t>Mr Bikalpa Rajbhandari and Associate Professor Mark Burden</w:t>
            </w:r>
          </w:p>
        </w:tc>
      </w:tr>
      <w:tr w:rsidR="0078565D" w14:paraId="4C68935C"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789021AB" w14:textId="77777777" w:rsidR="0078565D" w:rsidRPr="00C1168A" w:rsidRDefault="0078565D" w:rsidP="0078565D">
            <w:pPr>
              <w:pStyle w:val="TableTextLeft"/>
              <w:rPr>
                <w:b w:val="0"/>
                <w:bCs w:val="0"/>
              </w:rPr>
            </w:pPr>
            <w:r w:rsidRPr="00822EF9">
              <w:t>Red Energy and Lumo Energy</w:t>
            </w:r>
          </w:p>
        </w:tc>
      </w:tr>
      <w:tr w:rsidR="0078565D" w14:paraId="49F1E0CA"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44714F09" w14:textId="77777777" w:rsidR="0078565D" w:rsidRPr="00C1168A" w:rsidRDefault="0078565D" w:rsidP="0078565D">
            <w:pPr>
              <w:pStyle w:val="TableTextLeft"/>
              <w:rPr>
                <w:b w:val="0"/>
                <w:bCs w:val="0"/>
              </w:rPr>
            </w:pPr>
            <w:r w:rsidRPr="00822EF9">
              <w:t>Tech Council of Australia</w:t>
            </w:r>
          </w:p>
        </w:tc>
      </w:tr>
      <w:tr w:rsidR="0078565D" w14:paraId="210186A0" w14:textId="77777777" w:rsidTr="002161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5F497B06" w14:textId="77777777" w:rsidR="0078565D" w:rsidRPr="00C1168A" w:rsidRDefault="0078565D" w:rsidP="0078565D">
            <w:pPr>
              <w:pStyle w:val="TableTextLeft"/>
              <w:rPr>
                <w:b w:val="0"/>
                <w:bCs w:val="0"/>
              </w:rPr>
            </w:pPr>
            <w:r w:rsidRPr="00822EF9">
              <w:t>Telstra</w:t>
            </w:r>
          </w:p>
        </w:tc>
      </w:tr>
      <w:tr w:rsidR="0078565D" w14:paraId="6D4AB45B"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52965BC0" w14:textId="77777777" w:rsidR="0078565D" w:rsidRPr="00C1168A" w:rsidRDefault="0078565D" w:rsidP="0078565D">
            <w:pPr>
              <w:pStyle w:val="TableTextLeft"/>
              <w:rPr>
                <w:b w:val="0"/>
                <w:bCs w:val="0"/>
              </w:rPr>
            </w:pPr>
            <w:r w:rsidRPr="00822EF9">
              <w:t>TrueLayer</w:t>
            </w:r>
          </w:p>
        </w:tc>
      </w:tr>
      <w:tr w:rsidR="0078565D" w14:paraId="2933F617" w14:textId="77777777" w:rsidTr="002161D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right w:val="single" w:sz="4" w:space="0" w:color="90B6F0" w:themeColor="accent5"/>
            </w:tcBorders>
          </w:tcPr>
          <w:p w14:paraId="65F5FE91" w14:textId="77777777" w:rsidR="0078565D" w:rsidRPr="00C1168A" w:rsidRDefault="0078565D" w:rsidP="0078565D">
            <w:pPr>
              <w:pStyle w:val="TableTextLeft"/>
              <w:rPr>
                <w:b w:val="0"/>
                <w:bCs w:val="0"/>
              </w:rPr>
            </w:pPr>
            <w:r w:rsidRPr="00822EF9">
              <w:t>Verifier</w:t>
            </w:r>
          </w:p>
        </w:tc>
      </w:tr>
      <w:tr w:rsidR="0078565D" w14:paraId="1992CA48" w14:textId="77777777" w:rsidTr="002161DB">
        <w:trPr>
          <w:trHeight w:val="290"/>
        </w:trPr>
        <w:tc>
          <w:tcPr>
            <w:cnfStyle w:val="001000000000" w:firstRow="0" w:lastRow="0" w:firstColumn="1" w:lastColumn="0" w:oddVBand="0" w:evenVBand="0" w:oddHBand="0" w:evenHBand="0" w:firstRowFirstColumn="0" w:firstRowLastColumn="0" w:lastRowFirstColumn="0" w:lastRowLastColumn="0"/>
            <w:tcW w:w="9016" w:type="dxa"/>
            <w:tcBorders>
              <w:left w:val="single" w:sz="4" w:space="0" w:color="90B6F0" w:themeColor="accent5"/>
              <w:bottom w:val="single" w:sz="4" w:space="0" w:color="90B6F0" w:themeColor="accent5"/>
              <w:right w:val="single" w:sz="4" w:space="0" w:color="90B6F0" w:themeColor="accent5"/>
            </w:tcBorders>
          </w:tcPr>
          <w:p w14:paraId="49749C08" w14:textId="77777777" w:rsidR="0078565D" w:rsidRPr="00C1168A" w:rsidRDefault="0078565D" w:rsidP="0078565D">
            <w:pPr>
              <w:pStyle w:val="TableTextLeft"/>
              <w:rPr>
                <w:b w:val="0"/>
                <w:bCs w:val="0"/>
              </w:rPr>
            </w:pPr>
            <w:r w:rsidRPr="00822EF9">
              <w:t>Xero</w:t>
            </w:r>
          </w:p>
        </w:tc>
      </w:tr>
    </w:tbl>
    <w:p w14:paraId="1A4A6842" w14:textId="072559FF" w:rsidR="00265FE3" w:rsidRPr="00693150" w:rsidRDefault="00265FE3" w:rsidP="00C1168A">
      <w:pPr>
        <w:pStyle w:val="Heading1"/>
        <w:ind w:right="850"/>
        <w:rPr>
          <w:bCs/>
        </w:rPr>
      </w:pPr>
      <w:bookmarkStart w:id="271" w:name="_Toc101875405"/>
      <w:bookmarkStart w:id="272" w:name="_Toc106286117"/>
      <w:bookmarkStart w:id="273" w:name="_Toc106358428"/>
      <w:bookmarkStart w:id="274" w:name="_Toc108797525"/>
      <w:bookmarkStart w:id="275" w:name="_Toc110602908"/>
      <w:r>
        <w:rPr>
          <w:bCs/>
        </w:rPr>
        <w:lastRenderedPageBreak/>
        <w:t xml:space="preserve">Appendix C </w:t>
      </w:r>
      <w:r w:rsidR="00B630E0">
        <w:rPr>
          <w:bCs/>
        </w:rPr>
        <w:t>–</w:t>
      </w:r>
      <w:r>
        <w:rPr>
          <w:bCs/>
        </w:rPr>
        <w:t xml:space="preserve"> </w:t>
      </w:r>
      <w:r w:rsidRPr="00693150">
        <w:rPr>
          <w:bCs/>
        </w:rPr>
        <w:t>Overview of the Consumer Data Right</w:t>
      </w:r>
      <w:bookmarkEnd w:id="271"/>
      <w:bookmarkEnd w:id="272"/>
      <w:bookmarkEnd w:id="273"/>
      <w:bookmarkEnd w:id="274"/>
      <w:bookmarkEnd w:id="275"/>
    </w:p>
    <w:p w14:paraId="338E5EC7" w14:textId="273288BB" w:rsidR="00265FE3" w:rsidRPr="00662BC7" w:rsidRDefault="00265FE3" w:rsidP="00265FE3">
      <w:r w:rsidRPr="00F14053">
        <w:rPr>
          <w:rFonts w:cstheme="minorHAnsi"/>
        </w:rPr>
        <w:t xml:space="preserve">The </w:t>
      </w:r>
      <w:r>
        <w:rPr>
          <w:rFonts w:cstheme="minorHAnsi"/>
        </w:rPr>
        <w:t>Consumer Data Right</w:t>
      </w:r>
      <w:r w:rsidRPr="00F14053">
        <w:rPr>
          <w:rFonts w:cstheme="minorHAnsi"/>
        </w:rPr>
        <w:t xml:space="preserve"> </w:t>
      </w:r>
      <w:r>
        <w:rPr>
          <w:rFonts w:cstheme="minorHAnsi"/>
        </w:rPr>
        <w:t xml:space="preserve">(CDR) </w:t>
      </w:r>
      <w:r w:rsidRPr="00F14053">
        <w:rPr>
          <w:rFonts w:cstheme="minorHAnsi"/>
        </w:rPr>
        <w:t xml:space="preserve">is Australia’s national data portability </w:t>
      </w:r>
      <w:r w:rsidR="00B92EE5">
        <w:rPr>
          <w:rFonts w:cstheme="minorHAnsi"/>
        </w:rPr>
        <w:t>initiative</w:t>
      </w:r>
      <w:r w:rsidRPr="00F14053">
        <w:rPr>
          <w:rFonts w:cstheme="minorHAnsi"/>
        </w:rPr>
        <w:t>.</w:t>
      </w:r>
      <w:r>
        <w:rPr>
          <w:rFonts w:cstheme="minorHAnsi"/>
        </w:rPr>
        <w:t xml:space="preserve"> It is a significant, economy-wide reform designed to empower consumers to benefit from the data Australian businesses hold about them and in doing so strengthen innovation, competition and productivity. The CDR was conceived of as a right by the Productivity Commission in March 2017,</w:t>
      </w:r>
      <w:r w:rsidRPr="00600205">
        <w:rPr>
          <w:rStyle w:val="FootnoteReference"/>
          <w:rFonts w:cstheme="minorHAnsi"/>
          <w:sz w:val="22"/>
          <w:szCs w:val="22"/>
          <w:vertAlign w:val="superscript"/>
        </w:rPr>
        <w:footnoteReference w:id="56"/>
      </w:r>
      <w:r>
        <w:rPr>
          <w:rFonts w:cstheme="minorHAnsi"/>
        </w:rPr>
        <w:t xml:space="preserve"> based on the benefits it could provide to consumers and businesses and its potential to enhance competition. The Productivity Commission identified that creating a right of this kind would </w:t>
      </w:r>
      <w:r>
        <w:t>fundamentally reform Australia’s competition policy in a digital world</w:t>
      </w:r>
      <w:r>
        <w:rPr>
          <w:rFonts w:cstheme="minorHAnsi"/>
        </w:rPr>
        <w:t xml:space="preserve">. </w:t>
      </w:r>
    </w:p>
    <w:p w14:paraId="77D6D7F9" w14:textId="58B426F4" w:rsidR="00265FE3" w:rsidRDefault="00265FE3" w:rsidP="00265FE3">
      <w:pPr>
        <w:rPr>
          <w:rFonts w:cstheme="minorHAnsi"/>
        </w:rPr>
      </w:pPr>
      <w:r>
        <w:rPr>
          <w:rFonts w:cstheme="minorHAnsi"/>
        </w:rPr>
        <w:t xml:space="preserve">In July 2017, the </w:t>
      </w:r>
      <w:r>
        <w:rPr>
          <w:rFonts w:cstheme="minorHAnsi"/>
          <w:i/>
          <w:iCs/>
        </w:rPr>
        <w:t xml:space="preserve">Review into Open Banking </w:t>
      </w:r>
      <w:r>
        <w:rPr>
          <w:rFonts w:cstheme="minorHAnsi"/>
        </w:rPr>
        <w:t xml:space="preserve">was commissioned to recommend the most appropriate model for an Open Banking </w:t>
      </w:r>
      <w:r w:rsidR="00B92EE5">
        <w:rPr>
          <w:rFonts w:cstheme="minorHAnsi"/>
        </w:rPr>
        <w:t xml:space="preserve">initiative </w:t>
      </w:r>
      <w:r>
        <w:rPr>
          <w:rFonts w:cstheme="minorHAnsi"/>
        </w:rPr>
        <w:t xml:space="preserve">in Australia. Giving regard to the earlier work of the Productivity Commission, the final report of this review positioned Open Banking as a component of a more general right for consumers to control their data in Australia – the CDR. The final report of the </w:t>
      </w:r>
      <w:r>
        <w:rPr>
          <w:rFonts w:cstheme="minorHAnsi"/>
          <w:i/>
          <w:iCs/>
        </w:rPr>
        <w:t xml:space="preserve">Review into Open Banking </w:t>
      </w:r>
      <w:r>
        <w:rPr>
          <w:rFonts w:cstheme="minorHAnsi"/>
        </w:rPr>
        <w:t>set out four key principles, which have guided the implementation of the CDR in Australia.</w:t>
      </w:r>
      <w:r w:rsidRPr="00600205">
        <w:rPr>
          <w:rStyle w:val="FootnoteReference"/>
          <w:rFonts w:cstheme="minorHAnsi"/>
          <w:sz w:val="22"/>
          <w:szCs w:val="22"/>
          <w:vertAlign w:val="superscript"/>
        </w:rPr>
        <w:footnoteReference w:id="57"/>
      </w:r>
      <w:r w:rsidRPr="00600205">
        <w:rPr>
          <w:rFonts w:cstheme="minorHAnsi"/>
          <w:szCs w:val="22"/>
          <w:vertAlign w:val="superscript"/>
        </w:rPr>
        <w:t xml:space="preserve"> </w:t>
      </w:r>
      <w:r>
        <w:rPr>
          <w:rFonts w:cstheme="minorHAnsi"/>
        </w:rPr>
        <w:t xml:space="preserve">These are that the CDR should: </w:t>
      </w:r>
    </w:p>
    <w:p w14:paraId="082869F1" w14:textId="77777777" w:rsidR="00265FE3" w:rsidRDefault="00265FE3" w:rsidP="00600205">
      <w:pPr>
        <w:pStyle w:val="Bullet"/>
      </w:pPr>
      <w:r>
        <w:rPr>
          <w:b/>
          <w:bCs/>
        </w:rPr>
        <w:t>Be consumer focussed</w:t>
      </w:r>
      <w:r w:rsidRPr="00600205">
        <w:t>.</w:t>
      </w:r>
      <w:r>
        <w:t xml:space="preserve"> It should be for the consumer, about the consumer, and seen from the consumer’s perspective. </w:t>
      </w:r>
    </w:p>
    <w:p w14:paraId="1174E70B" w14:textId="77777777" w:rsidR="00265FE3" w:rsidRDefault="00265FE3" w:rsidP="00600205">
      <w:pPr>
        <w:pStyle w:val="Bullet"/>
      </w:pPr>
      <w:r>
        <w:rPr>
          <w:b/>
          <w:bCs/>
        </w:rPr>
        <w:t>Encourage competition</w:t>
      </w:r>
      <w:r w:rsidRPr="00600205">
        <w:t>.</w:t>
      </w:r>
      <w:r>
        <w:t xml:space="preserve"> It should seek to increase competition for products and services available to consumers so that they can make better choices. </w:t>
      </w:r>
    </w:p>
    <w:p w14:paraId="4CD05614" w14:textId="77777777" w:rsidR="00265FE3" w:rsidRDefault="00265FE3" w:rsidP="00600205">
      <w:pPr>
        <w:pStyle w:val="Bullet"/>
      </w:pPr>
      <w:r>
        <w:rPr>
          <w:b/>
          <w:bCs/>
        </w:rPr>
        <w:t>Create opportunities</w:t>
      </w:r>
      <w:r w:rsidRPr="00600205">
        <w:t>.</w:t>
      </w:r>
      <w:r>
        <w:t xml:space="preserve"> It should provide a framework from which new ideas and business can emerge and grow, establishing a vibrant and creative data sector that supports better services enhanced by personalised data. </w:t>
      </w:r>
    </w:p>
    <w:p w14:paraId="6F83293C" w14:textId="77777777" w:rsidR="00265FE3" w:rsidRPr="002548F0" w:rsidRDefault="00265FE3" w:rsidP="00600205">
      <w:pPr>
        <w:pStyle w:val="Bullet"/>
      </w:pPr>
      <w:r>
        <w:rPr>
          <w:b/>
          <w:bCs/>
        </w:rPr>
        <w:t>Be efficient and fair</w:t>
      </w:r>
      <w:r w:rsidRPr="00600205">
        <w:t>.</w:t>
      </w:r>
      <w:r>
        <w:t xml:space="preserve"> It should be implemented with safety, security, and privacy in mind, so that it is sustainable and fair, without being more complex or costly than needed.</w:t>
      </w:r>
    </w:p>
    <w:p w14:paraId="57B597AA" w14:textId="77777777" w:rsidR="005B1FED" w:rsidRDefault="005B1FED">
      <w:pPr>
        <w:spacing w:before="0" w:after="160" w:line="259" w:lineRule="auto"/>
        <w:rPr>
          <w:rFonts w:ascii="Calibri" w:hAnsi="Calibri" w:cs="Arial"/>
          <w:iCs/>
          <w:color w:val="2C384A"/>
          <w:kern w:val="32"/>
          <w:sz w:val="36"/>
          <w:szCs w:val="28"/>
        </w:rPr>
      </w:pPr>
      <w:bookmarkStart w:id="276" w:name="_Toc105139657"/>
      <w:bookmarkStart w:id="277" w:name="_Toc105149441"/>
      <w:bookmarkStart w:id="278" w:name="_Toc105162732"/>
      <w:bookmarkStart w:id="279" w:name="_Toc105667692"/>
      <w:bookmarkStart w:id="280" w:name="_Toc106115765"/>
      <w:bookmarkStart w:id="281" w:name="_Toc106286118"/>
      <w:bookmarkStart w:id="282" w:name="_Toc106358498"/>
      <w:bookmarkStart w:id="283" w:name="_Toc106358429"/>
      <w:bookmarkStart w:id="284" w:name="_Toc106376953"/>
      <w:bookmarkStart w:id="285" w:name="_Toc107222984"/>
      <w:bookmarkStart w:id="286" w:name="_Toc107397669"/>
      <w:bookmarkStart w:id="287" w:name="_Toc107397969"/>
      <w:bookmarkStart w:id="288" w:name="_Toc107404920"/>
      <w:bookmarkStart w:id="289" w:name="_Toc107406863"/>
      <w:bookmarkStart w:id="290" w:name="_Toc107479754"/>
      <w:bookmarkStart w:id="291" w:name="_Toc108188841"/>
      <w:bookmarkStart w:id="292" w:name="_Toc108441846"/>
      <w:bookmarkStart w:id="293" w:name="_Toc108442544"/>
      <w:bookmarkStart w:id="294" w:name="_Toc108623256"/>
      <w:bookmarkStart w:id="295" w:name="_Toc108689097"/>
      <w:bookmarkStart w:id="296" w:name="_Toc108797526"/>
      <w:bookmarkStart w:id="297" w:name="_Toc108798807"/>
      <w:bookmarkStart w:id="298" w:name="_Toc108799301"/>
      <w:bookmarkStart w:id="299" w:name="_Toc109390416"/>
      <w:bookmarkStart w:id="300" w:name="_Toc109810557"/>
      <w:bookmarkStart w:id="301" w:name="_Toc110409198"/>
      <w:r>
        <w:br w:type="page"/>
      </w:r>
    </w:p>
    <w:p w14:paraId="15D1D930" w14:textId="32649504" w:rsidR="00265FE3" w:rsidRPr="002548F0" w:rsidRDefault="00265FE3" w:rsidP="00265FE3">
      <w:pPr>
        <w:pStyle w:val="Heading2"/>
      </w:pPr>
      <w:bookmarkStart w:id="302" w:name="_Toc110602909"/>
      <w:r w:rsidRPr="00693150">
        <w:lastRenderedPageBreak/>
        <w:t>CDR statutory framework</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2E85B99D" w14:textId="77777777" w:rsidR="00265FE3" w:rsidRPr="00D84C7F" w:rsidRDefault="00265FE3" w:rsidP="00265FE3">
      <w:pPr>
        <w:rPr>
          <w:rFonts w:cstheme="minorHAnsi"/>
        </w:rPr>
      </w:pPr>
      <w:r w:rsidRPr="00D84C7F">
        <w:rPr>
          <w:rFonts w:cstheme="minorHAnsi"/>
        </w:rPr>
        <w:t xml:space="preserve">The CDR statutory framework originated with </w:t>
      </w:r>
      <w:r w:rsidRPr="00B81555">
        <w:rPr>
          <w:rFonts w:cstheme="minorHAnsi"/>
        </w:rPr>
        <w:t>the</w:t>
      </w:r>
      <w:r w:rsidRPr="00D84C7F">
        <w:rPr>
          <w:rFonts w:cstheme="minorHAnsi"/>
          <w:i/>
          <w:iCs/>
        </w:rPr>
        <w:t xml:space="preserve"> </w:t>
      </w:r>
      <w:r w:rsidRPr="000901B3">
        <w:rPr>
          <w:rFonts w:cstheme="minorHAnsi"/>
        </w:rPr>
        <w:t>Treasury Laws Amendment (Consumer Data Right) Bill 2019</w:t>
      </w:r>
      <w:r w:rsidRPr="00D84C7F">
        <w:rPr>
          <w:rFonts w:cstheme="minorHAnsi"/>
        </w:rPr>
        <w:t>, which received Royal Assent in August 2019. The statutory framework comprises four components:</w:t>
      </w:r>
    </w:p>
    <w:p w14:paraId="5B2E9832" w14:textId="77777777" w:rsidR="00265FE3" w:rsidRPr="000901B3" w:rsidRDefault="00265FE3" w:rsidP="000901B3">
      <w:pPr>
        <w:pStyle w:val="Bullet"/>
      </w:pPr>
      <w:r w:rsidRPr="000901B3">
        <w:t xml:space="preserve">Part IVD of the </w:t>
      </w:r>
      <w:r w:rsidRPr="000901B3">
        <w:rPr>
          <w:i/>
          <w:iCs/>
        </w:rPr>
        <w:t>Competition and Consumer Act 2010</w:t>
      </w:r>
      <w:r w:rsidRPr="000901B3">
        <w:t xml:space="preserve"> (the Act), which contains the primary CDR legislation, and establishes all other components of the legislative framework,</w:t>
      </w:r>
    </w:p>
    <w:p w14:paraId="2591A00A" w14:textId="77777777" w:rsidR="00265FE3" w:rsidRPr="000901B3" w:rsidRDefault="00265FE3" w:rsidP="000901B3">
      <w:pPr>
        <w:pStyle w:val="Bullet"/>
      </w:pPr>
      <w:r w:rsidRPr="000901B3">
        <w:t xml:space="preserve">CDR Designation Instruments made by the Minister pursuant to Part IVD of the Act, which designate sectors of the Australian economy for the purposes of the CDR, </w:t>
      </w:r>
    </w:p>
    <w:p w14:paraId="5EB56C5C" w14:textId="1A48460D" w:rsidR="00265FE3" w:rsidRPr="000901B3" w:rsidRDefault="00265FE3" w:rsidP="000901B3">
      <w:pPr>
        <w:pStyle w:val="Bullet"/>
      </w:pPr>
      <w:r w:rsidRPr="000901B3">
        <w:t xml:space="preserve">the Consumer Data Right </w:t>
      </w:r>
      <w:r w:rsidR="009D295F">
        <w:t>r</w:t>
      </w:r>
      <w:r w:rsidRPr="000901B3">
        <w:t xml:space="preserve">ules (the </w:t>
      </w:r>
      <w:r w:rsidR="009D295F">
        <w:t>r</w:t>
      </w:r>
      <w:r w:rsidRPr="000901B3">
        <w:t xml:space="preserve">ules) made by the Minister responsible for the CDR. </w:t>
      </w:r>
      <w:r w:rsidR="00B05D43">
        <w:t>Among other things, t</w:t>
      </w:r>
      <w:r w:rsidRPr="000901B3">
        <w:t xml:space="preserve">he </w:t>
      </w:r>
      <w:r w:rsidR="009D295F">
        <w:t>r</w:t>
      </w:r>
      <w:r w:rsidRPr="000901B3">
        <w:t>ules set out the circumstances in which data holders are required to disclose data, and to whom, in response to a valid consumer request. They also set out consent requirements, how data may be used and privacy safeguards.</w:t>
      </w:r>
    </w:p>
    <w:p w14:paraId="710ADF42" w14:textId="128D5F82" w:rsidR="00265FE3" w:rsidRPr="000901B3" w:rsidRDefault="00265FE3" w:rsidP="000901B3">
      <w:pPr>
        <w:pStyle w:val="Bullet"/>
      </w:pPr>
      <w:r w:rsidRPr="000901B3">
        <w:t xml:space="preserve">the Consumer Data Standards (the </w:t>
      </w:r>
      <w:r w:rsidR="004F0F45">
        <w:t>s</w:t>
      </w:r>
      <w:r w:rsidRPr="000901B3">
        <w:t xml:space="preserve">tandards), which set the technical requirements by which data needs to be provided to consumers and accredited data recipients (ADRs) within the CDR system – ensuring safe, efficient, convenient, and interoperable systems to share data are implemented. Where the </w:t>
      </w:r>
      <w:r w:rsidR="009D295F">
        <w:t>r</w:t>
      </w:r>
      <w:r w:rsidRPr="000901B3">
        <w:t xml:space="preserve">ules require compliance with the standards, a breach of the </w:t>
      </w:r>
      <w:r w:rsidR="004F0F45">
        <w:t>s</w:t>
      </w:r>
      <w:r w:rsidRPr="000901B3">
        <w:t xml:space="preserve">tandards may constitute a breach of the </w:t>
      </w:r>
      <w:r w:rsidR="009D295F">
        <w:t>r</w:t>
      </w:r>
      <w:r w:rsidRPr="000901B3">
        <w:t xml:space="preserve">ules, and </w:t>
      </w:r>
      <w:r w:rsidR="004F0F45">
        <w:t>s</w:t>
      </w:r>
      <w:r w:rsidRPr="000901B3">
        <w:t xml:space="preserve">tandards have a contractual effect between data holders and recipients in certain instances. </w:t>
      </w:r>
    </w:p>
    <w:p w14:paraId="4923DF03" w14:textId="77777777" w:rsidR="00265FE3" w:rsidRPr="00225896" w:rsidRDefault="00265FE3" w:rsidP="00265FE3">
      <w:pPr>
        <w:pStyle w:val="Heading2"/>
      </w:pPr>
      <w:bookmarkStart w:id="303" w:name="_Toc105139658"/>
      <w:bookmarkStart w:id="304" w:name="_Toc105149442"/>
      <w:bookmarkStart w:id="305" w:name="_Toc105162733"/>
      <w:bookmarkStart w:id="306" w:name="_Toc105667693"/>
      <w:bookmarkStart w:id="307" w:name="_Toc106115766"/>
      <w:bookmarkStart w:id="308" w:name="_Toc106286119"/>
      <w:bookmarkStart w:id="309" w:name="_Toc106358499"/>
      <w:bookmarkStart w:id="310" w:name="_Toc106358430"/>
      <w:bookmarkStart w:id="311" w:name="_Toc106376954"/>
      <w:bookmarkStart w:id="312" w:name="_Toc107222985"/>
      <w:bookmarkStart w:id="313" w:name="_Toc107397670"/>
      <w:bookmarkStart w:id="314" w:name="_Toc107397970"/>
      <w:bookmarkStart w:id="315" w:name="_Toc107404921"/>
      <w:bookmarkStart w:id="316" w:name="_Toc107406864"/>
      <w:bookmarkStart w:id="317" w:name="_Toc107479755"/>
      <w:bookmarkStart w:id="318" w:name="_Toc108188842"/>
      <w:bookmarkStart w:id="319" w:name="_Toc108441847"/>
      <w:bookmarkStart w:id="320" w:name="_Toc108442545"/>
      <w:bookmarkStart w:id="321" w:name="_Toc108623257"/>
      <w:bookmarkStart w:id="322" w:name="_Toc108689098"/>
      <w:bookmarkStart w:id="323" w:name="_Toc108797527"/>
      <w:bookmarkStart w:id="324" w:name="_Toc108798808"/>
      <w:bookmarkStart w:id="325" w:name="_Toc108799302"/>
      <w:bookmarkStart w:id="326" w:name="_Toc109390417"/>
      <w:bookmarkStart w:id="327" w:name="_Toc109810558"/>
      <w:bookmarkStart w:id="328" w:name="_Toc110409199"/>
      <w:bookmarkStart w:id="329" w:name="_Toc110602910"/>
      <w:r>
        <w:t>Over</w:t>
      </w:r>
      <w:bookmarkStart w:id="330" w:name="_Toc101875407"/>
      <w:r>
        <w:t>sight of the CDR</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366303D8" w14:textId="77777777" w:rsidR="00F102D0" w:rsidRPr="000A5DFD" w:rsidRDefault="00F102D0" w:rsidP="00F102D0">
      <w:pPr>
        <w:pStyle w:val="Heading3"/>
      </w:pPr>
      <w:bookmarkStart w:id="331" w:name="_Toc108188843"/>
      <w:bookmarkStart w:id="332" w:name="_Toc108441848"/>
      <w:bookmarkStart w:id="333" w:name="_Toc108442546"/>
      <w:bookmarkStart w:id="334" w:name="_Toc108623258"/>
      <w:bookmarkStart w:id="335" w:name="_Toc108689099"/>
      <w:bookmarkStart w:id="336" w:name="_Toc108797528"/>
      <w:bookmarkStart w:id="337" w:name="_Toc108798809"/>
      <w:bookmarkStart w:id="338" w:name="_Toc108799303"/>
      <w:bookmarkStart w:id="339" w:name="_Toc109390418"/>
      <w:bookmarkStart w:id="340" w:name="_Toc109810559"/>
      <w:bookmarkStart w:id="341" w:name="_Toc110409200"/>
      <w:bookmarkStart w:id="342" w:name="_Toc110602911"/>
      <w:r w:rsidRPr="000A5DFD">
        <w:t>The Minister</w:t>
      </w:r>
      <w:bookmarkEnd w:id="331"/>
      <w:bookmarkEnd w:id="332"/>
      <w:bookmarkEnd w:id="333"/>
      <w:bookmarkEnd w:id="334"/>
      <w:bookmarkEnd w:id="335"/>
      <w:bookmarkEnd w:id="336"/>
      <w:bookmarkEnd w:id="337"/>
      <w:bookmarkEnd w:id="338"/>
      <w:bookmarkEnd w:id="339"/>
      <w:bookmarkEnd w:id="340"/>
      <w:bookmarkEnd w:id="341"/>
      <w:bookmarkEnd w:id="342"/>
    </w:p>
    <w:p w14:paraId="5A2086B8" w14:textId="5BB21FB8" w:rsidR="00F102D0" w:rsidRPr="002C30B0" w:rsidRDefault="00F102D0" w:rsidP="009D0E82">
      <w:r w:rsidRPr="0040302F">
        <w:t xml:space="preserve">The </w:t>
      </w:r>
      <w:r w:rsidR="00ED62AF" w:rsidRPr="0040302F">
        <w:t>Assistant Treasurer is the responsible Minister</w:t>
      </w:r>
      <w:r w:rsidR="00ED62AF" w:rsidRPr="00EC0773">
        <w:t xml:space="preserve"> </w:t>
      </w:r>
      <w:r w:rsidR="00ED62AF">
        <w:t>and</w:t>
      </w:r>
      <w:r w:rsidRPr="00EC0773">
        <w:t xml:space="preserve"> sets the overall strategic direction and expectations for the CDR program. The Minister is directly advised by the Treasury who leads CDR policy, including the development of rules and on which sectors the CDR should apply to in the future. </w:t>
      </w:r>
    </w:p>
    <w:p w14:paraId="472D393C" w14:textId="34847F9D" w:rsidR="00F46940" w:rsidRDefault="00F46940" w:rsidP="00F3484D">
      <w:pPr>
        <w:pStyle w:val="Heading3"/>
      </w:pPr>
      <w:bookmarkStart w:id="343" w:name="_Toc108188844"/>
      <w:bookmarkStart w:id="344" w:name="_Toc108441849"/>
      <w:bookmarkStart w:id="345" w:name="_Toc108442547"/>
      <w:bookmarkStart w:id="346" w:name="_Toc108623259"/>
      <w:bookmarkStart w:id="347" w:name="_Toc108689100"/>
      <w:bookmarkStart w:id="348" w:name="_Toc108797529"/>
      <w:bookmarkStart w:id="349" w:name="_Toc108798810"/>
      <w:bookmarkStart w:id="350" w:name="_Toc108799304"/>
      <w:bookmarkStart w:id="351" w:name="_Toc109390419"/>
      <w:bookmarkStart w:id="352" w:name="_Toc109810560"/>
      <w:bookmarkStart w:id="353" w:name="_Toc110409201"/>
      <w:bookmarkStart w:id="354" w:name="_Toc110602912"/>
      <w:r>
        <w:t>The CDR Agencies</w:t>
      </w:r>
      <w:bookmarkEnd w:id="343"/>
      <w:bookmarkEnd w:id="344"/>
      <w:bookmarkEnd w:id="345"/>
      <w:bookmarkEnd w:id="346"/>
      <w:bookmarkEnd w:id="347"/>
      <w:bookmarkEnd w:id="348"/>
      <w:bookmarkEnd w:id="349"/>
      <w:bookmarkEnd w:id="350"/>
      <w:bookmarkEnd w:id="351"/>
      <w:bookmarkEnd w:id="352"/>
      <w:bookmarkEnd w:id="353"/>
      <w:bookmarkEnd w:id="354"/>
    </w:p>
    <w:p w14:paraId="002F4FA2" w14:textId="163A6FC6" w:rsidR="00265FE3" w:rsidRDefault="00265FE3" w:rsidP="009D0E82">
      <w:r>
        <w:t>The Treasury leads CDR policy, including development of rules and advice to Government on which sectors the CDR should apply to in the future</w:t>
      </w:r>
      <w:r w:rsidRPr="0040302F">
        <w:t xml:space="preserve">. </w:t>
      </w:r>
    </w:p>
    <w:p w14:paraId="320EAFA7" w14:textId="65CC16E4" w:rsidR="00265FE3" w:rsidRDefault="00265FE3" w:rsidP="009D0E82">
      <w:r>
        <w:t xml:space="preserve">Treasury works closely with the Australian Competition and Consumer Commission (ACCC), which is responsible for the accreditation process, including managing the Consumer Data Right Register, and ensures providers are complying with the </w:t>
      </w:r>
      <w:r w:rsidR="009D295F">
        <w:t>r</w:t>
      </w:r>
      <w:r>
        <w:t xml:space="preserve">ules and takes enforcement action where necessary; and the Office of the Australian Information Commission (OAIC), which regulates privacy and confidentiality under the CDR, </w:t>
      </w:r>
      <w:r w:rsidR="00663F84" w:rsidRPr="00BF7884">
        <w:t xml:space="preserve">enforces the privacy safeguards and privacy-related CDR </w:t>
      </w:r>
      <w:r w:rsidR="009D295F">
        <w:t>r</w:t>
      </w:r>
      <w:r w:rsidR="00663F84" w:rsidRPr="00BF7884">
        <w:t>ules where necessary</w:t>
      </w:r>
      <w:r w:rsidR="00663F84">
        <w:t xml:space="preserve">, </w:t>
      </w:r>
      <w:r>
        <w:t xml:space="preserve">handles complaints and notifications of eligible data breaches relating to CDR data. The Data Standards Body develops the technical and consumer experience standards, which are made by the Data Standards Chair. </w:t>
      </w:r>
    </w:p>
    <w:p w14:paraId="47D41EC6" w14:textId="77777777" w:rsidR="00F46940" w:rsidRPr="00D025DA" w:rsidRDefault="00F46940" w:rsidP="00F3484D">
      <w:pPr>
        <w:pStyle w:val="Heading3"/>
      </w:pPr>
      <w:bookmarkStart w:id="355" w:name="_Toc108188845"/>
      <w:bookmarkStart w:id="356" w:name="_Toc108441850"/>
      <w:bookmarkStart w:id="357" w:name="_Toc108442548"/>
      <w:bookmarkStart w:id="358" w:name="_Toc108623260"/>
      <w:bookmarkStart w:id="359" w:name="_Toc108689101"/>
      <w:bookmarkStart w:id="360" w:name="_Toc108797530"/>
      <w:bookmarkStart w:id="361" w:name="_Toc108798811"/>
      <w:bookmarkStart w:id="362" w:name="_Toc108799305"/>
      <w:bookmarkStart w:id="363" w:name="_Toc109390420"/>
      <w:bookmarkStart w:id="364" w:name="_Toc109810561"/>
      <w:bookmarkStart w:id="365" w:name="_Toc110409202"/>
      <w:bookmarkStart w:id="366" w:name="_Toc110602913"/>
      <w:r w:rsidRPr="00D025DA">
        <w:lastRenderedPageBreak/>
        <w:t>CDR Board</w:t>
      </w:r>
      <w:bookmarkEnd w:id="355"/>
      <w:bookmarkEnd w:id="356"/>
      <w:bookmarkEnd w:id="357"/>
      <w:bookmarkEnd w:id="358"/>
      <w:bookmarkEnd w:id="359"/>
      <w:bookmarkEnd w:id="360"/>
      <w:bookmarkEnd w:id="361"/>
      <w:bookmarkEnd w:id="362"/>
      <w:bookmarkEnd w:id="363"/>
      <w:bookmarkEnd w:id="364"/>
      <w:bookmarkEnd w:id="365"/>
      <w:bookmarkEnd w:id="366"/>
    </w:p>
    <w:p w14:paraId="2FAD78BC" w14:textId="14F69615" w:rsidR="00F46940" w:rsidRPr="00EC0773" w:rsidRDefault="00F46940" w:rsidP="009D0E82">
      <w:pPr>
        <w:rPr>
          <w:b/>
        </w:rPr>
      </w:pPr>
      <w:r w:rsidRPr="00EC0773">
        <w:t>The Consumer Data Right Board (the Board) was established under the authority of the Secretary of the Treasury in February 2020</w:t>
      </w:r>
      <w:r w:rsidR="005D0AA8">
        <w:t>.</w:t>
      </w:r>
      <w:r w:rsidRPr="00EC0773">
        <w:t xml:space="preserve"> </w:t>
      </w:r>
      <w:r w:rsidR="005D0AA8">
        <w:t>I</w:t>
      </w:r>
      <w:r w:rsidRPr="00EC0773">
        <w:t>t provides senior leadership and strategic oversight by CDR agencies to deliver a complex, multi-year and multi-function policy, regulatory and ICT program. The Board is advisory in nature and not intended to supersede or otherwise interfere with the roles and responsibilities, or independence of any agency or individual member. Decision making is undertaken by a consensus of its Members who consist of the following:</w:t>
      </w:r>
    </w:p>
    <w:p w14:paraId="2CFD7FDE" w14:textId="77777777" w:rsidR="00F46940" w:rsidRPr="00C1168A" w:rsidRDefault="00F46940" w:rsidP="00C1168A">
      <w:pPr>
        <w:pStyle w:val="Bullet"/>
      </w:pPr>
      <w:r w:rsidRPr="00822EF9">
        <w:t>Deputy Secretary, Markets Group, Treasury (Chair)</w:t>
      </w:r>
    </w:p>
    <w:p w14:paraId="141F2AA3" w14:textId="77777777" w:rsidR="00F46940" w:rsidRPr="00C1168A" w:rsidRDefault="00F46940" w:rsidP="00C1168A">
      <w:pPr>
        <w:pStyle w:val="Bullet"/>
      </w:pPr>
      <w:r w:rsidRPr="00822EF9">
        <w:t>Commissioner, ACCC</w:t>
      </w:r>
    </w:p>
    <w:p w14:paraId="054FD70D" w14:textId="7F1D1C05" w:rsidR="00F46940" w:rsidRPr="00C1168A" w:rsidRDefault="00F46940" w:rsidP="00C1168A">
      <w:pPr>
        <w:pStyle w:val="Bullet"/>
      </w:pPr>
      <w:r w:rsidRPr="00822EF9">
        <w:t>Data Standards Chair</w:t>
      </w:r>
    </w:p>
    <w:p w14:paraId="5DC95F7D" w14:textId="38F760F8" w:rsidR="00F46940" w:rsidRPr="00C1168A" w:rsidRDefault="00F46940" w:rsidP="00C1168A">
      <w:pPr>
        <w:pStyle w:val="Bullet"/>
      </w:pPr>
      <w:r w:rsidRPr="00822EF9">
        <w:t>Australian Information Commissioner and Privacy Commissioner, OAIC</w:t>
      </w:r>
    </w:p>
    <w:p w14:paraId="78755D2D" w14:textId="77777777" w:rsidR="00265FE3" w:rsidRPr="005A5014" w:rsidRDefault="00265FE3" w:rsidP="00265FE3">
      <w:pPr>
        <w:pStyle w:val="Heading3"/>
      </w:pPr>
      <w:bookmarkStart w:id="367" w:name="_Toc105667694"/>
      <w:bookmarkStart w:id="368" w:name="_Toc106115767"/>
      <w:bookmarkStart w:id="369" w:name="_Toc106286120"/>
      <w:bookmarkStart w:id="370" w:name="_Toc106358500"/>
      <w:bookmarkStart w:id="371" w:name="_Toc106376955"/>
      <w:bookmarkStart w:id="372" w:name="_Toc107222986"/>
      <w:bookmarkStart w:id="373" w:name="_Toc107397671"/>
      <w:bookmarkStart w:id="374" w:name="_Toc107397971"/>
      <w:bookmarkStart w:id="375" w:name="_Toc107404922"/>
      <w:bookmarkStart w:id="376" w:name="_Toc107406865"/>
      <w:bookmarkStart w:id="377" w:name="_Toc107479756"/>
      <w:bookmarkStart w:id="378" w:name="_Toc108188846"/>
      <w:bookmarkStart w:id="379" w:name="_Toc108441851"/>
      <w:bookmarkStart w:id="380" w:name="_Toc108442549"/>
      <w:bookmarkStart w:id="381" w:name="_Toc108623261"/>
      <w:bookmarkStart w:id="382" w:name="_Toc108689102"/>
      <w:bookmarkStart w:id="383" w:name="_Toc108797531"/>
      <w:bookmarkStart w:id="384" w:name="_Toc108798812"/>
      <w:bookmarkStart w:id="385" w:name="_Toc108799306"/>
      <w:bookmarkStart w:id="386" w:name="_Toc109390421"/>
      <w:bookmarkStart w:id="387" w:name="_Toc109810562"/>
      <w:bookmarkStart w:id="388" w:name="_Toc110409203"/>
      <w:bookmarkStart w:id="389" w:name="_Toc110602914"/>
      <w:r w:rsidRPr="005A5014">
        <w:t>Evolution of governance</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498488D3" w14:textId="77777777" w:rsidR="00265FE3" w:rsidRDefault="00265FE3" w:rsidP="009D0E82">
      <w:r>
        <w:t xml:space="preserve">These responsibilities evolved with the rollout of the CDR. In the 2017 Productivity Commission Report </w:t>
      </w:r>
      <w:r>
        <w:rPr>
          <w:i/>
          <w:iCs/>
        </w:rPr>
        <w:t xml:space="preserve">Data Availability and Use </w:t>
      </w:r>
      <w:r>
        <w:t>it was suggested that the proposed data sharing framework should be established with the ACCC responsible for regulatory work including handling complaints from data holders, educating consumers, and assessing applications to participate in data sharing.</w:t>
      </w:r>
    </w:p>
    <w:p w14:paraId="7C81DBB1" w14:textId="77777777" w:rsidR="00265FE3" w:rsidRDefault="00265FE3" w:rsidP="009D0E82">
      <w:r>
        <w:t>The Open Banking Review chaired by Mr Scott Farrell was published in 2018. This Review included several recommendations regarding governance of Open Banking, including that the initiative be supported by a multiple regulator model where the ACCC be responsible for competition and consumer issues and standards-setting, while the OAIC be responsible for privacy protection. The Review also recommended a Data Standards Body work with the regulators to develop standards. The Government at the time accepted these recommendations.</w:t>
      </w:r>
      <w:r w:rsidRPr="00600205">
        <w:rPr>
          <w:rStyle w:val="FootnoteReference"/>
          <w:sz w:val="22"/>
          <w:szCs w:val="22"/>
          <w:vertAlign w:val="superscript"/>
        </w:rPr>
        <w:footnoteReference w:id="58"/>
      </w:r>
      <w:r w:rsidRPr="00600205">
        <w:rPr>
          <w:szCs w:val="22"/>
          <w:vertAlign w:val="superscript"/>
        </w:rPr>
        <w:t xml:space="preserve"> </w:t>
      </w:r>
    </w:p>
    <w:p w14:paraId="1CD61BBA" w14:textId="45856B08" w:rsidR="00265FE3" w:rsidRDefault="00265FE3" w:rsidP="009D0E82">
      <w:r>
        <w:t>With the launch of Open Banking under the CDR in 2019, the multiple regulator model was adopted with the ACCC responsible for compliance, enforcement and accreditation as well as establishing the rules for participation in the CDR framework</w:t>
      </w:r>
      <w:r w:rsidR="00C10D0D">
        <w:t>. T</w:t>
      </w:r>
      <w:r>
        <w:t xml:space="preserve">he OAIC </w:t>
      </w:r>
      <w:r w:rsidR="00C10D0D">
        <w:t xml:space="preserve">was </w:t>
      </w:r>
      <w:r w:rsidRPr="00BF7884">
        <w:t xml:space="preserve">responsible </w:t>
      </w:r>
      <w:r w:rsidR="00C10D0D">
        <w:t xml:space="preserve">for </w:t>
      </w:r>
      <w:r w:rsidR="00970F2F" w:rsidRPr="00BF7884">
        <w:t xml:space="preserve">enforcing the privacy safeguards and privacy-related CDR </w:t>
      </w:r>
      <w:r w:rsidR="009D295F">
        <w:t>r</w:t>
      </w:r>
      <w:r w:rsidR="00970F2F" w:rsidRPr="00BF7884">
        <w:t>ules where necessary, handl</w:t>
      </w:r>
      <w:r w:rsidR="00C10D0D">
        <w:t>ing</w:t>
      </w:r>
      <w:r w:rsidR="00970F2F" w:rsidRPr="00BF7884">
        <w:t xml:space="preserve"> complaints and notifications of eligible data breaches relating to CDR data</w:t>
      </w:r>
      <w:r w:rsidR="00C10D0D">
        <w:t>,</w:t>
      </w:r>
      <w:r w:rsidR="00970F2F" w:rsidRPr="00BF7884">
        <w:t xml:space="preserve"> </w:t>
      </w:r>
      <w:r w:rsidRPr="00BF7884">
        <w:t>for investigating privacy breaches</w:t>
      </w:r>
      <w:r w:rsidR="00970F2F" w:rsidRPr="00BF7884">
        <w:t>, and provid</w:t>
      </w:r>
      <w:r w:rsidR="00C10D0D">
        <w:t>ing</w:t>
      </w:r>
      <w:r w:rsidR="00970F2F" w:rsidRPr="00BF7884">
        <w:t xml:space="preserve"> advice to the Minister and CDR agencies on the privacy implications of the CDR </w:t>
      </w:r>
      <w:r w:rsidR="009D295F">
        <w:t>r</w:t>
      </w:r>
      <w:r w:rsidR="00970F2F" w:rsidRPr="00BF7884">
        <w:t>ules and data standards</w:t>
      </w:r>
      <w:r>
        <w:t>. During this time Treasury provided guidance on policy implementation for the CDR.</w:t>
      </w:r>
      <w:r w:rsidR="003F20C3">
        <w:t xml:space="preserve"> The Data Standards Body was part of the C</w:t>
      </w:r>
      <w:r w:rsidR="003F20C3" w:rsidRPr="003F20C3">
        <w:t>ommonwealth Scientific and Industrial Research Organisation</w:t>
      </w:r>
      <w:r w:rsidR="003F20C3">
        <w:t xml:space="preserve"> (CSIRO). </w:t>
      </w:r>
    </w:p>
    <w:p w14:paraId="5CF25CF3" w14:textId="66BFFFBC" w:rsidR="00265FE3" w:rsidRDefault="00265FE3" w:rsidP="009D0E82">
      <w:r>
        <w:t xml:space="preserve">From 28 February 2021, the then responsible Minister for the CDR, Senator </w:t>
      </w:r>
      <w:r w:rsidR="0037147D">
        <w:t xml:space="preserve">the Hon </w:t>
      </w:r>
      <w:r>
        <w:t xml:space="preserve">Jane Hume took over from the ACCC as CDR rule-maker. This change meant that accountability for development and advice on the </w:t>
      </w:r>
      <w:r w:rsidR="009D295F">
        <w:t>r</w:t>
      </w:r>
      <w:r>
        <w:t>ules, and for assessing future sectors, moved from the ACCC to Treasury, along with overarching leadership and responsibility for the CDR program. The functional reallocation also included the transfer of the Data Standards Body (DSB) from CSIRO to Treasury. These changes were intended to support a streamlined and unified approach to the development and implementation of CDR policy, rules and standards.</w:t>
      </w:r>
    </w:p>
    <w:p w14:paraId="58E4C0D3" w14:textId="3F698CBA" w:rsidR="00265FE3" w:rsidRDefault="00265FE3" w:rsidP="00C1168A">
      <w:pPr>
        <w:ind w:right="567"/>
      </w:pPr>
      <w:r>
        <w:lastRenderedPageBreak/>
        <w:t>The ACCC retains responsibility for accreditation of data recipients, registration and on-boarding of data holders and data recipients, compliance and enforcement (together with the OAIC), for designing, developing and running the Register &amp; Accreditation Application Platform (RAAP) that supports secure sharing of data between participants, and for the Conformance Test Suite for participants.</w:t>
      </w:r>
    </w:p>
    <w:p w14:paraId="5AC643BB" w14:textId="77777777" w:rsidR="00265FE3" w:rsidRDefault="00265FE3" w:rsidP="00265FE3">
      <w:pPr>
        <w:pStyle w:val="Heading2"/>
        <w:rPr>
          <w:color w:val="90B6F0" w:themeColor="accent5"/>
        </w:rPr>
      </w:pPr>
      <w:bookmarkStart w:id="390" w:name="_Toc105667695"/>
      <w:bookmarkStart w:id="391" w:name="_Toc106115768"/>
      <w:bookmarkStart w:id="392" w:name="_Toc106286121"/>
      <w:bookmarkStart w:id="393" w:name="_Toc106358501"/>
      <w:bookmarkStart w:id="394" w:name="_Toc106376956"/>
      <w:bookmarkStart w:id="395" w:name="_Toc107222987"/>
      <w:bookmarkStart w:id="396" w:name="_Toc107397672"/>
      <w:bookmarkStart w:id="397" w:name="_Toc107397972"/>
      <w:bookmarkStart w:id="398" w:name="_Toc107404923"/>
      <w:bookmarkStart w:id="399" w:name="_Toc107406866"/>
      <w:bookmarkStart w:id="400" w:name="_Toc107479757"/>
      <w:bookmarkStart w:id="401" w:name="_Toc108188847"/>
      <w:bookmarkStart w:id="402" w:name="_Toc108441852"/>
      <w:bookmarkStart w:id="403" w:name="_Toc108442550"/>
      <w:bookmarkStart w:id="404" w:name="_Toc108623262"/>
      <w:bookmarkStart w:id="405" w:name="_Toc108689103"/>
      <w:bookmarkStart w:id="406" w:name="_Toc108797532"/>
      <w:bookmarkStart w:id="407" w:name="_Toc108798813"/>
      <w:bookmarkStart w:id="408" w:name="_Toc108799307"/>
      <w:bookmarkStart w:id="409" w:name="_Toc109390422"/>
      <w:bookmarkStart w:id="410" w:name="_Toc109810563"/>
      <w:bookmarkStart w:id="411" w:name="_Toc110409204"/>
      <w:bookmarkStart w:id="412" w:name="_Toc110602915"/>
      <w:r>
        <w:t>Sectoral assessment and designation processes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0321380D" w14:textId="77777777" w:rsidR="00265FE3" w:rsidRDefault="00265FE3" w:rsidP="00265FE3">
      <w:r>
        <w:t xml:space="preserve">The CDR statutory framework includes requirements related to the expansion of the CDR through a sectoral assessment and designation process, as well as how the CDR is designed through rules and standards to support engagement that evolves with technological developments. </w:t>
      </w:r>
    </w:p>
    <w:p w14:paraId="2C6FF968" w14:textId="77777777" w:rsidR="00265FE3" w:rsidRPr="009D0E82" w:rsidRDefault="00265FE3" w:rsidP="009D0E82">
      <w:pPr>
        <w:rPr>
          <w:i/>
          <w:iCs/>
          <w:sz w:val="18"/>
          <w:szCs w:val="16"/>
        </w:rPr>
      </w:pPr>
      <w:r w:rsidRPr="009D0E82">
        <w:rPr>
          <w:i/>
          <w:iCs/>
          <w:sz w:val="18"/>
          <w:szCs w:val="16"/>
        </w:rPr>
        <w:t>Figure C.1: Summary of CDR sector implementation steps</w:t>
      </w:r>
    </w:p>
    <w:p w14:paraId="5EBFC47A" w14:textId="77777777" w:rsidR="00265FE3" w:rsidRPr="002D475B" w:rsidRDefault="00265FE3" w:rsidP="00265FE3">
      <w:r w:rsidRPr="002E2CBB">
        <w:rPr>
          <w:noProof/>
        </w:rPr>
        <w:drawing>
          <wp:inline distT="0" distB="0" distL="0" distR="0" wp14:anchorId="03B6AE5B" wp14:editId="270994A4">
            <wp:extent cx="5731510" cy="777154"/>
            <wp:effectExtent l="0" t="0" r="21590" b="0"/>
            <wp:docPr id="47" name="Diagram 47">
              <a:extLst xmlns:a="http://schemas.openxmlformats.org/drawingml/2006/main">
                <a:ext uri="{FF2B5EF4-FFF2-40B4-BE49-F238E27FC236}">
                  <a16:creationId xmlns:a16="http://schemas.microsoft.com/office/drawing/2014/main" id="{37F790F3-12C3-49FC-882B-1DF7A3D925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DE167EA" w14:textId="77777777" w:rsidR="00265FE3" w:rsidRPr="005A5014" w:rsidRDefault="00265FE3" w:rsidP="00265FE3">
      <w:pPr>
        <w:pStyle w:val="Heading3"/>
      </w:pPr>
      <w:bookmarkStart w:id="413" w:name="_Toc105667696"/>
      <w:bookmarkStart w:id="414" w:name="_Toc106115769"/>
      <w:bookmarkStart w:id="415" w:name="_Toc106286122"/>
      <w:bookmarkStart w:id="416" w:name="_Toc106358502"/>
      <w:bookmarkStart w:id="417" w:name="_Toc106376957"/>
      <w:bookmarkStart w:id="418" w:name="_Toc107222988"/>
      <w:bookmarkStart w:id="419" w:name="_Toc107397673"/>
      <w:bookmarkStart w:id="420" w:name="_Toc107397973"/>
      <w:bookmarkStart w:id="421" w:name="_Toc107404924"/>
      <w:bookmarkStart w:id="422" w:name="_Toc107406867"/>
      <w:bookmarkStart w:id="423" w:name="_Toc107479758"/>
      <w:bookmarkStart w:id="424" w:name="_Toc108188848"/>
      <w:bookmarkStart w:id="425" w:name="_Toc108441853"/>
      <w:bookmarkStart w:id="426" w:name="_Toc108442551"/>
      <w:bookmarkStart w:id="427" w:name="_Toc108623263"/>
      <w:bookmarkStart w:id="428" w:name="_Toc108689104"/>
      <w:bookmarkStart w:id="429" w:name="_Toc108797533"/>
      <w:bookmarkStart w:id="430" w:name="_Toc108798814"/>
      <w:bookmarkStart w:id="431" w:name="_Toc108799308"/>
      <w:bookmarkStart w:id="432" w:name="_Toc109390423"/>
      <w:bookmarkStart w:id="433" w:name="_Toc109810564"/>
      <w:bookmarkStart w:id="434" w:name="_Toc110409205"/>
      <w:bookmarkStart w:id="435" w:name="_Toc110602916"/>
      <w:r w:rsidRPr="005A5014">
        <w:t>Designation process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4B5C75EA" w14:textId="77777777" w:rsidR="00265FE3" w:rsidRPr="002E2CBB" w:rsidRDefault="00265FE3" w:rsidP="009D0E82">
      <w:pPr>
        <w:rPr>
          <w:rFonts w:eastAsia="Calibri"/>
        </w:rPr>
      </w:pPr>
      <w:r w:rsidRPr="002E2CBB">
        <w:rPr>
          <w:rFonts w:eastAsia="Calibri"/>
        </w:rPr>
        <w:t xml:space="preserve">The </w:t>
      </w:r>
      <w:r w:rsidRPr="00C346E9">
        <w:rPr>
          <w:rFonts w:eastAsia="Calibri"/>
        </w:rPr>
        <w:t>Act</w:t>
      </w:r>
      <w:r w:rsidRPr="002E2CBB">
        <w:rPr>
          <w:rFonts w:eastAsia="Calibri"/>
        </w:rPr>
        <w:t xml:space="preserve"> provides that before a dataset or sector can be included in the CDR system, a detailed</w:t>
      </w:r>
      <w:r>
        <w:rPr>
          <w:rFonts w:eastAsia="Calibri"/>
        </w:rPr>
        <w:t xml:space="preserve"> </w:t>
      </w:r>
      <w:r w:rsidRPr="002E2CBB">
        <w:rPr>
          <w:rFonts w:eastAsia="Calibri"/>
        </w:rPr>
        <w:t xml:space="preserve">assessment must be undertaken </w:t>
      </w:r>
      <w:r>
        <w:rPr>
          <w:rFonts w:eastAsia="Calibri"/>
        </w:rPr>
        <w:t>for</w:t>
      </w:r>
      <w:r w:rsidRPr="002E2CBB">
        <w:rPr>
          <w:rFonts w:eastAsia="Calibri"/>
        </w:rPr>
        <w:t xml:space="preserve"> the sector or dataset designated by a legislative instrument made by the Minister.</w:t>
      </w:r>
    </w:p>
    <w:p w14:paraId="3524803A" w14:textId="77777777" w:rsidR="00265FE3" w:rsidRPr="004761DD" w:rsidRDefault="00265FE3" w:rsidP="009D0E82">
      <w:pPr>
        <w:rPr>
          <w:rFonts w:asciiTheme="minorHAnsi" w:hAnsiTheme="minorHAnsi" w:cstheme="minorHAnsi"/>
        </w:rPr>
      </w:pPr>
      <w:r>
        <w:t>The Minister may designate a sector of the Australian economy to be subject to the CDR under section 56AC of the Act. A sector is designated by legislative instrument, which specifies the classes of information (data) designated for the purposes of the CDR and the class or classes of persons who hold the designated information (data holders).</w:t>
      </w:r>
    </w:p>
    <w:p w14:paraId="54581254" w14:textId="05BB9E7D" w:rsidR="00265FE3" w:rsidRDefault="00265FE3" w:rsidP="009D0E82">
      <w:r>
        <w:t>The Act provides that, before a sector can be designated, certain matters under section 56AD(1) (collectively, the statutory factors) must be considered by the Minister. These include:</w:t>
      </w:r>
      <w:r w:rsidR="005B1FED">
        <w:br/>
      </w:r>
    </w:p>
    <w:p w14:paraId="51C3F183" w14:textId="77777777" w:rsidR="00265FE3" w:rsidRPr="009D0E82" w:rsidRDefault="00265FE3" w:rsidP="009D0E82">
      <w:pPr>
        <w:rPr>
          <w:i/>
          <w:iCs/>
          <w:sz w:val="18"/>
          <w:szCs w:val="16"/>
        </w:rPr>
      </w:pPr>
      <w:r w:rsidRPr="009D0E82">
        <w:rPr>
          <w:i/>
          <w:iCs/>
          <w:sz w:val="18"/>
          <w:szCs w:val="16"/>
        </w:rPr>
        <w:t>Figure C.2: Sectoral assessment criteria</w:t>
      </w:r>
    </w:p>
    <w:p w14:paraId="651515FD" w14:textId="77777777" w:rsidR="00265FE3" w:rsidRDefault="00265FE3" w:rsidP="00265FE3">
      <w:pPr>
        <w:pStyle w:val="Bullet"/>
        <w:numPr>
          <w:ilvl w:val="0"/>
          <w:numId w:val="0"/>
        </w:numPr>
      </w:pPr>
      <w:r w:rsidRPr="00D23AE9">
        <w:rPr>
          <w:noProof/>
        </w:rPr>
        <w:drawing>
          <wp:inline distT="0" distB="0" distL="0" distR="0" wp14:anchorId="77E52F3B" wp14:editId="35982FFF">
            <wp:extent cx="5619750" cy="1219200"/>
            <wp:effectExtent l="0" t="0" r="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4F97E39" w14:textId="3BC21458" w:rsidR="00265FE3" w:rsidRDefault="00265FE3" w:rsidP="009D0E82">
      <w:r>
        <w:t xml:space="preserve">The Act also requires that, before designating a sector, the Minister must be satisfied that the Secretary of the Department (the Treasury) has arranged for consultation and analysis about designation and published a report about that analysis and consultation. As part of its consultation, the Treasury is required to consult the ACCC, the </w:t>
      </w:r>
      <w:r w:rsidRPr="00BF7884">
        <w:t>Information Commissioner,</w:t>
      </w:r>
      <w:r>
        <w:t xml:space="preserve"> and the primary regulator of the relevant sector (section 56AE(1)(c)). Making a designation instrument cannot occur until 60 days after the publication of the report. Before making a designation instrument, the Minister must also consult the </w:t>
      </w:r>
      <w:r w:rsidR="00970F2F" w:rsidRPr="00BF7884">
        <w:t>Information Commissioner</w:t>
      </w:r>
      <w:r>
        <w:t xml:space="preserve"> about the likely effect of the instrument on the privacy and confidentiality of consumers’ information (section 56AD(3)).</w:t>
      </w:r>
    </w:p>
    <w:p w14:paraId="226C3F74" w14:textId="2D8B88E9" w:rsidR="00265FE3" w:rsidRPr="00600205" w:rsidRDefault="00265FE3" w:rsidP="009D0E82">
      <w:pPr>
        <w:rPr>
          <w:rFonts w:eastAsia="Calibri"/>
        </w:rPr>
      </w:pPr>
      <w:r w:rsidRPr="00600205">
        <w:rPr>
          <w:rFonts w:eastAsia="Calibri"/>
        </w:rPr>
        <w:lastRenderedPageBreak/>
        <w:t>The sector</w:t>
      </w:r>
      <w:r w:rsidR="00290D64">
        <w:rPr>
          <w:rFonts w:eastAsia="Calibri"/>
        </w:rPr>
        <w:t>al</w:t>
      </w:r>
      <w:r w:rsidRPr="00600205">
        <w:rPr>
          <w:rFonts w:eastAsia="Calibri"/>
        </w:rPr>
        <w:t xml:space="preserve"> assessment considers the type of data that should be designated (it may include datasets used in other sectors) and who holds the data in the sector, to inform which data holders and what data should be designated and shared in a secure way, upon a consumer’s request.</w:t>
      </w:r>
    </w:p>
    <w:p w14:paraId="61627808" w14:textId="5FA655DC" w:rsidR="00265FE3" w:rsidRPr="009D0E82" w:rsidRDefault="00265FE3" w:rsidP="009D0E82">
      <w:pPr>
        <w:rPr>
          <w:i/>
          <w:iCs/>
          <w:sz w:val="18"/>
          <w:szCs w:val="16"/>
        </w:rPr>
      </w:pPr>
      <w:r w:rsidRPr="00600205">
        <w:rPr>
          <w:rFonts w:eastAsia="Calibri"/>
        </w:rPr>
        <w:t>A final report on the sectoral assessment, incorporating stakeholder feedback, will inform the decision about whether to designate a particular sector and any datasets and entities to be designated.</w:t>
      </w:r>
      <w:r w:rsidR="005B1FED" w:rsidDel="005B1FED">
        <w:rPr>
          <w:rFonts w:eastAsia="Calibri"/>
        </w:rPr>
        <w:t xml:space="preserve"> </w:t>
      </w:r>
      <w:r w:rsidR="005B1FED">
        <w:rPr>
          <w:rFonts w:eastAsia="Calibri"/>
        </w:rPr>
        <w:br/>
      </w:r>
      <w:r w:rsidR="005B1FED">
        <w:rPr>
          <w:rFonts w:eastAsia="Calibri"/>
        </w:rPr>
        <w:br/>
      </w:r>
      <w:r w:rsidRPr="009D0E82">
        <w:rPr>
          <w:i/>
          <w:iCs/>
          <w:sz w:val="18"/>
          <w:szCs w:val="16"/>
        </w:rPr>
        <w:t>Figure C.3: Sectoral assessment process</w:t>
      </w:r>
    </w:p>
    <w:p w14:paraId="19A3ACB1" w14:textId="77777777" w:rsidR="00265FE3" w:rsidRDefault="00265FE3" w:rsidP="00265FE3">
      <w:pPr>
        <w:pStyle w:val="Bullet"/>
        <w:numPr>
          <w:ilvl w:val="0"/>
          <w:numId w:val="0"/>
        </w:numPr>
        <w:jc w:val="center"/>
        <w:rPr>
          <w:rFonts w:asciiTheme="minorHAnsi" w:eastAsia="Calibri" w:hAnsiTheme="minorHAnsi" w:cstheme="minorBidi"/>
          <w:szCs w:val="22"/>
        </w:rPr>
      </w:pPr>
      <w:r>
        <w:rPr>
          <w:rFonts w:asciiTheme="minorHAnsi" w:eastAsia="Calibri" w:hAnsiTheme="minorHAnsi" w:cstheme="minorBidi"/>
          <w:noProof/>
          <w:szCs w:val="22"/>
        </w:rPr>
        <w:drawing>
          <wp:inline distT="0" distB="0" distL="0" distR="0" wp14:anchorId="16AC0C16" wp14:editId="63B54D1E">
            <wp:extent cx="3802670" cy="2219325"/>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802670" cy="2219325"/>
                    </a:xfrm>
                    <a:prstGeom prst="rect">
                      <a:avLst/>
                    </a:prstGeom>
                    <a:noFill/>
                    <a:ln>
                      <a:noFill/>
                    </a:ln>
                  </pic:spPr>
                </pic:pic>
              </a:graphicData>
            </a:graphic>
          </wp:inline>
        </w:drawing>
      </w:r>
    </w:p>
    <w:p w14:paraId="3724B75A" w14:textId="77777777" w:rsidR="00265FE3" w:rsidRPr="006024CF" w:rsidRDefault="00265FE3" w:rsidP="009D0E82">
      <w:pPr>
        <w:rPr>
          <w:bCs/>
        </w:rPr>
      </w:pPr>
      <w:r w:rsidRPr="00600205">
        <w:rPr>
          <w:rFonts w:eastAsia="Calibri"/>
        </w:rPr>
        <w:t xml:space="preserve">A designation instrument specifies the parameters for classes of information that </w:t>
      </w:r>
      <w:r w:rsidRPr="006024CF">
        <w:rPr>
          <w:rFonts w:eastAsia="Calibri"/>
        </w:rPr>
        <w:t>may be shared under the CDR in a particular sector, as well as who is required to share it. Once a sector has been designated, CDR rules and standards for that sector can be made in accordance with statutory</w:t>
      </w:r>
      <w:r w:rsidRPr="006024CF">
        <w:rPr>
          <w:bCs/>
        </w:rPr>
        <w:t xml:space="preserve"> processes, including extensive consultation requirements. </w:t>
      </w:r>
    </w:p>
    <w:p w14:paraId="169AC240" w14:textId="67649B5D" w:rsidR="00265FE3" w:rsidRPr="006024CF" w:rsidRDefault="00265FE3" w:rsidP="009D0E82">
      <w:pPr>
        <w:rPr>
          <w:bCs/>
        </w:rPr>
      </w:pPr>
      <w:r w:rsidRPr="006024CF">
        <w:rPr>
          <w:bCs/>
        </w:rPr>
        <w:t>Designation involves specifying ‘classes of information’ or data to be designated but designating a sector does not in itself impose substantive obligations. Rather, the requirement to disclose particular data emanates from the CDR rules, which establish what is ‘required’ CDR data that must be shared in response to a valid request, as well as what information data holders</w:t>
      </w:r>
      <w:r w:rsidR="00ED62AF">
        <w:rPr>
          <w:bCs/>
        </w:rPr>
        <w:t>, accredited data recipients and representatives</w:t>
      </w:r>
      <w:r w:rsidRPr="006024CF">
        <w:rPr>
          <w:bCs/>
        </w:rPr>
        <w:t xml:space="preserve"> are ‘authorised’ to share on a voluntary basis. </w:t>
      </w:r>
    </w:p>
    <w:p w14:paraId="042FD4C0" w14:textId="1748ED02" w:rsidR="00265FE3" w:rsidRPr="005A5014" w:rsidRDefault="00265FE3" w:rsidP="00265FE3">
      <w:pPr>
        <w:pStyle w:val="Heading3"/>
      </w:pPr>
      <w:bookmarkStart w:id="436" w:name="_Toc105667697"/>
      <w:bookmarkStart w:id="437" w:name="_Toc106115770"/>
      <w:bookmarkStart w:id="438" w:name="_Toc106286123"/>
      <w:bookmarkStart w:id="439" w:name="_Toc106358503"/>
      <w:bookmarkStart w:id="440" w:name="_Toc106376958"/>
      <w:bookmarkStart w:id="441" w:name="_Toc107222989"/>
      <w:bookmarkStart w:id="442" w:name="_Toc107397674"/>
      <w:bookmarkStart w:id="443" w:name="_Toc107397974"/>
      <w:bookmarkStart w:id="444" w:name="_Toc107404925"/>
      <w:bookmarkStart w:id="445" w:name="_Toc107406868"/>
      <w:bookmarkStart w:id="446" w:name="_Toc107479759"/>
      <w:bookmarkStart w:id="447" w:name="_Toc108188849"/>
      <w:bookmarkStart w:id="448" w:name="_Toc108441854"/>
      <w:bookmarkStart w:id="449" w:name="_Toc108442552"/>
      <w:bookmarkStart w:id="450" w:name="_Toc108623264"/>
      <w:bookmarkStart w:id="451" w:name="_Toc108689105"/>
      <w:bookmarkStart w:id="452" w:name="_Toc108797534"/>
      <w:bookmarkStart w:id="453" w:name="_Toc108798815"/>
      <w:bookmarkStart w:id="454" w:name="_Toc108799309"/>
      <w:bookmarkStart w:id="455" w:name="_Toc109390424"/>
      <w:bookmarkStart w:id="456" w:name="_Toc109810565"/>
      <w:bookmarkStart w:id="457" w:name="_Toc110409206"/>
      <w:bookmarkStart w:id="458" w:name="_Toc110602917"/>
      <w:r w:rsidRPr="005A5014">
        <w:t xml:space="preserve">Rules and </w:t>
      </w:r>
      <w:r w:rsidR="0089055F">
        <w:t>s</w:t>
      </w:r>
      <w:r w:rsidRPr="005A5014">
        <w:t>tandards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5A5014">
        <w:t xml:space="preserve"> </w:t>
      </w:r>
    </w:p>
    <w:p w14:paraId="3A0171EA" w14:textId="3016CB8D" w:rsidR="00265FE3" w:rsidRDefault="00ED62AF" w:rsidP="009D0E82">
      <w:r w:rsidRPr="006024CF">
        <w:t xml:space="preserve">The </w:t>
      </w:r>
      <w:r w:rsidR="009D295F">
        <w:t>r</w:t>
      </w:r>
      <w:r w:rsidRPr="006024CF">
        <w:t>ules have been developed to apply universally across sectors to the extent possible, however, sector-specific provisions and modifications are catered for in sector-specific schedules</w:t>
      </w:r>
      <w:r>
        <w:t>,</w:t>
      </w:r>
      <w:r w:rsidRPr="00163F4C">
        <w:t xml:space="preserve"> </w:t>
      </w:r>
      <w:r>
        <w:t>and will be iteratively updated as the CDR evolves and expands</w:t>
      </w:r>
      <w:r w:rsidRPr="006024CF">
        <w:t>. Once designation of a sector occurs, sector</w:t>
      </w:r>
      <w:r w:rsidR="0089055F">
        <w:noBreakHyphen/>
      </w:r>
      <w:r w:rsidRPr="006024CF">
        <w:t>specific issues (for example, external dispute resolution arrangements specific to that sector) are considered, as well as the development of sector-specific data standards</w:t>
      </w:r>
      <w:r w:rsidRPr="00000BD3">
        <w:t>.</w:t>
      </w:r>
      <w:r>
        <w:t xml:space="preserve"> </w:t>
      </w:r>
      <w:r w:rsidR="00265FE3">
        <w:t xml:space="preserve">The </w:t>
      </w:r>
      <w:r w:rsidR="009D295F">
        <w:t>r</w:t>
      </w:r>
      <w:r w:rsidR="00265FE3">
        <w:t>ules are made under the</w:t>
      </w:r>
      <w:r w:rsidR="00265FE3">
        <w:rPr>
          <w:i/>
        </w:rPr>
        <w:t xml:space="preserve"> </w:t>
      </w:r>
      <w:r w:rsidR="00265FE3" w:rsidRPr="00C346E9">
        <w:t>Act</w:t>
      </w:r>
      <w:r w:rsidR="00265FE3">
        <w:t xml:space="preserve"> and set out the framework to facilitate data </w:t>
      </w:r>
      <w:r w:rsidR="00265FE3" w:rsidRPr="00C128E9">
        <w:t>sharing.</w:t>
      </w:r>
    </w:p>
    <w:p w14:paraId="148E6F74" w14:textId="2125E193" w:rsidR="00BA4AE1" w:rsidRDefault="00BA4AE1" w:rsidP="009D0E82">
      <w:r>
        <w:t xml:space="preserve">The </w:t>
      </w:r>
      <w:r w:rsidR="009D295F">
        <w:t>r</w:t>
      </w:r>
      <w:r>
        <w:t xml:space="preserve">ules mandate how data holders disclose </w:t>
      </w:r>
      <w:r w:rsidR="00A42A6C">
        <w:t xml:space="preserve">consumer and </w:t>
      </w:r>
      <w:r>
        <w:t xml:space="preserve">product data to consumers, and how data holders disclose </w:t>
      </w:r>
      <w:r w:rsidR="00A42A6C">
        <w:t xml:space="preserve">consumer data on behalf of consumers and product data </w:t>
      </w:r>
      <w:r>
        <w:t xml:space="preserve">to accredited data recipients on behalf of the consumer. The first version of the </w:t>
      </w:r>
      <w:r w:rsidR="009D295F">
        <w:t>r</w:t>
      </w:r>
      <w:r>
        <w:t xml:space="preserve">ules was published in February 2020 and since then there have been several iterations of the rules. </w:t>
      </w:r>
    </w:p>
    <w:p w14:paraId="7F313BEB" w14:textId="74F869A0" w:rsidR="00265FE3" w:rsidRDefault="00265FE3" w:rsidP="009D0E82">
      <w:pPr>
        <w:rPr>
          <w:b/>
        </w:rPr>
      </w:pPr>
      <w:r w:rsidRPr="00FA0029">
        <w:t xml:space="preserve">The </w:t>
      </w:r>
      <w:r w:rsidR="009D295F">
        <w:t>s</w:t>
      </w:r>
      <w:r w:rsidRPr="00FA0029">
        <w:t xml:space="preserve">tandards provide guidance to </w:t>
      </w:r>
      <w:r>
        <w:t>participants in the CDR on technical and consumer experience. Non-compliance with standards may constitute a breach of the rules where the rules require compliance with the standards. The Data Standards Bo</w:t>
      </w:r>
      <w:r w:rsidR="0089055F">
        <w:t>dy</w:t>
      </w:r>
      <w:r>
        <w:t xml:space="preserve"> provides frequent updates to the standards in consultation with stakeholders.  </w:t>
      </w:r>
    </w:p>
    <w:p w14:paraId="1ED4AF1E" w14:textId="77777777" w:rsidR="00265FE3" w:rsidRPr="00693150" w:rsidRDefault="00265FE3" w:rsidP="00265FE3">
      <w:pPr>
        <w:pStyle w:val="Heading2"/>
      </w:pPr>
      <w:bookmarkStart w:id="459" w:name="_Toc101875409"/>
      <w:bookmarkStart w:id="460" w:name="_Toc105139660"/>
      <w:bookmarkStart w:id="461" w:name="_Toc105149444"/>
      <w:bookmarkStart w:id="462" w:name="_Toc105150643"/>
      <w:bookmarkStart w:id="463" w:name="_Toc105162735"/>
      <w:bookmarkStart w:id="464" w:name="_Toc105667698"/>
      <w:bookmarkStart w:id="465" w:name="_Toc106115771"/>
      <w:bookmarkStart w:id="466" w:name="_Toc106286124"/>
      <w:bookmarkStart w:id="467" w:name="_Toc106358504"/>
      <w:bookmarkStart w:id="468" w:name="_Toc106376959"/>
      <w:bookmarkStart w:id="469" w:name="_Toc107222990"/>
      <w:bookmarkStart w:id="470" w:name="_Toc107397675"/>
      <w:bookmarkStart w:id="471" w:name="_Toc107397975"/>
      <w:bookmarkStart w:id="472" w:name="_Toc107404926"/>
      <w:bookmarkStart w:id="473" w:name="_Toc107406869"/>
      <w:bookmarkStart w:id="474" w:name="_Toc107479760"/>
      <w:bookmarkStart w:id="475" w:name="_Toc108188850"/>
      <w:bookmarkStart w:id="476" w:name="_Toc108441855"/>
      <w:bookmarkStart w:id="477" w:name="_Toc108442553"/>
      <w:bookmarkStart w:id="478" w:name="_Toc108623265"/>
      <w:bookmarkStart w:id="479" w:name="_Toc108689106"/>
      <w:bookmarkStart w:id="480" w:name="_Toc108797535"/>
      <w:bookmarkStart w:id="481" w:name="_Toc108798816"/>
      <w:bookmarkStart w:id="482" w:name="_Toc108799310"/>
      <w:bookmarkStart w:id="483" w:name="_Toc109390425"/>
      <w:bookmarkStart w:id="484" w:name="_Toc109810566"/>
      <w:bookmarkStart w:id="485" w:name="_Toc110409207"/>
      <w:bookmarkStart w:id="486" w:name="_Toc110602918"/>
      <w:r w:rsidRPr="00693150">
        <w:lastRenderedPageBreak/>
        <w:t>CDR roll-out to date</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604ED868" w14:textId="77777777" w:rsidR="00265FE3" w:rsidRPr="00693150" w:rsidRDefault="00265FE3" w:rsidP="00265FE3">
      <w:pPr>
        <w:pStyle w:val="Heading3"/>
        <w:rPr>
          <w:b w:val="0"/>
          <w:color w:val="3A7DE4" w:themeColor="accent5" w:themeShade="BF"/>
          <w:sz w:val="26"/>
        </w:rPr>
      </w:pPr>
      <w:bookmarkStart w:id="487" w:name="_Toc97565325"/>
      <w:bookmarkStart w:id="488" w:name="_Toc101875410"/>
      <w:bookmarkStart w:id="489" w:name="_Toc105139661"/>
      <w:bookmarkStart w:id="490" w:name="_Toc105149445"/>
      <w:bookmarkStart w:id="491" w:name="_Toc105150644"/>
      <w:bookmarkStart w:id="492" w:name="_Toc105162736"/>
      <w:bookmarkStart w:id="493" w:name="_Toc105667699"/>
      <w:bookmarkStart w:id="494" w:name="_Toc106115772"/>
      <w:bookmarkStart w:id="495" w:name="_Toc106286125"/>
      <w:bookmarkStart w:id="496" w:name="_Toc106358505"/>
      <w:bookmarkStart w:id="497" w:name="_Toc106376960"/>
      <w:bookmarkStart w:id="498" w:name="_Toc107222991"/>
      <w:bookmarkStart w:id="499" w:name="_Toc107397676"/>
      <w:bookmarkStart w:id="500" w:name="_Toc107397976"/>
      <w:bookmarkStart w:id="501" w:name="_Toc107404927"/>
      <w:bookmarkStart w:id="502" w:name="_Toc107406870"/>
      <w:bookmarkStart w:id="503" w:name="_Toc107479761"/>
      <w:bookmarkStart w:id="504" w:name="_Toc108188851"/>
      <w:bookmarkStart w:id="505" w:name="_Toc108441856"/>
      <w:bookmarkStart w:id="506" w:name="_Toc108442554"/>
      <w:bookmarkStart w:id="507" w:name="_Toc108623266"/>
      <w:bookmarkStart w:id="508" w:name="_Toc108689107"/>
      <w:bookmarkStart w:id="509" w:name="_Toc108797536"/>
      <w:bookmarkStart w:id="510" w:name="_Toc108798817"/>
      <w:bookmarkStart w:id="511" w:name="_Toc108799311"/>
      <w:bookmarkStart w:id="512" w:name="_Toc109390426"/>
      <w:bookmarkStart w:id="513" w:name="_Toc109810567"/>
      <w:bookmarkStart w:id="514" w:name="_Toc110409208"/>
      <w:bookmarkStart w:id="515" w:name="_Toc110602919"/>
      <w:r w:rsidRPr="00693150">
        <w:t>Banking</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4BD0E4B3" w14:textId="77777777" w:rsidR="00265FE3" w:rsidRPr="00286D78" w:rsidRDefault="00265FE3" w:rsidP="009D0E82">
      <w:r w:rsidRPr="00286D78">
        <w:t>The CDR was first implemented in the banking sector launching on 1 July 2020, where it is known as Open Banking. The majority of Australian banking consumers are now able to access the CDR to securely and conveniently share their banking data to access better-value products and services tailored to their individual circumstances.</w:t>
      </w:r>
    </w:p>
    <w:p w14:paraId="2E335B43" w14:textId="5A358D75" w:rsidR="00BA4AE1" w:rsidRPr="00286D78" w:rsidRDefault="00BA4AE1" w:rsidP="009D0E82">
      <w:bookmarkStart w:id="516" w:name="_Toc97565326"/>
      <w:bookmarkStart w:id="517" w:name="_Toc101875411"/>
      <w:bookmarkStart w:id="518" w:name="_Toc105139662"/>
      <w:bookmarkStart w:id="519" w:name="_Toc105149446"/>
      <w:bookmarkStart w:id="520" w:name="_Toc105150645"/>
      <w:bookmarkStart w:id="521" w:name="_Toc105162737"/>
      <w:bookmarkStart w:id="522" w:name="_Toc105667700"/>
      <w:bookmarkStart w:id="523" w:name="_Toc106115773"/>
      <w:bookmarkStart w:id="524" w:name="_Toc106286126"/>
      <w:bookmarkStart w:id="525" w:name="_Toc106358506"/>
      <w:bookmarkStart w:id="526" w:name="_Toc106376961"/>
      <w:bookmarkStart w:id="527" w:name="_Toc107222992"/>
      <w:bookmarkStart w:id="528" w:name="_Toc107397677"/>
      <w:bookmarkStart w:id="529" w:name="_Toc107397977"/>
      <w:bookmarkStart w:id="530" w:name="_Toc107404928"/>
      <w:bookmarkStart w:id="531" w:name="_Toc107406871"/>
      <w:bookmarkStart w:id="532" w:name="_Toc107479762"/>
      <w:bookmarkStart w:id="533" w:name="_Toc108188852"/>
      <w:bookmarkStart w:id="534" w:name="_Toc108441857"/>
      <w:bookmarkStart w:id="535" w:name="_Toc108442555"/>
      <w:bookmarkStart w:id="536" w:name="_Toc108623267"/>
      <w:bookmarkStart w:id="537" w:name="_Toc108689108"/>
      <w:r w:rsidRPr="006027C7">
        <w:t xml:space="preserve">As of </w:t>
      </w:r>
      <w:r w:rsidR="004B46F2" w:rsidRPr="006027C7">
        <w:t>26 July</w:t>
      </w:r>
      <w:r w:rsidRPr="006027C7">
        <w:t xml:space="preserve"> 2022, </w:t>
      </w:r>
      <w:r w:rsidR="004B46F2" w:rsidRPr="006027C7">
        <w:t>114</w:t>
      </w:r>
      <w:r w:rsidRPr="006027C7">
        <w:t xml:space="preserve"> data holder brands are now live in the CDR system, </w:t>
      </w:r>
      <w:r w:rsidR="004B46F2" w:rsidRPr="006027C7">
        <w:t>with 76 designated data holders and an additional 38 brands. The number of ADRs has also been steadily growing, with 32 ADRs, 20 of which are active.</w:t>
      </w:r>
      <w:r w:rsidR="00754AD2" w:rsidRPr="006027C7">
        <w:t xml:space="preserve"> </w:t>
      </w:r>
      <w:r w:rsidR="004B46F2" w:rsidRPr="006027C7">
        <w:t>This represents</w:t>
      </w:r>
      <w:r w:rsidRPr="006027C7">
        <w:t xml:space="preserve"> a market share of more than </w:t>
      </w:r>
      <w:r w:rsidR="004B46F2" w:rsidRPr="006027C7">
        <w:t>99 per cent</w:t>
      </w:r>
      <w:r w:rsidRPr="006027C7">
        <w:t xml:space="preserve"> of Australian household deposits</w:t>
      </w:r>
      <w:r w:rsidR="004B46F2" w:rsidRPr="006027C7">
        <w:t xml:space="preserve"> being covered by CDR data-sharing.</w:t>
      </w:r>
      <w:r w:rsidRPr="006027C7">
        <w:t xml:space="preserve"> </w:t>
      </w:r>
      <w:r w:rsidR="008632F2" w:rsidRPr="006027C7">
        <w:t>As of 7 July</w:t>
      </w:r>
      <w:r w:rsidRPr="006027C7">
        <w:t xml:space="preserve"> 2022, there are </w:t>
      </w:r>
      <w:r w:rsidR="008632F2" w:rsidRPr="006027C7">
        <w:t xml:space="preserve">also 3 ADRs who are principals for </w:t>
      </w:r>
      <w:r w:rsidR="00923980" w:rsidRPr="006027C7">
        <w:t>3</w:t>
      </w:r>
      <w:r w:rsidR="00634045" w:rsidRPr="006027C7">
        <w:t>1</w:t>
      </w:r>
      <w:r w:rsidR="008632F2" w:rsidRPr="006027C7">
        <w:t xml:space="preserve"> representatives</w:t>
      </w:r>
      <w:r w:rsidR="008632F2">
        <w:t>.</w:t>
      </w:r>
      <w:r w:rsidRPr="00286D78">
        <w:t xml:space="preserve"> ADRs are already and expected to use CDR data to provide services to consumers, such as budgeting, bill payment and financial management apps, streamlined credit approval processes, and the creation of in-depth financial overviews to assist consumers on their home-buying journey.</w:t>
      </w:r>
    </w:p>
    <w:p w14:paraId="35C1A9FB" w14:textId="77777777" w:rsidR="00265FE3" w:rsidRPr="00286D78" w:rsidRDefault="00265FE3" w:rsidP="00265FE3">
      <w:pPr>
        <w:pStyle w:val="Heading3"/>
        <w:rPr>
          <w:rFonts w:cstheme="minorHAnsi"/>
          <w:b w:val="0"/>
          <w:bCs/>
          <w:color w:val="3A7DE4" w:themeColor="accent5" w:themeShade="BF"/>
          <w:sz w:val="26"/>
        </w:rPr>
      </w:pPr>
      <w:bookmarkStart w:id="538" w:name="_Toc108797537"/>
      <w:bookmarkStart w:id="539" w:name="_Toc108798818"/>
      <w:bookmarkStart w:id="540" w:name="_Toc108799312"/>
      <w:bookmarkStart w:id="541" w:name="_Toc109390427"/>
      <w:bookmarkStart w:id="542" w:name="_Toc109810568"/>
      <w:bookmarkStart w:id="543" w:name="_Toc110409209"/>
      <w:bookmarkStart w:id="544" w:name="_Toc110602920"/>
      <w:r w:rsidRPr="00286D78">
        <w:t>Energy</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1A2C1CC" w14:textId="405E5651" w:rsidR="00265FE3" w:rsidRPr="00286D78" w:rsidRDefault="00265FE3" w:rsidP="009D0E82">
      <w:r w:rsidRPr="00286D78">
        <w:t xml:space="preserve">The expansion of the CDR to the </w:t>
      </w:r>
      <w:r>
        <w:t>e</w:t>
      </w:r>
      <w:r w:rsidRPr="00286D78">
        <w:t xml:space="preserve">nergy sector is well advanced. On 12 November 2021, the Hon Jane Hume, </w:t>
      </w:r>
      <w:r>
        <w:t xml:space="preserve">the then </w:t>
      </w:r>
      <w:r w:rsidRPr="00286D78">
        <w:t>Minister for Superannuation, Financial Services, and the Digital Economy</w:t>
      </w:r>
      <w:r w:rsidR="00CA384A">
        <w:t>,</w:t>
      </w:r>
      <w:r w:rsidRPr="00286D78">
        <w:t xml:space="preserve"> made energy-specific CDR rules that include phased compliance dates. Introducing the CDR in the energy sector will provide Australian households and businesses with more accurate information about their energy use and plans.</w:t>
      </w:r>
    </w:p>
    <w:p w14:paraId="3BF1911E" w14:textId="77777777" w:rsidR="00265FE3" w:rsidRPr="00286D78" w:rsidRDefault="00265FE3" w:rsidP="009D0E82">
      <w:r w:rsidRPr="00286D78">
        <w:t xml:space="preserve">Commencing in November 2022, energy consumers will start to benefit from secure and easy sharing of data about their own energy use and connection. For example, this could include supporting informed decisions and greater insights on consumers’ energy usage and expenditure to identify better value products and service offerings. </w:t>
      </w:r>
    </w:p>
    <w:p w14:paraId="3D58F5DA" w14:textId="77777777" w:rsidR="00265FE3" w:rsidRPr="00286D78" w:rsidRDefault="00265FE3" w:rsidP="00265FE3">
      <w:pPr>
        <w:pStyle w:val="Heading3"/>
        <w:rPr>
          <w:rFonts w:cstheme="minorHAnsi"/>
          <w:b w:val="0"/>
          <w:bCs/>
          <w:color w:val="3A7DE4" w:themeColor="accent5" w:themeShade="BF"/>
          <w:sz w:val="26"/>
        </w:rPr>
      </w:pPr>
      <w:bookmarkStart w:id="545" w:name="_Toc97565327"/>
      <w:bookmarkStart w:id="546" w:name="_Toc101875412"/>
      <w:bookmarkStart w:id="547" w:name="_Toc105139663"/>
      <w:bookmarkStart w:id="548" w:name="_Toc105149447"/>
      <w:bookmarkStart w:id="549" w:name="_Toc105150646"/>
      <w:bookmarkStart w:id="550" w:name="_Toc105162738"/>
      <w:bookmarkStart w:id="551" w:name="_Toc105667701"/>
      <w:bookmarkStart w:id="552" w:name="_Toc106115774"/>
      <w:bookmarkStart w:id="553" w:name="_Toc106286127"/>
      <w:bookmarkStart w:id="554" w:name="_Toc106358507"/>
      <w:bookmarkStart w:id="555" w:name="_Toc106376962"/>
      <w:bookmarkStart w:id="556" w:name="_Toc107222993"/>
      <w:bookmarkStart w:id="557" w:name="_Toc107397678"/>
      <w:bookmarkStart w:id="558" w:name="_Toc107397978"/>
      <w:bookmarkStart w:id="559" w:name="_Toc107404929"/>
      <w:bookmarkStart w:id="560" w:name="_Toc107406872"/>
      <w:bookmarkStart w:id="561" w:name="_Toc107479763"/>
      <w:bookmarkStart w:id="562" w:name="_Toc108188853"/>
      <w:bookmarkStart w:id="563" w:name="_Toc108441858"/>
      <w:bookmarkStart w:id="564" w:name="_Toc108442556"/>
      <w:bookmarkStart w:id="565" w:name="_Toc108623268"/>
      <w:bookmarkStart w:id="566" w:name="_Toc108689109"/>
      <w:bookmarkStart w:id="567" w:name="_Toc108797538"/>
      <w:bookmarkStart w:id="568" w:name="_Toc108798819"/>
      <w:bookmarkStart w:id="569" w:name="_Toc108799313"/>
      <w:bookmarkStart w:id="570" w:name="_Toc109390428"/>
      <w:bookmarkStart w:id="571" w:name="_Toc109810569"/>
      <w:bookmarkStart w:id="572" w:name="_Toc110409210"/>
      <w:bookmarkStart w:id="573" w:name="_Toc110602921"/>
      <w:r w:rsidRPr="00286D78">
        <w:t>Telecommunications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18DC90C0" w14:textId="38327733" w:rsidR="00265FE3" w:rsidRPr="00286D78" w:rsidRDefault="00265FE3" w:rsidP="009D0E82">
      <w:r w:rsidRPr="00286D78">
        <w:t>In January 2022, the telecommunications sector was designated as the third CDR sector, following banking and energy. Introducing the CDR into the telecommunications sector will enable information about telecommunications product</w:t>
      </w:r>
      <w:r>
        <w:t xml:space="preserve"> and</w:t>
      </w:r>
      <w:r w:rsidRPr="00286D78">
        <w:t xml:space="preserve"> consumer data to be shared in a safe and efficient manner. Consumers will be empowered to access</w:t>
      </w:r>
      <w:r w:rsidRPr="00286D78">
        <w:rPr>
          <w:bCs/>
        </w:rPr>
        <w:t xml:space="preserve"> better-value and personalised products and services, such as</w:t>
      </w:r>
      <w:r w:rsidRPr="00286D78">
        <w:t xml:space="preserve"> more accurate information about their internet consumption, phone usage and product plans so they can more easily compare and switch between providers. </w:t>
      </w:r>
    </w:p>
    <w:p w14:paraId="60A9E672" w14:textId="4A513FAB" w:rsidR="00265FE3" w:rsidRPr="00CE668F" w:rsidRDefault="00265FE3" w:rsidP="009D0E82">
      <w:r w:rsidRPr="00286D78">
        <w:t>The rollout of the CDR in the telecommunications sector is expected to create many benefits for consumers, including better product comparison, tailored product recommendations, and services that help consumers save time and money in accessing telecommunications related products, as well as supporting more informed financial decision making when telecommunications datasets are combined with other CDR data.</w:t>
      </w:r>
    </w:p>
    <w:p w14:paraId="70FA954D" w14:textId="77777777" w:rsidR="00265FE3" w:rsidRDefault="00265FE3" w:rsidP="00265FE3">
      <w:pPr>
        <w:pStyle w:val="Heading2"/>
      </w:pPr>
      <w:bookmarkStart w:id="574" w:name="_Toc101875413"/>
      <w:bookmarkStart w:id="575" w:name="_Toc105139664"/>
      <w:bookmarkStart w:id="576" w:name="_Toc105149448"/>
      <w:bookmarkStart w:id="577" w:name="_Toc105150647"/>
      <w:bookmarkStart w:id="578" w:name="_Toc105162739"/>
      <w:bookmarkStart w:id="579" w:name="_Toc105667702"/>
      <w:bookmarkStart w:id="580" w:name="_Toc106115775"/>
      <w:bookmarkStart w:id="581" w:name="_Toc106286128"/>
      <w:bookmarkStart w:id="582" w:name="_Toc106358508"/>
      <w:bookmarkStart w:id="583" w:name="_Toc106376963"/>
      <w:bookmarkStart w:id="584" w:name="_Toc107222994"/>
      <w:bookmarkStart w:id="585" w:name="_Toc107397679"/>
      <w:bookmarkStart w:id="586" w:name="_Toc107397979"/>
      <w:bookmarkStart w:id="587" w:name="_Toc107404930"/>
      <w:bookmarkStart w:id="588" w:name="_Toc107406873"/>
      <w:bookmarkStart w:id="589" w:name="_Toc107479764"/>
      <w:bookmarkStart w:id="590" w:name="_Toc108188854"/>
      <w:bookmarkStart w:id="591" w:name="_Toc108441859"/>
      <w:bookmarkStart w:id="592" w:name="_Toc108442557"/>
      <w:bookmarkStart w:id="593" w:name="_Toc108623269"/>
      <w:bookmarkStart w:id="594" w:name="_Toc108689110"/>
      <w:bookmarkStart w:id="595" w:name="_Toc108797539"/>
      <w:bookmarkStart w:id="596" w:name="_Toc108798820"/>
      <w:bookmarkStart w:id="597" w:name="_Toc108799314"/>
      <w:bookmarkStart w:id="598" w:name="_Toc109390429"/>
      <w:bookmarkStart w:id="599" w:name="_Toc109810570"/>
      <w:bookmarkStart w:id="600" w:name="_Toc110409211"/>
      <w:bookmarkStart w:id="601" w:name="_Toc110602922"/>
      <w:r w:rsidRPr="00693150">
        <w:lastRenderedPageBreak/>
        <w:t>Recent developments and future directions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83EAEC5" w14:textId="77777777" w:rsidR="00265FE3" w:rsidRPr="001E6B6F" w:rsidRDefault="00265FE3" w:rsidP="00265FE3">
      <w:pPr>
        <w:pStyle w:val="Heading3"/>
        <w:rPr>
          <w:b w:val="0"/>
          <w:bCs/>
          <w:color w:val="3A7DE4" w:themeColor="accent5" w:themeShade="BF"/>
          <w:sz w:val="26"/>
        </w:rPr>
      </w:pPr>
      <w:bookmarkStart w:id="602" w:name="_Toc97565329"/>
      <w:bookmarkStart w:id="603" w:name="_Toc101875414"/>
      <w:bookmarkStart w:id="604" w:name="_Toc105139665"/>
      <w:bookmarkStart w:id="605" w:name="_Toc105149449"/>
      <w:bookmarkStart w:id="606" w:name="_Toc105150648"/>
      <w:bookmarkStart w:id="607" w:name="_Toc105162740"/>
      <w:bookmarkStart w:id="608" w:name="_Toc105667703"/>
      <w:bookmarkStart w:id="609" w:name="_Toc106115776"/>
      <w:bookmarkStart w:id="610" w:name="_Toc106286129"/>
      <w:bookmarkStart w:id="611" w:name="_Toc106358509"/>
      <w:bookmarkStart w:id="612" w:name="_Toc106376964"/>
      <w:bookmarkStart w:id="613" w:name="_Toc107222995"/>
      <w:bookmarkStart w:id="614" w:name="_Toc107397680"/>
      <w:bookmarkStart w:id="615" w:name="_Toc107397980"/>
      <w:bookmarkStart w:id="616" w:name="_Toc107404931"/>
      <w:bookmarkStart w:id="617" w:name="_Toc107406874"/>
      <w:bookmarkStart w:id="618" w:name="_Toc107479765"/>
      <w:bookmarkStart w:id="619" w:name="_Toc108188855"/>
      <w:bookmarkStart w:id="620" w:name="_Toc108441860"/>
      <w:bookmarkStart w:id="621" w:name="_Toc108442558"/>
      <w:bookmarkStart w:id="622" w:name="_Toc108623270"/>
      <w:bookmarkStart w:id="623" w:name="_Toc108689111"/>
      <w:bookmarkStart w:id="624" w:name="_Toc108797540"/>
      <w:bookmarkStart w:id="625" w:name="_Toc108798821"/>
      <w:bookmarkStart w:id="626" w:name="_Toc108799315"/>
      <w:bookmarkStart w:id="627" w:name="_Toc109390430"/>
      <w:bookmarkStart w:id="628" w:name="_Toc109810571"/>
      <w:bookmarkStart w:id="629" w:name="_Toc110409212"/>
      <w:bookmarkStart w:id="630" w:name="_Toc110602923"/>
      <w:r w:rsidRPr="001E6B6F">
        <w:t xml:space="preserve">A more consumer-centric and agile approach to economy-wide </w:t>
      </w:r>
      <w:bookmarkEnd w:id="602"/>
      <w:r w:rsidRPr="001E6B6F">
        <w:t>expansion</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1E6B6F">
        <w:t xml:space="preserve"> </w:t>
      </w:r>
    </w:p>
    <w:p w14:paraId="77C3A8E2" w14:textId="61821462" w:rsidR="00265FE3" w:rsidRDefault="00265FE3" w:rsidP="00C1168A">
      <w:pPr>
        <w:ind w:right="57"/>
      </w:pPr>
      <w:r>
        <w:t xml:space="preserve">In the second half of 2021, to inform the prioritisation and sequencing of future expansion of the CDR, Treasury undertook a rapid, whole of economy strategic assessment. The process involved significant domestic and international consultation and provided significant insights into the broad scope of potential CDR use cases and consumer outcomes. The findings from this process were made publicly available in the </w:t>
      </w:r>
      <w:r>
        <w:rPr>
          <w:i/>
          <w:iCs/>
        </w:rPr>
        <w:t>Strategic Assessment Outcomes</w:t>
      </w:r>
      <w:r>
        <w:t xml:space="preserve"> report that was published on 24 January 2022 and informed the former Government’s announcement of ‘Open Finance’ as the next priority area for expansion. </w:t>
      </w:r>
      <w:r w:rsidR="00E23AB5">
        <w:br/>
      </w:r>
    </w:p>
    <w:tbl>
      <w:tblPr>
        <w:tblStyle w:val="TableGrid"/>
        <w:tblW w:w="5000" w:type="pct"/>
        <w:shd w:val="clear" w:color="auto" w:fill="E8F0FC" w:themeFill="accent5" w:themeFillTint="33"/>
        <w:tblCellMar>
          <w:top w:w="170" w:type="dxa"/>
          <w:left w:w="198" w:type="dxa"/>
          <w:bottom w:w="170" w:type="dxa"/>
          <w:right w:w="170" w:type="dxa"/>
        </w:tblCellMar>
        <w:tblLook w:val="04A0" w:firstRow="1" w:lastRow="0" w:firstColumn="1" w:lastColumn="0" w:noHBand="0" w:noVBand="1"/>
      </w:tblPr>
      <w:tblGrid>
        <w:gridCol w:w="9072"/>
      </w:tblGrid>
      <w:tr w:rsidR="00E23AB5" w14:paraId="6D459197" w14:textId="77777777" w:rsidTr="00C1168A">
        <w:trPr>
          <w:cnfStyle w:val="100000000000" w:firstRow="1" w:lastRow="0" w:firstColumn="0" w:lastColumn="0" w:oddVBand="0" w:evenVBand="0" w:oddHBand="0" w:evenHBand="0" w:firstRowFirstColumn="0" w:firstRowLastColumn="0" w:lastRowFirstColumn="0" w:lastRowLastColumn="0"/>
        </w:trPr>
        <w:tc>
          <w:tcPr>
            <w:tcW w:w="0" w:type="dxa"/>
            <w:shd w:val="clear" w:color="auto" w:fill="E8F0FC" w:themeFill="accent5" w:themeFillTint="33"/>
          </w:tcPr>
          <w:p w14:paraId="682B1B31" w14:textId="77777777" w:rsidR="00E23AB5" w:rsidRPr="00511A43" w:rsidRDefault="00E23AB5" w:rsidP="00C1168A">
            <w:pPr>
              <w:pStyle w:val="BoxHeading"/>
              <w:ind w:right="850"/>
            </w:pPr>
            <w:r w:rsidRPr="00AB5D46">
              <w:t>Strategic Assessment Report: key factors to support prioritise and sequence CDR expansion</w:t>
            </w:r>
          </w:p>
          <w:p w14:paraId="58BF1D1D" w14:textId="77777777" w:rsidR="00E23AB5" w:rsidRPr="00C1168A" w:rsidRDefault="00E23AB5">
            <w:pPr>
              <w:pStyle w:val="BoxText"/>
              <w:rPr>
                <w:sz w:val="24"/>
                <w:szCs w:val="24"/>
              </w:rPr>
            </w:pPr>
            <w:r w:rsidRPr="00D4755B">
              <w:rPr>
                <w:szCs w:val="24"/>
              </w:rPr>
              <w:t>Prioritise datasets that build on existing dataset(s) or are highly comp</w:t>
            </w:r>
            <w:r w:rsidRPr="00167D86">
              <w:rPr>
                <w:szCs w:val="24"/>
              </w:rPr>
              <w:t xml:space="preserve">lementary to support faster ecosystem growth. </w:t>
            </w:r>
          </w:p>
          <w:p w14:paraId="36CCB41B" w14:textId="77777777" w:rsidR="00E23AB5" w:rsidRPr="00C1168A" w:rsidRDefault="00E23AB5">
            <w:pPr>
              <w:pStyle w:val="BoxText"/>
              <w:rPr>
                <w:sz w:val="24"/>
                <w:szCs w:val="24"/>
              </w:rPr>
            </w:pPr>
            <w:r w:rsidRPr="00D4755B">
              <w:rPr>
                <w:szCs w:val="24"/>
              </w:rPr>
              <w:t>Prioritise datasets that support multiple use cases, broad innovation, and user journeys rather than simple switching use cases.</w:t>
            </w:r>
          </w:p>
          <w:p w14:paraId="66265017" w14:textId="77777777" w:rsidR="00E23AB5" w:rsidRPr="00C1168A" w:rsidRDefault="00E23AB5">
            <w:pPr>
              <w:pStyle w:val="BoxText"/>
              <w:rPr>
                <w:sz w:val="24"/>
                <w:szCs w:val="24"/>
              </w:rPr>
            </w:pPr>
            <w:r w:rsidRPr="00D4755B">
              <w:rPr>
                <w:szCs w:val="24"/>
              </w:rPr>
              <w:t>Focus on friction points for consumers that can be addressed through data driven</w:t>
            </w:r>
            <w:r w:rsidRPr="00167D86">
              <w:rPr>
                <w:szCs w:val="24"/>
              </w:rPr>
              <w:t xml:space="preserve"> innovation and standardisation.</w:t>
            </w:r>
          </w:p>
          <w:p w14:paraId="66DB6BDA" w14:textId="77777777" w:rsidR="00E23AB5" w:rsidRPr="00C1168A" w:rsidRDefault="00E23AB5">
            <w:pPr>
              <w:pStyle w:val="BoxText"/>
              <w:rPr>
                <w:sz w:val="24"/>
                <w:szCs w:val="24"/>
              </w:rPr>
            </w:pPr>
            <w:r w:rsidRPr="00D4755B">
              <w:rPr>
                <w:szCs w:val="24"/>
              </w:rPr>
              <w:t xml:space="preserve">Consider how the CDR might interact with any existing data sharing mechanisms already operating in a sector. </w:t>
            </w:r>
          </w:p>
          <w:p w14:paraId="081A1FE0" w14:textId="280FBEFE" w:rsidR="00E23AB5" w:rsidRPr="00511A43" w:rsidRDefault="00E23AB5" w:rsidP="00C1168A">
            <w:pPr>
              <w:pStyle w:val="BoxText"/>
              <w:rPr>
                <w:szCs w:val="22"/>
              </w:rPr>
            </w:pPr>
            <w:r w:rsidRPr="00D4755B">
              <w:rPr>
                <w:szCs w:val="24"/>
              </w:rPr>
              <w:t>Consider maturity of ICT infrastructure and digital capability of sector, as well as the proprietary nature of da</w:t>
            </w:r>
            <w:r w:rsidRPr="00167D86">
              <w:rPr>
                <w:szCs w:val="24"/>
              </w:rPr>
              <w:t>tasets.</w:t>
            </w:r>
          </w:p>
        </w:tc>
      </w:tr>
    </w:tbl>
    <w:p w14:paraId="45FD58B4" w14:textId="77777777" w:rsidR="00E23AB5" w:rsidRDefault="00E23AB5" w:rsidP="009D0E82"/>
    <w:p w14:paraId="2A635900" w14:textId="77777777" w:rsidR="004B7212" w:rsidRDefault="004B7212">
      <w:pPr>
        <w:spacing w:before="0" w:after="160" w:line="259" w:lineRule="auto"/>
        <w:rPr>
          <w:rFonts w:ascii="Calibri" w:hAnsi="Calibri" w:cs="Arial"/>
          <w:b/>
          <w:color w:val="4D7861" w:themeColor="accent2"/>
          <w:kern w:val="32"/>
          <w:sz w:val="28"/>
          <w:szCs w:val="26"/>
        </w:rPr>
      </w:pPr>
      <w:bookmarkStart w:id="631" w:name="_Toc105667704"/>
      <w:bookmarkStart w:id="632" w:name="_Toc106115777"/>
      <w:bookmarkStart w:id="633" w:name="_Toc106286130"/>
      <w:bookmarkStart w:id="634" w:name="_Toc106358510"/>
      <w:bookmarkStart w:id="635" w:name="_Toc106376965"/>
      <w:bookmarkStart w:id="636" w:name="_Toc107222996"/>
      <w:bookmarkStart w:id="637" w:name="_Toc107397681"/>
      <w:bookmarkStart w:id="638" w:name="_Toc107397981"/>
      <w:bookmarkStart w:id="639" w:name="_Toc107404932"/>
      <w:bookmarkStart w:id="640" w:name="_Toc107406875"/>
      <w:bookmarkStart w:id="641" w:name="_Toc107479766"/>
      <w:bookmarkStart w:id="642" w:name="_Toc108188856"/>
      <w:bookmarkStart w:id="643" w:name="_Toc108441861"/>
      <w:bookmarkStart w:id="644" w:name="_Toc108442559"/>
      <w:bookmarkStart w:id="645" w:name="_Toc108623271"/>
      <w:bookmarkStart w:id="646" w:name="_Toc108689112"/>
      <w:bookmarkStart w:id="647" w:name="_Toc108797541"/>
      <w:bookmarkStart w:id="648" w:name="_Toc108798822"/>
      <w:bookmarkStart w:id="649" w:name="_Toc108799316"/>
      <w:bookmarkStart w:id="650" w:name="_Toc101875415"/>
      <w:bookmarkStart w:id="651" w:name="_Toc105139666"/>
      <w:bookmarkStart w:id="652" w:name="_Toc105149450"/>
      <w:bookmarkStart w:id="653" w:name="_Toc105150649"/>
      <w:bookmarkStart w:id="654" w:name="_Toc105162741"/>
      <w:bookmarkStart w:id="655" w:name="_Toc109390431"/>
      <w:bookmarkStart w:id="656" w:name="_Toc109810572"/>
      <w:bookmarkStart w:id="657" w:name="_Toc110409213"/>
      <w:r>
        <w:br w:type="page"/>
      </w:r>
    </w:p>
    <w:p w14:paraId="43CE2F41" w14:textId="3BD66166" w:rsidR="00265FE3" w:rsidRPr="00407D5F" w:rsidRDefault="00265FE3" w:rsidP="00407D5F">
      <w:pPr>
        <w:pStyle w:val="Heading3"/>
      </w:pPr>
      <w:bookmarkStart w:id="658" w:name="_Toc110602924"/>
      <w:r w:rsidRPr="00407D5F">
        <w:lastRenderedPageBreak/>
        <w:t>Open Finance</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407D5F">
        <w:t xml:space="preserve"> </w:t>
      </w:r>
    </w:p>
    <w:p w14:paraId="57F79B17" w14:textId="2A04608F" w:rsidR="00265FE3" w:rsidRDefault="00265FE3" w:rsidP="00407D5F">
      <w:r>
        <w:t>Open Finance expansion will see the CDR expand in an agile and use case focussed approach – bringing datasets from across general insurance, superannuation, merchant acquiring and non-bank lending service providers into the CDR.</w:t>
      </w:r>
    </w:p>
    <w:p w14:paraId="5105B053" w14:textId="62A102C6" w:rsidR="00265FE3" w:rsidRDefault="00265FE3" w:rsidP="00407D5F">
      <w:r>
        <w:t>The announcement of Open Finance follow</w:t>
      </w:r>
      <w:r w:rsidR="00DC2576">
        <w:t>ed</w:t>
      </w:r>
      <w:r>
        <w:t xml:space="preserve"> the completion of the CDR Strategic Assessment, which found there were clear and immediate benefits in expanding the CDR to Open Finance by building upon data already contemplated to be shared under the framework. Open Finance will also support multiple use cases beyond provider switching, alleviate friction points for consumers through data driven innovation and standardisation, and potentially enhance existing data</w:t>
      </w:r>
      <w:r w:rsidR="00BE7617">
        <w:t xml:space="preserve"> </w:t>
      </w:r>
      <w:r>
        <w:t>sharing practices in the related sectors.</w:t>
      </w:r>
    </w:p>
    <w:p w14:paraId="624A3A5D" w14:textId="77777777" w:rsidR="00265FE3" w:rsidRDefault="00265FE3" w:rsidP="00407D5F">
      <w:r>
        <w:t>Consultation also highlighted that unlocking public sector data, with consumer consent, could drive private sector innovation and improve how consumers can more seamlessly use data services across the public and private sectors.</w:t>
      </w:r>
    </w:p>
    <w:p w14:paraId="54ADF64C" w14:textId="05479BA5" w:rsidR="00265FE3" w:rsidRDefault="00265FE3" w:rsidP="00407D5F">
      <w:r>
        <w:t>Treasury consulted on expansion to non-bank lending services from 15 March to 15 April 2022. By expanding the CDR through Open Finance, consumers will be empowered to make the best financial judgments for their needs when choosing a superannuation strategy, general insurance product or credit provider.</w:t>
      </w:r>
    </w:p>
    <w:p w14:paraId="03C65E94" w14:textId="77777777" w:rsidR="00265FE3" w:rsidRPr="001E6B6F" w:rsidRDefault="00265FE3" w:rsidP="00265FE3">
      <w:pPr>
        <w:pStyle w:val="Heading3"/>
        <w:rPr>
          <w:b w:val="0"/>
          <w:bCs/>
          <w:color w:val="3A7DE4" w:themeColor="accent5" w:themeShade="BF"/>
          <w:sz w:val="26"/>
        </w:rPr>
      </w:pPr>
      <w:bookmarkStart w:id="659" w:name="_Toc97565330"/>
      <w:bookmarkStart w:id="660" w:name="_Toc101875416"/>
      <w:bookmarkStart w:id="661" w:name="_Toc105139667"/>
      <w:bookmarkStart w:id="662" w:name="_Toc105149451"/>
      <w:bookmarkStart w:id="663" w:name="_Toc105150650"/>
      <w:bookmarkStart w:id="664" w:name="_Toc105162742"/>
      <w:bookmarkStart w:id="665" w:name="_Toc105667705"/>
      <w:bookmarkStart w:id="666" w:name="_Toc106115778"/>
      <w:bookmarkStart w:id="667" w:name="_Toc106286131"/>
      <w:bookmarkStart w:id="668" w:name="_Toc106358511"/>
      <w:bookmarkStart w:id="669" w:name="_Toc106376966"/>
      <w:bookmarkStart w:id="670" w:name="_Toc107222997"/>
      <w:bookmarkStart w:id="671" w:name="_Toc107397682"/>
      <w:bookmarkStart w:id="672" w:name="_Toc107397982"/>
      <w:bookmarkStart w:id="673" w:name="_Toc107404933"/>
      <w:bookmarkStart w:id="674" w:name="_Toc107406876"/>
      <w:bookmarkStart w:id="675" w:name="_Toc107479767"/>
      <w:bookmarkStart w:id="676" w:name="_Toc108188857"/>
      <w:bookmarkStart w:id="677" w:name="_Toc108441862"/>
      <w:bookmarkStart w:id="678" w:name="_Toc108442560"/>
      <w:bookmarkStart w:id="679" w:name="_Toc108623272"/>
      <w:bookmarkStart w:id="680" w:name="_Toc108689113"/>
      <w:bookmarkStart w:id="681" w:name="_Toc108797542"/>
      <w:bookmarkStart w:id="682" w:name="_Toc108798823"/>
      <w:bookmarkStart w:id="683" w:name="_Toc108799317"/>
      <w:bookmarkStart w:id="684" w:name="_Toc109390432"/>
      <w:bookmarkStart w:id="685" w:name="_Toc109810573"/>
      <w:bookmarkStart w:id="686" w:name="_Toc110409214"/>
      <w:bookmarkStart w:id="687" w:name="_Toc110602925"/>
      <w:r w:rsidRPr="001E6B6F">
        <w:t>Future Directions for the CDR</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6C270DE8" w14:textId="4B4BFD23" w:rsidR="00265FE3" w:rsidRDefault="00265FE3" w:rsidP="00265FE3">
      <w:pPr>
        <w:rPr>
          <w:rFonts w:ascii="Calibri" w:hAnsi="Calibri"/>
        </w:rPr>
      </w:pPr>
      <w:r>
        <w:rPr>
          <w:rFonts w:cstheme="minorHAnsi"/>
        </w:rPr>
        <w:t xml:space="preserve">The </w:t>
      </w:r>
      <w:r w:rsidRPr="00600205">
        <w:rPr>
          <w:i/>
        </w:rPr>
        <w:t>Inquiry</w:t>
      </w:r>
      <w:r>
        <w:rPr>
          <w:i/>
          <w:iCs/>
        </w:rPr>
        <w:t xml:space="preserve"> into Future Directions for the Consumer Data Right</w:t>
      </w:r>
      <w:r>
        <w:rPr>
          <w:rFonts w:cstheme="minorHAnsi"/>
        </w:rPr>
        <w:t xml:space="preserve"> final report, released in December 2020</w:t>
      </w:r>
      <w:r w:rsidR="007804B7">
        <w:rPr>
          <w:rFonts w:cstheme="minorHAnsi"/>
        </w:rPr>
        <w:t>,</w:t>
      </w:r>
      <w:r>
        <w:rPr>
          <w:rFonts w:cstheme="minorHAnsi"/>
        </w:rPr>
        <w:t xml:space="preserve"> made 100 recommendations to expand the CDR by enabling</w:t>
      </w:r>
      <w:r>
        <w:t xml:space="preserve"> greater consumer data empowerment and deeper functionality such as implementing third</w:t>
      </w:r>
      <w:r w:rsidR="0030264B">
        <w:t xml:space="preserve"> </w:t>
      </w:r>
      <w:r>
        <w:t xml:space="preserve">party action and payment initiation, an economy-wide foundation, a more integrated data ecosystem, and realising international digital opportunities. </w:t>
      </w:r>
    </w:p>
    <w:p w14:paraId="314D7BB0" w14:textId="295BCAD7" w:rsidR="00265FE3" w:rsidRDefault="00265FE3" w:rsidP="007804B7">
      <w:pPr>
        <w:pStyle w:val="Bullet"/>
        <w:numPr>
          <w:ilvl w:val="0"/>
          <w:numId w:val="0"/>
        </w:numPr>
        <w:spacing w:line="240" w:lineRule="auto"/>
      </w:pPr>
      <w:r>
        <w:t xml:space="preserve">Payment and action initiation will particularly be a game-changer for </w:t>
      </w:r>
      <w:r w:rsidR="00E14CE4">
        <w:t xml:space="preserve">the </w:t>
      </w:r>
      <w:r>
        <w:t xml:space="preserve">CDR, and it is expected to drive greater participation and innovation in </w:t>
      </w:r>
      <w:r w:rsidR="00375575">
        <w:t>the scheme</w:t>
      </w:r>
      <w:r>
        <w:t>. These developments will require legislative amendments and will be the subject of a separate process of consultation to inform the Bill. Relevant findings from the CDR Statutory Review will also inform the design of the legislation.</w:t>
      </w:r>
    </w:p>
    <w:sectPr w:rsidR="00265FE3" w:rsidSect="004572E9">
      <w:footerReference w:type="even" r:id="rId48"/>
      <w:footerReference w:type="default" r:id="rId49"/>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1B9B" w14:textId="77777777" w:rsidR="0034384D" w:rsidRDefault="0034384D">
      <w:pPr>
        <w:spacing w:before="0" w:after="0"/>
      </w:pPr>
      <w:r>
        <w:separator/>
      </w:r>
    </w:p>
  </w:endnote>
  <w:endnote w:type="continuationSeparator" w:id="0">
    <w:p w14:paraId="24F0A7C9" w14:textId="77777777" w:rsidR="0034384D" w:rsidRDefault="0034384D">
      <w:pPr>
        <w:spacing w:before="0" w:after="0"/>
      </w:pPr>
      <w:r>
        <w:continuationSeparator/>
      </w:r>
    </w:p>
  </w:endnote>
  <w:endnote w:type="continuationNotice" w:id="1">
    <w:p w14:paraId="1C824702" w14:textId="77777777" w:rsidR="0034384D" w:rsidRDefault="003438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FD3B" w14:textId="77777777" w:rsidR="006D085A" w:rsidRDefault="006F4012" w:rsidP="006F4012">
    <w:pPr>
      <w:pStyle w:val="FooterEven"/>
    </w:pPr>
    <w:r>
      <w:ptab w:relativeTo="margin" w:alignment="center" w:leader="none"/>
    </w:r>
    <w: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03CC" w14:textId="0A44A8DC" w:rsidR="00672B5D" w:rsidRPr="00BB00F3" w:rsidRDefault="00CE4B29" w:rsidP="00F07D51">
    <w:pPr>
      <w:pStyle w:val="FooterEven"/>
      <w:jc w:val="right"/>
    </w:pPr>
    <w:fldSimple w:instr=" STYLEREF  &quot;Heading 1&quot;  \* MERGEFORMAT ">
      <w:r w:rsidR="00AD7A17">
        <w:t>Appendix C – Overview of the Consumer Data Right</w:t>
      </w:r>
    </w:fldSimple>
    <w:r w:rsidR="009D7B9C">
      <w:t xml:space="preserve"> </w:t>
    </w:r>
    <w:r w:rsidR="00F07D51">
      <w:t xml:space="preserve">| </w:t>
    </w:r>
    <w:r w:rsidR="00F1211E">
      <w:rPr>
        <w:noProof w:val="0"/>
      </w:rPr>
      <w:fldChar w:fldCharType="begin"/>
    </w:r>
    <w:r w:rsidR="00F1211E">
      <w:instrText xml:space="preserve"> PAGE   \* MERGEFORMAT </w:instrText>
    </w:r>
    <w:r w:rsidR="00F1211E">
      <w:rPr>
        <w:noProof w:val="0"/>
      </w:rPr>
      <w:fldChar w:fldCharType="separate"/>
    </w:r>
    <w:r w:rsidR="00F1211E">
      <w:t>20</w:t>
    </w:r>
    <w:r w:rsidR="00F1211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2CF5" w14:textId="25881B98" w:rsidR="006D085A" w:rsidRDefault="006F4012" w:rsidP="004D75E1">
    <w:pPr>
      <w:pStyle w:val="FooterEven"/>
    </w:pPr>
    <w:r>
      <w:ptab w:relativeTo="margin" w:alignment="center" w:leader="none"/>
    </w:r>
    <w:r>
      <w:ptab w:relativeTo="margin" w:alignment="right" w:leader="none"/>
    </w:r>
    <w:fldSimple w:instr=" STYLEREF  &quot;Heading 1&quot;  \* MERGEFORMAT ">
      <w:r w:rsidR="00AD7A17">
        <w:t>Contents</w:t>
      </w:r>
    </w:fldSimple>
    <w:r>
      <w:t xml:space="preserve"> | </w:t>
    </w:r>
    <w:r>
      <w:rPr>
        <w:noProof w:val="0"/>
      </w:rPr>
      <w:fldChar w:fldCharType="begin"/>
    </w:r>
    <w:r>
      <w:instrText xml:space="preserve"> PAGE   \* MERGEFORMAT </w:instrText>
    </w:r>
    <w:r>
      <w:rPr>
        <w:noProof w:val="0"/>
      </w:rPr>
      <w:fldChar w:fldCharType="separate"/>
    </w:r>
    <w:r>
      <w:rPr>
        <w:noProof w:val="0"/>
      </w:rPr>
      <w:t>vi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C95E" w14:textId="51EF54C8" w:rsidR="00B55B04" w:rsidRPr="004D75E1" w:rsidRDefault="00616195" w:rsidP="004D75E1">
    <w:pPr>
      <w:pStyle w:val="FooterEven"/>
      <w:jc w:val="both"/>
      <w:rPr>
        <w:b/>
      </w:rPr>
    </w:pP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 STYLEREF  &quot;Heading 1&quot;  \* MERGEFORMAT ">
      <w:r w:rsidR="00AD7A17">
        <w:t>Contents</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5ED4" w14:textId="71702493" w:rsidR="00B55B04" w:rsidRDefault="00B55B04" w:rsidP="00962ACF">
    <w:pPr>
      <w:pStyle w:val="FooterOdd"/>
    </w:pPr>
    <w:r>
      <w:ptab w:relativeTo="margin" w:alignment="center" w:leader="none"/>
    </w:r>
    <w:r>
      <w:ptab w:relativeTo="margin" w:alignment="right" w:leader="none"/>
    </w:r>
    <w:r w:rsidR="00F736D1">
      <w:fldChar w:fldCharType="begin"/>
    </w:r>
    <w:r w:rsidR="00F736D1">
      <w:instrText xml:space="preserve"> STYLEREF  "Heading 1"  \* MERGEFORMAT </w:instrText>
    </w:r>
    <w:r w:rsidR="00F736D1">
      <w:rPr>
        <w:noProof/>
      </w:rPr>
      <w:fldChar w:fldCharType="end"/>
    </w:r>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0856" w14:textId="3DA827E7" w:rsidR="006155EE" w:rsidRPr="00E77C89" w:rsidRDefault="0071035C" w:rsidP="006155EE">
    <w:pPr>
      <w:pStyle w:val="FooterEven"/>
    </w:pPr>
    <w:r>
      <w:rPr>
        <w:noProof w:val="0"/>
      </w:rPr>
      <w:fldChar w:fldCharType="begin"/>
    </w:r>
    <w:r>
      <w:instrText xml:space="preserve"> PAGE   \* MERGEFORMAT </w:instrText>
    </w:r>
    <w:r>
      <w:rPr>
        <w:noProof w:val="0"/>
      </w:rPr>
      <w:fldChar w:fldCharType="separate"/>
    </w:r>
    <w:r>
      <w:t>2</w:t>
    </w:r>
    <w:r>
      <w:fldChar w:fldCharType="end"/>
    </w:r>
    <w:r>
      <w:t xml:space="preserve"> | </w:t>
    </w:r>
    <w:fldSimple w:instr=" STYLEREF  &quot;Heading 1&quot;  \* MERGEFORMAT ">
      <w:r w:rsidR="00AD7A17">
        <w:t>Part One: Consumer Data Right Framework</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6571" w14:textId="78C8F05E" w:rsidR="00672B5D" w:rsidRPr="00BB00F3" w:rsidRDefault="0034384D" w:rsidP="003D33DA">
    <w:pPr>
      <w:pStyle w:val="FooterEven"/>
      <w:jc w:val="right"/>
    </w:pPr>
    <w:r>
      <w:fldChar w:fldCharType="begin"/>
    </w:r>
    <w:r>
      <w:instrText xml:space="preserve"> STYLEREF  "Heading 1"  \* MERGEFORMAT </w:instrText>
    </w:r>
    <w:r>
      <w:fldChar w:fldCharType="separate"/>
    </w:r>
    <w:r w:rsidR="00AD7A17">
      <w:t>Part One: Consumer Data Right Framework</w:t>
    </w:r>
    <w:r>
      <w:fldChar w:fldCharType="end"/>
    </w:r>
    <w:r w:rsidR="00672B5D">
      <w:t xml:space="preserve"> | </w:t>
    </w:r>
    <w:r w:rsidR="00672B5D">
      <w:rPr>
        <w:noProof w:val="0"/>
      </w:rPr>
      <w:fldChar w:fldCharType="begin"/>
    </w:r>
    <w:r w:rsidR="00672B5D">
      <w:instrText xml:space="preserve"> PAGE   \* MERGEFORMAT </w:instrText>
    </w:r>
    <w:r w:rsidR="00672B5D">
      <w:rPr>
        <w:noProof w:val="0"/>
      </w:rPr>
      <w:fldChar w:fldCharType="separate"/>
    </w:r>
    <w:r w:rsidR="00672B5D">
      <w:rPr>
        <w:noProof w:val="0"/>
      </w:rPr>
      <w:t>1</w:t>
    </w:r>
    <w:r w:rsidR="00672B5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02E2" w14:textId="0204A24C" w:rsidR="00587AA9" w:rsidRDefault="00CD5BA3" w:rsidP="00587AA9">
    <w:pPr>
      <w:pStyle w:val="FooterEven"/>
    </w:pPr>
    <w:r>
      <w:rPr>
        <w:noProof w:val="0"/>
      </w:rPr>
      <w:fldChar w:fldCharType="begin"/>
    </w:r>
    <w:r>
      <w:instrText xml:space="preserve"> PAGE   \* MERGEFORMAT </w:instrText>
    </w:r>
    <w:r>
      <w:rPr>
        <w:noProof w:val="0"/>
      </w:rPr>
      <w:fldChar w:fldCharType="separate"/>
    </w:r>
    <w:r>
      <w:t>30</w:t>
    </w:r>
    <w:r>
      <w:fldChar w:fldCharType="end"/>
    </w:r>
    <w:r>
      <w:t xml:space="preserve"> | </w:t>
    </w:r>
    <w:r w:rsidR="0034384D">
      <w:fldChar w:fldCharType="begin"/>
    </w:r>
    <w:r w:rsidR="0034384D">
      <w:instrText xml:space="preserve"> STYLEREF  "Heading 1"  \* MERGEFORMAT </w:instrText>
    </w:r>
    <w:r w:rsidR="0034384D">
      <w:fldChar w:fldCharType="separate"/>
    </w:r>
    <w:r w:rsidR="00AD7A17">
      <w:t>Part Four: Other issues raised in submissions</w:t>
    </w:r>
    <w:r w:rsidR="0034384D">
      <w:fldChar w:fldCharType="end"/>
    </w:r>
    <w:r w:rsidR="00587AA9">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7E9B" w14:textId="657E8B1A" w:rsidR="00672B5D" w:rsidRPr="00BB00F3" w:rsidRDefault="0034384D" w:rsidP="004560B7">
    <w:pPr>
      <w:pStyle w:val="FooterEven"/>
      <w:jc w:val="right"/>
    </w:pPr>
    <w:r>
      <w:fldChar w:fldCharType="begin"/>
    </w:r>
    <w:r>
      <w:instrText xml:space="preserve"> STYLEREF  "Heading 1"  \* MERGEFORMAT </w:instrText>
    </w:r>
    <w:r>
      <w:fldChar w:fldCharType="separate"/>
    </w:r>
    <w:r w:rsidR="00AD7A17">
      <w:t>Part Four: Other issues raised in submissions</w:t>
    </w:r>
    <w:r>
      <w:fldChar w:fldCharType="end"/>
    </w:r>
    <w:r w:rsidR="00F1211E">
      <w:t xml:space="preserve"> | </w:t>
    </w:r>
    <w:r w:rsidR="00F1211E">
      <w:rPr>
        <w:noProof w:val="0"/>
      </w:rPr>
      <w:fldChar w:fldCharType="begin"/>
    </w:r>
    <w:r w:rsidR="00F1211E">
      <w:instrText xml:space="preserve"> PAGE   \* MERGEFORMAT </w:instrText>
    </w:r>
    <w:r w:rsidR="00F1211E">
      <w:rPr>
        <w:noProof w:val="0"/>
      </w:rPr>
      <w:fldChar w:fldCharType="separate"/>
    </w:r>
    <w:r w:rsidR="00F1211E">
      <w:t>20</w:t>
    </w:r>
    <w:r w:rsidR="00F1211E">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835C" w14:textId="56AE4826" w:rsidR="00587AA9" w:rsidRDefault="00775563" w:rsidP="00587AA9">
    <w:pPr>
      <w:pStyle w:val="FooterEven"/>
    </w:pPr>
    <w:r>
      <w:rPr>
        <w:noProof w:val="0"/>
      </w:rPr>
      <w:fldChar w:fldCharType="begin"/>
    </w:r>
    <w:r>
      <w:instrText xml:space="preserve"> PAGE   \* MERGEFORMAT </w:instrText>
    </w:r>
    <w:r>
      <w:rPr>
        <w:noProof w:val="0"/>
      </w:rPr>
      <w:fldChar w:fldCharType="separate"/>
    </w:r>
    <w:r>
      <w:t>30</w:t>
    </w:r>
    <w:r>
      <w:fldChar w:fldCharType="end"/>
    </w:r>
    <w:r w:rsidR="009778F9">
      <w:t xml:space="preserve"> |</w:t>
    </w:r>
    <w:r w:rsidR="009778F9" w:rsidRPr="009778F9">
      <w:t xml:space="preserve"> </w:t>
    </w:r>
    <w:r w:rsidR="0034384D">
      <w:fldChar w:fldCharType="begin"/>
    </w:r>
    <w:r w:rsidR="0034384D">
      <w:instrText xml:space="preserve"> STYLEREF  "Heading 1"  \* MERGEFORMAT </w:instrText>
    </w:r>
    <w:r w:rsidR="0034384D">
      <w:fldChar w:fldCharType="separate"/>
    </w:r>
    <w:r w:rsidR="00AD7A17">
      <w:t>Appendix C – Overview of the Consumer Data Right</w:t>
    </w:r>
    <w:r w:rsidR="0034384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D8A5F" w14:textId="77777777" w:rsidR="0034384D" w:rsidRPr="00ED5A20" w:rsidRDefault="0034384D" w:rsidP="000F6233">
      <w:pPr>
        <w:rPr>
          <w:color w:val="4D7861" w:themeColor="accent2"/>
        </w:rPr>
      </w:pPr>
      <w:r w:rsidRPr="00ED5A20">
        <w:rPr>
          <w:color w:val="4D7861" w:themeColor="accent2"/>
        </w:rPr>
        <w:separator/>
      </w:r>
    </w:p>
  </w:footnote>
  <w:footnote w:type="continuationSeparator" w:id="0">
    <w:p w14:paraId="32C078BC" w14:textId="77777777" w:rsidR="0034384D" w:rsidRPr="00B737EB" w:rsidRDefault="0034384D">
      <w:pPr>
        <w:spacing w:before="0" w:after="0"/>
        <w:rPr>
          <w:color w:val="2C384A" w:themeColor="accent1"/>
        </w:rPr>
      </w:pPr>
      <w:r w:rsidRPr="00B737EB">
        <w:rPr>
          <w:color w:val="2C384A" w:themeColor="accent1"/>
        </w:rPr>
        <w:continuationSeparator/>
      </w:r>
    </w:p>
  </w:footnote>
  <w:footnote w:type="continuationNotice" w:id="1">
    <w:p w14:paraId="05382892" w14:textId="77777777" w:rsidR="0034384D" w:rsidRDefault="0034384D">
      <w:pPr>
        <w:spacing w:before="0" w:after="0"/>
      </w:pPr>
    </w:p>
  </w:footnote>
  <w:footnote w:id="2">
    <w:p w14:paraId="48D2B808" w14:textId="113E00D4" w:rsidR="00265FE3" w:rsidRDefault="00265FE3" w:rsidP="00F233DB">
      <w:pPr>
        <w:pStyle w:val="Footnote-revised"/>
      </w:pPr>
      <w:r>
        <w:rPr>
          <w:rStyle w:val="FootnoteReference"/>
        </w:rPr>
        <w:footnoteRef/>
      </w:r>
      <w:r w:rsidR="00A628A0">
        <w:tab/>
      </w:r>
      <w:r>
        <w:t>s</w:t>
      </w:r>
      <w:r w:rsidRPr="005F0B4A">
        <w:t xml:space="preserve"> 56AA, Part IVD,</w:t>
      </w:r>
      <w:r>
        <w:t xml:space="preserve"> </w:t>
      </w:r>
      <w:r w:rsidRPr="00DC05C3">
        <w:rPr>
          <w:i/>
          <w:iCs/>
        </w:rPr>
        <w:t>Competition and Consumer Act</w:t>
      </w:r>
      <w:r w:rsidRPr="00383A01">
        <w:t xml:space="preserve"> 2010</w:t>
      </w:r>
      <w:r>
        <w:t>.</w:t>
      </w:r>
      <w:r w:rsidDel="00934E1A">
        <w:t xml:space="preserve"> </w:t>
      </w:r>
      <w:r>
        <w:t xml:space="preserve">These are also presented in </w:t>
      </w:r>
      <w:r w:rsidRPr="009F141C">
        <w:rPr>
          <w:u w:val="single"/>
        </w:rPr>
        <w:t xml:space="preserve">Appendix </w:t>
      </w:r>
      <w:r>
        <w:rPr>
          <w:u w:val="single"/>
        </w:rPr>
        <w:t>C</w:t>
      </w:r>
      <w:r>
        <w:t>.</w:t>
      </w:r>
    </w:p>
  </w:footnote>
  <w:footnote w:id="3">
    <w:p w14:paraId="56EAEF16" w14:textId="5F232358" w:rsidR="00265FE3" w:rsidRPr="00F233DB" w:rsidRDefault="00265FE3" w:rsidP="00F233DB">
      <w:pPr>
        <w:pStyle w:val="Footnote-revised"/>
        <w:rPr>
          <w:rStyle w:val="FootnoteReference"/>
          <w:sz w:val="20"/>
        </w:rPr>
      </w:pPr>
      <w:r w:rsidRPr="00A628A0">
        <w:rPr>
          <w:rStyle w:val="FootnoteReference"/>
          <w:sz w:val="20"/>
        </w:rPr>
        <w:footnoteRef/>
      </w:r>
      <w:r w:rsidRPr="00F233DB">
        <w:rPr>
          <w:rStyle w:val="FootnoteReference"/>
          <w:sz w:val="20"/>
        </w:rPr>
        <w:t xml:space="preserve"> </w:t>
      </w:r>
      <w:r w:rsidR="00A628A0" w:rsidRPr="00A628A0">
        <w:tab/>
      </w:r>
      <w:r w:rsidRPr="00F233DB">
        <w:rPr>
          <w:rStyle w:val="FootnoteReference"/>
          <w:sz w:val="20"/>
        </w:rPr>
        <w:t>s 56AI, Competition and Consumer Act 2010.</w:t>
      </w:r>
    </w:p>
  </w:footnote>
  <w:footnote w:id="4">
    <w:p w14:paraId="56993EC0" w14:textId="4F3FA47A" w:rsidR="00265FE3" w:rsidRDefault="00265FE3" w:rsidP="00F233DB">
      <w:pPr>
        <w:pStyle w:val="Footnote-revised"/>
      </w:pPr>
      <w:r w:rsidRPr="00822EF9">
        <w:rPr>
          <w:rStyle w:val="FootnoteReference"/>
          <w:sz w:val="20"/>
        </w:rPr>
        <w:footnoteRef/>
      </w:r>
      <w:r w:rsidRPr="00F233DB" w:rsidDel="00900A35">
        <w:rPr>
          <w:rStyle w:val="FootnoteReference"/>
          <w:sz w:val="20"/>
        </w:rPr>
        <w:t xml:space="preserve"> </w:t>
      </w:r>
      <w:r w:rsidR="00A628A0" w:rsidRPr="00A628A0">
        <w:tab/>
      </w:r>
      <w:r w:rsidRPr="00F233DB">
        <w:rPr>
          <w:rStyle w:val="FootnoteReference"/>
          <w:sz w:val="20"/>
        </w:rPr>
        <w:t xml:space="preserve">Frollo, Open Banking: The Consumer Perspective, May 2022, </w:t>
      </w:r>
      <w:hyperlink r:id="rId1" w:history="1">
        <w:r w:rsidRPr="00A628A0">
          <w:rPr>
            <w:rStyle w:val="Hyperlink"/>
          </w:rPr>
          <w:t>https://frollo.com.au/open-banking/open-banking-consumer-perspective/</w:t>
        </w:r>
      </w:hyperlink>
    </w:p>
  </w:footnote>
  <w:footnote w:id="5">
    <w:p w14:paraId="0148847C" w14:textId="5D6A9784" w:rsidR="00D55EB1" w:rsidRDefault="00503546" w:rsidP="000A76B8">
      <w:pPr>
        <w:pStyle w:val="Footnote-revised"/>
      </w:pPr>
      <w:r>
        <w:rPr>
          <w:rStyle w:val="FootnoteReference"/>
        </w:rPr>
        <w:footnoteRef/>
      </w:r>
      <w:r>
        <w:t xml:space="preserve"> </w:t>
      </w:r>
      <w:r w:rsidR="00A628A0">
        <w:tab/>
      </w:r>
      <w:r w:rsidR="00D55EB1" w:rsidRPr="00F3484D">
        <w:t>CDR Strategic Assessment: Outcomes</w:t>
      </w:r>
      <w:r w:rsidR="00D55EB1">
        <w:t>, January 2022</w:t>
      </w:r>
      <w:r w:rsidR="008B2769">
        <w:br/>
      </w:r>
      <w:hyperlink r:id="rId2" w:history="1">
        <w:r w:rsidR="00D55EB1" w:rsidRPr="00EA26E8">
          <w:rPr>
            <w:rStyle w:val="Hyperlink"/>
          </w:rPr>
          <w:t>https://treasury.gov.au/sites/default/files/2022-01/p2022-242997-outcomes-report_0.pdf</w:t>
        </w:r>
      </w:hyperlink>
      <w:r w:rsidR="00D55EB1">
        <w:t xml:space="preserve"> </w:t>
      </w:r>
    </w:p>
  </w:footnote>
  <w:footnote w:id="6">
    <w:p w14:paraId="1240A8A6" w14:textId="5E9F1688" w:rsidR="00265FE3" w:rsidRDefault="00265FE3" w:rsidP="00F233DB">
      <w:pPr>
        <w:pStyle w:val="Footnote-revised"/>
      </w:pPr>
      <w:r>
        <w:rPr>
          <w:rStyle w:val="FootnoteReference"/>
        </w:rPr>
        <w:footnoteRef/>
      </w:r>
      <w:r>
        <w:t xml:space="preserve"> </w:t>
      </w:r>
      <w:r w:rsidR="00A628A0">
        <w:tab/>
      </w:r>
      <w:r>
        <w:t xml:space="preserve">Commonwealth Treasury, CDR Sectoral Assessment for the Open Finance Sector – Non-Bank Lending, April 2022, </w:t>
      </w:r>
      <w:hyperlink r:id="rId3" w:history="1">
        <w:r w:rsidR="004A7D05" w:rsidRPr="00E57369">
          <w:rPr>
            <w:rStyle w:val="Hyperlink"/>
          </w:rPr>
          <w:t>https://treasury.gov.au/consultation/c2022-253782</w:t>
        </w:r>
      </w:hyperlink>
      <w:r w:rsidR="004A7D05">
        <w:t xml:space="preserve"> </w:t>
      </w:r>
    </w:p>
  </w:footnote>
  <w:footnote w:id="7">
    <w:p w14:paraId="73DC3ECF" w14:textId="58D8F221" w:rsidR="00E55FD9" w:rsidRDefault="00E55FD9" w:rsidP="00F233DB">
      <w:pPr>
        <w:pStyle w:val="Footnote-revised"/>
      </w:pPr>
      <w:r>
        <w:rPr>
          <w:rStyle w:val="FootnoteReference"/>
        </w:rPr>
        <w:footnoteRef/>
      </w:r>
      <w:r>
        <w:t xml:space="preserve"> </w:t>
      </w:r>
      <w:r w:rsidR="00A628A0">
        <w:tab/>
      </w:r>
      <w:r>
        <w:t xml:space="preserve">Ministry of Business, Innovation and Employment, Consumer Data Right, November 2021, </w:t>
      </w:r>
      <w:hyperlink r:id="rId4" w:history="1">
        <w:r>
          <w:rPr>
            <w:rStyle w:val="Hyperlink"/>
            <w:rFonts w:eastAsiaTheme="majorEastAsia"/>
          </w:rPr>
          <w:t>https://www.mbie.govt.nz/business-and-employment/business/competition-regulation-and-policy/consumer-data-right/</w:t>
        </w:r>
      </w:hyperlink>
      <w:r>
        <w:t xml:space="preserve"> </w:t>
      </w:r>
    </w:p>
  </w:footnote>
  <w:footnote w:id="8">
    <w:p w14:paraId="63627692" w14:textId="56A1CE42" w:rsidR="00E55FD9" w:rsidRDefault="00E55FD9" w:rsidP="00F233DB">
      <w:pPr>
        <w:pStyle w:val="Footnote-revised"/>
      </w:pPr>
      <w:r>
        <w:rPr>
          <w:rStyle w:val="FootnoteReference"/>
        </w:rPr>
        <w:footnoteRef/>
      </w:r>
      <w:r>
        <w:t xml:space="preserve"> </w:t>
      </w:r>
      <w:r w:rsidR="00A628A0">
        <w:tab/>
      </w:r>
      <w:r>
        <w:t xml:space="preserve">Minister of Commerce and Consumer Affairs, Media release; </w:t>
      </w:r>
      <w:r w:rsidRPr="009F141C">
        <w:t>Govt agrees to establish a consumer data right</w:t>
      </w:r>
      <w:r>
        <w:t xml:space="preserve">, July 2021, </w:t>
      </w:r>
      <w:hyperlink r:id="rId5" w:history="1">
        <w:r>
          <w:rPr>
            <w:rStyle w:val="Hyperlink"/>
            <w:rFonts w:eastAsiaTheme="majorEastAsia"/>
          </w:rPr>
          <w:t>https://www.beehive.govt.nz/release/govt-agrees-establish-consumer-data-right</w:t>
        </w:r>
      </w:hyperlink>
      <w:r>
        <w:t xml:space="preserve">  </w:t>
      </w:r>
    </w:p>
  </w:footnote>
  <w:footnote w:id="9">
    <w:p w14:paraId="536BA41E" w14:textId="61B8E330" w:rsidR="00E55FD9" w:rsidRDefault="00E55FD9" w:rsidP="00F233DB">
      <w:pPr>
        <w:pStyle w:val="Footnote-revised"/>
      </w:pPr>
      <w:r>
        <w:rPr>
          <w:rStyle w:val="FootnoteReference"/>
        </w:rPr>
        <w:footnoteRef/>
      </w:r>
      <w:r>
        <w:t xml:space="preserve"> </w:t>
      </w:r>
      <w:r w:rsidR="00A628A0">
        <w:tab/>
      </w:r>
      <w:r>
        <w:t xml:space="preserve">Ministry of Business, Innovation &amp; Employment, Minute of Decision: Establishing a Consumer Data Right, July 2021, </w:t>
      </w:r>
      <w:hyperlink r:id="rId6" w:history="1">
        <w:r w:rsidRPr="005F418C">
          <w:rPr>
            <w:rStyle w:val="Hyperlink"/>
          </w:rPr>
          <w:t>https://www.mbie.govt.nz/dmsdocument/15539-establishing-a-consumer-data-right-minute-of-decision-proactiverelease-pdf</w:t>
        </w:r>
      </w:hyperlink>
    </w:p>
  </w:footnote>
  <w:footnote w:id="10">
    <w:p w14:paraId="6383EE02" w14:textId="1DF3E905" w:rsidR="00E55FD9" w:rsidRDefault="00E55FD9" w:rsidP="00F233DB">
      <w:pPr>
        <w:pStyle w:val="Footnote-revised"/>
        <w:rPr>
          <w:rFonts w:asciiTheme="minorHAnsi" w:hAnsiTheme="minorHAnsi" w:cstheme="minorBidi"/>
          <w:lang w:eastAsia="en-US"/>
        </w:rPr>
      </w:pPr>
      <w:r>
        <w:rPr>
          <w:rStyle w:val="FootnoteReference"/>
        </w:rPr>
        <w:footnoteRef/>
      </w:r>
      <w:r>
        <w:t xml:space="preserve"> </w:t>
      </w:r>
      <w:r w:rsidR="00A628A0">
        <w:tab/>
      </w:r>
      <w:r>
        <w:t xml:space="preserve">Ministry of Business, Innovation and Employment, Consumer Data Right, November 2021, </w:t>
      </w:r>
      <w:hyperlink r:id="rId7" w:history="1">
        <w:r>
          <w:rPr>
            <w:rStyle w:val="Hyperlink"/>
            <w:rFonts w:eastAsiaTheme="majorEastAsia"/>
          </w:rPr>
          <w:t>https://www.mbie.govt.nz/business-and-employment/business/competition-regulation-and-policy/consumer-data-right/</w:t>
        </w:r>
      </w:hyperlink>
    </w:p>
  </w:footnote>
  <w:footnote w:id="11">
    <w:p w14:paraId="5592A78B" w14:textId="496DDFB5" w:rsidR="00265FE3" w:rsidRPr="00F0453C" w:rsidRDefault="00265FE3" w:rsidP="00F233DB">
      <w:pPr>
        <w:pStyle w:val="Footnote-revised"/>
        <w:rPr>
          <w:i/>
          <w:iCs/>
        </w:rPr>
      </w:pPr>
      <w:r>
        <w:rPr>
          <w:rStyle w:val="FootnoteReference"/>
        </w:rPr>
        <w:footnoteRef/>
      </w:r>
      <w:r w:rsidDel="00DC05C3">
        <w:t xml:space="preserve"> </w:t>
      </w:r>
      <w:r w:rsidR="00A628A0">
        <w:tab/>
      </w:r>
      <w:r>
        <w:t xml:space="preserve">Productivity Commission, </w:t>
      </w:r>
      <w:r w:rsidRPr="00015397">
        <w:rPr>
          <w:i/>
          <w:iCs/>
        </w:rPr>
        <w:t>Data Availability and Use – Productivity Commission Inquiry Report</w:t>
      </w:r>
      <w:r w:rsidRPr="002A48CC">
        <w:t xml:space="preserve">, </w:t>
      </w:r>
      <w:r w:rsidRPr="00200DCC">
        <w:rPr>
          <w:i/>
        </w:rPr>
        <w:t>No. 82</w:t>
      </w:r>
      <w:r w:rsidRPr="002A48CC">
        <w:t>,</w:t>
      </w:r>
      <w:r>
        <w:t xml:space="preserve"> </w:t>
      </w:r>
      <w:r w:rsidRPr="002A48CC">
        <w:t>March 2017,</w:t>
      </w:r>
      <w:r>
        <w:t xml:space="preserve"> </w:t>
      </w:r>
      <w:hyperlink r:id="rId8" w:history="1">
        <w:r w:rsidRPr="00DA68C2">
          <w:rPr>
            <w:rStyle w:val="Hyperlink"/>
          </w:rPr>
          <w:t>https://www.pc.gov.au/inquiries/completed/data-access/report/data-access.pdf</w:t>
        </w:r>
      </w:hyperlink>
      <w:r>
        <w:t xml:space="preserve"> </w:t>
      </w:r>
    </w:p>
  </w:footnote>
  <w:footnote w:id="12">
    <w:p w14:paraId="3A0D3832" w14:textId="3C78E9A5" w:rsidR="00122B88" w:rsidRDefault="00122B88" w:rsidP="00F233DB">
      <w:pPr>
        <w:pStyle w:val="Footnote-revised"/>
      </w:pPr>
      <w:r>
        <w:rPr>
          <w:rStyle w:val="FootnoteReference"/>
        </w:rPr>
        <w:footnoteRef/>
      </w:r>
      <w:r>
        <w:t xml:space="preserve"> </w:t>
      </w:r>
      <w:r w:rsidR="00B22CD5">
        <w:tab/>
      </w:r>
      <w:r>
        <w:t xml:space="preserve">Australian Banking Association, Cuscal, Comms Alliance, FDATA ANZ, Internet Association of Australia. </w:t>
      </w:r>
    </w:p>
  </w:footnote>
  <w:footnote w:id="13">
    <w:p w14:paraId="3F9EFC3D" w14:textId="128127AB" w:rsidR="00F83DC7" w:rsidRDefault="00F83DC7" w:rsidP="00F233DB">
      <w:pPr>
        <w:pStyle w:val="Footnote-revised"/>
      </w:pPr>
      <w:r>
        <w:rPr>
          <w:rStyle w:val="FootnoteReference"/>
        </w:rPr>
        <w:footnoteRef/>
      </w:r>
      <w:r>
        <w:t xml:space="preserve"> </w:t>
      </w:r>
      <w:r w:rsidR="00B22CD5">
        <w:tab/>
      </w:r>
      <w:r w:rsidRPr="00F83DC7">
        <w:t>Australian Communications Consumer Action Network</w:t>
      </w:r>
      <w:r>
        <w:t xml:space="preserve">, </w:t>
      </w:r>
      <w:r w:rsidRPr="00F83DC7">
        <w:t>Consumer Action Law Centre</w:t>
      </w:r>
      <w:r>
        <w:t xml:space="preserve">, </w:t>
      </w:r>
      <w:r w:rsidRPr="00F83DC7">
        <w:t>Consumer Policy Research Centre</w:t>
      </w:r>
      <w:r>
        <w:t xml:space="preserve">, </w:t>
      </w:r>
      <w:r w:rsidRPr="00F83DC7">
        <w:t>FDATA ANZ Financial Rights Legal Centr</w:t>
      </w:r>
      <w:r>
        <w:t>e</w:t>
      </w:r>
      <w:r w:rsidRPr="00F83DC7">
        <w:t>,</w:t>
      </w:r>
      <w:r>
        <w:t xml:space="preserve"> Internet Association of Australia</w:t>
      </w:r>
      <w:r w:rsidRPr="00F83DC7">
        <w:t>, Telstra</w:t>
      </w:r>
      <w:r>
        <w:t>.</w:t>
      </w:r>
    </w:p>
  </w:footnote>
  <w:footnote w:id="14">
    <w:p w14:paraId="065A75BE" w14:textId="10ED0E43" w:rsidR="00265FE3" w:rsidRPr="0091318D" w:rsidRDefault="00265FE3" w:rsidP="00F233DB">
      <w:pPr>
        <w:pStyle w:val="Footnote-revised"/>
        <w:rPr>
          <w:i/>
          <w:iCs/>
        </w:rPr>
      </w:pPr>
      <w:r>
        <w:rPr>
          <w:rStyle w:val="FootnoteReference"/>
        </w:rPr>
        <w:footnoteRef/>
      </w:r>
      <w:r>
        <w:t xml:space="preserve"> </w:t>
      </w:r>
      <w:r w:rsidR="00B22CD5">
        <w:tab/>
      </w:r>
      <w:r w:rsidR="008427CF">
        <w:t xml:space="preserve">Consumer Data Right, Performance </w:t>
      </w:r>
      <w:hyperlink r:id="rId9" w:history="1">
        <w:r w:rsidR="008427CF" w:rsidRPr="008427CF">
          <w:rPr>
            <w:rStyle w:val="Hyperlink"/>
          </w:rPr>
          <w:t>https://www.cdr.gov.au/performance</w:t>
        </w:r>
      </w:hyperlink>
      <w:r>
        <w:t>.</w:t>
      </w:r>
    </w:p>
  </w:footnote>
  <w:footnote w:id="15">
    <w:p w14:paraId="5763B67D" w14:textId="1B4ED2DF" w:rsidR="00265FE3" w:rsidRDefault="00265FE3" w:rsidP="00F233DB">
      <w:pPr>
        <w:pStyle w:val="Footnote-revised"/>
      </w:pPr>
      <w:r>
        <w:rPr>
          <w:rStyle w:val="FootnoteReference"/>
        </w:rPr>
        <w:footnoteRef/>
      </w:r>
      <w:r>
        <w:t xml:space="preserve"> </w:t>
      </w:r>
      <w:r w:rsidR="00B22CD5">
        <w:tab/>
      </w:r>
      <w:r>
        <w:t xml:space="preserve">Open Banking UK, </w:t>
      </w:r>
      <w:r w:rsidRPr="009021CF">
        <w:t>The Open Banking Impact Report</w:t>
      </w:r>
      <w:r>
        <w:rPr>
          <w:i/>
          <w:iCs/>
        </w:rPr>
        <w:t xml:space="preserve">, </w:t>
      </w:r>
      <w:r w:rsidR="00F356EB">
        <w:t xml:space="preserve">June </w:t>
      </w:r>
      <w:r>
        <w:t>202</w:t>
      </w:r>
      <w:r w:rsidR="00F356EB">
        <w:t>2</w:t>
      </w:r>
      <w:r>
        <w:t>,</w:t>
      </w:r>
      <w:r>
        <w:rPr>
          <w:i/>
          <w:iCs/>
        </w:rPr>
        <w:t xml:space="preserve"> </w:t>
      </w:r>
      <w:hyperlink r:id="rId10" w:history="1">
        <w:r w:rsidR="00F356EB" w:rsidRPr="00F233DB">
          <w:rPr>
            <w:rStyle w:val="Hyperlink"/>
          </w:rPr>
          <w:t>https://openbanking.foleon.com/live-publications/the-open-banking-impact-report-june-2022/</w:t>
        </w:r>
      </w:hyperlink>
      <w:r w:rsidRPr="00F233DB">
        <w:t xml:space="preserve"> </w:t>
      </w:r>
    </w:p>
  </w:footnote>
  <w:footnote w:id="16">
    <w:p w14:paraId="275CC9A8" w14:textId="33A945D0" w:rsidR="00265FE3" w:rsidRDefault="00265FE3" w:rsidP="00F233DB">
      <w:pPr>
        <w:pStyle w:val="Footnote-revised"/>
      </w:pPr>
      <w:r>
        <w:rPr>
          <w:rStyle w:val="FootnoteReference"/>
        </w:rPr>
        <w:footnoteRef/>
      </w:r>
      <w:r>
        <w:t xml:space="preserve"> </w:t>
      </w:r>
      <w:r w:rsidR="00B22CD5">
        <w:tab/>
      </w:r>
      <w:r>
        <w:t xml:space="preserve">Decision Proposal 240 – ADR Metrics, </w:t>
      </w:r>
      <w:r w:rsidRPr="009021CF">
        <w:t xml:space="preserve">February 2022, </w:t>
      </w:r>
      <w:hyperlink r:id="rId11" w:history="1">
        <w:r w:rsidR="008427CF" w:rsidRPr="00E57369">
          <w:rPr>
            <w:rStyle w:val="Hyperlink"/>
          </w:rPr>
          <w:t>https://github.com/ConsumerDataStandardsAustralia/standards/issues/240</w:t>
        </w:r>
      </w:hyperlink>
      <w:r w:rsidR="008427CF">
        <w:t xml:space="preserve"> </w:t>
      </w:r>
    </w:p>
  </w:footnote>
  <w:footnote w:id="17">
    <w:p w14:paraId="15306C61" w14:textId="764F443D" w:rsidR="007A7B05" w:rsidRDefault="007A7B05" w:rsidP="00F233DB">
      <w:pPr>
        <w:pStyle w:val="Footnote-revised"/>
      </w:pPr>
      <w:r>
        <w:rPr>
          <w:rStyle w:val="FootnoteReference"/>
        </w:rPr>
        <w:footnoteRef/>
      </w:r>
      <w:r>
        <w:t xml:space="preserve"> </w:t>
      </w:r>
      <w:r w:rsidR="00B22CD5">
        <w:tab/>
      </w:r>
      <w:r w:rsidR="00026016">
        <w:t>Chapter 11:</w:t>
      </w:r>
      <w:r>
        <w:t xml:space="preserve"> </w:t>
      </w:r>
      <w:r w:rsidR="00800FAE">
        <w:t>Privacy Safeguard 11 – Quality of CDR Data</w:t>
      </w:r>
      <w:r w:rsidR="00B22CD5">
        <w:t xml:space="preserve">, </w:t>
      </w:r>
      <w:hyperlink r:id="rId12" w:history="1">
        <w:r w:rsidR="00B22CD5" w:rsidRPr="00C741AA">
          <w:rPr>
            <w:rStyle w:val="Hyperlink"/>
          </w:rPr>
          <w:t>https://www.oaic.gov.au/consumer-data-right/cdr-privacy-safeguard-guidelines/chapter-11-privacy-safeguard-11-quality-of-cdr-data</w:t>
        </w:r>
      </w:hyperlink>
      <w:r w:rsidR="00800FAE">
        <w:t xml:space="preserve"> </w:t>
      </w:r>
    </w:p>
  </w:footnote>
  <w:footnote w:id="18">
    <w:p w14:paraId="76F1376E" w14:textId="27B1C576" w:rsidR="00265FE3" w:rsidRPr="003C3961" w:rsidRDefault="00265FE3" w:rsidP="000A76B8">
      <w:pPr>
        <w:pStyle w:val="Footnote-revised"/>
        <w:ind w:right="283"/>
      </w:pPr>
      <w:r>
        <w:rPr>
          <w:rStyle w:val="FootnoteReference"/>
        </w:rPr>
        <w:footnoteRef/>
      </w:r>
      <w:r>
        <w:t xml:space="preserve"> </w:t>
      </w:r>
      <w:r w:rsidR="00B22CD5">
        <w:tab/>
      </w:r>
      <w:r>
        <w:t>Recommendation 5.17 of the final report o</w:t>
      </w:r>
      <w:r w:rsidRPr="00600205">
        <w:rPr>
          <w:rFonts w:cs="Calibri Light"/>
        </w:rPr>
        <w:t xml:space="preserve">f the </w:t>
      </w:r>
      <w:r w:rsidRPr="00600205">
        <w:rPr>
          <w:rFonts w:cs="Calibri Light"/>
          <w:i/>
          <w:color w:val="313131"/>
          <w:szCs w:val="22"/>
        </w:rPr>
        <w:t xml:space="preserve">Inquiry into Future Directions for the Consumer Data Right, </w:t>
      </w:r>
      <w:r w:rsidRPr="00600205">
        <w:rPr>
          <w:rFonts w:cs="Calibri Light"/>
          <w:color w:val="313131"/>
          <w:szCs w:val="22"/>
        </w:rPr>
        <w:t xml:space="preserve">December 2020, </w:t>
      </w:r>
      <w:hyperlink r:id="rId13" w:history="1">
        <w:r w:rsidRPr="00600205">
          <w:rPr>
            <w:rStyle w:val="Hyperlink"/>
            <w:rFonts w:cs="Calibri Light"/>
            <w:szCs w:val="22"/>
          </w:rPr>
          <w:t>https://treasury.gov.au/publication/inquiry-future-directions-consumer-data-right-final-report</w:t>
        </w:r>
      </w:hyperlink>
    </w:p>
  </w:footnote>
  <w:footnote w:id="19">
    <w:p w14:paraId="7E82A67A" w14:textId="7FBFCF32" w:rsidR="00323FBE" w:rsidRDefault="00323FBE" w:rsidP="00643250">
      <w:pPr>
        <w:pStyle w:val="Footnote-revised"/>
      </w:pPr>
      <w:r>
        <w:rPr>
          <w:rStyle w:val="FootnoteReference"/>
        </w:rPr>
        <w:footnoteRef/>
      </w:r>
      <w:r>
        <w:t xml:space="preserve"> </w:t>
      </w:r>
      <w:r w:rsidR="00B22CD5">
        <w:tab/>
      </w:r>
      <w:r>
        <w:t xml:space="preserve">Ms Gina Cass-Gottlieb speaking at the AFR Banking Summit 2022, </w:t>
      </w:r>
      <w:hyperlink r:id="rId14" w:history="1">
        <w:r>
          <w:rPr>
            <w:rStyle w:val="Hyperlink"/>
          </w:rPr>
          <w:t>https://www.accc.gov.au/speech/acccs-priorities-and-approach-to-regulating-the-financial-services-sector</w:t>
        </w:r>
      </w:hyperlink>
    </w:p>
  </w:footnote>
  <w:footnote w:id="20">
    <w:p w14:paraId="1EE8687B" w14:textId="10CA6F8F" w:rsidR="00265FE3" w:rsidRDefault="00265FE3" w:rsidP="00643250">
      <w:pPr>
        <w:pStyle w:val="Footnote-revised"/>
      </w:pPr>
      <w:r>
        <w:rPr>
          <w:rStyle w:val="FootnoteReference"/>
        </w:rPr>
        <w:footnoteRef/>
      </w:r>
      <w:r>
        <w:t xml:space="preserve"> </w:t>
      </w:r>
      <w:r w:rsidR="00BF1EA7" w:rsidRPr="00BF1EA7">
        <w:t xml:space="preserve"> Bank</w:t>
      </w:r>
      <w:r w:rsidR="007144DA">
        <w:t xml:space="preserve"> of </w:t>
      </w:r>
      <w:r w:rsidR="00BF1EA7" w:rsidRPr="00BF1EA7">
        <w:t>Queensland pays penalty for alleged breach of Consumer Data Right Rule</w:t>
      </w:r>
      <w:r>
        <w:t>,</w:t>
      </w:r>
      <w:r w:rsidR="00BF1EA7">
        <w:t xml:space="preserve"> </w:t>
      </w:r>
      <w:hyperlink r:id="rId15" w:history="1">
        <w:r w:rsidR="00BF1EA7" w:rsidRPr="00ED5BE5">
          <w:rPr>
            <w:rStyle w:val="Hyperlink"/>
          </w:rPr>
          <w:t>https://www.accc.gov.au/media-release/bank-of-queensland-pays-penalty-for-alleged-breach-of-consumer-data-right-rules</w:t>
        </w:r>
      </w:hyperlink>
      <w:r w:rsidR="007144DA">
        <w:t xml:space="preserve"> </w:t>
      </w:r>
    </w:p>
  </w:footnote>
  <w:footnote w:id="21">
    <w:p w14:paraId="06C3EC28" w14:textId="146499E4" w:rsidR="00265FE3" w:rsidRDefault="00265FE3" w:rsidP="00643250">
      <w:pPr>
        <w:pStyle w:val="Footnote-revised"/>
      </w:pPr>
      <w:r>
        <w:rPr>
          <w:rStyle w:val="FootnoteReference"/>
        </w:rPr>
        <w:footnoteRef/>
      </w:r>
      <w:r>
        <w:t xml:space="preserve"> </w:t>
      </w:r>
      <w:r w:rsidR="00B22CD5">
        <w:tab/>
      </w:r>
      <w:r>
        <w:t xml:space="preserve">Refer to </w:t>
      </w:r>
      <w:hyperlink r:id="rId16" w:history="1">
        <w:r w:rsidRPr="00356AF0">
          <w:rPr>
            <w:rStyle w:val="Hyperlink"/>
          </w:rPr>
          <w:t>https://www.finder.com.au/cst</w:t>
        </w:r>
      </w:hyperlink>
    </w:p>
  </w:footnote>
  <w:footnote w:id="22">
    <w:p w14:paraId="25476192" w14:textId="77506268" w:rsidR="00265FE3" w:rsidRPr="00383A01" w:rsidRDefault="00265FE3" w:rsidP="00643250">
      <w:pPr>
        <w:pStyle w:val="Footnote-revised"/>
        <w:rPr>
          <w:color w:val="4D7861" w:themeColor="accent2"/>
        </w:rPr>
      </w:pPr>
      <w:r>
        <w:rPr>
          <w:rStyle w:val="FootnoteReference"/>
        </w:rPr>
        <w:footnoteRef/>
      </w:r>
      <w:r>
        <w:t xml:space="preserve"> </w:t>
      </w:r>
      <w:r w:rsidR="00B22CD5">
        <w:tab/>
      </w:r>
      <w:r>
        <w:t xml:space="preserve">Recommendation 6.4 of the final report of the </w:t>
      </w:r>
      <w:r>
        <w:rPr>
          <w:i/>
          <w:iCs/>
        </w:rPr>
        <w:t>Review into Open Banking</w:t>
      </w:r>
      <w:r w:rsidRPr="00383A01">
        <w:t>, May 2018,</w:t>
      </w:r>
      <w:r>
        <w:rPr>
          <w:i/>
          <w:iCs/>
        </w:rPr>
        <w:t xml:space="preserve"> </w:t>
      </w:r>
      <w:hyperlink r:id="rId17" w:history="1">
        <w:r w:rsidRPr="009345C1">
          <w:rPr>
            <w:rStyle w:val="Hyperlink"/>
          </w:rPr>
          <w:t>https://treasury.gov.au/consultation/c2018-t247313</w:t>
        </w:r>
      </w:hyperlink>
    </w:p>
  </w:footnote>
  <w:footnote w:id="23">
    <w:p w14:paraId="178E9EF3" w14:textId="354B48AD" w:rsidR="00265FE3" w:rsidRPr="004F424A" w:rsidRDefault="00265FE3" w:rsidP="00643250">
      <w:pPr>
        <w:pStyle w:val="Footnote-revised"/>
        <w:ind w:right="113"/>
        <w:rPr>
          <w:i/>
          <w:iCs/>
        </w:rPr>
      </w:pPr>
      <w:r>
        <w:rPr>
          <w:rStyle w:val="FootnoteReference"/>
        </w:rPr>
        <w:footnoteRef/>
      </w:r>
      <w:r>
        <w:t xml:space="preserve"> </w:t>
      </w:r>
      <w:r w:rsidR="00B22CD5">
        <w:tab/>
      </w:r>
      <w:r>
        <w:t xml:space="preserve">Recommendation 7.8 of the final report of the </w:t>
      </w:r>
      <w:r>
        <w:rPr>
          <w:i/>
          <w:iCs/>
        </w:rPr>
        <w:t xml:space="preserve">Inquiry into the Future Directions for the Consumer Data </w:t>
      </w:r>
      <w:r w:rsidRPr="0018311E">
        <w:rPr>
          <w:i/>
          <w:iCs/>
        </w:rPr>
        <w:t>Right</w:t>
      </w:r>
      <w:r w:rsidRPr="00383A01">
        <w:t>, December 2020</w:t>
      </w:r>
      <w:r w:rsidRPr="00383A01" w:rsidDel="003C3961">
        <w:t>,</w:t>
      </w:r>
      <w:r>
        <w:rPr>
          <w:i/>
          <w:iCs/>
        </w:rPr>
        <w:t xml:space="preserve"> </w:t>
      </w:r>
      <w:hyperlink r:id="rId18" w:history="1">
        <w:r w:rsidRPr="00B6767A">
          <w:rPr>
            <w:rStyle w:val="Hyperlink"/>
            <w:i/>
            <w:iCs/>
          </w:rPr>
          <w:t>https://treasury.gov.au/publication/inquiry-future-directions-consumer-data-right-final-report</w:t>
        </w:r>
      </w:hyperlink>
    </w:p>
  </w:footnote>
  <w:footnote w:id="24">
    <w:p w14:paraId="72F6BC97" w14:textId="36F6BD45" w:rsidR="00265FE3" w:rsidRDefault="00265FE3" w:rsidP="00643250">
      <w:pPr>
        <w:pStyle w:val="Footnote-revised"/>
        <w:ind w:right="57"/>
      </w:pPr>
      <w:r>
        <w:rPr>
          <w:rStyle w:val="FootnoteReference"/>
        </w:rPr>
        <w:footnoteRef/>
      </w:r>
      <w:r>
        <w:t xml:space="preserve"> </w:t>
      </w:r>
      <w:r w:rsidR="00B22CD5">
        <w:tab/>
      </w:r>
      <w:r>
        <w:t xml:space="preserve">Recommendation 7.9 of the final report of the </w:t>
      </w:r>
      <w:r>
        <w:rPr>
          <w:i/>
          <w:iCs/>
        </w:rPr>
        <w:t xml:space="preserve">Inquiry into the Future Directions for the Consumer Data Right, </w:t>
      </w:r>
      <w:r>
        <w:t xml:space="preserve">December 2020, </w:t>
      </w:r>
      <w:hyperlink r:id="rId19" w:history="1">
        <w:r w:rsidR="00C11708" w:rsidRPr="00ED5BE5">
          <w:rPr>
            <w:rStyle w:val="Hyperlink"/>
            <w:i/>
            <w:iCs/>
          </w:rPr>
          <w:t>https://treasury.gov.au/publication/inquiry-future-directions-consumer-data-right-final-report</w:t>
        </w:r>
      </w:hyperlink>
    </w:p>
  </w:footnote>
  <w:footnote w:id="25">
    <w:p w14:paraId="66DF307C" w14:textId="550696EE" w:rsidR="00F51BC1" w:rsidRDefault="00F51BC1" w:rsidP="00643250">
      <w:pPr>
        <w:pStyle w:val="Footnote-revised"/>
      </w:pPr>
      <w:r>
        <w:rPr>
          <w:rStyle w:val="FootnoteReference"/>
        </w:rPr>
        <w:footnoteRef/>
      </w:r>
      <w:r>
        <w:t xml:space="preserve"> </w:t>
      </w:r>
      <w:r w:rsidR="00B22CD5">
        <w:tab/>
      </w:r>
      <w:r>
        <w:t xml:space="preserve">Open Up 2020, </w:t>
      </w:r>
      <w:hyperlink r:id="rId20" w:anchor=":~:text=What%20was%20the%20Open%20Up,of%20open%20banking%2Denabled%20products" w:history="1">
        <w:r w:rsidR="00B22CD5" w:rsidRPr="00C741AA">
          <w:rPr>
            <w:rStyle w:val="Hyperlink"/>
          </w:rPr>
          <w:t>https://challenges.org/prizes/open-up-2020/#:~:text=What%20was%20the%20Open%20Up,</w:t>
        </w:r>
        <w:r w:rsidR="00B22CD5" w:rsidRPr="00C741AA">
          <w:rPr>
            <w:rStyle w:val="Hyperlink"/>
          </w:rPr>
          <w:br/>
          <w:t>of%20open%20banking%2Denabled%20products</w:t>
        </w:r>
      </w:hyperlink>
      <w:r w:rsidRPr="0092230F">
        <w:t>.</w:t>
      </w:r>
    </w:p>
  </w:footnote>
  <w:footnote w:id="26">
    <w:p w14:paraId="383C1246" w14:textId="6397D416" w:rsidR="006E1B75" w:rsidRDefault="006E1B75" w:rsidP="00643250">
      <w:pPr>
        <w:pStyle w:val="Footnote-revised"/>
      </w:pPr>
      <w:r>
        <w:rPr>
          <w:rStyle w:val="FootnoteReference"/>
        </w:rPr>
        <w:footnoteRef/>
      </w:r>
      <w:r>
        <w:t xml:space="preserve"> </w:t>
      </w:r>
      <w:r w:rsidR="00B22CD5">
        <w:tab/>
      </w:r>
      <w:r>
        <w:t xml:space="preserve">Figure 2.1 </w:t>
      </w:r>
      <w:r w:rsidR="00D04E49">
        <w:t xml:space="preserve">source Truelayer submission to the Statutory </w:t>
      </w:r>
      <w:r w:rsidR="00A73ADB">
        <w:t>R</w:t>
      </w:r>
      <w:r w:rsidR="00D04E49">
        <w:t xml:space="preserve">eview of the Consumer Data Right </w:t>
      </w:r>
    </w:p>
  </w:footnote>
  <w:footnote w:id="27">
    <w:p w14:paraId="5F600726" w14:textId="22511BB7" w:rsidR="00770393" w:rsidRPr="00770393" w:rsidRDefault="00770393" w:rsidP="00643250">
      <w:pPr>
        <w:pStyle w:val="Footnote-revised"/>
      </w:pPr>
      <w:r>
        <w:rPr>
          <w:rStyle w:val="FootnoteReference"/>
        </w:rPr>
        <w:footnoteRef/>
      </w:r>
      <w:r>
        <w:t xml:space="preserve"> </w:t>
      </w:r>
      <w:r w:rsidR="00B22CD5">
        <w:tab/>
      </w:r>
      <w:r>
        <w:t xml:space="preserve">Treasury, </w:t>
      </w:r>
      <w:r>
        <w:rPr>
          <w:i/>
          <w:iCs/>
        </w:rPr>
        <w:t xml:space="preserve">Strategic Assessment Outcomes Report, </w:t>
      </w:r>
      <w:r>
        <w:t xml:space="preserve">January 2022, </w:t>
      </w:r>
      <w:hyperlink r:id="rId21" w:history="1">
        <w:r w:rsidRPr="00770393">
          <w:rPr>
            <w:rStyle w:val="Hyperlink"/>
          </w:rPr>
          <w:t>https://treasury.gov.au/publication/p2022-242997</w:t>
        </w:r>
      </w:hyperlink>
    </w:p>
  </w:footnote>
  <w:footnote w:id="28">
    <w:p w14:paraId="2A58A234" w14:textId="74D8F1B2" w:rsidR="00265FE3" w:rsidRPr="0018311E" w:rsidRDefault="00265FE3" w:rsidP="00265FE3">
      <w:pPr>
        <w:pStyle w:val="FootnoteText"/>
      </w:pPr>
      <w:r>
        <w:rPr>
          <w:rStyle w:val="FootnoteReference"/>
        </w:rPr>
        <w:footnoteRef/>
      </w:r>
      <w:r>
        <w:t xml:space="preserve"> </w:t>
      </w:r>
      <w:r w:rsidR="00B22CD5">
        <w:tab/>
      </w:r>
      <w:r>
        <w:t xml:space="preserve">Most notably Recommendations 6.12 and 6.13, but also 4.8, 5.7 and 6.4 of the </w:t>
      </w:r>
      <w:r>
        <w:rPr>
          <w:i/>
          <w:iCs/>
        </w:rPr>
        <w:t xml:space="preserve">Inquiry into the Future Directions for the Consumer Data Right, </w:t>
      </w:r>
      <w:r>
        <w:t xml:space="preserve">December 2020, </w:t>
      </w:r>
      <w:hyperlink r:id="rId22" w:history="1">
        <w:r w:rsidRPr="00B6767A">
          <w:rPr>
            <w:rStyle w:val="Hyperlink"/>
            <w:i/>
            <w:iCs/>
          </w:rPr>
          <w:t>https://treasury.gov.au/publication/inquiry-future-directions-consumer-data-right-final-report</w:t>
        </w:r>
      </w:hyperlink>
    </w:p>
  </w:footnote>
  <w:footnote w:id="29">
    <w:p w14:paraId="6AC2204F" w14:textId="7E0908E9" w:rsidR="00C17FC7" w:rsidRDefault="00C17FC7" w:rsidP="00421311">
      <w:pPr>
        <w:pStyle w:val="Footnote-revised"/>
      </w:pPr>
      <w:r>
        <w:rPr>
          <w:rStyle w:val="FootnoteReference"/>
        </w:rPr>
        <w:footnoteRef/>
      </w:r>
      <w:r w:rsidRPr="00A238A6" w:rsidDel="00FB6909">
        <w:t xml:space="preserve"> </w:t>
      </w:r>
      <w:r w:rsidR="00B22CD5">
        <w:tab/>
      </w:r>
      <w:r w:rsidR="00473859" w:rsidRPr="00A238A6">
        <w:t>“</w:t>
      </w:r>
      <w:r w:rsidRPr="00A238A6">
        <w:t>The majority of non-bank lenders are looking at representative models rather than sponsorship or unrestricted knowing that RDH obligations are likely to come into play.</w:t>
      </w:r>
      <w:r w:rsidR="00473859" w:rsidRPr="00A238A6">
        <w:t>”</w:t>
      </w:r>
      <w:r w:rsidR="00FB6909">
        <w:t xml:space="preserve"> Submission from </w:t>
      </w:r>
      <w:r w:rsidR="007B5DC6">
        <w:t>i</w:t>
      </w:r>
      <w:r w:rsidR="00FB6909">
        <w:t>llion</w:t>
      </w:r>
    </w:p>
  </w:footnote>
  <w:footnote w:id="30">
    <w:p w14:paraId="25538088" w14:textId="3681838B" w:rsidR="00265FE3" w:rsidRDefault="00265FE3" w:rsidP="00421311">
      <w:pPr>
        <w:pStyle w:val="Footnote-revised"/>
      </w:pPr>
      <w:r>
        <w:rPr>
          <w:rStyle w:val="FootnoteReference"/>
        </w:rPr>
        <w:footnoteRef/>
      </w:r>
      <w:r>
        <w:t xml:space="preserve"> </w:t>
      </w:r>
      <w:r w:rsidR="00B22CD5">
        <w:tab/>
      </w:r>
      <w:r>
        <w:t xml:space="preserve">A 2021 review of the Security Standard Add-on Marketplace (SSAM) by Digital Service Providers ANZ (DSPANZ) provides insight into the degree to which this framework can align with the CDR. See </w:t>
      </w:r>
      <w:hyperlink r:id="rId23" w:history="1">
        <w:r w:rsidR="009A1EBB" w:rsidRPr="00E57369">
          <w:rPr>
            <w:rStyle w:val="Hyperlink"/>
          </w:rPr>
          <w:t>https://www.dspanz.org/media/website_pages/news/ssam-review-2021-report/SSAM-Review-2021-Report.pdf</w:t>
        </w:r>
      </w:hyperlink>
      <w:r w:rsidR="009A1EBB">
        <w:t xml:space="preserve"> </w:t>
      </w:r>
    </w:p>
  </w:footnote>
  <w:footnote w:id="31">
    <w:p w14:paraId="4DE3A009" w14:textId="04BBC9E8" w:rsidR="00487B59" w:rsidRDefault="00487B59" w:rsidP="00421311">
      <w:pPr>
        <w:pStyle w:val="Footnote-revised"/>
      </w:pPr>
      <w:r>
        <w:rPr>
          <w:rStyle w:val="FootnoteReference"/>
        </w:rPr>
        <w:footnoteRef/>
      </w:r>
      <w:r>
        <w:t xml:space="preserve"> </w:t>
      </w:r>
      <w:r w:rsidR="00B22CD5">
        <w:tab/>
      </w:r>
      <w:r>
        <w:t xml:space="preserve">The 2020 Inquiry into Future Directions for the Consumer Data Right touched on similar issues, recommending the formation of a common ‘data safety licence’ to manage participation in schemes where secure data holding or transfer is required. See pages 192-3 </w:t>
      </w:r>
      <w:hyperlink r:id="rId24" w:history="1">
        <w:r w:rsidRPr="0024601B">
          <w:rPr>
            <w:rStyle w:val="Hyperlink"/>
          </w:rPr>
          <w:t>https://treasury.gov.au/sites/default/files/2021-02/cdrinquiry-final.pdf</w:t>
        </w:r>
      </w:hyperlink>
      <w:r>
        <w:t xml:space="preserve"> </w:t>
      </w:r>
    </w:p>
  </w:footnote>
  <w:footnote w:id="32">
    <w:p w14:paraId="265B929A" w14:textId="6E916EBB" w:rsidR="002B4149" w:rsidRPr="002B4149" w:rsidRDefault="002B4149" w:rsidP="00421311">
      <w:pPr>
        <w:pStyle w:val="Footnote-revised"/>
      </w:pPr>
      <w:r>
        <w:rPr>
          <w:rStyle w:val="FootnoteReference"/>
        </w:rPr>
        <w:footnoteRef/>
      </w:r>
      <w:r>
        <w:t xml:space="preserve"> </w:t>
      </w:r>
      <w:r w:rsidR="00B22CD5">
        <w:tab/>
      </w:r>
      <w:r>
        <w:t xml:space="preserve">Final report of the </w:t>
      </w:r>
      <w:r>
        <w:rPr>
          <w:i/>
          <w:iCs/>
        </w:rPr>
        <w:t>Inquiry into the Future Directions for the Consumer Data Right,</w:t>
      </w:r>
      <w:r w:rsidRPr="002B4149">
        <w:t xml:space="preserve"> </w:t>
      </w:r>
      <w:hyperlink r:id="rId25" w:history="1">
        <w:r w:rsidRPr="00B6767A">
          <w:rPr>
            <w:rStyle w:val="Hyperlink"/>
            <w:i/>
            <w:iCs/>
          </w:rPr>
          <w:t>https://treasury.gov.au/publication/inquiry-future-directions-consumer-data-right-final-report</w:t>
        </w:r>
      </w:hyperlink>
      <w:r>
        <w:t>.</w:t>
      </w:r>
    </w:p>
  </w:footnote>
  <w:footnote w:id="33">
    <w:p w14:paraId="59D22740" w14:textId="176AD6CE" w:rsidR="00C93B54" w:rsidRPr="002B4149" w:rsidRDefault="00C93B54" w:rsidP="00421311">
      <w:pPr>
        <w:pStyle w:val="Footnote-revised"/>
      </w:pPr>
      <w:r>
        <w:rPr>
          <w:rStyle w:val="FootnoteReference"/>
        </w:rPr>
        <w:footnoteRef/>
      </w:r>
      <w:r>
        <w:t xml:space="preserve"> </w:t>
      </w:r>
      <w:r w:rsidR="00B22CD5">
        <w:tab/>
      </w:r>
      <w:r>
        <w:t xml:space="preserve">Final report of the </w:t>
      </w:r>
      <w:r>
        <w:rPr>
          <w:i/>
          <w:iCs/>
        </w:rPr>
        <w:t>Inquiry into the Future Directions for the Consumer Data Right,</w:t>
      </w:r>
      <w:r w:rsidRPr="002B4149">
        <w:t xml:space="preserve"> </w:t>
      </w:r>
      <w:hyperlink r:id="rId26" w:history="1">
        <w:r w:rsidRPr="00B6767A">
          <w:rPr>
            <w:rStyle w:val="Hyperlink"/>
            <w:i/>
            <w:iCs/>
          </w:rPr>
          <w:t>https://treasury.gov.au/publication/inquiry-future-directions-consumer-data-right-final-report</w:t>
        </w:r>
      </w:hyperlink>
      <w:r>
        <w:t>.</w:t>
      </w:r>
    </w:p>
  </w:footnote>
  <w:footnote w:id="34">
    <w:p w14:paraId="54120A13" w14:textId="055B544A" w:rsidR="00265FE3" w:rsidRDefault="00265FE3" w:rsidP="00421311">
      <w:pPr>
        <w:pStyle w:val="Footnote-revised"/>
        <w:ind w:right="227"/>
      </w:pPr>
      <w:r>
        <w:rPr>
          <w:rStyle w:val="FootnoteReference"/>
        </w:rPr>
        <w:footnoteRef/>
      </w:r>
      <w:r w:rsidR="00C54024">
        <w:t xml:space="preserve"> </w:t>
      </w:r>
      <w:r w:rsidR="00B22CD5">
        <w:tab/>
      </w:r>
      <w:r>
        <w:t xml:space="preserve">Recommendation 6.9 from the final report of the </w:t>
      </w:r>
      <w:r>
        <w:rPr>
          <w:i/>
          <w:iCs/>
        </w:rPr>
        <w:t xml:space="preserve">Inquiry into the Future Directions for the Consumer Data Right, </w:t>
      </w:r>
      <w:r>
        <w:t xml:space="preserve">December 2020, </w:t>
      </w:r>
      <w:hyperlink r:id="rId27" w:history="1">
        <w:r w:rsidR="00C11708" w:rsidRPr="00ED5BE5">
          <w:rPr>
            <w:rStyle w:val="Hyperlink"/>
            <w:i/>
            <w:iCs/>
          </w:rPr>
          <w:t>https://treasury.gov.au/publication/inquiry-future-directions-consumer-data-right-final-report</w:t>
        </w:r>
      </w:hyperlink>
      <w:r>
        <w:t xml:space="preserve">. This recommendation was focused on expanding to cross-sector applications of reciprocity so that ADRs could face reciprocal data sharing requirements from DHs operating in a different sectoral designation. </w:t>
      </w:r>
    </w:p>
  </w:footnote>
  <w:footnote w:id="35">
    <w:p w14:paraId="2651956F" w14:textId="39086C20" w:rsidR="00265FE3" w:rsidRDefault="00265FE3" w:rsidP="00421311">
      <w:pPr>
        <w:pStyle w:val="Footnote-revised"/>
      </w:pPr>
      <w:r>
        <w:rPr>
          <w:rStyle w:val="FootnoteReference"/>
        </w:rPr>
        <w:footnoteRef/>
      </w:r>
      <w:r>
        <w:t xml:space="preserve"> </w:t>
      </w:r>
      <w:r w:rsidR="009372B4">
        <w:tab/>
      </w:r>
      <w:r>
        <w:t>Smaller businesses are likely to benefit from these disclosures, for example via accounting platforms. According to ABS data 93</w:t>
      </w:r>
      <w:r w:rsidR="00E23B3A">
        <w:t xml:space="preserve"> per cent</w:t>
      </w:r>
      <w:r>
        <w:t xml:space="preserve"> of Australian businesses have an annual turnover of less than $2 million. ABS,</w:t>
      </w:r>
      <w:r w:rsidRPr="00090B01">
        <w:t xml:space="preserve"> Counts of Australian Businesses, including Entries and Exits</w:t>
      </w:r>
      <w:r>
        <w:t xml:space="preserve">, August 2021, </w:t>
      </w:r>
      <w:hyperlink r:id="rId28" w:anchor="turnover-size" w:history="1">
        <w:r w:rsidRPr="00456388">
          <w:rPr>
            <w:rStyle w:val="Hyperlink"/>
          </w:rPr>
          <w:t>https://www.abs.gov.au/statistics/economy/business-indicators/counts-australian-businesses-including-entries-and-exits/latest-release#turnover-size</w:t>
        </w:r>
      </w:hyperlink>
      <w:r w:rsidRPr="00090B01">
        <w:t xml:space="preserve"> </w:t>
      </w:r>
      <w:r>
        <w:t xml:space="preserve"> </w:t>
      </w:r>
    </w:p>
  </w:footnote>
  <w:footnote w:id="36">
    <w:p w14:paraId="729468E7" w14:textId="593FB452" w:rsidR="00A4397A" w:rsidRDefault="00A4397A" w:rsidP="00421311">
      <w:pPr>
        <w:pStyle w:val="Footnote-revised"/>
      </w:pPr>
      <w:r>
        <w:rPr>
          <w:rStyle w:val="FootnoteReference"/>
        </w:rPr>
        <w:footnoteRef/>
      </w:r>
      <w:r>
        <w:t xml:space="preserve"> </w:t>
      </w:r>
      <w:r w:rsidR="009372B4">
        <w:tab/>
      </w:r>
      <w:r>
        <w:t xml:space="preserve">OBIE Impact Report June 2022, </w:t>
      </w:r>
      <w:hyperlink r:id="rId29" w:history="1">
        <w:r>
          <w:rPr>
            <w:rStyle w:val="Hyperlink"/>
          </w:rPr>
          <w:t>https://openbanking.foleon.com/live-publications/the-open-banking-impact-report-june-2022/</w:t>
        </w:r>
      </w:hyperlink>
    </w:p>
  </w:footnote>
  <w:footnote w:id="37">
    <w:p w14:paraId="04682F08" w14:textId="77777777" w:rsidR="002368D3" w:rsidRDefault="002368D3" w:rsidP="002368D3">
      <w:pPr>
        <w:pStyle w:val="FootnoteText"/>
      </w:pPr>
      <w:r>
        <w:rPr>
          <w:rStyle w:val="FootnoteReference"/>
        </w:rPr>
        <w:footnoteRef/>
      </w:r>
      <w:r>
        <w:t xml:space="preserve"> Subdivision 4.3.2C Duration of consent, </w:t>
      </w:r>
      <w:r w:rsidRPr="00600205">
        <w:rPr>
          <w:i/>
          <w:iCs/>
        </w:rPr>
        <w:t>Competition and Consumer (Consumer Data Right) Rules 2020</w:t>
      </w:r>
    </w:p>
  </w:footnote>
  <w:footnote w:id="38">
    <w:p w14:paraId="2BE10B71" w14:textId="1B16250C" w:rsidR="002368D3" w:rsidRDefault="002368D3" w:rsidP="002368D3">
      <w:pPr>
        <w:pStyle w:val="FootnoteText"/>
      </w:pPr>
      <w:r>
        <w:rPr>
          <w:rStyle w:val="FootnoteReference"/>
        </w:rPr>
        <w:footnoteRef/>
      </w:r>
      <w:r>
        <w:t xml:space="preserve"> </w:t>
      </w:r>
      <w:r w:rsidR="009372B4">
        <w:tab/>
      </w:r>
      <w:r>
        <w:t xml:space="preserve">See Privacy Safeguard 12, </w:t>
      </w:r>
      <w:hyperlink r:id="rId30" w:history="1">
        <w:r w:rsidRPr="00794C29">
          <w:rPr>
            <w:rStyle w:val="Hyperlink"/>
          </w:rPr>
          <w:t>https://www.oaic.gov.au/consumer-data-right/cdr-privacy-safeguard-guidelines/chapter-12-privacy-safeguard-12-security-of-cdr-data-and-destruction-or-de-identification-of-redundant-cdr-data</w:t>
        </w:r>
      </w:hyperlink>
    </w:p>
  </w:footnote>
  <w:footnote w:id="39">
    <w:p w14:paraId="52ADCD5E" w14:textId="1F49CF75" w:rsidR="002368D3" w:rsidRDefault="002368D3" w:rsidP="002368D3">
      <w:pPr>
        <w:pStyle w:val="FootnoteText"/>
      </w:pPr>
      <w:r>
        <w:rPr>
          <w:rStyle w:val="FootnoteReference"/>
        </w:rPr>
        <w:footnoteRef/>
      </w:r>
      <w:r>
        <w:t xml:space="preserve"> </w:t>
      </w:r>
      <w:r w:rsidR="009372B4">
        <w:tab/>
      </w:r>
      <w:r>
        <w:t>The terms ‘CDR data’ and ‘directly or indirectly derived’ are defined by s 56AI of the Act</w:t>
      </w:r>
    </w:p>
  </w:footnote>
  <w:footnote w:id="40">
    <w:p w14:paraId="3BB7B07D" w14:textId="15CEC360" w:rsidR="00177FA9" w:rsidRDefault="00177FA9" w:rsidP="00177FA9">
      <w:pPr>
        <w:pStyle w:val="FootnoteText"/>
      </w:pPr>
      <w:r>
        <w:rPr>
          <w:rStyle w:val="FootnoteReference"/>
        </w:rPr>
        <w:footnoteRef/>
      </w:r>
      <w:r>
        <w:t xml:space="preserve"> </w:t>
      </w:r>
      <w:r w:rsidR="009372B4">
        <w:tab/>
      </w:r>
      <w:r>
        <w:t xml:space="preserve">Recommendations 8.9 and 8.10 from the final report of the </w:t>
      </w:r>
      <w:r>
        <w:rPr>
          <w:i/>
          <w:iCs/>
        </w:rPr>
        <w:t xml:space="preserve">Inquiry into the Future Directions for the Consumer Data Right, </w:t>
      </w:r>
      <w:r>
        <w:t xml:space="preserve">December 2020,  </w:t>
      </w:r>
      <w:hyperlink r:id="rId31" w:history="1">
        <w:r w:rsidRPr="00B6767A">
          <w:rPr>
            <w:rStyle w:val="Hyperlink"/>
            <w:i/>
            <w:iCs/>
          </w:rPr>
          <w:t>https://treasury.gov.au/publication/inquiry-future-directions-consumer-data-right-final-report</w:t>
        </w:r>
      </w:hyperlink>
    </w:p>
  </w:footnote>
  <w:footnote w:id="41">
    <w:p w14:paraId="5733CB2D" w14:textId="07B688AF" w:rsidR="00265FE3" w:rsidRDefault="00265FE3" w:rsidP="00265FE3">
      <w:pPr>
        <w:pStyle w:val="FootnoteText"/>
      </w:pPr>
      <w:r>
        <w:rPr>
          <w:rStyle w:val="FootnoteReference"/>
        </w:rPr>
        <w:footnoteRef/>
      </w:r>
      <w:r>
        <w:t xml:space="preserve"> </w:t>
      </w:r>
      <w:r w:rsidR="009372B4">
        <w:tab/>
      </w:r>
      <w:r>
        <w:t xml:space="preserve">Submission </w:t>
      </w:r>
      <w:r w:rsidR="00C34035">
        <w:t>from</w:t>
      </w:r>
      <w:r>
        <w:t xml:space="preserve"> Scientia Professor Ross Buckley </w:t>
      </w:r>
      <w:r w:rsidR="00C34035">
        <w:t>and</w:t>
      </w:r>
      <w:r>
        <w:t xml:space="preserve"> Dr Natalia Jevglevskaja</w:t>
      </w:r>
    </w:p>
  </w:footnote>
  <w:footnote w:id="42">
    <w:p w14:paraId="78302AEE" w14:textId="66E2380C" w:rsidR="002908D4" w:rsidRDefault="002908D4" w:rsidP="00643250">
      <w:pPr>
        <w:pStyle w:val="FootnoteText"/>
        <w:ind w:right="510"/>
      </w:pPr>
      <w:r>
        <w:rPr>
          <w:rStyle w:val="FootnoteReference"/>
        </w:rPr>
        <w:footnoteRef/>
      </w:r>
      <w:r>
        <w:t xml:space="preserve"> </w:t>
      </w:r>
      <w:r w:rsidR="009372B4">
        <w:tab/>
      </w:r>
      <w:r>
        <w:t>Open Banking UK,</w:t>
      </w:r>
      <w:r w:rsidRPr="00986B9C">
        <w:t xml:space="preserve"> UK open banking marks fourth year milestone with over 4 million users</w:t>
      </w:r>
      <w:r>
        <w:t xml:space="preserve">, January 2022, </w:t>
      </w:r>
      <w:hyperlink r:id="rId32" w:history="1">
        <w:r w:rsidRPr="00630028">
          <w:rPr>
            <w:rStyle w:val="Hyperlink"/>
          </w:rPr>
          <w:t>https://www.openbanking.org.uk/news/uk-open-banking-marks-fourth-year-milestone-with-over-4-million-users/</w:t>
        </w:r>
      </w:hyperlink>
      <w:r w:rsidDel="006F090E">
        <w:t xml:space="preserve"> </w:t>
      </w:r>
      <w:r>
        <w:br/>
      </w:r>
    </w:p>
  </w:footnote>
  <w:footnote w:id="43">
    <w:p w14:paraId="06061EB0" w14:textId="4B1624F7" w:rsidR="00265FE3" w:rsidRDefault="00265FE3" w:rsidP="00265FE3">
      <w:pPr>
        <w:pStyle w:val="FootnoteText"/>
      </w:pPr>
      <w:r>
        <w:rPr>
          <w:rStyle w:val="FootnoteReference"/>
        </w:rPr>
        <w:footnoteRef/>
      </w:r>
      <w:r>
        <w:t xml:space="preserve"> </w:t>
      </w:r>
      <w:r w:rsidR="009372B4">
        <w:tab/>
      </w:r>
      <w:r>
        <w:t>This is how data held by the AE</w:t>
      </w:r>
      <w:r w:rsidR="00FA64F1">
        <w:t>R</w:t>
      </w:r>
      <w:r>
        <w:t xml:space="preserve"> became designated under the CDR.</w:t>
      </w:r>
    </w:p>
  </w:footnote>
  <w:footnote w:id="44">
    <w:p w14:paraId="656D70AE" w14:textId="598A38C0" w:rsidR="00265FE3" w:rsidRDefault="00265FE3" w:rsidP="00265FE3">
      <w:pPr>
        <w:pStyle w:val="FootnoteText"/>
      </w:pPr>
      <w:r>
        <w:rPr>
          <w:rStyle w:val="FootnoteReference"/>
        </w:rPr>
        <w:footnoteRef/>
      </w:r>
      <w:r>
        <w:t xml:space="preserve"> </w:t>
      </w:r>
      <w:r w:rsidR="009372B4">
        <w:tab/>
      </w:r>
      <w:r>
        <w:t>See</w:t>
      </w:r>
      <w:r w:rsidR="005E0C8D">
        <w:t>, for example,</w:t>
      </w:r>
      <w:r>
        <w:t xml:space="preserve"> section 355-25 and 355-35 of the Taxation Administration</w:t>
      </w:r>
      <w:r w:rsidR="005C22FC">
        <w:t xml:space="preserve"> Act</w:t>
      </w:r>
      <w:r>
        <w:t xml:space="preserve"> 1953.</w:t>
      </w:r>
    </w:p>
  </w:footnote>
  <w:footnote w:id="45">
    <w:p w14:paraId="3288A571" w14:textId="62B33F96" w:rsidR="00265FE3" w:rsidRDefault="00265FE3" w:rsidP="00265FE3">
      <w:pPr>
        <w:pStyle w:val="FootnoteText"/>
      </w:pPr>
      <w:r>
        <w:rPr>
          <w:rStyle w:val="FootnoteReference"/>
        </w:rPr>
        <w:footnoteRef/>
      </w:r>
      <w:r>
        <w:t xml:space="preserve"> </w:t>
      </w:r>
      <w:r w:rsidR="009372B4">
        <w:tab/>
      </w:r>
      <w:r>
        <w:t xml:space="preserve">See for example, Privacy Safeguard 9 – Adoption or </w:t>
      </w:r>
      <w:r w:rsidRPr="008A2F6A">
        <w:t>disclosure of government related identifiers by accredited data recipients</w:t>
      </w:r>
      <w:r>
        <w:t>.</w:t>
      </w:r>
    </w:p>
  </w:footnote>
  <w:footnote w:id="46">
    <w:p w14:paraId="3804A3A9" w14:textId="06556252" w:rsidR="007B7942" w:rsidRDefault="007B7942" w:rsidP="007B7942">
      <w:pPr>
        <w:pStyle w:val="FootnoteText"/>
      </w:pPr>
      <w:r>
        <w:rPr>
          <w:rStyle w:val="FootnoteReference"/>
        </w:rPr>
        <w:footnoteRef/>
      </w:r>
      <w:r>
        <w:t xml:space="preserve"> </w:t>
      </w:r>
      <w:r w:rsidR="009372B4">
        <w:tab/>
      </w:r>
      <w:r>
        <w:t xml:space="preserve">Payments System Review, June 2021, </w:t>
      </w:r>
      <w:hyperlink r:id="rId33" w:history="1">
        <w:r w:rsidRPr="009B71B5">
          <w:rPr>
            <w:rStyle w:val="Hyperlink"/>
          </w:rPr>
          <w:t>https://treasury.gov.au/sites/default/files/2021-08/p2021-198587.pdf</w:t>
        </w:r>
      </w:hyperlink>
      <w:r>
        <w:t xml:space="preserve"> </w:t>
      </w:r>
    </w:p>
  </w:footnote>
  <w:footnote w:id="47">
    <w:p w14:paraId="3F3FBEE9" w14:textId="474A2B54" w:rsidR="00265FE3" w:rsidRDefault="00265FE3" w:rsidP="00265FE3">
      <w:pPr>
        <w:pStyle w:val="FootnoteText"/>
      </w:pPr>
      <w:r>
        <w:rPr>
          <w:rStyle w:val="FootnoteReference"/>
        </w:rPr>
        <w:footnoteRef/>
      </w:r>
      <w:r>
        <w:t xml:space="preserve"> </w:t>
      </w:r>
      <w:r w:rsidR="00FB2F9B">
        <w:tab/>
      </w:r>
      <w:r w:rsidRPr="00D02C02">
        <w:t>The Government response to the Inquiry into Future Directions for the Consumer Data Right, December</w:t>
      </w:r>
      <w:r>
        <w:t> </w:t>
      </w:r>
      <w:r w:rsidRPr="00D02C02">
        <w:t xml:space="preserve">2021, </w:t>
      </w:r>
      <w:hyperlink r:id="rId34" w:history="1">
        <w:r w:rsidRPr="00B6767A">
          <w:rPr>
            <w:rStyle w:val="Hyperlink"/>
          </w:rPr>
          <w:t>https://treasury.gov.au/publication/p2021-225462</w:t>
        </w:r>
      </w:hyperlink>
      <w:r>
        <w:t xml:space="preserve"> </w:t>
      </w:r>
    </w:p>
  </w:footnote>
  <w:footnote w:id="48">
    <w:p w14:paraId="1F8AFAA4" w14:textId="61735634" w:rsidR="00265FE3" w:rsidRDefault="00265FE3" w:rsidP="00265FE3">
      <w:pPr>
        <w:pStyle w:val="FootnoteText"/>
      </w:pPr>
      <w:r>
        <w:rPr>
          <w:rStyle w:val="FootnoteReference"/>
        </w:rPr>
        <w:footnoteRef/>
      </w:r>
      <w:r>
        <w:t xml:space="preserve"> </w:t>
      </w:r>
      <w:r w:rsidR="009372B4">
        <w:tab/>
      </w:r>
      <w:r>
        <w:t xml:space="preserve">See </w:t>
      </w:r>
      <w:r>
        <w:rPr>
          <w:i/>
          <w:iCs/>
        </w:rPr>
        <w:t>Data Availability and Use – Productivity Commission Inquiry Report</w:t>
      </w:r>
      <w:r>
        <w:t xml:space="preserve">, No. 82, March 2017, </w:t>
      </w:r>
      <w:hyperlink r:id="rId35" w:history="1">
        <w:r>
          <w:rPr>
            <w:rStyle w:val="Hyperlink"/>
            <w:rFonts w:eastAsiaTheme="majorEastAsia"/>
          </w:rPr>
          <w:t>https://www.pc.gov.au/inquiries/completed/data-access/report/data-access.pdf</w:t>
        </w:r>
      </w:hyperlink>
    </w:p>
    <w:p w14:paraId="31BE2B90" w14:textId="77777777" w:rsidR="00265FE3" w:rsidRDefault="00265FE3" w:rsidP="00265FE3">
      <w:pPr>
        <w:pStyle w:val="FootnoteText"/>
      </w:pPr>
    </w:p>
  </w:footnote>
  <w:footnote w:id="49">
    <w:p w14:paraId="787EDDE8" w14:textId="4B63FBDB" w:rsidR="00816CE6" w:rsidRDefault="00816CE6" w:rsidP="00816CE6">
      <w:pPr>
        <w:pStyle w:val="FootnoteText"/>
      </w:pPr>
      <w:r>
        <w:rPr>
          <w:rStyle w:val="FootnoteReference"/>
        </w:rPr>
        <w:footnoteRef/>
      </w:r>
      <w:r>
        <w:t xml:space="preserve"> </w:t>
      </w:r>
      <w:r w:rsidR="00FB2F9B">
        <w:tab/>
      </w:r>
      <w:r>
        <w:t xml:space="preserve">For example, see Consumer Experience Research Phase 3: Round 3, </w:t>
      </w:r>
      <w:hyperlink r:id="rId36" w:history="1">
        <w:r w:rsidRPr="00DE2533">
          <w:rPr>
            <w:rStyle w:val="Hyperlink"/>
          </w:rPr>
          <w:t>https://consumerdatastandards.gov.au/sites/consumerdatastandards.gov.au/files/uploads/2020/05/CX-Report-_-Phase-3-_-Round-3.pdf</w:t>
        </w:r>
      </w:hyperlink>
      <w:r>
        <w:t xml:space="preserve"> </w:t>
      </w:r>
    </w:p>
  </w:footnote>
  <w:footnote w:id="50">
    <w:p w14:paraId="3613FF19" w14:textId="00584338" w:rsidR="00816CE6" w:rsidRDefault="00816CE6" w:rsidP="00816CE6">
      <w:pPr>
        <w:pStyle w:val="FootnoteText"/>
      </w:pPr>
      <w:r>
        <w:rPr>
          <w:rStyle w:val="FootnoteReference"/>
        </w:rPr>
        <w:footnoteRef/>
      </w:r>
      <w:r>
        <w:t xml:space="preserve"> </w:t>
      </w:r>
      <w:r w:rsidR="00122DE0">
        <w:tab/>
      </w:r>
      <w:r>
        <w:t xml:space="preserve">See: Isabelle Guevara, </w:t>
      </w:r>
      <w:r>
        <w:rPr>
          <w:i/>
        </w:rPr>
        <w:t>Digital fiduciaries and privacy protection in the digital age</w:t>
      </w:r>
      <w:r>
        <w:t xml:space="preserve">, August 2021, </w:t>
      </w:r>
      <w:hyperlink r:id="rId37" w:anchor="_edn24" w:history="1">
        <w:r w:rsidR="00122DE0" w:rsidRPr="00C741AA">
          <w:rPr>
            <w:rStyle w:val="Hyperlink"/>
          </w:rPr>
          <w:t>https://www.cba.org/Sections/Privacy-and-Access/Resources/Resources/2021/</w:t>
        </w:r>
        <w:r w:rsidR="00122DE0" w:rsidRPr="00C741AA">
          <w:rPr>
            <w:rStyle w:val="Hyperlink"/>
          </w:rPr>
          <w:br/>
          <w:t>PrivacyEssayWinner2021#_edn24</w:t>
        </w:r>
      </w:hyperlink>
      <w:r>
        <w:t>; cited in submission from Financial Rights Legal Centre.</w:t>
      </w:r>
    </w:p>
  </w:footnote>
  <w:footnote w:id="51">
    <w:p w14:paraId="69C60FFB" w14:textId="2971ECF0" w:rsidR="005C4428" w:rsidRDefault="005C4428" w:rsidP="005C4428">
      <w:pPr>
        <w:pStyle w:val="FootnoteText"/>
      </w:pPr>
      <w:r>
        <w:rPr>
          <w:rStyle w:val="FootnoteReference"/>
        </w:rPr>
        <w:footnoteRef/>
      </w:r>
      <w:r>
        <w:t xml:space="preserve"> </w:t>
      </w:r>
      <w:r w:rsidR="00122DE0">
        <w:tab/>
      </w:r>
      <w:r>
        <w:t xml:space="preserve">The Government response to the </w:t>
      </w:r>
      <w:r>
        <w:rPr>
          <w:rFonts w:asciiTheme="majorHAnsi" w:hAnsiTheme="majorHAnsi" w:cstheme="majorHAnsi"/>
          <w:i/>
          <w:iCs/>
          <w:color w:val="313131"/>
          <w:szCs w:val="22"/>
        </w:rPr>
        <w:t>Inquiry into Future Directions for the Consumer Data Right</w:t>
      </w:r>
      <w:r>
        <w:rPr>
          <w:rFonts w:asciiTheme="majorHAnsi" w:hAnsiTheme="majorHAnsi" w:cstheme="majorHAnsi"/>
          <w:color w:val="313131"/>
          <w:szCs w:val="22"/>
        </w:rPr>
        <w:t xml:space="preserve">, December 2021, </w:t>
      </w:r>
      <w:hyperlink r:id="rId38" w:history="1">
        <w:r>
          <w:rPr>
            <w:rStyle w:val="Hyperlink"/>
            <w:rFonts w:eastAsiaTheme="majorEastAsia" w:cstheme="majorHAnsi"/>
            <w:szCs w:val="22"/>
          </w:rPr>
          <w:t>https://treasury.gov.au/publication/p2021-225462</w:t>
        </w:r>
      </w:hyperlink>
      <w:r>
        <w:rPr>
          <w:rFonts w:asciiTheme="majorHAnsi" w:hAnsiTheme="majorHAnsi" w:cstheme="majorHAnsi"/>
          <w:color w:val="313131"/>
          <w:szCs w:val="22"/>
        </w:rPr>
        <w:t xml:space="preserve"> </w:t>
      </w:r>
    </w:p>
  </w:footnote>
  <w:footnote w:id="52">
    <w:p w14:paraId="7DE4AC9B" w14:textId="3BA7752B" w:rsidR="005C4428" w:rsidRDefault="005C4428" w:rsidP="005C4428">
      <w:pPr>
        <w:pStyle w:val="FootnoteText"/>
      </w:pPr>
      <w:r>
        <w:rPr>
          <w:rStyle w:val="FootnoteReference"/>
        </w:rPr>
        <w:footnoteRef/>
      </w:r>
      <w:r>
        <w:t xml:space="preserve"> </w:t>
      </w:r>
      <w:r w:rsidR="00122DE0">
        <w:tab/>
      </w:r>
      <w:r>
        <w:t xml:space="preserve">The final report of the </w:t>
      </w:r>
      <w:r>
        <w:rPr>
          <w:rFonts w:asciiTheme="majorHAnsi" w:hAnsiTheme="majorHAnsi" w:cstheme="majorHAnsi"/>
          <w:i/>
          <w:iCs/>
          <w:color w:val="313131"/>
          <w:szCs w:val="22"/>
        </w:rPr>
        <w:t xml:space="preserve">Inquiry into Future Directions for the Consumer Data Right, </w:t>
      </w:r>
      <w:r>
        <w:rPr>
          <w:rFonts w:asciiTheme="majorHAnsi" w:hAnsiTheme="majorHAnsi" w:cstheme="majorHAnsi"/>
          <w:color w:val="313131"/>
          <w:szCs w:val="22"/>
        </w:rPr>
        <w:t xml:space="preserve">December 2020, </w:t>
      </w:r>
      <w:hyperlink r:id="rId39" w:history="1">
        <w:r>
          <w:rPr>
            <w:rStyle w:val="Hyperlink"/>
            <w:rFonts w:eastAsiaTheme="majorEastAsia" w:cstheme="majorHAnsi"/>
            <w:szCs w:val="22"/>
          </w:rPr>
          <w:t>https://treasury.gov.au/publication/inquiry-future-directions-consumer-data-right-final-report</w:t>
        </w:r>
      </w:hyperlink>
      <w:r>
        <w:rPr>
          <w:rFonts w:asciiTheme="majorHAnsi" w:hAnsiTheme="majorHAnsi" w:cstheme="majorHAnsi"/>
          <w:color w:val="313131"/>
          <w:szCs w:val="22"/>
        </w:rPr>
        <w:t xml:space="preserve"> </w:t>
      </w:r>
    </w:p>
  </w:footnote>
  <w:footnote w:id="53">
    <w:p w14:paraId="48BEC486" w14:textId="31A439D1" w:rsidR="005C4428" w:rsidRDefault="005C4428" w:rsidP="005C4428">
      <w:pPr>
        <w:pStyle w:val="FootnoteText"/>
      </w:pPr>
      <w:r>
        <w:rPr>
          <w:rStyle w:val="FootnoteReference"/>
        </w:rPr>
        <w:footnoteRef/>
      </w:r>
      <w:r>
        <w:t xml:space="preserve"> </w:t>
      </w:r>
      <w:r w:rsidR="00122DE0">
        <w:tab/>
      </w:r>
      <w:r>
        <w:t xml:space="preserve">Further content concerning the </w:t>
      </w:r>
      <w:r>
        <w:rPr>
          <w:i/>
          <w:iCs/>
        </w:rPr>
        <w:t xml:space="preserve">Digital Economy Strategy </w:t>
      </w:r>
      <w:r>
        <w:t xml:space="preserve">can be found here: </w:t>
      </w:r>
      <w:hyperlink r:id="rId40" w:history="1">
        <w:r>
          <w:rPr>
            <w:rStyle w:val="Hyperlink"/>
            <w:rFonts w:eastAsiaTheme="majorEastAsia"/>
          </w:rPr>
          <w:t>https://digitaleconomy.pmc.gov.au/</w:t>
        </w:r>
      </w:hyperlink>
      <w:r>
        <w:t xml:space="preserve">  </w:t>
      </w:r>
    </w:p>
  </w:footnote>
  <w:footnote w:id="54">
    <w:p w14:paraId="5986193A" w14:textId="67D9A353" w:rsidR="005C4428" w:rsidRDefault="005C4428" w:rsidP="005C4428">
      <w:pPr>
        <w:pStyle w:val="FootnoteText"/>
      </w:pPr>
      <w:r>
        <w:rPr>
          <w:rStyle w:val="FootnoteReference"/>
        </w:rPr>
        <w:footnoteRef/>
      </w:r>
      <w:r>
        <w:t xml:space="preserve"> </w:t>
      </w:r>
      <w:r w:rsidR="00122DE0">
        <w:tab/>
      </w:r>
      <w:r>
        <w:t xml:space="preserve">Further content concerning the </w:t>
      </w:r>
      <w:r>
        <w:rPr>
          <w:i/>
          <w:iCs/>
        </w:rPr>
        <w:t xml:space="preserve">Australian Data Strategy </w:t>
      </w:r>
      <w:r>
        <w:t xml:space="preserve">can be found here: </w:t>
      </w:r>
      <w:hyperlink r:id="rId41" w:history="1">
        <w:r>
          <w:rPr>
            <w:rStyle w:val="Hyperlink"/>
            <w:rFonts w:eastAsiaTheme="majorEastAsia"/>
          </w:rPr>
          <w:t>https://ausdatastrategy.pmc.gov.au/</w:t>
        </w:r>
      </w:hyperlink>
      <w:r>
        <w:t xml:space="preserve"> </w:t>
      </w:r>
    </w:p>
  </w:footnote>
  <w:footnote w:id="55">
    <w:p w14:paraId="0882AA07" w14:textId="2D6ED43F" w:rsidR="005C4428" w:rsidRDefault="005C4428" w:rsidP="005C4428">
      <w:pPr>
        <w:pStyle w:val="FootnoteText"/>
      </w:pPr>
      <w:r>
        <w:rPr>
          <w:rStyle w:val="FootnoteReference"/>
        </w:rPr>
        <w:footnoteRef/>
      </w:r>
      <w:r>
        <w:t xml:space="preserve"> </w:t>
      </w:r>
      <w:r w:rsidR="00122DE0">
        <w:tab/>
      </w:r>
      <w:r>
        <w:t xml:space="preserve">The consultation paper and </w:t>
      </w:r>
      <w:r>
        <w:rPr>
          <w:i/>
          <w:iCs/>
        </w:rPr>
        <w:t xml:space="preserve">Strategic Assessment Outcomes </w:t>
      </w:r>
      <w:r>
        <w:t xml:space="preserve">report can be found here: </w:t>
      </w:r>
      <w:hyperlink r:id="rId42" w:history="1">
        <w:r>
          <w:rPr>
            <w:rStyle w:val="Hyperlink"/>
            <w:rFonts w:eastAsiaTheme="majorEastAsia"/>
          </w:rPr>
          <w:t>https://treasury.gov.au/publication/p2022-242997</w:t>
        </w:r>
      </w:hyperlink>
      <w:r>
        <w:t xml:space="preserve"> </w:t>
      </w:r>
    </w:p>
  </w:footnote>
  <w:footnote w:id="56">
    <w:p w14:paraId="63F52483" w14:textId="36F61BB0" w:rsidR="00265FE3" w:rsidRDefault="00265FE3" w:rsidP="00265FE3">
      <w:pPr>
        <w:pStyle w:val="FootnoteText"/>
      </w:pPr>
      <w:r>
        <w:rPr>
          <w:rStyle w:val="FootnoteReference"/>
        </w:rPr>
        <w:footnoteRef/>
      </w:r>
      <w:r>
        <w:t xml:space="preserve"> </w:t>
      </w:r>
      <w:r w:rsidR="005B1FED">
        <w:tab/>
      </w:r>
      <w:r>
        <w:t xml:space="preserve">Refer: </w:t>
      </w:r>
      <w:r>
        <w:rPr>
          <w:i/>
          <w:iCs/>
        </w:rPr>
        <w:t>Data Availability and Use – Productivity Commission Inquiry Report</w:t>
      </w:r>
      <w:r>
        <w:t xml:space="preserve">, No. 82, March 2017, </w:t>
      </w:r>
      <w:hyperlink r:id="rId43" w:history="1">
        <w:r>
          <w:rPr>
            <w:rStyle w:val="Hyperlink"/>
            <w:rFonts w:eastAsiaTheme="majorEastAsia"/>
          </w:rPr>
          <w:t>https://www.pc.gov.au/inquiries/completed/data-access/report/data-access.pdf</w:t>
        </w:r>
      </w:hyperlink>
      <w:r>
        <w:t xml:space="preserve"> </w:t>
      </w:r>
    </w:p>
  </w:footnote>
  <w:footnote w:id="57">
    <w:p w14:paraId="4E86A229" w14:textId="6015CF6A" w:rsidR="00265FE3" w:rsidRDefault="00265FE3" w:rsidP="00265FE3">
      <w:pPr>
        <w:pStyle w:val="FootnoteText"/>
      </w:pPr>
      <w:r>
        <w:rPr>
          <w:rStyle w:val="FootnoteReference"/>
        </w:rPr>
        <w:footnoteRef/>
      </w:r>
      <w:r>
        <w:t xml:space="preserve"> </w:t>
      </w:r>
      <w:r w:rsidR="005B1FED">
        <w:tab/>
      </w:r>
      <w:r>
        <w:t xml:space="preserve">Final report of the </w:t>
      </w:r>
      <w:r>
        <w:rPr>
          <w:i/>
          <w:iCs/>
        </w:rPr>
        <w:t xml:space="preserve">Review into Open Banking, </w:t>
      </w:r>
      <w:hyperlink r:id="rId44" w:history="1">
        <w:r>
          <w:rPr>
            <w:rStyle w:val="Hyperlink"/>
            <w:rFonts w:eastAsiaTheme="majorEastAsia"/>
          </w:rPr>
          <w:t>https://treasury.gov.au/consultation/c2018-t247313</w:t>
        </w:r>
      </w:hyperlink>
      <w:r>
        <w:rPr>
          <w:i/>
          <w:iCs/>
        </w:rPr>
        <w:t xml:space="preserve"> </w:t>
      </w:r>
    </w:p>
  </w:footnote>
  <w:footnote w:id="58">
    <w:p w14:paraId="1E07E04E" w14:textId="6856297D" w:rsidR="00265FE3" w:rsidRDefault="00265FE3" w:rsidP="00265FE3">
      <w:pPr>
        <w:pStyle w:val="FootnoteText"/>
      </w:pPr>
      <w:r>
        <w:rPr>
          <w:rStyle w:val="FootnoteReference"/>
        </w:rPr>
        <w:footnoteRef/>
      </w:r>
      <w:r>
        <w:t xml:space="preserve"> </w:t>
      </w:r>
      <w:r w:rsidR="00E734F9">
        <w:tab/>
      </w:r>
      <w:r>
        <w:t xml:space="preserve">See </w:t>
      </w:r>
      <w:r w:rsidR="0011199A">
        <w:t>R</w:t>
      </w:r>
      <w:r>
        <w:t>ecommendations 2.2, 2.4, 2.6. 2.7, and 2.9</w:t>
      </w:r>
      <w:r w:rsidR="0011199A">
        <w:t xml:space="preserve"> of the final report of the </w:t>
      </w:r>
      <w:r w:rsidR="0011199A">
        <w:rPr>
          <w:i/>
          <w:iCs/>
        </w:rPr>
        <w:t xml:space="preserve">Inquiry into the Future Directions for the Consumer Data </w:t>
      </w:r>
      <w:r w:rsidR="0011199A" w:rsidRPr="0018311E">
        <w:rPr>
          <w:i/>
          <w:iCs/>
        </w:rPr>
        <w:t>Right</w:t>
      </w:r>
      <w:r w:rsidR="0011199A" w:rsidRPr="00383A01">
        <w:t>, December 2020</w:t>
      </w:r>
      <w:r w:rsidR="0011199A" w:rsidRPr="00383A01" w:rsidDel="003C3961">
        <w:t>,</w:t>
      </w:r>
      <w:r w:rsidR="0011199A">
        <w:rPr>
          <w:i/>
          <w:iCs/>
        </w:rPr>
        <w:t xml:space="preserve"> </w:t>
      </w:r>
      <w:hyperlink r:id="rId45" w:history="1">
        <w:r w:rsidR="0011199A" w:rsidRPr="00B6767A">
          <w:rPr>
            <w:rStyle w:val="Hyperlink"/>
            <w:i/>
            <w:iCs/>
          </w:rPr>
          <w:t>https://treasury.gov.au/publication/inquiry-future-directions-consumer-data-right-final-report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531E" w14:textId="3932308B" w:rsidR="00B55B04" w:rsidRPr="00B55B04" w:rsidRDefault="00B55B04" w:rsidP="00B55B04">
    <w:pPr>
      <w:pStyle w:val="HeaderEven"/>
    </w:pPr>
    <w:r>
      <w:rPr>
        <w:noProof/>
      </w:rPr>
      <w:fldChar w:fldCharType="begin"/>
    </w:r>
    <w:r>
      <w:rPr>
        <w:noProof/>
      </w:rPr>
      <w:instrText xml:space="preserve"> STYLEREF  "Title" \* MERGEFORMAT </w:instrText>
    </w:r>
    <w:r>
      <w:rPr>
        <w:noProof/>
      </w:rPr>
      <w:fldChar w:fldCharType="separate"/>
    </w:r>
    <w:r w:rsidR="00AD7A17">
      <w:rPr>
        <w:noProof/>
      </w:rPr>
      <w:t>Statutory Review of the Consumer Data Right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55C3" w14:textId="14CC0AA6" w:rsidR="00B55B04" w:rsidRPr="00F836F9" w:rsidRDefault="00E9431E" w:rsidP="004560B7">
    <w:pPr>
      <w:pStyle w:val="HeaderEven"/>
      <w:jc w:val="right"/>
    </w:pPr>
    <w:r>
      <w:rPr>
        <w:noProof/>
      </w:rPr>
      <w:fldChar w:fldCharType="begin"/>
    </w:r>
    <w:r>
      <w:rPr>
        <w:noProof/>
      </w:rPr>
      <w:instrText xml:space="preserve"> STYLEREF  "Title" \* MERGEFORMAT </w:instrText>
    </w:r>
    <w:r>
      <w:rPr>
        <w:noProof/>
      </w:rPr>
      <w:fldChar w:fldCharType="separate"/>
    </w:r>
    <w:r w:rsidR="00AD7A17">
      <w:rPr>
        <w:noProof/>
      </w:rPr>
      <w:t>Statutory Review of the Consumer Data Right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3F82" w14:textId="77777777" w:rsidR="00B55B04" w:rsidRDefault="00B55B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9577D45"/>
    <w:multiLevelType w:val="hybridMultilevel"/>
    <w:tmpl w:val="796CB4DE"/>
    <w:lvl w:ilvl="0" w:tplc="0C090017">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0B3B1893"/>
    <w:multiLevelType w:val="hybridMultilevel"/>
    <w:tmpl w:val="D8D273EA"/>
    <w:lvl w:ilvl="0" w:tplc="71B804EA">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D2542B"/>
    <w:multiLevelType w:val="hybridMultilevel"/>
    <w:tmpl w:val="1FDE067C"/>
    <w:lvl w:ilvl="0" w:tplc="FFFAA1D6">
      <w:start w:val="1"/>
      <w:numFmt w:val="decimal"/>
      <w:lvlText w:val="%1."/>
      <w:lvlJc w:val="left"/>
      <w:pPr>
        <w:ind w:left="340" w:hanging="34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09352A"/>
    <w:multiLevelType w:val="hybridMultilevel"/>
    <w:tmpl w:val="EFFE8144"/>
    <w:lvl w:ilvl="0" w:tplc="DCC8A3E2">
      <w:start w:val="1"/>
      <w:numFmt w:val="lowerRoman"/>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0F3D0B"/>
    <w:multiLevelType w:val="hybridMultilevel"/>
    <w:tmpl w:val="326CD8A8"/>
    <w:lvl w:ilvl="0" w:tplc="25441954">
      <w:start w:val="1"/>
      <w:numFmt w:val="lowerRoman"/>
      <w:pStyle w:val="alist-level2"/>
      <w:lvlText w:val="%1)"/>
      <w:lvlJc w:val="left"/>
      <w:pPr>
        <w:ind w:left="64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 w15:restartNumberingAfterBreak="0">
    <w:nsid w:val="2672217B"/>
    <w:multiLevelType w:val="hybridMultilevel"/>
    <w:tmpl w:val="69CAC414"/>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826BF0"/>
    <w:multiLevelType w:val="multilevel"/>
    <w:tmpl w:val="EA42809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b w:val="0"/>
        <w:bCs/>
      </w:rPr>
    </w:lvl>
    <w:lvl w:ilvl="2">
      <w:start w:val="1"/>
      <w:numFmt w:val="lowerRoman"/>
      <w:pStyle w:val="numberedlist-level3"/>
      <w:lvlText w:val="%3)"/>
      <w:lvlJc w:val="left"/>
      <w:pPr>
        <w:ind w:left="1080" w:hanging="360"/>
      </w:pPr>
      <w:rPr>
        <w:rFonts w:hint="default"/>
        <w:b w:val="0"/>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C36B93"/>
    <w:multiLevelType w:val="hybridMultilevel"/>
    <w:tmpl w:val="7A1CE53C"/>
    <w:lvl w:ilvl="0" w:tplc="46B85F4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D94ECD"/>
    <w:multiLevelType w:val="multilevel"/>
    <w:tmpl w:val="CB5E8CE2"/>
    <w:lvl w:ilvl="0">
      <w:start w:val="1"/>
      <w:numFmt w:val="lowerRoman"/>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b w:val="0"/>
        <w:bCs/>
      </w:rPr>
    </w:lvl>
    <w:lvl w:ilvl="2">
      <w:start w:val="1"/>
      <w:numFmt w:val="lowerLetter"/>
      <w:lvlText w:val="%3)"/>
      <w:lvlJc w:val="left"/>
      <w:pPr>
        <w:ind w:left="1080" w:hanging="360"/>
      </w:pPr>
      <w:rPr>
        <w:rFonts w:hint="default"/>
        <w:b w:val="0"/>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6D6F4D"/>
    <w:multiLevelType w:val="hybridMultilevel"/>
    <w:tmpl w:val="5EAEC008"/>
    <w:lvl w:ilvl="0" w:tplc="3FA06A7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CE1EB1"/>
    <w:multiLevelType w:val="hybridMultilevel"/>
    <w:tmpl w:val="7318F076"/>
    <w:lvl w:ilvl="0" w:tplc="0C090017">
      <w:start w:val="1"/>
      <w:numFmt w:val="lowerLetter"/>
      <w:pStyle w:val="a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8C2710"/>
    <w:multiLevelType w:val="multilevel"/>
    <w:tmpl w:val="DE3E816A"/>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0E6779"/>
    <w:multiLevelType w:val="multilevel"/>
    <w:tmpl w:val="912CC5E6"/>
    <w:lvl w:ilvl="0">
      <w:start w:val="1"/>
      <w:numFmt w:val="lowerRoman"/>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b w:val="0"/>
        <w:bCs/>
      </w:rPr>
    </w:lvl>
    <w:lvl w:ilvl="2">
      <w:start w:val="1"/>
      <w:numFmt w:val="lowerRoman"/>
      <w:lvlText w:val="%3)"/>
      <w:lvlJc w:val="left"/>
      <w:pPr>
        <w:ind w:left="1080" w:hanging="360"/>
      </w:pPr>
      <w:rPr>
        <w:rFonts w:hint="default"/>
        <w:b w:val="0"/>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79547B"/>
    <w:multiLevelType w:val="hybridMultilevel"/>
    <w:tmpl w:val="595A43AC"/>
    <w:lvl w:ilvl="0" w:tplc="01B6F65C">
      <w:start w:val="1"/>
      <w:numFmt w:val="lowerRoman"/>
      <w:lvlText w:val="%1)"/>
      <w:lvlJc w:val="left"/>
      <w:pPr>
        <w:ind w:left="64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37F910FA"/>
    <w:multiLevelType w:val="hybridMultilevel"/>
    <w:tmpl w:val="F73E9664"/>
    <w:lvl w:ilvl="0" w:tplc="C06EC3A6">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13855"/>
    <w:multiLevelType w:val="hybridMultilevel"/>
    <w:tmpl w:val="99D62B1A"/>
    <w:lvl w:ilvl="0" w:tplc="750E0B7A">
      <w:start w:val="1"/>
      <w:numFmt w:val="lowerLetter"/>
      <w:pStyle w:val="Listparagraph-level1"/>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3E952372"/>
    <w:multiLevelType w:val="hybridMultilevel"/>
    <w:tmpl w:val="F9E8CC02"/>
    <w:lvl w:ilvl="0" w:tplc="01B6F65C">
      <w:start w:val="1"/>
      <w:numFmt w:val="lowerRoman"/>
      <w:lvlText w:val="%1)"/>
      <w:lvlJc w:val="left"/>
      <w:pPr>
        <w:ind w:left="64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2" w15:restartNumberingAfterBreak="0">
    <w:nsid w:val="3FF847D6"/>
    <w:multiLevelType w:val="hybridMultilevel"/>
    <w:tmpl w:val="37A050FE"/>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00764F"/>
    <w:multiLevelType w:val="hybridMultilevel"/>
    <w:tmpl w:val="1F94D6BA"/>
    <w:lvl w:ilvl="0" w:tplc="25BCF264">
      <w:start w:val="1"/>
      <w:numFmt w:val="lowerRoman"/>
      <w:pStyle w:val="Alphaparalevel2"/>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4" w15:restartNumberingAfterBreak="0">
    <w:nsid w:val="510D2021"/>
    <w:multiLevelType w:val="multilevel"/>
    <w:tmpl w:val="72F8140E"/>
    <w:numStyleLink w:val="OutlineList"/>
  </w:abstractNum>
  <w:abstractNum w:abstractNumId="25" w15:restartNumberingAfterBreak="0">
    <w:nsid w:val="5A8910B9"/>
    <w:multiLevelType w:val="hybridMultilevel"/>
    <w:tmpl w:val="759C6170"/>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BD304B3"/>
    <w:multiLevelType w:val="hybridMultilevel"/>
    <w:tmpl w:val="A5CAB9CC"/>
    <w:lvl w:ilvl="0" w:tplc="FE62AA82">
      <w:start w:val="1"/>
      <w:numFmt w:val="lowerLetter"/>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5D361A74"/>
    <w:multiLevelType w:val="multilevel"/>
    <w:tmpl w:val="8EEECF04"/>
    <w:name w:val="StandardNumberedList"/>
    <w:lvl w:ilvl="0">
      <w:start w:val="1"/>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8" w15:restartNumberingAfterBreak="0">
    <w:nsid w:val="69076D63"/>
    <w:multiLevelType w:val="hybridMultilevel"/>
    <w:tmpl w:val="A26EF2C6"/>
    <w:lvl w:ilvl="0" w:tplc="9F169684">
      <w:start w:val="1"/>
      <w:numFmt w:val="lowerRoman"/>
      <w:lvlText w:val="%1)"/>
      <w:lvlJc w:val="left"/>
      <w:pPr>
        <w:ind w:left="64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9" w15:restartNumberingAfterBreak="0">
    <w:nsid w:val="72FF67BE"/>
    <w:multiLevelType w:val="hybridMultilevel"/>
    <w:tmpl w:val="55344236"/>
    <w:lvl w:ilvl="0" w:tplc="FB708758">
      <w:start w:val="1"/>
      <w:numFmt w:val="lowerRoman"/>
      <w:pStyle w:val="Listparagraph-level2"/>
      <w:lvlText w:val="%1)"/>
      <w:lvlJc w:val="left"/>
      <w:pPr>
        <w:ind w:left="64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0" w15:restartNumberingAfterBreak="0">
    <w:nsid w:val="73542A46"/>
    <w:multiLevelType w:val="hybridMultilevel"/>
    <w:tmpl w:val="63287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3EB49D7"/>
    <w:multiLevelType w:val="hybridMultilevel"/>
    <w:tmpl w:val="EC12F5B6"/>
    <w:lvl w:ilvl="0" w:tplc="0C090017">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2" w15:restartNumberingAfterBreak="0">
    <w:nsid w:val="7D6B5224"/>
    <w:multiLevelType w:val="multilevel"/>
    <w:tmpl w:val="CA8E2AC8"/>
    <w:name w:val="StandardBulletedList"/>
    <w:lvl w:ilvl="0">
      <w:start w:val="1"/>
      <w:numFmt w:val="bullet"/>
      <w:pStyle w:val="Bullet"/>
      <w:lvlText w:val="•"/>
      <w:lvlJc w:val="left"/>
      <w:pPr>
        <w:tabs>
          <w:tab w:val="num" w:pos="520"/>
        </w:tabs>
        <w:ind w:left="520" w:hanging="520"/>
      </w:pPr>
      <w:rPr>
        <w:rFonts w:ascii="Times New Roman" w:hAnsi="Times New Roman" w:cs="Times New Roman"/>
        <w:color w:val="auto"/>
        <w:sz w:val="24"/>
        <w:szCs w:val="22"/>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DBA2154"/>
    <w:multiLevelType w:val="multilevel"/>
    <w:tmpl w:val="830276E2"/>
    <w:lvl w:ilvl="0">
      <w:start w:val="1"/>
      <w:numFmt w:val="lowerRoman"/>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b w:val="0"/>
        <w:bCs/>
      </w:rPr>
    </w:lvl>
    <w:lvl w:ilvl="2">
      <w:start w:val="1"/>
      <w:numFmt w:val="lowerRoman"/>
      <w:lvlText w:val="%3)"/>
      <w:lvlJc w:val="left"/>
      <w:pPr>
        <w:ind w:left="1080" w:hanging="360"/>
      </w:pPr>
      <w:rPr>
        <w:rFonts w:hint="default"/>
        <w:b w:val="0"/>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F675F59"/>
    <w:multiLevelType w:val="hybridMultilevel"/>
    <w:tmpl w:val="6DBEA8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6"/>
  </w:num>
  <w:num w:numId="4">
    <w:abstractNumId w:val="4"/>
  </w:num>
  <w:num w:numId="5">
    <w:abstractNumId w:val="24"/>
  </w:num>
  <w:num w:numId="6">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6"/>
  </w:num>
  <w:num w:numId="8">
    <w:abstractNumId w:val="9"/>
  </w:num>
  <w:num w:numId="9">
    <w:abstractNumId w:val="15"/>
  </w:num>
  <w:num w:numId="10">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3"/>
  </w:num>
  <w:num w:numId="22">
    <w:abstractNumId w:val="23"/>
  </w:num>
  <w:num w:numId="23">
    <w:abstractNumId w:val="5"/>
  </w:num>
  <w:num w:numId="24">
    <w:abstractNumId w:val="12"/>
  </w:num>
  <w:num w:numId="25">
    <w:abstractNumId w:val="7"/>
  </w:num>
  <w:num w:numId="26">
    <w:abstractNumId w:val="18"/>
  </w:num>
  <w:num w:numId="27">
    <w:abstractNumId w:val="8"/>
  </w:num>
  <w:num w:numId="28">
    <w:abstractNumId w:val="25"/>
  </w:num>
  <w:num w:numId="29">
    <w:abstractNumId w:val="1"/>
  </w:num>
  <w:num w:numId="30">
    <w:abstractNumId w:val="1"/>
    <w:lvlOverride w:ilvl="0">
      <w:startOverride w:val="1"/>
    </w:lvlOverride>
  </w:num>
  <w:num w:numId="31">
    <w:abstractNumId w:val="28"/>
  </w:num>
  <w:num w:numId="32">
    <w:abstractNumId w:val="29"/>
  </w:num>
  <w:num w:numId="33">
    <w:abstractNumId w:val="21"/>
  </w:num>
  <w:num w:numId="34">
    <w:abstractNumId w:val="10"/>
  </w:num>
  <w:num w:numId="35">
    <w:abstractNumId w:val="22"/>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num>
  <w:num w:numId="40">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26"/>
    <w:lvlOverride w:ilvl="0">
      <w:startOverride w:val="1"/>
    </w:lvlOverride>
  </w:num>
  <w:num w:numId="44">
    <w:abstractNumId w:val="26"/>
    <w:lvlOverride w:ilvl="0">
      <w:startOverride w:val="2"/>
    </w:lvlOverride>
  </w:num>
  <w:num w:numId="45">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7"/>
  </w:num>
  <w:num w:numId="48">
    <w:abstractNumId w:val="33"/>
  </w:num>
  <w:num w:numId="49">
    <w:abstractNumId w:val="31"/>
  </w:num>
  <w:num w:numId="50">
    <w:abstractNumId w:val="19"/>
  </w:num>
  <w:num w:numId="51">
    <w:abstractNumId w:val="13"/>
  </w:num>
  <w:num w:numId="52">
    <w:abstractNumId w:val="7"/>
    <w:lvlOverride w:ilvl="0">
      <w:startOverride w:val="1"/>
    </w:lvlOverride>
  </w:num>
  <w:num w:numId="53">
    <w:abstractNumId w:val="20"/>
  </w:num>
  <w:num w:numId="54">
    <w:abstractNumId w:val="20"/>
    <w:lvlOverride w:ilvl="0">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num>
  <w:num w:numId="61">
    <w:abstractNumId w:val="20"/>
    <w:lvlOverride w:ilvl="0">
      <w:startOverride w:val="1"/>
    </w:lvlOverride>
  </w:num>
  <w:num w:numId="62">
    <w:abstractNumId w:val="20"/>
    <w:lvlOverride w:ilvl="0">
      <w:startOverride w:val="1"/>
    </w:lvlOverride>
  </w:num>
  <w:num w:numId="63">
    <w:abstractNumId w:val="29"/>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DF"/>
    <w:rsid w:val="00000979"/>
    <w:rsid w:val="00000A89"/>
    <w:rsid w:val="00000BC9"/>
    <w:rsid w:val="00000BD3"/>
    <w:rsid w:val="000010DD"/>
    <w:rsid w:val="000012B2"/>
    <w:rsid w:val="00001318"/>
    <w:rsid w:val="000014DF"/>
    <w:rsid w:val="00001945"/>
    <w:rsid w:val="00002B33"/>
    <w:rsid w:val="00002C85"/>
    <w:rsid w:val="00002D39"/>
    <w:rsid w:val="00003476"/>
    <w:rsid w:val="0000360B"/>
    <w:rsid w:val="00003A2D"/>
    <w:rsid w:val="00003ACE"/>
    <w:rsid w:val="00003C92"/>
    <w:rsid w:val="000040E7"/>
    <w:rsid w:val="00004152"/>
    <w:rsid w:val="00005656"/>
    <w:rsid w:val="00005C86"/>
    <w:rsid w:val="000065E0"/>
    <w:rsid w:val="0000681B"/>
    <w:rsid w:val="00006826"/>
    <w:rsid w:val="00006F15"/>
    <w:rsid w:val="000077E3"/>
    <w:rsid w:val="000100E3"/>
    <w:rsid w:val="000102CF"/>
    <w:rsid w:val="00010795"/>
    <w:rsid w:val="00011330"/>
    <w:rsid w:val="00011725"/>
    <w:rsid w:val="00011730"/>
    <w:rsid w:val="00011A07"/>
    <w:rsid w:val="00011A76"/>
    <w:rsid w:val="00012307"/>
    <w:rsid w:val="000128E6"/>
    <w:rsid w:val="00012C62"/>
    <w:rsid w:val="000132DA"/>
    <w:rsid w:val="0001396A"/>
    <w:rsid w:val="00013EE8"/>
    <w:rsid w:val="0001438B"/>
    <w:rsid w:val="0001480E"/>
    <w:rsid w:val="000148DA"/>
    <w:rsid w:val="00014963"/>
    <w:rsid w:val="00014ACF"/>
    <w:rsid w:val="00015385"/>
    <w:rsid w:val="00015794"/>
    <w:rsid w:val="0001584A"/>
    <w:rsid w:val="00015EF9"/>
    <w:rsid w:val="00016146"/>
    <w:rsid w:val="00016211"/>
    <w:rsid w:val="00016460"/>
    <w:rsid w:val="00016746"/>
    <w:rsid w:val="0001679C"/>
    <w:rsid w:val="00017CA5"/>
    <w:rsid w:val="0002015C"/>
    <w:rsid w:val="00020732"/>
    <w:rsid w:val="00020C36"/>
    <w:rsid w:val="00021420"/>
    <w:rsid w:val="000216E4"/>
    <w:rsid w:val="0002173D"/>
    <w:rsid w:val="00021D7C"/>
    <w:rsid w:val="00021E38"/>
    <w:rsid w:val="00022897"/>
    <w:rsid w:val="0002299B"/>
    <w:rsid w:val="00022EC6"/>
    <w:rsid w:val="0002332D"/>
    <w:rsid w:val="00023A49"/>
    <w:rsid w:val="00023CFE"/>
    <w:rsid w:val="000241D4"/>
    <w:rsid w:val="0002544D"/>
    <w:rsid w:val="00025A83"/>
    <w:rsid w:val="00026016"/>
    <w:rsid w:val="00026017"/>
    <w:rsid w:val="0002606D"/>
    <w:rsid w:val="0002626E"/>
    <w:rsid w:val="0002628E"/>
    <w:rsid w:val="0002665F"/>
    <w:rsid w:val="00026969"/>
    <w:rsid w:val="00026CCA"/>
    <w:rsid w:val="0002713B"/>
    <w:rsid w:val="00027A4F"/>
    <w:rsid w:val="00027F74"/>
    <w:rsid w:val="000302E6"/>
    <w:rsid w:val="000311DE"/>
    <w:rsid w:val="000316F2"/>
    <w:rsid w:val="00031B6F"/>
    <w:rsid w:val="000325D4"/>
    <w:rsid w:val="00032908"/>
    <w:rsid w:val="00032F19"/>
    <w:rsid w:val="000333EB"/>
    <w:rsid w:val="00034370"/>
    <w:rsid w:val="00034470"/>
    <w:rsid w:val="00034F63"/>
    <w:rsid w:val="00034F70"/>
    <w:rsid w:val="00035310"/>
    <w:rsid w:val="00035845"/>
    <w:rsid w:val="000358EF"/>
    <w:rsid w:val="00035A38"/>
    <w:rsid w:val="00035C9B"/>
    <w:rsid w:val="00035F3C"/>
    <w:rsid w:val="0003689F"/>
    <w:rsid w:val="00036AB8"/>
    <w:rsid w:val="00036B8C"/>
    <w:rsid w:val="00036E54"/>
    <w:rsid w:val="000375A2"/>
    <w:rsid w:val="00037E60"/>
    <w:rsid w:val="0004050D"/>
    <w:rsid w:val="00040D68"/>
    <w:rsid w:val="00042085"/>
    <w:rsid w:val="0004273F"/>
    <w:rsid w:val="0004274D"/>
    <w:rsid w:val="0004286A"/>
    <w:rsid w:val="00042AC2"/>
    <w:rsid w:val="00042C31"/>
    <w:rsid w:val="0004317F"/>
    <w:rsid w:val="00043348"/>
    <w:rsid w:val="00043D58"/>
    <w:rsid w:val="000447CD"/>
    <w:rsid w:val="0004483F"/>
    <w:rsid w:val="00044C49"/>
    <w:rsid w:val="00044F2F"/>
    <w:rsid w:val="00045053"/>
    <w:rsid w:val="0004556E"/>
    <w:rsid w:val="00045666"/>
    <w:rsid w:val="00045806"/>
    <w:rsid w:val="00045F17"/>
    <w:rsid w:val="0004617E"/>
    <w:rsid w:val="000466A3"/>
    <w:rsid w:val="00046CB4"/>
    <w:rsid w:val="000476B8"/>
    <w:rsid w:val="00050AC1"/>
    <w:rsid w:val="00050B4E"/>
    <w:rsid w:val="00050B51"/>
    <w:rsid w:val="0005138B"/>
    <w:rsid w:val="00051605"/>
    <w:rsid w:val="00051F4A"/>
    <w:rsid w:val="00051FB2"/>
    <w:rsid w:val="0005201F"/>
    <w:rsid w:val="000521DE"/>
    <w:rsid w:val="000522B7"/>
    <w:rsid w:val="0005365B"/>
    <w:rsid w:val="00053717"/>
    <w:rsid w:val="00053758"/>
    <w:rsid w:val="00053FD0"/>
    <w:rsid w:val="000540D3"/>
    <w:rsid w:val="000553E9"/>
    <w:rsid w:val="00056602"/>
    <w:rsid w:val="0005680B"/>
    <w:rsid w:val="0005687A"/>
    <w:rsid w:val="00056880"/>
    <w:rsid w:val="0005758F"/>
    <w:rsid w:val="000578EA"/>
    <w:rsid w:val="000578F8"/>
    <w:rsid w:val="00057938"/>
    <w:rsid w:val="00057AF9"/>
    <w:rsid w:val="000600BF"/>
    <w:rsid w:val="0006016E"/>
    <w:rsid w:val="000605E9"/>
    <w:rsid w:val="00060757"/>
    <w:rsid w:val="0006094B"/>
    <w:rsid w:val="00060D58"/>
    <w:rsid w:val="00060EEE"/>
    <w:rsid w:val="000612E8"/>
    <w:rsid w:val="000613B8"/>
    <w:rsid w:val="000618D5"/>
    <w:rsid w:val="000626BE"/>
    <w:rsid w:val="00062E84"/>
    <w:rsid w:val="00063198"/>
    <w:rsid w:val="0006374B"/>
    <w:rsid w:val="00063B53"/>
    <w:rsid w:val="000649BB"/>
    <w:rsid w:val="00064C0B"/>
    <w:rsid w:val="00064C59"/>
    <w:rsid w:val="00065B2C"/>
    <w:rsid w:val="00065F32"/>
    <w:rsid w:val="0006615F"/>
    <w:rsid w:val="00066B49"/>
    <w:rsid w:val="00066C97"/>
    <w:rsid w:val="00066D23"/>
    <w:rsid w:val="00067079"/>
    <w:rsid w:val="000675D1"/>
    <w:rsid w:val="000675FE"/>
    <w:rsid w:val="0006763B"/>
    <w:rsid w:val="00067643"/>
    <w:rsid w:val="000679EF"/>
    <w:rsid w:val="000704FC"/>
    <w:rsid w:val="000705AD"/>
    <w:rsid w:val="000707F8"/>
    <w:rsid w:val="00070905"/>
    <w:rsid w:val="00070A2D"/>
    <w:rsid w:val="0007110D"/>
    <w:rsid w:val="0007120C"/>
    <w:rsid w:val="00072156"/>
    <w:rsid w:val="00072576"/>
    <w:rsid w:val="000727BC"/>
    <w:rsid w:val="00072AF3"/>
    <w:rsid w:val="00072FAB"/>
    <w:rsid w:val="0007301C"/>
    <w:rsid w:val="0007318C"/>
    <w:rsid w:val="000732F3"/>
    <w:rsid w:val="00073521"/>
    <w:rsid w:val="000740A2"/>
    <w:rsid w:val="000741B9"/>
    <w:rsid w:val="000749B3"/>
    <w:rsid w:val="00075346"/>
    <w:rsid w:val="0007561C"/>
    <w:rsid w:val="00075A60"/>
    <w:rsid w:val="00076706"/>
    <w:rsid w:val="00076FFF"/>
    <w:rsid w:val="000775DE"/>
    <w:rsid w:val="00080260"/>
    <w:rsid w:val="00080C02"/>
    <w:rsid w:val="00080CE8"/>
    <w:rsid w:val="00081243"/>
    <w:rsid w:val="000818BE"/>
    <w:rsid w:val="00081A42"/>
    <w:rsid w:val="00081BC5"/>
    <w:rsid w:val="00082288"/>
    <w:rsid w:val="000823F9"/>
    <w:rsid w:val="0008252D"/>
    <w:rsid w:val="00083A25"/>
    <w:rsid w:val="000841D5"/>
    <w:rsid w:val="000851AD"/>
    <w:rsid w:val="000852D8"/>
    <w:rsid w:val="000854E9"/>
    <w:rsid w:val="00086B36"/>
    <w:rsid w:val="00086D26"/>
    <w:rsid w:val="00087622"/>
    <w:rsid w:val="0008776A"/>
    <w:rsid w:val="00087FAF"/>
    <w:rsid w:val="000901B3"/>
    <w:rsid w:val="000902FF"/>
    <w:rsid w:val="00090658"/>
    <w:rsid w:val="000909B5"/>
    <w:rsid w:val="00090AD0"/>
    <w:rsid w:val="00090D53"/>
    <w:rsid w:val="000910E9"/>
    <w:rsid w:val="00091A61"/>
    <w:rsid w:val="00091AF2"/>
    <w:rsid w:val="00092526"/>
    <w:rsid w:val="00092AA2"/>
    <w:rsid w:val="00093304"/>
    <w:rsid w:val="00093545"/>
    <w:rsid w:val="0009376F"/>
    <w:rsid w:val="00093B4B"/>
    <w:rsid w:val="00093DDE"/>
    <w:rsid w:val="0009402C"/>
    <w:rsid w:val="00094391"/>
    <w:rsid w:val="00094E16"/>
    <w:rsid w:val="00094EC0"/>
    <w:rsid w:val="0009517F"/>
    <w:rsid w:val="000951F5"/>
    <w:rsid w:val="0009520F"/>
    <w:rsid w:val="000955BA"/>
    <w:rsid w:val="00095DF8"/>
    <w:rsid w:val="0009611A"/>
    <w:rsid w:val="00096E4A"/>
    <w:rsid w:val="0009720C"/>
    <w:rsid w:val="000A0A06"/>
    <w:rsid w:val="000A0B9D"/>
    <w:rsid w:val="000A0E9B"/>
    <w:rsid w:val="000A103E"/>
    <w:rsid w:val="000A1048"/>
    <w:rsid w:val="000A2FEF"/>
    <w:rsid w:val="000A38A1"/>
    <w:rsid w:val="000A3B8A"/>
    <w:rsid w:val="000A3BEF"/>
    <w:rsid w:val="000A3E8B"/>
    <w:rsid w:val="000A4089"/>
    <w:rsid w:val="000A4737"/>
    <w:rsid w:val="000A4BB0"/>
    <w:rsid w:val="000A4CF5"/>
    <w:rsid w:val="000A5990"/>
    <w:rsid w:val="000A6765"/>
    <w:rsid w:val="000A6B00"/>
    <w:rsid w:val="000A6CA3"/>
    <w:rsid w:val="000A6ED3"/>
    <w:rsid w:val="000A76B8"/>
    <w:rsid w:val="000A7753"/>
    <w:rsid w:val="000A7AC7"/>
    <w:rsid w:val="000B02B2"/>
    <w:rsid w:val="000B03CF"/>
    <w:rsid w:val="000B05DE"/>
    <w:rsid w:val="000B093F"/>
    <w:rsid w:val="000B0EED"/>
    <w:rsid w:val="000B1E52"/>
    <w:rsid w:val="000B2115"/>
    <w:rsid w:val="000B21F8"/>
    <w:rsid w:val="000B2D15"/>
    <w:rsid w:val="000B2ECF"/>
    <w:rsid w:val="000B302A"/>
    <w:rsid w:val="000B3178"/>
    <w:rsid w:val="000B3C2E"/>
    <w:rsid w:val="000B3CF0"/>
    <w:rsid w:val="000B3FE7"/>
    <w:rsid w:val="000B422A"/>
    <w:rsid w:val="000B4292"/>
    <w:rsid w:val="000B489D"/>
    <w:rsid w:val="000B4922"/>
    <w:rsid w:val="000B4ACA"/>
    <w:rsid w:val="000B4CF0"/>
    <w:rsid w:val="000B52BB"/>
    <w:rsid w:val="000B531A"/>
    <w:rsid w:val="000B54CD"/>
    <w:rsid w:val="000B6076"/>
    <w:rsid w:val="000B61AD"/>
    <w:rsid w:val="000B697C"/>
    <w:rsid w:val="000B6B92"/>
    <w:rsid w:val="000B6FA1"/>
    <w:rsid w:val="000B75CB"/>
    <w:rsid w:val="000B7A7E"/>
    <w:rsid w:val="000C11EE"/>
    <w:rsid w:val="000C1F09"/>
    <w:rsid w:val="000C25F6"/>
    <w:rsid w:val="000C2614"/>
    <w:rsid w:val="000C2896"/>
    <w:rsid w:val="000C28CA"/>
    <w:rsid w:val="000C2C88"/>
    <w:rsid w:val="000C30BE"/>
    <w:rsid w:val="000C3290"/>
    <w:rsid w:val="000C32F8"/>
    <w:rsid w:val="000C33D5"/>
    <w:rsid w:val="000C4124"/>
    <w:rsid w:val="000C468F"/>
    <w:rsid w:val="000C4D60"/>
    <w:rsid w:val="000C571D"/>
    <w:rsid w:val="000C5F40"/>
    <w:rsid w:val="000C6020"/>
    <w:rsid w:val="000C694A"/>
    <w:rsid w:val="000C694C"/>
    <w:rsid w:val="000C6952"/>
    <w:rsid w:val="000C6A65"/>
    <w:rsid w:val="000C6B29"/>
    <w:rsid w:val="000C6D52"/>
    <w:rsid w:val="000C7853"/>
    <w:rsid w:val="000D011A"/>
    <w:rsid w:val="000D0377"/>
    <w:rsid w:val="000D0469"/>
    <w:rsid w:val="000D06E4"/>
    <w:rsid w:val="000D0E72"/>
    <w:rsid w:val="000D0F80"/>
    <w:rsid w:val="000D14C7"/>
    <w:rsid w:val="000D15CA"/>
    <w:rsid w:val="000D1945"/>
    <w:rsid w:val="000D1A05"/>
    <w:rsid w:val="000D1B1D"/>
    <w:rsid w:val="000D2873"/>
    <w:rsid w:val="000D30E5"/>
    <w:rsid w:val="000D31C5"/>
    <w:rsid w:val="000D3298"/>
    <w:rsid w:val="000D343B"/>
    <w:rsid w:val="000D383B"/>
    <w:rsid w:val="000D443A"/>
    <w:rsid w:val="000D460D"/>
    <w:rsid w:val="000D4A19"/>
    <w:rsid w:val="000D4A20"/>
    <w:rsid w:val="000D508E"/>
    <w:rsid w:val="000D51E2"/>
    <w:rsid w:val="000D54D7"/>
    <w:rsid w:val="000D5D0D"/>
    <w:rsid w:val="000D6CD1"/>
    <w:rsid w:val="000D71DE"/>
    <w:rsid w:val="000D77EF"/>
    <w:rsid w:val="000D7A6F"/>
    <w:rsid w:val="000E003D"/>
    <w:rsid w:val="000E0663"/>
    <w:rsid w:val="000E0741"/>
    <w:rsid w:val="000E099B"/>
    <w:rsid w:val="000E0A3C"/>
    <w:rsid w:val="000E0B74"/>
    <w:rsid w:val="000E1D4C"/>
    <w:rsid w:val="000E2067"/>
    <w:rsid w:val="000E2B29"/>
    <w:rsid w:val="000E36C6"/>
    <w:rsid w:val="000E3FA0"/>
    <w:rsid w:val="000E4030"/>
    <w:rsid w:val="000E5733"/>
    <w:rsid w:val="000E5A8A"/>
    <w:rsid w:val="000E5C0F"/>
    <w:rsid w:val="000E5C15"/>
    <w:rsid w:val="000E64AD"/>
    <w:rsid w:val="000E7871"/>
    <w:rsid w:val="000E7901"/>
    <w:rsid w:val="000E7A38"/>
    <w:rsid w:val="000F1848"/>
    <w:rsid w:val="000F1972"/>
    <w:rsid w:val="000F1DE1"/>
    <w:rsid w:val="000F1F51"/>
    <w:rsid w:val="000F350A"/>
    <w:rsid w:val="000F3AC1"/>
    <w:rsid w:val="000F3C3A"/>
    <w:rsid w:val="000F3E19"/>
    <w:rsid w:val="000F4757"/>
    <w:rsid w:val="000F4D0D"/>
    <w:rsid w:val="000F5720"/>
    <w:rsid w:val="000F59A3"/>
    <w:rsid w:val="000F6233"/>
    <w:rsid w:val="000F6827"/>
    <w:rsid w:val="000F6AE2"/>
    <w:rsid w:val="000F75FE"/>
    <w:rsid w:val="000F7FB7"/>
    <w:rsid w:val="00100200"/>
    <w:rsid w:val="00100D7F"/>
    <w:rsid w:val="00100EEC"/>
    <w:rsid w:val="001017FC"/>
    <w:rsid w:val="00101AD6"/>
    <w:rsid w:val="00101FDA"/>
    <w:rsid w:val="00102D2C"/>
    <w:rsid w:val="0010342E"/>
    <w:rsid w:val="001038E0"/>
    <w:rsid w:val="00103A36"/>
    <w:rsid w:val="00103A7D"/>
    <w:rsid w:val="00105820"/>
    <w:rsid w:val="00105C88"/>
    <w:rsid w:val="00106859"/>
    <w:rsid w:val="00107108"/>
    <w:rsid w:val="001073F6"/>
    <w:rsid w:val="001108DD"/>
    <w:rsid w:val="00110974"/>
    <w:rsid w:val="00110D2C"/>
    <w:rsid w:val="00110D3A"/>
    <w:rsid w:val="0011108A"/>
    <w:rsid w:val="001112CE"/>
    <w:rsid w:val="00111303"/>
    <w:rsid w:val="00111418"/>
    <w:rsid w:val="0011199A"/>
    <w:rsid w:val="00111BDD"/>
    <w:rsid w:val="0011269E"/>
    <w:rsid w:val="00112A0B"/>
    <w:rsid w:val="00112FF3"/>
    <w:rsid w:val="0011358E"/>
    <w:rsid w:val="00113B18"/>
    <w:rsid w:val="00113CCA"/>
    <w:rsid w:val="00114219"/>
    <w:rsid w:val="00114804"/>
    <w:rsid w:val="00114A06"/>
    <w:rsid w:val="00114B37"/>
    <w:rsid w:val="00115B41"/>
    <w:rsid w:val="00116022"/>
    <w:rsid w:val="00116707"/>
    <w:rsid w:val="00116D98"/>
    <w:rsid w:val="00117148"/>
    <w:rsid w:val="0011719E"/>
    <w:rsid w:val="0011779C"/>
    <w:rsid w:val="00117ADB"/>
    <w:rsid w:val="001208BA"/>
    <w:rsid w:val="00120E86"/>
    <w:rsid w:val="00120EDE"/>
    <w:rsid w:val="001213DC"/>
    <w:rsid w:val="001216AD"/>
    <w:rsid w:val="0012199A"/>
    <w:rsid w:val="00121E8C"/>
    <w:rsid w:val="00122B88"/>
    <w:rsid w:val="00122C42"/>
    <w:rsid w:val="00122DE0"/>
    <w:rsid w:val="00122FAF"/>
    <w:rsid w:val="00122FBF"/>
    <w:rsid w:val="001244FA"/>
    <w:rsid w:val="00124FC6"/>
    <w:rsid w:val="0012583F"/>
    <w:rsid w:val="001265E7"/>
    <w:rsid w:val="001273AA"/>
    <w:rsid w:val="00127DB9"/>
    <w:rsid w:val="00130634"/>
    <w:rsid w:val="0013179C"/>
    <w:rsid w:val="00131CAA"/>
    <w:rsid w:val="00131DC3"/>
    <w:rsid w:val="00132766"/>
    <w:rsid w:val="0013281E"/>
    <w:rsid w:val="00132976"/>
    <w:rsid w:val="00132C3D"/>
    <w:rsid w:val="001332EA"/>
    <w:rsid w:val="00133541"/>
    <w:rsid w:val="00135222"/>
    <w:rsid w:val="00135366"/>
    <w:rsid w:val="0013539E"/>
    <w:rsid w:val="001358C5"/>
    <w:rsid w:val="00135965"/>
    <w:rsid w:val="00135E4C"/>
    <w:rsid w:val="00135E6F"/>
    <w:rsid w:val="00136195"/>
    <w:rsid w:val="00136D18"/>
    <w:rsid w:val="00137302"/>
    <w:rsid w:val="001373F5"/>
    <w:rsid w:val="00137A2F"/>
    <w:rsid w:val="001401D4"/>
    <w:rsid w:val="0014028F"/>
    <w:rsid w:val="001405C8"/>
    <w:rsid w:val="00140C44"/>
    <w:rsid w:val="00143D63"/>
    <w:rsid w:val="00143F03"/>
    <w:rsid w:val="0014424F"/>
    <w:rsid w:val="001445A1"/>
    <w:rsid w:val="00144605"/>
    <w:rsid w:val="00144657"/>
    <w:rsid w:val="00144B77"/>
    <w:rsid w:val="00144D5C"/>
    <w:rsid w:val="00144FEE"/>
    <w:rsid w:val="001450E0"/>
    <w:rsid w:val="00145A0F"/>
    <w:rsid w:val="00145D3A"/>
    <w:rsid w:val="00146354"/>
    <w:rsid w:val="00146AE2"/>
    <w:rsid w:val="00147AE1"/>
    <w:rsid w:val="00150555"/>
    <w:rsid w:val="001518EF"/>
    <w:rsid w:val="001525F4"/>
    <w:rsid w:val="001525FE"/>
    <w:rsid w:val="0015296F"/>
    <w:rsid w:val="00152BA8"/>
    <w:rsid w:val="0015312F"/>
    <w:rsid w:val="00153549"/>
    <w:rsid w:val="00153F67"/>
    <w:rsid w:val="00153FF9"/>
    <w:rsid w:val="00154A77"/>
    <w:rsid w:val="00154EAD"/>
    <w:rsid w:val="0015516A"/>
    <w:rsid w:val="00155B0E"/>
    <w:rsid w:val="00155FD6"/>
    <w:rsid w:val="001561C3"/>
    <w:rsid w:val="00156287"/>
    <w:rsid w:val="001562FA"/>
    <w:rsid w:val="001568E4"/>
    <w:rsid w:val="00156D1B"/>
    <w:rsid w:val="00156DA0"/>
    <w:rsid w:val="001574C0"/>
    <w:rsid w:val="00157A60"/>
    <w:rsid w:val="00157C0C"/>
    <w:rsid w:val="00157FB3"/>
    <w:rsid w:val="0016006C"/>
    <w:rsid w:val="001600B0"/>
    <w:rsid w:val="001602A2"/>
    <w:rsid w:val="00160321"/>
    <w:rsid w:val="001603DA"/>
    <w:rsid w:val="001605B5"/>
    <w:rsid w:val="001606CF"/>
    <w:rsid w:val="00160D2A"/>
    <w:rsid w:val="00161289"/>
    <w:rsid w:val="0016128D"/>
    <w:rsid w:val="001618DA"/>
    <w:rsid w:val="00161C5D"/>
    <w:rsid w:val="00161CEA"/>
    <w:rsid w:val="0016204B"/>
    <w:rsid w:val="001620D4"/>
    <w:rsid w:val="00162178"/>
    <w:rsid w:val="0016287D"/>
    <w:rsid w:val="00163813"/>
    <w:rsid w:val="00163F4C"/>
    <w:rsid w:val="00164130"/>
    <w:rsid w:val="0016431F"/>
    <w:rsid w:val="00164584"/>
    <w:rsid w:val="00164599"/>
    <w:rsid w:val="00164D1E"/>
    <w:rsid w:val="00164DF3"/>
    <w:rsid w:val="001659F3"/>
    <w:rsid w:val="00165BDE"/>
    <w:rsid w:val="00165C00"/>
    <w:rsid w:val="00165C7C"/>
    <w:rsid w:val="00165D1A"/>
    <w:rsid w:val="00165E15"/>
    <w:rsid w:val="0016633C"/>
    <w:rsid w:val="00166372"/>
    <w:rsid w:val="0016637F"/>
    <w:rsid w:val="0016662F"/>
    <w:rsid w:val="00166D8A"/>
    <w:rsid w:val="001673FC"/>
    <w:rsid w:val="00167D86"/>
    <w:rsid w:val="00167F89"/>
    <w:rsid w:val="00170413"/>
    <w:rsid w:val="0017049E"/>
    <w:rsid w:val="0017089D"/>
    <w:rsid w:val="00170A7C"/>
    <w:rsid w:val="0017248E"/>
    <w:rsid w:val="001729F3"/>
    <w:rsid w:val="00172D50"/>
    <w:rsid w:val="0017322C"/>
    <w:rsid w:val="00174C55"/>
    <w:rsid w:val="00174EC0"/>
    <w:rsid w:val="00175BC2"/>
    <w:rsid w:val="0017602E"/>
    <w:rsid w:val="00176245"/>
    <w:rsid w:val="00176896"/>
    <w:rsid w:val="00176B03"/>
    <w:rsid w:val="00176CA1"/>
    <w:rsid w:val="00177254"/>
    <w:rsid w:val="001774A5"/>
    <w:rsid w:val="00177C45"/>
    <w:rsid w:val="00177FA9"/>
    <w:rsid w:val="001805A8"/>
    <w:rsid w:val="00181675"/>
    <w:rsid w:val="00181808"/>
    <w:rsid w:val="00181867"/>
    <w:rsid w:val="00181BAB"/>
    <w:rsid w:val="00181BED"/>
    <w:rsid w:val="00182314"/>
    <w:rsid w:val="001823A7"/>
    <w:rsid w:val="00182752"/>
    <w:rsid w:val="00182A35"/>
    <w:rsid w:val="00182BAE"/>
    <w:rsid w:val="001836FD"/>
    <w:rsid w:val="001837BB"/>
    <w:rsid w:val="00184702"/>
    <w:rsid w:val="00184D7D"/>
    <w:rsid w:val="00184D97"/>
    <w:rsid w:val="00186EA7"/>
    <w:rsid w:val="00187341"/>
    <w:rsid w:val="00187725"/>
    <w:rsid w:val="00190245"/>
    <w:rsid w:val="0019101A"/>
    <w:rsid w:val="0019186E"/>
    <w:rsid w:val="0019190B"/>
    <w:rsid w:val="00191966"/>
    <w:rsid w:val="00191EF7"/>
    <w:rsid w:val="00192A95"/>
    <w:rsid w:val="0019341B"/>
    <w:rsid w:val="0019382C"/>
    <w:rsid w:val="00193B2E"/>
    <w:rsid w:val="00193E5F"/>
    <w:rsid w:val="00194034"/>
    <w:rsid w:val="0019413C"/>
    <w:rsid w:val="001941A6"/>
    <w:rsid w:val="001942D5"/>
    <w:rsid w:val="001955EE"/>
    <w:rsid w:val="00195A23"/>
    <w:rsid w:val="00195C8E"/>
    <w:rsid w:val="00196333"/>
    <w:rsid w:val="0019655D"/>
    <w:rsid w:val="001967A0"/>
    <w:rsid w:val="001968BF"/>
    <w:rsid w:val="00196A84"/>
    <w:rsid w:val="00196C1F"/>
    <w:rsid w:val="001972D2"/>
    <w:rsid w:val="001976DC"/>
    <w:rsid w:val="00197F10"/>
    <w:rsid w:val="001A06DE"/>
    <w:rsid w:val="001A0948"/>
    <w:rsid w:val="001A176E"/>
    <w:rsid w:val="001A1853"/>
    <w:rsid w:val="001A21C4"/>
    <w:rsid w:val="001A2B93"/>
    <w:rsid w:val="001A2FBD"/>
    <w:rsid w:val="001A3119"/>
    <w:rsid w:val="001A314E"/>
    <w:rsid w:val="001A4010"/>
    <w:rsid w:val="001A51B5"/>
    <w:rsid w:val="001A55F7"/>
    <w:rsid w:val="001A58A5"/>
    <w:rsid w:val="001A5DA7"/>
    <w:rsid w:val="001A5E3D"/>
    <w:rsid w:val="001A5E8C"/>
    <w:rsid w:val="001A5F49"/>
    <w:rsid w:val="001A60CB"/>
    <w:rsid w:val="001A6359"/>
    <w:rsid w:val="001A63E8"/>
    <w:rsid w:val="001A6ABA"/>
    <w:rsid w:val="001A6AF2"/>
    <w:rsid w:val="001A6D8D"/>
    <w:rsid w:val="001A76FE"/>
    <w:rsid w:val="001B0493"/>
    <w:rsid w:val="001B064B"/>
    <w:rsid w:val="001B0E95"/>
    <w:rsid w:val="001B1124"/>
    <w:rsid w:val="001B1150"/>
    <w:rsid w:val="001B148A"/>
    <w:rsid w:val="001B18E2"/>
    <w:rsid w:val="001B1C86"/>
    <w:rsid w:val="001B273E"/>
    <w:rsid w:val="001B2F1D"/>
    <w:rsid w:val="001B36A1"/>
    <w:rsid w:val="001B380A"/>
    <w:rsid w:val="001B3F62"/>
    <w:rsid w:val="001B4447"/>
    <w:rsid w:val="001B4873"/>
    <w:rsid w:val="001B548C"/>
    <w:rsid w:val="001B6302"/>
    <w:rsid w:val="001B7001"/>
    <w:rsid w:val="001B74AA"/>
    <w:rsid w:val="001B7820"/>
    <w:rsid w:val="001B7E95"/>
    <w:rsid w:val="001C0353"/>
    <w:rsid w:val="001C10F5"/>
    <w:rsid w:val="001C1299"/>
    <w:rsid w:val="001C1CBD"/>
    <w:rsid w:val="001C1EFC"/>
    <w:rsid w:val="001C2BAC"/>
    <w:rsid w:val="001C2C98"/>
    <w:rsid w:val="001C358D"/>
    <w:rsid w:val="001C3888"/>
    <w:rsid w:val="001C3C9C"/>
    <w:rsid w:val="001C3D4B"/>
    <w:rsid w:val="001C40A0"/>
    <w:rsid w:val="001C40F2"/>
    <w:rsid w:val="001C4575"/>
    <w:rsid w:val="001C4625"/>
    <w:rsid w:val="001C4E32"/>
    <w:rsid w:val="001C5A16"/>
    <w:rsid w:val="001C5D28"/>
    <w:rsid w:val="001C6337"/>
    <w:rsid w:val="001C6AC0"/>
    <w:rsid w:val="001C6FF5"/>
    <w:rsid w:val="001C7245"/>
    <w:rsid w:val="001C76CB"/>
    <w:rsid w:val="001C77F5"/>
    <w:rsid w:val="001C7915"/>
    <w:rsid w:val="001D02EA"/>
    <w:rsid w:val="001D072D"/>
    <w:rsid w:val="001D0CA8"/>
    <w:rsid w:val="001D1162"/>
    <w:rsid w:val="001D138F"/>
    <w:rsid w:val="001D16A3"/>
    <w:rsid w:val="001D17B8"/>
    <w:rsid w:val="001D2346"/>
    <w:rsid w:val="001D2605"/>
    <w:rsid w:val="001D27A4"/>
    <w:rsid w:val="001D4879"/>
    <w:rsid w:val="001D489B"/>
    <w:rsid w:val="001D7022"/>
    <w:rsid w:val="001D77A6"/>
    <w:rsid w:val="001D7BF6"/>
    <w:rsid w:val="001D7CDF"/>
    <w:rsid w:val="001E01CD"/>
    <w:rsid w:val="001E062D"/>
    <w:rsid w:val="001E0825"/>
    <w:rsid w:val="001E0A41"/>
    <w:rsid w:val="001E0CDF"/>
    <w:rsid w:val="001E0F03"/>
    <w:rsid w:val="001E1089"/>
    <w:rsid w:val="001E25F4"/>
    <w:rsid w:val="001E2AE8"/>
    <w:rsid w:val="001E3226"/>
    <w:rsid w:val="001E3239"/>
    <w:rsid w:val="001E3268"/>
    <w:rsid w:val="001E3455"/>
    <w:rsid w:val="001E3501"/>
    <w:rsid w:val="001E37AB"/>
    <w:rsid w:val="001E3A7C"/>
    <w:rsid w:val="001E3F65"/>
    <w:rsid w:val="001E417E"/>
    <w:rsid w:val="001E5AB3"/>
    <w:rsid w:val="001E66FF"/>
    <w:rsid w:val="001E6AC1"/>
    <w:rsid w:val="001E7349"/>
    <w:rsid w:val="001E735C"/>
    <w:rsid w:val="001E7CBA"/>
    <w:rsid w:val="001E7DE2"/>
    <w:rsid w:val="001F0E4B"/>
    <w:rsid w:val="001F1113"/>
    <w:rsid w:val="001F1301"/>
    <w:rsid w:val="001F1B27"/>
    <w:rsid w:val="001F1BB2"/>
    <w:rsid w:val="001F1D8F"/>
    <w:rsid w:val="001F2B67"/>
    <w:rsid w:val="001F3764"/>
    <w:rsid w:val="001F3A18"/>
    <w:rsid w:val="001F4252"/>
    <w:rsid w:val="001F4E59"/>
    <w:rsid w:val="001F5A41"/>
    <w:rsid w:val="001F5A79"/>
    <w:rsid w:val="001F73E0"/>
    <w:rsid w:val="001F79FD"/>
    <w:rsid w:val="001F7E16"/>
    <w:rsid w:val="001F7FA9"/>
    <w:rsid w:val="002001EF"/>
    <w:rsid w:val="002004A5"/>
    <w:rsid w:val="0020073B"/>
    <w:rsid w:val="00200962"/>
    <w:rsid w:val="00200C26"/>
    <w:rsid w:val="0020113F"/>
    <w:rsid w:val="0020133D"/>
    <w:rsid w:val="002028F0"/>
    <w:rsid w:val="00202C17"/>
    <w:rsid w:val="00202F23"/>
    <w:rsid w:val="00203713"/>
    <w:rsid w:val="00203797"/>
    <w:rsid w:val="0020382F"/>
    <w:rsid w:val="002040CB"/>
    <w:rsid w:val="002045C1"/>
    <w:rsid w:val="00204C07"/>
    <w:rsid w:val="00206726"/>
    <w:rsid w:val="0020672D"/>
    <w:rsid w:val="00206964"/>
    <w:rsid w:val="00206C74"/>
    <w:rsid w:val="00206C9A"/>
    <w:rsid w:val="00206FAE"/>
    <w:rsid w:val="00207A86"/>
    <w:rsid w:val="0021079E"/>
    <w:rsid w:val="00210824"/>
    <w:rsid w:val="00210FC7"/>
    <w:rsid w:val="00211359"/>
    <w:rsid w:val="00211AE9"/>
    <w:rsid w:val="00211CE7"/>
    <w:rsid w:val="00211E33"/>
    <w:rsid w:val="002124D8"/>
    <w:rsid w:val="002127BE"/>
    <w:rsid w:val="00212ABC"/>
    <w:rsid w:val="00212BA2"/>
    <w:rsid w:val="00212C82"/>
    <w:rsid w:val="00213584"/>
    <w:rsid w:val="002136A9"/>
    <w:rsid w:val="00213F0C"/>
    <w:rsid w:val="00214A91"/>
    <w:rsid w:val="00214D1B"/>
    <w:rsid w:val="00215801"/>
    <w:rsid w:val="00215C4A"/>
    <w:rsid w:val="00216235"/>
    <w:rsid w:val="0021686A"/>
    <w:rsid w:val="00217617"/>
    <w:rsid w:val="0022071A"/>
    <w:rsid w:val="00220A37"/>
    <w:rsid w:val="00221353"/>
    <w:rsid w:val="002214CA"/>
    <w:rsid w:val="00221736"/>
    <w:rsid w:val="002218F6"/>
    <w:rsid w:val="002219B9"/>
    <w:rsid w:val="00221EC0"/>
    <w:rsid w:val="0022208B"/>
    <w:rsid w:val="0022232F"/>
    <w:rsid w:val="00222EB2"/>
    <w:rsid w:val="002232EF"/>
    <w:rsid w:val="00223A4C"/>
    <w:rsid w:val="00223C7D"/>
    <w:rsid w:val="00224022"/>
    <w:rsid w:val="002243BE"/>
    <w:rsid w:val="002252C2"/>
    <w:rsid w:val="002252D5"/>
    <w:rsid w:val="002253D3"/>
    <w:rsid w:val="00225957"/>
    <w:rsid w:val="00225B87"/>
    <w:rsid w:val="002265DD"/>
    <w:rsid w:val="002267C7"/>
    <w:rsid w:val="002277A2"/>
    <w:rsid w:val="00227805"/>
    <w:rsid w:val="00227AC2"/>
    <w:rsid w:val="00230041"/>
    <w:rsid w:val="00230156"/>
    <w:rsid w:val="0023024D"/>
    <w:rsid w:val="002302F2"/>
    <w:rsid w:val="002303F3"/>
    <w:rsid w:val="0023042E"/>
    <w:rsid w:val="002307F7"/>
    <w:rsid w:val="00230A84"/>
    <w:rsid w:val="00231049"/>
    <w:rsid w:val="002314D2"/>
    <w:rsid w:val="00231DF5"/>
    <w:rsid w:val="002322D2"/>
    <w:rsid w:val="0023239D"/>
    <w:rsid w:val="0023240E"/>
    <w:rsid w:val="0023295F"/>
    <w:rsid w:val="00232C59"/>
    <w:rsid w:val="0023300C"/>
    <w:rsid w:val="0023305C"/>
    <w:rsid w:val="0023307D"/>
    <w:rsid w:val="00233182"/>
    <w:rsid w:val="00234107"/>
    <w:rsid w:val="0023447A"/>
    <w:rsid w:val="00235395"/>
    <w:rsid w:val="00235D52"/>
    <w:rsid w:val="00235F29"/>
    <w:rsid w:val="00235F74"/>
    <w:rsid w:val="0023668F"/>
    <w:rsid w:val="002368D3"/>
    <w:rsid w:val="00236EA6"/>
    <w:rsid w:val="002372CD"/>
    <w:rsid w:val="00237463"/>
    <w:rsid w:val="0023760E"/>
    <w:rsid w:val="0023763B"/>
    <w:rsid w:val="0023766A"/>
    <w:rsid w:val="0024046A"/>
    <w:rsid w:val="00240985"/>
    <w:rsid w:val="00240A1A"/>
    <w:rsid w:val="00240FDB"/>
    <w:rsid w:val="002411CA"/>
    <w:rsid w:val="0024127A"/>
    <w:rsid w:val="00241881"/>
    <w:rsid w:val="00241F00"/>
    <w:rsid w:val="0024236F"/>
    <w:rsid w:val="0024294C"/>
    <w:rsid w:val="00243473"/>
    <w:rsid w:val="002436D6"/>
    <w:rsid w:val="00243ADC"/>
    <w:rsid w:val="00243C68"/>
    <w:rsid w:val="002440E4"/>
    <w:rsid w:val="00244490"/>
    <w:rsid w:val="00244567"/>
    <w:rsid w:val="00244C9F"/>
    <w:rsid w:val="00244E84"/>
    <w:rsid w:val="00245452"/>
    <w:rsid w:val="00245663"/>
    <w:rsid w:val="00245806"/>
    <w:rsid w:val="002461BA"/>
    <w:rsid w:val="00246C90"/>
    <w:rsid w:val="00246CE8"/>
    <w:rsid w:val="00246D73"/>
    <w:rsid w:val="002472BE"/>
    <w:rsid w:val="00247435"/>
    <w:rsid w:val="00247678"/>
    <w:rsid w:val="0024784E"/>
    <w:rsid w:val="00247B76"/>
    <w:rsid w:val="00247E67"/>
    <w:rsid w:val="002501FD"/>
    <w:rsid w:val="0025046D"/>
    <w:rsid w:val="00250521"/>
    <w:rsid w:val="0025071C"/>
    <w:rsid w:val="0025092C"/>
    <w:rsid w:val="00250B7E"/>
    <w:rsid w:val="00250DD9"/>
    <w:rsid w:val="0025128E"/>
    <w:rsid w:val="00251477"/>
    <w:rsid w:val="00251533"/>
    <w:rsid w:val="002517B4"/>
    <w:rsid w:val="00251C1E"/>
    <w:rsid w:val="00251E29"/>
    <w:rsid w:val="00251ED8"/>
    <w:rsid w:val="00251FBB"/>
    <w:rsid w:val="00252413"/>
    <w:rsid w:val="002524F9"/>
    <w:rsid w:val="002527F7"/>
    <w:rsid w:val="00252C0D"/>
    <w:rsid w:val="00252DA5"/>
    <w:rsid w:val="00253440"/>
    <w:rsid w:val="00253E72"/>
    <w:rsid w:val="002543D8"/>
    <w:rsid w:val="002546FE"/>
    <w:rsid w:val="00254944"/>
    <w:rsid w:val="00254E99"/>
    <w:rsid w:val="0025509F"/>
    <w:rsid w:val="002559B2"/>
    <w:rsid w:val="00255BE8"/>
    <w:rsid w:val="00255CD5"/>
    <w:rsid w:val="00255F90"/>
    <w:rsid w:val="0025608D"/>
    <w:rsid w:val="00256162"/>
    <w:rsid w:val="0025652F"/>
    <w:rsid w:val="002566EE"/>
    <w:rsid w:val="00256726"/>
    <w:rsid w:val="00256B07"/>
    <w:rsid w:val="00257721"/>
    <w:rsid w:val="00261022"/>
    <w:rsid w:val="0026104F"/>
    <w:rsid w:val="00261679"/>
    <w:rsid w:val="002617A0"/>
    <w:rsid w:val="00261FE6"/>
    <w:rsid w:val="0026233B"/>
    <w:rsid w:val="00262548"/>
    <w:rsid w:val="00262592"/>
    <w:rsid w:val="0026359F"/>
    <w:rsid w:val="00263B6C"/>
    <w:rsid w:val="00263E22"/>
    <w:rsid w:val="00263F66"/>
    <w:rsid w:val="00263F70"/>
    <w:rsid w:val="00264026"/>
    <w:rsid w:val="0026425C"/>
    <w:rsid w:val="00264669"/>
    <w:rsid w:val="00264853"/>
    <w:rsid w:val="00264953"/>
    <w:rsid w:val="00264E50"/>
    <w:rsid w:val="002654CD"/>
    <w:rsid w:val="00265B4B"/>
    <w:rsid w:val="00265DC5"/>
    <w:rsid w:val="00265F51"/>
    <w:rsid w:val="00265FE3"/>
    <w:rsid w:val="00266112"/>
    <w:rsid w:val="00266BEE"/>
    <w:rsid w:val="00267445"/>
    <w:rsid w:val="002700B0"/>
    <w:rsid w:val="00270284"/>
    <w:rsid w:val="00270A57"/>
    <w:rsid w:val="00270DE1"/>
    <w:rsid w:val="00271859"/>
    <w:rsid w:val="00272939"/>
    <w:rsid w:val="002744EF"/>
    <w:rsid w:val="002747A6"/>
    <w:rsid w:val="00274E3C"/>
    <w:rsid w:val="0027552E"/>
    <w:rsid w:val="0027590B"/>
    <w:rsid w:val="00275A78"/>
    <w:rsid w:val="00276AC8"/>
    <w:rsid w:val="00276C3D"/>
    <w:rsid w:val="00276FD1"/>
    <w:rsid w:val="00276FFF"/>
    <w:rsid w:val="0027786A"/>
    <w:rsid w:val="00277E5E"/>
    <w:rsid w:val="0028040F"/>
    <w:rsid w:val="00280EEC"/>
    <w:rsid w:val="00281183"/>
    <w:rsid w:val="00281CFF"/>
    <w:rsid w:val="00281DA9"/>
    <w:rsid w:val="00281E51"/>
    <w:rsid w:val="0028201D"/>
    <w:rsid w:val="00283210"/>
    <w:rsid w:val="00284172"/>
    <w:rsid w:val="00284235"/>
    <w:rsid w:val="00284283"/>
    <w:rsid w:val="00284831"/>
    <w:rsid w:val="00284FE7"/>
    <w:rsid w:val="002851D1"/>
    <w:rsid w:val="002851D8"/>
    <w:rsid w:val="00285751"/>
    <w:rsid w:val="00285969"/>
    <w:rsid w:val="002869EE"/>
    <w:rsid w:val="00286C40"/>
    <w:rsid w:val="00286E24"/>
    <w:rsid w:val="002870FA"/>
    <w:rsid w:val="00287272"/>
    <w:rsid w:val="00287831"/>
    <w:rsid w:val="00287E0F"/>
    <w:rsid w:val="00287FB8"/>
    <w:rsid w:val="002903AC"/>
    <w:rsid w:val="002908D4"/>
    <w:rsid w:val="00290D64"/>
    <w:rsid w:val="00291640"/>
    <w:rsid w:val="00291663"/>
    <w:rsid w:val="002917CC"/>
    <w:rsid w:val="0029190D"/>
    <w:rsid w:val="00291CC1"/>
    <w:rsid w:val="002923B9"/>
    <w:rsid w:val="00292B20"/>
    <w:rsid w:val="00293139"/>
    <w:rsid w:val="0029383E"/>
    <w:rsid w:val="00293A31"/>
    <w:rsid w:val="0029460E"/>
    <w:rsid w:val="00294712"/>
    <w:rsid w:val="00294915"/>
    <w:rsid w:val="00294AFB"/>
    <w:rsid w:val="002950CE"/>
    <w:rsid w:val="00295435"/>
    <w:rsid w:val="00295713"/>
    <w:rsid w:val="00295A15"/>
    <w:rsid w:val="00295B30"/>
    <w:rsid w:val="00295BF7"/>
    <w:rsid w:val="00296A42"/>
    <w:rsid w:val="00297B34"/>
    <w:rsid w:val="00297BD6"/>
    <w:rsid w:val="00297D3D"/>
    <w:rsid w:val="00297E49"/>
    <w:rsid w:val="00297EC0"/>
    <w:rsid w:val="002A1064"/>
    <w:rsid w:val="002A11EC"/>
    <w:rsid w:val="002A2044"/>
    <w:rsid w:val="002A20F7"/>
    <w:rsid w:val="002A2244"/>
    <w:rsid w:val="002A2A18"/>
    <w:rsid w:val="002A36F5"/>
    <w:rsid w:val="002A40F2"/>
    <w:rsid w:val="002A4361"/>
    <w:rsid w:val="002A43E0"/>
    <w:rsid w:val="002A48BC"/>
    <w:rsid w:val="002A4A0E"/>
    <w:rsid w:val="002A4CDD"/>
    <w:rsid w:val="002A4FBB"/>
    <w:rsid w:val="002A5322"/>
    <w:rsid w:val="002A58A3"/>
    <w:rsid w:val="002A6006"/>
    <w:rsid w:val="002A6C75"/>
    <w:rsid w:val="002A74EF"/>
    <w:rsid w:val="002A7A31"/>
    <w:rsid w:val="002A7E9D"/>
    <w:rsid w:val="002B0001"/>
    <w:rsid w:val="002B0AD4"/>
    <w:rsid w:val="002B0BAE"/>
    <w:rsid w:val="002B0D7B"/>
    <w:rsid w:val="002B1532"/>
    <w:rsid w:val="002B2139"/>
    <w:rsid w:val="002B252A"/>
    <w:rsid w:val="002B2A50"/>
    <w:rsid w:val="002B2A9F"/>
    <w:rsid w:val="002B3090"/>
    <w:rsid w:val="002B335D"/>
    <w:rsid w:val="002B346C"/>
    <w:rsid w:val="002B3829"/>
    <w:rsid w:val="002B3EA0"/>
    <w:rsid w:val="002B4149"/>
    <w:rsid w:val="002B41F3"/>
    <w:rsid w:val="002B4769"/>
    <w:rsid w:val="002B4809"/>
    <w:rsid w:val="002B48DF"/>
    <w:rsid w:val="002B49EF"/>
    <w:rsid w:val="002B5D4D"/>
    <w:rsid w:val="002B60D5"/>
    <w:rsid w:val="002B6733"/>
    <w:rsid w:val="002B6BB7"/>
    <w:rsid w:val="002B6C38"/>
    <w:rsid w:val="002B6D2B"/>
    <w:rsid w:val="002B7247"/>
    <w:rsid w:val="002B7DCC"/>
    <w:rsid w:val="002C0460"/>
    <w:rsid w:val="002C08AB"/>
    <w:rsid w:val="002C1E5A"/>
    <w:rsid w:val="002C2011"/>
    <w:rsid w:val="002C22EF"/>
    <w:rsid w:val="002C2530"/>
    <w:rsid w:val="002C293A"/>
    <w:rsid w:val="002C2DA2"/>
    <w:rsid w:val="002C2FB7"/>
    <w:rsid w:val="002C30B0"/>
    <w:rsid w:val="002C31E3"/>
    <w:rsid w:val="002C3402"/>
    <w:rsid w:val="002C36EF"/>
    <w:rsid w:val="002C3AEF"/>
    <w:rsid w:val="002C4075"/>
    <w:rsid w:val="002C40C3"/>
    <w:rsid w:val="002C427E"/>
    <w:rsid w:val="002C4D90"/>
    <w:rsid w:val="002C4DDB"/>
    <w:rsid w:val="002C53F6"/>
    <w:rsid w:val="002C5B8C"/>
    <w:rsid w:val="002C5FB8"/>
    <w:rsid w:val="002C6435"/>
    <w:rsid w:val="002C6EFE"/>
    <w:rsid w:val="002C7A64"/>
    <w:rsid w:val="002D06D7"/>
    <w:rsid w:val="002D0AC4"/>
    <w:rsid w:val="002D0AE6"/>
    <w:rsid w:val="002D0E64"/>
    <w:rsid w:val="002D1375"/>
    <w:rsid w:val="002D1A54"/>
    <w:rsid w:val="002D230C"/>
    <w:rsid w:val="002D29E2"/>
    <w:rsid w:val="002D31E7"/>
    <w:rsid w:val="002D4FA9"/>
    <w:rsid w:val="002D635D"/>
    <w:rsid w:val="002D699A"/>
    <w:rsid w:val="002D6AEB"/>
    <w:rsid w:val="002D7E89"/>
    <w:rsid w:val="002D7EFF"/>
    <w:rsid w:val="002E007C"/>
    <w:rsid w:val="002E0640"/>
    <w:rsid w:val="002E1405"/>
    <w:rsid w:val="002E1412"/>
    <w:rsid w:val="002E1494"/>
    <w:rsid w:val="002E14C1"/>
    <w:rsid w:val="002E1A6B"/>
    <w:rsid w:val="002E1AE5"/>
    <w:rsid w:val="002E1FB6"/>
    <w:rsid w:val="002E2203"/>
    <w:rsid w:val="002E22A5"/>
    <w:rsid w:val="002E2802"/>
    <w:rsid w:val="002E28CF"/>
    <w:rsid w:val="002E2B4C"/>
    <w:rsid w:val="002E2BCC"/>
    <w:rsid w:val="002E2BD6"/>
    <w:rsid w:val="002E2EAC"/>
    <w:rsid w:val="002E3299"/>
    <w:rsid w:val="002E35D9"/>
    <w:rsid w:val="002E3644"/>
    <w:rsid w:val="002E3679"/>
    <w:rsid w:val="002E454C"/>
    <w:rsid w:val="002E4BA9"/>
    <w:rsid w:val="002E4E8F"/>
    <w:rsid w:val="002E532E"/>
    <w:rsid w:val="002E53A1"/>
    <w:rsid w:val="002E5E87"/>
    <w:rsid w:val="002E6152"/>
    <w:rsid w:val="002E77C8"/>
    <w:rsid w:val="002E7AE5"/>
    <w:rsid w:val="002E7C45"/>
    <w:rsid w:val="002F0976"/>
    <w:rsid w:val="002F0EA1"/>
    <w:rsid w:val="002F0FBF"/>
    <w:rsid w:val="002F1350"/>
    <w:rsid w:val="002F155A"/>
    <w:rsid w:val="002F15DB"/>
    <w:rsid w:val="002F1CBF"/>
    <w:rsid w:val="002F2149"/>
    <w:rsid w:val="002F2565"/>
    <w:rsid w:val="002F295D"/>
    <w:rsid w:val="002F3D11"/>
    <w:rsid w:val="002F476E"/>
    <w:rsid w:val="002F4B19"/>
    <w:rsid w:val="002F516F"/>
    <w:rsid w:val="002F535D"/>
    <w:rsid w:val="002F5BD7"/>
    <w:rsid w:val="002F5C5E"/>
    <w:rsid w:val="002F5ECF"/>
    <w:rsid w:val="002F617F"/>
    <w:rsid w:val="002F62B9"/>
    <w:rsid w:val="002F6B4B"/>
    <w:rsid w:val="002F783E"/>
    <w:rsid w:val="002F78FA"/>
    <w:rsid w:val="00300109"/>
    <w:rsid w:val="00300356"/>
    <w:rsid w:val="00300AAD"/>
    <w:rsid w:val="00300B2B"/>
    <w:rsid w:val="00301270"/>
    <w:rsid w:val="003016F3"/>
    <w:rsid w:val="00301755"/>
    <w:rsid w:val="003017DC"/>
    <w:rsid w:val="003021F8"/>
    <w:rsid w:val="00302214"/>
    <w:rsid w:val="003022F8"/>
    <w:rsid w:val="0030264B"/>
    <w:rsid w:val="00302B99"/>
    <w:rsid w:val="00302DE2"/>
    <w:rsid w:val="00302EE2"/>
    <w:rsid w:val="00302FB5"/>
    <w:rsid w:val="003032F3"/>
    <w:rsid w:val="003038E4"/>
    <w:rsid w:val="00303DBE"/>
    <w:rsid w:val="00303E79"/>
    <w:rsid w:val="00304453"/>
    <w:rsid w:val="00304581"/>
    <w:rsid w:val="0030476D"/>
    <w:rsid w:val="00305393"/>
    <w:rsid w:val="00305A93"/>
    <w:rsid w:val="00305C4A"/>
    <w:rsid w:val="0030665E"/>
    <w:rsid w:val="003066E9"/>
    <w:rsid w:val="00306894"/>
    <w:rsid w:val="00307340"/>
    <w:rsid w:val="0030746E"/>
    <w:rsid w:val="003075DF"/>
    <w:rsid w:val="00307914"/>
    <w:rsid w:val="00307A3B"/>
    <w:rsid w:val="00307C06"/>
    <w:rsid w:val="00307E0F"/>
    <w:rsid w:val="0031019B"/>
    <w:rsid w:val="0031072E"/>
    <w:rsid w:val="003109B5"/>
    <w:rsid w:val="003109D2"/>
    <w:rsid w:val="00310C74"/>
    <w:rsid w:val="00310FB9"/>
    <w:rsid w:val="00311BC3"/>
    <w:rsid w:val="003120BD"/>
    <w:rsid w:val="0031223F"/>
    <w:rsid w:val="003122DF"/>
    <w:rsid w:val="003122F4"/>
    <w:rsid w:val="00312317"/>
    <w:rsid w:val="003124A4"/>
    <w:rsid w:val="003124FA"/>
    <w:rsid w:val="003126DD"/>
    <w:rsid w:val="003135C7"/>
    <w:rsid w:val="00315120"/>
    <w:rsid w:val="0031543A"/>
    <w:rsid w:val="0031549C"/>
    <w:rsid w:val="00315815"/>
    <w:rsid w:val="0031671D"/>
    <w:rsid w:val="00316905"/>
    <w:rsid w:val="00316F11"/>
    <w:rsid w:val="00317127"/>
    <w:rsid w:val="003171A2"/>
    <w:rsid w:val="003206C5"/>
    <w:rsid w:val="003207C7"/>
    <w:rsid w:val="0032153A"/>
    <w:rsid w:val="0032162B"/>
    <w:rsid w:val="0032175F"/>
    <w:rsid w:val="0032304F"/>
    <w:rsid w:val="00323110"/>
    <w:rsid w:val="0032375C"/>
    <w:rsid w:val="00323844"/>
    <w:rsid w:val="0032389A"/>
    <w:rsid w:val="00323A82"/>
    <w:rsid w:val="00323A9A"/>
    <w:rsid w:val="00323ED8"/>
    <w:rsid w:val="00323FBE"/>
    <w:rsid w:val="00324C08"/>
    <w:rsid w:val="00324F64"/>
    <w:rsid w:val="00325701"/>
    <w:rsid w:val="003268D5"/>
    <w:rsid w:val="00326AB8"/>
    <w:rsid w:val="00326C0E"/>
    <w:rsid w:val="00327E0D"/>
    <w:rsid w:val="00327ECD"/>
    <w:rsid w:val="00327EEB"/>
    <w:rsid w:val="0033022E"/>
    <w:rsid w:val="003303B9"/>
    <w:rsid w:val="00333D3C"/>
    <w:rsid w:val="003341E6"/>
    <w:rsid w:val="003345F8"/>
    <w:rsid w:val="0033484D"/>
    <w:rsid w:val="003349C2"/>
    <w:rsid w:val="00334A14"/>
    <w:rsid w:val="00334D62"/>
    <w:rsid w:val="0033516D"/>
    <w:rsid w:val="003353AD"/>
    <w:rsid w:val="00335433"/>
    <w:rsid w:val="003354A1"/>
    <w:rsid w:val="00335548"/>
    <w:rsid w:val="003355DB"/>
    <w:rsid w:val="00335647"/>
    <w:rsid w:val="00335EAB"/>
    <w:rsid w:val="0033633B"/>
    <w:rsid w:val="0033755F"/>
    <w:rsid w:val="00337678"/>
    <w:rsid w:val="00337E28"/>
    <w:rsid w:val="00340565"/>
    <w:rsid w:val="003405E7"/>
    <w:rsid w:val="00341701"/>
    <w:rsid w:val="00342161"/>
    <w:rsid w:val="0034384D"/>
    <w:rsid w:val="00344643"/>
    <w:rsid w:val="003448F6"/>
    <w:rsid w:val="00344A96"/>
    <w:rsid w:val="0034556B"/>
    <w:rsid w:val="00345F78"/>
    <w:rsid w:val="00346113"/>
    <w:rsid w:val="003462FB"/>
    <w:rsid w:val="003464F6"/>
    <w:rsid w:val="00346A32"/>
    <w:rsid w:val="00346CB9"/>
    <w:rsid w:val="0034770F"/>
    <w:rsid w:val="00347E68"/>
    <w:rsid w:val="00347ED5"/>
    <w:rsid w:val="00350621"/>
    <w:rsid w:val="00350759"/>
    <w:rsid w:val="00350DDA"/>
    <w:rsid w:val="003513B7"/>
    <w:rsid w:val="00351503"/>
    <w:rsid w:val="003519DB"/>
    <w:rsid w:val="0035223B"/>
    <w:rsid w:val="00352755"/>
    <w:rsid w:val="00352D7C"/>
    <w:rsid w:val="003530C3"/>
    <w:rsid w:val="00353949"/>
    <w:rsid w:val="00353C7F"/>
    <w:rsid w:val="00354110"/>
    <w:rsid w:val="003544C2"/>
    <w:rsid w:val="00354CFB"/>
    <w:rsid w:val="00354D27"/>
    <w:rsid w:val="00355057"/>
    <w:rsid w:val="003554DA"/>
    <w:rsid w:val="003563A7"/>
    <w:rsid w:val="0035644C"/>
    <w:rsid w:val="003564F8"/>
    <w:rsid w:val="00356B1A"/>
    <w:rsid w:val="00356C25"/>
    <w:rsid w:val="0035738A"/>
    <w:rsid w:val="003573CF"/>
    <w:rsid w:val="00357530"/>
    <w:rsid w:val="0035763D"/>
    <w:rsid w:val="00357816"/>
    <w:rsid w:val="00357C04"/>
    <w:rsid w:val="00357FA5"/>
    <w:rsid w:val="003600B2"/>
    <w:rsid w:val="00360143"/>
    <w:rsid w:val="003602D3"/>
    <w:rsid w:val="00360BC0"/>
    <w:rsid w:val="003632D9"/>
    <w:rsid w:val="0036415A"/>
    <w:rsid w:val="003643DB"/>
    <w:rsid w:val="003648DA"/>
    <w:rsid w:val="00364E69"/>
    <w:rsid w:val="00365281"/>
    <w:rsid w:val="0036532D"/>
    <w:rsid w:val="0036567D"/>
    <w:rsid w:val="00365703"/>
    <w:rsid w:val="0036590D"/>
    <w:rsid w:val="00366021"/>
    <w:rsid w:val="00366336"/>
    <w:rsid w:val="00366621"/>
    <w:rsid w:val="00366AE3"/>
    <w:rsid w:val="0036742C"/>
    <w:rsid w:val="00367463"/>
    <w:rsid w:val="00367902"/>
    <w:rsid w:val="00367B6A"/>
    <w:rsid w:val="0037039B"/>
    <w:rsid w:val="00370B11"/>
    <w:rsid w:val="00370CF1"/>
    <w:rsid w:val="00371120"/>
    <w:rsid w:val="003711A4"/>
    <w:rsid w:val="0037147D"/>
    <w:rsid w:val="003715D1"/>
    <w:rsid w:val="00371BD2"/>
    <w:rsid w:val="003725E5"/>
    <w:rsid w:val="0037308D"/>
    <w:rsid w:val="00373DD2"/>
    <w:rsid w:val="00373E35"/>
    <w:rsid w:val="00373EB7"/>
    <w:rsid w:val="003748D2"/>
    <w:rsid w:val="00374904"/>
    <w:rsid w:val="00374C30"/>
    <w:rsid w:val="00374E13"/>
    <w:rsid w:val="00374FBE"/>
    <w:rsid w:val="00375354"/>
    <w:rsid w:val="0037556C"/>
    <w:rsid w:val="00375575"/>
    <w:rsid w:val="00375655"/>
    <w:rsid w:val="00375BF9"/>
    <w:rsid w:val="00375C10"/>
    <w:rsid w:val="00375CB6"/>
    <w:rsid w:val="0037661F"/>
    <w:rsid w:val="00376E02"/>
    <w:rsid w:val="00376ECD"/>
    <w:rsid w:val="00377465"/>
    <w:rsid w:val="00377740"/>
    <w:rsid w:val="00377C20"/>
    <w:rsid w:val="00377FA3"/>
    <w:rsid w:val="003811D2"/>
    <w:rsid w:val="00381301"/>
    <w:rsid w:val="00381623"/>
    <w:rsid w:val="00381B3E"/>
    <w:rsid w:val="00381B91"/>
    <w:rsid w:val="00381CC5"/>
    <w:rsid w:val="003827F5"/>
    <w:rsid w:val="003829F9"/>
    <w:rsid w:val="00382CF2"/>
    <w:rsid w:val="003830A9"/>
    <w:rsid w:val="00383517"/>
    <w:rsid w:val="00383DC2"/>
    <w:rsid w:val="00384471"/>
    <w:rsid w:val="00384F17"/>
    <w:rsid w:val="00384FF0"/>
    <w:rsid w:val="00385124"/>
    <w:rsid w:val="0038543D"/>
    <w:rsid w:val="003858A6"/>
    <w:rsid w:val="00385EBD"/>
    <w:rsid w:val="00385EE6"/>
    <w:rsid w:val="00386509"/>
    <w:rsid w:val="00387013"/>
    <w:rsid w:val="0038720D"/>
    <w:rsid w:val="0038768C"/>
    <w:rsid w:val="0039008C"/>
    <w:rsid w:val="003900B1"/>
    <w:rsid w:val="00390338"/>
    <w:rsid w:val="003905B2"/>
    <w:rsid w:val="0039076B"/>
    <w:rsid w:val="00390911"/>
    <w:rsid w:val="00390D42"/>
    <w:rsid w:val="00391788"/>
    <w:rsid w:val="003919DB"/>
    <w:rsid w:val="00391EEE"/>
    <w:rsid w:val="00391FEE"/>
    <w:rsid w:val="00392037"/>
    <w:rsid w:val="003920E6"/>
    <w:rsid w:val="00392CE2"/>
    <w:rsid w:val="00392DCC"/>
    <w:rsid w:val="00393108"/>
    <w:rsid w:val="00393283"/>
    <w:rsid w:val="003937DD"/>
    <w:rsid w:val="0039383A"/>
    <w:rsid w:val="0039424F"/>
    <w:rsid w:val="003942CC"/>
    <w:rsid w:val="00394312"/>
    <w:rsid w:val="00394881"/>
    <w:rsid w:val="00395D21"/>
    <w:rsid w:val="0039616F"/>
    <w:rsid w:val="00396453"/>
    <w:rsid w:val="00396585"/>
    <w:rsid w:val="00397220"/>
    <w:rsid w:val="00397820"/>
    <w:rsid w:val="003978CA"/>
    <w:rsid w:val="00397BB5"/>
    <w:rsid w:val="00397FA8"/>
    <w:rsid w:val="003A0698"/>
    <w:rsid w:val="003A0868"/>
    <w:rsid w:val="003A0F27"/>
    <w:rsid w:val="003A0FAD"/>
    <w:rsid w:val="003A115E"/>
    <w:rsid w:val="003A120C"/>
    <w:rsid w:val="003A22A8"/>
    <w:rsid w:val="003A268D"/>
    <w:rsid w:val="003A38B6"/>
    <w:rsid w:val="003A3AD3"/>
    <w:rsid w:val="003A4DAC"/>
    <w:rsid w:val="003A507C"/>
    <w:rsid w:val="003A58F9"/>
    <w:rsid w:val="003A5B36"/>
    <w:rsid w:val="003A5D55"/>
    <w:rsid w:val="003A6CBB"/>
    <w:rsid w:val="003A7032"/>
    <w:rsid w:val="003A708D"/>
    <w:rsid w:val="003A7113"/>
    <w:rsid w:val="003A7CD0"/>
    <w:rsid w:val="003A7EEB"/>
    <w:rsid w:val="003B0018"/>
    <w:rsid w:val="003B0077"/>
    <w:rsid w:val="003B0276"/>
    <w:rsid w:val="003B035D"/>
    <w:rsid w:val="003B03C9"/>
    <w:rsid w:val="003B1689"/>
    <w:rsid w:val="003B1AE9"/>
    <w:rsid w:val="003B208D"/>
    <w:rsid w:val="003B22D3"/>
    <w:rsid w:val="003B23C5"/>
    <w:rsid w:val="003B2814"/>
    <w:rsid w:val="003B2851"/>
    <w:rsid w:val="003B2954"/>
    <w:rsid w:val="003B2C26"/>
    <w:rsid w:val="003B2CA7"/>
    <w:rsid w:val="003B319D"/>
    <w:rsid w:val="003B31DA"/>
    <w:rsid w:val="003B34C6"/>
    <w:rsid w:val="003B395E"/>
    <w:rsid w:val="003B3A7B"/>
    <w:rsid w:val="003B40BC"/>
    <w:rsid w:val="003B4616"/>
    <w:rsid w:val="003B4A5E"/>
    <w:rsid w:val="003B4D99"/>
    <w:rsid w:val="003B59CF"/>
    <w:rsid w:val="003B64AC"/>
    <w:rsid w:val="003B6728"/>
    <w:rsid w:val="003B6FC0"/>
    <w:rsid w:val="003B7003"/>
    <w:rsid w:val="003B7A4A"/>
    <w:rsid w:val="003C0F68"/>
    <w:rsid w:val="003C0FC4"/>
    <w:rsid w:val="003C19BC"/>
    <w:rsid w:val="003C24B4"/>
    <w:rsid w:val="003C2894"/>
    <w:rsid w:val="003C29EF"/>
    <w:rsid w:val="003C3235"/>
    <w:rsid w:val="003C448E"/>
    <w:rsid w:val="003C558F"/>
    <w:rsid w:val="003C67ED"/>
    <w:rsid w:val="003C68B4"/>
    <w:rsid w:val="003C68C8"/>
    <w:rsid w:val="003C6F06"/>
    <w:rsid w:val="003C7EF4"/>
    <w:rsid w:val="003D06FE"/>
    <w:rsid w:val="003D0786"/>
    <w:rsid w:val="003D093F"/>
    <w:rsid w:val="003D0A2C"/>
    <w:rsid w:val="003D0CDF"/>
    <w:rsid w:val="003D14C9"/>
    <w:rsid w:val="003D1532"/>
    <w:rsid w:val="003D15D0"/>
    <w:rsid w:val="003D1813"/>
    <w:rsid w:val="003D19C8"/>
    <w:rsid w:val="003D1E5A"/>
    <w:rsid w:val="003D25B3"/>
    <w:rsid w:val="003D2C5E"/>
    <w:rsid w:val="003D33CE"/>
    <w:rsid w:val="003D33DA"/>
    <w:rsid w:val="003D3435"/>
    <w:rsid w:val="003D3ECB"/>
    <w:rsid w:val="003D42E0"/>
    <w:rsid w:val="003D4D75"/>
    <w:rsid w:val="003D51E1"/>
    <w:rsid w:val="003D5E53"/>
    <w:rsid w:val="003D6AA5"/>
    <w:rsid w:val="003D72DC"/>
    <w:rsid w:val="003D7527"/>
    <w:rsid w:val="003D7551"/>
    <w:rsid w:val="003D7EAF"/>
    <w:rsid w:val="003E0421"/>
    <w:rsid w:val="003E130A"/>
    <w:rsid w:val="003E16E2"/>
    <w:rsid w:val="003E17AB"/>
    <w:rsid w:val="003E1F55"/>
    <w:rsid w:val="003E20D6"/>
    <w:rsid w:val="003E2239"/>
    <w:rsid w:val="003E2559"/>
    <w:rsid w:val="003E261D"/>
    <w:rsid w:val="003E2809"/>
    <w:rsid w:val="003E2FE9"/>
    <w:rsid w:val="003E3188"/>
    <w:rsid w:val="003E3328"/>
    <w:rsid w:val="003E386A"/>
    <w:rsid w:val="003E3BDD"/>
    <w:rsid w:val="003E44C0"/>
    <w:rsid w:val="003E4D87"/>
    <w:rsid w:val="003E4FAD"/>
    <w:rsid w:val="003E5536"/>
    <w:rsid w:val="003E5888"/>
    <w:rsid w:val="003E5AB8"/>
    <w:rsid w:val="003E5BD0"/>
    <w:rsid w:val="003E6227"/>
    <w:rsid w:val="003E69D3"/>
    <w:rsid w:val="003E6FA5"/>
    <w:rsid w:val="003E7B7A"/>
    <w:rsid w:val="003E7D43"/>
    <w:rsid w:val="003E7F11"/>
    <w:rsid w:val="003F004D"/>
    <w:rsid w:val="003F00B6"/>
    <w:rsid w:val="003F0C46"/>
    <w:rsid w:val="003F1662"/>
    <w:rsid w:val="003F1D00"/>
    <w:rsid w:val="003F20C3"/>
    <w:rsid w:val="003F292A"/>
    <w:rsid w:val="003F3229"/>
    <w:rsid w:val="003F3603"/>
    <w:rsid w:val="003F54AC"/>
    <w:rsid w:val="003F5932"/>
    <w:rsid w:val="003F599D"/>
    <w:rsid w:val="003F5C9B"/>
    <w:rsid w:val="003F5CF1"/>
    <w:rsid w:val="003F5F35"/>
    <w:rsid w:val="003F6310"/>
    <w:rsid w:val="003F68D9"/>
    <w:rsid w:val="003F68EE"/>
    <w:rsid w:val="003F744C"/>
    <w:rsid w:val="003F7B9E"/>
    <w:rsid w:val="003F7F5D"/>
    <w:rsid w:val="0040009E"/>
    <w:rsid w:val="004006B0"/>
    <w:rsid w:val="00400777"/>
    <w:rsid w:val="004009F3"/>
    <w:rsid w:val="00401082"/>
    <w:rsid w:val="004010DF"/>
    <w:rsid w:val="004012C6"/>
    <w:rsid w:val="004022FA"/>
    <w:rsid w:val="0040247C"/>
    <w:rsid w:val="004030C6"/>
    <w:rsid w:val="00403297"/>
    <w:rsid w:val="00403C28"/>
    <w:rsid w:val="0040415C"/>
    <w:rsid w:val="004042C2"/>
    <w:rsid w:val="00405157"/>
    <w:rsid w:val="00405C35"/>
    <w:rsid w:val="0040609E"/>
    <w:rsid w:val="00406545"/>
    <w:rsid w:val="0040655A"/>
    <w:rsid w:val="00406EF7"/>
    <w:rsid w:val="0040728A"/>
    <w:rsid w:val="00407D5F"/>
    <w:rsid w:val="004102AB"/>
    <w:rsid w:val="004102FB"/>
    <w:rsid w:val="00410819"/>
    <w:rsid w:val="00410E50"/>
    <w:rsid w:val="00411CDA"/>
    <w:rsid w:val="00411DDA"/>
    <w:rsid w:val="00412096"/>
    <w:rsid w:val="004126BE"/>
    <w:rsid w:val="00412B6E"/>
    <w:rsid w:val="00412FCC"/>
    <w:rsid w:val="004137FF"/>
    <w:rsid w:val="004139B6"/>
    <w:rsid w:val="00413DB7"/>
    <w:rsid w:val="004149BD"/>
    <w:rsid w:val="004155FD"/>
    <w:rsid w:val="0041586F"/>
    <w:rsid w:val="004158F4"/>
    <w:rsid w:val="004159D2"/>
    <w:rsid w:val="00415DE2"/>
    <w:rsid w:val="00416170"/>
    <w:rsid w:val="004164D4"/>
    <w:rsid w:val="00416762"/>
    <w:rsid w:val="00416A3F"/>
    <w:rsid w:val="00416C21"/>
    <w:rsid w:val="00416C87"/>
    <w:rsid w:val="00416E55"/>
    <w:rsid w:val="004170F4"/>
    <w:rsid w:val="0041751E"/>
    <w:rsid w:val="00417A1E"/>
    <w:rsid w:val="00417D66"/>
    <w:rsid w:val="00417F08"/>
    <w:rsid w:val="0042009A"/>
    <w:rsid w:val="004201B1"/>
    <w:rsid w:val="004210A0"/>
    <w:rsid w:val="00421311"/>
    <w:rsid w:val="00421955"/>
    <w:rsid w:val="00421FDD"/>
    <w:rsid w:val="00422014"/>
    <w:rsid w:val="004220F2"/>
    <w:rsid w:val="004234A9"/>
    <w:rsid w:val="0042368A"/>
    <w:rsid w:val="00423BAE"/>
    <w:rsid w:val="00424B52"/>
    <w:rsid w:val="00424B66"/>
    <w:rsid w:val="00424FCF"/>
    <w:rsid w:val="0042518A"/>
    <w:rsid w:val="00425AFB"/>
    <w:rsid w:val="004270B7"/>
    <w:rsid w:val="004276A0"/>
    <w:rsid w:val="00427B5C"/>
    <w:rsid w:val="004302D4"/>
    <w:rsid w:val="00430B1A"/>
    <w:rsid w:val="00430F40"/>
    <w:rsid w:val="00431288"/>
    <w:rsid w:val="00431450"/>
    <w:rsid w:val="0043183F"/>
    <w:rsid w:val="00431980"/>
    <w:rsid w:val="00432316"/>
    <w:rsid w:val="0043272A"/>
    <w:rsid w:val="00432A50"/>
    <w:rsid w:val="00433061"/>
    <w:rsid w:val="00433088"/>
    <w:rsid w:val="0043330B"/>
    <w:rsid w:val="004334CE"/>
    <w:rsid w:val="00434096"/>
    <w:rsid w:val="004342DF"/>
    <w:rsid w:val="00434813"/>
    <w:rsid w:val="004352CB"/>
    <w:rsid w:val="00435553"/>
    <w:rsid w:val="00435E7F"/>
    <w:rsid w:val="00436E2E"/>
    <w:rsid w:val="0043727F"/>
    <w:rsid w:val="004379A7"/>
    <w:rsid w:val="00437BA2"/>
    <w:rsid w:val="0044068A"/>
    <w:rsid w:val="004407CE"/>
    <w:rsid w:val="00440F39"/>
    <w:rsid w:val="004413E7"/>
    <w:rsid w:val="0044191F"/>
    <w:rsid w:val="004419AF"/>
    <w:rsid w:val="00441C11"/>
    <w:rsid w:val="004421FA"/>
    <w:rsid w:val="00442B2C"/>
    <w:rsid w:val="00443416"/>
    <w:rsid w:val="004434B2"/>
    <w:rsid w:val="004434E3"/>
    <w:rsid w:val="00443804"/>
    <w:rsid w:val="00443FBD"/>
    <w:rsid w:val="00444A63"/>
    <w:rsid w:val="00444E98"/>
    <w:rsid w:val="00445237"/>
    <w:rsid w:val="00445265"/>
    <w:rsid w:val="00445635"/>
    <w:rsid w:val="00445D6D"/>
    <w:rsid w:val="00445E58"/>
    <w:rsid w:val="00446030"/>
    <w:rsid w:val="00446258"/>
    <w:rsid w:val="004463B1"/>
    <w:rsid w:val="00446A7A"/>
    <w:rsid w:val="00446E9B"/>
    <w:rsid w:val="00446F4D"/>
    <w:rsid w:val="00447CE1"/>
    <w:rsid w:val="00447EEF"/>
    <w:rsid w:val="0045165F"/>
    <w:rsid w:val="00451BF7"/>
    <w:rsid w:val="00452043"/>
    <w:rsid w:val="00452B8F"/>
    <w:rsid w:val="00452F84"/>
    <w:rsid w:val="0045304E"/>
    <w:rsid w:val="004535F0"/>
    <w:rsid w:val="00453667"/>
    <w:rsid w:val="0045386F"/>
    <w:rsid w:val="00454018"/>
    <w:rsid w:val="004542EF"/>
    <w:rsid w:val="00454325"/>
    <w:rsid w:val="00454336"/>
    <w:rsid w:val="004553F4"/>
    <w:rsid w:val="004559CE"/>
    <w:rsid w:val="004560B7"/>
    <w:rsid w:val="0045613F"/>
    <w:rsid w:val="0045622C"/>
    <w:rsid w:val="00456771"/>
    <w:rsid w:val="00456AE6"/>
    <w:rsid w:val="00456D5D"/>
    <w:rsid w:val="00456D62"/>
    <w:rsid w:val="004572E9"/>
    <w:rsid w:val="00457FB9"/>
    <w:rsid w:val="00457FD0"/>
    <w:rsid w:val="00460445"/>
    <w:rsid w:val="00460507"/>
    <w:rsid w:val="00460E1A"/>
    <w:rsid w:val="00461CBC"/>
    <w:rsid w:val="0046221A"/>
    <w:rsid w:val="00462477"/>
    <w:rsid w:val="004631FE"/>
    <w:rsid w:val="0046329C"/>
    <w:rsid w:val="00463357"/>
    <w:rsid w:val="004637BB"/>
    <w:rsid w:val="00463DF8"/>
    <w:rsid w:val="0046457C"/>
    <w:rsid w:val="00464876"/>
    <w:rsid w:val="00464EA9"/>
    <w:rsid w:val="00465149"/>
    <w:rsid w:val="00465DCE"/>
    <w:rsid w:val="0046611C"/>
    <w:rsid w:val="00466287"/>
    <w:rsid w:val="0046656A"/>
    <w:rsid w:val="004668D1"/>
    <w:rsid w:val="00467A2A"/>
    <w:rsid w:val="004700C1"/>
    <w:rsid w:val="004701E8"/>
    <w:rsid w:val="004713CD"/>
    <w:rsid w:val="004715C5"/>
    <w:rsid w:val="0047166D"/>
    <w:rsid w:val="0047188C"/>
    <w:rsid w:val="00472F4E"/>
    <w:rsid w:val="00473859"/>
    <w:rsid w:val="0047440C"/>
    <w:rsid w:val="00474B18"/>
    <w:rsid w:val="00475085"/>
    <w:rsid w:val="00475503"/>
    <w:rsid w:val="00475D18"/>
    <w:rsid w:val="00476286"/>
    <w:rsid w:val="00476532"/>
    <w:rsid w:val="00476A09"/>
    <w:rsid w:val="00476C83"/>
    <w:rsid w:val="00476CF6"/>
    <w:rsid w:val="00477AA8"/>
    <w:rsid w:val="00477F0B"/>
    <w:rsid w:val="00480A5C"/>
    <w:rsid w:val="004814E3"/>
    <w:rsid w:val="004816A0"/>
    <w:rsid w:val="00481883"/>
    <w:rsid w:val="00481CA3"/>
    <w:rsid w:val="00482157"/>
    <w:rsid w:val="0048253B"/>
    <w:rsid w:val="00482555"/>
    <w:rsid w:val="004826D2"/>
    <w:rsid w:val="004828BA"/>
    <w:rsid w:val="00482B93"/>
    <w:rsid w:val="00482C07"/>
    <w:rsid w:val="00482FBB"/>
    <w:rsid w:val="004834BB"/>
    <w:rsid w:val="004837C7"/>
    <w:rsid w:val="00483931"/>
    <w:rsid w:val="00483A60"/>
    <w:rsid w:val="004840E6"/>
    <w:rsid w:val="00484A9F"/>
    <w:rsid w:val="00484AAC"/>
    <w:rsid w:val="00484BD6"/>
    <w:rsid w:val="0048509C"/>
    <w:rsid w:val="004851E9"/>
    <w:rsid w:val="00485418"/>
    <w:rsid w:val="00485C3B"/>
    <w:rsid w:val="00485DB4"/>
    <w:rsid w:val="004866C8"/>
    <w:rsid w:val="004866E3"/>
    <w:rsid w:val="00486E93"/>
    <w:rsid w:val="0048763D"/>
    <w:rsid w:val="004877D3"/>
    <w:rsid w:val="00487804"/>
    <w:rsid w:val="00487B59"/>
    <w:rsid w:val="004900A7"/>
    <w:rsid w:val="00490869"/>
    <w:rsid w:val="004909F0"/>
    <w:rsid w:val="00490BE7"/>
    <w:rsid w:val="00491E78"/>
    <w:rsid w:val="00492ABE"/>
    <w:rsid w:val="00492B24"/>
    <w:rsid w:val="00492BD7"/>
    <w:rsid w:val="00492FCB"/>
    <w:rsid w:val="004936F9"/>
    <w:rsid w:val="004939B9"/>
    <w:rsid w:val="0049401F"/>
    <w:rsid w:val="00494032"/>
    <w:rsid w:val="00494B0A"/>
    <w:rsid w:val="00494FD9"/>
    <w:rsid w:val="004953D2"/>
    <w:rsid w:val="00496240"/>
    <w:rsid w:val="00496637"/>
    <w:rsid w:val="0049667F"/>
    <w:rsid w:val="00496C06"/>
    <w:rsid w:val="00497145"/>
    <w:rsid w:val="00497329"/>
    <w:rsid w:val="00497512"/>
    <w:rsid w:val="004977C4"/>
    <w:rsid w:val="00497B21"/>
    <w:rsid w:val="00497E92"/>
    <w:rsid w:val="004A038B"/>
    <w:rsid w:val="004A042F"/>
    <w:rsid w:val="004A0470"/>
    <w:rsid w:val="004A0A64"/>
    <w:rsid w:val="004A0E61"/>
    <w:rsid w:val="004A0F11"/>
    <w:rsid w:val="004A1418"/>
    <w:rsid w:val="004A17E0"/>
    <w:rsid w:val="004A1DC8"/>
    <w:rsid w:val="004A2775"/>
    <w:rsid w:val="004A2847"/>
    <w:rsid w:val="004A30BB"/>
    <w:rsid w:val="004A327D"/>
    <w:rsid w:val="004A32BD"/>
    <w:rsid w:val="004A36DD"/>
    <w:rsid w:val="004A382D"/>
    <w:rsid w:val="004A3B73"/>
    <w:rsid w:val="004A3EAA"/>
    <w:rsid w:val="004A4197"/>
    <w:rsid w:val="004A445A"/>
    <w:rsid w:val="004A4920"/>
    <w:rsid w:val="004A4CB4"/>
    <w:rsid w:val="004A4FC3"/>
    <w:rsid w:val="004A5156"/>
    <w:rsid w:val="004A5329"/>
    <w:rsid w:val="004A5730"/>
    <w:rsid w:val="004A5AB3"/>
    <w:rsid w:val="004A64B6"/>
    <w:rsid w:val="004A6F1C"/>
    <w:rsid w:val="004A7D05"/>
    <w:rsid w:val="004A7D97"/>
    <w:rsid w:val="004A7F28"/>
    <w:rsid w:val="004B0FC3"/>
    <w:rsid w:val="004B1DE9"/>
    <w:rsid w:val="004B222B"/>
    <w:rsid w:val="004B22AF"/>
    <w:rsid w:val="004B24AF"/>
    <w:rsid w:val="004B2B33"/>
    <w:rsid w:val="004B334F"/>
    <w:rsid w:val="004B3A30"/>
    <w:rsid w:val="004B3FC8"/>
    <w:rsid w:val="004B46F2"/>
    <w:rsid w:val="004B48B2"/>
    <w:rsid w:val="004B5133"/>
    <w:rsid w:val="004B51EC"/>
    <w:rsid w:val="004B535C"/>
    <w:rsid w:val="004B62A2"/>
    <w:rsid w:val="004B6549"/>
    <w:rsid w:val="004B68E7"/>
    <w:rsid w:val="004B70BE"/>
    <w:rsid w:val="004B7212"/>
    <w:rsid w:val="004B7231"/>
    <w:rsid w:val="004B746B"/>
    <w:rsid w:val="004C0637"/>
    <w:rsid w:val="004C07BA"/>
    <w:rsid w:val="004C12AE"/>
    <w:rsid w:val="004C18B6"/>
    <w:rsid w:val="004C1E35"/>
    <w:rsid w:val="004C264F"/>
    <w:rsid w:val="004C2902"/>
    <w:rsid w:val="004C357B"/>
    <w:rsid w:val="004C35AC"/>
    <w:rsid w:val="004C41B6"/>
    <w:rsid w:val="004C4712"/>
    <w:rsid w:val="004C4D53"/>
    <w:rsid w:val="004C52CC"/>
    <w:rsid w:val="004C6AF6"/>
    <w:rsid w:val="004C6B50"/>
    <w:rsid w:val="004C72A6"/>
    <w:rsid w:val="004C77AB"/>
    <w:rsid w:val="004D045A"/>
    <w:rsid w:val="004D047C"/>
    <w:rsid w:val="004D0493"/>
    <w:rsid w:val="004D05FF"/>
    <w:rsid w:val="004D098E"/>
    <w:rsid w:val="004D0F85"/>
    <w:rsid w:val="004D12E1"/>
    <w:rsid w:val="004D1D76"/>
    <w:rsid w:val="004D1DB3"/>
    <w:rsid w:val="004D1FCE"/>
    <w:rsid w:val="004D2212"/>
    <w:rsid w:val="004D24C6"/>
    <w:rsid w:val="004D310C"/>
    <w:rsid w:val="004D39B8"/>
    <w:rsid w:val="004D3A87"/>
    <w:rsid w:val="004D3C93"/>
    <w:rsid w:val="004D3EA5"/>
    <w:rsid w:val="004D3F8E"/>
    <w:rsid w:val="004D400F"/>
    <w:rsid w:val="004D435E"/>
    <w:rsid w:val="004D4578"/>
    <w:rsid w:val="004D513E"/>
    <w:rsid w:val="004D59FD"/>
    <w:rsid w:val="004D634B"/>
    <w:rsid w:val="004D6711"/>
    <w:rsid w:val="004D6E37"/>
    <w:rsid w:val="004D75E1"/>
    <w:rsid w:val="004D7E43"/>
    <w:rsid w:val="004E00EA"/>
    <w:rsid w:val="004E0FBE"/>
    <w:rsid w:val="004E130B"/>
    <w:rsid w:val="004E16F8"/>
    <w:rsid w:val="004E2046"/>
    <w:rsid w:val="004E22AA"/>
    <w:rsid w:val="004E24B7"/>
    <w:rsid w:val="004E25A1"/>
    <w:rsid w:val="004E296B"/>
    <w:rsid w:val="004E2A51"/>
    <w:rsid w:val="004E31B0"/>
    <w:rsid w:val="004E3CDD"/>
    <w:rsid w:val="004E3DE6"/>
    <w:rsid w:val="004E4530"/>
    <w:rsid w:val="004E47CB"/>
    <w:rsid w:val="004E534E"/>
    <w:rsid w:val="004E563C"/>
    <w:rsid w:val="004E60E7"/>
    <w:rsid w:val="004E666A"/>
    <w:rsid w:val="004E6B14"/>
    <w:rsid w:val="004E6F87"/>
    <w:rsid w:val="004E713F"/>
    <w:rsid w:val="004E7854"/>
    <w:rsid w:val="004F0AF0"/>
    <w:rsid w:val="004F0E0B"/>
    <w:rsid w:val="004F0E9A"/>
    <w:rsid w:val="004F0F45"/>
    <w:rsid w:val="004F1324"/>
    <w:rsid w:val="004F1A79"/>
    <w:rsid w:val="004F1AEF"/>
    <w:rsid w:val="004F1C45"/>
    <w:rsid w:val="004F2000"/>
    <w:rsid w:val="004F2ABE"/>
    <w:rsid w:val="004F2DE0"/>
    <w:rsid w:val="004F3476"/>
    <w:rsid w:val="004F4059"/>
    <w:rsid w:val="004F41E5"/>
    <w:rsid w:val="004F4539"/>
    <w:rsid w:val="004F466A"/>
    <w:rsid w:val="004F4B92"/>
    <w:rsid w:val="004F4CB4"/>
    <w:rsid w:val="004F4D85"/>
    <w:rsid w:val="004F4FB1"/>
    <w:rsid w:val="004F51B6"/>
    <w:rsid w:val="004F52D6"/>
    <w:rsid w:val="004F551A"/>
    <w:rsid w:val="004F5773"/>
    <w:rsid w:val="004F630F"/>
    <w:rsid w:val="004F6451"/>
    <w:rsid w:val="004F64FD"/>
    <w:rsid w:val="004F6554"/>
    <w:rsid w:val="004F6BD6"/>
    <w:rsid w:val="004F7DCA"/>
    <w:rsid w:val="00500AE1"/>
    <w:rsid w:val="00501B6C"/>
    <w:rsid w:val="00501EDD"/>
    <w:rsid w:val="0050212E"/>
    <w:rsid w:val="00502A18"/>
    <w:rsid w:val="00502A9D"/>
    <w:rsid w:val="00502DDA"/>
    <w:rsid w:val="00502E97"/>
    <w:rsid w:val="005031A4"/>
    <w:rsid w:val="0050334F"/>
    <w:rsid w:val="005034EA"/>
    <w:rsid w:val="00503546"/>
    <w:rsid w:val="00503625"/>
    <w:rsid w:val="005039C7"/>
    <w:rsid w:val="00503FA8"/>
    <w:rsid w:val="00503FDD"/>
    <w:rsid w:val="00504249"/>
    <w:rsid w:val="00504FF5"/>
    <w:rsid w:val="005055B9"/>
    <w:rsid w:val="00506385"/>
    <w:rsid w:val="00506393"/>
    <w:rsid w:val="00506E9E"/>
    <w:rsid w:val="00507142"/>
    <w:rsid w:val="00507203"/>
    <w:rsid w:val="0050728B"/>
    <w:rsid w:val="0050756E"/>
    <w:rsid w:val="00507FBD"/>
    <w:rsid w:val="005100AF"/>
    <w:rsid w:val="0051073E"/>
    <w:rsid w:val="0051094B"/>
    <w:rsid w:val="005109E9"/>
    <w:rsid w:val="00510D56"/>
    <w:rsid w:val="0051144F"/>
    <w:rsid w:val="00511A43"/>
    <w:rsid w:val="00511BC6"/>
    <w:rsid w:val="0051332B"/>
    <w:rsid w:val="0051345F"/>
    <w:rsid w:val="00513EA0"/>
    <w:rsid w:val="00513FE2"/>
    <w:rsid w:val="0051476E"/>
    <w:rsid w:val="00514D10"/>
    <w:rsid w:val="00514F20"/>
    <w:rsid w:val="0051521F"/>
    <w:rsid w:val="0051569E"/>
    <w:rsid w:val="00515805"/>
    <w:rsid w:val="00515CF1"/>
    <w:rsid w:val="005164D4"/>
    <w:rsid w:val="0051665A"/>
    <w:rsid w:val="00516785"/>
    <w:rsid w:val="00516A08"/>
    <w:rsid w:val="00516B5D"/>
    <w:rsid w:val="00516BB9"/>
    <w:rsid w:val="00517105"/>
    <w:rsid w:val="005172E7"/>
    <w:rsid w:val="005175E3"/>
    <w:rsid w:val="00517910"/>
    <w:rsid w:val="00517A7B"/>
    <w:rsid w:val="00517D9B"/>
    <w:rsid w:val="00517FA9"/>
    <w:rsid w:val="005203D0"/>
    <w:rsid w:val="005212B2"/>
    <w:rsid w:val="00521461"/>
    <w:rsid w:val="00521757"/>
    <w:rsid w:val="005217C4"/>
    <w:rsid w:val="0052240D"/>
    <w:rsid w:val="00522BC0"/>
    <w:rsid w:val="005231FF"/>
    <w:rsid w:val="005239DA"/>
    <w:rsid w:val="0052419D"/>
    <w:rsid w:val="00524DC0"/>
    <w:rsid w:val="00524FE7"/>
    <w:rsid w:val="0052545A"/>
    <w:rsid w:val="00525621"/>
    <w:rsid w:val="005258ED"/>
    <w:rsid w:val="005261C3"/>
    <w:rsid w:val="00526416"/>
    <w:rsid w:val="00526467"/>
    <w:rsid w:val="0052667B"/>
    <w:rsid w:val="00526CC3"/>
    <w:rsid w:val="005273FC"/>
    <w:rsid w:val="00527D13"/>
    <w:rsid w:val="005301F8"/>
    <w:rsid w:val="0053099B"/>
    <w:rsid w:val="00530EC1"/>
    <w:rsid w:val="00530F5F"/>
    <w:rsid w:val="005312FC"/>
    <w:rsid w:val="005324A3"/>
    <w:rsid w:val="00532505"/>
    <w:rsid w:val="00532848"/>
    <w:rsid w:val="00532B4D"/>
    <w:rsid w:val="00532C6D"/>
    <w:rsid w:val="0053334A"/>
    <w:rsid w:val="005339A5"/>
    <w:rsid w:val="005339D2"/>
    <w:rsid w:val="00533CB8"/>
    <w:rsid w:val="00533E85"/>
    <w:rsid w:val="00533EE8"/>
    <w:rsid w:val="00534C75"/>
    <w:rsid w:val="0053501F"/>
    <w:rsid w:val="005352D7"/>
    <w:rsid w:val="005354BA"/>
    <w:rsid w:val="0053554A"/>
    <w:rsid w:val="005355EA"/>
    <w:rsid w:val="0053569E"/>
    <w:rsid w:val="00535A07"/>
    <w:rsid w:val="0053603D"/>
    <w:rsid w:val="0053646C"/>
    <w:rsid w:val="00537175"/>
    <w:rsid w:val="0053742A"/>
    <w:rsid w:val="00537496"/>
    <w:rsid w:val="0053778F"/>
    <w:rsid w:val="00537B88"/>
    <w:rsid w:val="00537C85"/>
    <w:rsid w:val="0054033A"/>
    <w:rsid w:val="005409BC"/>
    <w:rsid w:val="00540D0C"/>
    <w:rsid w:val="00540F1B"/>
    <w:rsid w:val="00541727"/>
    <w:rsid w:val="00541D29"/>
    <w:rsid w:val="00542124"/>
    <w:rsid w:val="005424BA"/>
    <w:rsid w:val="00543113"/>
    <w:rsid w:val="0054327C"/>
    <w:rsid w:val="00543D3E"/>
    <w:rsid w:val="00543E19"/>
    <w:rsid w:val="00543F23"/>
    <w:rsid w:val="00544DF6"/>
    <w:rsid w:val="00545D49"/>
    <w:rsid w:val="005461F7"/>
    <w:rsid w:val="0054627D"/>
    <w:rsid w:val="00546AAB"/>
    <w:rsid w:val="00546B94"/>
    <w:rsid w:val="00547121"/>
    <w:rsid w:val="00547D94"/>
    <w:rsid w:val="00547E95"/>
    <w:rsid w:val="00547F00"/>
    <w:rsid w:val="00550303"/>
    <w:rsid w:val="00550439"/>
    <w:rsid w:val="00550645"/>
    <w:rsid w:val="0055071F"/>
    <w:rsid w:val="00550CE9"/>
    <w:rsid w:val="00550DCD"/>
    <w:rsid w:val="00550F27"/>
    <w:rsid w:val="00551074"/>
    <w:rsid w:val="00551380"/>
    <w:rsid w:val="005514C1"/>
    <w:rsid w:val="00551535"/>
    <w:rsid w:val="0055182A"/>
    <w:rsid w:val="00552683"/>
    <w:rsid w:val="00553070"/>
    <w:rsid w:val="005537C6"/>
    <w:rsid w:val="005541A6"/>
    <w:rsid w:val="005543D3"/>
    <w:rsid w:val="00556950"/>
    <w:rsid w:val="00556968"/>
    <w:rsid w:val="00556F51"/>
    <w:rsid w:val="00557184"/>
    <w:rsid w:val="005577B6"/>
    <w:rsid w:val="00557D5A"/>
    <w:rsid w:val="005601FE"/>
    <w:rsid w:val="00560A55"/>
    <w:rsid w:val="00561654"/>
    <w:rsid w:val="0056253F"/>
    <w:rsid w:val="0056282D"/>
    <w:rsid w:val="00562DD8"/>
    <w:rsid w:val="00562F17"/>
    <w:rsid w:val="005644F3"/>
    <w:rsid w:val="00564CBA"/>
    <w:rsid w:val="00564EF9"/>
    <w:rsid w:val="0056582C"/>
    <w:rsid w:val="00565DFA"/>
    <w:rsid w:val="00565FB1"/>
    <w:rsid w:val="00567028"/>
    <w:rsid w:val="005674ED"/>
    <w:rsid w:val="00567A2F"/>
    <w:rsid w:val="005702BA"/>
    <w:rsid w:val="0057064F"/>
    <w:rsid w:val="00570819"/>
    <w:rsid w:val="00570C1B"/>
    <w:rsid w:val="00570D35"/>
    <w:rsid w:val="00570FC3"/>
    <w:rsid w:val="0057115E"/>
    <w:rsid w:val="005716B3"/>
    <w:rsid w:val="00571A70"/>
    <w:rsid w:val="00571B5D"/>
    <w:rsid w:val="00571CFD"/>
    <w:rsid w:val="00571F3E"/>
    <w:rsid w:val="00572129"/>
    <w:rsid w:val="0057241D"/>
    <w:rsid w:val="005737FE"/>
    <w:rsid w:val="00573D10"/>
    <w:rsid w:val="00574414"/>
    <w:rsid w:val="00574EB2"/>
    <w:rsid w:val="0057531C"/>
    <w:rsid w:val="00575422"/>
    <w:rsid w:val="00575526"/>
    <w:rsid w:val="00575CB0"/>
    <w:rsid w:val="00575E35"/>
    <w:rsid w:val="00576420"/>
    <w:rsid w:val="00576475"/>
    <w:rsid w:val="00576518"/>
    <w:rsid w:val="005768FA"/>
    <w:rsid w:val="00576C92"/>
    <w:rsid w:val="005772A3"/>
    <w:rsid w:val="0057735D"/>
    <w:rsid w:val="0057761F"/>
    <w:rsid w:val="005776B2"/>
    <w:rsid w:val="005802D4"/>
    <w:rsid w:val="00580400"/>
    <w:rsid w:val="00580595"/>
    <w:rsid w:val="00580999"/>
    <w:rsid w:val="00581022"/>
    <w:rsid w:val="00581131"/>
    <w:rsid w:val="00581405"/>
    <w:rsid w:val="00581583"/>
    <w:rsid w:val="00581FB2"/>
    <w:rsid w:val="00582803"/>
    <w:rsid w:val="00582DDE"/>
    <w:rsid w:val="00582FE2"/>
    <w:rsid w:val="005831EE"/>
    <w:rsid w:val="00584B1F"/>
    <w:rsid w:val="00585195"/>
    <w:rsid w:val="0058596B"/>
    <w:rsid w:val="005859E3"/>
    <w:rsid w:val="00586605"/>
    <w:rsid w:val="005868DE"/>
    <w:rsid w:val="00586DEF"/>
    <w:rsid w:val="005870B7"/>
    <w:rsid w:val="00587431"/>
    <w:rsid w:val="00587562"/>
    <w:rsid w:val="005877AC"/>
    <w:rsid w:val="00587AA9"/>
    <w:rsid w:val="00587CCE"/>
    <w:rsid w:val="00587DB6"/>
    <w:rsid w:val="00587DBC"/>
    <w:rsid w:val="00591CF3"/>
    <w:rsid w:val="00591D78"/>
    <w:rsid w:val="00591DFB"/>
    <w:rsid w:val="00591E88"/>
    <w:rsid w:val="00591EB8"/>
    <w:rsid w:val="00591FD4"/>
    <w:rsid w:val="00592A25"/>
    <w:rsid w:val="00593367"/>
    <w:rsid w:val="00593585"/>
    <w:rsid w:val="00593F92"/>
    <w:rsid w:val="005945ED"/>
    <w:rsid w:val="00594E2B"/>
    <w:rsid w:val="005953B2"/>
    <w:rsid w:val="00595457"/>
    <w:rsid w:val="00595694"/>
    <w:rsid w:val="00595C75"/>
    <w:rsid w:val="00595CA8"/>
    <w:rsid w:val="0059607E"/>
    <w:rsid w:val="005966B7"/>
    <w:rsid w:val="005968D1"/>
    <w:rsid w:val="00596A76"/>
    <w:rsid w:val="00596DAC"/>
    <w:rsid w:val="00596E88"/>
    <w:rsid w:val="0059715C"/>
    <w:rsid w:val="00597943"/>
    <w:rsid w:val="005A02A2"/>
    <w:rsid w:val="005A0A2D"/>
    <w:rsid w:val="005A1058"/>
    <w:rsid w:val="005A1B25"/>
    <w:rsid w:val="005A1EC3"/>
    <w:rsid w:val="005A239F"/>
    <w:rsid w:val="005A246A"/>
    <w:rsid w:val="005A2CC2"/>
    <w:rsid w:val="005A48CE"/>
    <w:rsid w:val="005A4CF3"/>
    <w:rsid w:val="005A4D03"/>
    <w:rsid w:val="005A578C"/>
    <w:rsid w:val="005A5DAA"/>
    <w:rsid w:val="005A6179"/>
    <w:rsid w:val="005A6659"/>
    <w:rsid w:val="005A6A3F"/>
    <w:rsid w:val="005A6BB7"/>
    <w:rsid w:val="005A7DF9"/>
    <w:rsid w:val="005B0D6F"/>
    <w:rsid w:val="005B0F5A"/>
    <w:rsid w:val="005B1420"/>
    <w:rsid w:val="005B17AA"/>
    <w:rsid w:val="005B1C05"/>
    <w:rsid w:val="005B1FED"/>
    <w:rsid w:val="005B286A"/>
    <w:rsid w:val="005B2FD7"/>
    <w:rsid w:val="005B3628"/>
    <w:rsid w:val="005B549B"/>
    <w:rsid w:val="005B599C"/>
    <w:rsid w:val="005B5E2A"/>
    <w:rsid w:val="005B6254"/>
    <w:rsid w:val="005B6B68"/>
    <w:rsid w:val="005B79D9"/>
    <w:rsid w:val="005B7B80"/>
    <w:rsid w:val="005B7E29"/>
    <w:rsid w:val="005C020E"/>
    <w:rsid w:val="005C02A4"/>
    <w:rsid w:val="005C08FC"/>
    <w:rsid w:val="005C191A"/>
    <w:rsid w:val="005C20D2"/>
    <w:rsid w:val="005C213E"/>
    <w:rsid w:val="005C22FC"/>
    <w:rsid w:val="005C276D"/>
    <w:rsid w:val="005C29A4"/>
    <w:rsid w:val="005C32CB"/>
    <w:rsid w:val="005C32FE"/>
    <w:rsid w:val="005C3D73"/>
    <w:rsid w:val="005C432B"/>
    <w:rsid w:val="005C4428"/>
    <w:rsid w:val="005C4C32"/>
    <w:rsid w:val="005C4C5C"/>
    <w:rsid w:val="005C503A"/>
    <w:rsid w:val="005C5945"/>
    <w:rsid w:val="005C6720"/>
    <w:rsid w:val="005C6749"/>
    <w:rsid w:val="005C6C3D"/>
    <w:rsid w:val="005C6C92"/>
    <w:rsid w:val="005C738A"/>
    <w:rsid w:val="005C757E"/>
    <w:rsid w:val="005C771D"/>
    <w:rsid w:val="005C79BC"/>
    <w:rsid w:val="005D0025"/>
    <w:rsid w:val="005D024A"/>
    <w:rsid w:val="005D03C5"/>
    <w:rsid w:val="005D03D0"/>
    <w:rsid w:val="005D0AA8"/>
    <w:rsid w:val="005D156D"/>
    <w:rsid w:val="005D17FD"/>
    <w:rsid w:val="005D1ACE"/>
    <w:rsid w:val="005D1E7F"/>
    <w:rsid w:val="005D2427"/>
    <w:rsid w:val="005D2D7C"/>
    <w:rsid w:val="005D3320"/>
    <w:rsid w:val="005D3954"/>
    <w:rsid w:val="005D3A88"/>
    <w:rsid w:val="005D47FC"/>
    <w:rsid w:val="005D486D"/>
    <w:rsid w:val="005D49C0"/>
    <w:rsid w:val="005D4ED6"/>
    <w:rsid w:val="005D4FD4"/>
    <w:rsid w:val="005D5613"/>
    <w:rsid w:val="005D644B"/>
    <w:rsid w:val="005D66D0"/>
    <w:rsid w:val="005D6A56"/>
    <w:rsid w:val="005D6AE8"/>
    <w:rsid w:val="005D6D64"/>
    <w:rsid w:val="005D701D"/>
    <w:rsid w:val="005D71B8"/>
    <w:rsid w:val="005D7592"/>
    <w:rsid w:val="005D7A07"/>
    <w:rsid w:val="005D7C9A"/>
    <w:rsid w:val="005E0C8D"/>
    <w:rsid w:val="005E139B"/>
    <w:rsid w:val="005E17C9"/>
    <w:rsid w:val="005E1939"/>
    <w:rsid w:val="005E23CB"/>
    <w:rsid w:val="005E26BD"/>
    <w:rsid w:val="005E2B0B"/>
    <w:rsid w:val="005E38E5"/>
    <w:rsid w:val="005E3EE9"/>
    <w:rsid w:val="005E40FC"/>
    <w:rsid w:val="005E436A"/>
    <w:rsid w:val="005E462D"/>
    <w:rsid w:val="005E5436"/>
    <w:rsid w:val="005E54CC"/>
    <w:rsid w:val="005E5A1D"/>
    <w:rsid w:val="005E5C77"/>
    <w:rsid w:val="005E6749"/>
    <w:rsid w:val="005E6A68"/>
    <w:rsid w:val="005E6BBA"/>
    <w:rsid w:val="005E7497"/>
    <w:rsid w:val="005E7C65"/>
    <w:rsid w:val="005F04BC"/>
    <w:rsid w:val="005F05B5"/>
    <w:rsid w:val="005F0CB6"/>
    <w:rsid w:val="005F10FD"/>
    <w:rsid w:val="005F1194"/>
    <w:rsid w:val="005F1588"/>
    <w:rsid w:val="005F16E3"/>
    <w:rsid w:val="005F19E0"/>
    <w:rsid w:val="005F1EB0"/>
    <w:rsid w:val="005F202E"/>
    <w:rsid w:val="005F26AE"/>
    <w:rsid w:val="005F2C7B"/>
    <w:rsid w:val="005F2F61"/>
    <w:rsid w:val="005F2FFD"/>
    <w:rsid w:val="005F3003"/>
    <w:rsid w:val="005F315D"/>
    <w:rsid w:val="005F32E8"/>
    <w:rsid w:val="005F3644"/>
    <w:rsid w:val="005F36A2"/>
    <w:rsid w:val="005F42CE"/>
    <w:rsid w:val="005F4300"/>
    <w:rsid w:val="005F4497"/>
    <w:rsid w:val="005F47EC"/>
    <w:rsid w:val="005F4D58"/>
    <w:rsid w:val="005F5C74"/>
    <w:rsid w:val="005F6A7C"/>
    <w:rsid w:val="005F70A7"/>
    <w:rsid w:val="005F78D2"/>
    <w:rsid w:val="005F78E4"/>
    <w:rsid w:val="00600205"/>
    <w:rsid w:val="0060024B"/>
    <w:rsid w:val="0060025E"/>
    <w:rsid w:val="006003E4"/>
    <w:rsid w:val="006004B4"/>
    <w:rsid w:val="00600788"/>
    <w:rsid w:val="0060083E"/>
    <w:rsid w:val="006009DF"/>
    <w:rsid w:val="006009E8"/>
    <w:rsid w:val="00600FD3"/>
    <w:rsid w:val="0060130B"/>
    <w:rsid w:val="00601650"/>
    <w:rsid w:val="00601654"/>
    <w:rsid w:val="00602271"/>
    <w:rsid w:val="00602681"/>
    <w:rsid w:val="006027C7"/>
    <w:rsid w:val="00602993"/>
    <w:rsid w:val="00603238"/>
    <w:rsid w:val="00603A6B"/>
    <w:rsid w:val="00603BA6"/>
    <w:rsid w:val="006041B3"/>
    <w:rsid w:val="00604EEF"/>
    <w:rsid w:val="0060540D"/>
    <w:rsid w:val="00605AFD"/>
    <w:rsid w:val="00605BF0"/>
    <w:rsid w:val="00605C80"/>
    <w:rsid w:val="006063D2"/>
    <w:rsid w:val="00606DC0"/>
    <w:rsid w:val="006071D5"/>
    <w:rsid w:val="00607438"/>
    <w:rsid w:val="006077E8"/>
    <w:rsid w:val="00607BE4"/>
    <w:rsid w:val="00610969"/>
    <w:rsid w:val="00611FCB"/>
    <w:rsid w:val="006123D4"/>
    <w:rsid w:val="00612730"/>
    <w:rsid w:val="00612872"/>
    <w:rsid w:val="00612B02"/>
    <w:rsid w:val="00612CBC"/>
    <w:rsid w:val="00613362"/>
    <w:rsid w:val="006137CB"/>
    <w:rsid w:val="00613A26"/>
    <w:rsid w:val="00613BCF"/>
    <w:rsid w:val="006140EB"/>
    <w:rsid w:val="0061445B"/>
    <w:rsid w:val="006144C0"/>
    <w:rsid w:val="0061452C"/>
    <w:rsid w:val="00614799"/>
    <w:rsid w:val="00614823"/>
    <w:rsid w:val="006150A9"/>
    <w:rsid w:val="006155EE"/>
    <w:rsid w:val="006158DF"/>
    <w:rsid w:val="00615AF4"/>
    <w:rsid w:val="00615B33"/>
    <w:rsid w:val="00615D95"/>
    <w:rsid w:val="00616195"/>
    <w:rsid w:val="006166BE"/>
    <w:rsid w:val="00616896"/>
    <w:rsid w:val="00616E0E"/>
    <w:rsid w:val="00617562"/>
    <w:rsid w:val="0061756D"/>
    <w:rsid w:val="006177DE"/>
    <w:rsid w:val="00617FD2"/>
    <w:rsid w:val="006202DA"/>
    <w:rsid w:val="00620480"/>
    <w:rsid w:val="006208F2"/>
    <w:rsid w:val="006209DB"/>
    <w:rsid w:val="00621B33"/>
    <w:rsid w:val="00621E48"/>
    <w:rsid w:val="00622071"/>
    <w:rsid w:val="00622739"/>
    <w:rsid w:val="00622D80"/>
    <w:rsid w:val="00622EA4"/>
    <w:rsid w:val="006231D2"/>
    <w:rsid w:val="00623847"/>
    <w:rsid w:val="00623D67"/>
    <w:rsid w:val="00624537"/>
    <w:rsid w:val="0062463B"/>
    <w:rsid w:val="00624953"/>
    <w:rsid w:val="00624A7A"/>
    <w:rsid w:val="00624C4B"/>
    <w:rsid w:val="006252AD"/>
    <w:rsid w:val="006257FE"/>
    <w:rsid w:val="00625820"/>
    <w:rsid w:val="00625A63"/>
    <w:rsid w:val="00625B9F"/>
    <w:rsid w:val="00625F76"/>
    <w:rsid w:val="0062623E"/>
    <w:rsid w:val="00626611"/>
    <w:rsid w:val="00626E4C"/>
    <w:rsid w:val="00627404"/>
    <w:rsid w:val="0062781B"/>
    <w:rsid w:val="00627874"/>
    <w:rsid w:val="006305F7"/>
    <w:rsid w:val="0063061A"/>
    <w:rsid w:val="0063077F"/>
    <w:rsid w:val="00631657"/>
    <w:rsid w:val="006317BC"/>
    <w:rsid w:val="00631AC5"/>
    <w:rsid w:val="00631C17"/>
    <w:rsid w:val="00631EDA"/>
    <w:rsid w:val="0063306C"/>
    <w:rsid w:val="00633336"/>
    <w:rsid w:val="006334FA"/>
    <w:rsid w:val="006338AD"/>
    <w:rsid w:val="00634045"/>
    <w:rsid w:val="00634638"/>
    <w:rsid w:val="00634FC5"/>
    <w:rsid w:val="0063509B"/>
    <w:rsid w:val="0063544C"/>
    <w:rsid w:val="0063545E"/>
    <w:rsid w:val="006357E6"/>
    <w:rsid w:val="0063590B"/>
    <w:rsid w:val="0063649A"/>
    <w:rsid w:val="0063671E"/>
    <w:rsid w:val="006367CB"/>
    <w:rsid w:val="006367D8"/>
    <w:rsid w:val="00636B9E"/>
    <w:rsid w:val="00636FCE"/>
    <w:rsid w:val="006377C8"/>
    <w:rsid w:val="00637EAE"/>
    <w:rsid w:val="00640125"/>
    <w:rsid w:val="00640619"/>
    <w:rsid w:val="00640693"/>
    <w:rsid w:val="00640B6B"/>
    <w:rsid w:val="006413EF"/>
    <w:rsid w:val="00641B1F"/>
    <w:rsid w:val="00641D5C"/>
    <w:rsid w:val="00641ED5"/>
    <w:rsid w:val="0064254A"/>
    <w:rsid w:val="00642C65"/>
    <w:rsid w:val="00643250"/>
    <w:rsid w:val="00643342"/>
    <w:rsid w:val="006435B2"/>
    <w:rsid w:val="00643CBD"/>
    <w:rsid w:val="00643E4A"/>
    <w:rsid w:val="0064445D"/>
    <w:rsid w:val="00644500"/>
    <w:rsid w:val="00644D7C"/>
    <w:rsid w:val="00645128"/>
    <w:rsid w:val="006455B9"/>
    <w:rsid w:val="006458D6"/>
    <w:rsid w:val="00646132"/>
    <w:rsid w:val="006466CF"/>
    <w:rsid w:val="006469CC"/>
    <w:rsid w:val="00646B6D"/>
    <w:rsid w:val="00646EFE"/>
    <w:rsid w:val="0064740D"/>
    <w:rsid w:val="0065096A"/>
    <w:rsid w:val="0065100C"/>
    <w:rsid w:val="00651D6C"/>
    <w:rsid w:val="0065396F"/>
    <w:rsid w:val="00653BF8"/>
    <w:rsid w:val="006542C2"/>
    <w:rsid w:val="00654B28"/>
    <w:rsid w:val="00655176"/>
    <w:rsid w:val="00655211"/>
    <w:rsid w:val="00655E4B"/>
    <w:rsid w:val="0065612B"/>
    <w:rsid w:val="00656C7A"/>
    <w:rsid w:val="00656F11"/>
    <w:rsid w:val="0065736B"/>
    <w:rsid w:val="0065779C"/>
    <w:rsid w:val="00660211"/>
    <w:rsid w:val="0066038A"/>
    <w:rsid w:val="00660610"/>
    <w:rsid w:val="0066086A"/>
    <w:rsid w:val="00661B7D"/>
    <w:rsid w:val="00661F4F"/>
    <w:rsid w:val="00662140"/>
    <w:rsid w:val="006621E7"/>
    <w:rsid w:val="006622D0"/>
    <w:rsid w:val="00662308"/>
    <w:rsid w:val="00662490"/>
    <w:rsid w:val="00663397"/>
    <w:rsid w:val="00663793"/>
    <w:rsid w:val="00663AB4"/>
    <w:rsid w:val="00663F84"/>
    <w:rsid w:val="00664074"/>
    <w:rsid w:val="0066452D"/>
    <w:rsid w:val="0066489F"/>
    <w:rsid w:val="00664F1A"/>
    <w:rsid w:val="00665708"/>
    <w:rsid w:val="00666340"/>
    <w:rsid w:val="006663F0"/>
    <w:rsid w:val="0066671F"/>
    <w:rsid w:val="00666B39"/>
    <w:rsid w:val="00666E07"/>
    <w:rsid w:val="006670DE"/>
    <w:rsid w:val="006672D4"/>
    <w:rsid w:val="006673C8"/>
    <w:rsid w:val="006679D6"/>
    <w:rsid w:val="00667D2B"/>
    <w:rsid w:val="00670BBC"/>
    <w:rsid w:val="00670ED3"/>
    <w:rsid w:val="0067178D"/>
    <w:rsid w:val="0067195E"/>
    <w:rsid w:val="00671D15"/>
    <w:rsid w:val="00671D57"/>
    <w:rsid w:val="006722BE"/>
    <w:rsid w:val="00672369"/>
    <w:rsid w:val="00672B5D"/>
    <w:rsid w:val="00672F34"/>
    <w:rsid w:val="006730FD"/>
    <w:rsid w:val="00673E3F"/>
    <w:rsid w:val="006741AC"/>
    <w:rsid w:val="00674776"/>
    <w:rsid w:val="00674D14"/>
    <w:rsid w:val="00675275"/>
    <w:rsid w:val="006757B3"/>
    <w:rsid w:val="00676002"/>
    <w:rsid w:val="0067606B"/>
    <w:rsid w:val="0067622C"/>
    <w:rsid w:val="00676E16"/>
    <w:rsid w:val="006777A0"/>
    <w:rsid w:val="00680325"/>
    <w:rsid w:val="00680A01"/>
    <w:rsid w:val="00682207"/>
    <w:rsid w:val="00682249"/>
    <w:rsid w:val="00682E4D"/>
    <w:rsid w:val="006832B5"/>
    <w:rsid w:val="006833A8"/>
    <w:rsid w:val="006833F8"/>
    <w:rsid w:val="006835B2"/>
    <w:rsid w:val="0068369E"/>
    <w:rsid w:val="00683AFC"/>
    <w:rsid w:val="00683BD5"/>
    <w:rsid w:val="00684128"/>
    <w:rsid w:val="00684266"/>
    <w:rsid w:val="006843F7"/>
    <w:rsid w:val="00684601"/>
    <w:rsid w:val="00684983"/>
    <w:rsid w:val="00684D3B"/>
    <w:rsid w:val="00684DAC"/>
    <w:rsid w:val="00684EAB"/>
    <w:rsid w:val="006853E2"/>
    <w:rsid w:val="00685630"/>
    <w:rsid w:val="00685CF7"/>
    <w:rsid w:val="006860D9"/>
    <w:rsid w:val="00686165"/>
    <w:rsid w:val="00686224"/>
    <w:rsid w:val="00686562"/>
    <w:rsid w:val="006869B8"/>
    <w:rsid w:val="0068706F"/>
    <w:rsid w:val="006874B8"/>
    <w:rsid w:val="00690134"/>
    <w:rsid w:val="0069025D"/>
    <w:rsid w:val="006903E5"/>
    <w:rsid w:val="006907BB"/>
    <w:rsid w:val="00690962"/>
    <w:rsid w:val="00690AAD"/>
    <w:rsid w:val="00690DC7"/>
    <w:rsid w:val="006910DC"/>
    <w:rsid w:val="00691BEB"/>
    <w:rsid w:val="00691CB5"/>
    <w:rsid w:val="00691F0B"/>
    <w:rsid w:val="006923DF"/>
    <w:rsid w:val="00692670"/>
    <w:rsid w:val="00692B4F"/>
    <w:rsid w:val="00692F32"/>
    <w:rsid w:val="00693488"/>
    <w:rsid w:val="006937DC"/>
    <w:rsid w:val="00693A1E"/>
    <w:rsid w:val="00694107"/>
    <w:rsid w:val="0069439C"/>
    <w:rsid w:val="0069475D"/>
    <w:rsid w:val="00694AAC"/>
    <w:rsid w:val="00694E7B"/>
    <w:rsid w:val="0069509D"/>
    <w:rsid w:val="00695238"/>
    <w:rsid w:val="0069582B"/>
    <w:rsid w:val="00695971"/>
    <w:rsid w:val="00696012"/>
    <w:rsid w:val="006962B9"/>
    <w:rsid w:val="00696383"/>
    <w:rsid w:val="00696A72"/>
    <w:rsid w:val="00696B80"/>
    <w:rsid w:val="00696DBC"/>
    <w:rsid w:val="0069710B"/>
    <w:rsid w:val="006A107C"/>
    <w:rsid w:val="006A14A9"/>
    <w:rsid w:val="006A14D2"/>
    <w:rsid w:val="006A186B"/>
    <w:rsid w:val="006A27D7"/>
    <w:rsid w:val="006A2AF4"/>
    <w:rsid w:val="006A3263"/>
    <w:rsid w:val="006A3351"/>
    <w:rsid w:val="006A37F5"/>
    <w:rsid w:val="006A393A"/>
    <w:rsid w:val="006A3C1B"/>
    <w:rsid w:val="006A40C5"/>
    <w:rsid w:val="006A4DBC"/>
    <w:rsid w:val="006A56E7"/>
    <w:rsid w:val="006A5858"/>
    <w:rsid w:val="006A592C"/>
    <w:rsid w:val="006A5DB6"/>
    <w:rsid w:val="006A6032"/>
    <w:rsid w:val="006A65D3"/>
    <w:rsid w:val="006A6646"/>
    <w:rsid w:val="006A6730"/>
    <w:rsid w:val="006A721E"/>
    <w:rsid w:val="006A72B2"/>
    <w:rsid w:val="006A7677"/>
    <w:rsid w:val="006A7943"/>
    <w:rsid w:val="006A7D51"/>
    <w:rsid w:val="006A7F75"/>
    <w:rsid w:val="006B02E4"/>
    <w:rsid w:val="006B04F5"/>
    <w:rsid w:val="006B0998"/>
    <w:rsid w:val="006B0C94"/>
    <w:rsid w:val="006B1171"/>
    <w:rsid w:val="006B15D0"/>
    <w:rsid w:val="006B19D8"/>
    <w:rsid w:val="006B24EC"/>
    <w:rsid w:val="006B2F51"/>
    <w:rsid w:val="006B37DF"/>
    <w:rsid w:val="006B3879"/>
    <w:rsid w:val="006B38FF"/>
    <w:rsid w:val="006B39D0"/>
    <w:rsid w:val="006B43A1"/>
    <w:rsid w:val="006B44EA"/>
    <w:rsid w:val="006B456C"/>
    <w:rsid w:val="006B4760"/>
    <w:rsid w:val="006B484E"/>
    <w:rsid w:val="006B4BFE"/>
    <w:rsid w:val="006B54B2"/>
    <w:rsid w:val="006B575C"/>
    <w:rsid w:val="006B59A5"/>
    <w:rsid w:val="006B5E28"/>
    <w:rsid w:val="006B604A"/>
    <w:rsid w:val="006B6065"/>
    <w:rsid w:val="006B633D"/>
    <w:rsid w:val="006B67AB"/>
    <w:rsid w:val="006B69D1"/>
    <w:rsid w:val="006B6F5B"/>
    <w:rsid w:val="006B71A3"/>
    <w:rsid w:val="006B7632"/>
    <w:rsid w:val="006B7680"/>
    <w:rsid w:val="006B78AC"/>
    <w:rsid w:val="006B7EA6"/>
    <w:rsid w:val="006C0956"/>
    <w:rsid w:val="006C0FB3"/>
    <w:rsid w:val="006C1872"/>
    <w:rsid w:val="006C1892"/>
    <w:rsid w:val="006C1F94"/>
    <w:rsid w:val="006C1FD2"/>
    <w:rsid w:val="006C2679"/>
    <w:rsid w:val="006C285B"/>
    <w:rsid w:val="006C2E58"/>
    <w:rsid w:val="006C36DF"/>
    <w:rsid w:val="006C42BB"/>
    <w:rsid w:val="006C496D"/>
    <w:rsid w:val="006C4D51"/>
    <w:rsid w:val="006C4F2B"/>
    <w:rsid w:val="006C4F83"/>
    <w:rsid w:val="006C508B"/>
    <w:rsid w:val="006C5277"/>
    <w:rsid w:val="006C53D3"/>
    <w:rsid w:val="006C5AE9"/>
    <w:rsid w:val="006C5B73"/>
    <w:rsid w:val="006C5F95"/>
    <w:rsid w:val="006C63FC"/>
    <w:rsid w:val="006C645D"/>
    <w:rsid w:val="006C6738"/>
    <w:rsid w:val="006C6859"/>
    <w:rsid w:val="006C7CBD"/>
    <w:rsid w:val="006C7D67"/>
    <w:rsid w:val="006D016C"/>
    <w:rsid w:val="006D069B"/>
    <w:rsid w:val="006D07C7"/>
    <w:rsid w:val="006D085A"/>
    <w:rsid w:val="006D0861"/>
    <w:rsid w:val="006D08E0"/>
    <w:rsid w:val="006D1F0C"/>
    <w:rsid w:val="006D2022"/>
    <w:rsid w:val="006D2269"/>
    <w:rsid w:val="006D2D63"/>
    <w:rsid w:val="006D2E3B"/>
    <w:rsid w:val="006D2F1A"/>
    <w:rsid w:val="006D3C56"/>
    <w:rsid w:val="006D4529"/>
    <w:rsid w:val="006D458A"/>
    <w:rsid w:val="006D4D03"/>
    <w:rsid w:val="006D4D9A"/>
    <w:rsid w:val="006D500F"/>
    <w:rsid w:val="006D52F7"/>
    <w:rsid w:val="006D64B7"/>
    <w:rsid w:val="006D69DD"/>
    <w:rsid w:val="006D6BA8"/>
    <w:rsid w:val="006D6BD1"/>
    <w:rsid w:val="006D6E01"/>
    <w:rsid w:val="006D746A"/>
    <w:rsid w:val="006D7B6F"/>
    <w:rsid w:val="006D7CB3"/>
    <w:rsid w:val="006E018A"/>
    <w:rsid w:val="006E04C8"/>
    <w:rsid w:val="006E093A"/>
    <w:rsid w:val="006E0AA5"/>
    <w:rsid w:val="006E1273"/>
    <w:rsid w:val="006E1649"/>
    <w:rsid w:val="006E1B75"/>
    <w:rsid w:val="006E20A9"/>
    <w:rsid w:val="006E230E"/>
    <w:rsid w:val="006E2494"/>
    <w:rsid w:val="006E24FB"/>
    <w:rsid w:val="006E2788"/>
    <w:rsid w:val="006E2B68"/>
    <w:rsid w:val="006E2D2A"/>
    <w:rsid w:val="006E3194"/>
    <w:rsid w:val="006E36A3"/>
    <w:rsid w:val="006E3BE7"/>
    <w:rsid w:val="006E3CC3"/>
    <w:rsid w:val="006E4115"/>
    <w:rsid w:val="006E41AB"/>
    <w:rsid w:val="006E4916"/>
    <w:rsid w:val="006E4B01"/>
    <w:rsid w:val="006E5093"/>
    <w:rsid w:val="006E50EE"/>
    <w:rsid w:val="006E5276"/>
    <w:rsid w:val="006E53E6"/>
    <w:rsid w:val="006E673E"/>
    <w:rsid w:val="006E6892"/>
    <w:rsid w:val="006E6B9D"/>
    <w:rsid w:val="006E6D85"/>
    <w:rsid w:val="006E7399"/>
    <w:rsid w:val="006E756B"/>
    <w:rsid w:val="006E786D"/>
    <w:rsid w:val="006F0EB4"/>
    <w:rsid w:val="006F26BC"/>
    <w:rsid w:val="006F31DE"/>
    <w:rsid w:val="006F3609"/>
    <w:rsid w:val="006F372D"/>
    <w:rsid w:val="006F3832"/>
    <w:rsid w:val="006F4012"/>
    <w:rsid w:val="006F4F5B"/>
    <w:rsid w:val="006F57C8"/>
    <w:rsid w:val="006F5CC3"/>
    <w:rsid w:val="006F638B"/>
    <w:rsid w:val="006F69AD"/>
    <w:rsid w:val="006F6A36"/>
    <w:rsid w:val="006F6E6E"/>
    <w:rsid w:val="006F73F8"/>
    <w:rsid w:val="006F7A16"/>
    <w:rsid w:val="006F7C06"/>
    <w:rsid w:val="006F7D4D"/>
    <w:rsid w:val="0070008D"/>
    <w:rsid w:val="00700F59"/>
    <w:rsid w:val="007023EA"/>
    <w:rsid w:val="00702DBB"/>
    <w:rsid w:val="0070302D"/>
    <w:rsid w:val="00703683"/>
    <w:rsid w:val="00703DEF"/>
    <w:rsid w:val="007040D5"/>
    <w:rsid w:val="00704250"/>
    <w:rsid w:val="0070450E"/>
    <w:rsid w:val="007047C1"/>
    <w:rsid w:val="00704873"/>
    <w:rsid w:val="0070495D"/>
    <w:rsid w:val="0070562F"/>
    <w:rsid w:val="00705639"/>
    <w:rsid w:val="007061C5"/>
    <w:rsid w:val="007061EF"/>
    <w:rsid w:val="0070638F"/>
    <w:rsid w:val="0070663B"/>
    <w:rsid w:val="0070686A"/>
    <w:rsid w:val="007069A4"/>
    <w:rsid w:val="00706B17"/>
    <w:rsid w:val="00706E8E"/>
    <w:rsid w:val="00706FBA"/>
    <w:rsid w:val="00707185"/>
    <w:rsid w:val="007071EC"/>
    <w:rsid w:val="00707A76"/>
    <w:rsid w:val="00707E02"/>
    <w:rsid w:val="00707F24"/>
    <w:rsid w:val="0071009D"/>
    <w:rsid w:val="00710335"/>
    <w:rsid w:val="0071035C"/>
    <w:rsid w:val="00710873"/>
    <w:rsid w:val="00710F8B"/>
    <w:rsid w:val="007110AD"/>
    <w:rsid w:val="0071137F"/>
    <w:rsid w:val="007117C9"/>
    <w:rsid w:val="00711EE0"/>
    <w:rsid w:val="00712D71"/>
    <w:rsid w:val="007130A0"/>
    <w:rsid w:val="007132EB"/>
    <w:rsid w:val="0071388D"/>
    <w:rsid w:val="00713A13"/>
    <w:rsid w:val="00713D6A"/>
    <w:rsid w:val="007142E6"/>
    <w:rsid w:val="0071433C"/>
    <w:rsid w:val="007143AD"/>
    <w:rsid w:val="007144DA"/>
    <w:rsid w:val="00714B26"/>
    <w:rsid w:val="00714C5D"/>
    <w:rsid w:val="00716396"/>
    <w:rsid w:val="00716427"/>
    <w:rsid w:val="007172C3"/>
    <w:rsid w:val="00717456"/>
    <w:rsid w:val="007174E0"/>
    <w:rsid w:val="007174E1"/>
    <w:rsid w:val="00717B57"/>
    <w:rsid w:val="00717DD5"/>
    <w:rsid w:val="00720022"/>
    <w:rsid w:val="0072069E"/>
    <w:rsid w:val="007206F9"/>
    <w:rsid w:val="00720781"/>
    <w:rsid w:val="007207B5"/>
    <w:rsid w:val="00720CA1"/>
    <w:rsid w:val="00721482"/>
    <w:rsid w:val="00721A5F"/>
    <w:rsid w:val="007221DE"/>
    <w:rsid w:val="00722569"/>
    <w:rsid w:val="00722AE0"/>
    <w:rsid w:val="00722B53"/>
    <w:rsid w:val="00722D8F"/>
    <w:rsid w:val="00723972"/>
    <w:rsid w:val="00723D39"/>
    <w:rsid w:val="00723D3A"/>
    <w:rsid w:val="00723E12"/>
    <w:rsid w:val="00723E15"/>
    <w:rsid w:val="00724518"/>
    <w:rsid w:val="00724567"/>
    <w:rsid w:val="00724CBD"/>
    <w:rsid w:val="0072501D"/>
    <w:rsid w:val="007253AA"/>
    <w:rsid w:val="007257FB"/>
    <w:rsid w:val="0072603F"/>
    <w:rsid w:val="00726254"/>
    <w:rsid w:val="007264B8"/>
    <w:rsid w:val="00726B6A"/>
    <w:rsid w:val="00726FB3"/>
    <w:rsid w:val="00727F0A"/>
    <w:rsid w:val="00730727"/>
    <w:rsid w:val="007308B2"/>
    <w:rsid w:val="00730A1C"/>
    <w:rsid w:val="00731F8C"/>
    <w:rsid w:val="00732114"/>
    <w:rsid w:val="00732388"/>
    <w:rsid w:val="007330A5"/>
    <w:rsid w:val="00733785"/>
    <w:rsid w:val="00733964"/>
    <w:rsid w:val="00733995"/>
    <w:rsid w:val="00733F45"/>
    <w:rsid w:val="00734739"/>
    <w:rsid w:val="00734E90"/>
    <w:rsid w:val="00734EB7"/>
    <w:rsid w:val="007356A8"/>
    <w:rsid w:val="007357B9"/>
    <w:rsid w:val="00736EAF"/>
    <w:rsid w:val="00737010"/>
    <w:rsid w:val="00740047"/>
    <w:rsid w:val="00740A9E"/>
    <w:rsid w:val="00740EFF"/>
    <w:rsid w:val="007411C6"/>
    <w:rsid w:val="00741D52"/>
    <w:rsid w:val="00741E28"/>
    <w:rsid w:val="00742366"/>
    <w:rsid w:val="00742991"/>
    <w:rsid w:val="0074348A"/>
    <w:rsid w:val="00743ED6"/>
    <w:rsid w:val="00744484"/>
    <w:rsid w:val="0074463F"/>
    <w:rsid w:val="007449AB"/>
    <w:rsid w:val="00744D63"/>
    <w:rsid w:val="00744E9A"/>
    <w:rsid w:val="0074583B"/>
    <w:rsid w:val="00745BF7"/>
    <w:rsid w:val="00746307"/>
    <w:rsid w:val="0074722C"/>
    <w:rsid w:val="007472C4"/>
    <w:rsid w:val="00747AE7"/>
    <w:rsid w:val="00747CFC"/>
    <w:rsid w:val="0075017F"/>
    <w:rsid w:val="007503C5"/>
    <w:rsid w:val="007509DD"/>
    <w:rsid w:val="00750CAE"/>
    <w:rsid w:val="00750FDC"/>
    <w:rsid w:val="0075106B"/>
    <w:rsid w:val="0075156C"/>
    <w:rsid w:val="00751BCA"/>
    <w:rsid w:val="00752398"/>
    <w:rsid w:val="007527B5"/>
    <w:rsid w:val="00753525"/>
    <w:rsid w:val="00753558"/>
    <w:rsid w:val="007535B8"/>
    <w:rsid w:val="00754AD2"/>
    <w:rsid w:val="007550CB"/>
    <w:rsid w:val="00755237"/>
    <w:rsid w:val="0075538D"/>
    <w:rsid w:val="00755515"/>
    <w:rsid w:val="00755633"/>
    <w:rsid w:val="00755D38"/>
    <w:rsid w:val="00756535"/>
    <w:rsid w:val="00756702"/>
    <w:rsid w:val="00756D4C"/>
    <w:rsid w:val="00756DFF"/>
    <w:rsid w:val="0075722F"/>
    <w:rsid w:val="00757637"/>
    <w:rsid w:val="00757D4D"/>
    <w:rsid w:val="00757E61"/>
    <w:rsid w:val="007603E4"/>
    <w:rsid w:val="00760715"/>
    <w:rsid w:val="007608BF"/>
    <w:rsid w:val="0076189A"/>
    <w:rsid w:val="00761942"/>
    <w:rsid w:val="00761D8F"/>
    <w:rsid w:val="007628B4"/>
    <w:rsid w:val="00763474"/>
    <w:rsid w:val="00763691"/>
    <w:rsid w:val="007638CB"/>
    <w:rsid w:val="00763E10"/>
    <w:rsid w:val="007644A3"/>
    <w:rsid w:val="0076459C"/>
    <w:rsid w:val="007648EE"/>
    <w:rsid w:val="007651A2"/>
    <w:rsid w:val="007656A8"/>
    <w:rsid w:val="00765A47"/>
    <w:rsid w:val="00765AAF"/>
    <w:rsid w:val="00765D50"/>
    <w:rsid w:val="00765E2D"/>
    <w:rsid w:val="00766184"/>
    <w:rsid w:val="007663FB"/>
    <w:rsid w:val="00766463"/>
    <w:rsid w:val="00766830"/>
    <w:rsid w:val="00766E70"/>
    <w:rsid w:val="007672A2"/>
    <w:rsid w:val="007674AB"/>
    <w:rsid w:val="007675E7"/>
    <w:rsid w:val="007702DC"/>
    <w:rsid w:val="00770393"/>
    <w:rsid w:val="00770A01"/>
    <w:rsid w:val="00770EF2"/>
    <w:rsid w:val="007711A1"/>
    <w:rsid w:val="007718BC"/>
    <w:rsid w:val="00771A76"/>
    <w:rsid w:val="00771F05"/>
    <w:rsid w:val="00772592"/>
    <w:rsid w:val="0077260A"/>
    <w:rsid w:val="007728BD"/>
    <w:rsid w:val="007730BE"/>
    <w:rsid w:val="00773DD1"/>
    <w:rsid w:val="007745C6"/>
    <w:rsid w:val="007747FD"/>
    <w:rsid w:val="00774DFD"/>
    <w:rsid w:val="00775563"/>
    <w:rsid w:val="007755B7"/>
    <w:rsid w:val="00775927"/>
    <w:rsid w:val="00775A64"/>
    <w:rsid w:val="00775FE4"/>
    <w:rsid w:val="00776397"/>
    <w:rsid w:val="00776ED1"/>
    <w:rsid w:val="00776F95"/>
    <w:rsid w:val="00777032"/>
    <w:rsid w:val="0077709E"/>
    <w:rsid w:val="00777132"/>
    <w:rsid w:val="00777513"/>
    <w:rsid w:val="00777655"/>
    <w:rsid w:val="007776D5"/>
    <w:rsid w:val="007779E3"/>
    <w:rsid w:val="00777B98"/>
    <w:rsid w:val="00777F8C"/>
    <w:rsid w:val="007804B7"/>
    <w:rsid w:val="0078052A"/>
    <w:rsid w:val="00780571"/>
    <w:rsid w:val="00780B59"/>
    <w:rsid w:val="00780C76"/>
    <w:rsid w:val="00780DC3"/>
    <w:rsid w:val="00781DAC"/>
    <w:rsid w:val="00782052"/>
    <w:rsid w:val="0078257B"/>
    <w:rsid w:val="007826D8"/>
    <w:rsid w:val="00782D22"/>
    <w:rsid w:val="00782F29"/>
    <w:rsid w:val="007831E3"/>
    <w:rsid w:val="00783461"/>
    <w:rsid w:val="00783AF1"/>
    <w:rsid w:val="00783D75"/>
    <w:rsid w:val="007847EA"/>
    <w:rsid w:val="00784AB8"/>
    <w:rsid w:val="00784AE4"/>
    <w:rsid w:val="00784C01"/>
    <w:rsid w:val="00784C0A"/>
    <w:rsid w:val="00785516"/>
    <w:rsid w:val="0078565D"/>
    <w:rsid w:val="00785CEE"/>
    <w:rsid w:val="007866AA"/>
    <w:rsid w:val="00786C30"/>
    <w:rsid w:val="00786F2E"/>
    <w:rsid w:val="007876BA"/>
    <w:rsid w:val="00787ED1"/>
    <w:rsid w:val="00790166"/>
    <w:rsid w:val="0079025A"/>
    <w:rsid w:val="00790393"/>
    <w:rsid w:val="0079099F"/>
    <w:rsid w:val="00790CC4"/>
    <w:rsid w:val="00791126"/>
    <w:rsid w:val="0079153B"/>
    <w:rsid w:val="00791B5F"/>
    <w:rsid w:val="0079292F"/>
    <w:rsid w:val="00792FF8"/>
    <w:rsid w:val="00793122"/>
    <w:rsid w:val="0079333E"/>
    <w:rsid w:val="007936A4"/>
    <w:rsid w:val="00793E4F"/>
    <w:rsid w:val="0079400C"/>
    <w:rsid w:val="0079442A"/>
    <w:rsid w:val="00794711"/>
    <w:rsid w:val="00794995"/>
    <w:rsid w:val="00794B40"/>
    <w:rsid w:val="00794BEF"/>
    <w:rsid w:val="007956B2"/>
    <w:rsid w:val="00795AF2"/>
    <w:rsid w:val="00795C06"/>
    <w:rsid w:val="00795CC5"/>
    <w:rsid w:val="00795F3B"/>
    <w:rsid w:val="00796247"/>
    <w:rsid w:val="00796974"/>
    <w:rsid w:val="00796E26"/>
    <w:rsid w:val="00796F00"/>
    <w:rsid w:val="00797879"/>
    <w:rsid w:val="00797914"/>
    <w:rsid w:val="00797940"/>
    <w:rsid w:val="00797EFF"/>
    <w:rsid w:val="007A04E0"/>
    <w:rsid w:val="007A0ADD"/>
    <w:rsid w:val="007A0C01"/>
    <w:rsid w:val="007A0EB9"/>
    <w:rsid w:val="007A1079"/>
    <w:rsid w:val="007A22E4"/>
    <w:rsid w:val="007A23F3"/>
    <w:rsid w:val="007A2D82"/>
    <w:rsid w:val="007A2EEE"/>
    <w:rsid w:val="007A32AD"/>
    <w:rsid w:val="007A378B"/>
    <w:rsid w:val="007A39FF"/>
    <w:rsid w:val="007A3BA4"/>
    <w:rsid w:val="007A4B61"/>
    <w:rsid w:val="007A544C"/>
    <w:rsid w:val="007A65E0"/>
    <w:rsid w:val="007A6A32"/>
    <w:rsid w:val="007A753C"/>
    <w:rsid w:val="007A7567"/>
    <w:rsid w:val="007A76DD"/>
    <w:rsid w:val="007A7B05"/>
    <w:rsid w:val="007A7B0D"/>
    <w:rsid w:val="007B00BC"/>
    <w:rsid w:val="007B01D0"/>
    <w:rsid w:val="007B04E4"/>
    <w:rsid w:val="007B0C7A"/>
    <w:rsid w:val="007B0DDB"/>
    <w:rsid w:val="007B100E"/>
    <w:rsid w:val="007B1263"/>
    <w:rsid w:val="007B161F"/>
    <w:rsid w:val="007B22AF"/>
    <w:rsid w:val="007B24FD"/>
    <w:rsid w:val="007B2619"/>
    <w:rsid w:val="007B2677"/>
    <w:rsid w:val="007B2DA9"/>
    <w:rsid w:val="007B3122"/>
    <w:rsid w:val="007B354F"/>
    <w:rsid w:val="007B35D4"/>
    <w:rsid w:val="007B3D16"/>
    <w:rsid w:val="007B3F1F"/>
    <w:rsid w:val="007B4059"/>
    <w:rsid w:val="007B4C26"/>
    <w:rsid w:val="007B4E87"/>
    <w:rsid w:val="007B5449"/>
    <w:rsid w:val="007B5DC6"/>
    <w:rsid w:val="007B5FDE"/>
    <w:rsid w:val="007B617F"/>
    <w:rsid w:val="007B62CB"/>
    <w:rsid w:val="007B668A"/>
    <w:rsid w:val="007B66C4"/>
    <w:rsid w:val="007B6765"/>
    <w:rsid w:val="007B69A3"/>
    <w:rsid w:val="007B6C90"/>
    <w:rsid w:val="007B76AB"/>
    <w:rsid w:val="007B7942"/>
    <w:rsid w:val="007B797D"/>
    <w:rsid w:val="007B799F"/>
    <w:rsid w:val="007C0185"/>
    <w:rsid w:val="007C0C1F"/>
    <w:rsid w:val="007C176C"/>
    <w:rsid w:val="007C1864"/>
    <w:rsid w:val="007C21F1"/>
    <w:rsid w:val="007C38A2"/>
    <w:rsid w:val="007C38E4"/>
    <w:rsid w:val="007C3FA2"/>
    <w:rsid w:val="007C43A8"/>
    <w:rsid w:val="007C496C"/>
    <w:rsid w:val="007C4B13"/>
    <w:rsid w:val="007C50C7"/>
    <w:rsid w:val="007C535B"/>
    <w:rsid w:val="007C594B"/>
    <w:rsid w:val="007C6571"/>
    <w:rsid w:val="007C69DD"/>
    <w:rsid w:val="007C6D48"/>
    <w:rsid w:val="007C6DD9"/>
    <w:rsid w:val="007C6E32"/>
    <w:rsid w:val="007C7927"/>
    <w:rsid w:val="007D03D3"/>
    <w:rsid w:val="007D0A57"/>
    <w:rsid w:val="007D0F13"/>
    <w:rsid w:val="007D2A3E"/>
    <w:rsid w:val="007D3498"/>
    <w:rsid w:val="007D34C0"/>
    <w:rsid w:val="007D4C3B"/>
    <w:rsid w:val="007D592B"/>
    <w:rsid w:val="007D5AA6"/>
    <w:rsid w:val="007D5C0E"/>
    <w:rsid w:val="007D653B"/>
    <w:rsid w:val="007D659E"/>
    <w:rsid w:val="007D6906"/>
    <w:rsid w:val="007D736E"/>
    <w:rsid w:val="007D73F6"/>
    <w:rsid w:val="007D7A91"/>
    <w:rsid w:val="007E18A0"/>
    <w:rsid w:val="007E1C19"/>
    <w:rsid w:val="007E2892"/>
    <w:rsid w:val="007E29FB"/>
    <w:rsid w:val="007E2A33"/>
    <w:rsid w:val="007E2B1E"/>
    <w:rsid w:val="007E2F65"/>
    <w:rsid w:val="007E3942"/>
    <w:rsid w:val="007E3A91"/>
    <w:rsid w:val="007E3D05"/>
    <w:rsid w:val="007E410E"/>
    <w:rsid w:val="007E50E8"/>
    <w:rsid w:val="007E5259"/>
    <w:rsid w:val="007E5602"/>
    <w:rsid w:val="007E57A1"/>
    <w:rsid w:val="007E5920"/>
    <w:rsid w:val="007E5BB7"/>
    <w:rsid w:val="007E6452"/>
    <w:rsid w:val="007E6456"/>
    <w:rsid w:val="007E6DB8"/>
    <w:rsid w:val="007E72EA"/>
    <w:rsid w:val="007F0081"/>
    <w:rsid w:val="007F1949"/>
    <w:rsid w:val="007F2705"/>
    <w:rsid w:val="007F296B"/>
    <w:rsid w:val="007F3384"/>
    <w:rsid w:val="007F3598"/>
    <w:rsid w:val="007F41BD"/>
    <w:rsid w:val="007F43EF"/>
    <w:rsid w:val="007F447D"/>
    <w:rsid w:val="007F4574"/>
    <w:rsid w:val="007F4929"/>
    <w:rsid w:val="007F4ED0"/>
    <w:rsid w:val="007F56BA"/>
    <w:rsid w:val="007F6139"/>
    <w:rsid w:val="007F6530"/>
    <w:rsid w:val="007F65B0"/>
    <w:rsid w:val="007F695B"/>
    <w:rsid w:val="007F6B21"/>
    <w:rsid w:val="007F6DC9"/>
    <w:rsid w:val="007F73E4"/>
    <w:rsid w:val="007F7E57"/>
    <w:rsid w:val="007F7EEE"/>
    <w:rsid w:val="00800347"/>
    <w:rsid w:val="00800395"/>
    <w:rsid w:val="00800526"/>
    <w:rsid w:val="00800B35"/>
    <w:rsid w:val="00800E1C"/>
    <w:rsid w:val="00800FAE"/>
    <w:rsid w:val="00802AF9"/>
    <w:rsid w:val="00802E7F"/>
    <w:rsid w:val="008034AD"/>
    <w:rsid w:val="008038BC"/>
    <w:rsid w:val="008038D3"/>
    <w:rsid w:val="00803B28"/>
    <w:rsid w:val="00804080"/>
    <w:rsid w:val="0080424E"/>
    <w:rsid w:val="008043B4"/>
    <w:rsid w:val="00804B5A"/>
    <w:rsid w:val="00804BC2"/>
    <w:rsid w:val="00804C4D"/>
    <w:rsid w:val="00804C72"/>
    <w:rsid w:val="008051A9"/>
    <w:rsid w:val="00805508"/>
    <w:rsid w:val="00805644"/>
    <w:rsid w:val="00805CB3"/>
    <w:rsid w:val="008064FE"/>
    <w:rsid w:val="008065E8"/>
    <w:rsid w:val="00806E64"/>
    <w:rsid w:val="00807183"/>
    <w:rsid w:val="00807AA9"/>
    <w:rsid w:val="00807FDB"/>
    <w:rsid w:val="00811943"/>
    <w:rsid w:val="00811996"/>
    <w:rsid w:val="00811F38"/>
    <w:rsid w:val="00812151"/>
    <w:rsid w:val="00812176"/>
    <w:rsid w:val="00812534"/>
    <w:rsid w:val="0081282E"/>
    <w:rsid w:val="00812A9C"/>
    <w:rsid w:val="00813222"/>
    <w:rsid w:val="008139DB"/>
    <w:rsid w:val="00814EE9"/>
    <w:rsid w:val="0081534B"/>
    <w:rsid w:val="00815986"/>
    <w:rsid w:val="008159D6"/>
    <w:rsid w:val="00815BA3"/>
    <w:rsid w:val="00815C81"/>
    <w:rsid w:val="0081699F"/>
    <w:rsid w:val="00816CE6"/>
    <w:rsid w:val="0082133B"/>
    <w:rsid w:val="008216D8"/>
    <w:rsid w:val="00821E14"/>
    <w:rsid w:val="00821E80"/>
    <w:rsid w:val="00822164"/>
    <w:rsid w:val="00822AB1"/>
    <w:rsid w:val="00822EF9"/>
    <w:rsid w:val="00822FF2"/>
    <w:rsid w:val="00823088"/>
    <w:rsid w:val="008231D4"/>
    <w:rsid w:val="00824C4A"/>
    <w:rsid w:val="00824CEC"/>
    <w:rsid w:val="0082530C"/>
    <w:rsid w:val="0082543D"/>
    <w:rsid w:val="00825488"/>
    <w:rsid w:val="008255D1"/>
    <w:rsid w:val="0082589B"/>
    <w:rsid w:val="008259D0"/>
    <w:rsid w:val="00825A36"/>
    <w:rsid w:val="00825A5B"/>
    <w:rsid w:val="008263BE"/>
    <w:rsid w:val="00827383"/>
    <w:rsid w:val="0083001D"/>
    <w:rsid w:val="0083074F"/>
    <w:rsid w:val="0083079E"/>
    <w:rsid w:val="0083098D"/>
    <w:rsid w:val="00830F72"/>
    <w:rsid w:val="00831099"/>
    <w:rsid w:val="008311B8"/>
    <w:rsid w:val="008314EC"/>
    <w:rsid w:val="00831AA1"/>
    <w:rsid w:val="00831C3E"/>
    <w:rsid w:val="00831C9C"/>
    <w:rsid w:val="00832608"/>
    <w:rsid w:val="008329C7"/>
    <w:rsid w:val="00832EF5"/>
    <w:rsid w:val="0083301A"/>
    <w:rsid w:val="008331AB"/>
    <w:rsid w:val="0083384A"/>
    <w:rsid w:val="00833DF2"/>
    <w:rsid w:val="00834243"/>
    <w:rsid w:val="0083428D"/>
    <w:rsid w:val="008343BD"/>
    <w:rsid w:val="00834B42"/>
    <w:rsid w:val="00834D30"/>
    <w:rsid w:val="00835334"/>
    <w:rsid w:val="00835449"/>
    <w:rsid w:val="00835606"/>
    <w:rsid w:val="0083576B"/>
    <w:rsid w:val="00835955"/>
    <w:rsid w:val="00835BA4"/>
    <w:rsid w:val="00835F46"/>
    <w:rsid w:val="008364DB"/>
    <w:rsid w:val="0083692D"/>
    <w:rsid w:val="00837076"/>
    <w:rsid w:val="0083734B"/>
    <w:rsid w:val="008374C4"/>
    <w:rsid w:val="00837663"/>
    <w:rsid w:val="00840021"/>
    <w:rsid w:val="008403B1"/>
    <w:rsid w:val="00840921"/>
    <w:rsid w:val="00840984"/>
    <w:rsid w:val="00840B36"/>
    <w:rsid w:val="00840C14"/>
    <w:rsid w:val="00840EA4"/>
    <w:rsid w:val="0084101B"/>
    <w:rsid w:val="008410F0"/>
    <w:rsid w:val="0084191C"/>
    <w:rsid w:val="008419D6"/>
    <w:rsid w:val="00841BB9"/>
    <w:rsid w:val="00841F48"/>
    <w:rsid w:val="0084203D"/>
    <w:rsid w:val="008420DC"/>
    <w:rsid w:val="00842131"/>
    <w:rsid w:val="008427CF"/>
    <w:rsid w:val="00842CDE"/>
    <w:rsid w:val="0084309B"/>
    <w:rsid w:val="008434F2"/>
    <w:rsid w:val="0084361D"/>
    <w:rsid w:val="00843B14"/>
    <w:rsid w:val="00843EE1"/>
    <w:rsid w:val="00843F2E"/>
    <w:rsid w:val="008445C8"/>
    <w:rsid w:val="008453E0"/>
    <w:rsid w:val="008456D9"/>
    <w:rsid w:val="008459D3"/>
    <w:rsid w:val="00845B9B"/>
    <w:rsid w:val="00845F3E"/>
    <w:rsid w:val="008462C9"/>
    <w:rsid w:val="00846679"/>
    <w:rsid w:val="0084677A"/>
    <w:rsid w:val="00846B3E"/>
    <w:rsid w:val="00847279"/>
    <w:rsid w:val="00847813"/>
    <w:rsid w:val="00847872"/>
    <w:rsid w:val="00847885"/>
    <w:rsid w:val="00847953"/>
    <w:rsid w:val="00847E0E"/>
    <w:rsid w:val="00847E8A"/>
    <w:rsid w:val="00847FE7"/>
    <w:rsid w:val="008500BE"/>
    <w:rsid w:val="00850C0D"/>
    <w:rsid w:val="00851086"/>
    <w:rsid w:val="00851501"/>
    <w:rsid w:val="0085155D"/>
    <w:rsid w:val="00851B74"/>
    <w:rsid w:val="00852001"/>
    <w:rsid w:val="008521A3"/>
    <w:rsid w:val="008521D8"/>
    <w:rsid w:val="0085277A"/>
    <w:rsid w:val="00852B9D"/>
    <w:rsid w:val="00853B11"/>
    <w:rsid w:val="00854038"/>
    <w:rsid w:val="008541E5"/>
    <w:rsid w:val="0085472F"/>
    <w:rsid w:val="0085480E"/>
    <w:rsid w:val="00854B32"/>
    <w:rsid w:val="0085512E"/>
    <w:rsid w:val="008557AA"/>
    <w:rsid w:val="00855CA7"/>
    <w:rsid w:val="00855DE2"/>
    <w:rsid w:val="0085690B"/>
    <w:rsid w:val="0085701F"/>
    <w:rsid w:val="0085723B"/>
    <w:rsid w:val="00857277"/>
    <w:rsid w:val="008575A9"/>
    <w:rsid w:val="00857619"/>
    <w:rsid w:val="008578B8"/>
    <w:rsid w:val="00857969"/>
    <w:rsid w:val="00857A3B"/>
    <w:rsid w:val="00857C22"/>
    <w:rsid w:val="00860036"/>
    <w:rsid w:val="008601A5"/>
    <w:rsid w:val="0086025A"/>
    <w:rsid w:val="0086113B"/>
    <w:rsid w:val="008618F6"/>
    <w:rsid w:val="00861DBD"/>
    <w:rsid w:val="008623BE"/>
    <w:rsid w:val="008623F2"/>
    <w:rsid w:val="008624C9"/>
    <w:rsid w:val="00862557"/>
    <w:rsid w:val="00863161"/>
    <w:rsid w:val="008632F2"/>
    <w:rsid w:val="0086337B"/>
    <w:rsid w:val="008633E1"/>
    <w:rsid w:val="00863526"/>
    <w:rsid w:val="00863711"/>
    <w:rsid w:val="008639F2"/>
    <w:rsid w:val="00863D00"/>
    <w:rsid w:val="00864C76"/>
    <w:rsid w:val="00865345"/>
    <w:rsid w:val="008655E7"/>
    <w:rsid w:val="008665FC"/>
    <w:rsid w:val="008667AC"/>
    <w:rsid w:val="00866E2C"/>
    <w:rsid w:val="00867CD6"/>
    <w:rsid w:val="00870B20"/>
    <w:rsid w:val="00870D43"/>
    <w:rsid w:val="00870F0B"/>
    <w:rsid w:val="00870F58"/>
    <w:rsid w:val="0087177C"/>
    <w:rsid w:val="00871C35"/>
    <w:rsid w:val="00871F06"/>
    <w:rsid w:val="00871F1E"/>
    <w:rsid w:val="00871FA9"/>
    <w:rsid w:val="008726D6"/>
    <w:rsid w:val="00872DA7"/>
    <w:rsid w:val="0087313D"/>
    <w:rsid w:val="0087316B"/>
    <w:rsid w:val="0087333E"/>
    <w:rsid w:val="008737C7"/>
    <w:rsid w:val="008737E6"/>
    <w:rsid w:val="00873CD5"/>
    <w:rsid w:val="00873E65"/>
    <w:rsid w:val="008740E2"/>
    <w:rsid w:val="008742F8"/>
    <w:rsid w:val="008751FE"/>
    <w:rsid w:val="008758C8"/>
    <w:rsid w:val="00876055"/>
    <w:rsid w:val="00876086"/>
    <w:rsid w:val="00876194"/>
    <w:rsid w:val="00876606"/>
    <w:rsid w:val="00876B0C"/>
    <w:rsid w:val="00877171"/>
    <w:rsid w:val="0087732D"/>
    <w:rsid w:val="0087737B"/>
    <w:rsid w:val="0087769B"/>
    <w:rsid w:val="00877C75"/>
    <w:rsid w:val="008801C3"/>
    <w:rsid w:val="008805B5"/>
    <w:rsid w:val="008808EB"/>
    <w:rsid w:val="00880EB5"/>
    <w:rsid w:val="008820EA"/>
    <w:rsid w:val="00882CC4"/>
    <w:rsid w:val="00882CE4"/>
    <w:rsid w:val="008834E1"/>
    <w:rsid w:val="00883BFA"/>
    <w:rsid w:val="00883F9B"/>
    <w:rsid w:val="008840E6"/>
    <w:rsid w:val="00884136"/>
    <w:rsid w:val="0088430A"/>
    <w:rsid w:val="008844AC"/>
    <w:rsid w:val="008845D4"/>
    <w:rsid w:val="00885513"/>
    <w:rsid w:val="00885555"/>
    <w:rsid w:val="00885603"/>
    <w:rsid w:val="00885EA0"/>
    <w:rsid w:val="00885F58"/>
    <w:rsid w:val="0088600C"/>
    <w:rsid w:val="008867DC"/>
    <w:rsid w:val="00886BAF"/>
    <w:rsid w:val="00887B71"/>
    <w:rsid w:val="00887E43"/>
    <w:rsid w:val="00890270"/>
    <w:rsid w:val="0089055F"/>
    <w:rsid w:val="00890813"/>
    <w:rsid w:val="00890950"/>
    <w:rsid w:val="0089136C"/>
    <w:rsid w:val="00891D96"/>
    <w:rsid w:val="00891DAF"/>
    <w:rsid w:val="0089296E"/>
    <w:rsid w:val="00892C88"/>
    <w:rsid w:val="00892CC6"/>
    <w:rsid w:val="00892E38"/>
    <w:rsid w:val="0089353D"/>
    <w:rsid w:val="0089393E"/>
    <w:rsid w:val="008940E6"/>
    <w:rsid w:val="00894E06"/>
    <w:rsid w:val="008958BC"/>
    <w:rsid w:val="00895C8B"/>
    <w:rsid w:val="00896062"/>
    <w:rsid w:val="008966FC"/>
    <w:rsid w:val="00897621"/>
    <w:rsid w:val="008976A6"/>
    <w:rsid w:val="0089786C"/>
    <w:rsid w:val="0089798F"/>
    <w:rsid w:val="00897D63"/>
    <w:rsid w:val="00897F46"/>
    <w:rsid w:val="008A05C5"/>
    <w:rsid w:val="008A0F6F"/>
    <w:rsid w:val="008A18CC"/>
    <w:rsid w:val="008A1C4D"/>
    <w:rsid w:val="008A1D41"/>
    <w:rsid w:val="008A1FB9"/>
    <w:rsid w:val="008A29E9"/>
    <w:rsid w:val="008A29FD"/>
    <w:rsid w:val="008A313B"/>
    <w:rsid w:val="008A314C"/>
    <w:rsid w:val="008A32BF"/>
    <w:rsid w:val="008A34F2"/>
    <w:rsid w:val="008A368B"/>
    <w:rsid w:val="008A3C62"/>
    <w:rsid w:val="008A431E"/>
    <w:rsid w:val="008A5885"/>
    <w:rsid w:val="008A5C12"/>
    <w:rsid w:val="008A5F04"/>
    <w:rsid w:val="008A6089"/>
    <w:rsid w:val="008A62FC"/>
    <w:rsid w:val="008A6988"/>
    <w:rsid w:val="008A6B73"/>
    <w:rsid w:val="008A6D3D"/>
    <w:rsid w:val="008A6EA6"/>
    <w:rsid w:val="008A6F03"/>
    <w:rsid w:val="008A6F37"/>
    <w:rsid w:val="008A6FE4"/>
    <w:rsid w:val="008A7252"/>
    <w:rsid w:val="008A75C4"/>
    <w:rsid w:val="008A7E83"/>
    <w:rsid w:val="008B0243"/>
    <w:rsid w:val="008B0CA9"/>
    <w:rsid w:val="008B1A7E"/>
    <w:rsid w:val="008B1C0B"/>
    <w:rsid w:val="008B1D7A"/>
    <w:rsid w:val="008B2769"/>
    <w:rsid w:val="008B283D"/>
    <w:rsid w:val="008B2886"/>
    <w:rsid w:val="008B298B"/>
    <w:rsid w:val="008B2A03"/>
    <w:rsid w:val="008B2A0C"/>
    <w:rsid w:val="008B33F2"/>
    <w:rsid w:val="008B3606"/>
    <w:rsid w:val="008B3D18"/>
    <w:rsid w:val="008B3F91"/>
    <w:rsid w:val="008B410B"/>
    <w:rsid w:val="008B48C6"/>
    <w:rsid w:val="008B4D91"/>
    <w:rsid w:val="008B54CC"/>
    <w:rsid w:val="008B5592"/>
    <w:rsid w:val="008B5EDD"/>
    <w:rsid w:val="008B6527"/>
    <w:rsid w:val="008B656A"/>
    <w:rsid w:val="008B693A"/>
    <w:rsid w:val="008B7110"/>
    <w:rsid w:val="008B72A8"/>
    <w:rsid w:val="008B739D"/>
    <w:rsid w:val="008B7C99"/>
    <w:rsid w:val="008C0830"/>
    <w:rsid w:val="008C20B3"/>
    <w:rsid w:val="008C24DD"/>
    <w:rsid w:val="008C2A80"/>
    <w:rsid w:val="008C3513"/>
    <w:rsid w:val="008C3861"/>
    <w:rsid w:val="008C3C4A"/>
    <w:rsid w:val="008C459A"/>
    <w:rsid w:val="008C48C8"/>
    <w:rsid w:val="008C4D07"/>
    <w:rsid w:val="008C5441"/>
    <w:rsid w:val="008C6BF4"/>
    <w:rsid w:val="008C6C5C"/>
    <w:rsid w:val="008C73D5"/>
    <w:rsid w:val="008C7C50"/>
    <w:rsid w:val="008C7C91"/>
    <w:rsid w:val="008C7F71"/>
    <w:rsid w:val="008D022C"/>
    <w:rsid w:val="008D08A5"/>
    <w:rsid w:val="008D0CA8"/>
    <w:rsid w:val="008D0E90"/>
    <w:rsid w:val="008D10D1"/>
    <w:rsid w:val="008D2269"/>
    <w:rsid w:val="008D23B1"/>
    <w:rsid w:val="008D2A39"/>
    <w:rsid w:val="008D31D0"/>
    <w:rsid w:val="008D339F"/>
    <w:rsid w:val="008D4124"/>
    <w:rsid w:val="008D42E1"/>
    <w:rsid w:val="008D44E8"/>
    <w:rsid w:val="008D5281"/>
    <w:rsid w:val="008D538D"/>
    <w:rsid w:val="008D5461"/>
    <w:rsid w:val="008D5612"/>
    <w:rsid w:val="008D5CAD"/>
    <w:rsid w:val="008D5E2B"/>
    <w:rsid w:val="008D5F3B"/>
    <w:rsid w:val="008D64F5"/>
    <w:rsid w:val="008E0105"/>
    <w:rsid w:val="008E0C15"/>
    <w:rsid w:val="008E10A0"/>
    <w:rsid w:val="008E1C77"/>
    <w:rsid w:val="008E1DEB"/>
    <w:rsid w:val="008E2A33"/>
    <w:rsid w:val="008E2C5C"/>
    <w:rsid w:val="008E32FD"/>
    <w:rsid w:val="008E38C7"/>
    <w:rsid w:val="008E3BC2"/>
    <w:rsid w:val="008E3E6F"/>
    <w:rsid w:val="008E4141"/>
    <w:rsid w:val="008E41C3"/>
    <w:rsid w:val="008E48A5"/>
    <w:rsid w:val="008E4ABE"/>
    <w:rsid w:val="008E527D"/>
    <w:rsid w:val="008E57F8"/>
    <w:rsid w:val="008E59D3"/>
    <w:rsid w:val="008E608E"/>
    <w:rsid w:val="008E6292"/>
    <w:rsid w:val="008E6434"/>
    <w:rsid w:val="008E6C9D"/>
    <w:rsid w:val="008E6D09"/>
    <w:rsid w:val="008E7566"/>
    <w:rsid w:val="008E7E22"/>
    <w:rsid w:val="008F017C"/>
    <w:rsid w:val="008F02AF"/>
    <w:rsid w:val="008F0CC7"/>
    <w:rsid w:val="008F0DB0"/>
    <w:rsid w:val="008F23EB"/>
    <w:rsid w:val="008F29D4"/>
    <w:rsid w:val="008F2E60"/>
    <w:rsid w:val="008F2F31"/>
    <w:rsid w:val="008F311E"/>
    <w:rsid w:val="008F3C1C"/>
    <w:rsid w:val="008F4C70"/>
    <w:rsid w:val="008F52E2"/>
    <w:rsid w:val="008F53D2"/>
    <w:rsid w:val="008F5659"/>
    <w:rsid w:val="008F57C2"/>
    <w:rsid w:val="008F58B1"/>
    <w:rsid w:val="008F62B6"/>
    <w:rsid w:val="008F6763"/>
    <w:rsid w:val="008F6B4B"/>
    <w:rsid w:val="008F6F56"/>
    <w:rsid w:val="008F711F"/>
    <w:rsid w:val="008F7354"/>
    <w:rsid w:val="008F73A1"/>
    <w:rsid w:val="008F7623"/>
    <w:rsid w:val="008F7C73"/>
    <w:rsid w:val="0090023C"/>
    <w:rsid w:val="0090059A"/>
    <w:rsid w:val="00900954"/>
    <w:rsid w:val="00900E3B"/>
    <w:rsid w:val="009011D8"/>
    <w:rsid w:val="00901BF4"/>
    <w:rsid w:val="00902140"/>
    <w:rsid w:val="00902E9C"/>
    <w:rsid w:val="00903005"/>
    <w:rsid w:val="0090312E"/>
    <w:rsid w:val="00903FC6"/>
    <w:rsid w:val="00904468"/>
    <w:rsid w:val="00904788"/>
    <w:rsid w:val="0090562D"/>
    <w:rsid w:val="00905798"/>
    <w:rsid w:val="00905B3E"/>
    <w:rsid w:val="00906944"/>
    <w:rsid w:val="00906AFC"/>
    <w:rsid w:val="00906E15"/>
    <w:rsid w:val="00906E61"/>
    <w:rsid w:val="00906EC2"/>
    <w:rsid w:val="00907055"/>
    <w:rsid w:val="0090719C"/>
    <w:rsid w:val="0090783C"/>
    <w:rsid w:val="009079A8"/>
    <w:rsid w:val="00907CA5"/>
    <w:rsid w:val="00907CB6"/>
    <w:rsid w:val="00907D06"/>
    <w:rsid w:val="00907FC9"/>
    <w:rsid w:val="009114B5"/>
    <w:rsid w:val="00911A4F"/>
    <w:rsid w:val="00911A8B"/>
    <w:rsid w:val="00911B03"/>
    <w:rsid w:val="00911CD7"/>
    <w:rsid w:val="00911D0A"/>
    <w:rsid w:val="00911DE1"/>
    <w:rsid w:val="00912194"/>
    <w:rsid w:val="009128A8"/>
    <w:rsid w:val="00912CDB"/>
    <w:rsid w:val="0091330B"/>
    <w:rsid w:val="009136C7"/>
    <w:rsid w:val="009136F0"/>
    <w:rsid w:val="009138B2"/>
    <w:rsid w:val="009147AA"/>
    <w:rsid w:val="00915A95"/>
    <w:rsid w:val="00916460"/>
    <w:rsid w:val="0091697D"/>
    <w:rsid w:val="00916B38"/>
    <w:rsid w:val="00916D7E"/>
    <w:rsid w:val="00917193"/>
    <w:rsid w:val="00917424"/>
    <w:rsid w:val="00917968"/>
    <w:rsid w:val="00917CB7"/>
    <w:rsid w:val="00917E28"/>
    <w:rsid w:val="00920077"/>
    <w:rsid w:val="0092008A"/>
    <w:rsid w:val="009201D1"/>
    <w:rsid w:val="00920770"/>
    <w:rsid w:val="009209E6"/>
    <w:rsid w:val="009214B0"/>
    <w:rsid w:val="00921785"/>
    <w:rsid w:val="00921EED"/>
    <w:rsid w:val="00922698"/>
    <w:rsid w:val="00923980"/>
    <w:rsid w:val="00923E8C"/>
    <w:rsid w:val="009242FC"/>
    <w:rsid w:val="009248FF"/>
    <w:rsid w:val="0092548E"/>
    <w:rsid w:val="009255F3"/>
    <w:rsid w:val="00925AA5"/>
    <w:rsid w:val="00925C41"/>
    <w:rsid w:val="00925DD3"/>
    <w:rsid w:val="00925F06"/>
    <w:rsid w:val="0092661A"/>
    <w:rsid w:val="00926843"/>
    <w:rsid w:val="00926D1C"/>
    <w:rsid w:val="00926E37"/>
    <w:rsid w:val="00926FD3"/>
    <w:rsid w:val="009272B0"/>
    <w:rsid w:val="009273D3"/>
    <w:rsid w:val="009273F2"/>
    <w:rsid w:val="00927467"/>
    <w:rsid w:val="00927B46"/>
    <w:rsid w:val="00927BBF"/>
    <w:rsid w:val="00927CDE"/>
    <w:rsid w:val="00927DBD"/>
    <w:rsid w:val="0093050A"/>
    <w:rsid w:val="009308BE"/>
    <w:rsid w:val="00930A6A"/>
    <w:rsid w:val="00930AEF"/>
    <w:rsid w:val="00932A65"/>
    <w:rsid w:val="00932D79"/>
    <w:rsid w:val="00932F52"/>
    <w:rsid w:val="009331B4"/>
    <w:rsid w:val="009332BE"/>
    <w:rsid w:val="00933C97"/>
    <w:rsid w:val="00933CFE"/>
    <w:rsid w:val="00933FFF"/>
    <w:rsid w:val="0093479C"/>
    <w:rsid w:val="00935330"/>
    <w:rsid w:val="0093540D"/>
    <w:rsid w:val="00936078"/>
    <w:rsid w:val="00936E31"/>
    <w:rsid w:val="009372B4"/>
    <w:rsid w:val="009375DF"/>
    <w:rsid w:val="00937803"/>
    <w:rsid w:val="00940119"/>
    <w:rsid w:val="0094019D"/>
    <w:rsid w:val="009401D8"/>
    <w:rsid w:val="0094069B"/>
    <w:rsid w:val="00940786"/>
    <w:rsid w:val="009408C8"/>
    <w:rsid w:val="00941597"/>
    <w:rsid w:val="009416A6"/>
    <w:rsid w:val="00941C51"/>
    <w:rsid w:val="00941E9F"/>
    <w:rsid w:val="00941EE1"/>
    <w:rsid w:val="00941FBA"/>
    <w:rsid w:val="0094209B"/>
    <w:rsid w:val="0094221E"/>
    <w:rsid w:val="009425FF"/>
    <w:rsid w:val="0094271B"/>
    <w:rsid w:val="00942751"/>
    <w:rsid w:val="00942C11"/>
    <w:rsid w:val="0094321A"/>
    <w:rsid w:val="0094351F"/>
    <w:rsid w:val="00943831"/>
    <w:rsid w:val="00943BA5"/>
    <w:rsid w:val="00943CF8"/>
    <w:rsid w:val="009444A1"/>
    <w:rsid w:val="0094459B"/>
    <w:rsid w:val="00944A84"/>
    <w:rsid w:val="00944C47"/>
    <w:rsid w:val="00944CA2"/>
    <w:rsid w:val="00945AAF"/>
    <w:rsid w:val="00945DFD"/>
    <w:rsid w:val="00946106"/>
    <w:rsid w:val="00946B4C"/>
    <w:rsid w:val="00946BA6"/>
    <w:rsid w:val="00946F63"/>
    <w:rsid w:val="00946FDA"/>
    <w:rsid w:val="009470F6"/>
    <w:rsid w:val="00947461"/>
    <w:rsid w:val="00947FB7"/>
    <w:rsid w:val="00950403"/>
    <w:rsid w:val="00950829"/>
    <w:rsid w:val="00951D01"/>
    <w:rsid w:val="00951FAC"/>
    <w:rsid w:val="00952088"/>
    <w:rsid w:val="009528CE"/>
    <w:rsid w:val="00952DDD"/>
    <w:rsid w:val="00953530"/>
    <w:rsid w:val="00953DD5"/>
    <w:rsid w:val="0095476D"/>
    <w:rsid w:val="009547A1"/>
    <w:rsid w:val="009547F8"/>
    <w:rsid w:val="00955057"/>
    <w:rsid w:val="00955366"/>
    <w:rsid w:val="0095542B"/>
    <w:rsid w:val="009555D9"/>
    <w:rsid w:val="0095572E"/>
    <w:rsid w:val="009559A8"/>
    <w:rsid w:val="00956290"/>
    <w:rsid w:val="00956A67"/>
    <w:rsid w:val="00956ACE"/>
    <w:rsid w:val="00956D0B"/>
    <w:rsid w:val="0095740A"/>
    <w:rsid w:val="00957553"/>
    <w:rsid w:val="009577D5"/>
    <w:rsid w:val="009577EF"/>
    <w:rsid w:val="00957B84"/>
    <w:rsid w:val="009607B1"/>
    <w:rsid w:val="00960D4E"/>
    <w:rsid w:val="00961023"/>
    <w:rsid w:val="0096120D"/>
    <w:rsid w:val="00961344"/>
    <w:rsid w:val="00961785"/>
    <w:rsid w:val="00961827"/>
    <w:rsid w:val="00961C4B"/>
    <w:rsid w:val="00961E81"/>
    <w:rsid w:val="009621EC"/>
    <w:rsid w:val="00962567"/>
    <w:rsid w:val="009628A1"/>
    <w:rsid w:val="00962ACF"/>
    <w:rsid w:val="00962D7A"/>
    <w:rsid w:val="00962F58"/>
    <w:rsid w:val="009637D8"/>
    <w:rsid w:val="00963B0D"/>
    <w:rsid w:val="009642A3"/>
    <w:rsid w:val="00964506"/>
    <w:rsid w:val="009654A8"/>
    <w:rsid w:val="00965B33"/>
    <w:rsid w:val="00965F99"/>
    <w:rsid w:val="00966207"/>
    <w:rsid w:val="00966715"/>
    <w:rsid w:val="00966A34"/>
    <w:rsid w:val="0096765A"/>
    <w:rsid w:val="009700E0"/>
    <w:rsid w:val="00970612"/>
    <w:rsid w:val="00970623"/>
    <w:rsid w:val="00970F2F"/>
    <w:rsid w:val="009710BD"/>
    <w:rsid w:val="009716E6"/>
    <w:rsid w:val="00971B07"/>
    <w:rsid w:val="00972361"/>
    <w:rsid w:val="009725AC"/>
    <w:rsid w:val="009729C8"/>
    <w:rsid w:val="009729D4"/>
    <w:rsid w:val="00972BA7"/>
    <w:rsid w:val="00973246"/>
    <w:rsid w:val="00973577"/>
    <w:rsid w:val="00973682"/>
    <w:rsid w:val="0097387A"/>
    <w:rsid w:val="00974CAF"/>
    <w:rsid w:val="00974FC2"/>
    <w:rsid w:val="0097516C"/>
    <w:rsid w:val="009751B9"/>
    <w:rsid w:val="00975440"/>
    <w:rsid w:val="009769B5"/>
    <w:rsid w:val="00977240"/>
    <w:rsid w:val="00977557"/>
    <w:rsid w:val="0097774E"/>
    <w:rsid w:val="009778F9"/>
    <w:rsid w:val="00980015"/>
    <w:rsid w:val="00980723"/>
    <w:rsid w:val="00980759"/>
    <w:rsid w:val="00980A35"/>
    <w:rsid w:val="0098128C"/>
    <w:rsid w:val="00981418"/>
    <w:rsid w:val="00981466"/>
    <w:rsid w:val="0098150F"/>
    <w:rsid w:val="009817B0"/>
    <w:rsid w:val="009818A3"/>
    <w:rsid w:val="00981ABF"/>
    <w:rsid w:val="00981C17"/>
    <w:rsid w:val="009821CE"/>
    <w:rsid w:val="009824D4"/>
    <w:rsid w:val="009824FE"/>
    <w:rsid w:val="009828E3"/>
    <w:rsid w:val="009834CE"/>
    <w:rsid w:val="009836DD"/>
    <w:rsid w:val="00983B3D"/>
    <w:rsid w:val="00984472"/>
    <w:rsid w:val="009847F6"/>
    <w:rsid w:val="009850D2"/>
    <w:rsid w:val="009854EB"/>
    <w:rsid w:val="009855EF"/>
    <w:rsid w:val="00985C9C"/>
    <w:rsid w:val="00985ECB"/>
    <w:rsid w:val="00986093"/>
    <w:rsid w:val="00986976"/>
    <w:rsid w:val="00990162"/>
    <w:rsid w:val="00990194"/>
    <w:rsid w:val="00990E4A"/>
    <w:rsid w:val="00991B81"/>
    <w:rsid w:val="00992031"/>
    <w:rsid w:val="00992187"/>
    <w:rsid w:val="0099304D"/>
    <w:rsid w:val="0099372B"/>
    <w:rsid w:val="00993D63"/>
    <w:rsid w:val="00994480"/>
    <w:rsid w:val="00995025"/>
    <w:rsid w:val="00995184"/>
    <w:rsid w:val="0099549D"/>
    <w:rsid w:val="009958A2"/>
    <w:rsid w:val="00995969"/>
    <w:rsid w:val="009959A2"/>
    <w:rsid w:val="00995A4C"/>
    <w:rsid w:val="00996187"/>
    <w:rsid w:val="009969F9"/>
    <w:rsid w:val="009975E4"/>
    <w:rsid w:val="009A00C9"/>
    <w:rsid w:val="009A03B4"/>
    <w:rsid w:val="009A09D6"/>
    <w:rsid w:val="009A0D92"/>
    <w:rsid w:val="009A1E97"/>
    <w:rsid w:val="009A1EBB"/>
    <w:rsid w:val="009A277C"/>
    <w:rsid w:val="009A2DE6"/>
    <w:rsid w:val="009A32AB"/>
    <w:rsid w:val="009A3843"/>
    <w:rsid w:val="009A4466"/>
    <w:rsid w:val="009A48D0"/>
    <w:rsid w:val="009A5198"/>
    <w:rsid w:val="009A5609"/>
    <w:rsid w:val="009A60CC"/>
    <w:rsid w:val="009A6445"/>
    <w:rsid w:val="009A658F"/>
    <w:rsid w:val="009A71EE"/>
    <w:rsid w:val="009A797F"/>
    <w:rsid w:val="009A7C90"/>
    <w:rsid w:val="009B088F"/>
    <w:rsid w:val="009B0A31"/>
    <w:rsid w:val="009B0B51"/>
    <w:rsid w:val="009B0C93"/>
    <w:rsid w:val="009B171F"/>
    <w:rsid w:val="009B1F9F"/>
    <w:rsid w:val="009B2006"/>
    <w:rsid w:val="009B20C3"/>
    <w:rsid w:val="009B2249"/>
    <w:rsid w:val="009B23DC"/>
    <w:rsid w:val="009B2502"/>
    <w:rsid w:val="009B26E3"/>
    <w:rsid w:val="009B30AF"/>
    <w:rsid w:val="009B4012"/>
    <w:rsid w:val="009B43FD"/>
    <w:rsid w:val="009B4AF9"/>
    <w:rsid w:val="009B4B67"/>
    <w:rsid w:val="009B4CD4"/>
    <w:rsid w:val="009B4ED0"/>
    <w:rsid w:val="009B5007"/>
    <w:rsid w:val="009B59DE"/>
    <w:rsid w:val="009B5D1D"/>
    <w:rsid w:val="009B5DF3"/>
    <w:rsid w:val="009B650F"/>
    <w:rsid w:val="009B657E"/>
    <w:rsid w:val="009B6765"/>
    <w:rsid w:val="009B6858"/>
    <w:rsid w:val="009B6D9A"/>
    <w:rsid w:val="009B6F8F"/>
    <w:rsid w:val="009B7281"/>
    <w:rsid w:val="009C0E4C"/>
    <w:rsid w:val="009C15D0"/>
    <w:rsid w:val="009C181F"/>
    <w:rsid w:val="009C3213"/>
    <w:rsid w:val="009C41AF"/>
    <w:rsid w:val="009C4D25"/>
    <w:rsid w:val="009C50D2"/>
    <w:rsid w:val="009C5B4D"/>
    <w:rsid w:val="009C5CFE"/>
    <w:rsid w:val="009C5F07"/>
    <w:rsid w:val="009C5F39"/>
    <w:rsid w:val="009C69DB"/>
    <w:rsid w:val="009C7589"/>
    <w:rsid w:val="009C7C95"/>
    <w:rsid w:val="009C7C9D"/>
    <w:rsid w:val="009C7CBE"/>
    <w:rsid w:val="009D0E82"/>
    <w:rsid w:val="009D0E96"/>
    <w:rsid w:val="009D0F9C"/>
    <w:rsid w:val="009D1C6D"/>
    <w:rsid w:val="009D1C8E"/>
    <w:rsid w:val="009D1FA3"/>
    <w:rsid w:val="009D2483"/>
    <w:rsid w:val="009D28B1"/>
    <w:rsid w:val="009D295F"/>
    <w:rsid w:val="009D2CFF"/>
    <w:rsid w:val="009D2E54"/>
    <w:rsid w:val="009D3A3A"/>
    <w:rsid w:val="009D3E83"/>
    <w:rsid w:val="009D5076"/>
    <w:rsid w:val="009D517E"/>
    <w:rsid w:val="009D5389"/>
    <w:rsid w:val="009D545E"/>
    <w:rsid w:val="009D5B3A"/>
    <w:rsid w:val="009D5D2E"/>
    <w:rsid w:val="009D5EF6"/>
    <w:rsid w:val="009D5F4F"/>
    <w:rsid w:val="009D64F5"/>
    <w:rsid w:val="009D68E6"/>
    <w:rsid w:val="009D7205"/>
    <w:rsid w:val="009D7718"/>
    <w:rsid w:val="009D7B9C"/>
    <w:rsid w:val="009E0255"/>
    <w:rsid w:val="009E04E6"/>
    <w:rsid w:val="009E0CA5"/>
    <w:rsid w:val="009E115F"/>
    <w:rsid w:val="009E11FF"/>
    <w:rsid w:val="009E171B"/>
    <w:rsid w:val="009E19B0"/>
    <w:rsid w:val="009E1F00"/>
    <w:rsid w:val="009E21C3"/>
    <w:rsid w:val="009E2300"/>
    <w:rsid w:val="009E2F48"/>
    <w:rsid w:val="009E3125"/>
    <w:rsid w:val="009E3340"/>
    <w:rsid w:val="009E370E"/>
    <w:rsid w:val="009E5458"/>
    <w:rsid w:val="009E569D"/>
    <w:rsid w:val="009E5D65"/>
    <w:rsid w:val="009E65DC"/>
    <w:rsid w:val="009E6639"/>
    <w:rsid w:val="009E7140"/>
    <w:rsid w:val="009E75AF"/>
    <w:rsid w:val="009E7634"/>
    <w:rsid w:val="009E77D5"/>
    <w:rsid w:val="009E786F"/>
    <w:rsid w:val="009F01A3"/>
    <w:rsid w:val="009F025F"/>
    <w:rsid w:val="009F11D6"/>
    <w:rsid w:val="009F1645"/>
    <w:rsid w:val="009F16D6"/>
    <w:rsid w:val="009F1E74"/>
    <w:rsid w:val="009F23BB"/>
    <w:rsid w:val="009F2948"/>
    <w:rsid w:val="009F31A0"/>
    <w:rsid w:val="009F37FA"/>
    <w:rsid w:val="009F3A2D"/>
    <w:rsid w:val="009F3B09"/>
    <w:rsid w:val="009F3C6E"/>
    <w:rsid w:val="009F4EAE"/>
    <w:rsid w:val="009F510E"/>
    <w:rsid w:val="009F63BC"/>
    <w:rsid w:val="009F654E"/>
    <w:rsid w:val="009F70C5"/>
    <w:rsid w:val="009F712A"/>
    <w:rsid w:val="009F7EE4"/>
    <w:rsid w:val="00A015E8"/>
    <w:rsid w:val="00A018DD"/>
    <w:rsid w:val="00A0193D"/>
    <w:rsid w:val="00A022D6"/>
    <w:rsid w:val="00A02372"/>
    <w:rsid w:val="00A023B7"/>
    <w:rsid w:val="00A02524"/>
    <w:rsid w:val="00A02820"/>
    <w:rsid w:val="00A02BE1"/>
    <w:rsid w:val="00A02E63"/>
    <w:rsid w:val="00A03015"/>
    <w:rsid w:val="00A03040"/>
    <w:rsid w:val="00A035F4"/>
    <w:rsid w:val="00A03B85"/>
    <w:rsid w:val="00A0477E"/>
    <w:rsid w:val="00A04781"/>
    <w:rsid w:val="00A04B53"/>
    <w:rsid w:val="00A0534B"/>
    <w:rsid w:val="00A054B3"/>
    <w:rsid w:val="00A055AB"/>
    <w:rsid w:val="00A058B2"/>
    <w:rsid w:val="00A058DA"/>
    <w:rsid w:val="00A05B51"/>
    <w:rsid w:val="00A0684F"/>
    <w:rsid w:val="00A06A4D"/>
    <w:rsid w:val="00A0700F"/>
    <w:rsid w:val="00A07538"/>
    <w:rsid w:val="00A07D47"/>
    <w:rsid w:val="00A10593"/>
    <w:rsid w:val="00A106F6"/>
    <w:rsid w:val="00A106FB"/>
    <w:rsid w:val="00A10CDB"/>
    <w:rsid w:val="00A116F7"/>
    <w:rsid w:val="00A11C01"/>
    <w:rsid w:val="00A11D7D"/>
    <w:rsid w:val="00A12845"/>
    <w:rsid w:val="00A12CEF"/>
    <w:rsid w:val="00A12E59"/>
    <w:rsid w:val="00A12F62"/>
    <w:rsid w:val="00A1357F"/>
    <w:rsid w:val="00A13E3B"/>
    <w:rsid w:val="00A14292"/>
    <w:rsid w:val="00A14613"/>
    <w:rsid w:val="00A14AB0"/>
    <w:rsid w:val="00A14C3E"/>
    <w:rsid w:val="00A14F82"/>
    <w:rsid w:val="00A14FE9"/>
    <w:rsid w:val="00A15588"/>
    <w:rsid w:val="00A156E7"/>
    <w:rsid w:val="00A157C6"/>
    <w:rsid w:val="00A158D1"/>
    <w:rsid w:val="00A15B13"/>
    <w:rsid w:val="00A15E4A"/>
    <w:rsid w:val="00A16386"/>
    <w:rsid w:val="00A1672B"/>
    <w:rsid w:val="00A17023"/>
    <w:rsid w:val="00A17182"/>
    <w:rsid w:val="00A17926"/>
    <w:rsid w:val="00A179E9"/>
    <w:rsid w:val="00A17B48"/>
    <w:rsid w:val="00A201C2"/>
    <w:rsid w:val="00A202FA"/>
    <w:rsid w:val="00A210BB"/>
    <w:rsid w:val="00A210E3"/>
    <w:rsid w:val="00A21321"/>
    <w:rsid w:val="00A21597"/>
    <w:rsid w:val="00A21D2B"/>
    <w:rsid w:val="00A21F84"/>
    <w:rsid w:val="00A22300"/>
    <w:rsid w:val="00A22C5D"/>
    <w:rsid w:val="00A238A6"/>
    <w:rsid w:val="00A23C94"/>
    <w:rsid w:val="00A2406D"/>
    <w:rsid w:val="00A243CA"/>
    <w:rsid w:val="00A250C7"/>
    <w:rsid w:val="00A252DB"/>
    <w:rsid w:val="00A25895"/>
    <w:rsid w:val="00A25AA1"/>
    <w:rsid w:val="00A26126"/>
    <w:rsid w:val="00A26A1D"/>
    <w:rsid w:val="00A27451"/>
    <w:rsid w:val="00A274D4"/>
    <w:rsid w:val="00A2757C"/>
    <w:rsid w:val="00A276A4"/>
    <w:rsid w:val="00A3062E"/>
    <w:rsid w:val="00A31619"/>
    <w:rsid w:val="00A31E5F"/>
    <w:rsid w:val="00A3221A"/>
    <w:rsid w:val="00A32847"/>
    <w:rsid w:val="00A32DA4"/>
    <w:rsid w:val="00A332B3"/>
    <w:rsid w:val="00A33AB0"/>
    <w:rsid w:val="00A3452A"/>
    <w:rsid w:val="00A346F5"/>
    <w:rsid w:val="00A347E2"/>
    <w:rsid w:val="00A34FA3"/>
    <w:rsid w:val="00A351D7"/>
    <w:rsid w:val="00A35340"/>
    <w:rsid w:val="00A364A3"/>
    <w:rsid w:val="00A3695B"/>
    <w:rsid w:val="00A37389"/>
    <w:rsid w:val="00A3749B"/>
    <w:rsid w:val="00A377C1"/>
    <w:rsid w:val="00A37938"/>
    <w:rsid w:val="00A37D87"/>
    <w:rsid w:val="00A4037E"/>
    <w:rsid w:val="00A403CE"/>
    <w:rsid w:val="00A40CDF"/>
    <w:rsid w:val="00A410ED"/>
    <w:rsid w:val="00A41222"/>
    <w:rsid w:val="00A41DCB"/>
    <w:rsid w:val="00A42A6C"/>
    <w:rsid w:val="00A4397A"/>
    <w:rsid w:val="00A444E5"/>
    <w:rsid w:val="00A44C5C"/>
    <w:rsid w:val="00A45687"/>
    <w:rsid w:val="00A467FD"/>
    <w:rsid w:val="00A46DE0"/>
    <w:rsid w:val="00A473BB"/>
    <w:rsid w:val="00A47ECB"/>
    <w:rsid w:val="00A501EE"/>
    <w:rsid w:val="00A505A5"/>
    <w:rsid w:val="00A50C05"/>
    <w:rsid w:val="00A50D88"/>
    <w:rsid w:val="00A517C9"/>
    <w:rsid w:val="00A51F97"/>
    <w:rsid w:val="00A52809"/>
    <w:rsid w:val="00A52ECA"/>
    <w:rsid w:val="00A54654"/>
    <w:rsid w:val="00A54693"/>
    <w:rsid w:val="00A54F02"/>
    <w:rsid w:val="00A54F69"/>
    <w:rsid w:val="00A55062"/>
    <w:rsid w:val="00A550AB"/>
    <w:rsid w:val="00A557DA"/>
    <w:rsid w:val="00A55999"/>
    <w:rsid w:val="00A55B58"/>
    <w:rsid w:val="00A55FDC"/>
    <w:rsid w:val="00A56385"/>
    <w:rsid w:val="00A56923"/>
    <w:rsid w:val="00A56C17"/>
    <w:rsid w:val="00A56F7C"/>
    <w:rsid w:val="00A57796"/>
    <w:rsid w:val="00A6006A"/>
    <w:rsid w:val="00A60426"/>
    <w:rsid w:val="00A60A3E"/>
    <w:rsid w:val="00A60B7B"/>
    <w:rsid w:val="00A60BE2"/>
    <w:rsid w:val="00A60BEF"/>
    <w:rsid w:val="00A60C2A"/>
    <w:rsid w:val="00A60D57"/>
    <w:rsid w:val="00A6197F"/>
    <w:rsid w:val="00A623C6"/>
    <w:rsid w:val="00A628A0"/>
    <w:rsid w:val="00A62E42"/>
    <w:rsid w:val="00A62EC2"/>
    <w:rsid w:val="00A632C7"/>
    <w:rsid w:val="00A63911"/>
    <w:rsid w:val="00A63A26"/>
    <w:rsid w:val="00A64A71"/>
    <w:rsid w:val="00A6508E"/>
    <w:rsid w:val="00A65764"/>
    <w:rsid w:val="00A65AE7"/>
    <w:rsid w:val="00A65C4C"/>
    <w:rsid w:val="00A66124"/>
    <w:rsid w:val="00A666A0"/>
    <w:rsid w:val="00A66C23"/>
    <w:rsid w:val="00A678E2"/>
    <w:rsid w:val="00A703AE"/>
    <w:rsid w:val="00A70EBD"/>
    <w:rsid w:val="00A7164A"/>
    <w:rsid w:val="00A7164B"/>
    <w:rsid w:val="00A720C2"/>
    <w:rsid w:val="00A7236C"/>
    <w:rsid w:val="00A72960"/>
    <w:rsid w:val="00A72C4F"/>
    <w:rsid w:val="00A72D8F"/>
    <w:rsid w:val="00A73310"/>
    <w:rsid w:val="00A73670"/>
    <w:rsid w:val="00A73ADB"/>
    <w:rsid w:val="00A747B6"/>
    <w:rsid w:val="00A747BA"/>
    <w:rsid w:val="00A74815"/>
    <w:rsid w:val="00A74FE8"/>
    <w:rsid w:val="00A750E0"/>
    <w:rsid w:val="00A75675"/>
    <w:rsid w:val="00A75A75"/>
    <w:rsid w:val="00A75F2A"/>
    <w:rsid w:val="00A75FBD"/>
    <w:rsid w:val="00A7667C"/>
    <w:rsid w:val="00A76D1E"/>
    <w:rsid w:val="00A76DAB"/>
    <w:rsid w:val="00A76FD4"/>
    <w:rsid w:val="00A770C0"/>
    <w:rsid w:val="00A77AA2"/>
    <w:rsid w:val="00A77B83"/>
    <w:rsid w:val="00A77F3C"/>
    <w:rsid w:val="00A810BC"/>
    <w:rsid w:val="00A81179"/>
    <w:rsid w:val="00A811AB"/>
    <w:rsid w:val="00A824CA"/>
    <w:rsid w:val="00A8260C"/>
    <w:rsid w:val="00A827B9"/>
    <w:rsid w:val="00A82AE1"/>
    <w:rsid w:val="00A82FB1"/>
    <w:rsid w:val="00A83459"/>
    <w:rsid w:val="00A83F54"/>
    <w:rsid w:val="00A84BF1"/>
    <w:rsid w:val="00A85219"/>
    <w:rsid w:val="00A853B9"/>
    <w:rsid w:val="00A85428"/>
    <w:rsid w:val="00A85444"/>
    <w:rsid w:val="00A85572"/>
    <w:rsid w:val="00A859F6"/>
    <w:rsid w:val="00A86108"/>
    <w:rsid w:val="00A86547"/>
    <w:rsid w:val="00A86969"/>
    <w:rsid w:val="00A8757E"/>
    <w:rsid w:val="00A87964"/>
    <w:rsid w:val="00A87E51"/>
    <w:rsid w:val="00A903EF"/>
    <w:rsid w:val="00A90672"/>
    <w:rsid w:val="00A9079C"/>
    <w:rsid w:val="00A90C98"/>
    <w:rsid w:val="00A911BF"/>
    <w:rsid w:val="00A911E9"/>
    <w:rsid w:val="00A91B63"/>
    <w:rsid w:val="00A92260"/>
    <w:rsid w:val="00A92437"/>
    <w:rsid w:val="00A926E1"/>
    <w:rsid w:val="00A92BB1"/>
    <w:rsid w:val="00A93401"/>
    <w:rsid w:val="00A935F7"/>
    <w:rsid w:val="00A94244"/>
    <w:rsid w:val="00A9473C"/>
    <w:rsid w:val="00A94B7B"/>
    <w:rsid w:val="00A94D78"/>
    <w:rsid w:val="00A9513B"/>
    <w:rsid w:val="00A9515B"/>
    <w:rsid w:val="00A96559"/>
    <w:rsid w:val="00A966B0"/>
    <w:rsid w:val="00A96A84"/>
    <w:rsid w:val="00A96B06"/>
    <w:rsid w:val="00A96F16"/>
    <w:rsid w:val="00A96FB0"/>
    <w:rsid w:val="00A97160"/>
    <w:rsid w:val="00A971DA"/>
    <w:rsid w:val="00A972B8"/>
    <w:rsid w:val="00A97A2F"/>
    <w:rsid w:val="00A97CFA"/>
    <w:rsid w:val="00AA0542"/>
    <w:rsid w:val="00AA0B82"/>
    <w:rsid w:val="00AA0C14"/>
    <w:rsid w:val="00AA1A15"/>
    <w:rsid w:val="00AA1AF8"/>
    <w:rsid w:val="00AA29A5"/>
    <w:rsid w:val="00AA30DE"/>
    <w:rsid w:val="00AA3924"/>
    <w:rsid w:val="00AA3A7D"/>
    <w:rsid w:val="00AA3D45"/>
    <w:rsid w:val="00AA4081"/>
    <w:rsid w:val="00AA464D"/>
    <w:rsid w:val="00AA4C8B"/>
    <w:rsid w:val="00AA4F63"/>
    <w:rsid w:val="00AA501E"/>
    <w:rsid w:val="00AA56FF"/>
    <w:rsid w:val="00AA5702"/>
    <w:rsid w:val="00AA5779"/>
    <w:rsid w:val="00AA5A3B"/>
    <w:rsid w:val="00AA5AFD"/>
    <w:rsid w:val="00AA5CB9"/>
    <w:rsid w:val="00AA5CC1"/>
    <w:rsid w:val="00AA5D1F"/>
    <w:rsid w:val="00AA605D"/>
    <w:rsid w:val="00AA611B"/>
    <w:rsid w:val="00AA67BF"/>
    <w:rsid w:val="00AA69FD"/>
    <w:rsid w:val="00AA6CB2"/>
    <w:rsid w:val="00AA6CFA"/>
    <w:rsid w:val="00AA7099"/>
    <w:rsid w:val="00AA7DDD"/>
    <w:rsid w:val="00AA7ED0"/>
    <w:rsid w:val="00AA7F3D"/>
    <w:rsid w:val="00AB02DB"/>
    <w:rsid w:val="00AB1189"/>
    <w:rsid w:val="00AB118E"/>
    <w:rsid w:val="00AB13B7"/>
    <w:rsid w:val="00AB16B8"/>
    <w:rsid w:val="00AB22F1"/>
    <w:rsid w:val="00AB2625"/>
    <w:rsid w:val="00AB32AB"/>
    <w:rsid w:val="00AB3860"/>
    <w:rsid w:val="00AB3F1F"/>
    <w:rsid w:val="00AB45D6"/>
    <w:rsid w:val="00AB58B7"/>
    <w:rsid w:val="00AB5AF0"/>
    <w:rsid w:val="00AB5C14"/>
    <w:rsid w:val="00AB5CD5"/>
    <w:rsid w:val="00AB5D00"/>
    <w:rsid w:val="00AB5D46"/>
    <w:rsid w:val="00AB5DA2"/>
    <w:rsid w:val="00AB613E"/>
    <w:rsid w:val="00AB688B"/>
    <w:rsid w:val="00AB7146"/>
    <w:rsid w:val="00AB725D"/>
    <w:rsid w:val="00AB7473"/>
    <w:rsid w:val="00AB7810"/>
    <w:rsid w:val="00AB7EA5"/>
    <w:rsid w:val="00AC01D1"/>
    <w:rsid w:val="00AC0853"/>
    <w:rsid w:val="00AC093E"/>
    <w:rsid w:val="00AC0B60"/>
    <w:rsid w:val="00AC1651"/>
    <w:rsid w:val="00AC16DE"/>
    <w:rsid w:val="00AC1E7D"/>
    <w:rsid w:val="00AC1F9B"/>
    <w:rsid w:val="00AC2B21"/>
    <w:rsid w:val="00AC2B7F"/>
    <w:rsid w:val="00AC3196"/>
    <w:rsid w:val="00AC34A0"/>
    <w:rsid w:val="00AC35C5"/>
    <w:rsid w:val="00AC3743"/>
    <w:rsid w:val="00AC3746"/>
    <w:rsid w:val="00AC38A9"/>
    <w:rsid w:val="00AC3B65"/>
    <w:rsid w:val="00AC4065"/>
    <w:rsid w:val="00AC4D8D"/>
    <w:rsid w:val="00AC5538"/>
    <w:rsid w:val="00AC5F7F"/>
    <w:rsid w:val="00AC6E9F"/>
    <w:rsid w:val="00AC72CB"/>
    <w:rsid w:val="00AC7945"/>
    <w:rsid w:val="00AC7C7F"/>
    <w:rsid w:val="00AD072B"/>
    <w:rsid w:val="00AD0C23"/>
    <w:rsid w:val="00AD0CA7"/>
    <w:rsid w:val="00AD0E4D"/>
    <w:rsid w:val="00AD14D2"/>
    <w:rsid w:val="00AD1529"/>
    <w:rsid w:val="00AD15B5"/>
    <w:rsid w:val="00AD1865"/>
    <w:rsid w:val="00AD1959"/>
    <w:rsid w:val="00AD1B7C"/>
    <w:rsid w:val="00AD20C8"/>
    <w:rsid w:val="00AD28AF"/>
    <w:rsid w:val="00AD2987"/>
    <w:rsid w:val="00AD29B3"/>
    <w:rsid w:val="00AD2DDD"/>
    <w:rsid w:val="00AD30B1"/>
    <w:rsid w:val="00AD38B8"/>
    <w:rsid w:val="00AD3A45"/>
    <w:rsid w:val="00AD3F0C"/>
    <w:rsid w:val="00AD4246"/>
    <w:rsid w:val="00AD4A90"/>
    <w:rsid w:val="00AD4B28"/>
    <w:rsid w:val="00AD4DE3"/>
    <w:rsid w:val="00AD5660"/>
    <w:rsid w:val="00AD5C64"/>
    <w:rsid w:val="00AD5DA4"/>
    <w:rsid w:val="00AD5EE2"/>
    <w:rsid w:val="00AD632E"/>
    <w:rsid w:val="00AD6372"/>
    <w:rsid w:val="00AD6783"/>
    <w:rsid w:val="00AD6B8F"/>
    <w:rsid w:val="00AD6BC7"/>
    <w:rsid w:val="00AD6D45"/>
    <w:rsid w:val="00AD6D7E"/>
    <w:rsid w:val="00AD6DA6"/>
    <w:rsid w:val="00AD6FF4"/>
    <w:rsid w:val="00AD74E7"/>
    <w:rsid w:val="00AD7833"/>
    <w:rsid w:val="00AD7A17"/>
    <w:rsid w:val="00AD7B1B"/>
    <w:rsid w:val="00AD7E28"/>
    <w:rsid w:val="00AD7E2D"/>
    <w:rsid w:val="00AD7ED5"/>
    <w:rsid w:val="00AE0048"/>
    <w:rsid w:val="00AE023E"/>
    <w:rsid w:val="00AE0B4A"/>
    <w:rsid w:val="00AE0CCC"/>
    <w:rsid w:val="00AE164B"/>
    <w:rsid w:val="00AE19B4"/>
    <w:rsid w:val="00AE1A8E"/>
    <w:rsid w:val="00AE1C40"/>
    <w:rsid w:val="00AE207F"/>
    <w:rsid w:val="00AE25B6"/>
    <w:rsid w:val="00AE2606"/>
    <w:rsid w:val="00AE28B5"/>
    <w:rsid w:val="00AE2F90"/>
    <w:rsid w:val="00AE346D"/>
    <w:rsid w:val="00AE35FD"/>
    <w:rsid w:val="00AE37D3"/>
    <w:rsid w:val="00AE47A3"/>
    <w:rsid w:val="00AE481F"/>
    <w:rsid w:val="00AE53E8"/>
    <w:rsid w:val="00AE547E"/>
    <w:rsid w:val="00AE5B85"/>
    <w:rsid w:val="00AE5D93"/>
    <w:rsid w:val="00AE6025"/>
    <w:rsid w:val="00AE6269"/>
    <w:rsid w:val="00AE6394"/>
    <w:rsid w:val="00AE6894"/>
    <w:rsid w:val="00AE6965"/>
    <w:rsid w:val="00AE6F9D"/>
    <w:rsid w:val="00AE7243"/>
    <w:rsid w:val="00AE7299"/>
    <w:rsid w:val="00AE7FF2"/>
    <w:rsid w:val="00AF04A4"/>
    <w:rsid w:val="00AF1FE7"/>
    <w:rsid w:val="00AF21F8"/>
    <w:rsid w:val="00AF2B64"/>
    <w:rsid w:val="00AF2C7F"/>
    <w:rsid w:val="00AF2FD9"/>
    <w:rsid w:val="00AF34C5"/>
    <w:rsid w:val="00AF4351"/>
    <w:rsid w:val="00AF43A1"/>
    <w:rsid w:val="00AF4790"/>
    <w:rsid w:val="00AF4BA1"/>
    <w:rsid w:val="00AF5426"/>
    <w:rsid w:val="00AF5AE4"/>
    <w:rsid w:val="00AF64B9"/>
    <w:rsid w:val="00AF67FA"/>
    <w:rsid w:val="00AF6A22"/>
    <w:rsid w:val="00AF6D85"/>
    <w:rsid w:val="00AF70C6"/>
    <w:rsid w:val="00AF7176"/>
    <w:rsid w:val="00AF7415"/>
    <w:rsid w:val="00AF7678"/>
    <w:rsid w:val="00B0036C"/>
    <w:rsid w:val="00B00B1E"/>
    <w:rsid w:val="00B00D4B"/>
    <w:rsid w:val="00B00F80"/>
    <w:rsid w:val="00B01020"/>
    <w:rsid w:val="00B01CD7"/>
    <w:rsid w:val="00B0220D"/>
    <w:rsid w:val="00B02CD3"/>
    <w:rsid w:val="00B034BD"/>
    <w:rsid w:val="00B03617"/>
    <w:rsid w:val="00B03DD6"/>
    <w:rsid w:val="00B0401F"/>
    <w:rsid w:val="00B04583"/>
    <w:rsid w:val="00B04807"/>
    <w:rsid w:val="00B048F7"/>
    <w:rsid w:val="00B04B8C"/>
    <w:rsid w:val="00B04BA3"/>
    <w:rsid w:val="00B05069"/>
    <w:rsid w:val="00B05CD0"/>
    <w:rsid w:val="00B05D43"/>
    <w:rsid w:val="00B06529"/>
    <w:rsid w:val="00B06CF1"/>
    <w:rsid w:val="00B07857"/>
    <w:rsid w:val="00B0789E"/>
    <w:rsid w:val="00B109AC"/>
    <w:rsid w:val="00B10C28"/>
    <w:rsid w:val="00B11448"/>
    <w:rsid w:val="00B11642"/>
    <w:rsid w:val="00B11F3C"/>
    <w:rsid w:val="00B121B5"/>
    <w:rsid w:val="00B127B4"/>
    <w:rsid w:val="00B12F6E"/>
    <w:rsid w:val="00B12FDB"/>
    <w:rsid w:val="00B130F7"/>
    <w:rsid w:val="00B136A8"/>
    <w:rsid w:val="00B13EBE"/>
    <w:rsid w:val="00B14529"/>
    <w:rsid w:val="00B14B39"/>
    <w:rsid w:val="00B14E6F"/>
    <w:rsid w:val="00B15A0F"/>
    <w:rsid w:val="00B15C22"/>
    <w:rsid w:val="00B15EA5"/>
    <w:rsid w:val="00B1620B"/>
    <w:rsid w:val="00B16C64"/>
    <w:rsid w:val="00B16CCD"/>
    <w:rsid w:val="00B17046"/>
    <w:rsid w:val="00B17112"/>
    <w:rsid w:val="00B214C6"/>
    <w:rsid w:val="00B21A4C"/>
    <w:rsid w:val="00B21A99"/>
    <w:rsid w:val="00B21E1A"/>
    <w:rsid w:val="00B21F93"/>
    <w:rsid w:val="00B2221F"/>
    <w:rsid w:val="00B22231"/>
    <w:rsid w:val="00B22C26"/>
    <w:rsid w:val="00B22CD5"/>
    <w:rsid w:val="00B22E8D"/>
    <w:rsid w:val="00B23C3E"/>
    <w:rsid w:val="00B23F2C"/>
    <w:rsid w:val="00B24381"/>
    <w:rsid w:val="00B24393"/>
    <w:rsid w:val="00B24742"/>
    <w:rsid w:val="00B24A21"/>
    <w:rsid w:val="00B24BF4"/>
    <w:rsid w:val="00B24DF7"/>
    <w:rsid w:val="00B24EA7"/>
    <w:rsid w:val="00B25073"/>
    <w:rsid w:val="00B250F4"/>
    <w:rsid w:val="00B253CA"/>
    <w:rsid w:val="00B2560E"/>
    <w:rsid w:val="00B259D8"/>
    <w:rsid w:val="00B25ED6"/>
    <w:rsid w:val="00B2601A"/>
    <w:rsid w:val="00B26047"/>
    <w:rsid w:val="00B26273"/>
    <w:rsid w:val="00B262C3"/>
    <w:rsid w:val="00B263E7"/>
    <w:rsid w:val="00B271D7"/>
    <w:rsid w:val="00B27CA0"/>
    <w:rsid w:val="00B30567"/>
    <w:rsid w:val="00B30B55"/>
    <w:rsid w:val="00B31214"/>
    <w:rsid w:val="00B313F1"/>
    <w:rsid w:val="00B315D8"/>
    <w:rsid w:val="00B3160A"/>
    <w:rsid w:val="00B31BE6"/>
    <w:rsid w:val="00B31C4A"/>
    <w:rsid w:val="00B32291"/>
    <w:rsid w:val="00B326A7"/>
    <w:rsid w:val="00B32BC6"/>
    <w:rsid w:val="00B32D45"/>
    <w:rsid w:val="00B33FF9"/>
    <w:rsid w:val="00B34064"/>
    <w:rsid w:val="00B34155"/>
    <w:rsid w:val="00B34501"/>
    <w:rsid w:val="00B349B1"/>
    <w:rsid w:val="00B35566"/>
    <w:rsid w:val="00B3583B"/>
    <w:rsid w:val="00B358F7"/>
    <w:rsid w:val="00B35A91"/>
    <w:rsid w:val="00B35AD4"/>
    <w:rsid w:val="00B35B4F"/>
    <w:rsid w:val="00B36321"/>
    <w:rsid w:val="00B3684E"/>
    <w:rsid w:val="00B37117"/>
    <w:rsid w:val="00B3766C"/>
    <w:rsid w:val="00B37706"/>
    <w:rsid w:val="00B378CF"/>
    <w:rsid w:val="00B37A8F"/>
    <w:rsid w:val="00B407F7"/>
    <w:rsid w:val="00B40BA3"/>
    <w:rsid w:val="00B413C1"/>
    <w:rsid w:val="00B4175A"/>
    <w:rsid w:val="00B41C19"/>
    <w:rsid w:val="00B41CCD"/>
    <w:rsid w:val="00B41EE5"/>
    <w:rsid w:val="00B423BA"/>
    <w:rsid w:val="00B4338C"/>
    <w:rsid w:val="00B43792"/>
    <w:rsid w:val="00B4410B"/>
    <w:rsid w:val="00B44757"/>
    <w:rsid w:val="00B4496A"/>
    <w:rsid w:val="00B449F4"/>
    <w:rsid w:val="00B44F46"/>
    <w:rsid w:val="00B45640"/>
    <w:rsid w:val="00B4583C"/>
    <w:rsid w:val="00B459E9"/>
    <w:rsid w:val="00B45B6B"/>
    <w:rsid w:val="00B45B97"/>
    <w:rsid w:val="00B469CC"/>
    <w:rsid w:val="00B46FE8"/>
    <w:rsid w:val="00B470DF"/>
    <w:rsid w:val="00B471D2"/>
    <w:rsid w:val="00B472CB"/>
    <w:rsid w:val="00B47502"/>
    <w:rsid w:val="00B47AB8"/>
    <w:rsid w:val="00B47AF7"/>
    <w:rsid w:val="00B47F26"/>
    <w:rsid w:val="00B51061"/>
    <w:rsid w:val="00B51674"/>
    <w:rsid w:val="00B521FD"/>
    <w:rsid w:val="00B5231F"/>
    <w:rsid w:val="00B5256D"/>
    <w:rsid w:val="00B52839"/>
    <w:rsid w:val="00B52AE4"/>
    <w:rsid w:val="00B52B4E"/>
    <w:rsid w:val="00B52D60"/>
    <w:rsid w:val="00B53615"/>
    <w:rsid w:val="00B537C1"/>
    <w:rsid w:val="00B53984"/>
    <w:rsid w:val="00B53B06"/>
    <w:rsid w:val="00B540C6"/>
    <w:rsid w:val="00B54599"/>
    <w:rsid w:val="00B54FE7"/>
    <w:rsid w:val="00B552BD"/>
    <w:rsid w:val="00B55355"/>
    <w:rsid w:val="00B55399"/>
    <w:rsid w:val="00B55907"/>
    <w:rsid w:val="00B55B04"/>
    <w:rsid w:val="00B56D34"/>
    <w:rsid w:val="00B57A22"/>
    <w:rsid w:val="00B57F27"/>
    <w:rsid w:val="00B60205"/>
    <w:rsid w:val="00B605AD"/>
    <w:rsid w:val="00B606F9"/>
    <w:rsid w:val="00B61C15"/>
    <w:rsid w:val="00B62D46"/>
    <w:rsid w:val="00B62D82"/>
    <w:rsid w:val="00B630E0"/>
    <w:rsid w:val="00B63A93"/>
    <w:rsid w:val="00B63E7C"/>
    <w:rsid w:val="00B640DA"/>
    <w:rsid w:val="00B642F2"/>
    <w:rsid w:val="00B64595"/>
    <w:rsid w:val="00B647CD"/>
    <w:rsid w:val="00B65347"/>
    <w:rsid w:val="00B65DE1"/>
    <w:rsid w:val="00B65DE5"/>
    <w:rsid w:val="00B65E11"/>
    <w:rsid w:val="00B65FAE"/>
    <w:rsid w:val="00B66012"/>
    <w:rsid w:val="00B668D9"/>
    <w:rsid w:val="00B66D33"/>
    <w:rsid w:val="00B674C9"/>
    <w:rsid w:val="00B675FD"/>
    <w:rsid w:val="00B67C00"/>
    <w:rsid w:val="00B67C7A"/>
    <w:rsid w:val="00B70978"/>
    <w:rsid w:val="00B70CA5"/>
    <w:rsid w:val="00B70F06"/>
    <w:rsid w:val="00B71497"/>
    <w:rsid w:val="00B71C73"/>
    <w:rsid w:val="00B72438"/>
    <w:rsid w:val="00B727AC"/>
    <w:rsid w:val="00B728EF"/>
    <w:rsid w:val="00B729E6"/>
    <w:rsid w:val="00B72AF0"/>
    <w:rsid w:val="00B73477"/>
    <w:rsid w:val="00B73690"/>
    <w:rsid w:val="00B737EB"/>
    <w:rsid w:val="00B73881"/>
    <w:rsid w:val="00B73EE0"/>
    <w:rsid w:val="00B74477"/>
    <w:rsid w:val="00B745CA"/>
    <w:rsid w:val="00B7487F"/>
    <w:rsid w:val="00B74E62"/>
    <w:rsid w:val="00B75342"/>
    <w:rsid w:val="00B75E86"/>
    <w:rsid w:val="00B76012"/>
    <w:rsid w:val="00B769AB"/>
    <w:rsid w:val="00B7739B"/>
    <w:rsid w:val="00B77579"/>
    <w:rsid w:val="00B775EE"/>
    <w:rsid w:val="00B7764E"/>
    <w:rsid w:val="00B80767"/>
    <w:rsid w:val="00B809A4"/>
    <w:rsid w:val="00B80B73"/>
    <w:rsid w:val="00B80E63"/>
    <w:rsid w:val="00B80E98"/>
    <w:rsid w:val="00B813EF"/>
    <w:rsid w:val="00B81555"/>
    <w:rsid w:val="00B8309E"/>
    <w:rsid w:val="00B8310B"/>
    <w:rsid w:val="00B83E0A"/>
    <w:rsid w:val="00B83F84"/>
    <w:rsid w:val="00B84A9F"/>
    <w:rsid w:val="00B84E75"/>
    <w:rsid w:val="00B85904"/>
    <w:rsid w:val="00B85A21"/>
    <w:rsid w:val="00B85A69"/>
    <w:rsid w:val="00B86870"/>
    <w:rsid w:val="00B86AE5"/>
    <w:rsid w:val="00B878FD"/>
    <w:rsid w:val="00B87927"/>
    <w:rsid w:val="00B908C2"/>
    <w:rsid w:val="00B915BE"/>
    <w:rsid w:val="00B918FA"/>
    <w:rsid w:val="00B91939"/>
    <w:rsid w:val="00B91B0B"/>
    <w:rsid w:val="00B92174"/>
    <w:rsid w:val="00B92337"/>
    <w:rsid w:val="00B92855"/>
    <w:rsid w:val="00B92EE5"/>
    <w:rsid w:val="00B94B60"/>
    <w:rsid w:val="00B95491"/>
    <w:rsid w:val="00B955ED"/>
    <w:rsid w:val="00B956E2"/>
    <w:rsid w:val="00B9609A"/>
    <w:rsid w:val="00B962A0"/>
    <w:rsid w:val="00B966A3"/>
    <w:rsid w:val="00B96F4C"/>
    <w:rsid w:val="00B972A4"/>
    <w:rsid w:val="00B972F4"/>
    <w:rsid w:val="00B973B2"/>
    <w:rsid w:val="00B97705"/>
    <w:rsid w:val="00B97F48"/>
    <w:rsid w:val="00BA008F"/>
    <w:rsid w:val="00BA0367"/>
    <w:rsid w:val="00BA0461"/>
    <w:rsid w:val="00BA0C1B"/>
    <w:rsid w:val="00BA0EE0"/>
    <w:rsid w:val="00BA11D4"/>
    <w:rsid w:val="00BA125F"/>
    <w:rsid w:val="00BA13E1"/>
    <w:rsid w:val="00BA157C"/>
    <w:rsid w:val="00BA18C0"/>
    <w:rsid w:val="00BA1B8E"/>
    <w:rsid w:val="00BA2CF3"/>
    <w:rsid w:val="00BA3A8A"/>
    <w:rsid w:val="00BA3DF0"/>
    <w:rsid w:val="00BA3E91"/>
    <w:rsid w:val="00BA3F9E"/>
    <w:rsid w:val="00BA402C"/>
    <w:rsid w:val="00BA4894"/>
    <w:rsid w:val="00BA4906"/>
    <w:rsid w:val="00BA4AE1"/>
    <w:rsid w:val="00BA4B04"/>
    <w:rsid w:val="00BA4EE0"/>
    <w:rsid w:val="00BA53E2"/>
    <w:rsid w:val="00BA5739"/>
    <w:rsid w:val="00BA57E5"/>
    <w:rsid w:val="00BA5CBA"/>
    <w:rsid w:val="00BA61F4"/>
    <w:rsid w:val="00BA699F"/>
    <w:rsid w:val="00BA69FA"/>
    <w:rsid w:val="00BA6D95"/>
    <w:rsid w:val="00BA6F01"/>
    <w:rsid w:val="00BA7252"/>
    <w:rsid w:val="00BA74B8"/>
    <w:rsid w:val="00BA76C2"/>
    <w:rsid w:val="00BB00F3"/>
    <w:rsid w:val="00BB0571"/>
    <w:rsid w:val="00BB0A8B"/>
    <w:rsid w:val="00BB1125"/>
    <w:rsid w:val="00BB11CE"/>
    <w:rsid w:val="00BB1D82"/>
    <w:rsid w:val="00BB1F59"/>
    <w:rsid w:val="00BB2A4A"/>
    <w:rsid w:val="00BB37C4"/>
    <w:rsid w:val="00BB3AB6"/>
    <w:rsid w:val="00BB4090"/>
    <w:rsid w:val="00BB4B15"/>
    <w:rsid w:val="00BB5072"/>
    <w:rsid w:val="00BB5519"/>
    <w:rsid w:val="00BB5FA2"/>
    <w:rsid w:val="00BB634F"/>
    <w:rsid w:val="00BB76C4"/>
    <w:rsid w:val="00BB77CD"/>
    <w:rsid w:val="00BB7DAB"/>
    <w:rsid w:val="00BC0555"/>
    <w:rsid w:val="00BC0907"/>
    <w:rsid w:val="00BC0BD4"/>
    <w:rsid w:val="00BC1163"/>
    <w:rsid w:val="00BC1323"/>
    <w:rsid w:val="00BC14D5"/>
    <w:rsid w:val="00BC1790"/>
    <w:rsid w:val="00BC183C"/>
    <w:rsid w:val="00BC2182"/>
    <w:rsid w:val="00BC2F22"/>
    <w:rsid w:val="00BC3348"/>
    <w:rsid w:val="00BC3EE1"/>
    <w:rsid w:val="00BC42CC"/>
    <w:rsid w:val="00BC46B7"/>
    <w:rsid w:val="00BC47B1"/>
    <w:rsid w:val="00BC4951"/>
    <w:rsid w:val="00BC4A17"/>
    <w:rsid w:val="00BC4C1B"/>
    <w:rsid w:val="00BC5151"/>
    <w:rsid w:val="00BC5F97"/>
    <w:rsid w:val="00BC60FF"/>
    <w:rsid w:val="00BC6628"/>
    <w:rsid w:val="00BC6E69"/>
    <w:rsid w:val="00BC718C"/>
    <w:rsid w:val="00BC72A5"/>
    <w:rsid w:val="00BC731B"/>
    <w:rsid w:val="00BC7925"/>
    <w:rsid w:val="00BC7981"/>
    <w:rsid w:val="00BD0276"/>
    <w:rsid w:val="00BD0608"/>
    <w:rsid w:val="00BD086F"/>
    <w:rsid w:val="00BD0C6C"/>
    <w:rsid w:val="00BD0C93"/>
    <w:rsid w:val="00BD0F3C"/>
    <w:rsid w:val="00BD10C2"/>
    <w:rsid w:val="00BD12F8"/>
    <w:rsid w:val="00BD1E7B"/>
    <w:rsid w:val="00BD2441"/>
    <w:rsid w:val="00BD24FF"/>
    <w:rsid w:val="00BD262F"/>
    <w:rsid w:val="00BD26AA"/>
    <w:rsid w:val="00BD2B12"/>
    <w:rsid w:val="00BD30A0"/>
    <w:rsid w:val="00BD3C75"/>
    <w:rsid w:val="00BD3E36"/>
    <w:rsid w:val="00BD454F"/>
    <w:rsid w:val="00BD459A"/>
    <w:rsid w:val="00BD490E"/>
    <w:rsid w:val="00BD4D33"/>
    <w:rsid w:val="00BD4FD2"/>
    <w:rsid w:val="00BD5621"/>
    <w:rsid w:val="00BD56B2"/>
    <w:rsid w:val="00BD586A"/>
    <w:rsid w:val="00BD59C4"/>
    <w:rsid w:val="00BD6073"/>
    <w:rsid w:val="00BD688B"/>
    <w:rsid w:val="00BD6CDE"/>
    <w:rsid w:val="00BD70FA"/>
    <w:rsid w:val="00BD74B0"/>
    <w:rsid w:val="00BD7554"/>
    <w:rsid w:val="00BD7561"/>
    <w:rsid w:val="00BD7608"/>
    <w:rsid w:val="00BD76DA"/>
    <w:rsid w:val="00BD77D3"/>
    <w:rsid w:val="00BD7BDE"/>
    <w:rsid w:val="00BD7FA3"/>
    <w:rsid w:val="00BE050E"/>
    <w:rsid w:val="00BE0B18"/>
    <w:rsid w:val="00BE0B98"/>
    <w:rsid w:val="00BE0E32"/>
    <w:rsid w:val="00BE1A46"/>
    <w:rsid w:val="00BE1A74"/>
    <w:rsid w:val="00BE2260"/>
    <w:rsid w:val="00BE2377"/>
    <w:rsid w:val="00BE29D1"/>
    <w:rsid w:val="00BE3A7B"/>
    <w:rsid w:val="00BE3C5D"/>
    <w:rsid w:val="00BE3C6A"/>
    <w:rsid w:val="00BE491F"/>
    <w:rsid w:val="00BE4A06"/>
    <w:rsid w:val="00BE4BB0"/>
    <w:rsid w:val="00BE5434"/>
    <w:rsid w:val="00BE548E"/>
    <w:rsid w:val="00BE5972"/>
    <w:rsid w:val="00BE60FF"/>
    <w:rsid w:val="00BE63B9"/>
    <w:rsid w:val="00BE6AA9"/>
    <w:rsid w:val="00BE6E87"/>
    <w:rsid w:val="00BE7617"/>
    <w:rsid w:val="00BE7A14"/>
    <w:rsid w:val="00BE7EA5"/>
    <w:rsid w:val="00BF0F82"/>
    <w:rsid w:val="00BF1A2F"/>
    <w:rsid w:val="00BF1A88"/>
    <w:rsid w:val="00BF1EA7"/>
    <w:rsid w:val="00BF2FA9"/>
    <w:rsid w:val="00BF37E4"/>
    <w:rsid w:val="00BF3B89"/>
    <w:rsid w:val="00BF4501"/>
    <w:rsid w:val="00BF47EC"/>
    <w:rsid w:val="00BF4EAE"/>
    <w:rsid w:val="00BF62B8"/>
    <w:rsid w:val="00BF6CED"/>
    <w:rsid w:val="00BF708B"/>
    <w:rsid w:val="00BF73E1"/>
    <w:rsid w:val="00BF767F"/>
    <w:rsid w:val="00BF7884"/>
    <w:rsid w:val="00BF7E7D"/>
    <w:rsid w:val="00C0009E"/>
    <w:rsid w:val="00C0025C"/>
    <w:rsid w:val="00C0036F"/>
    <w:rsid w:val="00C00B5E"/>
    <w:rsid w:val="00C00BF6"/>
    <w:rsid w:val="00C00C85"/>
    <w:rsid w:val="00C01CB7"/>
    <w:rsid w:val="00C01DCC"/>
    <w:rsid w:val="00C02771"/>
    <w:rsid w:val="00C02C6F"/>
    <w:rsid w:val="00C0436E"/>
    <w:rsid w:val="00C0442F"/>
    <w:rsid w:val="00C054F5"/>
    <w:rsid w:val="00C05515"/>
    <w:rsid w:val="00C05A03"/>
    <w:rsid w:val="00C0655D"/>
    <w:rsid w:val="00C06DDC"/>
    <w:rsid w:val="00C06E50"/>
    <w:rsid w:val="00C07084"/>
    <w:rsid w:val="00C07507"/>
    <w:rsid w:val="00C0773E"/>
    <w:rsid w:val="00C0786C"/>
    <w:rsid w:val="00C07BD4"/>
    <w:rsid w:val="00C07CE9"/>
    <w:rsid w:val="00C1071C"/>
    <w:rsid w:val="00C10D0D"/>
    <w:rsid w:val="00C1168A"/>
    <w:rsid w:val="00C11708"/>
    <w:rsid w:val="00C118E3"/>
    <w:rsid w:val="00C11966"/>
    <w:rsid w:val="00C123F5"/>
    <w:rsid w:val="00C125B0"/>
    <w:rsid w:val="00C128E9"/>
    <w:rsid w:val="00C12972"/>
    <w:rsid w:val="00C130E7"/>
    <w:rsid w:val="00C13134"/>
    <w:rsid w:val="00C139DF"/>
    <w:rsid w:val="00C13ED9"/>
    <w:rsid w:val="00C141E5"/>
    <w:rsid w:val="00C14396"/>
    <w:rsid w:val="00C14484"/>
    <w:rsid w:val="00C1467F"/>
    <w:rsid w:val="00C14C08"/>
    <w:rsid w:val="00C14D93"/>
    <w:rsid w:val="00C15199"/>
    <w:rsid w:val="00C15E12"/>
    <w:rsid w:val="00C161A2"/>
    <w:rsid w:val="00C16223"/>
    <w:rsid w:val="00C166FE"/>
    <w:rsid w:val="00C16C8A"/>
    <w:rsid w:val="00C16D7A"/>
    <w:rsid w:val="00C16ED6"/>
    <w:rsid w:val="00C17115"/>
    <w:rsid w:val="00C17E68"/>
    <w:rsid w:val="00C17FC7"/>
    <w:rsid w:val="00C202B3"/>
    <w:rsid w:val="00C202F7"/>
    <w:rsid w:val="00C205B7"/>
    <w:rsid w:val="00C209F1"/>
    <w:rsid w:val="00C20B4E"/>
    <w:rsid w:val="00C20C64"/>
    <w:rsid w:val="00C21EE0"/>
    <w:rsid w:val="00C22A1A"/>
    <w:rsid w:val="00C23199"/>
    <w:rsid w:val="00C235F8"/>
    <w:rsid w:val="00C23F64"/>
    <w:rsid w:val="00C240FB"/>
    <w:rsid w:val="00C25117"/>
    <w:rsid w:val="00C252A3"/>
    <w:rsid w:val="00C254E3"/>
    <w:rsid w:val="00C26439"/>
    <w:rsid w:val="00C267EF"/>
    <w:rsid w:val="00C276F0"/>
    <w:rsid w:val="00C27C5E"/>
    <w:rsid w:val="00C27E19"/>
    <w:rsid w:val="00C300A7"/>
    <w:rsid w:val="00C30297"/>
    <w:rsid w:val="00C30762"/>
    <w:rsid w:val="00C31116"/>
    <w:rsid w:val="00C328F8"/>
    <w:rsid w:val="00C32EBF"/>
    <w:rsid w:val="00C33182"/>
    <w:rsid w:val="00C3351E"/>
    <w:rsid w:val="00C339E0"/>
    <w:rsid w:val="00C34035"/>
    <w:rsid w:val="00C3408F"/>
    <w:rsid w:val="00C343F1"/>
    <w:rsid w:val="00C34448"/>
    <w:rsid w:val="00C3475C"/>
    <w:rsid w:val="00C34763"/>
    <w:rsid w:val="00C34947"/>
    <w:rsid w:val="00C34ACE"/>
    <w:rsid w:val="00C34CE4"/>
    <w:rsid w:val="00C3526E"/>
    <w:rsid w:val="00C36237"/>
    <w:rsid w:val="00C36566"/>
    <w:rsid w:val="00C37D34"/>
    <w:rsid w:val="00C37D49"/>
    <w:rsid w:val="00C402B8"/>
    <w:rsid w:val="00C40F9A"/>
    <w:rsid w:val="00C4148E"/>
    <w:rsid w:val="00C418D2"/>
    <w:rsid w:val="00C41A47"/>
    <w:rsid w:val="00C41ABB"/>
    <w:rsid w:val="00C4210C"/>
    <w:rsid w:val="00C4226E"/>
    <w:rsid w:val="00C422F6"/>
    <w:rsid w:val="00C42347"/>
    <w:rsid w:val="00C42CC1"/>
    <w:rsid w:val="00C431DE"/>
    <w:rsid w:val="00C43AB3"/>
    <w:rsid w:val="00C43C61"/>
    <w:rsid w:val="00C44D53"/>
    <w:rsid w:val="00C44D98"/>
    <w:rsid w:val="00C44F20"/>
    <w:rsid w:val="00C450B9"/>
    <w:rsid w:val="00C4533A"/>
    <w:rsid w:val="00C4576B"/>
    <w:rsid w:val="00C46694"/>
    <w:rsid w:val="00C466AA"/>
    <w:rsid w:val="00C46A21"/>
    <w:rsid w:val="00C46DCF"/>
    <w:rsid w:val="00C46F54"/>
    <w:rsid w:val="00C46FBA"/>
    <w:rsid w:val="00C47339"/>
    <w:rsid w:val="00C47EDE"/>
    <w:rsid w:val="00C50267"/>
    <w:rsid w:val="00C50582"/>
    <w:rsid w:val="00C505F9"/>
    <w:rsid w:val="00C50777"/>
    <w:rsid w:val="00C50B48"/>
    <w:rsid w:val="00C50D61"/>
    <w:rsid w:val="00C51928"/>
    <w:rsid w:val="00C52190"/>
    <w:rsid w:val="00C52C59"/>
    <w:rsid w:val="00C52DCC"/>
    <w:rsid w:val="00C5328E"/>
    <w:rsid w:val="00C539C1"/>
    <w:rsid w:val="00C54024"/>
    <w:rsid w:val="00C54ACE"/>
    <w:rsid w:val="00C5544B"/>
    <w:rsid w:val="00C555AC"/>
    <w:rsid w:val="00C55E53"/>
    <w:rsid w:val="00C5689E"/>
    <w:rsid w:val="00C56B09"/>
    <w:rsid w:val="00C56C99"/>
    <w:rsid w:val="00C5710C"/>
    <w:rsid w:val="00C57433"/>
    <w:rsid w:val="00C57F37"/>
    <w:rsid w:val="00C608C9"/>
    <w:rsid w:val="00C60952"/>
    <w:rsid w:val="00C611EC"/>
    <w:rsid w:val="00C61A00"/>
    <w:rsid w:val="00C61C18"/>
    <w:rsid w:val="00C61CD8"/>
    <w:rsid w:val="00C62051"/>
    <w:rsid w:val="00C62BEE"/>
    <w:rsid w:val="00C62E61"/>
    <w:rsid w:val="00C63483"/>
    <w:rsid w:val="00C63623"/>
    <w:rsid w:val="00C63DE5"/>
    <w:rsid w:val="00C6429E"/>
    <w:rsid w:val="00C653DD"/>
    <w:rsid w:val="00C65EAC"/>
    <w:rsid w:val="00C66131"/>
    <w:rsid w:val="00C66713"/>
    <w:rsid w:val="00C669B0"/>
    <w:rsid w:val="00C66E7E"/>
    <w:rsid w:val="00C66F03"/>
    <w:rsid w:val="00C67BF1"/>
    <w:rsid w:val="00C700BB"/>
    <w:rsid w:val="00C7061E"/>
    <w:rsid w:val="00C70889"/>
    <w:rsid w:val="00C70CC9"/>
    <w:rsid w:val="00C713ED"/>
    <w:rsid w:val="00C719E0"/>
    <w:rsid w:val="00C71E47"/>
    <w:rsid w:val="00C71F48"/>
    <w:rsid w:val="00C72131"/>
    <w:rsid w:val="00C72318"/>
    <w:rsid w:val="00C7234D"/>
    <w:rsid w:val="00C7235F"/>
    <w:rsid w:val="00C723A4"/>
    <w:rsid w:val="00C724E6"/>
    <w:rsid w:val="00C72F73"/>
    <w:rsid w:val="00C73441"/>
    <w:rsid w:val="00C73690"/>
    <w:rsid w:val="00C73954"/>
    <w:rsid w:val="00C739D4"/>
    <w:rsid w:val="00C74789"/>
    <w:rsid w:val="00C747A5"/>
    <w:rsid w:val="00C74F1B"/>
    <w:rsid w:val="00C75184"/>
    <w:rsid w:val="00C75576"/>
    <w:rsid w:val="00C75AC6"/>
    <w:rsid w:val="00C75C15"/>
    <w:rsid w:val="00C75CD6"/>
    <w:rsid w:val="00C75EC8"/>
    <w:rsid w:val="00C77732"/>
    <w:rsid w:val="00C77944"/>
    <w:rsid w:val="00C77B53"/>
    <w:rsid w:val="00C77FEA"/>
    <w:rsid w:val="00C80476"/>
    <w:rsid w:val="00C807D7"/>
    <w:rsid w:val="00C807E2"/>
    <w:rsid w:val="00C80A9C"/>
    <w:rsid w:val="00C80B28"/>
    <w:rsid w:val="00C80C4E"/>
    <w:rsid w:val="00C80E50"/>
    <w:rsid w:val="00C80F50"/>
    <w:rsid w:val="00C81457"/>
    <w:rsid w:val="00C81DB5"/>
    <w:rsid w:val="00C82410"/>
    <w:rsid w:val="00C82514"/>
    <w:rsid w:val="00C8339A"/>
    <w:rsid w:val="00C8397D"/>
    <w:rsid w:val="00C83B3E"/>
    <w:rsid w:val="00C83C45"/>
    <w:rsid w:val="00C850A4"/>
    <w:rsid w:val="00C85314"/>
    <w:rsid w:val="00C858B5"/>
    <w:rsid w:val="00C85B9F"/>
    <w:rsid w:val="00C85F4B"/>
    <w:rsid w:val="00C864DF"/>
    <w:rsid w:val="00C86886"/>
    <w:rsid w:val="00C86F50"/>
    <w:rsid w:val="00C87375"/>
    <w:rsid w:val="00C876F9"/>
    <w:rsid w:val="00C87A01"/>
    <w:rsid w:val="00C90075"/>
    <w:rsid w:val="00C9013B"/>
    <w:rsid w:val="00C90ECF"/>
    <w:rsid w:val="00C91469"/>
    <w:rsid w:val="00C91757"/>
    <w:rsid w:val="00C919FE"/>
    <w:rsid w:val="00C927BD"/>
    <w:rsid w:val="00C92885"/>
    <w:rsid w:val="00C9298B"/>
    <w:rsid w:val="00C92B53"/>
    <w:rsid w:val="00C92CA5"/>
    <w:rsid w:val="00C92F8F"/>
    <w:rsid w:val="00C9311A"/>
    <w:rsid w:val="00C93572"/>
    <w:rsid w:val="00C939C2"/>
    <w:rsid w:val="00C93B54"/>
    <w:rsid w:val="00C93C2A"/>
    <w:rsid w:val="00C947F6"/>
    <w:rsid w:val="00C94B07"/>
    <w:rsid w:val="00C9501A"/>
    <w:rsid w:val="00C954AC"/>
    <w:rsid w:val="00C95B91"/>
    <w:rsid w:val="00C964E0"/>
    <w:rsid w:val="00C96EA9"/>
    <w:rsid w:val="00C97733"/>
    <w:rsid w:val="00C978B0"/>
    <w:rsid w:val="00CA0116"/>
    <w:rsid w:val="00CA01C0"/>
    <w:rsid w:val="00CA06FB"/>
    <w:rsid w:val="00CA07D4"/>
    <w:rsid w:val="00CA133B"/>
    <w:rsid w:val="00CA1DF9"/>
    <w:rsid w:val="00CA22E9"/>
    <w:rsid w:val="00CA241A"/>
    <w:rsid w:val="00CA2446"/>
    <w:rsid w:val="00CA3522"/>
    <w:rsid w:val="00CA384A"/>
    <w:rsid w:val="00CA3A10"/>
    <w:rsid w:val="00CA3E0C"/>
    <w:rsid w:val="00CA3ED1"/>
    <w:rsid w:val="00CA4A0F"/>
    <w:rsid w:val="00CA4BC0"/>
    <w:rsid w:val="00CA5260"/>
    <w:rsid w:val="00CA5297"/>
    <w:rsid w:val="00CA5AAC"/>
    <w:rsid w:val="00CA5CA8"/>
    <w:rsid w:val="00CA5E0C"/>
    <w:rsid w:val="00CA5F16"/>
    <w:rsid w:val="00CA64A6"/>
    <w:rsid w:val="00CA7089"/>
    <w:rsid w:val="00CA728B"/>
    <w:rsid w:val="00CA748F"/>
    <w:rsid w:val="00CA7B7A"/>
    <w:rsid w:val="00CA7E12"/>
    <w:rsid w:val="00CB0157"/>
    <w:rsid w:val="00CB0726"/>
    <w:rsid w:val="00CB0CBE"/>
    <w:rsid w:val="00CB114B"/>
    <w:rsid w:val="00CB1169"/>
    <w:rsid w:val="00CB1A79"/>
    <w:rsid w:val="00CB1C7A"/>
    <w:rsid w:val="00CB265D"/>
    <w:rsid w:val="00CB2698"/>
    <w:rsid w:val="00CB2767"/>
    <w:rsid w:val="00CB28E9"/>
    <w:rsid w:val="00CB3053"/>
    <w:rsid w:val="00CB3336"/>
    <w:rsid w:val="00CB38E4"/>
    <w:rsid w:val="00CB405A"/>
    <w:rsid w:val="00CB41D2"/>
    <w:rsid w:val="00CB4EC6"/>
    <w:rsid w:val="00CB5205"/>
    <w:rsid w:val="00CB60E6"/>
    <w:rsid w:val="00CB6A5C"/>
    <w:rsid w:val="00CB6FE8"/>
    <w:rsid w:val="00CB71CF"/>
    <w:rsid w:val="00CB788E"/>
    <w:rsid w:val="00CC0E71"/>
    <w:rsid w:val="00CC0EC1"/>
    <w:rsid w:val="00CC1100"/>
    <w:rsid w:val="00CC1CC1"/>
    <w:rsid w:val="00CC2408"/>
    <w:rsid w:val="00CC25D2"/>
    <w:rsid w:val="00CC2DFD"/>
    <w:rsid w:val="00CC32C4"/>
    <w:rsid w:val="00CC38AC"/>
    <w:rsid w:val="00CC41F3"/>
    <w:rsid w:val="00CC4B27"/>
    <w:rsid w:val="00CC4C5A"/>
    <w:rsid w:val="00CC4CE2"/>
    <w:rsid w:val="00CC4F2C"/>
    <w:rsid w:val="00CC5090"/>
    <w:rsid w:val="00CC5106"/>
    <w:rsid w:val="00CC51D3"/>
    <w:rsid w:val="00CC525B"/>
    <w:rsid w:val="00CC54AC"/>
    <w:rsid w:val="00CC559D"/>
    <w:rsid w:val="00CC595E"/>
    <w:rsid w:val="00CC5AAE"/>
    <w:rsid w:val="00CC5EF8"/>
    <w:rsid w:val="00CC6416"/>
    <w:rsid w:val="00CC7390"/>
    <w:rsid w:val="00CC7B96"/>
    <w:rsid w:val="00CC7D8F"/>
    <w:rsid w:val="00CD00E2"/>
    <w:rsid w:val="00CD02D3"/>
    <w:rsid w:val="00CD05EE"/>
    <w:rsid w:val="00CD07BD"/>
    <w:rsid w:val="00CD0C13"/>
    <w:rsid w:val="00CD13E5"/>
    <w:rsid w:val="00CD18B6"/>
    <w:rsid w:val="00CD249A"/>
    <w:rsid w:val="00CD2519"/>
    <w:rsid w:val="00CD292B"/>
    <w:rsid w:val="00CD2A4A"/>
    <w:rsid w:val="00CD2D24"/>
    <w:rsid w:val="00CD30DC"/>
    <w:rsid w:val="00CD34C5"/>
    <w:rsid w:val="00CD37F2"/>
    <w:rsid w:val="00CD4172"/>
    <w:rsid w:val="00CD44F1"/>
    <w:rsid w:val="00CD49B2"/>
    <w:rsid w:val="00CD4A7F"/>
    <w:rsid w:val="00CD4DA7"/>
    <w:rsid w:val="00CD50A9"/>
    <w:rsid w:val="00CD5963"/>
    <w:rsid w:val="00CD5BA3"/>
    <w:rsid w:val="00CD5BA4"/>
    <w:rsid w:val="00CD5C90"/>
    <w:rsid w:val="00CD635F"/>
    <w:rsid w:val="00CD63F2"/>
    <w:rsid w:val="00CD654B"/>
    <w:rsid w:val="00CD6BEB"/>
    <w:rsid w:val="00CD6C13"/>
    <w:rsid w:val="00CD7921"/>
    <w:rsid w:val="00CE02B6"/>
    <w:rsid w:val="00CE0BD9"/>
    <w:rsid w:val="00CE11E0"/>
    <w:rsid w:val="00CE223E"/>
    <w:rsid w:val="00CE31F2"/>
    <w:rsid w:val="00CE3DD1"/>
    <w:rsid w:val="00CE4B29"/>
    <w:rsid w:val="00CE4BE5"/>
    <w:rsid w:val="00CE4BF5"/>
    <w:rsid w:val="00CE5118"/>
    <w:rsid w:val="00CE53AE"/>
    <w:rsid w:val="00CE5631"/>
    <w:rsid w:val="00CE5811"/>
    <w:rsid w:val="00CE6DA6"/>
    <w:rsid w:val="00CE7E46"/>
    <w:rsid w:val="00CF00B9"/>
    <w:rsid w:val="00CF0202"/>
    <w:rsid w:val="00CF0D3D"/>
    <w:rsid w:val="00CF1B9E"/>
    <w:rsid w:val="00CF20BB"/>
    <w:rsid w:val="00CF30AE"/>
    <w:rsid w:val="00CF31BD"/>
    <w:rsid w:val="00CF3612"/>
    <w:rsid w:val="00CF3A68"/>
    <w:rsid w:val="00CF3CF0"/>
    <w:rsid w:val="00CF3F0D"/>
    <w:rsid w:val="00CF5296"/>
    <w:rsid w:val="00CF5932"/>
    <w:rsid w:val="00CF6379"/>
    <w:rsid w:val="00CF65B3"/>
    <w:rsid w:val="00CF6E6C"/>
    <w:rsid w:val="00CF71DB"/>
    <w:rsid w:val="00CF7221"/>
    <w:rsid w:val="00CF7B1B"/>
    <w:rsid w:val="00CF7D35"/>
    <w:rsid w:val="00D00E2D"/>
    <w:rsid w:val="00D01C12"/>
    <w:rsid w:val="00D01C85"/>
    <w:rsid w:val="00D0248E"/>
    <w:rsid w:val="00D025DA"/>
    <w:rsid w:val="00D02D66"/>
    <w:rsid w:val="00D03206"/>
    <w:rsid w:val="00D033D4"/>
    <w:rsid w:val="00D041F5"/>
    <w:rsid w:val="00D043AD"/>
    <w:rsid w:val="00D045B0"/>
    <w:rsid w:val="00D046C5"/>
    <w:rsid w:val="00D04B41"/>
    <w:rsid w:val="00D04D5F"/>
    <w:rsid w:val="00D04E49"/>
    <w:rsid w:val="00D05273"/>
    <w:rsid w:val="00D0578F"/>
    <w:rsid w:val="00D057EF"/>
    <w:rsid w:val="00D05E51"/>
    <w:rsid w:val="00D06327"/>
    <w:rsid w:val="00D07A49"/>
    <w:rsid w:val="00D101F7"/>
    <w:rsid w:val="00D11577"/>
    <w:rsid w:val="00D11B35"/>
    <w:rsid w:val="00D11B46"/>
    <w:rsid w:val="00D122D8"/>
    <w:rsid w:val="00D124BC"/>
    <w:rsid w:val="00D126ED"/>
    <w:rsid w:val="00D13062"/>
    <w:rsid w:val="00D13554"/>
    <w:rsid w:val="00D145F5"/>
    <w:rsid w:val="00D148DC"/>
    <w:rsid w:val="00D14C04"/>
    <w:rsid w:val="00D14D5A"/>
    <w:rsid w:val="00D156B6"/>
    <w:rsid w:val="00D15B9D"/>
    <w:rsid w:val="00D162A7"/>
    <w:rsid w:val="00D16942"/>
    <w:rsid w:val="00D17B39"/>
    <w:rsid w:val="00D17BE5"/>
    <w:rsid w:val="00D20033"/>
    <w:rsid w:val="00D204CD"/>
    <w:rsid w:val="00D207BF"/>
    <w:rsid w:val="00D20F43"/>
    <w:rsid w:val="00D20FA7"/>
    <w:rsid w:val="00D2111F"/>
    <w:rsid w:val="00D215DD"/>
    <w:rsid w:val="00D21ADD"/>
    <w:rsid w:val="00D21B7C"/>
    <w:rsid w:val="00D21D2B"/>
    <w:rsid w:val="00D21F9F"/>
    <w:rsid w:val="00D22194"/>
    <w:rsid w:val="00D22D9F"/>
    <w:rsid w:val="00D23267"/>
    <w:rsid w:val="00D23E6B"/>
    <w:rsid w:val="00D24176"/>
    <w:rsid w:val="00D2438B"/>
    <w:rsid w:val="00D24CD6"/>
    <w:rsid w:val="00D24FD1"/>
    <w:rsid w:val="00D259B9"/>
    <w:rsid w:val="00D25D8E"/>
    <w:rsid w:val="00D26477"/>
    <w:rsid w:val="00D26583"/>
    <w:rsid w:val="00D26AB5"/>
    <w:rsid w:val="00D26B3B"/>
    <w:rsid w:val="00D270F3"/>
    <w:rsid w:val="00D2744C"/>
    <w:rsid w:val="00D278AE"/>
    <w:rsid w:val="00D27BD1"/>
    <w:rsid w:val="00D27DE4"/>
    <w:rsid w:val="00D301A4"/>
    <w:rsid w:val="00D304F5"/>
    <w:rsid w:val="00D30875"/>
    <w:rsid w:val="00D30DEA"/>
    <w:rsid w:val="00D30E62"/>
    <w:rsid w:val="00D3121B"/>
    <w:rsid w:val="00D31594"/>
    <w:rsid w:val="00D316A1"/>
    <w:rsid w:val="00D3179A"/>
    <w:rsid w:val="00D31C4F"/>
    <w:rsid w:val="00D322B2"/>
    <w:rsid w:val="00D32563"/>
    <w:rsid w:val="00D32977"/>
    <w:rsid w:val="00D329F1"/>
    <w:rsid w:val="00D32DDF"/>
    <w:rsid w:val="00D332A2"/>
    <w:rsid w:val="00D342B9"/>
    <w:rsid w:val="00D34372"/>
    <w:rsid w:val="00D347D7"/>
    <w:rsid w:val="00D34AFA"/>
    <w:rsid w:val="00D34DE8"/>
    <w:rsid w:val="00D34F51"/>
    <w:rsid w:val="00D35406"/>
    <w:rsid w:val="00D355F0"/>
    <w:rsid w:val="00D35B53"/>
    <w:rsid w:val="00D35D0F"/>
    <w:rsid w:val="00D35ED0"/>
    <w:rsid w:val="00D36925"/>
    <w:rsid w:val="00D36D39"/>
    <w:rsid w:val="00D36E9F"/>
    <w:rsid w:val="00D36FC5"/>
    <w:rsid w:val="00D377AE"/>
    <w:rsid w:val="00D37ED7"/>
    <w:rsid w:val="00D40149"/>
    <w:rsid w:val="00D41281"/>
    <w:rsid w:val="00D41611"/>
    <w:rsid w:val="00D4175A"/>
    <w:rsid w:val="00D41CCA"/>
    <w:rsid w:val="00D423FA"/>
    <w:rsid w:val="00D425CD"/>
    <w:rsid w:val="00D428CF"/>
    <w:rsid w:val="00D42B42"/>
    <w:rsid w:val="00D42C3F"/>
    <w:rsid w:val="00D43AC8"/>
    <w:rsid w:val="00D4469B"/>
    <w:rsid w:val="00D4542C"/>
    <w:rsid w:val="00D454D7"/>
    <w:rsid w:val="00D459E7"/>
    <w:rsid w:val="00D45F05"/>
    <w:rsid w:val="00D469B5"/>
    <w:rsid w:val="00D4728B"/>
    <w:rsid w:val="00D4755B"/>
    <w:rsid w:val="00D50879"/>
    <w:rsid w:val="00D5103D"/>
    <w:rsid w:val="00D51610"/>
    <w:rsid w:val="00D517FB"/>
    <w:rsid w:val="00D51BC9"/>
    <w:rsid w:val="00D51E9B"/>
    <w:rsid w:val="00D525AF"/>
    <w:rsid w:val="00D52629"/>
    <w:rsid w:val="00D526D8"/>
    <w:rsid w:val="00D527BB"/>
    <w:rsid w:val="00D52F92"/>
    <w:rsid w:val="00D53999"/>
    <w:rsid w:val="00D53A7C"/>
    <w:rsid w:val="00D53C73"/>
    <w:rsid w:val="00D53F29"/>
    <w:rsid w:val="00D54348"/>
    <w:rsid w:val="00D548C8"/>
    <w:rsid w:val="00D548EC"/>
    <w:rsid w:val="00D54FDE"/>
    <w:rsid w:val="00D5593A"/>
    <w:rsid w:val="00D55CB7"/>
    <w:rsid w:val="00D55EB1"/>
    <w:rsid w:val="00D56113"/>
    <w:rsid w:val="00D567CE"/>
    <w:rsid w:val="00D56876"/>
    <w:rsid w:val="00D56948"/>
    <w:rsid w:val="00D56991"/>
    <w:rsid w:val="00D56AFF"/>
    <w:rsid w:val="00D56DC4"/>
    <w:rsid w:val="00D57251"/>
    <w:rsid w:val="00D574B9"/>
    <w:rsid w:val="00D574F3"/>
    <w:rsid w:val="00D57CAE"/>
    <w:rsid w:val="00D57CEE"/>
    <w:rsid w:val="00D57F0D"/>
    <w:rsid w:val="00D60EBC"/>
    <w:rsid w:val="00D611CD"/>
    <w:rsid w:val="00D61613"/>
    <w:rsid w:val="00D618CD"/>
    <w:rsid w:val="00D61A35"/>
    <w:rsid w:val="00D62173"/>
    <w:rsid w:val="00D62674"/>
    <w:rsid w:val="00D629A6"/>
    <w:rsid w:val="00D62DC7"/>
    <w:rsid w:val="00D6382A"/>
    <w:rsid w:val="00D6425E"/>
    <w:rsid w:val="00D643F4"/>
    <w:rsid w:val="00D64E00"/>
    <w:rsid w:val="00D64F50"/>
    <w:rsid w:val="00D65305"/>
    <w:rsid w:val="00D65A7E"/>
    <w:rsid w:val="00D65DE1"/>
    <w:rsid w:val="00D669A4"/>
    <w:rsid w:val="00D66BFD"/>
    <w:rsid w:val="00D6701E"/>
    <w:rsid w:val="00D67EF5"/>
    <w:rsid w:val="00D7018F"/>
    <w:rsid w:val="00D70421"/>
    <w:rsid w:val="00D70791"/>
    <w:rsid w:val="00D70D46"/>
    <w:rsid w:val="00D70FEB"/>
    <w:rsid w:val="00D7189F"/>
    <w:rsid w:val="00D71931"/>
    <w:rsid w:val="00D721D1"/>
    <w:rsid w:val="00D72D9C"/>
    <w:rsid w:val="00D73488"/>
    <w:rsid w:val="00D73631"/>
    <w:rsid w:val="00D7392E"/>
    <w:rsid w:val="00D75876"/>
    <w:rsid w:val="00D75AB6"/>
    <w:rsid w:val="00D764FD"/>
    <w:rsid w:val="00D76CD2"/>
    <w:rsid w:val="00D76F5A"/>
    <w:rsid w:val="00D7714A"/>
    <w:rsid w:val="00D774A4"/>
    <w:rsid w:val="00D77A72"/>
    <w:rsid w:val="00D801EB"/>
    <w:rsid w:val="00D8082B"/>
    <w:rsid w:val="00D812A2"/>
    <w:rsid w:val="00D81972"/>
    <w:rsid w:val="00D825B9"/>
    <w:rsid w:val="00D8278A"/>
    <w:rsid w:val="00D82AC2"/>
    <w:rsid w:val="00D82E7C"/>
    <w:rsid w:val="00D82F19"/>
    <w:rsid w:val="00D83256"/>
    <w:rsid w:val="00D833D9"/>
    <w:rsid w:val="00D83978"/>
    <w:rsid w:val="00D83B56"/>
    <w:rsid w:val="00D83BD9"/>
    <w:rsid w:val="00D840AD"/>
    <w:rsid w:val="00D8412B"/>
    <w:rsid w:val="00D8496C"/>
    <w:rsid w:val="00D84AA4"/>
    <w:rsid w:val="00D84FC0"/>
    <w:rsid w:val="00D851ED"/>
    <w:rsid w:val="00D85372"/>
    <w:rsid w:val="00D86099"/>
    <w:rsid w:val="00D863D8"/>
    <w:rsid w:val="00D86CFD"/>
    <w:rsid w:val="00D86EEA"/>
    <w:rsid w:val="00D86F9A"/>
    <w:rsid w:val="00D87C19"/>
    <w:rsid w:val="00D87E55"/>
    <w:rsid w:val="00D90776"/>
    <w:rsid w:val="00D914E4"/>
    <w:rsid w:val="00D9187B"/>
    <w:rsid w:val="00D919D7"/>
    <w:rsid w:val="00D91D70"/>
    <w:rsid w:val="00D91E14"/>
    <w:rsid w:val="00D92039"/>
    <w:rsid w:val="00D9221B"/>
    <w:rsid w:val="00D92608"/>
    <w:rsid w:val="00D93069"/>
    <w:rsid w:val="00D93829"/>
    <w:rsid w:val="00D93EC8"/>
    <w:rsid w:val="00D945C5"/>
    <w:rsid w:val="00D948D1"/>
    <w:rsid w:val="00D94C82"/>
    <w:rsid w:val="00D94DCF"/>
    <w:rsid w:val="00D94E73"/>
    <w:rsid w:val="00D94EAE"/>
    <w:rsid w:val="00D95787"/>
    <w:rsid w:val="00D95F9B"/>
    <w:rsid w:val="00D9644D"/>
    <w:rsid w:val="00D964FB"/>
    <w:rsid w:val="00D97385"/>
    <w:rsid w:val="00D97D70"/>
    <w:rsid w:val="00DA0087"/>
    <w:rsid w:val="00DA01BD"/>
    <w:rsid w:val="00DA01EF"/>
    <w:rsid w:val="00DA0518"/>
    <w:rsid w:val="00DA0753"/>
    <w:rsid w:val="00DA08E6"/>
    <w:rsid w:val="00DA099F"/>
    <w:rsid w:val="00DA0F19"/>
    <w:rsid w:val="00DA12B1"/>
    <w:rsid w:val="00DA1CC5"/>
    <w:rsid w:val="00DA2838"/>
    <w:rsid w:val="00DA2C9D"/>
    <w:rsid w:val="00DA3396"/>
    <w:rsid w:val="00DA45F1"/>
    <w:rsid w:val="00DA4A84"/>
    <w:rsid w:val="00DA4ABB"/>
    <w:rsid w:val="00DA4EB8"/>
    <w:rsid w:val="00DA521C"/>
    <w:rsid w:val="00DA5329"/>
    <w:rsid w:val="00DA570A"/>
    <w:rsid w:val="00DA572C"/>
    <w:rsid w:val="00DA586F"/>
    <w:rsid w:val="00DA5FF7"/>
    <w:rsid w:val="00DA69D7"/>
    <w:rsid w:val="00DA6EE6"/>
    <w:rsid w:val="00DA6EFE"/>
    <w:rsid w:val="00DA7E0A"/>
    <w:rsid w:val="00DA7E2A"/>
    <w:rsid w:val="00DB0152"/>
    <w:rsid w:val="00DB065D"/>
    <w:rsid w:val="00DB08DA"/>
    <w:rsid w:val="00DB1A26"/>
    <w:rsid w:val="00DB2B39"/>
    <w:rsid w:val="00DB2D66"/>
    <w:rsid w:val="00DB3062"/>
    <w:rsid w:val="00DB370F"/>
    <w:rsid w:val="00DB3EA5"/>
    <w:rsid w:val="00DB45D5"/>
    <w:rsid w:val="00DB4D6F"/>
    <w:rsid w:val="00DB6516"/>
    <w:rsid w:val="00DB65CE"/>
    <w:rsid w:val="00DB6796"/>
    <w:rsid w:val="00DB6822"/>
    <w:rsid w:val="00DB69E0"/>
    <w:rsid w:val="00DB6A07"/>
    <w:rsid w:val="00DB6C92"/>
    <w:rsid w:val="00DB6C96"/>
    <w:rsid w:val="00DB7024"/>
    <w:rsid w:val="00DB7A35"/>
    <w:rsid w:val="00DB7F09"/>
    <w:rsid w:val="00DC00E8"/>
    <w:rsid w:val="00DC027E"/>
    <w:rsid w:val="00DC03B9"/>
    <w:rsid w:val="00DC0D26"/>
    <w:rsid w:val="00DC0DDC"/>
    <w:rsid w:val="00DC1075"/>
    <w:rsid w:val="00DC1307"/>
    <w:rsid w:val="00DC171C"/>
    <w:rsid w:val="00DC1C56"/>
    <w:rsid w:val="00DC2576"/>
    <w:rsid w:val="00DC33CF"/>
    <w:rsid w:val="00DC3D7F"/>
    <w:rsid w:val="00DC3E65"/>
    <w:rsid w:val="00DC3F27"/>
    <w:rsid w:val="00DC4288"/>
    <w:rsid w:val="00DC42FE"/>
    <w:rsid w:val="00DC4756"/>
    <w:rsid w:val="00DC4871"/>
    <w:rsid w:val="00DC4939"/>
    <w:rsid w:val="00DC4D44"/>
    <w:rsid w:val="00DC4E0C"/>
    <w:rsid w:val="00DC5260"/>
    <w:rsid w:val="00DC5395"/>
    <w:rsid w:val="00DC5BCA"/>
    <w:rsid w:val="00DC5CB0"/>
    <w:rsid w:val="00DC6379"/>
    <w:rsid w:val="00DC6732"/>
    <w:rsid w:val="00DC6AAD"/>
    <w:rsid w:val="00DC6FBD"/>
    <w:rsid w:val="00DC73D6"/>
    <w:rsid w:val="00DC7698"/>
    <w:rsid w:val="00DC7C60"/>
    <w:rsid w:val="00DD0A3E"/>
    <w:rsid w:val="00DD0B04"/>
    <w:rsid w:val="00DD0E21"/>
    <w:rsid w:val="00DD0E9A"/>
    <w:rsid w:val="00DD14EC"/>
    <w:rsid w:val="00DD16D7"/>
    <w:rsid w:val="00DD172F"/>
    <w:rsid w:val="00DD1AAA"/>
    <w:rsid w:val="00DD1BAA"/>
    <w:rsid w:val="00DD1F3A"/>
    <w:rsid w:val="00DD278A"/>
    <w:rsid w:val="00DD27A1"/>
    <w:rsid w:val="00DD301D"/>
    <w:rsid w:val="00DD3258"/>
    <w:rsid w:val="00DD35DE"/>
    <w:rsid w:val="00DD3D08"/>
    <w:rsid w:val="00DD3FC2"/>
    <w:rsid w:val="00DD43E8"/>
    <w:rsid w:val="00DD4CB2"/>
    <w:rsid w:val="00DD4FC3"/>
    <w:rsid w:val="00DD503E"/>
    <w:rsid w:val="00DD5211"/>
    <w:rsid w:val="00DD556B"/>
    <w:rsid w:val="00DD56DC"/>
    <w:rsid w:val="00DD594B"/>
    <w:rsid w:val="00DD5C1B"/>
    <w:rsid w:val="00DD5F69"/>
    <w:rsid w:val="00DD6127"/>
    <w:rsid w:val="00DD61A7"/>
    <w:rsid w:val="00DD6214"/>
    <w:rsid w:val="00DD65D2"/>
    <w:rsid w:val="00DD73E4"/>
    <w:rsid w:val="00DD7404"/>
    <w:rsid w:val="00DD74AC"/>
    <w:rsid w:val="00DD7E7C"/>
    <w:rsid w:val="00DE0324"/>
    <w:rsid w:val="00DE049C"/>
    <w:rsid w:val="00DE06D0"/>
    <w:rsid w:val="00DE1043"/>
    <w:rsid w:val="00DE1496"/>
    <w:rsid w:val="00DE1DFC"/>
    <w:rsid w:val="00DE205B"/>
    <w:rsid w:val="00DE2669"/>
    <w:rsid w:val="00DE2763"/>
    <w:rsid w:val="00DE336B"/>
    <w:rsid w:val="00DE3A53"/>
    <w:rsid w:val="00DE3A9A"/>
    <w:rsid w:val="00DE3C77"/>
    <w:rsid w:val="00DE433D"/>
    <w:rsid w:val="00DE6244"/>
    <w:rsid w:val="00DE70F1"/>
    <w:rsid w:val="00DE72D6"/>
    <w:rsid w:val="00DE7432"/>
    <w:rsid w:val="00DE7B43"/>
    <w:rsid w:val="00DE7E7D"/>
    <w:rsid w:val="00DE7FE4"/>
    <w:rsid w:val="00DF0F81"/>
    <w:rsid w:val="00DF110D"/>
    <w:rsid w:val="00DF18FE"/>
    <w:rsid w:val="00DF196D"/>
    <w:rsid w:val="00DF1FFD"/>
    <w:rsid w:val="00DF26D9"/>
    <w:rsid w:val="00DF2AB2"/>
    <w:rsid w:val="00DF2EFC"/>
    <w:rsid w:val="00DF35D0"/>
    <w:rsid w:val="00DF388E"/>
    <w:rsid w:val="00DF3AC1"/>
    <w:rsid w:val="00DF483A"/>
    <w:rsid w:val="00DF4E97"/>
    <w:rsid w:val="00DF52DA"/>
    <w:rsid w:val="00DF52DD"/>
    <w:rsid w:val="00DF5D0C"/>
    <w:rsid w:val="00DF5D76"/>
    <w:rsid w:val="00DF6160"/>
    <w:rsid w:val="00DF625D"/>
    <w:rsid w:val="00DF675A"/>
    <w:rsid w:val="00DF69B9"/>
    <w:rsid w:val="00DF6F61"/>
    <w:rsid w:val="00DF734A"/>
    <w:rsid w:val="00DF75D7"/>
    <w:rsid w:val="00DF7F52"/>
    <w:rsid w:val="00DF7FF6"/>
    <w:rsid w:val="00E00058"/>
    <w:rsid w:val="00E0010A"/>
    <w:rsid w:val="00E00AC8"/>
    <w:rsid w:val="00E00EE5"/>
    <w:rsid w:val="00E026D2"/>
    <w:rsid w:val="00E02AE5"/>
    <w:rsid w:val="00E02BEA"/>
    <w:rsid w:val="00E02FBA"/>
    <w:rsid w:val="00E0339D"/>
    <w:rsid w:val="00E03DD4"/>
    <w:rsid w:val="00E04BBC"/>
    <w:rsid w:val="00E04BC7"/>
    <w:rsid w:val="00E052BF"/>
    <w:rsid w:val="00E062F4"/>
    <w:rsid w:val="00E06B58"/>
    <w:rsid w:val="00E0774E"/>
    <w:rsid w:val="00E07B19"/>
    <w:rsid w:val="00E101C6"/>
    <w:rsid w:val="00E10328"/>
    <w:rsid w:val="00E1047A"/>
    <w:rsid w:val="00E11327"/>
    <w:rsid w:val="00E11574"/>
    <w:rsid w:val="00E11791"/>
    <w:rsid w:val="00E119DB"/>
    <w:rsid w:val="00E11F68"/>
    <w:rsid w:val="00E12303"/>
    <w:rsid w:val="00E125E2"/>
    <w:rsid w:val="00E12905"/>
    <w:rsid w:val="00E132A4"/>
    <w:rsid w:val="00E1401B"/>
    <w:rsid w:val="00E14424"/>
    <w:rsid w:val="00E1479E"/>
    <w:rsid w:val="00E147F6"/>
    <w:rsid w:val="00E14865"/>
    <w:rsid w:val="00E14866"/>
    <w:rsid w:val="00E14CE4"/>
    <w:rsid w:val="00E14CF5"/>
    <w:rsid w:val="00E15783"/>
    <w:rsid w:val="00E16238"/>
    <w:rsid w:val="00E1707F"/>
    <w:rsid w:val="00E171C0"/>
    <w:rsid w:val="00E17251"/>
    <w:rsid w:val="00E17531"/>
    <w:rsid w:val="00E17B45"/>
    <w:rsid w:val="00E17E29"/>
    <w:rsid w:val="00E17FE9"/>
    <w:rsid w:val="00E201E1"/>
    <w:rsid w:val="00E2040E"/>
    <w:rsid w:val="00E20AE9"/>
    <w:rsid w:val="00E211BC"/>
    <w:rsid w:val="00E2130A"/>
    <w:rsid w:val="00E21835"/>
    <w:rsid w:val="00E2226B"/>
    <w:rsid w:val="00E22970"/>
    <w:rsid w:val="00E22D51"/>
    <w:rsid w:val="00E22E81"/>
    <w:rsid w:val="00E232C4"/>
    <w:rsid w:val="00E23575"/>
    <w:rsid w:val="00E235DA"/>
    <w:rsid w:val="00E2374D"/>
    <w:rsid w:val="00E23AB5"/>
    <w:rsid w:val="00E23B3A"/>
    <w:rsid w:val="00E240D9"/>
    <w:rsid w:val="00E241EF"/>
    <w:rsid w:val="00E242AB"/>
    <w:rsid w:val="00E24865"/>
    <w:rsid w:val="00E249B3"/>
    <w:rsid w:val="00E25161"/>
    <w:rsid w:val="00E251C3"/>
    <w:rsid w:val="00E25472"/>
    <w:rsid w:val="00E266D2"/>
    <w:rsid w:val="00E26992"/>
    <w:rsid w:val="00E26ACA"/>
    <w:rsid w:val="00E273CE"/>
    <w:rsid w:val="00E3016E"/>
    <w:rsid w:val="00E30267"/>
    <w:rsid w:val="00E3047E"/>
    <w:rsid w:val="00E309F9"/>
    <w:rsid w:val="00E30B7C"/>
    <w:rsid w:val="00E30C95"/>
    <w:rsid w:val="00E30EAF"/>
    <w:rsid w:val="00E315FB"/>
    <w:rsid w:val="00E31866"/>
    <w:rsid w:val="00E31C75"/>
    <w:rsid w:val="00E3263E"/>
    <w:rsid w:val="00E32723"/>
    <w:rsid w:val="00E32810"/>
    <w:rsid w:val="00E338AE"/>
    <w:rsid w:val="00E345FB"/>
    <w:rsid w:val="00E3460F"/>
    <w:rsid w:val="00E346DF"/>
    <w:rsid w:val="00E349A7"/>
    <w:rsid w:val="00E34B0B"/>
    <w:rsid w:val="00E35055"/>
    <w:rsid w:val="00E35358"/>
    <w:rsid w:val="00E355A3"/>
    <w:rsid w:val="00E3573C"/>
    <w:rsid w:val="00E368AA"/>
    <w:rsid w:val="00E4081C"/>
    <w:rsid w:val="00E417DF"/>
    <w:rsid w:val="00E419B0"/>
    <w:rsid w:val="00E41B98"/>
    <w:rsid w:val="00E41ED7"/>
    <w:rsid w:val="00E428D4"/>
    <w:rsid w:val="00E43434"/>
    <w:rsid w:val="00E43DBD"/>
    <w:rsid w:val="00E43DCA"/>
    <w:rsid w:val="00E4432D"/>
    <w:rsid w:val="00E44948"/>
    <w:rsid w:val="00E44A76"/>
    <w:rsid w:val="00E44B2C"/>
    <w:rsid w:val="00E44CC9"/>
    <w:rsid w:val="00E455FA"/>
    <w:rsid w:val="00E45997"/>
    <w:rsid w:val="00E459B7"/>
    <w:rsid w:val="00E45B57"/>
    <w:rsid w:val="00E4616E"/>
    <w:rsid w:val="00E461CB"/>
    <w:rsid w:val="00E463DE"/>
    <w:rsid w:val="00E467AF"/>
    <w:rsid w:val="00E46B42"/>
    <w:rsid w:val="00E46CFA"/>
    <w:rsid w:val="00E476AA"/>
    <w:rsid w:val="00E47F85"/>
    <w:rsid w:val="00E5009C"/>
    <w:rsid w:val="00E5040D"/>
    <w:rsid w:val="00E504A9"/>
    <w:rsid w:val="00E506C0"/>
    <w:rsid w:val="00E50D11"/>
    <w:rsid w:val="00E50E7C"/>
    <w:rsid w:val="00E51172"/>
    <w:rsid w:val="00E51545"/>
    <w:rsid w:val="00E517FB"/>
    <w:rsid w:val="00E51D9E"/>
    <w:rsid w:val="00E51D9F"/>
    <w:rsid w:val="00E523EE"/>
    <w:rsid w:val="00E52547"/>
    <w:rsid w:val="00E527CF"/>
    <w:rsid w:val="00E537D1"/>
    <w:rsid w:val="00E53829"/>
    <w:rsid w:val="00E54A41"/>
    <w:rsid w:val="00E55804"/>
    <w:rsid w:val="00E55877"/>
    <w:rsid w:val="00E55FD9"/>
    <w:rsid w:val="00E567E6"/>
    <w:rsid w:val="00E56971"/>
    <w:rsid w:val="00E56B62"/>
    <w:rsid w:val="00E5720D"/>
    <w:rsid w:val="00E57640"/>
    <w:rsid w:val="00E57F36"/>
    <w:rsid w:val="00E6039E"/>
    <w:rsid w:val="00E6052E"/>
    <w:rsid w:val="00E60911"/>
    <w:rsid w:val="00E60A8E"/>
    <w:rsid w:val="00E613CA"/>
    <w:rsid w:val="00E613F3"/>
    <w:rsid w:val="00E61484"/>
    <w:rsid w:val="00E619F8"/>
    <w:rsid w:val="00E61C78"/>
    <w:rsid w:val="00E61DCE"/>
    <w:rsid w:val="00E624C7"/>
    <w:rsid w:val="00E62737"/>
    <w:rsid w:val="00E629B1"/>
    <w:rsid w:val="00E62C6B"/>
    <w:rsid w:val="00E62F2C"/>
    <w:rsid w:val="00E633A8"/>
    <w:rsid w:val="00E640B6"/>
    <w:rsid w:val="00E64DE0"/>
    <w:rsid w:val="00E64EF6"/>
    <w:rsid w:val="00E652EA"/>
    <w:rsid w:val="00E6561C"/>
    <w:rsid w:val="00E65C61"/>
    <w:rsid w:val="00E65D9A"/>
    <w:rsid w:val="00E663DC"/>
    <w:rsid w:val="00E66674"/>
    <w:rsid w:val="00E669BC"/>
    <w:rsid w:val="00E66B24"/>
    <w:rsid w:val="00E66B9D"/>
    <w:rsid w:val="00E671CD"/>
    <w:rsid w:val="00E6736D"/>
    <w:rsid w:val="00E70158"/>
    <w:rsid w:val="00E7017C"/>
    <w:rsid w:val="00E70187"/>
    <w:rsid w:val="00E70204"/>
    <w:rsid w:val="00E70564"/>
    <w:rsid w:val="00E7057F"/>
    <w:rsid w:val="00E707FF"/>
    <w:rsid w:val="00E711D7"/>
    <w:rsid w:val="00E72A29"/>
    <w:rsid w:val="00E72B65"/>
    <w:rsid w:val="00E72E4A"/>
    <w:rsid w:val="00E7333A"/>
    <w:rsid w:val="00E734F9"/>
    <w:rsid w:val="00E73E30"/>
    <w:rsid w:val="00E74C29"/>
    <w:rsid w:val="00E74D32"/>
    <w:rsid w:val="00E75C35"/>
    <w:rsid w:val="00E75C3B"/>
    <w:rsid w:val="00E75F6D"/>
    <w:rsid w:val="00E765BC"/>
    <w:rsid w:val="00E7715E"/>
    <w:rsid w:val="00E773F1"/>
    <w:rsid w:val="00E77802"/>
    <w:rsid w:val="00E779A5"/>
    <w:rsid w:val="00E77A89"/>
    <w:rsid w:val="00E80373"/>
    <w:rsid w:val="00E8041E"/>
    <w:rsid w:val="00E8043B"/>
    <w:rsid w:val="00E808BD"/>
    <w:rsid w:val="00E809FB"/>
    <w:rsid w:val="00E810C9"/>
    <w:rsid w:val="00E815E1"/>
    <w:rsid w:val="00E81760"/>
    <w:rsid w:val="00E81B60"/>
    <w:rsid w:val="00E82256"/>
    <w:rsid w:val="00E823CF"/>
    <w:rsid w:val="00E82536"/>
    <w:rsid w:val="00E8254D"/>
    <w:rsid w:val="00E82952"/>
    <w:rsid w:val="00E82965"/>
    <w:rsid w:val="00E83156"/>
    <w:rsid w:val="00E83416"/>
    <w:rsid w:val="00E83678"/>
    <w:rsid w:val="00E843DB"/>
    <w:rsid w:val="00E843DC"/>
    <w:rsid w:val="00E8445B"/>
    <w:rsid w:val="00E84753"/>
    <w:rsid w:val="00E8489A"/>
    <w:rsid w:val="00E85315"/>
    <w:rsid w:val="00E854BC"/>
    <w:rsid w:val="00E8559B"/>
    <w:rsid w:val="00E8582B"/>
    <w:rsid w:val="00E85DAF"/>
    <w:rsid w:val="00E85E74"/>
    <w:rsid w:val="00E861B9"/>
    <w:rsid w:val="00E8630E"/>
    <w:rsid w:val="00E8652E"/>
    <w:rsid w:val="00E86761"/>
    <w:rsid w:val="00E86BF4"/>
    <w:rsid w:val="00E872B6"/>
    <w:rsid w:val="00E902B0"/>
    <w:rsid w:val="00E902E8"/>
    <w:rsid w:val="00E9039E"/>
    <w:rsid w:val="00E90498"/>
    <w:rsid w:val="00E9057E"/>
    <w:rsid w:val="00E90AC5"/>
    <w:rsid w:val="00E90BF4"/>
    <w:rsid w:val="00E9169B"/>
    <w:rsid w:val="00E9208F"/>
    <w:rsid w:val="00E9296B"/>
    <w:rsid w:val="00E93BBD"/>
    <w:rsid w:val="00E9431E"/>
    <w:rsid w:val="00E94993"/>
    <w:rsid w:val="00E94AC8"/>
    <w:rsid w:val="00E94B4E"/>
    <w:rsid w:val="00E94E31"/>
    <w:rsid w:val="00E95066"/>
    <w:rsid w:val="00E95095"/>
    <w:rsid w:val="00E95179"/>
    <w:rsid w:val="00E955CF"/>
    <w:rsid w:val="00E95B25"/>
    <w:rsid w:val="00E967BC"/>
    <w:rsid w:val="00E96A90"/>
    <w:rsid w:val="00E97A39"/>
    <w:rsid w:val="00E97A3A"/>
    <w:rsid w:val="00E97C19"/>
    <w:rsid w:val="00E97F83"/>
    <w:rsid w:val="00EA0089"/>
    <w:rsid w:val="00EA02CB"/>
    <w:rsid w:val="00EA03D0"/>
    <w:rsid w:val="00EA071A"/>
    <w:rsid w:val="00EA0B36"/>
    <w:rsid w:val="00EA10AD"/>
    <w:rsid w:val="00EA23AC"/>
    <w:rsid w:val="00EA2BFC"/>
    <w:rsid w:val="00EA2C46"/>
    <w:rsid w:val="00EA31DE"/>
    <w:rsid w:val="00EA3866"/>
    <w:rsid w:val="00EA398F"/>
    <w:rsid w:val="00EA4942"/>
    <w:rsid w:val="00EA4B4D"/>
    <w:rsid w:val="00EA60F2"/>
    <w:rsid w:val="00EA6D38"/>
    <w:rsid w:val="00EA6FFC"/>
    <w:rsid w:val="00EA7005"/>
    <w:rsid w:val="00EA7C3D"/>
    <w:rsid w:val="00EA7FB7"/>
    <w:rsid w:val="00EB01D0"/>
    <w:rsid w:val="00EB05CB"/>
    <w:rsid w:val="00EB0883"/>
    <w:rsid w:val="00EB0B48"/>
    <w:rsid w:val="00EB0F26"/>
    <w:rsid w:val="00EB1298"/>
    <w:rsid w:val="00EB17A7"/>
    <w:rsid w:val="00EB195F"/>
    <w:rsid w:val="00EB1A96"/>
    <w:rsid w:val="00EB1B63"/>
    <w:rsid w:val="00EB1B6C"/>
    <w:rsid w:val="00EB2E7D"/>
    <w:rsid w:val="00EB32D6"/>
    <w:rsid w:val="00EB3502"/>
    <w:rsid w:val="00EB392C"/>
    <w:rsid w:val="00EB3E47"/>
    <w:rsid w:val="00EB41AA"/>
    <w:rsid w:val="00EB4225"/>
    <w:rsid w:val="00EB4352"/>
    <w:rsid w:val="00EB4B04"/>
    <w:rsid w:val="00EB4B0B"/>
    <w:rsid w:val="00EB4E6B"/>
    <w:rsid w:val="00EB4FFB"/>
    <w:rsid w:val="00EB51CF"/>
    <w:rsid w:val="00EB5349"/>
    <w:rsid w:val="00EB544C"/>
    <w:rsid w:val="00EB54BD"/>
    <w:rsid w:val="00EB56CD"/>
    <w:rsid w:val="00EB5B44"/>
    <w:rsid w:val="00EB60B3"/>
    <w:rsid w:val="00EB6204"/>
    <w:rsid w:val="00EB65CA"/>
    <w:rsid w:val="00EB6878"/>
    <w:rsid w:val="00EB6EE9"/>
    <w:rsid w:val="00EB711A"/>
    <w:rsid w:val="00EB739C"/>
    <w:rsid w:val="00EB73DE"/>
    <w:rsid w:val="00EB7C65"/>
    <w:rsid w:val="00EB7D42"/>
    <w:rsid w:val="00EC0121"/>
    <w:rsid w:val="00EC0773"/>
    <w:rsid w:val="00EC0E16"/>
    <w:rsid w:val="00EC1098"/>
    <w:rsid w:val="00EC1551"/>
    <w:rsid w:val="00EC1806"/>
    <w:rsid w:val="00EC18E6"/>
    <w:rsid w:val="00EC1E0E"/>
    <w:rsid w:val="00EC236D"/>
    <w:rsid w:val="00EC24F8"/>
    <w:rsid w:val="00EC2CE1"/>
    <w:rsid w:val="00EC2D78"/>
    <w:rsid w:val="00EC3BA5"/>
    <w:rsid w:val="00EC424F"/>
    <w:rsid w:val="00EC4595"/>
    <w:rsid w:val="00EC4788"/>
    <w:rsid w:val="00EC4800"/>
    <w:rsid w:val="00EC4FB8"/>
    <w:rsid w:val="00EC503B"/>
    <w:rsid w:val="00EC54FB"/>
    <w:rsid w:val="00EC5501"/>
    <w:rsid w:val="00EC59A2"/>
    <w:rsid w:val="00EC5A37"/>
    <w:rsid w:val="00EC62A0"/>
    <w:rsid w:val="00EC62EB"/>
    <w:rsid w:val="00EC6B16"/>
    <w:rsid w:val="00EC6BCE"/>
    <w:rsid w:val="00ED0C07"/>
    <w:rsid w:val="00ED0D13"/>
    <w:rsid w:val="00ED0F4A"/>
    <w:rsid w:val="00ED1FE4"/>
    <w:rsid w:val="00ED2159"/>
    <w:rsid w:val="00ED2A36"/>
    <w:rsid w:val="00ED2B9E"/>
    <w:rsid w:val="00ED4172"/>
    <w:rsid w:val="00ED457A"/>
    <w:rsid w:val="00ED47D5"/>
    <w:rsid w:val="00ED4B38"/>
    <w:rsid w:val="00ED4E17"/>
    <w:rsid w:val="00ED52A6"/>
    <w:rsid w:val="00ED5A20"/>
    <w:rsid w:val="00ED62AF"/>
    <w:rsid w:val="00ED6584"/>
    <w:rsid w:val="00ED6EE8"/>
    <w:rsid w:val="00ED6F2C"/>
    <w:rsid w:val="00ED6F36"/>
    <w:rsid w:val="00ED744F"/>
    <w:rsid w:val="00ED7524"/>
    <w:rsid w:val="00ED79E9"/>
    <w:rsid w:val="00ED7E35"/>
    <w:rsid w:val="00EE02C5"/>
    <w:rsid w:val="00EE0316"/>
    <w:rsid w:val="00EE0832"/>
    <w:rsid w:val="00EE0F4A"/>
    <w:rsid w:val="00EE1447"/>
    <w:rsid w:val="00EE16F1"/>
    <w:rsid w:val="00EE18BF"/>
    <w:rsid w:val="00EE1BF1"/>
    <w:rsid w:val="00EE1C59"/>
    <w:rsid w:val="00EE2875"/>
    <w:rsid w:val="00EE287B"/>
    <w:rsid w:val="00EE2D92"/>
    <w:rsid w:val="00EE310F"/>
    <w:rsid w:val="00EE36E1"/>
    <w:rsid w:val="00EE3C9A"/>
    <w:rsid w:val="00EE46CF"/>
    <w:rsid w:val="00EE4864"/>
    <w:rsid w:val="00EE49A4"/>
    <w:rsid w:val="00EE4AA1"/>
    <w:rsid w:val="00EE4B48"/>
    <w:rsid w:val="00EE4CE0"/>
    <w:rsid w:val="00EE5219"/>
    <w:rsid w:val="00EE54BF"/>
    <w:rsid w:val="00EE6AEE"/>
    <w:rsid w:val="00EE6D10"/>
    <w:rsid w:val="00EE70D8"/>
    <w:rsid w:val="00EE7272"/>
    <w:rsid w:val="00EE73B3"/>
    <w:rsid w:val="00EE7744"/>
    <w:rsid w:val="00EE7BB2"/>
    <w:rsid w:val="00EE7CC3"/>
    <w:rsid w:val="00EE7D2D"/>
    <w:rsid w:val="00EE7D92"/>
    <w:rsid w:val="00EF0363"/>
    <w:rsid w:val="00EF03E1"/>
    <w:rsid w:val="00EF0671"/>
    <w:rsid w:val="00EF06DD"/>
    <w:rsid w:val="00EF0827"/>
    <w:rsid w:val="00EF0956"/>
    <w:rsid w:val="00EF09DB"/>
    <w:rsid w:val="00EF0ABF"/>
    <w:rsid w:val="00EF0D6D"/>
    <w:rsid w:val="00EF1066"/>
    <w:rsid w:val="00EF145E"/>
    <w:rsid w:val="00EF1C68"/>
    <w:rsid w:val="00EF1CC9"/>
    <w:rsid w:val="00EF203D"/>
    <w:rsid w:val="00EF21D2"/>
    <w:rsid w:val="00EF2BBB"/>
    <w:rsid w:val="00EF2C99"/>
    <w:rsid w:val="00EF315F"/>
    <w:rsid w:val="00EF3D75"/>
    <w:rsid w:val="00EF4D26"/>
    <w:rsid w:val="00EF517E"/>
    <w:rsid w:val="00EF564A"/>
    <w:rsid w:val="00EF5852"/>
    <w:rsid w:val="00EF5BD9"/>
    <w:rsid w:val="00EF5D71"/>
    <w:rsid w:val="00EF60A5"/>
    <w:rsid w:val="00EF6727"/>
    <w:rsid w:val="00EF676B"/>
    <w:rsid w:val="00EF6C24"/>
    <w:rsid w:val="00EF70E2"/>
    <w:rsid w:val="00EF777A"/>
    <w:rsid w:val="00EF7D85"/>
    <w:rsid w:val="00F00822"/>
    <w:rsid w:val="00F0082D"/>
    <w:rsid w:val="00F009CC"/>
    <w:rsid w:val="00F009DF"/>
    <w:rsid w:val="00F00E03"/>
    <w:rsid w:val="00F010CE"/>
    <w:rsid w:val="00F0143D"/>
    <w:rsid w:val="00F01479"/>
    <w:rsid w:val="00F0149B"/>
    <w:rsid w:val="00F015AB"/>
    <w:rsid w:val="00F01700"/>
    <w:rsid w:val="00F019FD"/>
    <w:rsid w:val="00F01C74"/>
    <w:rsid w:val="00F01ECE"/>
    <w:rsid w:val="00F02414"/>
    <w:rsid w:val="00F029A0"/>
    <w:rsid w:val="00F03651"/>
    <w:rsid w:val="00F04499"/>
    <w:rsid w:val="00F045E0"/>
    <w:rsid w:val="00F04B6D"/>
    <w:rsid w:val="00F04E9D"/>
    <w:rsid w:val="00F050FD"/>
    <w:rsid w:val="00F0537B"/>
    <w:rsid w:val="00F05CE3"/>
    <w:rsid w:val="00F05FD6"/>
    <w:rsid w:val="00F06A53"/>
    <w:rsid w:val="00F0713F"/>
    <w:rsid w:val="00F074D4"/>
    <w:rsid w:val="00F0796F"/>
    <w:rsid w:val="00F07A9E"/>
    <w:rsid w:val="00F07C90"/>
    <w:rsid w:val="00F07D51"/>
    <w:rsid w:val="00F102D0"/>
    <w:rsid w:val="00F105F6"/>
    <w:rsid w:val="00F10C0B"/>
    <w:rsid w:val="00F11368"/>
    <w:rsid w:val="00F117DD"/>
    <w:rsid w:val="00F11C1B"/>
    <w:rsid w:val="00F1211E"/>
    <w:rsid w:val="00F12129"/>
    <w:rsid w:val="00F13248"/>
    <w:rsid w:val="00F14B21"/>
    <w:rsid w:val="00F14BD6"/>
    <w:rsid w:val="00F15505"/>
    <w:rsid w:val="00F15D31"/>
    <w:rsid w:val="00F15FC9"/>
    <w:rsid w:val="00F16234"/>
    <w:rsid w:val="00F16539"/>
    <w:rsid w:val="00F1658B"/>
    <w:rsid w:val="00F1662D"/>
    <w:rsid w:val="00F16ABB"/>
    <w:rsid w:val="00F16BC7"/>
    <w:rsid w:val="00F16C1D"/>
    <w:rsid w:val="00F17805"/>
    <w:rsid w:val="00F17A4F"/>
    <w:rsid w:val="00F17F4A"/>
    <w:rsid w:val="00F20B18"/>
    <w:rsid w:val="00F20CF6"/>
    <w:rsid w:val="00F20F8A"/>
    <w:rsid w:val="00F2115C"/>
    <w:rsid w:val="00F217D1"/>
    <w:rsid w:val="00F2182E"/>
    <w:rsid w:val="00F218A7"/>
    <w:rsid w:val="00F21AB9"/>
    <w:rsid w:val="00F21B26"/>
    <w:rsid w:val="00F21E78"/>
    <w:rsid w:val="00F21FF1"/>
    <w:rsid w:val="00F22904"/>
    <w:rsid w:val="00F22BEF"/>
    <w:rsid w:val="00F233DB"/>
    <w:rsid w:val="00F236DF"/>
    <w:rsid w:val="00F23847"/>
    <w:rsid w:val="00F23C41"/>
    <w:rsid w:val="00F24067"/>
    <w:rsid w:val="00F241AA"/>
    <w:rsid w:val="00F24FEF"/>
    <w:rsid w:val="00F251D9"/>
    <w:rsid w:val="00F2591D"/>
    <w:rsid w:val="00F25FDD"/>
    <w:rsid w:val="00F26C2D"/>
    <w:rsid w:val="00F26E0A"/>
    <w:rsid w:val="00F27034"/>
    <w:rsid w:val="00F2718F"/>
    <w:rsid w:val="00F271ED"/>
    <w:rsid w:val="00F278CC"/>
    <w:rsid w:val="00F27D4D"/>
    <w:rsid w:val="00F27F27"/>
    <w:rsid w:val="00F304A4"/>
    <w:rsid w:val="00F308C9"/>
    <w:rsid w:val="00F30E39"/>
    <w:rsid w:val="00F30F33"/>
    <w:rsid w:val="00F3111F"/>
    <w:rsid w:val="00F312EF"/>
    <w:rsid w:val="00F3142A"/>
    <w:rsid w:val="00F31757"/>
    <w:rsid w:val="00F31772"/>
    <w:rsid w:val="00F31BBD"/>
    <w:rsid w:val="00F31CBE"/>
    <w:rsid w:val="00F31FBC"/>
    <w:rsid w:val="00F32268"/>
    <w:rsid w:val="00F3254B"/>
    <w:rsid w:val="00F32987"/>
    <w:rsid w:val="00F32AEF"/>
    <w:rsid w:val="00F32F3C"/>
    <w:rsid w:val="00F32F41"/>
    <w:rsid w:val="00F332E3"/>
    <w:rsid w:val="00F3332A"/>
    <w:rsid w:val="00F33996"/>
    <w:rsid w:val="00F33A65"/>
    <w:rsid w:val="00F33CA1"/>
    <w:rsid w:val="00F33D3A"/>
    <w:rsid w:val="00F33DB8"/>
    <w:rsid w:val="00F345C5"/>
    <w:rsid w:val="00F3484D"/>
    <w:rsid w:val="00F349A6"/>
    <w:rsid w:val="00F34EE4"/>
    <w:rsid w:val="00F34F53"/>
    <w:rsid w:val="00F356EB"/>
    <w:rsid w:val="00F35CD2"/>
    <w:rsid w:val="00F35CDC"/>
    <w:rsid w:val="00F364F3"/>
    <w:rsid w:val="00F36579"/>
    <w:rsid w:val="00F36682"/>
    <w:rsid w:val="00F36B0F"/>
    <w:rsid w:val="00F36CB8"/>
    <w:rsid w:val="00F36CF3"/>
    <w:rsid w:val="00F36DBA"/>
    <w:rsid w:val="00F36EF2"/>
    <w:rsid w:val="00F36FC1"/>
    <w:rsid w:val="00F37A3B"/>
    <w:rsid w:val="00F37D96"/>
    <w:rsid w:val="00F37DFA"/>
    <w:rsid w:val="00F404D1"/>
    <w:rsid w:val="00F40B95"/>
    <w:rsid w:val="00F41295"/>
    <w:rsid w:val="00F415D5"/>
    <w:rsid w:val="00F41861"/>
    <w:rsid w:val="00F41D77"/>
    <w:rsid w:val="00F421C1"/>
    <w:rsid w:val="00F42594"/>
    <w:rsid w:val="00F42744"/>
    <w:rsid w:val="00F43B09"/>
    <w:rsid w:val="00F440ED"/>
    <w:rsid w:val="00F44937"/>
    <w:rsid w:val="00F457D8"/>
    <w:rsid w:val="00F45892"/>
    <w:rsid w:val="00F46940"/>
    <w:rsid w:val="00F46AE4"/>
    <w:rsid w:val="00F46BD2"/>
    <w:rsid w:val="00F46E47"/>
    <w:rsid w:val="00F5051E"/>
    <w:rsid w:val="00F51366"/>
    <w:rsid w:val="00F51BC1"/>
    <w:rsid w:val="00F51D7F"/>
    <w:rsid w:val="00F52023"/>
    <w:rsid w:val="00F520FE"/>
    <w:rsid w:val="00F527F8"/>
    <w:rsid w:val="00F536BB"/>
    <w:rsid w:val="00F537E9"/>
    <w:rsid w:val="00F5392A"/>
    <w:rsid w:val="00F53A08"/>
    <w:rsid w:val="00F53A53"/>
    <w:rsid w:val="00F53FA5"/>
    <w:rsid w:val="00F552BE"/>
    <w:rsid w:val="00F552F8"/>
    <w:rsid w:val="00F55DCB"/>
    <w:rsid w:val="00F55E15"/>
    <w:rsid w:val="00F56365"/>
    <w:rsid w:val="00F57131"/>
    <w:rsid w:val="00F57394"/>
    <w:rsid w:val="00F57674"/>
    <w:rsid w:val="00F57828"/>
    <w:rsid w:val="00F57983"/>
    <w:rsid w:val="00F57BED"/>
    <w:rsid w:val="00F57FAD"/>
    <w:rsid w:val="00F6018A"/>
    <w:rsid w:val="00F60198"/>
    <w:rsid w:val="00F61667"/>
    <w:rsid w:val="00F6169B"/>
    <w:rsid w:val="00F61C01"/>
    <w:rsid w:val="00F61F39"/>
    <w:rsid w:val="00F6204D"/>
    <w:rsid w:val="00F621DE"/>
    <w:rsid w:val="00F633C5"/>
    <w:rsid w:val="00F649FF"/>
    <w:rsid w:val="00F653CF"/>
    <w:rsid w:val="00F65714"/>
    <w:rsid w:val="00F659AD"/>
    <w:rsid w:val="00F6604A"/>
    <w:rsid w:val="00F6659D"/>
    <w:rsid w:val="00F665FA"/>
    <w:rsid w:val="00F669CD"/>
    <w:rsid w:val="00F669F0"/>
    <w:rsid w:val="00F67673"/>
    <w:rsid w:val="00F70314"/>
    <w:rsid w:val="00F70813"/>
    <w:rsid w:val="00F7084C"/>
    <w:rsid w:val="00F7129E"/>
    <w:rsid w:val="00F714C2"/>
    <w:rsid w:val="00F71CFE"/>
    <w:rsid w:val="00F71ECD"/>
    <w:rsid w:val="00F71FB8"/>
    <w:rsid w:val="00F720EB"/>
    <w:rsid w:val="00F72361"/>
    <w:rsid w:val="00F72A2D"/>
    <w:rsid w:val="00F72DBD"/>
    <w:rsid w:val="00F73320"/>
    <w:rsid w:val="00F73627"/>
    <w:rsid w:val="00F736D1"/>
    <w:rsid w:val="00F73780"/>
    <w:rsid w:val="00F737DB"/>
    <w:rsid w:val="00F74281"/>
    <w:rsid w:val="00F74690"/>
    <w:rsid w:val="00F7527E"/>
    <w:rsid w:val="00F7613A"/>
    <w:rsid w:val="00F769C9"/>
    <w:rsid w:val="00F76A54"/>
    <w:rsid w:val="00F77187"/>
    <w:rsid w:val="00F7792A"/>
    <w:rsid w:val="00F801FC"/>
    <w:rsid w:val="00F80263"/>
    <w:rsid w:val="00F8072D"/>
    <w:rsid w:val="00F80EED"/>
    <w:rsid w:val="00F81111"/>
    <w:rsid w:val="00F81268"/>
    <w:rsid w:val="00F81517"/>
    <w:rsid w:val="00F81864"/>
    <w:rsid w:val="00F81B7A"/>
    <w:rsid w:val="00F81F82"/>
    <w:rsid w:val="00F82307"/>
    <w:rsid w:val="00F82746"/>
    <w:rsid w:val="00F82E06"/>
    <w:rsid w:val="00F836F9"/>
    <w:rsid w:val="00F83B2A"/>
    <w:rsid w:val="00F83DC7"/>
    <w:rsid w:val="00F83E33"/>
    <w:rsid w:val="00F83E6B"/>
    <w:rsid w:val="00F845D7"/>
    <w:rsid w:val="00F846AA"/>
    <w:rsid w:val="00F85447"/>
    <w:rsid w:val="00F8562D"/>
    <w:rsid w:val="00F85A4F"/>
    <w:rsid w:val="00F85AE8"/>
    <w:rsid w:val="00F85AF6"/>
    <w:rsid w:val="00F85E59"/>
    <w:rsid w:val="00F86117"/>
    <w:rsid w:val="00F8612D"/>
    <w:rsid w:val="00F8629C"/>
    <w:rsid w:val="00F86466"/>
    <w:rsid w:val="00F871F5"/>
    <w:rsid w:val="00F874FB"/>
    <w:rsid w:val="00F87D8E"/>
    <w:rsid w:val="00F90639"/>
    <w:rsid w:val="00F90719"/>
    <w:rsid w:val="00F90FD1"/>
    <w:rsid w:val="00F91153"/>
    <w:rsid w:val="00F9136B"/>
    <w:rsid w:val="00F91423"/>
    <w:rsid w:val="00F91517"/>
    <w:rsid w:val="00F92279"/>
    <w:rsid w:val="00F9386B"/>
    <w:rsid w:val="00F94C22"/>
    <w:rsid w:val="00F94CF5"/>
    <w:rsid w:val="00F94E5E"/>
    <w:rsid w:val="00F94F01"/>
    <w:rsid w:val="00F9561B"/>
    <w:rsid w:val="00F95D2B"/>
    <w:rsid w:val="00F97166"/>
    <w:rsid w:val="00F97490"/>
    <w:rsid w:val="00F97B51"/>
    <w:rsid w:val="00F97C02"/>
    <w:rsid w:val="00FA0029"/>
    <w:rsid w:val="00FA024A"/>
    <w:rsid w:val="00FA0716"/>
    <w:rsid w:val="00FA0D30"/>
    <w:rsid w:val="00FA10BD"/>
    <w:rsid w:val="00FA16FD"/>
    <w:rsid w:val="00FA1CC7"/>
    <w:rsid w:val="00FA1EFE"/>
    <w:rsid w:val="00FA2194"/>
    <w:rsid w:val="00FA21E3"/>
    <w:rsid w:val="00FA254D"/>
    <w:rsid w:val="00FA295C"/>
    <w:rsid w:val="00FA29AF"/>
    <w:rsid w:val="00FA3139"/>
    <w:rsid w:val="00FA3146"/>
    <w:rsid w:val="00FA4488"/>
    <w:rsid w:val="00FA4A18"/>
    <w:rsid w:val="00FA4ACA"/>
    <w:rsid w:val="00FA52F6"/>
    <w:rsid w:val="00FA58E8"/>
    <w:rsid w:val="00FA5D7E"/>
    <w:rsid w:val="00FA5E11"/>
    <w:rsid w:val="00FA6320"/>
    <w:rsid w:val="00FA64F1"/>
    <w:rsid w:val="00FA65E9"/>
    <w:rsid w:val="00FA6B6A"/>
    <w:rsid w:val="00FA7654"/>
    <w:rsid w:val="00FA7C57"/>
    <w:rsid w:val="00FA7EA9"/>
    <w:rsid w:val="00FB060C"/>
    <w:rsid w:val="00FB0AF9"/>
    <w:rsid w:val="00FB0EBB"/>
    <w:rsid w:val="00FB0FE9"/>
    <w:rsid w:val="00FB12E2"/>
    <w:rsid w:val="00FB1346"/>
    <w:rsid w:val="00FB1D9F"/>
    <w:rsid w:val="00FB1F13"/>
    <w:rsid w:val="00FB2183"/>
    <w:rsid w:val="00FB297B"/>
    <w:rsid w:val="00FB2A97"/>
    <w:rsid w:val="00FB2F9B"/>
    <w:rsid w:val="00FB3D86"/>
    <w:rsid w:val="00FB420F"/>
    <w:rsid w:val="00FB444D"/>
    <w:rsid w:val="00FB4C08"/>
    <w:rsid w:val="00FB4D21"/>
    <w:rsid w:val="00FB5620"/>
    <w:rsid w:val="00FB5682"/>
    <w:rsid w:val="00FB5693"/>
    <w:rsid w:val="00FB652E"/>
    <w:rsid w:val="00FB6909"/>
    <w:rsid w:val="00FB6A14"/>
    <w:rsid w:val="00FB6C6C"/>
    <w:rsid w:val="00FB6F17"/>
    <w:rsid w:val="00FB6FA2"/>
    <w:rsid w:val="00FB762B"/>
    <w:rsid w:val="00FB7C84"/>
    <w:rsid w:val="00FC0727"/>
    <w:rsid w:val="00FC0AB9"/>
    <w:rsid w:val="00FC0DA6"/>
    <w:rsid w:val="00FC1DA4"/>
    <w:rsid w:val="00FC1E7E"/>
    <w:rsid w:val="00FC212A"/>
    <w:rsid w:val="00FC2132"/>
    <w:rsid w:val="00FC2243"/>
    <w:rsid w:val="00FC2763"/>
    <w:rsid w:val="00FC2873"/>
    <w:rsid w:val="00FC28FE"/>
    <w:rsid w:val="00FC3621"/>
    <w:rsid w:val="00FC3C3F"/>
    <w:rsid w:val="00FC40EB"/>
    <w:rsid w:val="00FC4241"/>
    <w:rsid w:val="00FC445E"/>
    <w:rsid w:val="00FC4489"/>
    <w:rsid w:val="00FC4890"/>
    <w:rsid w:val="00FC4E2A"/>
    <w:rsid w:val="00FC52F6"/>
    <w:rsid w:val="00FC59C8"/>
    <w:rsid w:val="00FC5E6B"/>
    <w:rsid w:val="00FC6A6B"/>
    <w:rsid w:val="00FC6ADA"/>
    <w:rsid w:val="00FC6B03"/>
    <w:rsid w:val="00FC6EDF"/>
    <w:rsid w:val="00FC70DB"/>
    <w:rsid w:val="00FC71A4"/>
    <w:rsid w:val="00FC7EB4"/>
    <w:rsid w:val="00FC7FC9"/>
    <w:rsid w:val="00FD051F"/>
    <w:rsid w:val="00FD0550"/>
    <w:rsid w:val="00FD07DC"/>
    <w:rsid w:val="00FD093E"/>
    <w:rsid w:val="00FD0C25"/>
    <w:rsid w:val="00FD153A"/>
    <w:rsid w:val="00FD166F"/>
    <w:rsid w:val="00FD2AB9"/>
    <w:rsid w:val="00FD2AFE"/>
    <w:rsid w:val="00FD319C"/>
    <w:rsid w:val="00FD3608"/>
    <w:rsid w:val="00FD3D6C"/>
    <w:rsid w:val="00FD3F15"/>
    <w:rsid w:val="00FD4729"/>
    <w:rsid w:val="00FD4778"/>
    <w:rsid w:val="00FD4C8D"/>
    <w:rsid w:val="00FD5495"/>
    <w:rsid w:val="00FD5FFC"/>
    <w:rsid w:val="00FD63A8"/>
    <w:rsid w:val="00FD6A04"/>
    <w:rsid w:val="00FD6A65"/>
    <w:rsid w:val="00FD6AA8"/>
    <w:rsid w:val="00FD6E4D"/>
    <w:rsid w:val="00FD6F49"/>
    <w:rsid w:val="00FD72B1"/>
    <w:rsid w:val="00FD7542"/>
    <w:rsid w:val="00FD766B"/>
    <w:rsid w:val="00FD7687"/>
    <w:rsid w:val="00FE109F"/>
    <w:rsid w:val="00FE1A24"/>
    <w:rsid w:val="00FE1C06"/>
    <w:rsid w:val="00FE1D1D"/>
    <w:rsid w:val="00FE223D"/>
    <w:rsid w:val="00FE24CF"/>
    <w:rsid w:val="00FE3689"/>
    <w:rsid w:val="00FE38A1"/>
    <w:rsid w:val="00FE39D8"/>
    <w:rsid w:val="00FE3AEB"/>
    <w:rsid w:val="00FE3CAA"/>
    <w:rsid w:val="00FE49A3"/>
    <w:rsid w:val="00FE4F0D"/>
    <w:rsid w:val="00FE5D18"/>
    <w:rsid w:val="00FE6A24"/>
    <w:rsid w:val="00FE6D5C"/>
    <w:rsid w:val="00FE70C3"/>
    <w:rsid w:val="00FE727A"/>
    <w:rsid w:val="00FE7F85"/>
    <w:rsid w:val="00FF0B2F"/>
    <w:rsid w:val="00FF14CF"/>
    <w:rsid w:val="00FF1BB3"/>
    <w:rsid w:val="00FF2C24"/>
    <w:rsid w:val="00FF3889"/>
    <w:rsid w:val="00FF4325"/>
    <w:rsid w:val="00FF56D1"/>
    <w:rsid w:val="00FF5E75"/>
    <w:rsid w:val="00FF5E88"/>
    <w:rsid w:val="00FF5FF2"/>
    <w:rsid w:val="00FF6087"/>
    <w:rsid w:val="00FF6BA2"/>
    <w:rsid w:val="00FF78C7"/>
    <w:rsid w:val="00FF7F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08C95"/>
  <w15:docId w15:val="{9C9861D9-69D3-4A5D-9EF6-A88261E38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A24"/>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uiPriority w:val="9"/>
    <w:qFormat/>
    <w:rsid w:val="00AA5CC1"/>
    <w:pPr>
      <w:spacing w:before="360" w:line="400" w:lineRule="exact"/>
      <w:ind w:left="567" w:hanging="567"/>
      <w:outlineLvl w:val="1"/>
    </w:pPr>
    <w:rPr>
      <w:bCs w:val="0"/>
      <w:iCs/>
      <w:color w:val="2C384A"/>
      <w:sz w:val="36"/>
      <w:szCs w:val="28"/>
    </w:rPr>
  </w:style>
  <w:style w:type="paragraph" w:styleId="Heading3">
    <w:name w:val="heading 3"/>
    <w:basedOn w:val="HeadingBase"/>
    <w:next w:val="Normal"/>
    <w:link w:val="Heading3Char"/>
    <w:uiPriority w:val="9"/>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uiPriority w:val="9"/>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uiPriority w:val="9"/>
    <w:qFormat/>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uiPriority w:val="9"/>
    <w:rsid w:val="00AA5CC1"/>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uiPriority w:val="9"/>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uiPriority w:val="9"/>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uiPriority w:val="9"/>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1E37AB"/>
    <w:pPr>
      <w:numPr>
        <w:ilvl w:val="1"/>
        <w:numId w:val="8"/>
      </w:numPr>
      <w:spacing w:before="0" w:line="276" w:lineRule="auto"/>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aliases w:val="b + line Char Char,b Char,b Char Char,b1 Char,b + line Char,Body Char,level 1 Char,Bulleted Para Char,Bullets Char,Number Char,F5 List Paragraph Char,Dot pt Char,Bullet + line Char,FooterText Char,L Char,List Paragraph Char"/>
    <w:basedOn w:val="DefaultParagraphFont"/>
    <w:link w:val="Bullet"/>
    <w:qFormat/>
    <w:locked/>
    <w:rsid w:val="0071035C"/>
    <w:rPr>
      <w:rFonts w:ascii="Calibri Light" w:eastAsia="Times New Roman" w:hAnsi="Calibri Light" w:cs="Times New Roman"/>
      <w:szCs w:val="20"/>
      <w:lang w:eastAsia="en-AU"/>
    </w:rPr>
  </w:style>
  <w:style w:type="paragraph" w:customStyle="1" w:styleId="BoxHeading">
    <w:name w:val="Box Heading"/>
    <w:basedOn w:val="Normal"/>
    <w:next w:val="Normal"/>
    <w:rsid w:val="0071035C"/>
    <w:pPr>
      <w:keepNext/>
    </w:pPr>
    <w:rPr>
      <w:b/>
      <w:color w:val="2C384A" w:themeColor="accent1"/>
      <w:sz w:val="26"/>
      <w:szCs w:val="26"/>
      <w:lang w:eastAsia="en-US"/>
    </w:rPr>
  </w:style>
  <w:style w:type="paragraph" w:customStyle="1" w:styleId="BoxText">
    <w:name w:val="Box Text"/>
    <w:basedOn w:val="Normal"/>
    <w:link w:val="BoxTextChar"/>
    <w:rsid w:val="00732388"/>
    <w:rPr>
      <w:lang w:eastAsia="en-US"/>
    </w:rPr>
  </w:style>
  <w:style w:type="paragraph" w:customStyle="1" w:styleId="Bullet">
    <w:name w:val="Bullet"/>
    <w:aliases w:val="Body,Bullet + line,b,b + line,b1,level 1,BodyNum,Bullet Char1,Bullet Char1 Char Char Char Char,b1 Char Char Char,Bullet Char1 Char Char Char Char Char,Bullet Char1 Char Char Char,bulleted"/>
    <w:basedOn w:val="Normal"/>
    <w:link w:val="BulletChar"/>
    <w:qFormat/>
    <w:rsid w:val="0071035C"/>
    <w:pPr>
      <w:numPr>
        <w:numId w:val="10"/>
      </w:numPr>
      <w:tabs>
        <w:tab w:val="left" w:pos="720"/>
      </w:tabs>
      <w:spacing w:before="0" w:line="276" w:lineRule="auto"/>
    </w:pPr>
  </w:style>
  <w:style w:type="paragraph" w:customStyle="1" w:styleId="ChartandTableFootnoteAlpha">
    <w:name w:val="Chart and Table Footnote Alpha"/>
    <w:rsid w:val="0023305C"/>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2A7A31"/>
    <w:pPr>
      <w:keepNext/>
      <w:spacing w:before="0" w:after="360"/>
    </w:pPr>
    <w:rPr>
      <w:color w:val="90B6F0"/>
      <w:sz w:val="32"/>
    </w:rPr>
  </w:style>
  <w:style w:type="paragraph" w:customStyle="1" w:styleId="Dash">
    <w:name w:val="Dash"/>
    <w:basedOn w:val="Normal"/>
    <w:link w:val="DashChar"/>
    <w:qFormat/>
    <w:rsid w:val="000E0B74"/>
    <w:pPr>
      <w:numPr>
        <w:ilvl w:val="1"/>
        <w:numId w:val="1"/>
      </w:numPr>
      <w:spacing w:before="0"/>
    </w:pPr>
  </w:style>
  <w:style w:type="paragraph" w:customStyle="1" w:styleId="DoubleDot">
    <w:name w:val="Double Dot"/>
    <w:basedOn w:val="Normal"/>
    <w:link w:val="DoubleDotChar"/>
    <w:qFormat/>
    <w:rsid w:val="000E0B74"/>
    <w:pPr>
      <w:numPr>
        <w:ilvl w:val="2"/>
        <w:numId w:val="1"/>
      </w:numPr>
      <w:spacing w:before="0"/>
      <w:ind w:left="851" w:hanging="284"/>
    </w:pPr>
  </w:style>
  <w:style w:type="paragraph" w:customStyle="1" w:styleId="TableMainHeading">
    <w:name w:val="Table Main Heading"/>
    <w:basedOn w:val="Heading3"/>
    <w:next w:val="Normal"/>
    <w:rsid w:val="00E97C19"/>
    <w:pPr>
      <w:spacing w:before="120"/>
    </w:pPr>
    <w:rPr>
      <w:b w:val="0"/>
      <w:sz w:val="26"/>
    </w:rPr>
  </w:style>
  <w:style w:type="paragraph" w:customStyle="1" w:styleId="FooterEven">
    <w:name w:val="Footer Even"/>
    <w:basedOn w:val="Footer"/>
    <w:rsid w:val="00962ACF"/>
    <w:pPr>
      <w:keepNext/>
      <w:tabs>
        <w:tab w:val="clear" w:pos="4513"/>
        <w:tab w:val="clear" w:pos="9026"/>
      </w:tabs>
      <w:jc w:val="left"/>
    </w:pPr>
    <w:rPr>
      <w:noProof/>
      <w:color w:val="2C384A" w:themeColor="accent1"/>
    </w:rPr>
  </w:style>
  <w:style w:type="paragraph" w:customStyle="1" w:styleId="FooterOdd">
    <w:name w:val="Footer Odd"/>
    <w:basedOn w:val="Footer"/>
    <w:rsid w:val="00962ACF"/>
    <w:pPr>
      <w:keepNext/>
      <w:tabs>
        <w:tab w:val="clear" w:pos="4513"/>
        <w:tab w:val="clear" w:pos="9026"/>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0E0B74"/>
    <w:pPr>
      <w:numPr>
        <w:numId w:val="5"/>
      </w:numPr>
      <w:spacing w:before="0"/>
    </w:pPr>
  </w:style>
  <w:style w:type="paragraph" w:customStyle="1" w:styleId="OutlineNumbered2">
    <w:name w:val="Outline Numbered 2"/>
    <w:basedOn w:val="Normal"/>
    <w:link w:val="OutlineNumbered2Char"/>
    <w:rsid w:val="000E0B74"/>
    <w:pPr>
      <w:numPr>
        <w:ilvl w:val="1"/>
        <w:numId w:val="5"/>
      </w:numPr>
      <w:spacing w:before="0"/>
    </w:pPr>
  </w:style>
  <w:style w:type="paragraph" w:customStyle="1" w:styleId="OutlineNumbered3">
    <w:name w:val="Outline Numbered 3"/>
    <w:basedOn w:val="Normal"/>
    <w:link w:val="OutlineNumbered3Char"/>
    <w:rsid w:val="000E0B74"/>
    <w:pPr>
      <w:numPr>
        <w:ilvl w:val="2"/>
        <w:numId w:val="5"/>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122DE0"/>
    <w:rPr>
      <w:b/>
      <w:color w:val="2C384A" w:themeColor="accent1"/>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C56C99"/>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val="0"/>
        <w:color w:val="2C384A" w:themeColor="accent1"/>
        <w:sz w:val="22"/>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122DE0"/>
    <w:pPr>
      <w:spacing w:before="120" w:after="120"/>
      <w:jc w:val="left"/>
    </w:pPr>
    <w:rPr>
      <w:sz w:val="22"/>
    </w:r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qFormat/>
    <w:rsid w:val="00EE1BF1"/>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E1BF1"/>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2A7A31"/>
    <w:rPr>
      <w:rFonts w:ascii="Calibri" w:eastAsia="Times New Roman" w:hAnsi="Calibri" w:cs="Times New Roman"/>
      <w:color w:val="90B6F0"/>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ALTS FOOTNOTE,f,fn"/>
    <w:basedOn w:val="Normal"/>
    <w:link w:val="FootnoteTextChar"/>
    <w:uiPriority w:val="99"/>
    <w:qFormat/>
    <w:rsid w:val="00A628A0"/>
    <w:pPr>
      <w:spacing w:before="60" w:after="60"/>
      <w:ind w:left="284" w:hanging="284"/>
    </w:pPr>
    <w:rPr>
      <w:sz w:val="20"/>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ALTS FOOTNOTE Char"/>
    <w:basedOn w:val="DefaultParagraphFont"/>
    <w:link w:val="FootnoteText"/>
    <w:uiPriority w:val="99"/>
    <w:qFormat/>
    <w:rsid w:val="00A628A0"/>
    <w:rPr>
      <w:rFonts w:ascii="Calibri Light" w:eastAsia="Times New Roman" w:hAnsi="Calibri Light" w:cs="Times New Roman"/>
      <w:sz w:val="20"/>
      <w:szCs w:val="20"/>
      <w:lang w:eastAsia="en-AU"/>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
    <w:basedOn w:val="DefaultParagraphFont"/>
    <w:uiPriority w:val="99"/>
    <w:qFormat/>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732388"/>
    <w:rPr>
      <w:rFonts w:ascii="Calibri Light" w:eastAsia="Times New Roman" w:hAnsi="Calibri Light" w:cs="Times New Roman"/>
      <w:szCs w:val="20"/>
    </w:rPr>
  </w:style>
  <w:style w:type="paragraph" w:customStyle="1" w:styleId="Boxbullet">
    <w:name w:val="Box bullet"/>
    <w:basedOn w:val="Bullet"/>
    <w:rsid w:val="00E349A7"/>
    <w:pPr>
      <w:tabs>
        <w:tab w:val="num" w:pos="284"/>
      </w:tabs>
      <w:spacing w:before="60"/>
      <w:ind w:left="170" w:hanging="170"/>
    </w:pPr>
    <w:rPr>
      <w:color w:val="0D0D0D" w:themeColor="text1" w:themeTint="F2"/>
    </w:rPr>
  </w:style>
  <w:style w:type="paragraph" w:customStyle="1" w:styleId="Boxdash">
    <w:name w:val="Box dash"/>
    <w:basedOn w:val="Dash"/>
    <w:rsid w:val="00E349A7"/>
    <w:pPr>
      <w:tabs>
        <w:tab w:val="clear" w:pos="567"/>
        <w:tab w:val="num" w:pos="1040"/>
      </w:tabs>
      <w:spacing w:before="60" w:after="0" w:line="276" w:lineRule="auto"/>
      <w:ind w:left="454" w:hanging="170"/>
    </w:pPr>
    <w:rPr>
      <w:rFonts w:eastAsiaTheme="minorHAnsi"/>
      <w:color w:val="0D0D0D" w:themeColor="text1" w:themeTint="F2"/>
      <w:lang w:eastAsia="en-US"/>
    </w:rPr>
  </w:style>
  <w:style w:type="paragraph" w:customStyle="1" w:styleId="Boxdoubledot">
    <w:name w:val="Box double dot"/>
    <w:basedOn w:val="DoubleDot"/>
    <w:rsid w:val="00E349A7"/>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character" w:customStyle="1" w:styleId="OutlineNumbered1Char">
    <w:name w:val="Outline Numbered 1 Char"/>
    <w:basedOn w:val="DefaultParagraphFont"/>
    <w:link w:val="OutlineNumbered1"/>
    <w:rsid w:val="00F236DF"/>
    <w:rPr>
      <w:rFonts w:ascii="Calibri Light" w:eastAsia="Times New Roman" w:hAnsi="Calibri Light" w:cs="Times New Roman"/>
      <w:szCs w:val="20"/>
      <w:lang w:eastAsia="en-AU"/>
    </w:rPr>
  </w:style>
  <w:style w:type="paragraph" w:customStyle="1" w:styleId="Numbered111">
    <w:name w:val="Numbered 1.1.1"/>
    <w:basedOn w:val="Heading3"/>
    <w:next w:val="Normal"/>
    <w:qFormat/>
    <w:rsid w:val="004A64B6"/>
    <w:pPr>
      <w:keepNext w:val="0"/>
      <w:tabs>
        <w:tab w:val="num" w:pos="360"/>
        <w:tab w:val="left" w:pos="1361"/>
        <w:tab w:val="num" w:pos="1570"/>
      </w:tabs>
      <w:spacing w:before="240" w:line="240" w:lineRule="auto"/>
      <w:ind w:left="1570" w:hanging="283"/>
      <w:contextualSpacing/>
    </w:pPr>
    <w:rPr>
      <w:rFonts w:asciiTheme="minorHAnsi" w:eastAsiaTheme="majorEastAsia" w:hAnsiTheme="minorHAnsi" w:cstheme="majorBidi"/>
      <w:b w:val="0"/>
      <w:bCs/>
      <w:color w:val="000000" w:themeColor="text1"/>
      <w:kern w:val="0"/>
      <w:sz w:val="22"/>
      <w:szCs w:val="22"/>
      <w:lang w:eastAsia="en-US"/>
    </w:rPr>
  </w:style>
  <w:style w:type="character" w:styleId="IntenseReference">
    <w:name w:val="Intense Reference"/>
    <w:basedOn w:val="DefaultParagraphFont"/>
    <w:uiPriority w:val="32"/>
    <w:qFormat/>
    <w:rsid w:val="00265FE3"/>
    <w:rPr>
      <w:b/>
      <w:bCs/>
      <w:smallCaps/>
      <w:color w:val="2C384A" w:themeColor="accent1"/>
      <w:spacing w:val="5"/>
    </w:rPr>
  </w:style>
  <w:style w:type="paragraph" w:styleId="CommentSubject">
    <w:name w:val="annotation subject"/>
    <w:basedOn w:val="CommentText"/>
    <w:next w:val="CommentText"/>
    <w:link w:val="CommentSubjectChar"/>
    <w:uiPriority w:val="99"/>
    <w:semiHidden/>
    <w:unhideWhenUsed/>
    <w:rsid w:val="00265FE3"/>
    <w:pPr>
      <w:spacing w:before="0"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265FE3"/>
    <w:rPr>
      <w:rFonts w:ascii="Calibri" w:eastAsia="Times New Roman" w:hAnsi="Calibri" w:cs="Times New Roman"/>
      <w:b/>
      <w:bCs/>
      <w:sz w:val="20"/>
      <w:szCs w:val="20"/>
      <w:lang w:eastAsia="en-AU"/>
    </w:rPr>
  </w:style>
  <w:style w:type="paragraph" w:styleId="TOCHeading">
    <w:name w:val="TOC Heading"/>
    <w:basedOn w:val="Heading1"/>
    <w:next w:val="Normal"/>
    <w:uiPriority w:val="39"/>
    <w:unhideWhenUsed/>
    <w:qFormat/>
    <w:rsid w:val="00265FE3"/>
    <w:pPr>
      <w:keepLines/>
      <w:spacing w:before="120" w:line="259" w:lineRule="auto"/>
      <w:outlineLvl w:val="9"/>
    </w:pPr>
    <w:rPr>
      <w:rFonts w:asciiTheme="minorHAnsi" w:eastAsiaTheme="majorEastAsia" w:hAnsiTheme="minorHAnsi" w:cstheme="majorBidi"/>
      <w:b w:val="0"/>
      <w:color w:val="0D45D6"/>
      <w:kern w:val="0"/>
      <w:sz w:val="32"/>
      <w:szCs w:val="32"/>
      <w:lang w:val="en-US" w:eastAsia="en-US"/>
    </w:rPr>
  </w:style>
  <w:style w:type="character" w:styleId="UnresolvedMention">
    <w:name w:val="Unresolved Mention"/>
    <w:basedOn w:val="DefaultParagraphFont"/>
    <w:uiPriority w:val="99"/>
    <w:semiHidden/>
    <w:unhideWhenUsed/>
    <w:rsid w:val="00265FE3"/>
    <w:rPr>
      <w:color w:val="605E5C"/>
      <w:shd w:val="clear" w:color="auto" w:fill="E1DFDD"/>
    </w:rPr>
  </w:style>
  <w:style w:type="character" w:styleId="FollowedHyperlink">
    <w:name w:val="FollowedHyperlink"/>
    <w:basedOn w:val="DefaultParagraphFont"/>
    <w:uiPriority w:val="99"/>
    <w:semiHidden/>
    <w:unhideWhenUsed/>
    <w:rsid w:val="00265FE3"/>
    <w:rPr>
      <w:color w:val="844D9E" w:themeColor="followedHyperlink"/>
      <w:u w:val="single"/>
    </w:rPr>
  </w:style>
  <w:style w:type="table" w:styleId="TableGridLight">
    <w:name w:val="Grid Table Light"/>
    <w:basedOn w:val="TableNormal"/>
    <w:uiPriority w:val="40"/>
    <w:rsid w:val="00265F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65FE3"/>
    <w:pPr>
      <w:spacing w:after="0" w:line="240" w:lineRule="auto"/>
    </w:pPr>
  </w:style>
  <w:style w:type="paragraph" w:styleId="NoSpacing">
    <w:name w:val="No Spacing"/>
    <w:uiPriority w:val="1"/>
    <w:qFormat/>
    <w:rsid w:val="00265FE3"/>
    <w:pPr>
      <w:spacing w:after="0" w:line="240" w:lineRule="auto"/>
    </w:pPr>
  </w:style>
  <w:style w:type="paragraph" w:styleId="Caption">
    <w:name w:val="caption"/>
    <w:basedOn w:val="Normal"/>
    <w:next w:val="Normal"/>
    <w:uiPriority w:val="35"/>
    <w:unhideWhenUsed/>
    <w:qFormat/>
    <w:rsid w:val="00265FE3"/>
    <w:pPr>
      <w:spacing w:before="0" w:after="200"/>
    </w:pPr>
    <w:rPr>
      <w:rFonts w:asciiTheme="minorHAnsi" w:eastAsiaTheme="minorHAnsi" w:hAnsiTheme="minorHAnsi" w:cstheme="minorBidi"/>
      <w:i/>
      <w:iCs/>
      <w:color w:val="5F5F5F" w:themeColor="text2"/>
      <w:sz w:val="18"/>
      <w:szCs w:val="18"/>
      <w:lang w:eastAsia="en-US"/>
    </w:rPr>
  </w:style>
  <w:style w:type="table" w:styleId="LightShading">
    <w:name w:val="Light Shading"/>
    <w:basedOn w:val="TableNormal"/>
    <w:uiPriority w:val="60"/>
    <w:rsid w:val="00265FE3"/>
    <w:pPr>
      <w:spacing w:before="120" w:after="120" w:line="240" w:lineRule="auto"/>
    </w:pPr>
    <w:rPr>
      <w:sz w:val="20"/>
    </w:rPr>
    <w:tblPr>
      <w:tblBorders>
        <w:top w:val="single" w:sz="4" w:space="0" w:color="EEEEEE" w:themeColor="background2"/>
        <w:left w:val="single" w:sz="4" w:space="0" w:color="EEEEEE" w:themeColor="background2"/>
        <w:bottom w:val="single" w:sz="4" w:space="0" w:color="EEEEEE" w:themeColor="background2"/>
        <w:right w:val="single" w:sz="4" w:space="0" w:color="EEEEEE" w:themeColor="background2"/>
        <w:insideH w:val="single" w:sz="4" w:space="0" w:color="EEEEEE" w:themeColor="background2"/>
        <w:insideV w:val="single" w:sz="4" w:space="0" w:color="EEEEEE"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EEEEEE" w:themeColor="background2"/>
          <w:left w:val="single" w:sz="4" w:space="0" w:color="EEEEEE" w:themeColor="background2"/>
          <w:bottom w:val="single" w:sz="4" w:space="0" w:color="EEEEEE" w:themeColor="background2"/>
          <w:right w:val="single" w:sz="4" w:space="0" w:color="EEEEEE" w:themeColor="background2"/>
          <w:insideH w:val="single" w:sz="4" w:space="0" w:color="EEEEEE" w:themeColor="background2"/>
          <w:insideV w:val="single" w:sz="4" w:space="0" w:color="EEEEEE"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EEEEEE" w:themeColor="background2"/>
          <w:left w:val="single" w:sz="4" w:space="0" w:color="EEEEEE" w:themeColor="background2"/>
          <w:bottom w:val="single" w:sz="4" w:space="0" w:color="EEEEEE" w:themeColor="background2"/>
          <w:right w:val="single" w:sz="4" w:space="0" w:color="EEEEEE" w:themeColor="background2"/>
          <w:insideH w:val="single" w:sz="4" w:space="0" w:color="EEEEEE" w:themeColor="background2"/>
          <w:insideV w:val="single" w:sz="4" w:space="0" w:color="EEEEEE" w:themeColor="background2"/>
        </w:tcBorders>
      </w:tcPr>
    </w:tblStylePr>
    <w:tblStylePr w:type="firstCol">
      <w:rPr>
        <w:b/>
        <w:bCs/>
        <w:sz w:val="20"/>
      </w:rPr>
    </w:tblStylePr>
    <w:tblStylePr w:type="lastCol">
      <w:rPr>
        <w:b/>
        <w:bCs/>
      </w:rPr>
    </w:tblStylePr>
  </w:style>
  <w:style w:type="character" w:customStyle="1" w:styleId="OutlineNumbered2Char">
    <w:name w:val="Outline Numbered 2 Char"/>
    <w:basedOn w:val="DefaultParagraphFont"/>
    <w:link w:val="OutlineNumbered2"/>
    <w:rsid w:val="00265FE3"/>
    <w:rPr>
      <w:rFonts w:ascii="Calibri Light" w:eastAsia="Times New Roman" w:hAnsi="Calibri Light" w:cs="Times New Roman"/>
      <w:szCs w:val="20"/>
      <w:lang w:eastAsia="en-AU"/>
    </w:rPr>
  </w:style>
  <w:style w:type="character" w:customStyle="1" w:styleId="OutlineNumbered3Char">
    <w:name w:val="Outline Numbered 3 Char"/>
    <w:basedOn w:val="DefaultParagraphFont"/>
    <w:link w:val="OutlineNumbered3"/>
    <w:rsid w:val="00265FE3"/>
    <w:rPr>
      <w:rFonts w:ascii="Calibri Light" w:eastAsia="Times New Roman" w:hAnsi="Calibri Light" w:cs="Times New Roman"/>
      <w:szCs w:val="20"/>
      <w:lang w:eastAsia="en-AU"/>
    </w:rPr>
  </w:style>
  <w:style w:type="paragraph" w:styleId="NormalWeb">
    <w:name w:val="Normal (Web)"/>
    <w:basedOn w:val="Normal"/>
    <w:uiPriority w:val="99"/>
    <w:unhideWhenUsed/>
    <w:rsid w:val="00265FE3"/>
    <w:pPr>
      <w:spacing w:before="100" w:beforeAutospacing="1" w:after="100" w:afterAutospacing="1"/>
    </w:pPr>
    <w:rPr>
      <w:rFonts w:ascii="Times New Roman" w:hAnsi="Times New Roman"/>
      <w:sz w:val="24"/>
      <w:szCs w:val="24"/>
    </w:rPr>
  </w:style>
  <w:style w:type="character" w:customStyle="1" w:styleId="BulletpointChar">
    <w:name w:val="Bullet point Char"/>
    <w:basedOn w:val="DefaultParagraphFont"/>
    <w:link w:val="Bulletpoint"/>
    <w:locked/>
    <w:rsid w:val="00265FE3"/>
    <w:rPr>
      <w:rFonts w:ascii="Trebuchet MS" w:hAnsi="Trebuchet MS" w:cs="Times New Roman"/>
    </w:rPr>
  </w:style>
  <w:style w:type="paragraph" w:customStyle="1" w:styleId="Bulletpoint">
    <w:name w:val="Bullet point"/>
    <w:basedOn w:val="ListBullet"/>
    <w:link w:val="BulletpointChar"/>
    <w:qFormat/>
    <w:rsid w:val="00265FE3"/>
    <w:pPr>
      <w:tabs>
        <w:tab w:val="clear" w:pos="283"/>
        <w:tab w:val="left" w:pos="340"/>
      </w:tabs>
      <w:spacing w:before="120" w:after="0" w:line="240" w:lineRule="auto"/>
      <w:ind w:left="340" w:hanging="340"/>
      <w:contextualSpacing w:val="0"/>
    </w:pPr>
    <w:rPr>
      <w:rFonts w:ascii="Trebuchet MS" w:hAnsi="Trebuchet MS" w:cs="Times New Roman"/>
    </w:rPr>
  </w:style>
  <w:style w:type="table" w:customStyle="1" w:styleId="ACCCTable1">
    <w:name w:val="ACCC Table1"/>
    <w:basedOn w:val="TableNormal"/>
    <w:uiPriority w:val="59"/>
    <w:rsid w:val="00265FE3"/>
    <w:pPr>
      <w:spacing w:before="60" w:after="60" w:line="240" w:lineRule="auto"/>
    </w:pPr>
    <w:rPr>
      <w:rFonts w:ascii="Arial" w:hAnsi="Arial"/>
      <w:sz w:val="20"/>
    </w:rPr>
    <w:tblPr>
      <w:tblInd w:w="0" w:type="nil"/>
      <w:tblBorders>
        <w:top w:val="single" w:sz="4" w:space="0" w:color="BFBFBF"/>
        <w:bottom w:val="single" w:sz="4" w:space="0" w:color="BFBFBF"/>
      </w:tblBorders>
    </w:tblPr>
    <w:tblStylePr w:type="firstRow">
      <w:pPr>
        <w:wordWrap/>
        <w:spacing w:beforeLines="0" w:before="100" w:beforeAutospacing="1" w:afterLines="0" w:after="100" w:afterAutospacing="1"/>
      </w:pPr>
      <w:rPr>
        <w:rFonts w:ascii="Arial" w:hAnsi="Arial" w:cs="Arial" w:hint="default"/>
        <w:b/>
        <w:sz w:val="20"/>
        <w:szCs w:val="20"/>
      </w:rPr>
      <w:tblPr/>
      <w:tcPr>
        <w:tcBorders>
          <w:top w:val="single" w:sz="4" w:space="0" w:color="BFBFBF"/>
          <w:left w:val="nil"/>
          <w:bottom w:val="single" w:sz="4" w:space="0" w:color="BFBFBF"/>
          <w:right w:val="nil"/>
          <w:insideH w:val="nil"/>
          <w:insideV w:val="nil"/>
          <w:tl2br w:val="nil"/>
          <w:tr2bl w:val="nil"/>
        </w:tcBorders>
      </w:tcPr>
    </w:tblStylePr>
    <w:tblStylePr w:type="lastRow">
      <w:pPr>
        <w:wordWrap/>
        <w:spacing w:beforeLines="0" w:before="100" w:beforeAutospacing="1" w:afterLines="0" w:after="100" w:afterAutospacing="1" w:line="240" w:lineRule="auto"/>
      </w:pPr>
      <w:rPr>
        <w:rFonts w:ascii="Arial" w:hAnsi="Arial" w:cs="Arial" w:hint="default"/>
        <w:b/>
        <w:sz w:val="20"/>
        <w:szCs w:val="20"/>
      </w:rPr>
    </w:tblStylePr>
    <w:tblStylePr w:type="firstCol">
      <w:rPr>
        <w:rFonts w:ascii="Arial" w:hAnsi="Arial" w:cs="Arial" w:hint="default"/>
        <w:b/>
        <w:sz w:val="20"/>
        <w:szCs w:val="20"/>
      </w:rPr>
    </w:tblStylePr>
  </w:style>
  <w:style w:type="paragraph" w:styleId="ListBullet">
    <w:name w:val="List Bullet"/>
    <w:basedOn w:val="Normal"/>
    <w:uiPriority w:val="99"/>
    <w:semiHidden/>
    <w:unhideWhenUsed/>
    <w:rsid w:val="00265FE3"/>
    <w:pPr>
      <w:tabs>
        <w:tab w:val="num" w:pos="283"/>
      </w:tabs>
      <w:spacing w:before="0" w:after="160" w:line="259" w:lineRule="auto"/>
      <w:ind w:left="283" w:hanging="283"/>
      <w:contextualSpacing/>
    </w:pPr>
    <w:rPr>
      <w:rFonts w:asciiTheme="minorHAnsi" w:eastAsiaTheme="minorHAnsi" w:hAnsiTheme="minorHAnsi" w:cstheme="minorBidi"/>
      <w:szCs w:val="22"/>
      <w:lang w:eastAsia="en-US"/>
    </w:rPr>
  </w:style>
  <w:style w:type="character" w:customStyle="1" w:styleId="DefaultChar">
    <w:name w:val="Default Char"/>
    <w:basedOn w:val="DefaultParagraphFont"/>
    <w:link w:val="Default"/>
    <w:locked/>
    <w:rsid w:val="00265FE3"/>
    <w:rPr>
      <w:rFonts w:ascii="Calibri" w:hAnsi="Calibri" w:cs="Calibri"/>
      <w:color w:val="000000"/>
      <w:sz w:val="24"/>
      <w:szCs w:val="24"/>
    </w:rPr>
  </w:style>
  <w:style w:type="paragraph" w:customStyle="1" w:styleId="Default">
    <w:name w:val="Default"/>
    <w:link w:val="DefaultChar"/>
    <w:rsid w:val="00265FE3"/>
    <w:pPr>
      <w:autoSpaceDE w:val="0"/>
      <w:autoSpaceDN w:val="0"/>
      <w:adjustRightInd w:val="0"/>
      <w:spacing w:after="0" w:line="240" w:lineRule="auto"/>
    </w:pPr>
    <w:rPr>
      <w:rFonts w:ascii="Calibri" w:hAnsi="Calibri" w:cs="Calibri"/>
      <w:color w:val="000000"/>
      <w:sz w:val="24"/>
      <w:szCs w:val="24"/>
    </w:rPr>
  </w:style>
  <w:style w:type="table" w:styleId="GridTable2-Accent1">
    <w:name w:val="Grid Table 2 Accent 1"/>
    <w:basedOn w:val="TableNormal"/>
    <w:uiPriority w:val="47"/>
    <w:rsid w:val="00265FE3"/>
    <w:pPr>
      <w:spacing w:after="0" w:line="240" w:lineRule="auto"/>
    </w:pPr>
    <w:tblPr>
      <w:tblStyleRowBandSize w:val="1"/>
      <w:tblStyleColBandSize w:val="1"/>
      <w:tblBorders>
        <w:top w:val="single" w:sz="2" w:space="0" w:color="6B83A7" w:themeColor="accent1" w:themeTint="99"/>
        <w:bottom w:val="single" w:sz="2" w:space="0" w:color="6B83A7" w:themeColor="accent1" w:themeTint="99"/>
        <w:insideH w:val="single" w:sz="2" w:space="0" w:color="6B83A7" w:themeColor="accent1" w:themeTint="99"/>
        <w:insideV w:val="single" w:sz="2" w:space="0" w:color="6B83A7" w:themeColor="accent1" w:themeTint="99"/>
      </w:tblBorders>
    </w:tblPr>
    <w:tblStylePr w:type="firstRow">
      <w:rPr>
        <w:b/>
        <w:bCs/>
      </w:rPr>
      <w:tblPr/>
      <w:tcPr>
        <w:tcBorders>
          <w:top w:val="nil"/>
          <w:bottom w:val="single" w:sz="12" w:space="0" w:color="6B83A7" w:themeColor="accent1" w:themeTint="99"/>
          <w:insideH w:val="nil"/>
          <w:insideV w:val="nil"/>
        </w:tcBorders>
        <w:shd w:val="clear" w:color="auto" w:fill="FFFFFF" w:themeFill="background1"/>
      </w:tcPr>
    </w:tblStylePr>
    <w:tblStylePr w:type="lastRow">
      <w:rPr>
        <w:b/>
        <w:bCs/>
      </w:rPr>
      <w:tblPr/>
      <w:tcPr>
        <w:tcBorders>
          <w:top w:val="double" w:sz="2" w:space="0" w:color="6B83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paragraph" w:customStyle="1" w:styleId="CoverTitleMain">
    <w:name w:val="Cover Title Main"/>
    <w:basedOn w:val="Normal"/>
    <w:next w:val="Normal"/>
    <w:rsid w:val="00265FE3"/>
    <w:pPr>
      <w:keepNext/>
      <w:spacing w:before="0" w:after="480"/>
      <w:jc w:val="center"/>
    </w:pPr>
    <w:rPr>
      <w:rFonts w:ascii="Century Gothic" w:hAnsi="Century Gothic"/>
      <w:b/>
      <w:color w:val="5F5F5F" w:themeColor="text2"/>
      <w:sz w:val="48"/>
    </w:rPr>
  </w:style>
  <w:style w:type="paragraph" w:customStyle="1" w:styleId="CoverTitleSub">
    <w:name w:val="Cover Title Sub"/>
    <w:basedOn w:val="Normal"/>
    <w:rsid w:val="00265FE3"/>
    <w:pPr>
      <w:keepNext/>
      <w:spacing w:before="0" w:after="360"/>
      <w:jc w:val="center"/>
    </w:pPr>
    <w:rPr>
      <w:rFonts w:ascii="Century Gothic" w:hAnsi="Century Gothic"/>
      <w:color w:val="5F5F5F" w:themeColor="text2"/>
      <w:sz w:val="36"/>
    </w:rPr>
  </w:style>
  <w:style w:type="character" w:styleId="Strong">
    <w:name w:val="Strong"/>
    <w:basedOn w:val="DefaultParagraphFont"/>
    <w:uiPriority w:val="22"/>
    <w:qFormat/>
    <w:rsid w:val="00265FE3"/>
    <w:rPr>
      <w:b/>
      <w:bCs/>
    </w:rPr>
  </w:style>
  <w:style w:type="character" w:styleId="Emphasis">
    <w:name w:val="Emphasis"/>
    <w:basedOn w:val="DefaultParagraphFont"/>
    <w:uiPriority w:val="20"/>
    <w:qFormat/>
    <w:rsid w:val="00265FE3"/>
    <w:rPr>
      <w:i/>
      <w:iCs/>
    </w:rPr>
  </w:style>
  <w:style w:type="paragraph" w:customStyle="1" w:styleId="subsection">
    <w:name w:val="subsection"/>
    <w:basedOn w:val="Normal"/>
    <w:rsid w:val="00265FE3"/>
    <w:pPr>
      <w:spacing w:before="100" w:beforeAutospacing="1" w:after="100" w:afterAutospacing="1"/>
    </w:pPr>
    <w:rPr>
      <w:rFonts w:ascii="Times New Roman" w:hAnsi="Times New Roman"/>
      <w:sz w:val="24"/>
      <w:szCs w:val="24"/>
    </w:rPr>
  </w:style>
  <w:style w:type="paragraph" w:customStyle="1" w:styleId="paragraph">
    <w:name w:val="paragraph"/>
    <w:basedOn w:val="Normal"/>
    <w:rsid w:val="00265FE3"/>
    <w:pPr>
      <w:spacing w:before="100" w:beforeAutospacing="1" w:after="100" w:afterAutospacing="1"/>
    </w:pPr>
    <w:rPr>
      <w:rFonts w:ascii="Times New Roman" w:hAnsi="Times New Roman"/>
      <w:sz w:val="24"/>
      <w:szCs w:val="24"/>
    </w:rPr>
  </w:style>
  <w:style w:type="paragraph" w:customStyle="1" w:styleId="paragraphsub">
    <w:name w:val="paragraphsub"/>
    <w:basedOn w:val="Normal"/>
    <w:rsid w:val="00265FE3"/>
    <w:pPr>
      <w:spacing w:before="100" w:beforeAutospacing="1" w:after="100" w:afterAutospacing="1"/>
    </w:pPr>
    <w:rPr>
      <w:rFonts w:ascii="Times New Roman" w:hAnsi="Times New Roman"/>
      <w:sz w:val="24"/>
      <w:szCs w:val="24"/>
    </w:rPr>
  </w:style>
  <w:style w:type="paragraph" w:styleId="EndnoteText">
    <w:name w:val="endnote text"/>
    <w:basedOn w:val="Normal"/>
    <w:link w:val="EndnoteTextChar"/>
    <w:uiPriority w:val="99"/>
    <w:semiHidden/>
    <w:unhideWhenUsed/>
    <w:rsid w:val="00265FE3"/>
    <w:pPr>
      <w:spacing w:before="0" w:after="0"/>
    </w:pPr>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265FE3"/>
    <w:rPr>
      <w:sz w:val="20"/>
      <w:szCs w:val="20"/>
    </w:rPr>
  </w:style>
  <w:style w:type="character" w:styleId="EndnoteReference">
    <w:name w:val="endnote reference"/>
    <w:basedOn w:val="DefaultParagraphFont"/>
    <w:uiPriority w:val="99"/>
    <w:semiHidden/>
    <w:unhideWhenUsed/>
    <w:rsid w:val="00265FE3"/>
    <w:rPr>
      <w:vertAlign w:val="superscript"/>
    </w:rPr>
  </w:style>
  <w:style w:type="character" w:customStyle="1" w:styleId="apple-converted-space">
    <w:name w:val="apple-converted-space"/>
    <w:basedOn w:val="DefaultParagraphFont"/>
    <w:rsid w:val="00E70187"/>
  </w:style>
  <w:style w:type="paragraph" w:customStyle="1" w:styleId="Recommendationtext">
    <w:name w:val="Recommendation text"/>
    <w:basedOn w:val="BoxText"/>
    <w:qFormat/>
    <w:rsid w:val="004220F2"/>
    <w:rPr>
      <w:color w:val="2C384A" w:themeColor="accent1"/>
      <w:szCs w:val="22"/>
    </w:rPr>
  </w:style>
  <w:style w:type="paragraph" w:customStyle="1" w:styleId="Alphaparalevel2">
    <w:name w:val="Alpha para_level 2"/>
    <w:basedOn w:val="AlphaParagraph"/>
    <w:qFormat/>
    <w:rsid w:val="00F34F53"/>
    <w:pPr>
      <w:numPr>
        <w:ilvl w:val="0"/>
        <w:numId w:val="22"/>
      </w:numPr>
      <w:ind w:left="851" w:hanging="567"/>
    </w:pPr>
    <w:rPr>
      <w:bCs/>
      <w:color w:val="2C384A" w:themeColor="accent1"/>
      <w:szCs w:val="22"/>
    </w:rPr>
  </w:style>
  <w:style w:type="paragraph" w:customStyle="1" w:styleId="Listparagraph-level2">
    <w:name w:val="List paragraph - level 2"/>
    <w:basedOn w:val="Boxdash"/>
    <w:qFormat/>
    <w:rsid w:val="00184702"/>
    <w:pPr>
      <w:numPr>
        <w:ilvl w:val="0"/>
        <w:numId w:val="32"/>
      </w:numPr>
      <w:spacing w:after="120"/>
      <w:ind w:left="568" w:hanging="284"/>
    </w:pPr>
    <w:rPr>
      <w:b/>
    </w:rPr>
  </w:style>
  <w:style w:type="paragraph" w:customStyle="1" w:styleId="Listparagraph-level1">
    <w:name w:val="List paragraph - level 1"/>
    <w:basedOn w:val="AlphaParagraph"/>
    <w:qFormat/>
    <w:rsid w:val="0083734B"/>
    <w:pPr>
      <w:numPr>
        <w:ilvl w:val="0"/>
        <w:numId w:val="53"/>
      </w:numPr>
      <w:spacing w:before="120"/>
    </w:pPr>
    <w:rPr>
      <w:bCs/>
      <w:color w:val="2C384A" w:themeColor="accent1"/>
      <w:szCs w:val="24"/>
    </w:rPr>
  </w:style>
  <w:style w:type="paragraph" w:styleId="Quote">
    <w:name w:val="Quote"/>
    <w:basedOn w:val="Normal"/>
    <w:next w:val="Normal"/>
    <w:link w:val="QuoteChar"/>
    <w:uiPriority w:val="29"/>
    <w:rsid w:val="00284172"/>
    <w:pPr>
      <w:spacing w:before="360" w:after="360"/>
      <w:ind w:left="862" w:right="862"/>
      <w:jc w:val="center"/>
    </w:pPr>
    <w:rPr>
      <w:i/>
      <w:iCs/>
      <w:color w:val="404040" w:themeColor="text1" w:themeTint="BF"/>
    </w:rPr>
  </w:style>
  <w:style w:type="character" w:customStyle="1" w:styleId="QuoteChar">
    <w:name w:val="Quote Char"/>
    <w:basedOn w:val="DefaultParagraphFont"/>
    <w:link w:val="Quote"/>
    <w:uiPriority w:val="29"/>
    <w:rsid w:val="00284172"/>
    <w:rPr>
      <w:rFonts w:ascii="Calibri Light" w:eastAsia="Times New Roman" w:hAnsi="Calibri Light" w:cs="Times New Roman"/>
      <w:i/>
      <w:iCs/>
      <w:color w:val="404040" w:themeColor="text1" w:themeTint="BF"/>
      <w:szCs w:val="20"/>
      <w:lang w:eastAsia="en-AU"/>
    </w:rPr>
  </w:style>
  <w:style w:type="paragraph" w:customStyle="1" w:styleId="Footnote-revised">
    <w:name w:val="Footnote - revised"/>
    <w:basedOn w:val="FootnoteText"/>
    <w:qFormat/>
    <w:rsid w:val="00A628A0"/>
  </w:style>
  <w:style w:type="paragraph" w:styleId="IntenseQuote">
    <w:name w:val="Intense Quote"/>
    <w:basedOn w:val="Normal"/>
    <w:next w:val="Normal"/>
    <w:link w:val="IntenseQuoteChar"/>
    <w:uiPriority w:val="30"/>
    <w:rsid w:val="0025509F"/>
    <w:pPr>
      <w:pBdr>
        <w:top w:val="single" w:sz="4" w:space="10" w:color="2C384A" w:themeColor="accent1"/>
        <w:bottom w:val="single" w:sz="4" w:space="10" w:color="2C384A" w:themeColor="accent1"/>
      </w:pBdr>
      <w:spacing w:before="360" w:after="360"/>
      <w:ind w:left="864" w:right="864"/>
      <w:jc w:val="center"/>
    </w:pPr>
    <w:rPr>
      <w:i/>
      <w:iCs/>
      <w:color w:val="2C384A" w:themeColor="accent1"/>
    </w:rPr>
  </w:style>
  <w:style w:type="character" w:customStyle="1" w:styleId="IntenseQuoteChar">
    <w:name w:val="Intense Quote Char"/>
    <w:basedOn w:val="DefaultParagraphFont"/>
    <w:link w:val="IntenseQuote"/>
    <w:uiPriority w:val="30"/>
    <w:rsid w:val="0025509F"/>
    <w:rPr>
      <w:rFonts w:ascii="Calibri Light" w:eastAsia="Times New Roman" w:hAnsi="Calibri Light" w:cs="Times New Roman"/>
      <w:i/>
      <w:iCs/>
      <w:color w:val="2C384A" w:themeColor="accent1"/>
      <w:szCs w:val="20"/>
      <w:lang w:eastAsia="en-AU"/>
    </w:rPr>
  </w:style>
  <w:style w:type="paragraph" w:customStyle="1" w:styleId="Footnote2">
    <w:name w:val="Footnote 2"/>
    <w:qFormat/>
    <w:rsid w:val="00A628A0"/>
    <w:pPr>
      <w:spacing w:before="60" w:after="60" w:line="240" w:lineRule="auto"/>
    </w:pPr>
    <w:rPr>
      <w:rFonts w:ascii="Calibri Light" w:eastAsia="Times New Roman" w:hAnsi="Calibri Light" w:cs="Times New Roman"/>
      <w:sz w:val="20"/>
      <w:szCs w:val="20"/>
      <w:lang w:eastAsia="en-AU"/>
    </w:rPr>
  </w:style>
  <w:style w:type="paragraph" w:customStyle="1" w:styleId="numberedlist">
    <w:name w:val="numbered list"/>
    <w:basedOn w:val="Normal"/>
    <w:qFormat/>
    <w:rsid w:val="00713D6A"/>
    <w:pPr>
      <w:ind w:left="567" w:hanging="567"/>
    </w:pPr>
  </w:style>
  <w:style w:type="paragraph" w:customStyle="1" w:styleId="numberedlistlevel2">
    <w:name w:val="numbered list_level 2"/>
    <w:basedOn w:val="Listparagraph-level1"/>
    <w:qFormat/>
    <w:rsid w:val="00713D6A"/>
    <w:pPr>
      <w:ind w:left="851" w:hanging="284"/>
    </w:pPr>
  </w:style>
  <w:style w:type="paragraph" w:customStyle="1" w:styleId="numberedlist-level3">
    <w:name w:val="numbered list - level 3"/>
    <w:basedOn w:val="AlphaParagraph"/>
    <w:qFormat/>
    <w:rsid w:val="0083734B"/>
    <w:pPr>
      <w:numPr>
        <w:ilvl w:val="2"/>
      </w:numPr>
    </w:pPr>
  </w:style>
  <w:style w:type="paragraph" w:customStyle="1" w:styleId="alist">
    <w:name w:val="a list"/>
    <w:basedOn w:val="Listparagraph-level1"/>
    <w:qFormat/>
    <w:rsid w:val="00ED6F36"/>
    <w:pPr>
      <w:numPr>
        <w:numId w:val="51"/>
      </w:numPr>
      <w:ind w:left="284" w:hanging="284"/>
    </w:pPr>
  </w:style>
  <w:style w:type="paragraph" w:customStyle="1" w:styleId="alist-level2">
    <w:name w:val="a list - level 2"/>
    <w:basedOn w:val="Listparagraph-level2"/>
    <w:qFormat/>
    <w:rsid w:val="00ED6F36"/>
    <w:pPr>
      <w:numPr>
        <w:numId w:val="25"/>
      </w:numPr>
      <w:ind w:left="568" w:hanging="284"/>
    </w:pPr>
    <w:rPr>
      <w:b w:val="0"/>
      <w:bCs/>
    </w:rPr>
  </w:style>
  <w:style w:type="paragraph" w:customStyle="1" w:styleId="blist-level2">
    <w:name w:val="b list - level 2"/>
    <w:basedOn w:val="numberedlistlevel2"/>
    <w:qFormat/>
    <w:rsid w:val="00A364A3"/>
  </w:style>
  <w:style w:type="paragraph" w:customStyle="1" w:styleId="blist-level3">
    <w:name w:val="b list - level 3"/>
    <w:basedOn w:val="numberedlist-level3"/>
    <w:qFormat/>
    <w:rsid w:val="00A364A3"/>
    <w:pPr>
      <w:ind w:left="1135"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0398">
      <w:bodyDiv w:val="1"/>
      <w:marLeft w:val="0"/>
      <w:marRight w:val="0"/>
      <w:marTop w:val="0"/>
      <w:marBottom w:val="0"/>
      <w:divBdr>
        <w:top w:val="none" w:sz="0" w:space="0" w:color="auto"/>
        <w:left w:val="none" w:sz="0" w:space="0" w:color="auto"/>
        <w:bottom w:val="none" w:sz="0" w:space="0" w:color="auto"/>
        <w:right w:val="none" w:sz="0" w:space="0" w:color="auto"/>
      </w:divBdr>
    </w:div>
    <w:div w:id="57636580">
      <w:bodyDiv w:val="1"/>
      <w:marLeft w:val="0"/>
      <w:marRight w:val="0"/>
      <w:marTop w:val="0"/>
      <w:marBottom w:val="0"/>
      <w:divBdr>
        <w:top w:val="none" w:sz="0" w:space="0" w:color="auto"/>
        <w:left w:val="none" w:sz="0" w:space="0" w:color="auto"/>
        <w:bottom w:val="none" w:sz="0" w:space="0" w:color="auto"/>
        <w:right w:val="none" w:sz="0" w:space="0" w:color="auto"/>
      </w:divBdr>
    </w:div>
    <w:div w:id="65882016">
      <w:bodyDiv w:val="1"/>
      <w:marLeft w:val="0"/>
      <w:marRight w:val="0"/>
      <w:marTop w:val="0"/>
      <w:marBottom w:val="0"/>
      <w:divBdr>
        <w:top w:val="none" w:sz="0" w:space="0" w:color="auto"/>
        <w:left w:val="none" w:sz="0" w:space="0" w:color="auto"/>
        <w:bottom w:val="none" w:sz="0" w:space="0" w:color="auto"/>
        <w:right w:val="none" w:sz="0" w:space="0" w:color="auto"/>
      </w:divBdr>
    </w:div>
    <w:div w:id="251857990">
      <w:bodyDiv w:val="1"/>
      <w:marLeft w:val="0"/>
      <w:marRight w:val="0"/>
      <w:marTop w:val="0"/>
      <w:marBottom w:val="0"/>
      <w:divBdr>
        <w:top w:val="none" w:sz="0" w:space="0" w:color="auto"/>
        <w:left w:val="none" w:sz="0" w:space="0" w:color="auto"/>
        <w:bottom w:val="none" w:sz="0" w:space="0" w:color="auto"/>
        <w:right w:val="none" w:sz="0" w:space="0" w:color="auto"/>
      </w:divBdr>
    </w:div>
    <w:div w:id="264386753">
      <w:bodyDiv w:val="1"/>
      <w:marLeft w:val="0"/>
      <w:marRight w:val="0"/>
      <w:marTop w:val="0"/>
      <w:marBottom w:val="0"/>
      <w:divBdr>
        <w:top w:val="none" w:sz="0" w:space="0" w:color="auto"/>
        <w:left w:val="none" w:sz="0" w:space="0" w:color="auto"/>
        <w:bottom w:val="none" w:sz="0" w:space="0" w:color="auto"/>
        <w:right w:val="none" w:sz="0" w:space="0" w:color="auto"/>
      </w:divBdr>
    </w:div>
    <w:div w:id="357701859">
      <w:bodyDiv w:val="1"/>
      <w:marLeft w:val="0"/>
      <w:marRight w:val="0"/>
      <w:marTop w:val="0"/>
      <w:marBottom w:val="0"/>
      <w:divBdr>
        <w:top w:val="none" w:sz="0" w:space="0" w:color="auto"/>
        <w:left w:val="none" w:sz="0" w:space="0" w:color="auto"/>
        <w:bottom w:val="none" w:sz="0" w:space="0" w:color="auto"/>
        <w:right w:val="none" w:sz="0" w:space="0" w:color="auto"/>
      </w:divBdr>
    </w:div>
    <w:div w:id="402727211">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40749418">
      <w:bodyDiv w:val="1"/>
      <w:marLeft w:val="0"/>
      <w:marRight w:val="0"/>
      <w:marTop w:val="0"/>
      <w:marBottom w:val="0"/>
      <w:divBdr>
        <w:top w:val="none" w:sz="0" w:space="0" w:color="auto"/>
        <w:left w:val="none" w:sz="0" w:space="0" w:color="auto"/>
        <w:bottom w:val="none" w:sz="0" w:space="0" w:color="auto"/>
        <w:right w:val="none" w:sz="0" w:space="0" w:color="auto"/>
      </w:divBdr>
    </w:div>
    <w:div w:id="56534235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49048599">
      <w:bodyDiv w:val="1"/>
      <w:marLeft w:val="0"/>
      <w:marRight w:val="0"/>
      <w:marTop w:val="0"/>
      <w:marBottom w:val="0"/>
      <w:divBdr>
        <w:top w:val="none" w:sz="0" w:space="0" w:color="auto"/>
        <w:left w:val="none" w:sz="0" w:space="0" w:color="auto"/>
        <w:bottom w:val="none" w:sz="0" w:space="0" w:color="auto"/>
        <w:right w:val="none" w:sz="0" w:space="0" w:color="auto"/>
      </w:divBdr>
    </w:div>
    <w:div w:id="1004552818">
      <w:bodyDiv w:val="1"/>
      <w:marLeft w:val="0"/>
      <w:marRight w:val="0"/>
      <w:marTop w:val="0"/>
      <w:marBottom w:val="0"/>
      <w:divBdr>
        <w:top w:val="none" w:sz="0" w:space="0" w:color="auto"/>
        <w:left w:val="none" w:sz="0" w:space="0" w:color="auto"/>
        <w:bottom w:val="none" w:sz="0" w:space="0" w:color="auto"/>
        <w:right w:val="none" w:sz="0" w:space="0" w:color="auto"/>
      </w:divBdr>
    </w:div>
    <w:div w:id="1176312877">
      <w:bodyDiv w:val="1"/>
      <w:marLeft w:val="0"/>
      <w:marRight w:val="0"/>
      <w:marTop w:val="0"/>
      <w:marBottom w:val="0"/>
      <w:divBdr>
        <w:top w:val="none" w:sz="0" w:space="0" w:color="auto"/>
        <w:left w:val="none" w:sz="0" w:space="0" w:color="auto"/>
        <w:bottom w:val="none" w:sz="0" w:space="0" w:color="auto"/>
        <w:right w:val="none" w:sz="0" w:space="0" w:color="auto"/>
      </w:divBdr>
    </w:div>
    <w:div w:id="1196694122">
      <w:bodyDiv w:val="1"/>
      <w:marLeft w:val="0"/>
      <w:marRight w:val="0"/>
      <w:marTop w:val="0"/>
      <w:marBottom w:val="0"/>
      <w:divBdr>
        <w:top w:val="none" w:sz="0" w:space="0" w:color="auto"/>
        <w:left w:val="none" w:sz="0" w:space="0" w:color="auto"/>
        <w:bottom w:val="none" w:sz="0" w:space="0" w:color="auto"/>
        <w:right w:val="none" w:sz="0" w:space="0" w:color="auto"/>
      </w:divBdr>
    </w:div>
    <w:div w:id="1311132949">
      <w:bodyDiv w:val="1"/>
      <w:marLeft w:val="0"/>
      <w:marRight w:val="0"/>
      <w:marTop w:val="0"/>
      <w:marBottom w:val="0"/>
      <w:divBdr>
        <w:top w:val="none" w:sz="0" w:space="0" w:color="auto"/>
        <w:left w:val="none" w:sz="0" w:space="0" w:color="auto"/>
        <w:bottom w:val="none" w:sz="0" w:space="0" w:color="auto"/>
        <w:right w:val="none" w:sz="0" w:space="0" w:color="auto"/>
      </w:divBdr>
    </w:div>
    <w:div w:id="1338387430">
      <w:bodyDiv w:val="1"/>
      <w:marLeft w:val="0"/>
      <w:marRight w:val="0"/>
      <w:marTop w:val="0"/>
      <w:marBottom w:val="0"/>
      <w:divBdr>
        <w:top w:val="none" w:sz="0" w:space="0" w:color="auto"/>
        <w:left w:val="none" w:sz="0" w:space="0" w:color="auto"/>
        <w:bottom w:val="none" w:sz="0" w:space="0" w:color="auto"/>
        <w:right w:val="none" w:sz="0" w:space="0" w:color="auto"/>
      </w:divBdr>
    </w:div>
    <w:div w:id="1355305347">
      <w:bodyDiv w:val="1"/>
      <w:marLeft w:val="0"/>
      <w:marRight w:val="0"/>
      <w:marTop w:val="0"/>
      <w:marBottom w:val="0"/>
      <w:divBdr>
        <w:top w:val="none" w:sz="0" w:space="0" w:color="auto"/>
        <w:left w:val="none" w:sz="0" w:space="0" w:color="auto"/>
        <w:bottom w:val="none" w:sz="0" w:space="0" w:color="auto"/>
        <w:right w:val="none" w:sz="0" w:space="0" w:color="auto"/>
      </w:divBdr>
    </w:div>
    <w:div w:id="1355350058">
      <w:bodyDiv w:val="1"/>
      <w:marLeft w:val="0"/>
      <w:marRight w:val="0"/>
      <w:marTop w:val="0"/>
      <w:marBottom w:val="0"/>
      <w:divBdr>
        <w:top w:val="none" w:sz="0" w:space="0" w:color="auto"/>
        <w:left w:val="none" w:sz="0" w:space="0" w:color="auto"/>
        <w:bottom w:val="none" w:sz="0" w:space="0" w:color="auto"/>
        <w:right w:val="none" w:sz="0" w:space="0" w:color="auto"/>
      </w:divBdr>
    </w:div>
    <w:div w:id="1392384501">
      <w:bodyDiv w:val="1"/>
      <w:marLeft w:val="0"/>
      <w:marRight w:val="0"/>
      <w:marTop w:val="0"/>
      <w:marBottom w:val="0"/>
      <w:divBdr>
        <w:top w:val="none" w:sz="0" w:space="0" w:color="auto"/>
        <w:left w:val="none" w:sz="0" w:space="0" w:color="auto"/>
        <w:bottom w:val="none" w:sz="0" w:space="0" w:color="auto"/>
        <w:right w:val="none" w:sz="0" w:space="0" w:color="auto"/>
      </w:divBdr>
    </w:div>
    <w:div w:id="1501582323">
      <w:bodyDiv w:val="1"/>
      <w:marLeft w:val="0"/>
      <w:marRight w:val="0"/>
      <w:marTop w:val="0"/>
      <w:marBottom w:val="0"/>
      <w:divBdr>
        <w:top w:val="none" w:sz="0" w:space="0" w:color="auto"/>
        <w:left w:val="none" w:sz="0" w:space="0" w:color="auto"/>
        <w:bottom w:val="none" w:sz="0" w:space="0" w:color="auto"/>
        <w:right w:val="none" w:sz="0" w:space="0" w:color="auto"/>
      </w:divBdr>
    </w:div>
    <w:div w:id="1549030604">
      <w:bodyDiv w:val="1"/>
      <w:marLeft w:val="0"/>
      <w:marRight w:val="0"/>
      <w:marTop w:val="0"/>
      <w:marBottom w:val="0"/>
      <w:divBdr>
        <w:top w:val="none" w:sz="0" w:space="0" w:color="auto"/>
        <w:left w:val="none" w:sz="0" w:space="0" w:color="auto"/>
        <w:bottom w:val="none" w:sz="0" w:space="0" w:color="auto"/>
        <w:right w:val="none" w:sz="0" w:space="0" w:color="auto"/>
      </w:divBdr>
    </w:div>
    <w:div w:id="1594703431">
      <w:bodyDiv w:val="1"/>
      <w:marLeft w:val="0"/>
      <w:marRight w:val="0"/>
      <w:marTop w:val="0"/>
      <w:marBottom w:val="0"/>
      <w:divBdr>
        <w:top w:val="none" w:sz="0" w:space="0" w:color="auto"/>
        <w:left w:val="none" w:sz="0" w:space="0" w:color="auto"/>
        <w:bottom w:val="none" w:sz="0" w:space="0" w:color="auto"/>
        <w:right w:val="none" w:sz="0" w:space="0" w:color="auto"/>
      </w:divBdr>
    </w:div>
    <w:div w:id="1605772462">
      <w:bodyDiv w:val="1"/>
      <w:marLeft w:val="0"/>
      <w:marRight w:val="0"/>
      <w:marTop w:val="0"/>
      <w:marBottom w:val="0"/>
      <w:divBdr>
        <w:top w:val="none" w:sz="0" w:space="0" w:color="auto"/>
        <w:left w:val="none" w:sz="0" w:space="0" w:color="auto"/>
        <w:bottom w:val="none" w:sz="0" w:space="0" w:color="auto"/>
        <w:right w:val="none" w:sz="0" w:space="0" w:color="auto"/>
      </w:divBdr>
    </w:div>
    <w:div w:id="1659916191">
      <w:bodyDiv w:val="1"/>
      <w:marLeft w:val="0"/>
      <w:marRight w:val="0"/>
      <w:marTop w:val="0"/>
      <w:marBottom w:val="0"/>
      <w:divBdr>
        <w:top w:val="none" w:sz="0" w:space="0" w:color="auto"/>
        <w:left w:val="none" w:sz="0" w:space="0" w:color="auto"/>
        <w:bottom w:val="none" w:sz="0" w:space="0" w:color="auto"/>
        <w:right w:val="none" w:sz="0" w:space="0" w:color="auto"/>
      </w:divBdr>
    </w:div>
    <w:div w:id="1711295761">
      <w:bodyDiv w:val="1"/>
      <w:marLeft w:val="0"/>
      <w:marRight w:val="0"/>
      <w:marTop w:val="0"/>
      <w:marBottom w:val="0"/>
      <w:divBdr>
        <w:top w:val="none" w:sz="0" w:space="0" w:color="auto"/>
        <w:left w:val="none" w:sz="0" w:space="0" w:color="auto"/>
        <w:bottom w:val="none" w:sz="0" w:space="0" w:color="auto"/>
        <w:right w:val="none" w:sz="0" w:space="0" w:color="auto"/>
      </w:divBdr>
    </w:div>
    <w:div w:id="1752503184">
      <w:bodyDiv w:val="1"/>
      <w:marLeft w:val="0"/>
      <w:marRight w:val="0"/>
      <w:marTop w:val="0"/>
      <w:marBottom w:val="0"/>
      <w:divBdr>
        <w:top w:val="none" w:sz="0" w:space="0" w:color="auto"/>
        <w:left w:val="none" w:sz="0" w:space="0" w:color="auto"/>
        <w:bottom w:val="none" w:sz="0" w:space="0" w:color="auto"/>
        <w:right w:val="none" w:sz="0" w:space="0" w:color="auto"/>
      </w:divBdr>
    </w:div>
    <w:div w:id="21058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pmc.gov.au/government/commonwealth-coat-arms" TargetMode="External"/><Relationship Id="rId26" Type="http://schemas.openxmlformats.org/officeDocument/2006/relationships/footer" Target="footer4.xml"/><Relationship Id="rId39" Type="http://schemas.openxmlformats.org/officeDocument/2006/relationships/diagramQuickStyle" Target="diagrams/quickStyle1.xml"/><Relationship Id="rId21" Type="http://schemas.openxmlformats.org/officeDocument/2006/relationships/footer" Target="footer2.xml"/><Relationship Id="rId34" Type="http://schemas.openxmlformats.org/officeDocument/2006/relationships/image" Target="media/image8.png"/><Relationship Id="rId42" Type="http://schemas.openxmlformats.org/officeDocument/2006/relationships/diagramData" Target="diagrams/data2.xml"/><Relationship Id="rId47" Type="http://schemas.openxmlformats.org/officeDocument/2006/relationships/image" Target="media/image9.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image" Target="media/image5.png"/><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image" Target="media/image6.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eader" Target="header2.xml"/><Relationship Id="rId28" Type="http://schemas.openxmlformats.org/officeDocument/2006/relationships/image" Target="media/image4.png"/><Relationship Id="rId36" Type="http://schemas.openxmlformats.org/officeDocument/2006/relationships/footer" Target="footer8.xml"/><Relationship Id="rId49" Type="http://schemas.openxmlformats.org/officeDocument/2006/relationships/footer" Target="footer10.xml"/><Relationship Id="rId10" Type="http://schemas.openxmlformats.org/officeDocument/2006/relationships/webSettings" Target="webSettings.xml"/><Relationship Id="rId19" Type="http://schemas.openxmlformats.org/officeDocument/2006/relationships/hyperlink" Target="mailto:medialiaison@treasury.gov.au" TargetMode="External"/><Relationship Id="rId31" Type="http://schemas.openxmlformats.org/officeDocument/2006/relationships/footer" Target="footer6.xml"/><Relationship Id="rId44"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diagramLayout" Target="diagrams/layout2.xml"/><Relationship Id="rId48" Type="http://schemas.openxmlformats.org/officeDocument/2006/relationships/footer" Target="footer9.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diagramLayout" Target="diagrams/layout1.xml"/><Relationship Id="rId46" Type="http://schemas.microsoft.com/office/2007/relationships/diagramDrawing" Target="diagrams/drawing2.xml"/><Relationship Id="rId20" Type="http://schemas.openxmlformats.org/officeDocument/2006/relationships/footer" Target="footer1.xml"/><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3" Type="http://schemas.openxmlformats.org/officeDocument/2006/relationships/hyperlink" Target="https://treasury.gov.au/publication/inquiry-future-directions-consumer-data-right-final-report" TargetMode="External"/><Relationship Id="rId18" Type="http://schemas.openxmlformats.org/officeDocument/2006/relationships/hyperlink" Target="https://treasury.gov.au/publication/inquiry-future-directions-consumer-data-right-final-report" TargetMode="External"/><Relationship Id="rId26" Type="http://schemas.openxmlformats.org/officeDocument/2006/relationships/hyperlink" Target="https://treasury.gov.au/publication/inquiry-future-directions-consumer-data-right-final-report" TargetMode="External"/><Relationship Id="rId39" Type="http://schemas.openxmlformats.org/officeDocument/2006/relationships/hyperlink" Target="https://treasury.gov.au/publication/inquiry-future-directions-consumer-data-right-final-report" TargetMode="External"/><Relationship Id="rId21" Type="http://schemas.openxmlformats.org/officeDocument/2006/relationships/hyperlink" Target="https://treasury.gov.au/publication/p2022-242997" TargetMode="External"/><Relationship Id="rId34" Type="http://schemas.openxmlformats.org/officeDocument/2006/relationships/hyperlink" Target="https://treasury.gov.au/publication/p2021-225462" TargetMode="External"/><Relationship Id="rId42" Type="http://schemas.openxmlformats.org/officeDocument/2006/relationships/hyperlink" Target="https://treasury.gov.au/publication/p2022-242997" TargetMode="External"/><Relationship Id="rId7" Type="http://schemas.openxmlformats.org/officeDocument/2006/relationships/hyperlink" Target="https://www.mbie.govt.nz/business-and-employment/business/competition-regulation-and-policy/consumer-data-right/" TargetMode="External"/><Relationship Id="rId2" Type="http://schemas.openxmlformats.org/officeDocument/2006/relationships/hyperlink" Target="https://treasury.gov.au/sites/default/files/2022-01/p2022-242997-outcomes-report_0.pdf" TargetMode="External"/><Relationship Id="rId16" Type="http://schemas.openxmlformats.org/officeDocument/2006/relationships/hyperlink" Target="https://www.finder.com.au/cst" TargetMode="External"/><Relationship Id="rId29" Type="http://schemas.openxmlformats.org/officeDocument/2006/relationships/hyperlink" Target="https://openbanking.foleon.com/live-publications/the-open-banking-impact-report-june-2022/" TargetMode="External"/><Relationship Id="rId1" Type="http://schemas.openxmlformats.org/officeDocument/2006/relationships/hyperlink" Target="https://frollo.com.au/open-banking/open-banking-consumer-perspective/" TargetMode="External"/><Relationship Id="rId6" Type="http://schemas.openxmlformats.org/officeDocument/2006/relationships/hyperlink" Target="https://www.mbie.govt.nz/dmsdocument/15539-establishing-a-consumer-data-right-minute-of-decision-proactiverelease-pdf" TargetMode="External"/><Relationship Id="rId11" Type="http://schemas.openxmlformats.org/officeDocument/2006/relationships/hyperlink" Target="https://github.com/ConsumerDataStandardsAustralia/standards/issues/240" TargetMode="External"/><Relationship Id="rId24" Type="http://schemas.openxmlformats.org/officeDocument/2006/relationships/hyperlink" Target="https://treasury.gov.au/sites/default/files/2021-02/cdrinquiry-final.pdf" TargetMode="External"/><Relationship Id="rId32" Type="http://schemas.openxmlformats.org/officeDocument/2006/relationships/hyperlink" Target="https://www.openbanking.org.uk/news/uk-open-banking-marks-fourth-year-milestone-with-over-4-million-users/" TargetMode="External"/><Relationship Id="rId37" Type="http://schemas.openxmlformats.org/officeDocument/2006/relationships/hyperlink" Target="https://www.cba.org/Sections/Privacy-and-Access/Resources/Resources/2021/PrivacyEssayWinner2021" TargetMode="External"/><Relationship Id="rId40" Type="http://schemas.openxmlformats.org/officeDocument/2006/relationships/hyperlink" Target="https://digitaleconomy.pmc.gov.au/" TargetMode="External"/><Relationship Id="rId45" Type="http://schemas.openxmlformats.org/officeDocument/2006/relationships/hyperlink" Target="https://treasury.gov.au/publication/inquiry-future-directions-consumer-data-right-final-report" TargetMode="External"/><Relationship Id="rId5" Type="http://schemas.openxmlformats.org/officeDocument/2006/relationships/hyperlink" Target="https://www.beehive.govt.nz/release/govt-agrees-establish-consumer-data-right" TargetMode="External"/><Relationship Id="rId15" Type="http://schemas.openxmlformats.org/officeDocument/2006/relationships/hyperlink" Target="https://www.accc.gov.au/media-release/bank-of-queensland-pays-penalty-for-alleged-breach-of-consumer-data-right-rules" TargetMode="External"/><Relationship Id="rId23" Type="http://schemas.openxmlformats.org/officeDocument/2006/relationships/hyperlink" Target="https://www.dspanz.org/media/website_pages/news/ssam-review-2021-report/SSAM-Review-2021-Report.pdf" TargetMode="External"/><Relationship Id="rId28" Type="http://schemas.openxmlformats.org/officeDocument/2006/relationships/hyperlink" Target="https://www.abs.gov.au/statistics/economy/business-indicators/counts-australian-businesses-including-entries-and-exits/latest-release" TargetMode="External"/><Relationship Id="rId36" Type="http://schemas.openxmlformats.org/officeDocument/2006/relationships/hyperlink" Target="https://consumerdatastandards.gov.au/sites/consumerdatastandards.gov.au/files/uploads/2020/05/CX-Report-_-Phase-3-_-Round-3.pdf" TargetMode="External"/><Relationship Id="rId10" Type="http://schemas.openxmlformats.org/officeDocument/2006/relationships/hyperlink" Target="https://openbanking.foleon.com/live-publications/the-open-banking-impact-report-june-2022/" TargetMode="External"/><Relationship Id="rId19" Type="http://schemas.openxmlformats.org/officeDocument/2006/relationships/hyperlink" Target="https://treasury.gov.au/publication/inquiry-future-directions-consumer-data-right-final-report" TargetMode="External"/><Relationship Id="rId31" Type="http://schemas.openxmlformats.org/officeDocument/2006/relationships/hyperlink" Target="https://treasury.gov.au/publication/inquiry-future-directions-consumer-data-right-final-report" TargetMode="External"/><Relationship Id="rId44" Type="http://schemas.openxmlformats.org/officeDocument/2006/relationships/hyperlink" Target="https://treasury.gov.au/consultation/c2018-t247313" TargetMode="External"/><Relationship Id="rId4" Type="http://schemas.openxmlformats.org/officeDocument/2006/relationships/hyperlink" Target="https://www.mbie.govt.nz/business-and-employment/business/competition-regulation-and-policy/consumer-data-right/" TargetMode="External"/><Relationship Id="rId9" Type="http://schemas.openxmlformats.org/officeDocument/2006/relationships/hyperlink" Target="https://www.cdr.gov.au/performance" TargetMode="External"/><Relationship Id="rId14" Type="http://schemas.openxmlformats.org/officeDocument/2006/relationships/hyperlink" Target="https://www.accc.gov.au/speech/acccs-priorities-and-approach-to-regulating-the-financial-services-sector" TargetMode="External"/><Relationship Id="rId22" Type="http://schemas.openxmlformats.org/officeDocument/2006/relationships/hyperlink" Target="https://treasury.gov.au/publication/inquiry-future-directions-consumer-data-right-final-report" TargetMode="External"/><Relationship Id="rId27" Type="http://schemas.openxmlformats.org/officeDocument/2006/relationships/hyperlink" Target="https://treasury.gov.au/publication/inquiry-future-directions-consumer-data-right-final-report" TargetMode="External"/><Relationship Id="rId30" Type="http://schemas.openxmlformats.org/officeDocument/2006/relationships/hyperlink" Target="https://www.oaic.gov.au/consumer-data-right/cdr-privacy-safeguard-guidelines/chapter-12-privacy-safeguard-12-security-of-cdr-data-and-destruction-or-de-identification-of-redundant-cdr-data" TargetMode="External"/><Relationship Id="rId35" Type="http://schemas.openxmlformats.org/officeDocument/2006/relationships/hyperlink" Target="https://www.pc.gov.au/inquiries/completed/data-access/report/data-access.pdf" TargetMode="External"/><Relationship Id="rId43" Type="http://schemas.openxmlformats.org/officeDocument/2006/relationships/hyperlink" Target="https://www.pc.gov.au/inquiries/completed/data-access/report/data-access.pdf" TargetMode="External"/><Relationship Id="rId8" Type="http://schemas.openxmlformats.org/officeDocument/2006/relationships/hyperlink" Target="https://www.pc.gov.au/inquiries/completed/data-access/report/data-access.pdf" TargetMode="External"/><Relationship Id="rId3" Type="http://schemas.openxmlformats.org/officeDocument/2006/relationships/hyperlink" Target="https://treasury.gov.au/consultation/c2022-253782" TargetMode="External"/><Relationship Id="rId12" Type="http://schemas.openxmlformats.org/officeDocument/2006/relationships/hyperlink" Target="https://www.oaic.gov.au/consumer-data-right/cdr-privacy-safeguard-guidelines/chapter-11-privacy-safeguard-11-quality-of-cdr-data" TargetMode="External"/><Relationship Id="rId17" Type="http://schemas.openxmlformats.org/officeDocument/2006/relationships/hyperlink" Target="https://treasury.gov.au/consultation/c2018-t247313" TargetMode="External"/><Relationship Id="rId25" Type="http://schemas.openxmlformats.org/officeDocument/2006/relationships/hyperlink" Target="https://treasury.gov.au/publication/inquiry-future-directions-consumer-data-right-final-report" TargetMode="External"/><Relationship Id="rId33" Type="http://schemas.openxmlformats.org/officeDocument/2006/relationships/hyperlink" Target="https://treasury.gov.au/sites/default/files/2021-08/p2021-198587.pdf" TargetMode="External"/><Relationship Id="rId38" Type="http://schemas.openxmlformats.org/officeDocument/2006/relationships/hyperlink" Target="https://treasury.gov.au/publication/p2021-225462" TargetMode="External"/><Relationship Id="rId20" Type="http://schemas.openxmlformats.org/officeDocument/2006/relationships/hyperlink" Target="https://challenges.org/prizes/open-up-2020/" TargetMode="External"/><Relationship Id="rId41" Type="http://schemas.openxmlformats.org/officeDocument/2006/relationships/hyperlink" Target="https://ausdatastrategy.pm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A4%20Report.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4607FC-612E-4A3E-BD9A-F3E70B10AD3E}" type="doc">
      <dgm:prSet loTypeId="urn:microsoft.com/office/officeart/2005/8/layout/process1" loCatId="process" qsTypeId="urn:microsoft.com/office/officeart/2005/8/quickstyle/simple1" qsCatId="simple" csTypeId="urn:microsoft.com/office/officeart/2005/8/colors/accent1_2" csCatId="accent1" phldr="1"/>
      <dgm:spPr/>
    </dgm:pt>
    <dgm:pt modelId="{4AB51807-906E-4DB9-B485-DC9198B85EA9}">
      <dgm:prSet phldrT="[Text]"/>
      <dgm:spPr>
        <a:xfrm>
          <a:off x="1066800" y="9525"/>
          <a:ext cx="761999" cy="542925"/>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Designation</a:t>
          </a:r>
        </a:p>
      </dgm:t>
    </dgm:pt>
    <dgm:pt modelId="{7073D296-62B9-463E-AD0B-B71AB0FA6C2D}" type="parTrans" cxnId="{76E46789-2038-4DBF-B999-607C84B33EC8}">
      <dgm:prSet/>
      <dgm:spPr/>
      <dgm:t>
        <a:bodyPr/>
        <a:lstStyle/>
        <a:p>
          <a:pPr algn="ctr"/>
          <a:endParaRPr lang="en-AU"/>
        </a:p>
      </dgm:t>
    </dgm:pt>
    <dgm:pt modelId="{5E5BE0A0-B308-4A48-8DD3-AFD9E1600134}" type="sibTrans" cxnId="{76E46789-2038-4DBF-B999-607C84B33EC8}">
      <dgm:prSet/>
      <dgm:spPr>
        <a:xfrm>
          <a:off x="19050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56CDA781-8AFE-4824-B1AA-891768FB7094}">
      <dgm:prSet phldrT="[Text]"/>
      <dgm:spPr>
        <a:xfrm>
          <a:off x="2133600" y="9525"/>
          <a:ext cx="761999" cy="542925"/>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Rules and Standards</a:t>
          </a:r>
        </a:p>
      </dgm:t>
    </dgm:pt>
    <dgm:pt modelId="{FC2F188F-6EA0-4B41-B610-D398D7A71764}" type="parTrans" cxnId="{19435A17-780A-49E7-9393-CAD2DA0C2015}">
      <dgm:prSet/>
      <dgm:spPr/>
      <dgm:t>
        <a:bodyPr/>
        <a:lstStyle/>
        <a:p>
          <a:pPr algn="ctr"/>
          <a:endParaRPr lang="en-AU"/>
        </a:p>
      </dgm:t>
    </dgm:pt>
    <dgm:pt modelId="{6E870924-FA0B-44D9-9060-294452FBFF59}" type="sibTrans" cxnId="{19435A17-780A-49E7-9393-CAD2DA0C2015}">
      <dgm:prSet/>
      <dgm:spPr>
        <a:xfrm>
          <a:off x="29718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5990BF4-EE6D-41FE-95AD-90E95ADE7169}">
      <dgm:prSet phldrT="[Text]"/>
      <dgm:spPr>
        <a:xfrm>
          <a:off x="0" y="9525"/>
          <a:ext cx="761999" cy="542925"/>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Sectoral Assessment </a:t>
          </a:r>
        </a:p>
      </dgm:t>
    </dgm:pt>
    <dgm:pt modelId="{40B76E59-D89A-48AE-BB82-B01A1DE91552}" type="sibTrans" cxnId="{77BB5049-E8B4-460E-AAB0-F3D11BCD7437}">
      <dgm:prSet/>
      <dgm:spPr>
        <a:xfrm>
          <a:off x="838200" y="186499"/>
          <a:ext cx="161543"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26135D4-38D0-49CE-AF38-5C845AA50743}" type="parTrans" cxnId="{77BB5049-E8B4-460E-AAB0-F3D11BCD7437}">
      <dgm:prSet/>
      <dgm:spPr/>
      <dgm:t>
        <a:bodyPr/>
        <a:lstStyle/>
        <a:p>
          <a:pPr algn="ctr"/>
          <a:endParaRPr lang="en-AU"/>
        </a:p>
      </dgm:t>
    </dgm:pt>
    <dgm:pt modelId="{F3C20853-9C4E-4DA8-8299-8701D2ECF726}">
      <dgm:prSet phldrT="[Text]"/>
      <dgm:spPr>
        <a:xfrm>
          <a:off x="32004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Agency Build and Test</a:t>
          </a:r>
        </a:p>
      </dgm:t>
    </dgm:pt>
    <dgm:pt modelId="{24AFAFF6-DFAD-4F75-AA64-6D25F529B706}" type="parTrans" cxnId="{6DDB69D6-62F5-439F-8B18-B3487810F6B4}">
      <dgm:prSet/>
      <dgm:spPr/>
      <dgm:t>
        <a:bodyPr/>
        <a:lstStyle/>
        <a:p>
          <a:pPr algn="ctr"/>
          <a:endParaRPr lang="en-AU"/>
        </a:p>
      </dgm:t>
    </dgm:pt>
    <dgm:pt modelId="{C166F774-F863-43D5-8297-4FEE0300FCAA}" type="sibTrans" cxnId="{6DDB69D6-62F5-439F-8B18-B3487810F6B4}">
      <dgm:prSet/>
      <dgm:spPr>
        <a:xfrm>
          <a:off x="40386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B934C8E6-C543-41C9-A921-94D5A201B65D}">
      <dgm:prSet phldrT="[Text]"/>
      <dgm:spPr>
        <a:xfrm>
          <a:off x="42672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Industry Build and Test</a:t>
          </a:r>
        </a:p>
      </dgm:t>
    </dgm:pt>
    <dgm:pt modelId="{A6BB3A9D-F475-4D1F-AEF4-21C0083D84BD}" type="parTrans" cxnId="{4605E8D3-161C-4120-BD06-78C40ED02765}">
      <dgm:prSet/>
      <dgm:spPr/>
      <dgm:t>
        <a:bodyPr/>
        <a:lstStyle/>
        <a:p>
          <a:pPr algn="ctr"/>
          <a:endParaRPr lang="en-AU"/>
        </a:p>
      </dgm:t>
    </dgm:pt>
    <dgm:pt modelId="{C2DCC34F-9754-438A-B42F-8A5CC4EB9440}" type="sibTrans" cxnId="{4605E8D3-161C-4120-BD06-78C40ED02765}">
      <dgm:prSet/>
      <dgm:spPr>
        <a:xfrm>
          <a:off x="51054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1F85532B-DF42-4064-9C1E-21B5399F18B5}">
      <dgm:prSet phldrT="[Text]"/>
      <dgm:spPr>
        <a:xfrm>
          <a:off x="5334000" y="9525"/>
          <a:ext cx="761999" cy="542925"/>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Rollout</a:t>
          </a:r>
        </a:p>
      </dgm:t>
    </dgm:pt>
    <dgm:pt modelId="{B761FC89-96EF-4D0B-BFF1-62CB736BBCDA}" type="parTrans" cxnId="{90D35C21-D855-458C-A8E0-E7C85F195A41}">
      <dgm:prSet/>
      <dgm:spPr/>
      <dgm:t>
        <a:bodyPr/>
        <a:lstStyle/>
        <a:p>
          <a:pPr algn="ctr"/>
          <a:endParaRPr lang="en-AU"/>
        </a:p>
      </dgm:t>
    </dgm:pt>
    <dgm:pt modelId="{899B9970-5C35-4DD2-BE9E-DBC9BE854A90}" type="sibTrans" cxnId="{90D35C21-D855-458C-A8E0-E7C85F195A41}">
      <dgm:prSet/>
      <dgm:spPr/>
      <dgm:t>
        <a:bodyPr/>
        <a:lstStyle/>
        <a:p>
          <a:pPr algn="ctr"/>
          <a:endParaRPr lang="en-AU"/>
        </a:p>
      </dgm:t>
    </dgm:pt>
    <dgm:pt modelId="{34D7DBA5-7DAC-4091-B4BC-E0D4E59B386B}">
      <dgm:prSet phldrT="[Text]"/>
      <dgm:spPr>
        <a:xfrm>
          <a:off x="5334000" y="9525"/>
          <a:ext cx="761999" cy="542925"/>
        </a:xfr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CDR-enabled Products and Services</a:t>
          </a:r>
        </a:p>
      </dgm:t>
    </dgm:pt>
    <dgm:pt modelId="{E7A4B7BC-6086-4391-8EFF-9463E79BAFA0}" type="parTrans" cxnId="{85E4246B-7B4C-49D7-97EC-4BE58AFF28ED}">
      <dgm:prSet/>
      <dgm:spPr/>
      <dgm:t>
        <a:bodyPr/>
        <a:lstStyle/>
        <a:p>
          <a:endParaRPr lang="en-AU"/>
        </a:p>
      </dgm:t>
    </dgm:pt>
    <dgm:pt modelId="{AF6CEE4C-D803-4BDC-A121-2690AA9E1BF3}" type="sibTrans" cxnId="{85E4246B-7B4C-49D7-97EC-4BE58AFF28ED}">
      <dgm:prSet/>
      <dgm:spPr/>
      <dgm:t>
        <a:bodyPr/>
        <a:lstStyle/>
        <a:p>
          <a:endParaRPr lang="en-AU"/>
        </a:p>
      </dgm:t>
    </dgm:pt>
    <dgm:pt modelId="{BEA369B9-9B98-492F-B768-8326B6C761F5}" type="pres">
      <dgm:prSet presAssocID="{504607FC-612E-4A3E-BD9A-F3E70B10AD3E}" presName="Name0" presStyleCnt="0">
        <dgm:presLayoutVars>
          <dgm:dir/>
          <dgm:resizeHandles val="exact"/>
        </dgm:presLayoutVars>
      </dgm:prSet>
      <dgm:spPr/>
    </dgm:pt>
    <dgm:pt modelId="{10768D5B-D682-4094-9A33-48F490E5ADBA}" type="pres">
      <dgm:prSet presAssocID="{F5990BF4-EE6D-41FE-95AD-90E95ADE7169}" presName="node" presStyleLbl="node1" presStyleIdx="0" presStyleCnt="7">
        <dgm:presLayoutVars>
          <dgm:bulletEnabled val="1"/>
        </dgm:presLayoutVars>
      </dgm:prSet>
      <dgm:spPr/>
    </dgm:pt>
    <dgm:pt modelId="{F8F55F77-6787-4F80-A1E2-497A4B93A15E}" type="pres">
      <dgm:prSet presAssocID="{40B76E59-D89A-48AE-BB82-B01A1DE91552}" presName="sibTrans" presStyleLbl="sibTrans2D1" presStyleIdx="0" presStyleCnt="6"/>
      <dgm:spPr/>
    </dgm:pt>
    <dgm:pt modelId="{F943E9CC-E805-4C55-9776-6398AE392ED1}" type="pres">
      <dgm:prSet presAssocID="{40B76E59-D89A-48AE-BB82-B01A1DE91552}" presName="connectorText" presStyleLbl="sibTrans2D1" presStyleIdx="0" presStyleCnt="6"/>
      <dgm:spPr/>
    </dgm:pt>
    <dgm:pt modelId="{A3140457-42C4-48F5-980D-ADA0C9E7167A}" type="pres">
      <dgm:prSet presAssocID="{4AB51807-906E-4DB9-B485-DC9198B85EA9}" presName="node" presStyleLbl="node1" presStyleIdx="1" presStyleCnt="7">
        <dgm:presLayoutVars>
          <dgm:bulletEnabled val="1"/>
        </dgm:presLayoutVars>
      </dgm:prSet>
      <dgm:spPr/>
    </dgm:pt>
    <dgm:pt modelId="{A25B1619-3F4E-4C72-8E79-0099BBC116C4}" type="pres">
      <dgm:prSet presAssocID="{5E5BE0A0-B308-4A48-8DD3-AFD9E1600134}" presName="sibTrans" presStyleLbl="sibTrans2D1" presStyleIdx="1" presStyleCnt="6"/>
      <dgm:spPr/>
    </dgm:pt>
    <dgm:pt modelId="{5C18B3BF-52D3-4C7B-8596-82017C3C9A1E}" type="pres">
      <dgm:prSet presAssocID="{5E5BE0A0-B308-4A48-8DD3-AFD9E1600134}" presName="connectorText" presStyleLbl="sibTrans2D1" presStyleIdx="1" presStyleCnt="6"/>
      <dgm:spPr/>
    </dgm:pt>
    <dgm:pt modelId="{5D4F5EC3-5C5A-4215-8EC2-C3540048891E}" type="pres">
      <dgm:prSet presAssocID="{56CDA781-8AFE-4824-B1AA-891768FB7094}" presName="node" presStyleLbl="node1" presStyleIdx="2" presStyleCnt="7">
        <dgm:presLayoutVars>
          <dgm:bulletEnabled val="1"/>
        </dgm:presLayoutVars>
      </dgm:prSet>
      <dgm:spPr/>
    </dgm:pt>
    <dgm:pt modelId="{6B96E584-F43D-4319-A2E8-949F24913DC5}" type="pres">
      <dgm:prSet presAssocID="{6E870924-FA0B-44D9-9060-294452FBFF59}" presName="sibTrans" presStyleLbl="sibTrans2D1" presStyleIdx="2" presStyleCnt="6"/>
      <dgm:spPr/>
    </dgm:pt>
    <dgm:pt modelId="{FA325118-1784-442B-9D63-620164DBFE40}" type="pres">
      <dgm:prSet presAssocID="{6E870924-FA0B-44D9-9060-294452FBFF59}" presName="connectorText" presStyleLbl="sibTrans2D1" presStyleIdx="2" presStyleCnt="6"/>
      <dgm:spPr/>
    </dgm:pt>
    <dgm:pt modelId="{A30F7E46-2233-497D-8735-148E52CD1622}" type="pres">
      <dgm:prSet presAssocID="{F3C20853-9C4E-4DA8-8299-8701D2ECF726}" presName="node" presStyleLbl="node1" presStyleIdx="3" presStyleCnt="7">
        <dgm:presLayoutVars>
          <dgm:bulletEnabled val="1"/>
        </dgm:presLayoutVars>
      </dgm:prSet>
      <dgm:spPr/>
    </dgm:pt>
    <dgm:pt modelId="{9D69933F-67A3-4994-A5F5-4C5AA5DB0B15}" type="pres">
      <dgm:prSet presAssocID="{C166F774-F863-43D5-8297-4FEE0300FCAA}" presName="sibTrans" presStyleLbl="sibTrans2D1" presStyleIdx="3" presStyleCnt="6"/>
      <dgm:spPr/>
    </dgm:pt>
    <dgm:pt modelId="{A46974C3-B3BA-4346-B3E3-526BE966E20E}" type="pres">
      <dgm:prSet presAssocID="{C166F774-F863-43D5-8297-4FEE0300FCAA}" presName="connectorText" presStyleLbl="sibTrans2D1" presStyleIdx="3" presStyleCnt="6"/>
      <dgm:spPr/>
    </dgm:pt>
    <dgm:pt modelId="{2F99E92A-5CD8-4343-99DC-36173DD4BB9B}" type="pres">
      <dgm:prSet presAssocID="{B934C8E6-C543-41C9-A921-94D5A201B65D}" presName="node" presStyleLbl="node1" presStyleIdx="4" presStyleCnt="7">
        <dgm:presLayoutVars>
          <dgm:bulletEnabled val="1"/>
        </dgm:presLayoutVars>
      </dgm:prSet>
      <dgm:spPr/>
    </dgm:pt>
    <dgm:pt modelId="{E8A8308F-83E0-4ED1-A5C9-CC3424DF648F}" type="pres">
      <dgm:prSet presAssocID="{C2DCC34F-9754-438A-B42F-8A5CC4EB9440}" presName="sibTrans" presStyleLbl="sibTrans2D1" presStyleIdx="4" presStyleCnt="6"/>
      <dgm:spPr/>
    </dgm:pt>
    <dgm:pt modelId="{240886C2-886B-49EE-9971-EFEE46B4DDCD}" type="pres">
      <dgm:prSet presAssocID="{C2DCC34F-9754-438A-B42F-8A5CC4EB9440}" presName="connectorText" presStyleLbl="sibTrans2D1" presStyleIdx="4" presStyleCnt="6"/>
      <dgm:spPr/>
    </dgm:pt>
    <dgm:pt modelId="{CF5CF95F-B1C9-4F2B-AA54-A56AE855A835}" type="pres">
      <dgm:prSet presAssocID="{1F85532B-DF42-4064-9C1E-21B5399F18B5}" presName="node" presStyleLbl="node1" presStyleIdx="5" presStyleCnt="7">
        <dgm:presLayoutVars>
          <dgm:bulletEnabled val="1"/>
        </dgm:presLayoutVars>
      </dgm:prSet>
      <dgm:spPr/>
    </dgm:pt>
    <dgm:pt modelId="{C4A2C09A-54D0-4931-BA94-7AEAFEFF7CEE}" type="pres">
      <dgm:prSet presAssocID="{899B9970-5C35-4DD2-BE9E-DBC9BE854A90}" presName="sibTrans" presStyleLbl="sibTrans2D1" presStyleIdx="5" presStyleCnt="6"/>
      <dgm:spPr/>
    </dgm:pt>
    <dgm:pt modelId="{D3C4C5EC-F1F0-41EA-AF78-0D094B3C48A7}" type="pres">
      <dgm:prSet presAssocID="{899B9970-5C35-4DD2-BE9E-DBC9BE854A90}" presName="connectorText" presStyleLbl="sibTrans2D1" presStyleIdx="5" presStyleCnt="6"/>
      <dgm:spPr/>
    </dgm:pt>
    <dgm:pt modelId="{185549FD-51A6-4672-ABDF-8E016D20F4AE}" type="pres">
      <dgm:prSet presAssocID="{34D7DBA5-7DAC-4091-B4BC-E0D4E59B386B}" presName="node" presStyleLbl="node1" presStyleIdx="6" presStyleCnt="7">
        <dgm:presLayoutVars>
          <dgm:bulletEnabled val="1"/>
        </dgm:presLayoutVars>
      </dgm:prSet>
      <dgm:spPr>
        <a:prstGeom prst="roundRect">
          <a:avLst>
            <a:gd name="adj" fmla="val 10000"/>
          </a:avLst>
        </a:prstGeom>
      </dgm:spPr>
    </dgm:pt>
  </dgm:ptLst>
  <dgm:cxnLst>
    <dgm:cxn modelId="{DBE3800C-98F4-4888-8E25-7B8A9991F9AD}" type="presOf" srcId="{B934C8E6-C543-41C9-A921-94D5A201B65D}" destId="{2F99E92A-5CD8-4343-99DC-36173DD4BB9B}" srcOrd="0" destOrd="0" presId="urn:microsoft.com/office/officeart/2005/8/layout/process1"/>
    <dgm:cxn modelId="{17C9860E-285F-4F24-A2B5-9A77F27F3296}" type="presOf" srcId="{5E5BE0A0-B308-4A48-8DD3-AFD9E1600134}" destId="{A25B1619-3F4E-4C72-8E79-0099BBC116C4}" srcOrd="0" destOrd="0" presId="urn:microsoft.com/office/officeart/2005/8/layout/process1"/>
    <dgm:cxn modelId="{19435A17-780A-49E7-9393-CAD2DA0C2015}" srcId="{504607FC-612E-4A3E-BD9A-F3E70B10AD3E}" destId="{56CDA781-8AFE-4824-B1AA-891768FB7094}" srcOrd="2" destOrd="0" parTransId="{FC2F188F-6EA0-4B41-B610-D398D7A71764}" sibTransId="{6E870924-FA0B-44D9-9060-294452FBFF59}"/>
    <dgm:cxn modelId="{90D35C21-D855-458C-A8E0-E7C85F195A41}" srcId="{504607FC-612E-4A3E-BD9A-F3E70B10AD3E}" destId="{1F85532B-DF42-4064-9C1E-21B5399F18B5}" srcOrd="5" destOrd="0" parTransId="{B761FC89-96EF-4D0B-BFF1-62CB736BBCDA}" sibTransId="{899B9970-5C35-4DD2-BE9E-DBC9BE854A90}"/>
    <dgm:cxn modelId="{39B0FA28-3028-43AF-8DC1-23550CC656AF}" type="presOf" srcId="{504607FC-612E-4A3E-BD9A-F3E70B10AD3E}" destId="{BEA369B9-9B98-492F-B768-8326B6C761F5}" srcOrd="0" destOrd="0" presId="urn:microsoft.com/office/officeart/2005/8/layout/process1"/>
    <dgm:cxn modelId="{C0CD683B-2A41-4F62-9B70-E45364E6ADE2}" type="presOf" srcId="{899B9970-5C35-4DD2-BE9E-DBC9BE854A90}" destId="{D3C4C5EC-F1F0-41EA-AF78-0D094B3C48A7}" srcOrd="1" destOrd="0" presId="urn:microsoft.com/office/officeart/2005/8/layout/process1"/>
    <dgm:cxn modelId="{695BF95C-529F-4CB4-A275-3301E1344EAE}" type="presOf" srcId="{C2DCC34F-9754-438A-B42F-8A5CC4EB9440}" destId="{240886C2-886B-49EE-9971-EFEE46B4DDCD}" srcOrd="1" destOrd="0" presId="urn:microsoft.com/office/officeart/2005/8/layout/process1"/>
    <dgm:cxn modelId="{B570CB5E-8D2F-4A8A-A396-9CD19D12BFF0}" type="presOf" srcId="{56CDA781-8AFE-4824-B1AA-891768FB7094}" destId="{5D4F5EC3-5C5A-4215-8EC2-C3540048891E}" srcOrd="0" destOrd="0" presId="urn:microsoft.com/office/officeart/2005/8/layout/process1"/>
    <dgm:cxn modelId="{CAE23265-A519-438E-81F4-D332DC208600}" type="presOf" srcId="{6E870924-FA0B-44D9-9060-294452FBFF59}" destId="{6B96E584-F43D-4319-A2E8-949F24913DC5}" srcOrd="0" destOrd="0" presId="urn:microsoft.com/office/officeart/2005/8/layout/process1"/>
    <dgm:cxn modelId="{77BB5049-E8B4-460E-AAB0-F3D11BCD7437}" srcId="{504607FC-612E-4A3E-BD9A-F3E70B10AD3E}" destId="{F5990BF4-EE6D-41FE-95AD-90E95ADE7169}" srcOrd="0" destOrd="0" parTransId="{F26135D4-38D0-49CE-AF38-5C845AA50743}" sibTransId="{40B76E59-D89A-48AE-BB82-B01A1DE91552}"/>
    <dgm:cxn modelId="{85E4246B-7B4C-49D7-97EC-4BE58AFF28ED}" srcId="{504607FC-612E-4A3E-BD9A-F3E70B10AD3E}" destId="{34D7DBA5-7DAC-4091-B4BC-E0D4E59B386B}" srcOrd="6" destOrd="0" parTransId="{E7A4B7BC-6086-4391-8EFF-9463E79BAFA0}" sibTransId="{AF6CEE4C-D803-4BDC-A121-2690AA9E1BF3}"/>
    <dgm:cxn modelId="{2155FF52-37A8-4045-848F-79FAB2D1C129}" type="presOf" srcId="{6E870924-FA0B-44D9-9060-294452FBFF59}" destId="{FA325118-1784-442B-9D63-620164DBFE40}" srcOrd="1" destOrd="0" presId="urn:microsoft.com/office/officeart/2005/8/layout/process1"/>
    <dgm:cxn modelId="{F8D82554-9DFB-40BD-8CA1-054761359E9E}" type="presOf" srcId="{899B9970-5C35-4DD2-BE9E-DBC9BE854A90}" destId="{C4A2C09A-54D0-4931-BA94-7AEAFEFF7CEE}" srcOrd="0" destOrd="0" presId="urn:microsoft.com/office/officeart/2005/8/layout/process1"/>
    <dgm:cxn modelId="{4BB25154-4C2E-4D17-A4E6-5A398795C335}" type="presOf" srcId="{40B76E59-D89A-48AE-BB82-B01A1DE91552}" destId="{F8F55F77-6787-4F80-A1E2-497A4B93A15E}" srcOrd="0" destOrd="0" presId="urn:microsoft.com/office/officeart/2005/8/layout/process1"/>
    <dgm:cxn modelId="{A5012356-4B3A-4D1C-B3BC-765323C63185}" type="presOf" srcId="{5E5BE0A0-B308-4A48-8DD3-AFD9E1600134}" destId="{5C18B3BF-52D3-4C7B-8596-82017C3C9A1E}" srcOrd="1" destOrd="0" presId="urn:microsoft.com/office/officeart/2005/8/layout/process1"/>
    <dgm:cxn modelId="{81774776-A5D0-4241-8BCB-A0ED4B08EDDD}" type="presOf" srcId="{C166F774-F863-43D5-8297-4FEE0300FCAA}" destId="{A46974C3-B3BA-4346-B3E3-526BE966E20E}" srcOrd="1" destOrd="0" presId="urn:microsoft.com/office/officeart/2005/8/layout/process1"/>
    <dgm:cxn modelId="{D96CDB85-6B16-4DB9-A577-038256BF2F28}" type="presOf" srcId="{4AB51807-906E-4DB9-B485-DC9198B85EA9}" destId="{A3140457-42C4-48F5-980D-ADA0C9E7167A}" srcOrd="0" destOrd="0" presId="urn:microsoft.com/office/officeart/2005/8/layout/process1"/>
    <dgm:cxn modelId="{76E46789-2038-4DBF-B999-607C84B33EC8}" srcId="{504607FC-612E-4A3E-BD9A-F3E70B10AD3E}" destId="{4AB51807-906E-4DB9-B485-DC9198B85EA9}" srcOrd="1" destOrd="0" parTransId="{7073D296-62B9-463E-AD0B-B71AB0FA6C2D}" sibTransId="{5E5BE0A0-B308-4A48-8DD3-AFD9E1600134}"/>
    <dgm:cxn modelId="{F423A298-22FC-4F02-9053-3C8668FAF910}" type="presOf" srcId="{C2DCC34F-9754-438A-B42F-8A5CC4EB9440}" destId="{E8A8308F-83E0-4ED1-A5C9-CC3424DF648F}" srcOrd="0" destOrd="0" presId="urn:microsoft.com/office/officeart/2005/8/layout/process1"/>
    <dgm:cxn modelId="{3A3C149C-4EDF-476C-B9E5-1E33A761B5A5}" type="presOf" srcId="{F3C20853-9C4E-4DA8-8299-8701D2ECF726}" destId="{A30F7E46-2233-497D-8735-148E52CD1622}" srcOrd="0" destOrd="0" presId="urn:microsoft.com/office/officeart/2005/8/layout/process1"/>
    <dgm:cxn modelId="{AC537AA4-D697-40B5-A1A8-F9118817306A}" type="presOf" srcId="{1F85532B-DF42-4064-9C1E-21B5399F18B5}" destId="{CF5CF95F-B1C9-4F2B-AA54-A56AE855A835}" srcOrd="0" destOrd="0" presId="urn:microsoft.com/office/officeart/2005/8/layout/process1"/>
    <dgm:cxn modelId="{4605E8D3-161C-4120-BD06-78C40ED02765}" srcId="{504607FC-612E-4A3E-BD9A-F3E70B10AD3E}" destId="{B934C8E6-C543-41C9-A921-94D5A201B65D}" srcOrd="4" destOrd="0" parTransId="{A6BB3A9D-F475-4D1F-AEF4-21C0083D84BD}" sibTransId="{C2DCC34F-9754-438A-B42F-8A5CC4EB9440}"/>
    <dgm:cxn modelId="{6DDB69D6-62F5-439F-8B18-B3487810F6B4}" srcId="{504607FC-612E-4A3E-BD9A-F3E70B10AD3E}" destId="{F3C20853-9C4E-4DA8-8299-8701D2ECF726}" srcOrd="3" destOrd="0" parTransId="{24AFAFF6-DFAD-4F75-AA64-6D25F529B706}" sibTransId="{C166F774-F863-43D5-8297-4FEE0300FCAA}"/>
    <dgm:cxn modelId="{83BCF2DA-4252-4216-A1E4-B4C076FD67A8}" type="presOf" srcId="{34D7DBA5-7DAC-4091-B4BC-E0D4E59B386B}" destId="{185549FD-51A6-4672-ABDF-8E016D20F4AE}" srcOrd="0" destOrd="0" presId="urn:microsoft.com/office/officeart/2005/8/layout/process1"/>
    <dgm:cxn modelId="{276502E3-67ED-4EC7-95D9-373B32D5DC6A}" type="presOf" srcId="{40B76E59-D89A-48AE-BB82-B01A1DE91552}" destId="{F943E9CC-E805-4C55-9776-6398AE392ED1}" srcOrd="1" destOrd="0" presId="urn:microsoft.com/office/officeart/2005/8/layout/process1"/>
    <dgm:cxn modelId="{AAC301EA-E614-4CD4-8E52-E92C794AC25B}" type="presOf" srcId="{F5990BF4-EE6D-41FE-95AD-90E95ADE7169}" destId="{10768D5B-D682-4094-9A33-48F490E5ADBA}" srcOrd="0" destOrd="0" presId="urn:microsoft.com/office/officeart/2005/8/layout/process1"/>
    <dgm:cxn modelId="{2647B5F1-37E3-4A42-9481-94CF90AABBAC}" type="presOf" srcId="{C166F774-F863-43D5-8297-4FEE0300FCAA}" destId="{9D69933F-67A3-4994-A5F5-4C5AA5DB0B15}" srcOrd="0" destOrd="0" presId="urn:microsoft.com/office/officeart/2005/8/layout/process1"/>
    <dgm:cxn modelId="{3F742B85-6241-4941-9BF4-1F53AAC6099C}" type="presParOf" srcId="{BEA369B9-9B98-492F-B768-8326B6C761F5}" destId="{10768D5B-D682-4094-9A33-48F490E5ADBA}" srcOrd="0" destOrd="0" presId="urn:microsoft.com/office/officeart/2005/8/layout/process1"/>
    <dgm:cxn modelId="{B755015C-0BE7-42CB-8B61-07CE343DFF78}" type="presParOf" srcId="{BEA369B9-9B98-492F-B768-8326B6C761F5}" destId="{F8F55F77-6787-4F80-A1E2-497A4B93A15E}" srcOrd="1" destOrd="0" presId="urn:microsoft.com/office/officeart/2005/8/layout/process1"/>
    <dgm:cxn modelId="{F5366872-BD88-445A-AF7E-8ED47A864A4F}" type="presParOf" srcId="{F8F55F77-6787-4F80-A1E2-497A4B93A15E}" destId="{F943E9CC-E805-4C55-9776-6398AE392ED1}" srcOrd="0" destOrd="0" presId="urn:microsoft.com/office/officeart/2005/8/layout/process1"/>
    <dgm:cxn modelId="{F417941D-9254-413E-9FEE-3F3FC5E59E02}" type="presParOf" srcId="{BEA369B9-9B98-492F-B768-8326B6C761F5}" destId="{A3140457-42C4-48F5-980D-ADA0C9E7167A}" srcOrd="2" destOrd="0" presId="urn:microsoft.com/office/officeart/2005/8/layout/process1"/>
    <dgm:cxn modelId="{C4673F90-C3BF-431F-8C7F-E6440B505FEA}" type="presParOf" srcId="{BEA369B9-9B98-492F-B768-8326B6C761F5}" destId="{A25B1619-3F4E-4C72-8E79-0099BBC116C4}" srcOrd="3" destOrd="0" presId="urn:microsoft.com/office/officeart/2005/8/layout/process1"/>
    <dgm:cxn modelId="{48E5ED5F-60EA-42EC-8C8A-9FAA401DBE9D}" type="presParOf" srcId="{A25B1619-3F4E-4C72-8E79-0099BBC116C4}" destId="{5C18B3BF-52D3-4C7B-8596-82017C3C9A1E}" srcOrd="0" destOrd="0" presId="urn:microsoft.com/office/officeart/2005/8/layout/process1"/>
    <dgm:cxn modelId="{F0CEDB4E-E6A7-43BC-8FCB-CC214AB1350D}" type="presParOf" srcId="{BEA369B9-9B98-492F-B768-8326B6C761F5}" destId="{5D4F5EC3-5C5A-4215-8EC2-C3540048891E}" srcOrd="4" destOrd="0" presId="urn:microsoft.com/office/officeart/2005/8/layout/process1"/>
    <dgm:cxn modelId="{DBE1613C-5129-45A4-B4E3-DEEB88DA89AB}" type="presParOf" srcId="{BEA369B9-9B98-492F-B768-8326B6C761F5}" destId="{6B96E584-F43D-4319-A2E8-949F24913DC5}" srcOrd="5" destOrd="0" presId="urn:microsoft.com/office/officeart/2005/8/layout/process1"/>
    <dgm:cxn modelId="{ED07015B-CB3B-43ED-B369-E28E0947D089}" type="presParOf" srcId="{6B96E584-F43D-4319-A2E8-949F24913DC5}" destId="{FA325118-1784-442B-9D63-620164DBFE40}" srcOrd="0" destOrd="0" presId="urn:microsoft.com/office/officeart/2005/8/layout/process1"/>
    <dgm:cxn modelId="{60A57E6A-A4D2-48B8-8E8D-45C63FC12922}" type="presParOf" srcId="{BEA369B9-9B98-492F-B768-8326B6C761F5}" destId="{A30F7E46-2233-497D-8735-148E52CD1622}" srcOrd="6" destOrd="0" presId="urn:microsoft.com/office/officeart/2005/8/layout/process1"/>
    <dgm:cxn modelId="{B6A6DD7C-D9B9-4B50-9FB3-BB13CF5076F8}" type="presParOf" srcId="{BEA369B9-9B98-492F-B768-8326B6C761F5}" destId="{9D69933F-67A3-4994-A5F5-4C5AA5DB0B15}" srcOrd="7" destOrd="0" presId="urn:microsoft.com/office/officeart/2005/8/layout/process1"/>
    <dgm:cxn modelId="{F9B196CD-CA9E-4FA5-AB2E-2DF824A17B23}" type="presParOf" srcId="{9D69933F-67A3-4994-A5F5-4C5AA5DB0B15}" destId="{A46974C3-B3BA-4346-B3E3-526BE966E20E}" srcOrd="0" destOrd="0" presId="urn:microsoft.com/office/officeart/2005/8/layout/process1"/>
    <dgm:cxn modelId="{CF0F5394-ECC8-44E1-9BC5-BD09B7A167A2}" type="presParOf" srcId="{BEA369B9-9B98-492F-B768-8326B6C761F5}" destId="{2F99E92A-5CD8-4343-99DC-36173DD4BB9B}" srcOrd="8" destOrd="0" presId="urn:microsoft.com/office/officeart/2005/8/layout/process1"/>
    <dgm:cxn modelId="{26D61DC0-1A90-4A83-81D0-B0FDA344CBF9}" type="presParOf" srcId="{BEA369B9-9B98-492F-B768-8326B6C761F5}" destId="{E8A8308F-83E0-4ED1-A5C9-CC3424DF648F}" srcOrd="9" destOrd="0" presId="urn:microsoft.com/office/officeart/2005/8/layout/process1"/>
    <dgm:cxn modelId="{872DBD89-50C1-4414-B727-025250BDF8FE}" type="presParOf" srcId="{E8A8308F-83E0-4ED1-A5C9-CC3424DF648F}" destId="{240886C2-886B-49EE-9971-EFEE46B4DDCD}" srcOrd="0" destOrd="0" presId="urn:microsoft.com/office/officeart/2005/8/layout/process1"/>
    <dgm:cxn modelId="{1C4F8431-9DB1-4672-A1DE-DF560008BDF5}" type="presParOf" srcId="{BEA369B9-9B98-492F-B768-8326B6C761F5}" destId="{CF5CF95F-B1C9-4F2B-AA54-A56AE855A835}" srcOrd="10" destOrd="0" presId="urn:microsoft.com/office/officeart/2005/8/layout/process1"/>
    <dgm:cxn modelId="{5AB56CB4-DBB0-4139-A68C-7B7D42499DFC}" type="presParOf" srcId="{BEA369B9-9B98-492F-B768-8326B6C761F5}" destId="{C4A2C09A-54D0-4931-BA94-7AEAFEFF7CEE}" srcOrd="11" destOrd="0" presId="urn:microsoft.com/office/officeart/2005/8/layout/process1"/>
    <dgm:cxn modelId="{288DB5CA-A146-4F49-9A77-448952BF307F}" type="presParOf" srcId="{C4A2C09A-54D0-4931-BA94-7AEAFEFF7CEE}" destId="{D3C4C5EC-F1F0-41EA-AF78-0D094B3C48A7}" srcOrd="0" destOrd="0" presId="urn:microsoft.com/office/officeart/2005/8/layout/process1"/>
    <dgm:cxn modelId="{7B5E4D1C-A6A5-4B0F-90FC-1B6F4F4943D8}" type="presParOf" srcId="{BEA369B9-9B98-492F-B768-8326B6C761F5}" destId="{185549FD-51A6-4672-ABDF-8E016D20F4AE}" srcOrd="12"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0D36E9E-682B-43B9-A656-611BAD36E6D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28FFB0C5-5C02-4877-8DAA-911EA48B56F4}">
      <dgm:prSet/>
      <dgm:spPr>
        <a:xfrm>
          <a:off x="2898882"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privacy &amp; confidentiality of consumers information</a:t>
          </a:r>
        </a:p>
      </dgm:t>
    </dgm:pt>
    <dgm:pt modelId="{E62A77A0-D9D7-4032-939D-A4F25E2071AC}" type="parTrans" cxnId="{12E63D23-3025-47A1-8161-2E8AA3688C3B}">
      <dgm:prSet/>
      <dgm:spPr/>
      <dgm:t>
        <a:bodyPr/>
        <a:lstStyle/>
        <a:p>
          <a:endParaRPr lang="en-AU"/>
        </a:p>
      </dgm:t>
    </dgm:pt>
    <dgm:pt modelId="{9AD8BCC0-CD5C-4913-A4C2-0F6CB283AEBB}" type="sibTrans" cxnId="{12E63D23-3025-47A1-8161-2E8AA3688C3B}">
      <dgm:prSet/>
      <dgm:spPr/>
      <dgm:t>
        <a:bodyPr/>
        <a:lstStyle/>
        <a:p>
          <a:endParaRPr lang="en-AU"/>
        </a:p>
      </dgm:t>
    </dgm:pt>
    <dgm:pt modelId="{01D6FC49-45AB-4B54-81DA-28F318407875}">
      <dgm:prSet/>
      <dgm:spPr>
        <a:xfrm>
          <a:off x="449388"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promoting data-driven innovation</a:t>
          </a:r>
        </a:p>
      </dgm:t>
    </dgm:pt>
    <dgm:pt modelId="{C8DD7E29-F981-4566-AE24-03A3D395F43B}" type="parTrans" cxnId="{F33A3C4A-859A-456C-9DEC-577BA8138711}">
      <dgm:prSet/>
      <dgm:spPr/>
      <dgm:t>
        <a:bodyPr/>
        <a:lstStyle/>
        <a:p>
          <a:endParaRPr lang="en-AU"/>
        </a:p>
      </dgm:t>
    </dgm:pt>
    <dgm:pt modelId="{CC9D1448-D3E2-4D0D-B2EC-57125558EBBE}" type="sibTrans" cxnId="{F33A3C4A-859A-456C-9DEC-577BA8138711}">
      <dgm:prSet/>
      <dgm:spPr/>
      <dgm:t>
        <a:bodyPr/>
        <a:lstStyle/>
        <a:p>
          <a:endParaRPr lang="en-AU"/>
        </a:p>
      </dgm:t>
    </dgm:pt>
    <dgm:pt modelId="{43750071-FFEB-4DEC-8C27-55EE06773924}">
      <dgm:prSet/>
      <dgm:spPr>
        <a:xfrm>
          <a:off x="3511256"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the public interest</a:t>
          </a:r>
        </a:p>
      </dgm:t>
    </dgm:pt>
    <dgm:pt modelId="{03F87045-D802-4760-B914-7CAE8E4B1911}" type="parTrans" cxnId="{19612E9B-9991-4F4B-AE6F-381B489F5D3A}">
      <dgm:prSet/>
      <dgm:spPr/>
      <dgm:t>
        <a:bodyPr/>
        <a:lstStyle/>
        <a:p>
          <a:endParaRPr lang="en-AU"/>
        </a:p>
      </dgm:t>
    </dgm:pt>
    <dgm:pt modelId="{8659390A-49BF-43C1-A388-4CF6332E50E6}" type="sibTrans" cxnId="{19612E9B-9991-4F4B-AE6F-381B489F5D3A}">
      <dgm:prSet/>
      <dgm:spPr/>
      <dgm:t>
        <a:bodyPr/>
        <a:lstStyle/>
        <a:p>
          <a:endParaRPr lang="en-AU"/>
        </a:p>
      </dgm:t>
    </dgm:pt>
    <dgm:pt modelId="{29E2C944-DEAC-4367-9452-642320AB2C1B}">
      <dgm:prSet/>
      <dgm:spPr>
        <a:xfrm>
          <a:off x="1061762"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intellectual property considerations</a:t>
          </a:r>
        </a:p>
      </dgm:t>
    </dgm:pt>
    <dgm:pt modelId="{D6A81921-11D6-45BD-8318-401DD38A9297}" type="parTrans" cxnId="{02D29A02-E682-4CEF-A594-A57B3D236381}">
      <dgm:prSet/>
      <dgm:spPr/>
      <dgm:t>
        <a:bodyPr/>
        <a:lstStyle/>
        <a:p>
          <a:endParaRPr lang="en-AU"/>
        </a:p>
      </dgm:t>
    </dgm:pt>
    <dgm:pt modelId="{F1270DB6-8829-4B28-AB53-2305DF3A78F8}" type="sibTrans" cxnId="{02D29A02-E682-4CEF-A594-A57B3D236381}">
      <dgm:prSet/>
      <dgm:spPr/>
      <dgm:t>
        <a:bodyPr/>
        <a:lstStyle/>
        <a:p>
          <a:endParaRPr lang="en-AU"/>
        </a:p>
      </dgm:t>
    </dgm:pt>
    <dgm:pt modelId="{F096399B-1E3A-4207-89EB-D50F674837E7}">
      <dgm:prSet/>
      <dgm:spPr>
        <a:xfrm>
          <a:off x="2286509" y="779570"/>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interests of consumers</a:t>
          </a:r>
        </a:p>
      </dgm:t>
    </dgm:pt>
    <dgm:pt modelId="{9C2CA178-4840-4AA7-8890-EBFE764F1C22}" type="parTrans" cxnId="{DBB716D2-5604-4EF9-9F35-847AAF852F40}">
      <dgm:prSet/>
      <dgm:spPr/>
      <dgm:t>
        <a:bodyPr/>
        <a:lstStyle/>
        <a:p>
          <a:endParaRPr lang="en-AU"/>
        </a:p>
      </dgm:t>
    </dgm:pt>
    <dgm:pt modelId="{C44B3DDF-0115-4E87-AE8F-1FDAA4193677}" type="sibTrans" cxnId="{DBB716D2-5604-4EF9-9F35-847AAF852F40}">
      <dgm:prSet/>
      <dgm:spPr/>
      <dgm:t>
        <a:bodyPr/>
        <a:lstStyle/>
        <a:p>
          <a:endParaRPr lang="en-AU"/>
        </a:p>
      </dgm:t>
    </dgm:pt>
    <dgm:pt modelId="{B0BD6C37-05B9-4F30-B0F9-CEEF045CED98}">
      <dgm:prSet/>
      <dgm:spPr>
        <a:xfrm>
          <a:off x="1674135" y="185"/>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promoting competition</a:t>
          </a:r>
        </a:p>
      </dgm:t>
    </dgm:pt>
    <dgm:pt modelId="{C16D6DEF-BF37-42D9-941A-2FBE92115DBE}" type="parTrans" cxnId="{744FD6AE-2BDF-4A06-A439-57EDCE9693B2}">
      <dgm:prSet/>
      <dgm:spPr/>
      <dgm:t>
        <a:bodyPr/>
        <a:lstStyle/>
        <a:p>
          <a:endParaRPr lang="en-AU"/>
        </a:p>
      </dgm:t>
    </dgm:pt>
    <dgm:pt modelId="{D9ECE9B6-57DA-4D4D-8350-7236F7E43508}" type="sibTrans" cxnId="{744FD6AE-2BDF-4A06-A439-57EDCE9693B2}">
      <dgm:prSet/>
      <dgm:spPr/>
      <dgm:t>
        <a:bodyPr/>
        <a:lstStyle/>
        <a:p>
          <a:endParaRPr lang="en-AU"/>
        </a:p>
      </dgm:t>
    </dgm:pt>
    <dgm:pt modelId="{31FD902D-974B-4A33-BBB6-CB699B97C935}">
      <dgm:prSet/>
      <dgm:spPr>
        <a:xfrm>
          <a:off x="4123629" y="185"/>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efficiency of relevant markets</a:t>
          </a:r>
        </a:p>
      </dgm:t>
    </dgm:pt>
    <dgm:pt modelId="{92385AE6-F524-4B05-870D-3AF48B4ADBD7}" type="parTrans" cxnId="{4A0B4199-3177-400D-932E-CE7FE71E700C}">
      <dgm:prSet/>
      <dgm:spPr/>
      <dgm:t>
        <a:bodyPr/>
        <a:lstStyle/>
        <a:p>
          <a:endParaRPr lang="en-AU"/>
        </a:p>
      </dgm:t>
    </dgm:pt>
    <dgm:pt modelId="{D06798BB-62AC-4C77-B189-0D9149CD28CC}" type="sibTrans" cxnId="{4A0B4199-3177-400D-932E-CE7FE71E700C}">
      <dgm:prSet/>
      <dgm:spPr/>
      <dgm:t>
        <a:bodyPr/>
        <a:lstStyle/>
        <a:p>
          <a:endParaRPr lang="en-AU"/>
        </a:p>
      </dgm:t>
    </dgm:pt>
    <dgm:pt modelId="{5F76DCF8-B835-487F-8F5F-A89CE34766CB}">
      <dgm:prSet/>
      <dgm:spPr>
        <a:xfrm>
          <a:off x="3511256" y="779570"/>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the likely regulatory impact of designation</a:t>
          </a:r>
        </a:p>
      </dgm:t>
    </dgm:pt>
    <dgm:pt modelId="{1E42CA9D-A660-4AEE-805B-0818406943F6}" type="parTrans" cxnId="{E1181510-5926-43CF-96A5-1F2254FD04CD}">
      <dgm:prSet/>
      <dgm:spPr/>
      <dgm:t>
        <a:bodyPr/>
        <a:lstStyle/>
        <a:p>
          <a:endParaRPr lang="en-AU"/>
        </a:p>
      </dgm:t>
    </dgm:pt>
    <dgm:pt modelId="{021B3EF5-387D-4D84-B91E-030D60049D8E}" type="sibTrans" cxnId="{E1181510-5926-43CF-96A5-1F2254FD04CD}">
      <dgm:prSet/>
      <dgm:spPr/>
      <dgm:t>
        <a:bodyPr/>
        <a:lstStyle/>
        <a:p>
          <a:endParaRPr lang="en-AU"/>
        </a:p>
      </dgm:t>
    </dgm:pt>
    <dgm:pt modelId="{22E1C279-0A40-44F4-BDF3-323FFE4EB1AC}" type="pres">
      <dgm:prSet presAssocID="{A0D36E9E-682B-43B9-A656-611BAD36E6D4}" presName="diagram" presStyleCnt="0">
        <dgm:presLayoutVars>
          <dgm:dir/>
          <dgm:resizeHandles val="exact"/>
        </dgm:presLayoutVars>
      </dgm:prSet>
      <dgm:spPr/>
    </dgm:pt>
    <dgm:pt modelId="{97730FF5-E1B6-4D3A-B111-04B4B3D95522}" type="pres">
      <dgm:prSet presAssocID="{F096399B-1E3A-4207-89EB-D50F674837E7}" presName="node" presStyleLbl="node1" presStyleIdx="0" presStyleCnt="8">
        <dgm:presLayoutVars>
          <dgm:bulletEnabled val="1"/>
        </dgm:presLayoutVars>
      </dgm:prSet>
      <dgm:spPr>
        <a:prstGeom prst="rect">
          <a:avLst/>
        </a:prstGeom>
      </dgm:spPr>
    </dgm:pt>
    <dgm:pt modelId="{A88082E5-3DB4-4AFE-A0D3-F3ADB04CE3E1}" type="pres">
      <dgm:prSet presAssocID="{C44B3DDF-0115-4E87-AE8F-1FDAA4193677}" presName="sibTrans" presStyleCnt="0"/>
      <dgm:spPr/>
    </dgm:pt>
    <dgm:pt modelId="{DB637AC7-3D47-4A28-9D92-0666702743C7}" type="pres">
      <dgm:prSet presAssocID="{B0BD6C37-05B9-4F30-B0F9-CEEF045CED98}" presName="node" presStyleLbl="node1" presStyleIdx="1" presStyleCnt="8">
        <dgm:presLayoutVars>
          <dgm:bulletEnabled val="1"/>
        </dgm:presLayoutVars>
      </dgm:prSet>
      <dgm:spPr>
        <a:prstGeom prst="rect">
          <a:avLst/>
        </a:prstGeom>
      </dgm:spPr>
    </dgm:pt>
    <dgm:pt modelId="{9E116045-2CF9-4992-936E-AE5AEA69C8E3}" type="pres">
      <dgm:prSet presAssocID="{D9ECE9B6-57DA-4D4D-8350-7236F7E43508}" presName="sibTrans" presStyleCnt="0"/>
      <dgm:spPr/>
    </dgm:pt>
    <dgm:pt modelId="{13D79BFC-C62B-4ED7-9C11-D05F07E7459C}" type="pres">
      <dgm:prSet presAssocID="{31FD902D-974B-4A33-BBB6-CB699B97C935}" presName="node" presStyleLbl="node1" presStyleIdx="2" presStyleCnt="8">
        <dgm:presLayoutVars>
          <dgm:bulletEnabled val="1"/>
        </dgm:presLayoutVars>
      </dgm:prSet>
      <dgm:spPr>
        <a:prstGeom prst="rect">
          <a:avLst/>
        </a:prstGeom>
      </dgm:spPr>
    </dgm:pt>
    <dgm:pt modelId="{C9DFC3AD-4BB0-4931-9DB8-5D0FB334C40F}" type="pres">
      <dgm:prSet presAssocID="{D06798BB-62AC-4C77-B189-0D9149CD28CC}" presName="sibTrans" presStyleCnt="0"/>
      <dgm:spPr/>
    </dgm:pt>
    <dgm:pt modelId="{4F0FF1E4-5407-49EE-BD84-047E5BFC0EF2}" type="pres">
      <dgm:prSet presAssocID="{01D6FC49-45AB-4B54-81DA-28F318407875}" presName="node" presStyleLbl="node1" presStyleIdx="3" presStyleCnt="8">
        <dgm:presLayoutVars>
          <dgm:bulletEnabled val="1"/>
        </dgm:presLayoutVars>
      </dgm:prSet>
      <dgm:spPr/>
    </dgm:pt>
    <dgm:pt modelId="{B12D8D34-5DC2-40E5-B55F-0B5D0D61DF0A}" type="pres">
      <dgm:prSet presAssocID="{CC9D1448-D3E2-4D0D-B2EC-57125558EBBE}" presName="sibTrans" presStyleCnt="0"/>
      <dgm:spPr/>
    </dgm:pt>
    <dgm:pt modelId="{6E851283-28C0-4807-BE6E-F45935BA1349}" type="pres">
      <dgm:prSet presAssocID="{28FFB0C5-5C02-4877-8DAA-911EA48B56F4}" presName="node" presStyleLbl="node1" presStyleIdx="4" presStyleCnt="8" custLinFactNeighborX="260" custLinFactNeighborY="-7359">
        <dgm:presLayoutVars>
          <dgm:bulletEnabled val="1"/>
        </dgm:presLayoutVars>
      </dgm:prSet>
      <dgm:spPr/>
    </dgm:pt>
    <dgm:pt modelId="{1C1949E4-98EC-49D8-9B01-DDA660975051}" type="pres">
      <dgm:prSet presAssocID="{9AD8BCC0-CD5C-4913-A4C2-0F6CB283AEBB}" presName="sibTrans" presStyleCnt="0"/>
      <dgm:spPr/>
    </dgm:pt>
    <dgm:pt modelId="{873690E5-31CA-47D6-AC9E-76D39805FB61}" type="pres">
      <dgm:prSet presAssocID="{29E2C944-DEAC-4367-9452-642320AB2C1B}" presName="node" presStyleLbl="node1" presStyleIdx="5" presStyleCnt="8" custLinFactNeighborX="-883" custLinFactNeighborY="-7359">
        <dgm:presLayoutVars>
          <dgm:bulletEnabled val="1"/>
        </dgm:presLayoutVars>
      </dgm:prSet>
      <dgm:spPr/>
    </dgm:pt>
    <dgm:pt modelId="{C85DEAF0-9B18-4A98-A9D2-783C58425B87}" type="pres">
      <dgm:prSet presAssocID="{F1270DB6-8829-4B28-AB53-2305DF3A78F8}" presName="sibTrans" presStyleCnt="0"/>
      <dgm:spPr/>
    </dgm:pt>
    <dgm:pt modelId="{DCA433CA-8C67-4229-AA06-15FF054D7F09}" type="pres">
      <dgm:prSet presAssocID="{43750071-FFEB-4DEC-8C27-55EE06773924}" presName="node" presStyleLbl="node1" presStyleIdx="6" presStyleCnt="8" custLinFactNeighborX="-883" custLinFactNeighborY="-7331">
        <dgm:presLayoutVars>
          <dgm:bulletEnabled val="1"/>
        </dgm:presLayoutVars>
      </dgm:prSet>
      <dgm:spPr/>
    </dgm:pt>
    <dgm:pt modelId="{7B3D3FE1-461E-434E-A876-D1A8C8A47FA5}" type="pres">
      <dgm:prSet presAssocID="{8659390A-49BF-43C1-A388-4CF6332E50E6}" presName="sibTrans" presStyleCnt="0"/>
      <dgm:spPr/>
    </dgm:pt>
    <dgm:pt modelId="{6ACD7591-84F7-414E-9433-D6E8E12BCC90}" type="pres">
      <dgm:prSet presAssocID="{5F76DCF8-B835-487F-8F5F-A89CE34766CB}" presName="node" presStyleLbl="node1" presStyleIdx="7" presStyleCnt="8" custLinFactNeighborX="0" custLinFactNeighborY="-5859">
        <dgm:presLayoutVars>
          <dgm:bulletEnabled val="1"/>
        </dgm:presLayoutVars>
      </dgm:prSet>
      <dgm:spPr>
        <a:prstGeom prst="rect">
          <a:avLst/>
        </a:prstGeom>
      </dgm:spPr>
    </dgm:pt>
  </dgm:ptLst>
  <dgm:cxnLst>
    <dgm:cxn modelId="{02D29A02-E682-4CEF-A594-A57B3D236381}" srcId="{A0D36E9E-682B-43B9-A656-611BAD36E6D4}" destId="{29E2C944-DEAC-4367-9452-642320AB2C1B}" srcOrd="5" destOrd="0" parTransId="{D6A81921-11D6-45BD-8318-401DD38A9297}" sibTransId="{F1270DB6-8829-4B28-AB53-2305DF3A78F8}"/>
    <dgm:cxn modelId="{E1181510-5926-43CF-96A5-1F2254FD04CD}" srcId="{A0D36E9E-682B-43B9-A656-611BAD36E6D4}" destId="{5F76DCF8-B835-487F-8F5F-A89CE34766CB}" srcOrd="7" destOrd="0" parTransId="{1E42CA9D-A660-4AEE-805B-0818406943F6}" sibTransId="{021B3EF5-387D-4D84-B91E-030D60049D8E}"/>
    <dgm:cxn modelId="{12E63D23-3025-47A1-8161-2E8AA3688C3B}" srcId="{A0D36E9E-682B-43B9-A656-611BAD36E6D4}" destId="{28FFB0C5-5C02-4877-8DAA-911EA48B56F4}" srcOrd="4" destOrd="0" parTransId="{E62A77A0-D9D7-4032-939D-A4F25E2071AC}" sibTransId="{9AD8BCC0-CD5C-4913-A4C2-0F6CB283AEBB}"/>
    <dgm:cxn modelId="{C48F8860-0554-42F3-AC84-0E21F4FADD8F}" type="presOf" srcId="{28FFB0C5-5C02-4877-8DAA-911EA48B56F4}" destId="{6E851283-28C0-4807-BE6E-F45935BA1349}" srcOrd="0" destOrd="0" presId="urn:microsoft.com/office/officeart/2005/8/layout/default"/>
    <dgm:cxn modelId="{F33A3C4A-859A-456C-9DEC-577BA8138711}" srcId="{A0D36E9E-682B-43B9-A656-611BAD36E6D4}" destId="{01D6FC49-45AB-4B54-81DA-28F318407875}" srcOrd="3" destOrd="0" parTransId="{C8DD7E29-F981-4566-AE24-03A3D395F43B}" sibTransId="{CC9D1448-D3E2-4D0D-B2EC-57125558EBBE}"/>
    <dgm:cxn modelId="{F4E9EF72-90E1-4BC2-BB9F-569F2F41FAC0}" type="presOf" srcId="{5F76DCF8-B835-487F-8F5F-A89CE34766CB}" destId="{6ACD7591-84F7-414E-9433-D6E8E12BCC90}" srcOrd="0" destOrd="0" presId="urn:microsoft.com/office/officeart/2005/8/layout/default"/>
    <dgm:cxn modelId="{CD6F3956-8279-470C-827E-C29734A625A9}" type="presOf" srcId="{31FD902D-974B-4A33-BBB6-CB699B97C935}" destId="{13D79BFC-C62B-4ED7-9C11-D05F07E7459C}" srcOrd="0" destOrd="0" presId="urn:microsoft.com/office/officeart/2005/8/layout/default"/>
    <dgm:cxn modelId="{84C17376-C0E7-42C3-983F-BF4A966617CA}" type="presOf" srcId="{01D6FC49-45AB-4B54-81DA-28F318407875}" destId="{4F0FF1E4-5407-49EE-BD84-047E5BFC0EF2}" srcOrd="0" destOrd="0" presId="urn:microsoft.com/office/officeart/2005/8/layout/default"/>
    <dgm:cxn modelId="{3478EF88-CEA8-4DA0-8693-22D0D3F72B92}" type="presOf" srcId="{F096399B-1E3A-4207-89EB-D50F674837E7}" destId="{97730FF5-E1B6-4D3A-B111-04B4B3D95522}" srcOrd="0" destOrd="0" presId="urn:microsoft.com/office/officeart/2005/8/layout/default"/>
    <dgm:cxn modelId="{2D5CDD90-4230-486D-9E1F-F1FF1C07EB77}" type="presOf" srcId="{B0BD6C37-05B9-4F30-B0F9-CEEF045CED98}" destId="{DB637AC7-3D47-4A28-9D92-0666702743C7}" srcOrd="0" destOrd="0" presId="urn:microsoft.com/office/officeart/2005/8/layout/default"/>
    <dgm:cxn modelId="{4A0B4199-3177-400D-932E-CE7FE71E700C}" srcId="{A0D36E9E-682B-43B9-A656-611BAD36E6D4}" destId="{31FD902D-974B-4A33-BBB6-CB699B97C935}" srcOrd="2" destOrd="0" parTransId="{92385AE6-F524-4B05-870D-3AF48B4ADBD7}" sibTransId="{D06798BB-62AC-4C77-B189-0D9149CD28CC}"/>
    <dgm:cxn modelId="{19612E9B-9991-4F4B-AE6F-381B489F5D3A}" srcId="{A0D36E9E-682B-43B9-A656-611BAD36E6D4}" destId="{43750071-FFEB-4DEC-8C27-55EE06773924}" srcOrd="6" destOrd="0" parTransId="{03F87045-D802-4760-B914-7CAE8E4B1911}" sibTransId="{8659390A-49BF-43C1-A388-4CF6332E50E6}"/>
    <dgm:cxn modelId="{8E09AEAD-E9D9-4032-8C0F-0B859171E11F}" type="presOf" srcId="{29E2C944-DEAC-4367-9452-642320AB2C1B}" destId="{873690E5-31CA-47D6-AC9E-76D39805FB61}" srcOrd="0" destOrd="0" presId="urn:microsoft.com/office/officeart/2005/8/layout/default"/>
    <dgm:cxn modelId="{744FD6AE-2BDF-4A06-A439-57EDCE9693B2}" srcId="{A0D36E9E-682B-43B9-A656-611BAD36E6D4}" destId="{B0BD6C37-05B9-4F30-B0F9-CEEF045CED98}" srcOrd="1" destOrd="0" parTransId="{C16D6DEF-BF37-42D9-941A-2FBE92115DBE}" sibTransId="{D9ECE9B6-57DA-4D4D-8350-7236F7E43508}"/>
    <dgm:cxn modelId="{DBB716D2-5604-4EF9-9F35-847AAF852F40}" srcId="{A0D36E9E-682B-43B9-A656-611BAD36E6D4}" destId="{F096399B-1E3A-4207-89EB-D50F674837E7}" srcOrd="0" destOrd="0" parTransId="{9C2CA178-4840-4AA7-8890-EBFE764F1C22}" sibTransId="{C44B3DDF-0115-4E87-AE8F-1FDAA4193677}"/>
    <dgm:cxn modelId="{E2954BE4-814B-4383-885D-F1F8E9F73948}" type="presOf" srcId="{A0D36E9E-682B-43B9-A656-611BAD36E6D4}" destId="{22E1C279-0A40-44F4-BDF3-323FFE4EB1AC}" srcOrd="0" destOrd="0" presId="urn:microsoft.com/office/officeart/2005/8/layout/default"/>
    <dgm:cxn modelId="{221E26E5-5968-45BC-AB1D-210C75549B55}" type="presOf" srcId="{43750071-FFEB-4DEC-8C27-55EE06773924}" destId="{DCA433CA-8C67-4229-AA06-15FF054D7F09}" srcOrd="0" destOrd="0" presId="urn:microsoft.com/office/officeart/2005/8/layout/default"/>
    <dgm:cxn modelId="{CF8C71C2-BB2C-4825-A6F5-0BF24DF317DF}" type="presParOf" srcId="{22E1C279-0A40-44F4-BDF3-323FFE4EB1AC}" destId="{97730FF5-E1B6-4D3A-B111-04B4B3D95522}" srcOrd="0" destOrd="0" presId="urn:microsoft.com/office/officeart/2005/8/layout/default"/>
    <dgm:cxn modelId="{3A03A6A0-3CA7-4D71-8610-6B238E29793B}" type="presParOf" srcId="{22E1C279-0A40-44F4-BDF3-323FFE4EB1AC}" destId="{A88082E5-3DB4-4AFE-A0D3-F3ADB04CE3E1}" srcOrd="1" destOrd="0" presId="urn:microsoft.com/office/officeart/2005/8/layout/default"/>
    <dgm:cxn modelId="{67E415D8-B367-4402-B588-8108AF802913}" type="presParOf" srcId="{22E1C279-0A40-44F4-BDF3-323FFE4EB1AC}" destId="{DB637AC7-3D47-4A28-9D92-0666702743C7}" srcOrd="2" destOrd="0" presId="urn:microsoft.com/office/officeart/2005/8/layout/default"/>
    <dgm:cxn modelId="{0F88A9AE-FF85-49CD-BE4D-6EF64E8F8089}" type="presParOf" srcId="{22E1C279-0A40-44F4-BDF3-323FFE4EB1AC}" destId="{9E116045-2CF9-4992-936E-AE5AEA69C8E3}" srcOrd="3" destOrd="0" presId="urn:microsoft.com/office/officeart/2005/8/layout/default"/>
    <dgm:cxn modelId="{C98589EF-F7C2-4AA6-A35A-E255C713B5D0}" type="presParOf" srcId="{22E1C279-0A40-44F4-BDF3-323FFE4EB1AC}" destId="{13D79BFC-C62B-4ED7-9C11-D05F07E7459C}" srcOrd="4" destOrd="0" presId="urn:microsoft.com/office/officeart/2005/8/layout/default"/>
    <dgm:cxn modelId="{E7E14D85-B62E-468D-B5B0-3A7CB16D284E}" type="presParOf" srcId="{22E1C279-0A40-44F4-BDF3-323FFE4EB1AC}" destId="{C9DFC3AD-4BB0-4931-9DB8-5D0FB334C40F}" srcOrd="5" destOrd="0" presId="urn:microsoft.com/office/officeart/2005/8/layout/default"/>
    <dgm:cxn modelId="{C3D2F071-D432-4323-950D-E7E3DC514250}" type="presParOf" srcId="{22E1C279-0A40-44F4-BDF3-323FFE4EB1AC}" destId="{4F0FF1E4-5407-49EE-BD84-047E5BFC0EF2}" srcOrd="6" destOrd="0" presId="urn:microsoft.com/office/officeart/2005/8/layout/default"/>
    <dgm:cxn modelId="{C5605A9D-898C-4B4F-8702-F0EF46238B63}" type="presParOf" srcId="{22E1C279-0A40-44F4-BDF3-323FFE4EB1AC}" destId="{B12D8D34-5DC2-40E5-B55F-0B5D0D61DF0A}" srcOrd="7" destOrd="0" presId="urn:microsoft.com/office/officeart/2005/8/layout/default"/>
    <dgm:cxn modelId="{A22EB739-7E24-4BD6-85AF-C4A2FA9D1E90}" type="presParOf" srcId="{22E1C279-0A40-44F4-BDF3-323FFE4EB1AC}" destId="{6E851283-28C0-4807-BE6E-F45935BA1349}" srcOrd="8" destOrd="0" presId="urn:microsoft.com/office/officeart/2005/8/layout/default"/>
    <dgm:cxn modelId="{8A8D948F-68DB-481C-B17D-92F778DB34E5}" type="presParOf" srcId="{22E1C279-0A40-44F4-BDF3-323FFE4EB1AC}" destId="{1C1949E4-98EC-49D8-9B01-DDA660975051}" srcOrd="9" destOrd="0" presId="urn:microsoft.com/office/officeart/2005/8/layout/default"/>
    <dgm:cxn modelId="{1F2C6037-E246-4EDC-B753-7166B22F0224}" type="presParOf" srcId="{22E1C279-0A40-44F4-BDF3-323FFE4EB1AC}" destId="{873690E5-31CA-47D6-AC9E-76D39805FB61}" srcOrd="10" destOrd="0" presId="urn:microsoft.com/office/officeart/2005/8/layout/default"/>
    <dgm:cxn modelId="{6D69C48B-6703-4EFA-9922-DE89449F0B46}" type="presParOf" srcId="{22E1C279-0A40-44F4-BDF3-323FFE4EB1AC}" destId="{C85DEAF0-9B18-4A98-A9D2-783C58425B87}" srcOrd="11" destOrd="0" presId="urn:microsoft.com/office/officeart/2005/8/layout/default"/>
    <dgm:cxn modelId="{3BC78C46-74F6-49B3-A4AA-660D4A113B79}" type="presParOf" srcId="{22E1C279-0A40-44F4-BDF3-323FFE4EB1AC}" destId="{DCA433CA-8C67-4229-AA06-15FF054D7F09}" srcOrd="12" destOrd="0" presId="urn:microsoft.com/office/officeart/2005/8/layout/default"/>
    <dgm:cxn modelId="{D0987BD2-AE72-420F-A100-E3E5C285ED48}" type="presParOf" srcId="{22E1C279-0A40-44F4-BDF3-323FFE4EB1AC}" destId="{7B3D3FE1-461E-434E-A876-D1A8C8A47FA5}" srcOrd="13" destOrd="0" presId="urn:microsoft.com/office/officeart/2005/8/layout/default"/>
    <dgm:cxn modelId="{58FABD9C-3A14-40A5-A414-39B8BD6C2EC3}" type="presParOf" srcId="{22E1C279-0A40-44F4-BDF3-323FFE4EB1AC}" destId="{6ACD7591-84F7-414E-9433-D6E8E12BCC90}" srcOrd="14" destOrd="0" presId="urn:microsoft.com/office/officeart/2005/8/layout/defaul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68D5B-D682-4094-9A33-48F490E5ADBA}">
      <dsp:nvSpPr>
        <dsp:cNvPr id="0" name=""/>
        <dsp:cNvSpPr/>
      </dsp:nvSpPr>
      <dsp:spPr>
        <a:xfrm>
          <a:off x="1609" y="118992"/>
          <a:ext cx="609392" cy="539169"/>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Sectoral Assessment </a:t>
          </a:r>
        </a:p>
      </dsp:txBody>
      <dsp:txXfrm>
        <a:off x="17401" y="134784"/>
        <a:ext cx="577808" cy="507585"/>
      </dsp:txXfrm>
    </dsp:sp>
    <dsp:sp modelId="{F8F55F77-6787-4F80-A1E2-497A4B93A15E}">
      <dsp:nvSpPr>
        <dsp:cNvPr id="0" name=""/>
        <dsp:cNvSpPr/>
      </dsp:nvSpPr>
      <dsp:spPr>
        <a:xfrm>
          <a:off x="671941" y="313012"/>
          <a:ext cx="129191" cy="151129"/>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671941" y="343238"/>
        <a:ext cx="90434" cy="90677"/>
      </dsp:txXfrm>
    </dsp:sp>
    <dsp:sp modelId="{A3140457-42C4-48F5-980D-ADA0C9E7167A}">
      <dsp:nvSpPr>
        <dsp:cNvPr id="0" name=""/>
        <dsp:cNvSpPr/>
      </dsp:nvSpPr>
      <dsp:spPr>
        <a:xfrm>
          <a:off x="854759" y="118992"/>
          <a:ext cx="609392" cy="539169"/>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Designation</a:t>
          </a:r>
        </a:p>
      </dsp:txBody>
      <dsp:txXfrm>
        <a:off x="870551" y="134784"/>
        <a:ext cx="577808" cy="507585"/>
      </dsp:txXfrm>
    </dsp:sp>
    <dsp:sp modelId="{A25B1619-3F4E-4C72-8E79-0099BBC116C4}">
      <dsp:nvSpPr>
        <dsp:cNvPr id="0" name=""/>
        <dsp:cNvSpPr/>
      </dsp:nvSpPr>
      <dsp:spPr>
        <a:xfrm>
          <a:off x="1525091" y="313012"/>
          <a:ext cx="129191" cy="151129"/>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1525091" y="343238"/>
        <a:ext cx="90434" cy="90677"/>
      </dsp:txXfrm>
    </dsp:sp>
    <dsp:sp modelId="{5D4F5EC3-5C5A-4215-8EC2-C3540048891E}">
      <dsp:nvSpPr>
        <dsp:cNvPr id="0" name=""/>
        <dsp:cNvSpPr/>
      </dsp:nvSpPr>
      <dsp:spPr>
        <a:xfrm>
          <a:off x="1707908" y="118992"/>
          <a:ext cx="609392" cy="539169"/>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Rules and Standards</a:t>
          </a:r>
        </a:p>
      </dsp:txBody>
      <dsp:txXfrm>
        <a:off x="1723700" y="134784"/>
        <a:ext cx="577808" cy="507585"/>
      </dsp:txXfrm>
    </dsp:sp>
    <dsp:sp modelId="{6B96E584-F43D-4319-A2E8-949F24913DC5}">
      <dsp:nvSpPr>
        <dsp:cNvPr id="0" name=""/>
        <dsp:cNvSpPr/>
      </dsp:nvSpPr>
      <dsp:spPr>
        <a:xfrm>
          <a:off x="2378240" y="313012"/>
          <a:ext cx="129191" cy="151129"/>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2378240" y="343238"/>
        <a:ext cx="90434" cy="90677"/>
      </dsp:txXfrm>
    </dsp:sp>
    <dsp:sp modelId="{A30F7E46-2233-497D-8735-148E52CD1622}">
      <dsp:nvSpPr>
        <dsp:cNvPr id="0" name=""/>
        <dsp:cNvSpPr/>
      </dsp:nvSpPr>
      <dsp:spPr>
        <a:xfrm>
          <a:off x="2561058" y="118992"/>
          <a:ext cx="609392" cy="539169"/>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Agency Build and Test</a:t>
          </a:r>
        </a:p>
      </dsp:txBody>
      <dsp:txXfrm>
        <a:off x="2576850" y="134784"/>
        <a:ext cx="577808" cy="507585"/>
      </dsp:txXfrm>
    </dsp:sp>
    <dsp:sp modelId="{9D69933F-67A3-4994-A5F5-4C5AA5DB0B15}">
      <dsp:nvSpPr>
        <dsp:cNvPr id="0" name=""/>
        <dsp:cNvSpPr/>
      </dsp:nvSpPr>
      <dsp:spPr>
        <a:xfrm>
          <a:off x="3231390" y="313012"/>
          <a:ext cx="129191" cy="151129"/>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3231390" y="343238"/>
        <a:ext cx="90434" cy="90677"/>
      </dsp:txXfrm>
    </dsp:sp>
    <dsp:sp modelId="{2F99E92A-5CD8-4343-99DC-36173DD4BB9B}">
      <dsp:nvSpPr>
        <dsp:cNvPr id="0" name=""/>
        <dsp:cNvSpPr/>
      </dsp:nvSpPr>
      <dsp:spPr>
        <a:xfrm>
          <a:off x="3414208" y="118992"/>
          <a:ext cx="609392" cy="539169"/>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Industry Build and Test</a:t>
          </a:r>
        </a:p>
      </dsp:txBody>
      <dsp:txXfrm>
        <a:off x="3430000" y="134784"/>
        <a:ext cx="577808" cy="507585"/>
      </dsp:txXfrm>
    </dsp:sp>
    <dsp:sp modelId="{E8A8308F-83E0-4ED1-A5C9-CC3424DF648F}">
      <dsp:nvSpPr>
        <dsp:cNvPr id="0" name=""/>
        <dsp:cNvSpPr/>
      </dsp:nvSpPr>
      <dsp:spPr>
        <a:xfrm>
          <a:off x="4084540" y="313012"/>
          <a:ext cx="129191" cy="151129"/>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4084540" y="343238"/>
        <a:ext cx="90434" cy="90677"/>
      </dsp:txXfrm>
    </dsp:sp>
    <dsp:sp modelId="{CF5CF95F-B1C9-4F2B-AA54-A56AE855A835}">
      <dsp:nvSpPr>
        <dsp:cNvPr id="0" name=""/>
        <dsp:cNvSpPr/>
      </dsp:nvSpPr>
      <dsp:spPr>
        <a:xfrm>
          <a:off x="4267358" y="118992"/>
          <a:ext cx="609392" cy="539169"/>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Rollout</a:t>
          </a:r>
        </a:p>
      </dsp:txBody>
      <dsp:txXfrm>
        <a:off x="4283150" y="134784"/>
        <a:ext cx="577808" cy="507585"/>
      </dsp:txXfrm>
    </dsp:sp>
    <dsp:sp modelId="{C4A2C09A-54D0-4931-BA94-7AEAFEFF7CEE}">
      <dsp:nvSpPr>
        <dsp:cNvPr id="0" name=""/>
        <dsp:cNvSpPr/>
      </dsp:nvSpPr>
      <dsp:spPr>
        <a:xfrm>
          <a:off x="4937690" y="313012"/>
          <a:ext cx="129191" cy="1511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4937690" y="343238"/>
        <a:ext cx="90434" cy="90677"/>
      </dsp:txXfrm>
    </dsp:sp>
    <dsp:sp modelId="{185549FD-51A6-4672-ABDF-8E016D20F4AE}">
      <dsp:nvSpPr>
        <dsp:cNvPr id="0" name=""/>
        <dsp:cNvSpPr/>
      </dsp:nvSpPr>
      <dsp:spPr>
        <a:xfrm>
          <a:off x="5120508" y="118992"/>
          <a:ext cx="609392" cy="539169"/>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CDR-enabled Products and Services</a:t>
          </a:r>
        </a:p>
      </dsp:txBody>
      <dsp:txXfrm>
        <a:off x="5136300" y="134784"/>
        <a:ext cx="577808" cy="5075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30FF5-E1B6-4D3A-B111-04B4B3D95522}">
      <dsp:nvSpPr>
        <dsp:cNvPr id="0" name=""/>
        <dsp:cNvSpPr/>
      </dsp:nvSpPr>
      <dsp:spPr>
        <a:xfrm>
          <a:off x="279752" y="496"/>
          <a:ext cx="937082" cy="5622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interests of consumers</a:t>
          </a:r>
        </a:p>
      </dsp:txBody>
      <dsp:txXfrm>
        <a:off x="279752" y="496"/>
        <a:ext cx="937082" cy="562249"/>
      </dsp:txXfrm>
    </dsp:sp>
    <dsp:sp modelId="{DB637AC7-3D47-4A28-9D92-0666702743C7}">
      <dsp:nvSpPr>
        <dsp:cNvPr id="0" name=""/>
        <dsp:cNvSpPr/>
      </dsp:nvSpPr>
      <dsp:spPr>
        <a:xfrm>
          <a:off x="1310543" y="496"/>
          <a:ext cx="937082" cy="5622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promoting competition</a:t>
          </a:r>
        </a:p>
      </dsp:txBody>
      <dsp:txXfrm>
        <a:off x="1310543" y="496"/>
        <a:ext cx="937082" cy="562249"/>
      </dsp:txXfrm>
    </dsp:sp>
    <dsp:sp modelId="{13D79BFC-C62B-4ED7-9C11-D05F07E7459C}">
      <dsp:nvSpPr>
        <dsp:cNvPr id="0" name=""/>
        <dsp:cNvSpPr/>
      </dsp:nvSpPr>
      <dsp:spPr>
        <a:xfrm>
          <a:off x="2341333" y="496"/>
          <a:ext cx="937082" cy="5622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efficiency of relevant markets</a:t>
          </a:r>
        </a:p>
      </dsp:txBody>
      <dsp:txXfrm>
        <a:off x="2341333" y="496"/>
        <a:ext cx="937082" cy="562249"/>
      </dsp:txXfrm>
    </dsp:sp>
    <dsp:sp modelId="{4F0FF1E4-5407-49EE-BD84-047E5BFC0EF2}">
      <dsp:nvSpPr>
        <dsp:cNvPr id="0" name=""/>
        <dsp:cNvSpPr/>
      </dsp:nvSpPr>
      <dsp:spPr>
        <a:xfrm>
          <a:off x="3372124" y="496"/>
          <a:ext cx="937082" cy="5622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promoting data-driven innovation</a:t>
          </a:r>
        </a:p>
      </dsp:txBody>
      <dsp:txXfrm>
        <a:off x="3372124" y="496"/>
        <a:ext cx="937082" cy="562249"/>
      </dsp:txXfrm>
    </dsp:sp>
    <dsp:sp modelId="{6E851283-28C0-4807-BE6E-F45935BA1349}">
      <dsp:nvSpPr>
        <dsp:cNvPr id="0" name=""/>
        <dsp:cNvSpPr/>
      </dsp:nvSpPr>
      <dsp:spPr>
        <a:xfrm>
          <a:off x="4405351" y="0"/>
          <a:ext cx="937082" cy="5622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privacy &amp; confidentiality of consumers information</a:t>
          </a:r>
        </a:p>
      </dsp:txBody>
      <dsp:txXfrm>
        <a:off x="4405351" y="0"/>
        <a:ext cx="937082" cy="562249"/>
      </dsp:txXfrm>
    </dsp:sp>
    <dsp:sp modelId="{873690E5-31CA-47D6-AC9E-76D39805FB61}">
      <dsp:nvSpPr>
        <dsp:cNvPr id="0" name=""/>
        <dsp:cNvSpPr/>
      </dsp:nvSpPr>
      <dsp:spPr>
        <a:xfrm>
          <a:off x="1302268" y="615078"/>
          <a:ext cx="937082" cy="5622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intellectual property considerations</a:t>
          </a:r>
        </a:p>
      </dsp:txBody>
      <dsp:txXfrm>
        <a:off x="1302268" y="615078"/>
        <a:ext cx="937082" cy="562249"/>
      </dsp:txXfrm>
    </dsp:sp>
    <dsp:sp modelId="{DCA433CA-8C67-4229-AA06-15FF054D7F09}">
      <dsp:nvSpPr>
        <dsp:cNvPr id="0" name=""/>
        <dsp:cNvSpPr/>
      </dsp:nvSpPr>
      <dsp:spPr>
        <a:xfrm>
          <a:off x="2333059" y="615235"/>
          <a:ext cx="937082" cy="5622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the public interest</a:t>
          </a:r>
        </a:p>
      </dsp:txBody>
      <dsp:txXfrm>
        <a:off x="2333059" y="615235"/>
        <a:ext cx="937082" cy="562249"/>
      </dsp:txXfrm>
    </dsp:sp>
    <dsp:sp modelId="{6ACD7591-84F7-414E-9433-D6E8E12BCC90}">
      <dsp:nvSpPr>
        <dsp:cNvPr id="0" name=""/>
        <dsp:cNvSpPr/>
      </dsp:nvSpPr>
      <dsp:spPr>
        <a:xfrm>
          <a:off x="3372124" y="623511"/>
          <a:ext cx="937082" cy="5622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the likely regulatory impact of designation</a:t>
          </a:r>
        </a:p>
      </dsp:txBody>
      <dsp:txXfrm>
        <a:off x="3372124" y="623511"/>
        <a:ext cx="937082" cy="5622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49805" ma:contentTypeDescription="" ma:contentTypeScope="" ma:versionID="61591ddb9dbca5a0e0d25bd6bb1c9eed">
  <xsd:schema xmlns:xsd="http://www.w3.org/2001/XMLSchema" xmlns:xs="http://www.w3.org/2001/XMLSchema" xmlns:p="http://schemas.microsoft.com/office/2006/metadata/properties" xmlns:ns1="http://schemas.microsoft.com/sharepoint/v3" xmlns:ns2="0f563589-9cf9-4143-b1eb-fb0534803d38" xmlns:ns3="d4dd4adf-ddb3-46a3-8d7c-fab3fb2a6bc7" xmlns:ns4="http://schemas.microsoft.com/sharepoint/v4" targetNamespace="http://schemas.microsoft.com/office/2006/metadata/properties" ma:root="true" ma:fieldsID="29f171c4881bc829b0501d7ea54a82ac" ns1:_="" ns2:_="" ns3:_="" ns4: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4:IconOverlay" minOccurs="0"/>
                <xsd:element ref="ns1:_dlc_Exempt" minOccurs="0"/>
                <xsd:element ref="ns2:TaxKeywordTaxHTField"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9"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2022MG-133-94288</_dlc_DocId>
    <_dlc_DocIdUrl xmlns="0f563589-9cf9-4143-b1eb-fb0534803d38">
      <Url>http://tweb/sites/mg/sbccpd/_layouts/15/DocIdRedir.aspx?ID=2022MG-133-94288</Url>
      <Description>2022MG-133-94288</Description>
    </_dlc_DocIdUrl>
  </documentManagement>
</p:properties>
</file>

<file path=customXml/itemProps1.xml><?xml version="1.0" encoding="utf-8"?>
<ds:datastoreItem xmlns:ds="http://schemas.openxmlformats.org/officeDocument/2006/customXml" ds:itemID="{5E5773DA-42C2-4F50-8B98-8E378F32036C}">
  <ds:schemaRefs>
    <ds:schemaRef ds:uri="http://schemas.microsoft.com/sharepoint/v3/contenttype/forms"/>
  </ds:schemaRefs>
</ds:datastoreItem>
</file>

<file path=customXml/itemProps2.xml><?xml version="1.0" encoding="utf-8"?>
<ds:datastoreItem xmlns:ds="http://schemas.openxmlformats.org/officeDocument/2006/customXml" ds:itemID="{9375EADA-0100-4327-A542-014A6BF0C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D6BBD-8765-4AEE-B969-13937BA95BAF}">
  <ds:schemaRefs>
    <ds:schemaRef ds:uri="http://schemas.microsoft.com/sharepoint/events"/>
  </ds:schemaRefs>
</ds:datastoreItem>
</file>

<file path=customXml/itemProps4.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5.xml><?xml version="1.0" encoding="utf-8"?>
<ds:datastoreItem xmlns:ds="http://schemas.openxmlformats.org/officeDocument/2006/customXml" ds:itemID="{23DCE111-1176-42D0-B014-230334E99D43}">
  <ds:schemaRefs>
    <ds:schemaRef ds:uri="office.server.policy"/>
  </ds:schemaRefs>
</ds:datastoreItem>
</file>

<file path=customXml/itemProps6.xml><?xml version="1.0" encoding="utf-8"?>
<ds:datastoreItem xmlns:ds="http://schemas.openxmlformats.org/officeDocument/2006/customXml" ds:itemID="{A29CA77F-ACB5-4EC0-AE6B-B7B9F2F033D5}">
  <ds:schemaRefs>
    <ds:schemaRef ds:uri="http://schemas.microsoft.com/office/2006/metadata/properties"/>
    <ds:schemaRef ds:uri="http://schemas.microsoft.com/office/infopath/2007/PartnerControls"/>
    <ds:schemaRef ds:uri="d4dd4adf-ddb3-46a3-8d7c-fab3fb2a6bc7"/>
    <ds:schemaRef ds:uri="http://schemas.microsoft.com/sharepoint/v4"/>
    <ds:schemaRef ds:uri="0f563589-9cf9-4143-b1eb-fb0534803d38"/>
  </ds:schemaRefs>
</ds:datastoreItem>
</file>

<file path=docProps/app.xml><?xml version="1.0" encoding="utf-8"?>
<Properties xmlns="http://schemas.openxmlformats.org/officeDocument/2006/extended-properties" xmlns:vt="http://schemas.openxmlformats.org/officeDocument/2006/docPropsVTypes">
  <Template>TSY A4 Report.dotm</Template>
  <TotalTime>32</TotalTime>
  <Pages>96</Pages>
  <Words>35393</Words>
  <Characters>199621</Characters>
  <Application>Microsoft Office Word</Application>
  <DocSecurity>0</DocSecurity>
  <Lines>3219</Lines>
  <Paragraphs>1049</Paragraphs>
  <ScaleCrop>false</ScaleCrop>
  <HeadingPairs>
    <vt:vector size="2" baseType="variant">
      <vt:variant>
        <vt:lpstr>Title</vt:lpstr>
      </vt:variant>
      <vt:variant>
        <vt:i4>1</vt:i4>
      </vt:variant>
    </vt:vector>
  </HeadingPairs>
  <TitlesOfParts>
    <vt:vector size="1" baseType="lpstr">
      <vt:lpstr>Statutory Review of the Consumer Data Right - Report</vt:lpstr>
    </vt:vector>
  </TitlesOfParts>
  <Company>Australian Government - The Treasury</Company>
  <LinksUpToDate>false</LinksUpToDate>
  <CharactersWithSpaces>233965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Statutory Review of the Consumer Data Right - Report</dc:title>
  <dc:creator>Australian Government</dc:creator>
  <cp:lastModifiedBy>Smith, Matthew</cp:lastModifiedBy>
  <cp:revision>10</cp:revision>
  <cp:lastPrinted>2022-07-11T06:56:00Z</cp:lastPrinted>
  <dcterms:created xsi:type="dcterms:W3CDTF">2022-08-10T23:25:00Z</dcterms:created>
  <dcterms:modified xsi:type="dcterms:W3CDTF">2022-09-21T05:04:00Z</dcterms:modified>
</cp:coreProperties>
</file>