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B4A1" w14:textId="54AA362A" w:rsidR="00807684" w:rsidRDefault="00807684" w:rsidP="006469CC">
      <w:pPr>
        <w:pStyle w:val="ListParagraph"/>
      </w:pPr>
      <w:r>
        <w:t xml:space="preserve"> </w:t>
      </w:r>
    </w:p>
    <w:sdt>
      <w:sdtPr>
        <w:id w:val="-1442289537"/>
        <w:docPartObj>
          <w:docPartGallery w:val="Cover Pages"/>
          <w:docPartUnique/>
        </w:docPartObj>
      </w:sdtPr>
      <w:sdtEndPr/>
      <w:sdtContent>
        <w:p w14:paraId="14182448"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49D8EFB4" wp14:editId="27B59377">
                <wp:simplePos x="0" y="0"/>
                <wp:positionH relativeFrom="margin">
                  <wp:posOffset>-905510</wp:posOffset>
                </wp:positionH>
                <wp:positionV relativeFrom="page">
                  <wp:posOffset>-28413</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34A8C8" w14:textId="77777777" w:rsidR="00A97160" w:rsidRPr="006D0240" w:rsidRDefault="00A97160" w:rsidP="00301755">
          <w:pPr>
            <w:pStyle w:val="Header"/>
            <w:spacing w:after="1200"/>
          </w:pPr>
        </w:p>
        <w:p w14:paraId="683BFD8F" w14:textId="2C1F5F23" w:rsidR="00A97160" w:rsidRPr="006923DF" w:rsidRDefault="00C35F17" w:rsidP="002A7A31">
          <w:pPr>
            <w:pStyle w:val="Title"/>
            <w:tabs>
              <w:tab w:val="left" w:pos="6379"/>
            </w:tabs>
            <w:spacing w:after="120" w:line="720" w:lineRule="exact"/>
            <w:ind w:right="1982"/>
          </w:pPr>
          <w:r>
            <w:t>Exposure draft legislation to enable a</w:t>
          </w:r>
          <w:r w:rsidR="004423D6">
            <w:t xml:space="preserve">ction </w:t>
          </w:r>
          <w:r>
            <w:t>i</w:t>
          </w:r>
          <w:r w:rsidR="004423D6">
            <w:t>nitiation in the Consumer Data Right</w:t>
          </w:r>
        </w:p>
        <w:p w14:paraId="607B4F5B" w14:textId="4A88BC1E" w:rsidR="00A97160" w:rsidRPr="006923DF" w:rsidRDefault="004423D6" w:rsidP="004C2902">
          <w:pPr>
            <w:pStyle w:val="Subtitle"/>
            <w:spacing w:after="360"/>
          </w:pPr>
          <w:r>
            <w:t xml:space="preserve">Summary of </w:t>
          </w:r>
          <w:r w:rsidR="00C35F17">
            <w:t>p</w:t>
          </w:r>
          <w:r>
            <w:t xml:space="preserve">roposed </w:t>
          </w:r>
          <w:r w:rsidR="00C35F17">
            <w:t>c</w:t>
          </w:r>
          <w:r>
            <w:t>hanges</w:t>
          </w:r>
        </w:p>
        <w:p w14:paraId="75A05249" w14:textId="70EE089F" w:rsidR="00A97160" w:rsidRPr="00586605" w:rsidRDefault="004423D6" w:rsidP="006923DF">
          <w:pPr>
            <w:pStyle w:val="ReportDate"/>
          </w:pPr>
          <w:r w:rsidRPr="0045681F">
            <w:rPr>
              <w:rStyle w:val="ReportDateChar"/>
            </w:rPr>
            <w:t>September 2022</w:t>
          </w:r>
        </w:p>
        <w:p w14:paraId="74228808" w14:textId="77777777" w:rsidR="00A97160" w:rsidRDefault="00A97160" w:rsidP="00BE7EA5">
          <w:pPr>
            <w:spacing w:before="0" w:after="160" w:line="259" w:lineRule="auto"/>
            <w:rPr>
              <w:noProof/>
            </w:rPr>
          </w:pPr>
        </w:p>
        <w:p w14:paraId="139D55BD" w14:textId="77777777" w:rsidR="00A011AD" w:rsidRDefault="00A97160" w:rsidP="005877AC">
          <w:pPr>
            <w:spacing w:before="0" w:after="160" w:line="259" w:lineRule="auto"/>
          </w:pPr>
          <w:r>
            <w:br w:type="page"/>
          </w:r>
        </w:p>
      </w:sdtContent>
    </w:sdt>
    <w:p w14:paraId="05C6CDEA" w14:textId="274D3EBF" w:rsidR="000E0B74" w:rsidRDefault="000E0B74" w:rsidP="005877AC">
      <w:pPr>
        <w:spacing w:before="0" w:after="160" w:line="259" w:lineRule="auto"/>
      </w:pPr>
      <w:r w:rsidRPr="00661BF0">
        <w:lastRenderedPageBreak/>
        <w:t xml:space="preserve">© Commonwealth of Australia </w:t>
      </w:r>
      <w:r w:rsidRPr="008F5024">
        <w:t>20</w:t>
      </w:r>
      <w:r w:rsidR="00640952">
        <w:t>22</w:t>
      </w:r>
    </w:p>
    <w:p w14:paraId="5204C69C" w14:textId="662B2748"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1C442897" w14:textId="77777777" w:rsidR="000E0B74" w:rsidRDefault="000E0B74" w:rsidP="000E0B74">
      <w:pPr>
        <w:pStyle w:val="ChartGraphic"/>
        <w:jc w:val="left"/>
      </w:pPr>
      <w:r w:rsidRPr="00E56DFB">
        <w:rPr>
          <w:noProof/>
        </w:rPr>
        <w:drawing>
          <wp:inline distT="0" distB="0" distL="0" distR="0" wp14:anchorId="1501EDAF" wp14:editId="06081783">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DD5DB21"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0447CA0" w14:textId="77777777" w:rsidR="000E0B74" w:rsidRPr="006469CC" w:rsidRDefault="000E0B74" w:rsidP="006469CC">
      <w:pPr>
        <w:spacing w:before="240"/>
        <w:rPr>
          <w:b/>
        </w:rPr>
      </w:pPr>
      <w:r w:rsidRPr="006469CC">
        <w:rPr>
          <w:b/>
        </w:rPr>
        <w:t>Treasury material used ‘as supplied’.</w:t>
      </w:r>
    </w:p>
    <w:p w14:paraId="2E6DAE83"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0CCADC2" w14:textId="048941F6" w:rsidR="000E0B74" w:rsidRPr="00A13A11" w:rsidRDefault="000E0B74" w:rsidP="000E0B74">
      <w:pPr>
        <w:ind w:firstLine="720"/>
      </w:pPr>
      <w:r w:rsidRPr="002F1BC2">
        <w:rPr>
          <w:i/>
        </w:rPr>
        <w:t xml:space="preserve">Source: The </w:t>
      </w:r>
      <w:r w:rsidRPr="002F1BC2">
        <w:rPr>
          <w:i/>
          <w:iCs/>
        </w:rPr>
        <w:t>Australian Government the Treasury</w:t>
      </w:r>
    </w:p>
    <w:p w14:paraId="0732C0F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121CD9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8D948D0" w14:textId="079B9F2F" w:rsidR="000E0B74" w:rsidRPr="006627B4" w:rsidRDefault="000E0B74" w:rsidP="000E0B74">
      <w:pPr>
        <w:ind w:firstLine="720"/>
      </w:pPr>
      <w:r w:rsidRPr="002F1BC2">
        <w:rPr>
          <w:i/>
        </w:rPr>
        <w:t>Based on The Australian Government the Treasury data</w:t>
      </w:r>
    </w:p>
    <w:p w14:paraId="52CB326C" w14:textId="77777777" w:rsidR="000E0B74" w:rsidRPr="006627B4" w:rsidRDefault="000E0B74" w:rsidP="000E0B74">
      <w:pPr>
        <w:spacing w:before="240"/>
        <w:rPr>
          <w:b/>
        </w:rPr>
      </w:pPr>
      <w:r w:rsidRPr="006627B4">
        <w:rPr>
          <w:b/>
        </w:rPr>
        <w:t>Use of the Coat of Arms</w:t>
      </w:r>
    </w:p>
    <w:p w14:paraId="585A316C"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F669CD">
          <w:rPr>
            <w:rStyle w:val="Hyperlink"/>
          </w:rPr>
          <w:t>http://www.pmc.gov.au/government/commonwealth-coat-arms</w:t>
        </w:r>
      </w:hyperlink>
      <w:r w:rsidRPr="005C503A">
        <w:t>).</w:t>
      </w:r>
    </w:p>
    <w:p w14:paraId="1726F46C" w14:textId="77777777" w:rsidR="000E0B74" w:rsidRPr="006627B4" w:rsidRDefault="000E0B74" w:rsidP="000E0B74">
      <w:pPr>
        <w:spacing w:before="240"/>
        <w:rPr>
          <w:b/>
        </w:rPr>
      </w:pPr>
      <w:r>
        <w:rPr>
          <w:b/>
        </w:rPr>
        <w:t>Other u</w:t>
      </w:r>
      <w:r w:rsidRPr="006627B4">
        <w:rPr>
          <w:b/>
        </w:rPr>
        <w:t>ses</w:t>
      </w:r>
    </w:p>
    <w:p w14:paraId="4C7B9432" w14:textId="77777777" w:rsidR="000E0B74" w:rsidRPr="006627B4" w:rsidRDefault="000E0B74" w:rsidP="000E0B74">
      <w:r>
        <w:t>E</w:t>
      </w:r>
      <w:r w:rsidRPr="006627B4">
        <w:t>nquiries regarding this licence and any other use of this document are welcome at:</w:t>
      </w:r>
    </w:p>
    <w:p w14:paraId="3BF12E83" w14:textId="77777777"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386297">
          <w:rPr>
            <w:rStyle w:val="Hyperlink"/>
          </w:rPr>
          <w:t>media@treasury.gov.au</w:t>
        </w:r>
      </w:hyperlink>
    </w:p>
    <w:p w14:paraId="2E922418"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1F571D79" w14:textId="77777777" w:rsidR="004F0CE8" w:rsidRDefault="000E0B74">
      <w:pPr>
        <w:pStyle w:val="TOC1"/>
      </w:pPr>
      <w:bookmarkStart w:id="0" w:name="_Toc111026801"/>
      <w:r w:rsidRPr="001F1B27">
        <w:lastRenderedPageBreak/>
        <w:t>Contents</w:t>
      </w:r>
      <w:bookmarkEnd w:id="0"/>
    </w:p>
    <w:p w14:paraId="22044DAB" w14:textId="7F40686F" w:rsidR="001D43B4" w:rsidRDefault="000E0B74">
      <w:pPr>
        <w:pStyle w:val="TOC1"/>
        <w:rPr>
          <w:rFonts w:asciiTheme="minorHAnsi" w:eastAsiaTheme="minorEastAsia" w:hAnsiTheme="minorHAnsi" w:cstheme="minorBidi"/>
          <w:b w:val="0"/>
          <w:color w:val="auto"/>
        </w:rPr>
      </w:pPr>
      <w:r>
        <w:rPr>
          <w:rFonts w:ascii="Calibri" w:hAnsi="Calibri" w:cs="Arial"/>
          <w:color w:val="004A7F"/>
          <w:kern w:val="32"/>
          <w:sz w:val="44"/>
        </w:rPr>
        <w:fldChar w:fldCharType="begin"/>
      </w:r>
      <w:r w:rsidRPr="0025652F">
        <w:instrText xml:space="preserve"> TOC \o "1-3" \h \z \u </w:instrText>
      </w:r>
      <w:r>
        <w:rPr>
          <w:rFonts w:ascii="Calibri" w:hAnsi="Calibri" w:cs="Arial"/>
          <w:color w:val="004A7F"/>
          <w:kern w:val="32"/>
          <w:sz w:val="44"/>
        </w:rPr>
        <w:fldChar w:fldCharType="separate"/>
      </w:r>
      <w:hyperlink w:anchor="_Toc114831805" w:history="1">
        <w:r w:rsidR="001D43B4" w:rsidRPr="001A1B37">
          <w:rPr>
            <w:rStyle w:val="Hyperlink"/>
          </w:rPr>
          <w:t>Making submissions</w:t>
        </w:r>
        <w:r w:rsidR="001D43B4">
          <w:rPr>
            <w:webHidden/>
          </w:rPr>
          <w:tab/>
        </w:r>
        <w:r w:rsidR="001D43B4">
          <w:rPr>
            <w:webHidden/>
          </w:rPr>
          <w:fldChar w:fldCharType="begin"/>
        </w:r>
        <w:r w:rsidR="001D43B4">
          <w:rPr>
            <w:webHidden/>
          </w:rPr>
          <w:instrText xml:space="preserve"> PAGEREF _Toc114831805 \h </w:instrText>
        </w:r>
        <w:r w:rsidR="001D43B4">
          <w:rPr>
            <w:webHidden/>
          </w:rPr>
        </w:r>
        <w:r w:rsidR="001D43B4">
          <w:rPr>
            <w:webHidden/>
          </w:rPr>
          <w:fldChar w:fldCharType="separate"/>
        </w:r>
        <w:r w:rsidR="00400DBC">
          <w:rPr>
            <w:webHidden/>
          </w:rPr>
          <w:t>2</w:t>
        </w:r>
        <w:r w:rsidR="001D43B4">
          <w:rPr>
            <w:webHidden/>
          </w:rPr>
          <w:fldChar w:fldCharType="end"/>
        </w:r>
      </w:hyperlink>
    </w:p>
    <w:p w14:paraId="1A246EC4" w14:textId="12720FF1" w:rsidR="001D43B4" w:rsidRDefault="00A44105">
      <w:pPr>
        <w:pStyle w:val="TOC1"/>
        <w:rPr>
          <w:rFonts w:asciiTheme="minorHAnsi" w:eastAsiaTheme="minorEastAsia" w:hAnsiTheme="minorHAnsi" w:cstheme="minorBidi"/>
          <w:b w:val="0"/>
          <w:color w:val="auto"/>
        </w:rPr>
      </w:pPr>
      <w:hyperlink w:anchor="_Toc114831806" w:history="1">
        <w:r w:rsidR="001D43B4" w:rsidRPr="001A1B37">
          <w:rPr>
            <w:rStyle w:val="Hyperlink"/>
          </w:rPr>
          <w:t>Purpose of this paper</w:t>
        </w:r>
        <w:r w:rsidR="001D43B4">
          <w:rPr>
            <w:webHidden/>
          </w:rPr>
          <w:tab/>
        </w:r>
        <w:r w:rsidR="001D43B4">
          <w:rPr>
            <w:webHidden/>
          </w:rPr>
          <w:fldChar w:fldCharType="begin"/>
        </w:r>
        <w:r w:rsidR="001D43B4">
          <w:rPr>
            <w:webHidden/>
          </w:rPr>
          <w:instrText xml:space="preserve"> PAGEREF _Toc114831806 \h </w:instrText>
        </w:r>
        <w:r w:rsidR="001D43B4">
          <w:rPr>
            <w:webHidden/>
          </w:rPr>
        </w:r>
        <w:r w:rsidR="001D43B4">
          <w:rPr>
            <w:webHidden/>
          </w:rPr>
          <w:fldChar w:fldCharType="separate"/>
        </w:r>
        <w:r w:rsidR="00400DBC">
          <w:rPr>
            <w:webHidden/>
          </w:rPr>
          <w:t>3</w:t>
        </w:r>
        <w:r w:rsidR="001D43B4">
          <w:rPr>
            <w:webHidden/>
          </w:rPr>
          <w:fldChar w:fldCharType="end"/>
        </w:r>
      </w:hyperlink>
    </w:p>
    <w:p w14:paraId="02BA2049" w14:textId="1BE3B88E" w:rsidR="001D43B4" w:rsidRDefault="00A44105">
      <w:pPr>
        <w:pStyle w:val="TOC1"/>
        <w:rPr>
          <w:rFonts w:asciiTheme="minorHAnsi" w:eastAsiaTheme="minorEastAsia" w:hAnsiTheme="minorHAnsi" w:cstheme="minorBidi"/>
          <w:b w:val="0"/>
          <w:color w:val="auto"/>
        </w:rPr>
      </w:pPr>
      <w:hyperlink w:anchor="_Toc114831807" w:history="1">
        <w:r w:rsidR="001D43B4" w:rsidRPr="001A1B37">
          <w:rPr>
            <w:rStyle w:val="Hyperlink"/>
          </w:rPr>
          <w:t>Action initiation in the CDR</w:t>
        </w:r>
        <w:r w:rsidR="001D43B4">
          <w:rPr>
            <w:webHidden/>
          </w:rPr>
          <w:tab/>
        </w:r>
        <w:r w:rsidR="001D43B4">
          <w:rPr>
            <w:webHidden/>
          </w:rPr>
          <w:fldChar w:fldCharType="begin"/>
        </w:r>
        <w:r w:rsidR="001D43B4">
          <w:rPr>
            <w:webHidden/>
          </w:rPr>
          <w:instrText xml:space="preserve"> PAGEREF _Toc114831807 \h </w:instrText>
        </w:r>
        <w:r w:rsidR="001D43B4">
          <w:rPr>
            <w:webHidden/>
          </w:rPr>
        </w:r>
        <w:r w:rsidR="001D43B4">
          <w:rPr>
            <w:webHidden/>
          </w:rPr>
          <w:fldChar w:fldCharType="separate"/>
        </w:r>
        <w:r w:rsidR="00400DBC">
          <w:rPr>
            <w:webHidden/>
          </w:rPr>
          <w:t>3</w:t>
        </w:r>
        <w:r w:rsidR="001D43B4">
          <w:rPr>
            <w:webHidden/>
          </w:rPr>
          <w:fldChar w:fldCharType="end"/>
        </w:r>
      </w:hyperlink>
    </w:p>
    <w:p w14:paraId="39754425" w14:textId="4FBFADCD" w:rsidR="001D43B4" w:rsidRDefault="00A44105">
      <w:pPr>
        <w:pStyle w:val="TOC3"/>
        <w:rPr>
          <w:rFonts w:asciiTheme="minorHAnsi" w:eastAsiaTheme="minorEastAsia" w:hAnsiTheme="minorHAnsi" w:cstheme="minorBidi"/>
          <w:szCs w:val="22"/>
        </w:rPr>
      </w:pPr>
      <w:hyperlink w:anchor="_Toc114831808" w:history="1">
        <w:r w:rsidR="001D43B4" w:rsidRPr="001A1B37">
          <w:rPr>
            <w:rStyle w:val="Hyperlink"/>
          </w:rPr>
          <w:t>Figure: Action initiation in the CDR</w:t>
        </w:r>
        <w:r w:rsidR="001D43B4">
          <w:rPr>
            <w:webHidden/>
          </w:rPr>
          <w:tab/>
        </w:r>
        <w:r w:rsidR="001D43B4">
          <w:rPr>
            <w:webHidden/>
          </w:rPr>
          <w:fldChar w:fldCharType="begin"/>
        </w:r>
        <w:r w:rsidR="001D43B4">
          <w:rPr>
            <w:webHidden/>
          </w:rPr>
          <w:instrText xml:space="preserve"> PAGEREF _Toc114831808 \h </w:instrText>
        </w:r>
        <w:r w:rsidR="001D43B4">
          <w:rPr>
            <w:webHidden/>
          </w:rPr>
        </w:r>
        <w:r w:rsidR="001D43B4">
          <w:rPr>
            <w:webHidden/>
          </w:rPr>
          <w:fldChar w:fldCharType="separate"/>
        </w:r>
        <w:r w:rsidR="00400DBC">
          <w:rPr>
            <w:webHidden/>
          </w:rPr>
          <w:t>4</w:t>
        </w:r>
        <w:r w:rsidR="001D43B4">
          <w:rPr>
            <w:webHidden/>
          </w:rPr>
          <w:fldChar w:fldCharType="end"/>
        </w:r>
      </w:hyperlink>
    </w:p>
    <w:p w14:paraId="62C41F0D" w14:textId="25914512" w:rsidR="001D43B4" w:rsidRDefault="00A44105">
      <w:pPr>
        <w:pStyle w:val="TOC1"/>
        <w:rPr>
          <w:rFonts w:asciiTheme="minorHAnsi" w:eastAsiaTheme="minorEastAsia" w:hAnsiTheme="minorHAnsi" w:cstheme="minorBidi"/>
          <w:b w:val="0"/>
          <w:color w:val="auto"/>
        </w:rPr>
      </w:pPr>
      <w:hyperlink w:anchor="_Toc114831809" w:history="1">
        <w:r w:rsidR="001D43B4" w:rsidRPr="001A1B37">
          <w:rPr>
            <w:rStyle w:val="Hyperlink"/>
          </w:rPr>
          <w:t>Proposed legislation</w:t>
        </w:r>
        <w:r w:rsidR="001D43B4">
          <w:rPr>
            <w:webHidden/>
          </w:rPr>
          <w:tab/>
        </w:r>
        <w:r w:rsidR="001D43B4">
          <w:rPr>
            <w:webHidden/>
          </w:rPr>
          <w:fldChar w:fldCharType="begin"/>
        </w:r>
        <w:r w:rsidR="001D43B4">
          <w:rPr>
            <w:webHidden/>
          </w:rPr>
          <w:instrText xml:space="preserve"> PAGEREF _Toc114831809 \h </w:instrText>
        </w:r>
        <w:r w:rsidR="001D43B4">
          <w:rPr>
            <w:webHidden/>
          </w:rPr>
        </w:r>
        <w:r w:rsidR="001D43B4">
          <w:rPr>
            <w:webHidden/>
          </w:rPr>
          <w:fldChar w:fldCharType="separate"/>
        </w:r>
        <w:r w:rsidR="00400DBC">
          <w:rPr>
            <w:webHidden/>
          </w:rPr>
          <w:t>5</w:t>
        </w:r>
        <w:r w:rsidR="001D43B4">
          <w:rPr>
            <w:webHidden/>
          </w:rPr>
          <w:fldChar w:fldCharType="end"/>
        </w:r>
      </w:hyperlink>
    </w:p>
    <w:p w14:paraId="18E81DE0" w14:textId="7755D1BF" w:rsidR="001D43B4" w:rsidRDefault="00A44105">
      <w:pPr>
        <w:pStyle w:val="TOC2"/>
        <w:rPr>
          <w:rFonts w:asciiTheme="minorHAnsi" w:eastAsiaTheme="minorEastAsia" w:hAnsiTheme="minorHAnsi" w:cstheme="minorBidi"/>
          <w:color w:val="auto"/>
          <w:szCs w:val="22"/>
        </w:rPr>
      </w:pPr>
      <w:hyperlink w:anchor="_Toc114831810" w:history="1">
        <w:r w:rsidR="001D43B4" w:rsidRPr="001A1B37">
          <w:rPr>
            <w:rStyle w:val="Hyperlink"/>
          </w:rPr>
          <w:t>Key features of the legislation</w:t>
        </w:r>
        <w:r w:rsidR="001D43B4">
          <w:rPr>
            <w:webHidden/>
          </w:rPr>
          <w:tab/>
        </w:r>
        <w:r w:rsidR="001D43B4">
          <w:rPr>
            <w:webHidden/>
          </w:rPr>
          <w:fldChar w:fldCharType="begin"/>
        </w:r>
        <w:r w:rsidR="001D43B4">
          <w:rPr>
            <w:webHidden/>
          </w:rPr>
          <w:instrText xml:space="preserve"> PAGEREF _Toc114831810 \h </w:instrText>
        </w:r>
        <w:r w:rsidR="001D43B4">
          <w:rPr>
            <w:webHidden/>
          </w:rPr>
        </w:r>
        <w:r w:rsidR="001D43B4">
          <w:rPr>
            <w:webHidden/>
          </w:rPr>
          <w:fldChar w:fldCharType="separate"/>
        </w:r>
        <w:r w:rsidR="00400DBC">
          <w:rPr>
            <w:webHidden/>
          </w:rPr>
          <w:t>6</w:t>
        </w:r>
        <w:r w:rsidR="001D43B4">
          <w:rPr>
            <w:webHidden/>
          </w:rPr>
          <w:fldChar w:fldCharType="end"/>
        </w:r>
      </w:hyperlink>
    </w:p>
    <w:p w14:paraId="1BCEE049" w14:textId="209090F3" w:rsidR="001D43B4" w:rsidRDefault="00A44105">
      <w:pPr>
        <w:pStyle w:val="TOC2"/>
        <w:rPr>
          <w:rFonts w:asciiTheme="minorHAnsi" w:eastAsiaTheme="minorEastAsia" w:hAnsiTheme="minorHAnsi" w:cstheme="minorBidi"/>
          <w:color w:val="auto"/>
          <w:szCs w:val="22"/>
        </w:rPr>
      </w:pPr>
      <w:hyperlink w:anchor="_Toc114831811" w:history="1">
        <w:r w:rsidR="001D43B4" w:rsidRPr="001A1B37">
          <w:rPr>
            <w:rStyle w:val="Hyperlink"/>
          </w:rPr>
          <w:t>Existing provisions to be extended to action initiation</w:t>
        </w:r>
        <w:r w:rsidR="001D43B4">
          <w:rPr>
            <w:webHidden/>
          </w:rPr>
          <w:tab/>
        </w:r>
        <w:r w:rsidR="001D43B4">
          <w:rPr>
            <w:webHidden/>
          </w:rPr>
          <w:fldChar w:fldCharType="begin"/>
        </w:r>
        <w:r w:rsidR="001D43B4">
          <w:rPr>
            <w:webHidden/>
          </w:rPr>
          <w:instrText xml:space="preserve"> PAGEREF _Toc114831811 \h </w:instrText>
        </w:r>
        <w:r w:rsidR="001D43B4">
          <w:rPr>
            <w:webHidden/>
          </w:rPr>
        </w:r>
        <w:r w:rsidR="001D43B4">
          <w:rPr>
            <w:webHidden/>
          </w:rPr>
          <w:fldChar w:fldCharType="separate"/>
        </w:r>
        <w:r w:rsidR="00400DBC">
          <w:rPr>
            <w:webHidden/>
          </w:rPr>
          <w:t>7</w:t>
        </w:r>
        <w:r w:rsidR="001D43B4">
          <w:rPr>
            <w:webHidden/>
          </w:rPr>
          <w:fldChar w:fldCharType="end"/>
        </w:r>
      </w:hyperlink>
    </w:p>
    <w:p w14:paraId="6A7F160D" w14:textId="06D4C09A" w:rsidR="001D43B4" w:rsidRDefault="00A44105">
      <w:pPr>
        <w:pStyle w:val="TOC1"/>
        <w:rPr>
          <w:rFonts w:asciiTheme="minorHAnsi" w:eastAsiaTheme="minorEastAsia" w:hAnsiTheme="minorHAnsi" w:cstheme="minorBidi"/>
          <w:b w:val="0"/>
          <w:color w:val="auto"/>
        </w:rPr>
      </w:pPr>
      <w:hyperlink w:anchor="_Toc114831812" w:history="1">
        <w:r w:rsidR="001D43B4" w:rsidRPr="001A1B37">
          <w:rPr>
            <w:rStyle w:val="Hyperlink"/>
          </w:rPr>
          <w:t>Appendix: Privacy safeguards</w:t>
        </w:r>
        <w:r w:rsidR="001D43B4">
          <w:rPr>
            <w:webHidden/>
          </w:rPr>
          <w:tab/>
        </w:r>
        <w:r w:rsidR="001D43B4">
          <w:rPr>
            <w:webHidden/>
          </w:rPr>
          <w:fldChar w:fldCharType="begin"/>
        </w:r>
        <w:r w:rsidR="001D43B4">
          <w:rPr>
            <w:webHidden/>
          </w:rPr>
          <w:instrText xml:space="preserve"> PAGEREF _Toc114831812 \h </w:instrText>
        </w:r>
        <w:r w:rsidR="001D43B4">
          <w:rPr>
            <w:webHidden/>
          </w:rPr>
        </w:r>
        <w:r w:rsidR="001D43B4">
          <w:rPr>
            <w:webHidden/>
          </w:rPr>
          <w:fldChar w:fldCharType="separate"/>
        </w:r>
        <w:r w:rsidR="00400DBC">
          <w:rPr>
            <w:webHidden/>
          </w:rPr>
          <w:t>8</w:t>
        </w:r>
        <w:r w:rsidR="001D43B4">
          <w:rPr>
            <w:webHidden/>
          </w:rPr>
          <w:fldChar w:fldCharType="end"/>
        </w:r>
      </w:hyperlink>
    </w:p>
    <w:p w14:paraId="287DE025" w14:textId="75516D53" w:rsidR="001D43B4" w:rsidRDefault="00A44105">
      <w:pPr>
        <w:pStyle w:val="TOC2"/>
        <w:rPr>
          <w:rFonts w:asciiTheme="minorHAnsi" w:eastAsiaTheme="minorEastAsia" w:hAnsiTheme="minorHAnsi" w:cstheme="minorBidi"/>
          <w:color w:val="auto"/>
          <w:szCs w:val="22"/>
        </w:rPr>
      </w:pPr>
      <w:hyperlink w:anchor="_Toc114831813" w:history="1">
        <w:r w:rsidR="001D43B4" w:rsidRPr="001A1B37">
          <w:rPr>
            <w:rStyle w:val="Hyperlink"/>
          </w:rPr>
          <w:t>Current arrangements</w:t>
        </w:r>
        <w:r w:rsidR="001D43B4">
          <w:rPr>
            <w:webHidden/>
          </w:rPr>
          <w:tab/>
        </w:r>
        <w:r w:rsidR="001D43B4">
          <w:rPr>
            <w:webHidden/>
          </w:rPr>
          <w:fldChar w:fldCharType="begin"/>
        </w:r>
        <w:r w:rsidR="001D43B4">
          <w:rPr>
            <w:webHidden/>
          </w:rPr>
          <w:instrText xml:space="preserve"> PAGEREF _Toc114831813 \h </w:instrText>
        </w:r>
        <w:r w:rsidR="001D43B4">
          <w:rPr>
            <w:webHidden/>
          </w:rPr>
        </w:r>
        <w:r w:rsidR="001D43B4">
          <w:rPr>
            <w:webHidden/>
          </w:rPr>
          <w:fldChar w:fldCharType="separate"/>
        </w:r>
        <w:r w:rsidR="00400DBC">
          <w:rPr>
            <w:webHidden/>
          </w:rPr>
          <w:t>8</w:t>
        </w:r>
        <w:r w:rsidR="001D43B4">
          <w:rPr>
            <w:webHidden/>
          </w:rPr>
          <w:fldChar w:fldCharType="end"/>
        </w:r>
      </w:hyperlink>
    </w:p>
    <w:p w14:paraId="000CA2BE" w14:textId="4859CEA1" w:rsidR="001D43B4" w:rsidRDefault="00A44105">
      <w:pPr>
        <w:pStyle w:val="TOC2"/>
        <w:rPr>
          <w:rFonts w:asciiTheme="minorHAnsi" w:eastAsiaTheme="minorEastAsia" w:hAnsiTheme="minorHAnsi" w:cstheme="minorBidi"/>
          <w:color w:val="auto"/>
          <w:szCs w:val="22"/>
        </w:rPr>
      </w:pPr>
      <w:hyperlink w:anchor="_Toc114831814" w:history="1">
        <w:r w:rsidR="001D43B4" w:rsidRPr="001A1B37">
          <w:rPr>
            <w:rStyle w:val="Hyperlink"/>
          </w:rPr>
          <w:t>Proposed key features of the privacy safeguards for action initiation</w:t>
        </w:r>
        <w:r w:rsidR="001D43B4">
          <w:rPr>
            <w:webHidden/>
          </w:rPr>
          <w:tab/>
        </w:r>
        <w:r w:rsidR="001D43B4">
          <w:rPr>
            <w:webHidden/>
          </w:rPr>
          <w:fldChar w:fldCharType="begin"/>
        </w:r>
        <w:r w:rsidR="001D43B4">
          <w:rPr>
            <w:webHidden/>
          </w:rPr>
          <w:instrText xml:space="preserve"> PAGEREF _Toc114831814 \h </w:instrText>
        </w:r>
        <w:r w:rsidR="001D43B4">
          <w:rPr>
            <w:webHidden/>
          </w:rPr>
        </w:r>
        <w:r w:rsidR="001D43B4">
          <w:rPr>
            <w:webHidden/>
          </w:rPr>
          <w:fldChar w:fldCharType="separate"/>
        </w:r>
        <w:r w:rsidR="00400DBC">
          <w:rPr>
            <w:webHidden/>
          </w:rPr>
          <w:t>8</w:t>
        </w:r>
        <w:r w:rsidR="001D43B4">
          <w:rPr>
            <w:webHidden/>
          </w:rPr>
          <w:fldChar w:fldCharType="end"/>
        </w:r>
      </w:hyperlink>
    </w:p>
    <w:p w14:paraId="7FCC0872" w14:textId="424597CD" w:rsidR="001D43B4" w:rsidRDefault="00A44105">
      <w:pPr>
        <w:pStyle w:val="TOC3"/>
        <w:rPr>
          <w:rFonts w:asciiTheme="minorHAnsi" w:eastAsiaTheme="minorEastAsia" w:hAnsiTheme="minorHAnsi" w:cstheme="minorBidi"/>
          <w:szCs w:val="22"/>
        </w:rPr>
      </w:pPr>
      <w:hyperlink w:anchor="_Toc114831815" w:history="1">
        <w:r w:rsidR="001D43B4" w:rsidRPr="001A1B37">
          <w:rPr>
            <w:rStyle w:val="Hyperlink"/>
          </w:rPr>
          <w:t>Table: Proposed application of the privacy safeguards</w:t>
        </w:r>
        <w:r w:rsidR="001D43B4">
          <w:rPr>
            <w:webHidden/>
          </w:rPr>
          <w:tab/>
        </w:r>
        <w:r w:rsidR="001D43B4">
          <w:rPr>
            <w:webHidden/>
          </w:rPr>
          <w:fldChar w:fldCharType="begin"/>
        </w:r>
        <w:r w:rsidR="001D43B4">
          <w:rPr>
            <w:webHidden/>
          </w:rPr>
          <w:instrText xml:space="preserve"> PAGEREF _Toc114831815 \h </w:instrText>
        </w:r>
        <w:r w:rsidR="001D43B4">
          <w:rPr>
            <w:webHidden/>
          </w:rPr>
        </w:r>
        <w:r w:rsidR="001D43B4">
          <w:rPr>
            <w:webHidden/>
          </w:rPr>
          <w:fldChar w:fldCharType="separate"/>
        </w:r>
        <w:r w:rsidR="00400DBC">
          <w:rPr>
            <w:webHidden/>
          </w:rPr>
          <w:t>9</w:t>
        </w:r>
        <w:r w:rsidR="001D43B4">
          <w:rPr>
            <w:webHidden/>
          </w:rPr>
          <w:fldChar w:fldCharType="end"/>
        </w:r>
      </w:hyperlink>
    </w:p>
    <w:p w14:paraId="516CEACF" w14:textId="01CBDDDA" w:rsidR="001D43B4" w:rsidRDefault="00A44105">
      <w:pPr>
        <w:pStyle w:val="TOC2"/>
        <w:rPr>
          <w:rFonts w:asciiTheme="minorHAnsi" w:eastAsiaTheme="minorEastAsia" w:hAnsiTheme="minorHAnsi" w:cstheme="minorBidi"/>
          <w:color w:val="auto"/>
          <w:szCs w:val="22"/>
        </w:rPr>
      </w:pPr>
      <w:hyperlink w:anchor="_Toc114831816" w:history="1">
        <w:r w:rsidR="001D43B4" w:rsidRPr="001A1B37">
          <w:rPr>
            <w:rStyle w:val="Hyperlink"/>
          </w:rPr>
          <w:t>Additional information</w:t>
        </w:r>
        <w:r w:rsidR="001D43B4">
          <w:rPr>
            <w:webHidden/>
          </w:rPr>
          <w:tab/>
        </w:r>
        <w:r w:rsidR="001D43B4">
          <w:rPr>
            <w:webHidden/>
          </w:rPr>
          <w:fldChar w:fldCharType="begin"/>
        </w:r>
        <w:r w:rsidR="001D43B4">
          <w:rPr>
            <w:webHidden/>
          </w:rPr>
          <w:instrText xml:space="preserve"> PAGEREF _Toc114831816 \h </w:instrText>
        </w:r>
        <w:r w:rsidR="001D43B4">
          <w:rPr>
            <w:webHidden/>
          </w:rPr>
        </w:r>
        <w:r w:rsidR="001D43B4">
          <w:rPr>
            <w:webHidden/>
          </w:rPr>
          <w:fldChar w:fldCharType="separate"/>
        </w:r>
        <w:r w:rsidR="00400DBC">
          <w:rPr>
            <w:webHidden/>
          </w:rPr>
          <w:t>10</w:t>
        </w:r>
        <w:r w:rsidR="001D43B4">
          <w:rPr>
            <w:webHidden/>
          </w:rPr>
          <w:fldChar w:fldCharType="end"/>
        </w:r>
      </w:hyperlink>
    </w:p>
    <w:p w14:paraId="06A9FA7F" w14:textId="5A78F651" w:rsidR="00773AD3" w:rsidRDefault="000E0B74" w:rsidP="0056582C">
      <w:pPr>
        <w:pStyle w:val="SingleParagraph"/>
        <w:ind w:right="-2"/>
      </w:pPr>
      <w:r>
        <w:fldChar w:fldCharType="end"/>
      </w:r>
      <w:bookmarkStart w:id="1" w:name="_Toc432067103"/>
      <w:bookmarkStart w:id="2" w:name="_Toc452635030"/>
    </w:p>
    <w:p w14:paraId="57E90793" w14:textId="77777777" w:rsidR="00773AD3" w:rsidRDefault="00773AD3">
      <w:pPr>
        <w:spacing w:before="0" w:after="160" w:line="259" w:lineRule="auto"/>
      </w:pPr>
      <w:r>
        <w:br w:type="page"/>
      </w:r>
    </w:p>
    <w:p w14:paraId="31744E4E" w14:textId="162628A6" w:rsidR="00E95E12" w:rsidRPr="00532DF7" w:rsidRDefault="00E95E12" w:rsidP="00E95E12">
      <w:pPr>
        <w:pStyle w:val="Heading1"/>
      </w:pPr>
      <w:bookmarkStart w:id="3" w:name="_Toc114831805"/>
      <w:r>
        <w:lastRenderedPageBreak/>
        <w:t>Making submissions</w:t>
      </w:r>
      <w:bookmarkEnd w:id="3"/>
    </w:p>
    <w:p w14:paraId="2A23DF65" w14:textId="36A9C6F2" w:rsidR="00E95E12" w:rsidRDefault="00E95E12" w:rsidP="00E95E12">
      <w:r>
        <w:t>Interested parties are invited to comment on this draft legislation</w:t>
      </w:r>
      <w:r w:rsidR="003439EF">
        <w:t>.</w:t>
      </w:r>
    </w:p>
    <w:p w14:paraId="3D3DDC64" w14:textId="27565CDF" w:rsidR="00E95E12" w:rsidRDefault="00E95E12" w:rsidP="00E95E12">
      <w:r>
        <w:t xml:space="preserve">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confidential should provide this information marked as such in a separate attachment. </w:t>
      </w:r>
    </w:p>
    <w:p w14:paraId="093CB2BC" w14:textId="1EF2E1BF" w:rsidR="00E95E12" w:rsidRDefault="00E95E12" w:rsidP="00E95E12">
      <w:r w:rsidRPr="004766B6">
        <w:t xml:space="preserve">The consultation period closes on </w:t>
      </w:r>
      <w:r w:rsidRPr="001F4333">
        <w:t>24 October 2022.</w:t>
      </w:r>
      <w:r w:rsidRPr="004766B6">
        <w:t xml:space="preserve"> Submissions may be sent to </w:t>
      </w:r>
      <w:hyperlink r:id="rId15" w:history="1">
        <w:r w:rsidRPr="00160479">
          <w:rPr>
            <w:rStyle w:val="Hyperlink"/>
          </w:rPr>
          <w:t>data@treasury.gov.au</w:t>
        </w:r>
      </w:hyperlink>
      <w:r w:rsidR="00CB08B2">
        <w:rPr>
          <w:rStyle w:val="Hyperlink"/>
        </w:rPr>
        <w:t>.</w:t>
      </w:r>
      <w:r>
        <w:t xml:space="preserve"> For accessibility reasons, please submit responses sent via email in a Word or RTF format. An additional PDF version may also be submitted.</w:t>
      </w:r>
    </w:p>
    <w:p w14:paraId="5A4A9795" w14:textId="77777777" w:rsidR="00D13BBB" w:rsidRDefault="00D13BBB">
      <w:pPr>
        <w:spacing w:before="0" w:after="160" w:line="259" w:lineRule="auto"/>
        <w:rPr>
          <w:rFonts w:ascii="Calibri" w:hAnsi="Calibri" w:cs="Arial"/>
          <w:b/>
          <w:color w:val="5D779D" w:themeColor="accent3"/>
          <w:kern w:val="32"/>
          <w:sz w:val="44"/>
          <w:szCs w:val="36"/>
        </w:rPr>
      </w:pPr>
      <w:r>
        <w:br w:type="page"/>
      </w:r>
    </w:p>
    <w:p w14:paraId="00D6307C" w14:textId="77777777" w:rsidR="00640952" w:rsidRDefault="00640952" w:rsidP="00640952">
      <w:pPr>
        <w:pStyle w:val="Heading1"/>
      </w:pPr>
      <w:bookmarkStart w:id="4" w:name="_Toc114831806"/>
      <w:bookmarkEnd w:id="1"/>
      <w:bookmarkEnd w:id="2"/>
      <w:r>
        <w:lastRenderedPageBreak/>
        <w:t>Purpose of this paper</w:t>
      </w:r>
      <w:bookmarkEnd w:id="4"/>
    </w:p>
    <w:p w14:paraId="340EC077" w14:textId="6EFC55EF" w:rsidR="00640952" w:rsidRDefault="00640952" w:rsidP="00640952">
      <w:r w:rsidRPr="004F46C9">
        <w:t>This paper sets out</w:t>
      </w:r>
      <w:r>
        <w:t xml:space="preserve"> a summary of the proposed amendments to the </w:t>
      </w:r>
      <w:r w:rsidRPr="00E90ABC">
        <w:rPr>
          <w:i/>
        </w:rPr>
        <w:t>Competition and Consumer Act</w:t>
      </w:r>
      <w:r>
        <w:t xml:space="preserve"> </w:t>
      </w:r>
      <w:r w:rsidRPr="00F80A55">
        <w:rPr>
          <w:i/>
        </w:rPr>
        <w:t>2010</w:t>
      </w:r>
      <w:r>
        <w:t xml:space="preserve"> that would expand the Consumer Data Right (CDR) </w:t>
      </w:r>
      <w:r w:rsidR="00F04F01">
        <w:t xml:space="preserve">to enable </w:t>
      </w:r>
      <w:r>
        <w:t xml:space="preserve">action initiation. It explains how the proposed amendments would build on CDR </w:t>
      </w:r>
      <w:r w:rsidR="00C44F5D">
        <w:t>data-sharing</w:t>
      </w:r>
      <w:r>
        <w:t xml:space="preserve"> to enable consumers to initiate actions safely and securely in the CDR.</w:t>
      </w:r>
    </w:p>
    <w:p w14:paraId="34FA70A5" w14:textId="77777777" w:rsidR="00640952" w:rsidRDefault="00640952" w:rsidP="00640952">
      <w:r>
        <w:t xml:space="preserve">The Government welcomes views on the exposure draft legislation via submissions to inform the final bill. </w:t>
      </w:r>
    </w:p>
    <w:p w14:paraId="06C04000" w14:textId="266F8B20" w:rsidR="00640952" w:rsidRPr="004F46C9" w:rsidRDefault="00640952" w:rsidP="00640952">
      <w:r>
        <w:t xml:space="preserve">This document is not a legal description of the bill. </w:t>
      </w:r>
      <w:r w:rsidR="00377CA0">
        <w:t>Separate e</w:t>
      </w:r>
      <w:r>
        <w:t xml:space="preserve">xplanatory material will be prepared </w:t>
      </w:r>
      <w:r w:rsidR="00377CA0">
        <w:t>to</w:t>
      </w:r>
      <w:r>
        <w:t xml:space="preserve"> expand on the information provided in this paper.</w:t>
      </w:r>
    </w:p>
    <w:p w14:paraId="0241D24D" w14:textId="48FF3911" w:rsidR="00532DF7" w:rsidRPr="00532DF7" w:rsidRDefault="00532DF7" w:rsidP="00532DF7">
      <w:pPr>
        <w:pStyle w:val="Heading1"/>
      </w:pPr>
      <w:bookmarkStart w:id="5" w:name="_Toc114831807"/>
      <w:r w:rsidRPr="00532DF7">
        <w:t xml:space="preserve">Action initiation </w:t>
      </w:r>
      <w:r w:rsidR="005314E3">
        <w:t>i</w:t>
      </w:r>
      <w:r w:rsidRPr="00532DF7">
        <w:t>n the CDR</w:t>
      </w:r>
      <w:bookmarkEnd w:id="5"/>
    </w:p>
    <w:p w14:paraId="56A7D5DB" w14:textId="39CCFD5A" w:rsidR="00B35456" w:rsidRDefault="00FC2E80" w:rsidP="00532DF7">
      <w:pPr>
        <w:rPr>
          <w:rFonts w:cstheme="minorHAnsi"/>
          <w:color w:val="313131"/>
          <w:shd w:val="clear" w:color="auto" w:fill="FFFFFF"/>
        </w:rPr>
      </w:pPr>
      <w:r>
        <w:rPr>
          <w:rFonts w:cstheme="minorHAnsi"/>
          <w:color w:val="313131"/>
          <w:shd w:val="clear" w:color="auto" w:fill="FFFFFF"/>
        </w:rPr>
        <w:t>T</w:t>
      </w:r>
      <w:r w:rsidR="00C44F5D">
        <w:rPr>
          <w:rFonts w:cstheme="minorHAnsi"/>
          <w:color w:val="313131"/>
          <w:shd w:val="clear" w:color="auto" w:fill="FFFFFF"/>
        </w:rPr>
        <w:t>he</w:t>
      </w:r>
      <w:r w:rsidR="00C44F5D" w:rsidRPr="00C44F5D">
        <w:t xml:space="preserve"> </w:t>
      </w:r>
      <w:r w:rsidR="00C44F5D" w:rsidRPr="008F5024">
        <w:rPr>
          <w:rFonts w:cstheme="minorHAnsi"/>
          <w:i/>
          <w:iCs/>
          <w:color w:val="313131"/>
          <w:shd w:val="clear" w:color="auto" w:fill="FFFFFF"/>
        </w:rPr>
        <w:t xml:space="preserve">Inquiry into the Future Directions </w:t>
      </w:r>
      <w:r w:rsidR="003439EF" w:rsidRPr="008F5024">
        <w:rPr>
          <w:rFonts w:cstheme="minorHAnsi"/>
          <w:i/>
          <w:iCs/>
          <w:color w:val="313131"/>
          <w:shd w:val="clear" w:color="auto" w:fill="FFFFFF"/>
        </w:rPr>
        <w:t>for</w:t>
      </w:r>
      <w:r w:rsidR="00C44F5D" w:rsidRPr="008F5024">
        <w:rPr>
          <w:rFonts w:cstheme="minorHAnsi"/>
          <w:i/>
          <w:iCs/>
          <w:color w:val="313131"/>
          <w:shd w:val="clear" w:color="auto" w:fill="FFFFFF"/>
        </w:rPr>
        <w:t xml:space="preserve"> the Consumer Data Right</w:t>
      </w:r>
      <w:r>
        <w:rPr>
          <w:rFonts w:cstheme="minorHAnsi"/>
          <w:color w:val="313131"/>
          <w:shd w:val="clear" w:color="auto" w:fill="FFFFFF"/>
        </w:rPr>
        <w:t xml:space="preserve"> recommended</w:t>
      </w:r>
      <w:r w:rsidR="00B35456" w:rsidRPr="00B35456">
        <w:rPr>
          <w:rFonts w:cstheme="minorHAnsi"/>
          <w:color w:val="313131"/>
          <w:shd w:val="clear" w:color="auto" w:fill="FFFFFF"/>
        </w:rPr>
        <w:t xml:space="preserve"> strengthening and deepening the CDR’s functionality and use through the implementation of third-party action initiation reforms</w:t>
      </w:r>
      <w:r w:rsidR="00B35456">
        <w:rPr>
          <w:rFonts w:cstheme="minorHAnsi"/>
          <w:color w:val="313131"/>
          <w:shd w:val="clear" w:color="auto" w:fill="FFFFFF"/>
        </w:rPr>
        <w:t>.</w:t>
      </w:r>
      <w:r w:rsidRPr="00021B5B">
        <w:rPr>
          <w:rStyle w:val="FootnoteReference"/>
          <w:rFonts w:cstheme="minorHAnsi"/>
          <w:color w:val="313131"/>
          <w:shd w:val="clear" w:color="auto" w:fill="FFFFFF"/>
          <w:vertAlign w:val="superscript"/>
        </w:rPr>
        <w:footnoteReference w:id="2"/>
      </w:r>
      <w:r w:rsidR="00B35456">
        <w:rPr>
          <w:rFonts w:cstheme="minorHAnsi"/>
          <w:color w:val="313131"/>
          <w:shd w:val="clear" w:color="auto" w:fill="FFFFFF"/>
        </w:rPr>
        <w:t xml:space="preserve"> The </w:t>
      </w:r>
      <w:r w:rsidR="00B35456" w:rsidRPr="00B35456">
        <w:rPr>
          <w:rFonts w:cstheme="minorHAnsi"/>
          <w:color w:val="313131"/>
          <w:shd w:val="clear" w:color="auto" w:fill="FFFFFF"/>
        </w:rPr>
        <w:t xml:space="preserve">proposed bill </w:t>
      </w:r>
      <w:r w:rsidR="00B35456">
        <w:rPr>
          <w:rFonts w:cstheme="minorHAnsi"/>
          <w:color w:val="313131"/>
          <w:shd w:val="clear" w:color="auto" w:fill="FFFFFF"/>
        </w:rPr>
        <w:t>would enable</w:t>
      </w:r>
      <w:r w:rsidR="00B35456" w:rsidRPr="00B35456">
        <w:rPr>
          <w:rFonts w:cstheme="minorHAnsi"/>
          <w:color w:val="313131"/>
          <w:shd w:val="clear" w:color="auto" w:fill="FFFFFF"/>
        </w:rPr>
        <w:t xml:space="preserve"> action initiation in the CDR. </w:t>
      </w:r>
    </w:p>
    <w:p w14:paraId="0A212FFC" w14:textId="307CBB40" w:rsidR="00532DF7" w:rsidRPr="00532DF7" w:rsidRDefault="00B35456" w:rsidP="00532DF7">
      <w:pPr>
        <w:rPr>
          <w:rFonts w:cstheme="minorHAnsi"/>
          <w:color w:val="313131"/>
          <w:shd w:val="clear" w:color="auto" w:fill="FFFFFF"/>
        </w:rPr>
      </w:pPr>
      <w:r>
        <w:rPr>
          <w:rFonts w:cstheme="minorHAnsi"/>
          <w:color w:val="313131"/>
          <w:shd w:val="clear" w:color="auto" w:fill="FFFFFF"/>
        </w:rPr>
        <w:t xml:space="preserve">As envisaged by the </w:t>
      </w:r>
      <w:r w:rsidR="006D0379">
        <w:rPr>
          <w:rFonts w:cstheme="minorHAnsi"/>
          <w:color w:val="313131"/>
          <w:shd w:val="clear" w:color="auto" w:fill="FFFFFF"/>
        </w:rPr>
        <w:t>i</w:t>
      </w:r>
      <w:r>
        <w:rPr>
          <w:rFonts w:cstheme="minorHAnsi"/>
          <w:color w:val="313131"/>
          <w:shd w:val="clear" w:color="auto" w:fill="FFFFFF"/>
        </w:rPr>
        <w:t xml:space="preserve">nquiry, </w:t>
      </w:r>
      <w:r w:rsidR="00C44F5D">
        <w:rPr>
          <w:rFonts w:cstheme="minorHAnsi"/>
          <w:color w:val="313131"/>
          <w:shd w:val="clear" w:color="auto" w:fill="FFFFFF"/>
        </w:rPr>
        <w:t>a</w:t>
      </w:r>
      <w:r w:rsidR="00532DF7" w:rsidRPr="00532DF7">
        <w:rPr>
          <w:rFonts w:cstheme="minorHAnsi"/>
          <w:color w:val="313131"/>
          <w:shd w:val="clear" w:color="auto" w:fill="FFFFFF"/>
        </w:rPr>
        <w:t xml:space="preserve">ction initiation would create a new channel for consumers to instruct a business to initiate actions on their behalf and with their consent. These actions could include making a payment, opening and closing an account, switching </w:t>
      </w:r>
      <w:r w:rsidR="004A5B26">
        <w:rPr>
          <w:rFonts w:cstheme="minorHAnsi"/>
          <w:color w:val="313131"/>
          <w:shd w:val="clear" w:color="auto" w:fill="FFFFFF"/>
        </w:rPr>
        <w:t xml:space="preserve">providers </w:t>
      </w:r>
      <w:r w:rsidR="00532DF7" w:rsidRPr="00532DF7">
        <w:rPr>
          <w:rFonts w:cstheme="minorHAnsi"/>
          <w:color w:val="313131"/>
          <w:shd w:val="clear" w:color="auto" w:fill="FFFFFF"/>
        </w:rPr>
        <w:t xml:space="preserve">and updating personal details </w:t>
      </w:r>
      <w:r w:rsidR="00F04F01">
        <w:rPr>
          <w:rFonts w:cstheme="minorHAnsi"/>
          <w:color w:val="313131"/>
          <w:shd w:val="clear" w:color="auto" w:fill="FFFFFF"/>
        </w:rPr>
        <w:t>(</w:t>
      </w:r>
      <w:r w:rsidR="00532DF7" w:rsidRPr="00532DF7">
        <w:rPr>
          <w:rFonts w:cstheme="minorHAnsi"/>
          <w:color w:val="313131"/>
          <w:shd w:val="clear" w:color="auto" w:fill="FFFFFF"/>
        </w:rPr>
        <w:t>such as address</w:t>
      </w:r>
      <w:r w:rsidR="00F04F01">
        <w:rPr>
          <w:rFonts w:cstheme="minorHAnsi"/>
          <w:color w:val="313131"/>
          <w:shd w:val="clear" w:color="auto" w:fill="FFFFFF"/>
        </w:rPr>
        <w:t>)</w:t>
      </w:r>
      <w:r w:rsidR="00532DF7" w:rsidRPr="00532DF7">
        <w:rPr>
          <w:rFonts w:cstheme="minorHAnsi"/>
          <w:color w:val="313131"/>
          <w:shd w:val="clear" w:color="auto" w:fill="FFFFFF"/>
        </w:rPr>
        <w:t xml:space="preserve"> across providers.  </w:t>
      </w:r>
    </w:p>
    <w:p w14:paraId="4553457D" w14:textId="3C284856" w:rsidR="00D44D98" w:rsidRDefault="00532DF7" w:rsidP="00532DF7">
      <w:pPr>
        <w:rPr>
          <w:rFonts w:cstheme="minorHAnsi"/>
          <w:color w:val="313131"/>
          <w:shd w:val="clear" w:color="auto" w:fill="FFFFFF"/>
        </w:rPr>
      </w:pPr>
      <w:r w:rsidRPr="00532DF7">
        <w:rPr>
          <w:rFonts w:cstheme="minorHAnsi"/>
          <w:color w:val="313131"/>
          <w:shd w:val="clear" w:color="auto" w:fill="FFFFFF"/>
        </w:rPr>
        <w:t xml:space="preserve">Action initiation would expand the CDR from a </w:t>
      </w:r>
      <w:r w:rsidR="00C44F5D">
        <w:rPr>
          <w:rFonts w:cstheme="minorHAnsi"/>
          <w:color w:val="313131"/>
          <w:shd w:val="clear" w:color="auto" w:fill="FFFFFF"/>
        </w:rPr>
        <w:t>data-sharing</w:t>
      </w:r>
      <w:r w:rsidRPr="00532DF7">
        <w:rPr>
          <w:rFonts w:cstheme="minorHAnsi"/>
          <w:color w:val="313131"/>
          <w:shd w:val="clear" w:color="auto" w:fill="FFFFFF"/>
        </w:rPr>
        <w:t xml:space="preserve"> scheme to a scheme that allows consumers to act on insights they receive. </w:t>
      </w:r>
      <w:r w:rsidR="00F04F01">
        <w:rPr>
          <w:rFonts w:cstheme="minorHAnsi"/>
          <w:color w:val="313131"/>
          <w:shd w:val="clear" w:color="auto" w:fill="FFFFFF"/>
        </w:rPr>
        <w:t>T</w:t>
      </w:r>
      <w:r w:rsidRPr="00532DF7">
        <w:rPr>
          <w:rFonts w:cstheme="minorHAnsi"/>
          <w:color w:val="313131"/>
          <w:shd w:val="clear" w:color="auto" w:fill="FFFFFF"/>
        </w:rPr>
        <w:t>he CDR gives consumers control over their data, helping Australians make better use of their money by making it safe to use transaction data to simplify complex financial decisions and take advantage of data-enabled innovations. Increasing functionality of the scheme to include action initiation would empower consumers to authorise, manage and facilitate actions securely in the digital economy</w:t>
      </w:r>
      <w:r w:rsidR="00572458">
        <w:rPr>
          <w:rFonts w:cstheme="minorHAnsi"/>
          <w:color w:val="313131"/>
          <w:shd w:val="clear" w:color="auto" w:fill="FFFFFF"/>
        </w:rPr>
        <w:t>.</w:t>
      </w:r>
    </w:p>
    <w:p w14:paraId="2580681A" w14:textId="4E824212" w:rsidR="006C7884" w:rsidRDefault="00D44D98" w:rsidP="00532DF7">
      <w:r>
        <w:t xml:space="preserve">Action initiation </w:t>
      </w:r>
      <w:r w:rsidR="00C44F5D">
        <w:t>is made up of</w:t>
      </w:r>
      <w:r>
        <w:t xml:space="preserve"> two parts: the instruction layer and the action layer. The instruction layer would sit within the CDR scheme and enable a consumer to give consent for a third party</w:t>
      </w:r>
      <w:r w:rsidR="00D62EAB">
        <w:t>, known as an Accredited Action Initiator,</w:t>
      </w:r>
      <w:r>
        <w:t xml:space="preserve"> to send an action initiation </w:t>
      </w:r>
      <w:r w:rsidR="00A11E67">
        <w:t>request</w:t>
      </w:r>
      <w:r>
        <w:t xml:space="preserve"> to an Action Service Provider</w:t>
      </w:r>
      <w:r w:rsidR="004A5B26">
        <w:t xml:space="preserve"> (refer to ‘Key features of the legislation’ for an explanation of the different entities)</w:t>
      </w:r>
      <w:r>
        <w:t>. The Action Service Provider would then authenticate the consumer and carry out the action as they would if the request came directly from the consumer. The Action Service Provider would carry out the action in the action layer, which would be outside the scope of the CDR</w:t>
      </w:r>
      <w:r w:rsidR="00023C3F">
        <w:t>.</w:t>
      </w:r>
      <w:r w:rsidR="00D862F7">
        <w:t xml:space="preserve"> </w:t>
      </w:r>
    </w:p>
    <w:p w14:paraId="389324F0" w14:textId="1896889B" w:rsidR="00C43087" w:rsidRPr="00563D11" w:rsidRDefault="00C37CFB" w:rsidP="002059CC">
      <w:pPr>
        <w:pStyle w:val="ChartMainHeading"/>
        <w:spacing w:after="120"/>
        <w:ind w:left="142"/>
        <w:jc w:val="left"/>
      </w:pPr>
      <w:bookmarkStart w:id="6" w:name="_Toc114831808"/>
      <w:r w:rsidRPr="008F5024">
        <w:rPr>
          <w:color w:val="auto"/>
        </w:rPr>
        <w:lastRenderedPageBreak/>
        <w:t xml:space="preserve">Figure: Action </w:t>
      </w:r>
      <w:r w:rsidR="004E7E50" w:rsidRPr="008F5024">
        <w:rPr>
          <w:color w:val="auto"/>
        </w:rPr>
        <w:t xml:space="preserve">initiation </w:t>
      </w:r>
      <w:r w:rsidRPr="008F5024">
        <w:rPr>
          <w:color w:val="auto"/>
        </w:rPr>
        <w:t>in the CDR</w:t>
      </w:r>
      <w:bookmarkEnd w:id="6"/>
    </w:p>
    <w:p w14:paraId="7D4ACF0D" w14:textId="7F2207FC" w:rsidR="00886A7A" w:rsidRDefault="00FC2E80" w:rsidP="00532DF7">
      <w:r w:rsidRPr="00DC1AE9">
        <w:rPr>
          <w:noProof/>
        </w:rPr>
        <mc:AlternateContent>
          <mc:Choice Requires="wpg">
            <w:drawing>
              <wp:inline distT="0" distB="0" distL="0" distR="0" wp14:anchorId="013A0D4F" wp14:editId="10304021">
                <wp:extent cx="4823370" cy="2511428"/>
                <wp:effectExtent l="0" t="0" r="0" b="0"/>
                <wp:docPr id="18" name="Group 1"/>
                <wp:cNvGraphicFramePr/>
                <a:graphic xmlns:a="http://schemas.openxmlformats.org/drawingml/2006/main">
                  <a:graphicData uri="http://schemas.microsoft.com/office/word/2010/wordprocessingGroup">
                    <wpg:wgp>
                      <wpg:cNvGrpSpPr/>
                      <wpg:grpSpPr>
                        <a:xfrm>
                          <a:off x="0" y="0"/>
                          <a:ext cx="4823370" cy="2511428"/>
                          <a:chOff x="-18474" y="0"/>
                          <a:chExt cx="4823370" cy="2511428"/>
                        </a:xfrm>
                      </wpg:grpSpPr>
                      <wpg:grpSp>
                        <wpg:cNvPr id="20" name="Group 20"/>
                        <wpg:cNvGrpSpPr/>
                        <wpg:grpSpPr>
                          <a:xfrm>
                            <a:off x="-18474" y="0"/>
                            <a:ext cx="4823370" cy="2511428"/>
                            <a:chOff x="-18474" y="0"/>
                            <a:chExt cx="4823370" cy="2511428"/>
                          </a:xfrm>
                        </wpg:grpSpPr>
                        <wps:wsp>
                          <wps:cNvPr id="21" name="Rectangle: Rounded Corners 21"/>
                          <wps:cNvSpPr/>
                          <wps:spPr>
                            <a:xfrm>
                              <a:off x="3021798" y="0"/>
                              <a:ext cx="1755548" cy="2037144"/>
                            </a:xfrm>
                            <a:prstGeom prst="roundRect">
                              <a:avLst/>
                            </a:prstGeom>
                            <a:solidFill>
                              <a:sysClr val="window" lastClr="FFFFFF">
                                <a:lumMod val="95000"/>
                              </a:sysClr>
                            </a:solidFill>
                            <a:ln w="12700" cap="flat" cmpd="sng" algn="ctr">
                              <a:solidFill>
                                <a:srgbClr val="4472C4">
                                  <a:shade val="50000"/>
                                </a:srgbClr>
                              </a:solidFill>
                              <a:prstDash val="dash"/>
                              <a:miter lim="800000"/>
                            </a:ln>
                            <a:effectLst/>
                          </wps:spPr>
                          <wps:bodyPr rtlCol="0" anchor="ctr"/>
                        </wps:wsp>
                        <wps:wsp>
                          <wps:cNvPr id="22" name="Rectangle: Rounded Corners 22"/>
                          <wps:cNvSpPr/>
                          <wps:spPr>
                            <a:xfrm>
                              <a:off x="0" y="3400"/>
                              <a:ext cx="3021795" cy="2032288"/>
                            </a:xfrm>
                            <a:prstGeom prst="roundRect">
                              <a:avLst/>
                            </a:prstGeom>
                            <a:solidFill>
                              <a:srgbClr val="5B9BD5">
                                <a:lumMod val="20000"/>
                                <a:lumOff val="80000"/>
                              </a:srgbClr>
                            </a:solidFill>
                            <a:ln w="12700" cap="flat" cmpd="sng" algn="ctr">
                              <a:solidFill>
                                <a:srgbClr val="4472C4">
                                  <a:shade val="50000"/>
                                </a:srgbClr>
                              </a:solidFill>
                              <a:prstDash val="dash"/>
                              <a:miter lim="800000"/>
                            </a:ln>
                            <a:effectLst/>
                          </wps:spPr>
                          <wps:bodyPr rtlCol="0" anchor="ctr"/>
                        </wps:wsp>
                        <pic:pic xmlns:pic="http://schemas.openxmlformats.org/drawingml/2006/picture">
                          <pic:nvPicPr>
                            <pic:cNvPr id="23" name="Graphic 104" descr="Female Profile outli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92872" y="579457"/>
                              <a:ext cx="622238" cy="753506"/>
                            </a:xfrm>
                            <a:prstGeom prst="rect">
                              <a:avLst/>
                            </a:prstGeom>
                          </pic:spPr>
                        </pic:pic>
                        <wps:wsp>
                          <wps:cNvPr id="24" name="Straight Arrow Connector 24"/>
                          <wps:cNvCnPr>
                            <a:cxnSpLocks/>
                          </wps:cNvCnPr>
                          <wps:spPr>
                            <a:xfrm>
                              <a:off x="3289665" y="1023658"/>
                              <a:ext cx="799597" cy="65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TextBox 112"/>
                          <wps:cNvSpPr txBox="1"/>
                          <wps:spPr>
                            <a:xfrm>
                              <a:off x="50634" y="1187488"/>
                              <a:ext cx="740230" cy="279362"/>
                            </a:xfrm>
                            <a:prstGeom prst="rect">
                              <a:avLst/>
                            </a:prstGeom>
                            <a:noFill/>
                          </wps:spPr>
                          <wps:txbx>
                            <w:txbxContent>
                              <w:p w14:paraId="7B756D07"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Consumer</w:t>
                                </w:r>
                              </w:p>
                            </w:txbxContent>
                          </wps:txbx>
                          <wps:bodyPr wrap="square" rtlCol="0">
                            <a:noAutofit/>
                          </wps:bodyPr>
                        </wps:wsp>
                        <pic:pic xmlns:pic="http://schemas.openxmlformats.org/drawingml/2006/picture">
                          <pic:nvPicPr>
                            <pic:cNvPr id="26" name="Graphic 113" descr="Smart Phone with solid fill"/>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1341346" y="689467"/>
                              <a:ext cx="596834" cy="643475"/>
                            </a:xfrm>
                            <a:prstGeom prst="rect">
                              <a:avLst/>
                            </a:prstGeom>
                          </pic:spPr>
                        </pic:pic>
                        <wps:wsp>
                          <wps:cNvPr id="27" name="Straight Arrow Connector 27"/>
                          <wps:cNvCnPr>
                            <a:cxnSpLocks/>
                          </wps:cNvCnPr>
                          <wps:spPr>
                            <a:xfrm>
                              <a:off x="650466" y="1007069"/>
                              <a:ext cx="690880" cy="5080"/>
                            </a:xfrm>
                            <a:prstGeom prst="straightConnector1">
                              <a:avLst/>
                            </a:prstGeom>
                            <a:ln>
                              <a:solidFill>
                                <a:schemeClr val="tx1">
                                  <a:lumMod val="95000"/>
                                  <a:lumOff val="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TextBox 12"/>
                          <wps:cNvSpPr txBox="1"/>
                          <wps:spPr>
                            <a:xfrm>
                              <a:off x="1160831" y="1222923"/>
                              <a:ext cx="972020" cy="597535"/>
                            </a:xfrm>
                            <a:prstGeom prst="rect">
                              <a:avLst/>
                            </a:prstGeom>
                            <a:noFill/>
                          </wps:spPr>
                          <wps:txbx>
                            <w:txbxContent>
                              <w:p w14:paraId="62E49BDA"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Accredited Action Initiator</w:t>
                                </w:r>
                              </w:p>
                            </w:txbxContent>
                          </wps:txbx>
                          <wps:bodyPr wrap="square" rtlCol="0">
                            <a:noAutofit/>
                          </wps:bodyPr>
                        </wps:wsp>
                        <wps:wsp>
                          <wps:cNvPr id="30" name="TextBox 12"/>
                          <wps:cNvSpPr txBox="1"/>
                          <wps:spPr>
                            <a:xfrm>
                              <a:off x="2522329" y="1222932"/>
                              <a:ext cx="1052301" cy="597535"/>
                            </a:xfrm>
                            <a:prstGeom prst="rect">
                              <a:avLst/>
                            </a:prstGeom>
                            <a:noFill/>
                          </wps:spPr>
                          <wps:txbx>
                            <w:txbxContent>
                              <w:p w14:paraId="51EDF924"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Action Service Provider</w:t>
                                </w:r>
                              </w:p>
                            </w:txbxContent>
                          </wps:txbx>
                          <wps:bodyPr wrap="square" rtlCol="0">
                            <a:noAutofit/>
                          </wps:bodyPr>
                        </wps:wsp>
                        <pic:pic xmlns:pic="http://schemas.openxmlformats.org/drawingml/2006/picture">
                          <pic:nvPicPr>
                            <pic:cNvPr id="31" name="Graphic 16" descr="Court outline"/>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2695968" y="655450"/>
                              <a:ext cx="643299" cy="679767"/>
                            </a:xfrm>
                            <a:prstGeom prst="rect">
                              <a:avLst/>
                            </a:prstGeom>
                          </pic:spPr>
                        </pic:pic>
                        <wps:wsp>
                          <wps:cNvPr id="32" name="Straight Arrow Connector 32"/>
                          <wps:cNvCnPr>
                            <a:cxnSpLocks/>
                          </wps:cNvCnPr>
                          <wps:spPr>
                            <a:xfrm>
                              <a:off x="1927783" y="1018572"/>
                              <a:ext cx="690880" cy="5080"/>
                            </a:xfrm>
                            <a:prstGeom prst="straightConnector1">
                              <a:avLst/>
                            </a:prstGeom>
                            <a:ln>
                              <a:solidFill>
                                <a:schemeClr val="tx1">
                                  <a:lumMod val="95000"/>
                                  <a:lumOff val="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 name="TextBox 112"/>
                          <wps:cNvSpPr txBox="1"/>
                          <wps:spPr>
                            <a:xfrm>
                              <a:off x="4067062" y="1157403"/>
                              <a:ext cx="737834" cy="328497"/>
                            </a:xfrm>
                            <a:prstGeom prst="rect">
                              <a:avLst/>
                            </a:prstGeom>
                            <a:noFill/>
                          </wps:spPr>
                          <wps:txbx>
                            <w:txbxContent>
                              <w:p w14:paraId="73727BDE"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Consumer</w:t>
                                </w:r>
                              </w:p>
                            </w:txbxContent>
                          </wps:txbx>
                          <wps:bodyPr wrap="square" rtlCol="0">
                            <a:noAutofit/>
                          </wps:bodyPr>
                        </wps:wsp>
                        <pic:pic xmlns:pic="http://schemas.openxmlformats.org/drawingml/2006/picture">
                          <pic:nvPicPr>
                            <pic:cNvPr id="34" name="Graphic 104" descr="Female Profile outli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4113244" y="581706"/>
                              <a:ext cx="622238" cy="753506"/>
                            </a:xfrm>
                            <a:prstGeom prst="rect">
                              <a:avLst/>
                            </a:prstGeom>
                          </pic:spPr>
                        </pic:pic>
                        <wps:wsp>
                          <wps:cNvPr id="35" name="TextBox 42"/>
                          <wps:cNvSpPr txBox="1"/>
                          <wps:spPr>
                            <a:xfrm>
                              <a:off x="-18474" y="2035688"/>
                              <a:ext cx="3030907" cy="459105"/>
                            </a:xfrm>
                            <a:prstGeom prst="rect">
                              <a:avLst/>
                            </a:prstGeom>
                            <a:noFill/>
                          </wps:spPr>
                          <wps:txbx>
                            <w:txbxContent>
                              <w:p w14:paraId="435936E6" w14:textId="1675F144" w:rsidR="00DC1AE9" w:rsidRPr="008F5024" w:rsidRDefault="00DC1AE9" w:rsidP="008F5024">
                                <w:pPr>
                                  <w:spacing w:after="160" w:line="256" w:lineRule="auto"/>
                                  <w:jc w:val="center"/>
                                  <w:rPr>
                                    <w:rFonts w:ascii="Calibri" w:eastAsia="Calibri" w:hAnsi="Calibri"/>
                                    <w:b/>
                                    <w:bCs/>
                                    <w:color w:val="000000"/>
                                    <w:kern w:val="24"/>
                                    <w:sz w:val="28"/>
                                    <w:szCs w:val="28"/>
                                  </w:rPr>
                                </w:pPr>
                                <w:r w:rsidRPr="008F5024">
                                  <w:rPr>
                                    <w:rFonts w:ascii="Calibri" w:eastAsia="Calibri" w:hAnsi="Calibri"/>
                                    <w:b/>
                                    <w:bCs/>
                                    <w:color w:val="000000"/>
                                    <w:kern w:val="24"/>
                                    <w:sz w:val="28"/>
                                    <w:szCs w:val="28"/>
                                  </w:rPr>
                                  <w:t xml:space="preserve">Instruction </w:t>
                                </w:r>
                                <w:r w:rsidR="004A5B26" w:rsidRPr="008F5024">
                                  <w:rPr>
                                    <w:rFonts w:ascii="Calibri" w:eastAsia="Calibri" w:hAnsi="Calibri"/>
                                    <w:b/>
                                    <w:bCs/>
                                    <w:color w:val="000000"/>
                                    <w:kern w:val="24"/>
                                    <w:sz w:val="28"/>
                                    <w:szCs w:val="28"/>
                                  </w:rPr>
                                  <w:t>l</w:t>
                                </w:r>
                                <w:r w:rsidRPr="008F5024">
                                  <w:rPr>
                                    <w:rFonts w:ascii="Calibri" w:eastAsia="Calibri" w:hAnsi="Calibri"/>
                                    <w:b/>
                                    <w:bCs/>
                                    <w:color w:val="000000"/>
                                    <w:kern w:val="24"/>
                                    <w:sz w:val="28"/>
                                    <w:szCs w:val="28"/>
                                  </w:rPr>
                                  <w:t>ayer</w:t>
                                </w:r>
                              </w:p>
                            </w:txbxContent>
                          </wps:txbx>
                          <wps:bodyPr wrap="square" rtlCol="0">
                            <a:noAutofit/>
                          </wps:bodyPr>
                        </wps:wsp>
                        <wps:wsp>
                          <wps:cNvPr id="36" name="TextBox 43"/>
                          <wps:cNvSpPr txBox="1"/>
                          <wps:spPr>
                            <a:xfrm>
                              <a:off x="2992581" y="2052323"/>
                              <a:ext cx="1773185" cy="459105"/>
                            </a:xfrm>
                            <a:prstGeom prst="rect">
                              <a:avLst/>
                            </a:prstGeom>
                            <a:noFill/>
                          </wps:spPr>
                          <wps:txbx>
                            <w:txbxContent>
                              <w:p w14:paraId="065348DD" w14:textId="45B58BA1" w:rsidR="00DC1AE9" w:rsidRPr="008F5024" w:rsidRDefault="00DC1AE9" w:rsidP="008F5024">
                                <w:pPr>
                                  <w:spacing w:after="160" w:line="256" w:lineRule="auto"/>
                                  <w:jc w:val="center"/>
                                  <w:rPr>
                                    <w:rFonts w:ascii="Calibri" w:eastAsia="Calibri" w:hAnsi="Calibri"/>
                                    <w:b/>
                                    <w:bCs/>
                                    <w:color w:val="000000"/>
                                    <w:kern w:val="24"/>
                                    <w:sz w:val="28"/>
                                    <w:szCs w:val="28"/>
                                  </w:rPr>
                                </w:pPr>
                                <w:r w:rsidRPr="008F5024">
                                  <w:rPr>
                                    <w:rFonts w:ascii="Calibri" w:eastAsia="Calibri" w:hAnsi="Calibri"/>
                                    <w:b/>
                                    <w:bCs/>
                                    <w:color w:val="000000"/>
                                    <w:kern w:val="24"/>
                                    <w:sz w:val="28"/>
                                    <w:szCs w:val="28"/>
                                  </w:rPr>
                                  <w:t xml:space="preserve">Action </w:t>
                                </w:r>
                                <w:r w:rsidR="004A5B26" w:rsidRPr="008F5024">
                                  <w:rPr>
                                    <w:rFonts w:ascii="Calibri" w:eastAsia="Calibri" w:hAnsi="Calibri"/>
                                    <w:b/>
                                    <w:bCs/>
                                    <w:color w:val="000000"/>
                                    <w:kern w:val="24"/>
                                    <w:sz w:val="28"/>
                                    <w:szCs w:val="28"/>
                                  </w:rPr>
                                  <w:t>l</w:t>
                                </w:r>
                                <w:r w:rsidRPr="008F5024">
                                  <w:rPr>
                                    <w:rFonts w:ascii="Calibri" w:eastAsia="Calibri" w:hAnsi="Calibri"/>
                                    <w:b/>
                                    <w:bCs/>
                                    <w:color w:val="000000"/>
                                    <w:kern w:val="24"/>
                                    <w:sz w:val="28"/>
                                    <w:szCs w:val="28"/>
                                  </w:rPr>
                                  <w:t>ayer</w:t>
                                </w:r>
                              </w:p>
                            </w:txbxContent>
                          </wps:txbx>
                          <wps:bodyPr wrap="square" rtlCol="0">
                            <a:noAutofit/>
                          </wps:bodyPr>
                        </wps:wsp>
                      </wpg:grpSp>
                      <wps:wsp>
                        <wps:cNvPr id="37" name="TextBox 131"/>
                        <wps:cNvSpPr txBox="1"/>
                        <wps:spPr>
                          <a:xfrm>
                            <a:off x="943821" y="181488"/>
                            <a:ext cx="1404620" cy="467995"/>
                          </a:xfrm>
                          <a:prstGeom prst="rect">
                            <a:avLst/>
                          </a:prstGeom>
                          <a:noFill/>
                        </wps:spPr>
                        <wps:txbx>
                          <w:txbxContent>
                            <w:p w14:paraId="7249AC0E" w14:textId="60BA75BB" w:rsidR="00DC1AE9" w:rsidRPr="008F5024" w:rsidRDefault="00DC1AE9" w:rsidP="00DC1AE9">
                              <w:pPr>
                                <w:spacing w:after="160" w:line="256" w:lineRule="auto"/>
                                <w:jc w:val="center"/>
                                <w:rPr>
                                  <w:rFonts w:ascii="Calibri" w:eastAsia="Calibri" w:hAnsi="Calibri"/>
                                  <w:i/>
                                  <w:iCs/>
                                  <w:color w:val="000000"/>
                                  <w:kern w:val="24"/>
                                  <w:sz w:val="24"/>
                                  <w:szCs w:val="24"/>
                                </w:rPr>
                              </w:pPr>
                              <w:r w:rsidRPr="008F5024">
                                <w:rPr>
                                  <w:rFonts w:ascii="Calibri" w:eastAsia="Calibri" w:hAnsi="Calibri"/>
                                  <w:i/>
                                  <w:iCs/>
                                  <w:color w:val="000000"/>
                                  <w:kern w:val="24"/>
                                  <w:sz w:val="24"/>
                                  <w:szCs w:val="24"/>
                                </w:rPr>
                                <w:t xml:space="preserve">CDR </w:t>
                              </w:r>
                              <w:r w:rsidR="004A5B26">
                                <w:rPr>
                                  <w:rFonts w:ascii="Calibri" w:eastAsia="Calibri" w:hAnsi="Calibri"/>
                                  <w:i/>
                                  <w:iCs/>
                                  <w:color w:val="000000"/>
                                  <w:kern w:val="24"/>
                                  <w:sz w:val="24"/>
                                  <w:szCs w:val="24"/>
                                </w:rPr>
                                <w:t>s</w:t>
                              </w:r>
                              <w:r w:rsidRPr="008F5024">
                                <w:rPr>
                                  <w:rFonts w:ascii="Calibri" w:eastAsia="Calibri" w:hAnsi="Calibri"/>
                                  <w:i/>
                                  <w:iCs/>
                                  <w:color w:val="000000"/>
                                  <w:kern w:val="24"/>
                                  <w:sz w:val="24"/>
                                  <w:szCs w:val="24"/>
                                </w:rPr>
                                <w:t xml:space="preserve">cheme </w:t>
                              </w:r>
                            </w:p>
                          </w:txbxContent>
                        </wps:txbx>
                        <wps:bodyPr wrap="square" rtlCol="0">
                          <a:spAutoFit/>
                        </wps:bodyPr>
                      </wps:wsp>
                      <wps:wsp>
                        <wps:cNvPr id="38" name="TextBox 131"/>
                        <wps:cNvSpPr txBox="1"/>
                        <wps:spPr>
                          <a:xfrm>
                            <a:off x="3245340" y="17347"/>
                            <a:ext cx="1404620" cy="715645"/>
                          </a:xfrm>
                          <a:prstGeom prst="rect">
                            <a:avLst/>
                          </a:prstGeom>
                          <a:noFill/>
                        </wps:spPr>
                        <wps:txbx>
                          <w:txbxContent>
                            <w:p w14:paraId="1DB710BE" w14:textId="77777777" w:rsidR="00DC1AE9" w:rsidRDefault="00DC1AE9" w:rsidP="00DC1AE9">
                              <w:pPr>
                                <w:spacing w:after="160" w:line="256" w:lineRule="auto"/>
                                <w:jc w:val="center"/>
                                <w:rPr>
                                  <w:rFonts w:ascii="Calibri" w:eastAsia="Calibri" w:hAnsi="Calibri"/>
                                  <w:i/>
                                  <w:iCs/>
                                  <w:color w:val="000000"/>
                                  <w:kern w:val="24"/>
                                  <w:sz w:val="18"/>
                                  <w:szCs w:val="18"/>
                                </w:rPr>
                              </w:pPr>
                              <w:r>
                                <w:rPr>
                                  <w:rFonts w:ascii="Calibri" w:eastAsia="Calibri" w:hAnsi="Calibri"/>
                                  <w:i/>
                                  <w:iCs/>
                                  <w:color w:val="000000"/>
                                  <w:kern w:val="24"/>
                                  <w:sz w:val="18"/>
                                  <w:szCs w:val="18"/>
                                </w:rPr>
                                <w:t xml:space="preserve">Existing industry processes and regulation e.g. payments </w:t>
                              </w:r>
                            </w:p>
                          </w:txbxContent>
                        </wps:txbx>
                        <wps:bodyPr wrap="square" rtlCol="0">
                          <a:spAutoFit/>
                        </wps:bodyPr>
                      </wps:wsp>
                    </wpg:wgp>
                  </a:graphicData>
                </a:graphic>
              </wp:inline>
            </w:drawing>
          </mc:Choice>
          <mc:Fallback>
            <w:pict>
              <v:group w14:anchorId="013A0D4F" id="Group 1" o:spid="_x0000_s1026" style="width:379.8pt;height:197.75pt;mso-position-horizontal-relative:char;mso-position-vertical-relative:line" coordorigin="-184" coordsize="48233,251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wt4rwcAAPMnAAAOAAAAZHJzL2Uyb0RvYy54bWzsWutu&#10;2zYY/T9g70Dof2tRdxlNizZpiwHdFjTdAzASbQmVRI2iY+ftd0jqEtuJc2mSol2LJpEskfr4Xc45&#10;/ORXbzZ1RS647ErRHDn0pesQ3mQiL5vlkfPPlw8vEod0ijU5q0TDj5xL3jlvXv/+26t1O+eeKESV&#10;c0kwSdPN1+2RUyjVzmezLit4zbqXouUNLi6ErJnCqVzOcsnWmL2uZp7rRrO1kHkrRca7Dp+e2IvO&#10;azP/YsEz9fdi0XFFqiMHtinzW5rf5/r37PUrNl9K1hZl1pvBHmBFzcoGDx2nOmGKkZUs96aqy0yK&#10;TizUy0zUM7FYlBk3a8BqqLuzmo9SrFqzluV8vWxHN8G1O3568LTZXxcfZXvWnkp4Yt0u4Qtzptey&#10;Wcha/4WVZGNcdjm6jG8UyfBhkHi+H8OzGa55IaWBl1inZgU8r8e9oEkQBw6ZBmfF+1uGz4anz7Zs&#10;Gk+srTD+VJIyx5NhQcNqJJjxGcF5v557LHDf0O+1StRCN4W7+7ZwnxWs5SaLuvkVj9HBY59RJKxZ&#10;VnxOPotVk/OcHAvZoKaJR60bzcAxSbp5h3y5JkN816NxioqfQj14kMZhGAa4ZPLE9WMaBHruMdBs&#10;3spOfeSiJvrgyEHuN7m2zdQVu/jUKXv/cJ82oBNVmX8oq8qcXHbHlSQXDLUOiMjF2iEV6xQ+PHI+&#10;mH9mrmpV/ylye18auq7JFRjSmfHGpq15q4asgW1ejDtJxoBSi4opHNYtUq9rlg5h1RLwlylpHrA1&#10;upPL89GsIIi948DeVLCcWyO0DaMR9vZ9K/SyT1hX2CE5jmyd1aUCglZlfeQkep5hoqrRPuEGA3vf&#10;rdshdProXOSXKB+pqmNh0ZE1WSHgK70O7Wt9FxJRF9tzZKR3l4z07pWRCBhy0Q+sV+COHndspoZj&#10;OnpeYmDrUdPxauDDd+m7k3Av/UBhg2nISg2YJntNIPvy6PNnPyF+pWVbZnP89LyIoz2gvF0/YJRa&#10;Se70k9R3mqNm8uuqfQEKb5kqz8uqVJdGjiDA2qjm4rTMNETqkyuY6w8Z/rFXHNQFMea8yzRCQfFU&#10;nJxKsSjxV6xUVTZcZ8Ewi50TSFlmn0T2tSONOC4A3fxt1wIogVEmZ7Zvn+nTLYPOq7IdMFMf90uH&#10;CTuq4hrvWcVyIrJVzRtlJZjkgEPov64o284hcs7rcw5klH/kxiAgq5JcZYUGJKyt0qhusXy8YKyc&#10;DNM230AyqZfEQAqUdRinQRjrJU+FHXme5/c0E4d+6EZ9GQ1iZmCPgWUOEoyxytphDmHWc4Eh8sIK&#10;mjMlWbksFHkrpViDmpsGNgtJPEOgGpqRYceNZeRs05y1JjkGAB8v6jtv8KnvJWkUAQ7hVep6fhT2&#10;Im7AyzhNwzS2cBlpHrfhu8GpiKoxebSVGuC7gcMtUSlWVu+bnKjLFipOydJIkv45+hbDRtZ+sxJ1&#10;WXEd+ar5zBcQgVCa9jFm78BHys2/2qro75xysB/kGttuHGTzdWFyzHDp+LRbBlrmxd3miaJR48C6&#10;bEQvFPQ2ZzJVbQZTF/b+YdV2rXrZlrSH2D4jOSM5bD5+QU68ExtC6S4VE7XBhR6FDmQbitK3+wFK&#10;kziwzDuVcBwgA4cdRZz6kXnOAWY+WMJs3ggNdoPLpgxSm/MNPp28StZAZQi6f1dME8IkjHQEG/F2&#10;pYDMBrimMVdVkgYt/Pw4dBQNMR3piIKhejo6A8kpclpg207WpSqIUbVE14OuSr1YzWw/Hif52vzH&#10;5STqB/gPdwI/oyQNoh1WCtMo0SmvNz9R4AdxeBhA5cGU/o6sBAq4jZXM0nWBjMTD5g9jpSh0g8g6&#10;lbpu7EapjdxASlHqJkkPFKGLI13jQ+Ngbz/5EFLa3sjtg7XOo2t3k+bjUc5f3WMOkxhTt+YvOMuv&#10;Z0A2fzJ2ZFkGHTfQjuFSw1dGpR1iyO2B92TJ7cE/GVNCfe4w5UOJktLITXw0arQsg7BNvR67hgpI&#10;Y8/VrS+NK9Bn0LuHa+AwrhymStNnM4kysd+3Mqae6ck7XVpLPFJAvBC7Cy+dAuKb0E7ahbohtAsi&#10;9mwRGXOrb+f8zzSMrg4b3FHDgDF6CXMsVpAwP8VG2hT244oWL8KeLrLd2gjN2dAQ6JTLECpeilw3&#10;oiVOYytqbibYw+Dy/UQLavQ20WLL+FFEC029OE4gozVmuzQJ0awwenPA7F+qxcq0b9nTb+uHX6rl&#10;Pi8Vr38d5I+tyW/f3wduBLFue3SUhtjP78iW2EeF9NshtJ4CdJYOSvfDyHIH2WKe/3iy5Ufb6Gtf&#10;75Dkr76zbUgbWrpT3zmg1Pfw0lIDe5hQZPgOrv8knWfsIXbkcjBqTGzpz/Dq966Nvisv1D3XD6Pd&#10;Tp/v+m7q9m3lIEyhnp8YCMaW+eOo5efZv4xtugGagxHP7hkQ6DkPuWty2NNbld0NJY1jH5rFir5n&#10;iYiJ+ONB8/R9kWd6UeOPLbEhOhR7EtCZXtM9w5MGfoKvXBjpmNC9xjgN0A8btvvoMeKdzBOXi4G4&#10;Owana3WD/MOhBrme6em3+/v9lwcHBIAf4ssDNiIx+rbbkL8VkJiGUfDUARmbq3fArzsExFQLvllm&#10;mpFL+05af3Xt6jmOr35X7/V/AAAA//8DAFBLAwQKAAAAAAAAACEA6noK454dAACeHQAAFAAAAGRy&#10;cy9tZWRpYS9pbWFnZTEucG5niVBORw0KGgoAAAANSUhEUgAAAYAAAAGACAYAAACkx7W/AAAAAXNS&#10;R0IArs4c6QAAAARnQU1BAACxjwv8YQUAAAAJcEhZcwAAOw4AADsOAcy2oYMAAB0zSURBVHhe7d0P&#10;tew4coDxgRAIgbAQAiEQAiEQlkEgBEIgBEIgBEIgJPfbGc1W+lV3ybZsS+3vd06d3Xnv9p9rWyWp&#10;JPv9JkmSJEmSJEmSJEmSJEmSJEmSJEmSJEmSJEmSJEmSJEmSJEmSJEmSJEmSJEmSJEmSJEmSJEmS&#10;JEmSJEm62T/8xD//Ef/6R/zbT/z7T/znT/zXT/x3CP67BX9P/Mcf8def+Jef+Kef+MefkCRNgET/&#10;l58gQZPgSeD/8xP/e0HQSdCh0LnQOUiSTkTCJ9lenex7gxkD342ZB99VknQAI3zKMDMm/CqYJfDd&#10;LR1JUqc2yqc+nyXWFYPOgHKRJOkFJZM20s8S6DcFpSLWLSTpsVpNn4S4WnlnRNDZ2RFIepQnjfZ7&#10;g5KXawWSvlZL/GeP9nl/Ope2K4eg/s7uHGYcLCyTbF+DPyf4GX6W0Tnft90/cMWahB2BpK/SEv8Z&#10;CZRk3xI9CZsEzuediQRNB8HvRMeQfa+jwe8jScsiETPyHpn4SfhtRw3JfhbMGtoNaaNmOLyPawSS&#10;lkNCHJX4Kecw2r5idD8KMwRKR9nvszX4/Wfq7CQpRYJmFJwlsi3B6Lcl/dUxWxlRKuJ4SNKUGPUf&#10;2dnTyjvf+igF1g6OlsQ4vi4SS5oGyZrR6d7a9zeN9nsd7Qh4vSTdiuTPLpwsSVVB4ieRfeNov9eR&#10;jsCdQpJuQyliT/Iy8f9qb0dgSUjS5SjXbE1YJv7angV0jqu7hCRdgsVekk6WjN4FWyJN/H32dq52&#10;ApJOxQ6dLcmfn/Vmpn2YLWXH9FPQOUvScFuTP1s6rU8fw6h+69ZaOwFJQ5HIe5M/P2etf6wtO604&#10;/paDJA1BIu8dhVryOQ/3SmTHPAvOg7MvSYf1jj5JOpSJdB7KO9mxz4JOu6ETZ1bA+aEjYbcRweJ8&#10;DP6Oz7DzkNS9EGnyvw6JPDsHWbCbiI6A85P9fRWs49BRuK4gPUzvoi9JxhHjtegE9ib1I8EswRKf&#10;9AA9T7AkCTk6vMeWmcDooCOw05e+FKO8rOG/BiUi3WfLmsAZwZqBpC/CgmHPnag+jGwOlOqy83NV&#10;sMbgtlPpS/RsN6TRu89/HnufyDoqLAVKX4CkXi0u8veO+ObSO2s7OywJSgvreRqlpZ85VesBdNzM&#10;3JgtcA5J1qz1xODPmAGyAaAaCLwL1wWkBfWO/t39MS9mZiR3EjjRbuzaW65jfYEdP9m18CnoTCQt&#10;pOemL0d3z0THsrUjcE1AWki175/Rvwu/z8bIPrs2suB6ca1IWgANNWvEMRz9C1wrrCVk18hr0AlI&#10;mhzJPWvALRz961XPneKEAwdpctUWQnaOSK96OwE3DkiT6in/uKCnd3rKQQ4gpElVu3+YHWgedMaU&#10;VUi8jMBJrnc+nI3Pza6b1/Bx4dKEqscIeOPXHFiDqW7U41zesVbTszuIzkrSZKr6vyO3+1Gm633U&#10;Az93RyfQsx7gWoA0kar+7+6f+1Hy4Txk5+ddUB66Ws9akrNJaSJV/d9p+704P1uTf4s7HsdQLQh7&#10;X4A0Eev/c+qp91dxx84bZivZd4nhc4KkSVj/nw/Jv+qYe+OO8l11Td3RMUlKZA00hot21+J4995c&#10;1RN33L/Rc1e5pJtVi3aM5HSdLTt9CBJptT7AGsLVmHVk3yWGAwvpZtXebReAr7N1sZefpTxXjbbv&#10;KrdUHdkdHZOkoNoB5ALw+Rgtb33OPjtt2giaTiD7mRZ3lVt6bliTdKNqodHdGueiPr+l5EMwK4sL&#10;u7OWW2btmCT9oVpsdAfQefbs72dUne3qmbHc0tMxZb+LpItUicOFuvFIelu3eNJRfEriVbnlrrWc&#10;qoNj0VvSDXpGaBprT8mHJFrNxKpyC3FHZ17dFWyJUbqJW0CvQ2fLKH1ryScu9n7C+1fvfUcZqJqZ&#10;3PGdJP2obtl3C+gYHOdqJJwFO4O21MirnUR0EFertqjynSXdoLoHwMZ5zN5RPz+/pzRSnU/i6pJL&#10;VZpyK6h0E6bfWaNsQfLSPntq/QSzriO1+uozmYlcyTKjNKlqes7faxtG/Vt3+LSgw91S8slUNXfi&#10;yq29VQdwR1lK0o+qZuwOjW04XlvLPQSvGZWU6UCyz4hx5aib2Uz2HVrYAUg3qUaqV44UV7Z3kZc4&#10;WvLJVB07cdXum6pDsgOQblJ1ACQ2vcfx2VvuIfGRhI+WfDLVqLvFFZ1Az4xE0g2qUat3aeZIant2&#10;97Q4Y9T/qmcWQFyxzpN9bowzOkFJhWrHyNlJajVHE38b9V+hZ+Td4uz7ParjZQcg3cAOoA8JisRd&#10;Ha9PwYj86kRX7fKK0XvH8R5VB+B1Jt3Akdln/P4k0b0LvASvvWsxne+/5btzPZxR9rMDkCaUNcYY&#10;T8XiLiP2KnF9Cl571iLvVpR4su+YxRmdQPY5MSTdIGuMMZ5kxGi/BQl3tgX03kVhYmQnwOg++4wW&#10;3gks3YCElzXIFiSBb8cxGDHabzFj4o967hJuMer8czyy929BhyvpYk/tAPi9qcmPSvoESeyq3T1H&#10;bVkYHvGgNjrY7L1bnL0DSVLiSVNzkj6PaSDZjEr6BO81S51/i56nhrY4+jiQ6rNGdDKSNvrmDqCV&#10;dlpNf2TSJ1ZN/FE1Mo9xpKzFccreswUzMUkX+6YO4OyE34L35TO+Zdsiib3nWB2p01clJ9YlJF1s&#10;1Q6AZE/ioo5/dsJvQelo9RH/O70zgb33MlS7jziHki42ewfwmuipFV+R7Fu00f6R8scqenYH7b0e&#10;qoflHV1jkLTDnR1ATO4kAEbXJKGW5K9M9K/xzaP9Tzjm2fGIsSdZcx1l79Vi78xC0gFXdgBX1OeP&#10;BEn/KaP9d+jwsmMTg3O3VdUBfMt6irSUKzoAEn/PyPLqIJGZ9H/Vc7fwlhF7dY0Rkm5wZgfAe1e1&#10;36ujJX3KO446cz2zgC3bNulcs/doMXKWKWmDszoARv3VtP+KaAmftQW+09Nq+ntVs4AtZaDqJjDO&#10;j6QbnNEB0OBJENn7nR2vZR0T/j49s4DeMpA3gUmTGt0BkHSvSv58DmsLJBCSjAl/rGoG15u4q9mE&#10;N4FJNxnZAZB8zyj7tETPegIje0o5Ltqerxq5c156eA+ANKlqqt/byEFyzt7jU7TETjASJOmQEFqS&#10;5/s5qr9HdW0QPeemGhR4D4B0k1EdADMJfjZ7j9egRu+C7Bqq5N0zE8teF4NrR9INRnUAVZ2X4L2c&#10;7q+Fzjo7ly2YsX1CB5G9rsWWGaakwUZ0ALxHNVLkfazbr6d6PhBlv0+qLaCUACXdKGuYMSrUcLPX&#10;xagSheZUnVvWbj6pOhB3AEk3yxpmjEq1W8RR3rpYq8nOaYvqJi53AEmTozyTNc4W1WJt1cgd5a2r&#10;quFXnbs7gKTJHe0AbOTf68h9ItVrCXcASTerEnjVSI++XvM6skmgWj/41HlIukiVwKvdO3YA3+tI&#10;B1CtDVULyJIuQB03a6At7ACeLTunMd5xbUhagB2APsnOaYx3quvCtSFpAtXdnmwF/MQO4HtVJSDO&#10;fYZznv18DK8LaQJ2AHqnSuTvtoFWC8Cf1g4kXaiq1VZT9aMlJM2rug/g3Y1g1ZNhXQCWJlE9yK26&#10;W/PoDELz2tsBVNeEjwaRJlE9r6V64uPR12te1aMgsn8VrFo3IFwAliZRJfBqtFZN9x3trat6mme2&#10;lbPqNKj/V3eXS7rI0QReLfj1/tuxms+ea6O6Aexd2UjSDaoGW92wU9WJXfBbV7VBIFsf8gYwaSHV&#10;NL8awR95XIDmtudmLm8AkxZSlXB6RvAk+ey1LbwXYE3ZuYzxel6r2SDhtSBNpOoAemq21b0A/sMf&#10;66mSeXYTWFVOfHfjmKSbVLs2ehptdS+BO4HWUyXzbGZYXQfW/6XJVCO9d897iap1BBeC17NnAbiq&#10;/zsTlCYzYhG35+Yf936vpUrmr3d491wD1v+lyYzaxePo73tUs8Lsmui5AUzShLIGG6NHdUexZaB1&#10;7LmZyxvApEVV2zh7yjfVbiJHgOuoHuaWLeZWawYuAEuTqso3PbXbnhqwNwHNr2cvf3Yeq2vIcy9N&#10;atQz/av38blA86ue/8NM7nVG2NNpuAAsTaqa8r/u+HinSh6EiWBu1Ug+u6ejKv95A5g0sap+2zt9&#10;7ykDsVioOVWJnMhmg3tuGpM0ieoOzi1Ju3ovF4PnVQ0E3u3kqV7nneDSxKotnFs6gJ56sPcEzKfa&#10;x0+8O28uAEsLq2r3W0dwVULg7zWXnplbth24p+znuo80saoD2LqHm5Fi9j4xnAXMo2fW9m4HVzVz&#10;sLOXJlcl7K2LeIwKq5vLXAuYRzX6J97tBPMOYGlx1e6PPY24WlcgnAXcr6f2/+n8V52HdwBLk6s6&#10;gD3T+J7aMLMA68P34RxV94AQn+4DGbWFWNJNqhrw3nJNtbZAuEf8PlX5hqjOT7XgbwcvTY5GmjXe&#10;GHswwqwSBOEo8Xq96zTZjV/NWdeNpAv1lGv4mT2q8hLhgvD1qtINUdXvq/UDHwEhLaCnA/g0EqxU&#10;D4kj3C1ynZ7SD51y1emP3j0m6SZVOeDTQmClp1RAbLnjWPvQkVfnmui5+a/qSNwBJC3izA4APXvN&#10;CdcDzsOIvmc2xrpNT8mvOqdu85UWUSWGo4mZhNIz8iSOlJv0Xk/dn+g919X72ZlLi6g6gBGjuZ6b&#10;jgg6CrcPjtWzJZfYUraprpmjs0ZJF6luCBpVn++5Q5gguWiMnkVfghF9T+mn8R4A6UtU0/mRC7Q9&#10;d58S7gw6rjf599b9IzsA6UtUI/ORHQCJpucGMcKdJPtRtutZd+Fn9pRrsveKIWkRVQew9d8EqFSP&#10;n4jhTGA7OuzeRfe9nXv2XjG2zigk3aRaJBzdAaDnLuEWrAmYUPr0ln2IIzOsqoPxfEmLqJLGWaWY&#10;auYRg4TjFtHPthzPo52qHYD0JaoZwFkdALYkLcL95b8i2fbebEeMmFFV6zh21tIi7uwAsLUTOKMk&#10;tSoSbe+iOjGqnMb7ZO/fwjuBpUVUCfjsDgBbOwEXh7ct9hIcs1Glmep87V1clnSxGToAbO0EGIU+&#10;sdSwteRDjEz+qGaNnBtJC5jp33bd2gkQV36/O5HAe/f3xxid/NGzi8ubwaQFzNQBYMtWxhYkxW+u&#10;O3OzVlV3z4JzOzr5g/fMPi+G6wDSAqoO4I5F162Lmy1Ikt+UeEj8dMBbR/38POftjOTfMLPIPruF&#10;/yiMtIDqWUB37boheVXf7V2s3hHsTfwEr7liu2y1DsD3kDS5WTuApko0n4KOYJUdKXR4JP5qZP0p&#10;zqj3v9NTBtrznCFJF7ryaaB7URLaMxqOwYh6xoTE70Ynt6fG34Jjc8d5qs7JUxbopWVVI85ZSimM&#10;OLduf8yCpEViuvOuYpI+CftI0m/Be9y1HbY6H5aBpMlVHcBsj18g2Y1InC2YATECP2t2QMfVEj7H&#10;+uhMpgXvw/e+quSTYXCQfbcY7gaSJlYl01mfv0Ni2bNTqAres3UKJG1+fzqHbF87ybcleIKf43vx&#10;WpI9x3ZUwm/B+zHynmGfPb979ftxLCVNquoAZl/II0ln3/vbgkRLMr2r3PMO5bTs+8bwpjBpUt/w&#10;ZEdGoiPLQrMFs4lZzwPJPfvOMe5YoJbUoeoAVhi9fessYObEH1XXELMXSROqarizdwDU27Pv/Q2x&#10;Sv3cxWBpQYwus8baYvaRW0/9efVgFjA7SnDZd4/hLECaTDVyo64+IxLOlnsCKFEwkyEoFzGyrmY+&#10;Z8eWz1+hE+g5H84CpIlU5RMa9WxI/iTw7PtmQSf2rozFDqfWIWSvHRV8Bz6D482si99h68I1P8tr&#10;ZsV3y753DDpiSZOoEh8JayYjk3+G96dTYO9/289PJ8gIPFvoZBTPn7cET/DzlKboWFqy/4T3fn3f&#10;d9FmMrNyFiAtJEtqMWa6CWxP8q+S7yy2/F50OrPuDOJ4Z985Bt9/5k5MegSSe9ZAY8zSUEl4VWcV&#10;g1H1Ksm/6Rk9tyCJznqDXs/vQYcn6UZV/Z8R9AwopWxZMCUBrZb8m627mjg2s+mZBRCz32EufbVq&#10;RE0yuhOJZGtC5OdXTf5N1TG/xt3nKUPHlH3XGJaCpJtU+/+JO+v/JPEtdXFixkS4V7U99zVmXO/g&#10;O2XfNcYK21ulr1ONMhmd3ZVQttb7idl2K41AiST7Xd8F52ymxeGeQQZhJyBdiMRe1dTvGk0z69hS&#10;7+dnZ6yDj7K1EyBm2rnVu7D9TbM3aWo9NeYrF+jokPi8npJBDJL/TMnuLHtmRJTPZqivc257v7sz&#10;AelkPQ3yqt0/JH06o63JjeA7PmkBkfO25YaxFnQEd3SSfF86Lj57y1qO20OlE/Xszjirnt5G+rz/&#10;1tF+DJIE7/VElEqyY9ITHDeOPQvMnIc9HSjHndeR3FuC55rifSn30EnRoW8p473GE2Z10uVovNVo&#10;m4Y7Krm2BEHSIuEfSQrEt9f7e/V04luCa4LgHJHA6Sj4X/6bOJrQt8ZZAxDp0WhYWYOLsafx0WG0&#10;ZM/rSR6jEwbv58jw7zjeVyblK4OZhKSBehIGf5+VBeK0vyV5GumIUX1P8DlPqvf34phwbLJjtnJc&#10;uQFBeoSeBUSSOeWaWAK4c5TZvs+oktS36t1quUK4CCwNNrpmfHaQ+JllMONQH47VyrMBzjnXqZ29&#10;NBAN6s5R/JZg1mESOIYS3ewzAq5HzjWzO3Yk2dFLJ+lZ+L0zGLWSCEwC45FcObY95b8zgkTP+W3b&#10;T6nte56lC9H4ssZ5V5AU+E6O/K7H7IAZFsefxHxke2dM7sw46Gh475bkncVJE7izA4hJguRgYpgX&#10;56Xt9CKJt0RO8OcEP9NC0gK2PlZ4b7Rkz2jwrGRv8slxrBnde2wk/eLooiDJ/XXKH2u6ZyQe3pP3&#10;pjPh8/hsvgtlC/5cv+MccG7iueJ40fHbIUj6G0aI1GlJpAQLgyTzWMNtdVySR0vubep/Nj6Dz6Rj&#10;4fvFpPYa/J2dwO/n6tNxIjiWnFfOvyRNYUvCfxd0VE+1d3dX237JsZekS4xI+Fnwfk/CcTxa0ovB&#10;DJBjaIcgaaiW9Blxjkr4WTCqfQKOJwk7OwajgventETpT5I2uSrpvwazCj77W7HmwQJ49rufFZw/&#10;y0WSPror6b8Gn/2Ni509i71XBLODJ6+7SApa0r96ZFoF3+kbXFHy2Rt2BtIDkfTbQm6WGEYGo962&#10;jXFrJ8PrVi5d8N23jvpZC4nbfbOfOSPsDKQvxoLgFUmfhBe3KcaaPv9/z+evNhvg9+Q7Z7/Lp+A1&#10;8XiB/yYxs2voqhJSO3eSFkdDpkGflTxawm/bEF8TWGZPcuRzZh+htsS/9Vjz86wR9KAj52evKCvR&#10;Wfd+L0mTIBGRjM8a7beEz66WnoSfIbFk710Fv9NsHQHHgLLNnnUUkv+RRW/OM8eSc5K9/6hwViBN&#10;jkREYj5jQTcm/VF4r62j5RYzdAQcb77D3o6W143eq9/WD/Ye1ypm7IClRzurzENjH530X5FEj5Yz&#10;+N2vvOlpxPHm9XtnT73Onh3wO0i6AcmDBr539Pkurkj6mb0loRh0JHz30aWKdqx576PHm9ffdZ/D&#10;WZ3B1R2w9FgkoxGJKAYlozuS/qsRs4EYrUOgZEECJ0l9GnXzd/wMx4HX8FoS5qiZFTt5Pn3+lc7o&#10;DDjedgTSCUgcR8sOMWZJ+pkRs4GZgmN916i/B8d75IDCjkAahMRPoh6V+Bn1MRqeZST6CR1e9jus&#10;EpwzkusKxxoMBkY+pZT3siOQdiBp7N1a+BokIhrjjKP9CglkZFK6IjjedNqrJP7MyBKRawTSBqMW&#10;d78hETWjR6dnRDveK3a07/C7jJqJ2RFIH4xK/IzcVio9bMXvdsa9Dnvj2493M+q40xFI+sOI0S2j&#10;TxLRN40+K5TIOG787tkxOTP4TBIZx/vbE/+rER0BAx1vKNOjkThIIkcS2DeWHfagM+A4jKpbv0br&#10;YD3Wf8cxP7ptl2NqWUiPMiLxMwJ7QtlhL5JK28vPLIFEwzF7d8z5c4KRKUmN4BzxHk8c5W/B8Tk6&#10;I7AspK9HEiGhHGksJCkTv2Y04tq2LKSvxCjpyHSZxsFo1sSv2TFAya7h3mDGZllIX4GEfaTcw+u8&#10;s1Ir4rrPrunecDagpTHqP7Kt82m7evR9GLgc2eFG+3Hwo6UcHfWb+PVtjpZAKStJ0ztyM5d7o/Xt&#10;jjzehIGRa2Ca0pFRP69xZ4+ehOt9T0dAW6ETkaaxd9Rv4tfT7V0f8L4B3e7IqN86v/Q7yp572pAL&#10;xLoNo/69U1hH/dL/R3vYu0jsupkuRQLPLsQqHPVLn+1tW9wkKZ1uzwXqqF/qxyBpz5qanYBOtSf5&#10;M+q3Tiltt6e9uTisUzC6yC64d9FG/ZL22zMbsBPQUFuTv6N+aSySetbW3oWdgIbYkvwZ9bsjQToH&#10;s4EtO+/sBHTIlhokW9hc5JXOxww7a4NZOCDTLpRwem9O4W5Gk790nS33DLj1WpuQzHtHGSZ/6R69&#10;j5GgbCR16637m/yle/V2At4joC4k9J7Sj8lfmkNvJ+DOPJV6tpsxpTT5S/Po2R3EuoH0FotFPaN/&#10;n0cuzYWHM2Zt9TVcENZbPaN/9xZLc+opBfEz0i96av+WfqR50TZ7SkGuBegXPTt/LP1Ic+spBbkj&#10;SL+oRg48kErS/Kq2zExf+hMLQ9mFEsNRg7QGHv+QteEYloH0p55n/njBSGtgLSBrwzEc0OlP1WMf&#10;3D8sraXaEWQZSH/TM1pw8VdaC202a8sx3NGnsv7PSMELRVpPtRjMjiE9XFX/pzwkaT1Vadd/slVl&#10;rdA7B6U1VXf2u7an8h+W8NEP0pqqmzud3aucJvpPyklrqhaCWSPQw1ULRe4AktbEvTtZm27hVlCV&#10;HYA3gElr6tnirYfLLooYktaVtekYerjsooghaV1Zm46hh8suihiS1pW16Rh6uOyiiCFpXVmbjqGH&#10;yy6KGJLWlbXpGHq47KKIIWldWZuOoYfLLooYktaVtekYerjsooghaV1Zm46hh8suihiS1pW16Rh6&#10;uOyiiCFpXVmbjqGHyy6KGJLWlbXpGHq47KKIIWldWZuOoYfLLooYktaVtekYerjsooghaV1Zm46h&#10;h8suihiS1pW16Rh6uOyiiCFpXVmbjqGHyy6KGJLWlbXpGHq47KKIIWldWZuOoYfLLooYktaVtekY&#10;erjsooghaV1Zm46hh8suihiS1pW16Rh6uOyiiCFpXVmbjqGHyy6KGJLWlbXpGHq47KKIIWldWZuO&#10;oYfLLooYktaVtekYerjsooghaV1Zm46hh8suihiS1pW16Rh6uOyiiCFpXVmbjqGHyy6KGJLWlbXp&#10;GHq47KKIIWldWZuOoYfLLooYktaVtekYerjsooghaV1Zm46hh8suihiS1pW16Rh6uOyiiCFpXVmb&#10;jqGHyy6KGJLWlbXpGHq47KKIIWldWZuOoYfLLooYktaVtekYerjsooghaV1Zm46hh8suihiS1pW1&#10;6Rh6uOyiiCFpXVmbjqGHyy6KGJLWlbXpGHq47KKIIWldWZuOoYfLLooYktaVtekYerjsooghaV1Z&#10;m46hh8suihiS1pW16Rh6uOyiiCFpXVmbjqGHyy6KGJLWlbXpGHq47KKIIWldWZuOoYfLLooYktaV&#10;tekYerjsooghaV1Zm46hh8suihiS1pW16Rh6uOyiiCFpXVmbjqGHyy6KGJLWlbXpGHq47KKIIWld&#10;WZuOoYfLLooYktaVtekYerjsooghaV1Zm46hh8suihiS1pW16Rh6uOyiiCFpXVmbjqGHyy6KGJLW&#10;lbXpGHq47KKIIWldWZuOoYfLLooYktaVtekYerjsooghaV1Zm44hSZIkSZIkSZIkSZIkSZIkSZIk&#10;SZIkSZIkSZIkSZIkSZIkSZIkSZIkSZIkSZIkSZIkSZIkSZIkSZIkSZIkSZIkSZIkSZIkSZIkSZIk&#10;SZIkSZIkSZIkSZIkSZIkSZIkSZIkSZIkSZIkSZIkSZIkSZIkSZIkSZIkSZIkSZIkSdKkfvvt/wC3&#10;X4Ahe3L7DQAAAABJRU5ErkJgglBLAwQKAAAAAAAAACEApPV86/YPAAD2DwAAFAAAAGRycy9tZWRp&#10;YS9pbWFnZTIuc3ZnPHN2ZyB2aWV3Qm94PSIwIDAgOTYgOTYiIHhtbG5zPSJodHRwOi8vd3d3Lncz&#10;Lm9yZy8yMDAwL3N2ZyIgeG1sbnM6eGxpbms9Imh0dHA6Ly93d3cudzMub3JnLzE5OTkveGxpbmsi&#10;IGlkPSJJY29uc19GZW1hbGVQcm9maWxlX00iIG92ZXJmbG93PSJoaWRkZW4iPjxnIGlkPSJJY29u&#10;cyI+PHBhdGggZD0iTTI3LjI5MyA1MS40NDQgMjcuMzA4IDUxLjQ0NEMyNy42MDggNTEuNDQ0IDM0&#10;Ljc2MiA1MS4zMTQgMzguMjg0IDQ5LjQ1MyAzOC4zMTQgNDkuNDM2IDM4LjM0NSA0OS40MTggMzgu&#10;Mzc0IDQ5LjM5OSAzOS44MzM3IDQ4LjMyODEgNDEuMjA3NSA0Ny4xNDQ4IDQyLjQ4MyA0NS44NiA0&#10;Mi43MTMgNDUuNjQxIDQyLjkzNSA0NS40MyA0My4xNTIgNDUuMjI2IDQ0LjQ3NTcgNDUuNjYwMSA0&#10;NS44NTE2IDQ1LjkxNDMgNDcuMjQzIDQ1Ljk4MiA0Ny41IDQ1Ljk5NCA0Ny43NTcgNDYgNDguMDEy&#10;IDQ2IDQ5LjM5NjMgNDUuOTk2OSA1MC43NzQ0IDQ1LjgxNDggNTIuMTEyIDQ1LjQ1OCA1Mi4yOTUg&#10;NDUuNjI5IDUyLjQ4IDQ1LjgwMyA1Mi42NzkgNDUuOTkxIDUzLjg5NCA0Ny4xODU5IDU1LjE4MDgg&#10;NDguMzA1NiA1Ni41MzIgNDkuMzQ0IDU5LjgwNCA1MS43MTMgNjcuOTg3IDQ5LjkyOSA2OC45MSA0&#10;OS43MTggNjkuMjk4MSA0OS42MjU0IDY5LjU5NDEgNDkuMzExIDY5LjY2MyA0OC45MTggNjkuNzMg&#10;NDguNTE5NiA2OS41NTQ1IDQ4LjExOTUgNjkuMjE2IDQ3Ljg5OSA2OS4xOTUgNDcuODg2IDY3LjE2&#10;OCA0Ni41MTggNjUuODY1IDQxLjM2OCA2NS40MzggMzkuNjk3IDY2LjE3OCAzNi4zNDUgNjYuOTY1&#10;IDMyLjc5NiA2Ny44MjQ0IDI5LjQ4MiA2OC4zNDg0IDI2LjA4OTkgNjguNTI5IDIyLjY3MSA2OC41&#10;MjkgMTcuNTk2IDY3LjAyOSAxNC40ODggNjMuODE0IDEyLjg5MiA2Mi4xNTggMTIuMjQ4OCA2MC4z&#10;NDIzIDEyLjEzOTQgNTguNjIxIDEyLjU3OSA1Ny43MjEgMTEuMzcgNTUuMzI3IDguODI0IDUwLjMx&#10;MSA3LjI2MSA0NC44OTMxIDUuNzcwOTMgMzkuMTAzOCA2LjUxNzM4IDM0LjI0MSA5LjMzMyAzMC4w&#10;NTUgMTIuMDMzIDI4LjA0NyAxNS4wNTMgMjcuOTU0IDI0Ljg3OCAyNy45MTYgMjkuMDIgMjguMTYg&#10;MzIuODc4IDI4LjM3NiAzNi4yODUgMjguNjY3MSAzOS4xMDMgMjguNzE1NiA0MS45NDA3IDI4LjUy&#10;MSA0NC43NjcgMjguMjg4MSA0Ni42MDcyIDI3LjU4ODYgNDguMzU3MiAyNi40ODkgNDkuODUxIDI2&#10;LjE2MTUgNTAuMjk1NyAyNi4yNTY1IDUwLjkyMTcgMjYuNzAxMiA1MS4yNDkyIDI2Ljg3MTYgNTEu&#10;Mzc0NyAyNy4wNzc0IDUxLjQ0MjkgMjcuMjg5IDUxLjQ0NFpNNDcuMzM1IDQzLjk4NEM0MC4xODQ2&#10;IDQzLjU5NDkgMzQuNDYxMyAzNy45MDc4IDM0LjAyNyAzMC43NiAzNC4wMDI1IDMwLjI3NjMgMzQu&#10;MDAyNSAyOS43OTE3IDM0LjAyNyAyOS4zMDggMzQuMDczOCAyOC4yOTE0IDM0Ljg5MyAyNy40ODA5&#10;IDM1LjkxIDI3LjQ0NSAzNi42MzAxIDI3LjQzMzMgMzcuMzQ4MiAyNy4zNjY0IDM4LjA1OCAyNy4y&#10;NDUgNDEuMzA5NCAyNi44MTU1IDQ0LjQ4MTkgMjUuOTIgNDcuNDc4IDI0LjU4NiA1MC43NzE5IDIy&#10;LjkyODcgNTMuODI5OSAyMC44MzkzIDU2LjU3MSAxOC4zNzMgNTYuODE5NSAxOS45MzExIDU3LjM3&#10;MzUgMjEuNDI0NyA1OC4yMDEgMjIuNzY4IDU4LjIyMDMgMjIuODAwMSA1OC4yNDE2IDIyLjgzMDgg&#10;NTguMjY1IDIyLjg2IDU4LjY2MDcgMjMuMzMxNyA1OS4xMTg1IDIzLjc0NzUgNTkuNjI2IDI0LjA5&#10;Nkw1OS43ODkgMjQuMjE5QzU5Ljk3NzQgMjQuMzY1MiA2MC4xNTEyIDI0LjUyOTMgNjAuMzA4IDI0&#10;LjcwOSA2MS4yNCAyNS43ODAyIDYxLjgwNyAyNy4xMjAyIDYxLjkyNyAyOC41MzUgNjEuOTc2OSAy&#10;OS4wMjE3IDYyLjAwMTMgMjkuNTEwNyA2MiAzMCA2MS45OTk5IDM3LjczMiA1NS43MzE4IDQzLjk5&#10;OTkgNDcuOTk5OCA0My45OTk4IDQ3Ljc3ODEgNDMuOTk5OCA0Ny41NTY0IDQzLjk5NDUgNDcuMzM1&#10;IDQzLjk4NFpNMzAuMzczIDM2LjE1OEMzMC4xNTkgMzIuNzg3IDI5LjkxNiAyOC45NjUgMjkuOTU0&#10;IDI0Ljg5NiAzMC4wMzkgMTUuOTMzIDMxLjY4IDEzLjM2OSAzNS4yODEgMTEuMDQxIDM5LjY2MDgg&#10;OC41MTMzMyA0NC44Njk1IDcuODQyMTYgNDkuNzQ3IDkuMTc3IDU1LjQ3NiAxMC45NjIgNTcuMjc2&#10;IDE0LjE1NSA1Ny4yOTEgMTQuMTc3IDU3LjUxNDYgMTQuNjAwMyA1OC4wMDY4IDE0LjgwNTcgNTgu&#10;NDY1IDE0LjY2NyA1OS4yMzMgMTQuNDM2IDYxLjUzMiAxMy45ODYgNjIuOTIxIDE0LjY3NiA2NC41&#10;OTkgMTUuNTA4IDY2LjUyMSAxNy4xNjkgNjYuNTIxIDIyLjY1OCA2Ni4zMzYyIDI1LjkzMzQgNjUu&#10;ODI4MSAyOS4xODI2IDY1LjAwNCAzMi4zNTggNjQuMTMxIDM2LjMxIDYzLjM3NyAzOS43MjQgNjMu&#10;OTIyIDQxLjg1OCA2NC40MTA4IDQ0LjEwNTQgNjUuMzQyNiA0Ni4yMzI4IDY2LjY2MyA0OC4xMTYg&#10;NjMuODEzIDQ4LjU4NSA1OS40MjIgNDguOTcyIDU3LjcgNDcuNzI2IDU2LjQ5MDggNDYuNzk1OCA1&#10;NS4zMzg0IDQ1Ljc5NCA1NC4yNDkgNDQuNzI2IDYwLjE2MTMgNDIuMjIwNSA2NC4wMDE0IDM2LjQy&#10;MTMgNjQgMzAgNjQgMjkuNDQwOSA2My45NzEzIDI4Ljg4MjIgNjMuOTE0IDI4LjMyNiA2My43NTA0&#10;IDI2LjQ5MDkgNjMuMDA3NiAyNC43NTUzIDYxLjc5MyAyMy4zNyA2MS41NTA3IDIzLjA5NTUgNjEu&#10;MjgyOCAyMi44NDQ3IDYwLjk5MyAyMi42MjFMNjAuODIyIDIyLjQ5M0M2MC40NzQ2IDIyLjI1NTUg&#10;NjAuMTU1OCAyMS45Nzg3IDU5Ljg3MiAyMS42NjggNTkuMTcwNiAyMC41MTM2IDU4LjcxMDMgMTku&#10;MjI5MSA1OC41MTkgMTcuODkyIDU4LjM2NTYgMTYuODUzOSA1Ny4zOTk4IDE2LjEzNjcgNTYuMzYx&#10;NyAxNi4yOTAxIDU1Ljk3NDYgMTYuMzQ3MyA1NS42MTQ3IDE2LjUyMjYgNTUuMzMxIDE2Ljc5MiA1&#10;Mi43MDk2IDE5LjE2OCA0OS43Nzk5IDIxLjE3OTggNDYuNjIxIDIyLjc3MyA0My43OTkyIDI0LjAy&#10;MzggNDAuODEyNCAyNC44NjI3IDM3Ljc1MiAyNS4yNjQgMzcuMTI2NSAyNS4zNzIxIDM2LjQ5Mzcg&#10;MjUuNDMxOSAzNS44NTkgMjUuNDQzIDMzLjc5NjMgMjUuNTA4MiAzMi4xMjkxIDI3LjE0NTggMzIu&#10;MDI3IDI5LjIwN0wzMi4wMjcgMjkuMjA3QzMyLjAwMSAyOS43NTkgMzIuMDAyIDMwLjMxNSAzMi4w&#10;MjcgMzAuODYyIDMyLjM4MjIgMzYuNjg3MSAzNS44NTgzIDQxLjg2NTIgNDEuMTE1IDQ0LjRMNDEu&#10;MTA0IDQ0LjQxMUMzOS45MjAyIDQ1LjYwMjkgMzguNjUwMSA0Ni43MDU5IDM3LjMwNCA0Ny43MTEg&#10;MzUuMjA0IDQ4Ljc5OCAzMS40MTggNDkuMjExIDI5LjE0OCA0OS4zNiAyOS44NTE1IDQ4LjAxMjQg&#10;MzAuMzA5MyA0Ni41NTAyIDMwLjUgNDUuMDQyIDMwLjcyNTMgNDIuMDgyOSAzMC42ODI4IDM5LjEw&#10;OTUgMzAuMzczIDM2LjE1OFoiLz48cGF0aCBkPSJNNzYuNTMzIDU5LjUyNUM3MS45NDI5IDU1Ljk5&#10;MTMgNjYuNjg0NSA1My40MjQ0IDYxLjA3NSA1MS45NzkgNTkuNzgzIDUxLjU5MiA1OC40ODIgNTEu&#10;MjU4IDU3LjIwOSA1MC45ODZMNTYuNzAyIDUwLjg3NyA1Ni4zMjEgNTEuMjNDNTIuMjQ2IDU1IDQ5&#10;LjQ4NCA1NSA0OCA1NSA0Ni41MTYgNTUgNDMuNzMxIDU1IDM5LjY3NiA1MS4yOEwzOS4yOTcgNTAu&#10;OTMyIDM4Ljc5NyA1MS4wMzhDMzcuNTcyIDUxLjI5NiAzNi4yNzggNTEuNjExIDM0Ljk0IDUxLjk3&#10;NiAyOS4zOTc5IDUzLjYwMDIgMjQuMTcwNSA1Ni4xNTAyIDE5LjQ3OSA1OS41MTggMTcuMzI3OSA2&#10;MS4yMDMzIDE2LjA1MDEgNjMuNzY3OCAxNiA2Ni41TDE2IDgyIDE4IDgyIDE4IDY2LjVDMTguMDQ0&#10;MSA2NC4zOTEgMTkuMDMwMyA2Mi40MTI2IDIwLjY4OCA2MS4xMDggMjUuMTc3OCA1Ny44OTQxIDMw&#10;LjE3NzEgNTUuNDYgMzUuNDc2IDUzLjkwOCAzNi41ODYgNTMuNjA4IDM3LjY3NiA1My4zMzYgMzgu&#10;NzExIDUzLjEwOCA0Mi42IDU2LjUyNyA0NS41ODQgNTcgNDggNTcgNTAuNDE2IDU3IDUzLjM4NCA1&#10;Ni41MjEgNTcuMjkgNTMuMDUxIDU4LjM1MSA1My4yOTEgNTkuNDMgNTMuNTc0IDYwLjUxMyA1My44&#10;OTkgNjUuODY3OCA1NS4yNzIxIDcwLjg4OTMgNTcuNzE0OCA3NS4yNzUgNjEuMDggNzYuOTUyIDYy&#10;LjM4NTEgNzcuOTUyNyA2NC4zNzU1IDc4IDY2LjVMNzggODIgODAgODIgODAgNjYuNUM3OS45NTE2&#10;IDYzLjc3MiA3OC42Nzg0IDYxLjIxMDYgNzYuNTMzIDU5LjUyNVoiLz48L2c+PC9zdmc+UEsDBAoA&#10;AAAAAAAAIQAEx8Tcxw0AAMcNAAAUAAAAZHJzL21lZGlhL2ltYWdlMy5wbmeJUE5HDQoaCgAAAA1J&#10;SERSAAABgAAAAYAIBgAAAKTHtb8AAAABc1JHQgCuzhzpAAAABGdBTUEAALGPC/xhBQAAAAlwSFlz&#10;AAA7DgAAOw4BzLahgwAADVxJREFUeF7t3eFtbYUVhFFKoARKoARKSAmUQAl0QAmUQAmUkBIogRKS&#10;eyQiB5gniPZIefasJX3/r6U9vHuPjf0FAAAAAAAAAAAAAAAAAAAAAAAAAAAAAADAgK9ffffqp1f/&#10;fPUv6R33y6vnlr9/9dUr4BO+ffXrqzQk6SP0vLkB/uB5l5QGI320fn4F/OZ5V5SGIn3UfBKAl+e5&#10;qMc+Wsz3BJjn3b9We74xDNM8+9dqz+3DtOfH5NI4pI/e8+gTpqVhSCvBtDQKaSWYlkYhrQTT0iik&#10;lWBaGoW0EkxLo5BWgmlpFNJKMC2NQloJpqVR6NM9fyPhh1f/ePX87YT/t+f32Tyv5fm1Bv6nvv89&#10;mJZGodyPr7589Tl7/nFKr105mJZGoT/3vMt+L755lb4G/TmYlkah3/e8q35vfBL4e8G0NAq99TxX&#10;/9wf+3yK7wn8dTAtjUJvvcd3///xfGM4fU16C6alUeit9/Ts/4+e156+Jr0F09Io9NZ7/rOBz6Or&#10;9DXpLZiWRqG3/APwsYNpaRR669tX75UfB/3rYFoahd56z3843B/8/+tgWhqF3np+lPI9eh7//Pwq&#10;fU16C6alUej3vccfBfUjoH8vmJZGoT/3PE9/L54f//z1Vfo69PtgWhqFcp/7J4Hnsc/zGv3H/+8H&#10;09Io9OmeXwf9PF55PhF8Dr8i4nkNz2t5vuH7vLb0mvXpYFoahbQSTEujkFaCaWkU0kowLY1CWgmm&#10;pVFIK8G0NAppJZiWRiGtBNPSKKSVYFoahbQSTEujkFaCaWkU0kowLY1CWgmmpVFIK8G0NAppJZiW&#10;RiGtBNPSKKSV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pFM7hIN9UM&#10;pqVRNIOLdFPNYFoaRTO4SDfVDKalUTSDi3RTzWBaGkUzuEg31QympVE0g4t0U81gWhqFtBJMS6OQ&#10;VoJpaRTSSjAtjUJaCaalUUgrwbQ0CmklmJZGIa0E09IopJVgWhqFtBJMS6OQVoJpaRTSSjAtjUJa&#10;CaalUUgrwbQ0CmklmJZGIa0E09IopJVgWhqFtBJMS6OQVoJpaRTSSjAtjUJaCaalUUgrwbQ0Cmkl&#10;mJZGIa0E09IopJVgWhqFtBJMS6OQVoJpaRTSSjAtjUJaCaalUUgrwbQ0CmklmJZGIa0E09IopJVg&#10;WhqFtBJMS6OQVoJpaRTSSjAtjUJaCaalUUgrwbQ0CmklmJZGIa0E09IopJVg2i+v0jCkj96vr2Da&#10;j6/SOKSP3s+vYNr3r9I4pI/eD69g2lev0jikj9zz+OebVzDvu1dpJNJH7fnkC/zmeR6ahiJ9tH56&#10;9eUr4L/4JKCP3PPY57lx//GHT/j61fPx+PlE8AwmDUl6Lz03/Nzy8w3f57YBAAAAAAAAAAAAAAAA&#10;AAAAAAAAAAAAAAA+sC+++Df7SpHShXNbZwAAAABJRU5ErkJgglBLAwQKAAAAAAAAACEAw+ZOF5IB&#10;AACSAQAAFAAAAGRycy9tZWRpYS9pbWFnZTQuc3ZnPHN2ZyB2aWV3Qm94PSIwIDAgOTYgOTYiIHht&#10;bG5zPSJodHRwOi8vd3d3LnczLm9yZy8yMDAwL3N2ZyIgeG1sbnM6eGxpbms9Imh0dHA6Ly93d3cu&#10;dzMub3JnLzE5OTkveGxpbmsiIGlkPSJJY29uc19TbWFydFBob25lIiBvdmVyZmxvdz0iaGlkZGVu&#10;Ij48cGF0aCBkPSJNNjYgODAgMzAgODAgMzAgMTYgNjYgMTYgNjYgODBaTTQ0IDggNTIgOEM1My4x&#10;IDggNTQgOC45IDU0IDEwIDU0IDExLjEgNTMuMSAxMiA1MiAxMkw0NCAxMkM0Mi45IDEyIDQyIDEx&#10;LjEgNDIgMTAgNDIgOC45IDQyLjkgOCA0NCA4Wk03MCA0IDI2IDRDMjQuOSA0IDI0IDQuOSAyNCA2&#10;TDI0IDkwQzI0IDkxLjEgMjQuOSA5MiAyNiA5Mkw3MCA5MkM3MS4xIDkyIDcyIDkxLjEgNzIgOTBM&#10;NzIgNkM3MiA0LjkgNzEuMSA0IDcwIDRaIi8+PC9zdmc+UEsDBAoAAAAAAAAAIQAEItAzKBgAACgY&#10;AAAUAAAAZHJzL21lZGlhL2ltYWdlNS5wbmeJUE5HDQoaCgAAAA1JSERSAAABgAAAAYAIBgAAAKTH&#10;tb8AAAABc1JHQgCuzhzpAAAABGdBTUEAALGPC/xhBQAAAAlwSFlzAAA7DgAAOw4BzLahgwAAF71J&#10;REFUeF7t3GFxZNmVReGGYAiGYAiGMBAMwRCGgSEYgiEYgiEYgiHM6E5EReyuWZWSckvaL1Pri1h/&#10;xt1nTks3s1Lvld5vkiRJkiRJkiRJkiRJkiRJkiRJkiRJkiRJkiRJkiRJkiRJkiRJkiRJkiRJkiRJ&#10;kiRJkiRJkiRJkiRJkiRJkiRJkiRJkiRJkiRJkiRJkiRJkiRJkiRJkiRJkiRJkiRJkiRJkiRJkiRJ&#10;kiRJkiRJ38gfXvrbS39/6Y/n/yBJem7njf8vL/3npf+J/vqSJOlJ/fmlf72Ub/zZ+d/+9JIk6Un8&#10;uNzz86f+X3X+2fPvSJIeGF3ueWvn35UkPZhzKeefL9Eb+3s6l4W8SSxJD+C9l3ve2pkpSbqoc5P3&#10;3y/RG/hHdP5Q8bKQJF3Iudzzj5foTfsz8rKQJI21l3vOPYLzi2D0v70lLwtJ0sBrf6f/VucPjPzF&#10;r3NZ595LR2cHLwtJ0hf48amf3oxf67zxn0/8v/o7/vfOPflICUn6JOdNu/k7/edyz1t+y/f8M/f+&#10;ZHHykRKS9IE+4nLPrz71/8r5d+79w+bs6iMlJKnQ3uT9iMsy7U3i9/7BI0nfXnO553wC/6+XPsr5&#10;NN/8foE3iSXpDc6b7b2PcLj3cs9bndn0//ctnT+UvEksSaC93HP+0PiKN9izp787IEkfpHmEw0df&#10;7nmr5rLQ+UPOy0KSvrXzJnrvIxw++3LPW3lZSJLe4SMu91zpr1meXbwsJEmv+MhHOFzNuazjIyUk&#10;6Sc/PvXTm99rnTf+8wl7fbnnre797zx9xO8uSNIlnDft5u/0X+1yz1udne/9Sed05Z90JOlVi0c4&#10;XM35b7j3D7/ztXvEP/wkfWPtTd5HutzzVu1N4mf7ekh6Qs3lnvOJ9/zU8Kzay0LeJJZ0SefN7aqP&#10;cLia899KX4e3dP4A8SaxpEtoL/d81SMcruZ83fzdAUkP6xEf4XA15ycnHykh6WGcN61Hf4TD1XhZ&#10;SNKlfcTlHv9a46+dr42XhSRdzjM/wuFqzmUdHykhae7Hp356s3mt88b/jH+n/6vc+3U/na+7l4Uk&#10;3eW8aTd/p9/LPR/jfA3v/cnr5E9ekt7FRzhcz/ma3vuH8fle+oexpJvam7xe7vl87U1ivz+S/p/m&#10;cs/5hPnMj3C4mvaykDeJJf2f82biIxwe0/na0/flLZ0/QLxJLH1T7eWe7/oIh6s530d/d0DSm/kI&#10;h+dzfpLzkRKSfum8SfgIh+fmZSFJv/MRl3v8a4SP43yvvCwkqf47/V4aeFzne+cjJaRv6Menfnpx&#10;v9Z54/fv9D+P/36Jvs9v6ZwDLwtJD+K8aZ9Pbl7uUTrf03t/EjydewuSLsxHOOg153t874eDc7b8&#10;cCBdTHuT18s93097k9jzIl1Ac7nnfKLzEQ7fV3tZyJvE0sh58foIB30Ef3dAehDt5R4f4SByzpW/&#10;OyBdmI9w0Gc7P1n6SAnpQs6L0kc46Ct5WUga+4jLPf61Pd3rnB0vC0kDPsJBV3HOko+UkL7Aj0/9&#10;9GJ6rfPGf/5dL/foM/hICemTnDft80nJyz26snPG7v3J9HTuLUgKPsJBj+acuXs/rJyz7ocVfXvt&#10;TV4f4aA1Hykh3aG93OMjHHQV7WUhbxLr2zgvFh/hoGfk7w5Iv9Be7vERDnoE55z7uwNS8BEO+m7O&#10;T7o+UkLf2nkR+AgHfWdeFtK38xGXe/xrcnoW5yx7WUjfgo9wkNg52z5SQk/px6d+Oryvdd74z7/r&#10;5R59Bz5SQk/jvGmfTyZe7pHe7pz5e39SPp17C9KUj3CQOuc1cO+Hp/Pa88OTvlx7k9dHOEi/5yMl&#10;9BDayz0+wkFi7WUhbxLr05zD6SMcpM/n7w7oMtrLPT7CQXq/87rzdwc05SMcpK3zk7ePlNCXOofO&#10;RzhI1+FlIX26j7jc419Lkz7HeRP3spA+hY9wkB7Dea35SAl9iB+f+umwvNZ54z+/1u7lHunr+UgJ&#10;3e28aZ9PAl7ukR5X89ezT+fegr4ZH+EgPZfmw9x5L/DD3DfQ3uT1EQ7StflICSEv90jfw3mt3vsT&#10;/smbxE+kuUbo5R7pcfm7A99Ye7nn/KHhAZAe23kf8HcHvhkf4SApnSsBPlLiyZ1vso9wkPQrXhZ6&#10;Qh9xucebvNL34CMlnoiPcJB0j/Pa95ESD46+OWZmX5HG6JtiZvYVaYy+KWZmX5HG6JtiZvYVaYy+&#10;KWZmX5HG6JtiZvYVaYy+KWZmX5HG6JtiZvYV6cnQNzmTdF30ms2km+jQZJKui16zmXQTHZpM0nXR&#10;azaTbqJDk0m6LnrNZtJNdGgySddFr9lMuokOTSbpuug1m0k30aHJJF0XvWYz6SY6NJmk66LXbCbd&#10;RIcmk3Rd9JrNpJvo0GSSrotes5l0Ex2aTNJ10Ws2k26iQ5NJui56zWbSTXRozOw5km6iQ2Nmz5F0&#10;Ex0aM3uOpJvo0JjZcyTdRIfGzJ4j6SY6NGb2HEk30aExs+dIuokOjZk9R9KHokOWtWhmtkY7ZS2a&#10;ma3RTlmLZmZrtFPWopmZNEWHMmvRzGyNdspaNDNbo52yFs3M1minrEUzM2mKDmXWopnZGu2UtWhm&#10;tkY7ZS2ama3RTlmLZmbSFB3KrEUzszXaKWvRzGyNdspaNDNbo52yFs3MpCk6lFmLZmZrtFPWopnZ&#10;Gu2UtWhmtkY7ZS2amUlTdCizFs3M1minrEUzszXaKWvRzGyNdspaNDOTpuhQZi2ama3RTlmLZmZr&#10;tFPWopnZGu2UtWhmJk3RocxaNDNbo52yFs3M1minrEUzszXaKWvRzEyaokOZtWhmtkY7ZS2ama3R&#10;TlmLZmZrtFPWopmZNEWHMmvRzGyNdspaNDNbo52yFs3M1minrEUzM2mKDmXWopnZGu2UtWhmtkY7&#10;ZS2ama3RTlmLZmbSFB3KrEUzszXaKWvRzGyNdspaNDNbo52yFs3MpCk6lFmLZmZrtFPWopnZGu2U&#10;tWhmtkY7ZS2amUlTdCizFs3M1minrEUzszXaKWvRzGyNdspaNDOTpuhQZi2ama3RTlmLZmZrtFPW&#10;opnZGu2UtWhmJk3RocxaNDNbo52yFs3M1minrEUzszXaKWvRzEyaokOZtWhmtkY7ZS2ama3RTlmL&#10;ZmZrtFPWopmZNEWHMmvRzGyNdspaNDNbo52yFs3M1minrEUzM2mKDmXWopnZGu2UtWhmtkY7ZS2a&#10;ma3RTlmLZmbSFB3KrEUzszXaKWvRzGyNdspaNDNbo52yFs3MpCk6lFmLZmZrtFPWopnZGu2UtWhm&#10;tkY7ZS2amUlTdCizFs3M1minrEUzszXaKWvRzGyNdspaNDOTpuhQZi2ama3RTlmLZmZrtFPWopnZ&#10;Gu2UtWhmJk3RocxaNDNbo52yFs3M1minrEUzszXaKWvRzEyaokOZtWhmtkY7ZS2ama3RTlmLZmZr&#10;tFPWopmZNEWHMmvRzGyNdspaNDNbo52yFs3M1minrEUzM2mKDmXWopnZGu2UtWhmtkY7ZS2ama3R&#10;TlmLZmbSFB3KrEUzszXaKWvRzGyNdspaNDNbo52yFs3MpCk6lFmLZmZrtFPWopnZGu2UtWhmtkY7&#10;ZS2amUlTdCizFs3M1minrEUzszXaKWvRzGyNdspaNDOTpuhQZi2ama3RTlmLZmZrtFPWopnZGu2U&#10;tWhmJk3RocxaNDNbo52yFs3M1minrEUzszXaKWvRzEyaokOZtWhmtkY7ZS2ama3RTlmLZmZrtFPW&#10;opmZNEWHMmvRzGyNdspaNDNbo52yFs3M1minrEUzM2mKDmXWopnZGu2UtWhmtkY7ZS2ama3RTlmL&#10;ZmbSFB3KrEUzszXaKWvRzGyNdspaNDNbo52yFs3MpCk6lFmLZmZrtFPWopnZGu2UtWhmtkY7ZS2a&#10;mUlTdCizFs3M1minrEUzszXaKWvRzGyNdspaNDOTpuhQZi2ama3RTlmLZmZrtFPWopnZGu2UtWhm&#10;Jk3RocxaNDNbo52yFs3M1minrEUzszXaKWvRzEyaokOZtWhmtkY7ZS2ama3RTlmLZmZrtFPWopmZ&#10;NEWHMmvRzGyNdspaNDNbo52yFs3M1minrEUzM2mKDmXWopnZGu2UtWhmtkY7ZS2ama3RTlmLZmbS&#10;FB3KrEUzszXaKWvRzGyNdspaNDNbo52yFs3MpCk6lFmLZmZrtFPWopnZGu2UtWhmtkY7ZS2amUlT&#10;dCizFs3M1minrEUzszXaKWvRzGyNdspaNDOTpuhQZi2ama3RTlmLZmZrtFPWopnZGu2UtWhmJk3R&#10;ocxaNDNbo52yFs3M1minrEUzszXaKWvRzEyaokOZtWhmtkY7ZS2ama3RTlmLZmZrtFPWopmZNEWH&#10;MmvRzGyNdspaNDNbo52yFs3M1minrEUzM2mKDmXWopnZGu2UtWhmtkY7ZS2ama3RTlmLZmbSFB3K&#10;rEUzszXaKWvRzGyNdspaNDNbo52yFs3MpCk6lFmLZmZrtFPWopnZGu2UtWhmtkY7ZS2amUlTdCiz&#10;Fs3M1minrEUzszXaKWvRzGyNdspaNDOTpuhQZi2ama3RTlmLZmZrtFPWopnZGu2UtWhmJk3Rocxa&#10;NDNbo52yFs3M1minrEUzszXaKWvRzEyaokOZtWhmtkY7ZS2ama3RTlmLZmZrtFPWopmZNEWHMmvR&#10;zGyNdspaNDNbo52yFs3M1minrEUzM2mKDmXWopnZGu2UtWhmtkY7ZS2ama3RTlmLZmbSFB3KrEUz&#10;szXaKWvRzGyNdspaNDNbo52yFs3MpCk6lFmLZmZrtFPWopnZGu2UtWhmtkY7ZS2amUlTdCizFs3M&#10;1minrEUzszXaKWvRzGyNdspaNDOTpuhQZi2ama3RTlmLZmZrtFPWopnZGu2UtWhmJk3RocxaNDNb&#10;o52yFs3M1minrEUzszXaKWvRzEyaokOZtWhmtkY7ZS2ama3RTlmLZmZrtFPWopmZNEWHMmvRzGyN&#10;dspaNDNbo52yFs3M1minrEUzM2mKDmXWopnZGu2UtWhmtkY7ZS2ama3RTlmLZmbSFB3KrEUzszXa&#10;KWvRzGyNdspaNDNbo52yFs3MpCk6lFmLZmZrtFPWopnZGu2UtWhmtkY7ZS2amUlTdCizFs3M1min&#10;rEUzszXaKWvRzGyNdspaNDOTpuhQZi2ama3RTlmLZmZrtFPWopnZGu2UtWhmJk3RocxaNDNbo52y&#10;Fs3M1minrEUzszXaKWvRzEyaokOZtWhmtkY7ZS2ama3RTlmLZmZrtFPWopmZNEWHMmvRzGyNdspa&#10;NDNbo52yFs3M1minrEUzM2mKDmXWopnZGu2UtWhmtkY7ZS2ama3RTlmLZmbSFB3KrEUzszXaKWvR&#10;zGyNdspaNDNbo52yFs3MpCk6lFmLZmZrtFPWopnZGu2UtWhmtkY7ZS2amUlTdCizFs3M1minrEUz&#10;szXaKWvRzGyNdspaNDOTpuhQZi2ama3RTlmLZmZrtFPWopnZGu2UtWhmJk3RocxaNDNbo52yFs3M&#10;1minrEUzszXaKWvRzEyaokOZtWhmtkY7ZS2ama3RTlmLZmZrtFPWopmZNEWHMmvRzGyNdspaNDNb&#10;o52yFs3M1minrEUzM2mKDmXWopnZGu2UtWhmtkY7ZS2ama3RTlmLZmbSFB3KrEUzszXaKWvRzGyN&#10;dspaNDNbo52yFs3MpCk6lFmLZmZrtFPWopnZGu2UtWhmtkY7ZS2amUlTdCizFs3M1minrEUzszXa&#10;KWvRzGyNdspaNDOTpuhQZi2ama3RTlmLZmZrtFPWopnZGu2UtWhmJk3RocxaNDNbo52yFs3M1min&#10;rEUzszXaKWvRzEyaokOZtWhmtkY7ZS2ama3RTlmLZmZrtFPWopmZNEWHMmvRzGyNdspaNDNbo52y&#10;Fs3M1minrEUzM2mKDmXWopnZGu2UtWhmtkY7ZS2ama3RTlmLZmbSFB3KrEUzszXaKWvRzGyNdspa&#10;NDNbo52yFs3MpCk6lFmLZmZrtFPWopnZGu2UtWhmtkY7ZS2amUlTdCizFs3M1minrEUzszXaKWvR&#10;zGyNdspaNDOTpuhQZi2ama3RTlmLZmZrtFPWopnZGu2UtWhmJk3RocxaNDNbo52yFs3M1minrEUz&#10;szXaKWvRzEyaokOZtWhmtkY7ZS2ama3RTlmLZmZrtFPWopmZNEWHMmvRzGyNdspaNDNbo52yFs3M&#10;1minrEUzM2mKDmXWopnZGu2UtWhmtkY7ZS2ama3RTlmLZmbSFB3KrEUzszXaKWvRzGyNdspaNDNb&#10;o52yFs3MpCk6lFmLZmZrtFPWopnZGu2UtWhmtkY7ZS2amUlTdCizFs3M1minrEUzszXaKWvRzGyN&#10;dspaNDOTpuhQZi2ama3RTlmLZmZrtFPWopnZGu2UtWhmJk3RocxaNDNbo52yFs3M1minrEUzszXa&#10;KWvRzEyaokOZtWhmtkY7ZS2ama3RTlmLZmZrtFPWopmZNEWHMmvRzGyNdspaNDNbo52yFs3M1min&#10;rEUzM2mKDmXWopnZGu2UtWhmtkY7ZS2ama3RTlmLZmbSFB3KrEUzszXaKWvRzGyNdspaNDNbo52y&#10;Fs3MpCk6lFmLZmZrtFPWopnZGu2UtWhmtkY7ZS2amUlTdCizFs3M1minrEUzszXaKWvRzGyNdspa&#10;NDOTpuhQZi2ama3RTlmLZmZrtFPWopnZGu2UtWhmJk3RocxaNDNbo52yFs3M1minrEUzszXaKWvR&#10;zEyaokOZtWhmtkY7ZS2ama3RTlmLZmZrtFPWopmZNEWHMmvRzGyNdspaNDNbo52yFs3M1minrEUz&#10;M2mKDmXWopnZGu2UtWhmtkY7ZS2ama3RTlmLZmbSFB3KrEUzszXaKWvRzGyNdspaNDNbo52yFs3M&#10;pCk6lFmLZmZrtFPWopnZGu2UtWhmtkY7ZS2amUlTdCizFs3M1minrEUzszXaKWvRzGyNdspaNDOT&#10;puhQZi2ama3RTlmLZmZrtFPWopnZGu2UtWhmJk3RocxaNDNbo52yFs3M1minrEUzszXaKWvRzEya&#10;okOZtWhmtkY7ZS2ama3RTlmLZmZrtFPWopmZNEWHMmvRzGyNdspaNDNbo52yFs3M1minrEUzM2mK&#10;DmXWopnZGu2UtWhmtkY7ZS2ama3RTlmLZmbSFB3KrEUzszXaKWvRzGyNdspaNDNbo52yFs3MpA9F&#10;h8zMniPpJjo0ZvYcSTfRoTGz50i6iQ6NmT1H0k10aMzsOZJuokNjZs+RdBMdGjN7jqSb6NCY2XMk&#10;3USHJpN0XfSazaSb6NBkkq6LXrOZdBMdmkzSddFrNpNuokOTSboues1mEvrDS397iQ5NJum66DWb&#10;nde49Dt/eumfL9GB+TlJ10Wv2Z/710t/fEn67S8v/eclOiiUpOui1+yv+utL+qbOJZ+/v0QH41aS&#10;rotes7c6P/mf9wJ9I39+6d8v0YG4ldcPpWt7y328nztXAM57gp7cjxu977nkczr//LlUJOn6zpv5&#10;e1/jJz/gPbH33OjNzr/jDSPpsZwPe/94iV7Tt/IG8RN6743e0/nnz00irw9Kj+u8hun1/VreIH4C&#10;997o/dH5Q8DMHj96fb+WN4gf2L03es3MfnT+8PAG8QO590avmdmv8gbxA7j3Rq+Z2Wt5g/jC7rnR&#10;a2b23rxBfCHtjV4zs/fmDeIL8Eavma3yBvGIN3rN7Cp5g/gL+Ru9kj7L+XDpbxBflL/RK+kr+BvE&#10;F3Lvjd7zp/L5iUGS3uu8d5z3EHpvudX5CUIf5N4bvee6nJ/6JbXOewm9x9zKG8Qf5J5LPj66WdJH&#10;Om/m730vOqlEX9Rf5Y1eSZ/lnhvEKtEX9ee80Svpq7znBrFK9EXNvNEr6au99QaxSvRFzfzUL2mF&#10;3pMyleiLmknSCr0nZSrRFzWTpBV6T8pUoi9qJkkr9J6UqURfVDOzR0gl+qKamT1CKtEX1czsEVKJ&#10;vqhmZo+QSvRFNTN7hFSiL6qZ2SOkEn1RzcweIZXoi2pm9ghJkiRJkiRJkiRJkiRJkiRJkiRJkiRJ&#10;kiRJkiRJkiRJkiRJkiRJkiRJkiRJkiRJkiRJkiRJkiRJkiRJkiRJkiRJkiRJkiRJkiRJkiRJkiRJ&#10;kiRJkiRJkiRJkiRJkiRJkiRJkiRJkiRJkiRJknQxv/32v5pmMXpKFsIHAAAAAElFTkSuQmCCUEsD&#10;BAoAAAAAAAAAIQAVm+6CdwMAAHcDAAAUAAAAZHJzL21lZGlhL2ltYWdlNi5zdmc8c3ZnIHZpZXdC&#10;b3g9IjAgMCA5NiA5NiIgeG1sbnM9Imh0dHA6Ly93d3cudzMub3JnLzIwMDAvc3ZnIiB4bWxuczp4&#10;bGluaz0iaHR0cDovL3d3dy53My5vcmcvMTk5OS94bGluayIgaWQ9Ikljb25zX0NvdXJ0X00iIG92&#10;ZXJmbG93PSJoaWRkZW4iPjxnIGlkPSJJY29ucyI+PHBhdGggZD0iTTc5IDc1LjAyMSA3OSA3MiA3&#10;NiA3MiA3NiA0MSA3OSA0MSA3OSAzNiA4NCAzNiA4NCAzNCA0OCAxMiAxMiAzNCAxMiAzNiAxNyAz&#10;NiAxNyA0MSAyMCA0MSAyMCA3MiAxNyA3MiAxNyA3NS4wMjEgMTAgODAuMDIxIDEwIDg0IDg2IDg0&#10;IDg2IDgwLjAyMlpNNzQgNzIgNzAgNzIgNzAgNDEgNzQgNDFaTTI4IDQxIDM2IDQxIDM2IDcyIDI4&#10;IDcyWk0zOCA0MSA0MiA0MSA0MiA3MiAzOCA3MlpNNDQgNDEgNTIgNDEgNTIgNzIgNDQgNzJaTTU0&#10;IDQxIDU4IDQxIDU4IDcyIDU0IDcyWk02MCA0MSA2OCA0MSA2OCA3MiA2MCA3MlpNMTUuODY2IDMz&#10;Ljk4MSA0OCAxNC4zNDcgODAuMTM0IDMzLjk4MUM4MC4xMzkzIDMzLjk4MjcgODAuMTQyMSAzMy45&#10;ODg0IDgwLjE0MDQgMzMuOTkzNiA4MC4xMzk0IDMzLjk5NjYgODAuMTM3IDMzLjk5OSA4MC4xMzQg&#10;MzRMMTUuODcyIDM0QzE1Ljg2NiAzMy45OTkyIDE1Ljg2MTcgMzMuOTkzNyAxNS44NjI1IDMzLjk4&#10;NzYgMTUuODYyOSAzMy45ODUxIDE1Ljg2NDEgMzMuOTgyNyAxNS44NjYgMzMuOTgxWk0xOSAzNiA3&#10;NyAzNiA3NyAzOSAxOSAzOVpNMjIgNDEgMjYgNDEgMjYgNzIgMjIgNzJaTTE5IDc2LjA1IDE5IDc0&#10;IDc3IDc0IDc3IDc2LjA1IDc3LjgzNyA3Ni42NSA3OC4zMjkgNzcuMDAyIDE3LjY3MSA3Ny4wMDIg&#10;MTguMTYzIDc2LjY1Wk04NCA4MiAxMiA4MiAxMiA4MS4wNTIgMTQuODcxIDc5IDgxLjEzMiA3OSA4&#10;NCA4MS4wNTJaIi8+PC9nPjwvc3ZnPlBLAwQUAAYACAAAACEAEr94jt0AAAAFAQAADwAAAGRycy9k&#10;b3ducmV2LnhtbEyPQWvCQBCF74X+h2UKvdVNlNiaZiMiticRqoXS25gdk2B2NmTXJP77bnuxl4HH&#10;e7z3TbYcTSN66lxtWUE8iUAQF1bXXCr4PLw9vYBwHlljY5kUXMnBMr+/yzDVduAP6ve+FKGEXYoK&#10;Ku/bVEpXVGTQTWxLHLyT7Qz6ILtS6g6HUG4aOY2iuTRYc1iosKV1RcV5fzEK3gccVrN402/Pp/X1&#10;+5DsvrYxKfX4MK5eQXga/S0Mv/gBHfLAdLQX1k40CsIj/u8G7zlZzEEcFcwWSQIyz+R/+vwHAAD/&#10;/wMAUEsDBBQABgAIAAAAIQATvia55AAAALUDAAAZAAAAZHJzL19yZWxzL2Uyb0RvYy54bWwucmVs&#10;c7yTy2rDMBBF94X+g5h9LdtJTCmRsymFbEv6AYM0lkWtB5Iamr+voBQaSN2dlpphzj1c0P7waRd2&#10;ppiMdwK6pgVGTnplnBbwdnp5eASWMjqFi3ck4EIJDuP93f6VFszlKM0mJFYoLgmYcw5PnCc5k8XU&#10;+ECubCYfLebyjJoHlO+oifdtO/D4mwHjFZMdlYB4VBtgp0soyf+z/TQZSc9eflhy+UYEN7ZkFyBG&#10;TVmAJWXwe7hpgtPAbzv0dRz6Jp3/dOjqOHRrPQx1HIa1HnZ1HHZrPWzrOGx/euBXn238AgAA//8D&#10;AFBLAQItABQABgAIAAAAIQCo1seoEwEAAEkCAAATAAAAAAAAAAAAAAAAAAAAAABbQ29udGVudF9U&#10;eXBlc10ueG1sUEsBAi0AFAAGAAgAAAAhADj9If/WAAAAlAEAAAsAAAAAAAAAAAAAAAAARAEAAF9y&#10;ZWxzLy5yZWxzUEsBAi0AFAAGAAgAAAAhAOX7C3ivBwAA8ycAAA4AAAAAAAAAAAAAAAAAQwIAAGRy&#10;cy9lMm9Eb2MueG1sUEsBAi0ACgAAAAAAAAAhAOp6CuOeHQAAnh0AABQAAAAAAAAAAAAAAAAAHgoA&#10;AGRycy9tZWRpYS9pbWFnZTEucG5nUEsBAi0ACgAAAAAAAAAhAKT1fOv2DwAA9g8AABQAAAAAAAAA&#10;AAAAAAAA7icAAGRycy9tZWRpYS9pbWFnZTIuc3ZnUEsBAi0ACgAAAAAAAAAhAATHxNzHDQAAxw0A&#10;ABQAAAAAAAAAAAAAAAAAFjgAAGRycy9tZWRpYS9pbWFnZTMucG5nUEsBAi0ACgAAAAAAAAAhAMPm&#10;TheSAQAAkgEAABQAAAAAAAAAAAAAAAAAD0YAAGRycy9tZWRpYS9pbWFnZTQuc3ZnUEsBAi0ACgAA&#10;AAAAAAAhAAQi0DMoGAAAKBgAABQAAAAAAAAAAAAAAAAA00cAAGRycy9tZWRpYS9pbWFnZTUucG5n&#10;UEsBAi0ACgAAAAAAAAAhABWb7oJ3AwAAdwMAABQAAAAAAAAAAAAAAAAALWAAAGRycy9tZWRpYS9p&#10;bWFnZTYuc3ZnUEsBAi0AFAAGAAgAAAAhABK/eI7dAAAABQEAAA8AAAAAAAAAAAAAAAAA1mMAAGRy&#10;cy9kb3ducmV2LnhtbFBLAQItABQABgAIAAAAIQATvia55AAAALUDAAAZAAAAAAAAAAAAAAAAAOBk&#10;AABkcnMvX3JlbHMvZTJvRG9jLnhtbC5yZWxzUEsFBgAAAAALAAsAxgIAAPtlAAAAAA==&#10;">
                <v:group id="Group 20" o:spid="_x0000_s1027" style="position:absolute;left:-184;width:48232;height:25114" coordorigin="-184" coordsize="48233,2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21" o:spid="_x0000_s1028" style="position:absolute;left:30217;width:17556;height:203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U8xQAAANsAAAAPAAAAZHJzL2Rvd25yZXYueG1sRI9Pa8JA&#10;FMTvQr/D8gq9iO4qIiW6SltULHiw/gGPj+wzCc2+DdltEr+9WxA8DjPzG2a+7GwpGqp94VjDaKhA&#10;EKfOFJxpOB3Xg3cQPiAbLB2Thht5WC5eenNMjGv5h5pDyESEsE9QQx5ClUjp05ws+qGriKN3dbXF&#10;EGWdSVNjG+G2lGOlptJiwXEhx4q+ckp/D39Ww/el2je3ldqo42d/smva80WFs9Zvr93HDESgLjzD&#10;j/bWaBiP4P9L/AFycQcAAP//AwBQSwECLQAUAAYACAAAACEA2+H2y+4AAACFAQAAEwAAAAAAAAAA&#10;AAAAAAAAAAAAW0NvbnRlbnRfVHlwZXNdLnhtbFBLAQItABQABgAIAAAAIQBa9CxbvwAAABUBAAAL&#10;AAAAAAAAAAAAAAAAAB8BAABfcmVscy8ucmVsc1BLAQItABQABgAIAAAAIQDUsXU8xQAAANsAAAAP&#10;AAAAAAAAAAAAAAAAAAcCAABkcnMvZG93bnJldi54bWxQSwUGAAAAAAMAAwC3AAAA+QIAAAAA&#10;" fillcolor="#f2f2f2" strokecolor="#2f528f" strokeweight="1pt">
                    <v:stroke dashstyle="dash" joinstyle="miter"/>
                  </v:roundrect>
                  <v:roundrect id="Rectangle: Rounded Corners 22" o:spid="_x0000_s1029" style="position:absolute;top:34;width:30217;height:203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UbVwgAAANsAAAAPAAAAZHJzL2Rvd25yZXYueG1sRI9Ba8JA&#10;FITvBf/D8oTe6sZIrURXEaHgrVRben1mn9lg9m3Ivsb033cFweMwM98wq83gG9VTF+vABqaTDBRx&#10;GWzNlYGv4/vLAlQUZItNYDLwRxE269HTCgsbrvxJ/UEqlSAcCzTgRNpC61g68hgnoSVO3jl0HiXJ&#10;rtK2w2uC+0bnWTbXHmtOCw5b2jkqL4dfb+Dc8PcpW3y8vf7kbiYy2/f+GIx5Hg/bJSihQR7he3tv&#10;DeQ53L6kH6DX/wAAAP//AwBQSwECLQAUAAYACAAAACEA2+H2y+4AAACFAQAAEwAAAAAAAAAAAAAA&#10;AAAAAAAAW0NvbnRlbnRfVHlwZXNdLnhtbFBLAQItABQABgAIAAAAIQBa9CxbvwAAABUBAAALAAAA&#10;AAAAAAAAAAAAAB8BAABfcmVscy8ucmVsc1BLAQItABQABgAIAAAAIQCqcUbVwgAAANsAAAAPAAAA&#10;AAAAAAAAAAAAAAcCAABkcnMvZG93bnJldi54bWxQSwUGAAAAAAMAAwC3AAAA9gIAAAAA&#10;" fillcolor="#deebf7" strokecolor="#2f528f" strokeweight="1pt">
                    <v:stroke dashstyle="dash" joinstyle="miter"/>
                  </v:roundrect>
                  <v:shape id="Graphic 104" o:spid="_x0000_s1030" type="#_x0000_t75" alt="Female Profile outline" style="position:absolute;left:928;top:5794;width:6223;height: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21wwAAANsAAAAPAAAAZHJzL2Rvd25yZXYueG1sRI9Pi8Iw&#10;FMTvwn6H8Ba8aboVZKlGcXcRvPmX3euzeTbF5qU0sVY/vREWPA4z8xtmOu9sJVpqfOlYwccwAUGc&#10;O11yoeCwXw4+QfiArLFyTApu5GE+e+tNMdPuyltqd6EQEcI+QwUmhDqT0ueGLPqhq4mjd3KNxRBl&#10;U0jd4DXCbSXTJBlLiyXHBYM1fRvKz7uLVfC7+eJ12i7vhTXH0Uae96fj349S/fduMQERqAuv8H97&#10;pRWkI3h+iT9Azh4AAAD//wMAUEsBAi0AFAAGAAgAAAAhANvh9svuAAAAhQEAABMAAAAAAAAAAAAA&#10;AAAAAAAAAFtDb250ZW50X1R5cGVzXS54bWxQSwECLQAUAAYACAAAACEAWvQsW78AAAAVAQAACwAA&#10;AAAAAAAAAAAAAAAfAQAAX3JlbHMvLnJlbHNQSwECLQAUAAYACAAAACEAUahNtcMAAADbAAAADwAA&#10;AAAAAAAAAAAAAAAHAgAAZHJzL2Rvd25yZXYueG1sUEsFBgAAAAADAAMAtwAAAPcCAAAAAA==&#10;">
                    <v:imagedata r:id="rId22" o:title="Female Profile outline"/>
                  </v:shape>
                  <v:shapetype id="_x0000_t32" coordsize="21600,21600" o:spt="32" o:oned="t" path="m,l21600,21600e" filled="f">
                    <v:path arrowok="t" fillok="f" o:connecttype="none"/>
                    <o:lock v:ext="edit" shapetype="t"/>
                  </v:shapetype>
                  <v:shape id="Straight Arrow Connector 24" o:spid="_x0000_s1031" type="#_x0000_t32" style="position:absolute;left:32896;top:10236;width:7996;height: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2YvwAAANsAAAAPAAAAZHJzL2Rvd25yZXYueG1sRI/disIw&#10;FITvF3yHcARvljVVRJZqFBGEernqAxyaY1NsTkqS/vj2RhD2cpiZb5jtfrSN6MmH2rGCxTwDQVw6&#10;XXOl4HY9/fyCCBFZY+OYFDwpwH43+dpirt3Af9RfYiUShEOOCkyMbS5lKA1ZDHPXEifv7rzFmKSv&#10;pPY4JLht5DLL1tJizWnBYEtHQ+Xj0lkFrmdzXn3b+JBdeT1gVxwHXyg1m46HDYhIY/wPf9qFVrBc&#10;wftL+gFy9wIAAP//AwBQSwECLQAUAAYACAAAACEA2+H2y+4AAACFAQAAEwAAAAAAAAAAAAAAAAAA&#10;AAAAW0NvbnRlbnRfVHlwZXNdLnhtbFBLAQItABQABgAIAAAAIQBa9CxbvwAAABUBAAALAAAAAAAA&#10;AAAAAAAAAB8BAABfcmVscy8ucmVsc1BLAQItABQABgAIAAAAIQAEE52YvwAAANsAAAAPAAAAAAAA&#10;AAAAAAAAAAcCAABkcnMvZG93bnJldi54bWxQSwUGAAAAAAMAAwC3AAAA8wIAAAAA&#10;" strokecolor="black [3040]">
                    <v:stroke endarrow="block"/>
                    <o:lock v:ext="edit" shapetype="f"/>
                  </v:shape>
                  <v:shapetype id="_x0000_t202" coordsize="21600,21600" o:spt="202" path="m,l,21600r21600,l21600,xe">
                    <v:stroke joinstyle="miter"/>
                    <v:path gradientshapeok="t" o:connecttype="rect"/>
                  </v:shapetype>
                  <v:shape id="TextBox 112" o:spid="_x0000_s1032" type="#_x0000_t202" style="position:absolute;left:506;top:11874;width:740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B756D07"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Consumer</w:t>
                          </w:r>
                        </w:p>
                      </w:txbxContent>
                    </v:textbox>
                  </v:shape>
                  <v:shape id="Graphic 113" o:spid="_x0000_s1033" type="#_x0000_t75" alt="Smart Phone with solid fill" style="position:absolute;left:13413;top:6894;width:5968;height:6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eNxAAAANsAAAAPAAAAZHJzL2Rvd25yZXYueG1sRI9BS8NA&#10;FITvgv9heUJvZmORKmm3pQii9FDb6MHja/aZBLNvw75tk/77rlDwOMzMN8xiNbpOnShI69nAQ5aD&#10;Iq68bbk28PX5ev8MSiKyxc4zGTiTwGp5e7PAwvqB93QqY60ShKVAA02MfaG1VA05lMz3xMn78cFh&#10;TDLU2gYcEtx1eprnM+2w5bTQYE8vDVW/5dEZOJRHofJjeHvayHojbvcYhu23MZO7cT0HFWmM/+Fr&#10;+90amM7g70v6AXp5AQAA//8DAFBLAQItABQABgAIAAAAIQDb4fbL7gAAAIUBAAATAAAAAAAAAAAA&#10;AAAAAAAAAABbQ29udGVudF9UeXBlc10ueG1sUEsBAi0AFAAGAAgAAAAhAFr0LFu/AAAAFQEAAAsA&#10;AAAAAAAAAAAAAAAAHwEAAF9yZWxzLy5yZWxzUEsBAi0AFAAGAAgAAAAhACTZ943EAAAA2wAAAA8A&#10;AAAAAAAAAAAAAAAABwIAAGRycy9kb3ducmV2LnhtbFBLBQYAAAAAAwADALcAAAD4AgAAAAA=&#10;">
                    <v:imagedata r:id="rId23" o:title="Smart Phone with solid fill"/>
                  </v:shape>
                  <v:shape id="Straight Arrow Connector 27" o:spid="_x0000_s1034" type="#_x0000_t32" style="position:absolute;left:6504;top:10070;width:6909;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8vwgAAANsAAAAPAAAAZHJzL2Rvd25yZXYueG1sRI9BawIx&#10;FITvBf9DeEJvNemCraxGqYLSU2lVPD83z83i5mXZRLP9902h0OMwM98wi9XgWnGnPjSeNTxPFAji&#10;ypuGaw3Hw/ZpBiJEZIOtZ9LwTQFWy9HDAkvjE3/RfR9rkSEcStRgY+xKKUNlyWGY+I44exffO4xZ&#10;9rU0PaYMd60slHqRDhvOCxY72liqrvub07D5PLe3Kdeq2KWUqpNdfyhltX4cD29zEJGG+B/+a78b&#10;DcUr/H7JP0AufwAAAP//AwBQSwECLQAUAAYACAAAACEA2+H2y+4AAACFAQAAEwAAAAAAAAAAAAAA&#10;AAAAAAAAW0NvbnRlbnRfVHlwZXNdLnhtbFBLAQItABQABgAIAAAAIQBa9CxbvwAAABUBAAALAAAA&#10;AAAAAAAAAAAAAB8BAABfcmVscy8ucmVsc1BLAQItABQABgAIAAAAIQBEHN8vwgAAANsAAAAPAAAA&#10;AAAAAAAAAAAAAAcCAABkcnMvZG93bnJldi54bWxQSwUGAAAAAAMAAwC3AAAA9gIAAAAA&#10;" strokecolor="#0d0d0d [3069]">
                    <v:stroke startarrow="block" endarrow="block"/>
                    <o:lock v:ext="edit" shapetype="f"/>
                  </v:shape>
                  <v:shape id="TextBox 12" o:spid="_x0000_s1035" type="#_x0000_t202" style="position:absolute;left:11608;top:12229;width:9720;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2E49BDA"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Accredited Action Initiator</w:t>
                          </w:r>
                        </w:p>
                      </w:txbxContent>
                    </v:textbox>
                  </v:shape>
                  <v:shape id="TextBox 12" o:spid="_x0000_s1036" type="#_x0000_t202" style="position:absolute;left:25223;top:12229;width:10523;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1EDF924"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Action Service Provider</w:t>
                          </w:r>
                        </w:p>
                      </w:txbxContent>
                    </v:textbox>
                  </v:shape>
                  <v:shape id="Graphic 16" o:spid="_x0000_s1037" type="#_x0000_t75" alt="Court outline" style="position:absolute;left:26959;top:6554;width:6433;height:6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VkwwAAANsAAAAPAAAAZHJzL2Rvd25yZXYueG1sRI9Ba8JA&#10;FITvBf/D8gRvddcKVqKriFDwaGwRvD2zzySafRuya5Lm13cLhR6HmfmGWW97W4mWGl861jCbKhDE&#10;mTMl5xq+Pj9elyB8QDZYOSYN3+Rhuxm9rDExruOU2lPIRYSwT1BDEUKdSOmzgiz6qauJo3dzjcUQ&#10;ZZNL02AX4baSb0otpMWS40KBNe0Lyh6np9Wg6H5ueTiml2G4Lt5Zdcu0PGo9Gfe7FYhAffgP/7UP&#10;RsN8Br9f4g+Qmx8AAAD//wMAUEsBAi0AFAAGAAgAAAAhANvh9svuAAAAhQEAABMAAAAAAAAAAAAA&#10;AAAAAAAAAFtDb250ZW50X1R5cGVzXS54bWxQSwECLQAUAAYACAAAACEAWvQsW78AAAAVAQAACwAA&#10;AAAAAAAAAAAAAAAfAQAAX3JlbHMvLnJlbHNQSwECLQAUAAYACAAAACEATyYlZMMAAADbAAAADwAA&#10;AAAAAAAAAAAAAAAHAgAAZHJzL2Rvd25yZXYueG1sUEsFBgAAAAADAAMAtwAAAPcCAAAAAA==&#10;">
                    <v:imagedata r:id="rId24" o:title="Court outline"/>
                  </v:shape>
                  <v:shape id="Straight Arrow Connector 32" o:spid="_x0000_s1038" type="#_x0000_t32" style="position:absolute;left:19277;top:10185;width:6909;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pqwgAAANsAAAAPAAAAZHJzL2Rvd25yZXYueG1sRI9BawIx&#10;FITvBf9DeEJvNelKi6xGqYLSU2lVPD83z83i5mXZRLP9902h0OMwM98wi9XgWnGnPjSeNTxPFAji&#10;ypuGaw3Hw/ZpBiJEZIOtZ9LwTQFWy9HDAkvjE3/RfR9rkSEcStRgY+xKKUNlyWGY+I44exffO4xZ&#10;9rU0PaYMd60slHqVDhvOCxY72liqrvub07D5PLe3F65VsUspVSe7/lDKav04Ht7mICIN8T/81343&#10;GqYF/H7JP0AufwAAAP//AwBQSwECLQAUAAYACAAAACEA2+H2y+4AAACFAQAAEwAAAAAAAAAAAAAA&#10;AAAAAAAAW0NvbnRlbnRfVHlwZXNdLnhtbFBLAQItABQABgAIAAAAIQBa9CxbvwAAABUBAAALAAAA&#10;AAAAAAAAAAAAAB8BAABfcmVscy8ucmVsc1BLAQItABQABgAIAAAAIQDRsupqwgAAANsAAAAPAAAA&#10;AAAAAAAAAAAAAAcCAABkcnMvZG93bnJldi54bWxQSwUGAAAAAAMAAwC3AAAA9gIAAAAA&#10;" strokecolor="#0d0d0d [3069]">
                    <v:stroke startarrow="block" endarrow="block"/>
                    <o:lock v:ext="edit" shapetype="f"/>
                  </v:shape>
                  <v:shape id="TextBox 112" o:spid="_x0000_s1039" type="#_x0000_t202" style="position:absolute;left:40670;top:11574;width:7378;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3727BDE" w14:textId="77777777" w:rsidR="00DC1AE9" w:rsidRDefault="00DC1AE9" w:rsidP="008F5024">
                          <w:pPr>
                            <w:spacing w:after="160" w:line="256" w:lineRule="auto"/>
                            <w:jc w:val="center"/>
                            <w:rPr>
                              <w:rFonts w:ascii="Calibri" w:eastAsia="Calibri" w:hAnsi="Calibri"/>
                              <w:b/>
                              <w:bCs/>
                              <w:color w:val="000000"/>
                              <w:kern w:val="24"/>
                              <w:sz w:val="18"/>
                              <w:szCs w:val="18"/>
                            </w:rPr>
                          </w:pPr>
                          <w:r>
                            <w:rPr>
                              <w:rFonts w:ascii="Calibri" w:eastAsia="Calibri" w:hAnsi="Calibri"/>
                              <w:b/>
                              <w:bCs/>
                              <w:color w:val="000000"/>
                              <w:kern w:val="24"/>
                              <w:sz w:val="18"/>
                              <w:szCs w:val="18"/>
                            </w:rPr>
                            <w:t>Consumer</w:t>
                          </w:r>
                        </w:p>
                      </w:txbxContent>
                    </v:textbox>
                  </v:shape>
                  <v:shape id="Graphic 104" o:spid="_x0000_s1040" type="#_x0000_t75" alt="Female Profile outline" style="position:absolute;left:41132;top:5817;width:6222;height: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McwwAAANsAAAAPAAAAZHJzL2Rvd25yZXYueG1sRI9Pi8Iw&#10;FMTvwn6H8Ba8aboqslSjuLsI3vy36PXZPJti81KaWOt++o0geBxm5jfMdN7aUjRU+8Kxgo9+AoI4&#10;c7rgXMHvftn7BOEDssbSMSm4k4f57K0zxVS7G2+p2YVcRAj7FBWYEKpUSp8Zsuj7riKO3tnVFkOU&#10;dS51jbcIt6UcJMlYWiw4Lhis6NtQdtldrYLD5ovXg2b5l1tzGm7kZX8+HX+U6r63iwmIQG14hZ/t&#10;lVYwHMHjS/wBcvYPAAD//wMAUEsBAi0AFAAGAAgAAAAhANvh9svuAAAAhQEAABMAAAAAAAAAAAAA&#10;AAAAAAAAAFtDb250ZW50X1R5cGVzXS54bWxQSwECLQAUAAYACAAAACEAWvQsW78AAAAVAQAACwAA&#10;AAAAAAAAAAAAAAAfAQAAX3JlbHMvLnJlbHNQSwECLQAUAAYACAAAACEAW5hDHMMAAADbAAAADwAA&#10;AAAAAAAAAAAAAAAHAgAAZHJzL2Rvd25yZXYueG1sUEsFBgAAAAADAAMAtwAAAPcCAAAAAA==&#10;">
                    <v:imagedata r:id="rId22" o:title="Female Profile outline"/>
                  </v:shape>
                  <v:shape id="TextBox 42" o:spid="_x0000_s1041" type="#_x0000_t202" style="position:absolute;left:-184;top:20356;width:30308;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35936E6" w14:textId="1675F144" w:rsidR="00DC1AE9" w:rsidRPr="008F5024" w:rsidRDefault="00DC1AE9" w:rsidP="008F5024">
                          <w:pPr>
                            <w:spacing w:after="160" w:line="256" w:lineRule="auto"/>
                            <w:jc w:val="center"/>
                            <w:rPr>
                              <w:rFonts w:ascii="Calibri" w:eastAsia="Calibri" w:hAnsi="Calibri"/>
                              <w:b/>
                              <w:bCs/>
                              <w:color w:val="000000"/>
                              <w:kern w:val="24"/>
                              <w:sz w:val="28"/>
                              <w:szCs w:val="28"/>
                            </w:rPr>
                          </w:pPr>
                          <w:r w:rsidRPr="008F5024">
                            <w:rPr>
                              <w:rFonts w:ascii="Calibri" w:eastAsia="Calibri" w:hAnsi="Calibri"/>
                              <w:b/>
                              <w:bCs/>
                              <w:color w:val="000000"/>
                              <w:kern w:val="24"/>
                              <w:sz w:val="28"/>
                              <w:szCs w:val="28"/>
                            </w:rPr>
                            <w:t xml:space="preserve">Instruction </w:t>
                          </w:r>
                          <w:r w:rsidR="004A5B26" w:rsidRPr="008F5024">
                            <w:rPr>
                              <w:rFonts w:ascii="Calibri" w:eastAsia="Calibri" w:hAnsi="Calibri"/>
                              <w:b/>
                              <w:bCs/>
                              <w:color w:val="000000"/>
                              <w:kern w:val="24"/>
                              <w:sz w:val="28"/>
                              <w:szCs w:val="28"/>
                            </w:rPr>
                            <w:t>l</w:t>
                          </w:r>
                          <w:r w:rsidRPr="008F5024">
                            <w:rPr>
                              <w:rFonts w:ascii="Calibri" w:eastAsia="Calibri" w:hAnsi="Calibri"/>
                              <w:b/>
                              <w:bCs/>
                              <w:color w:val="000000"/>
                              <w:kern w:val="24"/>
                              <w:sz w:val="28"/>
                              <w:szCs w:val="28"/>
                            </w:rPr>
                            <w:t>ayer</w:t>
                          </w:r>
                        </w:p>
                      </w:txbxContent>
                    </v:textbox>
                  </v:shape>
                  <v:shape id="TextBox 43" o:spid="_x0000_s1042" type="#_x0000_t202" style="position:absolute;left:29925;top:20523;width:17732;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065348DD" w14:textId="45B58BA1" w:rsidR="00DC1AE9" w:rsidRPr="008F5024" w:rsidRDefault="00DC1AE9" w:rsidP="008F5024">
                          <w:pPr>
                            <w:spacing w:after="160" w:line="256" w:lineRule="auto"/>
                            <w:jc w:val="center"/>
                            <w:rPr>
                              <w:rFonts w:ascii="Calibri" w:eastAsia="Calibri" w:hAnsi="Calibri"/>
                              <w:b/>
                              <w:bCs/>
                              <w:color w:val="000000"/>
                              <w:kern w:val="24"/>
                              <w:sz w:val="28"/>
                              <w:szCs w:val="28"/>
                            </w:rPr>
                          </w:pPr>
                          <w:r w:rsidRPr="008F5024">
                            <w:rPr>
                              <w:rFonts w:ascii="Calibri" w:eastAsia="Calibri" w:hAnsi="Calibri"/>
                              <w:b/>
                              <w:bCs/>
                              <w:color w:val="000000"/>
                              <w:kern w:val="24"/>
                              <w:sz w:val="28"/>
                              <w:szCs w:val="28"/>
                            </w:rPr>
                            <w:t xml:space="preserve">Action </w:t>
                          </w:r>
                          <w:r w:rsidR="004A5B26" w:rsidRPr="008F5024">
                            <w:rPr>
                              <w:rFonts w:ascii="Calibri" w:eastAsia="Calibri" w:hAnsi="Calibri"/>
                              <w:b/>
                              <w:bCs/>
                              <w:color w:val="000000"/>
                              <w:kern w:val="24"/>
                              <w:sz w:val="28"/>
                              <w:szCs w:val="28"/>
                            </w:rPr>
                            <w:t>l</w:t>
                          </w:r>
                          <w:r w:rsidRPr="008F5024">
                            <w:rPr>
                              <w:rFonts w:ascii="Calibri" w:eastAsia="Calibri" w:hAnsi="Calibri"/>
                              <w:b/>
                              <w:bCs/>
                              <w:color w:val="000000"/>
                              <w:kern w:val="24"/>
                              <w:sz w:val="28"/>
                              <w:szCs w:val="28"/>
                            </w:rPr>
                            <w:t>ayer</w:t>
                          </w:r>
                        </w:p>
                      </w:txbxContent>
                    </v:textbox>
                  </v:shape>
                </v:group>
                <v:shape id="TextBox 131" o:spid="_x0000_s1043" type="#_x0000_t202" style="position:absolute;left:9438;top:1814;width:1404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249AC0E" w14:textId="60BA75BB" w:rsidR="00DC1AE9" w:rsidRPr="008F5024" w:rsidRDefault="00DC1AE9" w:rsidP="00DC1AE9">
                        <w:pPr>
                          <w:spacing w:after="160" w:line="256" w:lineRule="auto"/>
                          <w:jc w:val="center"/>
                          <w:rPr>
                            <w:rFonts w:ascii="Calibri" w:eastAsia="Calibri" w:hAnsi="Calibri"/>
                            <w:i/>
                            <w:iCs/>
                            <w:color w:val="000000"/>
                            <w:kern w:val="24"/>
                            <w:sz w:val="24"/>
                            <w:szCs w:val="24"/>
                          </w:rPr>
                        </w:pPr>
                        <w:r w:rsidRPr="008F5024">
                          <w:rPr>
                            <w:rFonts w:ascii="Calibri" w:eastAsia="Calibri" w:hAnsi="Calibri"/>
                            <w:i/>
                            <w:iCs/>
                            <w:color w:val="000000"/>
                            <w:kern w:val="24"/>
                            <w:sz w:val="24"/>
                            <w:szCs w:val="24"/>
                          </w:rPr>
                          <w:t xml:space="preserve">CDR </w:t>
                        </w:r>
                        <w:r w:rsidR="004A5B26">
                          <w:rPr>
                            <w:rFonts w:ascii="Calibri" w:eastAsia="Calibri" w:hAnsi="Calibri"/>
                            <w:i/>
                            <w:iCs/>
                            <w:color w:val="000000"/>
                            <w:kern w:val="24"/>
                            <w:sz w:val="24"/>
                            <w:szCs w:val="24"/>
                          </w:rPr>
                          <w:t>s</w:t>
                        </w:r>
                        <w:r w:rsidRPr="008F5024">
                          <w:rPr>
                            <w:rFonts w:ascii="Calibri" w:eastAsia="Calibri" w:hAnsi="Calibri"/>
                            <w:i/>
                            <w:iCs/>
                            <w:color w:val="000000"/>
                            <w:kern w:val="24"/>
                            <w:sz w:val="24"/>
                            <w:szCs w:val="24"/>
                          </w:rPr>
                          <w:t xml:space="preserve">cheme </w:t>
                        </w:r>
                      </w:p>
                    </w:txbxContent>
                  </v:textbox>
                </v:shape>
                <v:shape id="TextBox 131" o:spid="_x0000_s1044" type="#_x0000_t202" style="position:absolute;left:32453;top:173;width:14046;height: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1DB710BE" w14:textId="77777777" w:rsidR="00DC1AE9" w:rsidRDefault="00DC1AE9" w:rsidP="00DC1AE9">
                        <w:pPr>
                          <w:spacing w:after="160" w:line="256" w:lineRule="auto"/>
                          <w:jc w:val="center"/>
                          <w:rPr>
                            <w:rFonts w:ascii="Calibri" w:eastAsia="Calibri" w:hAnsi="Calibri"/>
                            <w:i/>
                            <w:iCs/>
                            <w:color w:val="000000"/>
                            <w:kern w:val="24"/>
                            <w:sz w:val="18"/>
                            <w:szCs w:val="18"/>
                          </w:rPr>
                        </w:pPr>
                        <w:r>
                          <w:rPr>
                            <w:rFonts w:ascii="Calibri" w:eastAsia="Calibri" w:hAnsi="Calibri"/>
                            <w:i/>
                            <w:iCs/>
                            <w:color w:val="000000"/>
                            <w:kern w:val="24"/>
                            <w:sz w:val="18"/>
                            <w:szCs w:val="18"/>
                          </w:rPr>
                          <w:t xml:space="preserve">Existing industry processes and regulation e.g. payments </w:t>
                        </w:r>
                      </w:p>
                    </w:txbxContent>
                  </v:textbox>
                </v:shape>
                <w10:anchorlock/>
              </v:group>
            </w:pict>
          </mc:Fallback>
        </mc:AlternateContent>
      </w:r>
    </w:p>
    <w:p w14:paraId="15630179" w14:textId="2C6DECBA" w:rsidR="00532DF7" w:rsidRDefault="00532DF7" w:rsidP="00532DF7">
      <w:r>
        <w:t>Some potential use cases indicated by industry include allowing consumers to</w:t>
      </w:r>
      <w:r w:rsidR="0021042E">
        <w:t xml:space="preserve"> </w:t>
      </w:r>
      <w:r w:rsidR="00121059">
        <w:t>send</w:t>
      </w:r>
      <w:r w:rsidR="0021042E">
        <w:t xml:space="preserve"> instructions to</w:t>
      </w:r>
      <w:r>
        <w:t>:</w:t>
      </w:r>
    </w:p>
    <w:p w14:paraId="272143A6" w14:textId="57994E4C" w:rsidR="004F463D" w:rsidRDefault="0021042E" w:rsidP="00E8038D">
      <w:pPr>
        <w:pStyle w:val="Bullet"/>
        <w:numPr>
          <w:ilvl w:val="0"/>
          <w:numId w:val="28"/>
        </w:numPr>
        <w:tabs>
          <w:tab w:val="clear" w:pos="720"/>
        </w:tabs>
        <w:spacing w:after="160" w:line="259" w:lineRule="auto"/>
      </w:pPr>
      <w:r>
        <w:t>m</w:t>
      </w:r>
      <w:r w:rsidR="004F463D">
        <w:t>ak</w:t>
      </w:r>
      <w:r w:rsidR="00A5443C">
        <w:t>e</w:t>
      </w:r>
      <w:r w:rsidR="004F463D">
        <w:t xml:space="preserve"> a payment</w:t>
      </w:r>
      <w:r w:rsidR="00D62EAB">
        <w:t xml:space="preserve"> </w:t>
      </w:r>
    </w:p>
    <w:p w14:paraId="71055CF1" w14:textId="2F5DAE46" w:rsidR="00293327" w:rsidRDefault="0021042E" w:rsidP="00E8038D">
      <w:pPr>
        <w:pStyle w:val="Bullet"/>
        <w:numPr>
          <w:ilvl w:val="0"/>
          <w:numId w:val="28"/>
        </w:numPr>
        <w:tabs>
          <w:tab w:val="clear" w:pos="720"/>
        </w:tabs>
        <w:spacing w:after="160" w:line="259" w:lineRule="auto"/>
      </w:pPr>
      <w:r>
        <w:t>u</w:t>
      </w:r>
      <w:r w:rsidR="00532DF7">
        <w:t>pdate their contacts details across multiple accounts</w:t>
      </w:r>
    </w:p>
    <w:p w14:paraId="34C187B2" w14:textId="37F38627" w:rsidR="00293327" w:rsidRDefault="0021042E" w:rsidP="00E8038D">
      <w:pPr>
        <w:pStyle w:val="Bullet"/>
        <w:numPr>
          <w:ilvl w:val="0"/>
          <w:numId w:val="28"/>
        </w:numPr>
        <w:tabs>
          <w:tab w:val="clear" w:pos="720"/>
        </w:tabs>
        <w:spacing w:after="160" w:line="259" w:lineRule="auto"/>
      </w:pPr>
      <w:r>
        <w:t>c</w:t>
      </w:r>
      <w:r w:rsidR="00532DF7">
        <w:t>ompare electricity tariffs and then switch services</w:t>
      </w:r>
      <w:r w:rsidR="009A130B">
        <w:t>, and</w:t>
      </w:r>
      <w:r w:rsidR="00532DF7">
        <w:t xml:space="preserve"> </w:t>
      </w:r>
    </w:p>
    <w:p w14:paraId="70413E62" w14:textId="146E4E07" w:rsidR="00532DF7" w:rsidRDefault="0021042E" w:rsidP="00E8038D">
      <w:pPr>
        <w:pStyle w:val="Bullet"/>
        <w:numPr>
          <w:ilvl w:val="0"/>
          <w:numId w:val="28"/>
        </w:numPr>
        <w:tabs>
          <w:tab w:val="clear" w:pos="720"/>
        </w:tabs>
        <w:spacing w:after="160" w:line="259" w:lineRule="auto"/>
      </w:pPr>
      <w:r>
        <w:t>a</w:t>
      </w:r>
      <w:r w:rsidR="00532DF7">
        <w:t>utomatically move funds between accounts to optimise interest</w:t>
      </w:r>
      <w:r w:rsidR="00D62EAB">
        <w:t xml:space="preserve"> or minimise fees.</w:t>
      </w:r>
    </w:p>
    <w:p w14:paraId="12032D1E" w14:textId="66B41D6F" w:rsidR="00532DF7" w:rsidRDefault="00532DF7" w:rsidP="00532DF7">
      <w:r>
        <w:t>These use</w:t>
      </w:r>
      <w:r w:rsidR="00C44F5D">
        <w:t xml:space="preserve"> </w:t>
      </w:r>
      <w:r>
        <w:t>cases are an example of how introducing action initiation into the CDR will unlock new business models and drive consumer benefits and digital innovation. There are several key benefits action initiation will bring to the Australian digital economy. They include:</w:t>
      </w:r>
    </w:p>
    <w:p w14:paraId="1EE68096" w14:textId="26DA22B0" w:rsidR="00532DF7" w:rsidRDefault="00845494" w:rsidP="00E8038D">
      <w:pPr>
        <w:pStyle w:val="Bullet"/>
        <w:numPr>
          <w:ilvl w:val="0"/>
          <w:numId w:val="28"/>
        </w:numPr>
        <w:tabs>
          <w:tab w:val="clear" w:pos="720"/>
        </w:tabs>
        <w:spacing w:after="160" w:line="259" w:lineRule="auto"/>
      </w:pPr>
      <w:r>
        <w:t>r</w:t>
      </w:r>
      <w:r w:rsidR="00532DF7">
        <w:t>educing complexity, time and cost for consumers</w:t>
      </w:r>
    </w:p>
    <w:p w14:paraId="0BDFC62C" w14:textId="19717AFA" w:rsidR="00532DF7" w:rsidRDefault="00845494" w:rsidP="00E8038D">
      <w:pPr>
        <w:pStyle w:val="Bullet"/>
        <w:numPr>
          <w:ilvl w:val="0"/>
          <w:numId w:val="28"/>
        </w:numPr>
        <w:tabs>
          <w:tab w:val="clear" w:pos="720"/>
        </w:tabs>
        <w:spacing w:after="160" w:line="259" w:lineRule="auto"/>
      </w:pPr>
      <w:r>
        <w:t>i</w:t>
      </w:r>
      <w:r w:rsidR="00532DF7">
        <w:t>ncreasing functionality of services</w:t>
      </w:r>
    </w:p>
    <w:p w14:paraId="22C24AFF" w14:textId="318795C6" w:rsidR="00532DF7" w:rsidRDefault="00845494" w:rsidP="00E8038D">
      <w:pPr>
        <w:pStyle w:val="Bullet"/>
        <w:numPr>
          <w:ilvl w:val="0"/>
          <w:numId w:val="28"/>
        </w:numPr>
        <w:tabs>
          <w:tab w:val="clear" w:pos="720"/>
        </w:tabs>
        <w:spacing w:after="160" w:line="259" w:lineRule="auto"/>
      </w:pPr>
      <w:r>
        <w:t>c</w:t>
      </w:r>
      <w:r w:rsidR="00532DF7">
        <w:t>reating a secure and standardised instruction layer linking to the broader data ecosystem</w:t>
      </w:r>
      <w:r w:rsidR="009A130B">
        <w:t>, and</w:t>
      </w:r>
    </w:p>
    <w:p w14:paraId="12C3D748" w14:textId="39899550" w:rsidR="00532DF7" w:rsidRDefault="00845494" w:rsidP="00E8038D">
      <w:pPr>
        <w:pStyle w:val="Bullet"/>
        <w:numPr>
          <w:ilvl w:val="0"/>
          <w:numId w:val="28"/>
        </w:numPr>
        <w:tabs>
          <w:tab w:val="clear" w:pos="720"/>
        </w:tabs>
        <w:spacing w:after="160" w:line="259" w:lineRule="auto"/>
      </w:pPr>
      <w:r>
        <w:t>h</w:t>
      </w:r>
      <w:r w:rsidR="00532DF7">
        <w:t>elping boost competition</w:t>
      </w:r>
      <w:r w:rsidR="00D62EAB">
        <w:t>.</w:t>
      </w:r>
    </w:p>
    <w:p w14:paraId="14BB8485" w14:textId="41E7DC93" w:rsidR="00532DF7" w:rsidRDefault="009A130B" w:rsidP="00532DF7">
      <w:r>
        <w:t>The</w:t>
      </w:r>
      <w:r w:rsidR="00532DF7">
        <w:t xml:space="preserve"> benefits of action initiation </w:t>
      </w:r>
      <w:r>
        <w:t xml:space="preserve">are apparent in </w:t>
      </w:r>
      <w:r w:rsidR="00532DF7">
        <w:t>the success of payment initiation in the UK’s Open banking scheme</w:t>
      </w:r>
      <w:r>
        <w:t>,</w:t>
      </w:r>
      <w:r w:rsidR="00532DF7">
        <w:t xml:space="preserve"> which has over </w:t>
      </w:r>
      <w:r w:rsidR="003F4F20">
        <w:t>6</w:t>
      </w:r>
      <w:r w:rsidR="00532DF7">
        <w:t xml:space="preserve"> million</w:t>
      </w:r>
      <w:r w:rsidR="003F4F20">
        <w:t xml:space="preserve"> regular</w:t>
      </w:r>
      <w:r w:rsidR="00532DF7">
        <w:t xml:space="preserve"> active users.</w:t>
      </w:r>
      <w:r w:rsidR="00D7644C" w:rsidRPr="008F5024">
        <w:rPr>
          <w:rStyle w:val="FootnoteReference"/>
          <w:vertAlign w:val="superscript"/>
        </w:rPr>
        <w:footnoteReference w:id="3"/>
      </w:r>
      <w:r w:rsidR="00532DF7">
        <w:t xml:space="preserve"> There are several other jurisdictions pursuing or considering payment initiation.</w:t>
      </w:r>
    </w:p>
    <w:p w14:paraId="199691E7" w14:textId="77777777" w:rsidR="00845494" w:rsidRDefault="00845494">
      <w:pPr>
        <w:spacing w:before="0" w:after="160" w:line="259" w:lineRule="auto"/>
        <w:rPr>
          <w:rFonts w:ascii="Calibri" w:hAnsi="Calibri" w:cs="Arial"/>
          <w:b/>
          <w:color w:val="5D779D" w:themeColor="accent3"/>
          <w:kern w:val="32"/>
          <w:sz w:val="44"/>
          <w:szCs w:val="36"/>
        </w:rPr>
      </w:pPr>
      <w:r>
        <w:br w:type="page"/>
      </w:r>
    </w:p>
    <w:p w14:paraId="283753B8" w14:textId="7AE7618F" w:rsidR="003F4F20" w:rsidRPr="003F4F20" w:rsidRDefault="003F4F20" w:rsidP="003F4F20">
      <w:pPr>
        <w:pStyle w:val="Heading1"/>
      </w:pPr>
      <w:bookmarkStart w:id="7" w:name="_Toc114831809"/>
      <w:r>
        <w:lastRenderedPageBreak/>
        <w:t xml:space="preserve">Proposed </w:t>
      </w:r>
      <w:r w:rsidR="00B14789">
        <w:t>l</w:t>
      </w:r>
      <w:r>
        <w:t>egislation</w:t>
      </w:r>
      <w:bookmarkEnd w:id="7"/>
      <w:r>
        <w:t xml:space="preserve"> </w:t>
      </w:r>
    </w:p>
    <w:p w14:paraId="12F8DDB0" w14:textId="05C340D8" w:rsidR="00F323F0" w:rsidRDefault="00F323F0" w:rsidP="00F323F0">
      <w:r>
        <w:t xml:space="preserve">The draft bill </w:t>
      </w:r>
      <w:r w:rsidR="003F576E">
        <w:t>establishes the enabling provisions for</w:t>
      </w:r>
      <w:r>
        <w:t xml:space="preserve"> action initiation</w:t>
      </w:r>
      <w:r w:rsidR="003F576E">
        <w:t xml:space="preserve">, </w:t>
      </w:r>
      <w:r w:rsidR="009E3A9E">
        <w:t xml:space="preserve">outlines </w:t>
      </w:r>
      <w:r w:rsidR="003F576E">
        <w:t>key obligations and safeguards, and</w:t>
      </w:r>
      <w:r>
        <w:t xml:space="preserve"> provides a pathway to bring individual action types into the CDR</w:t>
      </w:r>
      <w:r w:rsidR="003F576E">
        <w:t xml:space="preserve"> (see the following section for key features)</w:t>
      </w:r>
      <w:r>
        <w:t xml:space="preserve">. </w:t>
      </w:r>
      <w:r w:rsidR="003F4F20">
        <w:t xml:space="preserve">The proposed legislation has been designed to work alongside the current </w:t>
      </w:r>
      <w:r w:rsidR="00C44F5D">
        <w:t>data-sharing</w:t>
      </w:r>
      <w:r w:rsidR="003F4F20">
        <w:t xml:space="preserve"> arrangements in the CDR.</w:t>
      </w:r>
      <w:r w:rsidR="00845494">
        <w:t xml:space="preserve"> To date, data-sharing has been rolled out sector by </w:t>
      </w:r>
      <w:proofErr w:type="gramStart"/>
      <w:r w:rsidR="00845494">
        <w:t>sector, and</w:t>
      </w:r>
      <w:proofErr w:type="gramEnd"/>
      <w:r w:rsidR="00845494">
        <w:t xml:space="preserve"> is moving towards a more targeted data set approach. It is proposed that action initiation be implemented by action types.</w:t>
      </w:r>
      <w:r w:rsidR="003F4F20">
        <w:t xml:space="preserve"> </w:t>
      </w:r>
      <w:r w:rsidR="00845494">
        <w:t>T</w:t>
      </w:r>
      <w:r w:rsidR="003F4F20">
        <w:t xml:space="preserve">he </w:t>
      </w:r>
      <w:r w:rsidR="00EA3526">
        <w:t xml:space="preserve">proposed </w:t>
      </w:r>
      <w:r w:rsidR="002176EE">
        <w:t xml:space="preserve">legislation </w:t>
      </w:r>
      <w:r w:rsidR="009A130B">
        <w:t xml:space="preserve">for </w:t>
      </w:r>
      <w:r w:rsidR="003F4F20">
        <w:t>enabl</w:t>
      </w:r>
      <w:r w:rsidR="009A130B">
        <w:t>ing</w:t>
      </w:r>
      <w:r w:rsidR="003F4F20">
        <w:t xml:space="preserve"> action initiation in the CDR </w:t>
      </w:r>
      <w:r w:rsidR="00834F00">
        <w:t>does</w:t>
      </w:r>
      <w:r w:rsidR="00845494">
        <w:t xml:space="preserve"> not </w:t>
      </w:r>
      <w:r w:rsidR="00FD7A3A">
        <w:t>identify</w:t>
      </w:r>
      <w:r w:rsidR="003F4F20">
        <w:t xml:space="preserve"> action types</w:t>
      </w:r>
      <w:r w:rsidR="00834F00">
        <w:t xml:space="preserve">; </w:t>
      </w:r>
      <w:r w:rsidR="002176EE">
        <w:t>t</w:t>
      </w:r>
      <w:r w:rsidR="00845494">
        <w:t>his</w:t>
      </w:r>
      <w:r w:rsidR="00B00783">
        <w:t xml:space="preserve"> </w:t>
      </w:r>
      <w:r w:rsidR="00685868">
        <w:t>w</w:t>
      </w:r>
      <w:r w:rsidR="00D204CE">
        <w:t>ould</w:t>
      </w:r>
      <w:r w:rsidR="00685868">
        <w:t xml:space="preserve"> </w:t>
      </w:r>
      <w:r w:rsidR="00834F00">
        <w:t xml:space="preserve">allow </w:t>
      </w:r>
      <w:r w:rsidR="00B00783">
        <w:t>the rules and standards to be tailored to different action</w:t>
      </w:r>
      <w:r w:rsidR="00834F00">
        <w:t>s</w:t>
      </w:r>
      <w:r w:rsidR="00B00783">
        <w:t xml:space="preserve">. </w:t>
      </w:r>
    </w:p>
    <w:p w14:paraId="4902AC97" w14:textId="7168C999" w:rsidR="00B00783" w:rsidRDefault="00F323F0" w:rsidP="00B00783">
      <w:r>
        <w:t xml:space="preserve">Passage of the bill would enable specific actions to be enlivened in the CDR under the following framework. </w:t>
      </w:r>
    </w:p>
    <w:p w14:paraId="45C9BE7B" w14:textId="1866F46C" w:rsidR="00E80C86" w:rsidRDefault="00E80C86" w:rsidP="008F5024">
      <w:pPr>
        <w:pStyle w:val="Bullet"/>
        <w:numPr>
          <w:ilvl w:val="0"/>
          <w:numId w:val="28"/>
        </w:numPr>
        <w:tabs>
          <w:tab w:val="clear" w:pos="720"/>
        </w:tabs>
        <w:spacing w:after="160" w:line="259" w:lineRule="auto"/>
      </w:pPr>
      <w:r w:rsidRPr="00F0422A">
        <w:rPr>
          <w:b/>
          <w:bCs/>
        </w:rPr>
        <w:t>Ministerial declaration</w:t>
      </w:r>
      <w:r>
        <w:t xml:space="preserve">: it is proposed that the Minister declare new action types in the CDR, similar to the current designation process for </w:t>
      </w:r>
      <w:r w:rsidR="00C44F5D">
        <w:t>data-sharing</w:t>
      </w:r>
      <w:r>
        <w:t xml:space="preserve">. The Minister could declare more than one action at the same time. The </w:t>
      </w:r>
      <w:r w:rsidR="005A243D">
        <w:t>d</w:t>
      </w:r>
      <w:r>
        <w:t xml:space="preserve">eclaration would specify which data holders would be obliged to accept action instructions in the CDR. </w:t>
      </w:r>
      <w:proofErr w:type="gramStart"/>
      <w:r>
        <w:t>Before declaring an action type</w:t>
      </w:r>
      <w:r w:rsidR="00A5443C">
        <w:t>,</w:t>
      </w:r>
      <w:r>
        <w:t xml:space="preserve"> there</w:t>
      </w:r>
      <w:proofErr w:type="gramEnd"/>
      <w:r>
        <w:t xml:space="preserve"> must be a period of public consultation and the Minister would be required to consider the likely effect on: </w:t>
      </w:r>
    </w:p>
    <w:p w14:paraId="5CC590D5" w14:textId="461C7552" w:rsidR="00E80C86" w:rsidRDefault="00A5443C" w:rsidP="008F5024">
      <w:pPr>
        <w:pStyle w:val="Dash"/>
        <w:numPr>
          <w:ilvl w:val="1"/>
          <w:numId w:val="28"/>
        </w:numPr>
        <w:spacing w:after="160" w:line="259" w:lineRule="auto"/>
      </w:pPr>
      <w:r>
        <w:t xml:space="preserve">the </w:t>
      </w:r>
      <w:r w:rsidR="00E80C86">
        <w:t>interests of consumers</w:t>
      </w:r>
    </w:p>
    <w:p w14:paraId="2252215C" w14:textId="6D7DA429" w:rsidR="00E80C86" w:rsidRDefault="00A5443C" w:rsidP="008F5024">
      <w:pPr>
        <w:pStyle w:val="Dash"/>
        <w:numPr>
          <w:ilvl w:val="1"/>
          <w:numId w:val="28"/>
        </w:numPr>
        <w:spacing w:after="160" w:line="259" w:lineRule="auto"/>
      </w:pPr>
      <w:r>
        <w:t xml:space="preserve">the </w:t>
      </w:r>
      <w:r w:rsidR="00E80C86">
        <w:t>efficiency of relevant markets</w:t>
      </w:r>
    </w:p>
    <w:p w14:paraId="43D68211" w14:textId="35CDA5DB" w:rsidR="00E80C86" w:rsidRDefault="00A5443C" w:rsidP="008F5024">
      <w:pPr>
        <w:pStyle w:val="Dash"/>
        <w:numPr>
          <w:ilvl w:val="1"/>
          <w:numId w:val="28"/>
        </w:numPr>
        <w:spacing w:after="160" w:line="259" w:lineRule="auto"/>
      </w:pPr>
      <w:r>
        <w:t xml:space="preserve">the </w:t>
      </w:r>
      <w:r w:rsidR="00E80C86">
        <w:t>privacy or confidentiality of information</w:t>
      </w:r>
    </w:p>
    <w:p w14:paraId="17489022" w14:textId="25E821DB" w:rsidR="00E80C86" w:rsidRDefault="00E80C86" w:rsidP="008F5024">
      <w:pPr>
        <w:pStyle w:val="Dash"/>
        <w:numPr>
          <w:ilvl w:val="1"/>
          <w:numId w:val="28"/>
        </w:numPr>
        <w:spacing w:after="160" w:line="259" w:lineRule="auto"/>
      </w:pPr>
      <w:r>
        <w:t>promoting competition</w:t>
      </w:r>
    </w:p>
    <w:p w14:paraId="55CE268B" w14:textId="04274911" w:rsidR="00E80C86" w:rsidRDefault="00E80C86" w:rsidP="008F5024">
      <w:pPr>
        <w:pStyle w:val="Dash"/>
        <w:numPr>
          <w:ilvl w:val="1"/>
          <w:numId w:val="28"/>
        </w:numPr>
        <w:spacing w:after="160" w:line="259" w:lineRule="auto"/>
      </w:pPr>
      <w:r>
        <w:t>promoting data-driven innovation</w:t>
      </w:r>
    </w:p>
    <w:p w14:paraId="60A97331" w14:textId="6F39DBA7" w:rsidR="00E80C86" w:rsidRDefault="00E80C86" w:rsidP="008F5024">
      <w:pPr>
        <w:pStyle w:val="Dash"/>
        <w:numPr>
          <w:ilvl w:val="1"/>
          <w:numId w:val="28"/>
        </w:numPr>
        <w:spacing w:after="160" w:line="259" w:lineRule="auto"/>
      </w:pPr>
      <w:r>
        <w:t>any intellectual property</w:t>
      </w:r>
    </w:p>
    <w:p w14:paraId="5FB510B1" w14:textId="40BB97A5" w:rsidR="00E80C86" w:rsidRDefault="00A5443C" w:rsidP="008F5024">
      <w:pPr>
        <w:pStyle w:val="Dash"/>
        <w:numPr>
          <w:ilvl w:val="1"/>
          <w:numId w:val="28"/>
        </w:numPr>
        <w:spacing w:after="160" w:line="259" w:lineRule="auto"/>
      </w:pPr>
      <w:r>
        <w:t xml:space="preserve">the </w:t>
      </w:r>
      <w:r w:rsidR="00E80C86">
        <w:t>public interest</w:t>
      </w:r>
    </w:p>
    <w:p w14:paraId="404E33BD" w14:textId="05329721" w:rsidR="00E80C86" w:rsidRDefault="00A5443C" w:rsidP="008F5024">
      <w:pPr>
        <w:pStyle w:val="Dash"/>
        <w:numPr>
          <w:ilvl w:val="1"/>
          <w:numId w:val="28"/>
        </w:numPr>
        <w:spacing w:after="160" w:line="259" w:lineRule="auto"/>
      </w:pPr>
      <w:r>
        <w:t xml:space="preserve">the </w:t>
      </w:r>
      <w:r w:rsidR="00E80C86">
        <w:t>regulatory impact of the rules, and</w:t>
      </w:r>
    </w:p>
    <w:p w14:paraId="1323A08C" w14:textId="61AAD880" w:rsidR="00E80C86" w:rsidRDefault="00E80C86" w:rsidP="008F5024">
      <w:pPr>
        <w:pStyle w:val="Dash"/>
        <w:numPr>
          <w:ilvl w:val="1"/>
          <w:numId w:val="28"/>
        </w:numPr>
        <w:spacing w:after="160" w:line="259" w:lineRule="auto"/>
      </w:pPr>
      <w:r>
        <w:t>any other factors the</w:t>
      </w:r>
      <w:r w:rsidR="00776A3D">
        <w:t xml:space="preserve"> Minister</w:t>
      </w:r>
      <w:r>
        <w:t xml:space="preserve"> consider</w:t>
      </w:r>
      <w:r w:rsidR="00776A3D">
        <w:t>s</w:t>
      </w:r>
      <w:r>
        <w:t xml:space="preserve"> relevant</w:t>
      </w:r>
      <w:r w:rsidR="00F85706">
        <w:t>.</w:t>
      </w:r>
    </w:p>
    <w:p w14:paraId="58D2C7E4" w14:textId="05792B11" w:rsidR="00E80C86" w:rsidRDefault="00E80C86" w:rsidP="008F5024">
      <w:pPr>
        <w:pStyle w:val="Bullet"/>
        <w:numPr>
          <w:ilvl w:val="0"/>
          <w:numId w:val="28"/>
        </w:numPr>
        <w:tabs>
          <w:tab w:val="clear" w:pos="720"/>
        </w:tabs>
        <w:spacing w:after="160" w:line="259" w:lineRule="auto"/>
      </w:pPr>
      <w:r w:rsidRPr="00F0422A">
        <w:rPr>
          <w:b/>
          <w:bCs/>
        </w:rPr>
        <w:t>Rules</w:t>
      </w:r>
      <w:r>
        <w:t>: Following a declaration, the Minister would be able to make rules for an action type</w:t>
      </w:r>
      <w:r w:rsidR="008C52B0">
        <w:t xml:space="preserve">, consistent with the current rule-making process for </w:t>
      </w:r>
      <w:r w:rsidR="00C44F5D">
        <w:t>data-sharing</w:t>
      </w:r>
      <w:r>
        <w:t xml:space="preserve">. The rules would enliven the obligations for the action type set out in the declaration. The </w:t>
      </w:r>
      <w:r w:rsidR="008C52B0">
        <w:t>r</w:t>
      </w:r>
      <w:r>
        <w:t>ules could include:</w:t>
      </w:r>
    </w:p>
    <w:p w14:paraId="294B560A" w14:textId="7FA8187F" w:rsidR="00E80C86" w:rsidRDefault="00E80C86" w:rsidP="008F5024">
      <w:pPr>
        <w:pStyle w:val="Dash"/>
        <w:numPr>
          <w:ilvl w:val="1"/>
          <w:numId w:val="28"/>
        </w:numPr>
        <w:spacing w:after="160" w:line="259" w:lineRule="auto"/>
      </w:pPr>
      <w:r>
        <w:t>obligations on action initiation participants including recordkeeping, reporting and audit requirements</w:t>
      </w:r>
    </w:p>
    <w:p w14:paraId="4A3079CD" w14:textId="7101D98F" w:rsidR="00E80C86" w:rsidRDefault="00E80C86" w:rsidP="008F5024">
      <w:pPr>
        <w:pStyle w:val="Dash"/>
        <w:numPr>
          <w:ilvl w:val="1"/>
          <w:numId w:val="28"/>
        </w:numPr>
        <w:spacing w:after="160" w:line="259" w:lineRule="auto"/>
      </w:pPr>
      <w:r>
        <w:t xml:space="preserve">criteria for accreditation </w:t>
      </w:r>
    </w:p>
    <w:p w14:paraId="40BD81D8" w14:textId="0E04A9C9" w:rsidR="00E80C86" w:rsidRDefault="00E80C86" w:rsidP="008F5024">
      <w:pPr>
        <w:pStyle w:val="Dash"/>
        <w:numPr>
          <w:ilvl w:val="1"/>
          <w:numId w:val="28"/>
        </w:numPr>
        <w:spacing w:after="160" w:line="259" w:lineRule="auto"/>
      </w:pPr>
      <w:r>
        <w:t>use of CDR data</w:t>
      </w:r>
    </w:p>
    <w:p w14:paraId="412B032D" w14:textId="5EF44D0C" w:rsidR="00E80C86" w:rsidRDefault="00E80C86" w:rsidP="008F5024">
      <w:pPr>
        <w:pStyle w:val="Dash"/>
        <w:numPr>
          <w:ilvl w:val="1"/>
          <w:numId w:val="28"/>
        </w:numPr>
        <w:spacing w:after="160" w:line="259" w:lineRule="auto"/>
      </w:pPr>
      <w:r>
        <w:t>how instructions are delivered</w:t>
      </w:r>
    </w:p>
    <w:p w14:paraId="2A25A8AB" w14:textId="7CD3553E" w:rsidR="00E80C86" w:rsidRDefault="00E80C86" w:rsidP="008F5024">
      <w:pPr>
        <w:pStyle w:val="Dash"/>
        <w:numPr>
          <w:ilvl w:val="1"/>
          <w:numId w:val="28"/>
        </w:numPr>
        <w:spacing w:after="160" w:line="259" w:lineRule="auto"/>
      </w:pPr>
      <w:r>
        <w:t>how consent and authorisations will occur</w:t>
      </w:r>
    </w:p>
    <w:p w14:paraId="01C4815D" w14:textId="34A4480B" w:rsidR="00E80C86" w:rsidRDefault="00E80C86" w:rsidP="008F5024">
      <w:pPr>
        <w:pStyle w:val="Dash"/>
        <w:numPr>
          <w:ilvl w:val="1"/>
          <w:numId w:val="28"/>
        </w:numPr>
        <w:spacing w:after="160" w:line="259" w:lineRule="auto"/>
      </w:pPr>
      <w:r>
        <w:t>application of privacy safeguards</w:t>
      </w:r>
    </w:p>
    <w:p w14:paraId="6AA38D12" w14:textId="6C52A268" w:rsidR="00E80C86" w:rsidRDefault="00E80C86" w:rsidP="008F5024">
      <w:pPr>
        <w:pStyle w:val="Dash"/>
        <w:numPr>
          <w:ilvl w:val="1"/>
          <w:numId w:val="28"/>
        </w:numPr>
        <w:spacing w:after="160" w:line="259" w:lineRule="auto"/>
      </w:pPr>
      <w:r>
        <w:t>rules about consumer complaints</w:t>
      </w:r>
      <w:r w:rsidR="009A130B">
        <w:t>, and</w:t>
      </w:r>
    </w:p>
    <w:p w14:paraId="1F67E5E7" w14:textId="38D86BC3" w:rsidR="00E80C86" w:rsidRDefault="00E80C86" w:rsidP="008F5024">
      <w:pPr>
        <w:pStyle w:val="Dash"/>
        <w:numPr>
          <w:ilvl w:val="1"/>
          <w:numId w:val="28"/>
        </w:numPr>
        <w:spacing w:after="160" w:line="259" w:lineRule="auto"/>
      </w:pPr>
      <w:r>
        <w:lastRenderedPageBreak/>
        <w:t>fee charging</w:t>
      </w:r>
      <w:r w:rsidR="00F85706">
        <w:t>.</w:t>
      </w:r>
    </w:p>
    <w:p w14:paraId="6FEB8AC8" w14:textId="44D475AF" w:rsidR="00E80C86" w:rsidRDefault="00E80C86" w:rsidP="008F5024">
      <w:pPr>
        <w:pStyle w:val="Bullet"/>
        <w:numPr>
          <w:ilvl w:val="0"/>
          <w:numId w:val="28"/>
        </w:numPr>
        <w:tabs>
          <w:tab w:val="clear" w:pos="720"/>
        </w:tabs>
        <w:spacing w:after="160" w:line="259" w:lineRule="auto"/>
      </w:pPr>
      <w:r w:rsidRPr="00F0422A">
        <w:rPr>
          <w:b/>
          <w:bCs/>
        </w:rPr>
        <w:t>Data standards and guidelines</w:t>
      </w:r>
      <w:r>
        <w:t xml:space="preserve">: The </w:t>
      </w:r>
      <w:r w:rsidR="008C52B0">
        <w:t>r</w:t>
      </w:r>
      <w:r>
        <w:t xml:space="preserve">ules would work alongside the data standards prepared by the Data Standards Body. The Office of the </w:t>
      </w:r>
      <w:r w:rsidR="00555BB7">
        <w:t xml:space="preserve">Australian </w:t>
      </w:r>
      <w:r>
        <w:t>Information Commissioner would also prepare and publish guidelines relating to the privacy safeguards.</w:t>
      </w:r>
    </w:p>
    <w:p w14:paraId="2FFB292B" w14:textId="630EC7A0" w:rsidR="00B856B7" w:rsidRDefault="00E80C86" w:rsidP="00B856B7">
      <w:pPr>
        <w:rPr>
          <w:i/>
          <w:iCs/>
        </w:rPr>
      </w:pPr>
      <w:r w:rsidRPr="00E80C86">
        <w:rPr>
          <w:b/>
          <w:bCs/>
        </w:rPr>
        <w:t xml:space="preserve">The proposed legislative framework </w:t>
      </w:r>
      <w:r w:rsidR="00121059">
        <w:rPr>
          <w:b/>
          <w:bCs/>
        </w:rPr>
        <w:t>does</w:t>
      </w:r>
      <w:r w:rsidR="00121059" w:rsidRPr="00E80C86">
        <w:rPr>
          <w:b/>
          <w:bCs/>
        </w:rPr>
        <w:t xml:space="preserve"> </w:t>
      </w:r>
      <w:r w:rsidRPr="00E80C86">
        <w:rPr>
          <w:b/>
          <w:bCs/>
        </w:rPr>
        <w:t>not seek to regulate the action layer</w:t>
      </w:r>
      <w:r>
        <w:t xml:space="preserve">. The framework would regulate the </w:t>
      </w:r>
      <w:r w:rsidR="008C52B0">
        <w:t>‘</w:t>
      </w:r>
      <w:r>
        <w:t>instruction layer</w:t>
      </w:r>
      <w:r w:rsidR="008C52B0">
        <w:t>’</w:t>
      </w:r>
      <w:r>
        <w:t xml:space="preserve">, which </w:t>
      </w:r>
      <w:r w:rsidR="000748D5">
        <w:t xml:space="preserve">is made up of </w:t>
      </w:r>
      <w:r>
        <w:t xml:space="preserve">the activities associated with consumers sending instructions for the performance of actions. </w:t>
      </w:r>
    </w:p>
    <w:p w14:paraId="54EAC54A" w14:textId="76C1A4F3" w:rsidR="00B856B7" w:rsidRDefault="00B856B7" w:rsidP="00B856B7">
      <w:pPr>
        <w:pStyle w:val="Heading2"/>
      </w:pPr>
      <w:bookmarkStart w:id="8" w:name="_Toc114831810"/>
      <w:r>
        <w:t>Key features of the legislation</w:t>
      </w:r>
      <w:bookmarkEnd w:id="8"/>
    </w:p>
    <w:p w14:paraId="4D9F79DB" w14:textId="77777777" w:rsidR="00B856B7" w:rsidRPr="00083457" w:rsidRDefault="00B856B7" w:rsidP="00B856B7">
      <w:r>
        <w:t>The proposed legislation contains a number of key features to establish the framework for action initiation in the CDR.</w:t>
      </w:r>
    </w:p>
    <w:p w14:paraId="7A129574" w14:textId="7AA856B2" w:rsidR="00B856B7" w:rsidRPr="009E542A" w:rsidRDefault="00B856B7" w:rsidP="00B856B7">
      <w:pPr>
        <w:pStyle w:val="Bullet"/>
        <w:numPr>
          <w:ilvl w:val="0"/>
          <w:numId w:val="28"/>
        </w:numPr>
        <w:tabs>
          <w:tab w:val="clear" w:pos="720"/>
        </w:tabs>
        <w:spacing w:after="160" w:line="259" w:lineRule="auto"/>
      </w:pPr>
      <w:r>
        <w:rPr>
          <w:b/>
          <w:bCs/>
        </w:rPr>
        <w:t xml:space="preserve">New entities could initiate and execute action types. </w:t>
      </w:r>
      <w:r w:rsidRPr="009E542A">
        <w:t xml:space="preserve">The changes </w:t>
      </w:r>
      <w:r>
        <w:t>would</w:t>
      </w:r>
      <w:r w:rsidRPr="009E542A">
        <w:t xml:space="preserve"> create two new </w:t>
      </w:r>
      <w:r w:rsidR="000748D5">
        <w:t xml:space="preserve">types of </w:t>
      </w:r>
      <w:r w:rsidRPr="009E542A">
        <w:t xml:space="preserve">CDR entities that have a specific role in action initiation. These are: </w:t>
      </w:r>
    </w:p>
    <w:p w14:paraId="35FC8D9C" w14:textId="32746E3A" w:rsidR="00B856B7" w:rsidRPr="008063E3" w:rsidRDefault="00B856B7" w:rsidP="00B856B7">
      <w:pPr>
        <w:pStyle w:val="Dash"/>
        <w:numPr>
          <w:ilvl w:val="1"/>
          <w:numId w:val="28"/>
        </w:numPr>
        <w:spacing w:after="160" w:line="259" w:lineRule="auto"/>
      </w:pPr>
      <w:r w:rsidRPr="00F80A55">
        <w:rPr>
          <w:b/>
        </w:rPr>
        <w:t>Accredited Action Initiators</w:t>
      </w:r>
      <w:r w:rsidRPr="008063E3">
        <w:t>, wh</w:t>
      </w:r>
      <w:r w:rsidR="00F85706">
        <w:t>ich</w:t>
      </w:r>
      <w:r w:rsidRPr="008063E3">
        <w:t xml:space="preserve"> </w:t>
      </w:r>
      <w:r>
        <w:t>would</w:t>
      </w:r>
      <w:r w:rsidRPr="008063E3">
        <w:t xml:space="preserve"> be able to instruct an Action Service Provider to carry out actions on behalf of consumers (with consent). An Accredited Action Initiator </w:t>
      </w:r>
      <w:r>
        <w:t>would</w:t>
      </w:r>
      <w:r w:rsidRPr="008063E3">
        <w:t xml:space="preserve"> be accredited by the </w:t>
      </w:r>
      <w:r w:rsidR="00A02A77">
        <w:t>Australian Competition and Consumer Commission</w:t>
      </w:r>
      <w:r w:rsidRPr="008063E3">
        <w:t>,</w:t>
      </w:r>
      <w:r>
        <w:t xml:space="preserve"> and it is</w:t>
      </w:r>
      <w:r w:rsidRPr="008063E3">
        <w:t xml:space="preserve"> propos</w:t>
      </w:r>
      <w:r>
        <w:t>ed</w:t>
      </w:r>
      <w:r w:rsidRPr="008063E3">
        <w:t xml:space="preserve"> that an </w:t>
      </w:r>
      <w:r>
        <w:t>Accredited Action Initiator</w:t>
      </w:r>
      <w:r w:rsidRPr="008063E3">
        <w:t xml:space="preserve"> </w:t>
      </w:r>
      <w:r>
        <w:t>would</w:t>
      </w:r>
      <w:r w:rsidRPr="008063E3">
        <w:t xml:space="preserve"> need to be an Accredited Person for </w:t>
      </w:r>
      <w:r w:rsidR="00C44F5D">
        <w:t>data-sharing</w:t>
      </w:r>
      <w:r w:rsidRPr="008063E3">
        <w:t>.</w:t>
      </w:r>
    </w:p>
    <w:p w14:paraId="34D166ED" w14:textId="46537C85" w:rsidR="00B856B7" w:rsidRPr="008063E3" w:rsidRDefault="00B856B7" w:rsidP="00B856B7">
      <w:pPr>
        <w:pStyle w:val="Dash"/>
        <w:numPr>
          <w:ilvl w:val="1"/>
          <w:numId w:val="28"/>
        </w:numPr>
        <w:spacing w:after="160" w:line="259" w:lineRule="auto"/>
      </w:pPr>
      <w:r w:rsidRPr="00F80A55">
        <w:rPr>
          <w:b/>
        </w:rPr>
        <w:t>Action Service Providers</w:t>
      </w:r>
      <w:r w:rsidRPr="008063E3">
        <w:t>, wh</w:t>
      </w:r>
      <w:r w:rsidR="00F85706">
        <w:t>ich</w:t>
      </w:r>
      <w:r w:rsidRPr="008063E3">
        <w:t xml:space="preserve"> </w:t>
      </w:r>
      <w:r>
        <w:t>would</w:t>
      </w:r>
      <w:r w:rsidRPr="008063E3">
        <w:t xml:space="preserve"> be required to act on a valid instruction received from an Accredited Action Initiator. The </w:t>
      </w:r>
      <w:r w:rsidR="008C52B0">
        <w:t>d</w:t>
      </w:r>
      <w:r w:rsidRPr="008063E3">
        <w:t xml:space="preserve">eclaration process would bring Action Service Providers into the CDR, </w:t>
      </w:r>
      <w:r>
        <w:t>wh</w:t>
      </w:r>
      <w:r w:rsidR="00F85706">
        <w:t>ich</w:t>
      </w:r>
      <w:r w:rsidRPr="008063E3">
        <w:t xml:space="preserve"> </w:t>
      </w:r>
      <w:r>
        <w:t>would</w:t>
      </w:r>
      <w:r w:rsidRPr="008063E3">
        <w:t xml:space="preserve"> need to be existing </w:t>
      </w:r>
      <w:r>
        <w:t>D</w:t>
      </w:r>
      <w:r w:rsidRPr="008063E3">
        <w:t xml:space="preserve">ata </w:t>
      </w:r>
      <w:r>
        <w:t>H</w:t>
      </w:r>
      <w:r w:rsidRPr="008063E3">
        <w:t xml:space="preserve">olders. </w:t>
      </w:r>
      <w:r w:rsidR="00F02D7C">
        <w:t xml:space="preserve">Action Service Providers </w:t>
      </w:r>
      <w:r w:rsidR="00474084">
        <w:t>would</w:t>
      </w:r>
      <w:r w:rsidR="00F02D7C">
        <w:t xml:space="preserve"> only be require</w:t>
      </w:r>
      <w:r w:rsidR="00744FC5">
        <w:t>d</w:t>
      </w:r>
      <w:r w:rsidR="00F02D7C">
        <w:t xml:space="preserve"> to execute actions that they complete outside of the CDR. </w:t>
      </w:r>
      <w:r w:rsidRPr="008063E3">
        <w:t xml:space="preserve">There </w:t>
      </w:r>
      <w:r>
        <w:t>would</w:t>
      </w:r>
      <w:r w:rsidRPr="008063E3">
        <w:t xml:space="preserve"> be scope for </w:t>
      </w:r>
      <w:r w:rsidR="008C52B0">
        <w:t>v</w:t>
      </w:r>
      <w:r w:rsidRPr="008063E3">
        <w:t>oluntary Ac</w:t>
      </w:r>
      <w:r w:rsidR="009A0CCC">
        <w:t>tion</w:t>
      </w:r>
      <w:r w:rsidRPr="008063E3">
        <w:t xml:space="preserve"> Service Providers to be involved in the CDR subject to approval processes. The criteria for approving voluntary Action Service Providers </w:t>
      </w:r>
      <w:r>
        <w:t>would</w:t>
      </w:r>
      <w:r w:rsidRPr="008063E3">
        <w:t xml:space="preserve"> be set out in the rules. </w:t>
      </w:r>
    </w:p>
    <w:p w14:paraId="60664FFD" w14:textId="0BDCCA0B" w:rsidR="00B856B7" w:rsidRPr="000B6437" w:rsidRDefault="00B856B7" w:rsidP="00B856B7">
      <w:pPr>
        <w:pStyle w:val="Bullet"/>
        <w:numPr>
          <w:ilvl w:val="0"/>
          <w:numId w:val="28"/>
        </w:numPr>
        <w:tabs>
          <w:tab w:val="clear" w:pos="720"/>
        </w:tabs>
        <w:spacing w:after="160" w:line="259" w:lineRule="auto"/>
      </w:pPr>
      <w:r>
        <w:rPr>
          <w:b/>
          <w:bCs/>
        </w:rPr>
        <w:t xml:space="preserve">An Action Service Provider must accept valid action requests. </w:t>
      </w:r>
      <w:r w:rsidRPr="00083457">
        <w:t>A</w:t>
      </w:r>
      <w:r>
        <w:t xml:space="preserve">ction Service </w:t>
      </w:r>
      <w:r w:rsidRPr="00083457">
        <w:t>P</w:t>
      </w:r>
      <w:r>
        <w:t>rovider</w:t>
      </w:r>
      <w:r w:rsidRPr="00083457">
        <w:t xml:space="preserve">s </w:t>
      </w:r>
      <w:r>
        <w:t xml:space="preserve">would need to </w:t>
      </w:r>
      <w:r w:rsidRPr="00083457">
        <w:t xml:space="preserve">treat </w:t>
      </w:r>
      <w:r w:rsidR="00DB7DF0">
        <w:t xml:space="preserve">a </w:t>
      </w:r>
      <w:r>
        <w:t>valid</w:t>
      </w:r>
      <w:r w:rsidRPr="00083457">
        <w:t xml:space="preserve"> action request </w:t>
      </w:r>
      <w:r>
        <w:t>they</w:t>
      </w:r>
      <w:r w:rsidRPr="00083457">
        <w:t xml:space="preserve"> receive</w:t>
      </w:r>
      <w:r>
        <w:t xml:space="preserve"> </w:t>
      </w:r>
      <w:r w:rsidRPr="00083457">
        <w:t xml:space="preserve">from </w:t>
      </w:r>
      <w:r>
        <w:t>Accredited Action Initiators</w:t>
      </w:r>
      <w:r w:rsidRPr="00083457">
        <w:t xml:space="preserve"> as if it came from the consumer themselves.</w:t>
      </w:r>
      <w:r>
        <w:t xml:space="preserve"> This does not mean they need to complete every action request, as they </w:t>
      </w:r>
      <w:r w:rsidRPr="00083457">
        <w:t>c</w:t>
      </w:r>
      <w:r w:rsidR="00FA0079">
        <w:t>ould</w:t>
      </w:r>
      <w:r w:rsidRPr="00083457">
        <w:t xml:space="preserve"> </w:t>
      </w:r>
      <w:r>
        <w:t>still refuse an action if they would not complete the action outside the CDR. F</w:t>
      </w:r>
      <w:r w:rsidRPr="00083457">
        <w:t>or example</w:t>
      </w:r>
      <w:r>
        <w:t xml:space="preserve">, a bank may </w:t>
      </w:r>
      <w:r w:rsidR="00DB7DF0">
        <w:t>decline</w:t>
      </w:r>
      <w:r>
        <w:t xml:space="preserve"> to complete a payment if </w:t>
      </w:r>
      <w:r w:rsidRPr="00083457">
        <w:t xml:space="preserve">the </w:t>
      </w:r>
      <w:r w:rsidR="007E5486">
        <w:t>consumer</w:t>
      </w:r>
      <w:r w:rsidR="007E5486" w:rsidRPr="00083457">
        <w:t xml:space="preserve"> </w:t>
      </w:r>
      <w:r w:rsidRPr="00083457">
        <w:t xml:space="preserve">is not eligible for the particular </w:t>
      </w:r>
      <w:r w:rsidR="006402A0" w:rsidRPr="00083457">
        <w:t>transaction</w:t>
      </w:r>
      <w:r w:rsidR="006402A0">
        <w:t xml:space="preserve"> or</w:t>
      </w:r>
      <w:r>
        <w:t xml:space="preserve"> does not have sufficient funds in their account</w:t>
      </w:r>
      <w:r w:rsidRPr="00083457">
        <w:t>.</w:t>
      </w:r>
      <w:r>
        <w:t xml:space="preserve"> However, it is proposed that an Action Service Provider </w:t>
      </w:r>
      <w:r w:rsidRPr="00083457">
        <w:t>cannot</w:t>
      </w:r>
      <w:r>
        <w:t xml:space="preserve"> discriminate against instructions that came through the CDR, meaning they cannot</w:t>
      </w:r>
      <w:r w:rsidRPr="00083457">
        <w:t xml:space="preserve"> refuse to act on an instruction</w:t>
      </w:r>
      <w:r>
        <w:t xml:space="preserve"> because</w:t>
      </w:r>
      <w:r w:rsidRPr="00083457">
        <w:t xml:space="preserve"> the request came through the CDR framework</w:t>
      </w:r>
      <w:r>
        <w:t xml:space="preserve">. </w:t>
      </w:r>
    </w:p>
    <w:p w14:paraId="50177819" w14:textId="73418773" w:rsidR="00B856B7" w:rsidRPr="000B6437" w:rsidRDefault="00B856B7" w:rsidP="00B856B7">
      <w:pPr>
        <w:pStyle w:val="Bullet"/>
        <w:numPr>
          <w:ilvl w:val="0"/>
          <w:numId w:val="28"/>
        </w:numPr>
        <w:tabs>
          <w:tab w:val="clear" w:pos="720"/>
        </w:tabs>
        <w:spacing w:after="160" w:line="259" w:lineRule="auto"/>
        <w:rPr>
          <w:b/>
          <w:bCs/>
        </w:rPr>
      </w:pPr>
      <w:r w:rsidRPr="000B6437">
        <w:rPr>
          <w:b/>
          <w:bCs/>
        </w:rPr>
        <w:t>A</w:t>
      </w:r>
      <w:r>
        <w:rPr>
          <w:b/>
          <w:bCs/>
        </w:rPr>
        <w:t xml:space="preserve">ccredited </w:t>
      </w:r>
      <w:r w:rsidRPr="000B6437">
        <w:rPr>
          <w:b/>
          <w:bCs/>
        </w:rPr>
        <w:t>A</w:t>
      </w:r>
      <w:r>
        <w:rPr>
          <w:b/>
          <w:bCs/>
        </w:rPr>
        <w:t xml:space="preserve">ction </w:t>
      </w:r>
      <w:r w:rsidRPr="000B6437">
        <w:rPr>
          <w:b/>
          <w:bCs/>
        </w:rPr>
        <w:t>I</w:t>
      </w:r>
      <w:r>
        <w:rPr>
          <w:b/>
          <w:bCs/>
        </w:rPr>
        <w:t>nitiator</w:t>
      </w:r>
      <w:r w:rsidRPr="000B6437">
        <w:rPr>
          <w:b/>
          <w:bCs/>
        </w:rPr>
        <w:t>s must act honestly, efficiently and fairly</w:t>
      </w:r>
      <w:r>
        <w:t xml:space="preserve">. </w:t>
      </w:r>
      <w:r w:rsidR="00461909">
        <w:t xml:space="preserve">The </w:t>
      </w:r>
      <w:r w:rsidR="0079688A" w:rsidRPr="002059CC">
        <w:rPr>
          <w:i/>
          <w:iCs/>
        </w:rPr>
        <w:t>Inquiry into</w:t>
      </w:r>
      <w:r w:rsidR="00DB7D2C">
        <w:rPr>
          <w:i/>
          <w:iCs/>
        </w:rPr>
        <w:t xml:space="preserve"> the</w:t>
      </w:r>
      <w:r w:rsidR="0079688A" w:rsidRPr="002059CC">
        <w:rPr>
          <w:i/>
          <w:iCs/>
        </w:rPr>
        <w:t xml:space="preserve"> </w:t>
      </w:r>
      <w:r w:rsidR="00461909" w:rsidRPr="002059CC">
        <w:rPr>
          <w:i/>
        </w:rPr>
        <w:t xml:space="preserve">Future Directions </w:t>
      </w:r>
      <w:r w:rsidR="0079688A" w:rsidRPr="002059CC">
        <w:rPr>
          <w:i/>
          <w:iCs/>
        </w:rPr>
        <w:t>for the CDR</w:t>
      </w:r>
      <w:r w:rsidR="00461909">
        <w:t xml:space="preserve"> recommended that</w:t>
      </w:r>
      <w:r w:rsidR="00461909" w:rsidRPr="00461909">
        <w:t xml:space="preserve"> </w:t>
      </w:r>
      <w:r w:rsidR="00461909">
        <w:t>an</w:t>
      </w:r>
      <w:r w:rsidR="00461909" w:rsidRPr="00461909">
        <w:t xml:space="preserve"> accredited person should be obliged to act efficiently, honestly and fairly in relation to initiating actions</w:t>
      </w:r>
      <w:r w:rsidR="00461909">
        <w:t>.</w:t>
      </w:r>
      <w:r w:rsidR="00461909" w:rsidRPr="00781B16">
        <w:rPr>
          <w:rStyle w:val="FootnoteReference"/>
          <w:vertAlign w:val="superscript"/>
        </w:rPr>
        <w:footnoteReference w:id="4"/>
      </w:r>
      <w:r w:rsidR="00461909">
        <w:t xml:space="preserve"> Th</w:t>
      </w:r>
      <w:r w:rsidR="00F17A35">
        <w:t>e proposed legislation is consistent with this recommendation</w:t>
      </w:r>
      <w:r w:rsidR="003F5ED6">
        <w:t xml:space="preserve">. </w:t>
      </w:r>
      <w:r w:rsidR="00E41B53" w:rsidRPr="00E41B53">
        <w:t xml:space="preserve">This requirement for Accredited Action Initiators is </w:t>
      </w:r>
      <w:r w:rsidR="00E41B53" w:rsidRPr="00E41B53">
        <w:lastRenderedPageBreak/>
        <w:t>intended to be closely aligned with the obligation in the Australian financial services licensing regime to act efficiently, honestly and fairly</w:t>
      </w:r>
      <w:r w:rsidR="00E41B53">
        <w:t>.</w:t>
      </w:r>
    </w:p>
    <w:p w14:paraId="2F673318" w14:textId="0F8583EA" w:rsidR="00B856B7" w:rsidRPr="000B6437" w:rsidRDefault="00B856B7" w:rsidP="00B856B7">
      <w:pPr>
        <w:pStyle w:val="Bullet"/>
        <w:numPr>
          <w:ilvl w:val="0"/>
          <w:numId w:val="28"/>
        </w:numPr>
        <w:tabs>
          <w:tab w:val="clear" w:pos="720"/>
        </w:tabs>
        <w:spacing w:after="160" w:line="259" w:lineRule="auto"/>
      </w:pPr>
      <w:r>
        <w:rPr>
          <w:b/>
          <w:bCs/>
        </w:rPr>
        <w:t xml:space="preserve">An Action Service Provider cannot charge a CDR premium in the action layer. </w:t>
      </w:r>
      <w:r>
        <w:t xml:space="preserve">This would prevent an Action Service Provider charging a </w:t>
      </w:r>
      <w:r w:rsidR="007E5486">
        <w:t xml:space="preserve">consumer </w:t>
      </w:r>
      <w:r w:rsidR="00DB7DF0">
        <w:t xml:space="preserve">additional </w:t>
      </w:r>
      <w:r>
        <w:t xml:space="preserve">fees to complete actions just because the request came through the CDR. For example, while a bank would be able to charge a </w:t>
      </w:r>
      <w:r w:rsidR="00DB7DF0">
        <w:t xml:space="preserve">consumer </w:t>
      </w:r>
      <w:r>
        <w:t xml:space="preserve">a home loan application fee for a request that came through the CDR, it could not charge a higher fee than what would be applied outside the CDR. </w:t>
      </w:r>
    </w:p>
    <w:p w14:paraId="251FFBA8" w14:textId="303FC5AA" w:rsidR="00B856B7" w:rsidRDefault="00B856B7" w:rsidP="00B856B7">
      <w:pPr>
        <w:pStyle w:val="Bullet"/>
        <w:numPr>
          <w:ilvl w:val="0"/>
          <w:numId w:val="28"/>
        </w:numPr>
        <w:tabs>
          <w:tab w:val="clear" w:pos="720"/>
        </w:tabs>
        <w:spacing w:after="160" w:line="259" w:lineRule="auto"/>
      </w:pPr>
      <w:r>
        <w:rPr>
          <w:b/>
          <w:bCs/>
        </w:rPr>
        <w:t>The rules w</w:t>
      </w:r>
      <w:r w:rsidR="00160D1C">
        <w:rPr>
          <w:b/>
          <w:bCs/>
        </w:rPr>
        <w:t>ould</w:t>
      </w:r>
      <w:r>
        <w:rPr>
          <w:b/>
          <w:bCs/>
        </w:rPr>
        <w:t xml:space="preserve"> determine if an Action Service Provider can charge to receive an </w:t>
      </w:r>
      <w:r w:rsidRPr="006A1A6D">
        <w:rPr>
          <w:b/>
          <w:bCs/>
        </w:rPr>
        <w:t>instruction.</w:t>
      </w:r>
      <w:r>
        <w:t xml:space="preserve"> If allowed in the </w:t>
      </w:r>
      <w:r w:rsidR="00DB7DF0">
        <w:t>r</w:t>
      </w:r>
      <w:r>
        <w:t xml:space="preserve">ules, an Action Service Provider would be able to charge an Accredited Action Initiator for receiving an action instruction from an </w:t>
      </w:r>
      <w:r w:rsidR="007E5486">
        <w:t>A</w:t>
      </w:r>
      <w:r>
        <w:t xml:space="preserve">ccredited </w:t>
      </w:r>
      <w:r w:rsidR="007E5486">
        <w:t>A</w:t>
      </w:r>
      <w:r>
        <w:t xml:space="preserve">ction </w:t>
      </w:r>
      <w:r w:rsidR="007E5486">
        <w:t>I</w:t>
      </w:r>
      <w:r>
        <w:t xml:space="preserve">nitiator. The Australian Competition and Consumer Commission would be able to intervene if it </w:t>
      </w:r>
      <w:r w:rsidR="00DB7DF0">
        <w:t xml:space="preserve">considered </w:t>
      </w:r>
      <w:r>
        <w:t xml:space="preserve">charges were too high. </w:t>
      </w:r>
    </w:p>
    <w:p w14:paraId="57063100" w14:textId="07437394" w:rsidR="00B856B7" w:rsidRPr="000B6437" w:rsidRDefault="00B856B7" w:rsidP="00B856B7">
      <w:pPr>
        <w:pStyle w:val="Bullet"/>
        <w:numPr>
          <w:ilvl w:val="0"/>
          <w:numId w:val="28"/>
        </w:numPr>
        <w:tabs>
          <w:tab w:val="clear" w:pos="720"/>
        </w:tabs>
        <w:spacing w:after="160" w:line="259" w:lineRule="auto"/>
      </w:pPr>
      <w:r>
        <w:rPr>
          <w:b/>
          <w:bCs/>
        </w:rPr>
        <w:t>An action could only be initiated with the consent of a consumer</w:t>
      </w:r>
      <w:r>
        <w:t xml:space="preserve">. An Accredited Action Initiator would only be able </w:t>
      </w:r>
      <w:r w:rsidR="007E5486">
        <w:t xml:space="preserve">to </w:t>
      </w:r>
      <w:r>
        <w:t>initiate a CDR action on the consumer</w:t>
      </w:r>
      <w:r w:rsidR="00DB7DF0">
        <w:t>’</w:t>
      </w:r>
      <w:r>
        <w:t xml:space="preserve">s behalf with the consent of that consumer. It is proposed that the </w:t>
      </w:r>
      <w:r w:rsidR="00DB7DF0">
        <w:t>r</w:t>
      </w:r>
      <w:r>
        <w:t>ules would outline the specific consent requirements for actions.</w:t>
      </w:r>
    </w:p>
    <w:p w14:paraId="2392A618" w14:textId="198ED10B" w:rsidR="00B856B7" w:rsidRDefault="00B856B7" w:rsidP="00B856B7">
      <w:pPr>
        <w:pStyle w:val="Bullet"/>
        <w:numPr>
          <w:ilvl w:val="0"/>
          <w:numId w:val="27"/>
        </w:numPr>
        <w:tabs>
          <w:tab w:val="clear" w:pos="720"/>
        </w:tabs>
        <w:spacing w:after="160" w:line="259" w:lineRule="auto"/>
      </w:pPr>
      <w:r w:rsidRPr="00577878">
        <w:rPr>
          <w:b/>
          <w:bCs/>
        </w:rPr>
        <w:t>The</w:t>
      </w:r>
      <w:r>
        <w:rPr>
          <w:b/>
          <w:bCs/>
        </w:rPr>
        <w:t xml:space="preserve"> existing privacy safeguards would be </w:t>
      </w:r>
      <w:r w:rsidR="00D76C8C">
        <w:rPr>
          <w:b/>
          <w:bCs/>
        </w:rPr>
        <w:t xml:space="preserve">extended </w:t>
      </w:r>
      <w:r>
        <w:rPr>
          <w:b/>
          <w:bCs/>
        </w:rPr>
        <w:t xml:space="preserve">to apply to CDR data being shared in action initiation.  </w:t>
      </w:r>
      <w:r>
        <w:t xml:space="preserve">The 13 </w:t>
      </w:r>
      <w:r w:rsidR="00F66F40">
        <w:t>existing</w:t>
      </w:r>
      <w:r>
        <w:t xml:space="preserve"> privacy safeguards would be extended to apply to Accredited Action Initiators, and some privacy safeguards would be extended to apply to Action Service </w:t>
      </w:r>
      <w:r w:rsidR="00246B82">
        <w:t>Providers</w:t>
      </w:r>
      <w:r w:rsidR="00FA0079">
        <w:t xml:space="preserve"> with a focus on</w:t>
      </w:r>
      <w:r>
        <w:t xml:space="preserve"> the instruction layer to provide protection against CDR specific risks. </w:t>
      </w:r>
      <w:r w:rsidR="00F66F40">
        <w:t>The a</w:t>
      </w:r>
      <w:r>
        <w:t xml:space="preserve">ppendix </w:t>
      </w:r>
      <w:r w:rsidR="00F66F40">
        <w:t>includes a</w:t>
      </w:r>
      <w:r>
        <w:t xml:space="preserve"> detailed </w:t>
      </w:r>
      <w:r w:rsidR="007E5486">
        <w:t xml:space="preserve">explanation </w:t>
      </w:r>
      <w:r>
        <w:t>of the proposed extension of the privacy safeguards.</w:t>
      </w:r>
    </w:p>
    <w:p w14:paraId="76934DCC" w14:textId="16F65503" w:rsidR="00B856B7" w:rsidRDefault="00B856B7" w:rsidP="00B856B7">
      <w:pPr>
        <w:pStyle w:val="Heading2"/>
      </w:pPr>
      <w:bookmarkStart w:id="9" w:name="_Toc114831811"/>
      <w:r w:rsidRPr="00B856B7">
        <w:t xml:space="preserve">Existing provisions </w:t>
      </w:r>
      <w:r w:rsidR="00160D1C">
        <w:t>to</w:t>
      </w:r>
      <w:r w:rsidRPr="00B856B7">
        <w:t xml:space="preserve"> be extended to action initiation</w:t>
      </w:r>
      <w:bookmarkEnd w:id="9"/>
    </w:p>
    <w:p w14:paraId="43318154" w14:textId="60C01213" w:rsidR="00471A3B" w:rsidRPr="006A6DDF" w:rsidRDefault="0086280F" w:rsidP="00471A3B">
      <w:pPr>
        <w:pStyle w:val="Bullet"/>
        <w:numPr>
          <w:ilvl w:val="0"/>
          <w:numId w:val="27"/>
        </w:numPr>
        <w:tabs>
          <w:tab w:val="clear" w:pos="720"/>
        </w:tabs>
        <w:spacing w:after="160" w:line="259" w:lineRule="auto"/>
        <w:rPr>
          <w:b/>
        </w:rPr>
      </w:pPr>
      <w:r>
        <w:rPr>
          <w:b/>
        </w:rPr>
        <w:t>Protection from l</w:t>
      </w:r>
      <w:r w:rsidR="00471A3B" w:rsidRPr="006A6DDF">
        <w:rPr>
          <w:b/>
        </w:rPr>
        <w:t>iability</w:t>
      </w:r>
      <w:r>
        <w:rPr>
          <w:b/>
        </w:rPr>
        <w:t xml:space="preserve"> if certain conditions are met</w:t>
      </w:r>
      <w:r w:rsidR="00471A3B" w:rsidRPr="001F7763">
        <w:rPr>
          <w:bCs/>
        </w:rPr>
        <w:t xml:space="preserve">. </w:t>
      </w:r>
      <w:r w:rsidR="00471A3B">
        <w:rPr>
          <w:bCs/>
        </w:rPr>
        <w:t xml:space="preserve">Participants </w:t>
      </w:r>
      <w:r w:rsidR="00FA0079">
        <w:rPr>
          <w:bCs/>
        </w:rPr>
        <w:t xml:space="preserve">that </w:t>
      </w:r>
      <w:r w:rsidR="00471A3B">
        <w:rPr>
          <w:bCs/>
        </w:rPr>
        <w:t xml:space="preserve">act in good faith and comply with CDR laws and rules </w:t>
      </w:r>
      <w:r>
        <w:rPr>
          <w:bCs/>
        </w:rPr>
        <w:t xml:space="preserve">would </w:t>
      </w:r>
      <w:r w:rsidR="00471A3B">
        <w:rPr>
          <w:bCs/>
        </w:rPr>
        <w:t xml:space="preserve">be protected from liability. However, the legislation would enable regulations </w:t>
      </w:r>
      <w:r w:rsidR="00125BC6">
        <w:rPr>
          <w:bCs/>
        </w:rPr>
        <w:t>to specify other laws that the liability protection would not apply to</w:t>
      </w:r>
      <w:r w:rsidR="00471A3B">
        <w:rPr>
          <w:bCs/>
        </w:rPr>
        <w:t xml:space="preserve">. For example, this may include </w:t>
      </w:r>
      <w:r w:rsidR="00471A3B" w:rsidRPr="00A57321">
        <w:t>the</w:t>
      </w:r>
      <w:r w:rsidR="00471A3B" w:rsidRPr="009146DE">
        <w:rPr>
          <w:bCs/>
          <w:i/>
          <w:iCs/>
        </w:rPr>
        <w:t xml:space="preserve"> Anti-Money Laundering and Counter-Terrorism Financing Act</w:t>
      </w:r>
      <w:r w:rsidR="00471A3B">
        <w:rPr>
          <w:bCs/>
        </w:rPr>
        <w:t xml:space="preserve"> </w:t>
      </w:r>
      <w:r w:rsidR="00471A3B" w:rsidRPr="00B032A6">
        <w:rPr>
          <w:bCs/>
          <w:i/>
          <w:iCs/>
        </w:rPr>
        <w:t>2006</w:t>
      </w:r>
      <w:r w:rsidR="00471A3B">
        <w:rPr>
          <w:bCs/>
        </w:rPr>
        <w:t xml:space="preserve">.  </w:t>
      </w:r>
    </w:p>
    <w:p w14:paraId="49AF0916" w14:textId="010AC0D5" w:rsidR="00B856B7" w:rsidRDefault="00B856B7" w:rsidP="00B856B7">
      <w:pPr>
        <w:pStyle w:val="Bullet"/>
        <w:numPr>
          <w:ilvl w:val="0"/>
          <w:numId w:val="27"/>
        </w:numPr>
        <w:tabs>
          <w:tab w:val="clear" w:pos="720"/>
        </w:tabs>
        <w:spacing w:after="160" w:line="259" w:lineRule="auto"/>
      </w:pPr>
      <w:r w:rsidRPr="00FB0BFB">
        <w:rPr>
          <w:b/>
          <w:bCs/>
        </w:rPr>
        <w:t>CDR action participants cannot hold out to be accredited if they are not</w:t>
      </w:r>
      <w:r>
        <w:t xml:space="preserve">. As is the case in </w:t>
      </w:r>
      <w:r w:rsidR="00C44F5D">
        <w:t>data-sharing</w:t>
      </w:r>
      <w:r>
        <w:t xml:space="preserve"> in the CDR, a person </w:t>
      </w:r>
      <w:r w:rsidR="00024BDA">
        <w:t xml:space="preserve">would have committed an offence if they </w:t>
      </w:r>
      <w:r>
        <w:t xml:space="preserve">mislead or deceive a consumer into believing they are an Accredited Person for </w:t>
      </w:r>
      <w:r w:rsidR="00024BDA">
        <w:t xml:space="preserve">a </w:t>
      </w:r>
      <w:r>
        <w:t xml:space="preserve">CDR action. </w:t>
      </w:r>
    </w:p>
    <w:p w14:paraId="38BE5FD1" w14:textId="39EC9851" w:rsidR="004E75C5" w:rsidRDefault="00B856B7" w:rsidP="00A915F9">
      <w:pPr>
        <w:pStyle w:val="Bullet"/>
        <w:numPr>
          <w:ilvl w:val="0"/>
          <w:numId w:val="27"/>
        </w:numPr>
        <w:tabs>
          <w:tab w:val="clear" w:pos="720"/>
        </w:tabs>
        <w:spacing w:after="160" w:line="259" w:lineRule="auto"/>
      </w:pPr>
      <w:r w:rsidRPr="00240669">
        <w:rPr>
          <w:b/>
          <w:bCs/>
        </w:rPr>
        <w:t xml:space="preserve">Accredited Action Initiators and </w:t>
      </w:r>
      <w:r>
        <w:rPr>
          <w:b/>
          <w:bCs/>
        </w:rPr>
        <w:t xml:space="preserve">Action </w:t>
      </w:r>
      <w:r w:rsidRPr="00240669">
        <w:rPr>
          <w:b/>
          <w:bCs/>
        </w:rPr>
        <w:t>Service Providers would be liable to a civil penalty for breach of their obligations</w:t>
      </w:r>
      <w:r>
        <w:t>. A breach of the obligations imposed on Accredited Action Initiators and Action Service Providers by the proposed legislation would make that entity liable to pay a civil penalty which would be imposed by a court.</w:t>
      </w:r>
    </w:p>
    <w:p w14:paraId="6B48C77E" w14:textId="0AA228BD" w:rsidR="003F4F20" w:rsidRDefault="003F4F20" w:rsidP="00532DF7">
      <w:pPr>
        <w:rPr>
          <w:b/>
        </w:rPr>
      </w:pPr>
    </w:p>
    <w:p w14:paraId="55689C7D" w14:textId="77777777" w:rsidR="00FD0C9C" w:rsidRDefault="00FD0C9C">
      <w:pPr>
        <w:spacing w:before="0" w:after="160" w:line="259" w:lineRule="auto"/>
        <w:rPr>
          <w:rFonts w:ascii="Calibri" w:hAnsi="Calibri" w:cs="Arial"/>
          <w:b/>
          <w:color w:val="5D779D" w:themeColor="accent3"/>
          <w:kern w:val="32"/>
          <w:sz w:val="44"/>
          <w:szCs w:val="36"/>
        </w:rPr>
      </w:pPr>
      <w:r>
        <w:br w:type="page"/>
      </w:r>
    </w:p>
    <w:p w14:paraId="5F38A880" w14:textId="74B6ED20" w:rsidR="00EA5B48" w:rsidRDefault="00EA5B48" w:rsidP="00EA5B48">
      <w:pPr>
        <w:pStyle w:val="Heading1"/>
        <w:rPr>
          <w:iCs/>
        </w:rPr>
      </w:pPr>
      <w:bookmarkStart w:id="10" w:name="_Toc114831812"/>
      <w:r>
        <w:lastRenderedPageBreak/>
        <w:t xml:space="preserve">Appendix: Privacy </w:t>
      </w:r>
      <w:r w:rsidR="005030FF">
        <w:t>s</w:t>
      </w:r>
      <w:r>
        <w:t>afeguards</w:t>
      </w:r>
      <w:bookmarkEnd w:id="10"/>
    </w:p>
    <w:p w14:paraId="5A77AD00" w14:textId="7822AA64" w:rsidR="00EA5B48" w:rsidRDefault="00EA5B48" w:rsidP="00EA5B48">
      <w:pPr>
        <w:pStyle w:val="Heading2"/>
      </w:pPr>
      <w:bookmarkStart w:id="11" w:name="_Toc114831813"/>
      <w:r w:rsidRPr="00EA5B48">
        <w:t>Current arrangements</w:t>
      </w:r>
      <w:bookmarkEnd w:id="11"/>
    </w:p>
    <w:p w14:paraId="3E177BB6" w14:textId="46F6463B" w:rsidR="009E366F" w:rsidRDefault="009E366F" w:rsidP="009E366F">
      <w:r w:rsidRPr="009E366F">
        <w:t xml:space="preserve">The security and integrity of the CDR is maintained by 13 privacy safeguards contained in the </w:t>
      </w:r>
      <w:r w:rsidRPr="00F80A55">
        <w:rPr>
          <w:i/>
        </w:rPr>
        <w:t>Competition and Consumer Act 2010</w:t>
      </w:r>
      <w:r w:rsidRPr="009E366F">
        <w:t xml:space="preserve"> and supplemented by the </w:t>
      </w:r>
      <w:r>
        <w:t>rules</w:t>
      </w:r>
      <w:r w:rsidRPr="009E366F">
        <w:t xml:space="preserve">. These </w:t>
      </w:r>
      <w:r w:rsidR="005030FF">
        <w:t>p</w:t>
      </w:r>
      <w:r w:rsidRPr="009E366F">
        <w:t xml:space="preserve">rivacy </w:t>
      </w:r>
      <w:r w:rsidR="005030FF">
        <w:t>s</w:t>
      </w:r>
      <w:r w:rsidRPr="009E366F">
        <w:t>afeguards set out the privacy rights and obligations for users of the scheme, including the requirement for informed consent to collect, disclose hold or use CDR data.</w:t>
      </w:r>
    </w:p>
    <w:p w14:paraId="115B9B06" w14:textId="34048C55" w:rsidR="009E366F" w:rsidRDefault="009E366F" w:rsidP="009E366F">
      <w:r w:rsidRPr="00C35B64">
        <w:t xml:space="preserve">The CDR </w:t>
      </w:r>
      <w:r w:rsidR="005030FF">
        <w:t>p</w:t>
      </w:r>
      <w:r w:rsidRPr="00C35B64">
        <w:t xml:space="preserve">rivacy </w:t>
      </w:r>
      <w:r w:rsidR="005030FF">
        <w:t>s</w:t>
      </w:r>
      <w:r w:rsidRPr="00C35B64">
        <w:t xml:space="preserve">afeguards build on the </w:t>
      </w:r>
      <w:r>
        <w:t>Australian Privacy Principles</w:t>
      </w:r>
      <w:r w:rsidRPr="00C35B64">
        <w:t xml:space="preserve"> to protect a CDR consumer’s privacy. The </w:t>
      </w:r>
      <w:r w:rsidR="005030FF">
        <w:t>p</w:t>
      </w:r>
      <w:r w:rsidRPr="00C35B64">
        <w:t xml:space="preserve">rivacy </w:t>
      </w:r>
      <w:r w:rsidR="005030FF">
        <w:t>s</w:t>
      </w:r>
      <w:r w:rsidRPr="00C35B64">
        <w:t>afeguards relate to CDR data only</w:t>
      </w:r>
      <w:r w:rsidR="007856FF" w:rsidRPr="008F5024">
        <w:rPr>
          <w:rStyle w:val="FootnoteReference"/>
          <w:vertAlign w:val="superscript"/>
        </w:rPr>
        <w:footnoteReference w:id="5"/>
      </w:r>
      <w:r w:rsidRPr="00C35B64">
        <w:t xml:space="preserve">. </w:t>
      </w:r>
      <w:r w:rsidR="00A071E9">
        <w:t xml:space="preserve">The rules cover </w:t>
      </w:r>
      <w:r w:rsidRPr="00C35B64">
        <w:t>requests to share data, records of consent, authentication and authorisation.</w:t>
      </w:r>
    </w:p>
    <w:p w14:paraId="0CE6DF96" w14:textId="77777777" w:rsidR="00FE5032" w:rsidRPr="00C35B64" w:rsidRDefault="00FE5032" w:rsidP="00FE5032">
      <w:r w:rsidRPr="00C35B64">
        <w:t>The Australian Privacy Principles</w:t>
      </w:r>
      <w:r>
        <w:t xml:space="preserve"> </w:t>
      </w:r>
      <w:r w:rsidRPr="00C35B64">
        <w:t xml:space="preserve">are central to the privacy protection framework in the </w:t>
      </w:r>
      <w:r w:rsidRPr="00F80A55">
        <w:rPr>
          <w:i/>
        </w:rPr>
        <w:t>Privacy Act 1988</w:t>
      </w:r>
      <w:r w:rsidRPr="00C35B64">
        <w:t>. The</w:t>
      </w:r>
      <w:r>
        <w:t>y</w:t>
      </w:r>
      <w:r w:rsidRPr="00C35B64">
        <w:t xml:space="preserve"> aim to protect an individual’s privacy and apply to businesses with an annual turnover of more than $3 million (with some exceptions).</w:t>
      </w:r>
    </w:p>
    <w:p w14:paraId="46ABA5EF" w14:textId="4DF37FC0" w:rsidR="00FE5032" w:rsidRDefault="006151C6" w:rsidP="00FE5032">
      <w:pPr>
        <w:pStyle w:val="Heading2"/>
      </w:pPr>
      <w:bookmarkStart w:id="12" w:name="_Toc114831814"/>
      <w:r>
        <w:t>Proposed k</w:t>
      </w:r>
      <w:r w:rsidR="00FE5032" w:rsidRPr="00FE5032">
        <w:t xml:space="preserve">ey features of the </w:t>
      </w:r>
      <w:r w:rsidR="005030FF">
        <w:t>p</w:t>
      </w:r>
      <w:r w:rsidR="00FE5032" w:rsidRPr="00FE5032">
        <w:t xml:space="preserve">rivacy </w:t>
      </w:r>
      <w:r w:rsidR="005030FF">
        <w:t>s</w:t>
      </w:r>
      <w:r w:rsidR="00FE5032" w:rsidRPr="00FE5032">
        <w:t>afeguards for action initiation</w:t>
      </w:r>
      <w:bookmarkEnd w:id="12"/>
    </w:p>
    <w:p w14:paraId="5E7FDE1F" w14:textId="48E8D959" w:rsidR="00FE5032" w:rsidRDefault="009E366F" w:rsidP="00FE5032">
      <w:r>
        <w:t xml:space="preserve">The draft legislation proposes amendments to the </w:t>
      </w:r>
      <w:r w:rsidR="005030FF">
        <w:t>p</w:t>
      </w:r>
      <w:r>
        <w:t xml:space="preserve">rivacy </w:t>
      </w:r>
      <w:r w:rsidR="005030FF">
        <w:t>s</w:t>
      </w:r>
      <w:r>
        <w:t xml:space="preserve">afeguards to apply them to CDR data that will flow in the instruction layer. </w:t>
      </w:r>
      <w:r w:rsidR="00FE5032">
        <w:t xml:space="preserve">Key features of the </w:t>
      </w:r>
      <w:r w:rsidR="00A071E9">
        <w:t xml:space="preserve">proposed changes to the </w:t>
      </w:r>
      <w:r w:rsidR="00FE5032">
        <w:t>privacy safeguards are as follows</w:t>
      </w:r>
      <w:r w:rsidR="00A071E9">
        <w:t>.</w:t>
      </w:r>
    </w:p>
    <w:p w14:paraId="6A794445" w14:textId="040E4D8C" w:rsidR="00FE5032" w:rsidRPr="00BE1509" w:rsidRDefault="00FE5032" w:rsidP="00E8038D">
      <w:pPr>
        <w:pStyle w:val="Bullet"/>
        <w:numPr>
          <w:ilvl w:val="0"/>
          <w:numId w:val="28"/>
        </w:numPr>
        <w:tabs>
          <w:tab w:val="clear" w:pos="720"/>
        </w:tabs>
        <w:spacing w:after="160" w:line="259" w:lineRule="auto"/>
      </w:pPr>
      <w:r w:rsidRPr="00D9124B">
        <w:rPr>
          <w:b/>
          <w:bCs/>
        </w:rPr>
        <w:t xml:space="preserve">The </w:t>
      </w:r>
      <w:r w:rsidR="005030FF">
        <w:rPr>
          <w:b/>
          <w:bCs/>
        </w:rPr>
        <w:t>p</w:t>
      </w:r>
      <w:r w:rsidRPr="00D9124B">
        <w:rPr>
          <w:b/>
          <w:bCs/>
        </w:rPr>
        <w:t xml:space="preserve">rivacy </w:t>
      </w:r>
      <w:r w:rsidR="005030FF">
        <w:rPr>
          <w:b/>
          <w:bCs/>
        </w:rPr>
        <w:t>s</w:t>
      </w:r>
      <w:r w:rsidRPr="00D9124B">
        <w:rPr>
          <w:b/>
          <w:bCs/>
        </w:rPr>
        <w:t xml:space="preserve">afeguards </w:t>
      </w:r>
      <w:r w:rsidR="000D5898">
        <w:rPr>
          <w:b/>
          <w:bCs/>
        </w:rPr>
        <w:t>focus on</w:t>
      </w:r>
      <w:r w:rsidRPr="00D9124B">
        <w:rPr>
          <w:b/>
          <w:bCs/>
        </w:rPr>
        <w:t xml:space="preserve"> the instruction layer</w:t>
      </w:r>
      <w:r w:rsidR="00826757">
        <w:t>.</w:t>
      </w:r>
      <w:r>
        <w:t xml:space="preserve"> The</w:t>
      </w:r>
      <w:r w:rsidR="009E366F">
        <w:t xml:space="preserve"> proposed amendments to the</w:t>
      </w:r>
      <w:r>
        <w:t xml:space="preserve"> </w:t>
      </w:r>
      <w:r w:rsidR="005030FF">
        <w:t>p</w:t>
      </w:r>
      <w:r>
        <w:t xml:space="preserve">rivacy </w:t>
      </w:r>
      <w:r w:rsidR="005030FF">
        <w:t>s</w:t>
      </w:r>
      <w:r>
        <w:t xml:space="preserve">afeguards </w:t>
      </w:r>
      <w:r w:rsidR="009E366F">
        <w:t xml:space="preserve">aim </w:t>
      </w:r>
      <w:r>
        <w:t>to manage risks that are specific to the CDR, and the proposed changes w</w:t>
      </w:r>
      <w:r w:rsidR="00160D1C">
        <w:t>ould</w:t>
      </w:r>
      <w:r>
        <w:t xml:space="preserve"> extend them to </w:t>
      </w:r>
      <w:r w:rsidR="00A57321">
        <w:t xml:space="preserve">apply to </w:t>
      </w:r>
      <w:r w:rsidR="001317CC">
        <w:t>A</w:t>
      </w:r>
      <w:r w:rsidR="00A57321">
        <w:t xml:space="preserve">ction </w:t>
      </w:r>
      <w:r w:rsidR="001317CC">
        <w:t>S</w:t>
      </w:r>
      <w:r w:rsidR="00A57321">
        <w:t xml:space="preserve">ervice </w:t>
      </w:r>
      <w:r w:rsidR="001317CC">
        <w:t>P</w:t>
      </w:r>
      <w:r w:rsidR="00A57321">
        <w:t xml:space="preserve">roviders, focussed on </w:t>
      </w:r>
      <w:r w:rsidR="001317CC">
        <w:t xml:space="preserve">the </w:t>
      </w:r>
      <w:r>
        <w:t xml:space="preserve">instruction layer for action initiation. </w:t>
      </w:r>
      <w:r w:rsidR="00A071E9">
        <w:t>The proposed amendments</w:t>
      </w:r>
      <w:r w:rsidR="009E366F">
        <w:t xml:space="preserve"> recognise that a</w:t>
      </w:r>
      <w:r w:rsidRPr="00BE1509">
        <w:t>n A</w:t>
      </w:r>
      <w:r>
        <w:t xml:space="preserve">ction </w:t>
      </w:r>
      <w:r w:rsidRPr="00BE1509">
        <w:t>S</w:t>
      </w:r>
      <w:r>
        <w:t xml:space="preserve">ervice </w:t>
      </w:r>
      <w:r w:rsidRPr="00BE1509">
        <w:t>P</w:t>
      </w:r>
      <w:r>
        <w:t>rovider</w:t>
      </w:r>
      <w:r w:rsidRPr="00BE1509">
        <w:t xml:space="preserve"> w</w:t>
      </w:r>
      <w:r w:rsidR="00160D1C">
        <w:t>ould</w:t>
      </w:r>
      <w:r w:rsidRPr="00BE1509">
        <w:t xml:space="preserve"> not be receiving data that they do not already receive and handle in the ordinary course of their business</w:t>
      </w:r>
      <w:r w:rsidR="00826757">
        <w:t>. As such, o</w:t>
      </w:r>
      <w:r>
        <w:t>nce the data is being held</w:t>
      </w:r>
      <w:r w:rsidR="005F6C62">
        <w:t xml:space="preserve"> </w:t>
      </w:r>
      <w:r w:rsidR="007856FF">
        <w:t>by an Action Service Provider</w:t>
      </w:r>
      <w:r>
        <w:t>, the Privacy Act w</w:t>
      </w:r>
      <w:r w:rsidR="00160D1C">
        <w:t>ould</w:t>
      </w:r>
      <w:r>
        <w:t xml:space="preserve"> apply </w:t>
      </w:r>
      <w:r w:rsidR="00410FE5">
        <w:t xml:space="preserve">(subject to thresholds within that Act) </w:t>
      </w:r>
      <w:r>
        <w:t xml:space="preserve">as if they received the data outside of the CDR. </w:t>
      </w:r>
    </w:p>
    <w:p w14:paraId="235CCD5B" w14:textId="1B0A3926" w:rsidR="00826757" w:rsidRDefault="00826757" w:rsidP="00E8038D">
      <w:pPr>
        <w:pStyle w:val="Bullet"/>
        <w:numPr>
          <w:ilvl w:val="0"/>
          <w:numId w:val="28"/>
        </w:numPr>
        <w:tabs>
          <w:tab w:val="clear" w:pos="720"/>
        </w:tabs>
        <w:spacing w:after="160" w:line="259" w:lineRule="auto"/>
      </w:pPr>
      <w:r>
        <w:rPr>
          <w:b/>
          <w:bCs/>
        </w:rPr>
        <w:t xml:space="preserve">The </w:t>
      </w:r>
      <w:r w:rsidR="005030FF">
        <w:rPr>
          <w:b/>
          <w:bCs/>
        </w:rPr>
        <w:t>p</w:t>
      </w:r>
      <w:r>
        <w:rPr>
          <w:b/>
          <w:bCs/>
        </w:rPr>
        <w:t xml:space="preserve">rivacy </w:t>
      </w:r>
      <w:r w:rsidR="005030FF">
        <w:rPr>
          <w:b/>
          <w:bCs/>
        </w:rPr>
        <w:t>s</w:t>
      </w:r>
      <w:r>
        <w:rPr>
          <w:b/>
          <w:bCs/>
        </w:rPr>
        <w:t>afeguards would apply to Accredited Action Initiators</w:t>
      </w:r>
      <w:r>
        <w:t xml:space="preserve">. Accredited Action Initiators would be required to be Accredited Persons, </w:t>
      </w:r>
      <w:r w:rsidRPr="00C35B64">
        <w:t>so any CDR data they receive</w:t>
      </w:r>
      <w:r>
        <w:t xml:space="preserve"> </w:t>
      </w:r>
      <w:r w:rsidR="00771A67">
        <w:t>would</w:t>
      </w:r>
      <w:r>
        <w:t xml:space="preserve"> </w:t>
      </w:r>
      <w:r w:rsidRPr="00C35B64">
        <w:t>be subject to the privacy safeguards.</w:t>
      </w:r>
      <w:r>
        <w:t xml:space="preserve"> This means that th</w:t>
      </w:r>
      <w:r w:rsidRPr="00C35B64">
        <w:t xml:space="preserve">e safeguards </w:t>
      </w:r>
      <w:r w:rsidR="00160D1C">
        <w:t>would</w:t>
      </w:r>
      <w:r w:rsidR="00160D1C" w:rsidRPr="00C35B64">
        <w:t xml:space="preserve"> </w:t>
      </w:r>
      <w:r w:rsidRPr="00C35B64">
        <w:t xml:space="preserve">continue to apply to CDR data </w:t>
      </w:r>
      <w:r>
        <w:t xml:space="preserve">regardless </w:t>
      </w:r>
      <w:r w:rsidR="00410FE5">
        <w:t>of</w:t>
      </w:r>
      <w:r>
        <w:t xml:space="preserve"> whether they receive CDR data as an Accredited Action Initiator or an Accredited Data Recipient</w:t>
      </w:r>
      <w:r w:rsidRPr="00C35B64">
        <w:t xml:space="preserve">. </w:t>
      </w:r>
    </w:p>
    <w:p w14:paraId="493CF251" w14:textId="723F27B1" w:rsidR="00FE5032" w:rsidRDefault="00FE5032" w:rsidP="00E8038D">
      <w:pPr>
        <w:pStyle w:val="Bullet"/>
        <w:numPr>
          <w:ilvl w:val="0"/>
          <w:numId w:val="28"/>
        </w:numPr>
        <w:tabs>
          <w:tab w:val="clear" w:pos="720"/>
        </w:tabs>
        <w:spacing w:after="160" w:line="259" w:lineRule="auto"/>
      </w:pPr>
      <w:r>
        <w:rPr>
          <w:b/>
          <w:bCs/>
        </w:rPr>
        <w:t xml:space="preserve">The </w:t>
      </w:r>
      <w:r w:rsidR="005030FF">
        <w:rPr>
          <w:b/>
          <w:bCs/>
        </w:rPr>
        <w:t>p</w:t>
      </w:r>
      <w:r>
        <w:rPr>
          <w:b/>
          <w:bCs/>
        </w:rPr>
        <w:t xml:space="preserve">rivacy </w:t>
      </w:r>
      <w:r w:rsidR="005030FF">
        <w:rPr>
          <w:b/>
          <w:bCs/>
        </w:rPr>
        <w:t>s</w:t>
      </w:r>
      <w:r>
        <w:rPr>
          <w:b/>
          <w:bCs/>
        </w:rPr>
        <w:t xml:space="preserve">afeguards are proposed </w:t>
      </w:r>
      <w:r w:rsidR="00B47E95">
        <w:rPr>
          <w:b/>
          <w:bCs/>
        </w:rPr>
        <w:t xml:space="preserve">to </w:t>
      </w:r>
      <w:r>
        <w:rPr>
          <w:b/>
          <w:bCs/>
        </w:rPr>
        <w:t>continue to apply to CDR data</w:t>
      </w:r>
      <w:r>
        <w:t xml:space="preserve">. This would mean that data provided to an Accredited Action Initiator outside the CDR </w:t>
      </w:r>
      <w:r w:rsidR="00160D1C">
        <w:t xml:space="preserve">would </w:t>
      </w:r>
      <w:r>
        <w:t>be treated according to the Privacy Act</w:t>
      </w:r>
      <w:r w:rsidR="00826757">
        <w:t>, noting that Accredited Persons are subject to the Australian Privacy Principles</w:t>
      </w:r>
      <w:r w:rsidR="00063B41">
        <w:t xml:space="preserve"> under th</w:t>
      </w:r>
      <w:r w:rsidR="00B47E95">
        <w:t>at</w:t>
      </w:r>
      <w:r w:rsidR="00063B41">
        <w:t xml:space="preserve"> Act</w:t>
      </w:r>
      <w:r w:rsidR="00826757">
        <w:t>.</w:t>
      </w:r>
    </w:p>
    <w:p w14:paraId="37F79976" w14:textId="7BE296AD" w:rsidR="00FE5032" w:rsidRDefault="00FE5032" w:rsidP="00E8038D">
      <w:pPr>
        <w:pStyle w:val="Bullet"/>
        <w:numPr>
          <w:ilvl w:val="0"/>
          <w:numId w:val="28"/>
        </w:numPr>
        <w:tabs>
          <w:tab w:val="clear" w:pos="720"/>
        </w:tabs>
        <w:spacing w:after="160" w:line="259" w:lineRule="auto"/>
      </w:pPr>
      <w:r>
        <w:rPr>
          <w:b/>
          <w:bCs/>
        </w:rPr>
        <w:lastRenderedPageBreak/>
        <w:t xml:space="preserve">Action Service Providers </w:t>
      </w:r>
      <w:r w:rsidR="00B47E95">
        <w:rPr>
          <w:b/>
          <w:bCs/>
        </w:rPr>
        <w:t xml:space="preserve">would </w:t>
      </w:r>
      <w:r>
        <w:rPr>
          <w:b/>
          <w:bCs/>
        </w:rPr>
        <w:t xml:space="preserve">be subject to </w:t>
      </w:r>
      <w:r w:rsidR="00C16739">
        <w:rPr>
          <w:b/>
          <w:bCs/>
        </w:rPr>
        <w:t>relevant</w:t>
      </w:r>
      <w:r>
        <w:rPr>
          <w:b/>
          <w:bCs/>
        </w:rPr>
        <w:t xml:space="preserve"> </w:t>
      </w:r>
      <w:r w:rsidR="005030FF">
        <w:rPr>
          <w:b/>
          <w:bCs/>
        </w:rPr>
        <w:t>p</w:t>
      </w:r>
      <w:r>
        <w:rPr>
          <w:b/>
          <w:bCs/>
        </w:rPr>
        <w:t xml:space="preserve">rivacy </w:t>
      </w:r>
      <w:r w:rsidR="005030FF">
        <w:rPr>
          <w:b/>
          <w:bCs/>
        </w:rPr>
        <w:t>s</w:t>
      </w:r>
      <w:r>
        <w:rPr>
          <w:b/>
          <w:bCs/>
        </w:rPr>
        <w:t>afeguards</w:t>
      </w:r>
      <w:r>
        <w:t xml:space="preserve">: </w:t>
      </w:r>
      <w:r w:rsidRPr="00304F63">
        <w:t xml:space="preserve">Action Service Providers should be able to treat relevant data (including CDR data) received in an action request </w:t>
      </w:r>
      <w:r w:rsidR="00922CA3">
        <w:t xml:space="preserve">consistent with their existing governance arrangements, </w:t>
      </w:r>
      <w:r w:rsidRPr="00304F63">
        <w:t xml:space="preserve">as they </w:t>
      </w:r>
      <w:r w:rsidR="00826757">
        <w:t>can also</w:t>
      </w:r>
      <w:r w:rsidR="00826757" w:rsidRPr="00304F63">
        <w:t xml:space="preserve"> </w:t>
      </w:r>
      <w:r w:rsidRPr="00304F63">
        <w:t>receive this data if the request came outside the CDR.</w:t>
      </w:r>
      <w:r>
        <w:t xml:space="preserve"> However, there are instances where some of the privacy safeguards should apply to Action Service Providers. This is to manage risks associated with the flow of CDR data in the instruction layer, and where the risks are specifically attributable to the CDR. Details of applicable </w:t>
      </w:r>
      <w:r w:rsidR="005030FF">
        <w:t>p</w:t>
      </w:r>
      <w:r>
        <w:t xml:space="preserve">rivacy </w:t>
      </w:r>
      <w:r w:rsidR="005030FF">
        <w:t>s</w:t>
      </w:r>
      <w:r>
        <w:t xml:space="preserve">afeguards are outlined in the table below. </w:t>
      </w:r>
    </w:p>
    <w:p w14:paraId="7C9B1723" w14:textId="35A7F340" w:rsidR="00FE5032" w:rsidRDefault="00FE5032" w:rsidP="00FE5032">
      <w:r>
        <w:t xml:space="preserve">The table below sets out the proposed application of the </w:t>
      </w:r>
      <w:r w:rsidR="005030FF">
        <w:t>p</w:t>
      </w:r>
      <w:r>
        <w:t xml:space="preserve">rivacy </w:t>
      </w:r>
      <w:r w:rsidR="005030FF">
        <w:t>s</w:t>
      </w:r>
      <w:r>
        <w:t xml:space="preserve">afeguards. All of the safeguards </w:t>
      </w:r>
      <w:r w:rsidR="00160D1C">
        <w:t xml:space="preserve">are proposed to </w:t>
      </w:r>
      <w:r>
        <w:t>be extended to apply to Accredited Action Initiators, and some to</w:t>
      </w:r>
      <w:r w:rsidR="00160D1C">
        <w:t xml:space="preserve"> apply to</w:t>
      </w:r>
      <w:r>
        <w:t xml:space="preserve"> Action Service Providers</w:t>
      </w:r>
      <w:r w:rsidR="005F6C62">
        <w:t>, focussed on data shared</w:t>
      </w:r>
      <w:r>
        <w:t xml:space="preserve"> in the instruction layer. The table provides commentary on the suitability of the </w:t>
      </w:r>
      <w:r w:rsidR="005030FF">
        <w:t>p</w:t>
      </w:r>
      <w:r>
        <w:t xml:space="preserve">rivacy </w:t>
      </w:r>
      <w:r w:rsidR="005030FF">
        <w:t>s</w:t>
      </w:r>
      <w:r>
        <w:t xml:space="preserve">afeguards for Action Service Providers. </w:t>
      </w:r>
    </w:p>
    <w:p w14:paraId="3B1906E1" w14:textId="033B0284" w:rsidR="00ED355B" w:rsidRPr="008F5024" w:rsidRDefault="000A4890" w:rsidP="008F5024">
      <w:pPr>
        <w:pStyle w:val="TableMainHeading"/>
        <w:ind w:left="-709"/>
        <w:rPr>
          <w:color w:val="auto"/>
        </w:rPr>
      </w:pPr>
      <w:bookmarkStart w:id="13" w:name="_Toc114831815"/>
      <w:r w:rsidRPr="008F5024">
        <w:rPr>
          <w:color w:val="auto"/>
        </w:rPr>
        <w:t>Table: Proposed application of the privacy safeguards</w:t>
      </w:r>
      <w:bookmarkEnd w:id="13"/>
    </w:p>
    <w:p w14:paraId="09DC28D8" w14:textId="487CE16A" w:rsidR="000A4890" w:rsidRPr="008F5024" w:rsidRDefault="000A4890" w:rsidP="008F5024">
      <w:pPr>
        <w:spacing w:before="0"/>
        <w:ind w:left="-709"/>
        <w:rPr>
          <w:i/>
          <w:iCs/>
          <w:sz w:val="20"/>
        </w:rPr>
      </w:pPr>
      <w:r w:rsidRPr="008F5024">
        <w:rPr>
          <w:b/>
          <w:i/>
          <w:iCs/>
          <w:sz w:val="20"/>
        </w:rPr>
        <w:t xml:space="preserve">ADR: </w:t>
      </w:r>
      <w:r w:rsidRPr="008F5024">
        <w:rPr>
          <w:i/>
          <w:iCs/>
          <w:sz w:val="20"/>
        </w:rPr>
        <w:t xml:space="preserve">Accredited Data Recipient; </w:t>
      </w:r>
      <w:r w:rsidRPr="008F5024">
        <w:rPr>
          <w:b/>
          <w:i/>
          <w:iCs/>
          <w:sz w:val="20"/>
        </w:rPr>
        <w:t xml:space="preserve">DH: </w:t>
      </w:r>
      <w:r w:rsidRPr="008F5024">
        <w:rPr>
          <w:i/>
          <w:iCs/>
          <w:sz w:val="20"/>
        </w:rPr>
        <w:t>Data Holder</w:t>
      </w:r>
      <w:r w:rsidRPr="008F5024">
        <w:rPr>
          <w:bCs/>
          <w:i/>
          <w:iCs/>
          <w:sz w:val="20"/>
        </w:rPr>
        <w:t>;</w:t>
      </w:r>
      <w:r w:rsidRPr="008F5024">
        <w:rPr>
          <w:b/>
          <w:i/>
          <w:iCs/>
          <w:sz w:val="20"/>
        </w:rPr>
        <w:t xml:space="preserve"> AAI:</w:t>
      </w:r>
      <w:r w:rsidRPr="008F5024">
        <w:rPr>
          <w:i/>
          <w:iCs/>
          <w:sz w:val="20"/>
        </w:rPr>
        <w:t xml:space="preserve"> Accredited Action Initiator; </w:t>
      </w:r>
      <w:r w:rsidRPr="008F5024">
        <w:rPr>
          <w:b/>
          <w:i/>
          <w:iCs/>
          <w:sz w:val="20"/>
        </w:rPr>
        <w:t xml:space="preserve">ASP: </w:t>
      </w:r>
      <w:r w:rsidRPr="008F5024">
        <w:rPr>
          <w:i/>
          <w:iCs/>
          <w:sz w:val="20"/>
        </w:rPr>
        <w:t>Action Service Provider</w:t>
      </w:r>
    </w:p>
    <w:tbl>
      <w:tblPr>
        <w:tblStyle w:val="PlainTable1"/>
        <w:tblW w:w="10774" w:type="dxa"/>
        <w:tblInd w:w="-714" w:type="dxa"/>
        <w:tblCellMar>
          <w:top w:w="28" w:type="dxa"/>
          <w:bottom w:w="28" w:type="dxa"/>
        </w:tblCellMar>
        <w:tblLook w:val="04A0" w:firstRow="1" w:lastRow="0" w:firstColumn="1" w:lastColumn="0" w:noHBand="0" w:noVBand="1"/>
      </w:tblPr>
      <w:tblGrid>
        <w:gridCol w:w="498"/>
        <w:gridCol w:w="2905"/>
        <w:gridCol w:w="1275"/>
        <w:gridCol w:w="1134"/>
        <w:gridCol w:w="4962"/>
      </w:tblGrid>
      <w:tr w:rsidR="000D5898" w14:paraId="4B93B8BE" w14:textId="77777777" w:rsidTr="0047335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vAlign w:val="center"/>
          </w:tcPr>
          <w:p w14:paraId="62DFA177" w14:textId="77777777" w:rsidR="00ED355B" w:rsidRPr="00F958DB" w:rsidRDefault="00ED355B" w:rsidP="00473358">
            <w:pPr>
              <w:pStyle w:val="OutlineNumbered1"/>
              <w:numPr>
                <w:ilvl w:val="0"/>
                <w:numId w:val="0"/>
              </w:numPr>
              <w:ind w:left="520"/>
              <w:jc w:val="center"/>
              <w:rPr>
                <w:rFonts w:asciiTheme="minorHAnsi" w:hAnsiTheme="minorHAnsi" w:cstheme="minorHAnsi"/>
                <w:b w:val="0"/>
                <w:bCs w:val="0"/>
              </w:rPr>
            </w:pPr>
          </w:p>
        </w:tc>
        <w:tc>
          <w:tcPr>
            <w:tcW w:w="2905" w:type="dxa"/>
            <w:shd w:val="clear" w:color="auto" w:fill="D9D9D9" w:themeFill="background1" w:themeFillShade="D9"/>
            <w:vAlign w:val="center"/>
          </w:tcPr>
          <w:p w14:paraId="3842374F" w14:textId="77777777" w:rsidR="00ED355B" w:rsidRDefault="00ED355B" w:rsidP="00473358">
            <w:pPr>
              <w:pStyle w:val="ListParagraph"/>
              <w:ind w:left="0"/>
              <w:jc w:val="center"/>
              <w:cnfStyle w:val="100000000000" w:firstRow="1" w:lastRow="0" w:firstColumn="0" w:lastColumn="0" w:oddVBand="0" w:evenVBand="0" w:oddHBand="0" w:evenHBand="0" w:firstRowFirstColumn="0" w:firstRowLastColumn="0" w:lastRowFirstColumn="0" w:lastRowLastColumn="0"/>
            </w:pPr>
            <w:r>
              <w:t>Privacy safeguard</w:t>
            </w:r>
          </w:p>
        </w:tc>
        <w:tc>
          <w:tcPr>
            <w:tcW w:w="1275" w:type="dxa"/>
            <w:shd w:val="clear" w:color="auto" w:fill="D9D9D9" w:themeFill="background1" w:themeFillShade="D9"/>
            <w:vAlign w:val="center"/>
          </w:tcPr>
          <w:p w14:paraId="5F50ACCF" w14:textId="77777777" w:rsidR="00ED355B" w:rsidRDefault="00ED355B" w:rsidP="00473358">
            <w:pPr>
              <w:pStyle w:val="ListParagraph"/>
              <w:ind w:left="0"/>
              <w:jc w:val="center"/>
              <w:cnfStyle w:val="100000000000" w:firstRow="1" w:lastRow="0" w:firstColumn="0" w:lastColumn="0" w:oddVBand="0" w:evenVBand="0" w:oddHBand="0" w:evenHBand="0" w:firstRowFirstColumn="0" w:firstRowLastColumn="0" w:lastRowFirstColumn="0" w:lastRowLastColumn="0"/>
            </w:pPr>
            <w:r>
              <w:t>Currently applies to</w:t>
            </w:r>
          </w:p>
        </w:tc>
        <w:tc>
          <w:tcPr>
            <w:tcW w:w="1134" w:type="dxa"/>
            <w:shd w:val="clear" w:color="auto" w:fill="D9D9D9" w:themeFill="background1" w:themeFillShade="D9"/>
            <w:vAlign w:val="center"/>
          </w:tcPr>
          <w:p w14:paraId="35027C9B" w14:textId="77777777" w:rsidR="00ED355B" w:rsidRDefault="00ED355B" w:rsidP="00473358">
            <w:pPr>
              <w:pStyle w:val="ListParagraph"/>
              <w:ind w:left="0"/>
              <w:jc w:val="center"/>
              <w:cnfStyle w:val="100000000000" w:firstRow="1" w:lastRow="0" w:firstColumn="0" w:lastColumn="0" w:oddVBand="0" w:evenVBand="0" w:oddHBand="0" w:evenHBand="0" w:firstRowFirstColumn="0" w:firstRowLastColumn="0" w:lastRowFirstColumn="0" w:lastRowLastColumn="0"/>
            </w:pPr>
            <w:r>
              <w:t>Extended to apply to</w:t>
            </w:r>
          </w:p>
        </w:tc>
        <w:tc>
          <w:tcPr>
            <w:tcW w:w="4962" w:type="dxa"/>
            <w:shd w:val="clear" w:color="auto" w:fill="D9D9D9" w:themeFill="background1" w:themeFillShade="D9"/>
            <w:vAlign w:val="center"/>
          </w:tcPr>
          <w:p w14:paraId="3B73265E" w14:textId="77777777" w:rsidR="00ED355B" w:rsidRDefault="00ED355B" w:rsidP="00473358">
            <w:pPr>
              <w:pStyle w:val="ListParagraph"/>
              <w:ind w:left="0"/>
              <w:jc w:val="center"/>
              <w:cnfStyle w:val="100000000000" w:firstRow="1" w:lastRow="0" w:firstColumn="0" w:lastColumn="0" w:oddVBand="0" w:evenVBand="0" w:oddHBand="0" w:evenHBand="0" w:firstRowFirstColumn="0" w:firstRowLastColumn="0" w:lastRowFirstColumn="0" w:lastRowLastColumn="0"/>
            </w:pPr>
            <w:r>
              <w:t>Commentary on Action Service Providers</w:t>
            </w:r>
          </w:p>
        </w:tc>
      </w:tr>
      <w:tr w:rsidR="000D5898" w14:paraId="43AEEB6B" w14:textId="77777777" w:rsidTr="00473358">
        <w:trPr>
          <w:cnfStyle w:val="000000100000" w:firstRow="0" w:lastRow="0" w:firstColumn="0" w:lastColumn="0" w:oddVBand="0" w:evenVBand="0" w:oddHBand="1" w:evenHBand="0" w:firstRowFirstColumn="0" w:firstRowLastColumn="0" w:lastRowFirstColumn="0" w:lastRowLastColumn="0"/>
          <w:cantSplit/>
          <w:trHeight w:val="796"/>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7D232DA2" w14:textId="77777777" w:rsidR="00ED355B" w:rsidRPr="00F958D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1.</w:t>
            </w:r>
          </w:p>
        </w:tc>
        <w:tc>
          <w:tcPr>
            <w:tcW w:w="2905" w:type="dxa"/>
            <w:shd w:val="clear" w:color="auto" w:fill="FFFFFF" w:themeFill="background1"/>
            <w:vAlign w:val="center"/>
          </w:tcPr>
          <w:p w14:paraId="499A8D2C"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Open and transparent management of CDR data</w:t>
            </w:r>
          </w:p>
        </w:tc>
        <w:tc>
          <w:tcPr>
            <w:tcW w:w="1275" w:type="dxa"/>
            <w:shd w:val="clear" w:color="auto" w:fill="FFFFFF" w:themeFill="background1"/>
            <w:vAlign w:val="center"/>
          </w:tcPr>
          <w:p w14:paraId="4926AB6C" w14:textId="3608FA7A"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 DH</w:t>
            </w:r>
          </w:p>
        </w:tc>
        <w:tc>
          <w:tcPr>
            <w:tcW w:w="1134" w:type="dxa"/>
            <w:shd w:val="clear" w:color="auto" w:fill="FFFFFF" w:themeFill="background1"/>
            <w:vAlign w:val="center"/>
          </w:tcPr>
          <w:p w14:paraId="6B8B314A" w14:textId="32EA375D"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 ASP</w:t>
            </w:r>
          </w:p>
        </w:tc>
        <w:tc>
          <w:tcPr>
            <w:tcW w:w="4962" w:type="dxa"/>
            <w:shd w:val="clear" w:color="auto" w:fill="FFFFFF" w:themeFill="background1"/>
            <w:vAlign w:val="center"/>
          </w:tcPr>
          <w:p w14:paraId="55EEC2AB"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rsidRPr="005C7D9B">
              <w:t xml:space="preserve">Privacy Safeguard 1 </w:t>
            </w:r>
            <w:r>
              <w:t>would</w:t>
            </w:r>
            <w:r w:rsidRPr="005C7D9B">
              <w:t xml:space="preserve"> apply to ASPs</w:t>
            </w:r>
            <w:r>
              <w:t xml:space="preserve"> consistent with the application to DHs. </w:t>
            </w:r>
          </w:p>
        </w:tc>
      </w:tr>
      <w:tr w:rsidR="000D5898" w14:paraId="46DE833E"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288A44C9"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2</w:t>
            </w:r>
          </w:p>
        </w:tc>
        <w:tc>
          <w:tcPr>
            <w:tcW w:w="2905" w:type="dxa"/>
            <w:shd w:val="clear" w:color="auto" w:fill="EEEEEE" w:themeFill="background2"/>
            <w:vAlign w:val="center"/>
          </w:tcPr>
          <w:p w14:paraId="5B7D8F7C"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Anonymity and pseudonymity</w:t>
            </w:r>
          </w:p>
        </w:tc>
        <w:tc>
          <w:tcPr>
            <w:tcW w:w="1275" w:type="dxa"/>
            <w:shd w:val="clear" w:color="auto" w:fill="EEEEEE" w:themeFill="background2"/>
            <w:vAlign w:val="center"/>
          </w:tcPr>
          <w:p w14:paraId="7AF67849"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w:t>
            </w:r>
          </w:p>
        </w:tc>
        <w:tc>
          <w:tcPr>
            <w:tcW w:w="1134" w:type="dxa"/>
            <w:shd w:val="clear" w:color="auto" w:fill="EEEEEE" w:themeFill="background2"/>
            <w:vAlign w:val="center"/>
          </w:tcPr>
          <w:p w14:paraId="5C718C78"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w:t>
            </w:r>
          </w:p>
        </w:tc>
        <w:tc>
          <w:tcPr>
            <w:tcW w:w="4962" w:type="dxa"/>
            <w:shd w:val="clear" w:color="auto" w:fill="EEEEEE" w:themeFill="background2"/>
            <w:vAlign w:val="center"/>
          </w:tcPr>
          <w:p w14:paraId="65B40988" w14:textId="2F17AC02"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An ASP</w:t>
            </w:r>
            <w:r w:rsidRPr="005C7D9B">
              <w:t xml:space="preserve"> w</w:t>
            </w:r>
            <w:r w:rsidR="00922CA3">
              <w:t>ould</w:t>
            </w:r>
            <w:r w:rsidRPr="005C7D9B">
              <w:t xml:space="preserve"> be required to authenticate action types, </w:t>
            </w:r>
            <w:r w:rsidR="00826757">
              <w:t>which would pose challenges if this were to</w:t>
            </w:r>
            <w:r w:rsidR="00C16739">
              <w:t xml:space="preserve"> </w:t>
            </w:r>
            <w:r w:rsidRPr="005C7D9B">
              <w:t xml:space="preserve">apply to ASPs. </w:t>
            </w:r>
          </w:p>
        </w:tc>
      </w:tr>
      <w:tr w:rsidR="000D5898" w14:paraId="6FB9C493"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615DBD62"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3.</w:t>
            </w:r>
          </w:p>
        </w:tc>
        <w:tc>
          <w:tcPr>
            <w:tcW w:w="2905" w:type="dxa"/>
            <w:shd w:val="clear" w:color="auto" w:fill="FFFFFF" w:themeFill="background1"/>
            <w:vAlign w:val="center"/>
          </w:tcPr>
          <w:p w14:paraId="64374CF7"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Soliciting CDR data from CDR participants</w:t>
            </w:r>
          </w:p>
        </w:tc>
        <w:tc>
          <w:tcPr>
            <w:tcW w:w="1275" w:type="dxa"/>
            <w:shd w:val="clear" w:color="auto" w:fill="FFFFFF" w:themeFill="background1"/>
            <w:vAlign w:val="center"/>
          </w:tcPr>
          <w:p w14:paraId="38907CF1"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w:t>
            </w:r>
          </w:p>
        </w:tc>
        <w:tc>
          <w:tcPr>
            <w:tcW w:w="1134" w:type="dxa"/>
            <w:shd w:val="clear" w:color="auto" w:fill="FFFFFF" w:themeFill="background1"/>
            <w:vAlign w:val="center"/>
          </w:tcPr>
          <w:p w14:paraId="1A1601E5"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 ASP</w:t>
            </w:r>
          </w:p>
        </w:tc>
        <w:tc>
          <w:tcPr>
            <w:tcW w:w="4962" w:type="dxa"/>
            <w:shd w:val="clear" w:color="auto" w:fill="FFFFFF" w:themeFill="background1"/>
            <w:vAlign w:val="center"/>
          </w:tcPr>
          <w:p w14:paraId="59536796" w14:textId="46AA7678"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 xml:space="preserve">This </w:t>
            </w:r>
            <w:r w:rsidR="00826757">
              <w:t xml:space="preserve">would </w:t>
            </w:r>
            <w:r>
              <w:t xml:space="preserve">apply to ASPs in the instruction layer, whereby an ASP </w:t>
            </w:r>
            <w:r w:rsidR="00826757">
              <w:t>would</w:t>
            </w:r>
            <w:r>
              <w:t xml:space="preserve"> not be able to solicit additional CDR data outside the scope of an action type. The </w:t>
            </w:r>
            <w:r w:rsidR="007D10F5">
              <w:t>r</w:t>
            </w:r>
            <w:r>
              <w:t xml:space="preserve">ules </w:t>
            </w:r>
            <w:r w:rsidR="00826757">
              <w:t xml:space="preserve">would </w:t>
            </w:r>
            <w:r>
              <w:t xml:space="preserve">specify what data is permitted to be shared with an ASP for different action types. </w:t>
            </w:r>
          </w:p>
        </w:tc>
      </w:tr>
      <w:tr w:rsidR="000D5898" w14:paraId="4B41525C"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44B7287F"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4.</w:t>
            </w:r>
          </w:p>
        </w:tc>
        <w:tc>
          <w:tcPr>
            <w:tcW w:w="2905" w:type="dxa"/>
            <w:shd w:val="clear" w:color="auto" w:fill="EEEEEE" w:themeFill="background2"/>
            <w:vAlign w:val="center"/>
          </w:tcPr>
          <w:p w14:paraId="41997BF5"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Dealing with unsolicited CDR data from CDR participants</w:t>
            </w:r>
          </w:p>
        </w:tc>
        <w:tc>
          <w:tcPr>
            <w:tcW w:w="1275" w:type="dxa"/>
            <w:shd w:val="clear" w:color="auto" w:fill="EEEEEE" w:themeFill="background2"/>
            <w:vAlign w:val="center"/>
          </w:tcPr>
          <w:p w14:paraId="38354E74"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w:t>
            </w:r>
          </w:p>
        </w:tc>
        <w:tc>
          <w:tcPr>
            <w:tcW w:w="1134" w:type="dxa"/>
            <w:shd w:val="clear" w:color="auto" w:fill="EEEEEE" w:themeFill="background2"/>
            <w:vAlign w:val="center"/>
          </w:tcPr>
          <w:p w14:paraId="700F99EB"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 ASP</w:t>
            </w:r>
          </w:p>
        </w:tc>
        <w:tc>
          <w:tcPr>
            <w:tcW w:w="4962" w:type="dxa"/>
            <w:shd w:val="clear" w:color="auto" w:fill="EEEEEE" w:themeFill="background2"/>
            <w:vAlign w:val="center"/>
          </w:tcPr>
          <w:p w14:paraId="2190CE26" w14:textId="0B503EBF"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This w</w:t>
            </w:r>
            <w:r w:rsidR="00826757">
              <w:t>ould</w:t>
            </w:r>
            <w:r>
              <w:t xml:space="preserve"> apply to ASPs in the instruction layer, whereby an ASP </w:t>
            </w:r>
            <w:r w:rsidR="00B21B34">
              <w:t>would</w:t>
            </w:r>
            <w:r>
              <w:t xml:space="preserve"> be required to destroy CDR data it receives that is outside the scope of an action type. The </w:t>
            </w:r>
            <w:r w:rsidR="007D10F5">
              <w:t>r</w:t>
            </w:r>
            <w:r>
              <w:t xml:space="preserve">ules </w:t>
            </w:r>
            <w:r w:rsidR="00B21B34">
              <w:t xml:space="preserve">would </w:t>
            </w:r>
            <w:r>
              <w:t>specify what data is permitted to be shared with an ASP for different action types.</w:t>
            </w:r>
          </w:p>
        </w:tc>
      </w:tr>
      <w:tr w:rsidR="000D5898" w14:paraId="46BE61B8"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240162FF"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5.</w:t>
            </w:r>
          </w:p>
        </w:tc>
        <w:tc>
          <w:tcPr>
            <w:tcW w:w="2905" w:type="dxa"/>
            <w:shd w:val="clear" w:color="auto" w:fill="FFFFFF" w:themeFill="background1"/>
            <w:vAlign w:val="center"/>
          </w:tcPr>
          <w:p w14:paraId="643FA6BA"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Notifying of the collection of CDR data</w:t>
            </w:r>
          </w:p>
        </w:tc>
        <w:tc>
          <w:tcPr>
            <w:tcW w:w="1275" w:type="dxa"/>
            <w:shd w:val="clear" w:color="auto" w:fill="FFFFFF" w:themeFill="background1"/>
            <w:vAlign w:val="center"/>
          </w:tcPr>
          <w:p w14:paraId="78EC2275"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w:t>
            </w:r>
          </w:p>
        </w:tc>
        <w:tc>
          <w:tcPr>
            <w:tcW w:w="1134" w:type="dxa"/>
            <w:shd w:val="clear" w:color="auto" w:fill="FFFFFF" w:themeFill="background1"/>
            <w:vAlign w:val="center"/>
          </w:tcPr>
          <w:p w14:paraId="15F2CA22"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w:t>
            </w:r>
          </w:p>
        </w:tc>
        <w:tc>
          <w:tcPr>
            <w:tcW w:w="4962" w:type="dxa"/>
            <w:shd w:val="clear" w:color="auto" w:fill="FFFFFF" w:themeFill="background1"/>
            <w:vAlign w:val="center"/>
          </w:tcPr>
          <w:p w14:paraId="1E4135EC" w14:textId="43A0558F"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ASPs w</w:t>
            </w:r>
            <w:r w:rsidR="00B21B34">
              <w:t>ould</w:t>
            </w:r>
            <w:r>
              <w:t xml:space="preserve"> be collecting data they already collect outside the CDR</w:t>
            </w:r>
            <w:r w:rsidR="00114048">
              <w:t xml:space="preserve">; as such, </w:t>
            </w:r>
            <w:r>
              <w:t xml:space="preserve">existing privacy regulation </w:t>
            </w:r>
            <w:r w:rsidR="00B21B34">
              <w:t>would</w:t>
            </w:r>
            <w:r>
              <w:t xml:space="preserve"> apply. </w:t>
            </w:r>
          </w:p>
        </w:tc>
      </w:tr>
      <w:tr w:rsidR="000D5898" w14:paraId="6950B961"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10B7B886"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6.</w:t>
            </w:r>
          </w:p>
        </w:tc>
        <w:tc>
          <w:tcPr>
            <w:tcW w:w="2905" w:type="dxa"/>
            <w:shd w:val="clear" w:color="auto" w:fill="EEEEEE" w:themeFill="background2"/>
            <w:vAlign w:val="center"/>
          </w:tcPr>
          <w:p w14:paraId="732E96A3"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Use or disclosure of CDR data by ADRs</w:t>
            </w:r>
          </w:p>
        </w:tc>
        <w:tc>
          <w:tcPr>
            <w:tcW w:w="1275" w:type="dxa"/>
            <w:shd w:val="clear" w:color="auto" w:fill="EEEEEE" w:themeFill="background2"/>
            <w:vAlign w:val="center"/>
          </w:tcPr>
          <w:p w14:paraId="5D55E0A0"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w:t>
            </w:r>
          </w:p>
        </w:tc>
        <w:tc>
          <w:tcPr>
            <w:tcW w:w="1134" w:type="dxa"/>
            <w:shd w:val="clear" w:color="auto" w:fill="EEEEEE" w:themeFill="background2"/>
            <w:vAlign w:val="center"/>
          </w:tcPr>
          <w:p w14:paraId="42974C3E"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w:t>
            </w:r>
          </w:p>
        </w:tc>
        <w:tc>
          <w:tcPr>
            <w:tcW w:w="4962" w:type="dxa"/>
            <w:shd w:val="clear" w:color="auto" w:fill="EEEEEE" w:themeFill="background2"/>
            <w:vAlign w:val="center"/>
          </w:tcPr>
          <w:p w14:paraId="4154B280" w14:textId="6035090E"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Privacy Safeguard 10 w</w:t>
            </w:r>
            <w:r w:rsidR="00B21B34">
              <w:t>ould</w:t>
            </w:r>
            <w:r>
              <w:t xml:space="preserve"> apply to ASPs, so it is appropriate this safeguard remains specific to ADRs and AAIs. </w:t>
            </w:r>
          </w:p>
        </w:tc>
      </w:tr>
      <w:tr w:rsidR="000D5898" w14:paraId="326CB143"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58E4B91F"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7.</w:t>
            </w:r>
          </w:p>
        </w:tc>
        <w:tc>
          <w:tcPr>
            <w:tcW w:w="2905" w:type="dxa"/>
            <w:shd w:val="clear" w:color="auto" w:fill="FFFFFF" w:themeFill="background1"/>
            <w:vAlign w:val="center"/>
          </w:tcPr>
          <w:p w14:paraId="599EAFE7"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Use or disclosure of CDR data for direct marketing by ADRs</w:t>
            </w:r>
          </w:p>
        </w:tc>
        <w:tc>
          <w:tcPr>
            <w:tcW w:w="1275" w:type="dxa"/>
            <w:shd w:val="clear" w:color="auto" w:fill="FFFFFF" w:themeFill="background1"/>
            <w:vAlign w:val="center"/>
          </w:tcPr>
          <w:p w14:paraId="37CF225C"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w:t>
            </w:r>
          </w:p>
        </w:tc>
        <w:tc>
          <w:tcPr>
            <w:tcW w:w="1134" w:type="dxa"/>
            <w:shd w:val="clear" w:color="auto" w:fill="FFFFFF" w:themeFill="background1"/>
            <w:vAlign w:val="center"/>
          </w:tcPr>
          <w:p w14:paraId="2065FD6A"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w:t>
            </w:r>
          </w:p>
        </w:tc>
        <w:tc>
          <w:tcPr>
            <w:tcW w:w="4962" w:type="dxa"/>
            <w:shd w:val="clear" w:color="auto" w:fill="FFFFFF" w:themeFill="background1"/>
            <w:vAlign w:val="center"/>
          </w:tcPr>
          <w:p w14:paraId="03B784C2" w14:textId="6DA94483"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rsidRPr="00304F63">
              <w:t xml:space="preserve">Applying </w:t>
            </w:r>
            <w:r w:rsidR="004F469C">
              <w:t>this safeguard</w:t>
            </w:r>
            <w:r>
              <w:t xml:space="preserve"> to ASPs may </w:t>
            </w:r>
            <w:r w:rsidRPr="00304F63">
              <w:t>create uncertainty and inconsistencies for ASPs and DHs, as it may be unclear how CDR data should be held if it has been received from an AAI when they already hold identical data.</w:t>
            </w:r>
          </w:p>
        </w:tc>
      </w:tr>
      <w:tr w:rsidR="000D5898" w14:paraId="35E73F07"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0ED92651"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lastRenderedPageBreak/>
              <w:t>8.</w:t>
            </w:r>
          </w:p>
        </w:tc>
        <w:tc>
          <w:tcPr>
            <w:tcW w:w="2905" w:type="dxa"/>
            <w:shd w:val="clear" w:color="auto" w:fill="EEEEEE" w:themeFill="background2"/>
            <w:vAlign w:val="center"/>
          </w:tcPr>
          <w:p w14:paraId="3B9FB623"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Overseas disclosure of CDR data by ADRs</w:t>
            </w:r>
          </w:p>
        </w:tc>
        <w:tc>
          <w:tcPr>
            <w:tcW w:w="1275" w:type="dxa"/>
            <w:shd w:val="clear" w:color="auto" w:fill="EEEEEE" w:themeFill="background2"/>
            <w:vAlign w:val="center"/>
          </w:tcPr>
          <w:p w14:paraId="791B25D7"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w:t>
            </w:r>
          </w:p>
        </w:tc>
        <w:tc>
          <w:tcPr>
            <w:tcW w:w="1134" w:type="dxa"/>
            <w:shd w:val="clear" w:color="auto" w:fill="EEEEEE" w:themeFill="background2"/>
            <w:vAlign w:val="center"/>
          </w:tcPr>
          <w:p w14:paraId="2187B41A"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w:t>
            </w:r>
          </w:p>
        </w:tc>
        <w:tc>
          <w:tcPr>
            <w:tcW w:w="4962" w:type="dxa"/>
            <w:shd w:val="clear" w:color="auto" w:fill="EEEEEE" w:themeFill="background2"/>
            <w:vAlign w:val="center"/>
          </w:tcPr>
          <w:p w14:paraId="6E14FAD2" w14:textId="3A2E9C7F"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rsidRPr="00304F63">
              <w:t>An</w:t>
            </w:r>
            <w:r>
              <w:t xml:space="preserve"> ASP</w:t>
            </w:r>
            <w:r w:rsidRPr="00304F63">
              <w:t xml:space="preserve"> may be required to send data overseas as part of an action – e.g. an international money transfer. A</w:t>
            </w:r>
            <w:r>
              <w:t xml:space="preserve">ustralian </w:t>
            </w:r>
            <w:r w:rsidRPr="00304F63">
              <w:t>P</w:t>
            </w:r>
            <w:r>
              <w:t xml:space="preserve">rivacy Principle </w:t>
            </w:r>
            <w:r w:rsidRPr="00304F63">
              <w:t>8 places conditions on the disclosure of information overseas</w:t>
            </w:r>
            <w:r>
              <w:t>, which w</w:t>
            </w:r>
            <w:r w:rsidR="00922CA3">
              <w:t>ould</w:t>
            </w:r>
            <w:r>
              <w:t xml:space="preserve"> apply to the vast majority of ASPs in the action layer. </w:t>
            </w:r>
          </w:p>
        </w:tc>
      </w:tr>
      <w:tr w:rsidR="000D5898" w14:paraId="78CB5CBA"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0369C963"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9.</w:t>
            </w:r>
          </w:p>
        </w:tc>
        <w:tc>
          <w:tcPr>
            <w:tcW w:w="2905" w:type="dxa"/>
            <w:shd w:val="clear" w:color="auto" w:fill="FFFFFF" w:themeFill="background1"/>
            <w:vAlign w:val="center"/>
          </w:tcPr>
          <w:p w14:paraId="0C5F8647"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Adoption or disclosure of government related identifiers by ADRs</w:t>
            </w:r>
          </w:p>
        </w:tc>
        <w:tc>
          <w:tcPr>
            <w:tcW w:w="1275" w:type="dxa"/>
            <w:shd w:val="clear" w:color="auto" w:fill="FFFFFF" w:themeFill="background1"/>
            <w:vAlign w:val="center"/>
          </w:tcPr>
          <w:p w14:paraId="47AF04D2"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w:t>
            </w:r>
          </w:p>
        </w:tc>
        <w:tc>
          <w:tcPr>
            <w:tcW w:w="1134" w:type="dxa"/>
            <w:shd w:val="clear" w:color="auto" w:fill="FFFFFF" w:themeFill="background1"/>
            <w:vAlign w:val="center"/>
          </w:tcPr>
          <w:p w14:paraId="2058BA84"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w:t>
            </w:r>
          </w:p>
        </w:tc>
        <w:tc>
          <w:tcPr>
            <w:tcW w:w="4962" w:type="dxa"/>
            <w:shd w:val="clear" w:color="auto" w:fill="FFFFFF" w:themeFill="background1"/>
            <w:vAlign w:val="center"/>
          </w:tcPr>
          <w:p w14:paraId="06F825B6" w14:textId="293690D3"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rsidRPr="00304F63">
              <w:t>A</w:t>
            </w:r>
            <w:r>
              <w:t xml:space="preserve">ustralian </w:t>
            </w:r>
            <w:r w:rsidRPr="00304F63">
              <w:t>P</w:t>
            </w:r>
            <w:r>
              <w:t xml:space="preserve">rivacy Principle </w:t>
            </w:r>
            <w:r w:rsidRPr="000C54DB">
              <w:t>9 provides equivalent protection with the exception that disclosure is necessary to identify the identity of an individual</w:t>
            </w:r>
            <w:r>
              <w:t>, which w</w:t>
            </w:r>
            <w:r w:rsidR="00922CA3">
              <w:t>ould</w:t>
            </w:r>
            <w:r>
              <w:t xml:space="preserve"> apply to the vast majority of ASPs in the action layer</w:t>
            </w:r>
            <w:r w:rsidRPr="000C54DB">
              <w:t>.</w:t>
            </w:r>
          </w:p>
        </w:tc>
      </w:tr>
      <w:tr w:rsidR="000D5898" w14:paraId="53E5EBE2"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2CB152D1"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10.</w:t>
            </w:r>
          </w:p>
        </w:tc>
        <w:tc>
          <w:tcPr>
            <w:tcW w:w="2905" w:type="dxa"/>
            <w:shd w:val="clear" w:color="auto" w:fill="EEEEEE" w:themeFill="background2"/>
            <w:vAlign w:val="center"/>
          </w:tcPr>
          <w:p w14:paraId="29C2F086"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Notifying of the disclosure of CDR data</w:t>
            </w:r>
          </w:p>
        </w:tc>
        <w:tc>
          <w:tcPr>
            <w:tcW w:w="1275" w:type="dxa"/>
            <w:shd w:val="clear" w:color="auto" w:fill="EEEEEE" w:themeFill="background2"/>
            <w:vAlign w:val="center"/>
          </w:tcPr>
          <w:p w14:paraId="3691FAEE"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 DH</w:t>
            </w:r>
          </w:p>
        </w:tc>
        <w:tc>
          <w:tcPr>
            <w:tcW w:w="1134" w:type="dxa"/>
            <w:shd w:val="clear" w:color="auto" w:fill="EEEEEE" w:themeFill="background2"/>
            <w:vAlign w:val="center"/>
          </w:tcPr>
          <w:p w14:paraId="1954436C"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 ASP</w:t>
            </w:r>
          </w:p>
        </w:tc>
        <w:tc>
          <w:tcPr>
            <w:tcW w:w="4962" w:type="dxa"/>
            <w:shd w:val="clear" w:color="auto" w:fill="EEEEEE" w:themeFill="background2"/>
            <w:vAlign w:val="center"/>
          </w:tcPr>
          <w:p w14:paraId="50AB3A3C"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rsidRPr="000C54DB">
              <w:t>If an ASP was required to share CDR data back to the AAI as part of the action request, this should be treated as if a DH shared CDR data with an ADR.</w:t>
            </w:r>
          </w:p>
        </w:tc>
      </w:tr>
      <w:tr w:rsidR="000D5898" w14:paraId="5D38CDCC"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36972002"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11.</w:t>
            </w:r>
          </w:p>
        </w:tc>
        <w:tc>
          <w:tcPr>
            <w:tcW w:w="2905" w:type="dxa"/>
            <w:shd w:val="clear" w:color="auto" w:fill="FFFFFF" w:themeFill="background1"/>
            <w:vAlign w:val="center"/>
          </w:tcPr>
          <w:p w14:paraId="5EB3BD93"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Quality of CDR data that is disclosed under the CDR</w:t>
            </w:r>
          </w:p>
        </w:tc>
        <w:tc>
          <w:tcPr>
            <w:tcW w:w="1275" w:type="dxa"/>
            <w:shd w:val="clear" w:color="auto" w:fill="FFFFFF" w:themeFill="background1"/>
            <w:vAlign w:val="center"/>
          </w:tcPr>
          <w:p w14:paraId="307C89DE"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ADR;DH</w:t>
            </w:r>
          </w:p>
        </w:tc>
        <w:tc>
          <w:tcPr>
            <w:tcW w:w="1134" w:type="dxa"/>
            <w:shd w:val="clear" w:color="auto" w:fill="FFFFFF" w:themeFill="background1"/>
            <w:vAlign w:val="center"/>
          </w:tcPr>
          <w:p w14:paraId="34C1DED8"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 ASP</w:t>
            </w:r>
          </w:p>
        </w:tc>
        <w:tc>
          <w:tcPr>
            <w:tcW w:w="4962" w:type="dxa"/>
            <w:shd w:val="clear" w:color="auto" w:fill="FFFFFF" w:themeFill="background1"/>
            <w:vAlign w:val="center"/>
          </w:tcPr>
          <w:p w14:paraId="0C8ECC1B" w14:textId="666C3EA2"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 xml:space="preserve">AAIs and ASPs may be required to pass on corrected CDR data if it had previously been disclosed as part of an action request.  </w:t>
            </w:r>
          </w:p>
        </w:tc>
      </w:tr>
      <w:tr w:rsidR="000D5898" w14:paraId="090C6D9E" w14:textId="77777777" w:rsidTr="00473358">
        <w:trPr>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EEEEEE" w:themeFill="background2"/>
            <w:vAlign w:val="center"/>
          </w:tcPr>
          <w:p w14:paraId="673BE878"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12.</w:t>
            </w:r>
          </w:p>
        </w:tc>
        <w:tc>
          <w:tcPr>
            <w:tcW w:w="2905" w:type="dxa"/>
            <w:shd w:val="clear" w:color="auto" w:fill="EEEEEE" w:themeFill="background2"/>
            <w:vAlign w:val="center"/>
          </w:tcPr>
          <w:p w14:paraId="005229E0" w14:textId="77777777"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Security of CDR data and destruction or de-identification of redundant CDR data</w:t>
            </w:r>
          </w:p>
        </w:tc>
        <w:tc>
          <w:tcPr>
            <w:tcW w:w="1275" w:type="dxa"/>
            <w:shd w:val="clear" w:color="auto" w:fill="EEEEEE" w:themeFill="background2"/>
            <w:vAlign w:val="center"/>
          </w:tcPr>
          <w:p w14:paraId="6B1D2787"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ADR</w:t>
            </w:r>
          </w:p>
        </w:tc>
        <w:tc>
          <w:tcPr>
            <w:tcW w:w="1134" w:type="dxa"/>
            <w:shd w:val="clear" w:color="auto" w:fill="EEEEEE" w:themeFill="background2"/>
            <w:vAlign w:val="center"/>
          </w:tcPr>
          <w:p w14:paraId="588245E0" w14:textId="77777777" w:rsidR="00ED355B" w:rsidRDefault="00ED355B" w:rsidP="00473358">
            <w:pPr>
              <w:pStyle w:val="ListParagraph"/>
              <w:ind w:left="0"/>
              <w:jc w:val="center"/>
              <w:cnfStyle w:val="000000000000" w:firstRow="0" w:lastRow="0" w:firstColumn="0" w:lastColumn="0" w:oddVBand="0" w:evenVBand="0" w:oddHBand="0" w:evenHBand="0" w:firstRowFirstColumn="0" w:firstRowLastColumn="0" w:lastRowFirstColumn="0" w:lastRowLastColumn="0"/>
            </w:pPr>
            <w:r>
              <w:t>AAI</w:t>
            </w:r>
          </w:p>
        </w:tc>
        <w:tc>
          <w:tcPr>
            <w:tcW w:w="4962" w:type="dxa"/>
            <w:shd w:val="clear" w:color="auto" w:fill="EEEEEE" w:themeFill="background2"/>
            <w:vAlign w:val="center"/>
          </w:tcPr>
          <w:p w14:paraId="18BF96E4" w14:textId="2CDA2C32" w:rsidR="00ED355B" w:rsidRDefault="00ED355B" w:rsidP="00473358">
            <w:pPr>
              <w:pStyle w:val="ListParagraph"/>
              <w:ind w:left="0"/>
              <w:cnfStyle w:val="000000000000" w:firstRow="0" w:lastRow="0" w:firstColumn="0" w:lastColumn="0" w:oddVBand="0" w:evenVBand="0" w:oddHBand="0" w:evenHBand="0" w:firstRowFirstColumn="0" w:firstRowLastColumn="0" w:lastRowFirstColumn="0" w:lastRowLastColumn="0"/>
            </w:pPr>
            <w:r>
              <w:t xml:space="preserve">CDR data held by ASPs </w:t>
            </w:r>
            <w:r w:rsidR="005D7124">
              <w:t xml:space="preserve">would </w:t>
            </w:r>
            <w:r>
              <w:t xml:space="preserve">be treated the same way as </w:t>
            </w:r>
            <w:r w:rsidR="0058764B">
              <w:t xml:space="preserve">for </w:t>
            </w:r>
            <w:r>
              <w:t>DHs to minimise regulatory overlap.</w:t>
            </w:r>
          </w:p>
        </w:tc>
      </w:tr>
      <w:tr w:rsidR="000D5898" w14:paraId="338D3995" w14:textId="77777777" w:rsidTr="00473358">
        <w:trPr>
          <w:cnfStyle w:val="000000100000" w:firstRow="0" w:lastRow="0" w:firstColumn="0" w:lastColumn="0" w:oddVBand="0" w:evenVBand="0" w:oddHBand="1" w:evenHBand="0" w:firstRowFirstColumn="0" w:firstRowLastColumn="0" w:lastRowFirstColumn="0" w:lastRowLastColumn="0"/>
          <w:cantSplit/>
          <w:trHeight w:val="330"/>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vAlign w:val="center"/>
          </w:tcPr>
          <w:p w14:paraId="3CD5F022" w14:textId="77777777" w:rsidR="00ED355B" w:rsidRDefault="00ED355B" w:rsidP="00473358">
            <w:pPr>
              <w:pStyle w:val="OutlineNumbered1"/>
              <w:numPr>
                <w:ilvl w:val="0"/>
                <w:numId w:val="0"/>
              </w:numPr>
              <w:ind w:left="520" w:hanging="520"/>
              <w:rPr>
                <w:rFonts w:asciiTheme="minorHAnsi" w:hAnsiTheme="minorHAnsi" w:cstheme="minorHAnsi"/>
                <w:b w:val="0"/>
                <w:bCs w:val="0"/>
              </w:rPr>
            </w:pPr>
            <w:r>
              <w:rPr>
                <w:rFonts w:asciiTheme="minorHAnsi" w:hAnsiTheme="minorHAnsi" w:cstheme="minorHAnsi"/>
              </w:rPr>
              <w:t>13.</w:t>
            </w:r>
          </w:p>
        </w:tc>
        <w:tc>
          <w:tcPr>
            <w:tcW w:w="2905" w:type="dxa"/>
            <w:shd w:val="clear" w:color="auto" w:fill="FFFFFF" w:themeFill="background1"/>
            <w:vAlign w:val="center"/>
          </w:tcPr>
          <w:p w14:paraId="766A28DB"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Correction of CDR data that has been disclosed under the CDR</w:t>
            </w:r>
          </w:p>
        </w:tc>
        <w:tc>
          <w:tcPr>
            <w:tcW w:w="1275" w:type="dxa"/>
            <w:shd w:val="clear" w:color="auto" w:fill="FFFFFF" w:themeFill="background1"/>
            <w:vAlign w:val="center"/>
          </w:tcPr>
          <w:p w14:paraId="61AE57F6"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ADR; DH</w:t>
            </w:r>
          </w:p>
        </w:tc>
        <w:tc>
          <w:tcPr>
            <w:tcW w:w="1134" w:type="dxa"/>
            <w:shd w:val="clear" w:color="auto" w:fill="FFFFFF" w:themeFill="background1"/>
            <w:vAlign w:val="center"/>
          </w:tcPr>
          <w:p w14:paraId="787162B0" w14:textId="77777777" w:rsidR="00ED355B" w:rsidRDefault="00ED355B" w:rsidP="00473358">
            <w:pPr>
              <w:pStyle w:val="ListParagraph"/>
              <w:ind w:left="0"/>
              <w:jc w:val="center"/>
              <w:cnfStyle w:val="000000100000" w:firstRow="0" w:lastRow="0" w:firstColumn="0" w:lastColumn="0" w:oddVBand="0" w:evenVBand="0" w:oddHBand="1" w:evenHBand="0" w:firstRowFirstColumn="0" w:firstRowLastColumn="0" w:lastRowFirstColumn="0" w:lastRowLastColumn="0"/>
            </w:pPr>
            <w:r>
              <w:t>AAI; ASP</w:t>
            </w:r>
          </w:p>
        </w:tc>
        <w:tc>
          <w:tcPr>
            <w:tcW w:w="4962" w:type="dxa"/>
            <w:shd w:val="clear" w:color="auto" w:fill="FFFFFF" w:themeFill="background1"/>
            <w:vAlign w:val="center"/>
          </w:tcPr>
          <w:p w14:paraId="30E3F07A" w14:textId="77777777" w:rsidR="00ED355B" w:rsidRDefault="00ED355B" w:rsidP="00473358">
            <w:pPr>
              <w:pStyle w:val="ListParagraph"/>
              <w:ind w:left="0"/>
              <w:cnfStyle w:val="000000100000" w:firstRow="0" w:lastRow="0" w:firstColumn="0" w:lastColumn="0" w:oddVBand="0" w:evenVBand="0" w:oddHBand="1" w:evenHBand="0" w:firstRowFirstColumn="0" w:firstRowLastColumn="0" w:lastRowFirstColumn="0" w:lastRowLastColumn="0"/>
            </w:pPr>
            <w:r>
              <w:t xml:space="preserve">This would apply to ASPs in the same way it currently applies to DHs. </w:t>
            </w:r>
          </w:p>
        </w:tc>
      </w:tr>
    </w:tbl>
    <w:p w14:paraId="2CB6B019" w14:textId="1703ECBD" w:rsidR="008E35EE" w:rsidRDefault="00091C4B" w:rsidP="008E35EE">
      <w:pPr>
        <w:pStyle w:val="Heading2"/>
      </w:pPr>
      <w:bookmarkStart w:id="14" w:name="_Toc114831816"/>
      <w:r>
        <w:t>Additional information</w:t>
      </w:r>
      <w:bookmarkEnd w:id="14"/>
    </w:p>
    <w:p w14:paraId="778E89D1" w14:textId="2D5EBC94" w:rsidR="008E35EE" w:rsidRDefault="008E35EE" w:rsidP="008E35EE">
      <w:r>
        <w:t xml:space="preserve">The proposed changes to the </w:t>
      </w:r>
      <w:r w:rsidR="005030FF">
        <w:t>p</w:t>
      </w:r>
      <w:r>
        <w:t xml:space="preserve">rivacy </w:t>
      </w:r>
      <w:r w:rsidR="005030FF">
        <w:t>s</w:t>
      </w:r>
      <w:r>
        <w:t xml:space="preserve">afeguards </w:t>
      </w:r>
      <w:r w:rsidR="005D7124">
        <w:t>aim</w:t>
      </w:r>
      <w:r>
        <w:t xml:space="preserve"> to create a clear delineation between the regulatory obligations at the instruction layer (which is specific to the CDR), and at the action layer (which is covered by existing privacy regulation). As such, it is proposed th</w:t>
      </w:r>
      <w:r w:rsidR="00922CA3">
        <w:t xml:space="preserve">at existing privacy regulations continue to apply </w:t>
      </w:r>
      <w:r>
        <w:t xml:space="preserve">to Action Service Providers in the action layer. If the </w:t>
      </w:r>
      <w:r w:rsidR="005030FF">
        <w:t>p</w:t>
      </w:r>
      <w:r>
        <w:t xml:space="preserve">rivacy </w:t>
      </w:r>
      <w:r w:rsidR="005030FF">
        <w:t>s</w:t>
      </w:r>
      <w:r>
        <w:t xml:space="preserve">afeguards were applied to Action Service Providers in full, there could </w:t>
      </w:r>
      <w:r w:rsidR="00A15394">
        <w:t xml:space="preserve">be </w:t>
      </w:r>
      <w:r w:rsidRPr="000C2893">
        <w:t xml:space="preserve">duplication </w:t>
      </w:r>
      <w:r w:rsidR="00A15394">
        <w:t>with</w:t>
      </w:r>
      <w:r w:rsidR="0001337D" w:rsidRPr="000C2893">
        <w:t xml:space="preserve"> </w:t>
      </w:r>
      <w:r>
        <w:t>existing regulations</w:t>
      </w:r>
      <w:r w:rsidRPr="000C2893">
        <w:t xml:space="preserve"> that apply to </w:t>
      </w:r>
      <w:r>
        <w:t>Action Service Providers</w:t>
      </w:r>
      <w:r w:rsidR="0001337D">
        <w:t xml:space="preserve">, including for </w:t>
      </w:r>
      <w:r w:rsidRPr="000C2893">
        <w:t xml:space="preserve">matters such as </w:t>
      </w:r>
      <w:r>
        <w:t xml:space="preserve">the </w:t>
      </w:r>
      <w:r w:rsidRPr="000C2893">
        <w:t>retention</w:t>
      </w:r>
      <w:r>
        <w:t xml:space="preserve"> and </w:t>
      </w:r>
      <w:r w:rsidRPr="000C2893">
        <w:t>deletion of data and record-keeping requirements</w:t>
      </w:r>
      <w:r>
        <w:t xml:space="preserve">. This </w:t>
      </w:r>
      <w:r w:rsidR="005D7124">
        <w:t>may</w:t>
      </w:r>
      <w:r>
        <w:t xml:space="preserve"> create </w:t>
      </w:r>
      <w:r w:rsidRPr="000C2893">
        <w:t xml:space="preserve">challenges for </w:t>
      </w:r>
      <w:r>
        <w:t>Action Service Providers</w:t>
      </w:r>
      <w:r w:rsidRPr="000C2893">
        <w:t xml:space="preserve"> to comply with dual regimes. </w:t>
      </w:r>
      <w:r w:rsidR="005D7124">
        <w:t xml:space="preserve">The </w:t>
      </w:r>
      <w:r w:rsidR="00091C4B">
        <w:t>proposed amendments</w:t>
      </w:r>
      <w:r w:rsidR="005D7124">
        <w:t xml:space="preserve"> also aim to provide c</w:t>
      </w:r>
      <w:r w:rsidRPr="000C2893">
        <w:t>onsumers</w:t>
      </w:r>
      <w:r w:rsidR="005D7124">
        <w:t xml:space="preserve"> with </w:t>
      </w:r>
      <w:r w:rsidRPr="000C2893">
        <w:t>consistent rights</w:t>
      </w:r>
      <w:r>
        <w:t xml:space="preserve"> and </w:t>
      </w:r>
      <w:r w:rsidRPr="000C2893">
        <w:t xml:space="preserve">protections </w:t>
      </w:r>
      <w:r w:rsidR="005D7124">
        <w:t xml:space="preserve">at the action layer, irrespective of whether they initiated an action </w:t>
      </w:r>
      <w:r w:rsidRPr="000C2893">
        <w:t xml:space="preserve">themselves or </w:t>
      </w:r>
      <w:r w:rsidR="005D7124">
        <w:t xml:space="preserve">through </w:t>
      </w:r>
      <w:r w:rsidRPr="000C2893">
        <w:t>the CDR.</w:t>
      </w:r>
    </w:p>
    <w:p w14:paraId="324A15DB" w14:textId="3EA029E0" w:rsidR="008E35EE" w:rsidRDefault="00773AD3" w:rsidP="008E35EE">
      <w:r>
        <w:t xml:space="preserve">The </w:t>
      </w:r>
      <w:r w:rsidR="008E35EE">
        <w:t xml:space="preserve">Australian Privacy Principles </w:t>
      </w:r>
      <w:r>
        <w:t xml:space="preserve">would not </w:t>
      </w:r>
      <w:r w:rsidR="008E35EE">
        <w:t>apply to Action Service Provider</w:t>
      </w:r>
      <w:r>
        <w:t>s if</w:t>
      </w:r>
      <w:r w:rsidR="008E35EE">
        <w:t xml:space="preserve"> their turnover </w:t>
      </w:r>
      <w:proofErr w:type="gramStart"/>
      <w:r w:rsidR="008E35EE">
        <w:t>i</w:t>
      </w:r>
      <w:r w:rsidR="00BD0C05">
        <w:t>s</w:t>
      </w:r>
      <w:proofErr w:type="gramEnd"/>
      <w:r w:rsidR="008E35EE">
        <w:t xml:space="preserve"> less than $3 million.</w:t>
      </w:r>
      <w:r>
        <w:t xml:space="preserve"> </w:t>
      </w:r>
      <w:r w:rsidR="00FD563D">
        <w:t>The proposed framework</w:t>
      </w:r>
      <w:r w:rsidR="007924A7">
        <w:t xml:space="preserve"> provides flexibility for the rules to exempt </w:t>
      </w:r>
      <w:proofErr w:type="gramStart"/>
      <w:r w:rsidR="007924A7">
        <w:t>small designated</w:t>
      </w:r>
      <w:proofErr w:type="gramEnd"/>
      <w:r w:rsidR="007924A7">
        <w:t xml:space="preserve"> data holders from becoming an Action Service Provider. </w:t>
      </w:r>
      <w:r w:rsidR="00DB61E9">
        <w:t>Conversely, t</w:t>
      </w:r>
      <w:r w:rsidR="007924A7">
        <w:t>he framework</w:t>
      </w:r>
      <w:r w:rsidR="00FD563D">
        <w:t xml:space="preserve"> may enable a small business with a turnover of less </w:t>
      </w:r>
      <w:r w:rsidR="00DB61E9">
        <w:t xml:space="preserve">than </w:t>
      </w:r>
      <w:r w:rsidR="00FD563D">
        <w:t xml:space="preserve">$3 million to apply to be a voluntary </w:t>
      </w:r>
      <w:r w:rsidR="00A15412">
        <w:t>A</w:t>
      </w:r>
      <w:r w:rsidR="00FD563D">
        <w:t xml:space="preserve">ction </w:t>
      </w:r>
      <w:r w:rsidR="00A15412">
        <w:t>S</w:t>
      </w:r>
      <w:r w:rsidR="00FD563D">
        <w:t xml:space="preserve">ervice </w:t>
      </w:r>
      <w:r w:rsidR="00A15412">
        <w:lastRenderedPageBreak/>
        <w:t>P</w:t>
      </w:r>
      <w:r w:rsidR="00FD563D">
        <w:t xml:space="preserve">rovider, which may not be subject to the Australian Privacy Principles. </w:t>
      </w:r>
      <w:r w:rsidR="008E35EE">
        <w:t xml:space="preserve">Treasury engaged KPMG to prepare a Privacy Impact Assessment to support the design of the proposed changes to the </w:t>
      </w:r>
      <w:r w:rsidR="005030FF">
        <w:t>p</w:t>
      </w:r>
      <w:r w:rsidR="008E35EE">
        <w:t xml:space="preserve">rivacy </w:t>
      </w:r>
      <w:r w:rsidR="005030FF">
        <w:t>s</w:t>
      </w:r>
      <w:r w:rsidR="008E35EE">
        <w:t xml:space="preserve">afeguards. In its Privacy Impact Assessment, KPMG acknowledged this risk and recommended the Minister consider the </w:t>
      </w:r>
      <w:r w:rsidR="005D7124">
        <w:t>privacy obligations</w:t>
      </w:r>
      <w:r w:rsidR="008E35EE">
        <w:t xml:space="preserve"> of prospective voluntary Action Service Providers as part of </w:t>
      </w:r>
      <w:r w:rsidR="00091C4B">
        <w:t>the</w:t>
      </w:r>
      <w:r w:rsidR="008E35EE">
        <w:t xml:space="preserve"> assessment criteria. The proposed legislation provides flexibility for the rules to include </w:t>
      </w:r>
      <w:r w:rsidR="00091C4B">
        <w:t>additional</w:t>
      </w:r>
      <w:r w:rsidR="008E35EE">
        <w:t xml:space="preserve"> requirement</w:t>
      </w:r>
      <w:r w:rsidR="00091C4B">
        <w:t>s</w:t>
      </w:r>
      <w:r w:rsidR="008E35EE">
        <w:t xml:space="preserve">. </w:t>
      </w:r>
    </w:p>
    <w:p w14:paraId="5F354102" w14:textId="77777777" w:rsidR="008E35EE" w:rsidRDefault="008E35EE" w:rsidP="008E35EE">
      <w:r>
        <w:t xml:space="preserve">Treasury welcomes feedback on the proposed application of the privacy safeguards. </w:t>
      </w:r>
    </w:p>
    <w:p w14:paraId="2958CB95" w14:textId="1C85AD49" w:rsidR="00FE5032" w:rsidRDefault="00FE5032" w:rsidP="00FE5032"/>
    <w:p w14:paraId="4D384DE1" w14:textId="47A3860D" w:rsidR="00386297" w:rsidRDefault="00386297" w:rsidP="00FE5032"/>
    <w:sectPr w:rsidR="00386297" w:rsidSect="00640952">
      <w:headerReference w:type="even" r:id="rId25"/>
      <w:footerReference w:type="even" r:id="rId26"/>
      <w:headerReference w:type="first" r:id="rId27"/>
      <w:footerReference w:type="first" r:id="rId28"/>
      <w:type w:val="oddPage"/>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3D6E" w14:textId="77777777" w:rsidR="004774E0" w:rsidRDefault="004774E0">
      <w:pPr>
        <w:spacing w:before="0" w:after="0"/>
      </w:pPr>
      <w:r>
        <w:separator/>
      </w:r>
    </w:p>
  </w:endnote>
  <w:endnote w:type="continuationSeparator" w:id="0">
    <w:p w14:paraId="155B62A8" w14:textId="77777777" w:rsidR="004774E0" w:rsidRDefault="004774E0">
      <w:pPr>
        <w:spacing w:before="0" w:after="0"/>
      </w:pPr>
      <w:r>
        <w:continuationSeparator/>
      </w:r>
    </w:p>
  </w:endnote>
  <w:endnote w:type="continuationNotice" w:id="1">
    <w:p w14:paraId="743EFC3C" w14:textId="77777777" w:rsidR="004774E0" w:rsidRDefault="004774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5B5B" w14:textId="5E2A2751"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rsidR="00103F3C">
      <w:tab/>
    </w:r>
    <w:r w:rsidR="00103F3C">
      <w:tab/>
    </w:r>
    <w:r w:rsidR="00103F3C" w:rsidRPr="00103F3C">
      <w:rPr>
        <w:position w:val="-8"/>
      </w:rPr>
      <w:drawing>
        <wp:inline distT="0" distB="0" distL="0" distR="0" wp14:anchorId="1690A25F" wp14:editId="45B1E051">
          <wp:extent cx="1324800" cy="201600"/>
          <wp:effectExtent l="0" t="0" r="0" b="8255"/>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51FD"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5F50" w14:textId="77777777" w:rsidR="004774E0" w:rsidRPr="00ED5A20" w:rsidRDefault="004774E0" w:rsidP="000F6233">
      <w:pPr>
        <w:rPr>
          <w:color w:val="4D7861" w:themeColor="accent2"/>
        </w:rPr>
      </w:pPr>
      <w:r w:rsidRPr="00ED5A20">
        <w:rPr>
          <w:color w:val="4D7861" w:themeColor="accent2"/>
        </w:rPr>
        <w:separator/>
      </w:r>
    </w:p>
  </w:footnote>
  <w:footnote w:type="continuationSeparator" w:id="0">
    <w:p w14:paraId="21506D75" w14:textId="77777777" w:rsidR="004774E0" w:rsidRPr="00B737EB" w:rsidRDefault="004774E0">
      <w:pPr>
        <w:spacing w:before="0" w:after="0"/>
        <w:rPr>
          <w:color w:val="2C384A" w:themeColor="accent1"/>
        </w:rPr>
      </w:pPr>
      <w:r w:rsidRPr="00B737EB">
        <w:rPr>
          <w:color w:val="2C384A" w:themeColor="accent1"/>
        </w:rPr>
        <w:continuationSeparator/>
      </w:r>
    </w:p>
  </w:footnote>
  <w:footnote w:type="continuationNotice" w:id="1">
    <w:p w14:paraId="52EC7509" w14:textId="77777777" w:rsidR="004774E0" w:rsidRDefault="004774E0">
      <w:pPr>
        <w:spacing w:before="0" w:after="0"/>
      </w:pPr>
    </w:p>
  </w:footnote>
  <w:footnote w:id="2">
    <w:p w14:paraId="5DE9DCE0" w14:textId="565B907F" w:rsidR="00FC2E80" w:rsidRDefault="00FC2E80">
      <w:pPr>
        <w:pStyle w:val="FootnoteText"/>
      </w:pPr>
      <w:r>
        <w:rPr>
          <w:rStyle w:val="FootnoteReference"/>
        </w:rPr>
        <w:footnoteRef/>
      </w:r>
      <w:r>
        <w:t xml:space="preserve"> </w:t>
      </w:r>
      <w:hyperlink r:id="rId1" w:history="1">
        <w:r w:rsidRPr="007059EF">
          <w:rPr>
            <w:rStyle w:val="Hyperlink"/>
          </w:rPr>
          <w:t>https://treasury.gov.au/publication/inquiry-future-directions-consumer-data-right-final-report</w:t>
        </w:r>
      </w:hyperlink>
      <w:r>
        <w:t xml:space="preserve"> </w:t>
      </w:r>
    </w:p>
  </w:footnote>
  <w:footnote w:id="3">
    <w:p w14:paraId="55C36816" w14:textId="67505CB7" w:rsidR="00D7644C" w:rsidRDefault="00D7644C" w:rsidP="008F5024">
      <w:pPr>
        <w:pStyle w:val="FootnoteText"/>
        <w:ind w:left="142" w:hanging="142"/>
      </w:pPr>
      <w:r>
        <w:rPr>
          <w:rStyle w:val="FootnoteReference"/>
        </w:rPr>
        <w:footnoteRef/>
      </w:r>
      <w:r>
        <w:t xml:space="preserve"> </w:t>
      </w:r>
      <w:hyperlink r:id="rId2" w:history="1">
        <w:r w:rsidR="00DC16AD" w:rsidRPr="00DC16AD">
          <w:rPr>
            <w:rStyle w:val="Hyperlink"/>
          </w:rPr>
          <w:t>Open Banking Implementation Entity (OBIE): New Impact Report shows cloud accounting allowing SMEs to run businesses more efficiently.</w:t>
        </w:r>
      </w:hyperlink>
      <w:r w:rsidR="00DC16AD">
        <w:t xml:space="preserve"> </w:t>
      </w:r>
      <w:r w:rsidR="00DC16AD" w:rsidRPr="00DC16AD">
        <w:rPr>
          <w:rStyle w:val="Hyperlink"/>
          <w:color w:val="auto"/>
        </w:rPr>
        <w:t>Accessed 16 September 2022.</w:t>
      </w:r>
    </w:p>
  </w:footnote>
  <w:footnote w:id="4">
    <w:p w14:paraId="4B9D8ED9" w14:textId="1A83B707" w:rsidR="00461909" w:rsidRDefault="00461909">
      <w:pPr>
        <w:pStyle w:val="FootnoteText"/>
      </w:pPr>
      <w:r>
        <w:rPr>
          <w:rStyle w:val="FootnoteReference"/>
        </w:rPr>
        <w:footnoteRef/>
      </w:r>
      <w:r>
        <w:t xml:space="preserve"> Recommendation 7.6 of the </w:t>
      </w:r>
      <w:hyperlink r:id="rId3" w:history="1">
        <w:r w:rsidRPr="00461909">
          <w:rPr>
            <w:rStyle w:val="Hyperlink"/>
          </w:rPr>
          <w:t xml:space="preserve">Inquiry into </w:t>
        </w:r>
        <w:r w:rsidR="00DB7D2C">
          <w:rPr>
            <w:rStyle w:val="Hyperlink"/>
          </w:rPr>
          <w:t xml:space="preserve">the </w:t>
        </w:r>
        <w:r w:rsidRPr="00461909">
          <w:rPr>
            <w:rStyle w:val="Hyperlink"/>
          </w:rPr>
          <w:t>Future Directions for the Consumer Data Righ</w:t>
        </w:r>
        <w:r>
          <w:rPr>
            <w:rStyle w:val="Hyperlink"/>
          </w:rPr>
          <w:t>t Final Report</w:t>
        </w:r>
      </w:hyperlink>
      <w:r>
        <w:t xml:space="preserve"> </w:t>
      </w:r>
    </w:p>
  </w:footnote>
  <w:footnote w:id="5">
    <w:p w14:paraId="2D8868C1" w14:textId="77777777" w:rsidR="007856FF" w:rsidRDefault="007856FF" w:rsidP="007856FF">
      <w:pPr>
        <w:pStyle w:val="FootnoteText"/>
        <w:ind w:left="142" w:hanging="142"/>
      </w:pPr>
      <w:r>
        <w:rPr>
          <w:rStyle w:val="FootnoteReference"/>
        </w:rPr>
        <w:footnoteRef/>
      </w:r>
      <w:r>
        <w:t xml:space="preserve"> CDR data is data that is captured in designation instruments made by the Minister under section 56AC of the </w:t>
      </w:r>
      <w:r w:rsidRPr="008F5024">
        <w:rPr>
          <w:i/>
          <w:iCs/>
        </w:rPr>
        <w:t>Competition and Consumer Act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8335" w14:textId="77777777" w:rsidR="00672B5D" w:rsidRPr="00AC75E2" w:rsidRDefault="00AC75E2" w:rsidP="00AC75E2">
    <w:pPr>
      <w:pStyle w:val="HeaderEven"/>
    </w:pPr>
    <w:r>
      <w:rPr>
        <w:noProof/>
      </w:rPr>
      <w:drawing>
        <wp:anchor distT="0" distB="0" distL="114300" distR="114300" simplePos="0" relativeHeight="251658240" behindDoc="1" locked="1" layoutInCell="1" allowOverlap="1" wp14:anchorId="45ABA2C7" wp14:editId="64908023">
          <wp:simplePos x="0" y="0"/>
          <wp:positionH relativeFrom="page">
            <wp:posOffset>-635</wp:posOffset>
          </wp:positionH>
          <wp:positionV relativeFrom="page">
            <wp:align>top</wp:align>
          </wp:positionV>
          <wp:extent cx="7570800" cy="104400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BFE4"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6.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A55838"/>
    <w:multiLevelType w:val="hybridMultilevel"/>
    <w:tmpl w:val="5C90806C"/>
    <w:lvl w:ilvl="0" w:tplc="81227A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10CC2"/>
    <w:multiLevelType w:val="multilevel"/>
    <w:tmpl w:val="F250B0F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9603FC"/>
    <w:multiLevelType w:val="hybridMultilevel"/>
    <w:tmpl w:val="4B2E83C6"/>
    <w:lvl w:ilvl="0" w:tplc="4976CB0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A363A6"/>
    <w:multiLevelType w:val="multilevel"/>
    <w:tmpl w:val="2C369884"/>
    <w:lvl w:ilvl="0">
      <w:start w:val="1"/>
      <w:numFmt w:val="bullet"/>
      <w:lvlText w:val=""/>
      <w:lvlJc w:val="left"/>
      <w:pPr>
        <w:tabs>
          <w:tab w:val="num" w:pos="1040"/>
        </w:tabs>
        <w:ind w:left="1040" w:hanging="520"/>
      </w:pPr>
      <w:rPr>
        <w:rFonts w:ascii="Symbol" w:hAnsi="Symbol"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600"/>
        </w:tabs>
        <w:ind w:left="2600" w:hanging="104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16" w15:restartNumberingAfterBreak="0">
    <w:nsid w:val="42126F44"/>
    <w:multiLevelType w:val="multilevel"/>
    <w:tmpl w:val="EE34D774"/>
    <w:name w:val="StandardNumberedList"/>
    <w:lvl w:ilvl="0">
      <w:start w:val="1"/>
      <w:numFmt w:val="decimal"/>
      <w:lvlText w:val="%1."/>
      <w:lvlJc w:val="left"/>
      <w:pPr>
        <w:tabs>
          <w:tab w:val="num" w:pos="520"/>
        </w:tabs>
        <w:ind w:left="520" w:hanging="520"/>
      </w:pPr>
      <w:rPr>
        <w:b w:val="0"/>
        <w:bCs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02CBF"/>
    <w:multiLevelType w:val="hybridMultilevel"/>
    <w:tmpl w:val="D1BEE9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4B1C78"/>
    <w:multiLevelType w:val="multilevel"/>
    <w:tmpl w:val="DE2CCBC2"/>
    <w:lvl w:ilvl="0">
      <w:start w:val="1"/>
      <w:numFmt w:val="bullet"/>
      <w:lvlText w:val=""/>
      <w:lvlJc w:val="left"/>
      <w:pPr>
        <w:tabs>
          <w:tab w:val="num" w:pos="1040"/>
        </w:tabs>
        <w:ind w:left="1040" w:hanging="520"/>
      </w:pPr>
      <w:rPr>
        <w:rFonts w:ascii="Symbol" w:hAnsi="Symbol"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600"/>
        </w:tabs>
        <w:ind w:left="2600" w:hanging="104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23" w15:restartNumberingAfterBreak="0">
    <w:nsid w:val="69DC5A8A"/>
    <w:multiLevelType w:val="multilevel"/>
    <w:tmpl w:val="9E44344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D6B5224"/>
    <w:multiLevelType w:val="multilevel"/>
    <w:tmpl w:val="094AA070"/>
    <w:name w:val="StandardBulletedList"/>
    <w:lvl w:ilvl="0">
      <w:start w:val="1"/>
      <w:numFmt w:val="bullet"/>
      <w:pStyle w:val="Bullet"/>
      <w:lvlText w:val="•"/>
      <w:lvlJc w:val="left"/>
      <w:pPr>
        <w:tabs>
          <w:tab w:val="num" w:pos="1040"/>
        </w:tabs>
        <w:ind w:left="1040" w:hanging="520"/>
      </w:pPr>
      <w:rPr>
        <w:rFonts w:ascii="Times New Roman" w:hAnsi="Times New Roman" w:cs="Times New Roman" w:hint="default"/>
        <w:color w:val="auto"/>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600"/>
        </w:tabs>
        <w:ind w:left="2600" w:hanging="104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2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8" w15:restartNumberingAfterBreak="0">
    <w:nsid w:val="7FFB05EC"/>
    <w:multiLevelType w:val="multilevel"/>
    <w:tmpl w:val="E270610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0"/>
  </w:num>
  <w:num w:numId="3">
    <w:abstractNumId w:val="12"/>
  </w:num>
  <w:num w:numId="4">
    <w:abstractNumId w:val="3"/>
  </w:num>
  <w:num w:numId="5">
    <w:abstractNumId w:val="5"/>
  </w:num>
  <w:num w:numId="6">
    <w:abstractNumId w:val="18"/>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8"/>
  </w:num>
  <w:num w:numId="11">
    <w:abstractNumId w:val="26"/>
  </w:num>
  <w:num w:numId="12">
    <w:abstractNumId w:val="18"/>
  </w:num>
  <w:num w:numId="13">
    <w:abstractNumId w:val="27"/>
  </w:num>
  <w:num w:numId="14">
    <w:abstractNumId w:val="17"/>
  </w:num>
  <w:num w:numId="15">
    <w:abstractNumId w:val="7"/>
  </w:num>
  <w:num w:numId="16">
    <w:abstractNumId w:val="20"/>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
  </w:num>
  <w:num w:numId="26">
    <w:abstractNumId w:val="25"/>
  </w:num>
  <w:num w:numId="27">
    <w:abstractNumId w:val="28"/>
  </w:num>
  <w:num w:numId="28">
    <w:abstractNumId w:val="13"/>
  </w:num>
  <w:num w:numId="29">
    <w:abstractNumId w:val="14"/>
  </w:num>
  <w:num w:numId="30">
    <w:abstractNumId w:val="16"/>
  </w:num>
  <w:num w:numId="31">
    <w:abstractNumId w:val="25"/>
  </w:num>
  <w:num w:numId="32">
    <w:abstractNumId w:val="21"/>
  </w:num>
  <w:num w:numId="33">
    <w:abstractNumId w:val="22"/>
  </w:num>
  <w:num w:numId="34">
    <w:abstractNumId w:val="1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proofState w:spelling="clean" w:grammar="clean"/>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D35B2B-BAEE-49D3-B8F9-DDFBCC647F4B}"/>
    <w:docVar w:name="dgnword-eventsink" w:val="1266073683728"/>
    <w:docVar w:name="SecurityClassificationInHeader" w:val="False"/>
  </w:docVars>
  <w:rsids>
    <w:rsidRoot w:val="00640952"/>
    <w:rsid w:val="0000065A"/>
    <w:rsid w:val="00011725"/>
    <w:rsid w:val="00011DFE"/>
    <w:rsid w:val="00012C62"/>
    <w:rsid w:val="0001337D"/>
    <w:rsid w:val="0001396A"/>
    <w:rsid w:val="00014EC1"/>
    <w:rsid w:val="00021410"/>
    <w:rsid w:val="00021B5B"/>
    <w:rsid w:val="00023C3F"/>
    <w:rsid w:val="00023E71"/>
    <w:rsid w:val="00024BDA"/>
    <w:rsid w:val="0002544D"/>
    <w:rsid w:val="00030A93"/>
    <w:rsid w:val="00031663"/>
    <w:rsid w:val="0004274D"/>
    <w:rsid w:val="00043348"/>
    <w:rsid w:val="0004483F"/>
    <w:rsid w:val="00046CB4"/>
    <w:rsid w:val="00047A54"/>
    <w:rsid w:val="0005138B"/>
    <w:rsid w:val="000517EE"/>
    <w:rsid w:val="000522B7"/>
    <w:rsid w:val="00053717"/>
    <w:rsid w:val="0005626C"/>
    <w:rsid w:val="00056880"/>
    <w:rsid w:val="0005755E"/>
    <w:rsid w:val="00061BE7"/>
    <w:rsid w:val="00063B41"/>
    <w:rsid w:val="00065F52"/>
    <w:rsid w:val="0006714B"/>
    <w:rsid w:val="000673A4"/>
    <w:rsid w:val="000675D1"/>
    <w:rsid w:val="00067C6F"/>
    <w:rsid w:val="00070983"/>
    <w:rsid w:val="000732A8"/>
    <w:rsid w:val="00073521"/>
    <w:rsid w:val="000748D5"/>
    <w:rsid w:val="000764CA"/>
    <w:rsid w:val="000775DE"/>
    <w:rsid w:val="00083197"/>
    <w:rsid w:val="000838F2"/>
    <w:rsid w:val="00083BD2"/>
    <w:rsid w:val="00087FAF"/>
    <w:rsid w:val="00091C4B"/>
    <w:rsid w:val="00095D88"/>
    <w:rsid w:val="00096DD8"/>
    <w:rsid w:val="000A4890"/>
    <w:rsid w:val="000B093F"/>
    <w:rsid w:val="000B302A"/>
    <w:rsid w:val="000C0217"/>
    <w:rsid w:val="000C5075"/>
    <w:rsid w:val="000C571D"/>
    <w:rsid w:val="000C5F40"/>
    <w:rsid w:val="000D53A1"/>
    <w:rsid w:val="000D5898"/>
    <w:rsid w:val="000D63B0"/>
    <w:rsid w:val="000D6DCD"/>
    <w:rsid w:val="000E001E"/>
    <w:rsid w:val="000E0B74"/>
    <w:rsid w:val="000E7901"/>
    <w:rsid w:val="000F06F3"/>
    <w:rsid w:val="000F38B0"/>
    <w:rsid w:val="000F6233"/>
    <w:rsid w:val="000F65A7"/>
    <w:rsid w:val="000F7A8B"/>
    <w:rsid w:val="00100839"/>
    <w:rsid w:val="0010084C"/>
    <w:rsid w:val="00103F3C"/>
    <w:rsid w:val="00104643"/>
    <w:rsid w:val="001118CB"/>
    <w:rsid w:val="00112E9A"/>
    <w:rsid w:val="00114048"/>
    <w:rsid w:val="00115E05"/>
    <w:rsid w:val="00120B61"/>
    <w:rsid w:val="00121059"/>
    <w:rsid w:val="00125BC6"/>
    <w:rsid w:val="001268FB"/>
    <w:rsid w:val="001317CC"/>
    <w:rsid w:val="00131DC3"/>
    <w:rsid w:val="00132620"/>
    <w:rsid w:val="00132928"/>
    <w:rsid w:val="0013351F"/>
    <w:rsid w:val="00133B30"/>
    <w:rsid w:val="00135E4C"/>
    <w:rsid w:val="0013718B"/>
    <w:rsid w:val="001373F5"/>
    <w:rsid w:val="001423CD"/>
    <w:rsid w:val="00143110"/>
    <w:rsid w:val="001440A4"/>
    <w:rsid w:val="00146801"/>
    <w:rsid w:val="00146A06"/>
    <w:rsid w:val="001574C0"/>
    <w:rsid w:val="001600F7"/>
    <w:rsid w:val="001606CF"/>
    <w:rsid w:val="00160D1C"/>
    <w:rsid w:val="0016128D"/>
    <w:rsid w:val="00162CD2"/>
    <w:rsid w:val="00164599"/>
    <w:rsid w:val="0017089D"/>
    <w:rsid w:val="001724DE"/>
    <w:rsid w:val="001731AA"/>
    <w:rsid w:val="001805A8"/>
    <w:rsid w:val="00181D0F"/>
    <w:rsid w:val="001828B2"/>
    <w:rsid w:val="00182D98"/>
    <w:rsid w:val="001906BA"/>
    <w:rsid w:val="0019101A"/>
    <w:rsid w:val="00191C1F"/>
    <w:rsid w:val="001944F2"/>
    <w:rsid w:val="00194614"/>
    <w:rsid w:val="00195C8E"/>
    <w:rsid w:val="001972D2"/>
    <w:rsid w:val="001A44FC"/>
    <w:rsid w:val="001A4867"/>
    <w:rsid w:val="001A5781"/>
    <w:rsid w:val="001A5E1C"/>
    <w:rsid w:val="001B5F23"/>
    <w:rsid w:val="001B7A3C"/>
    <w:rsid w:val="001C0918"/>
    <w:rsid w:val="001C3403"/>
    <w:rsid w:val="001C358D"/>
    <w:rsid w:val="001C40A0"/>
    <w:rsid w:val="001D3DC1"/>
    <w:rsid w:val="001D43B4"/>
    <w:rsid w:val="001D4B4E"/>
    <w:rsid w:val="001D7F4F"/>
    <w:rsid w:val="001E1794"/>
    <w:rsid w:val="001E248B"/>
    <w:rsid w:val="001E48E9"/>
    <w:rsid w:val="001F1B27"/>
    <w:rsid w:val="001F4333"/>
    <w:rsid w:val="001F64E6"/>
    <w:rsid w:val="002059AE"/>
    <w:rsid w:val="002059CC"/>
    <w:rsid w:val="0021042E"/>
    <w:rsid w:val="00210FC6"/>
    <w:rsid w:val="0021316D"/>
    <w:rsid w:val="00214ACA"/>
    <w:rsid w:val="00214F44"/>
    <w:rsid w:val="002176EE"/>
    <w:rsid w:val="00221EC0"/>
    <w:rsid w:val="00225FC7"/>
    <w:rsid w:val="00226491"/>
    <w:rsid w:val="00231049"/>
    <w:rsid w:val="002314D2"/>
    <w:rsid w:val="0023305C"/>
    <w:rsid w:val="00241580"/>
    <w:rsid w:val="00241881"/>
    <w:rsid w:val="00242749"/>
    <w:rsid w:val="0024294C"/>
    <w:rsid w:val="002461BA"/>
    <w:rsid w:val="00246B82"/>
    <w:rsid w:val="002543D8"/>
    <w:rsid w:val="00254D0D"/>
    <w:rsid w:val="0025652F"/>
    <w:rsid w:val="0025717D"/>
    <w:rsid w:val="00257D93"/>
    <w:rsid w:val="0026087A"/>
    <w:rsid w:val="00263B6C"/>
    <w:rsid w:val="00266D3F"/>
    <w:rsid w:val="00272939"/>
    <w:rsid w:val="0027590B"/>
    <w:rsid w:val="00277104"/>
    <w:rsid w:val="00277875"/>
    <w:rsid w:val="0028038D"/>
    <w:rsid w:val="00285969"/>
    <w:rsid w:val="00287A00"/>
    <w:rsid w:val="0029051E"/>
    <w:rsid w:val="00292743"/>
    <w:rsid w:val="00293327"/>
    <w:rsid w:val="002959CF"/>
    <w:rsid w:val="00295B30"/>
    <w:rsid w:val="002A1089"/>
    <w:rsid w:val="002A1BB9"/>
    <w:rsid w:val="002A58BC"/>
    <w:rsid w:val="002A74EF"/>
    <w:rsid w:val="002A786C"/>
    <w:rsid w:val="002A7A31"/>
    <w:rsid w:val="002A7A76"/>
    <w:rsid w:val="002B0A01"/>
    <w:rsid w:val="002B2BB9"/>
    <w:rsid w:val="002B3829"/>
    <w:rsid w:val="002B6D76"/>
    <w:rsid w:val="002C22EF"/>
    <w:rsid w:val="002D1433"/>
    <w:rsid w:val="002D21B6"/>
    <w:rsid w:val="002D72FD"/>
    <w:rsid w:val="002D791D"/>
    <w:rsid w:val="002E086F"/>
    <w:rsid w:val="002E1FB6"/>
    <w:rsid w:val="002E454C"/>
    <w:rsid w:val="002F28E9"/>
    <w:rsid w:val="002F4529"/>
    <w:rsid w:val="002F5DA8"/>
    <w:rsid w:val="002F617F"/>
    <w:rsid w:val="00300109"/>
    <w:rsid w:val="00301755"/>
    <w:rsid w:val="0030665E"/>
    <w:rsid w:val="00306894"/>
    <w:rsid w:val="003122F4"/>
    <w:rsid w:val="00313800"/>
    <w:rsid w:val="00313F1C"/>
    <w:rsid w:val="00314CD1"/>
    <w:rsid w:val="003208AC"/>
    <w:rsid w:val="003268D5"/>
    <w:rsid w:val="003273A5"/>
    <w:rsid w:val="0033755F"/>
    <w:rsid w:val="003439EF"/>
    <w:rsid w:val="003448F6"/>
    <w:rsid w:val="00345308"/>
    <w:rsid w:val="00345F37"/>
    <w:rsid w:val="00347E89"/>
    <w:rsid w:val="0035014E"/>
    <w:rsid w:val="00350715"/>
    <w:rsid w:val="00350759"/>
    <w:rsid w:val="00354D27"/>
    <w:rsid w:val="003563F7"/>
    <w:rsid w:val="0035738A"/>
    <w:rsid w:val="0036174D"/>
    <w:rsid w:val="00375655"/>
    <w:rsid w:val="00377B03"/>
    <w:rsid w:val="00377CA0"/>
    <w:rsid w:val="003858A6"/>
    <w:rsid w:val="00386297"/>
    <w:rsid w:val="003877EB"/>
    <w:rsid w:val="00387C7D"/>
    <w:rsid w:val="00392091"/>
    <w:rsid w:val="00392DCC"/>
    <w:rsid w:val="00392F5B"/>
    <w:rsid w:val="003932EB"/>
    <w:rsid w:val="00397302"/>
    <w:rsid w:val="00397BB5"/>
    <w:rsid w:val="003A5B36"/>
    <w:rsid w:val="003B280D"/>
    <w:rsid w:val="003B37F4"/>
    <w:rsid w:val="003C24B4"/>
    <w:rsid w:val="003C5A8E"/>
    <w:rsid w:val="003D18A9"/>
    <w:rsid w:val="003D258D"/>
    <w:rsid w:val="003D5699"/>
    <w:rsid w:val="003D7CD2"/>
    <w:rsid w:val="003E0FB9"/>
    <w:rsid w:val="003E20D6"/>
    <w:rsid w:val="003E4D87"/>
    <w:rsid w:val="003E6993"/>
    <w:rsid w:val="003F30F8"/>
    <w:rsid w:val="003F46AA"/>
    <w:rsid w:val="003F4F20"/>
    <w:rsid w:val="003F576E"/>
    <w:rsid w:val="003F5905"/>
    <w:rsid w:val="003F5ED6"/>
    <w:rsid w:val="00400DBC"/>
    <w:rsid w:val="00401082"/>
    <w:rsid w:val="00410819"/>
    <w:rsid w:val="00410FE5"/>
    <w:rsid w:val="00411D3D"/>
    <w:rsid w:val="004123B0"/>
    <w:rsid w:val="00416762"/>
    <w:rsid w:val="00416E55"/>
    <w:rsid w:val="00421955"/>
    <w:rsid w:val="0042352E"/>
    <w:rsid w:val="0042518A"/>
    <w:rsid w:val="00426158"/>
    <w:rsid w:val="0042633C"/>
    <w:rsid w:val="004276A0"/>
    <w:rsid w:val="004405C3"/>
    <w:rsid w:val="004423D6"/>
    <w:rsid w:val="00444921"/>
    <w:rsid w:val="00444A63"/>
    <w:rsid w:val="00445265"/>
    <w:rsid w:val="004452FB"/>
    <w:rsid w:val="004464E2"/>
    <w:rsid w:val="00446E90"/>
    <w:rsid w:val="004559CE"/>
    <w:rsid w:val="0045681F"/>
    <w:rsid w:val="00456990"/>
    <w:rsid w:val="00460E1A"/>
    <w:rsid w:val="00461909"/>
    <w:rsid w:val="00461D25"/>
    <w:rsid w:val="00463DF8"/>
    <w:rsid w:val="00465202"/>
    <w:rsid w:val="00471A3B"/>
    <w:rsid w:val="004732FE"/>
    <w:rsid w:val="00474084"/>
    <w:rsid w:val="00475085"/>
    <w:rsid w:val="00476CF6"/>
    <w:rsid w:val="004774E0"/>
    <w:rsid w:val="00477AA8"/>
    <w:rsid w:val="00483078"/>
    <w:rsid w:val="004862A0"/>
    <w:rsid w:val="0048710D"/>
    <w:rsid w:val="00492FCB"/>
    <w:rsid w:val="00495AC5"/>
    <w:rsid w:val="00495B6C"/>
    <w:rsid w:val="004A0F11"/>
    <w:rsid w:val="004A323D"/>
    <w:rsid w:val="004A353C"/>
    <w:rsid w:val="004A3EAA"/>
    <w:rsid w:val="004A5B26"/>
    <w:rsid w:val="004A7D97"/>
    <w:rsid w:val="004B4FC9"/>
    <w:rsid w:val="004B5133"/>
    <w:rsid w:val="004B78BD"/>
    <w:rsid w:val="004C2902"/>
    <w:rsid w:val="004C41B6"/>
    <w:rsid w:val="004C7BCF"/>
    <w:rsid w:val="004D0DBE"/>
    <w:rsid w:val="004D6E37"/>
    <w:rsid w:val="004E00EA"/>
    <w:rsid w:val="004E4354"/>
    <w:rsid w:val="004E564E"/>
    <w:rsid w:val="004E6B14"/>
    <w:rsid w:val="004E75C5"/>
    <w:rsid w:val="004E7E50"/>
    <w:rsid w:val="004F0CE8"/>
    <w:rsid w:val="004F41C4"/>
    <w:rsid w:val="004F463D"/>
    <w:rsid w:val="004F469C"/>
    <w:rsid w:val="004F4B92"/>
    <w:rsid w:val="00501B6C"/>
    <w:rsid w:val="00502A9D"/>
    <w:rsid w:val="005030FF"/>
    <w:rsid w:val="0050360D"/>
    <w:rsid w:val="005128AC"/>
    <w:rsid w:val="00516785"/>
    <w:rsid w:val="00521B98"/>
    <w:rsid w:val="0052419D"/>
    <w:rsid w:val="005272D1"/>
    <w:rsid w:val="00527C80"/>
    <w:rsid w:val="005301F8"/>
    <w:rsid w:val="005312FC"/>
    <w:rsid w:val="005314E3"/>
    <w:rsid w:val="00532C6D"/>
    <w:rsid w:val="00532DF7"/>
    <w:rsid w:val="0053569E"/>
    <w:rsid w:val="0053603D"/>
    <w:rsid w:val="0053742A"/>
    <w:rsid w:val="00537C85"/>
    <w:rsid w:val="005408A4"/>
    <w:rsid w:val="00541D29"/>
    <w:rsid w:val="005439C2"/>
    <w:rsid w:val="00543F23"/>
    <w:rsid w:val="00555BB7"/>
    <w:rsid w:val="00555C3E"/>
    <w:rsid w:val="0055625C"/>
    <w:rsid w:val="00562F17"/>
    <w:rsid w:val="00563D11"/>
    <w:rsid w:val="0056582C"/>
    <w:rsid w:val="00565B20"/>
    <w:rsid w:val="00570E42"/>
    <w:rsid w:val="00572458"/>
    <w:rsid w:val="0057303E"/>
    <w:rsid w:val="005776B2"/>
    <w:rsid w:val="005813B9"/>
    <w:rsid w:val="00583A06"/>
    <w:rsid w:val="00583BB9"/>
    <w:rsid w:val="00586605"/>
    <w:rsid w:val="005868DE"/>
    <w:rsid w:val="00586A14"/>
    <w:rsid w:val="0058764B"/>
    <w:rsid w:val="005877AC"/>
    <w:rsid w:val="00587EDD"/>
    <w:rsid w:val="00595986"/>
    <w:rsid w:val="00595EB2"/>
    <w:rsid w:val="005966B7"/>
    <w:rsid w:val="005A0CEC"/>
    <w:rsid w:val="005A243D"/>
    <w:rsid w:val="005A410B"/>
    <w:rsid w:val="005A4F85"/>
    <w:rsid w:val="005B2080"/>
    <w:rsid w:val="005B2132"/>
    <w:rsid w:val="005B5E2A"/>
    <w:rsid w:val="005C02A4"/>
    <w:rsid w:val="005C20D2"/>
    <w:rsid w:val="005C32FE"/>
    <w:rsid w:val="005C4F34"/>
    <w:rsid w:val="005C503A"/>
    <w:rsid w:val="005C51FA"/>
    <w:rsid w:val="005D024A"/>
    <w:rsid w:val="005D3268"/>
    <w:rsid w:val="005D4FD4"/>
    <w:rsid w:val="005D6D64"/>
    <w:rsid w:val="005D7124"/>
    <w:rsid w:val="005E0D14"/>
    <w:rsid w:val="005F0103"/>
    <w:rsid w:val="005F6540"/>
    <w:rsid w:val="005F6C62"/>
    <w:rsid w:val="00601650"/>
    <w:rsid w:val="00604EEF"/>
    <w:rsid w:val="0060588C"/>
    <w:rsid w:val="00605AFD"/>
    <w:rsid w:val="006123D4"/>
    <w:rsid w:val="0061445B"/>
    <w:rsid w:val="00614C17"/>
    <w:rsid w:val="006151C6"/>
    <w:rsid w:val="006207BC"/>
    <w:rsid w:val="00624C4B"/>
    <w:rsid w:val="00626C57"/>
    <w:rsid w:val="006402A0"/>
    <w:rsid w:val="00640952"/>
    <w:rsid w:val="00640D4D"/>
    <w:rsid w:val="00641533"/>
    <w:rsid w:val="00645813"/>
    <w:rsid w:val="006469CC"/>
    <w:rsid w:val="00651A1B"/>
    <w:rsid w:val="0065719F"/>
    <w:rsid w:val="0066218A"/>
    <w:rsid w:val="00663F60"/>
    <w:rsid w:val="00665A57"/>
    <w:rsid w:val="00671C74"/>
    <w:rsid w:val="00672B5D"/>
    <w:rsid w:val="00673B3A"/>
    <w:rsid w:val="0067404D"/>
    <w:rsid w:val="0067622C"/>
    <w:rsid w:val="00682249"/>
    <w:rsid w:val="00685868"/>
    <w:rsid w:val="006858D8"/>
    <w:rsid w:val="00685CF7"/>
    <w:rsid w:val="00686165"/>
    <w:rsid w:val="00691CB5"/>
    <w:rsid w:val="006923DF"/>
    <w:rsid w:val="0069314D"/>
    <w:rsid w:val="006A37F5"/>
    <w:rsid w:val="006A3F44"/>
    <w:rsid w:val="006A4281"/>
    <w:rsid w:val="006B3543"/>
    <w:rsid w:val="006B38FF"/>
    <w:rsid w:val="006B761E"/>
    <w:rsid w:val="006C1892"/>
    <w:rsid w:val="006C5B73"/>
    <w:rsid w:val="006C645D"/>
    <w:rsid w:val="006C7884"/>
    <w:rsid w:val="006D0379"/>
    <w:rsid w:val="006D0CDA"/>
    <w:rsid w:val="006D0D9B"/>
    <w:rsid w:val="006D58B2"/>
    <w:rsid w:val="006E1A81"/>
    <w:rsid w:val="006E2D2A"/>
    <w:rsid w:val="006E3CC3"/>
    <w:rsid w:val="006E7E94"/>
    <w:rsid w:val="006F00FA"/>
    <w:rsid w:val="006F0C4E"/>
    <w:rsid w:val="006F2847"/>
    <w:rsid w:val="00701F4F"/>
    <w:rsid w:val="007055D5"/>
    <w:rsid w:val="00706E8E"/>
    <w:rsid w:val="00712779"/>
    <w:rsid w:val="00722B53"/>
    <w:rsid w:val="00722EC4"/>
    <w:rsid w:val="007231C5"/>
    <w:rsid w:val="007249BD"/>
    <w:rsid w:val="00724B56"/>
    <w:rsid w:val="007345DE"/>
    <w:rsid w:val="00734E9D"/>
    <w:rsid w:val="00740640"/>
    <w:rsid w:val="00742366"/>
    <w:rsid w:val="00743F9F"/>
    <w:rsid w:val="00744484"/>
    <w:rsid w:val="00744FC5"/>
    <w:rsid w:val="007509DD"/>
    <w:rsid w:val="00763474"/>
    <w:rsid w:val="00763DD2"/>
    <w:rsid w:val="00766184"/>
    <w:rsid w:val="00771A15"/>
    <w:rsid w:val="00771A67"/>
    <w:rsid w:val="00771CCC"/>
    <w:rsid w:val="00773722"/>
    <w:rsid w:val="00773AD3"/>
    <w:rsid w:val="00775F0C"/>
    <w:rsid w:val="00776A3D"/>
    <w:rsid w:val="00776EE6"/>
    <w:rsid w:val="00780FD4"/>
    <w:rsid w:val="00781B16"/>
    <w:rsid w:val="0078257B"/>
    <w:rsid w:val="00782920"/>
    <w:rsid w:val="00783D75"/>
    <w:rsid w:val="007841CB"/>
    <w:rsid w:val="00784C0A"/>
    <w:rsid w:val="007856FF"/>
    <w:rsid w:val="00786658"/>
    <w:rsid w:val="00791F27"/>
    <w:rsid w:val="007924A7"/>
    <w:rsid w:val="00794B40"/>
    <w:rsid w:val="0079688A"/>
    <w:rsid w:val="00796E26"/>
    <w:rsid w:val="007A1079"/>
    <w:rsid w:val="007A3572"/>
    <w:rsid w:val="007A4663"/>
    <w:rsid w:val="007A5C1F"/>
    <w:rsid w:val="007A7F24"/>
    <w:rsid w:val="007B2677"/>
    <w:rsid w:val="007B3F27"/>
    <w:rsid w:val="007B76AB"/>
    <w:rsid w:val="007C5CBF"/>
    <w:rsid w:val="007D10F5"/>
    <w:rsid w:val="007D2317"/>
    <w:rsid w:val="007D50A2"/>
    <w:rsid w:val="007D592B"/>
    <w:rsid w:val="007D5AA6"/>
    <w:rsid w:val="007D7A91"/>
    <w:rsid w:val="007E5486"/>
    <w:rsid w:val="007E6456"/>
    <w:rsid w:val="007E734C"/>
    <w:rsid w:val="007F4614"/>
    <w:rsid w:val="00807684"/>
    <w:rsid w:val="00811943"/>
    <w:rsid w:val="00815C81"/>
    <w:rsid w:val="0081791E"/>
    <w:rsid w:val="00820A81"/>
    <w:rsid w:val="00820D5A"/>
    <w:rsid w:val="00826757"/>
    <w:rsid w:val="008311B8"/>
    <w:rsid w:val="00834106"/>
    <w:rsid w:val="00834243"/>
    <w:rsid w:val="0083477D"/>
    <w:rsid w:val="00834C6B"/>
    <w:rsid w:val="00834F00"/>
    <w:rsid w:val="008360C0"/>
    <w:rsid w:val="008374C4"/>
    <w:rsid w:val="008403AB"/>
    <w:rsid w:val="00845494"/>
    <w:rsid w:val="00845B09"/>
    <w:rsid w:val="00850289"/>
    <w:rsid w:val="00851F51"/>
    <w:rsid w:val="00856EC5"/>
    <w:rsid w:val="00857969"/>
    <w:rsid w:val="00860018"/>
    <w:rsid w:val="0086280F"/>
    <w:rsid w:val="00867694"/>
    <w:rsid w:val="008721EE"/>
    <w:rsid w:val="00875AEA"/>
    <w:rsid w:val="0087620E"/>
    <w:rsid w:val="00882833"/>
    <w:rsid w:val="00882CC4"/>
    <w:rsid w:val="008844AC"/>
    <w:rsid w:val="00886A7A"/>
    <w:rsid w:val="00887921"/>
    <w:rsid w:val="00897F46"/>
    <w:rsid w:val="008A3CA9"/>
    <w:rsid w:val="008A49F5"/>
    <w:rsid w:val="008A70A4"/>
    <w:rsid w:val="008B05A8"/>
    <w:rsid w:val="008B3264"/>
    <w:rsid w:val="008B49E3"/>
    <w:rsid w:val="008C2208"/>
    <w:rsid w:val="008C25EF"/>
    <w:rsid w:val="008C52B0"/>
    <w:rsid w:val="008C5E0E"/>
    <w:rsid w:val="008C7F71"/>
    <w:rsid w:val="008D339F"/>
    <w:rsid w:val="008D412D"/>
    <w:rsid w:val="008D73E2"/>
    <w:rsid w:val="008D7763"/>
    <w:rsid w:val="008E1E9C"/>
    <w:rsid w:val="008E24D2"/>
    <w:rsid w:val="008E2785"/>
    <w:rsid w:val="008E35EE"/>
    <w:rsid w:val="008E5421"/>
    <w:rsid w:val="008E6292"/>
    <w:rsid w:val="008E7D6F"/>
    <w:rsid w:val="008F0DF0"/>
    <w:rsid w:val="008F23EB"/>
    <w:rsid w:val="008F5024"/>
    <w:rsid w:val="008F5547"/>
    <w:rsid w:val="00901EA9"/>
    <w:rsid w:val="00902489"/>
    <w:rsid w:val="00904C44"/>
    <w:rsid w:val="00906E61"/>
    <w:rsid w:val="0091071E"/>
    <w:rsid w:val="00910D7B"/>
    <w:rsid w:val="0091783A"/>
    <w:rsid w:val="00917E28"/>
    <w:rsid w:val="00921303"/>
    <w:rsid w:val="009217AC"/>
    <w:rsid w:val="00922CA3"/>
    <w:rsid w:val="0092342B"/>
    <w:rsid w:val="00925AA5"/>
    <w:rsid w:val="009267F4"/>
    <w:rsid w:val="00930948"/>
    <w:rsid w:val="0093540D"/>
    <w:rsid w:val="0094019D"/>
    <w:rsid w:val="00941916"/>
    <w:rsid w:val="00942C11"/>
    <w:rsid w:val="0094351F"/>
    <w:rsid w:val="0094637F"/>
    <w:rsid w:val="0094777D"/>
    <w:rsid w:val="00950056"/>
    <w:rsid w:val="00952DDB"/>
    <w:rsid w:val="00953F7F"/>
    <w:rsid w:val="009547F8"/>
    <w:rsid w:val="0096083F"/>
    <w:rsid w:val="00962ACF"/>
    <w:rsid w:val="00965E2C"/>
    <w:rsid w:val="00971388"/>
    <w:rsid w:val="009729D4"/>
    <w:rsid w:val="00973FFE"/>
    <w:rsid w:val="00974888"/>
    <w:rsid w:val="00980759"/>
    <w:rsid w:val="009817B0"/>
    <w:rsid w:val="009821CE"/>
    <w:rsid w:val="00991B03"/>
    <w:rsid w:val="00997C64"/>
    <w:rsid w:val="009A0CCC"/>
    <w:rsid w:val="009A130B"/>
    <w:rsid w:val="009A277C"/>
    <w:rsid w:val="009A658F"/>
    <w:rsid w:val="009B038E"/>
    <w:rsid w:val="009B088F"/>
    <w:rsid w:val="009B2249"/>
    <w:rsid w:val="009B2611"/>
    <w:rsid w:val="009B3680"/>
    <w:rsid w:val="009B69AE"/>
    <w:rsid w:val="009D2CFF"/>
    <w:rsid w:val="009D5B36"/>
    <w:rsid w:val="009E0CA5"/>
    <w:rsid w:val="009E171B"/>
    <w:rsid w:val="009E366F"/>
    <w:rsid w:val="009E3A9E"/>
    <w:rsid w:val="009E5240"/>
    <w:rsid w:val="009F139F"/>
    <w:rsid w:val="009F2CC1"/>
    <w:rsid w:val="009F3C54"/>
    <w:rsid w:val="009F3D68"/>
    <w:rsid w:val="009F75B7"/>
    <w:rsid w:val="00A011AD"/>
    <w:rsid w:val="00A015E8"/>
    <w:rsid w:val="00A02A77"/>
    <w:rsid w:val="00A071E9"/>
    <w:rsid w:val="00A07D47"/>
    <w:rsid w:val="00A10420"/>
    <w:rsid w:val="00A10593"/>
    <w:rsid w:val="00A11E67"/>
    <w:rsid w:val="00A12F62"/>
    <w:rsid w:val="00A14FE9"/>
    <w:rsid w:val="00A15394"/>
    <w:rsid w:val="00A15412"/>
    <w:rsid w:val="00A16781"/>
    <w:rsid w:val="00A30EDB"/>
    <w:rsid w:val="00A34BB9"/>
    <w:rsid w:val="00A3749B"/>
    <w:rsid w:val="00A37A24"/>
    <w:rsid w:val="00A37D87"/>
    <w:rsid w:val="00A44105"/>
    <w:rsid w:val="00A468F6"/>
    <w:rsid w:val="00A5058B"/>
    <w:rsid w:val="00A50D88"/>
    <w:rsid w:val="00A5443C"/>
    <w:rsid w:val="00A54654"/>
    <w:rsid w:val="00A56923"/>
    <w:rsid w:val="00A57321"/>
    <w:rsid w:val="00A62E42"/>
    <w:rsid w:val="00A641C6"/>
    <w:rsid w:val="00A64A71"/>
    <w:rsid w:val="00A67087"/>
    <w:rsid w:val="00A72266"/>
    <w:rsid w:val="00A7236C"/>
    <w:rsid w:val="00A72960"/>
    <w:rsid w:val="00A72A43"/>
    <w:rsid w:val="00A72D8F"/>
    <w:rsid w:val="00A74815"/>
    <w:rsid w:val="00A74D07"/>
    <w:rsid w:val="00A754EA"/>
    <w:rsid w:val="00A76A53"/>
    <w:rsid w:val="00A834DE"/>
    <w:rsid w:val="00A858DD"/>
    <w:rsid w:val="00A87AD6"/>
    <w:rsid w:val="00A90DB6"/>
    <w:rsid w:val="00A915F9"/>
    <w:rsid w:val="00A93401"/>
    <w:rsid w:val="00A93927"/>
    <w:rsid w:val="00A97160"/>
    <w:rsid w:val="00A97708"/>
    <w:rsid w:val="00AA0294"/>
    <w:rsid w:val="00AA0643"/>
    <w:rsid w:val="00AA2E13"/>
    <w:rsid w:val="00AA650E"/>
    <w:rsid w:val="00AB245C"/>
    <w:rsid w:val="00AB4B96"/>
    <w:rsid w:val="00AC15CD"/>
    <w:rsid w:val="00AC1673"/>
    <w:rsid w:val="00AC1C09"/>
    <w:rsid w:val="00AC20D6"/>
    <w:rsid w:val="00AC3196"/>
    <w:rsid w:val="00AC4065"/>
    <w:rsid w:val="00AC6A34"/>
    <w:rsid w:val="00AC75E2"/>
    <w:rsid w:val="00AD52A4"/>
    <w:rsid w:val="00AD787E"/>
    <w:rsid w:val="00AE1E39"/>
    <w:rsid w:val="00AE2F90"/>
    <w:rsid w:val="00AE5966"/>
    <w:rsid w:val="00B00783"/>
    <w:rsid w:val="00B01098"/>
    <w:rsid w:val="00B02A4D"/>
    <w:rsid w:val="00B03DD6"/>
    <w:rsid w:val="00B05B50"/>
    <w:rsid w:val="00B102AA"/>
    <w:rsid w:val="00B12F11"/>
    <w:rsid w:val="00B14789"/>
    <w:rsid w:val="00B1559C"/>
    <w:rsid w:val="00B211C3"/>
    <w:rsid w:val="00B214C6"/>
    <w:rsid w:val="00B21A3C"/>
    <w:rsid w:val="00B21B34"/>
    <w:rsid w:val="00B24AF0"/>
    <w:rsid w:val="00B3095A"/>
    <w:rsid w:val="00B31E92"/>
    <w:rsid w:val="00B35456"/>
    <w:rsid w:val="00B3583B"/>
    <w:rsid w:val="00B3759E"/>
    <w:rsid w:val="00B37A8F"/>
    <w:rsid w:val="00B37F54"/>
    <w:rsid w:val="00B40CB6"/>
    <w:rsid w:val="00B43A38"/>
    <w:rsid w:val="00B46871"/>
    <w:rsid w:val="00B46CD2"/>
    <w:rsid w:val="00B47E95"/>
    <w:rsid w:val="00B516A0"/>
    <w:rsid w:val="00B527C9"/>
    <w:rsid w:val="00B55B04"/>
    <w:rsid w:val="00B55E79"/>
    <w:rsid w:val="00B5632C"/>
    <w:rsid w:val="00B5733C"/>
    <w:rsid w:val="00B5775A"/>
    <w:rsid w:val="00B62056"/>
    <w:rsid w:val="00B624C3"/>
    <w:rsid w:val="00B64FDB"/>
    <w:rsid w:val="00B65347"/>
    <w:rsid w:val="00B65DE1"/>
    <w:rsid w:val="00B65FE8"/>
    <w:rsid w:val="00B6635B"/>
    <w:rsid w:val="00B66869"/>
    <w:rsid w:val="00B72AF0"/>
    <w:rsid w:val="00B737EB"/>
    <w:rsid w:val="00B757C6"/>
    <w:rsid w:val="00B75E83"/>
    <w:rsid w:val="00B775EE"/>
    <w:rsid w:val="00B8027C"/>
    <w:rsid w:val="00B81672"/>
    <w:rsid w:val="00B83F4A"/>
    <w:rsid w:val="00B856B7"/>
    <w:rsid w:val="00B87927"/>
    <w:rsid w:val="00B94B37"/>
    <w:rsid w:val="00BB00F3"/>
    <w:rsid w:val="00BB258A"/>
    <w:rsid w:val="00BB2E81"/>
    <w:rsid w:val="00BB5775"/>
    <w:rsid w:val="00BB6F51"/>
    <w:rsid w:val="00BC62CA"/>
    <w:rsid w:val="00BC6E69"/>
    <w:rsid w:val="00BD0994"/>
    <w:rsid w:val="00BD0C05"/>
    <w:rsid w:val="00BD2107"/>
    <w:rsid w:val="00BD26AA"/>
    <w:rsid w:val="00BD2B12"/>
    <w:rsid w:val="00BD454F"/>
    <w:rsid w:val="00BE0991"/>
    <w:rsid w:val="00BE1126"/>
    <w:rsid w:val="00BE23AB"/>
    <w:rsid w:val="00BE7EA5"/>
    <w:rsid w:val="00BF63DA"/>
    <w:rsid w:val="00C01DCC"/>
    <w:rsid w:val="00C02832"/>
    <w:rsid w:val="00C0639C"/>
    <w:rsid w:val="00C071E0"/>
    <w:rsid w:val="00C074FD"/>
    <w:rsid w:val="00C16739"/>
    <w:rsid w:val="00C202B3"/>
    <w:rsid w:val="00C20DAD"/>
    <w:rsid w:val="00C21EE0"/>
    <w:rsid w:val="00C30297"/>
    <w:rsid w:val="00C3318C"/>
    <w:rsid w:val="00C35F17"/>
    <w:rsid w:val="00C3717C"/>
    <w:rsid w:val="00C37850"/>
    <w:rsid w:val="00C37CFB"/>
    <w:rsid w:val="00C43087"/>
    <w:rsid w:val="00C44F5D"/>
    <w:rsid w:val="00C50B48"/>
    <w:rsid w:val="00C555AC"/>
    <w:rsid w:val="00C563EB"/>
    <w:rsid w:val="00C60545"/>
    <w:rsid w:val="00C6270C"/>
    <w:rsid w:val="00C655CA"/>
    <w:rsid w:val="00C70B0D"/>
    <w:rsid w:val="00C713ED"/>
    <w:rsid w:val="00C72318"/>
    <w:rsid w:val="00C724E6"/>
    <w:rsid w:val="00C747A5"/>
    <w:rsid w:val="00C768BF"/>
    <w:rsid w:val="00C77F35"/>
    <w:rsid w:val="00C82A53"/>
    <w:rsid w:val="00C85314"/>
    <w:rsid w:val="00C85CAA"/>
    <w:rsid w:val="00C85DD7"/>
    <w:rsid w:val="00C90C10"/>
    <w:rsid w:val="00C964E0"/>
    <w:rsid w:val="00CA0116"/>
    <w:rsid w:val="00CA0C7D"/>
    <w:rsid w:val="00CA4BC0"/>
    <w:rsid w:val="00CA5CA8"/>
    <w:rsid w:val="00CA6C67"/>
    <w:rsid w:val="00CB0157"/>
    <w:rsid w:val="00CB08B2"/>
    <w:rsid w:val="00CB1B37"/>
    <w:rsid w:val="00CB28E9"/>
    <w:rsid w:val="00CB5205"/>
    <w:rsid w:val="00CC293C"/>
    <w:rsid w:val="00CC38AC"/>
    <w:rsid w:val="00CC559D"/>
    <w:rsid w:val="00CC67BB"/>
    <w:rsid w:val="00CD0C13"/>
    <w:rsid w:val="00CD0E12"/>
    <w:rsid w:val="00CD2BE5"/>
    <w:rsid w:val="00CD55C0"/>
    <w:rsid w:val="00CD654B"/>
    <w:rsid w:val="00CE0F35"/>
    <w:rsid w:val="00CE223E"/>
    <w:rsid w:val="00CE4ED1"/>
    <w:rsid w:val="00CE763A"/>
    <w:rsid w:val="00CF2443"/>
    <w:rsid w:val="00CF3F0D"/>
    <w:rsid w:val="00CF5DD5"/>
    <w:rsid w:val="00CF7CFC"/>
    <w:rsid w:val="00D009AA"/>
    <w:rsid w:val="00D02ABB"/>
    <w:rsid w:val="00D101F7"/>
    <w:rsid w:val="00D11349"/>
    <w:rsid w:val="00D13BBB"/>
    <w:rsid w:val="00D145F5"/>
    <w:rsid w:val="00D204CE"/>
    <w:rsid w:val="00D20B91"/>
    <w:rsid w:val="00D22520"/>
    <w:rsid w:val="00D239B3"/>
    <w:rsid w:val="00D276D7"/>
    <w:rsid w:val="00D316A1"/>
    <w:rsid w:val="00D329F1"/>
    <w:rsid w:val="00D3422C"/>
    <w:rsid w:val="00D355F0"/>
    <w:rsid w:val="00D36F94"/>
    <w:rsid w:val="00D43AC8"/>
    <w:rsid w:val="00D44D98"/>
    <w:rsid w:val="00D47FD7"/>
    <w:rsid w:val="00D50879"/>
    <w:rsid w:val="00D51610"/>
    <w:rsid w:val="00D56113"/>
    <w:rsid w:val="00D56AE7"/>
    <w:rsid w:val="00D61A14"/>
    <w:rsid w:val="00D61BEE"/>
    <w:rsid w:val="00D62EAB"/>
    <w:rsid w:val="00D6394D"/>
    <w:rsid w:val="00D643F4"/>
    <w:rsid w:val="00D6736A"/>
    <w:rsid w:val="00D677F1"/>
    <w:rsid w:val="00D70546"/>
    <w:rsid w:val="00D71368"/>
    <w:rsid w:val="00D7280E"/>
    <w:rsid w:val="00D745A6"/>
    <w:rsid w:val="00D746E0"/>
    <w:rsid w:val="00D7644C"/>
    <w:rsid w:val="00D76455"/>
    <w:rsid w:val="00D76C8C"/>
    <w:rsid w:val="00D80FDB"/>
    <w:rsid w:val="00D833D9"/>
    <w:rsid w:val="00D83BD9"/>
    <w:rsid w:val="00D862F7"/>
    <w:rsid w:val="00D9378C"/>
    <w:rsid w:val="00D94DCF"/>
    <w:rsid w:val="00D94EAE"/>
    <w:rsid w:val="00D96547"/>
    <w:rsid w:val="00DA155D"/>
    <w:rsid w:val="00DA15E5"/>
    <w:rsid w:val="00DA2586"/>
    <w:rsid w:val="00DA48F7"/>
    <w:rsid w:val="00DA586F"/>
    <w:rsid w:val="00DB08DA"/>
    <w:rsid w:val="00DB185E"/>
    <w:rsid w:val="00DB49F1"/>
    <w:rsid w:val="00DB61E9"/>
    <w:rsid w:val="00DB7D2C"/>
    <w:rsid w:val="00DB7DF0"/>
    <w:rsid w:val="00DB7F09"/>
    <w:rsid w:val="00DC00E8"/>
    <w:rsid w:val="00DC16AD"/>
    <w:rsid w:val="00DC1AE9"/>
    <w:rsid w:val="00DC1C56"/>
    <w:rsid w:val="00DC4756"/>
    <w:rsid w:val="00DC4ADF"/>
    <w:rsid w:val="00DC6379"/>
    <w:rsid w:val="00DC63EE"/>
    <w:rsid w:val="00DC6AAD"/>
    <w:rsid w:val="00DD01EC"/>
    <w:rsid w:val="00DD5314"/>
    <w:rsid w:val="00DE2763"/>
    <w:rsid w:val="00DE3A53"/>
    <w:rsid w:val="00DE3AF2"/>
    <w:rsid w:val="00DE3C77"/>
    <w:rsid w:val="00DE5BF6"/>
    <w:rsid w:val="00DE70F1"/>
    <w:rsid w:val="00DE715C"/>
    <w:rsid w:val="00DF05E0"/>
    <w:rsid w:val="00DF3A02"/>
    <w:rsid w:val="00DF3EAD"/>
    <w:rsid w:val="00DF4515"/>
    <w:rsid w:val="00DF50F0"/>
    <w:rsid w:val="00DF6F61"/>
    <w:rsid w:val="00E05DB5"/>
    <w:rsid w:val="00E101C6"/>
    <w:rsid w:val="00E106DA"/>
    <w:rsid w:val="00E126D8"/>
    <w:rsid w:val="00E1478E"/>
    <w:rsid w:val="00E159DD"/>
    <w:rsid w:val="00E16624"/>
    <w:rsid w:val="00E22D51"/>
    <w:rsid w:val="00E2611D"/>
    <w:rsid w:val="00E306AB"/>
    <w:rsid w:val="00E349A7"/>
    <w:rsid w:val="00E40E12"/>
    <w:rsid w:val="00E41B53"/>
    <w:rsid w:val="00E50E7C"/>
    <w:rsid w:val="00E51545"/>
    <w:rsid w:val="00E51D9E"/>
    <w:rsid w:val="00E537D1"/>
    <w:rsid w:val="00E54298"/>
    <w:rsid w:val="00E567E6"/>
    <w:rsid w:val="00E56971"/>
    <w:rsid w:val="00E57CB4"/>
    <w:rsid w:val="00E61484"/>
    <w:rsid w:val="00E65087"/>
    <w:rsid w:val="00E7017C"/>
    <w:rsid w:val="00E711D7"/>
    <w:rsid w:val="00E7338D"/>
    <w:rsid w:val="00E7459B"/>
    <w:rsid w:val="00E75B8C"/>
    <w:rsid w:val="00E8038D"/>
    <w:rsid w:val="00E80C86"/>
    <w:rsid w:val="00E80F4E"/>
    <w:rsid w:val="00E815E1"/>
    <w:rsid w:val="00E83364"/>
    <w:rsid w:val="00E8378B"/>
    <w:rsid w:val="00E84777"/>
    <w:rsid w:val="00E902B0"/>
    <w:rsid w:val="00E902E8"/>
    <w:rsid w:val="00E90433"/>
    <w:rsid w:val="00E9296B"/>
    <w:rsid w:val="00E92CC6"/>
    <w:rsid w:val="00E9311E"/>
    <w:rsid w:val="00E95E12"/>
    <w:rsid w:val="00E97C19"/>
    <w:rsid w:val="00E97ED0"/>
    <w:rsid w:val="00EA23AC"/>
    <w:rsid w:val="00EA3526"/>
    <w:rsid w:val="00EA398F"/>
    <w:rsid w:val="00EA5B48"/>
    <w:rsid w:val="00EA7C3D"/>
    <w:rsid w:val="00EB4B0B"/>
    <w:rsid w:val="00EB6878"/>
    <w:rsid w:val="00EC1E0E"/>
    <w:rsid w:val="00EC236D"/>
    <w:rsid w:val="00EC6B16"/>
    <w:rsid w:val="00EC7524"/>
    <w:rsid w:val="00ED093E"/>
    <w:rsid w:val="00ED2DC6"/>
    <w:rsid w:val="00ED355B"/>
    <w:rsid w:val="00ED393B"/>
    <w:rsid w:val="00ED5A20"/>
    <w:rsid w:val="00ED5AA2"/>
    <w:rsid w:val="00ED5BD4"/>
    <w:rsid w:val="00EE00DA"/>
    <w:rsid w:val="00EE1447"/>
    <w:rsid w:val="00EE1BF1"/>
    <w:rsid w:val="00EE35F8"/>
    <w:rsid w:val="00EE4864"/>
    <w:rsid w:val="00EE68CB"/>
    <w:rsid w:val="00EE7744"/>
    <w:rsid w:val="00EF03E1"/>
    <w:rsid w:val="00EF0E15"/>
    <w:rsid w:val="00EF145E"/>
    <w:rsid w:val="00EF217E"/>
    <w:rsid w:val="00EF2BBB"/>
    <w:rsid w:val="00F0082D"/>
    <w:rsid w:val="00F015AB"/>
    <w:rsid w:val="00F02D7C"/>
    <w:rsid w:val="00F03431"/>
    <w:rsid w:val="00F0422A"/>
    <w:rsid w:val="00F045E0"/>
    <w:rsid w:val="00F04F01"/>
    <w:rsid w:val="00F0561F"/>
    <w:rsid w:val="00F07174"/>
    <w:rsid w:val="00F07C90"/>
    <w:rsid w:val="00F13715"/>
    <w:rsid w:val="00F13A16"/>
    <w:rsid w:val="00F13A88"/>
    <w:rsid w:val="00F13E6A"/>
    <w:rsid w:val="00F14EC9"/>
    <w:rsid w:val="00F17A35"/>
    <w:rsid w:val="00F20F8A"/>
    <w:rsid w:val="00F25D5B"/>
    <w:rsid w:val="00F27997"/>
    <w:rsid w:val="00F304A4"/>
    <w:rsid w:val="00F312EC"/>
    <w:rsid w:val="00F323F0"/>
    <w:rsid w:val="00F33939"/>
    <w:rsid w:val="00F33DB8"/>
    <w:rsid w:val="00F34B31"/>
    <w:rsid w:val="00F43EC9"/>
    <w:rsid w:val="00F50E25"/>
    <w:rsid w:val="00F51D7F"/>
    <w:rsid w:val="00F5365A"/>
    <w:rsid w:val="00F57BED"/>
    <w:rsid w:val="00F60198"/>
    <w:rsid w:val="00F669CD"/>
    <w:rsid w:val="00F66F40"/>
    <w:rsid w:val="00F70F8B"/>
    <w:rsid w:val="00F71721"/>
    <w:rsid w:val="00F72038"/>
    <w:rsid w:val="00F7216E"/>
    <w:rsid w:val="00F72B17"/>
    <w:rsid w:val="00F737DB"/>
    <w:rsid w:val="00F73818"/>
    <w:rsid w:val="00F73976"/>
    <w:rsid w:val="00F75B55"/>
    <w:rsid w:val="00F7613A"/>
    <w:rsid w:val="00F77E80"/>
    <w:rsid w:val="00F80A55"/>
    <w:rsid w:val="00F82746"/>
    <w:rsid w:val="00F836F9"/>
    <w:rsid w:val="00F837ED"/>
    <w:rsid w:val="00F845D7"/>
    <w:rsid w:val="00F85706"/>
    <w:rsid w:val="00F85F07"/>
    <w:rsid w:val="00F92279"/>
    <w:rsid w:val="00F96FA3"/>
    <w:rsid w:val="00F97300"/>
    <w:rsid w:val="00FA0079"/>
    <w:rsid w:val="00FA00A9"/>
    <w:rsid w:val="00FA73E2"/>
    <w:rsid w:val="00FB4D21"/>
    <w:rsid w:val="00FB762B"/>
    <w:rsid w:val="00FC2195"/>
    <w:rsid w:val="00FC2E80"/>
    <w:rsid w:val="00FC6ADA"/>
    <w:rsid w:val="00FC6AE1"/>
    <w:rsid w:val="00FC7F44"/>
    <w:rsid w:val="00FD0C9C"/>
    <w:rsid w:val="00FD3AA5"/>
    <w:rsid w:val="00FD4311"/>
    <w:rsid w:val="00FD563D"/>
    <w:rsid w:val="00FD7A3A"/>
    <w:rsid w:val="00FE20F8"/>
    <w:rsid w:val="00FE5032"/>
    <w:rsid w:val="00FF4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46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6"/>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6"/>
      </w:numPr>
      <w:spacing w:before="0"/>
    </w:pPr>
  </w:style>
  <w:style w:type="paragraph" w:customStyle="1" w:styleId="DoubleDot">
    <w:name w:val="Double Dot"/>
    <w:basedOn w:val="Normal"/>
    <w:link w:val="DoubleDotChar"/>
    <w:qFormat/>
    <w:rsid w:val="000E0B74"/>
    <w:pPr>
      <w:numPr>
        <w:ilvl w:val="2"/>
        <w:numId w:val="26"/>
      </w:numPr>
      <w:tabs>
        <w:tab w:val="num" w:pos="2080"/>
      </w:tabs>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 w:val="num" w:pos="260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F70F8B"/>
    <w:rPr>
      <w:rFonts w:ascii="Calibri Light" w:hAnsi="Calibri Light"/>
      <w:b/>
      <w:bCs/>
    </w:rPr>
  </w:style>
  <w:style w:type="character" w:customStyle="1" w:styleId="CommentSubjectChar">
    <w:name w:val="Comment Subject Char"/>
    <w:basedOn w:val="CommentTextChar"/>
    <w:link w:val="CommentSubject"/>
    <w:uiPriority w:val="99"/>
    <w:semiHidden/>
    <w:rsid w:val="00F70F8B"/>
    <w:rPr>
      <w:rFonts w:ascii="Calibri Light" w:eastAsia="Times New Roman" w:hAnsi="Calibri Light" w:cs="Times New Roman"/>
      <w:b/>
      <w:bCs/>
      <w:sz w:val="20"/>
      <w:szCs w:val="20"/>
      <w:lang w:eastAsia="en-AU"/>
    </w:rPr>
  </w:style>
  <w:style w:type="character" w:customStyle="1" w:styleId="OutlineNumbered1Char">
    <w:name w:val="Outline Numbered 1 Char"/>
    <w:basedOn w:val="DefaultParagraphFont"/>
    <w:link w:val="OutlineNumbered1"/>
    <w:rsid w:val="00F70F8B"/>
    <w:rPr>
      <w:rFonts w:ascii="Calibri Light" w:eastAsia="Times New Roman" w:hAnsi="Calibri Light" w:cs="Times New Roman"/>
      <w:szCs w:val="20"/>
      <w:lang w:eastAsia="en-AU"/>
    </w:rPr>
  </w:style>
  <w:style w:type="table" w:styleId="PlainTable1">
    <w:name w:val="Plain Table 1"/>
    <w:basedOn w:val="TableNormal"/>
    <w:uiPriority w:val="41"/>
    <w:rsid w:val="00F70F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1071E"/>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740640"/>
    <w:rPr>
      <w:color w:val="844D9E" w:themeColor="followedHyperlink"/>
      <w:u w:val="single"/>
    </w:rPr>
  </w:style>
  <w:style w:type="character" w:styleId="UnresolvedMention">
    <w:name w:val="Unresolved Mention"/>
    <w:basedOn w:val="DefaultParagraphFont"/>
    <w:uiPriority w:val="99"/>
    <w:semiHidden/>
    <w:unhideWhenUsed/>
    <w:rsid w:val="0074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21908710">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100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mc.gov.au/government/commonwealth-coat-arms"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image" Target="media/image5.sv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mailto:data@treasury.gov.au" TargetMode="External"/><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hyperlink" Target="http://creativecommons.org/licenses/by/3.0/au/legalcode" TargetMode="External"/><Relationship Id="rId19"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publication/inquiry-future-directions-consumer-data-right-final-report" TargetMode="External"/><Relationship Id="rId2" Type="http://schemas.openxmlformats.org/officeDocument/2006/relationships/hyperlink" Target="https://www.openbanking.org.uk/news/obie-new-impact-report-shows-cloud-accounting-allowing-smes-to-run-businesses-more-efficiently/" TargetMode="External"/><Relationship Id="rId1" Type="http://schemas.openxmlformats.org/officeDocument/2006/relationships/hyperlink" Target="https://treasury.gov.au/publication/inquiry-future-directions-consumer-data-right-final-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summary of changes - Exposure draft legislation to enable action initiation in the Consumer Data Right</dc:title>
  <dc:subject/>
  <dc:creator/>
  <cp:keywords/>
  <cp:lastModifiedBy/>
  <cp:revision>1</cp:revision>
  <dcterms:created xsi:type="dcterms:W3CDTF">2022-09-23T06:29:00Z</dcterms:created>
  <dcterms:modified xsi:type="dcterms:W3CDTF">2022-09-23T06:30:00Z</dcterms:modified>
</cp:coreProperties>
</file>