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ink/ink1.xml" ContentType="application/inkml+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5301CC7B" w14:textId="50936315" w:rsidR="00A652B8" w:rsidRPr="006D0240" w:rsidRDefault="00A652B8" w:rsidP="008E6292">
          <w:r>
            <w:rPr>
              <w:noProof/>
              <w:lang w:eastAsia="zh-CN"/>
            </w:rPr>
            <w:drawing>
              <wp:anchor distT="0" distB="0" distL="114300" distR="114300" simplePos="0" relativeHeight="251658241" behindDoc="1" locked="0" layoutInCell="1" allowOverlap="1" wp14:anchorId="423BF167" wp14:editId="2E17760A">
                <wp:simplePos x="0" y="0"/>
                <wp:positionH relativeFrom="page">
                  <wp:align>right</wp:align>
                </wp:positionH>
                <wp:positionV relativeFrom="page">
                  <wp:align>top</wp:align>
                </wp:positionV>
                <wp:extent cx="7558767" cy="10691998"/>
                <wp:effectExtent l="0" t="0" r="444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70E78D5" w14:textId="77777777" w:rsidR="00A652B8" w:rsidRPr="006D0240" w:rsidRDefault="00A652B8" w:rsidP="001D4EAA">
          <w:pPr>
            <w:pStyle w:val="Header"/>
            <w:spacing w:after="1320"/>
            <w:jc w:val="left"/>
          </w:pPr>
        </w:p>
        <w:p w14:paraId="513E374E" w14:textId="2410FEA7" w:rsidR="00A652B8" w:rsidRPr="001D4EAA" w:rsidRDefault="00CD442F" w:rsidP="001D4EAA">
          <w:pPr>
            <w:pStyle w:val="Title"/>
          </w:pPr>
          <w:r>
            <w:t>Australian Securities and Investments Commission Industry Funding Model Review</w:t>
          </w:r>
        </w:p>
        <w:p w14:paraId="5ADC8074" w14:textId="42FA4C99" w:rsidR="00A652B8" w:rsidRPr="001D4EAA" w:rsidRDefault="00CD442F" w:rsidP="00082FC2">
          <w:pPr>
            <w:pStyle w:val="Subtitle"/>
            <w:spacing w:after="240"/>
          </w:pPr>
          <w:r>
            <w:t>Discussion</w:t>
          </w:r>
          <w:r w:rsidR="00A652B8">
            <w:t xml:space="preserve"> paper</w:t>
          </w:r>
        </w:p>
        <w:p w14:paraId="158A4719" w14:textId="472401A8" w:rsidR="00A652B8" w:rsidRPr="00DC345F" w:rsidRDefault="0049247E" w:rsidP="005D0740">
          <w:pPr>
            <w:pStyle w:val="ReportDate"/>
          </w:pPr>
          <w:r>
            <w:rPr>
              <w:rStyle w:val="ReportDateChar"/>
            </w:rPr>
            <w:t>September</w:t>
          </w:r>
          <w:r w:rsidR="00CD442F">
            <w:rPr>
              <w:rStyle w:val="ReportDateChar"/>
            </w:rPr>
            <w:t xml:space="preserve"> 2022</w:t>
          </w:r>
        </w:p>
        <w:p w14:paraId="79D64FE8" w14:textId="77777777" w:rsidR="00A652B8" w:rsidRDefault="00A652B8" w:rsidP="00775702">
          <w:pPr>
            <w:spacing w:after="1640"/>
          </w:pPr>
        </w:p>
        <w:p w14:paraId="2DC46EF1" w14:textId="77777777" w:rsidR="00A652B8" w:rsidRDefault="00A652B8" w:rsidP="00775702">
          <w:pPr>
            <w:spacing w:after="1640"/>
          </w:pPr>
        </w:p>
        <w:p w14:paraId="4778A191" w14:textId="30B8D29A" w:rsidR="000E0B74" w:rsidRDefault="00A652B8" w:rsidP="009E04C4">
          <w:pPr>
            <w:spacing w:before="0" w:after="160" w:line="259" w:lineRule="auto"/>
            <w:sectPr w:rsidR="000E0B74" w:rsidSect="00555D14">
              <w:headerReference w:type="default" r:id="rId12"/>
              <w:footerReference w:type="even" r:id="rId13"/>
              <w:footerReference w:type="default" r:id="rId14"/>
              <w:headerReference w:type="first" r:id="rId15"/>
              <w:footerReference w:type="first" r:id="rId16"/>
              <w:pgSz w:w="11906" w:h="16838" w:code="9"/>
              <w:pgMar w:top="1843" w:right="1418" w:bottom="1418" w:left="1418" w:header="709" w:footer="709" w:gutter="0"/>
              <w:pgNumType w:fmt="lowerRoman" w:start="0"/>
              <w:cols w:space="720"/>
              <w:titlePg/>
              <w:docGrid w:linePitch="299"/>
            </w:sectPr>
          </w:pPr>
          <w:r>
            <w:br w:type="page"/>
          </w:r>
        </w:p>
      </w:sdtContent>
    </w:sdt>
    <w:p w14:paraId="306E974F" w14:textId="06A9D85B" w:rsidR="000E0B74" w:rsidRDefault="000E0B74" w:rsidP="009E04C4">
      <w:pPr>
        <w:spacing w:before="0" w:after="160" w:line="259" w:lineRule="auto"/>
      </w:pPr>
      <w:r w:rsidRPr="00661BF0">
        <w:lastRenderedPageBreak/>
        <w:t xml:space="preserve">© Commonwealth of Australia </w:t>
      </w:r>
      <w:r w:rsidRPr="00CA3C2D">
        <w:t>20</w:t>
      </w:r>
      <w:r w:rsidR="00EF2FBF" w:rsidRPr="00CA3C2D">
        <w:t>2</w:t>
      </w:r>
      <w:r w:rsidR="00CD442F" w:rsidRPr="00CA3C2D">
        <w:t>2</w:t>
      </w:r>
    </w:p>
    <w:p w14:paraId="1DAF85B2" w14:textId="3024585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8"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1A8C8E4" w14:textId="77777777" w:rsidR="000E0B74" w:rsidRDefault="000E0B74" w:rsidP="000E0B74">
      <w:pPr>
        <w:pStyle w:val="ChartGraphic"/>
        <w:jc w:val="left"/>
      </w:pPr>
      <w:r w:rsidRPr="00E56DFB">
        <w:rPr>
          <w:noProof/>
          <w:lang w:eastAsia="zh-CN"/>
        </w:rPr>
        <w:drawing>
          <wp:inline distT="0" distB="0" distL="0" distR="0" wp14:anchorId="35AC5C06" wp14:editId="30531DE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32FBAC0"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91C558F" w14:textId="77777777" w:rsidR="000E0B74" w:rsidRPr="0031276E" w:rsidRDefault="000E0B74" w:rsidP="0031276E">
      <w:pPr>
        <w:spacing w:before="240"/>
        <w:rPr>
          <w:b/>
        </w:rPr>
      </w:pPr>
      <w:r w:rsidRPr="0031276E">
        <w:rPr>
          <w:b/>
        </w:rPr>
        <w:t>Treasury material used ‘as supplied’.</w:t>
      </w:r>
    </w:p>
    <w:p w14:paraId="1F0B0187"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44662D3" w14:textId="4CAFAF91" w:rsidR="000E0B74" w:rsidRPr="00A13A11" w:rsidRDefault="000E0B74" w:rsidP="000E0B74">
      <w:pPr>
        <w:ind w:firstLine="720"/>
      </w:pPr>
      <w:r w:rsidRPr="002F1BC2">
        <w:rPr>
          <w:i/>
        </w:rPr>
        <w:t xml:space="preserve">Source: The </w:t>
      </w:r>
      <w:r w:rsidRPr="002F1BC2">
        <w:rPr>
          <w:i/>
          <w:iCs/>
        </w:rPr>
        <w:t>Australian Government the Treasury</w:t>
      </w:r>
      <w:r>
        <w:t>.</w:t>
      </w:r>
    </w:p>
    <w:p w14:paraId="1B49F6C5"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F8CAD4B"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2E10C42" w14:textId="10391D02" w:rsidR="000E0B74" w:rsidRPr="006627B4" w:rsidRDefault="000E0B74" w:rsidP="000E0B74">
      <w:pPr>
        <w:ind w:firstLine="720"/>
      </w:pPr>
      <w:r w:rsidRPr="002F1BC2">
        <w:rPr>
          <w:i/>
        </w:rPr>
        <w:t>Based on The Australian Government the Treasury data</w:t>
      </w:r>
      <w:r>
        <w:t>.</w:t>
      </w:r>
    </w:p>
    <w:p w14:paraId="1EA01D1D" w14:textId="77777777" w:rsidR="000E0B74" w:rsidRPr="006627B4" w:rsidRDefault="000E0B74" w:rsidP="000E0B74">
      <w:pPr>
        <w:spacing w:before="240"/>
        <w:rPr>
          <w:b/>
        </w:rPr>
      </w:pPr>
      <w:r w:rsidRPr="006627B4">
        <w:rPr>
          <w:b/>
        </w:rPr>
        <w:t>Use of the Coat of Arms</w:t>
      </w:r>
    </w:p>
    <w:p w14:paraId="7F89B2E7"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1" w:history="1">
        <w:r w:rsidRPr="005A283B">
          <w:rPr>
            <w:rStyle w:val="Hyperlink"/>
          </w:rPr>
          <w:t>www.pmc.gov.au/government/commonwealth-coat-arm</w:t>
        </w:r>
      </w:hyperlink>
      <w:r w:rsidRPr="004A7BC2">
        <w:t>s).</w:t>
      </w:r>
    </w:p>
    <w:p w14:paraId="60A15229" w14:textId="77777777" w:rsidR="000E0B74" w:rsidRPr="006627B4" w:rsidRDefault="000E0B74" w:rsidP="000E0B74">
      <w:pPr>
        <w:spacing w:before="240"/>
        <w:rPr>
          <w:b/>
        </w:rPr>
      </w:pPr>
      <w:r>
        <w:rPr>
          <w:b/>
        </w:rPr>
        <w:t>Other u</w:t>
      </w:r>
      <w:r w:rsidRPr="006627B4">
        <w:rPr>
          <w:b/>
        </w:rPr>
        <w:t>ses</w:t>
      </w:r>
    </w:p>
    <w:p w14:paraId="27D9CDAE" w14:textId="77777777" w:rsidR="000E0B74" w:rsidRPr="006627B4" w:rsidRDefault="000E0B74" w:rsidP="000E0B74">
      <w:r>
        <w:t>E</w:t>
      </w:r>
      <w:r w:rsidRPr="006627B4">
        <w:t>nquiries regarding this licence and any other use of this document are welcome at:</w:t>
      </w:r>
    </w:p>
    <w:p w14:paraId="69B45D6E"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2" w:history="1">
        <w:r w:rsidR="004A077D" w:rsidRPr="000951A5">
          <w:rPr>
            <w:rStyle w:val="Hyperlink"/>
          </w:rPr>
          <w:t>media@treasury.gov.au</w:t>
        </w:r>
      </w:hyperlink>
      <w:r w:rsidR="004A077D">
        <w:t xml:space="preserve"> </w:t>
      </w:r>
    </w:p>
    <w:p w14:paraId="47714144" w14:textId="77777777" w:rsidR="000E0B74" w:rsidRDefault="000E0B74" w:rsidP="000E0B74">
      <w:pPr>
        <w:pStyle w:val="SingleParagraph"/>
        <w:sectPr w:rsidR="000E0B74" w:rsidSect="008043EA">
          <w:headerReference w:type="even" r:id="rId23"/>
          <w:headerReference w:type="default" r:id="rId24"/>
          <w:footerReference w:type="even" r:id="rId25"/>
          <w:pgSz w:w="11906" w:h="16838" w:code="9"/>
          <w:pgMar w:top="1843" w:right="1418" w:bottom="1418" w:left="1418" w:header="709" w:footer="709" w:gutter="0"/>
          <w:pgNumType w:fmt="lowerRoman"/>
          <w:cols w:space="708"/>
          <w:titlePg/>
          <w:docGrid w:linePitch="360"/>
        </w:sectPr>
      </w:pPr>
    </w:p>
    <w:p w14:paraId="5EE1B4A7" w14:textId="77777777" w:rsidR="000E0B74" w:rsidRPr="00354FBB" w:rsidRDefault="000E0B74" w:rsidP="00354FBB">
      <w:pPr>
        <w:pStyle w:val="Heading1"/>
      </w:pPr>
      <w:bookmarkStart w:id="0" w:name="_Toc114214396"/>
      <w:r w:rsidRPr="00354FBB">
        <w:lastRenderedPageBreak/>
        <w:t>Contents</w:t>
      </w:r>
      <w:bookmarkEnd w:id="0"/>
    </w:p>
    <w:p w14:paraId="79748B59" w14:textId="48EA782B" w:rsidR="00B317BF"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14214396" w:history="1">
        <w:r w:rsidR="00B317BF" w:rsidRPr="0021371F">
          <w:rPr>
            <w:rStyle w:val="Hyperlink"/>
          </w:rPr>
          <w:t>Contents</w:t>
        </w:r>
        <w:r w:rsidR="00B317BF">
          <w:rPr>
            <w:webHidden/>
          </w:rPr>
          <w:tab/>
        </w:r>
        <w:r w:rsidR="00B317BF">
          <w:rPr>
            <w:webHidden/>
          </w:rPr>
          <w:fldChar w:fldCharType="begin"/>
        </w:r>
        <w:r w:rsidR="00B317BF">
          <w:rPr>
            <w:webHidden/>
          </w:rPr>
          <w:instrText xml:space="preserve"> PAGEREF _Toc114214396 \h </w:instrText>
        </w:r>
        <w:r w:rsidR="00B317BF">
          <w:rPr>
            <w:webHidden/>
          </w:rPr>
        </w:r>
        <w:r w:rsidR="00B317BF">
          <w:rPr>
            <w:webHidden/>
          </w:rPr>
          <w:fldChar w:fldCharType="separate"/>
        </w:r>
        <w:r w:rsidR="00874195">
          <w:rPr>
            <w:webHidden/>
          </w:rPr>
          <w:t>ii</w:t>
        </w:r>
        <w:r w:rsidR="00B317BF">
          <w:rPr>
            <w:webHidden/>
          </w:rPr>
          <w:fldChar w:fldCharType="end"/>
        </w:r>
      </w:hyperlink>
    </w:p>
    <w:p w14:paraId="0712C940" w14:textId="6BCDEB42" w:rsidR="00B317BF" w:rsidRDefault="00763503">
      <w:pPr>
        <w:pStyle w:val="TOC1"/>
        <w:rPr>
          <w:rFonts w:asciiTheme="minorHAnsi" w:eastAsiaTheme="minorEastAsia" w:hAnsiTheme="minorHAnsi" w:cstheme="minorBidi"/>
          <w:b w:val="0"/>
          <w:color w:val="auto"/>
        </w:rPr>
      </w:pPr>
      <w:hyperlink w:anchor="_Toc114214397" w:history="1">
        <w:r w:rsidR="00B317BF" w:rsidRPr="0021371F">
          <w:rPr>
            <w:rStyle w:val="Hyperlink"/>
          </w:rPr>
          <w:t>Consultation Process</w:t>
        </w:r>
        <w:r w:rsidR="00B317BF">
          <w:rPr>
            <w:webHidden/>
          </w:rPr>
          <w:tab/>
        </w:r>
        <w:r w:rsidR="00B317BF">
          <w:rPr>
            <w:webHidden/>
          </w:rPr>
          <w:fldChar w:fldCharType="begin"/>
        </w:r>
        <w:r w:rsidR="00B317BF">
          <w:rPr>
            <w:webHidden/>
          </w:rPr>
          <w:instrText xml:space="preserve"> PAGEREF _Toc114214397 \h </w:instrText>
        </w:r>
        <w:r w:rsidR="00B317BF">
          <w:rPr>
            <w:webHidden/>
          </w:rPr>
        </w:r>
        <w:r w:rsidR="00B317BF">
          <w:rPr>
            <w:webHidden/>
          </w:rPr>
          <w:fldChar w:fldCharType="separate"/>
        </w:r>
        <w:r w:rsidR="00874195">
          <w:rPr>
            <w:webHidden/>
          </w:rPr>
          <w:t>4</w:t>
        </w:r>
        <w:r w:rsidR="00B317BF">
          <w:rPr>
            <w:webHidden/>
          </w:rPr>
          <w:fldChar w:fldCharType="end"/>
        </w:r>
      </w:hyperlink>
    </w:p>
    <w:p w14:paraId="76BF4FB9" w14:textId="546F7B3D" w:rsidR="00B317BF" w:rsidRDefault="00763503">
      <w:pPr>
        <w:pStyle w:val="TOC2"/>
        <w:rPr>
          <w:rFonts w:asciiTheme="minorHAnsi" w:eastAsiaTheme="minorEastAsia" w:hAnsiTheme="minorHAnsi" w:cstheme="minorBidi"/>
          <w:color w:val="auto"/>
          <w:szCs w:val="22"/>
        </w:rPr>
      </w:pPr>
      <w:hyperlink w:anchor="_Toc114214398" w:history="1">
        <w:r w:rsidR="00B317BF" w:rsidRPr="0021371F">
          <w:rPr>
            <w:rStyle w:val="Hyperlink"/>
          </w:rPr>
          <w:t>Request for feedback and comments</w:t>
        </w:r>
        <w:r w:rsidR="00B317BF">
          <w:rPr>
            <w:webHidden/>
          </w:rPr>
          <w:tab/>
        </w:r>
        <w:r w:rsidR="00B317BF">
          <w:rPr>
            <w:webHidden/>
          </w:rPr>
          <w:fldChar w:fldCharType="begin"/>
        </w:r>
        <w:r w:rsidR="00B317BF">
          <w:rPr>
            <w:webHidden/>
          </w:rPr>
          <w:instrText xml:space="preserve"> PAGEREF _Toc114214398 \h </w:instrText>
        </w:r>
        <w:r w:rsidR="00B317BF">
          <w:rPr>
            <w:webHidden/>
          </w:rPr>
        </w:r>
        <w:r w:rsidR="00B317BF">
          <w:rPr>
            <w:webHidden/>
          </w:rPr>
          <w:fldChar w:fldCharType="separate"/>
        </w:r>
        <w:r w:rsidR="00874195">
          <w:rPr>
            <w:webHidden/>
          </w:rPr>
          <w:t>4</w:t>
        </w:r>
        <w:r w:rsidR="00B317BF">
          <w:rPr>
            <w:webHidden/>
          </w:rPr>
          <w:fldChar w:fldCharType="end"/>
        </w:r>
      </w:hyperlink>
    </w:p>
    <w:p w14:paraId="2462643F" w14:textId="1536FD9D" w:rsidR="00B317BF" w:rsidRDefault="00763503">
      <w:pPr>
        <w:pStyle w:val="TOC2"/>
        <w:rPr>
          <w:rFonts w:asciiTheme="minorHAnsi" w:eastAsiaTheme="minorEastAsia" w:hAnsiTheme="minorHAnsi" w:cstheme="minorBidi"/>
          <w:color w:val="auto"/>
          <w:szCs w:val="22"/>
        </w:rPr>
      </w:pPr>
      <w:hyperlink w:anchor="_Toc114214399" w:history="1">
        <w:r w:rsidR="00B317BF" w:rsidRPr="0021371F">
          <w:rPr>
            <w:rStyle w:val="Hyperlink"/>
          </w:rPr>
          <w:t>Publication of submissions and confidentiality</w:t>
        </w:r>
        <w:r w:rsidR="00B317BF">
          <w:rPr>
            <w:webHidden/>
          </w:rPr>
          <w:tab/>
        </w:r>
        <w:r w:rsidR="00B317BF">
          <w:rPr>
            <w:webHidden/>
          </w:rPr>
          <w:fldChar w:fldCharType="begin"/>
        </w:r>
        <w:r w:rsidR="00B317BF">
          <w:rPr>
            <w:webHidden/>
          </w:rPr>
          <w:instrText xml:space="preserve"> PAGEREF _Toc114214399 \h </w:instrText>
        </w:r>
        <w:r w:rsidR="00B317BF">
          <w:rPr>
            <w:webHidden/>
          </w:rPr>
        </w:r>
        <w:r w:rsidR="00B317BF">
          <w:rPr>
            <w:webHidden/>
          </w:rPr>
          <w:fldChar w:fldCharType="separate"/>
        </w:r>
        <w:r w:rsidR="00874195">
          <w:rPr>
            <w:webHidden/>
          </w:rPr>
          <w:t>4</w:t>
        </w:r>
        <w:r w:rsidR="00B317BF">
          <w:rPr>
            <w:webHidden/>
          </w:rPr>
          <w:fldChar w:fldCharType="end"/>
        </w:r>
      </w:hyperlink>
    </w:p>
    <w:p w14:paraId="6DAC780F" w14:textId="5CA74114" w:rsidR="00B317BF" w:rsidRDefault="00763503">
      <w:pPr>
        <w:pStyle w:val="TOC2"/>
        <w:rPr>
          <w:rFonts w:asciiTheme="minorHAnsi" w:eastAsiaTheme="minorEastAsia" w:hAnsiTheme="minorHAnsi" w:cstheme="minorBidi"/>
          <w:color w:val="auto"/>
          <w:szCs w:val="22"/>
        </w:rPr>
      </w:pPr>
      <w:hyperlink w:anchor="_Toc114214400" w:history="1">
        <w:r w:rsidR="00B317BF" w:rsidRPr="0021371F">
          <w:rPr>
            <w:rStyle w:val="Hyperlink"/>
          </w:rPr>
          <w:t>Further consultation during the Review</w:t>
        </w:r>
        <w:r w:rsidR="00B317BF">
          <w:rPr>
            <w:webHidden/>
          </w:rPr>
          <w:tab/>
        </w:r>
        <w:r w:rsidR="00B317BF">
          <w:rPr>
            <w:webHidden/>
          </w:rPr>
          <w:fldChar w:fldCharType="begin"/>
        </w:r>
        <w:r w:rsidR="00B317BF">
          <w:rPr>
            <w:webHidden/>
          </w:rPr>
          <w:instrText xml:space="preserve"> PAGEREF _Toc114214400 \h </w:instrText>
        </w:r>
        <w:r w:rsidR="00B317BF">
          <w:rPr>
            <w:webHidden/>
          </w:rPr>
        </w:r>
        <w:r w:rsidR="00B317BF">
          <w:rPr>
            <w:webHidden/>
          </w:rPr>
          <w:fldChar w:fldCharType="separate"/>
        </w:r>
        <w:r w:rsidR="00874195">
          <w:rPr>
            <w:webHidden/>
          </w:rPr>
          <w:t>4</w:t>
        </w:r>
        <w:r w:rsidR="00B317BF">
          <w:rPr>
            <w:webHidden/>
          </w:rPr>
          <w:fldChar w:fldCharType="end"/>
        </w:r>
      </w:hyperlink>
    </w:p>
    <w:p w14:paraId="0C86D9FA" w14:textId="056E636E" w:rsidR="00B317BF" w:rsidRDefault="00763503">
      <w:pPr>
        <w:pStyle w:val="TOC1"/>
        <w:rPr>
          <w:rFonts w:asciiTheme="minorHAnsi" w:eastAsiaTheme="minorEastAsia" w:hAnsiTheme="minorHAnsi" w:cstheme="minorBidi"/>
          <w:b w:val="0"/>
          <w:color w:val="auto"/>
        </w:rPr>
      </w:pPr>
      <w:hyperlink w:anchor="_Toc114214401" w:history="1">
        <w:r w:rsidR="00B317BF" w:rsidRPr="0021371F">
          <w:rPr>
            <w:rStyle w:val="Hyperlink"/>
          </w:rPr>
          <w:t>ASIC Industry Funding Model Review</w:t>
        </w:r>
        <w:r w:rsidR="00B317BF">
          <w:rPr>
            <w:webHidden/>
          </w:rPr>
          <w:tab/>
        </w:r>
        <w:r w:rsidR="00B317BF">
          <w:rPr>
            <w:webHidden/>
          </w:rPr>
          <w:fldChar w:fldCharType="begin"/>
        </w:r>
        <w:r w:rsidR="00B317BF">
          <w:rPr>
            <w:webHidden/>
          </w:rPr>
          <w:instrText xml:space="preserve"> PAGEREF _Toc114214401 \h </w:instrText>
        </w:r>
        <w:r w:rsidR="00B317BF">
          <w:rPr>
            <w:webHidden/>
          </w:rPr>
        </w:r>
        <w:r w:rsidR="00B317BF">
          <w:rPr>
            <w:webHidden/>
          </w:rPr>
          <w:fldChar w:fldCharType="separate"/>
        </w:r>
        <w:r w:rsidR="00874195">
          <w:rPr>
            <w:webHidden/>
          </w:rPr>
          <w:t>5</w:t>
        </w:r>
        <w:r w:rsidR="00B317BF">
          <w:rPr>
            <w:webHidden/>
          </w:rPr>
          <w:fldChar w:fldCharType="end"/>
        </w:r>
      </w:hyperlink>
    </w:p>
    <w:p w14:paraId="2C650F7B" w14:textId="697FE7D7" w:rsidR="00B317BF" w:rsidRDefault="00763503">
      <w:pPr>
        <w:pStyle w:val="TOC2"/>
        <w:tabs>
          <w:tab w:val="left" w:pos="660"/>
        </w:tabs>
        <w:rPr>
          <w:rFonts w:asciiTheme="minorHAnsi" w:eastAsiaTheme="minorEastAsia" w:hAnsiTheme="minorHAnsi" w:cstheme="minorBidi"/>
          <w:color w:val="auto"/>
          <w:szCs w:val="22"/>
        </w:rPr>
      </w:pPr>
      <w:hyperlink w:anchor="_Toc114214402" w:history="1">
        <w:r w:rsidR="00B317BF" w:rsidRPr="0021371F">
          <w:rPr>
            <w:rStyle w:val="Hyperlink"/>
          </w:rPr>
          <w:t>1.</w:t>
        </w:r>
        <w:r w:rsidR="00B317BF">
          <w:rPr>
            <w:rFonts w:asciiTheme="minorHAnsi" w:eastAsiaTheme="minorEastAsia" w:hAnsiTheme="minorHAnsi" w:cstheme="minorBidi"/>
            <w:color w:val="auto"/>
            <w:szCs w:val="22"/>
          </w:rPr>
          <w:tab/>
        </w:r>
        <w:r w:rsidR="00B317BF" w:rsidRPr="0021371F">
          <w:rPr>
            <w:rStyle w:val="Hyperlink"/>
          </w:rPr>
          <w:t>Purpose of the Review</w:t>
        </w:r>
        <w:r w:rsidR="00B317BF">
          <w:rPr>
            <w:webHidden/>
          </w:rPr>
          <w:tab/>
        </w:r>
        <w:r w:rsidR="00B317BF">
          <w:rPr>
            <w:webHidden/>
          </w:rPr>
          <w:fldChar w:fldCharType="begin"/>
        </w:r>
        <w:r w:rsidR="00B317BF">
          <w:rPr>
            <w:webHidden/>
          </w:rPr>
          <w:instrText xml:space="preserve"> PAGEREF _Toc114214402 \h </w:instrText>
        </w:r>
        <w:r w:rsidR="00B317BF">
          <w:rPr>
            <w:webHidden/>
          </w:rPr>
        </w:r>
        <w:r w:rsidR="00B317BF">
          <w:rPr>
            <w:webHidden/>
          </w:rPr>
          <w:fldChar w:fldCharType="separate"/>
        </w:r>
        <w:r w:rsidR="00874195">
          <w:rPr>
            <w:webHidden/>
          </w:rPr>
          <w:t>5</w:t>
        </w:r>
        <w:r w:rsidR="00B317BF">
          <w:rPr>
            <w:webHidden/>
          </w:rPr>
          <w:fldChar w:fldCharType="end"/>
        </w:r>
      </w:hyperlink>
    </w:p>
    <w:p w14:paraId="3C0FBC59" w14:textId="4A497C57" w:rsidR="00B317BF" w:rsidRDefault="00763503">
      <w:pPr>
        <w:pStyle w:val="TOC2"/>
        <w:tabs>
          <w:tab w:val="left" w:pos="660"/>
        </w:tabs>
        <w:rPr>
          <w:rFonts w:asciiTheme="minorHAnsi" w:eastAsiaTheme="minorEastAsia" w:hAnsiTheme="minorHAnsi" w:cstheme="minorBidi"/>
          <w:color w:val="auto"/>
          <w:szCs w:val="22"/>
        </w:rPr>
      </w:pPr>
      <w:hyperlink w:anchor="_Toc114214403" w:history="1">
        <w:r w:rsidR="00B317BF" w:rsidRPr="0021371F">
          <w:rPr>
            <w:rStyle w:val="Hyperlink"/>
          </w:rPr>
          <w:t>2.</w:t>
        </w:r>
        <w:r w:rsidR="00B317BF">
          <w:rPr>
            <w:rFonts w:asciiTheme="minorHAnsi" w:eastAsiaTheme="minorEastAsia" w:hAnsiTheme="minorHAnsi" w:cstheme="minorBidi"/>
            <w:color w:val="auto"/>
            <w:szCs w:val="22"/>
          </w:rPr>
          <w:tab/>
        </w:r>
        <w:r w:rsidR="00B317BF" w:rsidRPr="0021371F">
          <w:rPr>
            <w:rStyle w:val="Hyperlink"/>
          </w:rPr>
          <w:t>Background</w:t>
        </w:r>
        <w:r w:rsidR="00B317BF">
          <w:rPr>
            <w:webHidden/>
          </w:rPr>
          <w:tab/>
        </w:r>
        <w:r w:rsidR="00B317BF">
          <w:rPr>
            <w:webHidden/>
          </w:rPr>
          <w:fldChar w:fldCharType="begin"/>
        </w:r>
        <w:r w:rsidR="00B317BF">
          <w:rPr>
            <w:webHidden/>
          </w:rPr>
          <w:instrText xml:space="preserve"> PAGEREF _Toc114214403 \h </w:instrText>
        </w:r>
        <w:r w:rsidR="00B317BF">
          <w:rPr>
            <w:webHidden/>
          </w:rPr>
        </w:r>
        <w:r w:rsidR="00B317BF">
          <w:rPr>
            <w:webHidden/>
          </w:rPr>
          <w:fldChar w:fldCharType="separate"/>
        </w:r>
        <w:r w:rsidR="00874195">
          <w:rPr>
            <w:webHidden/>
          </w:rPr>
          <w:t>6</w:t>
        </w:r>
        <w:r w:rsidR="00B317BF">
          <w:rPr>
            <w:webHidden/>
          </w:rPr>
          <w:fldChar w:fldCharType="end"/>
        </w:r>
      </w:hyperlink>
    </w:p>
    <w:p w14:paraId="42B973EE" w14:textId="63C63677" w:rsidR="00B317BF" w:rsidRDefault="00763503">
      <w:pPr>
        <w:pStyle w:val="TOC3"/>
        <w:rPr>
          <w:rFonts w:asciiTheme="minorHAnsi" w:eastAsiaTheme="minorEastAsia" w:hAnsiTheme="minorHAnsi" w:cstheme="minorBidi"/>
          <w:szCs w:val="22"/>
        </w:rPr>
      </w:pPr>
      <w:hyperlink w:anchor="_Toc114214404" w:history="1">
        <w:r w:rsidR="00B317BF" w:rsidRPr="0021371F">
          <w:rPr>
            <w:rStyle w:val="Hyperlink"/>
          </w:rPr>
          <w:t>Overview of the IFM</w:t>
        </w:r>
        <w:r w:rsidR="00B317BF">
          <w:rPr>
            <w:webHidden/>
          </w:rPr>
          <w:tab/>
        </w:r>
        <w:r w:rsidR="00B317BF">
          <w:rPr>
            <w:webHidden/>
          </w:rPr>
          <w:fldChar w:fldCharType="begin"/>
        </w:r>
        <w:r w:rsidR="00B317BF">
          <w:rPr>
            <w:webHidden/>
          </w:rPr>
          <w:instrText xml:space="preserve"> PAGEREF _Toc114214404 \h </w:instrText>
        </w:r>
        <w:r w:rsidR="00B317BF">
          <w:rPr>
            <w:webHidden/>
          </w:rPr>
        </w:r>
        <w:r w:rsidR="00B317BF">
          <w:rPr>
            <w:webHidden/>
          </w:rPr>
          <w:fldChar w:fldCharType="separate"/>
        </w:r>
        <w:r w:rsidR="00874195">
          <w:rPr>
            <w:webHidden/>
          </w:rPr>
          <w:t>6</w:t>
        </w:r>
        <w:r w:rsidR="00B317BF">
          <w:rPr>
            <w:webHidden/>
          </w:rPr>
          <w:fldChar w:fldCharType="end"/>
        </w:r>
      </w:hyperlink>
    </w:p>
    <w:p w14:paraId="5FA143E1" w14:textId="7990CCE3" w:rsidR="00B317BF" w:rsidRDefault="00763503">
      <w:pPr>
        <w:pStyle w:val="TOC3"/>
        <w:rPr>
          <w:rFonts w:asciiTheme="minorHAnsi" w:eastAsiaTheme="minorEastAsia" w:hAnsiTheme="minorHAnsi" w:cstheme="minorBidi"/>
          <w:szCs w:val="22"/>
        </w:rPr>
      </w:pPr>
      <w:hyperlink w:anchor="_Toc114214405" w:history="1">
        <w:r w:rsidR="00B317BF" w:rsidRPr="0021371F">
          <w:rPr>
            <w:rStyle w:val="Hyperlink"/>
          </w:rPr>
          <w:t>Australian Government Charging Framework</w:t>
        </w:r>
        <w:r w:rsidR="00B317BF">
          <w:rPr>
            <w:webHidden/>
          </w:rPr>
          <w:tab/>
        </w:r>
        <w:r w:rsidR="00B317BF">
          <w:rPr>
            <w:webHidden/>
          </w:rPr>
          <w:fldChar w:fldCharType="begin"/>
        </w:r>
        <w:r w:rsidR="00B317BF">
          <w:rPr>
            <w:webHidden/>
          </w:rPr>
          <w:instrText xml:space="preserve"> PAGEREF _Toc114214405 \h </w:instrText>
        </w:r>
        <w:r w:rsidR="00B317BF">
          <w:rPr>
            <w:webHidden/>
          </w:rPr>
        </w:r>
        <w:r w:rsidR="00B317BF">
          <w:rPr>
            <w:webHidden/>
          </w:rPr>
          <w:fldChar w:fldCharType="separate"/>
        </w:r>
        <w:r w:rsidR="00874195">
          <w:rPr>
            <w:webHidden/>
          </w:rPr>
          <w:t>6</w:t>
        </w:r>
        <w:r w:rsidR="00B317BF">
          <w:rPr>
            <w:webHidden/>
          </w:rPr>
          <w:fldChar w:fldCharType="end"/>
        </w:r>
      </w:hyperlink>
    </w:p>
    <w:p w14:paraId="48B60773" w14:textId="02C31603" w:rsidR="00B317BF" w:rsidRDefault="00763503">
      <w:pPr>
        <w:pStyle w:val="TOC3"/>
        <w:rPr>
          <w:rFonts w:asciiTheme="minorHAnsi" w:eastAsiaTheme="minorEastAsia" w:hAnsiTheme="minorHAnsi" w:cstheme="minorBidi"/>
          <w:szCs w:val="22"/>
        </w:rPr>
      </w:pPr>
      <w:hyperlink w:anchor="_Toc114214406" w:history="1">
        <w:r w:rsidR="00B317BF" w:rsidRPr="0021371F">
          <w:rPr>
            <w:rStyle w:val="Hyperlink"/>
          </w:rPr>
          <w:t>Objectives of the IFM</w:t>
        </w:r>
        <w:r w:rsidR="00B317BF">
          <w:rPr>
            <w:webHidden/>
          </w:rPr>
          <w:tab/>
        </w:r>
        <w:r w:rsidR="00B317BF">
          <w:rPr>
            <w:webHidden/>
          </w:rPr>
          <w:fldChar w:fldCharType="begin"/>
        </w:r>
        <w:r w:rsidR="00B317BF">
          <w:rPr>
            <w:webHidden/>
          </w:rPr>
          <w:instrText xml:space="preserve"> PAGEREF _Toc114214406 \h </w:instrText>
        </w:r>
        <w:r w:rsidR="00B317BF">
          <w:rPr>
            <w:webHidden/>
          </w:rPr>
        </w:r>
        <w:r w:rsidR="00B317BF">
          <w:rPr>
            <w:webHidden/>
          </w:rPr>
          <w:fldChar w:fldCharType="separate"/>
        </w:r>
        <w:r w:rsidR="00874195">
          <w:rPr>
            <w:webHidden/>
          </w:rPr>
          <w:t>8</w:t>
        </w:r>
        <w:r w:rsidR="00B317BF">
          <w:rPr>
            <w:webHidden/>
          </w:rPr>
          <w:fldChar w:fldCharType="end"/>
        </w:r>
      </w:hyperlink>
    </w:p>
    <w:p w14:paraId="0A489229" w14:textId="7CB5DA57" w:rsidR="00B317BF" w:rsidRDefault="00763503">
      <w:pPr>
        <w:pStyle w:val="TOC1"/>
        <w:rPr>
          <w:rFonts w:asciiTheme="minorHAnsi" w:eastAsiaTheme="minorEastAsia" w:hAnsiTheme="minorHAnsi" w:cstheme="minorBidi"/>
          <w:b w:val="0"/>
          <w:color w:val="auto"/>
        </w:rPr>
      </w:pPr>
      <w:hyperlink w:anchor="_Toc114214407" w:history="1">
        <w:r w:rsidR="00B317BF" w:rsidRPr="0021371F">
          <w:rPr>
            <w:rStyle w:val="Hyperlink"/>
          </w:rPr>
          <w:t>Industry Funding Levies</w:t>
        </w:r>
        <w:r w:rsidR="00B317BF">
          <w:rPr>
            <w:webHidden/>
          </w:rPr>
          <w:tab/>
        </w:r>
        <w:r w:rsidR="00B317BF">
          <w:rPr>
            <w:webHidden/>
          </w:rPr>
          <w:fldChar w:fldCharType="begin"/>
        </w:r>
        <w:r w:rsidR="00B317BF">
          <w:rPr>
            <w:webHidden/>
          </w:rPr>
          <w:instrText xml:space="preserve"> PAGEREF _Toc114214407 \h </w:instrText>
        </w:r>
        <w:r w:rsidR="00B317BF">
          <w:rPr>
            <w:webHidden/>
          </w:rPr>
        </w:r>
        <w:r w:rsidR="00B317BF">
          <w:rPr>
            <w:webHidden/>
          </w:rPr>
          <w:fldChar w:fldCharType="separate"/>
        </w:r>
        <w:r w:rsidR="00874195">
          <w:rPr>
            <w:webHidden/>
          </w:rPr>
          <w:t>9</w:t>
        </w:r>
        <w:r w:rsidR="00B317BF">
          <w:rPr>
            <w:webHidden/>
          </w:rPr>
          <w:fldChar w:fldCharType="end"/>
        </w:r>
      </w:hyperlink>
    </w:p>
    <w:p w14:paraId="1D1BD808" w14:textId="24B9BA0D" w:rsidR="00B317BF" w:rsidRDefault="00763503">
      <w:pPr>
        <w:pStyle w:val="TOC2"/>
        <w:tabs>
          <w:tab w:val="left" w:pos="660"/>
        </w:tabs>
        <w:rPr>
          <w:rFonts w:asciiTheme="minorHAnsi" w:eastAsiaTheme="minorEastAsia" w:hAnsiTheme="minorHAnsi" w:cstheme="minorBidi"/>
          <w:color w:val="auto"/>
          <w:szCs w:val="22"/>
        </w:rPr>
      </w:pPr>
      <w:hyperlink w:anchor="_Toc114214408" w:history="1">
        <w:r w:rsidR="00B317BF" w:rsidRPr="0021371F">
          <w:rPr>
            <w:rStyle w:val="Hyperlink"/>
          </w:rPr>
          <w:t>1.</w:t>
        </w:r>
        <w:r w:rsidR="00B317BF">
          <w:rPr>
            <w:rFonts w:asciiTheme="minorHAnsi" w:eastAsiaTheme="minorEastAsia" w:hAnsiTheme="minorHAnsi" w:cstheme="minorBidi"/>
            <w:color w:val="auto"/>
            <w:szCs w:val="22"/>
          </w:rPr>
          <w:tab/>
        </w:r>
        <w:r w:rsidR="00B317BF" w:rsidRPr="0021371F">
          <w:rPr>
            <w:rStyle w:val="Hyperlink"/>
          </w:rPr>
          <w:t>Overview</w:t>
        </w:r>
        <w:r w:rsidR="00B317BF">
          <w:rPr>
            <w:webHidden/>
          </w:rPr>
          <w:tab/>
        </w:r>
        <w:r w:rsidR="00B317BF">
          <w:rPr>
            <w:webHidden/>
          </w:rPr>
          <w:fldChar w:fldCharType="begin"/>
        </w:r>
        <w:r w:rsidR="00B317BF">
          <w:rPr>
            <w:webHidden/>
          </w:rPr>
          <w:instrText xml:space="preserve"> PAGEREF _Toc114214408 \h </w:instrText>
        </w:r>
        <w:r w:rsidR="00B317BF">
          <w:rPr>
            <w:webHidden/>
          </w:rPr>
        </w:r>
        <w:r w:rsidR="00B317BF">
          <w:rPr>
            <w:webHidden/>
          </w:rPr>
          <w:fldChar w:fldCharType="separate"/>
        </w:r>
        <w:r w:rsidR="00874195">
          <w:rPr>
            <w:webHidden/>
          </w:rPr>
          <w:t>9</w:t>
        </w:r>
        <w:r w:rsidR="00B317BF">
          <w:rPr>
            <w:webHidden/>
          </w:rPr>
          <w:fldChar w:fldCharType="end"/>
        </w:r>
      </w:hyperlink>
    </w:p>
    <w:p w14:paraId="503B7A08" w14:textId="57D65B30" w:rsidR="00B317BF" w:rsidRDefault="00763503">
      <w:pPr>
        <w:pStyle w:val="TOC2"/>
        <w:tabs>
          <w:tab w:val="left" w:pos="660"/>
        </w:tabs>
        <w:rPr>
          <w:rFonts w:asciiTheme="minorHAnsi" w:eastAsiaTheme="minorEastAsia" w:hAnsiTheme="minorHAnsi" w:cstheme="minorBidi"/>
          <w:color w:val="auto"/>
          <w:szCs w:val="22"/>
        </w:rPr>
      </w:pPr>
      <w:hyperlink w:anchor="_Toc114214409" w:history="1">
        <w:r w:rsidR="00B317BF" w:rsidRPr="0021371F">
          <w:rPr>
            <w:rStyle w:val="Hyperlink"/>
          </w:rPr>
          <w:t>2.</w:t>
        </w:r>
        <w:r w:rsidR="00B317BF">
          <w:rPr>
            <w:rFonts w:asciiTheme="minorHAnsi" w:eastAsiaTheme="minorEastAsia" w:hAnsiTheme="minorHAnsi" w:cstheme="minorBidi"/>
            <w:color w:val="auto"/>
            <w:szCs w:val="22"/>
          </w:rPr>
          <w:tab/>
        </w:r>
        <w:r w:rsidR="00B317BF" w:rsidRPr="0021371F">
          <w:rPr>
            <w:rStyle w:val="Hyperlink"/>
          </w:rPr>
          <w:t>Key features of levies</w:t>
        </w:r>
        <w:r w:rsidR="00B317BF">
          <w:rPr>
            <w:webHidden/>
          </w:rPr>
          <w:tab/>
        </w:r>
        <w:r w:rsidR="00B317BF">
          <w:rPr>
            <w:webHidden/>
          </w:rPr>
          <w:fldChar w:fldCharType="begin"/>
        </w:r>
        <w:r w:rsidR="00B317BF">
          <w:rPr>
            <w:webHidden/>
          </w:rPr>
          <w:instrText xml:space="preserve"> PAGEREF _Toc114214409 \h </w:instrText>
        </w:r>
        <w:r w:rsidR="00B317BF">
          <w:rPr>
            <w:webHidden/>
          </w:rPr>
        </w:r>
        <w:r w:rsidR="00B317BF">
          <w:rPr>
            <w:webHidden/>
          </w:rPr>
          <w:fldChar w:fldCharType="separate"/>
        </w:r>
        <w:r w:rsidR="00874195">
          <w:rPr>
            <w:webHidden/>
          </w:rPr>
          <w:t>10</w:t>
        </w:r>
        <w:r w:rsidR="00B317BF">
          <w:rPr>
            <w:webHidden/>
          </w:rPr>
          <w:fldChar w:fldCharType="end"/>
        </w:r>
      </w:hyperlink>
    </w:p>
    <w:p w14:paraId="14C5578E" w14:textId="09A03A68" w:rsidR="00B317BF" w:rsidRDefault="00763503">
      <w:pPr>
        <w:pStyle w:val="TOC3"/>
        <w:rPr>
          <w:rFonts w:asciiTheme="minorHAnsi" w:eastAsiaTheme="minorEastAsia" w:hAnsiTheme="minorHAnsi" w:cstheme="minorBidi"/>
          <w:szCs w:val="22"/>
        </w:rPr>
      </w:pPr>
      <w:hyperlink w:anchor="_Toc114214410" w:history="1">
        <w:r w:rsidR="00B317BF" w:rsidRPr="0021371F">
          <w:rPr>
            <w:rStyle w:val="Hyperlink"/>
          </w:rPr>
          <w:t>Costs recovered through levies</w:t>
        </w:r>
        <w:r w:rsidR="00B317BF">
          <w:rPr>
            <w:webHidden/>
          </w:rPr>
          <w:tab/>
        </w:r>
        <w:r w:rsidR="00B317BF">
          <w:rPr>
            <w:webHidden/>
          </w:rPr>
          <w:fldChar w:fldCharType="begin"/>
        </w:r>
        <w:r w:rsidR="00B317BF">
          <w:rPr>
            <w:webHidden/>
          </w:rPr>
          <w:instrText xml:space="preserve"> PAGEREF _Toc114214410 \h </w:instrText>
        </w:r>
        <w:r w:rsidR="00B317BF">
          <w:rPr>
            <w:webHidden/>
          </w:rPr>
        </w:r>
        <w:r w:rsidR="00B317BF">
          <w:rPr>
            <w:webHidden/>
          </w:rPr>
          <w:fldChar w:fldCharType="separate"/>
        </w:r>
        <w:r w:rsidR="00874195">
          <w:rPr>
            <w:webHidden/>
          </w:rPr>
          <w:t>10</w:t>
        </w:r>
        <w:r w:rsidR="00B317BF">
          <w:rPr>
            <w:webHidden/>
          </w:rPr>
          <w:fldChar w:fldCharType="end"/>
        </w:r>
      </w:hyperlink>
    </w:p>
    <w:p w14:paraId="71BCA379" w14:textId="479EDB77" w:rsidR="00B317BF" w:rsidRDefault="00763503">
      <w:pPr>
        <w:pStyle w:val="TOC3"/>
        <w:rPr>
          <w:rFonts w:asciiTheme="minorHAnsi" w:eastAsiaTheme="minorEastAsia" w:hAnsiTheme="minorHAnsi" w:cstheme="minorBidi"/>
          <w:szCs w:val="22"/>
        </w:rPr>
      </w:pPr>
      <w:hyperlink w:anchor="_Toc114214411" w:history="1">
        <w:r w:rsidR="00B317BF" w:rsidRPr="0021371F">
          <w:rPr>
            <w:rStyle w:val="Hyperlink"/>
          </w:rPr>
          <w:t>Allocation of costs and calculation of levies</w:t>
        </w:r>
        <w:r w:rsidR="00B317BF">
          <w:rPr>
            <w:webHidden/>
          </w:rPr>
          <w:tab/>
        </w:r>
        <w:r w:rsidR="00B317BF">
          <w:rPr>
            <w:webHidden/>
          </w:rPr>
          <w:fldChar w:fldCharType="begin"/>
        </w:r>
        <w:r w:rsidR="00B317BF">
          <w:rPr>
            <w:webHidden/>
          </w:rPr>
          <w:instrText xml:space="preserve"> PAGEREF _Toc114214411 \h </w:instrText>
        </w:r>
        <w:r w:rsidR="00B317BF">
          <w:rPr>
            <w:webHidden/>
          </w:rPr>
        </w:r>
        <w:r w:rsidR="00B317BF">
          <w:rPr>
            <w:webHidden/>
          </w:rPr>
          <w:fldChar w:fldCharType="separate"/>
        </w:r>
        <w:r w:rsidR="00874195">
          <w:rPr>
            <w:webHidden/>
          </w:rPr>
          <w:t>12</w:t>
        </w:r>
        <w:r w:rsidR="00B317BF">
          <w:rPr>
            <w:webHidden/>
          </w:rPr>
          <w:fldChar w:fldCharType="end"/>
        </w:r>
      </w:hyperlink>
    </w:p>
    <w:p w14:paraId="6CD83E55" w14:textId="6DABD248" w:rsidR="00B317BF" w:rsidRDefault="00763503">
      <w:pPr>
        <w:pStyle w:val="TOC2"/>
        <w:tabs>
          <w:tab w:val="left" w:pos="660"/>
        </w:tabs>
        <w:rPr>
          <w:rFonts w:asciiTheme="minorHAnsi" w:eastAsiaTheme="minorEastAsia" w:hAnsiTheme="minorHAnsi" w:cstheme="minorBidi"/>
          <w:color w:val="auto"/>
          <w:szCs w:val="22"/>
        </w:rPr>
      </w:pPr>
      <w:hyperlink w:anchor="_Toc114214412" w:history="1">
        <w:r w:rsidR="00B317BF" w:rsidRPr="0021371F">
          <w:rPr>
            <w:rStyle w:val="Hyperlink"/>
          </w:rPr>
          <w:t>3.</w:t>
        </w:r>
        <w:r w:rsidR="00B317BF">
          <w:rPr>
            <w:rFonts w:asciiTheme="minorHAnsi" w:eastAsiaTheme="minorEastAsia" w:hAnsiTheme="minorHAnsi" w:cstheme="minorBidi"/>
            <w:color w:val="auto"/>
            <w:szCs w:val="22"/>
          </w:rPr>
          <w:tab/>
        </w:r>
        <w:r w:rsidR="00B317BF" w:rsidRPr="0021371F">
          <w:rPr>
            <w:rStyle w:val="Hyperlink"/>
          </w:rPr>
          <w:t>Principles for levies</w:t>
        </w:r>
        <w:r w:rsidR="00B317BF">
          <w:rPr>
            <w:webHidden/>
          </w:rPr>
          <w:tab/>
        </w:r>
        <w:r w:rsidR="00B317BF">
          <w:rPr>
            <w:webHidden/>
          </w:rPr>
          <w:fldChar w:fldCharType="begin"/>
        </w:r>
        <w:r w:rsidR="00B317BF">
          <w:rPr>
            <w:webHidden/>
          </w:rPr>
          <w:instrText xml:space="preserve"> PAGEREF _Toc114214412 \h </w:instrText>
        </w:r>
        <w:r w:rsidR="00B317BF">
          <w:rPr>
            <w:webHidden/>
          </w:rPr>
        </w:r>
        <w:r w:rsidR="00B317BF">
          <w:rPr>
            <w:webHidden/>
          </w:rPr>
          <w:fldChar w:fldCharType="separate"/>
        </w:r>
        <w:r w:rsidR="00874195">
          <w:rPr>
            <w:webHidden/>
          </w:rPr>
          <w:t>13</w:t>
        </w:r>
        <w:r w:rsidR="00B317BF">
          <w:rPr>
            <w:webHidden/>
          </w:rPr>
          <w:fldChar w:fldCharType="end"/>
        </w:r>
      </w:hyperlink>
    </w:p>
    <w:p w14:paraId="3EDC39F1" w14:textId="1F56779E" w:rsidR="00B317BF" w:rsidRDefault="00763503">
      <w:pPr>
        <w:pStyle w:val="TOC3"/>
        <w:rPr>
          <w:rFonts w:asciiTheme="minorHAnsi" w:eastAsiaTheme="minorEastAsia" w:hAnsiTheme="minorHAnsi" w:cstheme="minorBidi"/>
          <w:szCs w:val="22"/>
        </w:rPr>
      </w:pPr>
      <w:hyperlink w:anchor="_Toc114214413" w:history="1">
        <w:r w:rsidR="00B317BF" w:rsidRPr="0021371F">
          <w:rPr>
            <w:rStyle w:val="Hyperlink"/>
          </w:rPr>
          <w:t>Trade-offs between simplicity and equity</w:t>
        </w:r>
        <w:r w:rsidR="00B317BF">
          <w:rPr>
            <w:webHidden/>
          </w:rPr>
          <w:tab/>
        </w:r>
        <w:r w:rsidR="00B317BF">
          <w:rPr>
            <w:webHidden/>
          </w:rPr>
          <w:fldChar w:fldCharType="begin"/>
        </w:r>
        <w:r w:rsidR="00B317BF">
          <w:rPr>
            <w:webHidden/>
          </w:rPr>
          <w:instrText xml:space="preserve"> PAGEREF _Toc114214413 \h </w:instrText>
        </w:r>
        <w:r w:rsidR="00B317BF">
          <w:rPr>
            <w:webHidden/>
          </w:rPr>
        </w:r>
        <w:r w:rsidR="00B317BF">
          <w:rPr>
            <w:webHidden/>
          </w:rPr>
          <w:fldChar w:fldCharType="separate"/>
        </w:r>
        <w:r w:rsidR="00874195">
          <w:rPr>
            <w:webHidden/>
          </w:rPr>
          <w:t>13</w:t>
        </w:r>
        <w:r w:rsidR="00B317BF">
          <w:rPr>
            <w:webHidden/>
          </w:rPr>
          <w:fldChar w:fldCharType="end"/>
        </w:r>
      </w:hyperlink>
    </w:p>
    <w:p w14:paraId="21A79E28" w14:textId="177AB104" w:rsidR="00B317BF" w:rsidRDefault="00763503">
      <w:pPr>
        <w:pStyle w:val="TOC3"/>
        <w:rPr>
          <w:rFonts w:asciiTheme="minorHAnsi" w:eastAsiaTheme="minorEastAsia" w:hAnsiTheme="minorHAnsi" w:cstheme="minorBidi"/>
          <w:szCs w:val="22"/>
        </w:rPr>
      </w:pPr>
      <w:hyperlink w:anchor="_Toc114214414" w:history="1">
        <w:r w:rsidR="00B317BF" w:rsidRPr="0021371F">
          <w:rPr>
            <w:rStyle w:val="Hyperlink"/>
          </w:rPr>
          <w:t>Flexibility of the IFM to respond to changes</w:t>
        </w:r>
        <w:r w:rsidR="00B317BF">
          <w:rPr>
            <w:webHidden/>
          </w:rPr>
          <w:tab/>
        </w:r>
        <w:r w:rsidR="00B317BF">
          <w:rPr>
            <w:webHidden/>
          </w:rPr>
          <w:fldChar w:fldCharType="begin"/>
        </w:r>
        <w:r w:rsidR="00B317BF">
          <w:rPr>
            <w:webHidden/>
          </w:rPr>
          <w:instrText xml:space="preserve"> PAGEREF _Toc114214414 \h </w:instrText>
        </w:r>
        <w:r w:rsidR="00B317BF">
          <w:rPr>
            <w:webHidden/>
          </w:rPr>
        </w:r>
        <w:r w:rsidR="00B317BF">
          <w:rPr>
            <w:webHidden/>
          </w:rPr>
          <w:fldChar w:fldCharType="separate"/>
        </w:r>
        <w:r w:rsidR="00874195">
          <w:rPr>
            <w:webHidden/>
          </w:rPr>
          <w:t>16</w:t>
        </w:r>
        <w:r w:rsidR="00B317BF">
          <w:rPr>
            <w:webHidden/>
          </w:rPr>
          <w:fldChar w:fldCharType="end"/>
        </w:r>
      </w:hyperlink>
    </w:p>
    <w:p w14:paraId="366B2293" w14:textId="7C0CC898" w:rsidR="00B317BF" w:rsidRDefault="00763503">
      <w:pPr>
        <w:pStyle w:val="TOC3"/>
        <w:rPr>
          <w:rFonts w:asciiTheme="minorHAnsi" w:eastAsiaTheme="minorEastAsia" w:hAnsiTheme="minorHAnsi" w:cstheme="minorBidi"/>
          <w:szCs w:val="22"/>
        </w:rPr>
      </w:pPr>
      <w:hyperlink w:anchor="_Toc114214415" w:history="1">
        <w:r w:rsidR="00B317BF" w:rsidRPr="0021371F">
          <w:rPr>
            <w:rStyle w:val="Hyperlink"/>
          </w:rPr>
          <w:t>Ex-post charging</w:t>
        </w:r>
        <w:r w:rsidR="00B317BF">
          <w:rPr>
            <w:webHidden/>
          </w:rPr>
          <w:tab/>
        </w:r>
        <w:r w:rsidR="00B317BF">
          <w:rPr>
            <w:webHidden/>
          </w:rPr>
          <w:fldChar w:fldCharType="begin"/>
        </w:r>
        <w:r w:rsidR="00B317BF">
          <w:rPr>
            <w:webHidden/>
          </w:rPr>
          <w:instrText xml:space="preserve"> PAGEREF _Toc114214415 \h </w:instrText>
        </w:r>
        <w:r w:rsidR="00B317BF">
          <w:rPr>
            <w:webHidden/>
          </w:rPr>
        </w:r>
        <w:r w:rsidR="00B317BF">
          <w:rPr>
            <w:webHidden/>
          </w:rPr>
          <w:fldChar w:fldCharType="separate"/>
        </w:r>
        <w:r w:rsidR="00874195">
          <w:rPr>
            <w:webHidden/>
          </w:rPr>
          <w:t>17</w:t>
        </w:r>
        <w:r w:rsidR="00B317BF">
          <w:rPr>
            <w:webHidden/>
          </w:rPr>
          <w:fldChar w:fldCharType="end"/>
        </w:r>
      </w:hyperlink>
    </w:p>
    <w:p w14:paraId="471A242A" w14:textId="53C1DAB5" w:rsidR="00B317BF" w:rsidRDefault="00763503">
      <w:pPr>
        <w:pStyle w:val="TOC2"/>
        <w:tabs>
          <w:tab w:val="left" w:pos="660"/>
        </w:tabs>
        <w:rPr>
          <w:rFonts w:asciiTheme="minorHAnsi" w:eastAsiaTheme="minorEastAsia" w:hAnsiTheme="minorHAnsi" w:cstheme="minorBidi"/>
          <w:color w:val="auto"/>
          <w:szCs w:val="22"/>
        </w:rPr>
      </w:pPr>
      <w:hyperlink w:anchor="_Toc114214416" w:history="1">
        <w:r w:rsidR="00B317BF" w:rsidRPr="0021371F">
          <w:rPr>
            <w:rStyle w:val="Hyperlink"/>
          </w:rPr>
          <w:t>4.</w:t>
        </w:r>
        <w:r w:rsidR="00B317BF">
          <w:rPr>
            <w:rFonts w:asciiTheme="minorHAnsi" w:eastAsiaTheme="minorEastAsia" w:hAnsiTheme="minorHAnsi" w:cstheme="minorBidi"/>
            <w:color w:val="auto"/>
            <w:szCs w:val="22"/>
          </w:rPr>
          <w:tab/>
        </w:r>
        <w:r w:rsidR="00B317BF" w:rsidRPr="0021371F">
          <w:rPr>
            <w:rStyle w:val="Hyperlink"/>
          </w:rPr>
          <w:t>Key issues related to levies</w:t>
        </w:r>
        <w:r w:rsidR="00B317BF">
          <w:rPr>
            <w:webHidden/>
          </w:rPr>
          <w:tab/>
        </w:r>
        <w:r w:rsidR="00B317BF">
          <w:rPr>
            <w:webHidden/>
          </w:rPr>
          <w:fldChar w:fldCharType="begin"/>
        </w:r>
        <w:r w:rsidR="00B317BF">
          <w:rPr>
            <w:webHidden/>
          </w:rPr>
          <w:instrText xml:space="preserve"> PAGEREF _Toc114214416 \h </w:instrText>
        </w:r>
        <w:r w:rsidR="00B317BF">
          <w:rPr>
            <w:webHidden/>
          </w:rPr>
        </w:r>
        <w:r w:rsidR="00B317BF">
          <w:rPr>
            <w:webHidden/>
          </w:rPr>
          <w:fldChar w:fldCharType="separate"/>
        </w:r>
        <w:r w:rsidR="00874195">
          <w:rPr>
            <w:webHidden/>
          </w:rPr>
          <w:t>18</w:t>
        </w:r>
        <w:r w:rsidR="00B317BF">
          <w:rPr>
            <w:webHidden/>
          </w:rPr>
          <w:fldChar w:fldCharType="end"/>
        </w:r>
      </w:hyperlink>
    </w:p>
    <w:p w14:paraId="50EA3307" w14:textId="6D5DE80E" w:rsidR="00B317BF" w:rsidRDefault="00763503">
      <w:pPr>
        <w:pStyle w:val="TOC3"/>
        <w:rPr>
          <w:rFonts w:asciiTheme="minorHAnsi" w:eastAsiaTheme="minorEastAsia" w:hAnsiTheme="minorHAnsi" w:cstheme="minorBidi"/>
          <w:szCs w:val="22"/>
        </w:rPr>
      </w:pPr>
      <w:hyperlink w:anchor="_Toc114214417" w:history="1">
        <w:r w:rsidR="00B317BF" w:rsidRPr="0021371F">
          <w:rPr>
            <w:rStyle w:val="Hyperlink"/>
          </w:rPr>
          <w:t>Enforcement</w:t>
        </w:r>
        <w:r w:rsidR="00B317BF">
          <w:rPr>
            <w:webHidden/>
          </w:rPr>
          <w:tab/>
        </w:r>
        <w:r w:rsidR="00B317BF">
          <w:rPr>
            <w:webHidden/>
          </w:rPr>
          <w:fldChar w:fldCharType="begin"/>
        </w:r>
        <w:r w:rsidR="00B317BF">
          <w:rPr>
            <w:webHidden/>
          </w:rPr>
          <w:instrText xml:space="preserve"> PAGEREF _Toc114214417 \h </w:instrText>
        </w:r>
        <w:r w:rsidR="00B317BF">
          <w:rPr>
            <w:webHidden/>
          </w:rPr>
        </w:r>
        <w:r w:rsidR="00B317BF">
          <w:rPr>
            <w:webHidden/>
          </w:rPr>
          <w:fldChar w:fldCharType="separate"/>
        </w:r>
        <w:r w:rsidR="00874195">
          <w:rPr>
            <w:webHidden/>
          </w:rPr>
          <w:t>18</w:t>
        </w:r>
        <w:r w:rsidR="00B317BF">
          <w:rPr>
            <w:webHidden/>
          </w:rPr>
          <w:fldChar w:fldCharType="end"/>
        </w:r>
      </w:hyperlink>
    </w:p>
    <w:p w14:paraId="43B4703B" w14:textId="74F1AC38" w:rsidR="00B317BF" w:rsidRDefault="00763503">
      <w:pPr>
        <w:pStyle w:val="TOC3"/>
        <w:rPr>
          <w:rFonts w:asciiTheme="minorHAnsi" w:eastAsiaTheme="minorEastAsia" w:hAnsiTheme="minorHAnsi" w:cstheme="minorBidi"/>
          <w:szCs w:val="22"/>
        </w:rPr>
      </w:pPr>
      <w:hyperlink w:anchor="_Toc114214418" w:history="1">
        <w:r w:rsidR="00B317BF" w:rsidRPr="0021371F">
          <w:rPr>
            <w:rStyle w:val="Hyperlink"/>
          </w:rPr>
          <w:t>Unlicenced conduct</w:t>
        </w:r>
        <w:r w:rsidR="00B317BF">
          <w:rPr>
            <w:webHidden/>
          </w:rPr>
          <w:tab/>
        </w:r>
        <w:r w:rsidR="00B317BF">
          <w:rPr>
            <w:webHidden/>
          </w:rPr>
          <w:fldChar w:fldCharType="begin"/>
        </w:r>
        <w:r w:rsidR="00B317BF">
          <w:rPr>
            <w:webHidden/>
          </w:rPr>
          <w:instrText xml:space="preserve"> PAGEREF _Toc114214418 \h </w:instrText>
        </w:r>
        <w:r w:rsidR="00B317BF">
          <w:rPr>
            <w:webHidden/>
          </w:rPr>
        </w:r>
        <w:r w:rsidR="00B317BF">
          <w:rPr>
            <w:webHidden/>
          </w:rPr>
          <w:fldChar w:fldCharType="separate"/>
        </w:r>
        <w:r w:rsidR="00874195">
          <w:rPr>
            <w:webHidden/>
          </w:rPr>
          <w:t>20</w:t>
        </w:r>
        <w:r w:rsidR="00B317BF">
          <w:rPr>
            <w:webHidden/>
          </w:rPr>
          <w:fldChar w:fldCharType="end"/>
        </w:r>
      </w:hyperlink>
    </w:p>
    <w:p w14:paraId="7C42555B" w14:textId="31194592" w:rsidR="00B317BF" w:rsidRDefault="00763503">
      <w:pPr>
        <w:pStyle w:val="TOC3"/>
        <w:rPr>
          <w:rFonts w:asciiTheme="minorHAnsi" w:eastAsiaTheme="minorEastAsia" w:hAnsiTheme="minorHAnsi" w:cstheme="minorBidi"/>
          <w:szCs w:val="22"/>
        </w:rPr>
      </w:pPr>
      <w:hyperlink w:anchor="_Toc114214419" w:history="1">
        <w:r w:rsidR="00B317BF" w:rsidRPr="0021371F">
          <w:rPr>
            <w:rStyle w:val="Hyperlink"/>
          </w:rPr>
          <w:t>Emerging industry sectors and providers</w:t>
        </w:r>
        <w:r w:rsidR="00B317BF">
          <w:rPr>
            <w:webHidden/>
          </w:rPr>
          <w:tab/>
        </w:r>
        <w:r w:rsidR="00B317BF">
          <w:rPr>
            <w:webHidden/>
          </w:rPr>
          <w:fldChar w:fldCharType="begin"/>
        </w:r>
        <w:r w:rsidR="00B317BF">
          <w:rPr>
            <w:webHidden/>
          </w:rPr>
          <w:instrText xml:space="preserve"> PAGEREF _Toc114214419 \h </w:instrText>
        </w:r>
        <w:r w:rsidR="00B317BF">
          <w:rPr>
            <w:webHidden/>
          </w:rPr>
        </w:r>
        <w:r w:rsidR="00B317BF">
          <w:rPr>
            <w:webHidden/>
          </w:rPr>
          <w:fldChar w:fldCharType="separate"/>
        </w:r>
        <w:r w:rsidR="00874195">
          <w:rPr>
            <w:webHidden/>
          </w:rPr>
          <w:t>21</w:t>
        </w:r>
        <w:r w:rsidR="00B317BF">
          <w:rPr>
            <w:webHidden/>
          </w:rPr>
          <w:fldChar w:fldCharType="end"/>
        </w:r>
      </w:hyperlink>
    </w:p>
    <w:p w14:paraId="17D180AB" w14:textId="4AFFED23" w:rsidR="00B317BF" w:rsidRDefault="00763503">
      <w:pPr>
        <w:pStyle w:val="TOC3"/>
        <w:rPr>
          <w:rFonts w:asciiTheme="minorHAnsi" w:eastAsiaTheme="minorEastAsia" w:hAnsiTheme="minorHAnsi" w:cstheme="minorBidi"/>
          <w:szCs w:val="22"/>
        </w:rPr>
      </w:pPr>
      <w:hyperlink w:anchor="_Toc114214420" w:history="1">
        <w:r w:rsidR="00B317BF" w:rsidRPr="0021371F">
          <w:rPr>
            <w:rStyle w:val="Hyperlink"/>
          </w:rPr>
          <w:t>Capital expenditure</w:t>
        </w:r>
        <w:r w:rsidR="00B317BF">
          <w:rPr>
            <w:webHidden/>
          </w:rPr>
          <w:tab/>
        </w:r>
        <w:r w:rsidR="00B317BF">
          <w:rPr>
            <w:webHidden/>
          </w:rPr>
          <w:fldChar w:fldCharType="begin"/>
        </w:r>
        <w:r w:rsidR="00B317BF">
          <w:rPr>
            <w:webHidden/>
          </w:rPr>
          <w:instrText xml:space="preserve"> PAGEREF _Toc114214420 \h </w:instrText>
        </w:r>
        <w:r w:rsidR="00B317BF">
          <w:rPr>
            <w:webHidden/>
          </w:rPr>
        </w:r>
        <w:r w:rsidR="00B317BF">
          <w:rPr>
            <w:webHidden/>
          </w:rPr>
          <w:fldChar w:fldCharType="separate"/>
        </w:r>
        <w:r w:rsidR="00874195">
          <w:rPr>
            <w:webHidden/>
          </w:rPr>
          <w:t>21</w:t>
        </w:r>
        <w:r w:rsidR="00B317BF">
          <w:rPr>
            <w:webHidden/>
          </w:rPr>
          <w:fldChar w:fldCharType="end"/>
        </w:r>
      </w:hyperlink>
    </w:p>
    <w:p w14:paraId="5B41D64B" w14:textId="4B090569" w:rsidR="00B317BF" w:rsidRDefault="00763503">
      <w:pPr>
        <w:pStyle w:val="TOC3"/>
        <w:rPr>
          <w:rFonts w:asciiTheme="minorHAnsi" w:eastAsiaTheme="minorEastAsia" w:hAnsiTheme="minorHAnsi" w:cstheme="minorBidi"/>
          <w:szCs w:val="22"/>
        </w:rPr>
      </w:pPr>
      <w:hyperlink w:anchor="_Toc114214421" w:history="1">
        <w:r w:rsidR="00B317BF" w:rsidRPr="0021371F">
          <w:rPr>
            <w:rStyle w:val="Hyperlink"/>
          </w:rPr>
          <w:t>The recovery of other regulatory activities and indirect costs</w:t>
        </w:r>
        <w:r w:rsidR="00B317BF">
          <w:rPr>
            <w:webHidden/>
          </w:rPr>
          <w:tab/>
        </w:r>
        <w:r w:rsidR="00B317BF">
          <w:rPr>
            <w:webHidden/>
          </w:rPr>
          <w:fldChar w:fldCharType="begin"/>
        </w:r>
        <w:r w:rsidR="00B317BF">
          <w:rPr>
            <w:webHidden/>
          </w:rPr>
          <w:instrText xml:space="preserve"> PAGEREF _Toc114214421 \h </w:instrText>
        </w:r>
        <w:r w:rsidR="00B317BF">
          <w:rPr>
            <w:webHidden/>
          </w:rPr>
        </w:r>
        <w:r w:rsidR="00B317BF">
          <w:rPr>
            <w:webHidden/>
          </w:rPr>
          <w:fldChar w:fldCharType="separate"/>
        </w:r>
        <w:r w:rsidR="00874195">
          <w:rPr>
            <w:webHidden/>
          </w:rPr>
          <w:t>22</w:t>
        </w:r>
        <w:r w:rsidR="00B317BF">
          <w:rPr>
            <w:webHidden/>
          </w:rPr>
          <w:fldChar w:fldCharType="end"/>
        </w:r>
      </w:hyperlink>
    </w:p>
    <w:p w14:paraId="07C6E19A" w14:textId="7EC3B6DF" w:rsidR="00B317BF" w:rsidRDefault="00763503">
      <w:pPr>
        <w:pStyle w:val="TOC3"/>
        <w:rPr>
          <w:rFonts w:asciiTheme="minorHAnsi" w:eastAsiaTheme="minorEastAsia" w:hAnsiTheme="minorHAnsi" w:cstheme="minorBidi"/>
          <w:szCs w:val="22"/>
        </w:rPr>
      </w:pPr>
      <w:hyperlink w:anchor="_Toc114214422" w:history="1">
        <w:r w:rsidR="00B317BF" w:rsidRPr="0021371F">
          <w:rPr>
            <w:rStyle w:val="Hyperlink"/>
          </w:rPr>
          <w:t>Variance between estimated and actual levies</w:t>
        </w:r>
        <w:r w:rsidR="00B317BF">
          <w:rPr>
            <w:webHidden/>
          </w:rPr>
          <w:tab/>
        </w:r>
        <w:r w:rsidR="00B317BF">
          <w:rPr>
            <w:webHidden/>
          </w:rPr>
          <w:fldChar w:fldCharType="begin"/>
        </w:r>
        <w:r w:rsidR="00B317BF">
          <w:rPr>
            <w:webHidden/>
          </w:rPr>
          <w:instrText xml:space="preserve"> PAGEREF _Toc114214422 \h </w:instrText>
        </w:r>
        <w:r w:rsidR="00B317BF">
          <w:rPr>
            <w:webHidden/>
          </w:rPr>
        </w:r>
        <w:r w:rsidR="00B317BF">
          <w:rPr>
            <w:webHidden/>
          </w:rPr>
          <w:fldChar w:fldCharType="separate"/>
        </w:r>
        <w:r w:rsidR="00874195">
          <w:rPr>
            <w:webHidden/>
          </w:rPr>
          <w:t>22</w:t>
        </w:r>
        <w:r w:rsidR="00B317BF">
          <w:rPr>
            <w:webHidden/>
          </w:rPr>
          <w:fldChar w:fldCharType="end"/>
        </w:r>
      </w:hyperlink>
    </w:p>
    <w:p w14:paraId="73C98910" w14:textId="2FAD7FC7" w:rsidR="00B317BF" w:rsidRDefault="00763503">
      <w:pPr>
        <w:pStyle w:val="TOC3"/>
        <w:rPr>
          <w:rFonts w:asciiTheme="minorHAnsi" w:eastAsiaTheme="minorEastAsia" w:hAnsiTheme="minorHAnsi" w:cstheme="minorBidi"/>
          <w:szCs w:val="22"/>
        </w:rPr>
      </w:pPr>
      <w:hyperlink w:anchor="_Toc114214423" w:history="1">
        <w:r w:rsidR="00B317BF" w:rsidRPr="0021371F">
          <w:rPr>
            <w:rStyle w:val="Hyperlink"/>
          </w:rPr>
          <w:t>Increases and volatility in actual levy amounts across years</w:t>
        </w:r>
        <w:r w:rsidR="00B317BF">
          <w:rPr>
            <w:webHidden/>
          </w:rPr>
          <w:tab/>
        </w:r>
        <w:r w:rsidR="00B317BF">
          <w:rPr>
            <w:webHidden/>
          </w:rPr>
          <w:fldChar w:fldCharType="begin"/>
        </w:r>
        <w:r w:rsidR="00B317BF">
          <w:rPr>
            <w:webHidden/>
          </w:rPr>
          <w:instrText xml:space="preserve"> PAGEREF _Toc114214423 \h </w:instrText>
        </w:r>
        <w:r w:rsidR="00B317BF">
          <w:rPr>
            <w:webHidden/>
          </w:rPr>
        </w:r>
        <w:r w:rsidR="00B317BF">
          <w:rPr>
            <w:webHidden/>
          </w:rPr>
          <w:fldChar w:fldCharType="separate"/>
        </w:r>
        <w:r w:rsidR="00874195">
          <w:rPr>
            <w:webHidden/>
          </w:rPr>
          <w:t>24</w:t>
        </w:r>
        <w:r w:rsidR="00B317BF">
          <w:rPr>
            <w:webHidden/>
          </w:rPr>
          <w:fldChar w:fldCharType="end"/>
        </w:r>
      </w:hyperlink>
    </w:p>
    <w:p w14:paraId="159C2CE4" w14:textId="14C00C6B" w:rsidR="00B317BF" w:rsidRDefault="00763503">
      <w:pPr>
        <w:pStyle w:val="TOC1"/>
        <w:rPr>
          <w:rFonts w:asciiTheme="minorHAnsi" w:eastAsiaTheme="minorEastAsia" w:hAnsiTheme="minorHAnsi" w:cstheme="minorBidi"/>
          <w:b w:val="0"/>
          <w:color w:val="auto"/>
        </w:rPr>
      </w:pPr>
      <w:hyperlink w:anchor="_Toc114214424" w:history="1">
        <w:r w:rsidR="00B317BF" w:rsidRPr="0021371F">
          <w:rPr>
            <w:rStyle w:val="Hyperlink"/>
          </w:rPr>
          <w:t>Fees-for-service</w:t>
        </w:r>
        <w:r w:rsidR="00B317BF">
          <w:rPr>
            <w:webHidden/>
          </w:rPr>
          <w:tab/>
        </w:r>
        <w:r w:rsidR="00B317BF">
          <w:rPr>
            <w:webHidden/>
          </w:rPr>
          <w:fldChar w:fldCharType="begin"/>
        </w:r>
        <w:r w:rsidR="00B317BF">
          <w:rPr>
            <w:webHidden/>
          </w:rPr>
          <w:instrText xml:space="preserve"> PAGEREF _Toc114214424 \h </w:instrText>
        </w:r>
        <w:r w:rsidR="00B317BF">
          <w:rPr>
            <w:webHidden/>
          </w:rPr>
        </w:r>
        <w:r w:rsidR="00B317BF">
          <w:rPr>
            <w:webHidden/>
          </w:rPr>
          <w:fldChar w:fldCharType="separate"/>
        </w:r>
        <w:r w:rsidR="00874195">
          <w:rPr>
            <w:webHidden/>
          </w:rPr>
          <w:t>29</w:t>
        </w:r>
        <w:r w:rsidR="00B317BF">
          <w:rPr>
            <w:webHidden/>
          </w:rPr>
          <w:fldChar w:fldCharType="end"/>
        </w:r>
      </w:hyperlink>
    </w:p>
    <w:p w14:paraId="2372E6E5" w14:textId="3EC78F23" w:rsidR="00B317BF" w:rsidRDefault="00763503">
      <w:pPr>
        <w:pStyle w:val="TOC2"/>
        <w:tabs>
          <w:tab w:val="left" w:pos="660"/>
        </w:tabs>
        <w:rPr>
          <w:rFonts w:asciiTheme="minorHAnsi" w:eastAsiaTheme="minorEastAsia" w:hAnsiTheme="minorHAnsi" w:cstheme="minorBidi"/>
          <w:color w:val="auto"/>
          <w:szCs w:val="22"/>
        </w:rPr>
      </w:pPr>
      <w:hyperlink w:anchor="_Toc114214425" w:history="1">
        <w:r w:rsidR="00B317BF" w:rsidRPr="0021371F">
          <w:rPr>
            <w:rStyle w:val="Hyperlink"/>
          </w:rPr>
          <w:t>1.</w:t>
        </w:r>
        <w:r w:rsidR="00B317BF">
          <w:rPr>
            <w:rFonts w:asciiTheme="minorHAnsi" w:eastAsiaTheme="minorEastAsia" w:hAnsiTheme="minorHAnsi" w:cstheme="minorBidi"/>
            <w:color w:val="auto"/>
            <w:szCs w:val="22"/>
          </w:rPr>
          <w:tab/>
        </w:r>
        <w:r w:rsidR="00B317BF" w:rsidRPr="0021371F">
          <w:rPr>
            <w:rStyle w:val="Hyperlink"/>
          </w:rPr>
          <w:t>Overview</w:t>
        </w:r>
        <w:r w:rsidR="00B317BF">
          <w:rPr>
            <w:webHidden/>
          </w:rPr>
          <w:tab/>
        </w:r>
        <w:r w:rsidR="00B317BF">
          <w:rPr>
            <w:webHidden/>
          </w:rPr>
          <w:fldChar w:fldCharType="begin"/>
        </w:r>
        <w:r w:rsidR="00B317BF">
          <w:rPr>
            <w:webHidden/>
          </w:rPr>
          <w:instrText xml:space="preserve"> PAGEREF _Toc114214425 \h </w:instrText>
        </w:r>
        <w:r w:rsidR="00B317BF">
          <w:rPr>
            <w:webHidden/>
          </w:rPr>
        </w:r>
        <w:r w:rsidR="00B317BF">
          <w:rPr>
            <w:webHidden/>
          </w:rPr>
          <w:fldChar w:fldCharType="separate"/>
        </w:r>
        <w:r w:rsidR="00874195">
          <w:rPr>
            <w:webHidden/>
          </w:rPr>
          <w:t>29</w:t>
        </w:r>
        <w:r w:rsidR="00B317BF">
          <w:rPr>
            <w:webHidden/>
          </w:rPr>
          <w:fldChar w:fldCharType="end"/>
        </w:r>
      </w:hyperlink>
    </w:p>
    <w:p w14:paraId="0A109E49" w14:textId="6DFA959D" w:rsidR="00B317BF" w:rsidRDefault="00763503">
      <w:pPr>
        <w:pStyle w:val="TOC2"/>
        <w:tabs>
          <w:tab w:val="left" w:pos="660"/>
        </w:tabs>
        <w:rPr>
          <w:rFonts w:asciiTheme="minorHAnsi" w:eastAsiaTheme="minorEastAsia" w:hAnsiTheme="minorHAnsi" w:cstheme="minorBidi"/>
          <w:color w:val="auto"/>
          <w:szCs w:val="22"/>
        </w:rPr>
      </w:pPr>
      <w:hyperlink w:anchor="_Toc114214426" w:history="1">
        <w:r w:rsidR="00B317BF" w:rsidRPr="0021371F">
          <w:rPr>
            <w:rStyle w:val="Hyperlink"/>
          </w:rPr>
          <w:t>2.</w:t>
        </w:r>
        <w:r w:rsidR="00B317BF">
          <w:rPr>
            <w:rFonts w:asciiTheme="minorHAnsi" w:eastAsiaTheme="minorEastAsia" w:hAnsiTheme="minorHAnsi" w:cstheme="minorBidi"/>
            <w:color w:val="auto"/>
            <w:szCs w:val="22"/>
          </w:rPr>
          <w:tab/>
        </w:r>
        <w:r w:rsidR="00B317BF" w:rsidRPr="0021371F">
          <w:rPr>
            <w:rStyle w:val="Hyperlink"/>
          </w:rPr>
          <w:t>Key features of the fees-for-service model</w:t>
        </w:r>
        <w:r w:rsidR="00B317BF">
          <w:rPr>
            <w:webHidden/>
          </w:rPr>
          <w:tab/>
        </w:r>
        <w:r w:rsidR="00B317BF">
          <w:rPr>
            <w:webHidden/>
          </w:rPr>
          <w:fldChar w:fldCharType="begin"/>
        </w:r>
        <w:r w:rsidR="00B317BF">
          <w:rPr>
            <w:webHidden/>
          </w:rPr>
          <w:instrText xml:space="preserve"> PAGEREF _Toc114214426 \h </w:instrText>
        </w:r>
        <w:r w:rsidR="00B317BF">
          <w:rPr>
            <w:webHidden/>
          </w:rPr>
        </w:r>
        <w:r w:rsidR="00B317BF">
          <w:rPr>
            <w:webHidden/>
          </w:rPr>
          <w:fldChar w:fldCharType="separate"/>
        </w:r>
        <w:r w:rsidR="00874195">
          <w:rPr>
            <w:webHidden/>
          </w:rPr>
          <w:t>29</w:t>
        </w:r>
        <w:r w:rsidR="00B317BF">
          <w:rPr>
            <w:webHidden/>
          </w:rPr>
          <w:fldChar w:fldCharType="end"/>
        </w:r>
      </w:hyperlink>
    </w:p>
    <w:p w14:paraId="3A9507C0" w14:textId="648A477E" w:rsidR="00B317BF" w:rsidRDefault="00763503">
      <w:pPr>
        <w:pStyle w:val="TOC2"/>
        <w:tabs>
          <w:tab w:val="left" w:pos="660"/>
        </w:tabs>
        <w:rPr>
          <w:rFonts w:asciiTheme="minorHAnsi" w:eastAsiaTheme="minorEastAsia" w:hAnsiTheme="minorHAnsi" w:cstheme="minorBidi"/>
          <w:color w:val="auto"/>
          <w:szCs w:val="22"/>
        </w:rPr>
      </w:pPr>
      <w:hyperlink w:anchor="_Toc114214427" w:history="1">
        <w:r w:rsidR="00B317BF" w:rsidRPr="0021371F">
          <w:rPr>
            <w:rStyle w:val="Hyperlink"/>
          </w:rPr>
          <w:t>3.</w:t>
        </w:r>
        <w:r w:rsidR="00B317BF">
          <w:rPr>
            <w:rFonts w:asciiTheme="minorHAnsi" w:eastAsiaTheme="minorEastAsia" w:hAnsiTheme="minorHAnsi" w:cstheme="minorBidi"/>
            <w:color w:val="auto"/>
            <w:szCs w:val="22"/>
          </w:rPr>
          <w:tab/>
        </w:r>
        <w:r w:rsidR="00B317BF" w:rsidRPr="0021371F">
          <w:rPr>
            <w:rStyle w:val="Hyperlink"/>
          </w:rPr>
          <w:t>Key issues related to fees</w:t>
        </w:r>
        <w:r w:rsidR="00B317BF">
          <w:rPr>
            <w:webHidden/>
          </w:rPr>
          <w:tab/>
        </w:r>
        <w:r w:rsidR="00B317BF">
          <w:rPr>
            <w:webHidden/>
          </w:rPr>
          <w:fldChar w:fldCharType="begin"/>
        </w:r>
        <w:r w:rsidR="00B317BF">
          <w:rPr>
            <w:webHidden/>
          </w:rPr>
          <w:instrText xml:space="preserve"> PAGEREF _Toc114214427 \h </w:instrText>
        </w:r>
        <w:r w:rsidR="00B317BF">
          <w:rPr>
            <w:webHidden/>
          </w:rPr>
        </w:r>
        <w:r w:rsidR="00B317BF">
          <w:rPr>
            <w:webHidden/>
          </w:rPr>
          <w:fldChar w:fldCharType="separate"/>
        </w:r>
        <w:r w:rsidR="00874195">
          <w:rPr>
            <w:webHidden/>
          </w:rPr>
          <w:t>30</w:t>
        </w:r>
        <w:r w:rsidR="00B317BF">
          <w:rPr>
            <w:webHidden/>
          </w:rPr>
          <w:fldChar w:fldCharType="end"/>
        </w:r>
      </w:hyperlink>
    </w:p>
    <w:p w14:paraId="02571131" w14:textId="30356F7C" w:rsidR="00B317BF" w:rsidRDefault="00763503">
      <w:pPr>
        <w:pStyle w:val="TOC3"/>
        <w:rPr>
          <w:rFonts w:asciiTheme="minorHAnsi" w:eastAsiaTheme="minorEastAsia" w:hAnsiTheme="minorHAnsi" w:cstheme="minorBidi"/>
          <w:szCs w:val="22"/>
        </w:rPr>
      </w:pPr>
      <w:hyperlink w:anchor="_Toc114214428" w:history="1">
        <w:r w:rsidR="00B317BF" w:rsidRPr="0021371F">
          <w:rPr>
            <w:rStyle w:val="Hyperlink"/>
            <w:shd w:val="clear" w:color="auto" w:fill="FFFFFF"/>
          </w:rPr>
          <w:t>Full cost recovery through fees</w:t>
        </w:r>
        <w:r w:rsidR="00B317BF">
          <w:rPr>
            <w:webHidden/>
          </w:rPr>
          <w:tab/>
        </w:r>
        <w:r w:rsidR="00B317BF">
          <w:rPr>
            <w:webHidden/>
          </w:rPr>
          <w:fldChar w:fldCharType="begin"/>
        </w:r>
        <w:r w:rsidR="00B317BF">
          <w:rPr>
            <w:webHidden/>
          </w:rPr>
          <w:instrText xml:space="preserve"> PAGEREF _Toc114214428 \h </w:instrText>
        </w:r>
        <w:r w:rsidR="00B317BF">
          <w:rPr>
            <w:webHidden/>
          </w:rPr>
        </w:r>
        <w:r w:rsidR="00B317BF">
          <w:rPr>
            <w:webHidden/>
          </w:rPr>
          <w:fldChar w:fldCharType="separate"/>
        </w:r>
        <w:r w:rsidR="00874195">
          <w:rPr>
            <w:webHidden/>
          </w:rPr>
          <w:t>30</w:t>
        </w:r>
        <w:r w:rsidR="00B317BF">
          <w:rPr>
            <w:webHidden/>
          </w:rPr>
          <w:fldChar w:fldCharType="end"/>
        </w:r>
      </w:hyperlink>
    </w:p>
    <w:p w14:paraId="613B405E" w14:textId="3E844B40" w:rsidR="00B317BF" w:rsidRDefault="00763503">
      <w:pPr>
        <w:pStyle w:val="TOC3"/>
        <w:rPr>
          <w:rFonts w:asciiTheme="minorHAnsi" w:eastAsiaTheme="minorEastAsia" w:hAnsiTheme="minorHAnsi" w:cstheme="minorBidi"/>
          <w:szCs w:val="22"/>
        </w:rPr>
      </w:pPr>
      <w:hyperlink w:anchor="_Toc114214429" w:history="1">
        <w:r w:rsidR="00B317BF" w:rsidRPr="0021371F">
          <w:rPr>
            <w:rStyle w:val="Hyperlink"/>
          </w:rPr>
          <w:t>Flexibility of the IFM to respond to changes</w:t>
        </w:r>
        <w:r w:rsidR="00B317BF">
          <w:rPr>
            <w:webHidden/>
          </w:rPr>
          <w:tab/>
        </w:r>
        <w:r w:rsidR="00B317BF">
          <w:rPr>
            <w:webHidden/>
          </w:rPr>
          <w:fldChar w:fldCharType="begin"/>
        </w:r>
        <w:r w:rsidR="00B317BF">
          <w:rPr>
            <w:webHidden/>
          </w:rPr>
          <w:instrText xml:space="preserve"> PAGEREF _Toc114214429 \h </w:instrText>
        </w:r>
        <w:r w:rsidR="00B317BF">
          <w:rPr>
            <w:webHidden/>
          </w:rPr>
        </w:r>
        <w:r w:rsidR="00B317BF">
          <w:rPr>
            <w:webHidden/>
          </w:rPr>
          <w:fldChar w:fldCharType="separate"/>
        </w:r>
        <w:r w:rsidR="00874195">
          <w:rPr>
            <w:webHidden/>
          </w:rPr>
          <w:t>31</w:t>
        </w:r>
        <w:r w:rsidR="00B317BF">
          <w:rPr>
            <w:webHidden/>
          </w:rPr>
          <w:fldChar w:fldCharType="end"/>
        </w:r>
      </w:hyperlink>
    </w:p>
    <w:p w14:paraId="39213F80" w14:textId="79FC7966" w:rsidR="00B317BF" w:rsidRDefault="00763503">
      <w:pPr>
        <w:pStyle w:val="TOC3"/>
        <w:rPr>
          <w:rFonts w:asciiTheme="minorHAnsi" w:eastAsiaTheme="minorEastAsia" w:hAnsiTheme="minorHAnsi" w:cstheme="minorBidi"/>
          <w:szCs w:val="22"/>
        </w:rPr>
      </w:pPr>
      <w:hyperlink w:anchor="_Toc114214430" w:history="1">
        <w:r w:rsidR="00B317BF" w:rsidRPr="0021371F">
          <w:rPr>
            <w:rStyle w:val="Hyperlink"/>
          </w:rPr>
          <w:t>Fees charged for licence and registration cancellations</w:t>
        </w:r>
        <w:r w:rsidR="00B317BF">
          <w:rPr>
            <w:webHidden/>
          </w:rPr>
          <w:tab/>
        </w:r>
        <w:r w:rsidR="00B317BF">
          <w:rPr>
            <w:webHidden/>
          </w:rPr>
          <w:fldChar w:fldCharType="begin"/>
        </w:r>
        <w:r w:rsidR="00B317BF">
          <w:rPr>
            <w:webHidden/>
          </w:rPr>
          <w:instrText xml:space="preserve"> PAGEREF _Toc114214430 \h </w:instrText>
        </w:r>
        <w:r w:rsidR="00B317BF">
          <w:rPr>
            <w:webHidden/>
          </w:rPr>
        </w:r>
        <w:r w:rsidR="00B317BF">
          <w:rPr>
            <w:webHidden/>
          </w:rPr>
          <w:fldChar w:fldCharType="separate"/>
        </w:r>
        <w:r w:rsidR="00874195">
          <w:rPr>
            <w:webHidden/>
          </w:rPr>
          <w:t>32</w:t>
        </w:r>
        <w:r w:rsidR="00B317BF">
          <w:rPr>
            <w:webHidden/>
          </w:rPr>
          <w:fldChar w:fldCharType="end"/>
        </w:r>
      </w:hyperlink>
    </w:p>
    <w:p w14:paraId="4B8DEAD0" w14:textId="1AF6F966" w:rsidR="00B317BF" w:rsidRDefault="00763503">
      <w:pPr>
        <w:pStyle w:val="TOC3"/>
        <w:rPr>
          <w:rFonts w:asciiTheme="minorHAnsi" w:eastAsiaTheme="minorEastAsia" w:hAnsiTheme="minorHAnsi" w:cstheme="minorBidi"/>
          <w:szCs w:val="22"/>
        </w:rPr>
      </w:pPr>
      <w:hyperlink w:anchor="_Toc114214431" w:history="1">
        <w:r w:rsidR="00B317BF" w:rsidRPr="0021371F">
          <w:rPr>
            <w:rStyle w:val="Hyperlink"/>
          </w:rPr>
          <w:t>Fees charged for relief applications</w:t>
        </w:r>
        <w:r w:rsidR="00B317BF">
          <w:rPr>
            <w:webHidden/>
          </w:rPr>
          <w:tab/>
        </w:r>
        <w:r w:rsidR="00B317BF">
          <w:rPr>
            <w:webHidden/>
          </w:rPr>
          <w:fldChar w:fldCharType="begin"/>
        </w:r>
        <w:r w:rsidR="00B317BF">
          <w:rPr>
            <w:webHidden/>
          </w:rPr>
          <w:instrText xml:space="preserve"> PAGEREF _Toc114214431 \h </w:instrText>
        </w:r>
        <w:r w:rsidR="00B317BF">
          <w:rPr>
            <w:webHidden/>
          </w:rPr>
        </w:r>
        <w:r w:rsidR="00B317BF">
          <w:rPr>
            <w:webHidden/>
          </w:rPr>
          <w:fldChar w:fldCharType="separate"/>
        </w:r>
        <w:r w:rsidR="00874195">
          <w:rPr>
            <w:webHidden/>
          </w:rPr>
          <w:t>33</w:t>
        </w:r>
        <w:r w:rsidR="00B317BF">
          <w:rPr>
            <w:webHidden/>
          </w:rPr>
          <w:fldChar w:fldCharType="end"/>
        </w:r>
      </w:hyperlink>
    </w:p>
    <w:p w14:paraId="1E761B2F" w14:textId="65CE106D" w:rsidR="00B317BF" w:rsidRDefault="00763503">
      <w:pPr>
        <w:pStyle w:val="TOC1"/>
        <w:rPr>
          <w:rFonts w:asciiTheme="minorHAnsi" w:eastAsiaTheme="minorEastAsia" w:hAnsiTheme="minorHAnsi" w:cstheme="minorBidi"/>
          <w:b w:val="0"/>
          <w:color w:val="auto"/>
        </w:rPr>
      </w:pPr>
      <w:hyperlink w:anchor="_Toc114214432" w:history="1">
        <w:r w:rsidR="00B317BF" w:rsidRPr="0021371F">
          <w:rPr>
            <w:rStyle w:val="Hyperlink"/>
          </w:rPr>
          <w:t>Reporting, transparency and consultation</w:t>
        </w:r>
        <w:r w:rsidR="00B317BF">
          <w:rPr>
            <w:webHidden/>
          </w:rPr>
          <w:tab/>
        </w:r>
        <w:r w:rsidR="00B317BF">
          <w:rPr>
            <w:webHidden/>
          </w:rPr>
          <w:fldChar w:fldCharType="begin"/>
        </w:r>
        <w:r w:rsidR="00B317BF">
          <w:rPr>
            <w:webHidden/>
          </w:rPr>
          <w:instrText xml:space="preserve"> PAGEREF _Toc114214432 \h </w:instrText>
        </w:r>
        <w:r w:rsidR="00B317BF">
          <w:rPr>
            <w:webHidden/>
          </w:rPr>
        </w:r>
        <w:r w:rsidR="00B317BF">
          <w:rPr>
            <w:webHidden/>
          </w:rPr>
          <w:fldChar w:fldCharType="separate"/>
        </w:r>
        <w:r w:rsidR="00874195">
          <w:rPr>
            <w:webHidden/>
          </w:rPr>
          <w:t>34</w:t>
        </w:r>
        <w:r w:rsidR="00B317BF">
          <w:rPr>
            <w:webHidden/>
          </w:rPr>
          <w:fldChar w:fldCharType="end"/>
        </w:r>
      </w:hyperlink>
    </w:p>
    <w:p w14:paraId="33FDA9F3" w14:textId="4FFD9BCA" w:rsidR="00B317BF" w:rsidRDefault="00763503">
      <w:pPr>
        <w:pStyle w:val="TOC2"/>
        <w:tabs>
          <w:tab w:val="left" w:pos="660"/>
        </w:tabs>
        <w:rPr>
          <w:rFonts w:asciiTheme="minorHAnsi" w:eastAsiaTheme="minorEastAsia" w:hAnsiTheme="minorHAnsi" w:cstheme="minorBidi"/>
          <w:color w:val="auto"/>
          <w:szCs w:val="22"/>
        </w:rPr>
      </w:pPr>
      <w:hyperlink w:anchor="_Toc114214433" w:history="1">
        <w:r w:rsidR="00B317BF" w:rsidRPr="0021371F">
          <w:rPr>
            <w:rStyle w:val="Hyperlink"/>
          </w:rPr>
          <w:t>1.</w:t>
        </w:r>
        <w:r w:rsidR="00B317BF">
          <w:rPr>
            <w:rFonts w:asciiTheme="minorHAnsi" w:eastAsiaTheme="minorEastAsia" w:hAnsiTheme="minorHAnsi" w:cstheme="minorBidi"/>
            <w:color w:val="auto"/>
            <w:szCs w:val="22"/>
          </w:rPr>
          <w:tab/>
        </w:r>
        <w:r w:rsidR="00B317BF" w:rsidRPr="0021371F">
          <w:rPr>
            <w:rStyle w:val="Hyperlink"/>
          </w:rPr>
          <w:t>Overview</w:t>
        </w:r>
        <w:r w:rsidR="00B317BF">
          <w:rPr>
            <w:webHidden/>
          </w:rPr>
          <w:tab/>
        </w:r>
        <w:r w:rsidR="00B317BF">
          <w:rPr>
            <w:webHidden/>
          </w:rPr>
          <w:fldChar w:fldCharType="begin"/>
        </w:r>
        <w:r w:rsidR="00B317BF">
          <w:rPr>
            <w:webHidden/>
          </w:rPr>
          <w:instrText xml:space="preserve"> PAGEREF _Toc114214433 \h </w:instrText>
        </w:r>
        <w:r w:rsidR="00B317BF">
          <w:rPr>
            <w:webHidden/>
          </w:rPr>
        </w:r>
        <w:r w:rsidR="00B317BF">
          <w:rPr>
            <w:webHidden/>
          </w:rPr>
          <w:fldChar w:fldCharType="separate"/>
        </w:r>
        <w:r w:rsidR="00874195">
          <w:rPr>
            <w:webHidden/>
          </w:rPr>
          <w:t>34</w:t>
        </w:r>
        <w:r w:rsidR="00B317BF">
          <w:rPr>
            <w:webHidden/>
          </w:rPr>
          <w:fldChar w:fldCharType="end"/>
        </w:r>
      </w:hyperlink>
    </w:p>
    <w:p w14:paraId="256D9AE2" w14:textId="11EC8F98" w:rsidR="00B317BF" w:rsidRDefault="00763503">
      <w:pPr>
        <w:pStyle w:val="TOC2"/>
        <w:tabs>
          <w:tab w:val="left" w:pos="660"/>
        </w:tabs>
        <w:rPr>
          <w:rFonts w:asciiTheme="minorHAnsi" w:eastAsiaTheme="minorEastAsia" w:hAnsiTheme="minorHAnsi" w:cstheme="minorBidi"/>
          <w:color w:val="auto"/>
          <w:szCs w:val="22"/>
        </w:rPr>
      </w:pPr>
      <w:hyperlink w:anchor="_Toc114214434" w:history="1">
        <w:r w:rsidR="00B317BF" w:rsidRPr="0021371F">
          <w:rPr>
            <w:rStyle w:val="Hyperlink"/>
          </w:rPr>
          <w:t>2.</w:t>
        </w:r>
        <w:r w:rsidR="00B317BF">
          <w:rPr>
            <w:rFonts w:asciiTheme="minorHAnsi" w:eastAsiaTheme="minorEastAsia" w:hAnsiTheme="minorHAnsi" w:cstheme="minorBidi"/>
            <w:color w:val="auto"/>
            <w:szCs w:val="22"/>
          </w:rPr>
          <w:tab/>
        </w:r>
        <w:r w:rsidR="00B317BF" w:rsidRPr="0021371F">
          <w:rPr>
            <w:rStyle w:val="Hyperlink"/>
          </w:rPr>
          <w:t>Key features of reporting, transparency and consultation</w:t>
        </w:r>
        <w:r w:rsidR="00B317BF">
          <w:rPr>
            <w:webHidden/>
          </w:rPr>
          <w:tab/>
        </w:r>
        <w:r w:rsidR="00B317BF">
          <w:rPr>
            <w:webHidden/>
          </w:rPr>
          <w:fldChar w:fldCharType="begin"/>
        </w:r>
        <w:r w:rsidR="00B317BF">
          <w:rPr>
            <w:webHidden/>
          </w:rPr>
          <w:instrText xml:space="preserve"> PAGEREF _Toc114214434 \h </w:instrText>
        </w:r>
        <w:r w:rsidR="00B317BF">
          <w:rPr>
            <w:webHidden/>
          </w:rPr>
        </w:r>
        <w:r w:rsidR="00B317BF">
          <w:rPr>
            <w:webHidden/>
          </w:rPr>
          <w:fldChar w:fldCharType="separate"/>
        </w:r>
        <w:r w:rsidR="00874195">
          <w:rPr>
            <w:webHidden/>
          </w:rPr>
          <w:t>34</w:t>
        </w:r>
        <w:r w:rsidR="00B317BF">
          <w:rPr>
            <w:webHidden/>
          </w:rPr>
          <w:fldChar w:fldCharType="end"/>
        </w:r>
      </w:hyperlink>
    </w:p>
    <w:p w14:paraId="78DB8E24" w14:textId="24FD3142" w:rsidR="00B317BF" w:rsidRDefault="00763503">
      <w:pPr>
        <w:pStyle w:val="TOC3"/>
        <w:rPr>
          <w:rFonts w:asciiTheme="minorHAnsi" w:eastAsiaTheme="minorEastAsia" w:hAnsiTheme="minorHAnsi" w:cstheme="minorBidi"/>
          <w:szCs w:val="22"/>
        </w:rPr>
      </w:pPr>
      <w:hyperlink w:anchor="_Toc114214435" w:history="1">
        <w:r w:rsidR="00B317BF" w:rsidRPr="0021371F">
          <w:rPr>
            <w:rStyle w:val="Hyperlink"/>
          </w:rPr>
          <w:t>Cost Recovery Implementation Statement (CRIS)</w:t>
        </w:r>
        <w:r w:rsidR="00B317BF">
          <w:rPr>
            <w:webHidden/>
          </w:rPr>
          <w:tab/>
        </w:r>
        <w:r w:rsidR="00B317BF">
          <w:rPr>
            <w:webHidden/>
          </w:rPr>
          <w:fldChar w:fldCharType="begin"/>
        </w:r>
        <w:r w:rsidR="00B317BF">
          <w:rPr>
            <w:webHidden/>
          </w:rPr>
          <w:instrText xml:space="preserve"> PAGEREF _Toc114214435 \h </w:instrText>
        </w:r>
        <w:r w:rsidR="00B317BF">
          <w:rPr>
            <w:webHidden/>
          </w:rPr>
        </w:r>
        <w:r w:rsidR="00B317BF">
          <w:rPr>
            <w:webHidden/>
          </w:rPr>
          <w:fldChar w:fldCharType="separate"/>
        </w:r>
        <w:r w:rsidR="00874195">
          <w:rPr>
            <w:webHidden/>
          </w:rPr>
          <w:t>34</w:t>
        </w:r>
        <w:r w:rsidR="00B317BF">
          <w:rPr>
            <w:webHidden/>
          </w:rPr>
          <w:fldChar w:fldCharType="end"/>
        </w:r>
      </w:hyperlink>
    </w:p>
    <w:p w14:paraId="19E8E435" w14:textId="591C299B" w:rsidR="00B317BF" w:rsidRDefault="00763503">
      <w:pPr>
        <w:pStyle w:val="TOC3"/>
        <w:rPr>
          <w:rFonts w:asciiTheme="minorHAnsi" w:eastAsiaTheme="minorEastAsia" w:hAnsiTheme="minorHAnsi" w:cstheme="minorBidi"/>
          <w:szCs w:val="22"/>
        </w:rPr>
      </w:pPr>
      <w:hyperlink w:anchor="_Toc114214436" w:history="1">
        <w:r w:rsidR="00B317BF" w:rsidRPr="0021371F">
          <w:rPr>
            <w:rStyle w:val="Hyperlink"/>
          </w:rPr>
          <w:t>Corporate Plan</w:t>
        </w:r>
        <w:r w:rsidR="00B317BF">
          <w:rPr>
            <w:webHidden/>
          </w:rPr>
          <w:tab/>
        </w:r>
        <w:r w:rsidR="00B317BF">
          <w:rPr>
            <w:webHidden/>
          </w:rPr>
          <w:fldChar w:fldCharType="begin"/>
        </w:r>
        <w:r w:rsidR="00B317BF">
          <w:rPr>
            <w:webHidden/>
          </w:rPr>
          <w:instrText xml:space="preserve"> PAGEREF _Toc114214436 \h </w:instrText>
        </w:r>
        <w:r w:rsidR="00B317BF">
          <w:rPr>
            <w:webHidden/>
          </w:rPr>
        </w:r>
        <w:r w:rsidR="00B317BF">
          <w:rPr>
            <w:webHidden/>
          </w:rPr>
          <w:fldChar w:fldCharType="separate"/>
        </w:r>
        <w:r w:rsidR="00874195">
          <w:rPr>
            <w:webHidden/>
          </w:rPr>
          <w:t>35</w:t>
        </w:r>
        <w:r w:rsidR="00B317BF">
          <w:rPr>
            <w:webHidden/>
          </w:rPr>
          <w:fldChar w:fldCharType="end"/>
        </w:r>
      </w:hyperlink>
    </w:p>
    <w:p w14:paraId="168772BD" w14:textId="2C5B8366" w:rsidR="00B317BF" w:rsidRDefault="00763503">
      <w:pPr>
        <w:pStyle w:val="TOC3"/>
        <w:rPr>
          <w:rFonts w:asciiTheme="minorHAnsi" w:eastAsiaTheme="minorEastAsia" w:hAnsiTheme="minorHAnsi" w:cstheme="minorBidi"/>
          <w:szCs w:val="22"/>
        </w:rPr>
      </w:pPr>
      <w:hyperlink w:anchor="_Toc114214437" w:history="1">
        <w:r w:rsidR="00B317BF" w:rsidRPr="0021371F">
          <w:rPr>
            <w:rStyle w:val="Hyperlink"/>
          </w:rPr>
          <w:t>Annual Report</w:t>
        </w:r>
        <w:r w:rsidR="00B317BF">
          <w:rPr>
            <w:webHidden/>
          </w:rPr>
          <w:tab/>
        </w:r>
        <w:r w:rsidR="00B317BF">
          <w:rPr>
            <w:webHidden/>
          </w:rPr>
          <w:fldChar w:fldCharType="begin"/>
        </w:r>
        <w:r w:rsidR="00B317BF">
          <w:rPr>
            <w:webHidden/>
          </w:rPr>
          <w:instrText xml:space="preserve"> PAGEREF _Toc114214437 \h </w:instrText>
        </w:r>
        <w:r w:rsidR="00B317BF">
          <w:rPr>
            <w:webHidden/>
          </w:rPr>
        </w:r>
        <w:r w:rsidR="00B317BF">
          <w:rPr>
            <w:webHidden/>
          </w:rPr>
          <w:fldChar w:fldCharType="separate"/>
        </w:r>
        <w:r w:rsidR="00874195">
          <w:rPr>
            <w:webHidden/>
          </w:rPr>
          <w:t>36</w:t>
        </w:r>
        <w:r w:rsidR="00B317BF">
          <w:rPr>
            <w:webHidden/>
          </w:rPr>
          <w:fldChar w:fldCharType="end"/>
        </w:r>
      </w:hyperlink>
    </w:p>
    <w:p w14:paraId="654979F3" w14:textId="3F04DA65" w:rsidR="00B317BF" w:rsidRDefault="00763503">
      <w:pPr>
        <w:pStyle w:val="TOC3"/>
        <w:rPr>
          <w:rFonts w:asciiTheme="minorHAnsi" w:eastAsiaTheme="minorEastAsia" w:hAnsiTheme="minorHAnsi" w:cstheme="minorBidi"/>
          <w:szCs w:val="22"/>
        </w:rPr>
      </w:pPr>
      <w:hyperlink w:anchor="_Toc114214438" w:history="1">
        <w:r w:rsidR="00B317BF" w:rsidRPr="0021371F">
          <w:rPr>
            <w:rStyle w:val="Hyperlink"/>
          </w:rPr>
          <w:t>Quarterly enforcement and regulatory updates</w:t>
        </w:r>
        <w:r w:rsidR="00B317BF">
          <w:rPr>
            <w:webHidden/>
          </w:rPr>
          <w:tab/>
        </w:r>
        <w:r w:rsidR="00B317BF">
          <w:rPr>
            <w:webHidden/>
          </w:rPr>
          <w:fldChar w:fldCharType="begin"/>
        </w:r>
        <w:r w:rsidR="00B317BF">
          <w:rPr>
            <w:webHidden/>
          </w:rPr>
          <w:instrText xml:space="preserve"> PAGEREF _Toc114214438 \h </w:instrText>
        </w:r>
        <w:r w:rsidR="00B317BF">
          <w:rPr>
            <w:webHidden/>
          </w:rPr>
        </w:r>
        <w:r w:rsidR="00B317BF">
          <w:rPr>
            <w:webHidden/>
          </w:rPr>
          <w:fldChar w:fldCharType="separate"/>
        </w:r>
        <w:r w:rsidR="00874195">
          <w:rPr>
            <w:webHidden/>
          </w:rPr>
          <w:t>36</w:t>
        </w:r>
        <w:r w:rsidR="00B317BF">
          <w:rPr>
            <w:webHidden/>
          </w:rPr>
          <w:fldChar w:fldCharType="end"/>
        </w:r>
      </w:hyperlink>
    </w:p>
    <w:p w14:paraId="4ED84F72" w14:textId="4F8F1EEF" w:rsidR="00B317BF" w:rsidRDefault="00763503">
      <w:pPr>
        <w:pStyle w:val="TOC3"/>
        <w:rPr>
          <w:rFonts w:asciiTheme="minorHAnsi" w:eastAsiaTheme="minorEastAsia" w:hAnsiTheme="minorHAnsi" w:cstheme="minorBidi"/>
          <w:szCs w:val="22"/>
        </w:rPr>
      </w:pPr>
      <w:hyperlink w:anchor="_Toc114214439" w:history="1">
        <w:r w:rsidR="00B317BF" w:rsidRPr="0021371F">
          <w:rPr>
            <w:rStyle w:val="Hyperlink"/>
          </w:rPr>
          <w:t>Government consultation</w:t>
        </w:r>
        <w:r w:rsidR="00B317BF">
          <w:rPr>
            <w:webHidden/>
          </w:rPr>
          <w:tab/>
        </w:r>
        <w:r w:rsidR="00B317BF">
          <w:rPr>
            <w:webHidden/>
          </w:rPr>
          <w:fldChar w:fldCharType="begin"/>
        </w:r>
        <w:r w:rsidR="00B317BF">
          <w:rPr>
            <w:webHidden/>
          </w:rPr>
          <w:instrText xml:space="preserve"> PAGEREF _Toc114214439 \h </w:instrText>
        </w:r>
        <w:r w:rsidR="00B317BF">
          <w:rPr>
            <w:webHidden/>
          </w:rPr>
        </w:r>
        <w:r w:rsidR="00B317BF">
          <w:rPr>
            <w:webHidden/>
          </w:rPr>
          <w:fldChar w:fldCharType="separate"/>
        </w:r>
        <w:r w:rsidR="00874195">
          <w:rPr>
            <w:webHidden/>
          </w:rPr>
          <w:t>36</w:t>
        </w:r>
        <w:r w:rsidR="00B317BF">
          <w:rPr>
            <w:webHidden/>
          </w:rPr>
          <w:fldChar w:fldCharType="end"/>
        </w:r>
      </w:hyperlink>
    </w:p>
    <w:p w14:paraId="5B6C9F08" w14:textId="386671FD" w:rsidR="00B317BF" w:rsidRDefault="00763503">
      <w:pPr>
        <w:pStyle w:val="TOC2"/>
        <w:tabs>
          <w:tab w:val="left" w:pos="660"/>
        </w:tabs>
        <w:rPr>
          <w:rFonts w:asciiTheme="minorHAnsi" w:eastAsiaTheme="minorEastAsia" w:hAnsiTheme="minorHAnsi" w:cstheme="minorBidi"/>
          <w:color w:val="auto"/>
          <w:szCs w:val="22"/>
        </w:rPr>
      </w:pPr>
      <w:hyperlink w:anchor="_Toc114214440" w:history="1">
        <w:r w:rsidR="00B317BF" w:rsidRPr="0021371F">
          <w:rPr>
            <w:rStyle w:val="Hyperlink"/>
          </w:rPr>
          <w:t>3.</w:t>
        </w:r>
        <w:r w:rsidR="00B317BF">
          <w:rPr>
            <w:rFonts w:asciiTheme="minorHAnsi" w:eastAsiaTheme="minorEastAsia" w:hAnsiTheme="minorHAnsi" w:cstheme="minorBidi"/>
            <w:color w:val="auto"/>
            <w:szCs w:val="22"/>
          </w:rPr>
          <w:tab/>
        </w:r>
        <w:r w:rsidR="00B317BF" w:rsidRPr="0021371F">
          <w:rPr>
            <w:rStyle w:val="Hyperlink"/>
          </w:rPr>
          <w:t>Key issues related to reporting, transparency and consultation</w:t>
        </w:r>
        <w:r w:rsidR="00B317BF">
          <w:rPr>
            <w:webHidden/>
          </w:rPr>
          <w:tab/>
        </w:r>
        <w:r w:rsidR="00B317BF">
          <w:rPr>
            <w:webHidden/>
          </w:rPr>
          <w:fldChar w:fldCharType="begin"/>
        </w:r>
        <w:r w:rsidR="00B317BF">
          <w:rPr>
            <w:webHidden/>
          </w:rPr>
          <w:instrText xml:space="preserve"> PAGEREF _Toc114214440 \h </w:instrText>
        </w:r>
        <w:r w:rsidR="00B317BF">
          <w:rPr>
            <w:webHidden/>
          </w:rPr>
        </w:r>
        <w:r w:rsidR="00B317BF">
          <w:rPr>
            <w:webHidden/>
          </w:rPr>
          <w:fldChar w:fldCharType="separate"/>
        </w:r>
        <w:r w:rsidR="00874195">
          <w:rPr>
            <w:webHidden/>
          </w:rPr>
          <w:t>36</w:t>
        </w:r>
        <w:r w:rsidR="00B317BF">
          <w:rPr>
            <w:webHidden/>
          </w:rPr>
          <w:fldChar w:fldCharType="end"/>
        </w:r>
      </w:hyperlink>
    </w:p>
    <w:p w14:paraId="711DCED8" w14:textId="3F3FBDB9" w:rsidR="00B317BF" w:rsidRDefault="00763503">
      <w:pPr>
        <w:pStyle w:val="TOC3"/>
        <w:rPr>
          <w:rFonts w:asciiTheme="minorHAnsi" w:eastAsiaTheme="minorEastAsia" w:hAnsiTheme="minorHAnsi" w:cstheme="minorBidi"/>
          <w:szCs w:val="22"/>
        </w:rPr>
      </w:pPr>
      <w:hyperlink w:anchor="_Toc114214441" w:history="1">
        <w:r w:rsidR="00B317BF" w:rsidRPr="0021371F">
          <w:rPr>
            <w:rStyle w:val="Hyperlink"/>
          </w:rPr>
          <w:t>Purpose of engagement with stakeholders</w:t>
        </w:r>
        <w:r w:rsidR="00B317BF">
          <w:rPr>
            <w:webHidden/>
          </w:rPr>
          <w:tab/>
        </w:r>
        <w:r w:rsidR="00B317BF">
          <w:rPr>
            <w:webHidden/>
          </w:rPr>
          <w:fldChar w:fldCharType="begin"/>
        </w:r>
        <w:r w:rsidR="00B317BF">
          <w:rPr>
            <w:webHidden/>
          </w:rPr>
          <w:instrText xml:space="preserve"> PAGEREF _Toc114214441 \h </w:instrText>
        </w:r>
        <w:r w:rsidR="00B317BF">
          <w:rPr>
            <w:webHidden/>
          </w:rPr>
        </w:r>
        <w:r w:rsidR="00B317BF">
          <w:rPr>
            <w:webHidden/>
          </w:rPr>
          <w:fldChar w:fldCharType="separate"/>
        </w:r>
        <w:r w:rsidR="00874195">
          <w:rPr>
            <w:webHidden/>
          </w:rPr>
          <w:t>36</w:t>
        </w:r>
        <w:r w:rsidR="00B317BF">
          <w:rPr>
            <w:webHidden/>
          </w:rPr>
          <w:fldChar w:fldCharType="end"/>
        </w:r>
      </w:hyperlink>
    </w:p>
    <w:p w14:paraId="1F95259D" w14:textId="38CDCE8F" w:rsidR="00B317BF" w:rsidRDefault="00763503">
      <w:pPr>
        <w:pStyle w:val="TOC3"/>
        <w:rPr>
          <w:rFonts w:asciiTheme="minorHAnsi" w:eastAsiaTheme="minorEastAsia" w:hAnsiTheme="minorHAnsi" w:cstheme="minorBidi"/>
          <w:szCs w:val="22"/>
        </w:rPr>
      </w:pPr>
      <w:hyperlink w:anchor="_Toc114214442" w:history="1">
        <w:r w:rsidR="00B317BF" w:rsidRPr="0021371F">
          <w:rPr>
            <w:rStyle w:val="Hyperlink"/>
          </w:rPr>
          <w:t>Information provided to stakeholders</w:t>
        </w:r>
        <w:r w:rsidR="00B317BF">
          <w:rPr>
            <w:webHidden/>
          </w:rPr>
          <w:tab/>
        </w:r>
        <w:r w:rsidR="00B317BF">
          <w:rPr>
            <w:webHidden/>
          </w:rPr>
          <w:fldChar w:fldCharType="begin"/>
        </w:r>
        <w:r w:rsidR="00B317BF">
          <w:rPr>
            <w:webHidden/>
          </w:rPr>
          <w:instrText xml:space="preserve"> PAGEREF _Toc114214442 \h </w:instrText>
        </w:r>
        <w:r w:rsidR="00B317BF">
          <w:rPr>
            <w:webHidden/>
          </w:rPr>
        </w:r>
        <w:r w:rsidR="00B317BF">
          <w:rPr>
            <w:webHidden/>
          </w:rPr>
          <w:fldChar w:fldCharType="separate"/>
        </w:r>
        <w:r w:rsidR="00874195">
          <w:rPr>
            <w:webHidden/>
          </w:rPr>
          <w:t>37</w:t>
        </w:r>
        <w:r w:rsidR="00B317BF">
          <w:rPr>
            <w:webHidden/>
          </w:rPr>
          <w:fldChar w:fldCharType="end"/>
        </w:r>
      </w:hyperlink>
    </w:p>
    <w:p w14:paraId="37D0B64D" w14:textId="4862D0BD" w:rsidR="00B317BF" w:rsidRDefault="00763503">
      <w:pPr>
        <w:pStyle w:val="TOC3"/>
        <w:rPr>
          <w:rFonts w:asciiTheme="minorHAnsi" w:eastAsiaTheme="minorEastAsia" w:hAnsiTheme="minorHAnsi" w:cstheme="minorBidi"/>
          <w:szCs w:val="22"/>
        </w:rPr>
      </w:pPr>
      <w:hyperlink w:anchor="_Toc114214443" w:history="1">
        <w:r w:rsidR="00B317BF" w:rsidRPr="0021371F">
          <w:rPr>
            <w:rStyle w:val="Hyperlink"/>
          </w:rPr>
          <w:t>Timing of engagement with stakeholders</w:t>
        </w:r>
        <w:r w:rsidR="00B317BF">
          <w:rPr>
            <w:webHidden/>
          </w:rPr>
          <w:tab/>
        </w:r>
        <w:r w:rsidR="00B317BF">
          <w:rPr>
            <w:webHidden/>
          </w:rPr>
          <w:fldChar w:fldCharType="begin"/>
        </w:r>
        <w:r w:rsidR="00B317BF">
          <w:rPr>
            <w:webHidden/>
          </w:rPr>
          <w:instrText xml:space="preserve"> PAGEREF _Toc114214443 \h </w:instrText>
        </w:r>
        <w:r w:rsidR="00B317BF">
          <w:rPr>
            <w:webHidden/>
          </w:rPr>
        </w:r>
        <w:r w:rsidR="00B317BF">
          <w:rPr>
            <w:webHidden/>
          </w:rPr>
          <w:fldChar w:fldCharType="separate"/>
        </w:r>
        <w:r w:rsidR="00874195">
          <w:rPr>
            <w:webHidden/>
          </w:rPr>
          <w:t>37</w:t>
        </w:r>
        <w:r w:rsidR="00B317BF">
          <w:rPr>
            <w:webHidden/>
          </w:rPr>
          <w:fldChar w:fldCharType="end"/>
        </w:r>
      </w:hyperlink>
    </w:p>
    <w:p w14:paraId="5CEE7FA3" w14:textId="0DDF3664" w:rsidR="00B317BF" w:rsidRDefault="00763503">
      <w:pPr>
        <w:pStyle w:val="TOC1"/>
        <w:rPr>
          <w:rFonts w:asciiTheme="minorHAnsi" w:eastAsiaTheme="minorEastAsia" w:hAnsiTheme="minorHAnsi" w:cstheme="minorBidi"/>
          <w:b w:val="0"/>
          <w:color w:val="auto"/>
        </w:rPr>
      </w:pPr>
      <w:hyperlink w:anchor="_Toc114214444" w:history="1">
        <w:r w:rsidR="00B317BF" w:rsidRPr="0021371F">
          <w:rPr>
            <w:rStyle w:val="Hyperlink"/>
          </w:rPr>
          <w:t>Appendix A: Terms of Reference</w:t>
        </w:r>
        <w:r w:rsidR="00B317BF">
          <w:rPr>
            <w:webHidden/>
          </w:rPr>
          <w:tab/>
        </w:r>
        <w:r w:rsidR="00B317BF">
          <w:rPr>
            <w:webHidden/>
          </w:rPr>
          <w:fldChar w:fldCharType="begin"/>
        </w:r>
        <w:r w:rsidR="00B317BF">
          <w:rPr>
            <w:webHidden/>
          </w:rPr>
          <w:instrText xml:space="preserve"> PAGEREF _Toc114214444 \h </w:instrText>
        </w:r>
        <w:r w:rsidR="00B317BF">
          <w:rPr>
            <w:webHidden/>
          </w:rPr>
        </w:r>
        <w:r w:rsidR="00B317BF">
          <w:rPr>
            <w:webHidden/>
          </w:rPr>
          <w:fldChar w:fldCharType="separate"/>
        </w:r>
        <w:r w:rsidR="00874195">
          <w:rPr>
            <w:webHidden/>
          </w:rPr>
          <w:t>39</w:t>
        </w:r>
        <w:r w:rsidR="00B317BF">
          <w:rPr>
            <w:webHidden/>
          </w:rPr>
          <w:fldChar w:fldCharType="end"/>
        </w:r>
      </w:hyperlink>
    </w:p>
    <w:p w14:paraId="44A37DFC" w14:textId="0C0E2A16" w:rsidR="00B317BF" w:rsidRDefault="00763503">
      <w:pPr>
        <w:pStyle w:val="TOC1"/>
        <w:rPr>
          <w:rFonts w:asciiTheme="minorHAnsi" w:eastAsiaTheme="minorEastAsia" w:hAnsiTheme="minorHAnsi" w:cstheme="minorBidi"/>
          <w:b w:val="0"/>
          <w:color w:val="auto"/>
        </w:rPr>
      </w:pPr>
      <w:hyperlink w:anchor="_Toc114214445" w:history="1">
        <w:r w:rsidR="00B317BF" w:rsidRPr="0021371F">
          <w:rPr>
            <w:rStyle w:val="Hyperlink"/>
          </w:rPr>
          <w:t>Appendix B: Summary of stakeholder feedback (March 2022 consultations)</w:t>
        </w:r>
        <w:r w:rsidR="00B317BF">
          <w:rPr>
            <w:webHidden/>
          </w:rPr>
          <w:tab/>
        </w:r>
        <w:r w:rsidR="00B317BF">
          <w:rPr>
            <w:webHidden/>
          </w:rPr>
          <w:fldChar w:fldCharType="begin"/>
        </w:r>
        <w:r w:rsidR="00B317BF">
          <w:rPr>
            <w:webHidden/>
          </w:rPr>
          <w:instrText xml:space="preserve"> PAGEREF _Toc114214445 \h </w:instrText>
        </w:r>
        <w:r w:rsidR="00B317BF">
          <w:rPr>
            <w:webHidden/>
          </w:rPr>
        </w:r>
        <w:r w:rsidR="00B317BF">
          <w:rPr>
            <w:webHidden/>
          </w:rPr>
          <w:fldChar w:fldCharType="separate"/>
        </w:r>
        <w:r w:rsidR="00874195">
          <w:rPr>
            <w:webHidden/>
          </w:rPr>
          <w:t>41</w:t>
        </w:r>
        <w:r w:rsidR="00B317BF">
          <w:rPr>
            <w:webHidden/>
          </w:rPr>
          <w:fldChar w:fldCharType="end"/>
        </w:r>
      </w:hyperlink>
    </w:p>
    <w:p w14:paraId="4F250A5B" w14:textId="113FD1E6" w:rsidR="00B317BF" w:rsidRDefault="00763503">
      <w:pPr>
        <w:pStyle w:val="TOC3"/>
        <w:rPr>
          <w:rFonts w:asciiTheme="minorHAnsi" w:eastAsiaTheme="minorEastAsia" w:hAnsiTheme="minorHAnsi" w:cstheme="minorBidi"/>
          <w:szCs w:val="22"/>
        </w:rPr>
      </w:pPr>
      <w:hyperlink w:anchor="_Toc114214446" w:history="1">
        <w:r w:rsidR="00B317BF" w:rsidRPr="0021371F">
          <w:rPr>
            <w:rStyle w:val="Hyperlink"/>
          </w:rPr>
          <w:t>Industry funding levies</w:t>
        </w:r>
        <w:r w:rsidR="00B317BF">
          <w:rPr>
            <w:webHidden/>
          </w:rPr>
          <w:tab/>
        </w:r>
        <w:r w:rsidR="00B317BF">
          <w:rPr>
            <w:webHidden/>
          </w:rPr>
          <w:fldChar w:fldCharType="begin"/>
        </w:r>
        <w:r w:rsidR="00B317BF">
          <w:rPr>
            <w:webHidden/>
          </w:rPr>
          <w:instrText xml:space="preserve"> PAGEREF _Toc114214446 \h </w:instrText>
        </w:r>
        <w:r w:rsidR="00B317BF">
          <w:rPr>
            <w:webHidden/>
          </w:rPr>
        </w:r>
        <w:r w:rsidR="00B317BF">
          <w:rPr>
            <w:webHidden/>
          </w:rPr>
          <w:fldChar w:fldCharType="separate"/>
        </w:r>
        <w:r w:rsidR="00874195">
          <w:rPr>
            <w:webHidden/>
          </w:rPr>
          <w:t>41</w:t>
        </w:r>
        <w:r w:rsidR="00B317BF">
          <w:rPr>
            <w:webHidden/>
          </w:rPr>
          <w:fldChar w:fldCharType="end"/>
        </w:r>
      </w:hyperlink>
    </w:p>
    <w:p w14:paraId="5B0B2EC8" w14:textId="14DAC6FC" w:rsidR="00B317BF" w:rsidRDefault="00763503">
      <w:pPr>
        <w:pStyle w:val="TOC3"/>
        <w:rPr>
          <w:rFonts w:asciiTheme="minorHAnsi" w:eastAsiaTheme="minorEastAsia" w:hAnsiTheme="minorHAnsi" w:cstheme="minorBidi"/>
          <w:szCs w:val="22"/>
        </w:rPr>
      </w:pPr>
      <w:hyperlink w:anchor="_Toc114214447" w:history="1">
        <w:r w:rsidR="00B317BF" w:rsidRPr="0021371F">
          <w:rPr>
            <w:rStyle w:val="Hyperlink"/>
          </w:rPr>
          <w:t>Fees-for-service</w:t>
        </w:r>
        <w:r w:rsidR="00B317BF">
          <w:rPr>
            <w:webHidden/>
          </w:rPr>
          <w:tab/>
        </w:r>
        <w:r w:rsidR="00B317BF">
          <w:rPr>
            <w:webHidden/>
          </w:rPr>
          <w:fldChar w:fldCharType="begin"/>
        </w:r>
        <w:r w:rsidR="00B317BF">
          <w:rPr>
            <w:webHidden/>
          </w:rPr>
          <w:instrText xml:space="preserve"> PAGEREF _Toc114214447 \h </w:instrText>
        </w:r>
        <w:r w:rsidR="00B317BF">
          <w:rPr>
            <w:webHidden/>
          </w:rPr>
        </w:r>
        <w:r w:rsidR="00B317BF">
          <w:rPr>
            <w:webHidden/>
          </w:rPr>
          <w:fldChar w:fldCharType="separate"/>
        </w:r>
        <w:r w:rsidR="00874195">
          <w:rPr>
            <w:webHidden/>
          </w:rPr>
          <w:t>41</w:t>
        </w:r>
        <w:r w:rsidR="00B317BF">
          <w:rPr>
            <w:webHidden/>
          </w:rPr>
          <w:fldChar w:fldCharType="end"/>
        </w:r>
      </w:hyperlink>
    </w:p>
    <w:p w14:paraId="570E93CF" w14:textId="1848459F" w:rsidR="00B317BF" w:rsidRDefault="00763503">
      <w:pPr>
        <w:pStyle w:val="TOC3"/>
        <w:rPr>
          <w:rFonts w:asciiTheme="minorHAnsi" w:eastAsiaTheme="minorEastAsia" w:hAnsiTheme="minorHAnsi" w:cstheme="minorBidi"/>
          <w:szCs w:val="22"/>
        </w:rPr>
      </w:pPr>
      <w:hyperlink w:anchor="_Toc114214448" w:history="1">
        <w:r w:rsidR="00B317BF" w:rsidRPr="0021371F">
          <w:rPr>
            <w:rStyle w:val="Hyperlink"/>
          </w:rPr>
          <w:t>Consultation and transparency</w:t>
        </w:r>
        <w:r w:rsidR="00B317BF">
          <w:rPr>
            <w:webHidden/>
          </w:rPr>
          <w:tab/>
        </w:r>
        <w:r w:rsidR="00B317BF">
          <w:rPr>
            <w:webHidden/>
          </w:rPr>
          <w:fldChar w:fldCharType="begin"/>
        </w:r>
        <w:r w:rsidR="00B317BF">
          <w:rPr>
            <w:webHidden/>
          </w:rPr>
          <w:instrText xml:space="preserve"> PAGEREF _Toc114214448 \h </w:instrText>
        </w:r>
        <w:r w:rsidR="00B317BF">
          <w:rPr>
            <w:webHidden/>
          </w:rPr>
        </w:r>
        <w:r w:rsidR="00B317BF">
          <w:rPr>
            <w:webHidden/>
          </w:rPr>
          <w:fldChar w:fldCharType="separate"/>
        </w:r>
        <w:r w:rsidR="00874195">
          <w:rPr>
            <w:webHidden/>
          </w:rPr>
          <w:t>42</w:t>
        </w:r>
        <w:r w:rsidR="00B317BF">
          <w:rPr>
            <w:webHidden/>
          </w:rPr>
          <w:fldChar w:fldCharType="end"/>
        </w:r>
      </w:hyperlink>
    </w:p>
    <w:p w14:paraId="65494E47" w14:textId="4BD1B9C9" w:rsidR="00B317BF" w:rsidRDefault="00763503">
      <w:pPr>
        <w:pStyle w:val="TOC1"/>
        <w:rPr>
          <w:rFonts w:asciiTheme="minorHAnsi" w:eastAsiaTheme="minorEastAsia" w:hAnsiTheme="minorHAnsi" w:cstheme="minorBidi"/>
          <w:b w:val="0"/>
          <w:color w:val="auto"/>
        </w:rPr>
      </w:pPr>
      <w:hyperlink w:anchor="_Toc114214449" w:history="1">
        <w:r w:rsidR="00B317BF" w:rsidRPr="0021371F">
          <w:rPr>
            <w:rStyle w:val="Hyperlink"/>
          </w:rPr>
          <w:t>Appendix C: Legislative framework and amendments</w:t>
        </w:r>
        <w:r w:rsidR="00B317BF">
          <w:rPr>
            <w:webHidden/>
          </w:rPr>
          <w:tab/>
        </w:r>
        <w:r w:rsidR="00B317BF">
          <w:rPr>
            <w:webHidden/>
          </w:rPr>
          <w:fldChar w:fldCharType="begin"/>
        </w:r>
        <w:r w:rsidR="00B317BF">
          <w:rPr>
            <w:webHidden/>
          </w:rPr>
          <w:instrText xml:space="preserve"> PAGEREF _Toc114214449 \h </w:instrText>
        </w:r>
        <w:r w:rsidR="00B317BF">
          <w:rPr>
            <w:webHidden/>
          </w:rPr>
        </w:r>
        <w:r w:rsidR="00B317BF">
          <w:rPr>
            <w:webHidden/>
          </w:rPr>
          <w:fldChar w:fldCharType="separate"/>
        </w:r>
        <w:r w:rsidR="00874195">
          <w:rPr>
            <w:webHidden/>
          </w:rPr>
          <w:t>43</w:t>
        </w:r>
        <w:r w:rsidR="00B317BF">
          <w:rPr>
            <w:webHidden/>
          </w:rPr>
          <w:fldChar w:fldCharType="end"/>
        </w:r>
      </w:hyperlink>
    </w:p>
    <w:p w14:paraId="484CF114" w14:textId="40CA6C38" w:rsidR="00B317BF" w:rsidRDefault="00763503">
      <w:pPr>
        <w:pStyle w:val="TOC3"/>
        <w:rPr>
          <w:rFonts w:asciiTheme="minorHAnsi" w:eastAsiaTheme="minorEastAsia" w:hAnsiTheme="minorHAnsi" w:cstheme="minorBidi"/>
          <w:szCs w:val="22"/>
        </w:rPr>
      </w:pPr>
      <w:hyperlink w:anchor="_Toc114214450" w:history="1">
        <w:r w:rsidR="00B317BF" w:rsidRPr="0021371F">
          <w:rPr>
            <w:rStyle w:val="Hyperlink"/>
          </w:rPr>
          <w:t>Levies (effective from 1 July 2017)</w:t>
        </w:r>
        <w:r w:rsidR="00B317BF">
          <w:rPr>
            <w:webHidden/>
          </w:rPr>
          <w:tab/>
        </w:r>
        <w:r w:rsidR="00B317BF">
          <w:rPr>
            <w:webHidden/>
          </w:rPr>
          <w:fldChar w:fldCharType="begin"/>
        </w:r>
        <w:r w:rsidR="00B317BF">
          <w:rPr>
            <w:webHidden/>
          </w:rPr>
          <w:instrText xml:space="preserve"> PAGEREF _Toc114214450 \h </w:instrText>
        </w:r>
        <w:r w:rsidR="00B317BF">
          <w:rPr>
            <w:webHidden/>
          </w:rPr>
        </w:r>
        <w:r w:rsidR="00B317BF">
          <w:rPr>
            <w:webHidden/>
          </w:rPr>
          <w:fldChar w:fldCharType="separate"/>
        </w:r>
        <w:r w:rsidR="00874195">
          <w:rPr>
            <w:webHidden/>
          </w:rPr>
          <w:t>43</w:t>
        </w:r>
        <w:r w:rsidR="00B317BF">
          <w:rPr>
            <w:webHidden/>
          </w:rPr>
          <w:fldChar w:fldCharType="end"/>
        </w:r>
      </w:hyperlink>
    </w:p>
    <w:p w14:paraId="4AC96CB3" w14:textId="7FFD33F9" w:rsidR="00B317BF" w:rsidRDefault="00763503">
      <w:pPr>
        <w:pStyle w:val="TOC3"/>
        <w:rPr>
          <w:rFonts w:asciiTheme="minorHAnsi" w:eastAsiaTheme="minorEastAsia" w:hAnsiTheme="minorHAnsi" w:cstheme="minorBidi"/>
          <w:szCs w:val="22"/>
        </w:rPr>
      </w:pPr>
      <w:hyperlink w:anchor="_Toc114214451" w:history="1">
        <w:r w:rsidR="00B317BF" w:rsidRPr="0021371F">
          <w:rPr>
            <w:rStyle w:val="Hyperlink"/>
          </w:rPr>
          <w:t>Fees framework (effective from 4 July 2018)</w:t>
        </w:r>
        <w:r w:rsidR="00B317BF">
          <w:rPr>
            <w:webHidden/>
          </w:rPr>
          <w:tab/>
        </w:r>
        <w:r w:rsidR="00B317BF">
          <w:rPr>
            <w:webHidden/>
          </w:rPr>
          <w:fldChar w:fldCharType="begin"/>
        </w:r>
        <w:r w:rsidR="00B317BF">
          <w:rPr>
            <w:webHidden/>
          </w:rPr>
          <w:instrText xml:space="preserve"> PAGEREF _Toc114214451 \h </w:instrText>
        </w:r>
        <w:r w:rsidR="00B317BF">
          <w:rPr>
            <w:webHidden/>
          </w:rPr>
        </w:r>
        <w:r w:rsidR="00B317BF">
          <w:rPr>
            <w:webHidden/>
          </w:rPr>
          <w:fldChar w:fldCharType="separate"/>
        </w:r>
        <w:r w:rsidR="00874195">
          <w:rPr>
            <w:webHidden/>
          </w:rPr>
          <w:t>43</w:t>
        </w:r>
        <w:r w:rsidR="00B317BF">
          <w:rPr>
            <w:webHidden/>
          </w:rPr>
          <w:fldChar w:fldCharType="end"/>
        </w:r>
      </w:hyperlink>
    </w:p>
    <w:p w14:paraId="2C5BE01A" w14:textId="6C54307D" w:rsidR="00B317BF" w:rsidRDefault="00763503">
      <w:pPr>
        <w:pStyle w:val="TOC3"/>
        <w:rPr>
          <w:rFonts w:asciiTheme="minorHAnsi" w:eastAsiaTheme="minorEastAsia" w:hAnsiTheme="minorHAnsi" w:cstheme="minorBidi"/>
          <w:szCs w:val="22"/>
        </w:rPr>
      </w:pPr>
      <w:hyperlink w:anchor="_Toc114214452" w:history="1">
        <w:r w:rsidR="00B317BF" w:rsidRPr="0021371F">
          <w:rPr>
            <w:rStyle w:val="Hyperlink"/>
          </w:rPr>
          <w:t>Key amendments (since commencement of IFM)</w:t>
        </w:r>
        <w:r w:rsidR="00B317BF">
          <w:rPr>
            <w:webHidden/>
          </w:rPr>
          <w:tab/>
        </w:r>
        <w:r w:rsidR="00B317BF">
          <w:rPr>
            <w:webHidden/>
          </w:rPr>
          <w:fldChar w:fldCharType="begin"/>
        </w:r>
        <w:r w:rsidR="00B317BF">
          <w:rPr>
            <w:webHidden/>
          </w:rPr>
          <w:instrText xml:space="preserve"> PAGEREF _Toc114214452 \h </w:instrText>
        </w:r>
        <w:r w:rsidR="00B317BF">
          <w:rPr>
            <w:webHidden/>
          </w:rPr>
        </w:r>
        <w:r w:rsidR="00B317BF">
          <w:rPr>
            <w:webHidden/>
          </w:rPr>
          <w:fldChar w:fldCharType="separate"/>
        </w:r>
        <w:r w:rsidR="00874195">
          <w:rPr>
            <w:webHidden/>
          </w:rPr>
          <w:t>44</w:t>
        </w:r>
        <w:r w:rsidR="00B317BF">
          <w:rPr>
            <w:webHidden/>
          </w:rPr>
          <w:fldChar w:fldCharType="end"/>
        </w:r>
      </w:hyperlink>
    </w:p>
    <w:p w14:paraId="5BB10D73" w14:textId="2ED7B04D" w:rsidR="00B317BF" w:rsidRDefault="00763503">
      <w:pPr>
        <w:pStyle w:val="TOC1"/>
        <w:rPr>
          <w:rFonts w:asciiTheme="minorHAnsi" w:eastAsiaTheme="minorEastAsia" w:hAnsiTheme="minorHAnsi" w:cstheme="minorBidi"/>
          <w:b w:val="0"/>
          <w:color w:val="auto"/>
        </w:rPr>
      </w:pPr>
      <w:hyperlink w:anchor="_Toc114214453" w:history="1">
        <w:r w:rsidR="00B317BF" w:rsidRPr="0021371F">
          <w:rPr>
            <w:rStyle w:val="Hyperlink"/>
          </w:rPr>
          <w:t>Appendix D: Catalogue of sub</w:t>
        </w:r>
        <w:r w:rsidR="00B317BF" w:rsidRPr="0021371F">
          <w:rPr>
            <w:rStyle w:val="Hyperlink"/>
          </w:rPr>
          <w:noBreakHyphen/>
          <w:t>sector definitions, formulas and metrics</w:t>
        </w:r>
        <w:r w:rsidR="00B317BF">
          <w:rPr>
            <w:webHidden/>
          </w:rPr>
          <w:tab/>
        </w:r>
        <w:r w:rsidR="00B317BF">
          <w:rPr>
            <w:webHidden/>
          </w:rPr>
          <w:fldChar w:fldCharType="begin"/>
        </w:r>
        <w:r w:rsidR="00B317BF">
          <w:rPr>
            <w:webHidden/>
          </w:rPr>
          <w:instrText xml:space="preserve"> PAGEREF _Toc114214453 \h </w:instrText>
        </w:r>
        <w:r w:rsidR="00B317BF">
          <w:rPr>
            <w:webHidden/>
          </w:rPr>
        </w:r>
        <w:r w:rsidR="00B317BF">
          <w:rPr>
            <w:webHidden/>
          </w:rPr>
          <w:fldChar w:fldCharType="separate"/>
        </w:r>
        <w:r w:rsidR="00874195">
          <w:rPr>
            <w:webHidden/>
          </w:rPr>
          <w:t>46</w:t>
        </w:r>
        <w:r w:rsidR="00B317BF">
          <w:rPr>
            <w:webHidden/>
          </w:rPr>
          <w:fldChar w:fldCharType="end"/>
        </w:r>
      </w:hyperlink>
    </w:p>
    <w:p w14:paraId="325DE3F9" w14:textId="64093AFE" w:rsidR="00B317BF" w:rsidRDefault="00763503">
      <w:pPr>
        <w:pStyle w:val="TOC1"/>
        <w:rPr>
          <w:rFonts w:asciiTheme="minorHAnsi" w:eastAsiaTheme="minorEastAsia" w:hAnsiTheme="minorHAnsi" w:cstheme="minorBidi"/>
          <w:b w:val="0"/>
          <w:color w:val="auto"/>
        </w:rPr>
      </w:pPr>
      <w:hyperlink w:anchor="_Toc114214454" w:history="1">
        <w:r w:rsidR="00B317BF" w:rsidRPr="0021371F">
          <w:rPr>
            <w:rStyle w:val="Hyperlink"/>
          </w:rPr>
          <w:t>Appendix E: List of stakeholder questions</w:t>
        </w:r>
        <w:r w:rsidR="00B317BF">
          <w:rPr>
            <w:webHidden/>
          </w:rPr>
          <w:tab/>
        </w:r>
        <w:r w:rsidR="00B317BF">
          <w:rPr>
            <w:webHidden/>
          </w:rPr>
          <w:fldChar w:fldCharType="begin"/>
        </w:r>
        <w:r w:rsidR="00B317BF">
          <w:rPr>
            <w:webHidden/>
          </w:rPr>
          <w:instrText xml:space="preserve"> PAGEREF _Toc114214454 \h </w:instrText>
        </w:r>
        <w:r w:rsidR="00B317BF">
          <w:rPr>
            <w:webHidden/>
          </w:rPr>
        </w:r>
        <w:r w:rsidR="00B317BF">
          <w:rPr>
            <w:webHidden/>
          </w:rPr>
          <w:fldChar w:fldCharType="separate"/>
        </w:r>
        <w:r w:rsidR="00874195">
          <w:rPr>
            <w:webHidden/>
          </w:rPr>
          <w:t>52</w:t>
        </w:r>
        <w:r w:rsidR="00B317BF">
          <w:rPr>
            <w:webHidden/>
          </w:rPr>
          <w:fldChar w:fldCharType="end"/>
        </w:r>
      </w:hyperlink>
    </w:p>
    <w:p w14:paraId="56FF9036" w14:textId="31813AFA" w:rsidR="00B317BF" w:rsidRDefault="00763503">
      <w:pPr>
        <w:pStyle w:val="TOC2"/>
        <w:rPr>
          <w:rFonts w:asciiTheme="minorHAnsi" w:eastAsiaTheme="minorEastAsia" w:hAnsiTheme="minorHAnsi" w:cstheme="minorBidi"/>
          <w:color w:val="auto"/>
          <w:szCs w:val="22"/>
        </w:rPr>
      </w:pPr>
      <w:hyperlink w:anchor="_Toc114214455" w:history="1">
        <w:r w:rsidR="00B317BF" w:rsidRPr="0021371F">
          <w:rPr>
            <w:rStyle w:val="Hyperlink"/>
          </w:rPr>
          <w:t>Industry funding levies</w:t>
        </w:r>
        <w:r w:rsidR="00B317BF">
          <w:rPr>
            <w:webHidden/>
          </w:rPr>
          <w:tab/>
        </w:r>
        <w:r w:rsidR="00B317BF">
          <w:rPr>
            <w:webHidden/>
          </w:rPr>
          <w:fldChar w:fldCharType="begin"/>
        </w:r>
        <w:r w:rsidR="00B317BF">
          <w:rPr>
            <w:webHidden/>
          </w:rPr>
          <w:instrText xml:space="preserve"> PAGEREF _Toc114214455 \h </w:instrText>
        </w:r>
        <w:r w:rsidR="00B317BF">
          <w:rPr>
            <w:webHidden/>
          </w:rPr>
        </w:r>
        <w:r w:rsidR="00B317BF">
          <w:rPr>
            <w:webHidden/>
          </w:rPr>
          <w:fldChar w:fldCharType="separate"/>
        </w:r>
        <w:r w:rsidR="00874195">
          <w:rPr>
            <w:webHidden/>
          </w:rPr>
          <w:t>52</w:t>
        </w:r>
        <w:r w:rsidR="00B317BF">
          <w:rPr>
            <w:webHidden/>
          </w:rPr>
          <w:fldChar w:fldCharType="end"/>
        </w:r>
      </w:hyperlink>
    </w:p>
    <w:p w14:paraId="254C4FC5" w14:textId="7F5F4D08" w:rsidR="00B317BF" w:rsidRDefault="00763503">
      <w:pPr>
        <w:pStyle w:val="TOC2"/>
        <w:rPr>
          <w:rFonts w:asciiTheme="minorHAnsi" w:eastAsiaTheme="minorEastAsia" w:hAnsiTheme="minorHAnsi" w:cstheme="minorBidi"/>
          <w:color w:val="auto"/>
          <w:szCs w:val="22"/>
        </w:rPr>
      </w:pPr>
      <w:hyperlink w:anchor="_Toc114214456" w:history="1">
        <w:r w:rsidR="00B317BF" w:rsidRPr="0021371F">
          <w:rPr>
            <w:rStyle w:val="Hyperlink"/>
          </w:rPr>
          <w:t>Fees-for-service</w:t>
        </w:r>
        <w:r w:rsidR="00B317BF">
          <w:rPr>
            <w:webHidden/>
          </w:rPr>
          <w:tab/>
        </w:r>
        <w:r w:rsidR="00B317BF">
          <w:rPr>
            <w:webHidden/>
          </w:rPr>
          <w:fldChar w:fldCharType="begin"/>
        </w:r>
        <w:r w:rsidR="00B317BF">
          <w:rPr>
            <w:webHidden/>
          </w:rPr>
          <w:instrText xml:space="preserve"> PAGEREF _Toc114214456 \h </w:instrText>
        </w:r>
        <w:r w:rsidR="00B317BF">
          <w:rPr>
            <w:webHidden/>
          </w:rPr>
        </w:r>
        <w:r w:rsidR="00B317BF">
          <w:rPr>
            <w:webHidden/>
          </w:rPr>
          <w:fldChar w:fldCharType="separate"/>
        </w:r>
        <w:r w:rsidR="00874195">
          <w:rPr>
            <w:webHidden/>
          </w:rPr>
          <w:t>53</w:t>
        </w:r>
        <w:r w:rsidR="00B317BF">
          <w:rPr>
            <w:webHidden/>
          </w:rPr>
          <w:fldChar w:fldCharType="end"/>
        </w:r>
      </w:hyperlink>
    </w:p>
    <w:p w14:paraId="7B9CFE79" w14:textId="591C5B13" w:rsidR="00B317BF" w:rsidRDefault="00763503">
      <w:pPr>
        <w:pStyle w:val="TOC2"/>
        <w:rPr>
          <w:rFonts w:asciiTheme="minorHAnsi" w:eastAsiaTheme="minorEastAsia" w:hAnsiTheme="minorHAnsi" w:cstheme="minorBidi"/>
          <w:color w:val="auto"/>
          <w:szCs w:val="22"/>
        </w:rPr>
      </w:pPr>
      <w:hyperlink w:anchor="_Toc114214457" w:history="1">
        <w:r w:rsidR="00B317BF" w:rsidRPr="0021371F">
          <w:rPr>
            <w:rStyle w:val="Hyperlink"/>
          </w:rPr>
          <w:t>Reporting, transparency and consultation</w:t>
        </w:r>
        <w:r w:rsidR="00B317BF">
          <w:rPr>
            <w:webHidden/>
          </w:rPr>
          <w:tab/>
        </w:r>
        <w:r w:rsidR="00B317BF">
          <w:rPr>
            <w:webHidden/>
          </w:rPr>
          <w:fldChar w:fldCharType="begin"/>
        </w:r>
        <w:r w:rsidR="00B317BF">
          <w:rPr>
            <w:webHidden/>
          </w:rPr>
          <w:instrText xml:space="preserve"> PAGEREF _Toc114214457 \h </w:instrText>
        </w:r>
        <w:r w:rsidR="00B317BF">
          <w:rPr>
            <w:webHidden/>
          </w:rPr>
        </w:r>
        <w:r w:rsidR="00B317BF">
          <w:rPr>
            <w:webHidden/>
          </w:rPr>
          <w:fldChar w:fldCharType="separate"/>
        </w:r>
        <w:r w:rsidR="00874195">
          <w:rPr>
            <w:webHidden/>
          </w:rPr>
          <w:t>54</w:t>
        </w:r>
        <w:r w:rsidR="00B317BF">
          <w:rPr>
            <w:webHidden/>
          </w:rPr>
          <w:fldChar w:fldCharType="end"/>
        </w:r>
      </w:hyperlink>
    </w:p>
    <w:p w14:paraId="50DB53DA" w14:textId="13EB9776" w:rsidR="00B317BF" w:rsidRDefault="00763503">
      <w:pPr>
        <w:pStyle w:val="TOC1"/>
        <w:rPr>
          <w:rFonts w:asciiTheme="minorHAnsi" w:eastAsiaTheme="minorEastAsia" w:hAnsiTheme="minorHAnsi" w:cstheme="minorBidi"/>
          <w:b w:val="0"/>
          <w:color w:val="auto"/>
        </w:rPr>
      </w:pPr>
      <w:hyperlink w:anchor="_Toc114214458" w:history="1">
        <w:r w:rsidR="00B317BF" w:rsidRPr="0021371F">
          <w:rPr>
            <w:rStyle w:val="Hyperlink"/>
          </w:rPr>
          <w:t>Appendix F: ASIC IFM Data</w:t>
        </w:r>
        <w:r w:rsidR="00B317BF">
          <w:rPr>
            <w:webHidden/>
          </w:rPr>
          <w:tab/>
        </w:r>
        <w:r w:rsidR="00B317BF">
          <w:rPr>
            <w:webHidden/>
          </w:rPr>
          <w:fldChar w:fldCharType="begin"/>
        </w:r>
        <w:r w:rsidR="00B317BF">
          <w:rPr>
            <w:webHidden/>
          </w:rPr>
          <w:instrText xml:space="preserve"> PAGEREF _Toc114214458 \h </w:instrText>
        </w:r>
        <w:r w:rsidR="00B317BF">
          <w:rPr>
            <w:webHidden/>
          </w:rPr>
        </w:r>
        <w:r w:rsidR="00B317BF">
          <w:rPr>
            <w:webHidden/>
          </w:rPr>
          <w:fldChar w:fldCharType="separate"/>
        </w:r>
        <w:r w:rsidR="00874195">
          <w:rPr>
            <w:webHidden/>
          </w:rPr>
          <w:t>55</w:t>
        </w:r>
        <w:r w:rsidR="00B317BF">
          <w:rPr>
            <w:webHidden/>
          </w:rPr>
          <w:fldChar w:fldCharType="end"/>
        </w:r>
      </w:hyperlink>
    </w:p>
    <w:p w14:paraId="2BC99B0A" w14:textId="2905C40E" w:rsidR="000E0B74" w:rsidRDefault="00257AEE" w:rsidP="00656356">
      <w:pPr>
        <w:pStyle w:val="SingleParagraph"/>
        <w:tabs>
          <w:tab w:val="right" w:leader="dot" w:pos="9072"/>
        </w:tabs>
        <w:ind w:right="-2"/>
        <w:rPr>
          <w:noProof/>
          <w:color w:val="004A7F"/>
          <w:szCs w:val="22"/>
        </w:rPr>
      </w:pPr>
      <w:r>
        <w:rPr>
          <w:noProof/>
          <w:color w:val="004A7F"/>
          <w:szCs w:val="22"/>
        </w:rPr>
        <w:fldChar w:fldCharType="end"/>
      </w:r>
    </w:p>
    <w:p w14:paraId="7D9918A5" w14:textId="77777777" w:rsidR="002C22FD" w:rsidRPr="00BB0081" w:rsidRDefault="002C22FD" w:rsidP="00BB0081"/>
    <w:p w14:paraId="1E90B8B5" w14:textId="77777777" w:rsidR="002C22FD" w:rsidRPr="00BB0081" w:rsidRDefault="002C22FD" w:rsidP="00BB0081"/>
    <w:p w14:paraId="0226BECC" w14:textId="77777777" w:rsidR="002C22FD" w:rsidRPr="00BB0081" w:rsidRDefault="002C22FD" w:rsidP="00BB0081"/>
    <w:p w14:paraId="62A052A0" w14:textId="77777777" w:rsidR="002C22FD" w:rsidRDefault="002C22FD" w:rsidP="002C22FD">
      <w:pPr>
        <w:rPr>
          <w:noProof/>
          <w:color w:val="004A7F"/>
          <w:szCs w:val="22"/>
        </w:rPr>
      </w:pPr>
    </w:p>
    <w:p w14:paraId="4756404C" w14:textId="77777777" w:rsidR="002C22FD" w:rsidRDefault="002C22FD" w:rsidP="00BB0081">
      <w:pPr>
        <w:jc w:val="right"/>
        <w:rPr>
          <w:noProof/>
          <w:color w:val="004A7F"/>
          <w:szCs w:val="22"/>
        </w:rPr>
      </w:pPr>
    </w:p>
    <w:p w14:paraId="010E7ABD" w14:textId="77777777" w:rsidR="002C22FD" w:rsidRDefault="002C22FD" w:rsidP="002C22FD">
      <w:pPr>
        <w:rPr>
          <w:noProof/>
          <w:color w:val="004A7F"/>
          <w:szCs w:val="22"/>
        </w:rPr>
      </w:pPr>
    </w:p>
    <w:p w14:paraId="3B268177" w14:textId="51428C55" w:rsidR="002C22FD" w:rsidRDefault="002C22FD" w:rsidP="009E027A">
      <w:pPr>
        <w:sectPr w:rsidR="002C22FD" w:rsidSect="008043EA">
          <w:footerReference w:type="default" r:id="rId26"/>
          <w:pgSz w:w="11906" w:h="16838" w:code="9"/>
          <w:pgMar w:top="1843" w:right="1418" w:bottom="1418" w:left="1418" w:header="709" w:footer="709" w:gutter="0"/>
          <w:pgNumType w:fmt="lowerRoman"/>
          <w:cols w:space="708"/>
          <w:titlePg/>
          <w:docGrid w:linePitch="360"/>
        </w:sectPr>
      </w:pPr>
    </w:p>
    <w:p w14:paraId="4F4172BE" w14:textId="77777777" w:rsidR="000E0B74" w:rsidRDefault="000E0B74" w:rsidP="00354FBB">
      <w:pPr>
        <w:pStyle w:val="Heading1"/>
      </w:pPr>
      <w:bookmarkStart w:id="1" w:name="_Toc114214397"/>
      <w:bookmarkStart w:id="2" w:name="_Toc432067103"/>
      <w:r>
        <w:lastRenderedPageBreak/>
        <w:t>Consultation Process</w:t>
      </w:r>
      <w:bookmarkEnd w:id="1"/>
    </w:p>
    <w:p w14:paraId="1CDBCBED" w14:textId="77777777" w:rsidR="000E0B74" w:rsidRDefault="000E0B74" w:rsidP="000E0B74">
      <w:pPr>
        <w:pStyle w:val="Heading2"/>
      </w:pPr>
      <w:bookmarkStart w:id="3" w:name="_Toc114214398"/>
      <w:r>
        <w:t>Request for feedback and comments</w:t>
      </w:r>
      <w:bookmarkEnd w:id="3"/>
    </w:p>
    <w:p w14:paraId="72B34602" w14:textId="77777777" w:rsidR="00B77E09" w:rsidRDefault="00B77E09" w:rsidP="00B77E09">
      <w:r>
        <w:t xml:space="preserve">The purpose of this paper is to seek feedback on the Australian Securities and Investments Commission (ASIC) Industry Funding Model (IFM). </w:t>
      </w:r>
    </w:p>
    <w:p w14:paraId="6291ACD7" w14:textId="2D825E62" w:rsidR="00B77E09" w:rsidRDefault="00B77E09" w:rsidP="00B77E09">
      <w:r>
        <w:t xml:space="preserve">While submissions may be lodged electronically or by post, electronic lodgement via email to </w:t>
      </w:r>
      <w:r w:rsidR="00B915DE" w:rsidRPr="00B915DE">
        <w:t>ASICIFMReview</w:t>
      </w:r>
      <w:r>
        <w:t>@treasury.gov.au is preferred. For accessibility reasons, please submit responses sent via email in a Word or RTF format. An additional PDF version may also be submitted.</w:t>
      </w:r>
    </w:p>
    <w:p w14:paraId="09A0A686" w14:textId="77777777" w:rsidR="00B77E09" w:rsidRDefault="00B77E09" w:rsidP="00B77E09">
      <w:pPr>
        <w:pStyle w:val="Heading2"/>
      </w:pPr>
      <w:bookmarkStart w:id="4" w:name="_Toc96960718"/>
      <w:bookmarkStart w:id="5" w:name="_Toc109834302"/>
      <w:bookmarkStart w:id="6" w:name="_Toc114214399"/>
      <w:r>
        <w:t>Publication of submissions and confidentiality</w:t>
      </w:r>
      <w:bookmarkEnd w:id="4"/>
      <w:bookmarkEnd w:id="5"/>
      <w:bookmarkEnd w:id="6"/>
    </w:p>
    <w:p w14:paraId="7321242A" w14:textId="77777777" w:rsidR="00B77E09" w:rsidRDefault="00B77E09" w:rsidP="00B77E09">
      <w:r>
        <w:t xml:space="preserve">All information (including name and address details) contained in submissions may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w:t>
      </w:r>
    </w:p>
    <w:p w14:paraId="59755605" w14:textId="77777777" w:rsidR="00B77E09" w:rsidRDefault="00B77E09" w:rsidP="00B77E09">
      <w:r>
        <w:t xml:space="preserve">Legal requirements, such as those imposed by the </w:t>
      </w:r>
      <w:r w:rsidRPr="009048F0">
        <w:rPr>
          <w:i/>
          <w:iCs/>
        </w:rPr>
        <w:t>Freedom of Information Act 1982</w:t>
      </w:r>
      <w:r>
        <w:t>, may affect the confidentiality of your submission.</w:t>
      </w:r>
    </w:p>
    <w:p w14:paraId="0571D3EA" w14:textId="3AE6C099" w:rsidR="00B77E09" w:rsidRDefault="00B77E09" w:rsidP="00B77E09">
      <w:pPr>
        <w:pStyle w:val="Heading2"/>
      </w:pPr>
      <w:bookmarkStart w:id="7" w:name="_Toc96960719"/>
      <w:bookmarkStart w:id="8" w:name="_Toc109834303"/>
      <w:bookmarkStart w:id="9" w:name="_Toc114214400"/>
      <w:r>
        <w:t xml:space="preserve">Further consultation during </w:t>
      </w:r>
      <w:bookmarkEnd w:id="7"/>
      <w:bookmarkEnd w:id="8"/>
      <w:r w:rsidR="00D41913">
        <w:t>the Review</w:t>
      </w:r>
      <w:bookmarkEnd w:id="9"/>
    </w:p>
    <w:p w14:paraId="7ADB602B" w14:textId="21DDC88C" w:rsidR="00B77E09" w:rsidRDefault="00B77E09" w:rsidP="00B77E09">
      <w:r>
        <w:t xml:space="preserve">Treasury will consult broadly with representatives from industry, consumer and other interested parties in conducting </w:t>
      </w:r>
      <w:r w:rsidR="00D41913">
        <w:t>the Review</w:t>
      </w:r>
      <w:r>
        <w:t xml:space="preserve">. This may involve conducting targeted roundtables and other consultations with interested stakeholders on specific issues where </w:t>
      </w:r>
      <w:r w:rsidR="00D41913">
        <w:t>the Review</w:t>
      </w:r>
      <w:r>
        <w:t xml:space="preserve"> requires more information or to seek further views.</w:t>
      </w:r>
    </w:p>
    <w:p w14:paraId="07F7236C" w14:textId="29F51866" w:rsidR="000E0B74" w:rsidRDefault="000E0B74" w:rsidP="00257AEE">
      <w:pPr>
        <w:pStyle w:val="Heading3noTOC"/>
      </w:pPr>
      <w:r>
        <w:t xml:space="preserve">Closing date for submissions: </w:t>
      </w:r>
      <w:sdt>
        <w:sdtPr>
          <w:rPr>
            <w:rStyle w:val="Heading3Char"/>
          </w:rPr>
          <w:id w:val="1454836312"/>
          <w:placeholder>
            <w:docPart w:val="BAC2B3DF202549C19F6F54A8E269BD61"/>
          </w:placeholder>
          <w:date w:fullDate="2022-10-28T00:00:00Z">
            <w:dateFormat w:val="dd MMMM yyyy"/>
            <w:lid w:val="en-AU"/>
            <w:storeMappedDataAs w:val="dateTime"/>
            <w:calendar w:val="gregorian"/>
          </w:date>
        </w:sdtPr>
        <w:sdtEndPr>
          <w:rPr>
            <w:rStyle w:val="DefaultParagraphFont"/>
            <w:rFonts w:cs="Calibri"/>
            <w:b/>
          </w:rPr>
        </w:sdtEndPr>
        <w:sdtContent>
          <w:r w:rsidR="007E4F79">
            <w:rPr>
              <w:rStyle w:val="Heading3Char"/>
            </w:rPr>
            <w:t>28 October 2022</w:t>
          </w:r>
        </w:sdtContent>
      </w:sdt>
    </w:p>
    <w:tbl>
      <w:tblPr>
        <w:tblStyle w:val="TableGrid"/>
        <w:tblW w:w="0" w:type="auto"/>
        <w:tblLook w:val="04A0" w:firstRow="1" w:lastRow="0" w:firstColumn="1" w:lastColumn="0" w:noHBand="0" w:noVBand="1"/>
      </w:tblPr>
      <w:tblGrid>
        <w:gridCol w:w="1515"/>
        <w:gridCol w:w="7555"/>
      </w:tblGrid>
      <w:tr w:rsidR="000E0B74" w:rsidRPr="00814EF4" w14:paraId="46FCA1CC"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tcPr>
          <w:p w14:paraId="2F168CAD" w14:textId="77777777" w:rsidR="000E0B74" w:rsidRPr="00814EF4" w:rsidRDefault="000E0B74" w:rsidP="0017089D">
            <w:pPr>
              <w:spacing w:before="96" w:after="96"/>
              <w:rPr>
                <w:sz w:val="22"/>
                <w:szCs w:val="22"/>
              </w:rPr>
            </w:pPr>
            <w:r w:rsidRPr="00814EF4">
              <w:rPr>
                <w:sz w:val="22"/>
                <w:szCs w:val="22"/>
              </w:rPr>
              <w:t>Email</w:t>
            </w:r>
          </w:p>
        </w:tc>
        <w:tc>
          <w:tcPr>
            <w:tcW w:w="7654" w:type="dxa"/>
          </w:tcPr>
          <w:p w14:paraId="0F1F834C" w14:textId="12B79421" w:rsidR="000E0B74" w:rsidRPr="00814EF4" w:rsidRDefault="0040357B" w:rsidP="00516785">
            <w:pPr>
              <w:spacing w:before="96" w:after="96"/>
              <w:rPr>
                <w:sz w:val="22"/>
                <w:szCs w:val="22"/>
              </w:rPr>
            </w:pPr>
            <w:r w:rsidRPr="00814EF4">
              <w:rPr>
                <w:rFonts w:cs="Arial"/>
                <w:sz w:val="22"/>
                <w:szCs w:val="22"/>
              </w:rPr>
              <w:t>ASICIFMReview@treasury.gov.au</w:t>
            </w:r>
          </w:p>
        </w:tc>
      </w:tr>
      <w:tr w:rsidR="000E0B74" w:rsidRPr="00814EF4" w14:paraId="577F6773" w14:textId="77777777" w:rsidTr="00B85F47">
        <w:tc>
          <w:tcPr>
            <w:tcW w:w="1526" w:type="dxa"/>
          </w:tcPr>
          <w:p w14:paraId="64D7E8DF" w14:textId="77777777" w:rsidR="000E0B74" w:rsidRPr="00814EF4" w:rsidRDefault="000E0B74" w:rsidP="0017089D">
            <w:pPr>
              <w:rPr>
                <w:sz w:val="22"/>
                <w:szCs w:val="22"/>
              </w:rPr>
            </w:pPr>
            <w:r w:rsidRPr="00814EF4">
              <w:rPr>
                <w:sz w:val="22"/>
                <w:szCs w:val="22"/>
              </w:rPr>
              <w:t>Mail</w:t>
            </w:r>
          </w:p>
          <w:p w14:paraId="4A0DA414" w14:textId="77777777" w:rsidR="008D7F38" w:rsidRPr="00814EF4" w:rsidRDefault="008D7F38" w:rsidP="0017089D">
            <w:pPr>
              <w:rPr>
                <w:sz w:val="22"/>
                <w:szCs w:val="22"/>
              </w:rPr>
            </w:pPr>
          </w:p>
          <w:p w14:paraId="085C70C8" w14:textId="77777777" w:rsidR="008D7F38" w:rsidRPr="00814EF4" w:rsidRDefault="008D7F38" w:rsidP="0017089D">
            <w:pPr>
              <w:rPr>
                <w:sz w:val="22"/>
                <w:szCs w:val="22"/>
              </w:rPr>
            </w:pPr>
          </w:p>
        </w:tc>
        <w:tc>
          <w:tcPr>
            <w:tcW w:w="7654" w:type="dxa"/>
          </w:tcPr>
          <w:p w14:paraId="5D5F5024" w14:textId="6725C216" w:rsidR="000E0B74" w:rsidRPr="00814EF4" w:rsidRDefault="00660B3F" w:rsidP="0017089D">
            <w:pPr>
              <w:pStyle w:val="SingleParagraph"/>
              <w:rPr>
                <w:rFonts w:cs="Arial"/>
                <w:sz w:val="22"/>
                <w:szCs w:val="22"/>
              </w:rPr>
            </w:pPr>
            <w:r>
              <w:rPr>
                <w:rFonts w:cs="Arial"/>
                <w:sz w:val="22"/>
                <w:szCs w:val="22"/>
              </w:rPr>
              <w:t>Senior Adviser</w:t>
            </w:r>
          </w:p>
          <w:p w14:paraId="2C926AB8" w14:textId="4720E4C6" w:rsidR="000E0B74" w:rsidRPr="00814EF4" w:rsidRDefault="00D50525" w:rsidP="0017089D">
            <w:pPr>
              <w:pStyle w:val="SingleParagraph"/>
              <w:rPr>
                <w:rFonts w:cs="Arial"/>
                <w:sz w:val="22"/>
                <w:szCs w:val="22"/>
              </w:rPr>
            </w:pPr>
            <w:r w:rsidRPr="00814EF4">
              <w:rPr>
                <w:rFonts w:cs="Arial"/>
                <w:sz w:val="22"/>
                <w:szCs w:val="22"/>
              </w:rPr>
              <w:t>Financial System Division</w:t>
            </w:r>
          </w:p>
          <w:p w14:paraId="0814CF11" w14:textId="77777777" w:rsidR="000E0B74" w:rsidRPr="00814EF4" w:rsidRDefault="000E0B74" w:rsidP="0017089D">
            <w:pPr>
              <w:pStyle w:val="SingleParagraph"/>
              <w:rPr>
                <w:rFonts w:cs="Arial"/>
                <w:sz w:val="22"/>
                <w:szCs w:val="22"/>
              </w:rPr>
            </w:pPr>
            <w:r w:rsidRPr="00814EF4">
              <w:rPr>
                <w:rFonts w:cs="Arial"/>
                <w:sz w:val="22"/>
                <w:szCs w:val="22"/>
              </w:rPr>
              <w:t>The Treasury</w:t>
            </w:r>
          </w:p>
          <w:p w14:paraId="215877D3" w14:textId="77777777" w:rsidR="000E0B74" w:rsidRPr="00814EF4" w:rsidRDefault="000E0B74" w:rsidP="0017089D">
            <w:pPr>
              <w:pStyle w:val="SingleParagraph"/>
              <w:rPr>
                <w:rFonts w:cs="Arial"/>
                <w:sz w:val="22"/>
                <w:szCs w:val="22"/>
              </w:rPr>
            </w:pPr>
            <w:r w:rsidRPr="00814EF4">
              <w:rPr>
                <w:rFonts w:cs="Arial"/>
                <w:sz w:val="22"/>
                <w:szCs w:val="22"/>
              </w:rPr>
              <w:t>Langton Crescent</w:t>
            </w:r>
          </w:p>
          <w:p w14:paraId="59F9996A" w14:textId="77777777" w:rsidR="000E0B74" w:rsidRPr="00814EF4" w:rsidRDefault="000E0B74" w:rsidP="0017089D">
            <w:pPr>
              <w:pStyle w:val="SingleParagraph"/>
              <w:rPr>
                <w:sz w:val="22"/>
                <w:szCs w:val="22"/>
              </w:rPr>
            </w:pPr>
            <w:r w:rsidRPr="00814EF4">
              <w:rPr>
                <w:sz w:val="22"/>
                <w:szCs w:val="22"/>
              </w:rPr>
              <w:t>PARKES ACT 2600</w:t>
            </w:r>
          </w:p>
        </w:tc>
      </w:tr>
      <w:tr w:rsidR="000E0B74" w:rsidRPr="00814EF4" w14:paraId="0882C629" w14:textId="77777777" w:rsidTr="00B85F47">
        <w:tc>
          <w:tcPr>
            <w:tcW w:w="1526" w:type="dxa"/>
          </w:tcPr>
          <w:p w14:paraId="4DB08EDA" w14:textId="77777777" w:rsidR="000E0B74" w:rsidRPr="00814EF4" w:rsidRDefault="000E0B74" w:rsidP="0017089D">
            <w:pPr>
              <w:rPr>
                <w:sz w:val="22"/>
                <w:szCs w:val="22"/>
              </w:rPr>
            </w:pPr>
            <w:r w:rsidRPr="00814EF4">
              <w:rPr>
                <w:sz w:val="22"/>
                <w:szCs w:val="22"/>
              </w:rPr>
              <w:t>Enquiries</w:t>
            </w:r>
          </w:p>
        </w:tc>
        <w:tc>
          <w:tcPr>
            <w:tcW w:w="7654" w:type="dxa"/>
          </w:tcPr>
          <w:p w14:paraId="09652681" w14:textId="1DCDFE70" w:rsidR="000E0B74" w:rsidRPr="00814EF4" w:rsidRDefault="000E0B74" w:rsidP="0017089D">
            <w:pPr>
              <w:rPr>
                <w:sz w:val="22"/>
                <w:szCs w:val="22"/>
              </w:rPr>
            </w:pPr>
            <w:r w:rsidRPr="00814EF4">
              <w:rPr>
                <w:rFonts w:cs="Arial"/>
                <w:sz w:val="22"/>
                <w:szCs w:val="22"/>
              </w:rPr>
              <w:t xml:space="preserve">Enquiries can be initially directed to </w:t>
            </w:r>
            <w:r w:rsidR="00A05EAD">
              <w:rPr>
                <w:rFonts w:cs="Arial"/>
                <w:sz w:val="22"/>
                <w:szCs w:val="22"/>
              </w:rPr>
              <w:t>Alesha Bhan</w:t>
            </w:r>
          </w:p>
        </w:tc>
      </w:tr>
      <w:tr w:rsidR="000E0B74" w:rsidRPr="00814EF4" w14:paraId="2D80B781" w14:textId="77777777" w:rsidTr="00B85F47">
        <w:tc>
          <w:tcPr>
            <w:tcW w:w="1526" w:type="dxa"/>
          </w:tcPr>
          <w:p w14:paraId="1BF8B537" w14:textId="77777777" w:rsidR="000E0B74" w:rsidRPr="00814EF4" w:rsidRDefault="000E0B74" w:rsidP="0017089D">
            <w:pPr>
              <w:rPr>
                <w:sz w:val="22"/>
                <w:szCs w:val="22"/>
              </w:rPr>
            </w:pPr>
            <w:r w:rsidRPr="00814EF4">
              <w:rPr>
                <w:sz w:val="22"/>
                <w:szCs w:val="22"/>
              </w:rPr>
              <w:t>Phone</w:t>
            </w:r>
          </w:p>
        </w:tc>
        <w:tc>
          <w:tcPr>
            <w:tcW w:w="7654" w:type="dxa"/>
          </w:tcPr>
          <w:p w14:paraId="2F4CB9CD" w14:textId="267E6B62" w:rsidR="000E0B74" w:rsidRPr="00814EF4" w:rsidRDefault="000E0B74" w:rsidP="0017089D">
            <w:pPr>
              <w:rPr>
                <w:sz w:val="22"/>
                <w:szCs w:val="22"/>
              </w:rPr>
            </w:pPr>
            <w:r w:rsidRPr="00A05EAD">
              <w:rPr>
                <w:rFonts w:cs="Arial"/>
                <w:szCs w:val="22"/>
              </w:rPr>
              <w:t xml:space="preserve">02 6263 </w:t>
            </w:r>
            <w:r w:rsidR="00A05EAD" w:rsidRPr="00A05EAD">
              <w:rPr>
                <w:rFonts w:cs="Arial"/>
                <w:szCs w:val="22"/>
              </w:rPr>
              <w:t>4361</w:t>
            </w:r>
          </w:p>
        </w:tc>
      </w:tr>
    </w:tbl>
    <w:bookmarkEnd w:id="2"/>
    <w:p w14:paraId="2DD47B0A" w14:textId="50AD3974" w:rsidR="00814EF4" w:rsidRDefault="003F7887">
      <w:pPr>
        <w:spacing w:before="0" w:after="160" w:line="259" w:lineRule="auto"/>
      </w:pPr>
      <w:r>
        <w:rPr>
          <w:noProof/>
        </w:rPr>
        <mc:AlternateContent>
          <mc:Choice Requires="wps">
            <w:drawing>
              <wp:anchor distT="0" distB="0" distL="114300" distR="114300" simplePos="0" relativeHeight="251658242" behindDoc="0" locked="0" layoutInCell="1" allowOverlap="1" wp14:anchorId="2081EC43" wp14:editId="720790BD">
                <wp:simplePos x="0" y="0"/>
                <wp:positionH relativeFrom="margin">
                  <wp:posOffset>-71755</wp:posOffset>
                </wp:positionH>
                <wp:positionV relativeFrom="paragraph">
                  <wp:posOffset>166370</wp:posOffset>
                </wp:positionV>
                <wp:extent cx="5905500" cy="781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05500" cy="7810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B704F" id="Rectangle 1" o:spid="_x0000_s1026" style="position:absolute;margin-left:-5.65pt;margin-top:13.1pt;width:465pt;height:6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" filled="f" strokecolor="#161b24 [1604]" strokeweight="1pt">
                <w10:wrap anchorx="margin"/>
              </v:rect>
            </w:pict>
          </mc:Fallback>
        </mc:AlternateContent>
      </w:r>
    </w:p>
    <w:p w14:paraId="3216B427" w14:textId="20CC2122" w:rsidR="00E10D39" w:rsidRPr="00626A74" w:rsidRDefault="00A16E03">
      <w:pPr>
        <w:spacing w:before="0" w:after="160" w:line="259" w:lineRule="auto"/>
        <w:rPr>
          <w:rFonts w:cs="Arial"/>
          <w:b/>
          <w:bCs/>
          <w:color w:val="004A7F"/>
          <w:kern w:val="32"/>
          <w:sz w:val="48"/>
          <w:szCs w:val="36"/>
        </w:rPr>
      </w:pPr>
      <w:r w:rsidRPr="00626A74">
        <w:rPr>
          <w:b/>
          <w:bCs/>
        </w:rPr>
        <w:t>The principles</w:t>
      </w:r>
      <w:r w:rsidR="00F35937">
        <w:rPr>
          <w:b/>
          <w:bCs/>
        </w:rPr>
        <w:t>,</w:t>
      </w:r>
      <w:r w:rsidR="008832B3" w:rsidRPr="00626A74">
        <w:rPr>
          <w:b/>
          <w:bCs/>
        </w:rPr>
        <w:t xml:space="preserve"> options</w:t>
      </w:r>
      <w:r w:rsidR="00F35937">
        <w:rPr>
          <w:b/>
          <w:bCs/>
        </w:rPr>
        <w:t xml:space="preserve"> and examples of potential changes</w:t>
      </w:r>
      <w:r w:rsidR="008832B3" w:rsidRPr="00626A74">
        <w:rPr>
          <w:b/>
          <w:bCs/>
        </w:rPr>
        <w:t xml:space="preserve"> </w:t>
      </w:r>
      <w:r w:rsidRPr="00626A74">
        <w:rPr>
          <w:b/>
          <w:bCs/>
        </w:rPr>
        <w:t>outlined in this paper have not received Government approval and are not yet law. As a consequence, this paper is merely a guide as to how the principles</w:t>
      </w:r>
      <w:r w:rsidR="00F35937">
        <w:rPr>
          <w:b/>
          <w:bCs/>
        </w:rPr>
        <w:t>,</w:t>
      </w:r>
      <w:r w:rsidR="008A15C5" w:rsidRPr="00626A74">
        <w:rPr>
          <w:b/>
          <w:bCs/>
        </w:rPr>
        <w:t xml:space="preserve"> options</w:t>
      </w:r>
      <w:r w:rsidR="00F35937">
        <w:rPr>
          <w:b/>
          <w:bCs/>
        </w:rPr>
        <w:t xml:space="preserve"> or examples of potential changes</w:t>
      </w:r>
      <w:r w:rsidRPr="00626A74">
        <w:rPr>
          <w:b/>
          <w:bCs/>
        </w:rPr>
        <w:t xml:space="preserve"> might operate.</w:t>
      </w:r>
      <w:r w:rsidR="00E10D39" w:rsidRPr="00626A74">
        <w:rPr>
          <w:b/>
          <w:bCs/>
        </w:rPr>
        <w:br w:type="page"/>
      </w:r>
    </w:p>
    <w:p w14:paraId="2C0A14CF" w14:textId="1F5EE1F6" w:rsidR="000E0B74" w:rsidRDefault="00445DF3" w:rsidP="00354FBB">
      <w:pPr>
        <w:pStyle w:val="Heading1"/>
      </w:pPr>
      <w:bookmarkStart w:id="10" w:name="_Toc114214401"/>
      <w:r>
        <w:lastRenderedPageBreak/>
        <w:t>ASIC Industry F</w:t>
      </w:r>
      <w:r w:rsidR="006C576C">
        <w:t>unding Model Review</w:t>
      </w:r>
      <w:bookmarkEnd w:id="10"/>
    </w:p>
    <w:p w14:paraId="294E30F3" w14:textId="19BE9CD0" w:rsidR="00FB2B54" w:rsidRDefault="00FB2B54" w:rsidP="00303C99">
      <w:pPr>
        <w:pStyle w:val="Heading2"/>
        <w:numPr>
          <w:ilvl w:val="6"/>
          <w:numId w:val="3"/>
        </w:numPr>
        <w:tabs>
          <w:tab w:val="num" w:pos="426"/>
        </w:tabs>
        <w:ind w:left="426" w:hanging="426"/>
      </w:pPr>
      <w:bookmarkStart w:id="11" w:name="_Toc109834305"/>
      <w:bookmarkStart w:id="12" w:name="_Toc114214402"/>
      <w:r>
        <w:t xml:space="preserve">Purpose of </w:t>
      </w:r>
      <w:bookmarkEnd w:id="11"/>
      <w:r w:rsidR="00D41913">
        <w:t>the Review</w:t>
      </w:r>
      <w:bookmarkEnd w:id="12"/>
    </w:p>
    <w:p w14:paraId="4B93D974" w14:textId="0D169B55" w:rsidR="00893BDC" w:rsidRDefault="00FB2B54" w:rsidP="00FB2B54">
      <w:r>
        <w:t xml:space="preserve">On </w:t>
      </w:r>
      <w:r w:rsidR="00B536BC" w:rsidRPr="004A19F1">
        <w:t>8 August</w:t>
      </w:r>
      <w:r>
        <w:t xml:space="preserve"> 2022, the Government announced a review of the ASIC Industry Funding Model (IFM) and released the Terms of Reference to guide </w:t>
      </w:r>
      <w:r w:rsidR="00D41913">
        <w:t>the Review</w:t>
      </w:r>
      <w:r>
        <w:t xml:space="preserve"> (see Appendix A). </w:t>
      </w:r>
    </w:p>
    <w:p w14:paraId="423F0774" w14:textId="6A0FB357" w:rsidR="00FB2B54" w:rsidRPr="007F3575" w:rsidRDefault="00FB2B54" w:rsidP="00FB2B54">
      <w:pPr>
        <w:rPr>
          <w:rFonts w:cs="Calibri Light"/>
        </w:rPr>
      </w:pPr>
      <w:r>
        <w:t xml:space="preserve">The purpose of </w:t>
      </w:r>
      <w:r w:rsidR="00D41913">
        <w:t>the Review</w:t>
      </w:r>
      <w:r>
        <w:t xml:space="preserve"> is to identify any refinements to the IFM that may be required to ensure its settings remain appropriate in the longer-term. Governments</w:t>
      </w:r>
      <w:r w:rsidR="002E0C7B">
        <w:t>’</w:t>
      </w:r>
      <w:r>
        <w:t xml:space="preserve"> long-standing position is that cost recovery fees and levies attributable to regulated activity are considered as a funding mechanism prior to budget funding (i.e. funding from general taxpayers). </w:t>
      </w:r>
      <w:r w:rsidR="003456D2">
        <w:t xml:space="preserve">Any significant deviations from this principle </w:t>
      </w:r>
      <w:r w:rsidR="003456D2" w:rsidRPr="00E670A1" w:rsidDel="00CF7270">
        <w:t xml:space="preserve">would </w:t>
      </w:r>
      <w:r w:rsidR="003456D2">
        <w:t>raise</w:t>
      </w:r>
      <w:r w:rsidR="003456D2" w:rsidRPr="00E670A1" w:rsidDel="00CF7270">
        <w:t xml:space="preserve"> concerns about equity and fairness, and would not be aligned with the Government’s priority for responsible budget repair.</w:t>
      </w:r>
      <w:r w:rsidR="003456D2" w:rsidDel="00CF7270">
        <w:t xml:space="preserve"> </w:t>
      </w:r>
      <w:r>
        <w:t>The Government is committed to maintaining appropriate industry funding arrangements for ASIC.</w:t>
      </w:r>
    </w:p>
    <w:p w14:paraId="0E260ADF" w14:textId="77777777" w:rsidR="00F82EDC" w:rsidRDefault="00D41913" w:rsidP="00FB2B54">
      <w:r>
        <w:t>The Review</w:t>
      </w:r>
      <w:r w:rsidR="00FB2B54" w:rsidRPr="009F5CA7">
        <w:t xml:space="preserve"> will </w:t>
      </w:r>
      <w:r w:rsidR="00FB2B54">
        <w:t>consider</w:t>
      </w:r>
      <w:r w:rsidR="00F82EDC">
        <w:t>:</w:t>
      </w:r>
    </w:p>
    <w:p w14:paraId="2BAC9773" w14:textId="77CB7173" w:rsidR="00F82EDC" w:rsidRDefault="00FB2B54" w:rsidP="00F82EDC">
      <w:pPr>
        <w:pStyle w:val="Bullet"/>
      </w:pPr>
      <w:r>
        <w:t>the design, legislative framework and flexibility of the IFM</w:t>
      </w:r>
      <w:r w:rsidR="00566F64">
        <w:t>;</w:t>
      </w:r>
      <w:r>
        <w:t xml:space="preserve"> </w:t>
      </w:r>
    </w:p>
    <w:p w14:paraId="76C0C4C2" w14:textId="52CC3BCB" w:rsidR="00F82EDC" w:rsidRDefault="00FB2B54" w:rsidP="00F82EDC">
      <w:pPr>
        <w:pStyle w:val="Bullet"/>
      </w:pPr>
      <w:r>
        <w:t>the types of costs and activities that are recovered from industry and how these costs are allocated and recovered</w:t>
      </w:r>
      <w:r w:rsidR="00566F64">
        <w:t>;</w:t>
      </w:r>
    </w:p>
    <w:p w14:paraId="18A3502A" w14:textId="3E07B250" w:rsidR="00F82EDC" w:rsidRDefault="00FB2B54" w:rsidP="00F82EDC">
      <w:pPr>
        <w:pStyle w:val="Bullet"/>
      </w:pPr>
      <w:r>
        <w:t>changes in levy amounts since the commencement of the IFM</w:t>
      </w:r>
      <w:r w:rsidR="00890F27">
        <w:t>; and</w:t>
      </w:r>
      <w:r>
        <w:t xml:space="preserve"> </w:t>
      </w:r>
    </w:p>
    <w:p w14:paraId="5F4CE215" w14:textId="441B0A6C" w:rsidR="00F82EDC" w:rsidRDefault="00FB2B54">
      <w:pPr>
        <w:pStyle w:val="Bullet"/>
      </w:pPr>
      <w:r>
        <w:t xml:space="preserve">the suitability of transparency and consultation mechanisms. </w:t>
      </w:r>
    </w:p>
    <w:p w14:paraId="34B47295" w14:textId="357EDF64" w:rsidR="00FB2B54" w:rsidRDefault="00D41913" w:rsidP="00DA18EA">
      <w:pPr>
        <w:pStyle w:val="Bullet"/>
        <w:numPr>
          <w:ilvl w:val="0"/>
          <w:numId w:val="0"/>
        </w:numPr>
      </w:pPr>
      <w:r>
        <w:t>The Review</w:t>
      </w:r>
      <w:r w:rsidR="00FB2B54">
        <w:t xml:space="preserve"> will also </w:t>
      </w:r>
      <w:r w:rsidR="00FB2B54" w:rsidRPr="009F5CA7">
        <w:t>have regard to the temporary levies relief provided to personal financial advice licensees in respect of 2020-21 and 2021-22.</w:t>
      </w:r>
      <w:r w:rsidR="00A163DA">
        <w:rPr>
          <w:rStyle w:val="FootnoteReference"/>
        </w:rPr>
        <w:footnoteReference w:id="2"/>
      </w:r>
    </w:p>
    <w:p w14:paraId="50046290" w14:textId="6D175255" w:rsidR="00F83CAD" w:rsidRDefault="005500B7" w:rsidP="00FB2B54">
      <w:r>
        <w:t xml:space="preserve">ASIC’s role and regulatory remit, its performance and its independence to allocate resources to deliver on its mandate are not within the scope of the </w:t>
      </w:r>
      <w:r w:rsidR="004E0F17">
        <w:t>R</w:t>
      </w:r>
      <w:r>
        <w:t>eview.</w:t>
      </w:r>
      <w:r w:rsidR="00F83CAD">
        <w:t xml:space="preserve"> </w:t>
      </w:r>
      <w:r w:rsidR="00723452">
        <w:t>Additionally</w:t>
      </w:r>
      <w:r w:rsidR="004E0F17">
        <w:t xml:space="preserve">, the Review will not </w:t>
      </w:r>
      <w:r w:rsidR="00376B5F">
        <w:t>assess or make recommendations on</w:t>
      </w:r>
      <w:r w:rsidR="00723452">
        <w:t xml:space="preserve"> t</w:t>
      </w:r>
      <w:r w:rsidR="00F83CAD">
        <w:t xml:space="preserve">he appropriate aggregate level of funding </w:t>
      </w:r>
      <w:r w:rsidR="00DD2B4A">
        <w:t xml:space="preserve">provided </w:t>
      </w:r>
      <w:r w:rsidR="00F83CAD">
        <w:t>to ASIC</w:t>
      </w:r>
      <w:r w:rsidR="0010231F">
        <w:t>.</w:t>
      </w:r>
    </w:p>
    <w:p w14:paraId="2D62439F" w14:textId="6823380E" w:rsidR="00384410" w:rsidRDefault="002615A0" w:rsidP="00DA4DFD">
      <w:r w:rsidRPr="002615A0">
        <w:t xml:space="preserve">The costs associated with ASIC’s registry business (that is, the registers for which ASIC is responsible) and the fees for ASIC forms relating </w:t>
      </w:r>
      <w:r w:rsidR="00E454E0">
        <w:t>ASIC’s registry function</w:t>
      </w:r>
      <w:r w:rsidRPr="002615A0">
        <w:t xml:space="preserve"> are not cost recovered through the IFM. Therefore, registry costs and fees are not within the scope of the </w:t>
      </w:r>
      <w:r w:rsidR="00376B5F">
        <w:t>R</w:t>
      </w:r>
      <w:r w:rsidRPr="002615A0">
        <w:t>eview</w:t>
      </w:r>
      <w:r w:rsidR="00710A80">
        <w:t>.</w:t>
      </w:r>
      <w:r w:rsidR="0058632A">
        <w:rPr>
          <w:highlight w:val="yellow"/>
        </w:rPr>
        <w:t xml:space="preserve"> </w:t>
      </w:r>
    </w:p>
    <w:p w14:paraId="5D83CE1C" w14:textId="6CBCE6CB" w:rsidR="00995B01" w:rsidRDefault="00D41913" w:rsidP="00FB2B54">
      <w:r>
        <w:t>The Review</w:t>
      </w:r>
      <w:r w:rsidR="00FB2B54" w:rsidRPr="008525EB">
        <w:t xml:space="preserve"> </w:t>
      </w:r>
      <w:r w:rsidR="00FB2B54">
        <w:t>is being</w:t>
      </w:r>
      <w:r w:rsidR="00FB2B54" w:rsidRPr="008525EB">
        <w:t xml:space="preserve"> led by Treasury, in consultation with ASIC, the Department of Finance</w:t>
      </w:r>
      <w:r w:rsidR="00FB2B54">
        <w:t xml:space="preserve"> (Finance)</w:t>
      </w:r>
      <w:r w:rsidR="00FB2B54" w:rsidRPr="008525EB">
        <w:t xml:space="preserve"> and the Department of the Prime Minister and Cabinet</w:t>
      </w:r>
      <w:r w:rsidR="00FB2B54">
        <w:t xml:space="preserve"> (PM&amp;C)</w:t>
      </w:r>
      <w:r w:rsidR="00FB2B54" w:rsidRPr="008525EB">
        <w:t>.</w:t>
      </w:r>
    </w:p>
    <w:p w14:paraId="099C9952" w14:textId="25EEF082" w:rsidR="00FB2B54" w:rsidRDefault="00D41913" w:rsidP="00FB2B54">
      <w:r>
        <w:t>The Review</w:t>
      </w:r>
      <w:r w:rsidR="00995B01">
        <w:t xml:space="preserve"> undertook targeted stakeholder consultation in March 2022. </w:t>
      </w:r>
      <w:r w:rsidR="004D6B7A">
        <w:t xml:space="preserve">This Discussion Paper </w:t>
      </w:r>
      <w:r w:rsidR="00061700">
        <w:t>draws</w:t>
      </w:r>
      <w:r w:rsidR="004D6B7A">
        <w:t xml:space="preserve"> on feedback provided in th</w:t>
      </w:r>
      <w:r w:rsidR="00902076">
        <w:t>at</w:t>
      </w:r>
      <w:r w:rsidR="004D6B7A">
        <w:t xml:space="preserve"> consultation</w:t>
      </w:r>
      <w:r w:rsidR="008B5766">
        <w:t xml:space="preserve"> (see Appendix</w:t>
      </w:r>
      <w:r w:rsidR="00A112C8">
        <w:t xml:space="preserve"> B)</w:t>
      </w:r>
      <w:r w:rsidR="004D6B7A">
        <w:t xml:space="preserve">, as well as </w:t>
      </w:r>
      <w:r w:rsidR="00CA2A64">
        <w:t>stakeholder feedback provided through other avenues (for example, through ASIC’s Cost Recovery Implementation Statement process).</w:t>
      </w:r>
      <w:r w:rsidR="00FB2B54" w:rsidRPr="008525EB">
        <w:t xml:space="preserve">  </w:t>
      </w:r>
    </w:p>
    <w:p w14:paraId="57B29470" w14:textId="0F807015" w:rsidR="00FB2B54" w:rsidRDefault="005971F9" w:rsidP="00FB2B54">
      <w:r>
        <w:t xml:space="preserve">As part of this </w:t>
      </w:r>
      <w:r w:rsidR="00591D80">
        <w:t>D</w:t>
      </w:r>
      <w:r>
        <w:t xml:space="preserve">iscussion </w:t>
      </w:r>
      <w:r w:rsidR="00591D80">
        <w:t>P</w:t>
      </w:r>
      <w:r>
        <w:t>aper, s</w:t>
      </w:r>
      <w:r w:rsidR="00FB2B54">
        <w:t xml:space="preserve">takeholders are invited to consider </w:t>
      </w:r>
      <w:r>
        <w:t>options</w:t>
      </w:r>
      <w:r w:rsidR="0066651B">
        <w:t>, examples of potential changes</w:t>
      </w:r>
      <w:r>
        <w:t xml:space="preserve"> and </w:t>
      </w:r>
      <w:r w:rsidR="00FB2B54">
        <w:t xml:space="preserve">questions that are designed to </w:t>
      </w:r>
      <w:r w:rsidR="0066651B">
        <w:t xml:space="preserve">examine and </w:t>
      </w:r>
      <w:r w:rsidR="00FB2B54">
        <w:t xml:space="preserve">address the issues set out in </w:t>
      </w:r>
      <w:r w:rsidR="00D41913">
        <w:t>the Review</w:t>
      </w:r>
      <w:r w:rsidR="00FB2B54">
        <w:t xml:space="preserve">’s Terms of Reference. </w:t>
      </w:r>
      <w:r>
        <w:t>Options</w:t>
      </w:r>
      <w:r w:rsidR="0066651B">
        <w:t xml:space="preserve"> and examples of potential changes</w:t>
      </w:r>
      <w:r>
        <w:t xml:space="preserve"> presented </w:t>
      </w:r>
      <w:r w:rsidR="00591D80">
        <w:t>in this Discussion Paper</w:t>
      </w:r>
      <w:r>
        <w:t xml:space="preserve"> </w:t>
      </w:r>
      <w:r w:rsidR="00002D18">
        <w:t xml:space="preserve">have not received </w:t>
      </w:r>
      <w:r w:rsidR="003D7A40">
        <w:t>G</w:t>
      </w:r>
      <w:r w:rsidR="00002D18">
        <w:t>overnment endorsement or approval</w:t>
      </w:r>
      <w:r w:rsidR="00561F25">
        <w:t xml:space="preserve">. </w:t>
      </w:r>
      <w:r w:rsidR="00A16111">
        <w:t>Options are intended to</w:t>
      </w:r>
      <w:r w:rsidR="00002D18">
        <w:t xml:space="preserve"> </w:t>
      </w:r>
      <w:r w:rsidR="00C946FE">
        <w:t xml:space="preserve">provide indicative examples of </w:t>
      </w:r>
      <w:r w:rsidR="00086F50">
        <w:t xml:space="preserve">the </w:t>
      </w:r>
      <w:r w:rsidR="00C946FE">
        <w:t>types of changes th</w:t>
      </w:r>
      <w:r w:rsidR="004C0C46">
        <w:t>e</w:t>
      </w:r>
      <w:r w:rsidR="00C946FE">
        <w:t xml:space="preserve"> </w:t>
      </w:r>
      <w:r w:rsidR="004C0C46">
        <w:t>R</w:t>
      </w:r>
      <w:r w:rsidR="00C946FE">
        <w:t>eview may consider</w:t>
      </w:r>
      <w:r w:rsidR="0066651B">
        <w:t xml:space="preserve"> in response to issues that have been identified</w:t>
      </w:r>
      <w:r w:rsidR="00132F4F">
        <w:t>,</w:t>
      </w:r>
      <w:r w:rsidR="00591D80">
        <w:t xml:space="preserve"> and</w:t>
      </w:r>
      <w:r w:rsidR="00917068">
        <w:t xml:space="preserve"> aim</w:t>
      </w:r>
      <w:r w:rsidR="00591D80">
        <w:t xml:space="preserve"> to </w:t>
      </w:r>
      <w:r w:rsidR="0066651B">
        <w:t>support</w:t>
      </w:r>
      <w:r w:rsidR="00E26E63">
        <w:t xml:space="preserve"> stakeholders</w:t>
      </w:r>
      <w:r w:rsidR="0066651B">
        <w:t xml:space="preserve"> in </w:t>
      </w:r>
      <w:r w:rsidR="00443567">
        <w:t>providing feedback on potential areas for change</w:t>
      </w:r>
      <w:r w:rsidR="00C946FE">
        <w:t>.</w:t>
      </w:r>
      <w:r w:rsidR="00930EF0">
        <w:t xml:space="preserve"> </w:t>
      </w:r>
      <w:r w:rsidR="004159EC">
        <w:t xml:space="preserve">The </w:t>
      </w:r>
      <w:r w:rsidR="004159EC">
        <w:lastRenderedPageBreak/>
        <w:t xml:space="preserve">Government has not made decisions </w:t>
      </w:r>
      <w:r w:rsidR="00635D64">
        <w:t>to make any such changes, and</w:t>
      </w:r>
      <w:r w:rsidR="00930EF0">
        <w:t xml:space="preserve"> maintaining the status quo</w:t>
      </w:r>
      <w:r w:rsidR="00635D64">
        <w:t xml:space="preserve"> remains an option</w:t>
      </w:r>
      <w:r w:rsidR="00A636EA">
        <w:t>.</w:t>
      </w:r>
    </w:p>
    <w:p w14:paraId="78F5689F" w14:textId="45DBF36D" w:rsidR="00FB2B54" w:rsidRDefault="00FB2B54" w:rsidP="00FB2B54">
      <w:r>
        <w:t xml:space="preserve">Stakeholder feedback received through this process and further consultation will inform </w:t>
      </w:r>
      <w:r w:rsidR="00D41913">
        <w:t>the Review</w:t>
      </w:r>
      <w:r>
        <w:t xml:space="preserve">’s consideration, including </w:t>
      </w:r>
      <w:r w:rsidR="004F7D80">
        <w:t xml:space="preserve">considering </w:t>
      </w:r>
      <w:r>
        <w:t>whether any refinements are required to the IFM to ensure its settings remain appropriate.</w:t>
      </w:r>
    </w:p>
    <w:p w14:paraId="55D26ECD" w14:textId="5B50E2CB" w:rsidR="00290E13" w:rsidRDefault="00290E13" w:rsidP="00FB2B54">
      <w:r>
        <w:t xml:space="preserve">This </w:t>
      </w:r>
      <w:r w:rsidR="003D1075">
        <w:t>R</w:t>
      </w:r>
      <w:r>
        <w:t xml:space="preserve">eview is separate to </w:t>
      </w:r>
      <w:r w:rsidR="00E26E63">
        <w:t>ASIC’s</w:t>
      </w:r>
      <w:r>
        <w:t xml:space="preserve"> 2021-22 </w:t>
      </w:r>
      <w:r w:rsidR="00941AD8">
        <w:t>levy process</w:t>
      </w:r>
      <w:r w:rsidR="00291392">
        <w:t>,</w:t>
      </w:r>
      <w:r w:rsidR="00941AD8">
        <w:t xml:space="preserve"> which is currently underway</w:t>
      </w:r>
      <w:r w:rsidR="001918E8">
        <w:t xml:space="preserve"> with the collection of </w:t>
      </w:r>
      <w:r w:rsidR="00F92FC0">
        <w:t xml:space="preserve">data from entities </w:t>
      </w:r>
      <w:r w:rsidR="00CC43E9">
        <w:t xml:space="preserve">to </w:t>
      </w:r>
      <w:r w:rsidR="00082C71">
        <w:t>inform levy amounts</w:t>
      </w:r>
      <w:r w:rsidR="00F92FC0">
        <w:t xml:space="preserve">. </w:t>
      </w:r>
      <w:r w:rsidR="00E26E63">
        <w:t xml:space="preserve">ASIC’s </w:t>
      </w:r>
      <w:r w:rsidR="00F92FC0">
        <w:t xml:space="preserve">2021-22 levy </w:t>
      </w:r>
      <w:r w:rsidR="00F30095">
        <w:t xml:space="preserve">process will proceed </w:t>
      </w:r>
      <w:r w:rsidR="00D96381">
        <w:t>consistent</w:t>
      </w:r>
      <w:r w:rsidR="00F30095">
        <w:t xml:space="preserve"> </w:t>
      </w:r>
      <w:r w:rsidR="00223AD5">
        <w:t xml:space="preserve">with </w:t>
      </w:r>
      <w:r w:rsidR="00F30095">
        <w:t xml:space="preserve">the existing IFM settings. </w:t>
      </w:r>
    </w:p>
    <w:p w14:paraId="79BB9717" w14:textId="77777777" w:rsidR="00FB2B54" w:rsidRDefault="00FB2B54" w:rsidP="00303C99">
      <w:pPr>
        <w:pStyle w:val="Heading2"/>
        <w:numPr>
          <w:ilvl w:val="6"/>
          <w:numId w:val="3"/>
        </w:numPr>
        <w:tabs>
          <w:tab w:val="num" w:pos="426"/>
        </w:tabs>
        <w:ind w:left="426" w:hanging="426"/>
      </w:pPr>
      <w:bookmarkStart w:id="13" w:name="_Toc306887371"/>
      <w:bookmarkStart w:id="14" w:name="_Toc432064635"/>
      <w:bookmarkStart w:id="15" w:name="_Toc109834306"/>
      <w:bookmarkStart w:id="16" w:name="_Toc114214403"/>
      <w:r>
        <w:t>Background</w:t>
      </w:r>
      <w:bookmarkEnd w:id="13"/>
      <w:bookmarkEnd w:id="14"/>
      <w:bookmarkEnd w:id="15"/>
      <w:bookmarkEnd w:id="16"/>
    </w:p>
    <w:p w14:paraId="2CA04CF6" w14:textId="704B56A1" w:rsidR="00FB2B54" w:rsidRPr="0092290E" w:rsidRDefault="00FB2B54" w:rsidP="00FB2B54">
      <w:pPr>
        <w:pStyle w:val="Heading3"/>
      </w:pPr>
      <w:bookmarkStart w:id="17" w:name="_Toc109834307"/>
      <w:bookmarkStart w:id="18" w:name="_Toc114214404"/>
      <w:r>
        <w:t>Overview of the IFM</w:t>
      </w:r>
      <w:bookmarkEnd w:id="17"/>
      <w:bookmarkEnd w:id="18"/>
    </w:p>
    <w:p w14:paraId="33DAC246" w14:textId="3C56BEE9" w:rsidR="00720192" w:rsidRDefault="00FB2B54" w:rsidP="00FB2B54">
      <w:r>
        <w:t xml:space="preserve">Following recommendations </w:t>
      </w:r>
      <w:r w:rsidR="007D6D98">
        <w:t>of</w:t>
      </w:r>
      <w:r>
        <w:t xml:space="preserve"> the 2014 Financial System Inquiry and the 2014 Senate Economics Committee Inquiry into the performance of ASIC, an industry funding model for ASIC was introduced to recover its regulatory costs from the entities it regulates. Extensive consultation was undertaken to design the IFM, drawing on other comparable financial services and markets regulators such as the United Kingdom’s Financial Conduct Authority. </w:t>
      </w:r>
      <w:r w:rsidR="006561B7" w:rsidRPr="006561B7">
        <w:t>However, not all Australian regulators with a significant enforcement function, like ASIC, are industry funded</w:t>
      </w:r>
      <w:r w:rsidR="006561B7">
        <w:t>.</w:t>
      </w:r>
    </w:p>
    <w:p w14:paraId="7871611C" w14:textId="714EC2CD" w:rsidR="002132AD" w:rsidRDefault="00FB2B54" w:rsidP="00FB2B54">
      <w:r>
        <w:t>Following</w:t>
      </w:r>
      <w:r w:rsidR="00245AC6">
        <w:t xml:space="preserve"> the</w:t>
      </w:r>
      <w:r>
        <w:t xml:space="preserve"> passage of legislation, the levy component of the ASIC IFM commenced on 1 July 2017 and the fees</w:t>
      </w:r>
      <w:r w:rsidR="00423A74">
        <w:t>-</w:t>
      </w:r>
      <w:r>
        <w:t>for</w:t>
      </w:r>
      <w:r w:rsidR="00423A74">
        <w:t>-</w:t>
      </w:r>
      <w:r>
        <w:t>service component commenced on 4 July 2018.</w:t>
      </w:r>
    </w:p>
    <w:p w14:paraId="1CB539BC" w14:textId="523ABF14" w:rsidR="00FB2B54" w:rsidRDefault="002132AD" w:rsidP="00FB2B54">
      <w:r w:rsidRPr="00DB39C8">
        <w:t xml:space="preserve">The IFM aims to recover </w:t>
      </w:r>
      <w:r w:rsidR="00DD0D01">
        <w:t xml:space="preserve">ASIC’s </w:t>
      </w:r>
      <w:r w:rsidRPr="00DB39C8">
        <w:t>regulatory costs from entities</w:t>
      </w:r>
      <w:r>
        <w:t xml:space="preserve"> in the industry </w:t>
      </w:r>
      <w:r w:rsidR="00F33074">
        <w:t>sub</w:t>
      </w:r>
      <w:r w:rsidR="00F33074">
        <w:noBreakHyphen/>
      </w:r>
      <w:r w:rsidR="00527197">
        <w:t>sector</w:t>
      </w:r>
      <w:r>
        <w:t>s</w:t>
      </w:r>
      <w:r w:rsidRPr="00DB39C8">
        <w:t xml:space="preserve"> that cause the need for regulatory effort by ASIC, rather than general taxpayers. </w:t>
      </w:r>
      <w:r>
        <w:t xml:space="preserve">The IFM comprises of industry levies (both cost recovery levies and statutory levies) charged annually to entities across 52 industry </w:t>
      </w:r>
      <w:r w:rsidR="00F33074">
        <w:t>sub</w:t>
      </w:r>
      <w:r w:rsidR="00F33074">
        <w:noBreakHyphen/>
      </w:r>
      <w:r w:rsidR="00527197">
        <w:t>sector</w:t>
      </w:r>
      <w:r>
        <w:t>s (as at 2021-22), and fees</w:t>
      </w:r>
      <w:r w:rsidR="00423A74">
        <w:t>-</w:t>
      </w:r>
      <w:r>
        <w:t>for</w:t>
      </w:r>
      <w:r w:rsidR="00423A74">
        <w:t>-</w:t>
      </w:r>
      <w:r>
        <w:t>service charged to individual entities at the point of initiating certain regulatory services.</w:t>
      </w:r>
      <w:r w:rsidR="00FB2B54">
        <w:t xml:space="preserve"> </w:t>
      </w:r>
    </w:p>
    <w:p w14:paraId="6F7495E5" w14:textId="3B061FA7" w:rsidR="00FB2B54" w:rsidRDefault="001F746A" w:rsidP="00FB2B54">
      <w:r w:rsidRPr="00077E56">
        <w:t>The Government</w:t>
      </w:r>
      <w:r>
        <w:t xml:space="preserve"> (subject to Parliamentary process and oversight)</w:t>
      </w:r>
      <w:r w:rsidRPr="00077E56">
        <w:t xml:space="preserve"> is responsible for the policy settings of the IFM</w:t>
      </w:r>
      <w:r w:rsidR="00FB2B54">
        <w:t>, which are prescribed in a legislative framework comprising several Acts and Regulations</w:t>
      </w:r>
      <w:r w:rsidR="005D2FFC">
        <w:t xml:space="preserve"> (see Appendix </w:t>
      </w:r>
      <w:r w:rsidR="00630CE8">
        <w:t>C</w:t>
      </w:r>
      <w:r w:rsidR="005D2FFC">
        <w:t>)</w:t>
      </w:r>
      <w:r w:rsidR="00FB2B54">
        <w:t xml:space="preserve">. This includes deciding which of ASIC’s regulatory costs are recovered through levies and fees. </w:t>
      </w:r>
      <w:r w:rsidR="004A6AF8">
        <w:t>Changes to the policy settings of the IFM are the responsibility of the Government</w:t>
      </w:r>
      <w:r w:rsidR="00A01C53">
        <w:t xml:space="preserve"> and will generally require legislative change. ASIC is responsible for administering the IFM in accordance with the Government’s policy settings and the legislative framework.</w:t>
      </w:r>
    </w:p>
    <w:p w14:paraId="3E0DBEC5" w14:textId="1BCF88B2" w:rsidR="00FB2B54" w:rsidRDefault="00FB2B54" w:rsidP="00FB2B54">
      <w:r>
        <w:t xml:space="preserve">ASIC’s total budget to fund its regulatory activities is determined by the Government and funded through appropriations from the Commonwealth budget. Within this total budget, ASIC determines how it allocates its resources to regulate different industry sectors and achieve its statutory objectives. </w:t>
      </w:r>
      <w:r w:rsidR="00DC1E22">
        <w:t xml:space="preserve">These costs are then recovered from industry in accordance with the </w:t>
      </w:r>
      <w:r w:rsidR="006A4764">
        <w:t>IFM’s policy and legislative settings.</w:t>
      </w:r>
      <w:r w:rsidR="00A47292">
        <w:t xml:space="preserve"> The total funding available to ASIC – and therefore the amount recovered from industry</w:t>
      </w:r>
      <w:r w:rsidR="0043143D">
        <w:t xml:space="preserve"> through the IFM – has increased since the commencement of the IFM.</w:t>
      </w:r>
      <w:r>
        <w:t xml:space="preserve"> </w:t>
      </w:r>
    </w:p>
    <w:p w14:paraId="4662DE0C" w14:textId="23A68961" w:rsidR="00CF307D" w:rsidRDefault="00CF307D" w:rsidP="00FB2B54">
      <w:pPr>
        <w:pStyle w:val="Heading3"/>
      </w:pPr>
      <w:bookmarkStart w:id="19" w:name="_Toc114214405"/>
      <w:bookmarkStart w:id="20" w:name="_Toc109834308"/>
      <w:r>
        <w:t>Australian Government Charging Framework</w:t>
      </w:r>
      <w:bookmarkEnd w:id="19"/>
    </w:p>
    <w:p w14:paraId="7115FD1A" w14:textId="77777777" w:rsidR="00451946" w:rsidRDefault="00451946" w:rsidP="00451946">
      <w:r>
        <w:t xml:space="preserve">The IFM was designed to meet the requirements of the Australian Government Charging Framework (Charging Framework), which is a policy of the Government that is applied to government charging. </w:t>
      </w:r>
    </w:p>
    <w:p w14:paraId="571763AF" w14:textId="5551339E" w:rsidR="0094193F" w:rsidRDefault="00451946" w:rsidP="00451946">
      <w:r>
        <w:t xml:space="preserve">Government charging is where the non-government sector is charged for specific effort of Government, such as the provision of goods, services or regulation, or a combination of these, that the non-government sector has caused. </w:t>
      </w:r>
      <w:r w:rsidR="005D5656" w:rsidRPr="005D5656">
        <w:t xml:space="preserve">Where Government charging for regulatory activity to the </w:t>
      </w:r>
      <w:r w:rsidR="005D5656" w:rsidRPr="005D5656">
        <w:lastRenderedPageBreak/>
        <w:t xml:space="preserve">non-government sector is developed consistent with the Charging Framework, </w:t>
      </w:r>
      <w:r w:rsidR="00B82393" w:rsidRPr="005D5656">
        <w:t xml:space="preserve">then the charge may not exceed the cost of the specific effort </w:t>
      </w:r>
      <w:r w:rsidR="00B82393">
        <w:t>that</w:t>
      </w:r>
      <w:r w:rsidR="00B82393" w:rsidRPr="005D5656">
        <w:t xml:space="preserve"> cause</w:t>
      </w:r>
      <w:r w:rsidR="00B82393">
        <w:t>d it</w:t>
      </w:r>
      <w:r w:rsidR="005D5656" w:rsidRPr="005D5656">
        <w:t>. The total revenue from such regulatory charging is one of a number of mechanisms that the Government uses to fund government entities that deliver a diverse range of services, support and benefits to the Australian public.</w:t>
      </w:r>
    </w:p>
    <w:p w14:paraId="3800AE55" w14:textId="4E2B5416" w:rsidR="00451946" w:rsidRDefault="00543DD2" w:rsidP="00451946">
      <w:r>
        <w:t>Where the</w:t>
      </w:r>
      <w:r w:rsidR="00451946">
        <w:t xml:space="preserve"> Government charges the non-government sector </w:t>
      </w:r>
      <w:r w:rsidR="00870493">
        <w:t xml:space="preserve">for a specific </w:t>
      </w:r>
      <w:r w:rsidR="00E97627">
        <w:t>activity</w:t>
      </w:r>
      <w:r w:rsidR="00C2244B">
        <w:t>, it may do so for the following reasons</w:t>
      </w:r>
      <w:r w:rsidR="007E6BAE">
        <w:t>:</w:t>
      </w:r>
    </w:p>
    <w:p w14:paraId="0D2CCB86" w14:textId="77777777" w:rsidR="00451946" w:rsidRDefault="00451946" w:rsidP="0033187E">
      <w:pPr>
        <w:pStyle w:val="ListParagraph"/>
        <w:numPr>
          <w:ilvl w:val="0"/>
          <w:numId w:val="8"/>
        </w:numPr>
      </w:pPr>
      <w:r>
        <w:t>promote equity, whereby the recipients who create the need for a government activity, rather than the general public, bear its costs;</w:t>
      </w:r>
    </w:p>
    <w:p w14:paraId="0A888297" w14:textId="5A9BF317" w:rsidR="00451946" w:rsidRDefault="00451946" w:rsidP="0033187E">
      <w:pPr>
        <w:pStyle w:val="ListParagraph"/>
        <w:numPr>
          <w:ilvl w:val="0"/>
          <w:numId w:val="8"/>
        </w:numPr>
      </w:pPr>
      <w:r>
        <w:t xml:space="preserve">influence demand for government activities; </w:t>
      </w:r>
    </w:p>
    <w:p w14:paraId="32068318" w14:textId="77777777" w:rsidR="00451946" w:rsidRDefault="00451946" w:rsidP="0033187E">
      <w:pPr>
        <w:pStyle w:val="ListParagraph"/>
        <w:numPr>
          <w:ilvl w:val="0"/>
          <w:numId w:val="8"/>
        </w:numPr>
      </w:pPr>
      <w:r>
        <w:t>improve the efficiency, productivity and responsiveness of government activities and accountability for those activities;</w:t>
      </w:r>
    </w:p>
    <w:p w14:paraId="3EDFF7F3" w14:textId="77777777" w:rsidR="00451946" w:rsidRDefault="00451946" w:rsidP="0033187E">
      <w:pPr>
        <w:pStyle w:val="ListParagraph"/>
        <w:numPr>
          <w:ilvl w:val="0"/>
          <w:numId w:val="8"/>
        </w:numPr>
      </w:pPr>
      <w:r>
        <w:t>increase cost consciousness for all stakeholders by raising awareness of how much a government activity costs;</w:t>
      </w:r>
    </w:p>
    <w:p w14:paraId="31380304" w14:textId="77777777" w:rsidR="00451946" w:rsidRDefault="00451946" w:rsidP="0033187E">
      <w:pPr>
        <w:pStyle w:val="ListParagraph"/>
        <w:numPr>
          <w:ilvl w:val="0"/>
          <w:numId w:val="8"/>
        </w:numPr>
      </w:pPr>
      <w:r>
        <w:t>improve the fiscal position of government; and</w:t>
      </w:r>
    </w:p>
    <w:p w14:paraId="4CD86CD8" w14:textId="77777777" w:rsidR="00451946" w:rsidRDefault="00451946" w:rsidP="0033187E">
      <w:pPr>
        <w:pStyle w:val="ListParagraph"/>
        <w:numPr>
          <w:ilvl w:val="0"/>
          <w:numId w:val="8"/>
        </w:numPr>
      </w:pPr>
      <w:r>
        <w:t>recognise the value of government resources.</w:t>
      </w:r>
    </w:p>
    <w:p w14:paraId="25D483BF" w14:textId="1043D9F2" w:rsidR="00451946" w:rsidRDefault="00451946" w:rsidP="00451946">
      <w:r>
        <w:t xml:space="preserve">The Charging Framework is </w:t>
      </w:r>
      <w:r w:rsidR="0033040C">
        <w:t xml:space="preserve">a policy of the Government that is applied to </w:t>
      </w:r>
      <w:r w:rsidR="00F75AB2">
        <w:t>Government activities</w:t>
      </w:r>
      <w:r>
        <w:t xml:space="preserve"> and includes the Charging Policy Statement,</w:t>
      </w:r>
      <w:r>
        <w:rPr>
          <w:rStyle w:val="FootnoteReference"/>
        </w:rPr>
        <w:footnoteReference w:id="3"/>
      </w:r>
      <w:r>
        <w:t xml:space="preserve"> </w:t>
      </w:r>
      <w:r w:rsidR="0071747F">
        <w:t xml:space="preserve">and the </w:t>
      </w:r>
      <w:r>
        <w:t>charging principles, requirements and considerations. The Charging Policy Statement is the cornerstone to Government charging and provides that where an individual or organisation creates the demand for a Government activity, they</w:t>
      </w:r>
      <w:r w:rsidR="00B532C9">
        <w:t> </w:t>
      </w:r>
      <w:r>
        <w:t>should generally be charged for it, unless the Government has decided to fund the activity. These components of the Charging Framework, along with the definition of the type of activity and the policy outcomes sought, inform the Government</w:t>
      </w:r>
      <w:r w:rsidR="006A1AE9">
        <w:t>’s</w:t>
      </w:r>
      <w:r>
        <w:t xml:space="preserve"> decision to charge, or not charge, for an activity.</w:t>
      </w:r>
    </w:p>
    <w:p w14:paraId="64CEF1BA" w14:textId="77777777" w:rsidR="00451946" w:rsidRDefault="00451946" w:rsidP="00451946">
      <w:r>
        <w:t>The Government’s Charging Policy and Framework promotes consistent, transparent and accountable charging for government activities, by encouraging a common approach to planning, implementing and maintaining government charging. Its application leads to improved charging and the proper use of public resources.</w:t>
      </w:r>
    </w:p>
    <w:p w14:paraId="721C6760" w14:textId="7106333D" w:rsidR="00451946" w:rsidRDefault="00451946" w:rsidP="00451946">
      <w:r>
        <w:t xml:space="preserve">ASIC, as a non-corporate Commonwealth entity undertaking regulatory charging activities, is subject to the </w:t>
      </w:r>
      <w:r w:rsidDel="001F3EB0">
        <w:t xml:space="preserve">Charging Framework </w:t>
      </w:r>
      <w:r>
        <w:t>and must apply the requirements that apply to charging for regulatory activities. This includes that all regulatory charging activities must apply the principles of efficiency and effectiveness, transparency and accountability and stakeholder engagement throughout the cost recovery process. It also requires that for each regulatory charging activity</w:t>
      </w:r>
      <w:r w:rsidR="00355994">
        <w:t>,</w:t>
      </w:r>
      <w:r>
        <w:t xml:space="preserve"> an entity must:</w:t>
      </w:r>
    </w:p>
    <w:p w14:paraId="46B6C2EA" w14:textId="63454856" w:rsidR="00451946" w:rsidRDefault="00451946" w:rsidP="0033187E">
      <w:pPr>
        <w:pStyle w:val="ListParagraph"/>
        <w:numPr>
          <w:ilvl w:val="0"/>
          <w:numId w:val="10"/>
        </w:numPr>
      </w:pPr>
      <w:r>
        <w:t>have policy authority from government to cost recover;</w:t>
      </w:r>
    </w:p>
    <w:p w14:paraId="6C605A5B" w14:textId="35E1880B" w:rsidR="00451946" w:rsidRDefault="00451946" w:rsidP="0033187E">
      <w:pPr>
        <w:pStyle w:val="ListParagraph"/>
        <w:numPr>
          <w:ilvl w:val="0"/>
          <w:numId w:val="10"/>
        </w:numPr>
      </w:pPr>
      <w:r>
        <w:t xml:space="preserve">have statutory authority to charge; </w:t>
      </w:r>
    </w:p>
    <w:p w14:paraId="47773C9C" w14:textId="77777777" w:rsidR="00451946" w:rsidRDefault="00451946" w:rsidP="0033187E">
      <w:pPr>
        <w:pStyle w:val="ListParagraph"/>
        <w:numPr>
          <w:ilvl w:val="0"/>
          <w:numId w:val="10"/>
        </w:numPr>
      </w:pPr>
      <w:r>
        <w:t>ensure alignment between expenses and revenue; and</w:t>
      </w:r>
    </w:p>
    <w:p w14:paraId="445D07B6" w14:textId="77777777" w:rsidR="00451946" w:rsidRDefault="00451946" w:rsidP="0033187E">
      <w:pPr>
        <w:pStyle w:val="ListParagraph"/>
        <w:numPr>
          <w:ilvl w:val="0"/>
          <w:numId w:val="10"/>
        </w:numPr>
      </w:pPr>
      <w:r>
        <w:t>maintain up-to-date publicly available documentation and reporting.</w:t>
      </w:r>
    </w:p>
    <w:p w14:paraId="3FFD9F31" w14:textId="77777777" w:rsidR="00451946" w:rsidRPr="00F907D9" w:rsidRDefault="00451946" w:rsidP="00451946">
      <w:r>
        <w:t xml:space="preserve">ASIC’s policy authority to charge for its regulatory activities was provided in the 2016-17 Budget and subsequently as various Budgets increased funding for ASIC’s regulatory activities. The statutory authority to charge is provided through the </w:t>
      </w:r>
      <w:r>
        <w:rPr>
          <w:i/>
          <w:iCs/>
        </w:rPr>
        <w:t>ASIC Supervisory Cost Recovery Levy Act 2017</w:t>
      </w:r>
      <w:r>
        <w:t xml:space="preserve">. </w:t>
      </w:r>
    </w:p>
    <w:p w14:paraId="0FD2B768" w14:textId="4D082EA0" w:rsidR="00451946" w:rsidRDefault="00451946" w:rsidP="00451946">
      <w:r>
        <w:t>Not all the components of the IFM are governed by the Charging Framework. The IFM includes s</w:t>
      </w:r>
      <w:r w:rsidRPr="00E40117">
        <w:t xml:space="preserve">tatutory levies imposed for activities where the Government has decided there should be </w:t>
      </w:r>
      <w:r w:rsidRPr="00E40117">
        <w:lastRenderedPageBreak/>
        <w:t>cross</w:t>
      </w:r>
      <w:r w:rsidR="000A35B9">
        <w:noBreakHyphen/>
      </w:r>
      <w:r w:rsidRPr="00E40117">
        <w:t>subsidisation between</w:t>
      </w:r>
      <w:r>
        <w:t xml:space="preserve"> or within</w:t>
      </w:r>
      <w:r w:rsidRPr="00E40117">
        <w:t xml:space="preserve"> industry </w:t>
      </w:r>
      <w:r w:rsidR="00F33074">
        <w:t>sub</w:t>
      </w:r>
      <w:r w:rsidR="00F33074">
        <w:noBreakHyphen/>
      </w:r>
      <w:r w:rsidR="00527197">
        <w:t>sector</w:t>
      </w:r>
      <w:r w:rsidRPr="00E40117">
        <w:t>s.</w:t>
      </w:r>
      <w:r>
        <w:t xml:space="preserve"> </w:t>
      </w:r>
      <w:r w:rsidR="00C962B9">
        <w:t>Statutory levies</w:t>
      </w:r>
      <w:r w:rsidR="005343CF">
        <w:t xml:space="preserve"> account for around</w:t>
      </w:r>
      <w:r w:rsidR="00C962B9">
        <w:t xml:space="preserve"> </w:t>
      </w:r>
      <w:r w:rsidR="00C04877">
        <w:t>2</w:t>
      </w:r>
      <w:r w:rsidR="009D0CBF">
        <w:t>0</w:t>
      </w:r>
      <w:r w:rsidR="004C694E">
        <w:t xml:space="preserve"> per cent</w:t>
      </w:r>
      <w:r w:rsidR="003D654D">
        <w:t xml:space="preserve"> of </w:t>
      </w:r>
      <w:r w:rsidR="00DF386B">
        <w:t xml:space="preserve">estimated </w:t>
      </w:r>
      <w:r w:rsidR="003D654D">
        <w:t>total levies</w:t>
      </w:r>
      <w:r w:rsidR="005343CF">
        <w:t xml:space="preserve"> for 2021-22</w:t>
      </w:r>
      <w:r w:rsidR="003D654D">
        <w:t>.</w:t>
      </w:r>
      <w:r w:rsidR="00C04877">
        <w:t xml:space="preserve"> </w:t>
      </w:r>
      <w:r w:rsidRPr="00A86EFE">
        <w:t>The amount charged</w:t>
      </w:r>
      <w:r>
        <w:t xml:space="preserve"> via statutory levies</w:t>
      </w:r>
      <w:r w:rsidRPr="00A86EFE">
        <w:t xml:space="preserve"> and the costing approach is not governed by the Charging Framework</w:t>
      </w:r>
      <w:r w:rsidR="00301DB3">
        <w:t>, however</w:t>
      </w:r>
      <w:r w:rsidR="00527197">
        <w:t xml:space="preserve"> these levies</w:t>
      </w:r>
      <w:r w:rsidR="00301DB3">
        <w:t xml:space="preserve"> are </w:t>
      </w:r>
      <w:r w:rsidR="001E4EA8">
        <w:t>being considered in</w:t>
      </w:r>
      <w:r w:rsidR="00527197">
        <w:t xml:space="preserve"> th</w:t>
      </w:r>
      <w:r w:rsidR="00301DB3">
        <w:t>is Review</w:t>
      </w:r>
      <w:r>
        <w:t>.</w:t>
      </w:r>
    </w:p>
    <w:p w14:paraId="305C6661" w14:textId="58BC2EF9" w:rsidR="00FB2B54" w:rsidRPr="0092290E" w:rsidRDefault="00FB2B54" w:rsidP="00FB2B54">
      <w:pPr>
        <w:pStyle w:val="Heading3"/>
      </w:pPr>
      <w:bookmarkStart w:id="21" w:name="_Toc114214406"/>
      <w:r>
        <w:t>Objectives of the IFM</w:t>
      </w:r>
      <w:bookmarkEnd w:id="20"/>
      <w:bookmarkEnd w:id="21"/>
    </w:p>
    <w:p w14:paraId="1EF98FA4" w14:textId="67EE16C9" w:rsidR="00FB2B54" w:rsidRDefault="00FB2B54" w:rsidP="00FB2B54">
      <w:r>
        <w:t>While the IFM was designed to align with the Charging Framework</w:t>
      </w:r>
      <w:r w:rsidR="00A43291">
        <w:t xml:space="preserve">, which includes </w:t>
      </w:r>
      <w:r>
        <w:t>the C</w:t>
      </w:r>
      <w:r w:rsidR="00775275">
        <w:t xml:space="preserve">ost Recovery </w:t>
      </w:r>
      <w:r>
        <w:t>G</w:t>
      </w:r>
      <w:r w:rsidR="00775275">
        <w:t>uideline</w:t>
      </w:r>
      <w:r>
        <w:t>s</w:t>
      </w:r>
      <w:r w:rsidR="00775275">
        <w:t xml:space="preserve"> (</w:t>
      </w:r>
      <w:r>
        <w:t>CRGs</w:t>
      </w:r>
      <w:r w:rsidR="00775275">
        <w:t>)</w:t>
      </w:r>
      <w:r>
        <w:t xml:space="preserve">, it was also designed to </w:t>
      </w:r>
      <w:r w:rsidR="00A31DE9">
        <w:t xml:space="preserve">support </w:t>
      </w:r>
      <w:r>
        <w:t>other objectives of the Government, which include objectives in relation to competition and innovation, not disproportionately affecting small businesses, and ensuring that regulated entities receive value for money on cost recovered Government services.</w:t>
      </w:r>
      <w:r>
        <w:rPr>
          <w:rStyle w:val="FootnoteReference"/>
        </w:rPr>
        <w:footnoteReference w:id="4"/>
      </w:r>
      <w:r>
        <w:t xml:space="preserve"> </w:t>
      </w:r>
    </w:p>
    <w:p w14:paraId="39BDFB2C" w14:textId="77777777" w:rsidR="000605D5" w:rsidRDefault="000605D5" w:rsidP="000605D5">
      <w:r>
        <w:t xml:space="preserve">The IFM is intended to deliver a range of benefits, including:  </w:t>
      </w:r>
    </w:p>
    <w:p w14:paraId="485992F6" w14:textId="391F47E0" w:rsidR="000605D5" w:rsidRDefault="000605D5" w:rsidP="00C6745C">
      <w:pPr>
        <w:pStyle w:val="ListParagraph"/>
        <w:numPr>
          <w:ilvl w:val="0"/>
          <w:numId w:val="21"/>
        </w:numPr>
      </w:pPr>
      <w:r>
        <w:t xml:space="preserve">improving equity, as only those entities that are regulated by ASIC and create need for regulation bear its costs, rather than general taxpayers; </w:t>
      </w:r>
    </w:p>
    <w:p w14:paraId="2F67C840" w14:textId="3DE72362" w:rsidR="000605D5" w:rsidRDefault="000605D5" w:rsidP="00C6745C">
      <w:pPr>
        <w:pStyle w:val="ListParagraph"/>
        <w:numPr>
          <w:ilvl w:val="0"/>
          <w:numId w:val="21"/>
        </w:numPr>
      </w:pPr>
      <w:r>
        <w:t>encouraging regulatory compliance, as good conduct will drive down supervisory levies;</w:t>
      </w:r>
    </w:p>
    <w:p w14:paraId="3B7A13C5" w14:textId="77777777" w:rsidR="000605D5" w:rsidRDefault="000605D5" w:rsidP="00C6745C">
      <w:pPr>
        <w:pStyle w:val="ListParagraph"/>
        <w:numPr>
          <w:ilvl w:val="0"/>
          <w:numId w:val="21"/>
        </w:numPr>
      </w:pPr>
      <w:r>
        <w:t>improving ASIC’s resource allocation, by providing it with richer data to better identify emerging risks; and</w:t>
      </w:r>
    </w:p>
    <w:p w14:paraId="55554235" w14:textId="77777777" w:rsidR="000605D5" w:rsidRDefault="000605D5" w:rsidP="00C6745C">
      <w:pPr>
        <w:pStyle w:val="ListParagraph"/>
        <w:numPr>
          <w:ilvl w:val="0"/>
          <w:numId w:val="21"/>
        </w:numPr>
      </w:pPr>
      <w:r>
        <w:t>enhancing ASIC’s transparency and accountability through publishing its expenditure, explaining its regulatory priorities, and accounting for its performance.</w:t>
      </w:r>
    </w:p>
    <w:p w14:paraId="670844D7" w14:textId="77777777" w:rsidR="00FB2B54" w:rsidRDefault="00FB2B54" w:rsidP="00FB2B54">
      <w:r>
        <w:t>The levies component of the IFM was also refined in accordance with a number of design objectives, informed by stakeholder feedback:</w:t>
      </w:r>
      <w:r>
        <w:rPr>
          <w:rStyle w:val="FootnoteReference"/>
        </w:rPr>
        <w:footnoteReference w:id="5"/>
      </w:r>
      <w:r>
        <w:t xml:space="preserve"> </w:t>
      </w:r>
    </w:p>
    <w:p w14:paraId="4345EA23" w14:textId="126C49B3" w:rsidR="00FB2B54" w:rsidRDefault="006A1AE9" w:rsidP="0033187E">
      <w:pPr>
        <w:pStyle w:val="ListParagraph"/>
        <w:numPr>
          <w:ilvl w:val="0"/>
          <w:numId w:val="9"/>
        </w:numPr>
      </w:pPr>
      <w:r>
        <w:t>s</w:t>
      </w:r>
      <w:r w:rsidR="00FB2B54">
        <w:t>implicity – the model should be simple to enable any firm to calculate its applicable levy;</w:t>
      </w:r>
    </w:p>
    <w:p w14:paraId="6C34081E" w14:textId="5F54194A" w:rsidR="00FB2B54" w:rsidRDefault="006A1AE9" w:rsidP="0033187E">
      <w:pPr>
        <w:pStyle w:val="ListParagraph"/>
        <w:numPr>
          <w:ilvl w:val="0"/>
          <w:numId w:val="9"/>
        </w:numPr>
      </w:pPr>
      <w:r>
        <w:t>c</w:t>
      </w:r>
      <w:r w:rsidR="00FB2B54">
        <w:t>ertainty – the levies should, wherever possible, provide enough certainty for entities to allow them to incorporate the levies into commercial decisions;</w:t>
      </w:r>
    </w:p>
    <w:p w14:paraId="23286B13" w14:textId="385B0DBD" w:rsidR="00FB2B54" w:rsidRDefault="006A1AE9" w:rsidP="0033187E">
      <w:pPr>
        <w:pStyle w:val="ListParagraph"/>
        <w:numPr>
          <w:ilvl w:val="0"/>
          <w:numId w:val="9"/>
        </w:numPr>
      </w:pPr>
      <w:r>
        <w:t>p</w:t>
      </w:r>
      <w:r w:rsidR="00FB2B54">
        <w:t>roportionality – levies from each sector should be calculated from readily available metrics of business activity, such as revenue generated or funds under management. Selection of each sector’s activity metric should: align to expected regulatory oversight, including the level of anticipated consumer or investor exposure; and ensure that the reporting burden for industry is kept to a minimum;</w:t>
      </w:r>
    </w:p>
    <w:p w14:paraId="60A07B43" w14:textId="24F1BC93" w:rsidR="00FB2B54" w:rsidRDefault="006A1AE9" w:rsidP="0033187E">
      <w:pPr>
        <w:pStyle w:val="ListParagraph"/>
        <w:numPr>
          <w:ilvl w:val="0"/>
          <w:numId w:val="9"/>
        </w:numPr>
      </w:pPr>
      <w:r>
        <w:t>c</w:t>
      </w:r>
      <w:r w:rsidR="00FB2B54">
        <w:t xml:space="preserve">ommercially-based – sector definitions should group together entities that are providing similar services, and compete in the same market; and </w:t>
      </w:r>
    </w:p>
    <w:p w14:paraId="07A59E7F" w14:textId="68DC0FDE" w:rsidR="00FB2B54" w:rsidRPr="006F13D8" w:rsidRDefault="006A1AE9" w:rsidP="0033187E">
      <w:pPr>
        <w:pStyle w:val="ListParagraph"/>
        <w:numPr>
          <w:ilvl w:val="0"/>
          <w:numId w:val="9"/>
        </w:numPr>
      </w:pPr>
      <w:r>
        <w:t>e</w:t>
      </w:r>
      <w:r w:rsidR="00FB2B54">
        <w:t>fficient processing – billing and business activity collection should be done through a web portal that users find simple, clear and fast to use, and that is seamlessly connected to ASIC databases.</w:t>
      </w:r>
    </w:p>
    <w:p w14:paraId="3593CAE0" w14:textId="0917179F" w:rsidR="00161D0E" w:rsidRDefault="00161D0E">
      <w:pPr>
        <w:spacing w:before="0" w:after="160" w:line="259" w:lineRule="auto"/>
      </w:pPr>
      <w:r>
        <w:br w:type="page"/>
      </w:r>
    </w:p>
    <w:p w14:paraId="0E6F603E" w14:textId="77777777" w:rsidR="00883F8B" w:rsidRDefault="00883F8B" w:rsidP="00883F8B">
      <w:pPr>
        <w:pStyle w:val="Heading1"/>
      </w:pPr>
      <w:bookmarkStart w:id="22" w:name="_Toc109834309"/>
      <w:bookmarkStart w:id="23" w:name="_Toc114214407"/>
      <w:r>
        <w:lastRenderedPageBreak/>
        <w:t>Industry Funding Levies</w:t>
      </w:r>
      <w:bookmarkEnd w:id="22"/>
      <w:bookmarkEnd w:id="23"/>
    </w:p>
    <w:p w14:paraId="61CBDE99" w14:textId="7429F374" w:rsidR="00883F8B" w:rsidRDefault="06FEE0E6" w:rsidP="00C6745C">
      <w:pPr>
        <w:pStyle w:val="Heading2"/>
        <w:numPr>
          <w:ilvl w:val="6"/>
          <w:numId w:val="29"/>
        </w:numPr>
        <w:tabs>
          <w:tab w:val="clear" w:pos="2520"/>
        </w:tabs>
        <w:ind w:left="426" w:hanging="426"/>
      </w:pPr>
      <w:bookmarkStart w:id="24" w:name="_Toc114214408"/>
      <w:bookmarkStart w:id="25" w:name="_Toc109834310"/>
      <w:r>
        <w:t>Overview</w:t>
      </w:r>
      <w:bookmarkEnd w:id="24"/>
      <w:r>
        <w:t xml:space="preserve"> </w:t>
      </w:r>
      <w:bookmarkEnd w:id="25"/>
    </w:p>
    <w:p w14:paraId="0BAE17A2" w14:textId="7C6784E3" w:rsidR="000E4302" w:rsidRPr="0040085B" w:rsidRDefault="000E4302" w:rsidP="000E4302">
      <w:r>
        <w:t xml:space="preserve">The majority of </w:t>
      </w:r>
      <w:r w:rsidRPr="0040085B">
        <w:t>ASIC's regulatory costs</w:t>
      </w:r>
      <w:r>
        <w:t xml:space="preserve"> </w:t>
      </w:r>
      <w:r w:rsidRPr="0040085B">
        <w:t xml:space="preserve">are recovered </w:t>
      </w:r>
      <w:r w:rsidR="00722179">
        <w:t>through industry funding levies imposed on the</w:t>
      </w:r>
      <w:r w:rsidRPr="0040085B">
        <w:t xml:space="preserve"> </w:t>
      </w:r>
      <w:r w:rsidR="00F33074">
        <w:t>sub</w:t>
      </w:r>
      <w:r w:rsidR="00F33074">
        <w:noBreakHyphen/>
      </w:r>
      <w:r w:rsidR="00527197">
        <w:t>sector</w:t>
      </w:r>
      <w:r w:rsidRPr="0040085B">
        <w:t xml:space="preserve">s ASIC regulates. </w:t>
      </w:r>
    </w:p>
    <w:p w14:paraId="30CD50C2" w14:textId="77777777" w:rsidR="000E4302" w:rsidRPr="00563244" w:rsidRDefault="000E4302" w:rsidP="0033187E">
      <w:pPr>
        <w:pStyle w:val="NoSpacing"/>
        <w:numPr>
          <w:ilvl w:val="0"/>
          <w:numId w:val="16"/>
        </w:numPr>
        <w:rPr>
          <w:rFonts w:ascii="Calibri Light" w:eastAsia="Times New Roman" w:hAnsi="Calibri Light" w:cs="Times New Roman"/>
          <w:szCs w:val="20"/>
          <w:lang w:eastAsia="en-AU"/>
        </w:rPr>
      </w:pPr>
      <w:r w:rsidRPr="00563244">
        <w:rPr>
          <w:rFonts w:ascii="Calibri Light" w:eastAsia="Times New Roman" w:hAnsi="Calibri Light" w:cs="Times New Roman"/>
          <w:b/>
          <w:szCs w:val="20"/>
          <w:lang w:eastAsia="en-AU"/>
        </w:rPr>
        <w:t>Cost recovery levies</w:t>
      </w:r>
      <w:r w:rsidRPr="00563244">
        <w:rPr>
          <w:rFonts w:ascii="Calibri Light" w:eastAsia="Times New Roman" w:hAnsi="Calibri Light" w:cs="Times New Roman"/>
          <w:szCs w:val="20"/>
          <w:lang w:eastAsia="en-AU"/>
        </w:rPr>
        <w:t xml:space="preserve"> are non-taxation levies charged when a good or service of regulation is provided to a group of individuals or organisations (e.g. an industry sector) rather than to a specific individual or organisation. The amount charged and the costing approach is governed by the Charging Framework. </w:t>
      </w:r>
    </w:p>
    <w:p w14:paraId="554D1C44" w14:textId="5D59A7E4" w:rsidR="0000363B" w:rsidRDefault="000E4302" w:rsidP="0033187E">
      <w:pPr>
        <w:pStyle w:val="NoSpacing"/>
        <w:numPr>
          <w:ilvl w:val="0"/>
          <w:numId w:val="16"/>
        </w:numPr>
        <w:spacing w:after="120"/>
        <w:ind w:left="714" w:hanging="357"/>
        <w:rPr>
          <w:rFonts w:ascii="Courier New" w:eastAsia="Times New Roman" w:hAnsi="Courier New" w:cs="Times New Roman"/>
          <w:lang w:eastAsia="en-AU"/>
        </w:rPr>
      </w:pPr>
      <w:r w:rsidRPr="00563244">
        <w:rPr>
          <w:rFonts w:ascii="Calibri Light" w:eastAsia="Times New Roman" w:hAnsi="Calibri Light" w:cs="Times New Roman"/>
          <w:b/>
          <w:szCs w:val="20"/>
          <w:lang w:eastAsia="en-AU"/>
        </w:rPr>
        <w:t>Statutory levies</w:t>
      </w:r>
      <w:r w:rsidRPr="00563244">
        <w:rPr>
          <w:rFonts w:ascii="Calibri Light" w:eastAsia="Times New Roman" w:hAnsi="Calibri Light" w:cs="Times New Roman"/>
          <w:szCs w:val="20"/>
          <w:lang w:eastAsia="en-AU"/>
        </w:rPr>
        <w:t xml:space="preserve"> are general taxes imposed for activities where the Government has decided there should be some level of cross</w:t>
      </w:r>
      <w:r w:rsidR="00FB4702">
        <w:rPr>
          <w:rFonts w:ascii="Calibri Light" w:eastAsia="Times New Roman" w:hAnsi="Calibri Light" w:cs="Times New Roman"/>
          <w:szCs w:val="20"/>
          <w:lang w:eastAsia="en-AU"/>
        </w:rPr>
        <w:t>-</w:t>
      </w:r>
      <w:r w:rsidRPr="00563244">
        <w:rPr>
          <w:rFonts w:ascii="Calibri Light" w:eastAsia="Times New Roman" w:hAnsi="Calibri Light" w:cs="Times New Roman"/>
          <w:szCs w:val="20"/>
          <w:lang w:eastAsia="en-AU"/>
        </w:rPr>
        <w:t xml:space="preserve">subsidisation between or within industry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r>
      <w:r w:rsidR="00527197">
        <w:rPr>
          <w:rFonts w:ascii="Calibri Light" w:eastAsia="Times New Roman" w:hAnsi="Calibri Light" w:cs="Times New Roman"/>
          <w:szCs w:val="20"/>
          <w:lang w:eastAsia="en-AU"/>
        </w:rPr>
        <w:t>sector</w:t>
      </w:r>
      <w:r w:rsidRPr="00563244">
        <w:rPr>
          <w:rFonts w:ascii="Calibri Light" w:eastAsia="Times New Roman" w:hAnsi="Calibri Light" w:cs="Times New Roman"/>
          <w:szCs w:val="20"/>
          <w:lang w:eastAsia="en-AU"/>
        </w:rPr>
        <w:t>s. The</w:t>
      </w:r>
      <w:r w:rsidR="002675CD">
        <w:rPr>
          <w:rFonts w:ascii="Calibri Light" w:eastAsia="Times New Roman" w:hAnsi="Calibri Light" w:cs="Times New Roman"/>
          <w:szCs w:val="20"/>
          <w:lang w:eastAsia="en-AU"/>
        </w:rPr>
        <w:t> </w:t>
      </w:r>
      <w:r w:rsidRPr="00563244">
        <w:rPr>
          <w:rFonts w:ascii="Calibri Light" w:eastAsia="Times New Roman" w:hAnsi="Calibri Light" w:cs="Times New Roman"/>
          <w:szCs w:val="20"/>
          <w:lang w:eastAsia="en-AU"/>
        </w:rPr>
        <w:t>amount charged and the costing approach is not governed by the Charging Framework</w:t>
      </w:r>
      <w:r>
        <w:rPr>
          <w:rFonts w:ascii="Calibri Light" w:eastAsia="Times New Roman" w:hAnsi="Calibri Light" w:cs="Times New Roman"/>
          <w:szCs w:val="20"/>
          <w:lang w:eastAsia="en-AU"/>
        </w:rPr>
        <w:t>.</w:t>
      </w:r>
    </w:p>
    <w:p w14:paraId="5DC6EF34" w14:textId="42BF67AB" w:rsidR="0000363B" w:rsidRPr="00DA4DFD" w:rsidRDefault="003044EB">
      <w:pPr>
        <w:pStyle w:val="NoSpacing"/>
        <w:rPr>
          <w:rFonts w:ascii="Calibri Light" w:eastAsia="Times New Roman" w:hAnsi="Calibri Light" w:cs="Times New Roman"/>
          <w:szCs w:val="20"/>
          <w:lang w:eastAsia="en-AU"/>
        </w:rPr>
      </w:pPr>
      <w:r>
        <w:rPr>
          <w:rFonts w:ascii="Calibri Light" w:eastAsia="Times New Roman" w:hAnsi="Calibri Light" w:cs="Times New Roman"/>
          <w:szCs w:val="20"/>
          <w:lang w:eastAsia="en-AU"/>
        </w:rPr>
        <w:t>Cost recovery</w:t>
      </w:r>
      <w:r w:rsidRPr="00CB7224">
        <w:rPr>
          <w:rFonts w:ascii="Calibri Light" w:eastAsia="Times New Roman" w:hAnsi="Calibri Light" w:cs="Times New Roman"/>
          <w:szCs w:val="20"/>
          <w:lang w:eastAsia="en-AU"/>
        </w:rPr>
        <w:t xml:space="preserve"> </w:t>
      </w:r>
      <w:r w:rsidR="00CB7224" w:rsidRPr="00CB7224">
        <w:rPr>
          <w:rFonts w:ascii="Calibri Light" w:eastAsia="Times New Roman" w:hAnsi="Calibri Light" w:cs="Times New Roman"/>
          <w:szCs w:val="20"/>
          <w:lang w:eastAsia="en-AU"/>
        </w:rPr>
        <w:t xml:space="preserve">levies and </w:t>
      </w:r>
      <w:r>
        <w:rPr>
          <w:rFonts w:ascii="Calibri Light" w:eastAsia="Times New Roman" w:hAnsi="Calibri Light" w:cs="Times New Roman"/>
          <w:szCs w:val="20"/>
          <w:lang w:eastAsia="en-AU"/>
        </w:rPr>
        <w:t xml:space="preserve">statutory </w:t>
      </w:r>
      <w:r w:rsidR="00CB7224" w:rsidRPr="00CB7224">
        <w:rPr>
          <w:rFonts w:ascii="Calibri Light" w:eastAsia="Times New Roman" w:hAnsi="Calibri Light" w:cs="Times New Roman"/>
          <w:szCs w:val="20"/>
          <w:lang w:eastAsia="en-AU"/>
        </w:rPr>
        <w:t xml:space="preserve">levies </w:t>
      </w:r>
      <w:r w:rsidR="00527197">
        <w:rPr>
          <w:rFonts w:ascii="Calibri Light" w:eastAsia="Times New Roman" w:hAnsi="Calibri Light" w:cs="Times New Roman"/>
          <w:szCs w:val="20"/>
          <w:lang w:eastAsia="en-AU"/>
        </w:rPr>
        <w:t>are combined in</w:t>
      </w:r>
      <w:r w:rsidR="00173E85">
        <w:rPr>
          <w:rFonts w:ascii="Calibri Light" w:eastAsia="Times New Roman" w:hAnsi="Calibri Light" w:cs="Times New Roman"/>
          <w:szCs w:val="20"/>
          <w:lang w:eastAsia="en-AU"/>
        </w:rPr>
        <w:t>to a single amount charged to regulated entities</w:t>
      </w:r>
      <w:r w:rsidR="00CB7224">
        <w:rPr>
          <w:rFonts w:ascii="Calibri Light" w:eastAsia="Times New Roman" w:hAnsi="Calibri Light" w:cs="Times New Roman"/>
          <w:szCs w:val="20"/>
          <w:lang w:eastAsia="en-AU"/>
        </w:rPr>
        <w:t xml:space="preserve">. </w:t>
      </w:r>
      <w:r w:rsidR="0000363B" w:rsidRPr="00360713">
        <w:rPr>
          <w:rFonts w:ascii="Calibri Light" w:eastAsia="Times New Roman" w:hAnsi="Calibri Light" w:cs="Times New Roman"/>
          <w:szCs w:val="20"/>
          <w:lang w:eastAsia="en-AU"/>
        </w:rPr>
        <w:t xml:space="preserve">For the purposes of this paper, the term </w:t>
      </w:r>
      <w:r w:rsidR="00B05666" w:rsidRPr="00360713">
        <w:rPr>
          <w:rFonts w:ascii="Calibri Light" w:eastAsia="Times New Roman" w:hAnsi="Calibri Light" w:cs="Times New Roman"/>
          <w:szCs w:val="20"/>
          <w:lang w:eastAsia="en-AU"/>
        </w:rPr>
        <w:t>‘</w:t>
      </w:r>
      <w:r w:rsidR="0000363B" w:rsidRPr="00360713">
        <w:rPr>
          <w:rFonts w:ascii="Calibri Light" w:eastAsia="Times New Roman" w:hAnsi="Calibri Light" w:cs="Times New Roman"/>
          <w:szCs w:val="20"/>
          <w:lang w:eastAsia="en-AU"/>
        </w:rPr>
        <w:t>levies</w:t>
      </w:r>
      <w:r w:rsidR="00B05666" w:rsidRPr="00360713">
        <w:rPr>
          <w:rFonts w:ascii="Calibri Light" w:eastAsia="Times New Roman" w:hAnsi="Calibri Light" w:cs="Times New Roman"/>
          <w:szCs w:val="20"/>
          <w:lang w:eastAsia="en-AU"/>
        </w:rPr>
        <w:t>’</w:t>
      </w:r>
      <w:r w:rsidR="0000363B" w:rsidRPr="00360713">
        <w:rPr>
          <w:rFonts w:ascii="Calibri Light" w:eastAsia="Times New Roman" w:hAnsi="Calibri Light" w:cs="Times New Roman"/>
          <w:szCs w:val="20"/>
          <w:lang w:eastAsia="en-AU"/>
        </w:rPr>
        <w:t xml:space="preserve"> </w:t>
      </w:r>
      <w:r w:rsidR="00F905C0" w:rsidRPr="00360713">
        <w:rPr>
          <w:rFonts w:ascii="Calibri Light" w:eastAsia="Times New Roman" w:hAnsi="Calibri Light" w:cs="Times New Roman"/>
          <w:bCs/>
          <w:szCs w:val="20"/>
          <w:lang w:eastAsia="en-AU"/>
        </w:rPr>
        <w:t>refers</w:t>
      </w:r>
      <w:r w:rsidR="0000363B" w:rsidRPr="00360713">
        <w:rPr>
          <w:rFonts w:ascii="Calibri Light" w:eastAsia="Times New Roman" w:hAnsi="Calibri Light" w:cs="Times New Roman"/>
          <w:szCs w:val="20"/>
          <w:lang w:eastAsia="en-AU"/>
        </w:rPr>
        <w:t xml:space="preserve"> to </w:t>
      </w:r>
      <w:r w:rsidR="00B05666" w:rsidRPr="00360713">
        <w:rPr>
          <w:rFonts w:ascii="Calibri Light" w:eastAsia="Times New Roman" w:hAnsi="Calibri Light" w:cs="Times New Roman"/>
          <w:szCs w:val="20"/>
          <w:lang w:eastAsia="en-AU"/>
        </w:rPr>
        <w:t xml:space="preserve">both </w:t>
      </w:r>
      <w:r w:rsidR="00F905C0" w:rsidRPr="00360713">
        <w:rPr>
          <w:rFonts w:ascii="Calibri Light" w:eastAsia="Times New Roman" w:hAnsi="Calibri Light" w:cs="Times New Roman"/>
          <w:bCs/>
          <w:szCs w:val="20"/>
          <w:lang w:eastAsia="en-AU"/>
        </w:rPr>
        <w:t xml:space="preserve">cost recovery and statutory levies. </w:t>
      </w:r>
    </w:p>
    <w:p w14:paraId="21AE8A89" w14:textId="2A392D7B" w:rsidR="00883F8B" w:rsidRPr="00DF714E" w:rsidRDefault="00883F8B" w:rsidP="00883F8B">
      <w:r w:rsidRPr="00DF714E">
        <w:t xml:space="preserve">The total funding </w:t>
      </w:r>
      <w:r w:rsidR="00237396">
        <w:t xml:space="preserve">made </w:t>
      </w:r>
      <w:r w:rsidRPr="00DF714E">
        <w:t>available to ASIC</w:t>
      </w:r>
      <w:r w:rsidR="00156297">
        <w:t xml:space="preserve"> </w:t>
      </w:r>
      <w:r w:rsidR="00237396">
        <w:t>by the</w:t>
      </w:r>
      <w:r w:rsidR="0010131B">
        <w:t xml:space="preserve"> Government </w:t>
      </w:r>
      <w:r w:rsidR="00156297">
        <w:t>–</w:t>
      </w:r>
      <w:r w:rsidRPr="00DF714E">
        <w:t xml:space="preserve"> and</w:t>
      </w:r>
      <w:r w:rsidR="00156297">
        <w:t xml:space="preserve"> therefore</w:t>
      </w:r>
      <w:r w:rsidRPr="00DF714E">
        <w:t xml:space="preserve"> the amount recovered through</w:t>
      </w:r>
      <w:r w:rsidR="00156297">
        <w:t xml:space="preserve"> levies under</w:t>
      </w:r>
      <w:r w:rsidRPr="00DF714E">
        <w:t xml:space="preserve"> the IFM</w:t>
      </w:r>
      <w:r w:rsidR="0056353A">
        <w:t xml:space="preserve"> – </w:t>
      </w:r>
      <w:r w:rsidRPr="00DF714E">
        <w:t>ha</w:t>
      </w:r>
      <w:r w:rsidR="0056353A">
        <w:t>s</w:t>
      </w:r>
      <w:r w:rsidRPr="00DF714E">
        <w:t xml:space="preserve"> increased since the commencement of the IFM</w:t>
      </w:r>
      <w:r w:rsidR="002A6837">
        <w:t xml:space="preserve"> (see Section 4 </w:t>
      </w:r>
      <w:r w:rsidR="00FD3A9B">
        <w:t>‘</w:t>
      </w:r>
      <w:r w:rsidR="00FD3A9B" w:rsidRPr="00360713">
        <w:rPr>
          <w:i/>
          <w:iCs/>
        </w:rPr>
        <w:t>Increases and volatility in levy amounts across years</w:t>
      </w:r>
      <w:r w:rsidR="00FD3A9B">
        <w:t>’ for further information)</w:t>
      </w:r>
      <w:r w:rsidRPr="00DF714E">
        <w:t>.</w:t>
      </w:r>
      <w:r w:rsidR="001B03CB">
        <w:t xml:space="preserve"> In 2017-18 (when the levy component </w:t>
      </w:r>
      <w:r w:rsidR="00A94A88">
        <w:t>of the IFM commenced), ASIC recovered $23</w:t>
      </w:r>
      <w:r w:rsidR="00E807A0">
        <w:t>6.6</w:t>
      </w:r>
      <w:r w:rsidR="00A94A88">
        <w:t xml:space="preserve"> million in </w:t>
      </w:r>
      <w:r w:rsidR="00A94A88" w:rsidRPr="00F074E8">
        <w:t xml:space="preserve">levies from </w:t>
      </w:r>
      <w:r w:rsidR="00712FCE">
        <w:t>45,490</w:t>
      </w:r>
      <w:r w:rsidR="00E02DCE" w:rsidRPr="004A19F1">
        <w:t xml:space="preserve"> entities</w:t>
      </w:r>
      <w:r w:rsidR="00E02DCE" w:rsidRPr="00F074E8">
        <w:t>.</w:t>
      </w:r>
      <w:r w:rsidR="00D3475E">
        <w:rPr>
          <w:rStyle w:val="FootnoteReference"/>
        </w:rPr>
        <w:footnoteReference w:id="6"/>
      </w:r>
      <w:r w:rsidR="00E02DCE" w:rsidRPr="00F074E8">
        <w:t xml:space="preserve"> </w:t>
      </w:r>
      <w:r w:rsidR="003B1668" w:rsidRPr="00772301">
        <w:t>In 2020-21, ASIC recovered $314</w:t>
      </w:r>
      <w:r w:rsidR="00E807A0">
        <w:t>.1</w:t>
      </w:r>
      <w:r w:rsidR="003B1668" w:rsidRPr="00772301">
        <w:t xml:space="preserve"> million in levies</w:t>
      </w:r>
      <w:r w:rsidR="007878F8" w:rsidRPr="00772301">
        <w:t xml:space="preserve"> (an increase </w:t>
      </w:r>
      <w:r w:rsidR="00FC4631">
        <w:t xml:space="preserve">in levies </w:t>
      </w:r>
      <w:r w:rsidR="007878F8" w:rsidRPr="00772301">
        <w:t>of 3</w:t>
      </w:r>
      <w:r w:rsidR="00E807A0">
        <w:t>3</w:t>
      </w:r>
      <w:r w:rsidR="007878F8" w:rsidRPr="00772301">
        <w:t xml:space="preserve"> per cent from 2017-18) from </w:t>
      </w:r>
      <w:r w:rsidR="00D3475E">
        <w:t>43,508</w:t>
      </w:r>
      <w:r w:rsidR="007878F8" w:rsidRPr="004A19F1">
        <w:t xml:space="preserve"> entities</w:t>
      </w:r>
      <w:r w:rsidR="00DF1AA8">
        <w:t xml:space="preserve"> (a decrease </w:t>
      </w:r>
      <w:r w:rsidR="00900F8D">
        <w:t>in entities</w:t>
      </w:r>
      <w:r w:rsidR="00DF1AA8">
        <w:t xml:space="preserve"> of </w:t>
      </w:r>
      <w:r w:rsidR="00521BE2">
        <w:t>6</w:t>
      </w:r>
      <w:r w:rsidR="00D65A48">
        <w:t xml:space="preserve"> per cent from 2017-18)</w:t>
      </w:r>
      <w:r w:rsidR="006A657A" w:rsidRPr="00F074E8">
        <w:t>.</w:t>
      </w:r>
      <w:r w:rsidRPr="00DF714E">
        <w:t xml:space="preserve"> </w:t>
      </w:r>
      <w:r w:rsidR="001E4EA8">
        <w:t>The Review will not assess or make recommendations on t</w:t>
      </w:r>
      <w:r w:rsidR="00384410">
        <w:t xml:space="preserve">he appropriate aggregate level of funding </w:t>
      </w:r>
      <w:r w:rsidR="001E4EA8">
        <w:t xml:space="preserve">provided </w:t>
      </w:r>
      <w:r w:rsidR="00384410">
        <w:t xml:space="preserve">to </w:t>
      </w:r>
      <w:r w:rsidR="00F44BA9">
        <w:t>ASIC.</w:t>
      </w:r>
    </w:p>
    <w:p w14:paraId="40056497" w14:textId="02AA66A1" w:rsidR="00883F8B" w:rsidRPr="0060738F" w:rsidRDefault="00883F8B" w:rsidP="00883F8B">
      <w:pPr>
        <w:rPr>
          <w:b/>
        </w:rPr>
      </w:pPr>
      <w:r w:rsidRPr="00813ADC">
        <w:rPr>
          <w:b/>
        </w:rPr>
        <w:t xml:space="preserve">Table </w:t>
      </w:r>
      <w:r w:rsidR="0060738F" w:rsidRPr="00813ADC">
        <w:rPr>
          <w:b/>
        </w:rPr>
        <w:t>1</w:t>
      </w:r>
      <w:r w:rsidRPr="00813ADC">
        <w:rPr>
          <w:b/>
        </w:rPr>
        <w:t xml:space="preserve">: Total </w:t>
      </w:r>
      <w:r w:rsidR="00EB5A9B" w:rsidRPr="00813ADC">
        <w:rPr>
          <w:b/>
        </w:rPr>
        <w:t>ASIC</w:t>
      </w:r>
      <w:r w:rsidRPr="00813ADC">
        <w:rPr>
          <w:b/>
        </w:rPr>
        <w:t xml:space="preserve"> funding</w:t>
      </w:r>
      <w:r w:rsidR="00881C6D" w:rsidRPr="00813ADC">
        <w:rPr>
          <w:b/>
        </w:rPr>
        <w:t>,</w:t>
      </w:r>
      <w:r w:rsidRPr="00813ADC">
        <w:rPr>
          <w:b/>
        </w:rPr>
        <w:t xml:space="preserve"> total amounts recovered through levies and </w:t>
      </w:r>
      <w:r w:rsidR="00813ADC" w:rsidRPr="00813ADC">
        <w:rPr>
          <w:b/>
          <w:bCs/>
        </w:rPr>
        <w:t xml:space="preserve">total </w:t>
      </w:r>
      <w:r w:rsidRPr="00813ADC">
        <w:rPr>
          <w:b/>
        </w:rPr>
        <w:t>number of leviable entities</w:t>
      </w:r>
      <w:r w:rsidR="00813ADC" w:rsidRPr="00813ADC">
        <w:rPr>
          <w:b/>
          <w:bCs/>
        </w:rPr>
        <w:t xml:space="preserve"> since the commencement of the IFM</w:t>
      </w:r>
      <w:r w:rsidRPr="0060738F">
        <w:rPr>
          <w:b/>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89"/>
        <w:gridCol w:w="1189"/>
        <w:gridCol w:w="1189"/>
        <w:gridCol w:w="1189"/>
        <w:gridCol w:w="1190"/>
      </w:tblGrid>
      <w:tr w:rsidR="009A0083" w14:paraId="647856FC" w14:textId="77777777" w:rsidTr="00CA455F">
        <w:trPr>
          <w:cnfStyle w:val="100000000000" w:firstRow="1" w:lastRow="0" w:firstColumn="0" w:lastColumn="0" w:oddVBand="0" w:evenVBand="0" w:oddHBand="0" w:evenHBand="0" w:firstRowFirstColumn="0" w:firstRowLastColumn="0" w:lastRowFirstColumn="0" w:lastRowLastColumn="0"/>
        </w:trPr>
        <w:tc>
          <w:tcPr>
            <w:tcW w:w="3114" w:type="dxa"/>
            <w:shd w:val="clear" w:color="auto" w:fill="9F9F9F" w:themeFill="text2" w:themeFillTint="99"/>
          </w:tcPr>
          <w:p w14:paraId="57166C76" w14:textId="77777777" w:rsidR="009A0083" w:rsidRPr="005064EC" w:rsidRDefault="009A0083" w:rsidP="00883F8B">
            <w:pPr>
              <w:spacing w:before="96" w:after="96"/>
              <w:rPr>
                <w:sz w:val="22"/>
                <w:szCs w:val="22"/>
              </w:rPr>
            </w:pPr>
          </w:p>
        </w:tc>
        <w:tc>
          <w:tcPr>
            <w:tcW w:w="1189" w:type="dxa"/>
            <w:shd w:val="clear" w:color="auto" w:fill="9F9F9F" w:themeFill="text2" w:themeFillTint="99"/>
          </w:tcPr>
          <w:p w14:paraId="124BDB0A" w14:textId="46369DE1" w:rsidR="009A0083" w:rsidRPr="0063487D" w:rsidRDefault="00E752E3" w:rsidP="00E752E3">
            <w:pPr>
              <w:spacing w:before="96" w:after="96"/>
              <w:jc w:val="center"/>
              <w:rPr>
                <w:color w:val="auto"/>
                <w:sz w:val="22"/>
                <w:szCs w:val="22"/>
              </w:rPr>
            </w:pPr>
            <w:r w:rsidRPr="0063487D">
              <w:rPr>
                <w:color w:val="auto"/>
                <w:sz w:val="22"/>
                <w:szCs w:val="22"/>
              </w:rPr>
              <w:t>2017</w:t>
            </w:r>
            <w:r w:rsidR="00ED5F56" w:rsidRPr="0063487D">
              <w:rPr>
                <w:color w:val="auto"/>
                <w:sz w:val="22"/>
                <w:szCs w:val="22"/>
              </w:rPr>
              <w:t>-</w:t>
            </w:r>
            <w:r w:rsidRPr="0063487D">
              <w:rPr>
                <w:color w:val="auto"/>
                <w:sz w:val="22"/>
                <w:szCs w:val="22"/>
              </w:rPr>
              <w:t>18</w:t>
            </w:r>
          </w:p>
        </w:tc>
        <w:tc>
          <w:tcPr>
            <w:tcW w:w="1189" w:type="dxa"/>
            <w:shd w:val="clear" w:color="auto" w:fill="9F9F9F" w:themeFill="text2" w:themeFillTint="99"/>
          </w:tcPr>
          <w:p w14:paraId="031EBEE4" w14:textId="604CB9D1" w:rsidR="009A0083" w:rsidRPr="0063487D" w:rsidRDefault="00E752E3" w:rsidP="00E752E3">
            <w:pPr>
              <w:spacing w:before="96" w:after="96"/>
              <w:jc w:val="center"/>
              <w:rPr>
                <w:color w:val="auto"/>
                <w:sz w:val="22"/>
                <w:szCs w:val="22"/>
              </w:rPr>
            </w:pPr>
            <w:r w:rsidRPr="0063487D">
              <w:rPr>
                <w:color w:val="auto"/>
                <w:sz w:val="22"/>
                <w:szCs w:val="22"/>
              </w:rPr>
              <w:t>2018</w:t>
            </w:r>
            <w:r w:rsidR="00ED5F56" w:rsidRPr="0063487D">
              <w:rPr>
                <w:color w:val="auto"/>
                <w:sz w:val="22"/>
                <w:szCs w:val="22"/>
              </w:rPr>
              <w:t>-</w:t>
            </w:r>
            <w:r w:rsidRPr="0063487D">
              <w:rPr>
                <w:color w:val="auto"/>
                <w:sz w:val="22"/>
                <w:szCs w:val="22"/>
              </w:rPr>
              <w:t>19</w:t>
            </w:r>
          </w:p>
        </w:tc>
        <w:tc>
          <w:tcPr>
            <w:tcW w:w="1189" w:type="dxa"/>
            <w:shd w:val="clear" w:color="auto" w:fill="9F9F9F" w:themeFill="text2" w:themeFillTint="99"/>
          </w:tcPr>
          <w:p w14:paraId="4D8DE367" w14:textId="29E73111" w:rsidR="009A0083" w:rsidRPr="0063487D" w:rsidRDefault="00E752E3" w:rsidP="00E752E3">
            <w:pPr>
              <w:spacing w:before="96" w:after="96"/>
              <w:jc w:val="center"/>
              <w:rPr>
                <w:color w:val="auto"/>
                <w:sz w:val="22"/>
                <w:szCs w:val="22"/>
              </w:rPr>
            </w:pPr>
            <w:r w:rsidRPr="0063487D">
              <w:rPr>
                <w:color w:val="auto"/>
                <w:sz w:val="22"/>
                <w:szCs w:val="22"/>
              </w:rPr>
              <w:t>2019</w:t>
            </w:r>
            <w:r w:rsidR="00005BDE" w:rsidRPr="0063487D">
              <w:rPr>
                <w:color w:val="auto"/>
                <w:sz w:val="22"/>
                <w:szCs w:val="22"/>
              </w:rPr>
              <w:t>-</w:t>
            </w:r>
            <w:r w:rsidRPr="0063487D">
              <w:rPr>
                <w:color w:val="auto"/>
                <w:sz w:val="22"/>
                <w:szCs w:val="22"/>
              </w:rPr>
              <w:t>20</w:t>
            </w:r>
          </w:p>
        </w:tc>
        <w:tc>
          <w:tcPr>
            <w:tcW w:w="1189" w:type="dxa"/>
            <w:shd w:val="clear" w:color="auto" w:fill="9F9F9F" w:themeFill="text2" w:themeFillTint="99"/>
          </w:tcPr>
          <w:p w14:paraId="5759D790" w14:textId="60196AB3" w:rsidR="009A0083" w:rsidRPr="0063487D" w:rsidRDefault="00E752E3" w:rsidP="00E752E3">
            <w:pPr>
              <w:spacing w:before="96" w:after="96"/>
              <w:jc w:val="center"/>
              <w:rPr>
                <w:color w:val="auto"/>
                <w:sz w:val="22"/>
                <w:szCs w:val="22"/>
              </w:rPr>
            </w:pPr>
            <w:r w:rsidRPr="0063487D">
              <w:rPr>
                <w:color w:val="auto"/>
                <w:sz w:val="22"/>
                <w:szCs w:val="22"/>
              </w:rPr>
              <w:t>2020</w:t>
            </w:r>
            <w:r w:rsidR="00005BDE" w:rsidRPr="0063487D">
              <w:rPr>
                <w:color w:val="auto"/>
                <w:sz w:val="22"/>
                <w:szCs w:val="22"/>
              </w:rPr>
              <w:t>-</w:t>
            </w:r>
            <w:r w:rsidRPr="0063487D">
              <w:rPr>
                <w:color w:val="auto"/>
                <w:sz w:val="22"/>
                <w:szCs w:val="22"/>
              </w:rPr>
              <w:t>21</w:t>
            </w:r>
          </w:p>
        </w:tc>
        <w:tc>
          <w:tcPr>
            <w:tcW w:w="1190" w:type="dxa"/>
            <w:shd w:val="clear" w:color="auto" w:fill="9F9F9F" w:themeFill="text2" w:themeFillTint="99"/>
          </w:tcPr>
          <w:p w14:paraId="2CAF846F" w14:textId="5E2FEF73" w:rsidR="009A0083" w:rsidRPr="0063487D" w:rsidRDefault="00E752E3" w:rsidP="00E752E3">
            <w:pPr>
              <w:spacing w:before="96" w:after="96"/>
              <w:jc w:val="center"/>
              <w:rPr>
                <w:color w:val="auto"/>
                <w:sz w:val="22"/>
                <w:szCs w:val="22"/>
              </w:rPr>
            </w:pPr>
            <w:r w:rsidRPr="0063487D">
              <w:rPr>
                <w:color w:val="auto"/>
                <w:sz w:val="22"/>
                <w:szCs w:val="22"/>
              </w:rPr>
              <w:t>2021</w:t>
            </w:r>
            <w:r w:rsidR="00005BDE" w:rsidRPr="0063487D">
              <w:rPr>
                <w:color w:val="auto"/>
                <w:sz w:val="22"/>
                <w:szCs w:val="22"/>
              </w:rPr>
              <w:t>-</w:t>
            </w:r>
            <w:r w:rsidRPr="0063487D">
              <w:rPr>
                <w:color w:val="auto"/>
                <w:sz w:val="22"/>
                <w:szCs w:val="22"/>
              </w:rPr>
              <w:t>22</w:t>
            </w:r>
            <w:r w:rsidR="00620E05">
              <w:rPr>
                <w:color w:val="auto"/>
                <w:sz w:val="22"/>
                <w:szCs w:val="22"/>
                <w:vertAlign w:val="superscript"/>
              </w:rPr>
              <w:t>*</w:t>
            </w:r>
          </w:p>
        </w:tc>
      </w:tr>
      <w:tr w:rsidR="003C09AA" w14:paraId="137F17EE" w14:textId="77777777" w:rsidTr="005064EC">
        <w:tc>
          <w:tcPr>
            <w:tcW w:w="3114" w:type="dxa"/>
          </w:tcPr>
          <w:p w14:paraId="77ADF861" w14:textId="3C02AFAA" w:rsidR="003C09AA" w:rsidRPr="005064EC" w:rsidRDefault="003C09AA" w:rsidP="003C09AA">
            <w:pPr>
              <w:rPr>
                <w:sz w:val="22"/>
                <w:szCs w:val="22"/>
              </w:rPr>
            </w:pPr>
            <w:r w:rsidRPr="005064EC">
              <w:rPr>
                <w:sz w:val="22"/>
                <w:szCs w:val="22"/>
              </w:rPr>
              <w:t>Total ASIC funding</w:t>
            </w:r>
            <w:r w:rsidR="005064EC" w:rsidRPr="005064EC">
              <w:rPr>
                <w:sz w:val="22"/>
                <w:szCs w:val="22"/>
              </w:rPr>
              <w:t xml:space="preserve"> ($ million)</w:t>
            </w:r>
          </w:p>
        </w:tc>
        <w:tc>
          <w:tcPr>
            <w:tcW w:w="1189" w:type="dxa"/>
          </w:tcPr>
          <w:p w14:paraId="681EA496" w14:textId="0D894D1E" w:rsidR="003C09AA" w:rsidRPr="005064EC" w:rsidRDefault="003C09AA" w:rsidP="003C09AA">
            <w:pPr>
              <w:jc w:val="right"/>
              <w:rPr>
                <w:sz w:val="22"/>
                <w:szCs w:val="22"/>
              </w:rPr>
            </w:pPr>
            <w:r w:rsidRPr="005064EC">
              <w:rPr>
                <w:sz w:val="22"/>
                <w:szCs w:val="22"/>
              </w:rPr>
              <w:t xml:space="preserve">387.5 </w:t>
            </w:r>
          </w:p>
        </w:tc>
        <w:tc>
          <w:tcPr>
            <w:tcW w:w="1189" w:type="dxa"/>
          </w:tcPr>
          <w:p w14:paraId="7A9CF85D" w14:textId="6760242E" w:rsidR="003C09AA" w:rsidRPr="005064EC" w:rsidRDefault="003C09AA" w:rsidP="003C09AA">
            <w:pPr>
              <w:jc w:val="right"/>
              <w:rPr>
                <w:sz w:val="22"/>
                <w:szCs w:val="22"/>
              </w:rPr>
            </w:pPr>
            <w:r w:rsidRPr="005064EC">
              <w:rPr>
                <w:sz w:val="22"/>
                <w:szCs w:val="22"/>
              </w:rPr>
              <w:t xml:space="preserve">406.0 </w:t>
            </w:r>
          </w:p>
        </w:tc>
        <w:tc>
          <w:tcPr>
            <w:tcW w:w="1189" w:type="dxa"/>
          </w:tcPr>
          <w:p w14:paraId="72F0FADF" w14:textId="6E58DFF6" w:rsidR="003C09AA" w:rsidRPr="005064EC" w:rsidRDefault="003C09AA" w:rsidP="003C09AA">
            <w:pPr>
              <w:jc w:val="right"/>
              <w:rPr>
                <w:sz w:val="22"/>
                <w:szCs w:val="22"/>
              </w:rPr>
            </w:pPr>
            <w:r w:rsidRPr="005064EC">
              <w:rPr>
                <w:sz w:val="22"/>
                <w:szCs w:val="22"/>
              </w:rPr>
              <w:t xml:space="preserve">441.8 </w:t>
            </w:r>
          </w:p>
        </w:tc>
        <w:tc>
          <w:tcPr>
            <w:tcW w:w="1189" w:type="dxa"/>
          </w:tcPr>
          <w:p w14:paraId="21D53D37" w14:textId="6294C5BE" w:rsidR="003C09AA" w:rsidRPr="005064EC" w:rsidRDefault="003C09AA" w:rsidP="003C09AA">
            <w:pPr>
              <w:jc w:val="right"/>
              <w:rPr>
                <w:sz w:val="22"/>
                <w:szCs w:val="22"/>
              </w:rPr>
            </w:pPr>
            <w:r w:rsidRPr="005064EC">
              <w:rPr>
                <w:sz w:val="22"/>
                <w:szCs w:val="22"/>
              </w:rPr>
              <w:t>463.2</w:t>
            </w:r>
          </w:p>
        </w:tc>
        <w:tc>
          <w:tcPr>
            <w:tcW w:w="1190" w:type="dxa"/>
          </w:tcPr>
          <w:p w14:paraId="0C9A38BB" w14:textId="00730117" w:rsidR="003C09AA" w:rsidRPr="005064EC" w:rsidRDefault="003C09AA" w:rsidP="003C09AA">
            <w:pPr>
              <w:jc w:val="right"/>
              <w:rPr>
                <w:sz w:val="22"/>
                <w:szCs w:val="22"/>
              </w:rPr>
            </w:pPr>
            <w:r w:rsidRPr="005064EC">
              <w:rPr>
                <w:sz w:val="22"/>
                <w:szCs w:val="22"/>
              </w:rPr>
              <w:t xml:space="preserve">451.1 </w:t>
            </w:r>
          </w:p>
        </w:tc>
      </w:tr>
      <w:tr w:rsidR="009A0083" w14:paraId="34DC1688" w14:textId="77777777" w:rsidTr="005064EC">
        <w:tc>
          <w:tcPr>
            <w:tcW w:w="3114" w:type="dxa"/>
          </w:tcPr>
          <w:p w14:paraId="0DC5CF92" w14:textId="7001FB20" w:rsidR="009A0083" w:rsidRPr="005064EC" w:rsidRDefault="009A0083" w:rsidP="00883F8B">
            <w:pPr>
              <w:rPr>
                <w:sz w:val="22"/>
                <w:szCs w:val="22"/>
              </w:rPr>
            </w:pPr>
            <w:r w:rsidRPr="005064EC">
              <w:rPr>
                <w:sz w:val="22"/>
                <w:szCs w:val="22"/>
              </w:rPr>
              <w:t xml:space="preserve">Total </w:t>
            </w:r>
            <w:r w:rsidR="00E752E3" w:rsidRPr="005064EC">
              <w:rPr>
                <w:sz w:val="22"/>
                <w:szCs w:val="22"/>
              </w:rPr>
              <w:t>levy amounts</w:t>
            </w:r>
            <w:r w:rsidR="00620E05">
              <w:rPr>
                <w:sz w:val="22"/>
                <w:szCs w:val="22"/>
                <w:vertAlign w:val="superscript"/>
              </w:rPr>
              <w:t>**</w:t>
            </w:r>
            <w:r w:rsidR="005064EC" w:rsidRPr="005064EC">
              <w:rPr>
                <w:sz w:val="22"/>
                <w:szCs w:val="22"/>
              </w:rPr>
              <w:t xml:space="preserve"> ($ million)</w:t>
            </w:r>
            <w:r w:rsidR="005064EC" w:rsidRPr="005064EC">
              <w:rPr>
                <w:sz w:val="22"/>
                <w:szCs w:val="22"/>
                <w:vertAlign w:val="superscript"/>
              </w:rPr>
              <w:t xml:space="preserve"> </w:t>
            </w:r>
          </w:p>
        </w:tc>
        <w:tc>
          <w:tcPr>
            <w:tcW w:w="1189" w:type="dxa"/>
          </w:tcPr>
          <w:p w14:paraId="78B8B9CD" w14:textId="56FD7485" w:rsidR="009A0083" w:rsidRPr="005064EC" w:rsidRDefault="004271F4" w:rsidP="00B8797D">
            <w:pPr>
              <w:jc w:val="right"/>
              <w:rPr>
                <w:sz w:val="22"/>
                <w:szCs w:val="22"/>
              </w:rPr>
            </w:pPr>
            <w:r w:rsidRPr="005064EC">
              <w:rPr>
                <w:sz w:val="22"/>
                <w:szCs w:val="22"/>
              </w:rPr>
              <w:t>236</w:t>
            </w:r>
            <w:r w:rsidR="00BD7192" w:rsidRPr="005064EC">
              <w:rPr>
                <w:sz w:val="22"/>
                <w:szCs w:val="22"/>
              </w:rPr>
              <w:t xml:space="preserve">.6 </w:t>
            </w:r>
          </w:p>
        </w:tc>
        <w:tc>
          <w:tcPr>
            <w:tcW w:w="1189" w:type="dxa"/>
          </w:tcPr>
          <w:p w14:paraId="61BCDC4A" w14:textId="546BEFC1" w:rsidR="009A0083" w:rsidRPr="005064EC" w:rsidRDefault="00BD7192" w:rsidP="00B8797D">
            <w:pPr>
              <w:jc w:val="right"/>
              <w:rPr>
                <w:sz w:val="22"/>
                <w:szCs w:val="22"/>
              </w:rPr>
            </w:pPr>
            <w:r w:rsidRPr="005064EC">
              <w:rPr>
                <w:sz w:val="22"/>
                <w:szCs w:val="22"/>
              </w:rPr>
              <w:t>276</w:t>
            </w:r>
            <w:r w:rsidR="008658E2" w:rsidRPr="005064EC">
              <w:rPr>
                <w:sz w:val="22"/>
                <w:szCs w:val="22"/>
              </w:rPr>
              <w:t xml:space="preserve">.7 </w:t>
            </w:r>
          </w:p>
        </w:tc>
        <w:tc>
          <w:tcPr>
            <w:tcW w:w="1189" w:type="dxa"/>
          </w:tcPr>
          <w:p w14:paraId="255BF59A" w14:textId="4BD99176" w:rsidR="009A0083" w:rsidRPr="005064EC" w:rsidRDefault="008658E2" w:rsidP="00B8797D">
            <w:pPr>
              <w:jc w:val="right"/>
              <w:rPr>
                <w:sz w:val="22"/>
                <w:szCs w:val="22"/>
              </w:rPr>
            </w:pPr>
            <w:r w:rsidRPr="005064EC">
              <w:rPr>
                <w:sz w:val="22"/>
                <w:szCs w:val="22"/>
              </w:rPr>
              <w:t xml:space="preserve">320.3 </w:t>
            </w:r>
          </w:p>
        </w:tc>
        <w:tc>
          <w:tcPr>
            <w:tcW w:w="1189" w:type="dxa"/>
          </w:tcPr>
          <w:p w14:paraId="53E9CBF1" w14:textId="74AE273E" w:rsidR="009A0083" w:rsidRPr="005064EC" w:rsidRDefault="008658E2" w:rsidP="00B8797D">
            <w:pPr>
              <w:jc w:val="right"/>
              <w:rPr>
                <w:sz w:val="22"/>
                <w:szCs w:val="22"/>
              </w:rPr>
            </w:pPr>
            <w:r w:rsidRPr="005064EC">
              <w:rPr>
                <w:sz w:val="22"/>
                <w:szCs w:val="22"/>
              </w:rPr>
              <w:t>314.1</w:t>
            </w:r>
          </w:p>
        </w:tc>
        <w:tc>
          <w:tcPr>
            <w:tcW w:w="1190" w:type="dxa"/>
          </w:tcPr>
          <w:p w14:paraId="4B41C2D4" w14:textId="58246B62" w:rsidR="009A0083" w:rsidRPr="005064EC" w:rsidRDefault="009A2FF4" w:rsidP="00B8797D">
            <w:pPr>
              <w:jc w:val="right"/>
              <w:rPr>
                <w:sz w:val="22"/>
                <w:szCs w:val="22"/>
              </w:rPr>
            </w:pPr>
            <w:r w:rsidRPr="005064EC">
              <w:rPr>
                <w:sz w:val="22"/>
                <w:szCs w:val="22"/>
              </w:rPr>
              <w:t>332</w:t>
            </w:r>
            <w:r w:rsidR="00B8797D" w:rsidRPr="005064EC">
              <w:rPr>
                <w:sz w:val="22"/>
                <w:szCs w:val="22"/>
              </w:rPr>
              <w:t>.3</w:t>
            </w:r>
          </w:p>
        </w:tc>
      </w:tr>
      <w:tr w:rsidR="009A0083" w14:paraId="03E971B5" w14:textId="77777777" w:rsidTr="005064EC">
        <w:tc>
          <w:tcPr>
            <w:tcW w:w="3114" w:type="dxa"/>
          </w:tcPr>
          <w:p w14:paraId="10B63D7F" w14:textId="23866520" w:rsidR="009A0083" w:rsidRPr="005064EC" w:rsidRDefault="00E752E3" w:rsidP="00883F8B">
            <w:pPr>
              <w:rPr>
                <w:sz w:val="22"/>
                <w:szCs w:val="22"/>
              </w:rPr>
            </w:pPr>
            <w:r w:rsidRPr="005064EC">
              <w:rPr>
                <w:sz w:val="22"/>
                <w:szCs w:val="22"/>
              </w:rPr>
              <w:t>Total number of leviable entities</w:t>
            </w:r>
          </w:p>
        </w:tc>
        <w:tc>
          <w:tcPr>
            <w:tcW w:w="1189" w:type="dxa"/>
          </w:tcPr>
          <w:p w14:paraId="3A61EECE" w14:textId="0AD71867" w:rsidR="009A0083" w:rsidRPr="005064EC" w:rsidRDefault="00DF2E6E" w:rsidP="00733F21">
            <w:pPr>
              <w:jc w:val="right"/>
              <w:rPr>
                <w:sz w:val="22"/>
                <w:szCs w:val="22"/>
              </w:rPr>
            </w:pPr>
            <w:r w:rsidRPr="005064EC">
              <w:rPr>
                <w:sz w:val="22"/>
                <w:szCs w:val="22"/>
              </w:rPr>
              <w:t>45,490</w:t>
            </w:r>
          </w:p>
        </w:tc>
        <w:tc>
          <w:tcPr>
            <w:tcW w:w="1189" w:type="dxa"/>
          </w:tcPr>
          <w:p w14:paraId="5A131B1E" w14:textId="57F96147" w:rsidR="009A0083" w:rsidRPr="005064EC" w:rsidRDefault="00DF2E6E" w:rsidP="00733F21">
            <w:pPr>
              <w:jc w:val="right"/>
              <w:rPr>
                <w:sz w:val="22"/>
                <w:szCs w:val="22"/>
              </w:rPr>
            </w:pPr>
            <w:r w:rsidRPr="005064EC">
              <w:rPr>
                <w:sz w:val="22"/>
                <w:szCs w:val="22"/>
              </w:rPr>
              <w:t>46,148</w:t>
            </w:r>
          </w:p>
        </w:tc>
        <w:tc>
          <w:tcPr>
            <w:tcW w:w="1189" w:type="dxa"/>
          </w:tcPr>
          <w:p w14:paraId="2A043646" w14:textId="7F661658" w:rsidR="009A0083" w:rsidRPr="005064EC" w:rsidRDefault="00FF592F" w:rsidP="00733F21">
            <w:pPr>
              <w:jc w:val="right"/>
              <w:rPr>
                <w:sz w:val="22"/>
                <w:szCs w:val="22"/>
              </w:rPr>
            </w:pPr>
            <w:r w:rsidRPr="005064EC">
              <w:rPr>
                <w:sz w:val="22"/>
                <w:szCs w:val="22"/>
              </w:rPr>
              <w:t>43,804</w:t>
            </w:r>
          </w:p>
        </w:tc>
        <w:tc>
          <w:tcPr>
            <w:tcW w:w="1189" w:type="dxa"/>
          </w:tcPr>
          <w:p w14:paraId="7EA2F63D" w14:textId="0A743704" w:rsidR="009A0083" w:rsidRPr="005064EC" w:rsidRDefault="00BD55DF" w:rsidP="00733F21">
            <w:pPr>
              <w:jc w:val="right"/>
              <w:rPr>
                <w:sz w:val="22"/>
                <w:szCs w:val="22"/>
              </w:rPr>
            </w:pPr>
            <w:r w:rsidRPr="005064EC">
              <w:rPr>
                <w:sz w:val="22"/>
                <w:szCs w:val="22"/>
              </w:rPr>
              <w:t>43,508</w:t>
            </w:r>
          </w:p>
        </w:tc>
        <w:tc>
          <w:tcPr>
            <w:tcW w:w="1190" w:type="dxa"/>
          </w:tcPr>
          <w:p w14:paraId="4CCD880E" w14:textId="276F5079" w:rsidR="009A0083" w:rsidRPr="005064EC" w:rsidRDefault="00BD55DF" w:rsidP="00733F21">
            <w:pPr>
              <w:jc w:val="right"/>
              <w:rPr>
                <w:sz w:val="22"/>
                <w:szCs w:val="22"/>
              </w:rPr>
            </w:pPr>
            <w:r w:rsidRPr="005064EC">
              <w:rPr>
                <w:sz w:val="22"/>
                <w:szCs w:val="22"/>
              </w:rPr>
              <w:t>43,077</w:t>
            </w:r>
          </w:p>
        </w:tc>
      </w:tr>
    </w:tbl>
    <w:p w14:paraId="0029A513" w14:textId="170BDE22" w:rsidR="008C0953" w:rsidRPr="00DF714E" w:rsidRDefault="00620E05" w:rsidP="00883F8B">
      <w:r>
        <w:rPr>
          <w:vertAlign w:val="superscript"/>
        </w:rPr>
        <w:t>*</w:t>
      </w:r>
      <w:r w:rsidR="00BD7192">
        <w:t xml:space="preserve"> </w:t>
      </w:r>
      <w:r w:rsidR="00BD7192" w:rsidRPr="004A19F1">
        <w:rPr>
          <w:sz w:val="20"/>
        </w:rPr>
        <w:t xml:space="preserve">Estimated </w:t>
      </w:r>
      <w:r w:rsidR="006802A1" w:rsidRPr="004A19F1">
        <w:rPr>
          <w:sz w:val="20"/>
        </w:rPr>
        <w:t>figures</w:t>
      </w:r>
      <w:r w:rsidR="00BD7192" w:rsidRPr="004A19F1">
        <w:rPr>
          <w:sz w:val="20"/>
        </w:rPr>
        <w:t xml:space="preserve"> for 2021-22.</w:t>
      </w:r>
      <w:r w:rsidR="00BD7192">
        <w:t xml:space="preserve"> </w:t>
      </w:r>
    </w:p>
    <w:p w14:paraId="32BBDD6B" w14:textId="3D557A38" w:rsidR="00ED5F56" w:rsidRPr="00DF714E" w:rsidRDefault="00620E05" w:rsidP="00883F8B">
      <w:r>
        <w:rPr>
          <w:vertAlign w:val="superscript"/>
        </w:rPr>
        <w:t>**</w:t>
      </w:r>
      <w:r w:rsidR="00ED5F56" w:rsidRPr="00360713">
        <w:rPr>
          <w:vertAlign w:val="superscript"/>
        </w:rPr>
        <w:t xml:space="preserve"> </w:t>
      </w:r>
      <w:r w:rsidR="00ED5F56" w:rsidRPr="00360713">
        <w:rPr>
          <w:sz w:val="20"/>
        </w:rPr>
        <w:t>The</w:t>
      </w:r>
      <w:r w:rsidR="004E6074" w:rsidRPr="00360713">
        <w:rPr>
          <w:sz w:val="20"/>
        </w:rPr>
        <w:t xml:space="preserve"> total</w:t>
      </w:r>
      <w:r w:rsidR="00ED5F56" w:rsidRPr="00360713">
        <w:rPr>
          <w:sz w:val="20"/>
        </w:rPr>
        <w:t xml:space="preserve"> levy amounts for 2020-2</w:t>
      </w:r>
      <w:r w:rsidR="00005BDE" w:rsidRPr="00360713">
        <w:rPr>
          <w:sz w:val="20"/>
        </w:rPr>
        <w:t xml:space="preserve">1 and 2021-22 </w:t>
      </w:r>
      <w:r w:rsidR="000221FE">
        <w:rPr>
          <w:sz w:val="20"/>
        </w:rPr>
        <w:t xml:space="preserve">includes the levy relief for </w:t>
      </w:r>
      <w:r w:rsidR="004E6074" w:rsidRPr="00360713">
        <w:rPr>
          <w:sz w:val="20"/>
        </w:rPr>
        <w:t>personal financial advice licensees.</w:t>
      </w:r>
      <w:r w:rsidR="000221FE">
        <w:rPr>
          <w:sz w:val="20"/>
        </w:rPr>
        <w:t xml:space="preserve"> This has resulted in</w:t>
      </w:r>
      <w:r w:rsidR="00FC15CC">
        <w:rPr>
          <w:sz w:val="20"/>
        </w:rPr>
        <w:t xml:space="preserve"> $</w:t>
      </w:r>
      <w:r w:rsidR="00DE6AC6">
        <w:rPr>
          <w:sz w:val="20"/>
        </w:rPr>
        <w:t>34.2 million and</w:t>
      </w:r>
      <w:r w:rsidR="00014310">
        <w:rPr>
          <w:sz w:val="20"/>
        </w:rPr>
        <w:t xml:space="preserve"> an estimated</w:t>
      </w:r>
      <w:r w:rsidR="00DE6AC6">
        <w:rPr>
          <w:sz w:val="20"/>
        </w:rPr>
        <w:t xml:space="preserve"> $35.3 million not being recovered</w:t>
      </w:r>
      <w:r w:rsidR="00E17455">
        <w:rPr>
          <w:sz w:val="20"/>
        </w:rPr>
        <w:t xml:space="preserve"> from</w:t>
      </w:r>
      <w:r w:rsidR="00FE1393">
        <w:rPr>
          <w:sz w:val="20"/>
        </w:rPr>
        <w:t xml:space="preserve"> the</w:t>
      </w:r>
      <w:r w:rsidR="00E17455">
        <w:rPr>
          <w:sz w:val="20"/>
        </w:rPr>
        <w:t xml:space="preserve"> personal financial advice licensee</w:t>
      </w:r>
      <w:r w:rsidR="00FE1393">
        <w:rPr>
          <w:sz w:val="20"/>
        </w:rPr>
        <w:t xml:space="preserve"> </w:t>
      </w:r>
      <w:r w:rsidR="00F33074">
        <w:rPr>
          <w:sz w:val="20"/>
        </w:rPr>
        <w:t>sub</w:t>
      </w:r>
      <w:r w:rsidR="00F33074">
        <w:rPr>
          <w:sz w:val="20"/>
        </w:rPr>
        <w:noBreakHyphen/>
        <w:t>sector</w:t>
      </w:r>
      <w:r w:rsidR="00DE6AC6">
        <w:rPr>
          <w:sz w:val="20"/>
        </w:rPr>
        <w:t xml:space="preserve"> for 2020-21 and 2021-22 respectively.</w:t>
      </w:r>
      <w:r w:rsidR="004E6074">
        <w:t xml:space="preserve"> </w:t>
      </w:r>
    </w:p>
    <w:p w14:paraId="34D4368D" w14:textId="7429F374" w:rsidR="006B7E78" w:rsidRDefault="588FCF87" w:rsidP="00C6745C">
      <w:pPr>
        <w:pStyle w:val="Heading2"/>
        <w:numPr>
          <w:ilvl w:val="6"/>
          <w:numId w:val="29"/>
        </w:numPr>
        <w:tabs>
          <w:tab w:val="clear" w:pos="2520"/>
        </w:tabs>
        <w:ind w:left="426" w:hanging="426"/>
      </w:pPr>
      <w:bookmarkStart w:id="26" w:name="_Toc109834311"/>
      <w:bookmarkStart w:id="27" w:name="_Toc114214409"/>
      <w:bookmarkStart w:id="28" w:name="_Toc109834312"/>
      <w:bookmarkEnd w:id="26"/>
      <w:r>
        <w:lastRenderedPageBreak/>
        <w:t>Key features of levies</w:t>
      </w:r>
      <w:bookmarkEnd w:id="27"/>
    </w:p>
    <w:p w14:paraId="14DCF484" w14:textId="1F14FD0A" w:rsidR="006B7E78" w:rsidRDefault="00F06940" w:rsidP="00EC05E8">
      <w:pPr>
        <w:pStyle w:val="Heading3"/>
      </w:pPr>
      <w:bookmarkStart w:id="29" w:name="_Toc109834320"/>
      <w:bookmarkStart w:id="30" w:name="_Toc114214410"/>
      <w:bookmarkStart w:id="31" w:name="_Toc109834321"/>
      <w:bookmarkEnd w:id="29"/>
      <w:r>
        <w:t>C</w:t>
      </w:r>
      <w:r w:rsidR="006B7E78">
        <w:t>osts recovered through levies</w:t>
      </w:r>
      <w:bookmarkEnd w:id="30"/>
      <w:r w:rsidR="006B7E78">
        <w:t xml:space="preserve"> </w:t>
      </w:r>
      <w:bookmarkEnd w:id="31"/>
    </w:p>
    <w:p w14:paraId="2E3C95E8" w14:textId="23526E08" w:rsidR="00157F08" w:rsidRPr="00157F08" w:rsidRDefault="00157F08" w:rsidP="006B7E78">
      <w:r>
        <w:t xml:space="preserve">The </w:t>
      </w:r>
      <w:r>
        <w:rPr>
          <w:i/>
          <w:iCs/>
        </w:rPr>
        <w:t>ASIC Supervisory Cost Recovery Levy Act 2017</w:t>
      </w:r>
      <w:r>
        <w:rPr>
          <w:i/>
        </w:rPr>
        <w:t xml:space="preserve"> </w:t>
      </w:r>
      <w:r w:rsidR="005624B6">
        <w:t>(Cost Recovery Levy Act)</w:t>
      </w:r>
      <w:r>
        <w:t xml:space="preserve"> and </w:t>
      </w:r>
      <w:r w:rsidRPr="00FA0F28">
        <w:t xml:space="preserve">the </w:t>
      </w:r>
      <w:r w:rsidRPr="004A19F1">
        <w:t>ASIC Supervisory Cost Recovery Regulations 2017</w:t>
      </w:r>
      <w:r>
        <w:t xml:space="preserve"> </w:t>
      </w:r>
      <w:r w:rsidR="005624B6">
        <w:t>(Cost Recovery Levy Regulations)</w:t>
      </w:r>
      <w:r>
        <w:t xml:space="preserve"> </w:t>
      </w:r>
      <w:r w:rsidR="00DD3410">
        <w:t xml:space="preserve">set out the regulatory costs ASIC can recover from industry through levies, as well as prescribing </w:t>
      </w:r>
      <w:r w:rsidR="001C42AB">
        <w:t>activities that do not form part of ASIC’s regulatory costs and therefore are not recovered through the IFM.</w:t>
      </w:r>
    </w:p>
    <w:p w14:paraId="7B9D2B44" w14:textId="60A059D6" w:rsidR="006B7E78" w:rsidRDefault="006B7E78" w:rsidP="006B7E78">
      <w:r>
        <w:t>ASIC’s direct</w:t>
      </w:r>
      <w:r w:rsidRPr="0094760C">
        <w:t xml:space="preserve"> and indirect regulatory costs are recovered through levies. Direct costs are those that can be directly traced to a sub</w:t>
      </w:r>
      <w:r w:rsidR="006C5F29">
        <w:t>-</w:t>
      </w:r>
      <w:r w:rsidRPr="0094760C">
        <w:t xml:space="preserve">sector and regulatory activity. </w:t>
      </w:r>
      <w:r w:rsidR="00CC6E21" w:rsidRPr="0094760C">
        <w:t>Indirect costs</w:t>
      </w:r>
      <w:r w:rsidR="00CC6E21">
        <w:t xml:space="preserve"> relate to internal support activities that </w:t>
      </w:r>
      <w:r w:rsidR="00CC6E21" w:rsidRPr="0094760C">
        <w:t xml:space="preserve">are </w:t>
      </w:r>
      <w:r w:rsidR="00CC6E21">
        <w:t>essential to enable ASIC to perform its regulatory activities.</w:t>
      </w:r>
      <w:r w:rsidR="009F20F8">
        <w:t xml:space="preserve"> </w:t>
      </w:r>
      <w:r w:rsidR="009F20F8" w:rsidRPr="0094760C">
        <w:t xml:space="preserve"> </w:t>
      </w:r>
    </w:p>
    <w:p w14:paraId="2AC8210F" w14:textId="1943181E" w:rsidR="006B7E78" w:rsidRDefault="006B7E78" w:rsidP="006B7E78">
      <w:r>
        <w:t>The costs of the following</w:t>
      </w:r>
      <w:r w:rsidRPr="003E63ED">
        <w:t xml:space="preserve"> activities are </w:t>
      </w:r>
      <w:r>
        <w:t>recovered through levies</w:t>
      </w:r>
      <w:r w:rsidR="00F80F91">
        <w:t xml:space="preserve">. </w:t>
      </w:r>
      <w:r w:rsidR="00A35E51" w:rsidRPr="004A19F1">
        <w:t xml:space="preserve">Supervision and surveillance, </w:t>
      </w:r>
      <w:r w:rsidR="00096E20" w:rsidRPr="009E3A09">
        <w:t>enforcement, and indirect costs account for the majority of ASIC’s regulatory costs</w:t>
      </w:r>
      <w:r w:rsidR="00C75C22" w:rsidRPr="009E3A09">
        <w:t xml:space="preserve"> – </w:t>
      </w:r>
      <w:r w:rsidR="00C75C22" w:rsidRPr="00360713">
        <w:t xml:space="preserve">around </w:t>
      </w:r>
      <w:r w:rsidR="009D3E1D">
        <w:t>90</w:t>
      </w:r>
      <w:r w:rsidR="00435496">
        <w:t> </w:t>
      </w:r>
      <w:r w:rsidR="004C694E">
        <w:t>per</w:t>
      </w:r>
      <w:r w:rsidR="00435496">
        <w:t> </w:t>
      </w:r>
      <w:r w:rsidR="004C694E">
        <w:t>cent</w:t>
      </w:r>
      <w:r w:rsidR="001F7C60" w:rsidRPr="00360713">
        <w:t xml:space="preserve"> in </w:t>
      </w:r>
      <w:r w:rsidR="009E3A09" w:rsidRPr="00360713">
        <w:t>2020-21</w:t>
      </w:r>
      <w:r w:rsidR="00096E20" w:rsidRPr="009E3A09">
        <w:t>.</w:t>
      </w:r>
    </w:p>
    <w:p w14:paraId="5AA91264" w14:textId="56731770" w:rsidR="006B7E78" w:rsidRPr="00693FCD" w:rsidRDefault="006B7E78" w:rsidP="0033187E">
      <w:pPr>
        <w:pStyle w:val="NoSpacing"/>
        <w:numPr>
          <w:ilvl w:val="0"/>
          <w:numId w:val="15"/>
        </w:numPr>
        <w:rPr>
          <w:rFonts w:ascii="Calibri Light" w:eastAsia="Times New Roman" w:hAnsi="Calibri Light" w:cs="Times New Roman"/>
          <w:szCs w:val="20"/>
          <w:lang w:eastAsia="en-AU"/>
        </w:rPr>
      </w:pPr>
      <w:r w:rsidRPr="00E7100E">
        <w:rPr>
          <w:rFonts w:ascii="Calibri Light" w:eastAsia="Times New Roman" w:hAnsi="Calibri Light" w:cs="Times New Roman"/>
          <w:b/>
          <w:szCs w:val="20"/>
          <w:lang w:eastAsia="en-AU"/>
        </w:rPr>
        <w:t>Supervision and surveillance:</w:t>
      </w:r>
      <w:r w:rsidRPr="00693FCD">
        <w:rPr>
          <w:rFonts w:ascii="Calibri Light" w:eastAsia="Times New Roman" w:hAnsi="Calibri Light" w:cs="Times New Roman"/>
          <w:szCs w:val="20"/>
          <w:lang w:eastAsia="en-AU"/>
        </w:rPr>
        <w:t xml:space="preserve"> ASIC </w:t>
      </w:r>
      <w:r w:rsidR="00AD34DD" w:rsidRPr="00693FCD">
        <w:rPr>
          <w:rFonts w:ascii="Calibri Light" w:eastAsia="Times New Roman" w:hAnsi="Calibri Light" w:cs="Times New Roman"/>
          <w:szCs w:val="20"/>
          <w:lang w:eastAsia="en-AU"/>
        </w:rPr>
        <w:t>conduct</w:t>
      </w:r>
      <w:r w:rsidR="00FB1C2B">
        <w:rPr>
          <w:rFonts w:ascii="Calibri Light" w:eastAsia="Times New Roman" w:hAnsi="Calibri Light" w:cs="Times New Roman"/>
          <w:szCs w:val="20"/>
          <w:lang w:eastAsia="en-AU"/>
        </w:rPr>
        <w:t>s</w:t>
      </w:r>
      <w:r w:rsidRPr="00693FCD">
        <w:rPr>
          <w:rFonts w:ascii="Calibri Light" w:eastAsia="Times New Roman" w:hAnsi="Calibri Light" w:cs="Times New Roman"/>
          <w:szCs w:val="20"/>
          <w:lang w:eastAsia="en-AU"/>
        </w:rPr>
        <w:t xml:space="preserve"> supervision and surveillance to test compliance with the laws it administers and to promote positive consumer and investor outcomes.</w:t>
      </w:r>
    </w:p>
    <w:p w14:paraId="60623080" w14:textId="77777777" w:rsidR="006B7E78" w:rsidRPr="00693FCD" w:rsidRDefault="006B7E78" w:rsidP="0033187E">
      <w:pPr>
        <w:pStyle w:val="NoSpacing"/>
        <w:numPr>
          <w:ilvl w:val="0"/>
          <w:numId w:val="15"/>
        </w:numPr>
        <w:rPr>
          <w:rFonts w:ascii="Calibri Light" w:eastAsia="Times New Roman" w:hAnsi="Calibri Light" w:cs="Times New Roman"/>
          <w:szCs w:val="20"/>
          <w:lang w:eastAsia="en-AU"/>
        </w:rPr>
      </w:pPr>
      <w:r w:rsidRPr="00E7100E">
        <w:rPr>
          <w:rFonts w:ascii="Calibri Light" w:eastAsia="Times New Roman" w:hAnsi="Calibri Light" w:cs="Times New Roman"/>
          <w:b/>
          <w:szCs w:val="20"/>
          <w:lang w:eastAsia="en-AU"/>
        </w:rPr>
        <w:t>Enforcement:</w:t>
      </w:r>
      <w:r w:rsidRPr="00693FCD">
        <w:rPr>
          <w:rFonts w:ascii="Calibri Light" w:eastAsia="Times New Roman" w:hAnsi="Calibri Light" w:cs="Times New Roman"/>
          <w:szCs w:val="20"/>
          <w:lang w:eastAsia="en-AU"/>
        </w:rPr>
        <w:t xml:space="preserve"> An activity is classified as enforcement when ASIC considers there has been a breach of the law. Investigations may lead to enforcement action, including punitive, protective, corrective or compensatory action. This includes taking action in relation to unlicensed conduct in a sector to maintain integrity and trust in the licensed sector. </w:t>
      </w:r>
    </w:p>
    <w:p w14:paraId="74AD4D70" w14:textId="77777777" w:rsidR="006B7E78" w:rsidRPr="00693FCD" w:rsidRDefault="006B7E78" w:rsidP="0033187E">
      <w:pPr>
        <w:pStyle w:val="NoSpacing"/>
        <w:numPr>
          <w:ilvl w:val="0"/>
          <w:numId w:val="15"/>
        </w:numPr>
        <w:rPr>
          <w:rFonts w:ascii="Calibri Light" w:eastAsia="Times New Roman" w:hAnsi="Calibri Light" w:cs="Times New Roman"/>
          <w:szCs w:val="20"/>
          <w:lang w:eastAsia="en-AU"/>
        </w:rPr>
      </w:pPr>
      <w:r w:rsidRPr="00E7100E">
        <w:rPr>
          <w:rFonts w:ascii="Calibri Light" w:eastAsia="Times New Roman" w:hAnsi="Calibri Light" w:cs="Times New Roman"/>
          <w:b/>
          <w:szCs w:val="20"/>
          <w:lang w:eastAsia="en-AU"/>
        </w:rPr>
        <w:t>Industry engagement:</w:t>
      </w:r>
      <w:r w:rsidRPr="00693FCD">
        <w:rPr>
          <w:rFonts w:ascii="Calibri Light" w:eastAsia="Times New Roman" w:hAnsi="Calibri Light" w:cs="Times New Roman"/>
          <w:szCs w:val="20"/>
          <w:lang w:eastAsia="en-AU"/>
        </w:rPr>
        <w:t xml:space="preserve"> ASIC’s industry engagement activities seek to set and maintain regulatory standards, better inform industry practices, and identify harms and potential harms in the market.</w:t>
      </w:r>
    </w:p>
    <w:p w14:paraId="35F29E17" w14:textId="77777777" w:rsidR="006B7E78" w:rsidRPr="00693FCD" w:rsidRDefault="006B7E78" w:rsidP="0033187E">
      <w:pPr>
        <w:pStyle w:val="NoSpacing"/>
        <w:numPr>
          <w:ilvl w:val="0"/>
          <w:numId w:val="15"/>
        </w:numPr>
        <w:rPr>
          <w:rFonts w:ascii="Calibri Light" w:eastAsia="Times New Roman" w:hAnsi="Calibri Light" w:cs="Times New Roman"/>
          <w:szCs w:val="20"/>
          <w:lang w:eastAsia="en-AU"/>
        </w:rPr>
      </w:pPr>
      <w:r w:rsidRPr="00E7100E">
        <w:rPr>
          <w:rFonts w:ascii="Calibri Light" w:eastAsia="Times New Roman" w:hAnsi="Calibri Light" w:cs="Times New Roman"/>
          <w:b/>
          <w:szCs w:val="20"/>
          <w:lang w:eastAsia="en-AU"/>
        </w:rPr>
        <w:t>Education:</w:t>
      </w:r>
      <w:r w:rsidRPr="00693FCD">
        <w:rPr>
          <w:rFonts w:ascii="Calibri Light" w:eastAsia="Times New Roman" w:hAnsi="Calibri Light" w:cs="Times New Roman"/>
          <w:szCs w:val="20"/>
          <w:lang w:eastAsia="en-AU"/>
        </w:rPr>
        <w:t xml:space="preserve"> ASIC’s educational activities aim to empower Australian investors and consumers to be in control of their financial lives and to promote the protection of consumer interests. </w:t>
      </w:r>
    </w:p>
    <w:p w14:paraId="2B649117" w14:textId="77777777" w:rsidR="006B7E78" w:rsidRPr="00693FCD" w:rsidRDefault="006B7E78" w:rsidP="0033187E">
      <w:pPr>
        <w:pStyle w:val="NoSpacing"/>
        <w:numPr>
          <w:ilvl w:val="0"/>
          <w:numId w:val="15"/>
        </w:numPr>
        <w:rPr>
          <w:rFonts w:ascii="Calibri Light" w:eastAsia="Times New Roman" w:hAnsi="Calibri Light" w:cs="Times New Roman"/>
          <w:szCs w:val="20"/>
          <w:lang w:eastAsia="en-AU"/>
        </w:rPr>
      </w:pPr>
      <w:r w:rsidRPr="00E7100E">
        <w:rPr>
          <w:rFonts w:ascii="Calibri Light" w:eastAsia="Times New Roman" w:hAnsi="Calibri Light" w:cs="Times New Roman"/>
          <w:b/>
          <w:szCs w:val="20"/>
          <w:lang w:eastAsia="en-AU"/>
        </w:rPr>
        <w:t xml:space="preserve">Guidance: </w:t>
      </w:r>
      <w:r w:rsidRPr="00693FCD">
        <w:rPr>
          <w:rFonts w:ascii="Calibri Light" w:eastAsia="Times New Roman" w:hAnsi="Calibri Light" w:cs="Times New Roman"/>
          <w:szCs w:val="20"/>
          <w:lang w:eastAsia="en-AU"/>
        </w:rPr>
        <w:t>ASIC provides guidance to industry on how it will administer the law through regulatory guides, consultation papers and information sheets.</w:t>
      </w:r>
    </w:p>
    <w:p w14:paraId="43704EEB" w14:textId="77777777" w:rsidR="006B7E78" w:rsidRPr="00693FCD" w:rsidRDefault="006B7E78" w:rsidP="0033187E">
      <w:pPr>
        <w:pStyle w:val="NoSpacing"/>
        <w:numPr>
          <w:ilvl w:val="0"/>
          <w:numId w:val="15"/>
        </w:numPr>
        <w:rPr>
          <w:rFonts w:ascii="Calibri Light" w:eastAsia="Times New Roman" w:hAnsi="Calibri Light" w:cs="Times New Roman"/>
          <w:szCs w:val="20"/>
          <w:lang w:eastAsia="en-AU"/>
        </w:rPr>
      </w:pPr>
      <w:r w:rsidRPr="00E7100E">
        <w:rPr>
          <w:rFonts w:ascii="Calibri Light" w:eastAsia="Times New Roman" w:hAnsi="Calibri Light" w:cs="Times New Roman"/>
          <w:b/>
          <w:szCs w:val="20"/>
          <w:lang w:eastAsia="en-AU"/>
        </w:rPr>
        <w:t>Policy advice:</w:t>
      </w:r>
      <w:r w:rsidRPr="00693FCD">
        <w:rPr>
          <w:rFonts w:ascii="Calibri Light" w:eastAsia="Times New Roman" w:hAnsi="Calibri Light" w:cs="Times New Roman"/>
          <w:szCs w:val="20"/>
          <w:lang w:eastAsia="en-AU"/>
        </w:rPr>
        <w:t xml:space="preserve"> ASIC provides advice to the Australian Government on the operational implications of Government policy initiatives and legislative change, and provides proposals for law reform in response to identified opportunities and risks.</w:t>
      </w:r>
    </w:p>
    <w:p w14:paraId="43969E34" w14:textId="4D06ECA9" w:rsidR="006B7E78" w:rsidRPr="00693FCD" w:rsidRDefault="006B7E78" w:rsidP="0033187E">
      <w:pPr>
        <w:pStyle w:val="NoSpacing"/>
        <w:numPr>
          <w:ilvl w:val="0"/>
          <w:numId w:val="15"/>
        </w:numPr>
        <w:rPr>
          <w:rFonts w:ascii="Calibri Light" w:eastAsia="Times New Roman" w:hAnsi="Calibri Light" w:cs="Times New Roman"/>
          <w:szCs w:val="20"/>
          <w:lang w:eastAsia="en-AU"/>
        </w:rPr>
      </w:pPr>
      <w:r w:rsidRPr="00E7100E">
        <w:rPr>
          <w:rFonts w:ascii="Calibri Light" w:eastAsia="Times New Roman" w:hAnsi="Calibri Light" w:cs="Times New Roman"/>
          <w:b/>
          <w:szCs w:val="20"/>
          <w:lang w:eastAsia="en-AU"/>
        </w:rPr>
        <w:t xml:space="preserve">Indirect costs: </w:t>
      </w:r>
      <w:r w:rsidRPr="00DC5308">
        <w:rPr>
          <w:rFonts w:ascii="Calibri Light" w:eastAsia="Times New Roman" w:hAnsi="Calibri Light" w:cs="Times New Roman"/>
          <w:szCs w:val="20"/>
          <w:lang w:eastAsia="en-AU"/>
        </w:rPr>
        <w:t xml:space="preserve">Indirect costs represent all costs that are not directly attributable to a specific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Pr="00DC5308">
        <w:rPr>
          <w:rFonts w:ascii="Calibri Light" w:eastAsia="Times New Roman" w:hAnsi="Calibri Light" w:cs="Times New Roman"/>
          <w:szCs w:val="20"/>
          <w:lang w:eastAsia="en-AU"/>
        </w:rPr>
        <w:t xml:space="preserve"> or activity, but nevertheless go toward providing internal support that is essential to ASIC in the course of its work as a regulator</w:t>
      </w:r>
      <w:r>
        <w:rPr>
          <w:rFonts w:ascii="Calibri Light" w:eastAsia="Times New Roman" w:hAnsi="Calibri Light" w:cs="Times New Roman"/>
          <w:szCs w:val="20"/>
          <w:lang w:eastAsia="en-AU"/>
        </w:rPr>
        <w:t xml:space="preserve">. </w:t>
      </w:r>
      <w:r w:rsidRPr="00693FCD">
        <w:rPr>
          <w:rFonts w:ascii="Calibri Light" w:eastAsia="Times New Roman" w:hAnsi="Calibri Light" w:cs="Times New Roman"/>
          <w:szCs w:val="20"/>
          <w:lang w:eastAsia="en-AU"/>
        </w:rPr>
        <w:t xml:space="preserve">These costs relate to ASIC’s operations support; IT support; governance, central strategy and legal; property and corporate services; and allowance for capital expenditure.  </w:t>
      </w:r>
    </w:p>
    <w:p w14:paraId="2988A7AF" w14:textId="3E00F218" w:rsidR="00D71D72" w:rsidRDefault="00D71D72" w:rsidP="004A19F1">
      <w:r>
        <w:t xml:space="preserve">Generally, </w:t>
      </w:r>
      <w:r w:rsidR="002022FB">
        <w:t>the cost</w:t>
      </w:r>
      <w:r w:rsidR="00AC78B0">
        <w:t>s</w:t>
      </w:r>
      <w:r w:rsidR="00377669">
        <w:t xml:space="preserve"> of</w:t>
      </w:r>
      <w:r w:rsidR="002022FB">
        <w:t xml:space="preserve"> each</w:t>
      </w:r>
      <w:r>
        <w:t xml:space="preserve"> activity </w:t>
      </w:r>
      <w:r w:rsidR="00AC78B0">
        <w:t>account for</w:t>
      </w:r>
      <w:r>
        <w:t xml:space="preserve"> </w:t>
      </w:r>
      <w:r w:rsidR="002022FB">
        <w:t xml:space="preserve">broadly </w:t>
      </w:r>
      <w:r>
        <w:t>the same proportion</w:t>
      </w:r>
      <w:r w:rsidR="002022FB">
        <w:t xml:space="preserve"> of total operating costs</w:t>
      </w:r>
      <w:r>
        <w:t xml:space="preserve"> each year. However, total activity costs have increased over time as ASIC’s total budget has increased.</w:t>
      </w:r>
      <w:r w:rsidR="001E28A5">
        <w:t xml:space="preserve"> </w:t>
      </w:r>
      <w:r>
        <w:t xml:space="preserve">For example, enforcement costs </w:t>
      </w:r>
      <w:r w:rsidR="00895F4E">
        <w:t>(not including indirect costs)</w:t>
      </w:r>
      <w:r>
        <w:t xml:space="preserve"> </w:t>
      </w:r>
      <w:r w:rsidR="00AC78B0">
        <w:t>account for</w:t>
      </w:r>
      <w:r>
        <w:t xml:space="preserve"> around 30 per cent of total operating costs each year but actual costs have increased from $67.6 million in 2017-18 to $110.0</w:t>
      </w:r>
      <w:r w:rsidR="0063420D">
        <w:t> </w:t>
      </w:r>
      <w:r>
        <w:t xml:space="preserve">million in 2020-21 (an increase of 62.7 per cent). </w:t>
      </w:r>
    </w:p>
    <w:p w14:paraId="1C2C4389" w14:textId="77777777" w:rsidR="00F6214D" w:rsidRDefault="00F6214D" w:rsidP="00F6214D">
      <w:pPr>
        <w:pStyle w:val="NoSpacing"/>
        <w:ind w:left="1440"/>
        <w:rPr>
          <w:rFonts w:ascii="Calibri Light" w:eastAsia="Times New Roman" w:hAnsi="Calibri Light" w:cs="Times New Roman"/>
          <w:szCs w:val="20"/>
          <w:lang w:eastAsia="en-AU"/>
        </w:rPr>
      </w:pPr>
    </w:p>
    <w:p w14:paraId="783DA0BD" w14:textId="133E9535" w:rsidR="00930213" w:rsidRPr="00BD271F" w:rsidRDefault="00E7100E" w:rsidP="00DB6CC4">
      <w:pPr>
        <w:pStyle w:val="NoSpacing"/>
        <w:keepNext/>
        <w:keepLines/>
        <w:spacing w:after="240"/>
        <w:rPr>
          <w:rFonts w:ascii="Calibri Light" w:eastAsia="Times New Roman" w:hAnsi="Calibri Light" w:cs="Times New Roman"/>
          <w:b/>
          <w:szCs w:val="20"/>
          <w:lang w:eastAsia="en-AU"/>
        </w:rPr>
      </w:pPr>
      <w:r w:rsidRPr="00BD271F">
        <w:rPr>
          <w:rFonts w:ascii="Calibri Light" w:eastAsia="Times New Roman" w:hAnsi="Calibri Light" w:cs="Times New Roman"/>
          <w:b/>
          <w:szCs w:val="20"/>
          <w:lang w:eastAsia="en-AU"/>
        </w:rPr>
        <w:lastRenderedPageBreak/>
        <w:t xml:space="preserve">Table </w:t>
      </w:r>
      <w:r w:rsidR="00810F94" w:rsidRPr="00BD271F">
        <w:rPr>
          <w:rFonts w:ascii="Calibri Light" w:eastAsia="Times New Roman" w:hAnsi="Calibri Light" w:cs="Times New Roman"/>
          <w:b/>
          <w:szCs w:val="20"/>
          <w:lang w:eastAsia="en-AU"/>
        </w:rPr>
        <w:t>2</w:t>
      </w:r>
      <w:r w:rsidRPr="00BD271F">
        <w:rPr>
          <w:rFonts w:ascii="Calibri Light" w:eastAsia="Times New Roman" w:hAnsi="Calibri Light" w:cs="Times New Roman"/>
          <w:b/>
          <w:szCs w:val="20"/>
          <w:lang w:eastAsia="en-AU"/>
        </w:rPr>
        <w:t xml:space="preserve">: </w:t>
      </w:r>
      <w:r w:rsidR="00BD271F" w:rsidRPr="00BD271F">
        <w:rPr>
          <w:rFonts w:ascii="Calibri Light" w:eastAsia="Times New Roman" w:hAnsi="Calibri Light" w:cs="Times New Roman"/>
          <w:b/>
          <w:bCs/>
          <w:szCs w:val="20"/>
          <w:lang w:eastAsia="en-AU"/>
        </w:rPr>
        <w:t>Total activity</w:t>
      </w:r>
      <w:r w:rsidR="00F6214D" w:rsidRPr="00BD271F">
        <w:rPr>
          <w:rFonts w:ascii="Calibri Light" w:eastAsia="Times New Roman" w:hAnsi="Calibri Light" w:cs="Times New Roman"/>
          <w:b/>
          <w:szCs w:val="20"/>
          <w:lang w:eastAsia="en-AU"/>
        </w:rPr>
        <w:t xml:space="preserve"> costs</w:t>
      </w:r>
      <w:r w:rsidR="00111800">
        <w:rPr>
          <w:rFonts w:ascii="Calibri Light" w:eastAsia="Times New Roman" w:hAnsi="Calibri Light" w:cs="Times New Roman"/>
          <w:b/>
          <w:szCs w:val="20"/>
          <w:vertAlign w:val="superscript"/>
          <w:lang w:eastAsia="en-AU"/>
        </w:rPr>
        <w:t>*</w:t>
      </w:r>
      <w:r w:rsidR="00F6214D" w:rsidRPr="00BD271F">
        <w:rPr>
          <w:rFonts w:ascii="Calibri Light" w:eastAsia="Times New Roman" w:hAnsi="Calibri Light" w:cs="Times New Roman"/>
          <w:b/>
          <w:szCs w:val="20"/>
          <w:lang w:eastAsia="en-AU"/>
        </w:rPr>
        <w:t xml:space="preserve"> and </w:t>
      </w:r>
      <w:r w:rsidR="00BD271F" w:rsidRPr="00BD271F">
        <w:rPr>
          <w:rFonts w:ascii="Calibri Light" w:eastAsia="Times New Roman" w:hAnsi="Calibri Light" w:cs="Times New Roman"/>
          <w:b/>
          <w:bCs/>
          <w:szCs w:val="20"/>
          <w:lang w:eastAsia="en-AU"/>
        </w:rPr>
        <w:t xml:space="preserve">as a </w:t>
      </w:r>
      <w:r w:rsidR="00F6214D" w:rsidRPr="00BD271F">
        <w:rPr>
          <w:rFonts w:ascii="Calibri Light" w:eastAsia="Times New Roman" w:hAnsi="Calibri Light" w:cs="Times New Roman"/>
          <w:b/>
          <w:szCs w:val="20"/>
          <w:lang w:eastAsia="en-AU"/>
        </w:rPr>
        <w:t xml:space="preserve">proportion of total </w:t>
      </w:r>
      <w:r w:rsidR="00BD271F" w:rsidRPr="00BD271F">
        <w:rPr>
          <w:rFonts w:ascii="Calibri Light" w:eastAsia="Times New Roman" w:hAnsi="Calibri Light" w:cs="Times New Roman"/>
          <w:b/>
          <w:bCs/>
          <w:szCs w:val="20"/>
          <w:lang w:eastAsia="en-AU"/>
        </w:rPr>
        <w:t xml:space="preserve">operating </w:t>
      </w:r>
      <w:r w:rsidR="00F6214D" w:rsidRPr="00BD271F">
        <w:rPr>
          <w:rFonts w:ascii="Calibri Light" w:eastAsia="Times New Roman" w:hAnsi="Calibri Light" w:cs="Times New Roman"/>
          <w:b/>
          <w:szCs w:val="20"/>
          <w:lang w:eastAsia="en-AU"/>
        </w:rPr>
        <w:t xml:space="preserve">costs </w:t>
      </w:r>
      <w:r w:rsidR="00BD271F" w:rsidRPr="00BD271F">
        <w:rPr>
          <w:rFonts w:ascii="Calibri Light" w:eastAsia="Times New Roman" w:hAnsi="Calibri Light" w:cs="Times New Roman"/>
          <w:b/>
          <w:bCs/>
          <w:szCs w:val="20"/>
          <w:lang w:eastAsia="en-AU"/>
        </w:rPr>
        <w:t>since the commencement of the IFM</w:t>
      </w:r>
      <w:r w:rsidR="00B32C47" w:rsidRPr="00BD271F">
        <w:rPr>
          <w:rFonts w:ascii="Calibri Light" w:eastAsia="Times New Roman" w:hAnsi="Calibri Light" w:cs="Times New Roman"/>
          <w:b/>
          <w:bCs/>
          <w:szCs w:val="20"/>
          <w:lang w:eastAsia="en-AU"/>
        </w:rPr>
        <w:t xml:space="preserve"> </w:t>
      </w:r>
      <w:r w:rsidR="00A9333D" w:rsidRPr="00BD271F">
        <w:rPr>
          <w:rFonts w:ascii="Calibri Light" w:eastAsia="Times New Roman" w:hAnsi="Calibri Light" w:cs="Times New Roman"/>
          <w:b/>
          <w:bCs/>
          <w:szCs w:val="20"/>
          <w:lang w:eastAsia="en-AU"/>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769"/>
        <w:gridCol w:w="771"/>
        <w:gridCol w:w="769"/>
        <w:gridCol w:w="770"/>
        <w:gridCol w:w="768"/>
        <w:gridCol w:w="770"/>
        <w:gridCol w:w="770"/>
        <w:gridCol w:w="768"/>
        <w:gridCol w:w="768"/>
        <w:gridCol w:w="770"/>
      </w:tblGrid>
      <w:tr w:rsidR="00646FCA" w14:paraId="641B11B0" w14:textId="5587FFD8" w:rsidTr="00DB6CC4">
        <w:trPr>
          <w:cnfStyle w:val="100000000000" w:firstRow="1" w:lastRow="0" w:firstColumn="0" w:lastColumn="0" w:oddVBand="0" w:evenVBand="0" w:oddHBand="0" w:evenHBand="0" w:firstRowFirstColumn="0" w:firstRowLastColumn="0" w:lastRowFirstColumn="0" w:lastRowLastColumn="0"/>
        </w:trPr>
        <w:tc>
          <w:tcPr>
            <w:tcW w:w="754" w:type="pct"/>
            <w:vMerge w:val="restart"/>
            <w:shd w:val="clear" w:color="auto" w:fill="FFFFFF" w:themeFill="background1"/>
            <w:vAlign w:val="center"/>
          </w:tcPr>
          <w:p w14:paraId="07507E61" w14:textId="05F84AC9" w:rsidR="000505C1" w:rsidRPr="00336AF3" w:rsidRDefault="000505C1" w:rsidP="00DB6CC4">
            <w:pPr>
              <w:pStyle w:val="NoSpacing"/>
              <w:keepNext/>
              <w:keepLines/>
              <w:spacing w:before="96" w:after="96"/>
              <w:jc w:val="center"/>
              <w:rPr>
                <w:rFonts w:cs="Calibri Light"/>
                <w:color w:val="000000" w:themeColor="text1"/>
                <w:sz w:val="22"/>
                <w:szCs w:val="22"/>
              </w:rPr>
            </w:pPr>
            <w:r w:rsidRPr="00336AF3">
              <w:rPr>
                <w:rFonts w:cs="Calibri Light"/>
                <w:color w:val="000000" w:themeColor="text1"/>
                <w:sz w:val="22"/>
                <w:szCs w:val="22"/>
              </w:rPr>
              <w:t>Activity</w:t>
            </w:r>
          </w:p>
        </w:tc>
        <w:tc>
          <w:tcPr>
            <w:tcW w:w="849" w:type="pct"/>
            <w:gridSpan w:val="2"/>
          </w:tcPr>
          <w:p w14:paraId="2B480280" w14:textId="0C1C7592" w:rsidR="000505C1" w:rsidRPr="00336AF3" w:rsidRDefault="00EA126F" w:rsidP="00360713">
            <w:pPr>
              <w:pStyle w:val="NoSpacing"/>
              <w:keepNext/>
              <w:keepLines/>
              <w:spacing w:before="96" w:after="96"/>
              <w:jc w:val="center"/>
              <w:rPr>
                <w:rFonts w:cs="Calibri Light"/>
                <w:color w:val="000000" w:themeColor="text1"/>
                <w:sz w:val="22"/>
                <w:szCs w:val="22"/>
              </w:rPr>
            </w:pPr>
            <w:r w:rsidRPr="00336AF3">
              <w:rPr>
                <w:rFonts w:cs="Calibri Light"/>
                <w:color w:val="000000" w:themeColor="text1"/>
                <w:sz w:val="22"/>
                <w:szCs w:val="22"/>
              </w:rPr>
              <w:t xml:space="preserve"> </w:t>
            </w:r>
            <w:r w:rsidR="000505C1" w:rsidRPr="00336AF3">
              <w:rPr>
                <w:rFonts w:cs="Calibri Light"/>
                <w:color w:val="000000" w:themeColor="text1"/>
                <w:sz w:val="22"/>
                <w:szCs w:val="22"/>
              </w:rPr>
              <w:t>2017-18</w:t>
            </w:r>
          </w:p>
        </w:tc>
        <w:tc>
          <w:tcPr>
            <w:tcW w:w="849" w:type="pct"/>
            <w:gridSpan w:val="2"/>
            <w:shd w:val="clear" w:color="auto" w:fill="FFFFFF" w:themeFill="background1"/>
          </w:tcPr>
          <w:p w14:paraId="578930F4" w14:textId="3AD727B9" w:rsidR="000505C1" w:rsidRPr="00336AF3" w:rsidRDefault="000505C1" w:rsidP="00360713">
            <w:pPr>
              <w:pStyle w:val="NoSpacing"/>
              <w:keepNext/>
              <w:keepLines/>
              <w:spacing w:before="96" w:after="96"/>
              <w:jc w:val="center"/>
              <w:rPr>
                <w:rFonts w:cs="Calibri Light"/>
                <w:color w:val="000000" w:themeColor="text1"/>
                <w:sz w:val="22"/>
                <w:szCs w:val="22"/>
              </w:rPr>
            </w:pPr>
            <w:r w:rsidRPr="00336AF3">
              <w:rPr>
                <w:rFonts w:cs="Calibri Light"/>
                <w:color w:val="000000" w:themeColor="text1"/>
                <w:sz w:val="22"/>
                <w:szCs w:val="22"/>
              </w:rPr>
              <w:t>2018-19</w:t>
            </w:r>
          </w:p>
        </w:tc>
        <w:tc>
          <w:tcPr>
            <w:tcW w:w="849" w:type="pct"/>
            <w:gridSpan w:val="2"/>
          </w:tcPr>
          <w:p w14:paraId="24D2F3E9" w14:textId="6B1BBB32" w:rsidR="000505C1" w:rsidRPr="00336AF3" w:rsidRDefault="000505C1" w:rsidP="00360713">
            <w:pPr>
              <w:pStyle w:val="NoSpacing"/>
              <w:keepNext/>
              <w:keepLines/>
              <w:spacing w:before="96" w:after="96"/>
              <w:jc w:val="center"/>
              <w:rPr>
                <w:rFonts w:cs="Calibri Light"/>
                <w:color w:val="000000" w:themeColor="text1"/>
                <w:sz w:val="22"/>
                <w:szCs w:val="22"/>
              </w:rPr>
            </w:pPr>
            <w:r w:rsidRPr="00336AF3">
              <w:rPr>
                <w:rFonts w:cs="Calibri Light"/>
                <w:color w:val="000000" w:themeColor="text1"/>
                <w:sz w:val="22"/>
                <w:szCs w:val="22"/>
              </w:rPr>
              <w:t>2019-20</w:t>
            </w:r>
          </w:p>
        </w:tc>
        <w:tc>
          <w:tcPr>
            <w:tcW w:w="849" w:type="pct"/>
            <w:gridSpan w:val="2"/>
            <w:shd w:val="clear" w:color="auto" w:fill="FFFFFF" w:themeFill="background1"/>
          </w:tcPr>
          <w:p w14:paraId="0271D593" w14:textId="21E968F3" w:rsidR="000505C1" w:rsidRPr="00336AF3" w:rsidRDefault="000505C1" w:rsidP="00360713">
            <w:pPr>
              <w:pStyle w:val="NoSpacing"/>
              <w:keepNext/>
              <w:keepLines/>
              <w:spacing w:before="96" w:after="96"/>
              <w:jc w:val="center"/>
              <w:rPr>
                <w:rFonts w:cs="Calibri Light"/>
                <w:color w:val="000000" w:themeColor="text1"/>
                <w:sz w:val="22"/>
                <w:szCs w:val="22"/>
              </w:rPr>
            </w:pPr>
            <w:r w:rsidRPr="00336AF3">
              <w:rPr>
                <w:rFonts w:cs="Calibri Light"/>
                <w:color w:val="000000" w:themeColor="text1"/>
                <w:sz w:val="22"/>
                <w:szCs w:val="22"/>
              </w:rPr>
              <w:t>2020-21</w:t>
            </w:r>
          </w:p>
        </w:tc>
        <w:tc>
          <w:tcPr>
            <w:tcW w:w="849" w:type="pct"/>
            <w:gridSpan w:val="2"/>
          </w:tcPr>
          <w:p w14:paraId="5D6EEDF7" w14:textId="62EEC414" w:rsidR="000505C1" w:rsidRPr="00336AF3" w:rsidRDefault="000505C1" w:rsidP="00360713">
            <w:pPr>
              <w:pStyle w:val="NoSpacing"/>
              <w:keepNext/>
              <w:keepLines/>
              <w:spacing w:before="96" w:after="96"/>
              <w:jc w:val="center"/>
              <w:rPr>
                <w:rFonts w:cs="Calibri Light"/>
                <w:color w:val="000000" w:themeColor="text1"/>
                <w:sz w:val="22"/>
                <w:szCs w:val="22"/>
              </w:rPr>
            </w:pPr>
            <w:r w:rsidRPr="00336AF3">
              <w:rPr>
                <w:rFonts w:cs="Calibri Light"/>
                <w:color w:val="000000" w:themeColor="text1"/>
                <w:sz w:val="22"/>
                <w:szCs w:val="22"/>
              </w:rPr>
              <w:t>2021-22</w:t>
            </w:r>
            <w:r w:rsidR="00111800">
              <w:rPr>
                <w:rFonts w:cs="Calibri Light"/>
                <w:color w:val="000000" w:themeColor="text1"/>
                <w:sz w:val="22"/>
                <w:szCs w:val="22"/>
                <w:vertAlign w:val="superscript"/>
              </w:rPr>
              <w:t>**</w:t>
            </w:r>
          </w:p>
        </w:tc>
      </w:tr>
      <w:tr w:rsidR="00EB4DCE" w14:paraId="03238B99" w14:textId="70043EA1" w:rsidTr="00BF1902">
        <w:trPr>
          <w:trHeight w:val="119"/>
        </w:trPr>
        <w:tc>
          <w:tcPr>
            <w:tcW w:w="754" w:type="pct"/>
            <w:vMerge/>
            <w:shd w:val="clear" w:color="auto" w:fill="FFFFFF" w:themeFill="background1"/>
          </w:tcPr>
          <w:p w14:paraId="69CF484E" w14:textId="1338CD19" w:rsidR="000505C1" w:rsidRPr="00336AF3" w:rsidRDefault="000505C1" w:rsidP="00360713">
            <w:pPr>
              <w:pStyle w:val="NoSpacing"/>
              <w:keepNext/>
              <w:keepLines/>
              <w:spacing w:before="96" w:after="96"/>
              <w:rPr>
                <w:rFonts w:cs="Calibri Light"/>
                <w:sz w:val="22"/>
                <w:szCs w:val="22"/>
              </w:rPr>
            </w:pPr>
          </w:p>
        </w:tc>
        <w:tc>
          <w:tcPr>
            <w:tcW w:w="424" w:type="pct"/>
            <w:shd w:val="clear" w:color="auto" w:fill="EEEEEE" w:themeFill="background2"/>
          </w:tcPr>
          <w:p w14:paraId="5015CF19" w14:textId="31400F95"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r w:rsidR="00DC799C" w:rsidRPr="00336AF3">
              <w:rPr>
                <w:rFonts w:cs="Calibri Light"/>
                <w:b/>
                <w:sz w:val="22"/>
                <w:szCs w:val="22"/>
              </w:rPr>
              <w:t>m</w:t>
            </w:r>
          </w:p>
        </w:tc>
        <w:tc>
          <w:tcPr>
            <w:tcW w:w="424" w:type="pct"/>
            <w:shd w:val="clear" w:color="auto" w:fill="EEEEEE" w:themeFill="background2"/>
          </w:tcPr>
          <w:p w14:paraId="6FB6C819" w14:textId="76D3F7F5"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p>
        </w:tc>
        <w:tc>
          <w:tcPr>
            <w:tcW w:w="424" w:type="pct"/>
          </w:tcPr>
          <w:p w14:paraId="52275500" w14:textId="4FC46E7B"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r w:rsidR="00DC799C" w:rsidRPr="00336AF3">
              <w:rPr>
                <w:rFonts w:cs="Calibri Light"/>
                <w:b/>
                <w:sz w:val="22"/>
                <w:szCs w:val="22"/>
              </w:rPr>
              <w:t>m</w:t>
            </w:r>
          </w:p>
        </w:tc>
        <w:tc>
          <w:tcPr>
            <w:tcW w:w="425" w:type="pct"/>
          </w:tcPr>
          <w:p w14:paraId="49F4CCD2" w14:textId="3BD22C81"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p>
        </w:tc>
        <w:tc>
          <w:tcPr>
            <w:tcW w:w="424" w:type="pct"/>
            <w:shd w:val="clear" w:color="auto" w:fill="EEEEEE" w:themeFill="background2"/>
          </w:tcPr>
          <w:p w14:paraId="4F627CBD" w14:textId="4FDA159B"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r w:rsidR="00DC799C" w:rsidRPr="00336AF3">
              <w:rPr>
                <w:rFonts w:cs="Calibri Light"/>
                <w:b/>
                <w:sz w:val="22"/>
                <w:szCs w:val="22"/>
              </w:rPr>
              <w:t>m</w:t>
            </w:r>
          </w:p>
        </w:tc>
        <w:tc>
          <w:tcPr>
            <w:tcW w:w="424" w:type="pct"/>
            <w:shd w:val="clear" w:color="auto" w:fill="EEEEEE" w:themeFill="background2"/>
          </w:tcPr>
          <w:p w14:paraId="10584072" w14:textId="78C47DBF"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p>
        </w:tc>
        <w:tc>
          <w:tcPr>
            <w:tcW w:w="425" w:type="pct"/>
          </w:tcPr>
          <w:p w14:paraId="24AD0A77" w14:textId="50032E60"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r w:rsidR="00DC799C" w:rsidRPr="00336AF3">
              <w:rPr>
                <w:rFonts w:cs="Calibri Light"/>
                <w:b/>
                <w:sz w:val="22"/>
                <w:szCs w:val="22"/>
              </w:rPr>
              <w:t>m</w:t>
            </w:r>
          </w:p>
        </w:tc>
        <w:tc>
          <w:tcPr>
            <w:tcW w:w="424" w:type="pct"/>
          </w:tcPr>
          <w:p w14:paraId="1D7741C9" w14:textId="0A53EAE8"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p>
        </w:tc>
        <w:tc>
          <w:tcPr>
            <w:tcW w:w="424" w:type="pct"/>
            <w:shd w:val="clear" w:color="auto" w:fill="EEEEEE" w:themeFill="background2"/>
          </w:tcPr>
          <w:p w14:paraId="1F4A64A1" w14:textId="6F8B49CB"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r w:rsidR="00DC799C" w:rsidRPr="00336AF3">
              <w:rPr>
                <w:rFonts w:cs="Calibri Light"/>
                <w:b/>
                <w:sz w:val="22"/>
                <w:szCs w:val="22"/>
              </w:rPr>
              <w:t>m</w:t>
            </w:r>
          </w:p>
        </w:tc>
        <w:tc>
          <w:tcPr>
            <w:tcW w:w="425" w:type="pct"/>
            <w:shd w:val="clear" w:color="auto" w:fill="EEEEEE" w:themeFill="background2"/>
          </w:tcPr>
          <w:p w14:paraId="6DE39E25" w14:textId="3C0FE068" w:rsidR="000505C1" w:rsidRPr="00336AF3" w:rsidRDefault="000505C1" w:rsidP="00360713">
            <w:pPr>
              <w:pStyle w:val="NoSpacing"/>
              <w:keepNext/>
              <w:keepLines/>
              <w:spacing w:before="96" w:after="96"/>
              <w:jc w:val="center"/>
              <w:rPr>
                <w:rFonts w:cs="Calibri Light"/>
                <w:b/>
                <w:sz w:val="22"/>
                <w:szCs w:val="22"/>
              </w:rPr>
            </w:pPr>
            <w:r w:rsidRPr="00336AF3">
              <w:rPr>
                <w:rFonts w:cs="Calibri Light"/>
                <w:b/>
                <w:sz w:val="22"/>
                <w:szCs w:val="22"/>
              </w:rPr>
              <w:t>%</w:t>
            </w:r>
          </w:p>
        </w:tc>
      </w:tr>
      <w:tr w:rsidR="00EB4DCE" w14:paraId="750D0FB6" w14:textId="7C0A57B3" w:rsidTr="00BF1902">
        <w:trPr>
          <w:trHeight w:val="119"/>
        </w:trPr>
        <w:tc>
          <w:tcPr>
            <w:tcW w:w="754" w:type="pct"/>
            <w:shd w:val="clear" w:color="auto" w:fill="FFFFFF" w:themeFill="background1"/>
          </w:tcPr>
          <w:p w14:paraId="354BA659" w14:textId="2BD25E94" w:rsidR="000505C1" w:rsidRPr="00336AF3" w:rsidRDefault="000505C1" w:rsidP="000505C1">
            <w:pPr>
              <w:pStyle w:val="NoSpacing"/>
              <w:spacing w:before="96" w:after="96"/>
              <w:rPr>
                <w:rFonts w:cs="Calibri Light"/>
                <w:sz w:val="22"/>
                <w:szCs w:val="22"/>
              </w:rPr>
            </w:pPr>
            <w:r w:rsidRPr="00336AF3">
              <w:rPr>
                <w:rFonts w:cs="Calibri Light"/>
                <w:sz w:val="22"/>
                <w:szCs w:val="22"/>
              </w:rPr>
              <w:t>Supervision</w:t>
            </w:r>
            <w:r w:rsidR="00C545E7" w:rsidRPr="00336AF3">
              <w:rPr>
                <w:rFonts w:cs="Calibri Light"/>
                <w:sz w:val="22"/>
                <w:szCs w:val="22"/>
              </w:rPr>
              <w:t xml:space="preserve"> / </w:t>
            </w:r>
            <w:r w:rsidRPr="00336AF3">
              <w:rPr>
                <w:rFonts w:cs="Calibri Light"/>
                <w:sz w:val="22"/>
                <w:szCs w:val="22"/>
              </w:rPr>
              <w:t>surveillance</w:t>
            </w:r>
          </w:p>
        </w:tc>
        <w:tc>
          <w:tcPr>
            <w:tcW w:w="424" w:type="pct"/>
            <w:shd w:val="clear" w:color="auto" w:fill="EEEEEE" w:themeFill="background2"/>
          </w:tcPr>
          <w:p w14:paraId="32397D93" w14:textId="226A58C6" w:rsidR="000505C1" w:rsidRPr="00336AF3" w:rsidRDefault="00EE24F1" w:rsidP="004A19F1">
            <w:pPr>
              <w:pStyle w:val="NoSpacing"/>
              <w:spacing w:before="96" w:after="96"/>
              <w:jc w:val="right"/>
              <w:rPr>
                <w:rFonts w:cs="Calibri Light"/>
                <w:sz w:val="22"/>
                <w:szCs w:val="22"/>
              </w:rPr>
            </w:pPr>
            <w:r w:rsidRPr="00336AF3">
              <w:rPr>
                <w:rFonts w:cs="Calibri Light"/>
                <w:sz w:val="22"/>
                <w:szCs w:val="22"/>
              </w:rPr>
              <w:t>50</w:t>
            </w:r>
            <w:r w:rsidR="00A67611" w:rsidRPr="00336AF3">
              <w:rPr>
                <w:rFonts w:cs="Calibri Light"/>
                <w:sz w:val="22"/>
                <w:szCs w:val="22"/>
              </w:rPr>
              <w:t>.8</w:t>
            </w:r>
          </w:p>
        </w:tc>
        <w:tc>
          <w:tcPr>
            <w:tcW w:w="424" w:type="pct"/>
            <w:shd w:val="clear" w:color="auto" w:fill="EEEEEE" w:themeFill="background2"/>
          </w:tcPr>
          <w:p w14:paraId="629330B0" w14:textId="7D2BA26E" w:rsidR="000505C1" w:rsidRPr="00336AF3" w:rsidRDefault="00B32C47" w:rsidP="004A19F1">
            <w:pPr>
              <w:pStyle w:val="NoSpacing"/>
              <w:spacing w:before="96" w:after="96"/>
              <w:jc w:val="right"/>
              <w:rPr>
                <w:rFonts w:cs="Calibri Light"/>
                <w:sz w:val="22"/>
                <w:szCs w:val="22"/>
              </w:rPr>
            </w:pPr>
            <w:r w:rsidRPr="00336AF3">
              <w:rPr>
                <w:rFonts w:cs="Calibri Light"/>
                <w:sz w:val="22"/>
                <w:szCs w:val="22"/>
              </w:rPr>
              <w:t>21.8</w:t>
            </w:r>
          </w:p>
        </w:tc>
        <w:tc>
          <w:tcPr>
            <w:tcW w:w="424" w:type="pct"/>
            <w:shd w:val="clear" w:color="auto" w:fill="FFFFFF" w:themeFill="background1"/>
          </w:tcPr>
          <w:p w14:paraId="43BFCA4C" w14:textId="798909C4" w:rsidR="000505C1" w:rsidRPr="00336AF3" w:rsidRDefault="0032416C" w:rsidP="004A19F1">
            <w:pPr>
              <w:pStyle w:val="NoSpacing"/>
              <w:spacing w:before="96" w:after="96"/>
              <w:jc w:val="right"/>
              <w:rPr>
                <w:rFonts w:cs="Calibri Light"/>
                <w:sz w:val="22"/>
                <w:szCs w:val="22"/>
              </w:rPr>
            </w:pPr>
            <w:r w:rsidRPr="00336AF3">
              <w:rPr>
                <w:rFonts w:cs="Calibri Light"/>
                <w:sz w:val="22"/>
                <w:szCs w:val="22"/>
              </w:rPr>
              <w:t>40.0</w:t>
            </w:r>
          </w:p>
        </w:tc>
        <w:tc>
          <w:tcPr>
            <w:tcW w:w="425" w:type="pct"/>
            <w:shd w:val="clear" w:color="auto" w:fill="FFFFFF" w:themeFill="background1"/>
          </w:tcPr>
          <w:p w14:paraId="2FC090D7" w14:textId="4C922A68" w:rsidR="000505C1" w:rsidRPr="00336AF3" w:rsidRDefault="00B32C47" w:rsidP="004A19F1">
            <w:pPr>
              <w:pStyle w:val="NoSpacing"/>
              <w:spacing w:before="96" w:after="96"/>
              <w:jc w:val="right"/>
              <w:rPr>
                <w:rFonts w:cs="Calibri Light"/>
                <w:sz w:val="22"/>
                <w:szCs w:val="22"/>
              </w:rPr>
            </w:pPr>
            <w:r w:rsidRPr="00336AF3">
              <w:rPr>
                <w:rFonts w:cs="Calibri Light"/>
                <w:sz w:val="22"/>
                <w:szCs w:val="22"/>
              </w:rPr>
              <w:t>15.9</w:t>
            </w:r>
          </w:p>
        </w:tc>
        <w:tc>
          <w:tcPr>
            <w:tcW w:w="424" w:type="pct"/>
            <w:shd w:val="clear" w:color="auto" w:fill="EEEEEE" w:themeFill="background2"/>
          </w:tcPr>
          <w:p w14:paraId="098149AC" w14:textId="449EB795" w:rsidR="000505C1" w:rsidRPr="00336AF3" w:rsidRDefault="00E70DD1" w:rsidP="004A19F1">
            <w:pPr>
              <w:pStyle w:val="NoSpacing"/>
              <w:spacing w:before="96" w:after="96"/>
              <w:jc w:val="right"/>
              <w:rPr>
                <w:rFonts w:cs="Calibri Light"/>
                <w:sz w:val="22"/>
                <w:szCs w:val="22"/>
              </w:rPr>
            </w:pPr>
            <w:r w:rsidRPr="00336AF3">
              <w:rPr>
                <w:rFonts w:cs="Calibri Light"/>
                <w:sz w:val="22"/>
                <w:szCs w:val="22"/>
              </w:rPr>
              <w:t>51.4</w:t>
            </w:r>
          </w:p>
        </w:tc>
        <w:tc>
          <w:tcPr>
            <w:tcW w:w="424" w:type="pct"/>
            <w:shd w:val="clear" w:color="auto" w:fill="EEEEEE" w:themeFill="background2"/>
          </w:tcPr>
          <w:p w14:paraId="3FF3FC7D" w14:textId="5430CCC6" w:rsidR="000505C1" w:rsidRPr="00336AF3" w:rsidRDefault="00B32C47" w:rsidP="004A19F1">
            <w:pPr>
              <w:pStyle w:val="NoSpacing"/>
              <w:spacing w:before="96" w:after="96"/>
              <w:jc w:val="right"/>
              <w:rPr>
                <w:rFonts w:cs="Calibri Light"/>
                <w:sz w:val="22"/>
                <w:szCs w:val="22"/>
              </w:rPr>
            </w:pPr>
            <w:r w:rsidRPr="00336AF3">
              <w:rPr>
                <w:rFonts w:cs="Calibri Light"/>
                <w:sz w:val="22"/>
                <w:szCs w:val="22"/>
              </w:rPr>
              <w:t>17.7</w:t>
            </w:r>
          </w:p>
        </w:tc>
        <w:tc>
          <w:tcPr>
            <w:tcW w:w="425" w:type="pct"/>
            <w:shd w:val="clear" w:color="auto" w:fill="FFFFFF" w:themeFill="background1"/>
          </w:tcPr>
          <w:p w14:paraId="0E2A194F" w14:textId="00A8AA36" w:rsidR="000505C1" w:rsidRPr="00336AF3" w:rsidRDefault="00031F9A" w:rsidP="004A19F1">
            <w:pPr>
              <w:pStyle w:val="NoSpacing"/>
              <w:spacing w:before="96" w:after="96"/>
              <w:jc w:val="right"/>
              <w:rPr>
                <w:rFonts w:cs="Calibri Light"/>
                <w:sz w:val="22"/>
                <w:szCs w:val="22"/>
              </w:rPr>
            </w:pPr>
            <w:r w:rsidRPr="00336AF3">
              <w:rPr>
                <w:rFonts w:cs="Calibri Light"/>
                <w:sz w:val="22"/>
                <w:szCs w:val="22"/>
              </w:rPr>
              <w:t>50.7</w:t>
            </w:r>
          </w:p>
        </w:tc>
        <w:tc>
          <w:tcPr>
            <w:tcW w:w="424" w:type="pct"/>
            <w:shd w:val="clear" w:color="auto" w:fill="FFFFFF" w:themeFill="background1"/>
          </w:tcPr>
          <w:p w14:paraId="0019B3A2" w14:textId="4D106502" w:rsidR="000505C1" w:rsidRPr="00336AF3" w:rsidRDefault="00B32C47" w:rsidP="004A19F1">
            <w:pPr>
              <w:pStyle w:val="NoSpacing"/>
              <w:spacing w:before="96" w:after="96"/>
              <w:jc w:val="right"/>
              <w:rPr>
                <w:rFonts w:cs="Calibri Light"/>
                <w:sz w:val="22"/>
                <w:szCs w:val="22"/>
              </w:rPr>
            </w:pPr>
            <w:r w:rsidRPr="00336AF3">
              <w:rPr>
                <w:rFonts w:cs="Calibri Light"/>
                <w:sz w:val="22"/>
                <w:szCs w:val="22"/>
              </w:rPr>
              <w:t>16.8</w:t>
            </w:r>
          </w:p>
        </w:tc>
        <w:tc>
          <w:tcPr>
            <w:tcW w:w="424" w:type="pct"/>
            <w:shd w:val="clear" w:color="auto" w:fill="EEEEEE" w:themeFill="background2"/>
          </w:tcPr>
          <w:p w14:paraId="7CECCE8A" w14:textId="24FDB853" w:rsidR="000505C1" w:rsidRPr="00336AF3" w:rsidRDefault="002A19B1" w:rsidP="00BF1902">
            <w:pPr>
              <w:pStyle w:val="NoSpacing"/>
              <w:tabs>
                <w:tab w:val="left" w:pos="195"/>
              </w:tabs>
              <w:spacing w:before="96" w:after="96"/>
              <w:jc w:val="right"/>
              <w:rPr>
                <w:rFonts w:cs="Calibri Light"/>
                <w:sz w:val="22"/>
                <w:szCs w:val="22"/>
              </w:rPr>
            </w:pPr>
            <w:r w:rsidRPr="00336AF3">
              <w:rPr>
                <w:rFonts w:cs="Calibri Light"/>
                <w:sz w:val="22"/>
                <w:szCs w:val="22"/>
              </w:rPr>
              <w:t>48.4</w:t>
            </w:r>
          </w:p>
        </w:tc>
        <w:tc>
          <w:tcPr>
            <w:tcW w:w="425" w:type="pct"/>
            <w:shd w:val="clear" w:color="auto" w:fill="EEEEEE" w:themeFill="background2"/>
          </w:tcPr>
          <w:p w14:paraId="33D36E3B" w14:textId="44611E19" w:rsidR="000505C1" w:rsidRPr="00336AF3" w:rsidRDefault="002A19B1" w:rsidP="004A19F1">
            <w:pPr>
              <w:pStyle w:val="NoSpacing"/>
              <w:spacing w:before="96" w:after="96"/>
              <w:jc w:val="right"/>
              <w:rPr>
                <w:rFonts w:cs="Calibri Light"/>
                <w:sz w:val="22"/>
                <w:szCs w:val="22"/>
              </w:rPr>
            </w:pPr>
            <w:r w:rsidRPr="00336AF3">
              <w:rPr>
                <w:rFonts w:cs="Calibri Light"/>
                <w:sz w:val="22"/>
                <w:szCs w:val="22"/>
              </w:rPr>
              <w:t>15.5</w:t>
            </w:r>
          </w:p>
        </w:tc>
      </w:tr>
      <w:tr w:rsidR="00EB4DCE" w14:paraId="5A9D4783" w14:textId="1453E4A5" w:rsidTr="00BF1902">
        <w:trPr>
          <w:trHeight w:val="119"/>
        </w:trPr>
        <w:tc>
          <w:tcPr>
            <w:tcW w:w="754" w:type="pct"/>
            <w:shd w:val="clear" w:color="auto" w:fill="FFFFFF" w:themeFill="background1"/>
          </w:tcPr>
          <w:p w14:paraId="3984F749" w14:textId="5BE097F2" w:rsidR="000505C1" w:rsidRPr="00336AF3" w:rsidRDefault="000505C1" w:rsidP="000505C1">
            <w:pPr>
              <w:pStyle w:val="NoSpacing"/>
              <w:spacing w:before="96" w:after="96"/>
              <w:rPr>
                <w:rFonts w:cs="Calibri Light"/>
                <w:sz w:val="22"/>
                <w:szCs w:val="22"/>
              </w:rPr>
            </w:pPr>
            <w:r w:rsidRPr="00336AF3">
              <w:rPr>
                <w:rFonts w:cs="Calibri Light"/>
                <w:sz w:val="22"/>
                <w:szCs w:val="22"/>
              </w:rPr>
              <w:t>Enforcement</w:t>
            </w:r>
          </w:p>
        </w:tc>
        <w:tc>
          <w:tcPr>
            <w:tcW w:w="424" w:type="pct"/>
            <w:shd w:val="clear" w:color="auto" w:fill="EEEEEE" w:themeFill="background2"/>
          </w:tcPr>
          <w:p w14:paraId="3D0F8B34" w14:textId="5E77AD91" w:rsidR="000505C1" w:rsidRPr="00336AF3" w:rsidRDefault="00A62638" w:rsidP="004A19F1">
            <w:pPr>
              <w:pStyle w:val="NoSpacing"/>
              <w:spacing w:before="96" w:after="96"/>
              <w:jc w:val="right"/>
              <w:rPr>
                <w:rFonts w:cs="Calibri Light"/>
                <w:sz w:val="22"/>
                <w:szCs w:val="22"/>
              </w:rPr>
            </w:pPr>
            <w:r w:rsidRPr="00336AF3">
              <w:rPr>
                <w:rFonts w:cs="Calibri Light"/>
                <w:sz w:val="22"/>
                <w:szCs w:val="22"/>
              </w:rPr>
              <w:t>67.6</w:t>
            </w:r>
          </w:p>
        </w:tc>
        <w:tc>
          <w:tcPr>
            <w:tcW w:w="424" w:type="pct"/>
            <w:shd w:val="clear" w:color="auto" w:fill="EEEEEE" w:themeFill="background2"/>
          </w:tcPr>
          <w:p w14:paraId="185C2202" w14:textId="193586DF" w:rsidR="000505C1" w:rsidRPr="00336AF3" w:rsidRDefault="003E6A07" w:rsidP="004A19F1">
            <w:pPr>
              <w:pStyle w:val="NoSpacing"/>
              <w:spacing w:before="96" w:after="96"/>
              <w:jc w:val="right"/>
              <w:rPr>
                <w:rFonts w:cs="Calibri Light"/>
                <w:sz w:val="22"/>
                <w:szCs w:val="22"/>
              </w:rPr>
            </w:pPr>
            <w:r w:rsidRPr="00336AF3">
              <w:rPr>
                <w:rFonts w:cs="Calibri Light"/>
                <w:sz w:val="22"/>
                <w:szCs w:val="22"/>
              </w:rPr>
              <w:t>29.1</w:t>
            </w:r>
          </w:p>
        </w:tc>
        <w:tc>
          <w:tcPr>
            <w:tcW w:w="424" w:type="pct"/>
            <w:shd w:val="clear" w:color="auto" w:fill="FFFFFF" w:themeFill="background1"/>
          </w:tcPr>
          <w:p w14:paraId="21917195" w14:textId="6754A015" w:rsidR="000505C1" w:rsidRPr="00336AF3" w:rsidRDefault="003E6A07" w:rsidP="004A19F1">
            <w:pPr>
              <w:pStyle w:val="NoSpacing"/>
              <w:spacing w:before="96" w:after="96"/>
              <w:jc w:val="right"/>
              <w:rPr>
                <w:rFonts w:cs="Calibri Light"/>
                <w:sz w:val="22"/>
                <w:szCs w:val="22"/>
              </w:rPr>
            </w:pPr>
            <w:r w:rsidRPr="00336AF3">
              <w:rPr>
                <w:rFonts w:cs="Calibri Light"/>
                <w:sz w:val="22"/>
                <w:szCs w:val="22"/>
              </w:rPr>
              <w:t>75.6</w:t>
            </w:r>
          </w:p>
        </w:tc>
        <w:tc>
          <w:tcPr>
            <w:tcW w:w="425" w:type="pct"/>
            <w:shd w:val="clear" w:color="auto" w:fill="FFFFFF" w:themeFill="background1"/>
          </w:tcPr>
          <w:p w14:paraId="63BF2636" w14:textId="696B6045" w:rsidR="000505C1" w:rsidRPr="00336AF3" w:rsidRDefault="007E4597" w:rsidP="004A19F1">
            <w:pPr>
              <w:pStyle w:val="NoSpacing"/>
              <w:spacing w:before="96" w:after="96"/>
              <w:jc w:val="right"/>
              <w:rPr>
                <w:rFonts w:cs="Calibri Light"/>
                <w:sz w:val="22"/>
                <w:szCs w:val="22"/>
              </w:rPr>
            </w:pPr>
            <w:r w:rsidRPr="00336AF3">
              <w:rPr>
                <w:rFonts w:cs="Calibri Light"/>
                <w:sz w:val="22"/>
                <w:szCs w:val="22"/>
              </w:rPr>
              <w:t>29.9</w:t>
            </w:r>
          </w:p>
        </w:tc>
        <w:tc>
          <w:tcPr>
            <w:tcW w:w="424" w:type="pct"/>
            <w:shd w:val="clear" w:color="auto" w:fill="EEEEEE" w:themeFill="background2"/>
          </w:tcPr>
          <w:p w14:paraId="3729D197" w14:textId="42783D7C" w:rsidR="000505C1" w:rsidRPr="00336AF3" w:rsidRDefault="00E8065E" w:rsidP="004A19F1">
            <w:pPr>
              <w:pStyle w:val="NoSpacing"/>
              <w:spacing w:before="96" w:after="96"/>
              <w:jc w:val="right"/>
              <w:rPr>
                <w:rFonts w:cs="Calibri Light"/>
                <w:sz w:val="22"/>
                <w:szCs w:val="22"/>
              </w:rPr>
            </w:pPr>
            <w:r w:rsidRPr="00336AF3">
              <w:rPr>
                <w:rFonts w:cs="Calibri Light"/>
                <w:sz w:val="22"/>
                <w:szCs w:val="22"/>
              </w:rPr>
              <w:t>83.6</w:t>
            </w:r>
          </w:p>
        </w:tc>
        <w:tc>
          <w:tcPr>
            <w:tcW w:w="424" w:type="pct"/>
            <w:shd w:val="clear" w:color="auto" w:fill="EEEEEE" w:themeFill="background2"/>
          </w:tcPr>
          <w:p w14:paraId="5A5A5DE1" w14:textId="47E9EEA0" w:rsidR="000505C1" w:rsidRPr="00336AF3" w:rsidRDefault="00A65F1C" w:rsidP="004A19F1">
            <w:pPr>
              <w:pStyle w:val="NoSpacing"/>
              <w:spacing w:before="96" w:after="96"/>
              <w:jc w:val="right"/>
              <w:rPr>
                <w:rFonts w:cs="Calibri Light"/>
                <w:sz w:val="22"/>
                <w:szCs w:val="22"/>
              </w:rPr>
            </w:pPr>
            <w:r w:rsidRPr="00336AF3">
              <w:rPr>
                <w:rFonts w:cs="Calibri Light"/>
                <w:sz w:val="22"/>
                <w:szCs w:val="22"/>
              </w:rPr>
              <w:t>28.7</w:t>
            </w:r>
          </w:p>
        </w:tc>
        <w:tc>
          <w:tcPr>
            <w:tcW w:w="425" w:type="pct"/>
            <w:shd w:val="clear" w:color="auto" w:fill="FFFFFF" w:themeFill="background1"/>
          </w:tcPr>
          <w:p w14:paraId="57D05A47" w14:textId="1ED324E2" w:rsidR="000505C1" w:rsidRPr="00336AF3" w:rsidRDefault="00CC7ACF" w:rsidP="004A19F1">
            <w:pPr>
              <w:pStyle w:val="NoSpacing"/>
              <w:spacing w:before="96" w:after="96"/>
              <w:jc w:val="right"/>
              <w:rPr>
                <w:rFonts w:cs="Calibri Light"/>
                <w:sz w:val="22"/>
                <w:szCs w:val="22"/>
              </w:rPr>
            </w:pPr>
            <w:r w:rsidRPr="00336AF3">
              <w:rPr>
                <w:rFonts w:cs="Calibri Light"/>
                <w:sz w:val="22"/>
                <w:szCs w:val="22"/>
              </w:rPr>
              <w:t>110.0</w:t>
            </w:r>
          </w:p>
        </w:tc>
        <w:tc>
          <w:tcPr>
            <w:tcW w:w="424" w:type="pct"/>
            <w:shd w:val="clear" w:color="auto" w:fill="FFFFFF" w:themeFill="background1"/>
          </w:tcPr>
          <w:p w14:paraId="6F2431F4" w14:textId="15C21CA3" w:rsidR="000505C1" w:rsidRPr="00336AF3" w:rsidRDefault="00285F76" w:rsidP="004A19F1">
            <w:pPr>
              <w:pStyle w:val="NoSpacing"/>
              <w:spacing w:before="96" w:after="96"/>
              <w:jc w:val="right"/>
              <w:rPr>
                <w:rFonts w:cs="Calibri Light"/>
                <w:sz w:val="22"/>
                <w:szCs w:val="22"/>
              </w:rPr>
            </w:pPr>
            <w:r w:rsidRPr="00336AF3">
              <w:rPr>
                <w:rFonts w:cs="Calibri Light"/>
                <w:sz w:val="22"/>
                <w:szCs w:val="22"/>
              </w:rPr>
              <w:t>36.4</w:t>
            </w:r>
          </w:p>
        </w:tc>
        <w:tc>
          <w:tcPr>
            <w:tcW w:w="424" w:type="pct"/>
            <w:shd w:val="clear" w:color="auto" w:fill="EEEEEE" w:themeFill="background2"/>
          </w:tcPr>
          <w:p w14:paraId="2B511971" w14:textId="0E536EDD" w:rsidR="000505C1" w:rsidRPr="00336AF3" w:rsidRDefault="005D0776" w:rsidP="004A19F1">
            <w:pPr>
              <w:pStyle w:val="NoSpacing"/>
              <w:spacing w:before="96" w:after="96"/>
              <w:jc w:val="right"/>
              <w:rPr>
                <w:rFonts w:cs="Calibri Light"/>
                <w:sz w:val="22"/>
                <w:szCs w:val="22"/>
              </w:rPr>
            </w:pPr>
            <w:r w:rsidRPr="00336AF3">
              <w:rPr>
                <w:rFonts w:cs="Calibri Light"/>
                <w:sz w:val="22"/>
                <w:szCs w:val="22"/>
              </w:rPr>
              <w:t>109.8</w:t>
            </w:r>
          </w:p>
        </w:tc>
        <w:tc>
          <w:tcPr>
            <w:tcW w:w="425" w:type="pct"/>
            <w:shd w:val="clear" w:color="auto" w:fill="EEEEEE" w:themeFill="background2"/>
          </w:tcPr>
          <w:p w14:paraId="71775A11" w14:textId="6A878BB7" w:rsidR="000505C1" w:rsidRPr="00336AF3" w:rsidRDefault="005D0776" w:rsidP="004A19F1">
            <w:pPr>
              <w:pStyle w:val="NoSpacing"/>
              <w:spacing w:before="96" w:after="96"/>
              <w:jc w:val="right"/>
              <w:rPr>
                <w:rFonts w:cs="Calibri Light"/>
                <w:sz w:val="22"/>
                <w:szCs w:val="22"/>
              </w:rPr>
            </w:pPr>
            <w:r w:rsidRPr="00336AF3">
              <w:rPr>
                <w:rFonts w:cs="Calibri Light"/>
                <w:sz w:val="22"/>
                <w:szCs w:val="22"/>
              </w:rPr>
              <w:t>35.1</w:t>
            </w:r>
          </w:p>
        </w:tc>
      </w:tr>
      <w:tr w:rsidR="00EB4DCE" w14:paraId="577175A7" w14:textId="77777777" w:rsidTr="00BF1902">
        <w:trPr>
          <w:trHeight w:val="119"/>
        </w:trPr>
        <w:tc>
          <w:tcPr>
            <w:tcW w:w="754" w:type="pct"/>
            <w:shd w:val="clear" w:color="auto" w:fill="FFFFFF" w:themeFill="background1"/>
          </w:tcPr>
          <w:p w14:paraId="0E58DB8B" w14:textId="0B0CE433" w:rsidR="000505C1" w:rsidRPr="00336AF3" w:rsidRDefault="000505C1" w:rsidP="000505C1">
            <w:pPr>
              <w:pStyle w:val="NoSpacing"/>
              <w:spacing w:before="96" w:after="96"/>
              <w:rPr>
                <w:rFonts w:cs="Calibri Light"/>
                <w:sz w:val="22"/>
                <w:szCs w:val="22"/>
              </w:rPr>
            </w:pPr>
            <w:r w:rsidRPr="00336AF3">
              <w:rPr>
                <w:rFonts w:cs="Calibri Light"/>
                <w:sz w:val="22"/>
                <w:szCs w:val="22"/>
              </w:rPr>
              <w:t>Industry engagement</w:t>
            </w:r>
          </w:p>
        </w:tc>
        <w:tc>
          <w:tcPr>
            <w:tcW w:w="424" w:type="pct"/>
            <w:shd w:val="clear" w:color="auto" w:fill="EEEEEE" w:themeFill="background2"/>
          </w:tcPr>
          <w:p w14:paraId="01EB0E5C" w14:textId="16DD67CE" w:rsidR="000505C1" w:rsidRPr="00336AF3" w:rsidRDefault="00FB0E5C" w:rsidP="004A19F1">
            <w:pPr>
              <w:pStyle w:val="NoSpacing"/>
              <w:spacing w:before="96" w:after="96"/>
              <w:jc w:val="right"/>
              <w:rPr>
                <w:rFonts w:cs="Calibri Light"/>
                <w:sz w:val="22"/>
                <w:szCs w:val="22"/>
              </w:rPr>
            </w:pPr>
            <w:r w:rsidRPr="00336AF3">
              <w:rPr>
                <w:rFonts w:cs="Calibri Light"/>
                <w:sz w:val="22"/>
                <w:szCs w:val="22"/>
              </w:rPr>
              <w:t>5.8</w:t>
            </w:r>
          </w:p>
        </w:tc>
        <w:tc>
          <w:tcPr>
            <w:tcW w:w="424" w:type="pct"/>
            <w:shd w:val="clear" w:color="auto" w:fill="EEEEEE" w:themeFill="background2"/>
          </w:tcPr>
          <w:p w14:paraId="31928F01" w14:textId="77435DFF" w:rsidR="000505C1" w:rsidRPr="00336AF3" w:rsidRDefault="00FB0E5C" w:rsidP="004A19F1">
            <w:pPr>
              <w:pStyle w:val="NoSpacing"/>
              <w:spacing w:before="96" w:after="96"/>
              <w:jc w:val="right"/>
              <w:rPr>
                <w:rFonts w:cs="Calibri Light"/>
                <w:sz w:val="22"/>
                <w:szCs w:val="22"/>
              </w:rPr>
            </w:pPr>
            <w:r w:rsidRPr="00336AF3">
              <w:rPr>
                <w:rFonts w:cs="Calibri Light"/>
                <w:sz w:val="22"/>
                <w:szCs w:val="22"/>
              </w:rPr>
              <w:t>2.5</w:t>
            </w:r>
          </w:p>
        </w:tc>
        <w:tc>
          <w:tcPr>
            <w:tcW w:w="424" w:type="pct"/>
            <w:shd w:val="clear" w:color="auto" w:fill="FFFFFF" w:themeFill="background1"/>
          </w:tcPr>
          <w:p w14:paraId="5E84D9F4" w14:textId="6257575D" w:rsidR="000505C1" w:rsidRPr="00336AF3" w:rsidRDefault="00063A93" w:rsidP="004A19F1">
            <w:pPr>
              <w:pStyle w:val="NoSpacing"/>
              <w:spacing w:before="96" w:after="96"/>
              <w:jc w:val="right"/>
              <w:rPr>
                <w:rFonts w:cs="Calibri Light"/>
                <w:sz w:val="22"/>
                <w:szCs w:val="22"/>
              </w:rPr>
            </w:pPr>
            <w:r w:rsidRPr="00336AF3">
              <w:rPr>
                <w:rFonts w:cs="Calibri Light"/>
                <w:sz w:val="22"/>
                <w:szCs w:val="22"/>
              </w:rPr>
              <w:t>9.9</w:t>
            </w:r>
          </w:p>
        </w:tc>
        <w:tc>
          <w:tcPr>
            <w:tcW w:w="425" w:type="pct"/>
            <w:shd w:val="clear" w:color="auto" w:fill="FFFFFF" w:themeFill="background1"/>
          </w:tcPr>
          <w:p w14:paraId="29AA4626" w14:textId="02B16961" w:rsidR="000505C1" w:rsidRPr="00336AF3" w:rsidRDefault="00063A93" w:rsidP="004A19F1">
            <w:pPr>
              <w:pStyle w:val="NoSpacing"/>
              <w:spacing w:before="96" w:after="96"/>
              <w:jc w:val="right"/>
              <w:rPr>
                <w:rFonts w:cs="Calibri Light"/>
                <w:sz w:val="22"/>
                <w:szCs w:val="22"/>
              </w:rPr>
            </w:pPr>
            <w:r w:rsidRPr="00336AF3">
              <w:rPr>
                <w:rFonts w:cs="Calibri Light"/>
                <w:sz w:val="22"/>
                <w:szCs w:val="22"/>
              </w:rPr>
              <w:t>3.9</w:t>
            </w:r>
          </w:p>
        </w:tc>
        <w:tc>
          <w:tcPr>
            <w:tcW w:w="424" w:type="pct"/>
            <w:shd w:val="clear" w:color="auto" w:fill="EEEEEE" w:themeFill="background2"/>
          </w:tcPr>
          <w:p w14:paraId="0451F7D9" w14:textId="1708AE32" w:rsidR="000505C1" w:rsidRPr="00336AF3" w:rsidRDefault="008B16C9" w:rsidP="004A19F1">
            <w:pPr>
              <w:pStyle w:val="NoSpacing"/>
              <w:spacing w:before="96" w:after="96"/>
              <w:jc w:val="right"/>
              <w:rPr>
                <w:rFonts w:cs="Calibri Light"/>
                <w:sz w:val="22"/>
                <w:szCs w:val="22"/>
              </w:rPr>
            </w:pPr>
            <w:r w:rsidRPr="00336AF3">
              <w:rPr>
                <w:rFonts w:cs="Calibri Light"/>
                <w:sz w:val="22"/>
                <w:szCs w:val="22"/>
              </w:rPr>
              <w:t>7.8</w:t>
            </w:r>
          </w:p>
        </w:tc>
        <w:tc>
          <w:tcPr>
            <w:tcW w:w="424" w:type="pct"/>
            <w:shd w:val="clear" w:color="auto" w:fill="EEEEEE" w:themeFill="background2"/>
          </w:tcPr>
          <w:p w14:paraId="579E03B7" w14:textId="750A5729" w:rsidR="000505C1" w:rsidRPr="00336AF3" w:rsidRDefault="008B16C9" w:rsidP="004A19F1">
            <w:pPr>
              <w:pStyle w:val="NoSpacing"/>
              <w:spacing w:before="96" w:after="96"/>
              <w:jc w:val="right"/>
              <w:rPr>
                <w:rFonts w:cs="Calibri Light"/>
                <w:sz w:val="22"/>
                <w:szCs w:val="22"/>
              </w:rPr>
            </w:pPr>
            <w:r w:rsidRPr="00336AF3">
              <w:rPr>
                <w:rFonts w:cs="Calibri Light"/>
                <w:sz w:val="22"/>
                <w:szCs w:val="22"/>
              </w:rPr>
              <w:t>2.7</w:t>
            </w:r>
          </w:p>
        </w:tc>
        <w:tc>
          <w:tcPr>
            <w:tcW w:w="425" w:type="pct"/>
            <w:shd w:val="clear" w:color="auto" w:fill="FFFFFF" w:themeFill="background1"/>
          </w:tcPr>
          <w:p w14:paraId="6401730C" w14:textId="30BEE558" w:rsidR="000505C1" w:rsidRPr="00336AF3" w:rsidRDefault="00CA14A7" w:rsidP="004A19F1">
            <w:pPr>
              <w:pStyle w:val="NoSpacing"/>
              <w:spacing w:before="96" w:after="96"/>
              <w:jc w:val="right"/>
              <w:rPr>
                <w:rFonts w:cs="Calibri Light"/>
                <w:sz w:val="22"/>
                <w:szCs w:val="22"/>
              </w:rPr>
            </w:pPr>
            <w:r w:rsidRPr="00336AF3">
              <w:rPr>
                <w:rFonts w:cs="Calibri Light"/>
                <w:sz w:val="22"/>
                <w:szCs w:val="22"/>
              </w:rPr>
              <w:t>9.2</w:t>
            </w:r>
          </w:p>
        </w:tc>
        <w:tc>
          <w:tcPr>
            <w:tcW w:w="424" w:type="pct"/>
            <w:shd w:val="clear" w:color="auto" w:fill="FFFFFF" w:themeFill="background1"/>
          </w:tcPr>
          <w:p w14:paraId="26A77EF5" w14:textId="5057A7E4" w:rsidR="000505C1" w:rsidRPr="00336AF3" w:rsidRDefault="00CA14A7" w:rsidP="004A19F1">
            <w:pPr>
              <w:pStyle w:val="NoSpacing"/>
              <w:spacing w:before="96" w:after="96"/>
              <w:jc w:val="right"/>
              <w:rPr>
                <w:rFonts w:cs="Calibri Light"/>
                <w:sz w:val="22"/>
                <w:szCs w:val="22"/>
              </w:rPr>
            </w:pPr>
            <w:r w:rsidRPr="00336AF3">
              <w:rPr>
                <w:rFonts w:cs="Calibri Light"/>
                <w:sz w:val="22"/>
                <w:szCs w:val="22"/>
              </w:rPr>
              <w:t>3.0</w:t>
            </w:r>
          </w:p>
        </w:tc>
        <w:tc>
          <w:tcPr>
            <w:tcW w:w="424" w:type="pct"/>
            <w:shd w:val="clear" w:color="auto" w:fill="EEEEEE" w:themeFill="background2"/>
          </w:tcPr>
          <w:p w14:paraId="02BE508E" w14:textId="4627029C" w:rsidR="000505C1" w:rsidRPr="00336AF3" w:rsidRDefault="00355E1C" w:rsidP="004A19F1">
            <w:pPr>
              <w:pStyle w:val="NoSpacing"/>
              <w:spacing w:before="96" w:after="96"/>
              <w:jc w:val="right"/>
              <w:rPr>
                <w:rFonts w:cs="Calibri Light"/>
                <w:sz w:val="22"/>
                <w:szCs w:val="22"/>
              </w:rPr>
            </w:pPr>
            <w:r w:rsidRPr="00336AF3">
              <w:rPr>
                <w:rFonts w:cs="Calibri Light"/>
                <w:sz w:val="22"/>
                <w:szCs w:val="22"/>
              </w:rPr>
              <w:t>9.4</w:t>
            </w:r>
          </w:p>
        </w:tc>
        <w:tc>
          <w:tcPr>
            <w:tcW w:w="425" w:type="pct"/>
            <w:shd w:val="clear" w:color="auto" w:fill="EEEEEE" w:themeFill="background2"/>
          </w:tcPr>
          <w:p w14:paraId="5A24F901" w14:textId="431974C4" w:rsidR="000505C1" w:rsidRPr="00336AF3" w:rsidRDefault="00355E1C" w:rsidP="004A19F1">
            <w:pPr>
              <w:pStyle w:val="NoSpacing"/>
              <w:spacing w:before="96" w:after="96"/>
              <w:jc w:val="right"/>
              <w:rPr>
                <w:rFonts w:cs="Calibri Light"/>
                <w:sz w:val="22"/>
                <w:szCs w:val="22"/>
              </w:rPr>
            </w:pPr>
            <w:r w:rsidRPr="00336AF3">
              <w:rPr>
                <w:rFonts w:cs="Calibri Light"/>
                <w:sz w:val="22"/>
                <w:szCs w:val="22"/>
              </w:rPr>
              <w:t>3.0</w:t>
            </w:r>
          </w:p>
        </w:tc>
      </w:tr>
      <w:tr w:rsidR="00EB4DCE" w14:paraId="09CEFEDC" w14:textId="77777777" w:rsidTr="00BF1902">
        <w:trPr>
          <w:trHeight w:val="119"/>
        </w:trPr>
        <w:tc>
          <w:tcPr>
            <w:tcW w:w="754" w:type="pct"/>
            <w:shd w:val="clear" w:color="auto" w:fill="FFFFFF" w:themeFill="background1"/>
          </w:tcPr>
          <w:p w14:paraId="312824A9" w14:textId="47DB57BB" w:rsidR="000505C1" w:rsidRPr="00336AF3" w:rsidRDefault="000505C1" w:rsidP="000505C1">
            <w:pPr>
              <w:pStyle w:val="NoSpacing"/>
              <w:spacing w:before="96" w:after="96"/>
              <w:rPr>
                <w:rFonts w:cs="Calibri Light"/>
                <w:sz w:val="22"/>
                <w:szCs w:val="22"/>
              </w:rPr>
            </w:pPr>
            <w:r w:rsidRPr="00336AF3">
              <w:rPr>
                <w:rFonts w:cs="Calibri Light"/>
                <w:sz w:val="22"/>
                <w:szCs w:val="22"/>
              </w:rPr>
              <w:t>Education</w:t>
            </w:r>
          </w:p>
        </w:tc>
        <w:tc>
          <w:tcPr>
            <w:tcW w:w="424" w:type="pct"/>
            <w:shd w:val="clear" w:color="auto" w:fill="EEEEEE" w:themeFill="background2"/>
          </w:tcPr>
          <w:p w14:paraId="6C133C83" w14:textId="471DC1B9" w:rsidR="000505C1" w:rsidRPr="00336AF3" w:rsidRDefault="006424E1" w:rsidP="004A19F1">
            <w:pPr>
              <w:pStyle w:val="NoSpacing"/>
              <w:spacing w:before="96" w:after="96"/>
              <w:jc w:val="right"/>
              <w:rPr>
                <w:rFonts w:cs="Calibri Light"/>
                <w:sz w:val="22"/>
                <w:szCs w:val="22"/>
              </w:rPr>
            </w:pPr>
            <w:r w:rsidRPr="00336AF3">
              <w:rPr>
                <w:rFonts w:cs="Calibri Light"/>
                <w:sz w:val="22"/>
                <w:szCs w:val="22"/>
              </w:rPr>
              <w:t>1.3</w:t>
            </w:r>
          </w:p>
        </w:tc>
        <w:tc>
          <w:tcPr>
            <w:tcW w:w="424" w:type="pct"/>
            <w:shd w:val="clear" w:color="auto" w:fill="EEEEEE" w:themeFill="background2"/>
          </w:tcPr>
          <w:p w14:paraId="3905549E" w14:textId="4790D34C" w:rsidR="000505C1" w:rsidRPr="00336AF3" w:rsidRDefault="006424E1" w:rsidP="004A19F1">
            <w:pPr>
              <w:pStyle w:val="NoSpacing"/>
              <w:spacing w:before="96" w:after="96"/>
              <w:jc w:val="right"/>
              <w:rPr>
                <w:rFonts w:cs="Calibri Light"/>
                <w:sz w:val="22"/>
                <w:szCs w:val="22"/>
              </w:rPr>
            </w:pPr>
            <w:r w:rsidRPr="00336AF3">
              <w:rPr>
                <w:rFonts w:cs="Calibri Light"/>
                <w:sz w:val="22"/>
                <w:szCs w:val="22"/>
              </w:rPr>
              <w:t>0.5</w:t>
            </w:r>
          </w:p>
        </w:tc>
        <w:tc>
          <w:tcPr>
            <w:tcW w:w="424" w:type="pct"/>
            <w:shd w:val="clear" w:color="auto" w:fill="FFFFFF" w:themeFill="background1"/>
          </w:tcPr>
          <w:p w14:paraId="1C8C01F3" w14:textId="27DB56A8" w:rsidR="000505C1" w:rsidRPr="00336AF3" w:rsidRDefault="006424E1" w:rsidP="004A19F1">
            <w:pPr>
              <w:pStyle w:val="NoSpacing"/>
              <w:spacing w:before="96" w:after="96"/>
              <w:jc w:val="right"/>
              <w:rPr>
                <w:rFonts w:cs="Calibri Light"/>
                <w:sz w:val="22"/>
                <w:szCs w:val="22"/>
              </w:rPr>
            </w:pPr>
            <w:r w:rsidRPr="00336AF3">
              <w:rPr>
                <w:rFonts w:cs="Calibri Light"/>
                <w:sz w:val="22"/>
                <w:szCs w:val="22"/>
              </w:rPr>
              <w:t>1.5</w:t>
            </w:r>
          </w:p>
        </w:tc>
        <w:tc>
          <w:tcPr>
            <w:tcW w:w="425" w:type="pct"/>
            <w:shd w:val="clear" w:color="auto" w:fill="FFFFFF" w:themeFill="background1"/>
          </w:tcPr>
          <w:p w14:paraId="423384DE" w14:textId="061A1523" w:rsidR="000505C1" w:rsidRPr="00336AF3" w:rsidRDefault="00A60BC0" w:rsidP="004A19F1">
            <w:pPr>
              <w:pStyle w:val="NoSpacing"/>
              <w:spacing w:before="96" w:after="96"/>
              <w:jc w:val="right"/>
              <w:rPr>
                <w:rFonts w:cs="Calibri Light"/>
                <w:sz w:val="22"/>
                <w:szCs w:val="22"/>
              </w:rPr>
            </w:pPr>
            <w:r w:rsidRPr="00336AF3">
              <w:rPr>
                <w:rFonts w:cs="Calibri Light"/>
                <w:sz w:val="22"/>
                <w:szCs w:val="22"/>
              </w:rPr>
              <w:t>0.6</w:t>
            </w:r>
          </w:p>
        </w:tc>
        <w:tc>
          <w:tcPr>
            <w:tcW w:w="424" w:type="pct"/>
            <w:shd w:val="clear" w:color="auto" w:fill="EEEEEE" w:themeFill="background2"/>
          </w:tcPr>
          <w:p w14:paraId="4D7D1E53" w14:textId="044AEB0E" w:rsidR="000505C1" w:rsidRPr="00336AF3" w:rsidRDefault="00A60BC0" w:rsidP="004A19F1">
            <w:pPr>
              <w:pStyle w:val="NoSpacing"/>
              <w:spacing w:before="96" w:after="96"/>
              <w:jc w:val="right"/>
              <w:rPr>
                <w:rFonts w:cs="Calibri Light"/>
                <w:sz w:val="22"/>
                <w:szCs w:val="22"/>
              </w:rPr>
            </w:pPr>
            <w:r w:rsidRPr="00336AF3">
              <w:rPr>
                <w:rFonts w:cs="Calibri Light"/>
                <w:sz w:val="22"/>
                <w:szCs w:val="22"/>
              </w:rPr>
              <w:t>10.9</w:t>
            </w:r>
          </w:p>
        </w:tc>
        <w:tc>
          <w:tcPr>
            <w:tcW w:w="424" w:type="pct"/>
            <w:shd w:val="clear" w:color="auto" w:fill="EEEEEE" w:themeFill="background2"/>
          </w:tcPr>
          <w:p w14:paraId="540142A6" w14:textId="7CB7F0F7" w:rsidR="000505C1" w:rsidRPr="00336AF3" w:rsidRDefault="001A683B" w:rsidP="004A19F1">
            <w:pPr>
              <w:pStyle w:val="NoSpacing"/>
              <w:spacing w:before="96" w:after="96"/>
              <w:jc w:val="right"/>
              <w:rPr>
                <w:rFonts w:cs="Calibri Light"/>
                <w:sz w:val="22"/>
                <w:szCs w:val="22"/>
              </w:rPr>
            </w:pPr>
            <w:r w:rsidRPr="00336AF3">
              <w:rPr>
                <w:rFonts w:cs="Calibri Light"/>
                <w:sz w:val="22"/>
                <w:szCs w:val="22"/>
              </w:rPr>
              <w:t>3.7</w:t>
            </w:r>
          </w:p>
        </w:tc>
        <w:tc>
          <w:tcPr>
            <w:tcW w:w="425" w:type="pct"/>
            <w:shd w:val="clear" w:color="auto" w:fill="FFFFFF" w:themeFill="background1"/>
          </w:tcPr>
          <w:p w14:paraId="4F66B4BE" w14:textId="5E2D125F" w:rsidR="000505C1" w:rsidRPr="00336AF3" w:rsidRDefault="001A683B" w:rsidP="004A19F1">
            <w:pPr>
              <w:pStyle w:val="NoSpacing"/>
              <w:spacing w:before="96" w:after="96"/>
              <w:jc w:val="right"/>
              <w:rPr>
                <w:rFonts w:cs="Calibri Light"/>
                <w:sz w:val="22"/>
                <w:szCs w:val="22"/>
              </w:rPr>
            </w:pPr>
            <w:r w:rsidRPr="00336AF3">
              <w:rPr>
                <w:rFonts w:cs="Calibri Light"/>
                <w:sz w:val="22"/>
                <w:szCs w:val="22"/>
              </w:rPr>
              <w:t>5.0</w:t>
            </w:r>
          </w:p>
        </w:tc>
        <w:tc>
          <w:tcPr>
            <w:tcW w:w="424" w:type="pct"/>
            <w:shd w:val="clear" w:color="auto" w:fill="FFFFFF" w:themeFill="background1"/>
          </w:tcPr>
          <w:p w14:paraId="3230C014" w14:textId="26AF2784" w:rsidR="000505C1" w:rsidRPr="00336AF3" w:rsidRDefault="001A683B" w:rsidP="004A19F1">
            <w:pPr>
              <w:pStyle w:val="NoSpacing"/>
              <w:spacing w:before="96" w:after="96"/>
              <w:jc w:val="right"/>
              <w:rPr>
                <w:rFonts w:cs="Calibri Light"/>
                <w:sz w:val="22"/>
                <w:szCs w:val="22"/>
              </w:rPr>
            </w:pPr>
            <w:r w:rsidRPr="00336AF3">
              <w:rPr>
                <w:rFonts w:cs="Calibri Light"/>
                <w:sz w:val="22"/>
                <w:szCs w:val="22"/>
              </w:rPr>
              <w:t>1.7</w:t>
            </w:r>
          </w:p>
        </w:tc>
        <w:tc>
          <w:tcPr>
            <w:tcW w:w="424" w:type="pct"/>
            <w:shd w:val="clear" w:color="auto" w:fill="EEEEEE" w:themeFill="background2"/>
          </w:tcPr>
          <w:p w14:paraId="13459E0E" w14:textId="387A3726" w:rsidR="000505C1" w:rsidRPr="00336AF3" w:rsidRDefault="00944D13" w:rsidP="004A19F1">
            <w:pPr>
              <w:pStyle w:val="NoSpacing"/>
              <w:spacing w:before="96" w:after="96"/>
              <w:jc w:val="right"/>
              <w:rPr>
                <w:rFonts w:cs="Calibri Light"/>
                <w:sz w:val="22"/>
                <w:szCs w:val="22"/>
              </w:rPr>
            </w:pPr>
            <w:r w:rsidRPr="00336AF3">
              <w:rPr>
                <w:rFonts w:cs="Calibri Light"/>
                <w:sz w:val="22"/>
                <w:szCs w:val="22"/>
              </w:rPr>
              <w:t>5.9</w:t>
            </w:r>
          </w:p>
        </w:tc>
        <w:tc>
          <w:tcPr>
            <w:tcW w:w="425" w:type="pct"/>
            <w:shd w:val="clear" w:color="auto" w:fill="EEEEEE" w:themeFill="background2"/>
          </w:tcPr>
          <w:p w14:paraId="70CD29F1" w14:textId="14C625D7" w:rsidR="000505C1" w:rsidRPr="00336AF3" w:rsidRDefault="00D37F6E" w:rsidP="004A19F1">
            <w:pPr>
              <w:pStyle w:val="NoSpacing"/>
              <w:spacing w:before="96" w:after="96"/>
              <w:jc w:val="right"/>
              <w:rPr>
                <w:rFonts w:cs="Calibri Light"/>
                <w:sz w:val="22"/>
                <w:szCs w:val="22"/>
              </w:rPr>
            </w:pPr>
            <w:r w:rsidRPr="00336AF3">
              <w:rPr>
                <w:rFonts w:cs="Calibri Light"/>
                <w:sz w:val="22"/>
                <w:szCs w:val="22"/>
              </w:rPr>
              <w:t>1.9</w:t>
            </w:r>
          </w:p>
        </w:tc>
      </w:tr>
      <w:tr w:rsidR="00EB4DCE" w14:paraId="30A1E076" w14:textId="77777777" w:rsidTr="00BF1902">
        <w:trPr>
          <w:trHeight w:val="119"/>
        </w:trPr>
        <w:tc>
          <w:tcPr>
            <w:tcW w:w="754" w:type="pct"/>
            <w:shd w:val="clear" w:color="auto" w:fill="FFFFFF" w:themeFill="background1"/>
          </w:tcPr>
          <w:p w14:paraId="11472C9C" w14:textId="7CE52B72" w:rsidR="00E748C5" w:rsidRPr="00336AF3" w:rsidRDefault="00E748C5" w:rsidP="000505C1">
            <w:pPr>
              <w:pStyle w:val="NoSpacing"/>
              <w:spacing w:before="96" w:after="96"/>
              <w:rPr>
                <w:rFonts w:cs="Calibri Light"/>
                <w:sz w:val="22"/>
                <w:szCs w:val="22"/>
              </w:rPr>
            </w:pPr>
            <w:r w:rsidRPr="00336AF3">
              <w:rPr>
                <w:rFonts w:cs="Calibri Light"/>
                <w:sz w:val="22"/>
                <w:szCs w:val="22"/>
              </w:rPr>
              <w:t>Financial capability</w:t>
            </w:r>
            <w:r w:rsidR="00111800">
              <w:rPr>
                <w:rFonts w:cs="Calibri Light"/>
                <w:sz w:val="22"/>
                <w:szCs w:val="22"/>
                <w:vertAlign w:val="superscript"/>
              </w:rPr>
              <w:t>***</w:t>
            </w:r>
          </w:p>
        </w:tc>
        <w:tc>
          <w:tcPr>
            <w:tcW w:w="424" w:type="pct"/>
            <w:shd w:val="clear" w:color="auto" w:fill="EEEEEE" w:themeFill="background2"/>
          </w:tcPr>
          <w:p w14:paraId="728727D2" w14:textId="210C90E4" w:rsidR="00E748C5" w:rsidRPr="00336AF3" w:rsidRDefault="00E748C5">
            <w:pPr>
              <w:pStyle w:val="NoSpacing"/>
              <w:spacing w:before="96" w:after="96"/>
              <w:jc w:val="right"/>
              <w:rPr>
                <w:rFonts w:cs="Calibri Light"/>
                <w:sz w:val="22"/>
                <w:szCs w:val="22"/>
              </w:rPr>
            </w:pPr>
            <w:r w:rsidRPr="00336AF3">
              <w:rPr>
                <w:rFonts w:cs="Calibri Light"/>
                <w:sz w:val="22"/>
                <w:szCs w:val="22"/>
              </w:rPr>
              <w:t>7.7</w:t>
            </w:r>
          </w:p>
        </w:tc>
        <w:tc>
          <w:tcPr>
            <w:tcW w:w="424" w:type="pct"/>
            <w:shd w:val="clear" w:color="auto" w:fill="EEEEEE" w:themeFill="background2"/>
          </w:tcPr>
          <w:p w14:paraId="460FAA9C" w14:textId="7518556D" w:rsidR="00E748C5" w:rsidRPr="00336AF3" w:rsidRDefault="00E748C5">
            <w:pPr>
              <w:pStyle w:val="NoSpacing"/>
              <w:spacing w:before="96" w:after="96"/>
              <w:jc w:val="right"/>
              <w:rPr>
                <w:rFonts w:cs="Calibri Light"/>
                <w:sz w:val="22"/>
                <w:szCs w:val="22"/>
              </w:rPr>
            </w:pPr>
            <w:r w:rsidRPr="00336AF3">
              <w:rPr>
                <w:rFonts w:cs="Calibri Light"/>
                <w:sz w:val="22"/>
                <w:szCs w:val="22"/>
              </w:rPr>
              <w:t>3.3</w:t>
            </w:r>
          </w:p>
        </w:tc>
        <w:tc>
          <w:tcPr>
            <w:tcW w:w="424" w:type="pct"/>
            <w:shd w:val="clear" w:color="auto" w:fill="FFFFFF" w:themeFill="background1"/>
          </w:tcPr>
          <w:p w14:paraId="6210FE4F" w14:textId="6CAC275B" w:rsidR="00E748C5" w:rsidRPr="00336AF3" w:rsidRDefault="00E748C5">
            <w:pPr>
              <w:pStyle w:val="NoSpacing"/>
              <w:spacing w:before="96" w:after="96"/>
              <w:jc w:val="right"/>
              <w:rPr>
                <w:rFonts w:cs="Calibri Light"/>
                <w:sz w:val="22"/>
                <w:szCs w:val="22"/>
              </w:rPr>
            </w:pPr>
            <w:r w:rsidRPr="00336AF3">
              <w:rPr>
                <w:rFonts w:cs="Calibri Light"/>
                <w:sz w:val="22"/>
                <w:szCs w:val="22"/>
              </w:rPr>
              <w:t>8.8</w:t>
            </w:r>
          </w:p>
        </w:tc>
        <w:tc>
          <w:tcPr>
            <w:tcW w:w="425" w:type="pct"/>
            <w:shd w:val="clear" w:color="auto" w:fill="FFFFFF" w:themeFill="background1"/>
          </w:tcPr>
          <w:p w14:paraId="40F8FC28" w14:textId="3B766E56" w:rsidR="00E748C5" w:rsidRPr="00336AF3" w:rsidRDefault="00E748C5">
            <w:pPr>
              <w:pStyle w:val="NoSpacing"/>
              <w:spacing w:before="96" w:after="96"/>
              <w:jc w:val="right"/>
              <w:rPr>
                <w:rFonts w:cs="Calibri Light"/>
                <w:sz w:val="22"/>
                <w:szCs w:val="22"/>
              </w:rPr>
            </w:pPr>
            <w:r w:rsidRPr="00336AF3">
              <w:rPr>
                <w:rFonts w:cs="Calibri Light"/>
                <w:sz w:val="22"/>
                <w:szCs w:val="22"/>
              </w:rPr>
              <w:t>3.5</w:t>
            </w:r>
          </w:p>
        </w:tc>
        <w:tc>
          <w:tcPr>
            <w:tcW w:w="424" w:type="pct"/>
            <w:shd w:val="clear" w:color="auto" w:fill="EEEEEE" w:themeFill="background2"/>
          </w:tcPr>
          <w:p w14:paraId="2AEE741B" w14:textId="50374668" w:rsidR="00E748C5" w:rsidRPr="00336AF3" w:rsidRDefault="00E748C5">
            <w:pPr>
              <w:pStyle w:val="NoSpacing"/>
              <w:spacing w:before="96" w:after="96"/>
              <w:jc w:val="right"/>
              <w:rPr>
                <w:rFonts w:cs="Calibri Light"/>
                <w:sz w:val="22"/>
                <w:szCs w:val="22"/>
              </w:rPr>
            </w:pPr>
            <w:r w:rsidRPr="00336AF3">
              <w:rPr>
                <w:rFonts w:cs="Calibri Light"/>
                <w:sz w:val="22"/>
                <w:szCs w:val="22"/>
              </w:rPr>
              <w:t>-</w:t>
            </w:r>
          </w:p>
        </w:tc>
        <w:tc>
          <w:tcPr>
            <w:tcW w:w="424" w:type="pct"/>
            <w:shd w:val="clear" w:color="auto" w:fill="EEEEEE" w:themeFill="background2"/>
          </w:tcPr>
          <w:p w14:paraId="18E90707" w14:textId="5F2AC06E" w:rsidR="00E748C5" w:rsidRPr="00336AF3" w:rsidRDefault="00E748C5">
            <w:pPr>
              <w:pStyle w:val="NoSpacing"/>
              <w:spacing w:before="96" w:after="96"/>
              <w:jc w:val="right"/>
              <w:rPr>
                <w:rFonts w:cs="Calibri Light"/>
                <w:sz w:val="22"/>
                <w:szCs w:val="22"/>
              </w:rPr>
            </w:pPr>
            <w:r w:rsidRPr="00336AF3">
              <w:rPr>
                <w:rFonts w:cs="Calibri Light"/>
                <w:sz w:val="22"/>
                <w:szCs w:val="22"/>
              </w:rPr>
              <w:t>-</w:t>
            </w:r>
          </w:p>
        </w:tc>
        <w:tc>
          <w:tcPr>
            <w:tcW w:w="425" w:type="pct"/>
            <w:shd w:val="clear" w:color="auto" w:fill="FFFFFF" w:themeFill="background1"/>
          </w:tcPr>
          <w:p w14:paraId="3EBF5B81" w14:textId="2BAD808E" w:rsidR="00E748C5" w:rsidRPr="00336AF3" w:rsidRDefault="00E748C5">
            <w:pPr>
              <w:pStyle w:val="NoSpacing"/>
              <w:spacing w:before="96" w:after="96"/>
              <w:jc w:val="right"/>
              <w:rPr>
                <w:rFonts w:cs="Calibri Light"/>
                <w:sz w:val="22"/>
                <w:szCs w:val="22"/>
              </w:rPr>
            </w:pPr>
            <w:r w:rsidRPr="00336AF3">
              <w:rPr>
                <w:rFonts w:cs="Calibri Light"/>
                <w:sz w:val="22"/>
                <w:szCs w:val="22"/>
              </w:rPr>
              <w:t>-</w:t>
            </w:r>
          </w:p>
        </w:tc>
        <w:tc>
          <w:tcPr>
            <w:tcW w:w="424" w:type="pct"/>
            <w:shd w:val="clear" w:color="auto" w:fill="FFFFFF" w:themeFill="background1"/>
          </w:tcPr>
          <w:p w14:paraId="4E263409" w14:textId="35FD2E89" w:rsidR="00E748C5" w:rsidRPr="00336AF3" w:rsidRDefault="00E748C5">
            <w:pPr>
              <w:pStyle w:val="NoSpacing"/>
              <w:spacing w:before="96" w:after="96"/>
              <w:jc w:val="right"/>
              <w:rPr>
                <w:rFonts w:cs="Calibri Light"/>
                <w:sz w:val="22"/>
                <w:szCs w:val="22"/>
              </w:rPr>
            </w:pPr>
            <w:r w:rsidRPr="00336AF3">
              <w:rPr>
                <w:rFonts w:cs="Calibri Light"/>
                <w:sz w:val="22"/>
                <w:szCs w:val="22"/>
              </w:rPr>
              <w:t>-</w:t>
            </w:r>
          </w:p>
        </w:tc>
        <w:tc>
          <w:tcPr>
            <w:tcW w:w="424" w:type="pct"/>
            <w:shd w:val="clear" w:color="auto" w:fill="EEEEEE" w:themeFill="background2"/>
          </w:tcPr>
          <w:p w14:paraId="2AA724BF" w14:textId="0426FF75" w:rsidR="00E748C5" w:rsidRPr="00336AF3" w:rsidRDefault="00E748C5">
            <w:pPr>
              <w:pStyle w:val="NoSpacing"/>
              <w:spacing w:before="96" w:after="96"/>
              <w:jc w:val="right"/>
              <w:rPr>
                <w:rFonts w:cs="Calibri Light"/>
                <w:sz w:val="22"/>
                <w:szCs w:val="22"/>
              </w:rPr>
            </w:pPr>
            <w:r w:rsidRPr="00336AF3">
              <w:rPr>
                <w:rFonts w:cs="Calibri Light"/>
                <w:sz w:val="22"/>
                <w:szCs w:val="22"/>
              </w:rPr>
              <w:t>-</w:t>
            </w:r>
          </w:p>
        </w:tc>
        <w:tc>
          <w:tcPr>
            <w:tcW w:w="425" w:type="pct"/>
            <w:shd w:val="clear" w:color="auto" w:fill="EEEEEE" w:themeFill="background2"/>
          </w:tcPr>
          <w:p w14:paraId="6939874E" w14:textId="54DD00D4" w:rsidR="00E748C5" w:rsidRPr="00336AF3" w:rsidRDefault="00E748C5">
            <w:pPr>
              <w:pStyle w:val="NoSpacing"/>
              <w:spacing w:before="96" w:after="96"/>
              <w:jc w:val="right"/>
              <w:rPr>
                <w:rFonts w:cs="Calibri Light"/>
                <w:sz w:val="22"/>
                <w:szCs w:val="22"/>
              </w:rPr>
            </w:pPr>
            <w:r w:rsidRPr="00336AF3">
              <w:rPr>
                <w:rFonts w:cs="Calibri Light"/>
                <w:sz w:val="22"/>
                <w:szCs w:val="22"/>
              </w:rPr>
              <w:t>-</w:t>
            </w:r>
          </w:p>
        </w:tc>
      </w:tr>
      <w:tr w:rsidR="00EB4DCE" w14:paraId="282C5DD2" w14:textId="77777777" w:rsidTr="00BF1902">
        <w:trPr>
          <w:trHeight w:val="119"/>
        </w:trPr>
        <w:tc>
          <w:tcPr>
            <w:tcW w:w="754" w:type="pct"/>
            <w:shd w:val="clear" w:color="auto" w:fill="FFFFFF" w:themeFill="background1"/>
          </w:tcPr>
          <w:p w14:paraId="02D842A0" w14:textId="016C3B64" w:rsidR="000505C1" w:rsidRPr="00336AF3" w:rsidRDefault="000505C1" w:rsidP="000505C1">
            <w:pPr>
              <w:pStyle w:val="NoSpacing"/>
              <w:spacing w:before="96" w:after="96"/>
              <w:rPr>
                <w:rFonts w:cs="Calibri Light"/>
                <w:sz w:val="22"/>
                <w:szCs w:val="22"/>
              </w:rPr>
            </w:pPr>
            <w:r w:rsidRPr="00336AF3">
              <w:rPr>
                <w:rFonts w:cs="Calibri Light"/>
                <w:sz w:val="22"/>
                <w:szCs w:val="22"/>
              </w:rPr>
              <w:t>Guidance</w:t>
            </w:r>
          </w:p>
        </w:tc>
        <w:tc>
          <w:tcPr>
            <w:tcW w:w="424" w:type="pct"/>
            <w:shd w:val="clear" w:color="auto" w:fill="EEEEEE" w:themeFill="background2"/>
          </w:tcPr>
          <w:p w14:paraId="3D80AC8C" w14:textId="5A1851F3" w:rsidR="000505C1" w:rsidRPr="00336AF3" w:rsidRDefault="009850E2" w:rsidP="004A19F1">
            <w:pPr>
              <w:pStyle w:val="NoSpacing"/>
              <w:spacing w:before="96" w:after="96"/>
              <w:jc w:val="right"/>
              <w:rPr>
                <w:rFonts w:cs="Calibri Light"/>
                <w:sz w:val="22"/>
                <w:szCs w:val="22"/>
              </w:rPr>
            </w:pPr>
            <w:r w:rsidRPr="00336AF3">
              <w:rPr>
                <w:rFonts w:cs="Calibri Light"/>
                <w:sz w:val="22"/>
                <w:szCs w:val="22"/>
              </w:rPr>
              <w:t>3.1</w:t>
            </w:r>
          </w:p>
        </w:tc>
        <w:tc>
          <w:tcPr>
            <w:tcW w:w="424" w:type="pct"/>
            <w:shd w:val="clear" w:color="auto" w:fill="EEEEEE" w:themeFill="background2"/>
          </w:tcPr>
          <w:p w14:paraId="0C684816" w14:textId="323A156E" w:rsidR="000505C1" w:rsidRPr="00336AF3" w:rsidRDefault="009850E2" w:rsidP="004A19F1">
            <w:pPr>
              <w:pStyle w:val="NoSpacing"/>
              <w:spacing w:before="96" w:after="96"/>
              <w:jc w:val="right"/>
              <w:rPr>
                <w:rFonts w:cs="Calibri Light"/>
                <w:sz w:val="22"/>
                <w:szCs w:val="22"/>
              </w:rPr>
            </w:pPr>
            <w:r w:rsidRPr="00336AF3">
              <w:rPr>
                <w:rFonts w:cs="Calibri Light"/>
                <w:sz w:val="22"/>
                <w:szCs w:val="22"/>
              </w:rPr>
              <w:t>1.3</w:t>
            </w:r>
          </w:p>
        </w:tc>
        <w:tc>
          <w:tcPr>
            <w:tcW w:w="424" w:type="pct"/>
            <w:shd w:val="clear" w:color="auto" w:fill="FFFFFF" w:themeFill="background1"/>
          </w:tcPr>
          <w:p w14:paraId="17A23A94" w14:textId="408C2FA8" w:rsidR="000505C1" w:rsidRPr="00336AF3" w:rsidRDefault="00C64CB6" w:rsidP="004A19F1">
            <w:pPr>
              <w:pStyle w:val="NoSpacing"/>
              <w:spacing w:before="96" w:after="96"/>
              <w:jc w:val="right"/>
              <w:rPr>
                <w:rFonts w:cs="Calibri Light"/>
                <w:sz w:val="22"/>
                <w:szCs w:val="22"/>
              </w:rPr>
            </w:pPr>
            <w:r w:rsidRPr="00336AF3">
              <w:rPr>
                <w:rFonts w:cs="Calibri Light"/>
                <w:sz w:val="22"/>
                <w:szCs w:val="22"/>
              </w:rPr>
              <w:t>3.3</w:t>
            </w:r>
          </w:p>
        </w:tc>
        <w:tc>
          <w:tcPr>
            <w:tcW w:w="425" w:type="pct"/>
            <w:shd w:val="clear" w:color="auto" w:fill="FFFFFF" w:themeFill="background1"/>
          </w:tcPr>
          <w:p w14:paraId="45ADF74A" w14:textId="555EC7DB" w:rsidR="000505C1" w:rsidRPr="00336AF3" w:rsidRDefault="00C64CB6" w:rsidP="004A19F1">
            <w:pPr>
              <w:pStyle w:val="NoSpacing"/>
              <w:spacing w:before="96" w:after="96"/>
              <w:jc w:val="right"/>
              <w:rPr>
                <w:rFonts w:cs="Calibri Light"/>
                <w:sz w:val="22"/>
                <w:szCs w:val="22"/>
              </w:rPr>
            </w:pPr>
            <w:r w:rsidRPr="00336AF3">
              <w:rPr>
                <w:rFonts w:cs="Calibri Light"/>
                <w:sz w:val="22"/>
                <w:szCs w:val="22"/>
              </w:rPr>
              <w:t>1.3</w:t>
            </w:r>
          </w:p>
        </w:tc>
        <w:tc>
          <w:tcPr>
            <w:tcW w:w="424" w:type="pct"/>
            <w:shd w:val="clear" w:color="auto" w:fill="EEEEEE" w:themeFill="background2"/>
          </w:tcPr>
          <w:p w14:paraId="3DF49C36" w14:textId="11FE5D03" w:rsidR="000505C1" w:rsidRPr="00336AF3" w:rsidRDefault="006C0BEF" w:rsidP="004A19F1">
            <w:pPr>
              <w:pStyle w:val="NoSpacing"/>
              <w:spacing w:before="96" w:after="96"/>
              <w:jc w:val="right"/>
              <w:rPr>
                <w:rFonts w:cs="Calibri Light"/>
                <w:sz w:val="22"/>
                <w:szCs w:val="22"/>
              </w:rPr>
            </w:pPr>
            <w:r w:rsidRPr="00336AF3">
              <w:rPr>
                <w:rFonts w:cs="Calibri Light"/>
                <w:sz w:val="22"/>
                <w:szCs w:val="22"/>
              </w:rPr>
              <w:t>4.5</w:t>
            </w:r>
          </w:p>
        </w:tc>
        <w:tc>
          <w:tcPr>
            <w:tcW w:w="424" w:type="pct"/>
            <w:shd w:val="clear" w:color="auto" w:fill="EEEEEE" w:themeFill="background2"/>
          </w:tcPr>
          <w:p w14:paraId="6C19A4A6" w14:textId="67020285" w:rsidR="000505C1" w:rsidRPr="00336AF3" w:rsidRDefault="006C0BEF" w:rsidP="004A19F1">
            <w:pPr>
              <w:pStyle w:val="NoSpacing"/>
              <w:spacing w:before="96" w:after="96"/>
              <w:jc w:val="right"/>
              <w:rPr>
                <w:rFonts w:cs="Calibri Light"/>
                <w:sz w:val="22"/>
                <w:szCs w:val="22"/>
              </w:rPr>
            </w:pPr>
            <w:r w:rsidRPr="00336AF3">
              <w:rPr>
                <w:rFonts w:cs="Calibri Light"/>
                <w:sz w:val="22"/>
                <w:szCs w:val="22"/>
              </w:rPr>
              <w:t>1.5</w:t>
            </w:r>
          </w:p>
        </w:tc>
        <w:tc>
          <w:tcPr>
            <w:tcW w:w="425" w:type="pct"/>
            <w:shd w:val="clear" w:color="auto" w:fill="FFFFFF" w:themeFill="background1"/>
          </w:tcPr>
          <w:p w14:paraId="2ECE56C3" w14:textId="5864ABDA" w:rsidR="000505C1" w:rsidRPr="00336AF3" w:rsidRDefault="006C0BEF" w:rsidP="004A19F1">
            <w:pPr>
              <w:pStyle w:val="NoSpacing"/>
              <w:spacing w:before="96" w:after="96"/>
              <w:jc w:val="right"/>
              <w:rPr>
                <w:rFonts w:cs="Calibri Light"/>
                <w:sz w:val="22"/>
                <w:szCs w:val="22"/>
              </w:rPr>
            </w:pPr>
            <w:r w:rsidRPr="00336AF3">
              <w:rPr>
                <w:rFonts w:cs="Calibri Light"/>
                <w:sz w:val="22"/>
                <w:szCs w:val="22"/>
              </w:rPr>
              <w:t>7.3</w:t>
            </w:r>
          </w:p>
        </w:tc>
        <w:tc>
          <w:tcPr>
            <w:tcW w:w="424" w:type="pct"/>
            <w:shd w:val="clear" w:color="auto" w:fill="FFFFFF" w:themeFill="background1"/>
          </w:tcPr>
          <w:p w14:paraId="3CE34464" w14:textId="37097A2A" w:rsidR="000505C1" w:rsidRPr="00336AF3" w:rsidRDefault="006C0BEF" w:rsidP="004A19F1">
            <w:pPr>
              <w:pStyle w:val="NoSpacing"/>
              <w:spacing w:before="96" w:after="96"/>
              <w:jc w:val="right"/>
              <w:rPr>
                <w:rFonts w:cs="Calibri Light"/>
                <w:sz w:val="22"/>
                <w:szCs w:val="22"/>
              </w:rPr>
            </w:pPr>
            <w:r w:rsidRPr="00336AF3">
              <w:rPr>
                <w:rFonts w:cs="Calibri Light"/>
                <w:sz w:val="22"/>
                <w:szCs w:val="22"/>
              </w:rPr>
              <w:t>2.4</w:t>
            </w:r>
          </w:p>
        </w:tc>
        <w:tc>
          <w:tcPr>
            <w:tcW w:w="424" w:type="pct"/>
            <w:shd w:val="clear" w:color="auto" w:fill="EEEEEE" w:themeFill="background2"/>
          </w:tcPr>
          <w:p w14:paraId="75C38A17" w14:textId="02DD037B" w:rsidR="000505C1" w:rsidRPr="00336AF3" w:rsidRDefault="001C0696" w:rsidP="004A19F1">
            <w:pPr>
              <w:pStyle w:val="NoSpacing"/>
              <w:spacing w:before="96" w:after="96"/>
              <w:jc w:val="right"/>
              <w:rPr>
                <w:rFonts w:cs="Calibri Light"/>
                <w:sz w:val="22"/>
                <w:szCs w:val="22"/>
              </w:rPr>
            </w:pPr>
            <w:r w:rsidRPr="00336AF3">
              <w:rPr>
                <w:rFonts w:cs="Calibri Light"/>
                <w:sz w:val="22"/>
                <w:szCs w:val="22"/>
              </w:rPr>
              <w:t>7.8</w:t>
            </w:r>
          </w:p>
        </w:tc>
        <w:tc>
          <w:tcPr>
            <w:tcW w:w="425" w:type="pct"/>
            <w:shd w:val="clear" w:color="auto" w:fill="EEEEEE" w:themeFill="background2"/>
          </w:tcPr>
          <w:p w14:paraId="6995856C" w14:textId="2F78A42F" w:rsidR="000505C1" w:rsidRPr="00336AF3" w:rsidRDefault="006D796A" w:rsidP="004A19F1">
            <w:pPr>
              <w:pStyle w:val="NoSpacing"/>
              <w:spacing w:before="96" w:after="96"/>
              <w:jc w:val="right"/>
              <w:rPr>
                <w:rFonts w:cs="Calibri Light"/>
                <w:sz w:val="22"/>
                <w:szCs w:val="22"/>
              </w:rPr>
            </w:pPr>
            <w:r w:rsidRPr="00336AF3">
              <w:rPr>
                <w:rFonts w:cs="Calibri Light"/>
                <w:sz w:val="22"/>
                <w:szCs w:val="22"/>
              </w:rPr>
              <w:t>2.5</w:t>
            </w:r>
          </w:p>
        </w:tc>
      </w:tr>
      <w:tr w:rsidR="00EB4DCE" w14:paraId="5519FFA7" w14:textId="77777777" w:rsidTr="00BF1902">
        <w:trPr>
          <w:trHeight w:val="119"/>
        </w:trPr>
        <w:tc>
          <w:tcPr>
            <w:tcW w:w="754" w:type="pct"/>
            <w:shd w:val="clear" w:color="auto" w:fill="FFFFFF" w:themeFill="background1"/>
          </w:tcPr>
          <w:p w14:paraId="259C5500" w14:textId="46C17628" w:rsidR="000505C1" w:rsidRPr="00336AF3" w:rsidRDefault="000505C1" w:rsidP="000505C1">
            <w:pPr>
              <w:pStyle w:val="NoSpacing"/>
              <w:spacing w:before="96" w:after="96"/>
              <w:rPr>
                <w:rFonts w:cs="Calibri Light"/>
                <w:sz w:val="22"/>
                <w:szCs w:val="22"/>
              </w:rPr>
            </w:pPr>
            <w:r w:rsidRPr="00336AF3">
              <w:rPr>
                <w:rFonts w:cs="Calibri Light"/>
                <w:sz w:val="22"/>
                <w:szCs w:val="22"/>
              </w:rPr>
              <w:t>Policy advice</w:t>
            </w:r>
          </w:p>
        </w:tc>
        <w:tc>
          <w:tcPr>
            <w:tcW w:w="424" w:type="pct"/>
            <w:shd w:val="clear" w:color="auto" w:fill="EEEEEE" w:themeFill="background2"/>
          </w:tcPr>
          <w:p w14:paraId="7975A196" w14:textId="1FA4645D" w:rsidR="000505C1" w:rsidRPr="00336AF3" w:rsidRDefault="00587883" w:rsidP="004A19F1">
            <w:pPr>
              <w:pStyle w:val="NoSpacing"/>
              <w:spacing w:before="96" w:after="96"/>
              <w:jc w:val="right"/>
              <w:rPr>
                <w:rFonts w:cs="Calibri Light"/>
                <w:sz w:val="22"/>
                <w:szCs w:val="22"/>
              </w:rPr>
            </w:pPr>
            <w:r w:rsidRPr="00336AF3">
              <w:rPr>
                <w:rFonts w:cs="Calibri Light"/>
                <w:sz w:val="22"/>
                <w:szCs w:val="22"/>
              </w:rPr>
              <w:t>2.7</w:t>
            </w:r>
          </w:p>
        </w:tc>
        <w:tc>
          <w:tcPr>
            <w:tcW w:w="424" w:type="pct"/>
            <w:shd w:val="clear" w:color="auto" w:fill="EEEEEE" w:themeFill="background2"/>
          </w:tcPr>
          <w:p w14:paraId="30C4E75D" w14:textId="53E29E08" w:rsidR="000505C1" w:rsidRPr="00336AF3" w:rsidRDefault="00587883" w:rsidP="004A19F1">
            <w:pPr>
              <w:pStyle w:val="NoSpacing"/>
              <w:spacing w:before="96" w:after="96"/>
              <w:jc w:val="right"/>
              <w:rPr>
                <w:rFonts w:cs="Calibri Light"/>
                <w:sz w:val="22"/>
                <w:szCs w:val="22"/>
              </w:rPr>
            </w:pPr>
            <w:r w:rsidRPr="00336AF3">
              <w:rPr>
                <w:rFonts w:cs="Calibri Light"/>
                <w:sz w:val="22"/>
                <w:szCs w:val="22"/>
              </w:rPr>
              <w:t>1.2</w:t>
            </w:r>
          </w:p>
        </w:tc>
        <w:tc>
          <w:tcPr>
            <w:tcW w:w="424" w:type="pct"/>
            <w:shd w:val="clear" w:color="auto" w:fill="FFFFFF" w:themeFill="background1"/>
          </w:tcPr>
          <w:p w14:paraId="0CEC959B" w14:textId="315CB18C" w:rsidR="000505C1" w:rsidRPr="00336AF3" w:rsidRDefault="00587883" w:rsidP="004A19F1">
            <w:pPr>
              <w:pStyle w:val="NoSpacing"/>
              <w:spacing w:before="96" w:after="96"/>
              <w:jc w:val="right"/>
              <w:rPr>
                <w:rFonts w:cs="Calibri Light"/>
                <w:sz w:val="22"/>
                <w:szCs w:val="22"/>
              </w:rPr>
            </w:pPr>
            <w:r w:rsidRPr="00336AF3">
              <w:rPr>
                <w:rFonts w:cs="Calibri Light"/>
                <w:sz w:val="22"/>
                <w:szCs w:val="22"/>
              </w:rPr>
              <w:t>2.4</w:t>
            </w:r>
          </w:p>
        </w:tc>
        <w:tc>
          <w:tcPr>
            <w:tcW w:w="425" w:type="pct"/>
            <w:shd w:val="clear" w:color="auto" w:fill="FFFFFF" w:themeFill="background1"/>
          </w:tcPr>
          <w:p w14:paraId="6B342556" w14:textId="56A73E8A" w:rsidR="000505C1" w:rsidRPr="00336AF3" w:rsidRDefault="006B2A3C" w:rsidP="004A19F1">
            <w:pPr>
              <w:pStyle w:val="NoSpacing"/>
              <w:spacing w:before="96" w:after="96"/>
              <w:jc w:val="right"/>
              <w:rPr>
                <w:rFonts w:cs="Calibri Light"/>
                <w:sz w:val="22"/>
                <w:szCs w:val="22"/>
              </w:rPr>
            </w:pPr>
            <w:r w:rsidRPr="00336AF3">
              <w:rPr>
                <w:rFonts w:cs="Calibri Light"/>
                <w:sz w:val="22"/>
                <w:szCs w:val="22"/>
              </w:rPr>
              <w:t>0.9</w:t>
            </w:r>
          </w:p>
        </w:tc>
        <w:tc>
          <w:tcPr>
            <w:tcW w:w="424" w:type="pct"/>
            <w:shd w:val="clear" w:color="auto" w:fill="EEEEEE" w:themeFill="background2"/>
          </w:tcPr>
          <w:p w14:paraId="4A893FC4" w14:textId="57D9F39C" w:rsidR="000505C1" w:rsidRPr="00336AF3" w:rsidRDefault="00EC3250" w:rsidP="004A19F1">
            <w:pPr>
              <w:pStyle w:val="NoSpacing"/>
              <w:spacing w:before="96" w:after="96"/>
              <w:jc w:val="right"/>
              <w:rPr>
                <w:rFonts w:cs="Calibri Light"/>
                <w:sz w:val="22"/>
                <w:szCs w:val="22"/>
              </w:rPr>
            </w:pPr>
            <w:r w:rsidRPr="00336AF3">
              <w:rPr>
                <w:rFonts w:cs="Calibri Light"/>
                <w:sz w:val="22"/>
                <w:szCs w:val="22"/>
              </w:rPr>
              <w:t>6.8</w:t>
            </w:r>
          </w:p>
        </w:tc>
        <w:tc>
          <w:tcPr>
            <w:tcW w:w="424" w:type="pct"/>
            <w:shd w:val="clear" w:color="auto" w:fill="EEEEEE" w:themeFill="background2"/>
          </w:tcPr>
          <w:p w14:paraId="0E600EDC" w14:textId="2395021B" w:rsidR="000505C1" w:rsidRPr="00336AF3" w:rsidRDefault="00EC3250" w:rsidP="004A19F1">
            <w:pPr>
              <w:pStyle w:val="NoSpacing"/>
              <w:spacing w:before="96" w:after="96"/>
              <w:jc w:val="right"/>
              <w:rPr>
                <w:rFonts w:cs="Calibri Light"/>
                <w:sz w:val="22"/>
                <w:szCs w:val="22"/>
              </w:rPr>
            </w:pPr>
            <w:r w:rsidRPr="00336AF3">
              <w:rPr>
                <w:rFonts w:cs="Calibri Light"/>
                <w:sz w:val="22"/>
                <w:szCs w:val="22"/>
              </w:rPr>
              <w:t>2.3</w:t>
            </w:r>
          </w:p>
        </w:tc>
        <w:tc>
          <w:tcPr>
            <w:tcW w:w="425" w:type="pct"/>
            <w:shd w:val="clear" w:color="auto" w:fill="FFFFFF" w:themeFill="background1"/>
          </w:tcPr>
          <w:p w14:paraId="1626BA6F" w14:textId="1D62FA5A" w:rsidR="000505C1" w:rsidRPr="00336AF3" w:rsidRDefault="00EC3250" w:rsidP="004A19F1">
            <w:pPr>
              <w:pStyle w:val="NoSpacing"/>
              <w:spacing w:before="96" w:after="96"/>
              <w:jc w:val="right"/>
              <w:rPr>
                <w:rFonts w:cs="Calibri Light"/>
                <w:sz w:val="22"/>
                <w:szCs w:val="22"/>
              </w:rPr>
            </w:pPr>
            <w:r w:rsidRPr="00336AF3">
              <w:rPr>
                <w:rFonts w:cs="Calibri Light"/>
                <w:sz w:val="22"/>
                <w:szCs w:val="22"/>
              </w:rPr>
              <w:t>7.7</w:t>
            </w:r>
          </w:p>
        </w:tc>
        <w:tc>
          <w:tcPr>
            <w:tcW w:w="424" w:type="pct"/>
            <w:shd w:val="clear" w:color="auto" w:fill="FFFFFF" w:themeFill="background1"/>
          </w:tcPr>
          <w:p w14:paraId="66CAE3C0" w14:textId="758756AF" w:rsidR="000505C1" w:rsidRPr="00336AF3" w:rsidRDefault="00EC3250" w:rsidP="004A19F1">
            <w:pPr>
              <w:pStyle w:val="NoSpacing"/>
              <w:spacing w:before="96" w:after="96"/>
              <w:jc w:val="right"/>
              <w:rPr>
                <w:rFonts w:cs="Calibri Light"/>
                <w:sz w:val="22"/>
                <w:szCs w:val="22"/>
              </w:rPr>
            </w:pPr>
            <w:r w:rsidRPr="00336AF3">
              <w:rPr>
                <w:rFonts w:cs="Calibri Light"/>
                <w:sz w:val="22"/>
                <w:szCs w:val="22"/>
              </w:rPr>
              <w:t>2.5</w:t>
            </w:r>
          </w:p>
        </w:tc>
        <w:tc>
          <w:tcPr>
            <w:tcW w:w="424" w:type="pct"/>
            <w:shd w:val="clear" w:color="auto" w:fill="EEEEEE" w:themeFill="background2"/>
          </w:tcPr>
          <w:p w14:paraId="10903C22" w14:textId="2D0FEA88" w:rsidR="000505C1" w:rsidRPr="00336AF3" w:rsidRDefault="006D796A" w:rsidP="004A19F1">
            <w:pPr>
              <w:pStyle w:val="NoSpacing"/>
              <w:spacing w:before="96" w:after="96"/>
              <w:jc w:val="right"/>
              <w:rPr>
                <w:rFonts w:cs="Calibri Light"/>
                <w:sz w:val="22"/>
                <w:szCs w:val="22"/>
              </w:rPr>
            </w:pPr>
            <w:r w:rsidRPr="00336AF3">
              <w:rPr>
                <w:rFonts w:cs="Calibri Light"/>
                <w:sz w:val="22"/>
                <w:szCs w:val="22"/>
              </w:rPr>
              <w:t>7.7</w:t>
            </w:r>
          </w:p>
        </w:tc>
        <w:tc>
          <w:tcPr>
            <w:tcW w:w="425" w:type="pct"/>
            <w:shd w:val="clear" w:color="auto" w:fill="EEEEEE" w:themeFill="background2"/>
          </w:tcPr>
          <w:p w14:paraId="085F8FBD" w14:textId="5E0DA575" w:rsidR="000505C1" w:rsidRPr="00336AF3" w:rsidRDefault="006D796A" w:rsidP="004A19F1">
            <w:pPr>
              <w:pStyle w:val="NoSpacing"/>
              <w:spacing w:before="96" w:after="96"/>
              <w:jc w:val="right"/>
              <w:rPr>
                <w:rFonts w:cs="Calibri Light"/>
                <w:sz w:val="22"/>
                <w:szCs w:val="22"/>
              </w:rPr>
            </w:pPr>
            <w:r w:rsidRPr="00336AF3">
              <w:rPr>
                <w:rFonts w:cs="Calibri Light"/>
                <w:sz w:val="22"/>
                <w:szCs w:val="22"/>
              </w:rPr>
              <w:t>2.5</w:t>
            </w:r>
          </w:p>
        </w:tc>
      </w:tr>
      <w:tr w:rsidR="00EB4DCE" w14:paraId="58F8B047" w14:textId="77777777" w:rsidTr="00BF1902">
        <w:trPr>
          <w:trHeight w:val="119"/>
        </w:trPr>
        <w:tc>
          <w:tcPr>
            <w:tcW w:w="754" w:type="pct"/>
            <w:shd w:val="clear" w:color="auto" w:fill="FFFFFF" w:themeFill="background1"/>
          </w:tcPr>
          <w:p w14:paraId="12FDC443" w14:textId="5431C35A" w:rsidR="000505C1" w:rsidRPr="00336AF3" w:rsidRDefault="000505C1" w:rsidP="000505C1">
            <w:pPr>
              <w:pStyle w:val="NoSpacing"/>
              <w:spacing w:before="96" w:after="96"/>
              <w:rPr>
                <w:rFonts w:cs="Calibri Light"/>
                <w:sz w:val="22"/>
                <w:szCs w:val="22"/>
              </w:rPr>
            </w:pPr>
            <w:r w:rsidRPr="00336AF3">
              <w:rPr>
                <w:rFonts w:cs="Calibri Light"/>
                <w:sz w:val="22"/>
                <w:szCs w:val="22"/>
              </w:rPr>
              <w:t>Indirect costs</w:t>
            </w:r>
          </w:p>
        </w:tc>
        <w:tc>
          <w:tcPr>
            <w:tcW w:w="424" w:type="pct"/>
            <w:shd w:val="clear" w:color="auto" w:fill="EEEEEE" w:themeFill="background2"/>
          </w:tcPr>
          <w:p w14:paraId="2C5EFD0E" w14:textId="1251C090" w:rsidR="000505C1" w:rsidRPr="00336AF3" w:rsidRDefault="00A3002E" w:rsidP="004A19F1">
            <w:pPr>
              <w:pStyle w:val="NoSpacing"/>
              <w:spacing w:before="96" w:after="96"/>
              <w:jc w:val="right"/>
              <w:rPr>
                <w:rFonts w:cs="Calibri Light"/>
                <w:sz w:val="22"/>
                <w:szCs w:val="22"/>
              </w:rPr>
            </w:pPr>
            <w:r w:rsidRPr="00336AF3">
              <w:rPr>
                <w:rFonts w:cs="Calibri Light"/>
                <w:sz w:val="22"/>
                <w:szCs w:val="22"/>
              </w:rPr>
              <w:t>93.5</w:t>
            </w:r>
          </w:p>
        </w:tc>
        <w:tc>
          <w:tcPr>
            <w:tcW w:w="424" w:type="pct"/>
            <w:shd w:val="clear" w:color="auto" w:fill="EEEEEE" w:themeFill="background2"/>
          </w:tcPr>
          <w:p w14:paraId="531EDD33" w14:textId="08984B50" w:rsidR="000505C1" w:rsidRPr="00336AF3" w:rsidRDefault="00A3002E" w:rsidP="004A19F1">
            <w:pPr>
              <w:pStyle w:val="NoSpacing"/>
              <w:spacing w:before="96" w:after="96"/>
              <w:jc w:val="right"/>
              <w:rPr>
                <w:rFonts w:cs="Calibri Light"/>
                <w:sz w:val="22"/>
                <w:szCs w:val="22"/>
              </w:rPr>
            </w:pPr>
            <w:r w:rsidRPr="00336AF3">
              <w:rPr>
                <w:rFonts w:cs="Calibri Light"/>
                <w:sz w:val="22"/>
                <w:szCs w:val="22"/>
              </w:rPr>
              <w:t>39.5</w:t>
            </w:r>
          </w:p>
        </w:tc>
        <w:tc>
          <w:tcPr>
            <w:tcW w:w="424" w:type="pct"/>
            <w:shd w:val="clear" w:color="auto" w:fill="FFFFFF" w:themeFill="background1"/>
          </w:tcPr>
          <w:p w14:paraId="6218C292" w14:textId="3EFB8CA9" w:rsidR="000505C1" w:rsidRPr="00336AF3" w:rsidRDefault="006F2AB2" w:rsidP="004A19F1">
            <w:pPr>
              <w:pStyle w:val="NoSpacing"/>
              <w:spacing w:before="96" w:after="96"/>
              <w:jc w:val="right"/>
              <w:rPr>
                <w:rFonts w:cs="Calibri Light"/>
                <w:sz w:val="22"/>
                <w:szCs w:val="22"/>
              </w:rPr>
            </w:pPr>
            <w:r w:rsidRPr="00336AF3">
              <w:rPr>
                <w:rFonts w:cs="Calibri Light"/>
                <w:sz w:val="22"/>
                <w:szCs w:val="22"/>
              </w:rPr>
              <w:t>111.0</w:t>
            </w:r>
          </w:p>
        </w:tc>
        <w:tc>
          <w:tcPr>
            <w:tcW w:w="425" w:type="pct"/>
            <w:shd w:val="clear" w:color="auto" w:fill="FFFFFF" w:themeFill="background1"/>
          </w:tcPr>
          <w:p w14:paraId="6AED3B18" w14:textId="100CCD91" w:rsidR="000505C1" w:rsidRPr="00336AF3" w:rsidRDefault="006F2AB2" w:rsidP="004A19F1">
            <w:pPr>
              <w:pStyle w:val="NoSpacing"/>
              <w:spacing w:before="96" w:after="96"/>
              <w:jc w:val="right"/>
              <w:rPr>
                <w:rFonts w:cs="Calibri Light"/>
                <w:sz w:val="22"/>
                <w:szCs w:val="22"/>
              </w:rPr>
            </w:pPr>
            <w:r w:rsidRPr="00336AF3">
              <w:rPr>
                <w:rFonts w:cs="Calibri Light"/>
                <w:sz w:val="22"/>
                <w:szCs w:val="22"/>
              </w:rPr>
              <w:t>40.1</w:t>
            </w:r>
          </w:p>
        </w:tc>
        <w:tc>
          <w:tcPr>
            <w:tcW w:w="424" w:type="pct"/>
            <w:shd w:val="clear" w:color="auto" w:fill="EEEEEE" w:themeFill="background2"/>
          </w:tcPr>
          <w:p w14:paraId="2A0102AE" w14:textId="1CD76EC0" w:rsidR="000505C1" w:rsidRPr="00336AF3" w:rsidRDefault="006F2AB2" w:rsidP="004A19F1">
            <w:pPr>
              <w:pStyle w:val="NoSpacing"/>
              <w:spacing w:before="96" w:after="96"/>
              <w:jc w:val="right"/>
              <w:rPr>
                <w:rFonts w:cs="Calibri Light"/>
                <w:sz w:val="22"/>
                <w:szCs w:val="22"/>
              </w:rPr>
            </w:pPr>
            <w:r w:rsidRPr="00336AF3">
              <w:rPr>
                <w:rFonts w:cs="Calibri Light"/>
                <w:sz w:val="22"/>
                <w:szCs w:val="22"/>
              </w:rPr>
              <w:t>126</w:t>
            </w:r>
            <w:r w:rsidR="00836570" w:rsidRPr="00336AF3">
              <w:rPr>
                <w:rFonts w:cs="Calibri Light"/>
                <w:sz w:val="22"/>
                <w:szCs w:val="22"/>
              </w:rPr>
              <w:t>.3</w:t>
            </w:r>
          </w:p>
        </w:tc>
        <w:tc>
          <w:tcPr>
            <w:tcW w:w="424" w:type="pct"/>
            <w:shd w:val="clear" w:color="auto" w:fill="EEEEEE" w:themeFill="background2"/>
          </w:tcPr>
          <w:p w14:paraId="03D0838A" w14:textId="195F7BCE" w:rsidR="000505C1" w:rsidRPr="00336AF3" w:rsidRDefault="00836570" w:rsidP="004A19F1">
            <w:pPr>
              <w:pStyle w:val="NoSpacing"/>
              <w:spacing w:before="96" w:after="96"/>
              <w:jc w:val="right"/>
              <w:rPr>
                <w:rFonts w:cs="Calibri Light"/>
                <w:sz w:val="22"/>
                <w:szCs w:val="22"/>
              </w:rPr>
            </w:pPr>
            <w:r w:rsidRPr="00336AF3">
              <w:rPr>
                <w:rFonts w:cs="Calibri Light"/>
                <w:sz w:val="22"/>
                <w:szCs w:val="22"/>
              </w:rPr>
              <w:t>39.4</w:t>
            </w:r>
          </w:p>
        </w:tc>
        <w:tc>
          <w:tcPr>
            <w:tcW w:w="425" w:type="pct"/>
            <w:shd w:val="clear" w:color="auto" w:fill="FFFFFF" w:themeFill="background1"/>
          </w:tcPr>
          <w:p w14:paraId="7152ECB1" w14:textId="7BE8DE06" w:rsidR="000505C1" w:rsidRPr="00336AF3" w:rsidRDefault="00836570" w:rsidP="004A19F1">
            <w:pPr>
              <w:pStyle w:val="NoSpacing"/>
              <w:spacing w:before="96" w:after="96"/>
              <w:jc w:val="right"/>
              <w:rPr>
                <w:rFonts w:cs="Calibri Light"/>
                <w:sz w:val="22"/>
                <w:szCs w:val="22"/>
              </w:rPr>
            </w:pPr>
            <w:r w:rsidRPr="00336AF3">
              <w:rPr>
                <w:rFonts w:cs="Calibri Light"/>
                <w:sz w:val="22"/>
                <w:szCs w:val="22"/>
              </w:rPr>
              <w:t>112.1</w:t>
            </w:r>
          </w:p>
        </w:tc>
        <w:tc>
          <w:tcPr>
            <w:tcW w:w="424" w:type="pct"/>
            <w:shd w:val="clear" w:color="auto" w:fill="FFFFFF" w:themeFill="background1"/>
          </w:tcPr>
          <w:p w14:paraId="154F3EE9" w14:textId="22101046" w:rsidR="000505C1" w:rsidRPr="00336AF3" w:rsidRDefault="00727041" w:rsidP="004A19F1">
            <w:pPr>
              <w:pStyle w:val="NoSpacing"/>
              <w:spacing w:before="96" w:after="96"/>
              <w:jc w:val="right"/>
              <w:rPr>
                <w:rFonts w:cs="Calibri Light"/>
                <w:sz w:val="22"/>
                <w:szCs w:val="22"/>
              </w:rPr>
            </w:pPr>
            <w:r w:rsidRPr="00336AF3">
              <w:rPr>
                <w:rFonts w:cs="Calibri Light"/>
                <w:sz w:val="22"/>
                <w:szCs w:val="22"/>
              </w:rPr>
              <w:t>35.7</w:t>
            </w:r>
          </w:p>
        </w:tc>
        <w:tc>
          <w:tcPr>
            <w:tcW w:w="424" w:type="pct"/>
            <w:shd w:val="clear" w:color="auto" w:fill="EEEEEE" w:themeFill="background2"/>
          </w:tcPr>
          <w:p w14:paraId="1C2D26D2" w14:textId="7B068A08" w:rsidR="000505C1" w:rsidRPr="00336AF3" w:rsidRDefault="003A37D4" w:rsidP="004A19F1">
            <w:pPr>
              <w:pStyle w:val="NoSpacing"/>
              <w:spacing w:before="96" w:after="96"/>
              <w:jc w:val="right"/>
              <w:rPr>
                <w:rFonts w:cs="Calibri Light"/>
                <w:sz w:val="22"/>
                <w:szCs w:val="22"/>
              </w:rPr>
            </w:pPr>
            <w:r w:rsidRPr="00336AF3">
              <w:rPr>
                <w:rFonts w:cs="Calibri Light"/>
                <w:sz w:val="22"/>
                <w:szCs w:val="22"/>
              </w:rPr>
              <w:t>123.7</w:t>
            </w:r>
          </w:p>
        </w:tc>
        <w:tc>
          <w:tcPr>
            <w:tcW w:w="425" w:type="pct"/>
            <w:shd w:val="clear" w:color="auto" w:fill="EEEEEE" w:themeFill="background2"/>
          </w:tcPr>
          <w:p w14:paraId="0B370648" w14:textId="181E94BD" w:rsidR="000505C1" w:rsidRPr="00336AF3" w:rsidRDefault="003A37D4" w:rsidP="004A19F1">
            <w:pPr>
              <w:pStyle w:val="NoSpacing"/>
              <w:spacing w:before="96" w:after="96"/>
              <w:jc w:val="right"/>
              <w:rPr>
                <w:rFonts w:cs="Calibri Light"/>
                <w:sz w:val="22"/>
                <w:szCs w:val="22"/>
              </w:rPr>
            </w:pPr>
            <w:r w:rsidRPr="00336AF3">
              <w:rPr>
                <w:rFonts w:cs="Calibri Light"/>
                <w:sz w:val="22"/>
                <w:szCs w:val="22"/>
              </w:rPr>
              <w:t>39.6</w:t>
            </w:r>
          </w:p>
        </w:tc>
      </w:tr>
      <w:tr w:rsidR="00EB4DCE" w14:paraId="12D117A8" w14:textId="77777777" w:rsidTr="00BF1902">
        <w:trPr>
          <w:trHeight w:val="119"/>
        </w:trPr>
        <w:tc>
          <w:tcPr>
            <w:tcW w:w="754" w:type="pct"/>
            <w:shd w:val="clear" w:color="auto" w:fill="FFFFFF" w:themeFill="background1"/>
          </w:tcPr>
          <w:p w14:paraId="3A4D5CE4" w14:textId="3E47AFAC" w:rsidR="00382393" w:rsidRPr="00336AF3" w:rsidRDefault="00382393" w:rsidP="000505C1">
            <w:pPr>
              <w:pStyle w:val="NoSpacing"/>
              <w:spacing w:before="96" w:after="96"/>
              <w:rPr>
                <w:rFonts w:cs="Calibri Light"/>
                <w:b/>
                <w:sz w:val="22"/>
                <w:szCs w:val="22"/>
              </w:rPr>
            </w:pPr>
            <w:r w:rsidRPr="00336AF3">
              <w:rPr>
                <w:rFonts w:cs="Calibri Light"/>
                <w:b/>
                <w:sz w:val="22"/>
                <w:szCs w:val="22"/>
              </w:rPr>
              <w:t>Total</w:t>
            </w:r>
            <w:r w:rsidR="00FF5A75" w:rsidRPr="00336AF3">
              <w:rPr>
                <w:rFonts w:cs="Calibri Light"/>
                <w:b/>
                <w:sz w:val="22"/>
                <w:szCs w:val="22"/>
              </w:rPr>
              <w:t xml:space="preserve"> operating</w:t>
            </w:r>
            <w:r w:rsidR="005F766B" w:rsidRPr="00336AF3">
              <w:rPr>
                <w:rFonts w:cs="Calibri Light"/>
                <w:b/>
                <w:sz w:val="22"/>
                <w:szCs w:val="22"/>
              </w:rPr>
              <w:t xml:space="preserve"> costs</w:t>
            </w:r>
          </w:p>
        </w:tc>
        <w:tc>
          <w:tcPr>
            <w:tcW w:w="424" w:type="pct"/>
            <w:shd w:val="clear" w:color="auto" w:fill="EEEEEE" w:themeFill="background2"/>
          </w:tcPr>
          <w:p w14:paraId="44F15A6A" w14:textId="420D5E22" w:rsidR="00382393" w:rsidRPr="00336AF3" w:rsidRDefault="00A80974" w:rsidP="004A19F1">
            <w:pPr>
              <w:pStyle w:val="NoSpacing"/>
              <w:spacing w:before="96" w:after="96"/>
              <w:jc w:val="right"/>
              <w:rPr>
                <w:rFonts w:cs="Calibri Light"/>
                <w:sz w:val="22"/>
                <w:szCs w:val="22"/>
              </w:rPr>
            </w:pPr>
            <w:r w:rsidRPr="00336AF3">
              <w:rPr>
                <w:rFonts w:cs="Calibri Light"/>
                <w:sz w:val="22"/>
                <w:szCs w:val="22"/>
              </w:rPr>
              <w:t>23</w:t>
            </w:r>
            <w:r w:rsidR="00140136" w:rsidRPr="00336AF3">
              <w:rPr>
                <w:rFonts w:cs="Calibri Light"/>
                <w:sz w:val="22"/>
                <w:szCs w:val="22"/>
              </w:rPr>
              <w:t>2.</w:t>
            </w:r>
            <w:r w:rsidR="00541637" w:rsidRPr="00336AF3">
              <w:rPr>
                <w:rFonts w:cs="Calibri Light"/>
                <w:sz w:val="22"/>
                <w:szCs w:val="22"/>
              </w:rPr>
              <w:t>4</w:t>
            </w:r>
          </w:p>
        </w:tc>
        <w:tc>
          <w:tcPr>
            <w:tcW w:w="424" w:type="pct"/>
            <w:shd w:val="clear" w:color="auto" w:fill="EEEEEE" w:themeFill="background2"/>
          </w:tcPr>
          <w:p w14:paraId="7A266833" w14:textId="07865643" w:rsidR="00382393" w:rsidRPr="00336AF3" w:rsidRDefault="00A80974" w:rsidP="004A19F1">
            <w:pPr>
              <w:pStyle w:val="NoSpacing"/>
              <w:spacing w:before="96" w:after="96"/>
              <w:jc w:val="right"/>
              <w:rPr>
                <w:rFonts w:cs="Calibri Light"/>
                <w:sz w:val="22"/>
                <w:szCs w:val="22"/>
              </w:rPr>
            </w:pPr>
            <w:r w:rsidRPr="00336AF3">
              <w:rPr>
                <w:rFonts w:cs="Calibri Light"/>
                <w:sz w:val="22"/>
                <w:szCs w:val="22"/>
              </w:rPr>
              <w:t>100.0</w:t>
            </w:r>
          </w:p>
        </w:tc>
        <w:tc>
          <w:tcPr>
            <w:tcW w:w="424" w:type="pct"/>
            <w:shd w:val="clear" w:color="auto" w:fill="FFFFFF" w:themeFill="background1"/>
          </w:tcPr>
          <w:p w14:paraId="2E78689C" w14:textId="15E107B6" w:rsidR="00382393" w:rsidRPr="00336AF3" w:rsidRDefault="00A80974" w:rsidP="004A19F1">
            <w:pPr>
              <w:pStyle w:val="NoSpacing"/>
              <w:spacing w:before="96" w:after="96"/>
              <w:jc w:val="right"/>
              <w:rPr>
                <w:rFonts w:cs="Calibri Light"/>
                <w:sz w:val="22"/>
                <w:szCs w:val="22"/>
              </w:rPr>
            </w:pPr>
            <w:r w:rsidRPr="00336AF3">
              <w:rPr>
                <w:rFonts w:cs="Calibri Light"/>
                <w:sz w:val="22"/>
                <w:szCs w:val="22"/>
              </w:rPr>
              <w:t>2</w:t>
            </w:r>
            <w:r w:rsidR="00A83C69" w:rsidRPr="00336AF3">
              <w:rPr>
                <w:rFonts w:cs="Calibri Light"/>
                <w:sz w:val="22"/>
                <w:szCs w:val="22"/>
              </w:rPr>
              <w:t>52.5</w:t>
            </w:r>
          </w:p>
        </w:tc>
        <w:tc>
          <w:tcPr>
            <w:tcW w:w="425" w:type="pct"/>
            <w:shd w:val="clear" w:color="auto" w:fill="FFFFFF" w:themeFill="background1"/>
          </w:tcPr>
          <w:p w14:paraId="5C51FAB8" w14:textId="5A2969DB" w:rsidR="00382393" w:rsidRPr="00336AF3" w:rsidRDefault="00A80974" w:rsidP="004A19F1">
            <w:pPr>
              <w:pStyle w:val="NoSpacing"/>
              <w:spacing w:before="96" w:after="96"/>
              <w:jc w:val="right"/>
              <w:rPr>
                <w:rFonts w:cs="Calibri Light"/>
                <w:sz w:val="22"/>
                <w:szCs w:val="22"/>
              </w:rPr>
            </w:pPr>
            <w:r w:rsidRPr="00336AF3">
              <w:rPr>
                <w:rFonts w:cs="Calibri Light"/>
                <w:sz w:val="22"/>
                <w:szCs w:val="22"/>
              </w:rPr>
              <w:t>100.0</w:t>
            </w:r>
          </w:p>
        </w:tc>
        <w:tc>
          <w:tcPr>
            <w:tcW w:w="424" w:type="pct"/>
            <w:shd w:val="clear" w:color="auto" w:fill="EEEEEE" w:themeFill="background2"/>
          </w:tcPr>
          <w:p w14:paraId="500C3AB6" w14:textId="74F17DEC" w:rsidR="00382393" w:rsidRPr="00336AF3" w:rsidRDefault="00C04020" w:rsidP="004A19F1">
            <w:pPr>
              <w:pStyle w:val="NoSpacing"/>
              <w:spacing w:before="96" w:after="96"/>
              <w:jc w:val="right"/>
              <w:rPr>
                <w:rFonts w:cs="Calibri Light"/>
                <w:sz w:val="22"/>
                <w:szCs w:val="22"/>
              </w:rPr>
            </w:pPr>
            <w:r w:rsidRPr="00336AF3">
              <w:rPr>
                <w:rFonts w:cs="Calibri Light"/>
                <w:sz w:val="22"/>
                <w:szCs w:val="22"/>
              </w:rPr>
              <w:t>291.3</w:t>
            </w:r>
          </w:p>
        </w:tc>
        <w:tc>
          <w:tcPr>
            <w:tcW w:w="424" w:type="pct"/>
            <w:shd w:val="clear" w:color="auto" w:fill="EEEEEE" w:themeFill="background2"/>
          </w:tcPr>
          <w:p w14:paraId="0035381B" w14:textId="37BA965F" w:rsidR="00382393" w:rsidRPr="00336AF3" w:rsidRDefault="005610D8" w:rsidP="004A19F1">
            <w:pPr>
              <w:pStyle w:val="NoSpacing"/>
              <w:spacing w:before="96" w:after="96"/>
              <w:jc w:val="right"/>
              <w:rPr>
                <w:rFonts w:cs="Calibri Light"/>
                <w:sz w:val="22"/>
                <w:szCs w:val="22"/>
              </w:rPr>
            </w:pPr>
            <w:r w:rsidRPr="00336AF3">
              <w:rPr>
                <w:rFonts w:cs="Calibri Light"/>
                <w:sz w:val="22"/>
                <w:szCs w:val="22"/>
              </w:rPr>
              <w:t>100.0</w:t>
            </w:r>
          </w:p>
        </w:tc>
        <w:tc>
          <w:tcPr>
            <w:tcW w:w="425" w:type="pct"/>
            <w:shd w:val="clear" w:color="auto" w:fill="FFFFFF" w:themeFill="background1"/>
          </w:tcPr>
          <w:p w14:paraId="14B60B13" w14:textId="6F78B866" w:rsidR="00382393" w:rsidRPr="00336AF3" w:rsidRDefault="00646FCA" w:rsidP="004A19F1">
            <w:pPr>
              <w:pStyle w:val="NoSpacing"/>
              <w:spacing w:before="96" w:after="96"/>
              <w:jc w:val="right"/>
              <w:rPr>
                <w:rFonts w:cs="Calibri Light"/>
                <w:sz w:val="22"/>
                <w:szCs w:val="22"/>
              </w:rPr>
            </w:pPr>
            <w:r w:rsidRPr="00336AF3">
              <w:rPr>
                <w:rFonts w:cs="Calibri Light"/>
                <w:sz w:val="22"/>
                <w:szCs w:val="22"/>
              </w:rPr>
              <w:t>302.0</w:t>
            </w:r>
          </w:p>
        </w:tc>
        <w:tc>
          <w:tcPr>
            <w:tcW w:w="424" w:type="pct"/>
            <w:shd w:val="clear" w:color="auto" w:fill="FFFFFF" w:themeFill="background1"/>
          </w:tcPr>
          <w:p w14:paraId="26D39246" w14:textId="645845CB" w:rsidR="00382393" w:rsidRPr="00336AF3" w:rsidRDefault="005610D8" w:rsidP="004A19F1">
            <w:pPr>
              <w:pStyle w:val="NoSpacing"/>
              <w:spacing w:before="96" w:after="96"/>
              <w:jc w:val="right"/>
              <w:rPr>
                <w:rFonts w:cs="Calibri Light"/>
                <w:sz w:val="22"/>
                <w:szCs w:val="22"/>
              </w:rPr>
            </w:pPr>
            <w:r w:rsidRPr="00336AF3">
              <w:rPr>
                <w:rFonts w:cs="Calibri Light"/>
                <w:sz w:val="22"/>
                <w:szCs w:val="22"/>
              </w:rPr>
              <w:t>100.0</w:t>
            </w:r>
          </w:p>
        </w:tc>
        <w:tc>
          <w:tcPr>
            <w:tcW w:w="424" w:type="pct"/>
            <w:shd w:val="clear" w:color="auto" w:fill="EEEEEE" w:themeFill="background2"/>
          </w:tcPr>
          <w:p w14:paraId="1D9F5C62" w14:textId="05471007" w:rsidR="00382393" w:rsidRPr="00336AF3" w:rsidRDefault="00BF1ABF" w:rsidP="004A19F1">
            <w:pPr>
              <w:pStyle w:val="NoSpacing"/>
              <w:spacing w:before="96" w:after="96"/>
              <w:jc w:val="right"/>
              <w:rPr>
                <w:rFonts w:cs="Calibri Light"/>
                <w:sz w:val="22"/>
                <w:szCs w:val="22"/>
              </w:rPr>
            </w:pPr>
            <w:r w:rsidRPr="00336AF3">
              <w:rPr>
                <w:rFonts w:cs="Calibri Light"/>
                <w:sz w:val="22"/>
                <w:szCs w:val="22"/>
              </w:rPr>
              <w:t>312.8</w:t>
            </w:r>
          </w:p>
        </w:tc>
        <w:tc>
          <w:tcPr>
            <w:tcW w:w="425" w:type="pct"/>
            <w:shd w:val="clear" w:color="auto" w:fill="EEEEEE" w:themeFill="background2"/>
          </w:tcPr>
          <w:p w14:paraId="05A7D633" w14:textId="0D42326A" w:rsidR="00382393" w:rsidRPr="00336AF3" w:rsidRDefault="00171DCF" w:rsidP="004A19F1">
            <w:pPr>
              <w:pStyle w:val="NoSpacing"/>
              <w:spacing w:before="96" w:after="96"/>
              <w:jc w:val="right"/>
              <w:rPr>
                <w:rFonts w:cs="Calibri Light"/>
                <w:sz w:val="22"/>
                <w:szCs w:val="22"/>
              </w:rPr>
            </w:pPr>
            <w:r w:rsidRPr="00336AF3">
              <w:rPr>
                <w:rFonts w:cs="Calibri Light"/>
                <w:sz w:val="22"/>
                <w:szCs w:val="22"/>
              </w:rPr>
              <w:t>100.0</w:t>
            </w:r>
          </w:p>
        </w:tc>
      </w:tr>
    </w:tbl>
    <w:p w14:paraId="4D43545D" w14:textId="01E25733" w:rsidR="00947A89" w:rsidRPr="00626A74" w:rsidRDefault="00111800" w:rsidP="00DB6CC4">
      <w:pPr>
        <w:pStyle w:val="NoSpacing"/>
        <w:spacing w:before="240"/>
        <w:rPr>
          <w:rFonts w:ascii="Calibri Light" w:eastAsia="Times New Roman" w:hAnsi="Calibri Light" w:cs="Times New Roman"/>
          <w:sz w:val="20"/>
          <w:szCs w:val="20"/>
          <w:lang w:eastAsia="en-AU"/>
        </w:rPr>
      </w:pPr>
      <w:r>
        <w:rPr>
          <w:rFonts w:ascii="Calibri Light" w:eastAsia="Times New Roman" w:hAnsi="Calibri Light" w:cs="Times New Roman"/>
          <w:szCs w:val="20"/>
          <w:vertAlign w:val="superscript"/>
          <w:lang w:eastAsia="en-AU"/>
        </w:rPr>
        <w:t>*</w:t>
      </w:r>
      <w:r w:rsidR="000505C1">
        <w:rPr>
          <w:rFonts w:ascii="Calibri Light" w:eastAsia="Times New Roman" w:hAnsi="Calibri Light" w:cs="Times New Roman"/>
          <w:szCs w:val="20"/>
          <w:lang w:eastAsia="en-AU"/>
        </w:rPr>
        <w:t xml:space="preserve"> </w:t>
      </w:r>
      <w:r w:rsidR="00015AA8" w:rsidRPr="00626A74">
        <w:rPr>
          <w:rFonts w:ascii="Calibri Light" w:eastAsia="Times New Roman" w:hAnsi="Calibri Light" w:cs="Times New Roman"/>
          <w:sz w:val="20"/>
          <w:szCs w:val="20"/>
          <w:lang w:eastAsia="en-AU"/>
        </w:rPr>
        <w:t>This table does not include costs relating capital expenditure</w:t>
      </w:r>
      <w:r w:rsidR="005D2C15">
        <w:rPr>
          <w:rFonts w:ascii="Calibri Light" w:eastAsia="Times New Roman" w:hAnsi="Calibri Light" w:cs="Times New Roman"/>
          <w:sz w:val="20"/>
          <w:szCs w:val="20"/>
          <w:lang w:eastAsia="en-AU"/>
        </w:rPr>
        <w:t>. It</w:t>
      </w:r>
      <w:r w:rsidR="00BF3D0E" w:rsidRPr="00626A74">
        <w:rPr>
          <w:rFonts w:ascii="Calibri Light" w:eastAsia="Times New Roman" w:hAnsi="Calibri Light" w:cs="Times New Roman"/>
          <w:sz w:val="20"/>
          <w:szCs w:val="20"/>
          <w:lang w:eastAsia="en-AU"/>
        </w:rPr>
        <w:t xml:space="preserve"> does include </w:t>
      </w:r>
      <w:r w:rsidR="008D512B" w:rsidRPr="00626A74">
        <w:rPr>
          <w:rFonts w:ascii="Calibri Light" w:eastAsia="Times New Roman" w:hAnsi="Calibri Light" w:cs="Times New Roman"/>
          <w:sz w:val="20"/>
          <w:szCs w:val="20"/>
          <w:lang w:eastAsia="en-AU"/>
        </w:rPr>
        <w:t xml:space="preserve">the </w:t>
      </w:r>
      <w:r w:rsidR="00D55D52" w:rsidRPr="00626A74">
        <w:rPr>
          <w:rFonts w:ascii="Calibri Light" w:eastAsia="Times New Roman" w:hAnsi="Calibri Light" w:cs="Times New Roman"/>
          <w:sz w:val="20"/>
          <w:szCs w:val="20"/>
          <w:lang w:eastAsia="en-AU"/>
        </w:rPr>
        <w:t xml:space="preserve">levy </w:t>
      </w:r>
      <w:r w:rsidR="008D512B" w:rsidRPr="00626A74">
        <w:rPr>
          <w:rFonts w:ascii="Calibri Light" w:eastAsia="Times New Roman" w:hAnsi="Calibri Light" w:cs="Times New Roman"/>
          <w:sz w:val="20"/>
          <w:szCs w:val="20"/>
          <w:lang w:eastAsia="en-AU"/>
        </w:rPr>
        <w:t xml:space="preserve">relief provided to </w:t>
      </w:r>
      <w:r w:rsidR="00D55D52" w:rsidRPr="00626A74">
        <w:rPr>
          <w:rFonts w:ascii="Calibri Light" w:eastAsia="Times New Roman" w:hAnsi="Calibri Light" w:cs="Times New Roman"/>
          <w:sz w:val="20"/>
          <w:szCs w:val="20"/>
          <w:lang w:eastAsia="en-AU"/>
        </w:rPr>
        <w:t>personal financial advice licensees</w:t>
      </w:r>
      <w:r w:rsidR="00636D65">
        <w:rPr>
          <w:rFonts w:ascii="Calibri Light" w:eastAsia="Times New Roman" w:hAnsi="Calibri Light" w:cs="Times New Roman"/>
          <w:sz w:val="20"/>
          <w:szCs w:val="20"/>
          <w:lang w:eastAsia="en-AU"/>
        </w:rPr>
        <w:t>,</w:t>
      </w:r>
      <w:r w:rsidR="00D55D52" w:rsidRPr="00626A74">
        <w:rPr>
          <w:rFonts w:ascii="Calibri Light" w:eastAsia="Times New Roman" w:hAnsi="Calibri Light" w:cs="Times New Roman"/>
          <w:sz w:val="20"/>
          <w:szCs w:val="20"/>
          <w:lang w:eastAsia="en-AU"/>
        </w:rPr>
        <w:t xml:space="preserve"> which has resulted in partial cost recovery of costs</w:t>
      </w:r>
      <w:r w:rsidR="00127F91" w:rsidRPr="00626A74">
        <w:rPr>
          <w:rFonts w:ascii="Calibri Light" w:eastAsia="Times New Roman" w:hAnsi="Calibri Light" w:cs="Times New Roman"/>
          <w:sz w:val="20"/>
          <w:szCs w:val="20"/>
          <w:lang w:eastAsia="en-AU"/>
        </w:rPr>
        <w:t xml:space="preserve"> from that sub-sector</w:t>
      </w:r>
      <w:r w:rsidR="00D55D52" w:rsidRPr="00626A74">
        <w:rPr>
          <w:rFonts w:ascii="Calibri Light" w:eastAsia="Times New Roman" w:hAnsi="Calibri Light" w:cs="Times New Roman"/>
          <w:sz w:val="20"/>
          <w:szCs w:val="20"/>
          <w:lang w:eastAsia="en-AU"/>
        </w:rPr>
        <w:t xml:space="preserve"> in 2020-21 and 2021-22</w:t>
      </w:r>
      <w:r w:rsidR="00E45760" w:rsidRPr="00626A74">
        <w:rPr>
          <w:rFonts w:ascii="Calibri Light" w:eastAsia="Times New Roman" w:hAnsi="Calibri Light" w:cs="Times New Roman"/>
          <w:sz w:val="20"/>
          <w:szCs w:val="20"/>
          <w:lang w:eastAsia="en-AU"/>
        </w:rPr>
        <w:t>.</w:t>
      </w:r>
    </w:p>
    <w:p w14:paraId="163EF7A9" w14:textId="6337E0F2" w:rsidR="00930213" w:rsidRPr="00626A74" w:rsidRDefault="00111800" w:rsidP="006B7E78">
      <w:pPr>
        <w:pStyle w:val="NoSpacing"/>
        <w:rPr>
          <w:rFonts w:ascii="Calibri Light" w:eastAsia="Times New Roman" w:hAnsi="Calibri Light" w:cs="Times New Roman"/>
          <w:sz w:val="20"/>
          <w:szCs w:val="20"/>
          <w:lang w:eastAsia="en-AU"/>
        </w:rPr>
      </w:pPr>
      <w:r>
        <w:rPr>
          <w:rFonts w:ascii="Calibri Light" w:eastAsia="Times New Roman" w:hAnsi="Calibri Light" w:cs="Times New Roman"/>
          <w:sz w:val="20"/>
          <w:szCs w:val="20"/>
          <w:vertAlign w:val="superscript"/>
          <w:lang w:eastAsia="en-AU"/>
        </w:rPr>
        <w:t>**</w:t>
      </w:r>
      <w:r w:rsidR="008C2FD0" w:rsidRPr="00626A74">
        <w:rPr>
          <w:rFonts w:ascii="Calibri Light" w:eastAsia="Times New Roman" w:hAnsi="Calibri Light" w:cs="Times New Roman"/>
          <w:sz w:val="20"/>
          <w:szCs w:val="20"/>
          <w:lang w:eastAsia="en-AU"/>
        </w:rPr>
        <w:t xml:space="preserve"> </w:t>
      </w:r>
      <w:r w:rsidR="000505C1" w:rsidRPr="00626A74">
        <w:rPr>
          <w:rFonts w:ascii="Calibri Light" w:eastAsia="Times New Roman" w:hAnsi="Calibri Light" w:cs="Times New Roman"/>
          <w:sz w:val="20"/>
          <w:szCs w:val="20"/>
          <w:lang w:eastAsia="en-AU"/>
        </w:rPr>
        <w:t xml:space="preserve">Estimated </w:t>
      </w:r>
      <w:r w:rsidR="002F0717" w:rsidRPr="00626A74">
        <w:rPr>
          <w:rFonts w:ascii="Calibri Light" w:eastAsia="Times New Roman" w:hAnsi="Calibri Light" w:cs="Times New Roman"/>
          <w:sz w:val="20"/>
          <w:szCs w:val="20"/>
          <w:lang w:eastAsia="en-AU"/>
        </w:rPr>
        <w:t>costs for 2021-22</w:t>
      </w:r>
      <w:r w:rsidR="003F6AC7" w:rsidRPr="00626A74">
        <w:rPr>
          <w:rFonts w:ascii="Calibri Light" w:eastAsia="Times New Roman" w:hAnsi="Calibri Light" w:cs="Times New Roman"/>
          <w:sz w:val="20"/>
          <w:szCs w:val="20"/>
          <w:lang w:eastAsia="en-AU"/>
        </w:rPr>
        <w:t>.</w:t>
      </w:r>
    </w:p>
    <w:p w14:paraId="701D3784" w14:textId="71BD7E34" w:rsidR="00E748C5" w:rsidRPr="00626A74" w:rsidRDefault="00111800" w:rsidP="006B7E78">
      <w:pPr>
        <w:pStyle w:val="NoSpacing"/>
        <w:rPr>
          <w:rFonts w:ascii="Calibri Light" w:eastAsia="Times New Roman" w:hAnsi="Calibri Light" w:cs="Times New Roman"/>
          <w:sz w:val="20"/>
          <w:szCs w:val="20"/>
          <w:lang w:eastAsia="en-AU"/>
        </w:rPr>
      </w:pPr>
      <w:r>
        <w:rPr>
          <w:rFonts w:ascii="Calibri Light" w:eastAsia="Times New Roman" w:hAnsi="Calibri Light" w:cs="Times New Roman"/>
          <w:sz w:val="20"/>
          <w:szCs w:val="20"/>
          <w:vertAlign w:val="superscript"/>
          <w:lang w:eastAsia="en-AU"/>
        </w:rPr>
        <w:t>***</w:t>
      </w:r>
      <w:r w:rsidR="00E748C5" w:rsidRPr="00626A74">
        <w:rPr>
          <w:rFonts w:ascii="Calibri Light" w:eastAsia="Times New Roman" w:hAnsi="Calibri Light" w:cs="Times New Roman"/>
          <w:sz w:val="20"/>
          <w:szCs w:val="20"/>
          <w:lang w:eastAsia="en-AU"/>
        </w:rPr>
        <w:t xml:space="preserve"> The financial capability function </w:t>
      </w:r>
      <w:r w:rsidR="00EF745A" w:rsidRPr="00626A74">
        <w:rPr>
          <w:rFonts w:ascii="Calibri Light" w:eastAsia="Times New Roman" w:hAnsi="Calibri Light" w:cs="Times New Roman"/>
          <w:sz w:val="20"/>
          <w:szCs w:val="20"/>
          <w:lang w:eastAsia="en-AU"/>
        </w:rPr>
        <w:t>moved</w:t>
      </w:r>
      <w:r w:rsidR="00E748C5" w:rsidRPr="00626A74">
        <w:rPr>
          <w:rFonts w:ascii="Calibri Light" w:eastAsia="Times New Roman" w:hAnsi="Calibri Light" w:cs="Times New Roman"/>
          <w:sz w:val="20"/>
          <w:szCs w:val="20"/>
          <w:lang w:eastAsia="en-AU"/>
        </w:rPr>
        <w:t xml:space="preserve"> from ASIC to Treasury </w:t>
      </w:r>
      <w:r w:rsidR="00EF745A" w:rsidRPr="00626A74">
        <w:rPr>
          <w:rFonts w:ascii="Calibri Light" w:eastAsia="Times New Roman" w:hAnsi="Calibri Light" w:cs="Times New Roman"/>
          <w:sz w:val="20"/>
          <w:szCs w:val="20"/>
          <w:lang w:eastAsia="en-AU"/>
        </w:rPr>
        <w:t xml:space="preserve">in October 2020. </w:t>
      </w:r>
    </w:p>
    <w:p w14:paraId="30C8E1BB" w14:textId="77777777" w:rsidR="005D018D" w:rsidRDefault="0060021B" w:rsidP="00F73FA7">
      <w:r w:rsidRPr="00E670A1">
        <w:t>Within these</w:t>
      </w:r>
      <w:r w:rsidR="007E7E9B" w:rsidRPr="00E670A1">
        <w:t xml:space="preserve"> activities</w:t>
      </w:r>
      <w:r w:rsidRPr="00E670A1">
        <w:t>, certain</w:t>
      </w:r>
      <w:r w:rsidR="007E7E9B" w:rsidRPr="00E670A1">
        <w:t xml:space="preserve"> costs are recovered via a statutory levy</w:t>
      </w:r>
      <w:r w:rsidR="003F5421" w:rsidRPr="00E670A1">
        <w:t xml:space="preserve"> where the Government has decided there should be some degree of cross-subsidisation between or within industry </w:t>
      </w:r>
      <w:r w:rsidR="00F33074">
        <w:t>sub</w:t>
      </w:r>
      <w:r w:rsidR="00F33074">
        <w:noBreakHyphen/>
      </w:r>
      <w:r w:rsidR="00527197" w:rsidRPr="00E670A1">
        <w:t>sector</w:t>
      </w:r>
      <w:r w:rsidR="003F5421" w:rsidRPr="00E670A1">
        <w:t>s</w:t>
      </w:r>
      <w:r w:rsidR="007E7E9B" w:rsidRPr="00E670A1">
        <w:t xml:space="preserve">. These activities </w:t>
      </w:r>
      <w:r w:rsidR="003F5421" w:rsidRPr="00E670A1">
        <w:t>are</w:t>
      </w:r>
      <w:r w:rsidR="00F12F23" w:rsidRPr="00E670A1">
        <w:t>:</w:t>
      </w:r>
      <w:r w:rsidR="007E7E9B" w:rsidRPr="00E670A1">
        <w:t xml:space="preserve"> </w:t>
      </w:r>
    </w:p>
    <w:p w14:paraId="16126A28" w14:textId="6917F050" w:rsidR="005D018D" w:rsidRDefault="007E7E9B" w:rsidP="005D018D">
      <w:pPr>
        <w:pStyle w:val="Bullet"/>
      </w:pPr>
      <w:r w:rsidRPr="00E670A1">
        <w:t xml:space="preserve">enforcement costs funded by the </w:t>
      </w:r>
      <w:r w:rsidR="003F5421" w:rsidRPr="00E670A1">
        <w:t xml:space="preserve">ASIC </w:t>
      </w:r>
      <w:r w:rsidRPr="00E670A1">
        <w:t>E</w:t>
      </w:r>
      <w:r w:rsidR="003F5421" w:rsidRPr="00E670A1">
        <w:t xml:space="preserve">nforcement </w:t>
      </w:r>
      <w:r w:rsidRPr="00E670A1">
        <w:t>S</w:t>
      </w:r>
      <w:r w:rsidR="003F5421" w:rsidRPr="00E670A1">
        <w:t xml:space="preserve">pecial </w:t>
      </w:r>
      <w:r w:rsidRPr="00E670A1">
        <w:t>A</w:t>
      </w:r>
      <w:r w:rsidR="003F5421" w:rsidRPr="00E670A1">
        <w:t>ccount</w:t>
      </w:r>
      <w:r w:rsidR="006561B7">
        <w:t xml:space="preserve"> (ESA)</w:t>
      </w:r>
      <w:r w:rsidRPr="00E670A1">
        <w:t xml:space="preserve">; </w:t>
      </w:r>
    </w:p>
    <w:p w14:paraId="168C8DA3" w14:textId="77777777" w:rsidR="005D018D" w:rsidRDefault="007E7E9B" w:rsidP="005D018D">
      <w:pPr>
        <w:pStyle w:val="Bullet"/>
      </w:pPr>
      <w:r w:rsidRPr="00E670A1">
        <w:t xml:space="preserve">education; </w:t>
      </w:r>
    </w:p>
    <w:p w14:paraId="2449E4E2" w14:textId="77777777" w:rsidR="005D018D" w:rsidRDefault="007E7E9B" w:rsidP="005D018D">
      <w:pPr>
        <w:pStyle w:val="Bullet"/>
      </w:pPr>
      <w:r w:rsidRPr="00E670A1">
        <w:t xml:space="preserve">unclaimed money administration; </w:t>
      </w:r>
    </w:p>
    <w:p w14:paraId="45A174B2" w14:textId="77777777" w:rsidR="005D018D" w:rsidRDefault="007E7E9B" w:rsidP="005D018D">
      <w:pPr>
        <w:pStyle w:val="Bullet"/>
      </w:pPr>
      <w:r w:rsidRPr="00E670A1">
        <w:t>the North Queensland insurance aggregator;</w:t>
      </w:r>
      <w:r w:rsidR="00F12F23" w:rsidRPr="00E670A1">
        <w:t xml:space="preserve"> </w:t>
      </w:r>
    </w:p>
    <w:p w14:paraId="5A1E257C" w14:textId="77777777" w:rsidR="005D018D" w:rsidRDefault="00F12F23" w:rsidP="005D018D">
      <w:pPr>
        <w:pStyle w:val="Bullet"/>
      </w:pPr>
      <w:r w:rsidRPr="00E670A1">
        <w:t xml:space="preserve">implementation of </w:t>
      </w:r>
      <w:r w:rsidR="007E7E9B" w:rsidRPr="00E670A1">
        <w:t>crowd-sourced funding</w:t>
      </w:r>
      <w:r w:rsidR="007372A6" w:rsidRPr="00E670A1">
        <w:t xml:space="preserve"> regulation</w:t>
      </w:r>
      <w:r w:rsidR="007E7E9B" w:rsidRPr="00E670A1">
        <w:t>;</w:t>
      </w:r>
      <w:r w:rsidR="007372A6" w:rsidRPr="00E670A1">
        <w:t xml:space="preserve"> </w:t>
      </w:r>
    </w:p>
    <w:p w14:paraId="33A26E3D" w14:textId="2A6EC7AD" w:rsidR="005D018D" w:rsidRDefault="007372A6" w:rsidP="005D018D">
      <w:pPr>
        <w:pStyle w:val="Bullet"/>
      </w:pPr>
      <w:r w:rsidRPr="00E670A1">
        <w:t xml:space="preserve">the </w:t>
      </w:r>
      <w:r w:rsidR="009B4F09" w:rsidRPr="00E670A1">
        <w:t>whistle-blower</w:t>
      </w:r>
      <w:r w:rsidR="007E7E9B" w:rsidRPr="00E670A1">
        <w:t xml:space="preserve"> legal framework;</w:t>
      </w:r>
      <w:r w:rsidRPr="00E670A1">
        <w:t xml:space="preserve"> </w:t>
      </w:r>
      <w:r w:rsidR="00865198">
        <w:t>and</w:t>
      </w:r>
    </w:p>
    <w:p w14:paraId="056E33BE" w14:textId="78CBA5D9" w:rsidR="00951366" w:rsidRDefault="007372A6" w:rsidP="006561B7">
      <w:pPr>
        <w:pStyle w:val="Bullet"/>
      </w:pPr>
      <w:r w:rsidRPr="00E670A1">
        <w:t xml:space="preserve">the regulation of </w:t>
      </w:r>
      <w:r w:rsidR="007E7E9B" w:rsidRPr="00E670A1">
        <w:t>credit rating agencies.</w:t>
      </w:r>
    </w:p>
    <w:p w14:paraId="17CD30DD" w14:textId="0D9F7D04" w:rsidR="00106A6E" w:rsidRPr="00E670A1" w:rsidRDefault="00951366" w:rsidP="008B2C1A">
      <w:r w:rsidRPr="00E670A1">
        <w:rPr>
          <w:rFonts w:cs="Calibri Light"/>
        </w:rPr>
        <w:lastRenderedPageBreak/>
        <w:t xml:space="preserve">Government policy </w:t>
      </w:r>
      <w:r w:rsidRPr="00E670A1">
        <w:t>is when an organisation creates the demand for a government activity, they should generally be charged for it. If the cost of any aspect of ASIC’s regulatory activity is not recovered from industry, it would necessarily be funded by the Commonwealth budget and therefore by general taxpayers. This would present concerns about equity and fairness, and would not be aligned with the Government’s priority for responsible budget repair.</w:t>
      </w:r>
      <w:r>
        <w:t xml:space="preserve">  </w:t>
      </w:r>
    </w:p>
    <w:p w14:paraId="37E7818B" w14:textId="7A8D743D" w:rsidR="009B4F09" w:rsidRPr="00E670A1" w:rsidRDefault="00951366" w:rsidP="00F73FA7">
      <w:pPr>
        <w:rPr>
          <w:rFonts w:cs="Calibri Light"/>
        </w:rPr>
      </w:pPr>
      <w:r>
        <w:rPr>
          <w:rFonts w:cs="Calibri Light"/>
        </w:rPr>
        <w:t>However, i</w:t>
      </w:r>
      <w:r w:rsidR="006B7E78" w:rsidRPr="00E670A1">
        <w:rPr>
          <w:rFonts w:cs="Calibri Light"/>
        </w:rPr>
        <w:t>n some cases, the Government has made decisions that certain regulatory costs will not be recovered through IFM levies</w:t>
      </w:r>
      <w:r w:rsidR="00106A6E">
        <w:rPr>
          <w:rFonts w:cs="Calibri Light"/>
        </w:rPr>
        <w:t xml:space="preserve">. </w:t>
      </w:r>
      <w:r w:rsidR="00653230" w:rsidRPr="00E670A1">
        <w:rPr>
          <w:rFonts w:cs="Calibri Light"/>
        </w:rPr>
        <w:t xml:space="preserve">These </w:t>
      </w:r>
      <w:r w:rsidR="00653230" w:rsidRPr="00E670A1">
        <w:t>c</w:t>
      </w:r>
      <w:r w:rsidR="00AF754C" w:rsidRPr="00E670A1">
        <w:t>osts that are not recovered</w:t>
      </w:r>
      <w:r w:rsidR="00334360" w:rsidRPr="00E670A1">
        <w:t xml:space="preserve"> </w:t>
      </w:r>
      <w:r w:rsidR="004B1344">
        <w:t xml:space="preserve">through levies </w:t>
      </w:r>
      <w:r w:rsidR="00334360" w:rsidRPr="00E670A1">
        <w:t xml:space="preserve">are funded by the </w:t>
      </w:r>
      <w:r w:rsidR="00AF754C" w:rsidRPr="00E670A1">
        <w:t>G</w:t>
      </w:r>
      <w:r w:rsidR="00334360" w:rsidRPr="00E670A1">
        <w:t>overnment (</w:t>
      </w:r>
      <w:r w:rsidR="00AF754C" w:rsidRPr="00E670A1">
        <w:t>i.e.</w:t>
      </w:r>
      <w:r w:rsidR="00A24185">
        <w:t> </w:t>
      </w:r>
      <w:r w:rsidR="00334360" w:rsidRPr="00E670A1">
        <w:t>general taxpayers).</w:t>
      </w:r>
    </w:p>
    <w:p w14:paraId="26813DDC" w14:textId="7BEE8C35" w:rsidR="009B4F09" w:rsidRPr="00165553" w:rsidRDefault="00B06CE4" w:rsidP="0033187E">
      <w:pPr>
        <w:pStyle w:val="NoSpacing"/>
        <w:numPr>
          <w:ilvl w:val="0"/>
          <w:numId w:val="15"/>
        </w:numPr>
        <w:rPr>
          <w:rFonts w:ascii="Calibri Light" w:eastAsia="Times New Roman" w:hAnsi="Calibri Light" w:cs="Times New Roman"/>
          <w:szCs w:val="20"/>
          <w:lang w:eastAsia="en-AU"/>
        </w:rPr>
      </w:pPr>
      <w:r w:rsidRPr="00165553">
        <w:rPr>
          <w:rFonts w:ascii="Calibri Light" w:eastAsia="Times New Roman" w:hAnsi="Calibri Light" w:cs="Times New Roman"/>
          <w:szCs w:val="20"/>
          <w:lang w:eastAsia="en-AU"/>
        </w:rPr>
        <w:t xml:space="preserve">Costs relating to the Superannuation Complaints Tribunal </w:t>
      </w:r>
      <w:r w:rsidR="000F2161" w:rsidRPr="00165553">
        <w:rPr>
          <w:rFonts w:ascii="Calibri Light" w:eastAsia="Times New Roman" w:hAnsi="Calibri Light" w:cs="Times New Roman"/>
          <w:szCs w:val="20"/>
          <w:lang w:eastAsia="en-AU"/>
        </w:rPr>
        <w:t>are recovered by the Australian Prudential Regulation Authority (APRA).</w:t>
      </w:r>
      <w:r w:rsidR="0060156E" w:rsidRPr="00216E1F">
        <w:rPr>
          <w:rFonts w:ascii="Calibri Light" w:eastAsia="Times New Roman" w:hAnsi="Calibri Light" w:cs="Times New Roman"/>
          <w:szCs w:val="20"/>
          <w:vertAlign w:val="superscript"/>
          <w:lang w:eastAsia="en-AU"/>
        </w:rPr>
        <w:footnoteReference w:id="7"/>
      </w:r>
    </w:p>
    <w:p w14:paraId="57994AFA" w14:textId="56E84545" w:rsidR="006B7E78" w:rsidRPr="00216E1F" w:rsidRDefault="000F2161" w:rsidP="0033187E">
      <w:pPr>
        <w:pStyle w:val="NoSpacing"/>
        <w:numPr>
          <w:ilvl w:val="0"/>
          <w:numId w:val="15"/>
        </w:numPr>
        <w:rPr>
          <w:rFonts w:ascii="Calibri Light" w:eastAsia="Times New Roman" w:hAnsi="Calibri Light" w:cs="Times New Roman"/>
          <w:szCs w:val="20"/>
          <w:lang w:eastAsia="en-AU"/>
        </w:rPr>
      </w:pPr>
      <w:r w:rsidRPr="00165553">
        <w:rPr>
          <w:rFonts w:ascii="Calibri Light" w:eastAsia="Times New Roman" w:hAnsi="Calibri Light" w:cs="Times New Roman"/>
          <w:szCs w:val="20"/>
          <w:lang w:eastAsia="en-AU"/>
        </w:rPr>
        <w:t>E</w:t>
      </w:r>
      <w:r w:rsidR="006B7E78" w:rsidRPr="00165553">
        <w:rPr>
          <w:rFonts w:ascii="Calibri Light" w:eastAsia="Times New Roman" w:hAnsi="Calibri Light" w:cs="Times New Roman"/>
          <w:szCs w:val="20"/>
          <w:lang w:eastAsia="en-AU"/>
        </w:rPr>
        <w:t xml:space="preserve">ntities registered under the </w:t>
      </w:r>
      <w:r w:rsidR="006B7E78" w:rsidRPr="00B46582">
        <w:rPr>
          <w:rFonts w:ascii="Calibri Light" w:eastAsia="Times New Roman" w:hAnsi="Calibri Light" w:cs="Times New Roman"/>
          <w:i/>
          <w:iCs/>
          <w:szCs w:val="20"/>
          <w:lang w:eastAsia="en-AU"/>
        </w:rPr>
        <w:t>Australian Charities and Not-for-profits</w:t>
      </w:r>
      <w:r w:rsidR="006B7E78" w:rsidRPr="00165553">
        <w:rPr>
          <w:rFonts w:ascii="Calibri Light" w:eastAsia="Times New Roman" w:hAnsi="Calibri Light" w:cs="Times New Roman"/>
          <w:szCs w:val="20"/>
          <w:lang w:eastAsia="en-AU"/>
        </w:rPr>
        <w:t xml:space="preserve"> </w:t>
      </w:r>
      <w:r w:rsidR="006B7E78" w:rsidRPr="00B46582">
        <w:rPr>
          <w:rFonts w:ascii="Calibri Light" w:eastAsia="Times New Roman" w:hAnsi="Calibri Light" w:cs="Times New Roman"/>
          <w:i/>
          <w:szCs w:val="20"/>
          <w:lang w:eastAsia="en-AU"/>
        </w:rPr>
        <w:t>Commission Act 2012</w:t>
      </w:r>
      <w:r w:rsidR="006B7E78" w:rsidRPr="00165553">
        <w:rPr>
          <w:rFonts w:ascii="Calibri Light" w:eastAsia="Times New Roman" w:hAnsi="Calibri Light" w:cs="Times New Roman"/>
          <w:szCs w:val="20"/>
          <w:lang w:eastAsia="en-AU"/>
        </w:rPr>
        <w:t xml:space="preserve"> </w:t>
      </w:r>
      <w:r w:rsidRPr="00165553">
        <w:rPr>
          <w:rFonts w:ascii="Calibri Light" w:eastAsia="Times New Roman" w:hAnsi="Calibri Light" w:cs="Times New Roman"/>
          <w:szCs w:val="20"/>
          <w:lang w:eastAsia="en-AU"/>
        </w:rPr>
        <w:t xml:space="preserve">are exempt </w:t>
      </w:r>
      <w:r w:rsidR="006B7E78" w:rsidRPr="00165553">
        <w:rPr>
          <w:rFonts w:ascii="Calibri Light" w:eastAsia="Times New Roman" w:hAnsi="Calibri Light" w:cs="Times New Roman"/>
          <w:szCs w:val="20"/>
          <w:lang w:eastAsia="en-AU"/>
        </w:rPr>
        <w:t xml:space="preserve">from having to pay levies. </w:t>
      </w:r>
    </w:p>
    <w:p w14:paraId="032DEC49" w14:textId="6C033BF8" w:rsidR="006B7E78" w:rsidRPr="00F652A0" w:rsidRDefault="00C60C9D" w:rsidP="00180244">
      <w:pPr>
        <w:pStyle w:val="NoSpacing"/>
        <w:numPr>
          <w:ilvl w:val="0"/>
          <w:numId w:val="15"/>
        </w:numPr>
      </w:pPr>
      <w:r w:rsidRPr="00165553">
        <w:rPr>
          <w:rFonts w:ascii="Calibri Light" w:eastAsia="Times New Roman" w:hAnsi="Calibri Light" w:cs="Times New Roman"/>
          <w:szCs w:val="20"/>
          <w:lang w:eastAsia="en-AU"/>
        </w:rPr>
        <w:t>Certain costs</w:t>
      </w:r>
      <w:r w:rsidR="006B7E78" w:rsidRPr="00165553">
        <w:rPr>
          <w:rFonts w:ascii="Calibri Light" w:eastAsia="Times New Roman" w:hAnsi="Calibri Light" w:cs="Times New Roman"/>
          <w:szCs w:val="20"/>
          <w:lang w:eastAsia="en-AU"/>
        </w:rPr>
        <w:t xml:space="preserve"> do not form part of ASIC’s regulatory costs and therefore are not recovered through the IFM</w:t>
      </w:r>
      <w:r w:rsidRPr="00165553">
        <w:rPr>
          <w:rFonts w:ascii="Calibri Light" w:eastAsia="Times New Roman" w:hAnsi="Calibri Light" w:cs="Times New Roman"/>
          <w:szCs w:val="20"/>
          <w:lang w:eastAsia="en-AU"/>
        </w:rPr>
        <w:t>. These</w:t>
      </w:r>
      <w:r w:rsidR="006B7E78" w:rsidRPr="00165553">
        <w:rPr>
          <w:rFonts w:ascii="Calibri Light" w:eastAsia="Times New Roman" w:hAnsi="Calibri Light" w:cs="Times New Roman"/>
          <w:szCs w:val="20"/>
          <w:lang w:eastAsia="en-AU"/>
        </w:rPr>
        <w:t xml:space="preserve"> include</w:t>
      </w:r>
      <w:r w:rsidRPr="00165553">
        <w:rPr>
          <w:rFonts w:ascii="Calibri Light" w:eastAsia="Times New Roman" w:hAnsi="Calibri Light" w:cs="Times New Roman"/>
          <w:szCs w:val="20"/>
          <w:lang w:eastAsia="en-AU"/>
        </w:rPr>
        <w:t xml:space="preserve"> the costs of</w:t>
      </w:r>
      <w:r w:rsidR="006B7E78" w:rsidRPr="00165553">
        <w:rPr>
          <w:rFonts w:ascii="Calibri Light" w:eastAsia="Times New Roman" w:hAnsi="Calibri Light" w:cs="Times New Roman"/>
          <w:szCs w:val="20"/>
          <w:lang w:eastAsia="en-AU"/>
        </w:rPr>
        <w:t>:</w:t>
      </w:r>
      <w:r w:rsidRPr="00165553">
        <w:rPr>
          <w:rFonts w:ascii="Calibri Light" w:eastAsia="Times New Roman" w:hAnsi="Calibri Light" w:cs="Times New Roman"/>
          <w:szCs w:val="20"/>
          <w:lang w:eastAsia="en-AU"/>
        </w:rPr>
        <w:t xml:space="preserve"> </w:t>
      </w:r>
      <w:r w:rsidR="006B7E78" w:rsidRPr="00165553">
        <w:rPr>
          <w:rFonts w:ascii="Calibri Light" w:eastAsia="Times New Roman" w:hAnsi="Calibri Light" w:cs="Times New Roman"/>
          <w:szCs w:val="20"/>
          <w:lang w:eastAsia="en-AU"/>
        </w:rPr>
        <w:t>operating the Companies Auditors Disciplinary Board (CADB)</w:t>
      </w:r>
      <w:r w:rsidRPr="00165553">
        <w:rPr>
          <w:rFonts w:ascii="Calibri Light" w:eastAsia="Times New Roman" w:hAnsi="Calibri Light" w:cs="Times New Roman"/>
          <w:szCs w:val="20"/>
          <w:lang w:eastAsia="en-AU"/>
        </w:rPr>
        <w:t xml:space="preserve">; </w:t>
      </w:r>
      <w:r w:rsidR="006B7E78" w:rsidRPr="00165553">
        <w:rPr>
          <w:rFonts w:ascii="Calibri Light" w:eastAsia="Times New Roman" w:hAnsi="Calibri Light" w:cs="Times New Roman"/>
          <w:szCs w:val="20"/>
          <w:lang w:eastAsia="en-AU"/>
        </w:rPr>
        <w:t xml:space="preserve">operating the registered </w:t>
      </w:r>
      <w:r w:rsidR="00527197" w:rsidRPr="00165553">
        <w:rPr>
          <w:rFonts w:ascii="Calibri Light" w:eastAsia="Times New Roman" w:hAnsi="Calibri Light" w:cs="Times New Roman"/>
          <w:szCs w:val="20"/>
          <w:lang w:eastAsia="en-AU"/>
        </w:rPr>
        <w:t xml:space="preserve">liquidators </w:t>
      </w:r>
      <w:r w:rsidR="006B7E78" w:rsidRPr="00165553">
        <w:rPr>
          <w:rFonts w:ascii="Calibri Light" w:eastAsia="Times New Roman" w:hAnsi="Calibri Light" w:cs="Times New Roman"/>
          <w:szCs w:val="20"/>
          <w:lang w:eastAsia="en-AU"/>
        </w:rPr>
        <w:t>disciplinary committees</w:t>
      </w:r>
      <w:r w:rsidR="00882D5C" w:rsidRPr="00165553">
        <w:rPr>
          <w:rFonts w:ascii="Calibri Light" w:eastAsia="Times New Roman" w:hAnsi="Calibri Light" w:cs="Times New Roman"/>
          <w:szCs w:val="20"/>
          <w:lang w:eastAsia="en-AU"/>
        </w:rPr>
        <w:t xml:space="preserve">; </w:t>
      </w:r>
      <w:r w:rsidR="006B7E78" w:rsidRPr="00165553">
        <w:rPr>
          <w:noProof/>
        </w:rPr>
        <mc:AlternateContent>
          <mc:Choice Requires="wpi">
            <w:drawing>
              <wp:anchor distT="0" distB="0" distL="114300" distR="114300" simplePos="0" relativeHeight="251658240" behindDoc="0" locked="0" layoutInCell="1" allowOverlap="1" wp14:anchorId="363B6BC3" wp14:editId="20A1DAE7">
                <wp:simplePos x="0" y="0"/>
                <wp:positionH relativeFrom="column">
                  <wp:posOffset>-2368470</wp:posOffset>
                </wp:positionH>
                <wp:positionV relativeFrom="paragraph">
                  <wp:posOffset>1016245</wp:posOffset>
                </wp:positionV>
                <wp:extent cx="360" cy="360"/>
                <wp:effectExtent l="38100" t="38100" r="57150" b="57150"/>
                <wp:wrapNone/>
                <wp:docPr id="5" name="Ink 1"/>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type w14:anchorId="2F305B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87.2pt;margin-top:79.3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">
                <v:imagedata r:id="rId28" o:title=""/>
              </v:shape>
            </w:pict>
          </mc:Fallback>
        </mc:AlternateContent>
      </w:r>
      <w:r w:rsidR="006B7E78" w:rsidRPr="00165553">
        <w:rPr>
          <w:rFonts w:ascii="Calibri Light" w:eastAsia="Times New Roman" w:hAnsi="Calibri Light" w:cs="Times New Roman"/>
          <w:szCs w:val="20"/>
          <w:lang w:eastAsia="en-AU"/>
        </w:rPr>
        <w:t>maintaining and operating ASIC’s public registers</w:t>
      </w:r>
      <w:r w:rsidR="00882D5C" w:rsidRPr="00165553">
        <w:rPr>
          <w:rFonts w:ascii="Calibri Light" w:eastAsia="Times New Roman" w:hAnsi="Calibri Light" w:cs="Times New Roman"/>
          <w:szCs w:val="20"/>
          <w:lang w:eastAsia="en-AU"/>
        </w:rPr>
        <w:t xml:space="preserve">; </w:t>
      </w:r>
      <w:r w:rsidR="006B7E78" w:rsidRPr="00165553">
        <w:rPr>
          <w:rFonts w:ascii="Calibri Light" w:eastAsia="Times New Roman" w:hAnsi="Calibri Light" w:cs="Times New Roman"/>
          <w:szCs w:val="20"/>
          <w:lang w:eastAsia="en-AU"/>
        </w:rPr>
        <w:t>regulating self-managed superannuation fund (SMSF) auditors</w:t>
      </w:r>
      <w:r w:rsidR="00882D5C" w:rsidRPr="00165553">
        <w:rPr>
          <w:rFonts w:ascii="Calibri Light" w:eastAsia="Times New Roman" w:hAnsi="Calibri Light" w:cs="Times New Roman"/>
          <w:szCs w:val="20"/>
          <w:lang w:eastAsia="en-AU"/>
        </w:rPr>
        <w:t xml:space="preserve">; and </w:t>
      </w:r>
      <w:r w:rsidR="006B7E78" w:rsidRPr="00165553">
        <w:rPr>
          <w:rFonts w:ascii="Calibri Light" w:eastAsia="Times New Roman" w:hAnsi="Calibri Light" w:cs="Times New Roman"/>
          <w:szCs w:val="20"/>
          <w:lang w:eastAsia="en-AU"/>
        </w:rPr>
        <w:t>preliminary investigations and reports by registered liquidators into the failure of a company with few or no assets</w:t>
      </w:r>
      <w:r w:rsidR="00882D5C" w:rsidRPr="00165553">
        <w:rPr>
          <w:rFonts w:ascii="Calibri Light" w:eastAsia="Times New Roman" w:hAnsi="Calibri Light" w:cs="Times New Roman"/>
          <w:szCs w:val="20"/>
          <w:lang w:eastAsia="en-AU"/>
        </w:rPr>
        <w:t>.</w:t>
      </w:r>
    </w:p>
    <w:p w14:paraId="13EF1A68" w14:textId="222D0576" w:rsidR="001D4EC4" w:rsidRDefault="001D4EC4" w:rsidP="00EC05E8">
      <w:pPr>
        <w:pStyle w:val="Heading3"/>
      </w:pPr>
      <w:bookmarkStart w:id="32" w:name="_Toc114214411"/>
      <w:bookmarkStart w:id="33" w:name="_Toc109834335"/>
      <w:r>
        <w:t>Allocation</w:t>
      </w:r>
      <w:r w:rsidR="006E4749">
        <w:t xml:space="preserve"> of costs</w:t>
      </w:r>
      <w:r>
        <w:t xml:space="preserve"> and calculation of levies</w:t>
      </w:r>
      <w:bookmarkEnd w:id="32"/>
      <w:r>
        <w:t xml:space="preserve"> </w:t>
      </w:r>
      <w:bookmarkEnd w:id="33"/>
    </w:p>
    <w:p w14:paraId="3D7C987B" w14:textId="1DB524BD" w:rsidR="00855240" w:rsidRDefault="00855240" w:rsidP="001D4EC4">
      <w:r>
        <w:t>ASIC apportions its regulatory costs across its entire regulated population, which is divided into 52</w:t>
      </w:r>
      <w:r w:rsidR="000E0C13">
        <w:t> </w:t>
      </w:r>
      <w:r w:rsidR="00F33074">
        <w:t>sub</w:t>
      </w:r>
      <w:r w:rsidR="00F33074">
        <w:noBreakHyphen/>
      </w:r>
      <w:r w:rsidR="00963A41" w:rsidRPr="00963A41">
        <w:t>sector</w:t>
      </w:r>
      <w:r w:rsidR="00963A41">
        <w:t>s</w:t>
      </w:r>
      <w:r>
        <w:t xml:space="preserve"> (as at 2021-22). </w:t>
      </w:r>
      <w:r w:rsidR="00703CB2">
        <w:t xml:space="preserve">Levies are charged on an ex-post basis to the 52 </w:t>
      </w:r>
      <w:r w:rsidR="00F33074">
        <w:t>sub</w:t>
      </w:r>
      <w:r w:rsidR="00F33074">
        <w:noBreakHyphen/>
      </w:r>
      <w:r w:rsidR="00527197">
        <w:t>sector</w:t>
      </w:r>
      <w:r w:rsidR="00703CB2">
        <w:t xml:space="preserve">s, with costs recovered </w:t>
      </w:r>
      <w:r w:rsidR="009A2B32">
        <w:t>based on</w:t>
      </w:r>
      <w:r w:rsidR="00703CB2">
        <w:t xml:space="preserve"> the regulatory </w:t>
      </w:r>
      <w:r w:rsidR="009A2B32">
        <w:t>effort</w:t>
      </w:r>
      <w:r w:rsidR="008E5AF9">
        <w:t xml:space="preserve"> </w:t>
      </w:r>
      <w:r w:rsidR="00703CB2">
        <w:t xml:space="preserve">incurred by ASIC in respect of each </w:t>
      </w:r>
      <w:r w:rsidR="00F33074">
        <w:t>sub</w:t>
      </w:r>
      <w:r w:rsidR="00F33074">
        <w:noBreakHyphen/>
        <w:t>sector</w:t>
      </w:r>
      <w:r w:rsidR="00703CB2">
        <w:t>.</w:t>
      </w:r>
    </w:p>
    <w:p w14:paraId="4F871225" w14:textId="1BCD4741" w:rsidR="009D3083" w:rsidRDefault="001D4EC4" w:rsidP="001D4EC4">
      <w:r>
        <w:t xml:space="preserve">A time measurement system is used to measure the cost of regulatory activities for each </w:t>
      </w:r>
      <w:r w:rsidR="00F33074">
        <w:t>sub</w:t>
      </w:r>
      <w:r w:rsidR="00F33074">
        <w:noBreakHyphen/>
        <w:t>sector</w:t>
      </w:r>
      <w:r>
        <w:t xml:space="preserve">. ASIC allocates costs (such as direct employee expenses and direct supplier costs) to the relevant </w:t>
      </w:r>
      <w:r w:rsidR="00F33074">
        <w:t>sub</w:t>
      </w:r>
      <w:r w:rsidR="00F33074">
        <w:noBreakHyphen/>
        <w:t>sector</w:t>
      </w:r>
      <w:r>
        <w:t xml:space="preserve"> and activity. Indirect costs are allocated to stakeholder and enforcement teams in proportion to the internal support they receive, </w:t>
      </w:r>
      <w:r w:rsidR="00141C0B">
        <w:t>and</w:t>
      </w:r>
      <w:r>
        <w:t xml:space="preserve"> then </w:t>
      </w:r>
      <w:r w:rsidR="00141C0B">
        <w:t xml:space="preserve">allocated </w:t>
      </w:r>
      <w:r>
        <w:t xml:space="preserve">to </w:t>
      </w:r>
      <w:r w:rsidR="00F33074">
        <w:t>sub</w:t>
      </w:r>
      <w:r w:rsidR="00F33074">
        <w:noBreakHyphen/>
      </w:r>
      <w:r w:rsidR="00527197">
        <w:t>sector</w:t>
      </w:r>
      <w:r>
        <w:t xml:space="preserve">s in the same manner as direct costs.  </w:t>
      </w:r>
    </w:p>
    <w:p w14:paraId="58654FBC" w14:textId="76A0AB81" w:rsidR="004B5D8B" w:rsidRDefault="005D15BE">
      <w:r>
        <w:t>S</w:t>
      </w:r>
      <w:r w:rsidR="004B5D8B">
        <w:t xml:space="preserve">ome activities or costs can impact multiple </w:t>
      </w:r>
      <w:r w:rsidR="00F33074">
        <w:t>sub</w:t>
      </w:r>
      <w:r w:rsidR="00F33074">
        <w:noBreakHyphen/>
      </w:r>
      <w:r w:rsidR="00527197">
        <w:t>sector</w:t>
      </w:r>
      <w:r w:rsidR="004B5D8B">
        <w:t>s</w:t>
      </w:r>
      <w:r w:rsidR="0074475E">
        <w:t xml:space="preserve"> – f</w:t>
      </w:r>
      <w:r w:rsidR="004B5D8B">
        <w:t>or example, certain</w:t>
      </w:r>
      <w:r w:rsidR="008A483F">
        <w:t xml:space="preserve"> </w:t>
      </w:r>
      <w:r w:rsidR="004B5D8B">
        <w:t xml:space="preserve">capital </w:t>
      </w:r>
      <w:r w:rsidR="006511CF">
        <w:t>projects</w:t>
      </w:r>
      <w:r w:rsidR="007C600F">
        <w:t xml:space="preserve"> that </w:t>
      </w:r>
      <w:r w:rsidR="00C719BC">
        <w:t>impact</w:t>
      </w:r>
      <w:r w:rsidR="007C600F">
        <w:t xml:space="preserve"> multiple </w:t>
      </w:r>
      <w:r w:rsidR="00F33074">
        <w:t>sub</w:t>
      </w:r>
      <w:r w:rsidR="00F33074">
        <w:noBreakHyphen/>
      </w:r>
      <w:r w:rsidR="00527197">
        <w:t>sector</w:t>
      </w:r>
      <w:r w:rsidR="007C600F">
        <w:t>s</w:t>
      </w:r>
      <w:r w:rsidR="006511CF">
        <w:t xml:space="preserve"> </w:t>
      </w:r>
      <w:r w:rsidR="003E1EF7">
        <w:t xml:space="preserve">or </w:t>
      </w:r>
      <w:r w:rsidR="007D0C8F">
        <w:t xml:space="preserve">enforcement matters </w:t>
      </w:r>
      <w:r w:rsidR="00763D62">
        <w:t xml:space="preserve">where the issues in a particular matter involve multiple </w:t>
      </w:r>
      <w:r w:rsidR="00F33074">
        <w:t>sub</w:t>
      </w:r>
      <w:r w:rsidR="00F33074">
        <w:noBreakHyphen/>
      </w:r>
      <w:r w:rsidR="00527197">
        <w:t>sector</w:t>
      </w:r>
      <w:r w:rsidR="00763D62">
        <w:t xml:space="preserve">s. </w:t>
      </w:r>
      <w:r w:rsidR="00B35EE9">
        <w:t xml:space="preserve">Where this is the case, costs are apportioned across the relevant </w:t>
      </w:r>
      <w:r w:rsidR="00F33074">
        <w:t>sub</w:t>
      </w:r>
      <w:r w:rsidR="00F33074">
        <w:noBreakHyphen/>
      </w:r>
      <w:r w:rsidR="00527197">
        <w:t>sector</w:t>
      </w:r>
      <w:r w:rsidR="00B35EE9">
        <w:t>s</w:t>
      </w:r>
      <w:r w:rsidR="00B23650">
        <w:t xml:space="preserve"> </w:t>
      </w:r>
      <w:r w:rsidR="00B716E0">
        <w:t>based on</w:t>
      </w:r>
      <w:r w:rsidR="00B23650">
        <w:t xml:space="preserve"> </w:t>
      </w:r>
      <w:r w:rsidR="0013299F">
        <w:t>ASIC’s regulatory effort</w:t>
      </w:r>
      <w:r w:rsidR="00BE0367">
        <w:t xml:space="preserve"> for each </w:t>
      </w:r>
      <w:r w:rsidR="00F33074">
        <w:t>sub</w:t>
      </w:r>
      <w:r w:rsidR="00F33074">
        <w:noBreakHyphen/>
        <w:t>sector</w:t>
      </w:r>
      <w:r w:rsidR="00B35EE9">
        <w:t xml:space="preserve">. </w:t>
      </w:r>
    </w:p>
    <w:p w14:paraId="7DB21EB6" w14:textId="2CAF1EBD" w:rsidR="001D4EC4" w:rsidRDefault="001D4EC4" w:rsidP="001D4EC4">
      <w:r>
        <w:t xml:space="preserve">The levy payable by an individual entity is then determined using formulas and metrics for the </w:t>
      </w:r>
      <w:r w:rsidR="00F33074">
        <w:t>sub</w:t>
      </w:r>
      <w:r w:rsidR="00F33074">
        <w:noBreakHyphen/>
      </w:r>
      <w:r w:rsidR="00527197">
        <w:t>sector</w:t>
      </w:r>
      <w:r>
        <w:t xml:space="preserve"> prescribed in the Cost Recovery Levy Regulations. </w:t>
      </w:r>
      <w:r w:rsidR="00D17FE0">
        <w:t xml:space="preserve">Appendix D provides a catalogue of </w:t>
      </w:r>
      <w:r w:rsidR="00F33074">
        <w:t>sub</w:t>
      </w:r>
      <w:r w:rsidR="00F33074">
        <w:noBreakHyphen/>
      </w:r>
      <w:r w:rsidR="00527197">
        <w:t>sector</w:t>
      </w:r>
      <w:r w:rsidR="00D17FE0">
        <w:t xml:space="preserve"> definitions, metrics and formulas. </w:t>
      </w:r>
    </w:p>
    <w:p w14:paraId="02D99D19" w14:textId="47B2A3C4" w:rsidR="001D4EC4" w:rsidRDefault="001D4EC4" w:rsidP="001D4EC4">
      <w:r>
        <w:t xml:space="preserve">Entities in a </w:t>
      </w:r>
      <w:r w:rsidR="00F33074">
        <w:t>sub</w:t>
      </w:r>
      <w:r w:rsidR="00F33074">
        <w:noBreakHyphen/>
        <w:t>sector</w:t>
      </w:r>
      <w:r>
        <w:t xml:space="preserve"> may be required to pay a flat levy or a graduated levy. </w:t>
      </w:r>
    </w:p>
    <w:p w14:paraId="716C8512" w14:textId="6F4E80FA" w:rsidR="001D4EC4" w:rsidRPr="00AF40CB" w:rsidRDefault="001D4EC4" w:rsidP="0033187E">
      <w:pPr>
        <w:pStyle w:val="NoSpacing"/>
        <w:numPr>
          <w:ilvl w:val="0"/>
          <w:numId w:val="15"/>
        </w:numPr>
        <w:rPr>
          <w:rFonts w:ascii="Calibri Light" w:eastAsia="Times New Roman" w:hAnsi="Calibri Light" w:cs="Times New Roman"/>
          <w:szCs w:val="20"/>
          <w:lang w:eastAsia="en-AU"/>
        </w:rPr>
      </w:pPr>
      <w:r w:rsidRPr="00FE4300">
        <w:rPr>
          <w:rFonts w:ascii="Calibri Light" w:eastAsia="Times New Roman" w:hAnsi="Calibri Light" w:cs="Times New Roman"/>
          <w:szCs w:val="20"/>
          <w:lang w:eastAsia="en-AU"/>
        </w:rPr>
        <w:t xml:space="preserve">Flat levies are prescribed for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r>
      <w:r w:rsidR="00527197">
        <w:rPr>
          <w:rFonts w:ascii="Calibri Light" w:eastAsia="Times New Roman" w:hAnsi="Calibri Light" w:cs="Times New Roman"/>
          <w:szCs w:val="20"/>
          <w:lang w:eastAsia="en-AU"/>
        </w:rPr>
        <w:t>sector</w:t>
      </w:r>
      <w:r w:rsidRPr="00FE4300">
        <w:rPr>
          <w:rFonts w:ascii="Calibri Light" w:eastAsia="Times New Roman" w:hAnsi="Calibri Light" w:cs="Times New Roman"/>
          <w:szCs w:val="20"/>
          <w:lang w:eastAsia="en-AU"/>
        </w:rPr>
        <w:t>s where the regulatory costs are approximately the same for each entity and the administrative and regulatory burden</w:t>
      </w:r>
      <w:r w:rsidR="00AF40CB">
        <w:rPr>
          <w:rFonts w:ascii="Calibri Light" w:eastAsia="Times New Roman" w:hAnsi="Calibri Light" w:cs="Times New Roman"/>
          <w:szCs w:val="20"/>
          <w:lang w:eastAsia="en-AU"/>
        </w:rPr>
        <w:t xml:space="preserve"> </w:t>
      </w:r>
      <w:r w:rsidRPr="00AF40CB">
        <w:rPr>
          <w:rFonts w:ascii="Calibri Light" w:eastAsia="Times New Roman" w:hAnsi="Calibri Light" w:cs="Times New Roman"/>
          <w:szCs w:val="20"/>
          <w:lang w:eastAsia="en-AU"/>
        </w:rPr>
        <w:t xml:space="preserve">associated with calculating more tailored levies outweighs the benefits of having additional granularity. The flat levy formula shares the total cost of regulating a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Pr="00AF40CB">
        <w:rPr>
          <w:rFonts w:ascii="Calibri Light" w:eastAsia="Times New Roman" w:hAnsi="Calibri Light" w:cs="Times New Roman"/>
          <w:szCs w:val="20"/>
          <w:lang w:eastAsia="en-AU"/>
        </w:rPr>
        <w:t xml:space="preserve"> equally among the entities authorised </w:t>
      </w:r>
      <w:r w:rsidRPr="00AF40CB">
        <w:rPr>
          <w:rFonts w:ascii="Calibri Light" w:eastAsia="Times New Roman" w:hAnsi="Calibri Light" w:cs="Times New Roman"/>
          <w:szCs w:val="20"/>
          <w:lang w:eastAsia="en-AU"/>
        </w:rPr>
        <w:lastRenderedPageBreak/>
        <w:t xml:space="preserve">to operate in that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Pr="00AF40CB">
        <w:rPr>
          <w:rFonts w:ascii="Calibri Light" w:eastAsia="Times New Roman" w:hAnsi="Calibri Light" w:cs="Times New Roman"/>
          <w:szCs w:val="20"/>
          <w:lang w:eastAsia="en-AU"/>
        </w:rPr>
        <w:t xml:space="preserve">. A flat levy will be calculated by dividing ASIC's regulatory costs for a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Pr="00AF40CB">
        <w:rPr>
          <w:rFonts w:ascii="Calibri Light" w:eastAsia="Times New Roman" w:hAnsi="Calibri Light" w:cs="Times New Roman"/>
          <w:szCs w:val="20"/>
          <w:lang w:eastAsia="en-AU"/>
        </w:rPr>
        <w:t xml:space="preserve"> between the number of entities in that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Pr="00AF40CB">
        <w:rPr>
          <w:rFonts w:ascii="Calibri Light" w:eastAsia="Times New Roman" w:hAnsi="Calibri Light" w:cs="Times New Roman"/>
          <w:szCs w:val="20"/>
          <w:lang w:eastAsia="en-AU"/>
        </w:rPr>
        <w:t>.</w:t>
      </w:r>
    </w:p>
    <w:p w14:paraId="36F0B165" w14:textId="55A14E7E" w:rsidR="00667653" w:rsidRPr="00360713" w:rsidRDefault="001D4EC4" w:rsidP="0033187E">
      <w:pPr>
        <w:pStyle w:val="NoSpacing"/>
        <w:numPr>
          <w:ilvl w:val="0"/>
          <w:numId w:val="15"/>
        </w:numPr>
        <w:rPr>
          <w:rFonts w:ascii="Calibri Light" w:eastAsia="Times New Roman" w:hAnsi="Calibri Light" w:cs="Times New Roman"/>
          <w:szCs w:val="20"/>
          <w:lang w:eastAsia="en-AU"/>
        </w:rPr>
      </w:pPr>
      <w:r w:rsidRPr="00FE4300">
        <w:rPr>
          <w:rFonts w:ascii="Calibri Light" w:eastAsia="Times New Roman" w:hAnsi="Calibri Light" w:cs="Times New Roman"/>
          <w:szCs w:val="20"/>
          <w:lang w:eastAsia="en-AU"/>
        </w:rPr>
        <w:t xml:space="preserve">Graduated levies are prescribed for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r>
      <w:r w:rsidR="00527197">
        <w:rPr>
          <w:rFonts w:ascii="Calibri Light" w:eastAsia="Times New Roman" w:hAnsi="Calibri Light" w:cs="Times New Roman"/>
          <w:szCs w:val="20"/>
          <w:lang w:eastAsia="en-AU"/>
        </w:rPr>
        <w:t>sector</w:t>
      </w:r>
      <w:r w:rsidRPr="00FE4300">
        <w:rPr>
          <w:rFonts w:ascii="Calibri Light" w:eastAsia="Times New Roman" w:hAnsi="Calibri Light" w:cs="Times New Roman"/>
          <w:szCs w:val="20"/>
          <w:lang w:eastAsia="en-AU"/>
        </w:rPr>
        <w:t xml:space="preserve">s where ASIC’s regulatory costs vary significantly across its regulated population. Under the graduated levy formula, all entities in a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Pr="00FE4300">
        <w:rPr>
          <w:rFonts w:ascii="Calibri Light" w:eastAsia="Times New Roman" w:hAnsi="Calibri Light" w:cs="Times New Roman"/>
          <w:szCs w:val="20"/>
          <w:lang w:eastAsia="en-AU"/>
        </w:rPr>
        <w:t xml:space="preserve"> must pay</w:t>
      </w:r>
      <w:r w:rsidR="00FC2C37" w:rsidRPr="00FE4300">
        <w:rPr>
          <w:rFonts w:ascii="Calibri Light" w:eastAsia="Times New Roman" w:hAnsi="Calibri Light" w:cs="Times New Roman"/>
          <w:szCs w:val="20"/>
          <w:lang w:eastAsia="en-AU"/>
        </w:rPr>
        <w:t xml:space="preserve"> </w:t>
      </w:r>
      <w:r w:rsidRPr="00FE4300">
        <w:rPr>
          <w:rFonts w:ascii="Calibri Light" w:eastAsia="Times New Roman" w:hAnsi="Calibri Light" w:cs="Times New Roman"/>
          <w:szCs w:val="20"/>
          <w:lang w:eastAsia="en-AU"/>
        </w:rPr>
        <w:t>a minimum levy</w:t>
      </w:r>
      <w:r w:rsidR="00FE4300" w:rsidRPr="00FE4300">
        <w:rPr>
          <w:rFonts w:ascii="Calibri Light" w:eastAsia="Times New Roman" w:hAnsi="Calibri Light" w:cs="Times New Roman"/>
          <w:szCs w:val="20"/>
          <w:lang w:eastAsia="en-AU"/>
        </w:rPr>
        <w:t xml:space="preserve"> plus </w:t>
      </w:r>
      <w:r w:rsidRPr="00FE4300">
        <w:rPr>
          <w:rFonts w:ascii="Calibri Light" w:eastAsia="Times New Roman" w:hAnsi="Calibri Light" w:cs="Times New Roman"/>
          <w:szCs w:val="20"/>
          <w:lang w:eastAsia="en-AU"/>
        </w:rPr>
        <w:t>an additional graduated component</w:t>
      </w:r>
      <w:r w:rsidR="00FE4300" w:rsidRPr="00FE4300">
        <w:rPr>
          <w:rFonts w:ascii="Calibri Light" w:eastAsia="Times New Roman" w:hAnsi="Calibri Light" w:cs="Times New Roman"/>
          <w:szCs w:val="20"/>
          <w:lang w:eastAsia="en-AU"/>
        </w:rPr>
        <w:t xml:space="preserve"> based on </w:t>
      </w:r>
      <w:r w:rsidR="00FF4E31">
        <w:rPr>
          <w:rFonts w:ascii="Calibri Light" w:eastAsia="Times New Roman" w:hAnsi="Calibri Light" w:cs="Times New Roman"/>
          <w:szCs w:val="20"/>
          <w:lang w:eastAsia="en-AU"/>
        </w:rPr>
        <w:t xml:space="preserve">different metrics </w:t>
      </w:r>
      <w:r w:rsidR="006C233C">
        <w:rPr>
          <w:rFonts w:ascii="Calibri Light" w:eastAsia="Times New Roman" w:hAnsi="Calibri Light" w:cs="Times New Roman"/>
          <w:szCs w:val="20"/>
          <w:lang w:eastAsia="en-AU"/>
        </w:rPr>
        <w:t xml:space="preserve">designed as proxies </w:t>
      </w:r>
      <w:r w:rsidR="007B7EB2">
        <w:rPr>
          <w:rFonts w:ascii="Calibri Light" w:eastAsia="Times New Roman" w:hAnsi="Calibri Light" w:cs="Times New Roman"/>
          <w:szCs w:val="20"/>
          <w:lang w:eastAsia="en-AU"/>
        </w:rPr>
        <w:t xml:space="preserve">for each entity’s share </w:t>
      </w:r>
      <w:r w:rsidR="00FE4300" w:rsidRPr="00FE4300">
        <w:rPr>
          <w:rFonts w:ascii="Calibri Light" w:eastAsia="Times New Roman" w:hAnsi="Calibri Light" w:cs="Times New Roman"/>
          <w:szCs w:val="20"/>
          <w:lang w:eastAsia="en-AU"/>
        </w:rPr>
        <w:t xml:space="preserve">of </w:t>
      </w:r>
      <w:r w:rsidR="008410C1">
        <w:rPr>
          <w:rFonts w:ascii="Calibri Light" w:eastAsia="Times New Roman" w:hAnsi="Calibri Light" w:cs="Times New Roman"/>
          <w:szCs w:val="20"/>
          <w:lang w:eastAsia="en-AU"/>
        </w:rPr>
        <w:t>ASIC’s regulatory effort</w:t>
      </w:r>
      <w:r w:rsidR="007B7EB2">
        <w:rPr>
          <w:rFonts w:ascii="Calibri Light" w:eastAsia="Times New Roman" w:hAnsi="Calibri Light" w:cs="Times New Roman"/>
          <w:szCs w:val="20"/>
          <w:lang w:eastAsia="en-AU"/>
        </w:rPr>
        <w:t>.</w:t>
      </w:r>
    </w:p>
    <w:p w14:paraId="70EC019B" w14:textId="7FB191F7" w:rsidR="00EC68AF" w:rsidRDefault="001D4EC4" w:rsidP="00254B71">
      <w:r>
        <w:t>ASIC calculates levies for individual entities based on data reported by the entity</w:t>
      </w:r>
      <w:r w:rsidR="0060263E">
        <w:t>, which enables ASIC to calculate each entity’s share of regulatory costs for the financial year</w:t>
      </w:r>
      <w:r>
        <w:t xml:space="preserve">. If entities operate in multiple </w:t>
      </w:r>
      <w:r w:rsidR="00F33074">
        <w:t>sub</w:t>
      </w:r>
      <w:r w:rsidR="00F33074">
        <w:noBreakHyphen/>
      </w:r>
      <w:r w:rsidR="00527197">
        <w:t>sector</w:t>
      </w:r>
      <w:r>
        <w:t xml:space="preserve">s, all relevant levies for those </w:t>
      </w:r>
      <w:r w:rsidR="00F33074">
        <w:t>sub</w:t>
      </w:r>
      <w:r w:rsidR="00F33074">
        <w:noBreakHyphen/>
      </w:r>
      <w:r w:rsidR="00527197">
        <w:t>sector</w:t>
      </w:r>
      <w:r>
        <w:t>s will be payable, and an entity’s invoice will reflect this.</w:t>
      </w:r>
      <w:r w:rsidRPr="002C57B4">
        <w:t xml:space="preserve"> </w:t>
      </w:r>
    </w:p>
    <w:p w14:paraId="770FA3EF" w14:textId="368B333B" w:rsidR="001D4EC4" w:rsidRDefault="001D4EC4" w:rsidP="00EC68AF">
      <w:pPr>
        <w:spacing w:before="0"/>
      </w:pPr>
      <w:r>
        <w:t xml:space="preserve">ASIC is required by the </w:t>
      </w:r>
      <w:r w:rsidRPr="00EE5B27">
        <w:rPr>
          <w:iCs/>
        </w:rPr>
        <w:t>Cost Recovery Levy Act</w:t>
      </w:r>
      <w:r w:rsidR="004A2D05">
        <w:rPr>
          <w:i/>
          <w:iCs/>
        </w:rPr>
        <w:t xml:space="preserve"> </w:t>
      </w:r>
      <w:r>
        <w:t xml:space="preserve">to then make an annual legislative instrument specifying the amount of its regulatory costs for the financial year and specifying the costs attributable to each </w:t>
      </w:r>
      <w:r w:rsidR="00F33074">
        <w:t>sub</w:t>
      </w:r>
      <w:r w:rsidR="00F33074">
        <w:noBreakHyphen/>
        <w:t>sector</w:t>
      </w:r>
      <w:r>
        <w:t>.</w:t>
      </w:r>
    </w:p>
    <w:p w14:paraId="5F87799D" w14:textId="00D0ACF2" w:rsidR="001D4EC4" w:rsidRPr="008630A6" w:rsidRDefault="001D4EC4" w:rsidP="001D4EC4">
      <w:pPr>
        <w:rPr>
          <w:strike/>
        </w:rPr>
      </w:pPr>
      <w:r>
        <w:t xml:space="preserve">When cost recovery for a financial year exceeds or falls short of the amount of ASIC’s regulatory costs for that year, an upward or downward adjustment to ASIC’s regulatory costs will be made in the following financial year, thereby impacting levy amounts </w:t>
      </w:r>
      <w:r w:rsidDel="00C10163">
        <w:t>in that year</w:t>
      </w:r>
      <w:r>
        <w:t xml:space="preserve">. Under or over </w:t>
      </w:r>
      <w:r w:rsidR="00620B49">
        <w:t>collection</w:t>
      </w:r>
      <w:r>
        <w:t xml:space="preserve"> may occur due to a mismatch in the timing of when entities are registered or deregistered and the notification of these activities. It can also occur due to other changes in the prior year’s leviable populations, costs or metrics. Adjustments for under and over recoveries are made to the </w:t>
      </w:r>
      <w:r w:rsidR="00F33074">
        <w:t>sub</w:t>
      </w:r>
      <w:r w:rsidR="00F33074">
        <w:noBreakHyphen/>
        <w:t>sector</w:t>
      </w:r>
      <w:r>
        <w:t xml:space="preserve"> in which the under or over recovery occurred</w:t>
      </w:r>
      <w:r w:rsidR="00C10D2F">
        <w:t>,</w:t>
      </w:r>
      <w:r w:rsidR="0066314D">
        <w:t xml:space="preserve"> with levies then calculated based on the formula for the </w:t>
      </w:r>
      <w:r w:rsidR="00F33074">
        <w:t>sub</w:t>
      </w:r>
      <w:r w:rsidR="00F33074">
        <w:noBreakHyphen/>
        <w:t>sector</w:t>
      </w:r>
      <w:r>
        <w:t>.</w:t>
      </w:r>
      <w:r w:rsidRPr="008630A6">
        <w:rPr>
          <w:strike/>
        </w:rPr>
        <w:t xml:space="preserve"> </w:t>
      </w:r>
    </w:p>
    <w:p w14:paraId="14A85129" w14:textId="2EFC32D1" w:rsidR="006E6CD3" w:rsidRPr="00D33319" w:rsidRDefault="001D4EC4" w:rsidP="00457660">
      <w:r>
        <w:t>ASIC has the power to waive levies in exceptional circumstances. The amounts that are waived are not recovered from other entities and are borne by the Government (i.e. general taxpayers).</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A9B" w14:paraId="674EE48B" w14:textId="77777777" w:rsidTr="006016A6">
        <w:tc>
          <w:tcPr>
            <w:tcW w:w="5000" w:type="pct"/>
            <w:shd w:val="clear" w:color="auto" w:fill="EEEEEE" w:themeFill="background2"/>
          </w:tcPr>
          <w:p w14:paraId="4C9DA755" w14:textId="0BDFFB9E" w:rsidR="00262A9B" w:rsidRPr="000D1284" w:rsidRDefault="00262A9B" w:rsidP="00457660">
            <w:pPr>
              <w:pStyle w:val="BoxHeading"/>
              <w:numPr>
                <w:ilvl w:val="0"/>
                <w:numId w:val="0"/>
              </w:numPr>
              <w:spacing w:before="0"/>
            </w:pPr>
            <w:r>
              <w:t>Questions</w:t>
            </w:r>
          </w:p>
          <w:p w14:paraId="58494B65" w14:textId="03A175F3" w:rsidR="000F5723" w:rsidRDefault="00BF0DFF" w:rsidP="0049247E">
            <w:pPr>
              <w:pStyle w:val="OutlineNumbered1"/>
              <w:numPr>
                <w:ilvl w:val="0"/>
                <w:numId w:val="40"/>
              </w:numPr>
            </w:pPr>
            <w:r w:rsidRPr="00BF0DFF">
              <w:t xml:space="preserve">Appendix D provides a catalogue of </w:t>
            </w:r>
            <w:r w:rsidR="00F33074">
              <w:t>sub</w:t>
            </w:r>
            <w:r w:rsidR="00F33074">
              <w:noBreakHyphen/>
              <w:t>sector</w:t>
            </w:r>
            <w:r w:rsidRPr="00BF0DFF">
              <w:t xml:space="preserve"> definitions, metrics and formulas</w:t>
            </w:r>
            <w:r>
              <w:t xml:space="preserve">. </w:t>
            </w:r>
            <w:r w:rsidR="007F1BC6">
              <w:t>If the status quo remains</w:t>
            </w:r>
            <w:r w:rsidR="004E3D16">
              <w:t xml:space="preserve"> (that is, there are no substantial changes to the IFM</w:t>
            </w:r>
            <w:r w:rsidR="00FC2DAA">
              <w:t xml:space="preserve"> framework</w:t>
            </w:r>
            <w:r w:rsidR="004E3D16">
              <w:t>)</w:t>
            </w:r>
            <w:r w:rsidR="007F1BC6">
              <w:t xml:space="preserve">, </w:t>
            </w:r>
            <w:r w:rsidR="00AA4F03">
              <w:t>a</w:t>
            </w:r>
            <w:r w:rsidR="000F5723" w:rsidRPr="000F5723">
              <w:t>re any changes required to ensure the</w:t>
            </w:r>
            <w:r w:rsidR="00AA4F03">
              <w:t xml:space="preserve"> existing industry sub-sectors, levy formulas and entity metrics</w:t>
            </w:r>
            <w:r w:rsidR="000F5723" w:rsidRPr="000F5723">
              <w:t xml:space="preserve"> remain fit for purpose in the longer-term and/or can respond to changes within industry </w:t>
            </w:r>
            <w:r w:rsidR="00F33074">
              <w:t>sub</w:t>
            </w:r>
            <w:r w:rsidR="00F33074">
              <w:noBreakHyphen/>
            </w:r>
            <w:r w:rsidR="000F5723" w:rsidRPr="000F5723">
              <w:t>sectors?</w:t>
            </w:r>
          </w:p>
          <w:p w14:paraId="2DDD2834" w14:textId="36D70B90" w:rsidR="00EF401D" w:rsidRDefault="00C629F0" w:rsidP="00A77756">
            <w:pPr>
              <w:pStyle w:val="OutlineNumbered1"/>
              <w:numPr>
                <w:ilvl w:val="0"/>
                <w:numId w:val="0"/>
              </w:numPr>
              <w:tabs>
                <w:tab w:val="clear" w:pos="851"/>
              </w:tabs>
              <w:ind w:left="342"/>
            </w:pPr>
            <w:r>
              <w:t xml:space="preserve">Note: </w:t>
            </w:r>
            <w:r w:rsidR="0074475E">
              <w:t>C</w:t>
            </w:r>
            <w:r w:rsidR="00AB10CD">
              <w:t xml:space="preserve">hanges to </w:t>
            </w:r>
            <w:r w:rsidR="00F33074">
              <w:t>sub</w:t>
            </w:r>
            <w:r w:rsidR="00F33074">
              <w:noBreakHyphen/>
              <w:t>sector</w:t>
            </w:r>
            <w:r w:rsidR="00AB10CD">
              <w:t xml:space="preserve"> definitions, formulas and metrics w</w:t>
            </w:r>
            <w:r w:rsidR="00B05607">
              <w:t>ould</w:t>
            </w:r>
            <w:r w:rsidR="00AB10CD">
              <w:t xml:space="preserve"> change</w:t>
            </w:r>
            <w:r w:rsidR="00AB10CD" w:rsidRPr="00AB10CD">
              <w:t xml:space="preserve"> the way levies are calculated and distributed amongst entities in a </w:t>
            </w:r>
            <w:r w:rsidR="00F33074">
              <w:t>sub</w:t>
            </w:r>
            <w:r w:rsidR="00F33074">
              <w:noBreakHyphen/>
              <w:t>sector</w:t>
            </w:r>
            <w:r w:rsidR="00AB10CD" w:rsidRPr="00AB10CD">
              <w:t xml:space="preserve"> and </w:t>
            </w:r>
            <w:r w:rsidR="00B05607">
              <w:t>would</w:t>
            </w:r>
            <w:r w:rsidR="00AB10CD" w:rsidRPr="00AB10CD">
              <w:t xml:space="preserve"> impact the levy amounts for individual entities</w:t>
            </w:r>
            <w:r w:rsidR="006C05FB">
              <w:t>,</w:t>
            </w:r>
            <w:r w:rsidR="00AB10CD" w:rsidRPr="00AB10CD">
              <w:t xml:space="preserve"> but </w:t>
            </w:r>
            <w:r w:rsidR="00B05607">
              <w:t>would</w:t>
            </w:r>
            <w:r w:rsidR="00AB10CD" w:rsidRPr="00AB10CD">
              <w:t xml:space="preserve"> not change the total amount recovered from the relevant </w:t>
            </w:r>
            <w:r w:rsidR="00F33074">
              <w:t>sub</w:t>
            </w:r>
            <w:r w:rsidR="00F33074">
              <w:noBreakHyphen/>
              <w:t>sector</w:t>
            </w:r>
            <w:r w:rsidR="00B94750">
              <w:t>.</w:t>
            </w:r>
          </w:p>
          <w:p w14:paraId="57295280" w14:textId="63AA0831" w:rsidR="00262A9B" w:rsidRPr="000D1284" w:rsidRDefault="00AF595D" w:rsidP="00457660">
            <w:pPr>
              <w:pStyle w:val="OutlineNumbered1"/>
              <w:numPr>
                <w:ilvl w:val="0"/>
                <w:numId w:val="40"/>
              </w:numPr>
              <w:spacing w:after="0"/>
              <w:ind w:left="357" w:hanging="357"/>
            </w:pPr>
            <w:r>
              <w:t xml:space="preserve">Do stakeholders understand ASIC’s methodology </w:t>
            </w:r>
            <w:r w:rsidR="00D82155">
              <w:t>for</w:t>
            </w:r>
            <w:r>
              <w:t xml:space="preserve"> allocating costs</w:t>
            </w:r>
            <w:r w:rsidR="00FE7BEB">
              <w:t xml:space="preserve"> of activities that impact</w:t>
            </w:r>
            <w:r>
              <w:t xml:space="preserve"> multiple </w:t>
            </w:r>
            <w:r w:rsidR="00F33074">
              <w:t>sub</w:t>
            </w:r>
            <w:r w:rsidR="00F33074">
              <w:noBreakHyphen/>
            </w:r>
            <w:r>
              <w:t>sectors</w:t>
            </w:r>
            <w:r w:rsidR="00D82155">
              <w:t>? I</w:t>
            </w:r>
            <w:r>
              <w:t xml:space="preserve">s the current level of transparency relating to this approach </w:t>
            </w:r>
            <w:r w:rsidR="004504D9">
              <w:t>appropriate</w:t>
            </w:r>
            <w:r>
              <w:t>?</w:t>
            </w:r>
          </w:p>
        </w:tc>
      </w:tr>
    </w:tbl>
    <w:p w14:paraId="5944F9B3" w14:textId="14F92384" w:rsidR="00883F8B" w:rsidRDefault="00883F8B" w:rsidP="00C6745C">
      <w:pPr>
        <w:pStyle w:val="Heading2"/>
        <w:numPr>
          <w:ilvl w:val="6"/>
          <w:numId w:val="29"/>
        </w:numPr>
        <w:tabs>
          <w:tab w:val="clear" w:pos="2520"/>
        </w:tabs>
        <w:ind w:left="426" w:hanging="426"/>
      </w:pPr>
      <w:bookmarkStart w:id="34" w:name="_Toc114214412"/>
      <w:r>
        <w:t xml:space="preserve">Principles </w:t>
      </w:r>
      <w:bookmarkEnd w:id="28"/>
      <w:r w:rsidR="00D83BD5">
        <w:t>for levies</w:t>
      </w:r>
      <w:bookmarkEnd w:id="34"/>
    </w:p>
    <w:p w14:paraId="2A98A42F" w14:textId="3031BE86" w:rsidR="00243F5D" w:rsidRDefault="00243F5D" w:rsidP="00243F5D">
      <w:pPr>
        <w:pStyle w:val="Heading3"/>
      </w:pPr>
      <w:bookmarkStart w:id="35" w:name="_Toc114214413"/>
      <w:r>
        <w:t>Trade-offs between simplicity and equity</w:t>
      </w:r>
      <w:bookmarkEnd w:id="35"/>
    </w:p>
    <w:p w14:paraId="462C3A4B" w14:textId="3A88F9C2" w:rsidR="00883F8B" w:rsidRDefault="00F43D08" w:rsidP="00883F8B">
      <w:r>
        <w:t>T</w:t>
      </w:r>
      <w:r w:rsidR="00883F8B">
        <w:t xml:space="preserve">he IFM aims to meet the requirements of the Charging Framework and broader design objectives such as simplicity. However, </w:t>
      </w:r>
      <w:r>
        <w:t>there are trade-offs between these objectives</w:t>
      </w:r>
      <w:r w:rsidR="00883F8B">
        <w:t xml:space="preserve">. </w:t>
      </w:r>
    </w:p>
    <w:p w14:paraId="0349C93D" w14:textId="16F088E3" w:rsidR="00EF118A" w:rsidRDefault="00883F8B" w:rsidP="00883F8B">
      <w:r>
        <w:lastRenderedPageBreak/>
        <w:t xml:space="preserve">The overarching principle of the Charging Framework is that those entities that cause the need for regulation should generally pay for it, rather than general taxpayers. </w:t>
      </w:r>
      <w:r w:rsidR="0020192E">
        <w:t>The IFM aims to meet this overarching principle</w:t>
      </w:r>
      <w:r w:rsidR="00B1569B">
        <w:t xml:space="preserve"> by </w:t>
      </w:r>
      <w:r w:rsidR="001D4BBE">
        <w:t>utilising</w:t>
      </w:r>
      <w:r w:rsidR="00B1569B">
        <w:t xml:space="preserve"> various components to try and</w:t>
      </w:r>
      <w:r w:rsidR="0034702B">
        <w:t xml:space="preserve"> accurately apportion costs to entities</w:t>
      </w:r>
      <w:r w:rsidR="001D4BBE">
        <w:t xml:space="preserve">. This </w:t>
      </w:r>
      <w:r w:rsidR="000E598D">
        <w:t>has been</w:t>
      </w:r>
      <w:r w:rsidR="001D4BBE">
        <w:t xml:space="preserve"> done through </w:t>
      </w:r>
      <w:r w:rsidR="001620E0">
        <w:t>allocating costs to industry</w:t>
      </w:r>
      <w:r w:rsidR="001D4BBE">
        <w:t xml:space="preserve"> </w:t>
      </w:r>
      <w:r w:rsidR="00F33074">
        <w:t>sub</w:t>
      </w:r>
      <w:r w:rsidR="00F33074">
        <w:noBreakHyphen/>
      </w:r>
      <w:r w:rsidR="00527197">
        <w:t>sector</w:t>
      </w:r>
      <w:r w:rsidR="001D4BBE">
        <w:t>s (52 as at 2021-22)</w:t>
      </w:r>
      <w:r w:rsidR="00267B9D">
        <w:t xml:space="preserve"> to group entities </w:t>
      </w:r>
      <w:r w:rsidR="00DB6031">
        <w:t>that are providing similar services or undertaking similar activities</w:t>
      </w:r>
      <w:r w:rsidR="00190F1E">
        <w:t>;</w:t>
      </w:r>
      <w:r w:rsidR="00DB6031">
        <w:t xml:space="preserve"> prescribing whether a </w:t>
      </w:r>
      <w:r w:rsidR="00F33074">
        <w:t>sub</w:t>
      </w:r>
      <w:r w:rsidR="00F33074">
        <w:noBreakHyphen/>
      </w:r>
      <w:r w:rsidR="00527197">
        <w:t>sector</w:t>
      </w:r>
      <w:r w:rsidR="00DB6031">
        <w:t xml:space="preserve"> should pay a </w:t>
      </w:r>
      <w:r w:rsidR="003D60E1">
        <w:t>flat or graduated levy</w:t>
      </w:r>
      <w:r w:rsidR="00BE4F25">
        <w:t>;</w:t>
      </w:r>
      <w:r w:rsidR="006542C9">
        <w:t xml:space="preserve"> and prescribing</w:t>
      </w:r>
      <w:r w:rsidR="003D60E1">
        <w:t xml:space="preserve"> </w:t>
      </w:r>
      <w:r w:rsidR="00EA2432">
        <w:t>different</w:t>
      </w:r>
      <w:r w:rsidR="003D60E1">
        <w:t xml:space="preserve"> </w:t>
      </w:r>
      <w:r w:rsidR="00A7558B">
        <w:t>types of</w:t>
      </w:r>
      <w:r w:rsidR="00EA2432">
        <w:t xml:space="preserve"> </w:t>
      </w:r>
      <w:r w:rsidR="006542C9">
        <w:t xml:space="preserve">metrics </w:t>
      </w:r>
      <w:r w:rsidR="00C7424F">
        <w:t xml:space="preserve">to apportion costs to entities within a </w:t>
      </w:r>
      <w:r w:rsidR="00F33074">
        <w:t>sub</w:t>
      </w:r>
      <w:r w:rsidR="00F33074">
        <w:noBreakHyphen/>
        <w:t>sector</w:t>
      </w:r>
      <w:r w:rsidR="00EF118A">
        <w:t>.</w:t>
      </w:r>
      <w:r w:rsidR="00953332">
        <w:t xml:space="preserve"> This produces a high level of granularity that is intended to promote equity and fairness by </w:t>
      </w:r>
      <w:r w:rsidR="00701CE1">
        <w:t xml:space="preserve">having costs met by entities in the </w:t>
      </w:r>
      <w:r w:rsidR="00F33074">
        <w:t>sub</w:t>
      </w:r>
      <w:r w:rsidR="00F33074">
        <w:noBreakHyphen/>
        <w:t>sector</w:t>
      </w:r>
      <w:r w:rsidR="00701CE1">
        <w:t xml:space="preserve"> that causes the need for regulatory effort.</w:t>
      </w:r>
      <w:r w:rsidR="00EF118A">
        <w:t xml:space="preserve"> </w:t>
      </w:r>
      <w:r w:rsidR="00267B9D">
        <w:t xml:space="preserve"> </w:t>
      </w:r>
    </w:p>
    <w:p w14:paraId="29C52929" w14:textId="3BDD3CB2" w:rsidR="00883F8B" w:rsidRDefault="007A45B5" w:rsidP="00883F8B">
      <w:r>
        <w:t>H</w:t>
      </w:r>
      <w:r w:rsidR="0020192E">
        <w:t>owever</w:t>
      </w:r>
      <w:r w:rsidR="00BB7FCE">
        <w:t>,</w:t>
      </w:r>
      <w:r w:rsidR="0020192E">
        <w:t xml:space="preserve"> in trying to </w:t>
      </w:r>
      <w:r w:rsidR="00883F8B">
        <w:t xml:space="preserve">meet this overarching principle, </w:t>
      </w:r>
      <w:r w:rsidR="001620E0">
        <w:t>other</w:t>
      </w:r>
      <w:r w:rsidR="00883F8B">
        <w:t xml:space="preserve"> objectives of simplicity and efficiency</w:t>
      </w:r>
      <w:r w:rsidR="00F24602">
        <w:t xml:space="preserve"> of administering the IFM</w:t>
      </w:r>
      <w:r w:rsidR="00883F8B">
        <w:t xml:space="preserve"> may not always be met</w:t>
      </w:r>
      <w:r w:rsidR="00DB247A">
        <w:t xml:space="preserve">. </w:t>
      </w:r>
      <w:r w:rsidR="00D530ED">
        <w:t>T</w:t>
      </w:r>
      <w:r w:rsidR="00883F8B">
        <w:t xml:space="preserve">he IFM </w:t>
      </w:r>
      <w:r w:rsidR="00D530ED">
        <w:t xml:space="preserve">is </w:t>
      </w:r>
      <w:r w:rsidR="00883F8B">
        <w:t>complex and expensive for ASIC to administer</w:t>
      </w:r>
      <w:r w:rsidR="00753281">
        <w:t xml:space="preserve">, </w:t>
      </w:r>
      <w:r w:rsidR="005A71FC">
        <w:t xml:space="preserve">and difficult for </w:t>
      </w:r>
      <w:r w:rsidR="00753281">
        <w:t xml:space="preserve">stakeholders </w:t>
      </w:r>
      <w:r w:rsidR="00883F8B">
        <w:t>to understand and engage with.</w:t>
      </w:r>
      <w:r w:rsidR="00702002">
        <w:t xml:space="preserve"> The level of complexity also arises from the breadth of ASIC’s regulat</w:t>
      </w:r>
      <w:r w:rsidR="009D30D1">
        <w:t>ed</w:t>
      </w:r>
      <w:r w:rsidR="00702002">
        <w:t xml:space="preserve"> population.</w:t>
      </w:r>
      <w:r w:rsidR="00883F8B">
        <w:t xml:space="preserve"> </w:t>
      </w:r>
    </w:p>
    <w:p w14:paraId="26896E9A" w14:textId="162E836E" w:rsidR="006C5301" w:rsidRDefault="005E06AD" w:rsidP="00883F8B">
      <w:r>
        <w:t>To mitigate these issues, t</w:t>
      </w:r>
      <w:r w:rsidR="000104C8">
        <w:t xml:space="preserve">he IFM could be </w:t>
      </w:r>
      <w:r w:rsidR="00DD731C">
        <w:t xml:space="preserve">simplified </w:t>
      </w:r>
      <w:r w:rsidR="00A512E6">
        <w:t xml:space="preserve">to make the model less complex and </w:t>
      </w:r>
      <w:r w:rsidR="00AB6E2D">
        <w:t xml:space="preserve">less </w:t>
      </w:r>
      <w:r w:rsidR="00A512E6">
        <w:t xml:space="preserve">expensive for ASIC to administer, and </w:t>
      </w:r>
      <w:r w:rsidR="00A15857">
        <w:t xml:space="preserve">easier </w:t>
      </w:r>
      <w:r w:rsidR="00A512E6">
        <w:t xml:space="preserve">for industry to understand and engage with. </w:t>
      </w:r>
      <w:r w:rsidR="004F4435">
        <w:t xml:space="preserve">This could be done by </w:t>
      </w:r>
      <w:r w:rsidR="003A211E">
        <w:t xml:space="preserve">combining and reducing the number of </w:t>
      </w:r>
      <w:r w:rsidR="00F33074">
        <w:t>sub</w:t>
      </w:r>
      <w:r w:rsidR="00F33074">
        <w:noBreakHyphen/>
      </w:r>
      <w:r w:rsidR="00527197">
        <w:t>sector</w:t>
      </w:r>
      <w:r w:rsidR="003A211E">
        <w:t xml:space="preserve">s, introducing </w:t>
      </w:r>
      <w:r w:rsidR="008F208A" w:rsidRPr="008F208A">
        <w:t xml:space="preserve">a flat levy for </w:t>
      </w:r>
      <w:r w:rsidR="00F33074">
        <w:t>sub</w:t>
      </w:r>
      <w:r w:rsidR="00F33074">
        <w:noBreakHyphen/>
      </w:r>
      <w:r w:rsidR="00527197">
        <w:t>sector</w:t>
      </w:r>
      <w:r w:rsidR="008F208A" w:rsidRPr="008F208A">
        <w:t>s that are currently subject to a graduated levy</w:t>
      </w:r>
      <w:r w:rsidR="008F208A">
        <w:t xml:space="preserve">, </w:t>
      </w:r>
      <w:r w:rsidR="00A7558B">
        <w:t xml:space="preserve">and/or introducing a </w:t>
      </w:r>
      <w:r w:rsidR="00241D37">
        <w:t xml:space="preserve">standardised metric for all </w:t>
      </w:r>
      <w:r w:rsidR="00F33074">
        <w:t>sub</w:t>
      </w:r>
      <w:r w:rsidR="00F33074">
        <w:noBreakHyphen/>
      </w:r>
      <w:r w:rsidR="00527197">
        <w:t>sector</w:t>
      </w:r>
      <w:r w:rsidR="00241D37">
        <w:t xml:space="preserve">s. </w:t>
      </w:r>
    </w:p>
    <w:p w14:paraId="0ABEAFA7" w14:textId="50A891C9" w:rsidR="00E935E6" w:rsidRDefault="00A640A6" w:rsidP="00883F8B">
      <w:r>
        <w:t>However,</w:t>
      </w:r>
      <w:r w:rsidR="00C73027">
        <w:t xml:space="preserve"> there are trade-offs between simplification and </w:t>
      </w:r>
      <w:r w:rsidR="00901EA0">
        <w:t>equity.</w:t>
      </w:r>
      <w:r>
        <w:t xml:space="preserve"> </w:t>
      </w:r>
      <w:r w:rsidR="00901EA0">
        <w:t>S</w:t>
      </w:r>
      <w:r w:rsidR="00883F8B">
        <w:t xml:space="preserve">implifying the IFM would lead to </w:t>
      </w:r>
      <w:r w:rsidR="00E935E6">
        <w:t>greater</w:t>
      </w:r>
      <w:r w:rsidR="00883F8B">
        <w:t xml:space="preserve"> cross-subsidisation across entities and different parts of the industry</w:t>
      </w:r>
      <w:r w:rsidR="002E13A2">
        <w:t xml:space="preserve"> and</w:t>
      </w:r>
      <w:r w:rsidR="00443C2F">
        <w:t xml:space="preserve"> would mean </w:t>
      </w:r>
      <w:r w:rsidR="00BE66C4">
        <w:t xml:space="preserve">the model is less </w:t>
      </w:r>
      <w:r w:rsidR="00623D64">
        <w:t>targeted</w:t>
      </w:r>
      <w:r w:rsidR="00BE66C4">
        <w:t xml:space="preserve"> in apportioning costs to the entities causing the need for regulation. It would also mean that some entities may benefit from regulatory costs being distributed amongst a wider population, while other entities would be paying more for increased regulatory costs associated with the additional population.  </w:t>
      </w:r>
    </w:p>
    <w:p w14:paraId="0BC8E28A" w14:textId="21A605EE" w:rsidR="00883F8B" w:rsidRDefault="00883F8B" w:rsidP="00883F8B">
      <w:r>
        <w:t>The C</w:t>
      </w:r>
      <w:r w:rsidR="004F459A">
        <w:t>harging Framework</w:t>
      </w:r>
      <w:r>
        <w:t xml:space="preserve"> note</w:t>
      </w:r>
      <w:r w:rsidR="004F459A">
        <w:t>s</w:t>
      </w:r>
      <w:r>
        <w:t xml:space="preserve"> that for a </w:t>
      </w:r>
      <w:r w:rsidR="004F459A">
        <w:t>regulatory</w:t>
      </w:r>
      <w:r>
        <w:t xml:space="preserve"> activity</w:t>
      </w:r>
      <w:r w:rsidR="0077629E">
        <w:t>,</w:t>
      </w:r>
      <w:r>
        <w:t xml:space="preserve"> it is important to consider whether it </w:t>
      </w:r>
      <w:r w:rsidRPr="00351892">
        <w:t xml:space="preserve">is efficient to </w:t>
      </w:r>
      <w:r w:rsidR="0072453C">
        <w:t>charge for</w:t>
      </w:r>
      <w:r w:rsidR="0072453C" w:rsidRPr="00351892">
        <w:t xml:space="preserve"> </w:t>
      </w:r>
      <w:r w:rsidRPr="00351892">
        <w:t xml:space="preserve">the activity (i.e. the costs of administering </w:t>
      </w:r>
      <w:r w:rsidR="0079674C">
        <w:t>the IFM</w:t>
      </w:r>
      <w:r w:rsidRPr="00351892">
        <w:t xml:space="preserve"> should be proportional to the charges for and potential revenue from the activity). This requires a balance between developing a more precise but more complex and hence more expensive model, and developing a simpler and less expensive but less precise model.</w:t>
      </w:r>
    </w:p>
    <w:p w14:paraId="69C295DE" w14:textId="0B2FA55A" w:rsidR="00AC61CD" w:rsidRDefault="00C27160" w:rsidP="00806FE0">
      <w:pPr>
        <w:rPr>
          <w:lang w:eastAsia="en-US"/>
        </w:rPr>
      </w:pPr>
      <w:r>
        <w:t xml:space="preserve">The Government </w:t>
      </w:r>
      <w:r w:rsidR="00637E59">
        <w:t>may</w:t>
      </w:r>
      <w:r>
        <w:t xml:space="preserve"> decide </w:t>
      </w:r>
      <w:r w:rsidR="005D3A34">
        <w:t>that</w:t>
      </w:r>
      <w:r>
        <w:t xml:space="preserve"> there </w:t>
      </w:r>
      <w:r w:rsidRPr="00456FED">
        <w:t xml:space="preserve">should be some level of cross-subsidisation between or within industry </w:t>
      </w:r>
      <w:r w:rsidR="00F33074">
        <w:t>sub</w:t>
      </w:r>
      <w:r w:rsidR="00F33074">
        <w:noBreakHyphen/>
      </w:r>
      <w:r w:rsidR="00527197">
        <w:t>sector</w:t>
      </w:r>
      <w:r w:rsidRPr="00456FED">
        <w:t>s</w:t>
      </w:r>
      <w:r>
        <w:t>.</w:t>
      </w:r>
      <w:r w:rsidR="0028083B">
        <w:t xml:space="preserve"> Such decisions would need to be informed by </w:t>
      </w:r>
      <w:r w:rsidR="00BF748F">
        <w:t>consideration of the balance between different policy objectives and trade-offs.</w:t>
      </w:r>
      <w:r>
        <w:t xml:space="preserve"> Where the Government decides to do this, costs are recovered from regulated entities via statutory levies. The amount charged </w:t>
      </w:r>
      <w:r w:rsidR="00C70BBB">
        <w:t xml:space="preserve">via a statutory levy </w:t>
      </w:r>
      <w:r>
        <w:t xml:space="preserve">and the costing approach is not governed by the Charging Framework. </w:t>
      </w:r>
      <w:r w:rsidR="004406B8">
        <w:rPr>
          <w:lang w:eastAsia="en-US"/>
        </w:rPr>
        <w:t xml:space="preserve"> </w:t>
      </w:r>
    </w:p>
    <w:p w14:paraId="3B2E61A6" w14:textId="77777777" w:rsidR="00C1171B" w:rsidRDefault="00C1171B" w:rsidP="00806FE0">
      <w:pPr>
        <w:rPr>
          <w:lang w:eastAsia="en-US"/>
        </w:rPr>
      </w:pPr>
    </w:p>
    <w:p w14:paraId="2CD8F3DD" w14:textId="77777777" w:rsidR="00E23CF7" w:rsidRDefault="00E23CF7" w:rsidP="00806FE0">
      <w:pPr>
        <w:rPr>
          <w:lang w:eastAsia="en-US"/>
        </w:rPr>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2B5C83" w14:paraId="241A6BA3" w14:textId="77777777" w:rsidTr="00B31FB5">
        <w:tc>
          <w:tcPr>
            <w:tcW w:w="5000" w:type="pct"/>
            <w:shd w:val="clear" w:color="auto" w:fill="F2F9FC"/>
            <w:hideMark/>
          </w:tcPr>
          <w:p w14:paraId="27F9EF04" w14:textId="43588776" w:rsidR="006B212D" w:rsidRDefault="00E21947" w:rsidP="006B212D">
            <w:pPr>
              <w:pStyle w:val="BoxHeading"/>
              <w:numPr>
                <w:ilvl w:val="0"/>
                <w:numId w:val="0"/>
              </w:numPr>
              <w:spacing w:after="0"/>
              <w:rPr>
                <w:lang w:eastAsia="en-US"/>
              </w:rPr>
            </w:pPr>
            <w:r>
              <w:rPr>
                <w:szCs w:val="28"/>
                <w:lang w:eastAsia="en-US"/>
              </w:rPr>
              <w:lastRenderedPageBreak/>
              <w:t xml:space="preserve">1: </w:t>
            </w:r>
            <w:r w:rsidR="006B212D">
              <w:rPr>
                <w:szCs w:val="28"/>
                <w:lang w:eastAsia="en-US"/>
              </w:rPr>
              <w:t>Examples of simplification</w:t>
            </w:r>
            <w:r w:rsidR="006B212D">
              <w:rPr>
                <w:rStyle w:val="FootnoteReference"/>
                <w:szCs w:val="28"/>
                <w:lang w:eastAsia="en-US"/>
              </w:rPr>
              <w:footnoteReference w:id="8"/>
            </w:r>
            <w:r w:rsidR="006B212D">
              <w:rPr>
                <w:szCs w:val="28"/>
                <w:lang w:eastAsia="en-US"/>
              </w:rPr>
              <w:t xml:space="preserve">  </w:t>
            </w:r>
          </w:p>
          <w:p w14:paraId="77548E49" w14:textId="329626B3" w:rsidR="006B212D" w:rsidRPr="00F73382" w:rsidRDefault="006B212D" w:rsidP="00F73382">
            <w:pPr>
              <w:pStyle w:val="BoxText"/>
              <w:rPr>
                <w:lang w:eastAsia="en-US"/>
              </w:rPr>
            </w:pPr>
            <w:r w:rsidRPr="000008A9">
              <w:rPr>
                <w:lang w:eastAsia="en-US"/>
              </w:rPr>
              <w:t xml:space="preserve">These examples </w:t>
            </w:r>
            <w:r>
              <w:rPr>
                <w:lang w:eastAsia="en-US"/>
              </w:rPr>
              <w:t>and questions</w:t>
            </w:r>
            <w:r w:rsidRPr="000008A9">
              <w:rPr>
                <w:lang w:eastAsia="en-US"/>
              </w:rPr>
              <w:t xml:space="preserve"> should be considered separately to the </w:t>
            </w:r>
            <w:r>
              <w:rPr>
                <w:lang w:eastAsia="en-US"/>
              </w:rPr>
              <w:t>questions raised in Section 2 ‘</w:t>
            </w:r>
            <w:r w:rsidRPr="00F73382">
              <w:rPr>
                <w:i/>
                <w:iCs/>
                <w:lang w:eastAsia="en-US"/>
              </w:rPr>
              <w:t>Key features of levies</w:t>
            </w:r>
            <w:r>
              <w:rPr>
                <w:lang w:eastAsia="en-US"/>
              </w:rPr>
              <w:t>’, which seeks stakeholder views about whether the current sub</w:t>
            </w:r>
            <w:r>
              <w:rPr>
                <w:lang w:eastAsia="en-US"/>
              </w:rPr>
              <w:noBreakHyphen/>
              <w:t>sector definitions, formulas and metrics remain appropriate. Changes to sub</w:t>
            </w:r>
            <w:r>
              <w:rPr>
                <w:lang w:eastAsia="en-US"/>
              </w:rPr>
              <w:noBreakHyphen/>
              <w:t>sector definitions, formulas and metrics within the existing IFM settings aim to better apportion costs to entities in a sub</w:t>
            </w:r>
            <w:r>
              <w:rPr>
                <w:lang w:eastAsia="en-US"/>
              </w:rPr>
              <w:noBreakHyphen/>
              <w:t>sector rather than simplify</w:t>
            </w:r>
            <w:r w:rsidR="00E8153C">
              <w:rPr>
                <w:lang w:eastAsia="en-US"/>
              </w:rPr>
              <w:t>ing</w:t>
            </w:r>
            <w:r>
              <w:rPr>
                <w:lang w:eastAsia="en-US"/>
              </w:rPr>
              <w:t xml:space="preserve"> the model and may not align with the examples below, which would involve more substantial changes to the model.     </w:t>
            </w:r>
          </w:p>
          <w:p w14:paraId="295F6EF4" w14:textId="7E8960D4" w:rsidR="00E23CF7" w:rsidRDefault="00E23CF7" w:rsidP="00457660">
            <w:pPr>
              <w:pStyle w:val="BoxText"/>
              <w:spacing w:before="0"/>
              <w:rPr>
                <w:lang w:eastAsia="en-US"/>
              </w:rPr>
            </w:pPr>
            <w:r>
              <w:rPr>
                <w:b/>
                <w:bCs/>
                <w:lang w:eastAsia="en-US"/>
              </w:rPr>
              <w:t xml:space="preserve">Option 1: </w:t>
            </w:r>
            <w:r>
              <w:rPr>
                <w:lang w:eastAsia="en-US"/>
              </w:rPr>
              <w:t>Combine sub</w:t>
            </w:r>
            <w:r>
              <w:rPr>
                <w:lang w:eastAsia="en-US"/>
              </w:rPr>
              <w:noBreakHyphen/>
              <w:t>sectors that have similar types of entities and undertake similar types of regulated activity. For example:</w:t>
            </w:r>
          </w:p>
          <w:p w14:paraId="4D30608E" w14:textId="77777777" w:rsidR="00E23CF7" w:rsidRDefault="00E23CF7" w:rsidP="00E23CF7">
            <w:pPr>
              <w:pStyle w:val="BoxText"/>
              <w:numPr>
                <w:ilvl w:val="0"/>
                <w:numId w:val="14"/>
              </w:numPr>
              <w:rPr>
                <w:lang w:eastAsia="en-US"/>
              </w:rPr>
            </w:pPr>
            <w:r w:rsidRPr="00DC785B">
              <w:rPr>
                <w:lang w:eastAsia="en-US"/>
              </w:rPr>
              <w:t xml:space="preserve">Create two </w:t>
            </w:r>
            <w:r>
              <w:rPr>
                <w:lang w:eastAsia="en-US"/>
              </w:rPr>
              <w:t>sub</w:t>
            </w:r>
            <w:r>
              <w:rPr>
                <w:lang w:eastAsia="en-US"/>
              </w:rPr>
              <w:noBreakHyphen/>
              <w:t>sector</w:t>
            </w:r>
            <w:r w:rsidRPr="00DC785B">
              <w:rPr>
                <w:lang w:eastAsia="en-US"/>
              </w:rPr>
              <w:t>s</w:t>
            </w:r>
            <w:r>
              <w:rPr>
                <w:lang w:eastAsia="en-US"/>
              </w:rPr>
              <w:t xml:space="preserve"> (rather than the existing four)</w:t>
            </w:r>
            <w:r w:rsidRPr="00DC785B">
              <w:rPr>
                <w:lang w:eastAsia="en-US"/>
              </w:rPr>
              <w:t xml:space="preserve"> in the financial advice sector with </w:t>
            </w:r>
            <w:r>
              <w:rPr>
                <w:lang w:eastAsia="en-US"/>
              </w:rPr>
              <w:t>one</w:t>
            </w:r>
            <w:r w:rsidRPr="00DC785B">
              <w:rPr>
                <w:lang w:eastAsia="en-US"/>
              </w:rPr>
              <w:t xml:space="preserve"> </w:t>
            </w:r>
            <w:r>
              <w:rPr>
                <w:lang w:eastAsia="en-US"/>
              </w:rPr>
              <w:t>sub</w:t>
            </w:r>
            <w:r>
              <w:rPr>
                <w:lang w:eastAsia="en-US"/>
              </w:rPr>
              <w:noBreakHyphen/>
              <w:t>sector</w:t>
            </w:r>
            <w:r w:rsidRPr="00DC785B">
              <w:rPr>
                <w:lang w:eastAsia="en-US"/>
              </w:rPr>
              <w:t xml:space="preserve"> for licensees that provide personal advice to retail clients on relevant financial products and one </w:t>
            </w:r>
            <w:r>
              <w:rPr>
                <w:lang w:eastAsia="en-US"/>
              </w:rPr>
              <w:t>sub</w:t>
            </w:r>
            <w:r>
              <w:rPr>
                <w:lang w:eastAsia="en-US"/>
              </w:rPr>
              <w:noBreakHyphen/>
              <w:t>sector</w:t>
            </w:r>
            <w:r w:rsidRPr="00DC785B">
              <w:rPr>
                <w:lang w:eastAsia="en-US"/>
              </w:rPr>
              <w:t xml:space="preserve"> for licensees that do not provide personal advice to retail clients on relevant financial products.</w:t>
            </w:r>
            <w:r>
              <w:rPr>
                <w:lang w:eastAsia="en-US"/>
              </w:rPr>
              <w:t xml:space="preserve"> </w:t>
            </w:r>
          </w:p>
          <w:p w14:paraId="74C74748" w14:textId="30CCD58D" w:rsidR="00E23CF7" w:rsidRDefault="00E23CF7" w:rsidP="00EE5B27">
            <w:pPr>
              <w:pStyle w:val="BoxText"/>
              <w:numPr>
                <w:ilvl w:val="0"/>
                <w:numId w:val="14"/>
              </w:numPr>
              <w:rPr>
                <w:lang w:eastAsia="en-US"/>
              </w:rPr>
            </w:pPr>
            <w:r w:rsidRPr="00064EC7">
              <w:rPr>
                <w:lang w:eastAsia="en-US"/>
              </w:rPr>
              <w:t xml:space="preserve">Combine </w:t>
            </w:r>
            <w:r>
              <w:rPr>
                <w:lang w:eastAsia="en-US"/>
              </w:rPr>
              <w:t>sub</w:t>
            </w:r>
            <w:r>
              <w:rPr>
                <w:lang w:eastAsia="en-US"/>
              </w:rPr>
              <w:noBreakHyphen/>
            </w:r>
            <w:r w:rsidRPr="00064EC7">
              <w:rPr>
                <w:lang w:eastAsia="en-US"/>
              </w:rPr>
              <w:t xml:space="preserve">sectors in the market infrastructure and intermediaries </w:t>
            </w:r>
            <w:r>
              <w:rPr>
                <w:lang w:eastAsia="en-US"/>
              </w:rPr>
              <w:t>sector</w:t>
            </w:r>
            <w:r w:rsidRPr="00064EC7">
              <w:rPr>
                <w:lang w:eastAsia="en-US"/>
              </w:rPr>
              <w:t>, such as:</w:t>
            </w:r>
          </w:p>
          <w:p w14:paraId="1FE33054" w14:textId="7A91C88C" w:rsidR="004504D9" w:rsidRDefault="004504D9" w:rsidP="00EE5B27">
            <w:pPr>
              <w:pStyle w:val="BoxText"/>
              <w:numPr>
                <w:ilvl w:val="0"/>
                <w:numId w:val="35"/>
              </w:numPr>
              <w:spacing w:before="0"/>
              <w:ind w:left="1434" w:hanging="357"/>
              <w:rPr>
                <w:lang w:eastAsia="en-US"/>
              </w:rPr>
            </w:pPr>
            <w:r w:rsidRPr="00073107">
              <w:rPr>
                <w:lang w:eastAsia="en-US"/>
              </w:rPr>
              <w:t>c</w:t>
            </w:r>
            <w:r w:rsidRPr="0089791F">
              <w:rPr>
                <w:lang w:eastAsia="en-US"/>
              </w:rPr>
              <w:t xml:space="preserve">ombine all </w:t>
            </w:r>
            <w:r w:rsidR="00F33074">
              <w:rPr>
                <w:lang w:eastAsia="en-US"/>
              </w:rPr>
              <w:t>sub</w:t>
            </w:r>
            <w:r w:rsidR="00F33074">
              <w:rPr>
                <w:lang w:eastAsia="en-US"/>
              </w:rPr>
              <w:noBreakHyphen/>
            </w:r>
            <w:r w:rsidRPr="0089791F">
              <w:rPr>
                <w:lang w:eastAsia="en-US"/>
              </w:rPr>
              <w:t>s</w:t>
            </w:r>
            <w:r w:rsidRPr="00B873C5">
              <w:rPr>
                <w:lang w:eastAsia="en-US"/>
              </w:rPr>
              <w:t>ectors that relate to clearing and settlement facility operators;</w:t>
            </w:r>
          </w:p>
          <w:p w14:paraId="76D3C2B9" w14:textId="3078F918" w:rsidR="002B5C83" w:rsidRDefault="002B5C83" w:rsidP="00806FE0">
            <w:pPr>
              <w:pStyle w:val="BoxText"/>
              <w:numPr>
                <w:ilvl w:val="0"/>
                <w:numId w:val="35"/>
              </w:numPr>
              <w:rPr>
                <w:lang w:eastAsia="en-US"/>
              </w:rPr>
            </w:pPr>
            <w:r w:rsidRPr="00B873C5">
              <w:rPr>
                <w:lang w:eastAsia="en-US"/>
              </w:rPr>
              <w:t xml:space="preserve">combine all </w:t>
            </w:r>
            <w:r w:rsidR="00F33074">
              <w:rPr>
                <w:lang w:eastAsia="en-US"/>
              </w:rPr>
              <w:t>sub</w:t>
            </w:r>
            <w:r w:rsidR="00F33074">
              <w:rPr>
                <w:lang w:eastAsia="en-US"/>
              </w:rPr>
              <w:noBreakHyphen/>
            </w:r>
            <w:r w:rsidRPr="00B873C5">
              <w:rPr>
                <w:lang w:eastAsia="en-US"/>
              </w:rPr>
              <w:t>sectors that relate to securities exchange operators and participants;</w:t>
            </w:r>
            <w:r w:rsidR="003378A4">
              <w:rPr>
                <w:lang w:eastAsia="en-US"/>
              </w:rPr>
              <w:t xml:space="preserve"> and/or</w:t>
            </w:r>
          </w:p>
          <w:p w14:paraId="34E22938" w14:textId="23202AB4" w:rsidR="002B5C83" w:rsidRPr="00073107" w:rsidRDefault="002B5C83">
            <w:pPr>
              <w:pStyle w:val="BoxText"/>
              <w:numPr>
                <w:ilvl w:val="0"/>
                <w:numId w:val="35"/>
              </w:numPr>
              <w:rPr>
                <w:lang w:eastAsia="en-US"/>
              </w:rPr>
            </w:pPr>
            <w:r>
              <w:rPr>
                <w:lang w:eastAsia="en-US"/>
              </w:rPr>
              <w:t xml:space="preserve">combine all </w:t>
            </w:r>
            <w:r w:rsidR="00F33074">
              <w:rPr>
                <w:lang w:eastAsia="en-US"/>
              </w:rPr>
              <w:t>sub</w:t>
            </w:r>
            <w:r w:rsidR="00F33074">
              <w:rPr>
                <w:lang w:eastAsia="en-US"/>
              </w:rPr>
              <w:noBreakHyphen/>
            </w:r>
            <w:r>
              <w:rPr>
                <w:lang w:eastAsia="en-US"/>
              </w:rPr>
              <w:t xml:space="preserve">sectors that relate to futures exchange operators and participants. </w:t>
            </w:r>
          </w:p>
          <w:p w14:paraId="6354267A" w14:textId="0992C796" w:rsidR="002B5C83" w:rsidRPr="00E30196" w:rsidRDefault="002B5C83">
            <w:pPr>
              <w:pStyle w:val="BoxText"/>
              <w:numPr>
                <w:ilvl w:val="0"/>
                <w:numId w:val="14"/>
              </w:numPr>
              <w:rPr>
                <w:lang w:eastAsia="en-US"/>
              </w:rPr>
            </w:pPr>
            <w:r w:rsidRPr="00E30196">
              <w:rPr>
                <w:lang w:eastAsia="en-US"/>
              </w:rPr>
              <w:t>Combine the credit provider</w:t>
            </w:r>
            <w:r>
              <w:rPr>
                <w:lang w:eastAsia="en-US"/>
              </w:rPr>
              <w:t>s</w:t>
            </w:r>
            <w:r w:rsidRPr="00E30196">
              <w:rPr>
                <w:lang w:eastAsia="en-US"/>
              </w:rPr>
              <w:t xml:space="preserve">, small </w:t>
            </w:r>
            <w:r>
              <w:rPr>
                <w:lang w:eastAsia="en-US"/>
              </w:rPr>
              <w:t xml:space="preserve">and medium </w:t>
            </w:r>
            <w:r w:rsidRPr="00E30196">
              <w:rPr>
                <w:lang w:eastAsia="en-US"/>
              </w:rPr>
              <w:t>amount credit provider</w:t>
            </w:r>
            <w:r>
              <w:rPr>
                <w:lang w:eastAsia="en-US"/>
              </w:rPr>
              <w:t>s</w:t>
            </w:r>
            <w:r w:rsidRPr="00E30196">
              <w:rPr>
                <w:lang w:eastAsia="en-US"/>
              </w:rPr>
              <w:t xml:space="preserve"> and credit intermediar</w:t>
            </w:r>
            <w:r>
              <w:rPr>
                <w:lang w:eastAsia="en-US"/>
              </w:rPr>
              <w:t>ies</w:t>
            </w:r>
            <w:r w:rsidRPr="00E30196">
              <w:rPr>
                <w:lang w:eastAsia="en-US"/>
              </w:rPr>
              <w:t xml:space="preserve"> </w:t>
            </w:r>
            <w:r w:rsidR="00F33074">
              <w:rPr>
                <w:lang w:eastAsia="en-US"/>
              </w:rPr>
              <w:t>sub</w:t>
            </w:r>
            <w:r w:rsidR="00F33074">
              <w:rPr>
                <w:lang w:eastAsia="en-US"/>
              </w:rPr>
              <w:noBreakHyphen/>
            </w:r>
            <w:r w:rsidRPr="00E30196">
              <w:rPr>
                <w:lang w:eastAsia="en-US"/>
              </w:rPr>
              <w:t xml:space="preserve">sectors. </w:t>
            </w:r>
          </w:p>
          <w:p w14:paraId="20BC583C" w14:textId="0B8CAFCA" w:rsidR="002B5C83" w:rsidRDefault="002B5C83">
            <w:pPr>
              <w:pStyle w:val="BoxText"/>
              <w:numPr>
                <w:ilvl w:val="0"/>
                <w:numId w:val="14"/>
              </w:numPr>
              <w:rPr>
                <w:lang w:eastAsia="en-US"/>
              </w:rPr>
            </w:pPr>
            <w:r w:rsidRPr="00E30196">
              <w:rPr>
                <w:lang w:eastAsia="en-US"/>
              </w:rPr>
              <w:t>Combine the superannuation</w:t>
            </w:r>
            <w:r>
              <w:rPr>
                <w:lang w:eastAsia="en-US"/>
              </w:rPr>
              <w:t xml:space="preserve"> trustees</w:t>
            </w:r>
            <w:r w:rsidRPr="00E30196">
              <w:rPr>
                <w:lang w:eastAsia="en-US"/>
              </w:rPr>
              <w:t>, responsible entit</w:t>
            </w:r>
            <w:r>
              <w:rPr>
                <w:lang w:eastAsia="en-US"/>
              </w:rPr>
              <w:t>ies</w:t>
            </w:r>
            <w:r w:rsidRPr="00E30196">
              <w:rPr>
                <w:lang w:eastAsia="en-US"/>
              </w:rPr>
              <w:t>, wholesale trustee</w:t>
            </w:r>
            <w:r>
              <w:rPr>
                <w:lang w:eastAsia="en-US"/>
              </w:rPr>
              <w:t>s</w:t>
            </w:r>
            <w:r w:rsidRPr="00E30196">
              <w:rPr>
                <w:lang w:eastAsia="en-US"/>
              </w:rPr>
              <w:t xml:space="preserve"> and </w:t>
            </w:r>
            <w:r>
              <w:rPr>
                <w:lang w:eastAsia="en-US"/>
              </w:rPr>
              <w:t xml:space="preserve">investor directed portfolio service operators </w:t>
            </w:r>
            <w:r w:rsidR="00F33074">
              <w:rPr>
                <w:lang w:eastAsia="en-US"/>
              </w:rPr>
              <w:t>sub</w:t>
            </w:r>
            <w:r w:rsidR="00F33074">
              <w:rPr>
                <w:lang w:eastAsia="en-US"/>
              </w:rPr>
              <w:noBreakHyphen/>
            </w:r>
            <w:r w:rsidRPr="00D707BC">
              <w:rPr>
                <w:lang w:eastAsia="en-US"/>
              </w:rPr>
              <w:t xml:space="preserve">sectors. </w:t>
            </w:r>
          </w:p>
          <w:p w14:paraId="12E84430" w14:textId="6FDD3808" w:rsidR="00AC6DF7" w:rsidRPr="00E13F39" w:rsidRDefault="00AC6DF7">
            <w:pPr>
              <w:pStyle w:val="BoxText"/>
              <w:rPr>
                <w:lang w:eastAsia="en-US"/>
              </w:rPr>
            </w:pPr>
            <w:r>
              <w:rPr>
                <w:b/>
                <w:bCs/>
                <w:lang w:eastAsia="en-US"/>
              </w:rPr>
              <w:t>Option 2</w:t>
            </w:r>
            <w:r>
              <w:rPr>
                <w:lang w:eastAsia="en-US"/>
              </w:rPr>
              <w:t xml:space="preserve">: </w:t>
            </w:r>
            <w:r w:rsidR="00956A13">
              <w:rPr>
                <w:lang w:eastAsia="en-US"/>
              </w:rPr>
              <w:t>A</w:t>
            </w:r>
            <w:r>
              <w:rPr>
                <w:lang w:eastAsia="en-US"/>
              </w:rPr>
              <w:t>llocate costs at a sector level</w:t>
            </w:r>
            <w:r w:rsidR="00300B32">
              <w:rPr>
                <w:lang w:eastAsia="en-US"/>
              </w:rPr>
              <w:t xml:space="preserve"> (rather than sub-sector level)</w:t>
            </w:r>
            <w:r>
              <w:rPr>
                <w:lang w:eastAsia="en-US"/>
              </w:rPr>
              <w:t xml:space="preserve"> and apportion costs amongst entities using a generalised metric such as a volume-based proxy (for example, revenue or turnover). This would</w:t>
            </w:r>
            <w:r>
              <w:t xml:space="preserve"> aim to </w:t>
            </w:r>
            <w:r w:rsidRPr="006A2294">
              <w:rPr>
                <w:lang w:eastAsia="en-US"/>
              </w:rPr>
              <w:t xml:space="preserve">remove </w:t>
            </w:r>
            <w:r w:rsidR="003F5417">
              <w:rPr>
                <w:lang w:eastAsia="en-US"/>
              </w:rPr>
              <w:t>or reduce</w:t>
            </w:r>
            <w:r w:rsidRPr="006A2294">
              <w:rPr>
                <w:lang w:eastAsia="en-US"/>
              </w:rPr>
              <w:t xml:space="preserve"> </w:t>
            </w:r>
            <w:r w:rsidR="0087338E">
              <w:rPr>
                <w:lang w:eastAsia="en-US"/>
              </w:rPr>
              <w:t>instances</w:t>
            </w:r>
            <w:r w:rsidRPr="006A2294">
              <w:rPr>
                <w:lang w:eastAsia="en-US"/>
              </w:rPr>
              <w:t xml:space="preserve"> </w:t>
            </w:r>
            <w:r w:rsidR="003C0FDD">
              <w:rPr>
                <w:lang w:eastAsia="en-US"/>
              </w:rPr>
              <w:t>of</w:t>
            </w:r>
            <w:r w:rsidRPr="006A2294">
              <w:rPr>
                <w:lang w:eastAsia="en-US"/>
              </w:rPr>
              <w:t xml:space="preserve"> entities undertaking </w:t>
            </w:r>
            <w:r w:rsidR="006F4F70">
              <w:rPr>
                <w:lang w:eastAsia="en-US"/>
              </w:rPr>
              <w:t>similar</w:t>
            </w:r>
            <w:r w:rsidRPr="006A2294">
              <w:rPr>
                <w:lang w:eastAsia="en-US"/>
              </w:rPr>
              <w:t xml:space="preserve"> activities </w:t>
            </w:r>
            <w:r w:rsidR="006F4F70">
              <w:rPr>
                <w:lang w:eastAsia="en-US"/>
              </w:rPr>
              <w:t xml:space="preserve">that </w:t>
            </w:r>
            <w:r w:rsidRPr="006A2294">
              <w:rPr>
                <w:lang w:eastAsia="en-US"/>
              </w:rPr>
              <w:t xml:space="preserve">fall within multiple </w:t>
            </w:r>
            <w:r w:rsidR="00F33074">
              <w:rPr>
                <w:lang w:eastAsia="en-US"/>
              </w:rPr>
              <w:t>sub</w:t>
            </w:r>
            <w:r w:rsidR="00F33074">
              <w:rPr>
                <w:lang w:eastAsia="en-US"/>
              </w:rPr>
              <w:noBreakHyphen/>
            </w:r>
            <w:r w:rsidRPr="006A2294">
              <w:rPr>
                <w:lang w:eastAsia="en-US"/>
              </w:rPr>
              <w:t>sectors</w:t>
            </w:r>
            <w:r>
              <w:rPr>
                <w:lang w:eastAsia="en-US"/>
              </w:rPr>
              <w:t xml:space="preserve"> and could be done by:</w:t>
            </w:r>
          </w:p>
          <w:p w14:paraId="738CA68C" w14:textId="77777777" w:rsidR="00AC6DF7" w:rsidRPr="00E13F39" w:rsidRDefault="00AC6DF7">
            <w:pPr>
              <w:pStyle w:val="BoxText"/>
              <w:numPr>
                <w:ilvl w:val="0"/>
                <w:numId w:val="14"/>
              </w:numPr>
              <w:rPr>
                <w:lang w:eastAsia="en-US"/>
              </w:rPr>
            </w:pPr>
            <w:r>
              <w:rPr>
                <w:lang w:eastAsia="en-US"/>
              </w:rPr>
              <w:t>using the current grouping of sectors under the IFM (corporate sector; deposit taking and credit sector; investment management, superannuation and related services sector; market infrastructure and intermediaries sector; financial advice sector; insurance sector); or</w:t>
            </w:r>
          </w:p>
          <w:p w14:paraId="75DE4324" w14:textId="77777777" w:rsidR="00AC6DF7" w:rsidRPr="00E13F39" w:rsidRDefault="00AC6DF7">
            <w:pPr>
              <w:pStyle w:val="BoxText"/>
              <w:numPr>
                <w:ilvl w:val="0"/>
                <w:numId w:val="14"/>
              </w:numPr>
              <w:rPr>
                <w:lang w:eastAsia="en-US"/>
              </w:rPr>
            </w:pPr>
            <w:r>
              <w:rPr>
                <w:lang w:eastAsia="en-US"/>
              </w:rPr>
              <w:t xml:space="preserve">creating new sectors based on different types of licensing arrangements – that is, a sector for all Australian financial service licence holders, Australian credit licence holders, and market infrastructure licence holders and exempt market operators. </w:t>
            </w:r>
          </w:p>
          <w:p w14:paraId="6AC2A6B3" w14:textId="77777777" w:rsidR="00AC6DF7" w:rsidRPr="00E13F39" w:rsidRDefault="00AC6DF7">
            <w:pPr>
              <w:pStyle w:val="BoxText"/>
              <w:numPr>
                <w:ilvl w:val="0"/>
                <w:numId w:val="36"/>
              </w:numPr>
              <w:rPr>
                <w:lang w:eastAsia="en-US"/>
              </w:rPr>
            </w:pPr>
            <w:r>
              <w:rPr>
                <w:lang w:eastAsia="en-US"/>
              </w:rPr>
              <w:t xml:space="preserve">Consideration would need to be given to creating sectors where entities do not hold a licence, for example entities currently in the corporate sector. </w:t>
            </w:r>
          </w:p>
          <w:p w14:paraId="48820D26" w14:textId="60629FD2" w:rsidR="00AC6DF7" w:rsidRDefault="00AC6DF7">
            <w:pPr>
              <w:pStyle w:val="BoxText"/>
              <w:rPr>
                <w:lang w:eastAsia="en-US"/>
              </w:rPr>
            </w:pPr>
            <w:r w:rsidRPr="00663F0F">
              <w:rPr>
                <w:b/>
                <w:lang w:eastAsia="en-US"/>
              </w:rPr>
              <w:t>Option 3</w:t>
            </w:r>
            <w:r w:rsidRPr="00663F0F">
              <w:rPr>
                <w:lang w:eastAsia="en-US"/>
              </w:rPr>
              <w:t xml:space="preserve">: Introduce a standardised metric for all </w:t>
            </w:r>
            <w:r w:rsidR="00F33074">
              <w:rPr>
                <w:lang w:eastAsia="en-US"/>
              </w:rPr>
              <w:t>sub</w:t>
            </w:r>
            <w:r w:rsidR="00F33074">
              <w:rPr>
                <w:lang w:eastAsia="en-US"/>
              </w:rPr>
              <w:noBreakHyphen/>
            </w:r>
            <w:r w:rsidRPr="00663F0F">
              <w:rPr>
                <w:lang w:eastAsia="en-US"/>
              </w:rPr>
              <w:t xml:space="preserve">sectors – </w:t>
            </w:r>
            <w:r>
              <w:rPr>
                <w:lang w:eastAsia="en-US"/>
              </w:rPr>
              <w:t xml:space="preserve">for example, a volume-based proxy such as revenue or turnover. </w:t>
            </w:r>
          </w:p>
          <w:p w14:paraId="403F48C4" w14:textId="42E850F3" w:rsidR="00AC6DF7" w:rsidRDefault="00AC6DF7">
            <w:pPr>
              <w:pStyle w:val="BoxText"/>
              <w:numPr>
                <w:ilvl w:val="0"/>
                <w:numId w:val="14"/>
              </w:numPr>
              <w:rPr>
                <w:lang w:eastAsia="en-US"/>
              </w:rPr>
            </w:pPr>
            <w:r>
              <w:rPr>
                <w:lang w:eastAsia="en-US"/>
              </w:rPr>
              <w:lastRenderedPageBreak/>
              <w:t xml:space="preserve">This would mean that regulatory costs are still apportioned to </w:t>
            </w:r>
            <w:r w:rsidR="00F33074">
              <w:rPr>
                <w:lang w:eastAsia="en-US"/>
              </w:rPr>
              <w:t>sub</w:t>
            </w:r>
            <w:r w:rsidR="00F33074">
              <w:rPr>
                <w:lang w:eastAsia="en-US"/>
              </w:rPr>
              <w:noBreakHyphen/>
            </w:r>
            <w:r>
              <w:rPr>
                <w:lang w:eastAsia="en-US"/>
              </w:rPr>
              <w:t xml:space="preserve">sectors based on the regulatory effort expended by ASIC on each </w:t>
            </w:r>
            <w:r w:rsidR="00F33074">
              <w:rPr>
                <w:lang w:eastAsia="en-US"/>
              </w:rPr>
              <w:t>sub</w:t>
            </w:r>
            <w:r w:rsidR="00F33074">
              <w:rPr>
                <w:lang w:eastAsia="en-US"/>
              </w:rPr>
              <w:noBreakHyphen/>
              <w:t>sector</w:t>
            </w:r>
            <w:r>
              <w:rPr>
                <w:lang w:eastAsia="en-US"/>
              </w:rPr>
              <w:t xml:space="preserve">, but entities would pay for the regulatory costs for their </w:t>
            </w:r>
            <w:r w:rsidR="00F33074">
              <w:rPr>
                <w:lang w:eastAsia="en-US"/>
              </w:rPr>
              <w:t>sub</w:t>
            </w:r>
            <w:r w:rsidR="00F33074">
              <w:rPr>
                <w:lang w:eastAsia="en-US"/>
              </w:rPr>
              <w:noBreakHyphen/>
              <w:t>sector</w:t>
            </w:r>
            <w:r>
              <w:rPr>
                <w:lang w:eastAsia="en-US"/>
              </w:rPr>
              <w:t xml:space="preserve"> based on a standardised metric.  </w:t>
            </w:r>
          </w:p>
          <w:p w14:paraId="56D75880" w14:textId="77777777" w:rsidR="00AC6DF7" w:rsidRDefault="00AC6DF7">
            <w:pPr>
              <w:pStyle w:val="BoxText"/>
              <w:rPr>
                <w:lang w:eastAsia="en-US"/>
              </w:rPr>
            </w:pPr>
            <w:r>
              <w:t xml:space="preserve">This paper seeks stakeholders’ views on the options identified above. In providing feedback on these options, stakeholders should consider: </w:t>
            </w:r>
          </w:p>
          <w:p w14:paraId="1E6B036A" w14:textId="77777777" w:rsidR="00AC6DF7" w:rsidRDefault="00AC6DF7">
            <w:pPr>
              <w:pStyle w:val="BoxText"/>
              <w:numPr>
                <w:ilvl w:val="0"/>
                <w:numId w:val="14"/>
              </w:numPr>
              <w:rPr>
                <w:lang w:eastAsia="en-US"/>
              </w:rPr>
            </w:pPr>
            <w:r>
              <w:rPr>
                <w:lang w:eastAsia="en-US"/>
              </w:rPr>
              <w:t xml:space="preserve">the impact of the options on entities, including the cost to business and regulatory burden, as well as fairness and equity considerations; </w:t>
            </w:r>
          </w:p>
          <w:p w14:paraId="7DC161F8" w14:textId="08D065B4" w:rsidR="00AC6DF7" w:rsidRDefault="00AC6DF7">
            <w:pPr>
              <w:pStyle w:val="BoxText"/>
              <w:numPr>
                <w:ilvl w:val="0"/>
                <w:numId w:val="14"/>
              </w:numPr>
              <w:rPr>
                <w:lang w:eastAsia="en-US"/>
              </w:rPr>
            </w:pPr>
            <w:r>
              <w:rPr>
                <w:lang w:eastAsia="en-US"/>
              </w:rPr>
              <w:t xml:space="preserve">the appropriate levy formula for the proposals presented in Option 1 (i.e. whether a flat or graduated levy should apply to the proposed combined </w:t>
            </w:r>
            <w:r w:rsidR="00F33074">
              <w:rPr>
                <w:lang w:eastAsia="en-US"/>
              </w:rPr>
              <w:t>sub</w:t>
            </w:r>
            <w:r w:rsidR="00F33074">
              <w:rPr>
                <w:lang w:eastAsia="en-US"/>
              </w:rPr>
              <w:noBreakHyphen/>
            </w:r>
            <w:r>
              <w:rPr>
                <w:lang w:eastAsia="en-US"/>
              </w:rPr>
              <w:t>sectors); and</w:t>
            </w:r>
          </w:p>
          <w:p w14:paraId="4E0800FB" w14:textId="14BB796E" w:rsidR="00AC6DF7" w:rsidRDefault="00AC6DF7">
            <w:pPr>
              <w:pStyle w:val="BoxText"/>
              <w:numPr>
                <w:ilvl w:val="0"/>
                <w:numId w:val="14"/>
              </w:numPr>
              <w:rPr>
                <w:lang w:eastAsia="en-US"/>
              </w:rPr>
            </w:pPr>
            <w:r>
              <w:rPr>
                <w:lang w:eastAsia="en-US"/>
              </w:rPr>
              <w:t xml:space="preserve">the appropriate metric to be used for the proposals presented in Options 2 and 3 (i.e. whether costs should be apportioned across entities based on revenue, turnover, or another metric that </w:t>
            </w:r>
            <w:r w:rsidR="00806CC7">
              <w:rPr>
                <w:lang w:eastAsia="en-US"/>
              </w:rPr>
              <w:t>could be applied</w:t>
            </w:r>
            <w:r>
              <w:rPr>
                <w:lang w:eastAsia="en-US"/>
              </w:rPr>
              <w:t xml:space="preserve"> across all of ASIC’s regulated population).</w:t>
            </w:r>
          </w:p>
        </w:tc>
      </w:tr>
      <w:tr w:rsidR="007540ED" w14:paraId="2BCDDCEF" w14:textId="77777777" w:rsidTr="006016A6">
        <w:tblPrEx>
          <w:shd w:val="clear" w:color="auto" w:fill="EEEEEE" w:themeFill="background2"/>
          <w:tblLook w:val="04A0" w:firstRow="1" w:lastRow="0" w:firstColumn="1" w:lastColumn="0" w:noHBand="0" w:noVBand="1"/>
        </w:tblPrEx>
        <w:tc>
          <w:tcPr>
            <w:tcW w:w="5000" w:type="pct"/>
            <w:shd w:val="clear" w:color="auto" w:fill="EEEEEE" w:themeFill="background2"/>
          </w:tcPr>
          <w:p w14:paraId="4BAF23AE" w14:textId="77777777" w:rsidR="007540ED" w:rsidRPr="000D1284" w:rsidRDefault="007540ED" w:rsidP="001E6383">
            <w:pPr>
              <w:pStyle w:val="BoxHeading"/>
              <w:numPr>
                <w:ilvl w:val="0"/>
                <w:numId w:val="0"/>
              </w:numPr>
              <w:spacing w:before="120"/>
            </w:pPr>
            <w:r>
              <w:lastRenderedPageBreak/>
              <w:t xml:space="preserve">Questions </w:t>
            </w:r>
          </w:p>
          <w:p w14:paraId="18F8B8E2" w14:textId="50E3A28D" w:rsidR="007540ED" w:rsidRDefault="007540ED">
            <w:pPr>
              <w:pStyle w:val="OutlineNumbered1"/>
              <w:numPr>
                <w:ilvl w:val="0"/>
                <w:numId w:val="40"/>
              </w:numPr>
              <w:rPr>
                <w:lang w:eastAsia="en-US"/>
              </w:rPr>
            </w:pPr>
            <w:r>
              <w:rPr>
                <w:lang w:eastAsia="en-US"/>
              </w:rPr>
              <w:t>Is it</w:t>
            </w:r>
            <w:r w:rsidRPr="004C5084">
              <w:rPr>
                <w:lang w:eastAsia="en-US"/>
              </w:rPr>
              <w:t xml:space="preserve"> more important to have a </w:t>
            </w:r>
            <w:r>
              <w:rPr>
                <w:lang w:eastAsia="en-US"/>
              </w:rPr>
              <w:t xml:space="preserve">simpler </w:t>
            </w:r>
            <w:r w:rsidRPr="004C5084">
              <w:rPr>
                <w:lang w:eastAsia="en-US"/>
              </w:rPr>
              <w:t xml:space="preserve">model that can be more readily understood </w:t>
            </w:r>
            <w:r>
              <w:rPr>
                <w:lang w:eastAsia="en-US"/>
              </w:rPr>
              <w:t xml:space="preserve">by entities </w:t>
            </w:r>
            <w:r w:rsidRPr="004C5084">
              <w:rPr>
                <w:lang w:eastAsia="en-US"/>
              </w:rPr>
              <w:t>and administered</w:t>
            </w:r>
            <w:r>
              <w:rPr>
                <w:lang w:eastAsia="en-US"/>
              </w:rPr>
              <w:t xml:space="preserve"> by ASIC </w:t>
            </w:r>
            <w:r w:rsidR="004231FE">
              <w:rPr>
                <w:lang w:eastAsia="en-US"/>
              </w:rPr>
              <w:t>which may</w:t>
            </w:r>
            <w:r>
              <w:rPr>
                <w:lang w:eastAsia="en-US"/>
              </w:rPr>
              <w:t xml:space="preserve"> </w:t>
            </w:r>
            <w:r w:rsidR="004231FE">
              <w:rPr>
                <w:lang w:eastAsia="en-US"/>
              </w:rPr>
              <w:t xml:space="preserve">result in increased </w:t>
            </w:r>
            <w:r>
              <w:rPr>
                <w:lang w:eastAsia="en-US"/>
              </w:rPr>
              <w:t>cross-subsidisation</w:t>
            </w:r>
            <w:r w:rsidRPr="004C5084">
              <w:rPr>
                <w:lang w:eastAsia="en-US"/>
              </w:rPr>
              <w:t xml:space="preserve">, or a more </w:t>
            </w:r>
            <w:r>
              <w:rPr>
                <w:lang w:eastAsia="en-US"/>
              </w:rPr>
              <w:t>equitable</w:t>
            </w:r>
            <w:r w:rsidRPr="004C5084">
              <w:rPr>
                <w:lang w:eastAsia="en-US"/>
              </w:rPr>
              <w:t xml:space="preserve"> model</w:t>
            </w:r>
            <w:r w:rsidR="004231FE">
              <w:rPr>
                <w:lang w:eastAsia="en-US"/>
              </w:rPr>
              <w:t xml:space="preserve"> (similar to the status quo)</w:t>
            </w:r>
            <w:r w:rsidRPr="004C5084">
              <w:rPr>
                <w:lang w:eastAsia="en-US"/>
              </w:rPr>
              <w:t xml:space="preserve"> that</w:t>
            </w:r>
            <w:r>
              <w:rPr>
                <w:lang w:eastAsia="en-US"/>
              </w:rPr>
              <w:t xml:space="preserve"> </w:t>
            </w:r>
            <w:r w:rsidRPr="004C5084">
              <w:rPr>
                <w:lang w:eastAsia="en-US"/>
              </w:rPr>
              <w:t>closely links the recovery of costs to the groups of entities causing the need for those costs</w:t>
            </w:r>
            <w:r>
              <w:rPr>
                <w:lang w:eastAsia="en-US"/>
              </w:rPr>
              <w:t>?</w:t>
            </w:r>
          </w:p>
          <w:p w14:paraId="33D82685" w14:textId="3DDA4FDB" w:rsidR="007540ED" w:rsidRDefault="007540ED">
            <w:pPr>
              <w:pStyle w:val="OutlineNumbered1"/>
              <w:numPr>
                <w:ilvl w:val="0"/>
                <w:numId w:val="40"/>
              </w:numPr>
              <w:rPr>
                <w:lang w:eastAsia="en-US"/>
              </w:rPr>
            </w:pPr>
            <w:r>
              <w:rPr>
                <w:lang w:eastAsia="en-US"/>
              </w:rPr>
              <w:t xml:space="preserve">Is cross-subsidising costs for entities within a </w:t>
            </w:r>
            <w:r w:rsidR="00F33074">
              <w:rPr>
                <w:lang w:eastAsia="en-US"/>
              </w:rPr>
              <w:t>sub</w:t>
            </w:r>
            <w:r w:rsidR="00F33074">
              <w:rPr>
                <w:lang w:eastAsia="en-US"/>
              </w:rPr>
              <w:noBreakHyphen/>
              <w:t>sector</w:t>
            </w:r>
            <w:r>
              <w:rPr>
                <w:lang w:eastAsia="en-US"/>
              </w:rPr>
              <w:t xml:space="preserve"> or sector more appropriate than cross-subsidising costs across all of ASIC’s regulated population? If so, why?  </w:t>
            </w:r>
          </w:p>
          <w:p w14:paraId="4A4A9F4B" w14:textId="1A699B0A" w:rsidR="007540ED" w:rsidRPr="000D1284" w:rsidRDefault="007540ED">
            <w:pPr>
              <w:pStyle w:val="OutlineNumbered1"/>
              <w:numPr>
                <w:ilvl w:val="0"/>
                <w:numId w:val="40"/>
              </w:numPr>
              <w:rPr>
                <w:lang w:eastAsia="en-US"/>
              </w:rPr>
            </w:pPr>
            <w:r>
              <w:rPr>
                <w:lang w:eastAsia="en-US"/>
              </w:rPr>
              <w:t>Are there other opportunities to simplify the design, structure and legislative framework for levies? If so, what opportunities and what benefits would they provide?</w:t>
            </w:r>
          </w:p>
        </w:tc>
      </w:tr>
    </w:tbl>
    <w:p w14:paraId="6E88EDA8" w14:textId="11109089" w:rsidR="00883F8B" w:rsidRDefault="00883F8B" w:rsidP="00360713">
      <w:pPr>
        <w:pStyle w:val="Heading3"/>
        <w:keepLines/>
      </w:pPr>
      <w:bookmarkStart w:id="36" w:name="_Toc109834314"/>
      <w:bookmarkStart w:id="37" w:name="_Toc114214414"/>
      <w:r>
        <w:t>Flexibility of the IFM to respond to changes</w:t>
      </w:r>
      <w:bookmarkEnd w:id="36"/>
      <w:bookmarkEnd w:id="37"/>
    </w:p>
    <w:p w14:paraId="1612292A" w14:textId="17C1D5B5" w:rsidR="00883F8B" w:rsidRDefault="00883F8B" w:rsidP="00360713">
      <w:pPr>
        <w:keepNext/>
        <w:keepLines/>
      </w:pPr>
      <w:r w:rsidRPr="00077E56">
        <w:t>The Government</w:t>
      </w:r>
      <w:r w:rsidR="00BE77E7">
        <w:t xml:space="preserve"> (subject to Parliamentary process and oversight)</w:t>
      </w:r>
      <w:r w:rsidRPr="00077E56">
        <w:t xml:space="preserve"> is responsible for the policy settings of the IFM, which are prescribed in a legislative framework comprising several Acts and Regulations. ASIC is responsible for administering the IFM in accordance with the Government’s policy settings and the legislative framework.</w:t>
      </w:r>
    </w:p>
    <w:p w14:paraId="51C1EFB9" w14:textId="24CCF8A8" w:rsidR="00883F8B" w:rsidRDefault="00883F8B" w:rsidP="00883F8B">
      <w:r w:rsidRPr="00C14343">
        <w:t>Changes to the policy settings of the IFM are the responsibility of the Government</w:t>
      </w:r>
      <w:r>
        <w:t xml:space="preserve">. </w:t>
      </w:r>
      <w:r w:rsidRPr="006016FB">
        <w:t xml:space="preserve">Making changes to the policy settings of the IFM would, for the most part, require legislative change and would need to go through usual </w:t>
      </w:r>
      <w:r w:rsidR="00E56015">
        <w:t xml:space="preserve">Parliamentary and </w:t>
      </w:r>
      <w:r w:rsidRPr="006016FB">
        <w:t>legislative processes.</w:t>
      </w:r>
    </w:p>
    <w:p w14:paraId="3433D41B" w14:textId="772E2170" w:rsidR="00096863" w:rsidRDefault="00096863" w:rsidP="00883F8B">
      <w:r w:rsidRPr="00096863">
        <w:t>Since its commencement, there has been no wholesale change to the</w:t>
      </w:r>
      <w:r w:rsidR="00865FFE">
        <w:t xml:space="preserve"> levy component of the</w:t>
      </w:r>
      <w:r w:rsidRPr="00096863">
        <w:t xml:space="preserve"> IFM. However, notable changes made include establishing new industry sub sectors, simplifying levy metrics for certain sub sectors, and changes to levy amounts (such as the temporary relief for financial adviser levies in 2020-21 and 2021-22)</w:t>
      </w:r>
      <w:r w:rsidR="0032364F">
        <w:t xml:space="preserve"> – see Appendix C for a list of changes</w:t>
      </w:r>
      <w:r w:rsidRPr="00096863">
        <w:t>.</w:t>
      </w:r>
    </w:p>
    <w:p w14:paraId="7C467A38" w14:textId="0201EB2C" w:rsidR="00883F8B" w:rsidRDefault="00883F8B" w:rsidP="00883F8B">
      <w:r>
        <w:lastRenderedPageBreak/>
        <w:t xml:space="preserve">The legislative framework of the IFM is intended to be flexible. The Explanatory Memorandum to the </w:t>
      </w:r>
      <w:r w:rsidRPr="004A19F1">
        <w:t>ASIC Supervisory Cost Recovery Levy Bill 2017</w:t>
      </w:r>
      <w:r w:rsidRPr="005C754E">
        <w:t xml:space="preserve"> </w:t>
      </w:r>
      <w:r>
        <w:t xml:space="preserve">noted that the power to set in regulations formulas and methods for determining levy amounts is broad and allows for significant flexibility in determining amounts of levy for different classes of entities. This flexibility is required because of the number of different </w:t>
      </w:r>
      <w:r w:rsidR="00F33074">
        <w:t>sub</w:t>
      </w:r>
      <w:r w:rsidR="00F33074">
        <w:noBreakHyphen/>
      </w:r>
      <w:r w:rsidR="00527197">
        <w:t>sector</w:t>
      </w:r>
      <w:r>
        <w:t xml:space="preserve">s and the need to set different methods, formulas or amounts that are appropriate for each of them. </w:t>
      </w:r>
    </w:p>
    <w:p w14:paraId="3E71FE44" w14:textId="0D4EBD50" w:rsidR="00883F8B" w:rsidRDefault="00883F8B" w:rsidP="00883F8B">
      <w:r>
        <w:t>While the IFM is intended to be flexible, the process of making and amending primary legislation or regulations can be lengthy depending on the number and scope of changes required.</w:t>
      </w:r>
      <w:r w:rsidR="00FB669E">
        <w:t xml:space="preserve"> Some stakeholders have raised concerns about the flexibility of the IFM to respond to changes in industry in a timely manner, in particular to account for emerging industry sectors. However, flexibility needs to be balanced against appropriate Ministerial and Parliamentary oversight.</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3777C0" w14:paraId="1E631B1D" w14:textId="77777777" w:rsidTr="006016A6">
        <w:tc>
          <w:tcPr>
            <w:tcW w:w="5000" w:type="pct"/>
            <w:shd w:val="clear" w:color="auto" w:fill="EEEEEE" w:themeFill="background2"/>
          </w:tcPr>
          <w:p w14:paraId="36343D49" w14:textId="77777777" w:rsidR="003777C0" w:rsidRPr="000D1284" w:rsidRDefault="003777C0" w:rsidP="001E6383">
            <w:pPr>
              <w:pStyle w:val="BoxHeading"/>
              <w:numPr>
                <w:ilvl w:val="0"/>
                <w:numId w:val="0"/>
              </w:numPr>
              <w:spacing w:before="120"/>
            </w:pPr>
            <w:r>
              <w:t>Questions</w:t>
            </w:r>
          </w:p>
          <w:p w14:paraId="0D1FF768" w14:textId="25848C1C" w:rsidR="003777C0" w:rsidRPr="000D1284" w:rsidRDefault="003777C0" w:rsidP="009114BE">
            <w:pPr>
              <w:pStyle w:val="OutlineNumbered1"/>
              <w:numPr>
                <w:ilvl w:val="0"/>
                <w:numId w:val="40"/>
              </w:numPr>
            </w:pPr>
            <w:r w:rsidRPr="007B24E8">
              <w:t xml:space="preserve">Does the </w:t>
            </w:r>
            <w:r>
              <w:t>design</w:t>
            </w:r>
            <w:r w:rsidR="00A2401C">
              <w:t>,</w:t>
            </w:r>
            <w:r>
              <w:t xml:space="preserve"> structure </w:t>
            </w:r>
            <w:r w:rsidR="00A2401C">
              <w:t xml:space="preserve">and legislative framework </w:t>
            </w:r>
            <w:r>
              <w:t>of the levy component of the IFM</w:t>
            </w:r>
            <w:r w:rsidRPr="007B24E8">
              <w:t xml:space="preserve"> have sufficient flexibility to respond to changes in</w:t>
            </w:r>
            <w:r w:rsidR="00607ED1">
              <w:t xml:space="preserve"> the</w:t>
            </w:r>
            <w:r w:rsidRPr="007B24E8">
              <w:t xml:space="preserve"> </w:t>
            </w:r>
            <w:r>
              <w:t>markets, sectors and products ASIC has oversight of</w:t>
            </w:r>
            <w:r w:rsidRPr="007B24E8">
              <w:t xml:space="preserve">? If not, what </w:t>
            </w:r>
            <w:r>
              <w:t xml:space="preserve">aspects require more flexibility and what </w:t>
            </w:r>
            <w:r w:rsidRPr="007B24E8">
              <w:t>changes could be made?</w:t>
            </w:r>
          </w:p>
        </w:tc>
      </w:tr>
    </w:tbl>
    <w:p w14:paraId="2F4521F8" w14:textId="0B6796F4" w:rsidR="003946D4" w:rsidRDefault="003946D4" w:rsidP="003946D4">
      <w:pPr>
        <w:pStyle w:val="Heading3"/>
      </w:pPr>
      <w:bookmarkStart w:id="38" w:name="_Toc114214415"/>
      <w:bookmarkStart w:id="39" w:name="_Toc109834315"/>
      <w:r>
        <w:t xml:space="preserve">Ex-post </w:t>
      </w:r>
      <w:r w:rsidR="00114AA0">
        <w:t>charging</w:t>
      </w:r>
      <w:bookmarkEnd w:id="38"/>
    </w:p>
    <w:p w14:paraId="0A35037C" w14:textId="08C1EB05" w:rsidR="003946D4" w:rsidRDefault="003946D4" w:rsidP="00D07A6D">
      <w:r w:rsidRPr="00B278EE">
        <w:t xml:space="preserve">ASIC is one of the few </w:t>
      </w:r>
      <w:r>
        <w:t xml:space="preserve">regulators </w:t>
      </w:r>
      <w:r w:rsidRPr="00B278EE">
        <w:t>that recovers regulatory costs</w:t>
      </w:r>
      <w:r>
        <w:t xml:space="preserve"> via </w:t>
      </w:r>
      <w:r w:rsidR="00FE5B4B">
        <w:t>industry levies</w:t>
      </w:r>
      <w:r w:rsidRPr="00B278EE">
        <w:t xml:space="preserve"> </w:t>
      </w:r>
      <w:r>
        <w:t>using an ex-post model</w:t>
      </w:r>
      <w:r w:rsidRPr="00B278EE">
        <w:t xml:space="preserve"> – that is, costs are recovered in the financial year </w:t>
      </w:r>
      <w:r>
        <w:t>after the regulatory costs were incurred</w:t>
      </w:r>
      <w:r w:rsidRPr="00B278EE">
        <w:t xml:space="preserve">. </w:t>
      </w:r>
      <w:r>
        <w:t>Most o</w:t>
      </w:r>
      <w:r w:rsidRPr="00B278EE">
        <w:t>ther</w:t>
      </w:r>
      <w:r>
        <w:t xml:space="preserve"> regulators</w:t>
      </w:r>
      <w:r w:rsidRPr="00B278EE">
        <w:t xml:space="preserve"> that recover regulatory costs via levies do so on an ex-ante basis – that is, costs are</w:t>
      </w:r>
      <w:r>
        <w:t xml:space="preserve"> determined and</w:t>
      </w:r>
      <w:r w:rsidRPr="00B278EE">
        <w:t xml:space="preserve"> recovered before the costs are expended. This requires </w:t>
      </w:r>
      <w:r>
        <w:t>regulators</w:t>
      </w:r>
      <w:r w:rsidRPr="00B278EE">
        <w:t xml:space="preserve"> to set </w:t>
      </w:r>
      <w:r>
        <w:t>a</w:t>
      </w:r>
      <w:r w:rsidRPr="00B278EE">
        <w:t xml:space="preserve"> budget and determine resource </w:t>
      </w:r>
      <w:r>
        <w:t xml:space="preserve">and cost allocations </w:t>
      </w:r>
      <w:r w:rsidRPr="00B278EE">
        <w:t xml:space="preserve">across their regulated population in advance of </w:t>
      </w:r>
      <w:r>
        <w:t xml:space="preserve">regulatory activity being undertaken. </w:t>
      </w:r>
    </w:p>
    <w:p w14:paraId="2ED35E1A" w14:textId="5B775757" w:rsidR="003946D4" w:rsidRDefault="003946D4" w:rsidP="00D07A6D">
      <w:r>
        <w:t>While the</w:t>
      </w:r>
      <w:r w:rsidRPr="005053D5">
        <w:t xml:space="preserve"> ex-post model ensures that ASIC only recovers its actual expenditure from each </w:t>
      </w:r>
      <w:r w:rsidR="00F33074">
        <w:t>sub</w:t>
      </w:r>
      <w:r w:rsidR="00F33074">
        <w:noBreakHyphen/>
        <w:t>sector</w:t>
      </w:r>
      <w:r w:rsidRPr="005053D5">
        <w:t>, there are trade-offs with the ex-post model.</w:t>
      </w:r>
      <w:r>
        <w:t xml:space="preserve"> A key challenge for stakeholders is the difficulty to budget for levies </w:t>
      </w:r>
      <w:r w:rsidRPr="00591FBB">
        <w:t>as actual levy amounts are not known until after ASIC has undertaken its regulatory activities</w:t>
      </w:r>
      <w:r>
        <w:t xml:space="preserve">. </w:t>
      </w:r>
    </w:p>
    <w:p w14:paraId="7DCDCBCE" w14:textId="68098EA3" w:rsidR="003946D4" w:rsidRDefault="003946D4" w:rsidP="00D07A6D">
      <w:r>
        <w:t xml:space="preserve">However, </w:t>
      </w:r>
      <w:r w:rsidR="0032112D">
        <w:t xml:space="preserve">this Review considers that </w:t>
      </w:r>
      <w:r>
        <w:t xml:space="preserve">the ex-post model remains appropriate for ASIC’s industry funding arrangements given the difficulty for ASIC to determine in advance and with relative accuracy how much it will expend on each </w:t>
      </w:r>
      <w:r w:rsidR="00F33074">
        <w:t>sub</w:t>
      </w:r>
      <w:r w:rsidR="00F33074">
        <w:noBreakHyphen/>
        <w:t>sector</w:t>
      </w:r>
      <w:r>
        <w:t xml:space="preserve"> each year. While ASIC can determine its priority areas of regulatory focus in advance (published each year in its Corporate Plan), the key drivers of cost uncertainty are enforcement activity and where ASIC’s surveillance may be required due to ASIC’s large (and changing) regulated population. </w:t>
      </w:r>
    </w:p>
    <w:p w14:paraId="5B109F29" w14:textId="255EC6CD" w:rsidR="003946D4" w:rsidRDefault="003946D4" w:rsidP="00D07A6D">
      <w:r>
        <w:t xml:space="preserve">Implementing an ex-ante model would require ASIC to determine in advance its resource allocations for each </w:t>
      </w:r>
      <w:r w:rsidR="00F33074">
        <w:t>sub</w:t>
      </w:r>
      <w:r w:rsidR="00F33074">
        <w:noBreakHyphen/>
        <w:t>sector</w:t>
      </w:r>
      <w:r w:rsidDel="00B335E7">
        <w:t>.</w:t>
      </w:r>
      <w:r>
        <w:t xml:space="preserve"> However, the uncertainty and variations in enforcement and other regulatory costs could lead to significant over</w:t>
      </w:r>
      <w:r w:rsidR="00006BC2">
        <w:t>/</w:t>
      </w:r>
      <w:r>
        <w:t xml:space="preserve">under recovery from </w:t>
      </w:r>
      <w:r w:rsidR="00F33074">
        <w:t>sub</w:t>
      </w:r>
      <w:r w:rsidR="00F33074">
        <w:noBreakHyphen/>
      </w:r>
      <w:r w:rsidR="00527197">
        <w:t>sector</w:t>
      </w:r>
      <w:r>
        <w:t>s in subsequent years</w:t>
      </w:r>
      <w:r w:rsidR="00006BC2">
        <w:t>.</w:t>
      </w:r>
    </w:p>
    <w:p w14:paraId="27B6D584" w14:textId="73C3E92F" w:rsidR="003946D4" w:rsidRDefault="003946D4" w:rsidP="00D07A6D">
      <w:r>
        <w:t xml:space="preserve">Therefore, </w:t>
      </w:r>
      <w:r w:rsidR="00D41913">
        <w:t>the Review</w:t>
      </w:r>
      <w:r>
        <w:t xml:space="preserve"> </w:t>
      </w:r>
      <w:r w:rsidRPr="00FA6B9F">
        <w:t>will not consider changes to the ex-post nature of the IFM</w:t>
      </w:r>
      <w:r>
        <w:t xml:space="preserve"> as it continues to remain appropriate given the nature of ASIC’s </w:t>
      </w:r>
      <w:r w:rsidR="0032112D">
        <w:t>activities</w:t>
      </w:r>
      <w:r>
        <w:t xml:space="preserve">. </w:t>
      </w:r>
      <w:r w:rsidRPr="00FA6B9F">
        <w:t xml:space="preserve">However, </w:t>
      </w:r>
      <w:r w:rsidR="00D41913">
        <w:t>the Review</w:t>
      </w:r>
      <w:r w:rsidRPr="00FA6B9F">
        <w:t xml:space="preserve"> will consider </w:t>
      </w:r>
      <w:r w:rsidR="0032112D">
        <w:t>options to</w:t>
      </w:r>
      <w:r w:rsidRPr="00FA6B9F">
        <w:t xml:space="preserve"> address issues associated with the ex-post nature of the IFM.</w:t>
      </w:r>
    </w:p>
    <w:p w14:paraId="517498FF" w14:textId="2FC8DFE0" w:rsidR="00883F8B" w:rsidRPr="001B47B0" w:rsidRDefault="001D4EC4" w:rsidP="00C6745C">
      <w:pPr>
        <w:pStyle w:val="Heading2"/>
        <w:numPr>
          <w:ilvl w:val="6"/>
          <w:numId w:val="29"/>
        </w:numPr>
        <w:tabs>
          <w:tab w:val="clear" w:pos="2520"/>
        </w:tabs>
        <w:ind w:left="426" w:hanging="426"/>
      </w:pPr>
      <w:bookmarkStart w:id="40" w:name="_Toc114214416"/>
      <w:bookmarkEnd w:id="39"/>
      <w:r>
        <w:lastRenderedPageBreak/>
        <w:t xml:space="preserve">Key issues </w:t>
      </w:r>
      <w:r w:rsidR="00B55587">
        <w:t>related to</w:t>
      </w:r>
      <w:r>
        <w:t xml:space="preserve"> levies</w:t>
      </w:r>
      <w:bookmarkEnd w:id="40"/>
    </w:p>
    <w:p w14:paraId="0B71E5D7" w14:textId="54CEF63D" w:rsidR="00003662" w:rsidRDefault="00883F8B" w:rsidP="00003662">
      <w:pPr>
        <w:pStyle w:val="Heading3"/>
      </w:pPr>
      <w:bookmarkStart w:id="41" w:name="_Toc114214417"/>
      <w:bookmarkStart w:id="42" w:name="_Toc109834323"/>
      <w:r>
        <w:t>Enforcement</w:t>
      </w:r>
      <w:bookmarkEnd w:id="41"/>
      <w:r>
        <w:t xml:space="preserve"> </w:t>
      </w:r>
      <w:bookmarkEnd w:id="42"/>
    </w:p>
    <w:p w14:paraId="09AFF840" w14:textId="20C15FAF" w:rsidR="00E41117" w:rsidRDefault="00987355" w:rsidP="00360713">
      <w:r>
        <w:t>ASIC</w:t>
      </w:r>
      <w:r w:rsidRPr="00987355">
        <w:t xml:space="preserve"> investigate</w:t>
      </w:r>
      <w:r w:rsidR="00BE217F">
        <w:t>s</w:t>
      </w:r>
      <w:r w:rsidRPr="00987355">
        <w:t xml:space="preserve"> and take</w:t>
      </w:r>
      <w:r w:rsidR="00BE217F">
        <w:t>s</w:t>
      </w:r>
      <w:r w:rsidRPr="00987355">
        <w:t xml:space="preserve"> enforcement action to detect, disrupt and respond to unlawful conduct. In doing so, </w:t>
      </w:r>
      <w:r>
        <w:t>ASIC</w:t>
      </w:r>
      <w:r w:rsidRPr="00987355">
        <w:t xml:space="preserve"> prevent</w:t>
      </w:r>
      <w:r w:rsidR="007F273C">
        <w:t>s</w:t>
      </w:r>
      <w:r w:rsidRPr="00987355">
        <w:t xml:space="preserve"> and deter</w:t>
      </w:r>
      <w:r w:rsidR="007F273C">
        <w:t>s</w:t>
      </w:r>
      <w:r w:rsidRPr="00987355">
        <w:t xml:space="preserve"> actual and future misconduct, improve</w:t>
      </w:r>
      <w:r w:rsidR="007F273C">
        <w:t>s</w:t>
      </w:r>
      <w:r w:rsidRPr="00987355">
        <w:t xml:space="preserve"> standards and behaviours within </w:t>
      </w:r>
      <w:r w:rsidR="001557F5">
        <w:t xml:space="preserve">the </w:t>
      </w:r>
      <w:r w:rsidRPr="00987355">
        <w:t>regulated population, and reduce</w:t>
      </w:r>
      <w:r w:rsidR="00BE2FE9">
        <w:t>s</w:t>
      </w:r>
      <w:r w:rsidRPr="00987355">
        <w:t xml:space="preserve"> the risk of harm to Australian consumers and investors.</w:t>
      </w:r>
      <w:r w:rsidR="00F91BF7">
        <w:t xml:space="preserve"> </w:t>
      </w:r>
      <w:r w:rsidR="00311B34">
        <w:t xml:space="preserve">Under the IFM, </w:t>
      </w:r>
      <w:r w:rsidR="00BE217F">
        <w:t xml:space="preserve">the costs of ASIC’s </w:t>
      </w:r>
      <w:r w:rsidR="00311B34">
        <w:t>e</w:t>
      </w:r>
      <w:r w:rsidR="007A4F31">
        <w:t xml:space="preserve">nforcement </w:t>
      </w:r>
      <w:r w:rsidR="00BE217F">
        <w:t xml:space="preserve">activity are recovered from industry. </w:t>
      </w:r>
      <w:r w:rsidR="00FA2BF5">
        <w:t>This</w:t>
      </w:r>
      <w:r w:rsidR="007A4F31">
        <w:t xml:space="preserve"> ensure</w:t>
      </w:r>
      <w:r w:rsidR="00BE217F">
        <w:t>s</w:t>
      </w:r>
      <w:r w:rsidR="007A4F31">
        <w:t xml:space="preserve"> </w:t>
      </w:r>
      <w:r w:rsidR="007A4F31" w:rsidRPr="009E7BD8">
        <w:t xml:space="preserve">regulatory costs are recovered from entities </w:t>
      </w:r>
      <w:r w:rsidR="00286979">
        <w:t xml:space="preserve">in the </w:t>
      </w:r>
      <w:r w:rsidR="00F33074">
        <w:t>sub</w:t>
      </w:r>
      <w:r w:rsidR="00F33074">
        <w:noBreakHyphen/>
      </w:r>
      <w:r w:rsidR="00527197">
        <w:t>sector</w:t>
      </w:r>
      <w:r w:rsidR="00286979">
        <w:t>s</w:t>
      </w:r>
      <w:r w:rsidR="007A4F31" w:rsidRPr="009E7BD8">
        <w:t xml:space="preserve"> that create the need for regulation, rather than general taxpayers</w:t>
      </w:r>
      <w:r w:rsidR="007A4F31">
        <w:t xml:space="preserve">. </w:t>
      </w:r>
      <w:r w:rsidR="003E4AF1">
        <w:t xml:space="preserve">The </w:t>
      </w:r>
      <w:r w:rsidR="00457CDB">
        <w:t>principal</w:t>
      </w:r>
      <w:r w:rsidR="003E4AF1">
        <w:t xml:space="preserve"> issue stakeholders have raised regarding enforcement costs is that </w:t>
      </w:r>
      <w:r w:rsidR="00332ED3">
        <w:t xml:space="preserve">these </w:t>
      </w:r>
      <w:r w:rsidR="003E4AF1">
        <w:t>costs are not recovered from those causing the need for regulation.</w:t>
      </w:r>
    </w:p>
    <w:p w14:paraId="657D11AE" w14:textId="03A83D82" w:rsidR="00AD04F8" w:rsidRPr="00B60D40" w:rsidRDefault="00E03800" w:rsidP="00DA4DFD">
      <w:pPr>
        <w:pStyle w:val="Heading4"/>
      </w:pPr>
      <w:r>
        <w:t>Allocation of resources to enforcement activity</w:t>
      </w:r>
    </w:p>
    <w:p w14:paraId="52F78532" w14:textId="5B177BEC" w:rsidR="00850823" w:rsidRDefault="00654436" w:rsidP="00360713">
      <w:r>
        <w:t xml:space="preserve">Since </w:t>
      </w:r>
      <w:r w:rsidR="00332ED3">
        <w:t xml:space="preserve">the </w:t>
      </w:r>
      <w:r>
        <w:t>commencement of the IFM, e</w:t>
      </w:r>
      <w:r w:rsidR="007F0BCB">
        <w:t xml:space="preserve">nforcement costs </w:t>
      </w:r>
      <w:r w:rsidR="002A65ED">
        <w:t xml:space="preserve">have </w:t>
      </w:r>
      <w:r w:rsidR="007F0BCB">
        <w:t>account</w:t>
      </w:r>
      <w:r w:rsidR="002A65ED">
        <w:t>ed</w:t>
      </w:r>
      <w:r w:rsidR="007F0BCB">
        <w:t xml:space="preserve"> for approximately 30</w:t>
      </w:r>
      <w:r w:rsidR="002A65ED">
        <w:t xml:space="preserve"> per cent</w:t>
      </w:r>
      <w:r w:rsidR="007F0BCB">
        <w:t xml:space="preserve"> of ASIC’s costs that are recovered from industry via levies. </w:t>
      </w:r>
      <w:r w:rsidR="00850823" w:rsidRPr="004A19F1">
        <w:t xml:space="preserve">In 2020-21, enforcement costs, including costs associated with the Enforcement Special Account (ESA), accounted for 35 per cent of ASIC’s costs to be recovered </w:t>
      </w:r>
      <w:r w:rsidR="002A65ED">
        <w:t>through</w:t>
      </w:r>
      <w:r w:rsidR="00850823" w:rsidRPr="004A19F1">
        <w:t xml:space="preserve"> levies. Indirect costs related to enforcement accounted for a further </w:t>
      </w:r>
      <w:r w:rsidR="00FF4535">
        <w:t>17</w:t>
      </w:r>
      <w:r w:rsidR="00850823" w:rsidRPr="004A19F1">
        <w:t xml:space="preserve"> per cen</w:t>
      </w:r>
      <w:r w:rsidR="00FF4535">
        <w:t xml:space="preserve">t </w:t>
      </w:r>
      <w:r w:rsidR="00850823" w:rsidRPr="004A19F1">
        <w:t xml:space="preserve">meaning enforcement costs (direct and indirect) accounted for </w:t>
      </w:r>
      <w:r w:rsidR="00DB5201">
        <w:t>52</w:t>
      </w:r>
      <w:r w:rsidR="00850823" w:rsidRPr="004A19F1">
        <w:t xml:space="preserve"> per cent of ASIC’s costs recovered </w:t>
      </w:r>
      <w:r w:rsidR="00AB1657">
        <w:t>through</w:t>
      </w:r>
      <w:r w:rsidR="00850823" w:rsidRPr="004A19F1">
        <w:t xml:space="preserve"> levies</w:t>
      </w:r>
      <w:r w:rsidR="00850823">
        <w:t xml:space="preserve">. </w:t>
      </w:r>
      <w:r w:rsidR="00583E4D" w:rsidRPr="00583E4D">
        <w:t xml:space="preserve">While the proportion has remained relatively stable, the amount </w:t>
      </w:r>
      <w:r w:rsidR="00501DDA">
        <w:t xml:space="preserve">of enforcement activity </w:t>
      </w:r>
      <w:r w:rsidR="00583E4D" w:rsidRPr="00583E4D">
        <w:t>recovered from industry has been increasing in line with ASIC’s increasing budget</w:t>
      </w:r>
      <w:r w:rsidR="00583E4D">
        <w:t>, from</w:t>
      </w:r>
      <w:r w:rsidR="00501DDA">
        <w:t xml:space="preserve"> </w:t>
      </w:r>
      <w:r w:rsidR="005C3184">
        <w:t>$67.6</w:t>
      </w:r>
      <w:r w:rsidR="007D0FC0">
        <w:t> </w:t>
      </w:r>
      <w:r w:rsidR="005C3184">
        <w:t xml:space="preserve">million in 2017-18 to </w:t>
      </w:r>
      <w:r w:rsidR="00CE5B00">
        <w:t>$110 million in 2020-21.</w:t>
      </w:r>
      <w:r w:rsidR="00583E4D">
        <w:t xml:space="preserve"> </w:t>
      </w:r>
    </w:p>
    <w:p w14:paraId="3CC20208" w14:textId="3C432B4B" w:rsidR="009173F8" w:rsidRDefault="00A7387D" w:rsidP="00360713">
      <w:r>
        <w:t xml:space="preserve">In recent years, ASIC has received </w:t>
      </w:r>
      <w:r w:rsidR="00693B36">
        <w:t xml:space="preserve">increased funding, including to implement the recommendations of </w:t>
      </w:r>
      <w:r w:rsidR="009173F8" w:rsidRPr="00EE7C0F">
        <w:t>the Financial Services Royal Commission (FSRC)</w:t>
      </w:r>
      <w:r w:rsidR="00693B36">
        <w:t>.</w:t>
      </w:r>
      <w:r w:rsidR="009173F8" w:rsidRPr="00EE7C0F">
        <w:t xml:space="preserve"> </w:t>
      </w:r>
      <w:r w:rsidR="00617F6E">
        <w:t>This increased funding has supported ASIC to strengthen and intensify its approach to enforcement and take on expanded responsibilities to address misconduct</w:t>
      </w:r>
      <w:r w:rsidR="00750D2B">
        <w:t xml:space="preserve">, resulting in increased enforcement activity in some </w:t>
      </w:r>
      <w:r w:rsidR="00F33074">
        <w:t>sub</w:t>
      </w:r>
      <w:r w:rsidR="00F33074">
        <w:noBreakHyphen/>
      </w:r>
      <w:r w:rsidR="00527197">
        <w:t>sector</w:t>
      </w:r>
      <w:r w:rsidR="00750D2B">
        <w:t>s.</w:t>
      </w:r>
      <w:r w:rsidR="000A0BF9">
        <w:t xml:space="preserve"> This increase in enforcement activity</w:t>
      </w:r>
      <w:r w:rsidR="00CE5B00">
        <w:t xml:space="preserve"> </w:t>
      </w:r>
      <w:r w:rsidR="004814FE">
        <w:t xml:space="preserve">has </w:t>
      </w:r>
      <w:r w:rsidR="00CE5B00">
        <w:t xml:space="preserve">led to increased amounts being recovered from </w:t>
      </w:r>
      <w:r w:rsidR="00961561">
        <w:t>industr</w:t>
      </w:r>
      <w:r w:rsidR="00B52785">
        <w:t xml:space="preserve">y </w:t>
      </w:r>
      <w:r w:rsidR="00A66457">
        <w:t>via the IFM</w:t>
      </w:r>
      <w:r w:rsidR="00B52785">
        <w:t>.</w:t>
      </w:r>
    </w:p>
    <w:p w14:paraId="4B67F207" w14:textId="2EF9EA9F" w:rsidR="002C1021" w:rsidRDefault="00561B2C" w:rsidP="004239C8">
      <w:r>
        <w:t xml:space="preserve">Enforcement activity </w:t>
      </w:r>
      <w:r w:rsidR="001A0667">
        <w:t>has</w:t>
      </w:r>
      <w:r>
        <w:t xml:space="preserve"> generally</w:t>
      </w:r>
      <w:r w:rsidR="001A0667">
        <w:t xml:space="preserve"> been</w:t>
      </w:r>
      <w:r>
        <w:t xml:space="preserve"> concentrated to </w:t>
      </w:r>
      <w:r w:rsidR="001C7B68">
        <w:t xml:space="preserve">a small number of </w:t>
      </w:r>
      <w:r w:rsidR="00F33074">
        <w:t>sub</w:t>
      </w:r>
      <w:r w:rsidR="00F33074">
        <w:noBreakHyphen/>
      </w:r>
      <w:r w:rsidR="00527197">
        <w:t>sector</w:t>
      </w:r>
      <w:r>
        <w:t>s</w:t>
      </w:r>
      <w:r w:rsidR="00C3683F">
        <w:t>,</w:t>
      </w:r>
      <w:r>
        <w:t xml:space="preserve"> as opposed to </w:t>
      </w:r>
      <w:r w:rsidR="00847258">
        <w:t xml:space="preserve">being </w:t>
      </w:r>
      <w:r>
        <w:t xml:space="preserve">equally spread across all </w:t>
      </w:r>
      <w:r w:rsidR="00F33074">
        <w:t>sub</w:t>
      </w:r>
      <w:r w:rsidR="00F33074">
        <w:noBreakHyphen/>
      </w:r>
      <w:r>
        <w:t>sectors.</w:t>
      </w:r>
      <w:r w:rsidR="00BA2BBE">
        <w:t xml:space="preserve"> Since the commencement of the IFM, </w:t>
      </w:r>
      <w:r w:rsidR="008317C3">
        <w:t xml:space="preserve">around </w:t>
      </w:r>
      <w:r w:rsidR="00BA2BBE">
        <w:t>75</w:t>
      </w:r>
      <w:r w:rsidR="001C7B68">
        <w:t xml:space="preserve"> per cent</w:t>
      </w:r>
      <w:r w:rsidR="00D55A78">
        <w:t xml:space="preserve"> of</w:t>
      </w:r>
      <w:r w:rsidR="00D44CB7">
        <w:t xml:space="preserve"> all</w:t>
      </w:r>
      <w:r w:rsidR="00D55A78">
        <w:t xml:space="preserve"> enforcement costs have been recovered from </w:t>
      </w:r>
      <w:r w:rsidR="007532FD">
        <w:t>less than 10</w:t>
      </w:r>
      <w:r w:rsidR="00D55A78">
        <w:t xml:space="preserve"> </w:t>
      </w:r>
      <w:r w:rsidR="00F33074">
        <w:t>sub</w:t>
      </w:r>
      <w:r w:rsidR="00F33074">
        <w:noBreakHyphen/>
      </w:r>
      <w:r w:rsidR="00527197">
        <w:t>sector</w:t>
      </w:r>
      <w:r w:rsidR="00D55A78">
        <w:t>s</w:t>
      </w:r>
      <w:r w:rsidR="00082559">
        <w:rPr>
          <w:rStyle w:val="FootnoteReference"/>
        </w:rPr>
        <w:footnoteReference w:id="9"/>
      </w:r>
      <w:r w:rsidR="003B4B9F">
        <w:t>, with 95</w:t>
      </w:r>
      <w:r w:rsidR="00FA0CF5">
        <w:t xml:space="preserve"> per cent</w:t>
      </w:r>
      <w:r w:rsidR="003B4B9F">
        <w:t xml:space="preserve"> recovered from </w:t>
      </w:r>
      <w:r w:rsidR="007532FD">
        <w:t>less than 20</w:t>
      </w:r>
      <w:r w:rsidR="003B4B9F">
        <w:t xml:space="preserve"> </w:t>
      </w:r>
      <w:r w:rsidR="00F33074">
        <w:t>sub</w:t>
      </w:r>
      <w:r w:rsidR="00F33074">
        <w:noBreakHyphen/>
      </w:r>
      <w:r w:rsidR="003B4B9F">
        <w:t>sectors.</w:t>
      </w:r>
      <w:r w:rsidR="00927EBD">
        <w:t xml:space="preserve"> </w:t>
      </w:r>
    </w:p>
    <w:p w14:paraId="50CA88BD" w14:textId="650CDF96" w:rsidR="008D0402" w:rsidRPr="00B60D40" w:rsidRDefault="00A245B8" w:rsidP="00DA4DFD">
      <w:pPr>
        <w:pStyle w:val="Heading4"/>
      </w:pPr>
      <w:r>
        <w:t>The</w:t>
      </w:r>
      <w:r w:rsidR="00A074BA">
        <w:t xml:space="preserve"> </w:t>
      </w:r>
      <w:r w:rsidR="008E1785">
        <w:t>recover</w:t>
      </w:r>
      <w:r w:rsidR="00A074BA">
        <w:t>y</w:t>
      </w:r>
      <w:r w:rsidR="00674806">
        <w:t xml:space="preserve"> of enforcement costs</w:t>
      </w:r>
    </w:p>
    <w:p w14:paraId="79E0BFFB" w14:textId="4416E539" w:rsidR="00700AFC" w:rsidRDefault="00700AFC" w:rsidP="008E4EA3">
      <w:r>
        <w:t>Currently</w:t>
      </w:r>
      <w:r w:rsidR="008646D1">
        <w:t>, two approaches are taken to</w:t>
      </w:r>
      <w:r>
        <w:t xml:space="preserve"> the recovery of enforcement costs. Costs for smaller enforcement matters</w:t>
      </w:r>
      <w:r w:rsidR="00E51A1B">
        <w:t xml:space="preserve"> </w:t>
      </w:r>
      <w:r>
        <w:t xml:space="preserve">are considered business as usual (BAU) and are recovered </w:t>
      </w:r>
      <w:r w:rsidR="00A03957">
        <w:t>via</w:t>
      </w:r>
      <w:r>
        <w:t xml:space="preserve"> cost recovery levies</w:t>
      </w:r>
      <w:r w:rsidR="009F055D">
        <w:t>,</w:t>
      </w:r>
      <w:r>
        <w:t xml:space="preserve"> while costs for large matters are drawn from the Enforcement Special Account</w:t>
      </w:r>
      <w:r w:rsidR="00AB51AA">
        <w:t xml:space="preserve"> (ESA)</w:t>
      </w:r>
      <w:r w:rsidR="00492379">
        <w:t xml:space="preserve"> and recovered v</w:t>
      </w:r>
      <w:r w:rsidR="00A03957">
        <w:t>ia statutory levies</w:t>
      </w:r>
      <w:r w:rsidR="00694385">
        <w:t xml:space="preserve">. </w:t>
      </w:r>
    </w:p>
    <w:p w14:paraId="5FF0E4B5" w14:textId="2AAAEEB9" w:rsidR="008646D1" w:rsidRPr="008E4EA3" w:rsidRDefault="008646D1" w:rsidP="0033187E">
      <w:pPr>
        <w:pStyle w:val="NoSpacing"/>
        <w:numPr>
          <w:ilvl w:val="0"/>
          <w:numId w:val="15"/>
        </w:numPr>
        <w:rPr>
          <w:rFonts w:ascii="Calibri Light" w:eastAsia="Times New Roman" w:hAnsi="Calibri Light" w:cs="Times New Roman"/>
          <w:szCs w:val="20"/>
          <w:lang w:eastAsia="en-AU"/>
        </w:rPr>
      </w:pPr>
      <w:r w:rsidRPr="004A19F1">
        <w:rPr>
          <w:rFonts w:ascii="Calibri Light" w:eastAsia="Times New Roman" w:hAnsi="Calibri Light" w:cs="Times New Roman"/>
          <w:szCs w:val="20"/>
          <w:lang w:eastAsia="en-AU"/>
        </w:rPr>
        <w:t>‘</w:t>
      </w:r>
      <w:r w:rsidRPr="008E4EA3">
        <w:rPr>
          <w:rFonts w:ascii="Calibri Light" w:eastAsia="Times New Roman" w:hAnsi="Calibri Light" w:cs="Times New Roman"/>
          <w:szCs w:val="20"/>
          <w:lang w:eastAsia="en-AU"/>
        </w:rPr>
        <w:t xml:space="preserve">Business as usual’ </w:t>
      </w:r>
      <w:r w:rsidR="003C699E">
        <w:rPr>
          <w:rFonts w:ascii="Calibri Light" w:eastAsia="Times New Roman" w:hAnsi="Calibri Light" w:cs="Times New Roman"/>
          <w:szCs w:val="20"/>
          <w:lang w:eastAsia="en-AU"/>
        </w:rPr>
        <w:t>(BAU)</w:t>
      </w:r>
      <w:r w:rsidRPr="008E4EA3">
        <w:rPr>
          <w:rFonts w:ascii="Calibri Light" w:eastAsia="Times New Roman" w:hAnsi="Calibri Light" w:cs="Times New Roman"/>
          <w:szCs w:val="20"/>
          <w:lang w:eastAsia="en-AU"/>
        </w:rPr>
        <w:t xml:space="preserve"> enforcement costs are allocated to the relevant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Pr="008E4EA3">
        <w:rPr>
          <w:rFonts w:ascii="Calibri Light" w:eastAsia="Times New Roman" w:hAnsi="Calibri Light" w:cs="Times New Roman"/>
          <w:szCs w:val="20"/>
          <w:lang w:eastAsia="en-AU"/>
        </w:rPr>
        <w:t>(s) and recovered in the year in which the costs are incurred</w:t>
      </w:r>
      <w:r w:rsidR="00B26161">
        <w:rPr>
          <w:rFonts w:ascii="Calibri Light" w:eastAsia="Times New Roman" w:hAnsi="Calibri Light" w:cs="Times New Roman"/>
          <w:szCs w:val="20"/>
          <w:lang w:eastAsia="en-AU"/>
        </w:rPr>
        <w:t xml:space="preserve">. </w:t>
      </w:r>
      <w:r w:rsidR="00B26161" w:rsidRPr="008E4EA3">
        <w:rPr>
          <w:rFonts w:ascii="Calibri Light" w:eastAsia="Times New Roman" w:hAnsi="Calibri Light" w:cs="Times New Roman"/>
          <w:szCs w:val="20"/>
          <w:lang w:eastAsia="en-AU"/>
        </w:rPr>
        <w:t>These costs are recovered via cost recovery levies</w:t>
      </w:r>
      <w:r w:rsidR="00B26161">
        <w:rPr>
          <w:rFonts w:ascii="Calibri Light" w:eastAsia="Times New Roman" w:hAnsi="Calibri Light" w:cs="Times New Roman"/>
          <w:szCs w:val="20"/>
          <w:lang w:eastAsia="en-AU"/>
        </w:rPr>
        <w:t xml:space="preserve"> consistent with the Charging Framework</w:t>
      </w:r>
      <w:r w:rsidR="00B26161" w:rsidRPr="008E4EA3">
        <w:rPr>
          <w:rFonts w:ascii="Calibri Light" w:eastAsia="Times New Roman" w:hAnsi="Calibri Light" w:cs="Times New Roman"/>
          <w:szCs w:val="20"/>
          <w:lang w:eastAsia="en-AU"/>
        </w:rPr>
        <w:t>.</w:t>
      </w:r>
      <w:r w:rsidR="003C699E">
        <w:rPr>
          <w:rFonts w:ascii="Calibri Light" w:eastAsia="Times New Roman" w:hAnsi="Calibri Light" w:cs="Times New Roman"/>
          <w:szCs w:val="20"/>
          <w:lang w:eastAsia="en-AU"/>
        </w:rPr>
        <w:t xml:space="preserve"> </w:t>
      </w:r>
    </w:p>
    <w:p w14:paraId="4690F013" w14:textId="207BD265" w:rsidR="00BD4257" w:rsidRPr="008C191D" w:rsidRDefault="007314F7" w:rsidP="0033187E">
      <w:pPr>
        <w:pStyle w:val="NoSpacing"/>
        <w:numPr>
          <w:ilvl w:val="0"/>
          <w:numId w:val="15"/>
        </w:numPr>
        <w:rPr>
          <w:rFonts w:ascii="Calibri Light" w:eastAsia="Times New Roman" w:hAnsi="Calibri Light" w:cs="Times New Roman"/>
          <w:szCs w:val="20"/>
          <w:lang w:eastAsia="en-AU"/>
        </w:rPr>
      </w:pPr>
      <w:r w:rsidRPr="008C191D">
        <w:rPr>
          <w:rFonts w:ascii="Calibri Light" w:eastAsia="Times New Roman" w:hAnsi="Calibri Light" w:cs="Times New Roman"/>
          <w:szCs w:val="20"/>
          <w:lang w:eastAsia="en-AU"/>
        </w:rPr>
        <w:t xml:space="preserve">The </w:t>
      </w:r>
      <w:r w:rsidR="00410846" w:rsidRPr="008C191D">
        <w:rPr>
          <w:rFonts w:ascii="Calibri Light" w:eastAsia="Times New Roman" w:hAnsi="Calibri Light" w:cs="Times New Roman"/>
          <w:szCs w:val="20"/>
          <w:lang w:eastAsia="en-AU"/>
        </w:rPr>
        <w:t>G</w:t>
      </w:r>
      <w:r w:rsidRPr="008C191D">
        <w:rPr>
          <w:rFonts w:ascii="Calibri Light" w:eastAsia="Times New Roman" w:hAnsi="Calibri Light" w:cs="Times New Roman"/>
          <w:szCs w:val="20"/>
          <w:lang w:eastAsia="en-AU"/>
        </w:rPr>
        <w:t xml:space="preserve">overnment, as part of its annual appropriation to ASIC, prescribes an amount that is </w:t>
      </w:r>
      <w:r w:rsidR="001D464C" w:rsidRPr="008C191D">
        <w:rPr>
          <w:rFonts w:ascii="Calibri Light" w:eastAsia="Times New Roman" w:hAnsi="Calibri Light" w:cs="Times New Roman"/>
          <w:szCs w:val="20"/>
          <w:lang w:eastAsia="en-AU"/>
        </w:rPr>
        <w:t xml:space="preserve">credited to the </w:t>
      </w:r>
      <w:r w:rsidRPr="008C191D">
        <w:rPr>
          <w:rFonts w:ascii="Calibri Light" w:eastAsia="Times New Roman" w:hAnsi="Calibri Light" w:cs="Times New Roman"/>
          <w:szCs w:val="20"/>
          <w:lang w:eastAsia="en-AU"/>
        </w:rPr>
        <w:t>ESA</w:t>
      </w:r>
      <w:r w:rsidR="00067281" w:rsidRPr="008C191D">
        <w:rPr>
          <w:rFonts w:ascii="Calibri Light" w:eastAsia="Times New Roman" w:hAnsi="Calibri Light" w:cs="Times New Roman"/>
          <w:szCs w:val="20"/>
          <w:lang w:eastAsia="en-AU"/>
        </w:rPr>
        <w:t xml:space="preserve">. </w:t>
      </w:r>
      <w:r w:rsidR="00807550" w:rsidRPr="008C191D">
        <w:rPr>
          <w:rFonts w:ascii="Calibri Light" w:eastAsia="Times New Roman" w:hAnsi="Calibri Light" w:cs="Times New Roman"/>
          <w:szCs w:val="20"/>
          <w:lang w:eastAsia="en-AU"/>
        </w:rPr>
        <w:t>Th</w:t>
      </w:r>
      <w:r w:rsidR="00410846" w:rsidRPr="008C191D">
        <w:rPr>
          <w:rFonts w:ascii="Calibri Light" w:eastAsia="Times New Roman" w:hAnsi="Calibri Light" w:cs="Times New Roman"/>
          <w:szCs w:val="20"/>
          <w:lang w:eastAsia="en-AU"/>
        </w:rPr>
        <w:t>is</w:t>
      </w:r>
      <w:r w:rsidR="00807550" w:rsidRPr="008C191D">
        <w:rPr>
          <w:rFonts w:ascii="Calibri Light" w:eastAsia="Times New Roman" w:hAnsi="Calibri Light" w:cs="Times New Roman"/>
          <w:szCs w:val="20"/>
          <w:lang w:eastAsia="en-AU"/>
        </w:rPr>
        <w:t xml:space="preserve"> appropriation</w:t>
      </w:r>
      <w:r w:rsidR="00B20237" w:rsidRPr="008C191D">
        <w:rPr>
          <w:rFonts w:ascii="Calibri Light" w:eastAsia="Times New Roman" w:hAnsi="Calibri Light" w:cs="Times New Roman"/>
          <w:szCs w:val="20"/>
          <w:lang w:eastAsia="en-AU"/>
        </w:rPr>
        <w:t xml:space="preserve"> amount </w:t>
      </w:r>
      <w:r w:rsidR="00410846" w:rsidRPr="008C191D">
        <w:rPr>
          <w:rFonts w:ascii="Calibri Light" w:eastAsia="Times New Roman" w:hAnsi="Calibri Light" w:cs="Times New Roman"/>
          <w:szCs w:val="20"/>
          <w:lang w:eastAsia="en-AU"/>
        </w:rPr>
        <w:t>(rather than the annual expenditure from the ESA)</w:t>
      </w:r>
      <w:r w:rsidR="00B20237" w:rsidRPr="008C191D">
        <w:rPr>
          <w:rFonts w:ascii="Calibri Light" w:eastAsia="Times New Roman" w:hAnsi="Calibri Light" w:cs="Times New Roman"/>
          <w:szCs w:val="20"/>
          <w:lang w:eastAsia="en-AU"/>
        </w:rPr>
        <w:t xml:space="preserve"> is </w:t>
      </w:r>
      <w:r w:rsidR="00EA7E1B" w:rsidRPr="008C191D">
        <w:rPr>
          <w:rFonts w:ascii="Calibri Light" w:eastAsia="Times New Roman" w:hAnsi="Calibri Light" w:cs="Times New Roman"/>
          <w:szCs w:val="20"/>
          <w:lang w:eastAsia="en-AU"/>
        </w:rPr>
        <w:t>recovered each year from industry</w:t>
      </w:r>
      <w:r w:rsidR="00503CD4" w:rsidRPr="008C191D">
        <w:rPr>
          <w:rFonts w:ascii="Calibri Light" w:eastAsia="Times New Roman" w:hAnsi="Calibri Light" w:cs="Times New Roman"/>
          <w:szCs w:val="20"/>
          <w:lang w:eastAsia="en-AU"/>
        </w:rPr>
        <w:t>.</w:t>
      </w:r>
      <w:r w:rsidR="00267EEF" w:rsidRPr="008C191D">
        <w:rPr>
          <w:rFonts w:ascii="Calibri Light" w:eastAsia="Times New Roman" w:hAnsi="Calibri Light" w:cs="Times New Roman"/>
          <w:szCs w:val="20"/>
          <w:lang w:eastAsia="en-AU"/>
        </w:rPr>
        <w:t xml:space="preserve"> </w:t>
      </w:r>
      <w:r w:rsidR="00503CD4" w:rsidRPr="008C191D">
        <w:rPr>
          <w:rFonts w:ascii="Calibri Light" w:eastAsia="Times New Roman" w:hAnsi="Calibri Light" w:cs="Times New Roman"/>
          <w:szCs w:val="20"/>
          <w:lang w:eastAsia="en-AU"/>
        </w:rPr>
        <w:t>Costs are</w:t>
      </w:r>
      <w:r w:rsidR="00267EEF" w:rsidRPr="008C191D">
        <w:rPr>
          <w:rFonts w:ascii="Calibri Light" w:eastAsia="Times New Roman" w:hAnsi="Calibri Light" w:cs="Times New Roman"/>
          <w:szCs w:val="20"/>
          <w:lang w:eastAsia="en-AU"/>
        </w:rPr>
        <w:t xml:space="preserve"> allocated to </w:t>
      </w:r>
      <w:r w:rsidR="00577EF0" w:rsidRPr="008C191D">
        <w:rPr>
          <w:rFonts w:ascii="Calibri Light" w:eastAsia="Times New Roman" w:hAnsi="Calibri Light" w:cs="Times New Roman"/>
          <w:szCs w:val="20"/>
          <w:lang w:eastAsia="en-AU"/>
        </w:rPr>
        <w:t xml:space="preserve">the </w:t>
      </w:r>
      <w:r w:rsidR="00267EEF" w:rsidRPr="008C191D">
        <w:rPr>
          <w:rFonts w:ascii="Calibri Light" w:eastAsia="Times New Roman" w:hAnsi="Calibri Light" w:cs="Times New Roman"/>
          <w:szCs w:val="20"/>
          <w:lang w:eastAsia="en-AU"/>
        </w:rPr>
        <w:t xml:space="preserve">relevant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00577EF0" w:rsidRPr="008C191D">
        <w:rPr>
          <w:rFonts w:ascii="Calibri Light" w:eastAsia="Times New Roman" w:hAnsi="Calibri Light" w:cs="Times New Roman"/>
          <w:szCs w:val="20"/>
          <w:lang w:eastAsia="en-AU"/>
        </w:rPr>
        <w:t xml:space="preserve">(s) </w:t>
      </w:r>
      <w:r w:rsidR="007000CB" w:rsidRPr="008C191D">
        <w:rPr>
          <w:rFonts w:ascii="Calibri Light" w:eastAsia="Times New Roman" w:hAnsi="Calibri Light" w:cs="Times New Roman"/>
          <w:szCs w:val="20"/>
          <w:lang w:eastAsia="en-AU"/>
        </w:rPr>
        <w:lastRenderedPageBreak/>
        <w:t>based on a three-year rolling average</w:t>
      </w:r>
      <w:r w:rsidR="00510617" w:rsidRPr="008C191D">
        <w:rPr>
          <w:rFonts w:ascii="Calibri Light" w:eastAsia="Times New Roman" w:hAnsi="Calibri Light" w:cs="Times New Roman"/>
          <w:szCs w:val="20"/>
          <w:lang w:eastAsia="en-AU"/>
        </w:rPr>
        <w:t xml:space="preserve"> </w:t>
      </w:r>
      <w:r w:rsidR="004B5C1A" w:rsidRPr="008C191D">
        <w:rPr>
          <w:rFonts w:ascii="Calibri Light" w:eastAsia="Times New Roman" w:hAnsi="Calibri Light" w:cs="Times New Roman"/>
          <w:szCs w:val="20"/>
          <w:lang w:eastAsia="en-AU"/>
        </w:rPr>
        <w:t xml:space="preserve">of ESA activity in </w:t>
      </w:r>
      <w:r w:rsidR="00AE181F" w:rsidRPr="008C191D">
        <w:rPr>
          <w:rFonts w:ascii="Calibri Light" w:eastAsia="Times New Roman" w:hAnsi="Calibri Light" w:cs="Times New Roman"/>
          <w:szCs w:val="20"/>
          <w:lang w:eastAsia="en-AU"/>
        </w:rPr>
        <w:t xml:space="preserve">each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009C04A4" w:rsidRPr="008C191D">
        <w:rPr>
          <w:rFonts w:ascii="Calibri Light" w:eastAsia="Times New Roman" w:hAnsi="Calibri Light" w:cs="Times New Roman"/>
          <w:szCs w:val="20"/>
          <w:lang w:eastAsia="en-AU"/>
        </w:rPr>
        <w:t xml:space="preserve">. </w:t>
      </w:r>
      <w:r w:rsidR="007B453E" w:rsidRPr="008C191D">
        <w:rPr>
          <w:rFonts w:ascii="Calibri Light" w:eastAsia="Times New Roman" w:hAnsi="Calibri Light" w:cs="Times New Roman"/>
          <w:szCs w:val="20"/>
          <w:lang w:eastAsia="en-AU"/>
        </w:rPr>
        <w:t xml:space="preserve">This approach </w:t>
      </w:r>
      <w:r w:rsidR="00585806" w:rsidRPr="008C191D">
        <w:rPr>
          <w:rFonts w:ascii="Calibri Light" w:eastAsia="Times New Roman" w:hAnsi="Calibri Light" w:cs="Times New Roman"/>
          <w:szCs w:val="20"/>
          <w:lang w:eastAsia="en-AU"/>
        </w:rPr>
        <w:t xml:space="preserve">aims to </w:t>
      </w:r>
      <w:r w:rsidR="007B453E" w:rsidRPr="008C191D">
        <w:rPr>
          <w:rFonts w:ascii="Calibri Light" w:eastAsia="Times New Roman" w:hAnsi="Calibri Light" w:cs="Times New Roman"/>
          <w:szCs w:val="20"/>
          <w:lang w:eastAsia="en-AU"/>
        </w:rPr>
        <w:t>reduc</w:t>
      </w:r>
      <w:r w:rsidR="00585806" w:rsidRPr="008C191D">
        <w:rPr>
          <w:rFonts w:ascii="Calibri Light" w:eastAsia="Times New Roman" w:hAnsi="Calibri Light" w:cs="Times New Roman"/>
          <w:szCs w:val="20"/>
          <w:lang w:eastAsia="en-AU"/>
        </w:rPr>
        <w:t>e</w:t>
      </w:r>
      <w:r w:rsidR="007B453E" w:rsidRPr="008C191D">
        <w:rPr>
          <w:rFonts w:ascii="Calibri Light" w:eastAsia="Times New Roman" w:hAnsi="Calibri Light" w:cs="Times New Roman"/>
          <w:szCs w:val="20"/>
          <w:lang w:eastAsia="en-AU"/>
        </w:rPr>
        <w:t xml:space="preserve"> the volatility of ESA costs allocated to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r>
      <w:r w:rsidR="007B453E" w:rsidRPr="008C191D">
        <w:rPr>
          <w:rFonts w:ascii="Calibri Light" w:eastAsia="Times New Roman" w:hAnsi="Calibri Light" w:cs="Times New Roman"/>
          <w:szCs w:val="20"/>
          <w:lang w:eastAsia="en-AU"/>
        </w:rPr>
        <w:t>sectors</w:t>
      </w:r>
      <w:r w:rsidR="00B14F6C" w:rsidRPr="008C191D">
        <w:rPr>
          <w:rFonts w:ascii="Calibri Light" w:eastAsia="Times New Roman" w:hAnsi="Calibri Light" w:cs="Times New Roman"/>
          <w:szCs w:val="20"/>
          <w:lang w:eastAsia="en-AU"/>
        </w:rPr>
        <w:t>, by easing the impact of large matters on levies</w:t>
      </w:r>
      <w:r w:rsidR="007B453E" w:rsidRPr="008C191D">
        <w:rPr>
          <w:rFonts w:ascii="Calibri Light" w:eastAsia="Times New Roman" w:hAnsi="Calibri Light" w:cs="Times New Roman"/>
          <w:szCs w:val="20"/>
          <w:lang w:eastAsia="en-AU"/>
        </w:rPr>
        <w:t>.</w:t>
      </w:r>
      <w:r w:rsidR="00095904" w:rsidRPr="008C191D">
        <w:rPr>
          <w:rFonts w:ascii="Calibri Light" w:eastAsia="Times New Roman" w:hAnsi="Calibri Light" w:cs="Times New Roman"/>
          <w:szCs w:val="20"/>
          <w:lang w:eastAsia="en-AU"/>
        </w:rPr>
        <w:t xml:space="preserve"> These costs are recovered via statutory levies.</w:t>
      </w:r>
    </w:p>
    <w:p w14:paraId="0C596DCA" w14:textId="4EA23C9B" w:rsidR="00166374" w:rsidRPr="00360713" w:rsidRDefault="0036396E" w:rsidP="00360713">
      <w:pPr>
        <w:rPr>
          <w:rFonts w:eastAsiaTheme="minorHAnsi"/>
        </w:rPr>
      </w:pPr>
      <w:r w:rsidRPr="00360713">
        <w:rPr>
          <w:rFonts w:eastAsiaTheme="minorHAnsi"/>
        </w:rPr>
        <w:t>The IFM attempts to strike the balance bet</w:t>
      </w:r>
      <w:r w:rsidR="000D3E1F" w:rsidRPr="00360713">
        <w:rPr>
          <w:rFonts w:eastAsiaTheme="minorHAnsi"/>
        </w:rPr>
        <w:t xml:space="preserve">ween </w:t>
      </w:r>
      <w:r w:rsidR="00235070" w:rsidRPr="00360713">
        <w:rPr>
          <w:rFonts w:eastAsiaTheme="minorHAnsi"/>
        </w:rPr>
        <w:t xml:space="preserve">fairness and simplicity by attributing regulatory costs to </w:t>
      </w:r>
      <w:r w:rsidR="00124F9C" w:rsidRPr="00360713">
        <w:rPr>
          <w:rFonts w:eastAsiaTheme="minorHAnsi"/>
        </w:rPr>
        <w:t xml:space="preserve">the </w:t>
      </w:r>
      <w:r w:rsidR="00F33074">
        <w:rPr>
          <w:rFonts w:eastAsiaTheme="minorHAnsi"/>
        </w:rPr>
        <w:t>sub</w:t>
      </w:r>
      <w:r w:rsidR="00F33074">
        <w:rPr>
          <w:rFonts w:eastAsiaTheme="minorHAnsi"/>
        </w:rPr>
        <w:noBreakHyphen/>
      </w:r>
      <w:r w:rsidR="00235070" w:rsidRPr="00360713">
        <w:rPr>
          <w:rFonts w:eastAsiaTheme="minorHAnsi"/>
        </w:rPr>
        <w:t>sect</w:t>
      </w:r>
      <w:r w:rsidR="00421EE6" w:rsidRPr="00360713">
        <w:rPr>
          <w:rFonts w:eastAsiaTheme="minorHAnsi"/>
        </w:rPr>
        <w:t>ors</w:t>
      </w:r>
      <w:r w:rsidR="0075124C" w:rsidRPr="00360713">
        <w:rPr>
          <w:rFonts w:eastAsiaTheme="minorHAnsi"/>
        </w:rPr>
        <w:t xml:space="preserve"> </w:t>
      </w:r>
      <w:r w:rsidR="00124F9C" w:rsidRPr="00360713">
        <w:rPr>
          <w:rFonts w:eastAsiaTheme="minorHAnsi"/>
        </w:rPr>
        <w:t>to</w:t>
      </w:r>
      <w:r w:rsidR="0075124C" w:rsidRPr="00360713">
        <w:rPr>
          <w:rFonts w:eastAsiaTheme="minorHAnsi"/>
        </w:rPr>
        <w:t xml:space="preserve"> which </w:t>
      </w:r>
      <w:r w:rsidR="00124F9C" w:rsidRPr="00360713">
        <w:rPr>
          <w:rFonts w:eastAsiaTheme="minorHAnsi"/>
        </w:rPr>
        <w:t xml:space="preserve">the </w:t>
      </w:r>
      <w:r w:rsidR="0075124C" w:rsidRPr="00360713">
        <w:rPr>
          <w:rFonts w:eastAsiaTheme="minorHAnsi"/>
        </w:rPr>
        <w:t>enforcement activity relates</w:t>
      </w:r>
      <w:r w:rsidR="00421EE6" w:rsidRPr="00360713">
        <w:rPr>
          <w:rFonts w:eastAsiaTheme="minorHAnsi"/>
        </w:rPr>
        <w:t xml:space="preserve">. </w:t>
      </w:r>
      <w:r w:rsidR="00A135AA" w:rsidRPr="00360713">
        <w:rPr>
          <w:rFonts w:eastAsiaTheme="minorHAnsi"/>
        </w:rPr>
        <w:t xml:space="preserve">However, stakeholders have raised concern that this approach does not meet the overarching principle </w:t>
      </w:r>
      <w:r w:rsidR="00124F9C" w:rsidRPr="00360713">
        <w:rPr>
          <w:rFonts w:eastAsiaTheme="minorHAnsi"/>
        </w:rPr>
        <w:t>for government charging</w:t>
      </w:r>
      <w:r w:rsidR="00A135AA" w:rsidRPr="00360713">
        <w:rPr>
          <w:rFonts w:eastAsiaTheme="minorHAnsi"/>
        </w:rPr>
        <w:t xml:space="preserve"> that those who cause the need for regulation should pay for it, </w:t>
      </w:r>
      <w:r w:rsidR="000E117C" w:rsidRPr="00360713">
        <w:rPr>
          <w:rFonts w:eastAsiaTheme="minorHAnsi"/>
        </w:rPr>
        <w:t>and</w:t>
      </w:r>
      <w:r w:rsidR="00A135AA" w:rsidRPr="00360713">
        <w:rPr>
          <w:rFonts w:eastAsiaTheme="minorHAnsi"/>
        </w:rPr>
        <w:t xml:space="preserve"> leads to outcomes such as</w:t>
      </w:r>
      <w:r w:rsidR="00166374" w:rsidRPr="00360713">
        <w:rPr>
          <w:rFonts w:eastAsiaTheme="minorHAnsi"/>
        </w:rPr>
        <w:t>:</w:t>
      </w:r>
    </w:p>
    <w:p w14:paraId="34574E81" w14:textId="054F073C" w:rsidR="00591F3C" w:rsidRPr="00915203" w:rsidRDefault="00A24F09" w:rsidP="0033187E">
      <w:pPr>
        <w:pStyle w:val="NoSpacing"/>
        <w:numPr>
          <w:ilvl w:val="0"/>
          <w:numId w:val="15"/>
        </w:numPr>
        <w:rPr>
          <w:rFonts w:eastAsia="Times New Roman"/>
          <w:lang w:eastAsia="en-AU"/>
        </w:rPr>
      </w:pPr>
      <w:r w:rsidRPr="007D7051">
        <w:rPr>
          <w:rFonts w:ascii="Calibri Light" w:eastAsia="Times New Roman" w:hAnsi="Calibri Light" w:cs="Times New Roman"/>
          <w:szCs w:val="20"/>
          <w:lang w:eastAsia="en-AU"/>
        </w:rPr>
        <w:t>group</w:t>
      </w:r>
      <w:r w:rsidR="00166374" w:rsidRPr="007D7051">
        <w:rPr>
          <w:rFonts w:ascii="Calibri Light" w:eastAsia="Times New Roman" w:hAnsi="Calibri Light" w:cs="Times New Roman"/>
          <w:szCs w:val="20"/>
          <w:lang w:eastAsia="en-AU"/>
        </w:rPr>
        <w:t>s</w:t>
      </w:r>
      <w:r w:rsidRPr="007D7051">
        <w:rPr>
          <w:rFonts w:ascii="Calibri Light" w:eastAsia="Times New Roman" w:hAnsi="Calibri Light" w:cs="Times New Roman"/>
          <w:szCs w:val="20"/>
          <w:lang w:eastAsia="en-AU"/>
        </w:rPr>
        <w:t xml:space="preserve"> of entities</w:t>
      </w:r>
      <w:r w:rsidR="00F976CE">
        <w:rPr>
          <w:rFonts w:ascii="Calibri Light" w:eastAsia="Times New Roman" w:hAnsi="Calibri Light" w:cs="Times New Roman"/>
          <w:szCs w:val="20"/>
          <w:lang w:eastAsia="en-AU"/>
        </w:rPr>
        <w:t xml:space="preserve"> (a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t>sector</w:t>
      </w:r>
      <w:r w:rsidR="00915203">
        <w:rPr>
          <w:rFonts w:ascii="Calibri Light" w:eastAsia="Times New Roman" w:hAnsi="Calibri Light" w:cs="Times New Roman"/>
          <w:szCs w:val="20"/>
          <w:lang w:eastAsia="en-AU"/>
        </w:rPr>
        <w:t xml:space="preserve"> or multiple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r>
      <w:r w:rsidR="00915203">
        <w:rPr>
          <w:rFonts w:ascii="Calibri Light" w:eastAsia="Times New Roman" w:hAnsi="Calibri Light" w:cs="Times New Roman"/>
          <w:szCs w:val="20"/>
          <w:lang w:eastAsia="en-AU"/>
        </w:rPr>
        <w:t>sectors</w:t>
      </w:r>
      <w:r w:rsidR="00F976CE">
        <w:rPr>
          <w:rFonts w:ascii="Calibri Light" w:eastAsia="Times New Roman" w:hAnsi="Calibri Light" w:cs="Times New Roman"/>
          <w:szCs w:val="20"/>
          <w:lang w:eastAsia="en-AU"/>
        </w:rPr>
        <w:t>)</w:t>
      </w:r>
      <w:r w:rsidRPr="007D7051">
        <w:rPr>
          <w:rFonts w:ascii="Calibri Light" w:eastAsia="Times New Roman" w:hAnsi="Calibri Light" w:cs="Times New Roman"/>
          <w:szCs w:val="20"/>
          <w:lang w:eastAsia="en-AU"/>
        </w:rPr>
        <w:t xml:space="preserve"> paying for </w:t>
      </w:r>
      <w:r w:rsidR="002966C0" w:rsidRPr="007D7051">
        <w:rPr>
          <w:rFonts w:ascii="Calibri Light" w:eastAsia="Times New Roman" w:hAnsi="Calibri Light" w:cs="Times New Roman"/>
          <w:szCs w:val="20"/>
          <w:lang w:eastAsia="en-AU"/>
        </w:rPr>
        <w:t>enforcement</w:t>
      </w:r>
      <w:r w:rsidR="0064665B" w:rsidRPr="007D7051">
        <w:rPr>
          <w:rFonts w:ascii="Calibri Light" w:eastAsia="Times New Roman" w:hAnsi="Calibri Light" w:cs="Times New Roman"/>
          <w:szCs w:val="20"/>
          <w:lang w:eastAsia="en-AU"/>
        </w:rPr>
        <w:t xml:space="preserve"> </w:t>
      </w:r>
      <w:r w:rsidRPr="007D7051">
        <w:rPr>
          <w:rFonts w:ascii="Calibri Light" w:eastAsia="Times New Roman" w:hAnsi="Calibri Light" w:cs="Times New Roman"/>
          <w:szCs w:val="20"/>
          <w:lang w:eastAsia="en-AU"/>
        </w:rPr>
        <w:t>action</w:t>
      </w:r>
      <w:r w:rsidR="0064665B" w:rsidRPr="007D7051">
        <w:rPr>
          <w:rFonts w:ascii="Calibri Light" w:eastAsia="Times New Roman" w:hAnsi="Calibri Light" w:cs="Times New Roman"/>
          <w:szCs w:val="20"/>
          <w:lang w:eastAsia="en-AU"/>
        </w:rPr>
        <w:t xml:space="preserve"> </w:t>
      </w:r>
      <w:r w:rsidR="005913E9" w:rsidRPr="007D7051">
        <w:rPr>
          <w:rFonts w:ascii="Calibri Light" w:eastAsia="Times New Roman" w:hAnsi="Calibri Light" w:cs="Times New Roman"/>
          <w:szCs w:val="20"/>
          <w:lang w:eastAsia="en-AU"/>
        </w:rPr>
        <w:t>taken by ASIC</w:t>
      </w:r>
      <w:r w:rsidR="0064665B" w:rsidRPr="007D7051">
        <w:rPr>
          <w:rFonts w:ascii="Calibri Light" w:eastAsia="Times New Roman" w:hAnsi="Calibri Light" w:cs="Times New Roman"/>
          <w:szCs w:val="20"/>
          <w:lang w:eastAsia="en-AU"/>
        </w:rPr>
        <w:t xml:space="preserve"> against individual entities</w:t>
      </w:r>
      <w:r w:rsidR="00922825" w:rsidRPr="007D7051">
        <w:rPr>
          <w:rFonts w:ascii="Calibri Light" w:eastAsia="Times New Roman" w:hAnsi="Calibri Light" w:cs="Times New Roman"/>
          <w:szCs w:val="20"/>
          <w:lang w:eastAsia="en-AU"/>
        </w:rPr>
        <w:t>;</w:t>
      </w:r>
    </w:p>
    <w:p w14:paraId="4DD0D52A" w14:textId="5D24726C" w:rsidR="0064665B" w:rsidRPr="00360713" w:rsidRDefault="0064665B" w:rsidP="0033187E">
      <w:pPr>
        <w:pStyle w:val="NoSpacing"/>
        <w:numPr>
          <w:ilvl w:val="0"/>
          <w:numId w:val="15"/>
        </w:numPr>
        <w:rPr>
          <w:rFonts w:eastAsia="Times New Roman"/>
          <w:lang w:eastAsia="en-AU"/>
        </w:rPr>
      </w:pPr>
      <w:r w:rsidRPr="007D7051">
        <w:rPr>
          <w:rFonts w:ascii="Calibri Light" w:eastAsia="Times New Roman" w:hAnsi="Calibri Light" w:cs="Times New Roman"/>
          <w:szCs w:val="20"/>
          <w:lang w:eastAsia="en-AU"/>
        </w:rPr>
        <w:t>s</w:t>
      </w:r>
      <w:r w:rsidR="000E117C" w:rsidRPr="007D7051">
        <w:rPr>
          <w:rFonts w:ascii="Calibri Light" w:eastAsia="Times New Roman" w:hAnsi="Calibri Light" w:cs="Times New Roman"/>
          <w:szCs w:val="20"/>
          <w:lang w:eastAsia="en-AU"/>
        </w:rPr>
        <w:t xml:space="preserve">maller entities paying for enforcement </w:t>
      </w:r>
      <w:r w:rsidR="00922825" w:rsidRPr="007D7051">
        <w:rPr>
          <w:rFonts w:ascii="Calibri Light" w:eastAsia="Times New Roman" w:hAnsi="Calibri Light" w:cs="Times New Roman"/>
          <w:szCs w:val="20"/>
          <w:lang w:eastAsia="en-AU"/>
        </w:rPr>
        <w:t>action taken by ASIC against</w:t>
      </w:r>
      <w:r w:rsidR="000E117C" w:rsidRPr="007D7051">
        <w:rPr>
          <w:rFonts w:ascii="Calibri Light" w:eastAsia="Times New Roman" w:hAnsi="Calibri Light" w:cs="Times New Roman"/>
          <w:szCs w:val="20"/>
          <w:lang w:eastAsia="en-AU"/>
        </w:rPr>
        <w:t xml:space="preserve"> larger entities</w:t>
      </w:r>
      <w:r w:rsidR="006B4F2F" w:rsidRPr="007D7051">
        <w:rPr>
          <w:rFonts w:ascii="Calibri Light" w:eastAsia="Times New Roman" w:hAnsi="Calibri Light" w:cs="Times New Roman"/>
          <w:szCs w:val="20"/>
          <w:lang w:eastAsia="en-AU"/>
        </w:rPr>
        <w:t xml:space="preserve">, which industry deem as </w:t>
      </w:r>
      <w:r w:rsidR="00493E9F" w:rsidRPr="007D7051">
        <w:rPr>
          <w:rFonts w:ascii="Calibri Light" w:eastAsia="Times New Roman" w:hAnsi="Calibri Light" w:cs="Times New Roman"/>
          <w:szCs w:val="20"/>
          <w:lang w:eastAsia="en-AU"/>
        </w:rPr>
        <w:t>disproportionate</w:t>
      </w:r>
      <w:r w:rsidR="00D1431A">
        <w:rPr>
          <w:rFonts w:ascii="Calibri Light" w:eastAsia="Times New Roman" w:hAnsi="Calibri Light" w:cs="Times New Roman"/>
          <w:szCs w:val="20"/>
          <w:lang w:eastAsia="en-AU"/>
        </w:rPr>
        <w:t xml:space="preserve"> and lacking in fairness</w:t>
      </w:r>
      <w:r w:rsidR="00922825" w:rsidRPr="007D7051">
        <w:rPr>
          <w:rFonts w:ascii="Calibri Light" w:eastAsia="Times New Roman" w:hAnsi="Calibri Light" w:cs="Times New Roman"/>
          <w:szCs w:val="20"/>
          <w:lang w:eastAsia="en-AU"/>
        </w:rPr>
        <w:t>; and</w:t>
      </w:r>
      <w:r w:rsidR="000E117C" w:rsidRPr="007D7051">
        <w:rPr>
          <w:rFonts w:ascii="Calibri Light" w:eastAsia="Times New Roman" w:hAnsi="Calibri Light" w:cs="Times New Roman"/>
          <w:szCs w:val="20"/>
          <w:lang w:eastAsia="en-AU"/>
        </w:rPr>
        <w:t xml:space="preserve"> </w:t>
      </w:r>
    </w:p>
    <w:p w14:paraId="5C9834E7" w14:textId="0BD34FA6" w:rsidR="003B0D8F" w:rsidRPr="00360713" w:rsidRDefault="000E117C" w:rsidP="0033187E">
      <w:pPr>
        <w:pStyle w:val="NoSpacing"/>
        <w:numPr>
          <w:ilvl w:val="0"/>
          <w:numId w:val="15"/>
        </w:numPr>
        <w:rPr>
          <w:rFonts w:eastAsia="Times New Roman"/>
          <w:lang w:eastAsia="en-AU"/>
        </w:rPr>
      </w:pPr>
      <w:r w:rsidRPr="007D7051">
        <w:rPr>
          <w:rFonts w:ascii="Calibri Light" w:eastAsia="Times New Roman" w:hAnsi="Calibri Light" w:cs="Times New Roman"/>
          <w:szCs w:val="20"/>
          <w:lang w:eastAsia="en-AU"/>
        </w:rPr>
        <w:t xml:space="preserve">entities </w:t>
      </w:r>
      <w:r w:rsidR="0064665B" w:rsidRPr="007D7051">
        <w:rPr>
          <w:rFonts w:ascii="Calibri Light" w:eastAsia="Times New Roman" w:hAnsi="Calibri Light" w:cs="Times New Roman"/>
          <w:szCs w:val="20"/>
          <w:lang w:eastAsia="en-AU"/>
        </w:rPr>
        <w:t>paying for enforcement costs relating to entitie</w:t>
      </w:r>
      <w:r w:rsidR="002966C0" w:rsidRPr="007D7051">
        <w:rPr>
          <w:rFonts w:ascii="Calibri Light" w:eastAsia="Times New Roman" w:hAnsi="Calibri Light" w:cs="Times New Roman"/>
          <w:szCs w:val="20"/>
          <w:lang w:eastAsia="en-AU"/>
        </w:rPr>
        <w:t xml:space="preserve">s </w:t>
      </w:r>
      <w:r w:rsidRPr="007D7051">
        <w:rPr>
          <w:rFonts w:ascii="Calibri Light" w:eastAsia="Times New Roman" w:hAnsi="Calibri Light" w:cs="Times New Roman"/>
          <w:szCs w:val="20"/>
          <w:lang w:eastAsia="en-AU"/>
        </w:rPr>
        <w:t>who have left the sector</w:t>
      </w:r>
      <w:r w:rsidR="00A174E5" w:rsidRPr="007D7051">
        <w:rPr>
          <w:rFonts w:ascii="Calibri Light" w:eastAsia="Times New Roman" w:hAnsi="Calibri Light" w:cs="Times New Roman"/>
          <w:szCs w:val="20"/>
          <w:lang w:eastAsia="en-AU"/>
        </w:rPr>
        <w:t xml:space="preserve">, due to the time lag </w:t>
      </w:r>
      <w:r w:rsidR="00A313A5">
        <w:rPr>
          <w:rFonts w:ascii="Calibri Light" w:eastAsia="Times New Roman" w:hAnsi="Calibri Light" w:cs="Times New Roman"/>
          <w:szCs w:val="20"/>
          <w:lang w:eastAsia="en-AU"/>
        </w:rPr>
        <w:t xml:space="preserve">between misconduct and enforcement action and the </w:t>
      </w:r>
      <w:r w:rsidR="00456E7B">
        <w:rPr>
          <w:rFonts w:ascii="Calibri Light" w:eastAsia="Times New Roman" w:hAnsi="Calibri Light" w:cs="Times New Roman"/>
          <w:szCs w:val="20"/>
          <w:lang w:eastAsia="en-AU"/>
        </w:rPr>
        <w:t xml:space="preserve">often-lengthy process of enforcement meaning </w:t>
      </w:r>
      <w:r w:rsidR="00633A96">
        <w:rPr>
          <w:rFonts w:ascii="Calibri Light" w:eastAsia="Times New Roman" w:hAnsi="Calibri Light" w:cs="Times New Roman"/>
          <w:szCs w:val="20"/>
          <w:lang w:eastAsia="en-AU"/>
        </w:rPr>
        <w:t>matters may take multiple years to resolve</w:t>
      </w:r>
      <w:r w:rsidRPr="007D7051">
        <w:rPr>
          <w:rFonts w:ascii="Calibri Light" w:eastAsia="Times New Roman" w:hAnsi="Calibri Light" w:cs="Times New Roman"/>
          <w:szCs w:val="20"/>
          <w:lang w:eastAsia="en-AU"/>
        </w:rPr>
        <w:t xml:space="preserve">. </w:t>
      </w:r>
    </w:p>
    <w:p w14:paraId="0DBB24BE" w14:textId="5B333773" w:rsidR="00915203" w:rsidRDefault="00915203" w:rsidP="00360713">
      <w:r>
        <w:t xml:space="preserve">Stakeholders have also raised concerns about </w:t>
      </w:r>
      <w:r w:rsidR="004610C2">
        <w:t xml:space="preserve">how </w:t>
      </w:r>
      <w:r w:rsidR="00553C0F">
        <w:t xml:space="preserve">the costs of </w:t>
      </w:r>
      <w:r w:rsidR="00A76CDC">
        <w:t>enforcement matters that re</w:t>
      </w:r>
      <w:r w:rsidR="005243D2">
        <w:t xml:space="preserve">late to multiple </w:t>
      </w:r>
      <w:r w:rsidR="00F33074">
        <w:t>sub</w:t>
      </w:r>
      <w:r w:rsidR="00F33074">
        <w:noBreakHyphen/>
      </w:r>
      <w:r w:rsidR="005243D2">
        <w:t xml:space="preserve">sectors are recovered. </w:t>
      </w:r>
      <w:r w:rsidR="006B2DD7">
        <w:t xml:space="preserve">In these cases, costs are </w:t>
      </w:r>
      <w:r w:rsidR="00E9797A">
        <w:t>apportioned across</w:t>
      </w:r>
      <w:r w:rsidR="0013299F">
        <w:t xml:space="preserve"> </w:t>
      </w:r>
      <w:r w:rsidR="006B2DD7">
        <w:t xml:space="preserve">the relevant </w:t>
      </w:r>
      <w:r w:rsidR="00F33074">
        <w:t>sub</w:t>
      </w:r>
      <w:r w:rsidR="00F33074">
        <w:noBreakHyphen/>
      </w:r>
      <w:r w:rsidR="006B2DD7">
        <w:t xml:space="preserve">sectors </w:t>
      </w:r>
      <w:r w:rsidR="00E9797A">
        <w:t>based on</w:t>
      </w:r>
      <w:r w:rsidR="0013299F">
        <w:t xml:space="preserve"> ASIC’s regulatory</w:t>
      </w:r>
      <w:r w:rsidR="006B2DD7">
        <w:t xml:space="preserve"> effort</w:t>
      </w:r>
      <w:r w:rsidR="00E9797A">
        <w:t xml:space="preserve"> for each </w:t>
      </w:r>
      <w:r w:rsidR="00F33074">
        <w:t>sub</w:t>
      </w:r>
      <w:r w:rsidR="00F33074">
        <w:noBreakHyphen/>
        <w:t>sector</w:t>
      </w:r>
      <w:r w:rsidR="006B2DD7">
        <w:t>.</w:t>
      </w:r>
    </w:p>
    <w:p w14:paraId="072C59D0" w14:textId="59A6904A" w:rsidR="00987540" w:rsidRDefault="00507A90" w:rsidP="00360713">
      <w:r>
        <w:t xml:space="preserve">The </w:t>
      </w:r>
      <w:r w:rsidR="00086AEE">
        <w:t>recovery</w:t>
      </w:r>
      <w:r>
        <w:t xml:space="preserve"> of enforcement costs solely from entities subject to enforcement activity would introduce additional complexity and administrative costs into the model that would likely outweigh the benefits of </w:t>
      </w:r>
      <w:r w:rsidR="003D7BC1">
        <w:t>more targeted recovery</w:t>
      </w:r>
      <w:r>
        <w:t>.</w:t>
      </w:r>
      <w:r w:rsidR="0047696E">
        <w:t xml:space="preserve"> Additionally, </w:t>
      </w:r>
      <w:r w:rsidR="00C604B8">
        <w:t>there is broader</w:t>
      </w:r>
      <w:r w:rsidR="0047696E" w:rsidRPr="0047696E">
        <w:t xml:space="preserve"> benefit</w:t>
      </w:r>
      <w:r w:rsidR="00C604B8">
        <w:t xml:space="preserve"> to industry</w:t>
      </w:r>
      <w:r w:rsidR="0047696E" w:rsidRPr="0047696E">
        <w:t xml:space="preserve"> from ASIC’s enforcement action, by maintaining trust and integrity in the financial system and promoting consumer confidence.</w:t>
      </w:r>
      <w:r w:rsidR="0007738B">
        <w:t xml:space="preserve"> Stakeholder recognition of this benefit has been mixed</w:t>
      </w:r>
      <w:r w:rsidR="00987540">
        <w:t>.</w:t>
      </w:r>
    </w:p>
    <w:p w14:paraId="61A99311" w14:textId="27D10D3C" w:rsidR="005B3285" w:rsidRDefault="001619F3" w:rsidP="00DA4DFD">
      <w:pPr>
        <w:pStyle w:val="Heading4"/>
      </w:pPr>
      <w:r>
        <w:rPr>
          <w:rFonts w:eastAsiaTheme="minorEastAsia"/>
        </w:rPr>
        <w:t>R</w:t>
      </w:r>
      <w:r w:rsidR="005B3285">
        <w:rPr>
          <w:rFonts w:eastAsiaTheme="minorEastAsia"/>
        </w:rPr>
        <w:t>ecovering</w:t>
      </w:r>
      <w:r w:rsidR="006C401B">
        <w:rPr>
          <w:rFonts w:eastAsiaTheme="minorEastAsia"/>
        </w:rPr>
        <w:t xml:space="preserve"> </w:t>
      </w:r>
      <w:r w:rsidR="00863B4D">
        <w:rPr>
          <w:rFonts w:eastAsiaTheme="minorEastAsia"/>
        </w:rPr>
        <w:t xml:space="preserve">costs </w:t>
      </w:r>
      <w:r w:rsidR="006C401B">
        <w:rPr>
          <w:rFonts w:eastAsiaTheme="minorEastAsia"/>
        </w:rPr>
        <w:t xml:space="preserve">from </w:t>
      </w:r>
      <w:r w:rsidR="00863B4D">
        <w:rPr>
          <w:rFonts w:eastAsiaTheme="minorEastAsia"/>
        </w:rPr>
        <w:t xml:space="preserve">entities </w:t>
      </w:r>
      <w:r w:rsidR="00FD78DF">
        <w:rPr>
          <w:rFonts w:eastAsiaTheme="minorEastAsia"/>
        </w:rPr>
        <w:t>subject to</w:t>
      </w:r>
      <w:r w:rsidR="00863B4D">
        <w:rPr>
          <w:rFonts w:eastAsiaTheme="minorEastAsia"/>
        </w:rPr>
        <w:t xml:space="preserve"> enforcement action</w:t>
      </w:r>
    </w:p>
    <w:p w14:paraId="48915F84" w14:textId="7F9356A0" w:rsidR="004A5117" w:rsidRDefault="004A5117" w:rsidP="0002025C">
      <w:r>
        <w:t xml:space="preserve">While the majority of ASIC’s </w:t>
      </w:r>
      <w:r w:rsidR="00467D72">
        <w:t xml:space="preserve">enforcement activity </w:t>
      </w:r>
      <w:r w:rsidR="003572E8">
        <w:t>costs are</w:t>
      </w:r>
      <w:r w:rsidR="00467D72">
        <w:t xml:space="preserve"> recovered from relevant </w:t>
      </w:r>
      <w:r w:rsidR="00F33074">
        <w:t>sub</w:t>
      </w:r>
      <w:r w:rsidR="00F33074">
        <w:noBreakHyphen/>
      </w:r>
      <w:r w:rsidR="00467D72">
        <w:t>sectors</w:t>
      </w:r>
      <w:r w:rsidR="001B6EFD">
        <w:t xml:space="preserve"> through levies</w:t>
      </w:r>
      <w:r w:rsidR="00467D72">
        <w:t>, ASIC actively seeks to recover investigation and litigation costs directly from the entity involved when it is successful in a matter before the courts.</w:t>
      </w:r>
    </w:p>
    <w:p w14:paraId="5C53E29B" w14:textId="44AAA017" w:rsidR="00906A9C" w:rsidRPr="0002025C" w:rsidRDefault="00FE0F1A" w:rsidP="0033187E">
      <w:pPr>
        <w:pStyle w:val="NoSpacing"/>
        <w:numPr>
          <w:ilvl w:val="0"/>
          <w:numId w:val="15"/>
        </w:numPr>
        <w:rPr>
          <w:rFonts w:ascii="Calibri Light" w:eastAsia="Times New Roman" w:hAnsi="Calibri Light" w:cs="Times New Roman"/>
          <w:szCs w:val="20"/>
          <w:lang w:eastAsia="en-AU"/>
        </w:rPr>
      </w:pPr>
      <w:r w:rsidRPr="0002025C">
        <w:rPr>
          <w:rFonts w:ascii="Calibri Light" w:eastAsia="Times New Roman" w:hAnsi="Calibri Light" w:cs="Times New Roman"/>
          <w:szCs w:val="20"/>
          <w:lang w:eastAsia="en-AU"/>
        </w:rPr>
        <w:t>In some instances, i</w:t>
      </w:r>
      <w:r w:rsidR="00855130" w:rsidRPr="0002025C">
        <w:rPr>
          <w:rFonts w:ascii="Calibri Light" w:eastAsia="Times New Roman" w:hAnsi="Calibri Light" w:cs="Times New Roman"/>
          <w:szCs w:val="20"/>
          <w:lang w:eastAsia="en-AU"/>
        </w:rPr>
        <w:t xml:space="preserve">nvestigation costs </w:t>
      </w:r>
      <w:r w:rsidR="00F0032D" w:rsidRPr="0002025C">
        <w:rPr>
          <w:rFonts w:ascii="Calibri Light" w:eastAsia="Times New Roman" w:hAnsi="Calibri Light" w:cs="Times New Roman"/>
          <w:szCs w:val="20"/>
          <w:lang w:eastAsia="en-AU"/>
        </w:rPr>
        <w:t xml:space="preserve">may be recovered </w:t>
      </w:r>
      <w:r w:rsidR="00971F78" w:rsidRPr="0002025C">
        <w:rPr>
          <w:rFonts w:ascii="Calibri Light" w:eastAsia="Times New Roman" w:hAnsi="Calibri Light" w:cs="Times New Roman"/>
          <w:szCs w:val="20"/>
          <w:lang w:eastAsia="en-AU"/>
        </w:rPr>
        <w:t>from the entity involved</w:t>
      </w:r>
      <w:r w:rsidR="00F0032D" w:rsidRPr="0002025C">
        <w:rPr>
          <w:rFonts w:ascii="Calibri Light" w:eastAsia="Times New Roman" w:hAnsi="Calibri Light" w:cs="Times New Roman"/>
          <w:szCs w:val="20"/>
          <w:lang w:eastAsia="en-AU"/>
        </w:rPr>
        <w:t xml:space="preserve"> via </w:t>
      </w:r>
      <w:r w:rsidR="001F695C" w:rsidRPr="0002025C">
        <w:rPr>
          <w:rFonts w:ascii="Calibri Light" w:eastAsia="Times New Roman" w:hAnsi="Calibri Light" w:cs="Times New Roman"/>
          <w:szCs w:val="20"/>
          <w:lang w:eastAsia="en-AU"/>
        </w:rPr>
        <w:t>s</w:t>
      </w:r>
      <w:r w:rsidR="00865EDE">
        <w:rPr>
          <w:rFonts w:ascii="Calibri Light" w:eastAsia="Times New Roman" w:hAnsi="Calibri Light" w:cs="Times New Roman"/>
          <w:szCs w:val="20"/>
          <w:lang w:eastAsia="en-AU"/>
        </w:rPr>
        <w:t>ection</w:t>
      </w:r>
      <w:r w:rsidR="00F77120">
        <w:rPr>
          <w:rFonts w:ascii="Calibri Light" w:eastAsia="Times New Roman" w:hAnsi="Calibri Light" w:cs="Times New Roman"/>
          <w:szCs w:val="20"/>
          <w:lang w:eastAsia="en-AU"/>
        </w:rPr>
        <w:t> </w:t>
      </w:r>
      <w:r w:rsidR="001F695C" w:rsidRPr="0002025C">
        <w:rPr>
          <w:rFonts w:ascii="Calibri Light" w:eastAsia="Times New Roman" w:hAnsi="Calibri Light" w:cs="Times New Roman"/>
          <w:szCs w:val="20"/>
          <w:lang w:eastAsia="en-AU"/>
        </w:rPr>
        <w:t>91</w:t>
      </w:r>
      <w:r w:rsidR="006B6DF0">
        <w:rPr>
          <w:rFonts w:ascii="Calibri Light" w:eastAsia="Times New Roman" w:hAnsi="Calibri Light" w:cs="Times New Roman"/>
          <w:szCs w:val="20"/>
          <w:lang w:eastAsia="en-AU"/>
        </w:rPr>
        <w:t> </w:t>
      </w:r>
      <w:r w:rsidR="001F695C" w:rsidRPr="0002025C">
        <w:rPr>
          <w:rFonts w:ascii="Calibri Light" w:eastAsia="Times New Roman" w:hAnsi="Calibri Light" w:cs="Times New Roman"/>
          <w:szCs w:val="20"/>
          <w:lang w:eastAsia="en-AU"/>
        </w:rPr>
        <w:t>of</w:t>
      </w:r>
      <w:r w:rsidR="00596D11">
        <w:rPr>
          <w:rFonts w:ascii="Calibri Light" w:eastAsia="Times New Roman" w:hAnsi="Calibri Light" w:cs="Times New Roman"/>
          <w:szCs w:val="20"/>
          <w:lang w:eastAsia="en-AU"/>
        </w:rPr>
        <w:t> </w:t>
      </w:r>
      <w:r w:rsidR="001F695C" w:rsidRPr="0002025C">
        <w:rPr>
          <w:rFonts w:ascii="Calibri Light" w:eastAsia="Times New Roman" w:hAnsi="Calibri Light" w:cs="Times New Roman"/>
          <w:szCs w:val="20"/>
          <w:lang w:eastAsia="en-AU"/>
        </w:rPr>
        <w:t xml:space="preserve">the </w:t>
      </w:r>
      <w:r w:rsidR="001F695C" w:rsidRPr="00B46582">
        <w:rPr>
          <w:rFonts w:ascii="Calibri Light" w:eastAsia="Times New Roman" w:hAnsi="Calibri Light" w:cs="Times New Roman"/>
          <w:i/>
          <w:szCs w:val="20"/>
          <w:lang w:eastAsia="en-AU"/>
        </w:rPr>
        <w:t>Australian Securities and Investments Commission Act 2001</w:t>
      </w:r>
      <w:r w:rsidR="00F0032D" w:rsidRPr="0002025C">
        <w:rPr>
          <w:rFonts w:ascii="Calibri Light" w:eastAsia="Times New Roman" w:hAnsi="Calibri Light" w:cs="Times New Roman"/>
          <w:szCs w:val="20"/>
          <w:lang w:eastAsia="en-AU"/>
        </w:rPr>
        <w:t xml:space="preserve"> and</w:t>
      </w:r>
      <w:r w:rsidR="005E26C1" w:rsidRPr="0002025C">
        <w:rPr>
          <w:rFonts w:ascii="Calibri Light" w:eastAsia="Times New Roman" w:hAnsi="Calibri Light" w:cs="Times New Roman"/>
          <w:szCs w:val="20"/>
          <w:lang w:eastAsia="en-AU"/>
        </w:rPr>
        <w:t xml:space="preserve"> s</w:t>
      </w:r>
      <w:r w:rsidR="00865EDE">
        <w:rPr>
          <w:rFonts w:ascii="Calibri Light" w:eastAsia="Times New Roman" w:hAnsi="Calibri Light" w:cs="Times New Roman"/>
          <w:szCs w:val="20"/>
          <w:lang w:eastAsia="en-AU"/>
        </w:rPr>
        <w:t>ection</w:t>
      </w:r>
      <w:r w:rsidR="00F77120">
        <w:rPr>
          <w:rFonts w:ascii="Calibri Light" w:eastAsia="Times New Roman" w:hAnsi="Calibri Light" w:cs="Times New Roman"/>
          <w:szCs w:val="20"/>
          <w:lang w:eastAsia="en-AU"/>
        </w:rPr>
        <w:t> </w:t>
      </w:r>
      <w:r w:rsidR="005E26C1" w:rsidRPr="0002025C">
        <w:rPr>
          <w:rFonts w:ascii="Calibri Light" w:eastAsia="Times New Roman" w:hAnsi="Calibri Light" w:cs="Times New Roman"/>
          <w:szCs w:val="20"/>
          <w:lang w:eastAsia="en-AU"/>
        </w:rPr>
        <w:t>319</w:t>
      </w:r>
      <w:r w:rsidR="003D0942">
        <w:rPr>
          <w:rFonts w:ascii="Calibri Light" w:eastAsia="Times New Roman" w:hAnsi="Calibri Light" w:cs="Times New Roman"/>
          <w:szCs w:val="20"/>
          <w:lang w:eastAsia="en-AU"/>
        </w:rPr>
        <w:t> </w:t>
      </w:r>
      <w:r w:rsidR="005E26C1" w:rsidRPr="0002025C">
        <w:rPr>
          <w:rFonts w:ascii="Calibri Light" w:eastAsia="Times New Roman" w:hAnsi="Calibri Light" w:cs="Times New Roman"/>
          <w:szCs w:val="20"/>
          <w:lang w:eastAsia="en-AU"/>
        </w:rPr>
        <w:t>of</w:t>
      </w:r>
      <w:r w:rsidR="0001379C">
        <w:rPr>
          <w:rFonts w:ascii="Calibri Light" w:eastAsia="Times New Roman" w:hAnsi="Calibri Light" w:cs="Times New Roman"/>
          <w:szCs w:val="20"/>
          <w:lang w:eastAsia="en-AU"/>
        </w:rPr>
        <w:t> </w:t>
      </w:r>
      <w:r w:rsidR="005E26C1" w:rsidRPr="0002025C">
        <w:rPr>
          <w:rFonts w:ascii="Calibri Light" w:eastAsia="Times New Roman" w:hAnsi="Calibri Light" w:cs="Times New Roman"/>
          <w:szCs w:val="20"/>
          <w:lang w:eastAsia="en-AU"/>
        </w:rPr>
        <w:t>the</w:t>
      </w:r>
      <w:r w:rsidR="00BD4C15">
        <w:rPr>
          <w:rFonts w:ascii="Calibri Light" w:eastAsia="Times New Roman" w:hAnsi="Calibri Light" w:cs="Times New Roman"/>
          <w:szCs w:val="20"/>
          <w:lang w:eastAsia="en-AU"/>
        </w:rPr>
        <w:t> </w:t>
      </w:r>
      <w:r w:rsidR="005E26C1" w:rsidRPr="00B46582">
        <w:rPr>
          <w:rFonts w:ascii="Calibri Light" w:eastAsia="Times New Roman" w:hAnsi="Calibri Light" w:cs="Times New Roman"/>
          <w:i/>
          <w:szCs w:val="20"/>
          <w:lang w:eastAsia="en-AU"/>
        </w:rPr>
        <w:t>National Consumer Credit Protection Act 2009</w:t>
      </w:r>
      <w:r w:rsidR="005E26C1" w:rsidRPr="0002025C">
        <w:rPr>
          <w:rFonts w:ascii="Calibri Light" w:eastAsia="Times New Roman" w:hAnsi="Calibri Light" w:cs="Times New Roman"/>
          <w:szCs w:val="20"/>
          <w:lang w:eastAsia="en-AU"/>
        </w:rPr>
        <w:t xml:space="preserve">. </w:t>
      </w:r>
      <w:r w:rsidR="004D1482" w:rsidRPr="0002025C">
        <w:rPr>
          <w:rFonts w:ascii="Calibri Light" w:eastAsia="Times New Roman" w:hAnsi="Calibri Light" w:cs="Times New Roman"/>
          <w:szCs w:val="20"/>
          <w:lang w:eastAsia="en-AU"/>
        </w:rPr>
        <w:t xml:space="preserve">Recovered costs are applied back to relevant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r>
      <w:r w:rsidR="004D1482" w:rsidRPr="0002025C">
        <w:rPr>
          <w:rFonts w:ascii="Calibri Light" w:eastAsia="Times New Roman" w:hAnsi="Calibri Light" w:cs="Times New Roman"/>
          <w:szCs w:val="20"/>
          <w:lang w:eastAsia="en-AU"/>
        </w:rPr>
        <w:t>sectors, to offset levy amounts and are recorded as own source revenue</w:t>
      </w:r>
    </w:p>
    <w:p w14:paraId="5D10BE21" w14:textId="60CC7363" w:rsidR="002D049F" w:rsidRPr="0002025C" w:rsidRDefault="00E25BBA" w:rsidP="0033187E">
      <w:pPr>
        <w:pStyle w:val="NoSpacing"/>
        <w:numPr>
          <w:ilvl w:val="0"/>
          <w:numId w:val="15"/>
        </w:numPr>
        <w:rPr>
          <w:rFonts w:ascii="Calibri Light" w:eastAsia="Times New Roman" w:hAnsi="Calibri Light" w:cs="Times New Roman"/>
          <w:szCs w:val="20"/>
          <w:lang w:eastAsia="en-AU"/>
        </w:rPr>
      </w:pPr>
      <w:r w:rsidRPr="0002025C" w:rsidDel="009D6C6E">
        <w:rPr>
          <w:rFonts w:ascii="Calibri Light" w:eastAsia="Times New Roman" w:hAnsi="Calibri Light" w:cs="Times New Roman"/>
          <w:szCs w:val="20"/>
          <w:lang w:eastAsia="en-AU"/>
        </w:rPr>
        <w:t xml:space="preserve">When ASIC pursues a matter in the courts, </w:t>
      </w:r>
      <w:r w:rsidR="00A81845" w:rsidRPr="0002025C" w:rsidDel="009D6C6E">
        <w:rPr>
          <w:rFonts w:ascii="Calibri Light" w:eastAsia="Times New Roman" w:hAnsi="Calibri Light" w:cs="Times New Roman"/>
          <w:szCs w:val="20"/>
          <w:lang w:eastAsia="en-AU"/>
        </w:rPr>
        <w:t>it seeks to have l</w:t>
      </w:r>
      <w:r w:rsidR="00F0032D" w:rsidRPr="0002025C" w:rsidDel="009D6C6E">
        <w:rPr>
          <w:rFonts w:ascii="Calibri Light" w:eastAsia="Times New Roman" w:hAnsi="Calibri Light" w:cs="Times New Roman"/>
          <w:szCs w:val="20"/>
          <w:lang w:eastAsia="en-AU"/>
        </w:rPr>
        <w:t>itigation costs</w:t>
      </w:r>
      <w:r w:rsidR="00F0032D" w:rsidRPr="0002025C">
        <w:rPr>
          <w:rFonts w:ascii="Calibri Light" w:eastAsia="Times New Roman" w:hAnsi="Calibri Light" w:cs="Times New Roman"/>
          <w:szCs w:val="20"/>
          <w:lang w:eastAsia="en-AU"/>
        </w:rPr>
        <w:t xml:space="preserve"> </w:t>
      </w:r>
      <w:r w:rsidR="00A81845" w:rsidRPr="0002025C">
        <w:rPr>
          <w:rFonts w:ascii="Calibri Light" w:eastAsia="Times New Roman" w:hAnsi="Calibri Light" w:cs="Times New Roman"/>
          <w:szCs w:val="20"/>
          <w:lang w:eastAsia="en-AU"/>
        </w:rPr>
        <w:t>awarded by the</w:t>
      </w:r>
      <w:r w:rsidR="00F0032D" w:rsidRPr="0002025C">
        <w:rPr>
          <w:rFonts w:ascii="Calibri Light" w:eastAsia="Times New Roman" w:hAnsi="Calibri Light" w:cs="Times New Roman"/>
          <w:szCs w:val="20"/>
          <w:lang w:eastAsia="en-AU"/>
        </w:rPr>
        <w:t xml:space="preserve"> court </w:t>
      </w:r>
      <w:r w:rsidR="00254D5F" w:rsidRPr="0002025C">
        <w:rPr>
          <w:rFonts w:ascii="Calibri Light" w:eastAsia="Times New Roman" w:hAnsi="Calibri Light" w:cs="Times New Roman"/>
          <w:szCs w:val="20"/>
          <w:lang w:eastAsia="en-AU"/>
        </w:rPr>
        <w:t xml:space="preserve">if </w:t>
      </w:r>
      <w:r w:rsidR="00A81845" w:rsidRPr="0002025C">
        <w:rPr>
          <w:rFonts w:ascii="Calibri Light" w:eastAsia="Times New Roman" w:hAnsi="Calibri Light" w:cs="Times New Roman"/>
          <w:szCs w:val="20"/>
          <w:lang w:eastAsia="en-AU"/>
        </w:rPr>
        <w:t>it</w:t>
      </w:r>
      <w:r w:rsidR="00254D5F" w:rsidRPr="0002025C">
        <w:rPr>
          <w:rFonts w:ascii="Calibri Light" w:eastAsia="Times New Roman" w:hAnsi="Calibri Light" w:cs="Times New Roman"/>
          <w:szCs w:val="20"/>
          <w:lang w:eastAsia="en-AU"/>
        </w:rPr>
        <w:t xml:space="preserve"> is successful</w:t>
      </w:r>
      <w:r w:rsidR="00A81845" w:rsidRPr="0002025C">
        <w:rPr>
          <w:rFonts w:ascii="Calibri Light" w:eastAsia="Times New Roman" w:hAnsi="Calibri Light" w:cs="Times New Roman"/>
          <w:szCs w:val="20"/>
          <w:lang w:eastAsia="en-AU"/>
        </w:rPr>
        <w:t>.</w:t>
      </w:r>
      <w:r w:rsidR="00254D5F" w:rsidRPr="0002025C">
        <w:rPr>
          <w:rFonts w:ascii="Calibri Light" w:eastAsia="Times New Roman" w:hAnsi="Calibri Light" w:cs="Times New Roman"/>
          <w:szCs w:val="20"/>
          <w:lang w:eastAsia="en-AU"/>
        </w:rPr>
        <w:t xml:space="preserve"> </w:t>
      </w:r>
      <w:r w:rsidR="00CD1F7F" w:rsidRPr="0002025C">
        <w:rPr>
          <w:rFonts w:ascii="Calibri Light" w:eastAsia="Times New Roman" w:hAnsi="Calibri Light" w:cs="Times New Roman"/>
          <w:szCs w:val="20"/>
          <w:lang w:eastAsia="en-AU"/>
        </w:rPr>
        <w:t xml:space="preserve">Recovered costs are applied back to relevant </w:t>
      </w:r>
      <w:r w:rsidR="00F33074">
        <w:rPr>
          <w:rFonts w:ascii="Calibri Light" w:eastAsia="Times New Roman" w:hAnsi="Calibri Light" w:cs="Times New Roman"/>
          <w:szCs w:val="20"/>
          <w:lang w:eastAsia="en-AU"/>
        </w:rPr>
        <w:t>sub</w:t>
      </w:r>
      <w:r w:rsidR="00F33074">
        <w:rPr>
          <w:rFonts w:ascii="Calibri Light" w:eastAsia="Times New Roman" w:hAnsi="Calibri Light" w:cs="Times New Roman"/>
          <w:szCs w:val="20"/>
          <w:lang w:eastAsia="en-AU"/>
        </w:rPr>
        <w:noBreakHyphen/>
      </w:r>
      <w:r w:rsidR="00CD1F7F" w:rsidRPr="0002025C">
        <w:rPr>
          <w:rFonts w:ascii="Calibri Light" w:eastAsia="Times New Roman" w:hAnsi="Calibri Light" w:cs="Times New Roman"/>
          <w:szCs w:val="20"/>
          <w:lang w:eastAsia="en-AU"/>
        </w:rPr>
        <w:t xml:space="preserve">sectors, to offset levy amounts and </w:t>
      </w:r>
      <w:r w:rsidR="00A81845" w:rsidRPr="0002025C">
        <w:rPr>
          <w:rFonts w:ascii="Calibri Light" w:eastAsia="Times New Roman" w:hAnsi="Calibri Light" w:cs="Times New Roman"/>
          <w:szCs w:val="20"/>
          <w:lang w:eastAsia="en-AU"/>
        </w:rPr>
        <w:t xml:space="preserve">are </w:t>
      </w:r>
      <w:r w:rsidR="00CD1F7F" w:rsidRPr="0002025C">
        <w:rPr>
          <w:rFonts w:ascii="Calibri Light" w:eastAsia="Times New Roman" w:hAnsi="Calibri Light" w:cs="Times New Roman"/>
          <w:szCs w:val="20"/>
          <w:lang w:eastAsia="en-AU"/>
        </w:rPr>
        <w:t xml:space="preserve">recorded as </w:t>
      </w:r>
      <w:r w:rsidR="00493F7E" w:rsidRPr="0002025C">
        <w:rPr>
          <w:rFonts w:ascii="Calibri Light" w:eastAsia="Times New Roman" w:hAnsi="Calibri Light" w:cs="Times New Roman"/>
          <w:szCs w:val="20"/>
          <w:lang w:eastAsia="en-AU"/>
        </w:rPr>
        <w:t>own source revenue</w:t>
      </w:r>
      <w:r w:rsidR="00A30AC0" w:rsidRPr="0002025C">
        <w:rPr>
          <w:rFonts w:ascii="Calibri Light" w:eastAsia="Times New Roman" w:hAnsi="Calibri Light" w:cs="Times New Roman"/>
          <w:szCs w:val="20"/>
          <w:lang w:eastAsia="en-AU"/>
        </w:rPr>
        <w:t>.</w:t>
      </w:r>
      <w:r w:rsidR="004F1252" w:rsidRPr="0002025C">
        <w:rPr>
          <w:rFonts w:ascii="Calibri Light" w:eastAsia="Times New Roman" w:hAnsi="Calibri Light" w:cs="Times New Roman"/>
          <w:szCs w:val="20"/>
          <w:lang w:eastAsia="en-AU"/>
        </w:rPr>
        <w:t xml:space="preserve"> </w:t>
      </w:r>
    </w:p>
    <w:p w14:paraId="286A7207" w14:textId="0824DB90" w:rsidR="00664118" w:rsidRDefault="00560F17" w:rsidP="00360713">
      <w:r>
        <w:t>There is likely to be a delay between when costs are incurred and when costs are recovered</w:t>
      </w:r>
      <w:r w:rsidR="009B5EDF">
        <w:t xml:space="preserve"> under these mechanisms</w:t>
      </w:r>
      <w:r>
        <w:t xml:space="preserve">, which means levies for one financial year will include ASIC’s enforcement costs, </w:t>
      </w:r>
      <w:r w:rsidR="00933752">
        <w:t>but with any crediting of costs likely to occur in another financial year.</w:t>
      </w:r>
      <w:r w:rsidR="00651691">
        <w:t xml:space="preserve"> </w:t>
      </w:r>
    </w:p>
    <w:p w14:paraId="3B176F69" w14:textId="668FE73A" w:rsidR="00CD1F7F" w:rsidRPr="0002025C" w:rsidRDefault="00651691" w:rsidP="00360713">
      <w:pPr>
        <w:rPr>
          <w:rFonts w:eastAsiaTheme="minorHAnsi"/>
        </w:rPr>
      </w:pPr>
      <w:r>
        <w:t>Own source revenue</w:t>
      </w:r>
      <w:r w:rsidR="003023CB">
        <w:t xml:space="preserve"> (which includes the recovery of investigation and litigation costs)</w:t>
      </w:r>
      <w:r>
        <w:t xml:space="preserve"> </w:t>
      </w:r>
      <w:r w:rsidR="00EF2352">
        <w:t>recovers only a fraction of total enforcement costs</w:t>
      </w:r>
      <w:r w:rsidR="00FC6B59">
        <w:t xml:space="preserve"> – recovering between $</w:t>
      </w:r>
      <w:r w:rsidR="004522CA">
        <w:t>4</w:t>
      </w:r>
      <w:r w:rsidR="00DE6FB8" w:rsidDel="00E16E91">
        <w:t xml:space="preserve"> and </w:t>
      </w:r>
      <w:r w:rsidR="00FC6B59">
        <w:t>$</w:t>
      </w:r>
      <w:r w:rsidR="004522CA">
        <w:t>16</w:t>
      </w:r>
      <w:r w:rsidR="00FC6B59">
        <w:t xml:space="preserve"> million per year over</w:t>
      </w:r>
      <w:r w:rsidR="00C273D3" w:rsidDel="00E16E91">
        <w:t xml:space="preserve"> the </w:t>
      </w:r>
      <w:r w:rsidR="00FC6B59">
        <w:t>lif</w:t>
      </w:r>
      <w:r w:rsidR="009F2C83">
        <w:t>e</w:t>
      </w:r>
      <w:r w:rsidR="00C273D3" w:rsidDel="00E16E91">
        <w:t xml:space="preserve"> of the IFM</w:t>
      </w:r>
      <w:r w:rsidR="00FC6B59">
        <w:t>.</w:t>
      </w:r>
      <w:r w:rsidR="004465D2">
        <w:t xml:space="preserve"> </w:t>
      </w:r>
      <w:r w:rsidR="00FC6B59">
        <w:t xml:space="preserve">This </w:t>
      </w:r>
      <w:r w:rsidR="004465D2">
        <w:t>mean</w:t>
      </w:r>
      <w:r w:rsidR="00FC6B59">
        <w:t>s</w:t>
      </w:r>
      <w:r w:rsidR="004465D2">
        <w:t xml:space="preserve"> </w:t>
      </w:r>
      <w:r w:rsidR="003559D7">
        <w:t xml:space="preserve">the majority of enforcement costs are recovered from the </w:t>
      </w:r>
      <w:r w:rsidR="004465D2">
        <w:t xml:space="preserve">relevant </w:t>
      </w:r>
      <w:r w:rsidR="00F33074">
        <w:t>sub</w:t>
      </w:r>
      <w:r w:rsidR="00F33074">
        <w:noBreakHyphen/>
        <w:t>sector</w:t>
      </w:r>
      <w:r w:rsidR="003559D7">
        <w:t xml:space="preserve">, not the </w:t>
      </w:r>
      <w:r w:rsidR="00706F8F">
        <w:t xml:space="preserve">individual </w:t>
      </w:r>
      <w:r w:rsidR="003559D7">
        <w:t xml:space="preserve">entity </w:t>
      </w:r>
      <w:r w:rsidR="00C97D16">
        <w:t>that is the subject of</w:t>
      </w:r>
      <w:r w:rsidR="003559D7">
        <w:t xml:space="preserve"> the enforcement </w:t>
      </w:r>
      <w:r w:rsidR="00C97D16">
        <w:t>activity</w:t>
      </w:r>
      <w:r w:rsidR="003559D7">
        <w:t>.</w:t>
      </w:r>
      <w:r w:rsidR="004465D2">
        <w:t xml:space="preserve"> </w:t>
      </w:r>
      <w:r w:rsidR="00F26DFD" w:rsidDel="00091FFB">
        <w:t xml:space="preserve">The actual amount recovered </w:t>
      </w:r>
      <w:r w:rsidR="00FC485D">
        <w:t xml:space="preserve">via these mechanisms </w:t>
      </w:r>
      <w:r w:rsidR="00F26DFD" w:rsidDel="00091FFB">
        <w:t xml:space="preserve">will vary on a </w:t>
      </w:r>
      <w:r w:rsidR="004130C1" w:rsidDel="00091FFB">
        <w:t>case-by-case</w:t>
      </w:r>
      <w:r w:rsidR="00F26DFD" w:rsidDel="00091FFB">
        <w:t xml:space="preserve"> basis, </w:t>
      </w:r>
      <w:r w:rsidR="00DE05B9">
        <w:t>including because</w:t>
      </w:r>
      <w:r w:rsidR="00F26DFD" w:rsidDel="00091FFB">
        <w:t xml:space="preserve"> not all expenditure is recoverable and in some instances the entity or person ASIC take</w:t>
      </w:r>
      <w:r w:rsidR="00D91164" w:rsidDel="00091FFB">
        <w:t>s</w:t>
      </w:r>
      <w:r w:rsidR="00F26DFD" w:rsidDel="00091FFB">
        <w:t xml:space="preserve"> action against has insufficient assets to cover ASIC’s costs.</w:t>
      </w:r>
    </w:p>
    <w:p w14:paraId="368107F2" w14:textId="67CE3CB2" w:rsidR="00241E33" w:rsidRDefault="00290BEA" w:rsidP="00360713">
      <w:r w:rsidRPr="00757C57">
        <w:t xml:space="preserve">Some stakeholders have argued that </w:t>
      </w:r>
      <w:r w:rsidR="00740790" w:rsidRPr="00757C57">
        <w:t xml:space="preserve">court-awarded penalties and fines should </w:t>
      </w:r>
      <w:r w:rsidR="003559D7" w:rsidRPr="00F608D0">
        <w:t>a</w:t>
      </w:r>
      <w:r w:rsidR="003559D7" w:rsidRPr="007E2A0B">
        <w:t>ls</w:t>
      </w:r>
      <w:r w:rsidR="003559D7" w:rsidRPr="00E30FC4">
        <w:t>o</w:t>
      </w:r>
      <w:r w:rsidR="00740790" w:rsidRPr="006D64B5">
        <w:t xml:space="preserve"> </w:t>
      </w:r>
      <w:r w:rsidR="00740790" w:rsidRPr="00CC0D54">
        <w:t>be used to offset industry levies</w:t>
      </w:r>
      <w:r w:rsidR="003559D7" w:rsidRPr="00026E4D">
        <w:t xml:space="preserve"> </w:t>
      </w:r>
      <w:r w:rsidR="00E73CB1">
        <w:t>in the same manner as</w:t>
      </w:r>
      <w:r w:rsidR="003559D7" w:rsidRPr="00FA1009">
        <w:t xml:space="preserve"> o</w:t>
      </w:r>
      <w:r w:rsidR="003559D7" w:rsidRPr="0015076A">
        <w:t>wn</w:t>
      </w:r>
      <w:r w:rsidR="003559D7" w:rsidRPr="005D736E">
        <w:t xml:space="preserve"> </w:t>
      </w:r>
      <w:r w:rsidR="003559D7" w:rsidRPr="00C43307">
        <w:t>s</w:t>
      </w:r>
      <w:r w:rsidR="003559D7" w:rsidRPr="00343C2F">
        <w:t>o</w:t>
      </w:r>
      <w:r w:rsidR="003559D7" w:rsidRPr="00A1465A">
        <w:t>u</w:t>
      </w:r>
      <w:r w:rsidR="003559D7" w:rsidRPr="00086AEC">
        <w:t>r</w:t>
      </w:r>
      <w:r w:rsidR="003559D7" w:rsidRPr="00CF7A44">
        <w:t>ce re</w:t>
      </w:r>
      <w:r w:rsidR="003559D7" w:rsidRPr="00D07976">
        <w:t>v</w:t>
      </w:r>
      <w:r w:rsidR="003559D7" w:rsidRPr="00FF1647">
        <w:t>e</w:t>
      </w:r>
      <w:r w:rsidR="003559D7" w:rsidRPr="00FD7B2E">
        <w:t>n</w:t>
      </w:r>
      <w:r w:rsidR="003559D7" w:rsidRPr="00053411">
        <w:t>u</w:t>
      </w:r>
      <w:r w:rsidR="003559D7" w:rsidRPr="00792DBE">
        <w:t>e</w:t>
      </w:r>
      <w:r w:rsidR="00740790" w:rsidRPr="00B424FD">
        <w:t>.</w:t>
      </w:r>
      <w:r w:rsidR="00740790" w:rsidRPr="00A16A6C">
        <w:t xml:space="preserve"> </w:t>
      </w:r>
      <w:r w:rsidRPr="00444943">
        <w:t xml:space="preserve">Court-awarded </w:t>
      </w:r>
      <w:r w:rsidR="00883F8B" w:rsidRPr="00DD4ABB">
        <w:t>penalties</w:t>
      </w:r>
      <w:r w:rsidRPr="000A152C">
        <w:t xml:space="preserve"> and fines</w:t>
      </w:r>
      <w:r w:rsidR="00883F8B" w:rsidRPr="00305FBB">
        <w:t xml:space="preserve"> </w:t>
      </w:r>
      <w:r w:rsidRPr="00153880">
        <w:t xml:space="preserve">are </w:t>
      </w:r>
      <w:r w:rsidRPr="00153880">
        <w:lastRenderedPageBreak/>
        <w:t>paid into</w:t>
      </w:r>
      <w:r w:rsidR="00883F8B" w:rsidRPr="004123E0">
        <w:t xml:space="preserve"> the Commonwealth Consolidated Revenue Fund. Penalties are imposed</w:t>
      </w:r>
      <w:r w:rsidR="00FC73E4" w:rsidRPr="00004696">
        <w:t xml:space="preserve"> for a punitive purpose and</w:t>
      </w:r>
      <w:r w:rsidR="00883F8B" w:rsidRPr="002634AF">
        <w:t xml:space="preserve"> as a</w:t>
      </w:r>
      <w:r w:rsidR="00883F8B" w:rsidRPr="00A3145F">
        <w:t xml:space="preserve"> deterrent</w:t>
      </w:r>
      <w:r w:rsidR="00FC73E4" w:rsidRPr="005042AF">
        <w:t xml:space="preserve"> for </w:t>
      </w:r>
      <w:r w:rsidR="00FC73E4" w:rsidRPr="008C74AA">
        <w:t>misconduct</w:t>
      </w:r>
      <w:r w:rsidR="003559D7" w:rsidRPr="008C74AA">
        <w:t xml:space="preserve"> and</w:t>
      </w:r>
      <w:r w:rsidR="00883F8B" w:rsidRPr="008C74AA">
        <w:t xml:space="preserve"> bear no relationship to ASIC’s regulatory costs. This is consistent with the treatment of penalties and fines across</w:t>
      </w:r>
      <w:r w:rsidR="002D703E" w:rsidRPr="008C74AA">
        <w:t xml:space="preserve"> the Commonwealth</w:t>
      </w:r>
      <w:r w:rsidR="00883F8B" w:rsidRPr="008C74AA">
        <w:t>.</w:t>
      </w:r>
      <w:r w:rsidR="002D703E" w:rsidRPr="008C74AA">
        <w:t xml:space="preserve"> </w:t>
      </w:r>
      <w:r w:rsidR="00B66AEE" w:rsidRPr="00CF7A44">
        <w:t xml:space="preserve">The use of penalties and fines to offset industry levies </w:t>
      </w:r>
      <w:r w:rsidR="00B66AEE" w:rsidRPr="008C74AA">
        <w:t xml:space="preserve">could </w:t>
      </w:r>
      <w:r w:rsidR="00B46BE4" w:rsidRPr="008C74AA">
        <w:t>be perceived as industry ‘benefiting’ from misconduct</w:t>
      </w:r>
      <w:r w:rsidR="00E83447" w:rsidRPr="008C74AA">
        <w:t xml:space="preserve"> and create </w:t>
      </w:r>
      <w:r w:rsidR="00A9161C">
        <w:t>perverse</w:t>
      </w:r>
      <w:r w:rsidR="00A9161C" w:rsidRPr="008C74AA">
        <w:t xml:space="preserve"> </w:t>
      </w:r>
      <w:r w:rsidR="00E83447" w:rsidRPr="008C74AA">
        <w:t>incentives</w:t>
      </w:r>
      <w:r w:rsidR="00E678BE">
        <w:t xml:space="preserve"> (for example, the risk that </w:t>
      </w:r>
      <w:r w:rsidR="00002A52">
        <w:t xml:space="preserve">enforcement activity is driven by revenue considerations </w:t>
      </w:r>
      <w:r w:rsidR="0091038A">
        <w:t>rather than efforts to reduce non-compliance)</w:t>
      </w:r>
      <w:r w:rsidR="00B46BE4" w:rsidRPr="008C74AA">
        <w:t>.</w:t>
      </w:r>
      <w:r w:rsidR="00883F8B" w:rsidRPr="008C74AA">
        <w:t xml:space="preserve"> The use of fines and penalties to offset ASIC’s regulatory costs </w:t>
      </w:r>
      <w:r w:rsidR="00197458" w:rsidRPr="008C74AA">
        <w:t xml:space="preserve">will not be considered as part of this </w:t>
      </w:r>
      <w:r w:rsidR="007E25EF">
        <w:t>R</w:t>
      </w:r>
      <w:r w:rsidR="00197458" w:rsidRPr="008C74AA">
        <w:t>eview.</w:t>
      </w:r>
    </w:p>
    <w:p w14:paraId="23DA10A7" w14:textId="7B179BF0" w:rsidR="002410F5" w:rsidRPr="00B60D40" w:rsidRDefault="002410F5" w:rsidP="00DA4DFD">
      <w:pPr>
        <w:pStyle w:val="Heading4"/>
      </w:pPr>
      <w:r>
        <w:t>Additional stakeholder concerns relating to enforcement costs</w:t>
      </w:r>
    </w:p>
    <w:p w14:paraId="716265E7" w14:textId="51F5C3AB" w:rsidR="00F917CA" w:rsidRDefault="00F917CA">
      <w:r>
        <w:t>In addition to the principal concern surrounding enforcement costs – that is, that enforcement costs are not recovered from those causing the need for enforcement activity – stakeholders have raised a number of other concerns.</w:t>
      </w:r>
    </w:p>
    <w:p w14:paraId="6D25F104" w14:textId="30867C0B" w:rsidR="00F63E70" w:rsidRPr="003777C0" w:rsidRDefault="00F63E70">
      <w:r w:rsidRPr="0006127A">
        <w:t xml:space="preserve">Enforcement activity is a </w:t>
      </w:r>
      <w:r w:rsidR="00235EBF" w:rsidRPr="0006127A">
        <w:t>key driver of</w:t>
      </w:r>
      <w:r w:rsidRPr="0006127A">
        <w:t xml:space="preserve"> levy volatility</w:t>
      </w:r>
      <w:r>
        <w:t xml:space="preserve"> </w:t>
      </w:r>
      <w:r w:rsidR="00575AC9">
        <w:t>year on year</w:t>
      </w:r>
      <w:r w:rsidR="00235EBF" w:rsidRPr="0006127A">
        <w:t xml:space="preserve"> </w:t>
      </w:r>
      <w:r w:rsidRPr="0006127A">
        <w:t>and variance</w:t>
      </w:r>
      <w:r w:rsidR="00575AC9">
        <w:t xml:space="preserve"> be</w:t>
      </w:r>
      <w:r w:rsidR="00FF7C59">
        <w:t>tween estimated and actual levies</w:t>
      </w:r>
      <w:r>
        <w:t>.</w:t>
      </w:r>
      <w:r w:rsidR="00996085">
        <w:t xml:space="preserve"> </w:t>
      </w:r>
      <w:r w:rsidRPr="00F917CA">
        <w:t>Concerns raised by stakeholders related to the impact enforcement costs have on levy volatility and variance are addressed later in th</w:t>
      </w:r>
      <w:r w:rsidR="004242F6">
        <w:t>is</w:t>
      </w:r>
      <w:r w:rsidRPr="00F917CA">
        <w:t xml:space="preserve"> paper. </w:t>
      </w:r>
    </w:p>
    <w:p w14:paraId="4E44F8CB" w14:textId="18200C69" w:rsidR="006F2E64" w:rsidRDefault="00F917CA" w:rsidP="00360713">
      <w:r>
        <w:t>Additionally, w</w:t>
      </w:r>
      <w:r w:rsidR="009B2E2D" w:rsidRPr="009B2E2D">
        <w:t>hil</w:t>
      </w:r>
      <w:r w:rsidR="00867ABC">
        <w:t>e</w:t>
      </w:r>
      <w:r w:rsidR="009B2E2D" w:rsidRPr="009B2E2D">
        <w:t xml:space="preserve"> </w:t>
      </w:r>
      <w:r w:rsidR="0066010A">
        <w:t xml:space="preserve">industry </w:t>
      </w:r>
      <w:r w:rsidR="009B2E2D" w:rsidRPr="009B2E2D">
        <w:t xml:space="preserve">stakeholders have noted they do not object to paying for some </w:t>
      </w:r>
      <w:r w:rsidR="0066010A">
        <w:t>element</w:t>
      </w:r>
      <w:r w:rsidR="0066010A" w:rsidRPr="009B2E2D">
        <w:t xml:space="preserve"> </w:t>
      </w:r>
      <w:r w:rsidR="009B2E2D" w:rsidRPr="009B2E2D">
        <w:t xml:space="preserve">of </w:t>
      </w:r>
      <w:r w:rsidR="00E0717C">
        <w:t xml:space="preserve">enforcement </w:t>
      </w:r>
      <w:r w:rsidR="007F4134">
        <w:t>activity</w:t>
      </w:r>
      <w:r w:rsidR="009B2E2D" w:rsidRPr="009B2E2D">
        <w:t xml:space="preserve">, some stakeholders </w:t>
      </w:r>
      <w:r w:rsidR="00007E84">
        <w:t>argue that</w:t>
      </w:r>
      <w:r w:rsidR="009B2E2D" w:rsidRPr="009B2E2D">
        <w:t xml:space="preserve"> a portion of </w:t>
      </w:r>
      <w:r w:rsidR="0066010A">
        <w:t>(</w:t>
      </w:r>
      <w:r w:rsidR="009B2E2D" w:rsidRPr="009B2E2D">
        <w:t>if not all</w:t>
      </w:r>
      <w:r w:rsidR="0066010A">
        <w:t>)</w:t>
      </w:r>
      <w:r w:rsidR="009B2E2D" w:rsidRPr="009B2E2D">
        <w:t xml:space="preserve"> enforcement costs </w:t>
      </w:r>
      <w:r w:rsidR="00187A2C">
        <w:t xml:space="preserve">should </w:t>
      </w:r>
      <w:r w:rsidR="009B2E2D" w:rsidRPr="009B2E2D">
        <w:t>be government funded.</w:t>
      </w:r>
      <w:r w:rsidR="00027345">
        <w:t xml:space="preserve"> Stakeholders argue that this would </w:t>
      </w:r>
      <w:r w:rsidR="00DB40A1">
        <w:t xml:space="preserve">better reflect the broader public benefit </w:t>
      </w:r>
      <w:r w:rsidR="008E3BE8">
        <w:t>of ASIC’s enforcement activity.</w:t>
      </w:r>
      <w:r w:rsidR="009B2E2D" w:rsidRPr="009B2E2D">
        <w:t xml:space="preserve"> </w:t>
      </w:r>
      <w:r w:rsidR="00913070">
        <w:t xml:space="preserve">However, </w:t>
      </w:r>
      <w:r w:rsidR="00871801">
        <w:t>t</w:t>
      </w:r>
      <w:r w:rsidR="00FA669E">
        <w:t xml:space="preserve">he aim of the IFM is </w:t>
      </w:r>
      <w:r w:rsidR="000061C9">
        <w:t xml:space="preserve">to </w:t>
      </w:r>
      <w:r w:rsidR="00521AB5" w:rsidRPr="00521AB5">
        <w:t xml:space="preserve">recover ASIC’s regulatory costs from entities in the industry </w:t>
      </w:r>
      <w:r w:rsidR="00F33074">
        <w:t>sub</w:t>
      </w:r>
      <w:r w:rsidR="00F33074">
        <w:noBreakHyphen/>
      </w:r>
      <w:r w:rsidR="00527197">
        <w:t>sector</w:t>
      </w:r>
      <w:r w:rsidR="00521AB5" w:rsidRPr="00521AB5">
        <w:t>s that cause the need for regulatory effort, rather than general taxpayers.</w:t>
      </w:r>
      <w:r w:rsidR="00521AB5" w:rsidRPr="00521AB5" w:rsidDel="00416AE2">
        <w:t xml:space="preserve"> </w:t>
      </w:r>
      <w:r w:rsidR="000061C9">
        <w:t>It</w:t>
      </w:r>
      <w:r w:rsidR="009B2E2D" w:rsidRPr="009B2E2D">
        <w:t xml:space="preserve"> is important </w:t>
      </w:r>
      <w:r w:rsidR="000061C9">
        <w:t>that</w:t>
      </w:r>
      <w:r w:rsidR="009B2E2D" w:rsidRPr="009B2E2D">
        <w:t xml:space="preserve"> entities fund the regulation of their </w:t>
      </w:r>
      <w:r w:rsidR="00F33074">
        <w:t>sub</w:t>
      </w:r>
      <w:r w:rsidR="00F33074">
        <w:noBreakHyphen/>
        <w:t>sector</w:t>
      </w:r>
      <w:r w:rsidR="004300EA">
        <w:t xml:space="preserve">, given the benefits they receive from </w:t>
      </w:r>
      <w:r w:rsidR="00C00D03">
        <w:t>ASIC’s activities in maintaining integrity and trust in the industry and deterring competition from those engaging in misconduct</w:t>
      </w:r>
      <w:r w:rsidR="000D2BF2">
        <w:t xml:space="preserve">. </w:t>
      </w:r>
      <w:r w:rsidR="00BB722C">
        <w:t xml:space="preserve">The recovery of enforcement costs </w:t>
      </w:r>
      <w:r w:rsidR="00B9631C">
        <w:t xml:space="preserve">is </w:t>
      </w:r>
      <w:r w:rsidR="00CF1C47">
        <w:t xml:space="preserve">also </w:t>
      </w:r>
      <w:r w:rsidR="00B9631C">
        <w:t>important in</w:t>
      </w:r>
      <w:r w:rsidR="00CF1C47">
        <w:t xml:space="preserve"> align</w:t>
      </w:r>
      <w:r w:rsidR="00B9631C">
        <w:t>ing</w:t>
      </w:r>
      <w:r w:rsidR="00CF1C47">
        <w:t xml:space="preserve"> incentives, </w:t>
      </w:r>
      <w:r w:rsidR="00B9631C">
        <w:t xml:space="preserve">by imposing a price signal </w:t>
      </w:r>
      <w:r w:rsidR="00991707">
        <w:t>for misconduct</w:t>
      </w:r>
      <w:r w:rsidR="00B9631C">
        <w:t xml:space="preserve"> to encourage compliance.</w:t>
      </w:r>
      <w:r w:rsidR="000D2BF2">
        <w:t xml:space="preserve"> </w:t>
      </w:r>
    </w:p>
    <w:p w14:paraId="710DF1C1" w14:textId="13A223D2" w:rsidR="00AE28FD" w:rsidRDefault="005348D2" w:rsidP="00360713">
      <w:r>
        <w:t xml:space="preserve">While </w:t>
      </w:r>
      <w:r w:rsidR="00881930">
        <w:t xml:space="preserve">this </w:t>
      </w:r>
      <w:r w:rsidR="00E75840">
        <w:t>R</w:t>
      </w:r>
      <w:r w:rsidR="00881930">
        <w:t xml:space="preserve">eview does not consider </w:t>
      </w:r>
      <w:r w:rsidR="005859A7">
        <w:t>government funding of ASIC’s enforcement costs to be</w:t>
      </w:r>
      <w:r>
        <w:t xml:space="preserve"> a</w:t>
      </w:r>
      <w:r w:rsidR="00392B89">
        <w:t xml:space="preserve"> viable</w:t>
      </w:r>
      <w:r>
        <w:t xml:space="preserve"> option</w:t>
      </w:r>
      <w:r w:rsidR="0000127A">
        <w:t xml:space="preserve"> for these reasons</w:t>
      </w:r>
      <w:r>
        <w:t xml:space="preserve">, </w:t>
      </w:r>
      <w:r w:rsidR="00392B89">
        <w:t xml:space="preserve">it will consider </w:t>
      </w:r>
      <w:r w:rsidR="0000127A">
        <w:t xml:space="preserve">how the recovery of enforcement costs could be improved and </w:t>
      </w:r>
      <w:r w:rsidR="00392B89">
        <w:t>ways to address some of the challenges that arise from the recovery of enforcement costs</w:t>
      </w:r>
      <w:r>
        <w:t xml:space="preserve">.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883F8B" w14:paraId="1F7A64DD" w14:textId="77777777" w:rsidTr="0006718A">
        <w:tc>
          <w:tcPr>
            <w:tcW w:w="5000" w:type="pct"/>
            <w:shd w:val="clear" w:color="auto" w:fill="EEEEEE" w:themeFill="background2"/>
          </w:tcPr>
          <w:p w14:paraId="63B2117D" w14:textId="77777777" w:rsidR="00883F8B" w:rsidRPr="000D1284" w:rsidRDefault="00883F8B" w:rsidP="001E6383">
            <w:pPr>
              <w:pStyle w:val="BoxHeading"/>
              <w:numPr>
                <w:ilvl w:val="0"/>
                <w:numId w:val="0"/>
              </w:numPr>
              <w:spacing w:before="120"/>
            </w:pPr>
            <w:r>
              <w:t>Questions</w:t>
            </w:r>
          </w:p>
          <w:p w14:paraId="63FC9C6D" w14:textId="0268BE4A" w:rsidR="00540F5D" w:rsidRDefault="0012202E" w:rsidP="009114BE">
            <w:pPr>
              <w:pStyle w:val="OutlineNumbered1"/>
              <w:numPr>
                <w:ilvl w:val="0"/>
                <w:numId w:val="40"/>
              </w:numPr>
            </w:pPr>
            <w:r>
              <w:t xml:space="preserve">How can </w:t>
            </w:r>
            <w:r w:rsidR="00495AD0">
              <w:t xml:space="preserve">costs associated with enforcement </w:t>
            </w:r>
            <w:r w:rsidR="00F53EDA">
              <w:t>activity be recovered most equitably? What changes could be made to the current approach, and what benefits would they provide?</w:t>
            </w:r>
          </w:p>
          <w:p w14:paraId="610888F1" w14:textId="5CBC1D82" w:rsidR="007A5655" w:rsidRPr="000D1284" w:rsidRDefault="007A5655" w:rsidP="009114BE">
            <w:pPr>
              <w:pStyle w:val="OutlineNumbered1"/>
              <w:numPr>
                <w:ilvl w:val="0"/>
                <w:numId w:val="40"/>
              </w:numPr>
            </w:pPr>
            <w:r>
              <w:t>Are there opportunities to improve the transparency and reporting of enforcement costs? If so, what changes could be made and what benefits would they provide?</w:t>
            </w:r>
          </w:p>
        </w:tc>
      </w:tr>
    </w:tbl>
    <w:p w14:paraId="1C6B7E17" w14:textId="22BD7674" w:rsidR="00806F17" w:rsidRDefault="00806F17" w:rsidP="00806F17">
      <w:pPr>
        <w:pStyle w:val="Heading3"/>
      </w:pPr>
      <w:bookmarkStart w:id="43" w:name="_Toc109834325"/>
      <w:bookmarkStart w:id="44" w:name="_Toc114214418"/>
      <w:bookmarkStart w:id="45" w:name="_Toc109834324"/>
      <w:r>
        <w:t>Unlicenced conduct</w:t>
      </w:r>
      <w:bookmarkEnd w:id="43"/>
      <w:bookmarkEnd w:id="44"/>
    </w:p>
    <w:p w14:paraId="62D1048E" w14:textId="10AF735B" w:rsidR="00806F17" w:rsidRPr="00F56A58" w:rsidRDefault="005C3DB1" w:rsidP="00806F17">
      <w:pPr>
        <w:rPr>
          <w:rFonts w:cs="Calibri Light"/>
        </w:rPr>
      </w:pPr>
      <w:r>
        <w:rPr>
          <w:rFonts w:cs="Calibri Light"/>
        </w:rPr>
        <w:t xml:space="preserve">ASIC takes action in relation to </w:t>
      </w:r>
      <w:r w:rsidR="00E661B9">
        <w:rPr>
          <w:rFonts w:cs="Calibri Light"/>
        </w:rPr>
        <w:t>illegal</w:t>
      </w:r>
      <w:r>
        <w:rPr>
          <w:rFonts w:cs="Calibri Light"/>
        </w:rPr>
        <w:t xml:space="preserve"> u</w:t>
      </w:r>
      <w:r w:rsidR="00806F17" w:rsidRPr="00F56A58">
        <w:rPr>
          <w:rFonts w:cs="Calibri Light"/>
        </w:rPr>
        <w:t xml:space="preserve">nlicensed conduct within the financial </w:t>
      </w:r>
      <w:r w:rsidR="00236BC2">
        <w:rPr>
          <w:rFonts w:cs="Calibri Light"/>
        </w:rPr>
        <w:t>system</w:t>
      </w:r>
      <w:r w:rsidR="00806F17" w:rsidRPr="00F56A58">
        <w:rPr>
          <w:rFonts w:cs="Calibri Light"/>
        </w:rPr>
        <w:t xml:space="preserve">. Unlicensed operators are not registered with ASIC and generally have not paid registration </w:t>
      </w:r>
      <w:r w:rsidR="00A82415" w:rsidRPr="00F56A58">
        <w:rPr>
          <w:rFonts w:cs="Calibri Light"/>
        </w:rPr>
        <w:t>fees,</w:t>
      </w:r>
      <w:r w:rsidR="00806F17" w:rsidRPr="00F56A58">
        <w:rPr>
          <w:rFonts w:cs="Calibri Light"/>
        </w:rPr>
        <w:t xml:space="preserve"> nor do they pay annual levies. Nevertheless, </w:t>
      </w:r>
      <w:r w:rsidR="00A96D91" w:rsidRPr="00F56A58">
        <w:rPr>
          <w:rFonts w:cs="Calibri Light"/>
        </w:rPr>
        <w:t xml:space="preserve">ASIC incurs costs </w:t>
      </w:r>
      <w:r w:rsidR="00A96D91">
        <w:t>in identifying, preventing and sanctioning unlicensed conduct</w:t>
      </w:r>
      <w:r w:rsidR="00806F17" w:rsidRPr="00F56A58">
        <w:rPr>
          <w:rFonts w:cs="Calibri Light"/>
        </w:rPr>
        <w:t xml:space="preserve">. </w:t>
      </w:r>
      <w:r>
        <w:rPr>
          <w:rFonts w:cs="Calibri Light"/>
        </w:rPr>
        <w:t>T</w:t>
      </w:r>
      <w:r w:rsidR="00806F17" w:rsidRPr="00F56A58">
        <w:rPr>
          <w:rFonts w:cs="Calibri Light"/>
        </w:rPr>
        <w:t xml:space="preserve">hese costs </w:t>
      </w:r>
      <w:r>
        <w:rPr>
          <w:rFonts w:cs="Calibri Light"/>
        </w:rPr>
        <w:t>are</w:t>
      </w:r>
      <w:r w:rsidR="00806F17" w:rsidRPr="00F56A58">
        <w:rPr>
          <w:rFonts w:cs="Calibri Light"/>
        </w:rPr>
        <w:t xml:space="preserve"> recover</w:t>
      </w:r>
      <w:r>
        <w:rPr>
          <w:rFonts w:cs="Calibri Light"/>
        </w:rPr>
        <w:t>ed</w:t>
      </w:r>
      <w:r w:rsidR="00806F17" w:rsidRPr="00F56A58" w:rsidDel="005C3DB1">
        <w:rPr>
          <w:rFonts w:cs="Calibri Light"/>
        </w:rPr>
        <w:t xml:space="preserve"> </w:t>
      </w:r>
      <w:r w:rsidR="00806F17" w:rsidRPr="00F56A58">
        <w:rPr>
          <w:rFonts w:cs="Calibri Light"/>
        </w:rPr>
        <w:t xml:space="preserve">from the most ‘relevant’ </w:t>
      </w:r>
      <w:r w:rsidR="00F33074">
        <w:rPr>
          <w:rFonts w:cs="Calibri Light"/>
        </w:rPr>
        <w:t>sub</w:t>
      </w:r>
      <w:r w:rsidR="00F33074">
        <w:rPr>
          <w:rFonts w:cs="Calibri Light"/>
        </w:rPr>
        <w:noBreakHyphen/>
        <w:t>sector</w:t>
      </w:r>
      <w:r w:rsidR="00806F17" w:rsidRPr="00F56A58">
        <w:rPr>
          <w:rFonts w:cs="Calibri Light"/>
        </w:rPr>
        <w:t xml:space="preserve"> via levies; for </w:t>
      </w:r>
      <w:r w:rsidR="004C531F" w:rsidRPr="00F56A58">
        <w:rPr>
          <w:rFonts w:cs="Calibri Light"/>
        </w:rPr>
        <w:t>example,</w:t>
      </w:r>
      <w:r w:rsidR="00806F17" w:rsidRPr="00F56A58">
        <w:rPr>
          <w:rFonts w:cs="Calibri Light"/>
        </w:rPr>
        <w:t xml:space="preserve"> regulatory activity relating to an unlicensed financial adviser would be recovered from the financial advice </w:t>
      </w:r>
      <w:r w:rsidR="00F33074">
        <w:rPr>
          <w:rFonts w:cs="Calibri Light"/>
        </w:rPr>
        <w:t>sub</w:t>
      </w:r>
      <w:r w:rsidR="00F33074">
        <w:rPr>
          <w:rFonts w:cs="Calibri Light"/>
        </w:rPr>
        <w:noBreakHyphen/>
        <w:t>sector</w:t>
      </w:r>
      <w:r w:rsidR="00806F17" w:rsidRPr="00F56A58">
        <w:rPr>
          <w:rFonts w:cs="Calibri Light"/>
        </w:rPr>
        <w:t>.</w:t>
      </w:r>
      <w:r w:rsidR="00DD23A4">
        <w:rPr>
          <w:rFonts w:cs="Calibri Light"/>
        </w:rPr>
        <w:t xml:space="preserve"> </w:t>
      </w:r>
    </w:p>
    <w:p w14:paraId="6DA97807" w14:textId="2088D07E" w:rsidR="00806F17" w:rsidRPr="00970A37" w:rsidRDefault="00D962F7" w:rsidP="00806F17">
      <w:r w:rsidRPr="00D962F7">
        <w:rPr>
          <w:rFonts w:cs="Calibri Light"/>
        </w:rPr>
        <w:t xml:space="preserve">ASIC action in relation to unlicensed conduct in a </w:t>
      </w:r>
      <w:r w:rsidR="00F33074">
        <w:rPr>
          <w:rFonts w:cs="Calibri Light"/>
        </w:rPr>
        <w:t>sub</w:t>
      </w:r>
      <w:r w:rsidR="00F33074">
        <w:rPr>
          <w:rFonts w:cs="Calibri Light"/>
        </w:rPr>
        <w:noBreakHyphen/>
        <w:t>sector</w:t>
      </w:r>
      <w:r w:rsidRPr="00D962F7">
        <w:rPr>
          <w:rFonts w:cs="Calibri Light"/>
        </w:rPr>
        <w:t xml:space="preserve"> is in the interests of the licensed participants in that </w:t>
      </w:r>
      <w:r w:rsidR="00F33074">
        <w:rPr>
          <w:rFonts w:cs="Calibri Light"/>
        </w:rPr>
        <w:t>sub</w:t>
      </w:r>
      <w:r w:rsidR="00F33074">
        <w:rPr>
          <w:rFonts w:cs="Calibri Light"/>
        </w:rPr>
        <w:noBreakHyphen/>
        <w:t>sector</w:t>
      </w:r>
      <w:r w:rsidRPr="00D962F7">
        <w:rPr>
          <w:rFonts w:cs="Calibri Light"/>
        </w:rPr>
        <w:t xml:space="preserve"> because it maintains integrity and trust in the licensed </w:t>
      </w:r>
      <w:r w:rsidR="00F33074">
        <w:rPr>
          <w:rFonts w:cs="Calibri Light"/>
        </w:rPr>
        <w:t>sub</w:t>
      </w:r>
      <w:r w:rsidR="00F33074">
        <w:rPr>
          <w:rFonts w:cs="Calibri Light"/>
        </w:rPr>
        <w:noBreakHyphen/>
        <w:t>sector</w:t>
      </w:r>
      <w:r w:rsidRPr="00D962F7">
        <w:rPr>
          <w:rFonts w:cs="Calibri Light"/>
        </w:rPr>
        <w:t xml:space="preserve"> and </w:t>
      </w:r>
      <w:r w:rsidRPr="00D962F7">
        <w:rPr>
          <w:rFonts w:cs="Calibri Light"/>
        </w:rPr>
        <w:lastRenderedPageBreak/>
        <w:t>deters competition from unlicensed and unregulated competitors.</w:t>
      </w:r>
      <w:r w:rsidR="00104D28">
        <w:rPr>
          <w:rFonts w:cs="Calibri Light"/>
        </w:rPr>
        <w:t xml:space="preserve"> </w:t>
      </w:r>
      <w:r w:rsidR="00E661B9">
        <w:rPr>
          <w:rFonts w:cs="Calibri Light"/>
        </w:rPr>
        <w:t>Where an enforcement matter relates to unlicensed conduct, costs of that enforcement matter are allocated to the relevant licensed population. This population benefits from ASIC’s action to ensure that only licensed participants are providing services.</w:t>
      </w:r>
      <w:r w:rsidR="00104D28">
        <w:rPr>
          <w:rFonts w:cs="Calibri Light"/>
        </w:rPr>
        <w:t xml:space="preserve"> </w:t>
      </w:r>
      <w:r w:rsidR="00806F17" w:rsidRPr="00F56A58">
        <w:rPr>
          <w:rFonts w:cs="Calibri Light"/>
        </w:rPr>
        <w:t xml:space="preserve">Industry stakeholders </w:t>
      </w:r>
      <w:r w:rsidR="00DF4796">
        <w:rPr>
          <w:rFonts w:cs="Calibri Light"/>
        </w:rPr>
        <w:t>in</w:t>
      </w:r>
      <w:r w:rsidR="00806F17">
        <w:rPr>
          <w:rFonts w:cs="Calibri Light"/>
        </w:rPr>
        <w:t xml:space="preserve"> previous consultation have been </w:t>
      </w:r>
      <w:r w:rsidR="00806F17" w:rsidRPr="00F56A58">
        <w:rPr>
          <w:rFonts w:cs="Calibri Light"/>
        </w:rPr>
        <w:t>less convinced of the benefit</w:t>
      </w:r>
      <w:r w:rsidR="008753BC">
        <w:rPr>
          <w:rFonts w:cs="Calibri Light"/>
        </w:rPr>
        <w:t xml:space="preserve"> received.</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806F17" w14:paraId="3E27C9FC" w14:textId="77777777" w:rsidTr="00130537">
        <w:tc>
          <w:tcPr>
            <w:tcW w:w="5000" w:type="pct"/>
            <w:shd w:val="clear" w:color="auto" w:fill="EEEEEE" w:themeFill="background2"/>
          </w:tcPr>
          <w:p w14:paraId="196EA1AD" w14:textId="4C42FDC6" w:rsidR="00806F17" w:rsidRPr="000D1284" w:rsidRDefault="00806F17" w:rsidP="001E6383">
            <w:pPr>
              <w:pStyle w:val="BoxHeading"/>
              <w:numPr>
                <w:ilvl w:val="0"/>
                <w:numId w:val="0"/>
              </w:numPr>
              <w:spacing w:before="120"/>
            </w:pPr>
            <w:r>
              <w:t xml:space="preserve">Questions </w:t>
            </w:r>
          </w:p>
          <w:p w14:paraId="58CCA6CC" w14:textId="418C8036" w:rsidR="00806F17" w:rsidRPr="000D1284" w:rsidRDefault="00806F17" w:rsidP="009114BE">
            <w:pPr>
              <w:pStyle w:val="OutlineNumbered1"/>
              <w:numPr>
                <w:ilvl w:val="0"/>
                <w:numId w:val="40"/>
              </w:numPr>
            </w:pPr>
            <w:r>
              <w:t xml:space="preserve">Is the approach of attributing costs of </w:t>
            </w:r>
            <w:r w:rsidR="00534608">
              <w:t xml:space="preserve">illegal </w:t>
            </w:r>
            <w:r>
              <w:t xml:space="preserve">unlicensed </w:t>
            </w:r>
            <w:r w:rsidR="00534608">
              <w:t>conduct</w:t>
            </w:r>
            <w:r>
              <w:t xml:space="preserve"> to the most ‘relevant’ </w:t>
            </w:r>
            <w:r w:rsidR="00F33074">
              <w:t>sub</w:t>
            </w:r>
            <w:r w:rsidR="00F33074">
              <w:noBreakHyphen/>
              <w:t>sector</w:t>
            </w:r>
            <w:r>
              <w:t xml:space="preserve"> </w:t>
            </w:r>
            <w:r w:rsidR="00D11D03">
              <w:t>the most appropriate recovery method?</w:t>
            </w:r>
            <w:r w:rsidDel="00D11D03">
              <w:t xml:space="preserve"> </w:t>
            </w:r>
            <w:r>
              <w:t xml:space="preserve">Alternatively, </w:t>
            </w:r>
            <w:r w:rsidR="00970A37">
              <w:t>how</w:t>
            </w:r>
            <w:r>
              <w:t xml:space="preserve"> should the</w:t>
            </w:r>
            <w:r w:rsidR="00970A37">
              <w:t>se</w:t>
            </w:r>
            <w:r>
              <w:t xml:space="preserve"> costs be recovered</w:t>
            </w:r>
            <w:r w:rsidR="00970A37">
              <w:t>,</w:t>
            </w:r>
            <w:r w:rsidR="00E80DAC">
              <w:t xml:space="preserve"> and why</w:t>
            </w:r>
            <w:r>
              <w:t>?</w:t>
            </w:r>
          </w:p>
        </w:tc>
      </w:tr>
    </w:tbl>
    <w:p w14:paraId="177C9547" w14:textId="3C3B7C06" w:rsidR="00806F17" w:rsidRDefault="00806F17" w:rsidP="00806F17">
      <w:pPr>
        <w:pStyle w:val="Heading3"/>
      </w:pPr>
      <w:bookmarkStart w:id="46" w:name="_Toc109834326"/>
      <w:bookmarkStart w:id="47" w:name="_Toc114214419"/>
      <w:r>
        <w:t xml:space="preserve">Emerging </w:t>
      </w:r>
      <w:r w:rsidR="006D64F6">
        <w:t>industry</w:t>
      </w:r>
      <w:r>
        <w:t xml:space="preserve"> sectors </w:t>
      </w:r>
      <w:bookmarkEnd w:id="46"/>
      <w:r w:rsidR="009F06CE">
        <w:t>and providers</w:t>
      </w:r>
      <w:bookmarkEnd w:id="47"/>
      <w:r>
        <w:t xml:space="preserve"> </w:t>
      </w:r>
    </w:p>
    <w:p w14:paraId="107C92E4" w14:textId="3BB33C07" w:rsidR="00A13064" w:rsidRDefault="00014BB1" w:rsidP="00806F17">
      <w:r>
        <w:t>Over the life of the IFM, t</w:t>
      </w:r>
      <w:r w:rsidR="00B747E2">
        <w:t xml:space="preserve">he </w:t>
      </w:r>
      <w:r>
        <w:t>G</w:t>
      </w:r>
      <w:r w:rsidR="00B747E2">
        <w:t xml:space="preserve">overnment has made changes to introduce new </w:t>
      </w:r>
      <w:r w:rsidR="00F33074">
        <w:t>sub</w:t>
      </w:r>
      <w:r w:rsidR="00F33074">
        <w:noBreakHyphen/>
      </w:r>
      <w:r w:rsidR="00527197">
        <w:t>sector</w:t>
      </w:r>
      <w:r w:rsidR="00B747E2">
        <w:t>s in response to changes in the regulated population</w:t>
      </w:r>
      <w:r w:rsidR="008A1C41">
        <w:t>.</w:t>
      </w:r>
      <w:r w:rsidR="00813EB1">
        <w:t xml:space="preserve"> </w:t>
      </w:r>
      <w:r w:rsidR="00B747E2">
        <w:t>This</w:t>
      </w:r>
      <w:r w:rsidR="00E759CD">
        <w:t xml:space="preserve"> is an issue considered by </w:t>
      </w:r>
      <w:r w:rsidR="00C77C3B">
        <w:t xml:space="preserve">the </w:t>
      </w:r>
      <w:r w:rsidR="00E759CD">
        <w:t xml:space="preserve">Government when considering </w:t>
      </w:r>
      <w:r w:rsidR="00B747E2">
        <w:t xml:space="preserve">any </w:t>
      </w:r>
      <w:r w:rsidR="00E759CD">
        <w:t xml:space="preserve">change to </w:t>
      </w:r>
      <w:r w:rsidR="00A303E4">
        <w:t>ASIC’s regulatory responsibilities.</w:t>
      </w:r>
    </w:p>
    <w:p w14:paraId="2EDB4586" w14:textId="6612B29B" w:rsidR="000D2466" w:rsidRDefault="000D2466" w:rsidP="000D2466">
      <w:r>
        <w:t xml:space="preserve">However, as part of its regulatory function, ASIC must necessarily undertake regulatory activities in respect of products and providers that are subject to a regulatory exemption or are at the regulatory perimeter. This perimeter refers to activities, which are often novel such as </w:t>
      </w:r>
      <w:r w:rsidR="00445B57">
        <w:t>c</w:t>
      </w:r>
      <w:r>
        <w:t>rypto</w:t>
      </w:r>
      <w:r w:rsidR="007A74FB">
        <w:t xml:space="preserve"> </w:t>
      </w:r>
      <w:r>
        <w:t>assets and buy now pay later (BNPL), that do not sit within the existing system of licensing, registration</w:t>
      </w:r>
      <w:r w:rsidR="00467BB4">
        <w:t>,</w:t>
      </w:r>
      <w:r>
        <w:t xml:space="preserve"> and supervision.</w:t>
      </w:r>
    </w:p>
    <w:p w14:paraId="5F1239C3" w14:textId="4836DB3E" w:rsidR="00A510C0" w:rsidRDefault="000D2466" w:rsidP="00A510C0">
      <w:r>
        <w:t>This regulatory work supports ASIC’s responsibility, alongside Government, to maintain Australia’s regulatory framework for financial services</w:t>
      </w:r>
      <w:r w:rsidR="00D260E8">
        <w:t xml:space="preserve"> </w:t>
      </w:r>
      <w:r w:rsidR="00326C50">
        <w:t>and</w:t>
      </w:r>
      <w:r>
        <w:t xml:space="preserve"> ensure the integrity of the system overall.</w:t>
      </w:r>
      <w:r w:rsidR="00D260E8">
        <w:t xml:space="preserve"> </w:t>
      </w:r>
      <w:r w:rsidR="00A510C0">
        <w:t xml:space="preserve">Regulatory costs associated with this work are, under the current IFM settings, recovered from entities within existing </w:t>
      </w:r>
      <w:r w:rsidR="00F33074">
        <w:t>sub</w:t>
      </w:r>
      <w:r w:rsidR="00F33074">
        <w:noBreakHyphen/>
      </w:r>
      <w:r w:rsidR="00A510C0">
        <w:t xml:space="preserve">sectors, which are already licensed and regulated. </w:t>
      </w:r>
    </w:p>
    <w:p w14:paraId="04A4E98C" w14:textId="18923820" w:rsidR="000D2466" w:rsidRPr="003777C0" w:rsidRDefault="000D2466" w:rsidP="00474C89">
      <w:r>
        <w:t xml:space="preserve">Industry stakeholders have expressed some uncertainty and concern </w:t>
      </w:r>
      <w:r w:rsidR="00E93683">
        <w:t>regarding</w:t>
      </w:r>
      <w:r>
        <w:t xml:space="preserve"> the recovery of ASIC’s costs relating to emerging providers and products, which are not explicitly captured by the existing IFM </w:t>
      </w:r>
      <w:r w:rsidR="00F33074">
        <w:t>sub</w:t>
      </w:r>
      <w:r w:rsidR="00F33074">
        <w:noBreakHyphen/>
      </w:r>
      <w:r>
        <w:t xml:space="preserve">sectors. ASIC’s activity relating to BNPL and </w:t>
      </w:r>
      <w:r w:rsidR="001205BE">
        <w:t>crypto</w:t>
      </w:r>
      <w:r w:rsidR="0014449A">
        <w:t xml:space="preserve"> </w:t>
      </w:r>
      <w:r w:rsidR="001205BE">
        <w:t xml:space="preserve">assets </w:t>
      </w:r>
      <w:r>
        <w:t xml:space="preserve">were the most prominent examples raised by stakeholders.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806F17" w14:paraId="477562C6" w14:textId="77777777" w:rsidTr="2A15061C">
        <w:tc>
          <w:tcPr>
            <w:tcW w:w="5000" w:type="pct"/>
            <w:shd w:val="clear" w:color="auto" w:fill="EEEEEE" w:themeFill="background2"/>
          </w:tcPr>
          <w:p w14:paraId="64E7EC0C" w14:textId="05E53B49" w:rsidR="00806F17" w:rsidRPr="000D1284" w:rsidRDefault="00806F17" w:rsidP="001E6383">
            <w:pPr>
              <w:pStyle w:val="BoxHeading"/>
              <w:numPr>
                <w:ilvl w:val="0"/>
                <w:numId w:val="0"/>
              </w:numPr>
              <w:spacing w:before="120"/>
            </w:pPr>
            <w:r>
              <w:t xml:space="preserve">Questions </w:t>
            </w:r>
          </w:p>
          <w:p w14:paraId="276421E7" w14:textId="6585D91E" w:rsidR="00806F17" w:rsidRPr="000D1284" w:rsidRDefault="00DD3C2F" w:rsidP="009114BE">
            <w:pPr>
              <w:pStyle w:val="OutlineNumbered1"/>
              <w:numPr>
                <w:ilvl w:val="0"/>
                <w:numId w:val="40"/>
              </w:numPr>
            </w:pPr>
            <w:r>
              <w:t>Are there alternative ways</w:t>
            </w:r>
            <w:r w:rsidR="342DC2D4">
              <w:t xml:space="preserve"> to </w:t>
            </w:r>
            <w:r w:rsidR="00C612AF">
              <w:t xml:space="preserve">recover the </w:t>
            </w:r>
            <w:r w:rsidR="342DC2D4">
              <w:t>costs</w:t>
            </w:r>
            <w:r w:rsidR="00C612AF">
              <w:t xml:space="preserve"> of ASIC’s activity relating to </w:t>
            </w:r>
            <w:r w:rsidR="342DC2D4">
              <w:t xml:space="preserve">emerging sectors </w:t>
            </w:r>
            <w:r w:rsidR="1661267A">
              <w:t>and legal unlicensed conduct</w:t>
            </w:r>
            <w:r w:rsidR="342DC2D4">
              <w:t xml:space="preserve"> </w:t>
            </w:r>
            <w:r w:rsidR="00C612AF">
              <w:t xml:space="preserve">from current industry </w:t>
            </w:r>
            <w:r w:rsidR="00F33074">
              <w:t>sub</w:t>
            </w:r>
            <w:r w:rsidR="00F33074">
              <w:noBreakHyphen/>
            </w:r>
            <w:r w:rsidR="00C612AF">
              <w:t>sectors</w:t>
            </w:r>
            <w:r w:rsidR="55B76110">
              <w:t>,</w:t>
            </w:r>
            <w:r w:rsidR="2BC8BD68">
              <w:t xml:space="preserve"> and </w:t>
            </w:r>
            <w:r w:rsidR="42D6DAC8">
              <w:t>why</w:t>
            </w:r>
            <w:r w:rsidR="342DC2D4">
              <w:t>?</w:t>
            </w:r>
          </w:p>
        </w:tc>
      </w:tr>
    </w:tbl>
    <w:p w14:paraId="357C278F" w14:textId="41B028B1" w:rsidR="00883F8B" w:rsidRDefault="00883F8B" w:rsidP="00883F8B">
      <w:pPr>
        <w:pStyle w:val="Heading3"/>
      </w:pPr>
      <w:bookmarkStart w:id="48" w:name="_Toc114214420"/>
      <w:r>
        <w:t>Capital expenditure</w:t>
      </w:r>
      <w:bookmarkEnd w:id="45"/>
      <w:bookmarkEnd w:id="48"/>
    </w:p>
    <w:p w14:paraId="1071E39E" w14:textId="215992CB" w:rsidR="008A0564" w:rsidRPr="00DD5039" w:rsidRDefault="004B03E4" w:rsidP="00A35E10">
      <w:r>
        <w:t>ASIC allocates its c</w:t>
      </w:r>
      <w:r w:rsidR="008A0564" w:rsidRPr="00483D6F">
        <w:t xml:space="preserve">apital expenditure to </w:t>
      </w:r>
      <w:r w:rsidR="00F33074">
        <w:t>sub</w:t>
      </w:r>
      <w:r w:rsidR="00F33074">
        <w:noBreakHyphen/>
      </w:r>
      <w:r w:rsidR="008A0564" w:rsidRPr="00483D6F">
        <w:t xml:space="preserve">sectors on a case-by-case basis determined by how many </w:t>
      </w:r>
      <w:r w:rsidR="00F33074">
        <w:t>sub</w:t>
      </w:r>
      <w:r w:rsidR="00F33074">
        <w:noBreakHyphen/>
      </w:r>
      <w:r w:rsidR="00527197">
        <w:t>sector</w:t>
      </w:r>
      <w:r w:rsidR="008A0564" w:rsidRPr="00483D6F">
        <w:t xml:space="preserve">s the investment impacts. Certain projects will be recovered from the entire regulated population, with others recovered from a specific subset of </w:t>
      </w:r>
      <w:r w:rsidR="00F33074">
        <w:t>sub</w:t>
      </w:r>
      <w:r w:rsidR="00F33074">
        <w:noBreakHyphen/>
      </w:r>
      <w:r w:rsidR="00527197">
        <w:t>sector</w:t>
      </w:r>
      <w:r w:rsidR="008A0564" w:rsidRPr="00483D6F">
        <w:t>s.</w:t>
      </w:r>
    </w:p>
    <w:p w14:paraId="5D6969AD" w14:textId="2D43E00E" w:rsidR="007C4146" w:rsidRDefault="00CA3B02" w:rsidP="005A3B86">
      <w:r w:rsidRPr="00FE087A">
        <w:t>The recovery of capital expenditure occurs in the year in which the investment is made</w:t>
      </w:r>
      <w:r w:rsidR="00875F16">
        <w:t xml:space="preserve"> </w:t>
      </w:r>
      <w:r w:rsidR="008A0564">
        <w:t xml:space="preserve">which </w:t>
      </w:r>
      <w:r>
        <w:t>means the regulated population in that year bears the cost of investment, despit</w:t>
      </w:r>
      <w:r w:rsidR="006F0858">
        <w:t xml:space="preserve">e </w:t>
      </w:r>
      <w:r w:rsidR="00875F16">
        <w:t>asset</w:t>
      </w:r>
      <w:r w:rsidR="008A0564">
        <w:t>s</w:t>
      </w:r>
      <w:r w:rsidR="00875F16">
        <w:t xml:space="preserve"> having a useful life</w:t>
      </w:r>
      <w:r w:rsidR="00214548">
        <w:t xml:space="preserve"> </w:t>
      </w:r>
      <w:r w:rsidR="007063B6">
        <w:t>over multiple years</w:t>
      </w:r>
      <w:r w:rsidR="00875F16">
        <w:t xml:space="preserve"> and benefiting </w:t>
      </w:r>
      <w:r w:rsidR="006F0858">
        <w:t xml:space="preserve">future regulated </w:t>
      </w:r>
      <w:r w:rsidR="00875F16">
        <w:t>populations</w:t>
      </w:r>
      <w:r w:rsidR="008A0564">
        <w:t>.</w:t>
      </w:r>
      <w:r w:rsidR="0018450C">
        <w:t xml:space="preserve"> </w:t>
      </w:r>
      <w:r w:rsidR="00D63B05">
        <w:t>Some o</w:t>
      </w:r>
      <w:r w:rsidR="001333C8">
        <w:t xml:space="preserve">ther cost recovery models take a different approach, by recovering </w:t>
      </w:r>
      <w:r w:rsidR="00346D62">
        <w:t xml:space="preserve">capital expenditure over the life of </w:t>
      </w:r>
      <w:r w:rsidR="00C879DA">
        <w:t xml:space="preserve">an </w:t>
      </w:r>
      <w:r w:rsidR="00346D62">
        <w:t>asset</w:t>
      </w:r>
      <w:r w:rsidR="0067334C">
        <w:t>.</w:t>
      </w:r>
      <w:r w:rsidR="0067334C" w:rsidDel="0067334C">
        <w:rPr>
          <w:rStyle w:val="CommentReference"/>
        </w:rPr>
        <w:t xml:space="preserve">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883F8B" w14:paraId="41246493" w14:textId="77777777" w:rsidTr="56114373">
        <w:tc>
          <w:tcPr>
            <w:tcW w:w="5000" w:type="pct"/>
            <w:shd w:val="clear" w:color="auto" w:fill="EEEEEE" w:themeFill="background2"/>
          </w:tcPr>
          <w:p w14:paraId="7CC7ADB3" w14:textId="6BD44240" w:rsidR="00883F8B" w:rsidRPr="000D1284" w:rsidRDefault="00883F8B" w:rsidP="001E6383">
            <w:pPr>
              <w:pStyle w:val="BoxHeading"/>
              <w:numPr>
                <w:ilvl w:val="0"/>
                <w:numId w:val="0"/>
              </w:numPr>
              <w:spacing w:before="120"/>
            </w:pPr>
            <w:r>
              <w:lastRenderedPageBreak/>
              <w:t>Questions</w:t>
            </w:r>
          </w:p>
          <w:p w14:paraId="5A2B107D" w14:textId="28DE9885" w:rsidR="00883F8B" w:rsidRPr="000D1284" w:rsidRDefault="00133A13" w:rsidP="009114BE">
            <w:pPr>
              <w:pStyle w:val="OutlineNumbered1"/>
              <w:numPr>
                <w:ilvl w:val="0"/>
                <w:numId w:val="40"/>
              </w:numPr>
            </w:pPr>
            <w:r>
              <w:t>How can costs associated with capital expenditure be recovered most equitably and transparently? What changes could be made to the current approach, and what benefits would they provide?</w:t>
            </w:r>
          </w:p>
        </w:tc>
      </w:tr>
    </w:tbl>
    <w:p w14:paraId="5C0C605F" w14:textId="2EC3E579" w:rsidR="00883F8B" w:rsidRDefault="00883F8B" w:rsidP="00883F8B">
      <w:pPr>
        <w:pStyle w:val="Heading3"/>
      </w:pPr>
      <w:bookmarkStart w:id="49" w:name="_Toc109834327"/>
      <w:bookmarkStart w:id="50" w:name="_Toc114214421"/>
      <w:r>
        <w:t>The recovery of other regulatory activities</w:t>
      </w:r>
      <w:bookmarkEnd w:id="49"/>
      <w:r>
        <w:t xml:space="preserve"> </w:t>
      </w:r>
      <w:r w:rsidR="006606CD">
        <w:t>and indirect costs</w:t>
      </w:r>
      <w:bookmarkEnd w:id="50"/>
    </w:p>
    <w:p w14:paraId="4C60609B" w14:textId="456E3E25" w:rsidR="002A7D42" w:rsidRDefault="00883F8B" w:rsidP="00883F8B">
      <w:r>
        <w:t xml:space="preserve">Stakeholders </w:t>
      </w:r>
      <w:r w:rsidR="00014CD9">
        <w:t xml:space="preserve">have </w:t>
      </w:r>
      <w:r w:rsidR="00224EEB">
        <w:t xml:space="preserve">expressed </w:t>
      </w:r>
      <w:r w:rsidR="00B35244">
        <w:t xml:space="preserve">some </w:t>
      </w:r>
      <w:r w:rsidR="00224EEB">
        <w:t xml:space="preserve">concerns regarding the recovery of </w:t>
      </w:r>
      <w:r w:rsidR="00B35244">
        <w:t xml:space="preserve">costs associated with </w:t>
      </w:r>
      <w:r w:rsidR="0092397E">
        <w:t xml:space="preserve">ASIC’s </w:t>
      </w:r>
      <w:r>
        <w:t xml:space="preserve">education and policy advice </w:t>
      </w:r>
      <w:r w:rsidR="00CE5647">
        <w:t>activities</w:t>
      </w:r>
      <w:r w:rsidR="00224EEB">
        <w:t xml:space="preserve">. </w:t>
      </w:r>
      <w:r w:rsidR="00224EEB" w:rsidRPr="00224EEB">
        <w:t>Industry</w:t>
      </w:r>
      <w:r w:rsidR="00B35244">
        <w:t xml:space="preserve"> stakeholders </w:t>
      </w:r>
      <w:r w:rsidR="00224EEB" w:rsidRPr="00224EEB">
        <w:t xml:space="preserve">have argued they are not </w:t>
      </w:r>
      <w:r w:rsidR="00CE5647">
        <w:t xml:space="preserve">causing the need for this </w:t>
      </w:r>
      <w:r w:rsidR="00224EEB" w:rsidRPr="00224EEB">
        <w:t>regulatory effort</w:t>
      </w:r>
      <w:r w:rsidR="009809FF">
        <w:t>;</w:t>
      </w:r>
      <w:r w:rsidR="003918CF">
        <w:t xml:space="preserve"> the activities should be considered business as usual for an Australian Government body</w:t>
      </w:r>
      <w:r w:rsidR="009809FF">
        <w:t>;</w:t>
      </w:r>
      <w:r w:rsidR="00224EEB" w:rsidRPr="00224EEB">
        <w:t xml:space="preserve"> </w:t>
      </w:r>
      <w:r w:rsidR="00946DAD">
        <w:t>and industry</w:t>
      </w:r>
      <w:r w:rsidR="00224EEB" w:rsidRPr="00224EEB">
        <w:t xml:space="preserve"> do</w:t>
      </w:r>
      <w:r w:rsidR="009809FF">
        <w:t>es</w:t>
      </w:r>
      <w:r w:rsidR="00224EEB" w:rsidRPr="00224EEB">
        <w:t xml:space="preserve"> </w:t>
      </w:r>
      <w:r w:rsidR="00946DAD">
        <w:t>not</w:t>
      </w:r>
      <w:r w:rsidR="00224EEB" w:rsidRPr="00224EEB">
        <w:t xml:space="preserve"> receive the benefit of the activit</w:t>
      </w:r>
      <w:r w:rsidR="003918CF">
        <w:t>ies</w:t>
      </w:r>
      <w:r w:rsidR="00224EEB" w:rsidRPr="00224EEB">
        <w:t>.</w:t>
      </w:r>
      <w:r w:rsidR="003918CF">
        <w:t xml:space="preserve"> </w:t>
      </w:r>
    </w:p>
    <w:p w14:paraId="4C164AC5" w14:textId="241D0805" w:rsidR="007134BB" w:rsidRDefault="007134BB" w:rsidP="00883F8B">
      <w:r>
        <w:t xml:space="preserve">ASIC’s input into policy can help to ensure that new </w:t>
      </w:r>
      <w:r w:rsidR="008F27DB">
        <w:t xml:space="preserve">or amended </w:t>
      </w:r>
      <w:r>
        <w:t xml:space="preserve">regulatory arrangements can be administered and enforced as intended. Policy is also often made as a response to regulatory problems and issues across sectors or across the market. As such, </w:t>
      </w:r>
      <w:r w:rsidR="004367EB">
        <w:t xml:space="preserve">ASIC </w:t>
      </w:r>
      <w:r>
        <w:t>providing advice and support to Government policy development is a key part of ASIC’s regulatory work</w:t>
      </w:r>
      <w:r w:rsidR="004367EB">
        <w:t>.</w:t>
      </w:r>
    </w:p>
    <w:p w14:paraId="7834006B" w14:textId="19F62BF8" w:rsidR="00883F8B" w:rsidRDefault="0044216D" w:rsidP="00883F8B">
      <w:pPr>
        <w:rPr>
          <w:rFonts w:cs="Calibri Light"/>
        </w:rPr>
      </w:pPr>
      <w:r>
        <w:t>Stakeholder</w:t>
      </w:r>
      <w:r w:rsidR="009809FF">
        <w:t>s</w:t>
      </w:r>
      <w:r w:rsidR="000E37DF">
        <w:t xml:space="preserve"> </w:t>
      </w:r>
      <w:r w:rsidR="00F74839">
        <w:t xml:space="preserve">have </w:t>
      </w:r>
      <w:r w:rsidR="000E37DF">
        <w:t>also expressed confusion relating to the recovery of indirect costs</w:t>
      </w:r>
      <w:r w:rsidR="005053F4">
        <w:t xml:space="preserve"> and how the</w:t>
      </w:r>
      <w:r w:rsidR="00EB425B">
        <w:t xml:space="preserve">se costs are allocated </w:t>
      </w:r>
      <w:r w:rsidR="005053F4">
        <w:t xml:space="preserve">to </w:t>
      </w:r>
      <w:r w:rsidR="00F33074">
        <w:t>sub</w:t>
      </w:r>
      <w:r w:rsidR="00F33074">
        <w:noBreakHyphen/>
      </w:r>
      <w:r w:rsidR="00EB425B">
        <w:t>sectors and therefore impact levies.</w:t>
      </w:r>
      <w:r w:rsidR="005053F4">
        <w:t xml:space="preserve"> </w:t>
      </w:r>
      <w:r w:rsidR="005053F4" w:rsidRPr="0094760C">
        <w:t>Indirect costs</w:t>
      </w:r>
      <w:r w:rsidR="005053F4">
        <w:t xml:space="preserve"> relate to internal support activities that </w:t>
      </w:r>
      <w:r w:rsidR="005053F4" w:rsidRPr="0094760C">
        <w:t xml:space="preserve">are </w:t>
      </w:r>
      <w:r w:rsidR="005053F4">
        <w:t xml:space="preserve">essential to enable ASIC to perform its regulatory </w:t>
      </w:r>
      <w:r w:rsidR="00C61EED">
        <w:t>activities and</w:t>
      </w:r>
      <w:r w:rsidR="001B44A2">
        <w:t xml:space="preserve"> are allocated to </w:t>
      </w:r>
      <w:r w:rsidR="00F33074">
        <w:t>sub</w:t>
      </w:r>
      <w:r w:rsidR="00F33074">
        <w:noBreakHyphen/>
      </w:r>
      <w:r w:rsidR="001B44A2">
        <w:t xml:space="preserve">sectors based on </w:t>
      </w:r>
      <w:r w:rsidR="00520AA0">
        <w:t xml:space="preserve">ASIC’s </w:t>
      </w:r>
      <w:r w:rsidR="001B44A2">
        <w:t>analysis of support costs</w:t>
      </w:r>
      <w:r w:rsidR="0041732D">
        <w:t xml:space="preserve"> to determine </w:t>
      </w:r>
      <w:r w:rsidR="00FE1473">
        <w:t>its</w:t>
      </w:r>
      <w:r w:rsidR="002B6E79">
        <w:t xml:space="preserve"> proportion</w:t>
      </w:r>
      <w:r w:rsidR="00350735">
        <w:t>al effort across the regulated population</w:t>
      </w:r>
      <w:r w:rsidR="005053F4" w:rsidDel="0041732D">
        <w:t>.</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883F8B" w14:paraId="734BEF32" w14:textId="77777777" w:rsidTr="0006718A">
        <w:tc>
          <w:tcPr>
            <w:tcW w:w="5000" w:type="pct"/>
            <w:shd w:val="clear" w:color="auto" w:fill="EEEEEE" w:themeFill="background2"/>
          </w:tcPr>
          <w:p w14:paraId="7E010DA4" w14:textId="77777777" w:rsidR="00883F8B" w:rsidRPr="000D1284" w:rsidRDefault="00883F8B" w:rsidP="001E6383">
            <w:pPr>
              <w:pStyle w:val="BoxHeading"/>
              <w:numPr>
                <w:ilvl w:val="0"/>
                <w:numId w:val="0"/>
              </w:numPr>
              <w:spacing w:before="120"/>
            </w:pPr>
            <w:r>
              <w:t>Questions</w:t>
            </w:r>
          </w:p>
          <w:p w14:paraId="2FD247AB" w14:textId="62A1AAF9" w:rsidR="0026649B" w:rsidRDefault="0026649B" w:rsidP="009114BE">
            <w:pPr>
              <w:pStyle w:val="OutlineNumbered1"/>
              <w:numPr>
                <w:ilvl w:val="0"/>
                <w:numId w:val="40"/>
              </w:numPr>
            </w:pPr>
            <w:r>
              <w:t xml:space="preserve">How can costs associated with </w:t>
            </w:r>
            <w:r w:rsidR="00E403C2">
              <w:t>education and policy advice</w:t>
            </w:r>
            <w:r>
              <w:t xml:space="preserve"> be recovered most equitably and transparently? What changes could be made to the current approach, and what benefits would they provide?</w:t>
            </w:r>
          </w:p>
          <w:p w14:paraId="097547B0" w14:textId="3D20D684" w:rsidR="00D53022" w:rsidRPr="000D1284" w:rsidRDefault="005053F4" w:rsidP="009114BE">
            <w:pPr>
              <w:pStyle w:val="OutlineNumbered1"/>
              <w:numPr>
                <w:ilvl w:val="0"/>
                <w:numId w:val="40"/>
              </w:numPr>
            </w:pPr>
            <w:r>
              <w:t>What changes could be made to the</w:t>
            </w:r>
            <w:r w:rsidR="00F17044">
              <w:t xml:space="preserve"> </w:t>
            </w:r>
            <w:r w:rsidR="009408BA">
              <w:t>reporting</w:t>
            </w:r>
            <w:r w:rsidR="00821F68">
              <w:t xml:space="preserve"> of indirect costs</w:t>
            </w:r>
            <w:r w:rsidR="00EF129D">
              <w:t xml:space="preserve"> to improve stakeholder understanding of these costs?</w:t>
            </w:r>
            <w:r w:rsidR="00B416EE">
              <w:t xml:space="preserve"> </w:t>
            </w:r>
          </w:p>
        </w:tc>
      </w:tr>
    </w:tbl>
    <w:p w14:paraId="27DDB6B8" w14:textId="37ADB028" w:rsidR="00883F8B" w:rsidRDefault="00883F8B" w:rsidP="00163B5F">
      <w:pPr>
        <w:pStyle w:val="Heading3"/>
      </w:pPr>
      <w:bookmarkStart w:id="51" w:name="_Toc109834331"/>
      <w:bookmarkStart w:id="52" w:name="_Toc109834332"/>
      <w:bookmarkStart w:id="53" w:name="_Toc109834333"/>
      <w:bookmarkStart w:id="54" w:name="_Toc109834334"/>
      <w:bookmarkStart w:id="55" w:name="_Toc109834337"/>
      <w:bookmarkStart w:id="56" w:name="_Toc114214422"/>
      <w:bookmarkStart w:id="57" w:name="_Hlk109912328"/>
      <w:bookmarkEnd w:id="51"/>
      <w:bookmarkEnd w:id="52"/>
      <w:bookmarkEnd w:id="53"/>
      <w:bookmarkEnd w:id="54"/>
      <w:r>
        <w:t>Variance between estimated and actual levies</w:t>
      </w:r>
      <w:bookmarkEnd w:id="55"/>
      <w:bookmarkEnd w:id="56"/>
    </w:p>
    <w:p w14:paraId="3BD51556" w14:textId="1813472E" w:rsidR="00883F8B" w:rsidRDefault="00883F8B">
      <w:r>
        <w:t>ASIC calculates and publishes estimated levy amounts in its Cost Recovery Implementation Statement (CRIS) for stakeholder consultation. Generally, ASIC starts preparing and calculating its estimated levies in the middle of the financial year (</w:t>
      </w:r>
      <w:r w:rsidR="000E0B96">
        <w:t>i.e.</w:t>
      </w:r>
      <w:r>
        <w:t xml:space="preserve"> around November each year) based on information and data at a point in time, which can be ‘out-of-date’ at the time the draft CRIS is consulted on. This means that actual levies will generally vary from these estimates, sometimes by a substantial degree. </w:t>
      </w:r>
    </w:p>
    <w:p w14:paraId="78A0692B" w14:textId="7E077B9F" w:rsidR="00883F8B" w:rsidRDefault="00883F8B" w:rsidP="00883F8B">
      <w:r w:rsidRPr="00865A42">
        <w:t xml:space="preserve">The key driver of variability between estimated levies and actual levies is the difficulty to accurately estimate in which </w:t>
      </w:r>
      <w:r w:rsidR="00F33074">
        <w:t>sub</w:t>
      </w:r>
      <w:r w:rsidR="00F33074">
        <w:noBreakHyphen/>
        <w:t>sector</w:t>
      </w:r>
      <w:r w:rsidRPr="00865A42">
        <w:t xml:space="preserve"> enforcement costs will occur. This is due to the changi</w:t>
      </w:r>
      <w:r>
        <w:t>ng nature of enforcement matters as they progress through the stages of investigation and litigation, which can sometimes be a lengthy process. Other factors that impact variance between estimated and actual levies include:</w:t>
      </w:r>
    </w:p>
    <w:p w14:paraId="3CEF8A29" w14:textId="3FC19800" w:rsidR="00883F8B" w:rsidRDefault="00883F8B" w:rsidP="0033187E">
      <w:pPr>
        <w:pStyle w:val="ListParagraph"/>
        <w:numPr>
          <w:ilvl w:val="0"/>
          <w:numId w:val="17"/>
        </w:numPr>
      </w:pPr>
      <w:r>
        <w:t>changes in ASIC’s operating environment</w:t>
      </w:r>
      <w:r w:rsidR="00F0505D">
        <w:t xml:space="preserve"> in response to emerging issues</w:t>
      </w:r>
      <w:r>
        <w:t>;</w:t>
      </w:r>
    </w:p>
    <w:p w14:paraId="4C942454" w14:textId="3FC19800" w:rsidR="00883F8B" w:rsidRDefault="00883F8B" w:rsidP="0033187E">
      <w:pPr>
        <w:pStyle w:val="ListParagraph"/>
        <w:numPr>
          <w:ilvl w:val="0"/>
          <w:numId w:val="17"/>
        </w:numPr>
      </w:pPr>
      <w:r>
        <w:lastRenderedPageBreak/>
        <w:t>conduct of ASIC’s regulated population during the year that requires ASIC to adapt to new developments and emerging threats and harms;</w:t>
      </w:r>
    </w:p>
    <w:p w14:paraId="6A4297C2" w14:textId="5E03FA5A" w:rsidR="00883F8B" w:rsidRDefault="00883F8B" w:rsidP="0033187E">
      <w:pPr>
        <w:pStyle w:val="ListParagraph"/>
        <w:numPr>
          <w:ilvl w:val="0"/>
          <w:numId w:val="17"/>
        </w:numPr>
      </w:pPr>
      <w:r>
        <w:t xml:space="preserve">structural changes in ASIC’s regulated population, such as changes in the number of regulated entities in each </w:t>
      </w:r>
      <w:r w:rsidR="00F33074">
        <w:t>sub</w:t>
      </w:r>
      <w:r w:rsidR="00F33074">
        <w:noBreakHyphen/>
        <w:t>sector</w:t>
      </w:r>
      <w:r>
        <w:t>;</w:t>
      </w:r>
      <w:r w:rsidR="004A319B">
        <w:t xml:space="preserve"> and</w:t>
      </w:r>
    </w:p>
    <w:p w14:paraId="17C4E73D" w14:textId="77777777" w:rsidR="00883F8B" w:rsidRDefault="00883F8B" w:rsidP="0033187E">
      <w:pPr>
        <w:pStyle w:val="ListParagraph"/>
        <w:numPr>
          <w:ilvl w:val="0"/>
          <w:numId w:val="17"/>
        </w:numPr>
      </w:pPr>
      <w:r>
        <w:t xml:space="preserve">business activity metrics submitted by entities. </w:t>
      </w:r>
    </w:p>
    <w:p w14:paraId="35EDAB85" w14:textId="71FB211C" w:rsidR="0039211B" w:rsidRDefault="00B33185" w:rsidP="00883F8B">
      <w:r>
        <w:t>V</w:t>
      </w:r>
      <w:r w:rsidR="00616013" w:rsidRPr="00B375F1">
        <w:t xml:space="preserve">ariance between </w:t>
      </w:r>
      <w:r>
        <w:t>total</w:t>
      </w:r>
      <w:r w:rsidR="00616013" w:rsidRPr="00B375F1">
        <w:t xml:space="preserve"> estimated regulatory costs </w:t>
      </w:r>
      <w:r w:rsidR="00927563">
        <w:t xml:space="preserve">to be </w:t>
      </w:r>
      <w:r w:rsidR="00616013" w:rsidRPr="00B375F1">
        <w:t xml:space="preserve">recovered through levies and the actual regulatory costs recovered through levies </w:t>
      </w:r>
      <w:r w:rsidR="00927563">
        <w:t>has been</w:t>
      </w:r>
      <w:r w:rsidR="00616013" w:rsidRPr="00B375F1">
        <w:t xml:space="preserve"> less than 1</w:t>
      </w:r>
      <w:r w:rsidR="00927563">
        <w:t>0</w:t>
      </w:r>
      <w:r w:rsidR="00616013" w:rsidRPr="00B375F1">
        <w:t xml:space="preserve"> per cent </w:t>
      </w:r>
      <w:r w:rsidR="00927563">
        <w:t>each year</w:t>
      </w:r>
      <w:r w:rsidR="00616013" w:rsidRPr="00B375F1">
        <w:t xml:space="preserve">. </w:t>
      </w:r>
      <w:r w:rsidR="0039211B">
        <w:t>For example, in</w:t>
      </w:r>
      <w:r w:rsidR="00842C7B">
        <w:t xml:space="preserve"> 2019-20, ASIC estimated its total </w:t>
      </w:r>
      <w:r w:rsidR="0039211B">
        <w:t xml:space="preserve">regulatory costs to be recovered through levies would be </w:t>
      </w:r>
      <w:r w:rsidR="0089777F">
        <w:t>$</w:t>
      </w:r>
      <w:r w:rsidR="00842C7B">
        <w:t>293.5</w:t>
      </w:r>
      <w:r w:rsidR="00C44809">
        <w:t> </w:t>
      </w:r>
      <w:r w:rsidR="00CB1DFE">
        <w:t>million</w:t>
      </w:r>
      <w:r w:rsidR="0089777F">
        <w:t xml:space="preserve"> while actual regulatory costs were $</w:t>
      </w:r>
      <w:r w:rsidR="00CA49A7">
        <w:t>3</w:t>
      </w:r>
      <w:r w:rsidR="00842C7B">
        <w:t>20.</w:t>
      </w:r>
      <w:r w:rsidR="00CA49A7">
        <w:t>3 million</w:t>
      </w:r>
      <w:r w:rsidR="0089777F">
        <w:t xml:space="preserve"> – a difference of </w:t>
      </w:r>
      <w:r w:rsidR="00842C7B">
        <w:t>9</w:t>
      </w:r>
      <w:r w:rsidR="0089777F">
        <w:t xml:space="preserve"> per cent. </w:t>
      </w:r>
    </w:p>
    <w:p w14:paraId="07672E46" w14:textId="4DDCD78B" w:rsidR="00A83A5E" w:rsidRDefault="00616013" w:rsidP="00C25BB8">
      <w:r w:rsidRPr="00B375F1">
        <w:t xml:space="preserve">However, at the </w:t>
      </w:r>
      <w:r w:rsidR="00F33074">
        <w:t>sub</w:t>
      </w:r>
      <w:r w:rsidR="00F33074">
        <w:noBreakHyphen/>
        <w:t>sector</w:t>
      </w:r>
      <w:r w:rsidRPr="00B375F1">
        <w:t xml:space="preserve"> level</w:t>
      </w:r>
      <w:r w:rsidR="00B51EA7" w:rsidRPr="00B375F1">
        <w:t xml:space="preserve">, the level of variance </w:t>
      </w:r>
      <w:r w:rsidR="003B267B">
        <w:t>between estimated and actual levies</w:t>
      </w:r>
      <w:r w:rsidR="00B51EA7" w:rsidRPr="00B375F1">
        <w:t xml:space="preserve"> can be much greater</w:t>
      </w:r>
      <w:r w:rsidR="001E7B8C">
        <w:t xml:space="preserve"> and more prominent</w:t>
      </w:r>
      <w:r w:rsidR="00494D89">
        <w:t xml:space="preserve">. </w:t>
      </w:r>
      <w:r w:rsidR="00DF2563">
        <w:t>All</w:t>
      </w:r>
      <w:r w:rsidR="0098186C">
        <w:t xml:space="preserve"> </w:t>
      </w:r>
      <w:r w:rsidR="00F33074">
        <w:t>sub</w:t>
      </w:r>
      <w:r w:rsidR="00F33074">
        <w:noBreakHyphen/>
      </w:r>
      <w:r w:rsidR="00527197">
        <w:t>sector</w:t>
      </w:r>
      <w:r w:rsidR="0098186C">
        <w:t>s will experience some level of variance between estimated and actual levies</w:t>
      </w:r>
      <w:r w:rsidR="00140F26">
        <w:t xml:space="preserve"> each year</w:t>
      </w:r>
      <w:r w:rsidR="007F2416">
        <w:t xml:space="preserve"> </w:t>
      </w:r>
      <w:r w:rsidR="008F2BA6">
        <w:t>or in multiple years</w:t>
      </w:r>
      <w:r w:rsidR="007F2416">
        <w:t xml:space="preserve"> – that is, either an increase or decrease between their estimated and actual levies</w:t>
      </w:r>
      <w:r w:rsidR="00621A0E">
        <w:t>.</w:t>
      </w:r>
      <w:r w:rsidR="00835640">
        <w:t xml:space="preserve"> </w:t>
      </w:r>
      <w:r w:rsidR="00DD1DE8">
        <w:t xml:space="preserve">Stakeholders have raised concerns where there have been significant increases </w:t>
      </w:r>
      <w:r w:rsidR="00A83A5E">
        <w:t>between their estimated and actual levies.</w:t>
      </w:r>
      <w:r w:rsidR="00735C35">
        <w:t xml:space="preserve"> </w:t>
      </w:r>
    </w:p>
    <w:p w14:paraId="6D764869" w14:textId="74223B53" w:rsidR="005F79F8" w:rsidRDefault="00FC1275" w:rsidP="00C25BB8">
      <w:r>
        <w:t>S</w:t>
      </w:r>
      <w:r w:rsidR="00D9774A">
        <w:t>ince the commencement of the IFM</w:t>
      </w:r>
      <w:r w:rsidR="00C25BB8">
        <w:t xml:space="preserve">, </w:t>
      </w:r>
      <w:r w:rsidR="00394D2E" w:rsidRPr="007E6786">
        <w:t>3</w:t>
      </w:r>
      <w:r w:rsidR="00953BA1">
        <w:t>5</w:t>
      </w:r>
      <w:r w:rsidR="00394D2E">
        <w:t xml:space="preserve"> different </w:t>
      </w:r>
      <w:r w:rsidR="00F33074">
        <w:t>sub</w:t>
      </w:r>
      <w:r w:rsidR="00F33074">
        <w:noBreakHyphen/>
      </w:r>
      <w:r w:rsidR="00527197">
        <w:t>sector</w:t>
      </w:r>
      <w:r w:rsidR="00394D2E">
        <w:t>s</w:t>
      </w:r>
      <w:r w:rsidR="000A625C">
        <w:t xml:space="preserve"> </w:t>
      </w:r>
      <w:r w:rsidR="00AB562B">
        <w:t>have experienced a</w:t>
      </w:r>
      <w:r w:rsidR="00357A09">
        <w:t>n increase</w:t>
      </w:r>
      <w:r w:rsidR="00AB562B">
        <w:t xml:space="preserve"> of 20 per cent or more</w:t>
      </w:r>
      <w:r w:rsidR="00357A09">
        <w:t xml:space="preserve"> between their estimated and actual levies</w:t>
      </w:r>
      <w:r w:rsidR="00EB2BF5">
        <w:t>. Of th</w:t>
      </w:r>
      <w:r w:rsidR="00516F04">
        <w:t xml:space="preserve">e </w:t>
      </w:r>
      <w:r w:rsidR="00BA7F29" w:rsidRPr="007E6786">
        <w:t>3</w:t>
      </w:r>
      <w:r w:rsidR="00953BA1">
        <w:t>5</w:t>
      </w:r>
      <w:r w:rsidR="00BA7F29">
        <w:t xml:space="preserve"> </w:t>
      </w:r>
      <w:r w:rsidR="00F33074">
        <w:t>sub</w:t>
      </w:r>
      <w:r w:rsidR="00F33074">
        <w:noBreakHyphen/>
      </w:r>
      <w:r w:rsidR="00527197">
        <w:t>sector</w:t>
      </w:r>
      <w:r w:rsidR="00516F04">
        <w:t>s</w:t>
      </w:r>
      <w:r w:rsidR="00EB2BF5">
        <w:t xml:space="preserve">, </w:t>
      </w:r>
      <w:r w:rsidR="00C77FE4" w:rsidRPr="007E6786">
        <w:t>1</w:t>
      </w:r>
      <w:r w:rsidR="002E1E51">
        <w:t>3</w:t>
      </w:r>
      <w:r w:rsidR="00C77FE4">
        <w:t xml:space="preserve"> </w:t>
      </w:r>
      <w:r w:rsidR="00F33074">
        <w:t>sub</w:t>
      </w:r>
      <w:r w:rsidR="00F33074">
        <w:noBreakHyphen/>
      </w:r>
      <w:r w:rsidR="00527197">
        <w:t>sector</w:t>
      </w:r>
      <w:r w:rsidR="00EB2BF5">
        <w:t xml:space="preserve">s have experienced </w:t>
      </w:r>
      <w:r w:rsidR="00AE399D">
        <w:t>an increase</w:t>
      </w:r>
      <w:r w:rsidR="00F41C8A">
        <w:t xml:space="preserve"> of more than 20 per cent</w:t>
      </w:r>
      <w:r w:rsidR="00AE399D">
        <w:t xml:space="preserve"> between their estimated and actual levies</w:t>
      </w:r>
      <w:r w:rsidR="00F41C8A">
        <w:t xml:space="preserve"> in </w:t>
      </w:r>
      <w:r w:rsidR="008F5D6A">
        <w:t>multiple years.</w:t>
      </w:r>
      <w:r w:rsidR="006F0F3F">
        <w:rPr>
          <w:rStyle w:val="FootnoteReference"/>
        </w:rPr>
        <w:footnoteReference w:id="10"/>
      </w:r>
      <w:r w:rsidR="00BD431C" w:rsidRPr="00BD431C">
        <w:t xml:space="preserve"> </w:t>
      </w:r>
    </w:p>
    <w:p w14:paraId="55C98D22" w14:textId="5F40531B" w:rsidR="00010117" w:rsidRDefault="00120A1D" w:rsidP="00883F8B">
      <w:r w:rsidRPr="006D5A47">
        <w:t xml:space="preserve">Enforcement costs </w:t>
      </w:r>
      <w:r w:rsidR="00022231" w:rsidRPr="006D5A47">
        <w:t>are</w:t>
      </w:r>
      <w:r w:rsidR="006A2CF9">
        <w:t xml:space="preserve"> a</w:t>
      </w:r>
      <w:r w:rsidR="00F718BE">
        <w:t xml:space="preserve"> key and</w:t>
      </w:r>
      <w:r w:rsidRPr="006D5A47">
        <w:t xml:space="preserve"> </w:t>
      </w:r>
      <w:r w:rsidR="00482338" w:rsidRPr="006D5A47">
        <w:t>persistent</w:t>
      </w:r>
      <w:r w:rsidRPr="006D5A47">
        <w:t xml:space="preserve"> driver of</w:t>
      </w:r>
      <w:r w:rsidR="00FD6B29" w:rsidRPr="006D5A47">
        <w:t xml:space="preserve"> v</w:t>
      </w:r>
      <w:r w:rsidR="00001C52" w:rsidRPr="006D5A47">
        <w:t>ariance</w:t>
      </w:r>
      <w:r w:rsidR="00057A1A" w:rsidRPr="006D5A47">
        <w:t>, followed by supervision and surveillance costs</w:t>
      </w:r>
      <w:r w:rsidR="00096D19" w:rsidRPr="006D5A47">
        <w:t>.</w:t>
      </w:r>
      <w:r w:rsidR="00096D19">
        <w:t xml:space="preserve"> </w:t>
      </w:r>
      <w:r w:rsidR="00010117">
        <w:t xml:space="preserve">For instance, of the </w:t>
      </w:r>
      <w:r w:rsidR="00F33074">
        <w:t>sub</w:t>
      </w:r>
      <w:r w:rsidR="00F33074">
        <w:noBreakHyphen/>
      </w:r>
      <w:r w:rsidR="00010117">
        <w:t xml:space="preserve">sectors that experienced </w:t>
      </w:r>
      <w:r w:rsidR="00FC0EFE">
        <w:t xml:space="preserve">an increase of 20 per cent or more </w:t>
      </w:r>
      <w:r w:rsidR="00FF6613">
        <w:t xml:space="preserve">between their estimated and actual levies, enforcement was the </w:t>
      </w:r>
      <w:r w:rsidR="00C71ED3">
        <w:t xml:space="preserve">single greatest </w:t>
      </w:r>
      <w:r w:rsidR="00594972">
        <w:t>contributor</w:t>
      </w:r>
      <w:r w:rsidR="00C71ED3">
        <w:t xml:space="preserve"> </w:t>
      </w:r>
      <w:r w:rsidR="00FF6613">
        <w:t xml:space="preserve">of variance in </w:t>
      </w:r>
      <w:r w:rsidR="008D6B74">
        <w:t>50</w:t>
      </w:r>
      <w:r w:rsidR="00FF6613">
        <w:t xml:space="preserve"> per cent of cases, followed by supervision and surveillance in </w:t>
      </w:r>
      <w:r w:rsidR="008D6B74">
        <w:t>25</w:t>
      </w:r>
      <w:r w:rsidR="00FF6613">
        <w:t xml:space="preserve"> </w:t>
      </w:r>
      <w:r w:rsidR="00A01182">
        <w:t xml:space="preserve">per cent of </w:t>
      </w:r>
      <w:r w:rsidR="00FF6613">
        <w:t>cases.</w:t>
      </w:r>
      <w:r w:rsidR="007A20D4">
        <w:rPr>
          <w:rStyle w:val="FootnoteReference"/>
        </w:rPr>
        <w:footnoteReference w:id="11"/>
      </w:r>
      <w:r w:rsidR="00FF6613">
        <w:t xml:space="preserve"> </w:t>
      </w:r>
    </w:p>
    <w:p w14:paraId="648A36C6" w14:textId="6F7C8A49" w:rsidR="001F2B44" w:rsidRDefault="0033593E" w:rsidP="00883F8B">
      <w:r>
        <w:t>T</w:t>
      </w:r>
      <w:r w:rsidR="007C726D">
        <w:t xml:space="preserve">he </w:t>
      </w:r>
      <w:r w:rsidR="00F33074">
        <w:t>sub</w:t>
      </w:r>
      <w:r w:rsidR="00F33074">
        <w:noBreakHyphen/>
      </w:r>
      <w:r w:rsidR="00527197">
        <w:t>sector</w:t>
      </w:r>
      <w:r w:rsidR="007C726D">
        <w:t xml:space="preserve">s that experience </w:t>
      </w:r>
      <w:r w:rsidR="00CB109D">
        <w:t>consistent concentration of enforcement costs each year (see</w:t>
      </w:r>
      <w:r w:rsidR="0031031A">
        <w:t> </w:t>
      </w:r>
      <w:r w:rsidR="00852C57">
        <w:rPr>
          <w:i/>
          <w:iCs/>
        </w:rPr>
        <w:t>Enforcement</w:t>
      </w:r>
      <w:r w:rsidR="00852C57">
        <w:t xml:space="preserve"> section above)</w:t>
      </w:r>
      <w:r w:rsidR="00350668">
        <w:t xml:space="preserve"> also experience consistent variance between estimated</w:t>
      </w:r>
      <w:r w:rsidR="00CA364A" w:rsidRPr="00CA364A">
        <w:t xml:space="preserve"> and </w:t>
      </w:r>
      <w:r w:rsidR="00350668">
        <w:t>actual levies each year</w:t>
      </w:r>
      <w:r w:rsidR="004443F6">
        <w:t xml:space="preserve">, with enforcement being </w:t>
      </w:r>
      <w:r w:rsidR="00C72196">
        <w:t xml:space="preserve">a </w:t>
      </w:r>
      <w:r w:rsidR="004443F6">
        <w:t>key driver</w:t>
      </w:r>
      <w:r w:rsidR="00D63DD1">
        <w:t>.</w:t>
      </w:r>
    </w:p>
    <w:p w14:paraId="1D79657B" w14:textId="6B3B3C9D" w:rsidR="00C10C4B" w:rsidRPr="00C10C4B" w:rsidRDefault="00230E29">
      <w:r>
        <w:t>While</w:t>
      </w:r>
      <w:r w:rsidRPr="00230E29">
        <w:t xml:space="preserve"> enforcement and supervision and surveillance</w:t>
      </w:r>
      <w:r w:rsidR="00F9741E">
        <w:t xml:space="preserve"> costs</w:t>
      </w:r>
      <w:r w:rsidRPr="00230E29">
        <w:t xml:space="preserve"> are </w:t>
      </w:r>
      <w:r w:rsidR="007079C9">
        <w:t xml:space="preserve">the </w:t>
      </w:r>
      <w:r w:rsidRPr="00230E29">
        <w:t xml:space="preserve">key drivers of variance, other </w:t>
      </w:r>
      <w:r w:rsidR="00BE5999">
        <w:t xml:space="preserve">regulatory </w:t>
      </w:r>
      <w:r w:rsidR="007D2274">
        <w:t>activities</w:t>
      </w:r>
      <w:r w:rsidRPr="00230E29">
        <w:t xml:space="preserve"> </w:t>
      </w:r>
      <w:r w:rsidR="00AC57E7">
        <w:t xml:space="preserve">can also </w:t>
      </w:r>
      <w:r w:rsidR="005148A5">
        <w:t>contribute to</w:t>
      </w:r>
      <w:r w:rsidR="00AC57E7">
        <w:t xml:space="preserve"> variance</w:t>
      </w:r>
      <w:r w:rsidR="00AD4C4D">
        <w:t>,</w:t>
      </w:r>
      <w:r w:rsidR="004D2F45">
        <w:t xml:space="preserve"> as well as o</w:t>
      </w:r>
      <w:r w:rsidR="00AC57E7">
        <w:t>ther</w:t>
      </w:r>
      <w:r w:rsidRPr="00230E29">
        <w:t xml:space="preserve"> factors </w:t>
      </w:r>
      <w:r w:rsidR="00A2560D">
        <w:t>such as</w:t>
      </w:r>
      <w:r w:rsidRPr="00230E29">
        <w:t xml:space="preserve"> changes</w:t>
      </w:r>
      <w:r w:rsidR="00D939A6" w:rsidRPr="00D939A6">
        <w:t xml:space="preserve"> in the number of regulated entities in a </w:t>
      </w:r>
      <w:r w:rsidR="00F33074">
        <w:t>sub</w:t>
      </w:r>
      <w:r w:rsidR="00F33074">
        <w:noBreakHyphen/>
        <w:t>sector</w:t>
      </w:r>
      <w:r w:rsidR="0083648E">
        <w:t>.</w:t>
      </w:r>
      <w:r w:rsidR="003A1A02">
        <w:t xml:space="preserve"> ASIC calculates</w:t>
      </w:r>
      <w:r w:rsidR="00346041">
        <w:t xml:space="preserve"> the majority of</w:t>
      </w:r>
      <w:r w:rsidR="003A1A02">
        <w:t xml:space="preserve"> estimated levies based on the number of entities </w:t>
      </w:r>
      <w:r w:rsidR="00086393">
        <w:t>and submitted metrics</w:t>
      </w:r>
      <w:r w:rsidR="003A1A02">
        <w:t xml:space="preserve"> in each </w:t>
      </w:r>
      <w:r w:rsidR="00F33074">
        <w:t>sub</w:t>
      </w:r>
      <w:r w:rsidR="00F33074">
        <w:noBreakHyphen/>
        <w:t>sector</w:t>
      </w:r>
      <w:r w:rsidR="003A1A02">
        <w:t xml:space="preserve"> as at the end of the previous financial year.</w:t>
      </w:r>
      <w:r w:rsidR="008A4D99">
        <w:t xml:space="preserve"> </w:t>
      </w:r>
      <w:r w:rsidR="005952A9">
        <w:t xml:space="preserve">However, the number of entities in a </w:t>
      </w:r>
      <w:r w:rsidR="00F33074">
        <w:t>sub</w:t>
      </w:r>
      <w:r w:rsidR="00F33074">
        <w:noBreakHyphen/>
        <w:t>sector</w:t>
      </w:r>
      <w:r w:rsidR="005952A9">
        <w:t xml:space="preserve"> may change</w:t>
      </w:r>
      <w:r w:rsidR="00B75E54">
        <w:t xml:space="preserve"> across the levy period </w:t>
      </w:r>
      <w:r w:rsidR="00064F86">
        <w:t xml:space="preserve">and will impact levy amounts </w:t>
      </w:r>
      <w:r w:rsidR="007126A8">
        <w:t xml:space="preserve">paid by individual entities (even if the total regulatory costs for the </w:t>
      </w:r>
      <w:r w:rsidR="00F33074">
        <w:t>sub</w:t>
      </w:r>
      <w:r w:rsidR="00F33074">
        <w:noBreakHyphen/>
        <w:t>sector</w:t>
      </w:r>
      <w:r w:rsidR="007126A8">
        <w:t xml:space="preserve"> do</w:t>
      </w:r>
      <w:r w:rsidR="002F23B7">
        <w:t xml:space="preserve"> not</w:t>
      </w:r>
      <w:r w:rsidR="007126A8">
        <w:t xml:space="preserve"> change). </w:t>
      </w:r>
    </w:p>
    <w:p w14:paraId="762FB35D" w14:textId="15857AC6" w:rsidR="003C6B7B" w:rsidRDefault="00883F8B" w:rsidP="00A31BDE">
      <w:pPr>
        <w:pStyle w:val="Heading4"/>
      </w:pPr>
      <w:bookmarkStart w:id="58" w:name="_Toc109834338"/>
      <w:r>
        <w:t>Improve the accuracy and timing of estimated levies</w:t>
      </w:r>
      <w:bookmarkEnd w:id="58"/>
      <w:r>
        <w:t xml:space="preserve"> </w:t>
      </w:r>
      <w:r w:rsidR="00FE3B36">
        <w:t xml:space="preserve"> </w:t>
      </w:r>
    </w:p>
    <w:p w14:paraId="6675E1E3" w14:textId="0BDA162C" w:rsidR="00883F8B" w:rsidRDefault="00883F8B">
      <w:r>
        <w:t>A</w:t>
      </w:r>
      <w:r w:rsidRPr="002D3A57">
        <w:t xml:space="preserve"> key </w:t>
      </w:r>
      <w:r>
        <w:t>challenge</w:t>
      </w:r>
      <w:r w:rsidRPr="002D3A57">
        <w:t xml:space="preserve"> for </w:t>
      </w:r>
      <w:r>
        <w:t>entities</w:t>
      </w:r>
      <w:r w:rsidRPr="002D3A57">
        <w:t xml:space="preserve"> is</w:t>
      </w:r>
      <w:r>
        <w:t xml:space="preserve"> the sometimes-significant variance</w:t>
      </w:r>
      <w:r w:rsidRPr="002D3A57">
        <w:t xml:space="preserve"> between estimated and actual levies</w:t>
      </w:r>
      <w:r>
        <w:t xml:space="preserve"> each year</w:t>
      </w:r>
      <w:r w:rsidR="006B5F68">
        <w:t>, which</w:t>
      </w:r>
      <w:r>
        <w:t xml:space="preserve"> makes it hard for </w:t>
      </w:r>
      <w:r w:rsidRPr="002D3A57">
        <w:t>entities to budget for the actual levy</w:t>
      </w:r>
      <w:r>
        <w:t xml:space="preserve">. Therefore, some entities do not find the estimated levies useful and do not engage with the draft CRIS. </w:t>
      </w:r>
      <w:r w:rsidR="0087345E">
        <w:t>T</w:t>
      </w:r>
      <w:r>
        <w:t>he</w:t>
      </w:r>
      <w:r w:rsidR="00F61F70">
        <w:t xml:space="preserve"> </w:t>
      </w:r>
      <w:r w:rsidDel="008D7A51">
        <w:t xml:space="preserve">inconsistent </w:t>
      </w:r>
      <w:r>
        <w:t xml:space="preserve">timing of </w:t>
      </w:r>
      <w:r>
        <w:lastRenderedPageBreak/>
        <w:t>when estimated levies are released for consultation with stakeholders</w:t>
      </w:r>
      <w:r w:rsidR="00DA31A5">
        <w:t xml:space="preserve"> can also make it difficult for entities to</w:t>
      </w:r>
      <w:r>
        <w:t xml:space="preserve"> budget for the actual levies. </w:t>
      </w:r>
    </w:p>
    <w:p w14:paraId="5367B707" w14:textId="41C10D8C" w:rsidR="00883F8B" w:rsidRDefault="00883F8B" w:rsidP="00883F8B">
      <w:r>
        <w:t>ASIC calculates estimated levies using point-in-time data and information</w:t>
      </w:r>
      <w:r w:rsidR="003349CB">
        <w:t>.</w:t>
      </w:r>
      <w:r w:rsidR="002362D8">
        <w:t xml:space="preserve"> To enable more accurate estimated levy amounts reflecting more up-to-date data</w:t>
      </w:r>
      <w:r w:rsidDel="003349CB">
        <w:t>,</w:t>
      </w:r>
      <w:r>
        <w:t xml:space="preserve"> ASIC could undertake these calculations later in the financial year</w:t>
      </w:r>
      <w:r w:rsidR="002362D8">
        <w:t xml:space="preserve">. </w:t>
      </w:r>
      <w:r>
        <w:t xml:space="preserve">For example, instead of starting to calculate estimated levies in November (with 5 months of financial year data and information), ASIC could start the process in March (with 9 months of financial year data and information). This would mean that the draft CRIS is released around June and around 6 months before final levy invoices are sent to entities. </w:t>
      </w:r>
    </w:p>
    <w:p w14:paraId="4CE56128" w14:textId="336FC46F" w:rsidR="00883F8B" w:rsidRDefault="00883F8B" w:rsidP="00883F8B">
      <w:r>
        <w:t xml:space="preserve">While this would mean estimated levies would reflect more up-to-date information, there would still be some variability in actual levy amounts. This would also mean that the release of the draft CRIS would be delayed.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883F8B" w14:paraId="447301AA" w14:textId="77777777" w:rsidTr="0006718A">
        <w:tc>
          <w:tcPr>
            <w:tcW w:w="5000" w:type="pct"/>
            <w:shd w:val="clear" w:color="auto" w:fill="EEEEEE" w:themeFill="background2"/>
          </w:tcPr>
          <w:p w14:paraId="5C9DC1E8" w14:textId="396CAE85" w:rsidR="00883F8B" w:rsidRPr="000D1284" w:rsidRDefault="00883F8B" w:rsidP="001E6383">
            <w:pPr>
              <w:pStyle w:val="BoxHeading"/>
              <w:numPr>
                <w:ilvl w:val="0"/>
                <w:numId w:val="0"/>
              </w:numPr>
              <w:spacing w:before="120"/>
            </w:pPr>
            <w:r>
              <w:t>Questions</w:t>
            </w:r>
          </w:p>
          <w:p w14:paraId="2B24B79A" w14:textId="72DB0EA5" w:rsidR="00883F8B" w:rsidRDefault="00883F8B" w:rsidP="009114BE">
            <w:pPr>
              <w:pStyle w:val="OutlineNumbered1"/>
              <w:numPr>
                <w:ilvl w:val="0"/>
                <w:numId w:val="40"/>
              </w:numPr>
            </w:pPr>
            <w:r w:rsidRPr="001030C6">
              <w:t>Do regulated entities find estimated levies useful</w:t>
            </w:r>
            <w:r w:rsidR="005F0E87">
              <w:t>,</w:t>
            </w:r>
            <w:r w:rsidR="00546BA4">
              <w:t xml:space="preserve"> </w:t>
            </w:r>
            <w:r w:rsidRPr="001030C6">
              <w:t xml:space="preserve">and how is this information used by entities? </w:t>
            </w:r>
          </w:p>
          <w:p w14:paraId="3AA44C03" w14:textId="44773CF1" w:rsidR="00883F8B" w:rsidRDefault="00C05096" w:rsidP="009114BE">
            <w:pPr>
              <w:pStyle w:val="OutlineNumbered1"/>
              <w:numPr>
                <w:ilvl w:val="1"/>
                <w:numId w:val="40"/>
              </w:numPr>
              <w:tabs>
                <w:tab w:val="clear" w:pos="1040"/>
                <w:tab w:val="num" w:pos="851"/>
                <w:tab w:val="num" w:pos="1440"/>
              </w:tabs>
            </w:pPr>
            <w:r>
              <w:t xml:space="preserve">Noting the </w:t>
            </w:r>
            <w:r w:rsidR="009824CE">
              <w:t>trade-off between timing and accuracy, w</w:t>
            </w:r>
            <w:r w:rsidR="00883F8B">
              <w:t xml:space="preserve">hen is it most beneficial for entities to </w:t>
            </w:r>
            <w:r w:rsidR="00AF2CE4">
              <w:t xml:space="preserve">receive </w:t>
            </w:r>
            <w:r w:rsidR="006E6843">
              <w:t>estimated levy amounts</w:t>
            </w:r>
            <w:r w:rsidR="00883F8B">
              <w:t>?</w:t>
            </w:r>
          </w:p>
          <w:p w14:paraId="739F61AC" w14:textId="16E89F90" w:rsidR="00883F8B" w:rsidRPr="000D1284" w:rsidRDefault="00883F8B" w:rsidP="00791F96">
            <w:pPr>
              <w:pStyle w:val="OutlineNumbered1"/>
              <w:numPr>
                <w:ilvl w:val="1"/>
                <w:numId w:val="40"/>
              </w:numPr>
              <w:tabs>
                <w:tab w:val="clear" w:pos="1040"/>
                <w:tab w:val="num" w:pos="851"/>
                <w:tab w:val="num" w:pos="1440"/>
              </w:tabs>
            </w:pPr>
            <w:r w:rsidRPr="00D91DCA">
              <w:t>Would alternative information, such as a range for estimated levies, be more useful?</w:t>
            </w:r>
            <w:r>
              <w:t xml:space="preserve"> </w:t>
            </w:r>
          </w:p>
        </w:tc>
      </w:tr>
    </w:tbl>
    <w:p w14:paraId="0B13AC1B" w14:textId="341898E5" w:rsidR="00883F8B" w:rsidRDefault="00507847" w:rsidP="00163B5F">
      <w:pPr>
        <w:pStyle w:val="Heading3"/>
      </w:pPr>
      <w:bookmarkStart w:id="59" w:name="_Toc109834339"/>
      <w:bookmarkStart w:id="60" w:name="_Toc114214423"/>
      <w:bookmarkEnd w:id="57"/>
      <w:r>
        <w:t>Increases and v</w:t>
      </w:r>
      <w:r w:rsidR="00883F8B">
        <w:t xml:space="preserve">olatility in </w:t>
      </w:r>
      <w:r w:rsidR="00D34B0E">
        <w:t xml:space="preserve">actual </w:t>
      </w:r>
      <w:r w:rsidR="00883F8B">
        <w:t>levy amounts across years</w:t>
      </w:r>
      <w:bookmarkEnd w:id="59"/>
      <w:bookmarkEnd w:id="60"/>
    </w:p>
    <w:p w14:paraId="05EE5C01" w14:textId="57BA85EB" w:rsidR="00145B56" w:rsidRPr="00DF714E" w:rsidRDefault="00145B56" w:rsidP="00145B56">
      <w:r w:rsidRPr="00DF714E">
        <w:t>The total funding available to ASIC</w:t>
      </w:r>
      <w:r>
        <w:t xml:space="preserve"> –</w:t>
      </w:r>
      <w:r w:rsidRPr="00DF714E">
        <w:t xml:space="preserve"> and</w:t>
      </w:r>
      <w:r>
        <w:t xml:space="preserve"> therefore</w:t>
      </w:r>
      <w:r w:rsidRPr="00DF714E">
        <w:t xml:space="preserve"> the amount recovered through</w:t>
      </w:r>
      <w:r>
        <w:t xml:space="preserve"> levies under</w:t>
      </w:r>
      <w:r w:rsidRPr="00DF714E">
        <w:t xml:space="preserve"> the IFM</w:t>
      </w:r>
      <w:r>
        <w:t xml:space="preserve"> – </w:t>
      </w:r>
      <w:r w:rsidRPr="00DF714E">
        <w:t>ha</w:t>
      </w:r>
      <w:r>
        <w:t>s</w:t>
      </w:r>
      <w:r w:rsidRPr="00DF714E">
        <w:t xml:space="preserve"> increased since the commencement of the IFM.</w:t>
      </w:r>
      <w:r>
        <w:t xml:space="preserve"> </w:t>
      </w:r>
      <w:r w:rsidRPr="00DF714E">
        <w:t xml:space="preserve">The increase in ASIC’s total regulatory costs recovered through levies is primarily due to the increase in funding provided by the Government to ASIC to regulate the financial sector, including to implement the recommendations of the Royal Commission into Misconduct in the Banking, Superannuation and Financial Services Industry. </w:t>
      </w:r>
    </w:p>
    <w:p w14:paraId="75FE319A" w14:textId="4FA7D2EC" w:rsidR="00145B56" w:rsidRDefault="00145B56" w:rsidP="00883F8B">
      <w:r w:rsidRPr="00DF714E">
        <w:t xml:space="preserve">This increased funding is supporting ASIC to strengthen and intensify its approach to enforcement and take on expanded responsibilities to address misconduct in the financial sector. As a result, certain </w:t>
      </w:r>
      <w:r w:rsidR="00F33074">
        <w:t>sub</w:t>
      </w:r>
      <w:r w:rsidR="00F33074">
        <w:noBreakHyphen/>
      </w:r>
      <w:r w:rsidR="00527197">
        <w:t>sector</w:t>
      </w:r>
      <w:r w:rsidRPr="00DF714E">
        <w:t xml:space="preserve">s have required increased supervision and surveillance, and increased enforcement. This has meant ASIC has dedicated greater resources to regulating these </w:t>
      </w:r>
      <w:r w:rsidR="00F33074">
        <w:t>sub</w:t>
      </w:r>
      <w:r w:rsidR="00F33074">
        <w:noBreakHyphen/>
      </w:r>
      <w:r w:rsidR="00527197">
        <w:t>sector</w:t>
      </w:r>
      <w:r w:rsidRPr="00DF714E">
        <w:t xml:space="preserve">s, and therefore </w:t>
      </w:r>
      <w:r w:rsidR="00D20792">
        <w:t>has</w:t>
      </w:r>
      <w:r w:rsidRPr="00DF714E">
        <w:t xml:space="preserve"> led to some </w:t>
      </w:r>
      <w:r w:rsidR="00F33074">
        <w:t>sub</w:t>
      </w:r>
      <w:r w:rsidR="00F33074">
        <w:noBreakHyphen/>
      </w:r>
      <w:r w:rsidR="00527197">
        <w:t>sector</w:t>
      </w:r>
      <w:r w:rsidRPr="00DF714E">
        <w:t xml:space="preserve">s facing significant increases </w:t>
      </w:r>
      <w:r>
        <w:t>in</w:t>
      </w:r>
      <w:r w:rsidRPr="00DF714E">
        <w:t xml:space="preserve"> their </w:t>
      </w:r>
      <w:r w:rsidR="008B373A">
        <w:t xml:space="preserve">actual </w:t>
      </w:r>
      <w:r w:rsidRPr="00DF714E">
        <w:t xml:space="preserve">levies. This has occurred alongside other increases in the overall cost burden for some industry </w:t>
      </w:r>
      <w:r w:rsidR="00F33074">
        <w:t>sub</w:t>
      </w:r>
      <w:r w:rsidR="00F33074">
        <w:noBreakHyphen/>
      </w:r>
      <w:r w:rsidR="00527197">
        <w:t>sector</w:t>
      </w:r>
      <w:r w:rsidRPr="00DF714E">
        <w:t>s, such as the costs associated with regulatory reforms.</w:t>
      </w:r>
    </w:p>
    <w:p w14:paraId="061385B5" w14:textId="64EB88B3" w:rsidR="00DD5039" w:rsidRDefault="00C74C66" w:rsidP="00883F8B">
      <w:r>
        <w:t>T</w:t>
      </w:r>
      <w:r w:rsidR="00DD5039">
        <w:t xml:space="preserve">he Government has intervened in response to significant </w:t>
      </w:r>
      <w:r w:rsidR="006A402B">
        <w:t xml:space="preserve">increases </w:t>
      </w:r>
      <w:r w:rsidR="00DD5039">
        <w:t xml:space="preserve">in levies </w:t>
      </w:r>
      <w:r w:rsidR="00D025B4">
        <w:t>in</w:t>
      </w:r>
      <w:r w:rsidR="00DD5039">
        <w:t xml:space="preserve"> the personal financial advice licensee </w:t>
      </w:r>
      <w:r w:rsidR="00F33074">
        <w:t>sub</w:t>
      </w:r>
      <w:r w:rsidR="00F33074">
        <w:noBreakHyphen/>
        <w:t>sector</w:t>
      </w:r>
      <w:r w:rsidR="00DD5039">
        <w:t xml:space="preserve">. The per adviser levy component for this </w:t>
      </w:r>
      <w:r w:rsidR="00F33074">
        <w:t>sub</w:t>
      </w:r>
      <w:r w:rsidR="00F33074">
        <w:noBreakHyphen/>
        <w:t>sector</w:t>
      </w:r>
      <w:r w:rsidR="00DD5039">
        <w:t xml:space="preserve"> has been capped at </w:t>
      </w:r>
      <w:r w:rsidR="00DE637F">
        <w:t>its</w:t>
      </w:r>
      <w:r w:rsidR="00DD5039">
        <w:t xml:space="preserve"> 2018-19 level in respect of 2020-21 and 2021-22. </w:t>
      </w:r>
      <w:r w:rsidR="00DD5039" w:rsidRPr="00FF4A76">
        <w:t xml:space="preserve">The cost of this relief </w:t>
      </w:r>
      <w:r w:rsidR="00246930">
        <w:t>is</w:t>
      </w:r>
      <w:r w:rsidR="00DD5039" w:rsidRPr="00FF4A76">
        <w:t xml:space="preserve"> borne by the Government (through general taxpayers) and </w:t>
      </w:r>
      <w:r w:rsidR="007F3DA3">
        <w:t>is not</w:t>
      </w:r>
      <w:r w:rsidR="00DD5039" w:rsidRPr="00FF4A76">
        <w:t xml:space="preserve"> recovered </w:t>
      </w:r>
      <w:r w:rsidR="006A402B">
        <w:t>through</w:t>
      </w:r>
      <w:r w:rsidR="00DD5039" w:rsidRPr="00FF4A76">
        <w:t xml:space="preserve"> levies charged to other </w:t>
      </w:r>
      <w:r w:rsidR="00F33074">
        <w:t>sub</w:t>
      </w:r>
      <w:r w:rsidR="00F33074">
        <w:noBreakHyphen/>
      </w:r>
      <w:r w:rsidR="00527197">
        <w:t>sector</w:t>
      </w:r>
      <w:r w:rsidR="00DD5039" w:rsidRPr="00FF4A76">
        <w:t>s.</w:t>
      </w:r>
    </w:p>
    <w:p w14:paraId="2C08FF46" w14:textId="7CF65BA0" w:rsidR="00A67919" w:rsidRDefault="00131230" w:rsidP="00883F8B">
      <w:r>
        <w:t>Actual l</w:t>
      </w:r>
      <w:r w:rsidR="00883F8B" w:rsidRPr="005978D6">
        <w:t xml:space="preserve">evies charged for a </w:t>
      </w:r>
      <w:r w:rsidR="00F33074">
        <w:t>sub</w:t>
      </w:r>
      <w:r w:rsidR="00F33074">
        <w:noBreakHyphen/>
        <w:t>sector</w:t>
      </w:r>
      <w:r w:rsidR="00883F8B" w:rsidRPr="005978D6">
        <w:t xml:space="preserve"> will vary between years, driven by factors including the regulatory effort incurred by ASIC in relation to that </w:t>
      </w:r>
      <w:r w:rsidR="00F33074">
        <w:t>sub</w:t>
      </w:r>
      <w:r w:rsidR="00F33074">
        <w:noBreakHyphen/>
        <w:t>sector</w:t>
      </w:r>
      <w:r w:rsidR="00883F8B" w:rsidRPr="005978D6">
        <w:t xml:space="preserve"> and the population of the </w:t>
      </w:r>
      <w:r w:rsidR="00F33074">
        <w:t>sub</w:t>
      </w:r>
      <w:r w:rsidR="00F33074">
        <w:noBreakHyphen/>
        <w:t>sector</w:t>
      </w:r>
      <w:r w:rsidR="00883F8B" w:rsidRPr="005978D6">
        <w:t xml:space="preserve">. In some cases, the changes in levy amounts between years have been significant. </w:t>
      </w:r>
    </w:p>
    <w:p w14:paraId="7851588F" w14:textId="6C334354" w:rsidR="00883F8B" w:rsidRDefault="00EA60B9" w:rsidP="00883F8B">
      <w:r>
        <w:t>K</w:t>
      </w:r>
      <w:r w:rsidR="00883F8B">
        <w:t>ey drivers of volatility in levy amounts across years are:</w:t>
      </w:r>
    </w:p>
    <w:p w14:paraId="63BF6A6C" w14:textId="4FE17338" w:rsidR="00883F8B" w:rsidRDefault="00883F8B" w:rsidP="0033187E">
      <w:pPr>
        <w:pStyle w:val="ListParagraph"/>
        <w:numPr>
          <w:ilvl w:val="0"/>
          <w:numId w:val="12"/>
        </w:numPr>
      </w:pPr>
      <w:r>
        <w:t>regulatory effort expended by ASIC</w:t>
      </w:r>
      <w:r w:rsidR="00C2175D">
        <w:t>,</w:t>
      </w:r>
      <w:r>
        <w:t xml:space="preserve"> which will vary across </w:t>
      </w:r>
      <w:r w:rsidR="00F33074">
        <w:t>sub</w:t>
      </w:r>
      <w:r w:rsidR="00F33074">
        <w:noBreakHyphen/>
      </w:r>
      <w:r w:rsidR="00527197">
        <w:t>sector</w:t>
      </w:r>
      <w:r>
        <w:t>s as ASIC focuses its resources where they are needed most;</w:t>
      </w:r>
    </w:p>
    <w:p w14:paraId="41629078" w14:textId="2544CFC4" w:rsidR="00883F8B" w:rsidRDefault="00883F8B" w:rsidP="0033187E">
      <w:pPr>
        <w:pStyle w:val="ListParagraph"/>
        <w:numPr>
          <w:ilvl w:val="0"/>
          <w:numId w:val="12"/>
        </w:numPr>
      </w:pPr>
      <w:r>
        <w:lastRenderedPageBreak/>
        <w:t xml:space="preserve">structural changes in ASIC’s regulated population, such as changes in the number of regulated entities in each </w:t>
      </w:r>
      <w:r w:rsidR="00F33074">
        <w:t>sub</w:t>
      </w:r>
      <w:r w:rsidR="00F33074">
        <w:noBreakHyphen/>
        <w:t>sector</w:t>
      </w:r>
      <w:r>
        <w:t>;</w:t>
      </w:r>
      <w:r w:rsidR="00C2175D">
        <w:t xml:space="preserve"> and</w:t>
      </w:r>
    </w:p>
    <w:p w14:paraId="7D4D2042" w14:textId="00DFAD1D" w:rsidR="00883F8B" w:rsidRDefault="00883F8B" w:rsidP="0033187E">
      <w:pPr>
        <w:pStyle w:val="ListParagraph"/>
        <w:numPr>
          <w:ilvl w:val="0"/>
          <w:numId w:val="12"/>
        </w:numPr>
      </w:pPr>
      <w:r>
        <w:t xml:space="preserve">enforcement activity and the associated increase/decrease in indirect costs. </w:t>
      </w:r>
    </w:p>
    <w:p w14:paraId="3BB10BE9" w14:textId="3AE83A1B" w:rsidR="007C0875" w:rsidRDefault="007C0875" w:rsidP="007C0875">
      <w:r w:rsidRPr="00E15EA3">
        <w:t>Since the commencement of the IFM, the amount recovered through levies has increased by $</w:t>
      </w:r>
      <w:r w:rsidR="00F53F86" w:rsidRPr="00360713">
        <w:t>77.5</w:t>
      </w:r>
      <w:r w:rsidRPr="00E15EA3">
        <w:t> million or 3</w:t>
      </w:r>
      <w:r w:rsidR="00013712" w:rsidRPr="00360713">
        <w:t>3</w:t>
      </w:r>
      <w:r w:rsidRPr="00E15EA3">
        <w:t> per cent (as at 2020-21)</w:t>
      </w:r>
      <w:r w:rsidR="005024C8" w:rsidRPr="00E15EA3">
        <w:t xml:space="preserve">, with the </w:t>
      </w:r>
      <w:r w:rsidR="00370D20" w:rsidRPr="00E15EA3">
        <w:t xml:space="preserve">population of leviable entities </w:t>
      </w:r>
      <w:r w:rsidR="00015472" w:rsidRPr="00E15EA3">
        <w:t>declin</w:t>
      </w:r>
      <w:r w:rsidR="001F372D" w:rsidRPr="00E15EA3">
        <w:t>ing</w:t>
      </w:r>
      <w:r w:rsidR="00015472" w:rsidRPr="00E15EA3">
        <w:t xml:space="preserve"> by </w:t>
      </w:r>
      <w:r w:rsidR="0081586F">
        <w:t>4</w:t>
      </w:r>
      <w:r w:rsidR="0081586F" w:rsidRPr="00E15EA3">
        <w:t xml:space="preserve"> </w:t>
      </w:r>
      <w:r w:rsidR="00015472" w:rsidRPr="00E15EA3">
        <w:t>per cent</w:t>
      </w:r>
      <w:r w:rsidR="00370D20" w:rsidRPr="00E15EA3">
        <w:t xml:space="preserve"> across the period</w:t>
      </w:r>
      <w:r w:rsidR="003A1974" w:rsidRPr="00E15EA3">
        <w:t>.</w:t>
      </w:r>
      <w:r w:rsidR="00581211" w:rsidRPr="00E15EA3">
        <w:t xml:space="preserve"> </w:t>
      </w:r>
    </w:p>
    <w:p w14:paraId="6789338F" w14:textId="6EAC0C6C" w:rsidR="00B74E42" w:rsidRDefault="00B74E42" w:rsidP="00C63750">
      <w:r w:rsidRPr="006548CA">
        <w:t xml:space="preserve">Since the commencement of the IFM, </w:t>
      </w:r>
      <w:r w:rsidRPr="00957FE1">
        <w:t>50</w:t>
      </w:r>
      <w:r w:rsidRPr="006548CA">
        <w:t xml:space="preserve"> </w:t>
      </w:r>
      <w:r w:rsidRPr="00360713">
        <w:t xml:space="preserve">different </w:t>
      </w:r>
      <w:r w:rsidR="00F33074">
        <w:t>sub</w:t>
      </w:r>
      <w:r w:rsidR="00F33074">
        <w:noBreakHyphen/>
      </w:r>
      <w:r>
        <w:t>sector</w:t>
      </w:r>
      <w:r w:rsidRPr="006548CA">
        <w:t>s have experienced either a decrease or increase of 20 per cent or more in their levy amounts year-on-year</w:t>
      </w:r>
      <w:r w:rsidR="0081586F">
        <w:t>,</w:t>
      </w:r>
      <w:r w:rsidR="002308C0">
        <w:t xml:space="preserve"> with </w:t>
      </w:r>
      <w:r w:rsidR="00104101" w:rsidRPr="00B74E42">
        <w:t xml:space="preserve">40 </w:t>
      </w:r>
      <w:r w:rsidR="00F33074">
        <w:t>sub</w:t>
      </w:r>
      <w:r w:rsidR="00F33074">
        <w:noBreakHyphen/>
      </w:r>
      <w:r w:rsidR="00104101" w:rsidRPr="00B74E42">
        <w:t>sectors experienc</w:t>
      </w:r>
      <w:r w:rsidR="00104101">
        <w:t>ing</w:t>
      </w:r>
      <w:r w:rsidR="00104101" w:rsidRPr="00B74E42">
        <w:t xml:space="preserve"> this </w:t>
      </w:r>
      <w:r w:rsidR="00F61415">
        <w:t xml:space="preserve">level of </w:t>
      </w:r>
      <w:r w:rsidR="00104101" w:rsidRPr="00B74E42">
        <w:t>volatility in multiple years</w:t>
      </w:r>
      <w:r w:rsidR="00104101">
        <w:t>.</w:t>
      </w:r>
      <w:r w:rsidR="002308C0">
        <w:t xml:space="preserve"> </w:t>
      </w:r>
      <w:r w:rsidR="00104101">
        <w:t>V</w:t>
      </w:r>
      <w:r w:rsidRPr="00B74E42">
        <w:t xml:space="preserve">olatility is more prominent in certain </w:t>
      </w:r>
      <w:r w:rsidR="00F33074">
        <w:t>sub</w:t>
      </w:r>
      <w:r w:rsidR="00F33074">
        <w:noBreakHyphen/>
      </w:r>
      <w:r w:rsidRPr="00B74E42">
        <w:t xml:space="preserve">sectors. Since the commencement of the IFM, 17 different </w:t>
      </w:r>
      <w:r w:rsidR="00F33074">
        <w:t>sub</w:t>
      </w:r>
      <w:r w:rsidR="00F33074">
        <w:noBreakHyphen/>
      </w:r>
      <w:r w:rsidRPr="00B74E42">
        <w:t xml:space="preserve">sectors have experienced more than a 100 per cent increase in their levy </w:t>
      </w:r>
      <w:r w:rsidR="00EF787F">
        <w:t>compared to</w:t>
      </w:r>
      <w:r w:rsidR="00EF787F" w:rsidRPr="00B74E42">
        <w:t xml:space="preserve"> </w:t>
      </w:r>
      <w:r w:rsidRPr="00B74E42">
        <w:t>the previous year.</w:t>
      </w:r>
    </w:p>
    <w:p w14:paraId="4BAE2AF7" w14:textId="2E02D542" w:rsidR="002F796C" w:rsidRPr="00E15C20" w:rsidRDefault="00C40B60">
      <w:r w:rsidRPr="00D57CBE">
        <w:t>The</w:t>
      </w:r>
      <w:r w:rsidR="00C63750" w:rsidRPr="00D57CBE">
        <w:t xml:space="preserve"> key driver of </w:t>
      </w:r>
      <w:r w:rsidR="00EB79E6" w:rsidRPr="00D57CBE">
        <w:t>volatility</w:t>
      </w:r>
      <w:r w:rsidR="00C63750" w:rsidRPr="00D57CBE">
        <w:t xml:space="preserve"> is enforcement and the associated indirect costs that support enforcement activity</w:t>
      </w:r>
      <w:r w:rsidR="00885A02" w:rsidRPr="00D57CBE" w:rsidDel="00603D49">
        <w:t xml:space="preserve">, followed by </w:t>
      </w:r>
      <w:r w:rsidR="008B7A13" w:rsidRPr="00D57CBE" w:rsidDel="00603D49">
        <w:t>capital expenditure</w:t>
      </w:r>
      <w:r w:rsidR="00C63750" w:rsidRPr="00D57CBE" w:rsidDel="00603D49">
        <w:t>.</w:t>
      </w:r>
      <w:r w:rsidR="00F43180" w:rsidRPr="00D57CBE">
        <w:t xml:space="preserve"> Of the 50 </w:t>
      </w:r>
      <w:r w:rsidR="00F33074">
        <w:t>sub</w:t>
      </w:r>
      <w:r w:rsidR="00F33074">
        <w:noBreakHyphen/>
      </w:r>
      <w:r w:rsidR="00F43180" w:rsidRPr="00D57CBE">
        <w:t xml:space="preserve">sectors that have experienced either an increase or decrease of 20 per cent or more in their levy amounts year-on-year, </w:t>
      </w:r>
      <w:r w:rsidR="00B57273" w:rsidRPr="00D57CBE">
        <w:t xml:space="preserve">enforcement was the </w:t>
      </w:r>
      <w:r w:rsidR="00DB577A" w:rsidRPr="00D57CBE" w:rsidDel="00603D49">
        <w:t xml:space="preserve">was the single greatest contributor </w:t>
      </w:r>
      <w:r w:rsidR="00017E78">
        <w:t>to</w:t>
      </w:r>
      <w:r w:rsidR="00017E78" w:rsidRPr="00D57CBE" w:rsidDel="00603D49">
        <w:t xml:space="preserve"> </w:t>
      </w:r>
      <w:r w:rsidR="00F33074">
        <w:t>sub</w:t>
      </w:r>
      <w:r w:rsidR="00F33074">
        <w:noBreakHyphen/>
        <w:t>sector</w:t>
      </w:r>
      <w:r w:rsidR="0022337D" w:rsidRPr="00D57CBE" w:rsidDel="00603D49">
        <w:t xml:space="preserve"> volatility in </w:t>
      </w:r>
      <w:r w:rsidR="009E6DFD" w:rsidRPr="00D57CBE">
        <w:t>40</w:t>
      </w:r>
      <w:r w:rsidR="002261BD" w:rsidRPr="00D57CBE" w:rsidDel="00603D49">
        <w:t xml:space="preserve"> </w:t>
      </w:r>
      <w:r w:rsidR="0022337D" w:rsidRPr="00D57CBE" w:rsidDel="00603D49">
        <w:t xml:space="preserve">per cent of </w:t>
      </w:r>
      <w:r w:rsidR="00523E9B" w:rsidRPr="00D57CBE" w:rsidDel="00603D49">
        <w:t xml:space="preserve">cases, followed by </w:t>
      </w:r>
      <w:r w:rsidR="009E6DFD" w:rsidRPr="00D57CBE">
        <w:t>supervision</w:t>
      </w:r>
      <w:r w:rsidR="00523E9B" w:rsidRPr="00D57CBE" w:rsidDel="00603D49">
        <w:t xml:space="preserve"> </w:t>
      </w:r>
      <w:r w:rsidR="00FF300B">
        <w:t>and s</w:t>
      </w:r>
      <w:r w:rsidR="008734D5">
        <w:t xml:space="preserve">urveillance </w:t>
      </w:r>
      <w:r w:rsidR="00523E9B" w:rsidRPr="00D57CBE" w:rsidDel="00603D49">
        <w:t xml:space="preserve">in </w:t>
      </w:r>
      <w:r w:rsidR="00C3605F" w:rsidRPr="00D57CBE">
        <w:t>23</w:t>
      </w:r>
      <w:r w:rsidR="00523E9B" w:rsidRPr="00D57CBE" w:rsidDel="00603D49">
        <w:t xml:space="preserve"> per cent of cases</w:t>
      </w:r>
      <w:r w:rsidR="0022337D" w:rsidRPr="00D57CBE" w:rsidDel="00603D49">
        <w:t>.</w:t>
      </w:r>
      <w:r w:rsidR="00DB577A" w:rsidDel="00603D49">
        <w:rPr>
          <w:rStyle w:val="FootnoteReference"/>
        </w:rPr>
        <w:footnoteReference w:id="12"/>
      </w:r>
    </w:p>
    <w:p w14:paraId="781CA649" w14:textId="110CD339" w:rsidR="00412403" w:rsidRDefault="00745826" w:rsidP="00C63750">
      <w:r>
        <w:t xml:space="preserve">The </w:t>
      </w:r>
      <w:r w:rsidR="00F33074">
        <w:t>sub</w:t>
      </w:r>
      <w:r w:rsidR="00F33074">
        <w:noBreakHyphen/>
      </w:r>
      <w:r w:rsidR="00527197">
        <w:t>sector</w:t>
      </w:r>
      <w:r>
        <w:t xml:space="preserve">s that experience </w:t>
      </w:r>
      <w:r w:rsidR="00267506">
        <w:t xml:space="preserve">a </w:t>
      </w:r>
      <w:r>
        <w:t xml:space="preserve">consistent concentration of enforcement costs each year </w:t>
      </w:r>
      <w:r w:rsidRPr="00951366">
        <w:t>(see</w:t>
      </w:r>
      <w:r w:rsidR="005E265A">
        <w:t> </w:t>
      </w:r>
      <w:r w:rsidRPr="00951366">
        <w:rPr>
          <w:i/>
          <w:iCs/>
        </w:rPr>
        <w:t>Enforcement</w:t>
      </w:r>
      <w:r w:rsidRPr="00951366">
        <w:t xml:space="preserve"> section above)</w:t>
      </w:r>
      <w:r>
        <w:t xml:space="preserve"> also experience consistent volatility in levies each year, with enforcement being </w:t>
      </w:r>
      <w:r w:rsidR="004A6073">
        <w:t>the</w:t>
      </w:r>
      <w:r w:rsidR="00C35208">
        <w:t xml:space="preserve"> </w:t>
      </w:r>
      <w:r>
        <w:t xml:space="preserve">key driver. </w:t>
      </w:r>
    </w:p>
    <w:p w14:paraId="387A3C52" w14:textId="5F6AC242" w:rsidR="0041377D" w:rsidRDefault="0041377D" w:rsidP="00C63750">
      <w:r>
        <w:t xml:space="preserve">While certain </w:t>
      </w:r>
      <w:r w:rsidR="00F33074">
        <w:t>sub</w:t>
      </w:r>
      <w:r w:rsidR="00F33074">
        <w:noBreakHyphen/>
      </w:r>
      <w:r w:rsidR="00527197">
        <w:t>sector</w:t>
      </w:r>
      <w:r>
        <w:t>s have consistently experience</w:t>
      </w:r>
      <w:r w:rsidR="00B73D20">
        <w:t>d</w:t>
      </w:r>
      <w:r>
        <w:t xml:space="preserve"> significant volatility in levy amounts </w:t>
      </w:r>
      <w:r w:rsidR="00F40E86">
        <w:t>since the commencement of the IFM</w:t>
      </w:r>
      <w:r>
        <w:t xml:space="preserve">, </w:t>
      </w:r>
      <w:r w:rsidR="00A92949">
        <w:t xml:space="preserve">this could change going forward subject to ASIC’s regulatory priorities which could divert resources and costs to other </w:t>
      </w:r>
      <w:r w:rsidR="00F33074">
        <w:t>sub</w:t>
      </w:r>
      <w:r w:rsidR="00F33074">
        <w:noBreakHyphen/>
      </w:r>
      <w:r w:rsidR="00527197">
        <w:t>sector</w:t>
      </w:r>
      <w:r w:rsidR="00A92949">
        <w:t xml:space="preserve">s. </w:t>
      </w:r>
    </w:p>
    <w:p w14:paraId="407D5C54" w14:textId="33F6834B" w:rsidR="007B5112" w:rsidRPr="00360713" w:rsidDel="00BB212E" w:rsidRDefault="00880680" w:rsidP="00C63750">
      <w:r w:rsidDel="00BB212E">
        <w:t>O</w:t>
      </w:r>
      <w:r w:rsidR="00523368" w:rsidRPr="00523368" w:rsidDel="00BB212E">
        <w:t xml:space="preserve">ther factors not associated with ASIC’s regulatory activity can also contribute to </w:t>
      </w:r>
      <w:r w:rsidR="00036039" w:rsidDel="00BB212E">
        <w:t>fluctuations in levy amounts</w:t>
      </w:r>
      <w:r w:rsidR="00523368" w:rsidRPr="00523368" w:rsidDel="00BB212E">
        <w:t xml:space="preserve"> such as changes in the number of regulated entities in a </w:t>
      </w:r>
      <w:r w:rsidR="00F33074">
        <w:t>sub</w:t>
      </w:r>
      <w:r w:rsidR="00F33074">
        <w:noBreakHyphen/>
        <w:t>sector</w:t>
      </w:r>
      <w:r w:rsidR="00EE5694" w:rsidDel="00BB212E">
        <w:t>.</w:t>
      </w:r>
      <w:r w:rsidR="00523368" w:rsidRPr="00523368" w:rsidDel="00BB212E">
        <w:t xml:space="preserve"> </w:t>
      </w:r>
      <w:r w:rsidR="00EE5694" w:rsidDel="00BB212E">
        <w:t>That is, if</w:t>
      </w:r>
      <w:r w:rsidR="00523368" w:rsidRPr="00523368" w:rsidDel="00BB212E">
        <w:t xml:space="preserve"> the number of entities in a </w:t>
      </w:r>
      <w:r w:rsidR="00F33074">
        <w:t>sub</w:t>
      </w:r>
      <w:r w:rsidR="00F33074">
        <w:noBreakHyphen/>
        <w:t>sector</w:t>
      </w:r>
      <w:r w:rsidR="00523368" w:rsidRPr="00523368" w:rsidDel="00BB212E">
        <w:t xml:space="preserve"> change</w:t>
      </w:r>
      <w:r w:rsidR="00EE5694" w:rsidDel="00BB212E">
        <w:t>s year-on-year, this</w:t>
      </w:r>
      <w:r w:rsidR="00523368" w:rsidRPr="00523368" w:rsidDel="00BB212E">
        <w:t xml:space="preserve"> will impact levy amounts paid by individual entities (even if the total regulatory costs for the </w:t>
      </w:r>
      <w:r w:rsidR="00F33074">
        <w:t>sub</w:t>
      </w:r>
      <w:r w:rsidR="00F33074">
        <w:noBreakHyphen/>
        <w:t>sector</w:t>
      </w:r>
      <w:r w:rsidR="00523368" w:rsidRPr="00523368" w:rsidDel="00BB212E">
        <w:t xml:space="preserve"> do</w:t>
      </w:r>
      <w:r w:rsidR="00F478D1" w:rsidDel="00BB212E">
        <w:t xml:space="preserve"> not</w:t>
      </w:r>
      <w:r w:rsidR="00523368" w:rsidRPr="00523368" w:rsidDel="00BB212E">
        <w:t xml:space="preserve"> change</w:t>
      </w:r>
      <w:r w:rsidR="00EE5694" w:rsidDel="00BB212E">
        <w:t xml:space="preserve"> across years</w:t>
      </w:r>
      <w:r w:rsidR="00523368" w:rsidRPr="00523368" w:rsidDel="00BB212E">
        <w:t>).</w:t>
      </w:r>
      <w:r w:rsidR="008B76CD" w:rsidDel="00BB212E">
        <w:t xml:space="preserve"> </w:t>
      </w:r>
    </w:p>
    <w:p w14:paraId="7A3A03C3" w14:textId="1D9D9A58" w:rsidR="004C1AEC" w:rsidRDefault="004C1AEC" w:rsidP="00163B5F">
      <w:pPr>
        <w:pStyle w:val="Heading4"/>
      </w:pPr>
      <w:r>
        <w:t>Managing and reducing volatility</w:t>
      </w:r>
    </w:p>
    <w:p w14:paraId="3430CC62" w14:textId="0EFD8E77" w:rsidR="003B27E4" w:rsidRDefault="001A3894" w:rsidP="003B27E4">
      <w:r>
        <w:t>S</w:t>
      </w:r>
      <w:r w:rsidR="00CE07BC">
        <w:t xml:space="preserve">ome </w:t>
      </w:r>
      <w:r w:rsidR="00C1750F">
        <w:t>Government agencies</w:t>
      </w:r>
      <w:r w:rsidR="00CE07BC">
        <w:t xml:space="preserve"> have mechanism</w:t>
      </w:r>
      <w:r w:rsidR="00C1750F">
        <w:t xml:space="preserve">s built into their </w:t>
      </w:r>
      <w:r w:rsidR="00735CCE">
        <w:t>industry funding models</w:t>
      </w:r>
      <w:r>
        <w:t xml:space="preserve"> to manage volatility in levy amounts</w:t>
      </w:r>
      <w:r w:rsidR="00601D8E">
        <w:t xml:space="preserve"> by </w:t>
      </w:r>
      <w:r w:rsidR="008A7E1A">
        <w:t>spread</w:t>
      </w:r>
      <w:r w:rsidR="00601D8E">
        <w:t xml:space="preserve">ing costs over </w:t>
      </w:r>
      <w:r w:rsidR="008F03B5">
        <w:t>wider</w:t>
      </w:r>
      <w:r w:rsidR="00601D8E">
        <w:t xml:space="preserve"> population</w:t>
      </w:r>
      <w:r w:rsidR="008F03B5">
        <w:t xml:space="preserve"> groups</w:t>
      </w:r>
      <w:r w:rsidR="00601D8E">
        <w:t xml:space="preserve"> or over time</w:t>
      </w:r>
      <w:r w:rsidR="00735CCE">
        <w:t xml:space="preserve">. </w:t>
      </w:r>
      <w:r w:rsidR="005F7082">
        <w:t>Generally, c</w:t>
      </w:r>
      <w:r w:rsidR="003B27E4">
        <w:t xml:space="preserve">osts recovered through </w:t>
      </w:r>
      <w:r w:rsidR="00B4203B">
        <w:t>this approach</w:t>
      </w:r>
      <w:r w:rsidR="003B27E4">
        <w:t xml:space="preserve"> are not governed by the Charging Framework as they would be considered a statutory levy (that is, where the Government has decided there should be cross</w:t>
      </w:r>
      <w:r w:rsidR="002E3731">
        <w:noBreakHyphen/>
      </w:r>
      <w:r w:rsidR="003B27E4">
        <w:t>subsidisation). However, t</w:t>
      </w:r>
      <w:r w:rsidR="003B27E4" w:rsidRPr="00C247FA">
        <w:t>his approach allows for simple administration</w:t>
      </w:r>
      <w:r w:rsidR="003B27E4">
        <w:t xml:space="preserve"> and </w:t>
      </w:r>
      <w:r w:rsidR="003B27E4" w:rsidRPr="00C247FA">
        <w:t>price stability</w:t>
      </w:r>
      <w:r w:rsidR="003B27E4">
        <w:t xml:space="preserve">. </w:t>
      </w:r>
    </w:p>
    <w:p w14:paraId="7DE0C649" w14:textId="0078FBCC" w:rsidR="006071A4" w:rsidRDefault="00024718">
      <w:r>
        <w:t xml:space="preserve">For example, </w:t>
      </w:r>
      <w:r w:rsidR="004F05B7">
        <w:t>the Australian Prudential Regulation Authority (</w:t>
      </w:r>
      <w:r>
        <w:t>APRA</w:t>
      </w:r>
      <w:r w:rsidR="004F05B7">
        <w:t>)</w:t>
      </w:r>
      <w:r>
        <w:t xml:space="preserve"> </w:t>
      </w:r>
      <w:r w:rsidR="009851A3">
        <w:t xml:space="preserve">smooths the allocation of costs </w:t>
      </w:r>
      <w:r w:rsidR="000944F8">
        <w:t>using</w:t>
      </w:r>
      <w:r w:rsidR="009851A3">
        <w:t xml:space="preserve"> a four-year rolling average, before costs are allocated to </w:t>
      </w:r>
      <w:r w:rsidR="0004086A">
        <w:t>industry sectors and levies are calculated for entities.</w:t>
      </w:r>
      <w:r w:rsidR="009851A3">
        <w:t xml:space="preserve"> This reduces the volatility in levies charged to industry. </w:t>
      </w:r>
    </w:p>
    <w:p w14:paraId="64D1CDF1" w14:textId="45557DB2" w:rsidR="00E8003A" w:rsidRDefault="00F11DA5">
      <w:r>
        <w:t xml:space="preserve">There are various ways </w:t>
      </w:r>
      <w:r w:rsidR="00040E38">
        <w:t xml:space="preserve">costs could be </w:t>
      </w:r>
      <w:r w:rsidR="00516B14">
        <w:t xml:space="preserve">spread </w:t>
      </w:r>
      <w:r w:rsidR="0019061E">
        <w:t>in</w:t>
      </w:r>
      <w:r>
        <w:t xml:space="preserve"> the ASIC IFM</w:t>
      </w:r>
      <w:r w:rsidR="00EE08F1">
        <w:t xml:space="preserve"> to help manage or reduce volatility</w:t>
      </w:r>
      <w:r w:rsidR="00D60EC9">
        <w:t xml:space="preserve">. </w:t>
      </w:r>
      <w:r w:rsidR="00C13F9C">
        <w:t>For</w:t>
      </w:r>
      <w:r w:rsidR="00CE4896">
        <w:t> </w:t>
      </w:r>
      <w:r w:rsidR="00C13F9C">
        <w:t xml:space="preserve">example, </w:t>
      </w:r>
      <w:r w:rsidR="00993D18">
        <w:t xml:space="preserve">spreading </w:t>
      </w:r>
      <w:r w:rsidR="00C13F9C">
        <w:t>costs over time</w:t>
      </w:r>
      <w:r w:rsidR="00EE08F1">
        <w:t xml:space="preserve">, </w:t>
      </w:r>
      <w:r w:rsidR="00C13F9C">
        <w:t>across a wider populatio</w:t>
      </w:r>
      <w:r w:rsidR="00EE08F1">
        <w:t xml:space="preserve">n or only </w:t>
      </w:r>
      <w:r w:rsidR="00993D18">
        <w:t xml:space="preserve">spreading </w:t>
      </w:r>
      <w:r w:rsidR="00EE08F1">
        <w:t xml:space="preserve">certain </w:t>
      </w:r>
      <w:r w:rsidR="00DE3EAD">
        <w:t>volatile</w:t>
      </w:r>
      <w:r w:rsidR="00EE08F1">
        <w:t xml:space="preserve"> costs such as </w:t>
      </w:r>
      <w:r w:rsidR="005E1A50" w:rsidRPr="004A19F1">
        <w:t>‘</w:t>
      </w:r>
      <w:r w:rsidR="005E1A50">
        <w:t>b</w:t>
      </w:r>
      <w:r w:rsidR="005E1A50" w:rsidRPr="008E4EA3">
        <w:t>usiness as usual’</w:t>
      </w:r>
      <w:r w:rsidR="00EE08F1">
        <w:t xml:space="preserve"> enforcement</w:t>
      </w:r>
      <w:r w:rsidR="006546F7">
        <w:t xml:space="preserve"> costs (noting </w:t>
      </w:r>
      <w:r w:rsidR="00D26710">
        <w:t>ESA</w:t>
      </w:r>
      <w:r w:rsidR="009A3188">
        <w:t xml:space="preserve"> costs</w:t>
      </w:r>
      <w:r w:rsidR="00466256">
        <w:t xml:space="preserve"> are recovered using</w:t>
      </w:r>
      <w:r w:rsidR="00466256" w:rsidRPr="008C191D">
        <w:t xml:space="preserve"> a three-year rolling average</w:t>
      </w:r>
      <w:r w:rsidR="009A3188">
        <w:t>)</w:t>
      </w:r>
      <w:r w:rsidR="00EE08F1">
        <w:t xml:space="preserve">. </w:t>
      </w:r>
    </w:p>
    <w:p w14:paraId="7E68291A" w14:textId="471209A2" w:rsidR="00AD7D34" w:rsidRDefault="00690A93">
      <w:r>
        <w:t xml:space="preserve">This would result </w:t>
      </w:r>
      <w:r w:rsidR="00470C15">
        <w:t xml:space="preserve">in increased cross-subsidisation over time or across different parts of ASIC’s regulated population. </w:t>
      </w:r>
      <w:r w:rsidR="00877447">
        <w:t xml:space="preserve">That is, </w:t>
      </w:r>
      <w:r w:rsidR="002F25D1">
        <w:t xml:space="preserve">introducing </w:t>
      </w:r>
      <w:r w:rsidR="00686A39">
        <w:t>this approach to manage volatility</w:t>
      </w:r>
      <w:r w:rsidR="00BD580A">
        <w:t xml:space="preserve"> in levy amounts</w:t>
      </w:r>
      <w:r w:rsidR="002F25D1">
        <w:t xml:space="preserve"> </w:t>
      </w:r>
      <w:r w:rsidR="00B05607">
        <w:t>would</w:t>
      </w:r>
      <w:r w:rsidR="002F25D1">
        <w:t xml:space="preserve"> </w:t>
      </w:r>
      <w:r w:rsidR="002F25D1">
        <w:lastRenderedPageBreak/>
        <w:t xml:space="preserve">change where the cost burden sits </w:t>
      </w:r>
      <w:r w:rsidR="00E4621D">
        <w:t xml:space="preserve">and </w:t>
      </w:r>
      <w:r w:rsidR="00B05607">
        <w:t>would</w:t>
      </w:r>
      <w:r w:rsidR="00E4621D">
        <w:t xml:space="preserve"> result in </w:t>
      </w:r>
      <w:r w:rsidR="00B44B07">
        <w:t xml:space="preserve">entities </w:t>
      </w:r>
      <w:r w:rsidR="0072322D">
        <w:t xml:space="preserve">paying for the cost of regulation for entities in the past or </w:t>
      </w:r>
      <w:r w:rsidR="001E7F6B">
        <w:t xml:space="preserve">other entities across industry. </w:t>
      </w:r>
    </w:p>
    <w:p w14:paraId="5A29F3D3" w14:textId="7F09E7BD" w:rsidR="00F77212" w:rsidRDefault="00DD59A3">
      <w:pPr>
        <w:rPr>
          <w:lang w:eastAsia="en-US"/>
        </w:rPr>
      </w:pPr>
      <w:r w:rsidDel="005F3536">
        <w:t>While t</w:t>
      </w:r>
      <w:r>
        <w:t>he example</w:t>
      </w:r>
      <w:r w:rsidR="00795FAE">
        <w:t>s</w:t>
      </w:r>
      <w:r w:rsidR="005F3536">
        <w:t xml:space="preserve"> provided below </w:t>
      </w:r>
      <w:r w:rsidR="00795FAE">
        <w:t>are</w:t>
      </w:r>
      <w:r>
        <w:t xml:space="preserve"> aimed at managing and reducing volatility </w:t>
      </w:r>
      <w:r w:rsidR="000824F9">
        <w:t>for entities</w:t>
      </w:r>
      <w:r>
        <w:t xml:space="preserve"> (that is, making levy amounts more stable across years)</w:t>
      </w:r>
      <w:r w:rsidR="00B53B86">
        <w:t>,</w:t>
      </w:r>
      <w:r w:rsidR="00794966">
        <w:t xml:space="preserve"> </w:t>
      </w:r>
      <w:r w:rsidR="00794966">
        <w:rPr>
          <w:lang w:eastAsia="en-US"/>
        </w:rPr>
        <w:t>a</w:t>
      </w:r>
      <w:r w:rsidR="00AD7D34">
        <w:rPr>
          <w:lang w:eastAsia="en-US"/>
        </w:rPr>
        <w:t xml:space="preserve">ny </w:t>
      </w:r>
      <w:r w:rsidR="00127CBD">
        <w:rPr>
          <w:lang w:eastAsia="en-US"/>
        </w:rPr>
        <w:t xml:space="preserve">approach </w:t>
      </w:r>
      <w:r w:rsidR="00E5029E">
        <w:rPr>
          <w:lang w:eastAsia="en-US"/>
        </w:rPr>
        <w:t>taken to spread costs</w:t>
      </w:r>
      <w:r w:rsidR="00C4184C">
        <w:rPr>
          <w:lang w:eastAsia="en-US"/>
        </w:rPr>
        <w:t xml:space="preserve"> </w:t>
      </w:r>
      <w:r w:rsidR="00AD7D34">
        <w:rPr>
          <w:lang w:eastAsia="en-US"/>
        </w:rPr>
        <w:t xml:space="preserve">would result in </w:t>
      </w:r>
      <w:r w:rsidR="00DB096E">
        <w:rPr>
          <w:lang w:eastAsia="en-US"/>
        </w:rPr>
        <w:t>either a</w:t>
      </w:r>
      <w:r w:rsidR="00AD7D34">
        <w:rPr>
          <w:lang w:eastAsia="en-US"/>
        </w:rPr>
        <w:t xml:space="preserve"> levy reduction </w:t>
      </w:r>
      <w:r w:rsidR="00DB096E">
        <w:rPr>
          <w:lang w:eastAsia="en-US"/>
        </w:rPr>
        <w:t>or</w:t>
      </w:r>
      <w:r w:rsidR="00AD7D34">
        <w:rPr>
          <w:lang w:eastAsia="en-US"/>
        </w:rPr>
        <w:t xml:space="preserve"> increase for different </w:t>
      </w:r>
      <w:r w:rsidR="00BD05B5">
        <w:rPr>
          <w:lang w:eastAsia="en-US"/>
        </w:rPr>
        <w:t xml:space="preserve">entities </w:t>
      </w:r>
      <w:r w:rsidR="00AD7D34">
        <w:rPr>
          <w:lang w:eastAsia="en-US"/>
        </w:rPr>
        <w:t>relative to the current approach</w:t>
      </w:r>
      <w:r>
        <w:rPr>
          <w:lang w:eastAsia="en-US"/>
        </w:rPr>
        <w:t>.</w:t>
      </w:r>
      <w:r w:rsidR="000A5671">
        <w:rPr>
          <w:lang w:eastAsia="en-US"/>
        </w:rPr>
        <w:t xml:space="preserve"> </w:t>
      </w:r>
      <w:r w:rsidR="003B3D35">
        <w:rPr>
          <w:lang w:eastAsia="en-US"/>
        </w:rPr>
        <w:t>Additionally, w</w:t>
      </w:r>
      <w:r w:rsidR="00786124">
        <w:rPr>
          <w:lang w:eastAsia="en-US"/>
        </w:rPr>
        <w:t xml:space="preserve">hile </w:t>
      </w:r>
      <w:r w:rsidR="0085712C">
        <w:rPr>
          <w:lang w:eastAsia="en-US"/>
        </w:rPr>
        <w:t xml:space="preserve">the examples below are aimed at addressing </w:t>
      </w:r>
      <w:r w:rsidR="00062AA8">
        <w:rPr>
          <w:lang w:eastAsia="en-US"/>
        </w:rPr>
        <w:t>volatility</w:t>
      </w:r>
      <w:r w:rsidR="00CC237D">
        <w:rPr>
          <w:lang w:eastAsia="en-US"/>
        </w:rPr>
        <w:t xml:space="preserve"> for sub</w:t>
      </w:r>
      <w:r w:rsidR="00ED4CFB">
        <w:rPr>
          <w:lang w:eastAsia="en-US"/>
        </w:rPr>
        <w:noBreakHyphen/>
      </w:r>
      <w:r w:rsidR="00CC237D">
        <w:rPr>
          <w:lang w:eastAsia="en-US"/>
        </w:rPr>
        <w:t xml:space="preserve">sectors </w:t>
      </w:r>
      <w:r w:rsidR="00B072E3">
        <w:rPr>
          <w:lang w:eastAsia="en-US"/>
        </w:rPr>
        <w:t xml:space="preserve">that have been the focus of </w:t>
      </w:r>
      <w:r w:rsidR="00C024F1">
        <w:rPr>
          <w:lang w:eastAsia="en-US"/>
        </w:rPr>
        <w:t>strong regulatory oversight</w:t>
      </w:r>
      <w:r w:rsidR="00D16D3A">
        <w:rPr>
          <w:lang w:eastAsia="en-US"/>
        </w:rPr>
        <w:t xml:space="preserve"> and enforcement action</w:t>
      </w:r>
      <w:r w:rsidR="00A411EA">
        <w:rPr>
          <w:lang w:eastAsia="en-US"/>
        </w:rPr>
        <w:t xml:space="preserve"> (and have therefore face</w:t>
      </w:r>
      <w:r w:rsidR="00755712">
        <w:rPr>
          <w:lang w:eastAsia="en-US"/>
        </w:rPr>
        <w:t>d</w:t>
      </w:r>
      <w:r w:rsidR="00A411EA">
        <w:rPr>
          <w:lang w:eastAsia="en-US"/>
        </w:rPr>
        <w:t xml:space="preserve"> higher costs)</w:t>
      </w:r>
      <w:r w:rsidR="00C024F1">
        <w:rPr>
          <w:lang w:eastAsia="en-US"/>
        </w:rPr>
        <w:t xml:space="preserve"> in recent years</w:t>
      </w:r>
      <w:r w:rsidR="00786124">
        <w:rPr>
          <w:lang w:eastAsia="en-US"/>
        </w:rPr>
        <w:t>, this focus may shift in future to other sub-sectors</w:t>
      </w:r>
      <w:r w:rsidR="0095203E">
        <w:rPr>
          <w:lang w:eastAsia="en-US"/>
        </w:rPr>
        <w:t xml:space="preserve">. </w:t>
      </w:r>
    </w:p>
    <w:p w14:paraId="5386FCF4" w14:textId="72A80D8A" w:rsidR="00AC68BE" w:rsidRDefault="006D1971">
      <w:r>
        <w:t xml:space="preserve">Furthermore, </w:t>
      </w:r>
      <w:r w:rsidR="00DC1D67">
        <w:t xml:space="preserve">while the degree of volatility would be </w:t>
      </w:r>
      <w:r w:rsidR="00DC5D8F">
        <w:t>reduced</w:t>
      </w:r>
      <w:r w:rsidR="00DC1D67">
        <w:t>, there w</w:t>
      </w:r>
      <w:r w:rsidR="00B53B86">
        <w:t>ould</w:t>
      </w:r>
      <w:r w:rsidR="00DC1D67">
        <w:t xml:space="preserve"> still be </w:t>
      </w:r>
      <w:r w:rsidR="00C030DD">
        <w:t>a level of</w:t>
      </w:r>
      <w:r w:rsidR="00DC1D67">
        <w:t xml:space="preserve"> volatility in levy amounts </w:t>
      </w:r>
      <w:r w:rsidR="002040C5">
        <w:t>for entities</w:t>
      </w:r>
      <w:r w:rsidR="00DC1D67">
        <w:t xml:space="preserve"> </w:t>
      </w:r>
      <w:r w:rsidR="005950F4">
        <w:t>each year</w:t>
      </w:r>
      <w:r w:rsidR="00DC1D67">
        <w:t xml:space="preserve"> impacted </w:t>
      </w:r>
      <w:r w:rsidR="00B46531">
        <w:t>by</w:t>
      </w:r>
      <w:r w:rsidR="00DC1D67">
        <w:t xml:space="preserve"> factors such as the level of ASIC’s funding</w:t>
      </w:r>
      <w:r w:rsidR="001E44E1">
        <w:t xml:space="preserve"> and regulatory focus</w:t>
      </w:r>
      <w:r w:rsidR="00DC1D67" w:rsidDel="001F07DF">
        <w:t>,</w:t>
      </w:r>
      <w:r w:rsidR="001E44E1">
        <w:t xml:space="preserve"> and</w:t>
      </w:r>
      <w:r w:rsidR="00DC1D67">
        <w:t xml:space="preserve"> </w:t>
      </w:r>
      <w:r w:rsidR="000B54E4">
        <w:t xml:space="preserve">the </w:t>
      </w:r>
      <w:r w:rsidR="001E44E1">
        <w:t>total</w:t>
      </w:r>
      <w:r w:rsidR="000B54E4">
        <w:t xml:space="preserve"> number of leviable entities</w:t>
      </w:r>
      <w:r w:rsidR="00B46531">
        <w:t xml:space="preserve"> </w:t>
      </w:r>
      <w:r w:rsidR="001E44E1">
        <w:t xml:space="preserve">within the relevant population. </w:t>
      </w:r>
      <w:r w:rsidR="00B46531">
        <w:t xml:space="preserve"> </w:t>
      </w:r>
    </w:p>
    <w:p w14:paraId="72EADAF3" w14:textId="77777777" w:rsidR="00F95C80" w:rsidRDefault="00F95C80"/>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BD0BB3" w14:paraId="4046499E" w14:textId="77777777" w:rsidTr="00AA2ECB">
        <w:tc>
          <w:tcPr>
            <w:tcW w:w="5000" w:type="pct"/>
            <w:shd w:val="clear" w:color="auto" w:fill="F2F9FC"/>
            <w:hideMark/>
          </w:tcPr>
          <w:p w14:paraId="6781C4A5" w14:textId="453526D1" w:rsidR="00BD0BB3" w:rsidRDefault="00CD2F5D" w:rsidP="00BD0BB3">
            <w:pPr>
              <w:pStyle w:val="BoxHeading"/>
              <w:numPr>
                <w:ilvl w:val="0"/>
                <w:numId w:val="0"/>
              </w:numPr>
              <w:rPr>
                <w:szCs w:val="28"/>
                <w:lang w:eastAsia="en-US"/>
              </w:rPr>
            </w:pPr>
            <w:r>
              <w:rPr>
                <w:szCs w:val="28"/>
                <w:lang w:eastAsia="en-US"/>
              </w:rPr>
              <w:t xml:space="preserve">2: </w:t>
            </w:r>
            <w:r w:rsidR="00BD0BB3" w:rsidRPr="00CD6980">
              <w:rPr>
                <w:szCs w:val="28"/>
                <w:lang w:eastAsia="en-US"/>
              </w:rPr>
              <w:t>Example</w:t>
            </w:r>
            <w:r w:rsidR="00BD0BB3">
              <w:rPr>
                <w:szCs w:val="28"/>
                <w:lang w:eastAsia="en-US"/>
              </w:rPr>
              <w:t>s of alternative approaches to distribute costs</w:t>
            </w:r>
            <w:r w:rsidR="00BD0BB3" w:rsidRPr="00CD6980">
              <w:rPr>
                <w:rStyle w:val="FootnoteReference"/>
                <w:szCs w:val="28"/>
                <w:lang w:eastAsia="en-US"/>
              </w:rPr>
              <w:footnoteReference w:id="13"/>
            </w:r>
          </w:p>
          <w:p w14:paraId="7861D650" w14:textId="77777777" w:rsidR="00BD0BB3" w:rsidRDefault="00BD0BB3" w:rsidP="00BD0BB3">
            <w:pPr>
              <w:pStyle w:val="BoxText"/>
              <w:rPr>
                <w:b/>
                <w:bCs/>
                <w:lang w:eastAsia="en-US"/>
              </w:rPr>
            </w:pPr>
            <w:r>
              <w:rPr>
                <w:b/>
                <w:bCs/>
                <w:lang w:eastAsia="en-US"/>
              </w:rPr>
              <w:t xml:space="preserve">Example 1: Spread costs for a sub-sector over time  </w:t>
            </w:r>
          </w:p>
          <w:p w14:paraId="5C67BC3D" w14:textId="77777777" w:rsidR="00BD0BB3" w:rsidRDefault="00BD0BB3" w:rsidP="00BD0BB3">
            <w:pPr>
              <w:pStyle w:val="BoxText"/>
              <w:rPr>
                <w:lang w:eastAsia="en-US"/>
              </w:rPr>
            </w:pPr>
            <w:r w:rsidRPr="00812AEF">
              <w:rPr>
                <w:lang w:eastAsia="en-US"/>
              </w:rPr>
              <w:t>S</w:t>
            </w:r>
            <w:r>
              <w:rPr>
                <w:lang w:eastAsia="en-US"/>
              </w:rPr>
              <w:t>pread</w:t>
            </w:r>
            <w:r w:rsidRPr="00812AEF">
              <w:rPr>
                <w:lang w:eastAsia="en-US"/>
              </w:rPr>
              <w:t xml:space="preserve"> </w:t>
            </w:r>
            <w:r>
              <w:rPr>
                <w:lang w:eastAsia="en-US"/>
              </w:rPr>
              <w:t xml:space="preserve">all regulatory </w:t>
            </w:r>
            <w:r w:rsidRPr="00812AEF">
              <w:rPr>
                <w:lang w:eastAsia="en-US"/>
              </w:rPr>
              <w:t>costs</w:t>
            </w:r>
            <w:r>
              <w:rPr>
                <w:lang w:eastAsia="en-US"/>
              </w:rPr>
              <w:t xml:space="preserve"> (including all direct and indirect costs)</w:t>
            </w:r>
            <w:r w:rsidRPr="00812AEF">
              <w:rPr>
                <w:lang w:eastAsia="en-US"/>
              </w:rPr>
              <w:t xml:space="preserve"> for a </w:t>
            </w:r>
            <w:r>
              <w:rPr>
                <w:lang w:eastAsia="en-US"/>
              </w:rPr>
              <w:t>sub</w:t>
            </w:r>
            <w:r>
              <w:rPr>
                <w:lang w:eastAsia="en-US"/>
              </w:rPr>
              <w:noBreakHyphen/>
              <w:t>sector</w:t>
            </w:r>
            <w:r w:rsidRPr="00812AEF">
              <w:rPr>
                <w:lang w:eastAsia="en-US"/>
              </w:rPr>
              <w:t xml:space="preserve"> </w:t>
            </w:r>
            <w:r>
              <w:rPr>
                <w:lang w:eastAsia="en-US"/>
              </w:rPr>
              <w:t>based on the average proportion of effort expended in the sub</w:t>
            </w:r>
            <w:r>
              <w:rPr>
                <w:lang w:eastAsia="en-US"/>
              </w:rPr>
              <w:noBreakHyphen/>
              <w:t>sector in previous years</w:t>
            </w:r>
            <w:r w:rsidRPr="00812AEF">
              <w:rPr>
                <w:lang w:eastAsia="en-US"/>
              </w:rPr>
              <w:t xml:space="preserve"> (e.g. a three-year </w:t>
            </w:r>
            <w:r>
              <w:rPr>
                <w:lang w:eastAsia="en-US"/>
              </w:rPr>
              <w:t xml:space="preserve">rolling </w:t>
            </w:r>
            <w:r w:rsidRPr="00812AEF">
              <w:rPr>
                <w:lang w:eastAsia="en-US"/>
              </w:rPr>
              <w:t>average)</w:t>
            </w:r>
            <w:r>
              <w:rPr>
                <w:lang w:eastAsia="en-US"/>
              </w:rPr>
              <w:t xml:space="preserve"> relative to total regulatory effort.</w:t>
            </w:r>
          </w:p>
          <w:p w14:paraId="12AD4FB2" w14:textId="3DBC0364" w:rsidR="00BD0BB3" w:rsidRDefault="00BD0BB3" w:rsidP="00BD0BB3">
            <w:pPr>
              <w:pStyle w:val="BoxText"/>
              <w:numPr>
                <w:ilvl w:val="0"/>
                <w:numId w:val="14"/>
              </w:numPr>
              <w:rPr>
                <w:lang w:eastAsia="en-US"/>
              </w:rPr>
            </w:pPr>
            <w:r>
              <w:rPr>
                <w:lang w:eastAsia="en-US"/>
              </w:rPr>
              <w:t xml:space="preserve">This would result in levy amounts for sub-sectors being based on the costs relating to regulatory activity which occurred in the past. </w:t>
            </w:r>
          </w:p>
          <w:p w14:paraId="1DD729D8" w14:textId="77777777" w:rsidR="00BD0BB3" w:rsidRDefault="00BD0BB3" w:rsidP="00BD0BB3">
            <w:pPr>
              <w:pStyle w:val="BoxText"/>
              <w:numPr>
                <w:ilvl w:val="0"/>
                <w:numId w:val="33"/>
              </w:numPr>
              <w:rPr>
                <w:lang w:eastAsia="en-US"/>
              </w:rPr>
            </w:pPr>
            <w:r>
              <w:rPr>
                <w:lang w:eastAsia="en-US"/>
              </w:rPr>
              <w:t>Sub</w:t>
            </w:r>
            <w:r>
              <w:rPr>
                <w:lang w:eastAsia="en-US"/>
              </w:rPr>
              <w:noBreakHyphen/>
              <w:t>sectors would also be subsidising the costs of other sub</w:t>
            </w:r>
            <w:r>
              <w:rPr>
                <w:lang w:eastAsia="en-US"/>
              </w:rPr>
              <w:noBreakHyphen/>
              <w:t xml:space="preserve">sectors in any given year to enable ASIC’s total regulatory costs to be recovered each year. </w:t>
            </w:r>
          </w:p>
          <w:p w14:paraId="626D1690" w14:textId="77777777" w:rsidR="00BD0BB3" w:rsidRDefault="00BD0BB3" w:rsidP="00BD0BB3">
            <w:pPr>
              <w:pStyle w:val="BoxText"/>
              <w:numPr>
                <w:ilvl w:val="0"/>
                <w:numId w:val="14"/>
              </w:numPr>
              <w:rPr>
                <w:lang w:eastAsia="en-US"/>
              </w:rPr>
            </w:pPr>
            <w:r>
              <w:rPr>
                <w:lang w:eastAsia="en-US"/>
              </w:rPr>
              <w:t>While this would mean ASIC’s total regulatory costs are recovered each year, it is unlikely to have a significant impact on volatility as sub</w:t>
            </w:r>
            <w:r>
              <w:rPr>
                <w:lang w:eastAsia="en-US"/>
              </w:rPr>
              <w:noBreakHyphen/>
              <w:t>sectors will still be subject to fluctuations in their levy amounts year-on-year. These fluctuations may be more, less or about the same relative to the current approach depending on the amount of regulatory costs directed to the sub</w:t>
            </w:r>
            <w:r>
              <w:rPr>
                <w:lang w:eastAsia="en-US"/>
              </w:rPr>
              <w:noBreakHyphen/>
              <w:t xml:space="preserve">sector across the relevant time period.  </w:t>
            </w:r>
          </w:p>
          <w:p w14:paraId="1E3DB49A" w14:textId="43A93F01" w:rsidR="00BD0BB3" w:rsidRDefault="00BD0BB3" w:rsidP="00AA2ECB">
            <w:pPr>
              <w:pStyle w:val="BoxText"/>
              <w:numPr>
                <w:ilvl w:val="0"/>
                <w:numId w:val="14"/>
              </w:numPr>
              <w:rPr>
                <w:lang w:eastAsia="en-US"/>
              </w:rPr>
            </w:pPr>
            <w:r>
              <w:rPr>
                <w:lang w:eastAsia="en-US"/>
              </w:rPr>
              <w:t>Other factors, such as ASIC’s total funding from Government and the number of entities in the sub</w:t>
            </w:r>
            <w:r>
              <w:rPr>
                <w:lang w:eastAsia="en-US"/>
              </w:rPr>
              <w:noBreakHyphen/>
              <w:t xml:space="preserve">sector, would also impact the volatility in levy amounts each year.   </w:t>
            </w:r>
          </w:p>
        </w:tc>
      </w:tr>
      <w:tr w:rsidR="009B296F" w14:paraId="747BE729" w14:textId="77777777" w:rsidTr="004D6B60">
        <w:trPr>
          <w:trHeight w:val="768"/>
        </w:trPr>
        <w:tc>
          <w:tcPr>
            <w:tcW w:w="5000" w:type="pct"/>
            <w:shd w:val="clear" w:color="auto" w:fill="F2F9FC"/>
            <w:hideMark/>
          </w:tcPr>
          <w:p w14:paraId="6EC40BDC" w14:textId="77777777" w:rsidR="00951DE8" w:rsidRDefault="00951DE8" w:rsidP="00951DE8">
            <w:pPr>
              <w:pStyle w:val="BoxText"/>
              <w:rPr>
                <w:b/>
                <w:lang w:eastAsia="en-US"/>
              </w:rPr>
            </w:pPr>
            <w:r>
              <w:rPr>
                <w:b/>
                <w:lang w:eastAsia="en-US"/>
              </w:rPr>
              <w:t>Example</w:t>
            </w:r>
            <w:r w:rsidRPr="00001209" w:rsidDel="006347BD">
              <w:rPr>
                <w:b/>
                <w:lang w:eastAsia="en-US"/>
              </w:rPr>
              <w:t xml:space="preserve"> </w:t>
            </w:r>
            <w:r w:rsidRPr="00001209" w:rsidDel="000F18FA">
              <w:rPr>
                <w:b/>
                <w:lang w:eastAsia="en-US"/>
              </w:rPr>
              <w:t>2</w:t>
            </w:r>
            <w:r w:rsidDel="006347BD">
              <w:rPr>
                <w:b/>
                <w:lang w:eastAsia="en-US"/>
              </w:rPr>
              <w:t>:</w:t>
            </w:r>
            <w:r w:rsidRPr="00E704F9" w:rsidDel="006347BD">
              <w:rPr>
                <w:b/>
                <w:lang w:eastAsia="en-US"/>
              </w:rPr>
              <w:t xml:space="preserve"> </w:t>
            </w:r>
            <w:r>
              <w:rPr>
                <w:b/>
                <w:lang w:eastAsia="en-US"/>
              </w:rPr>
              <w:t xml:space="preserve">Spread certain costs across a wider population each year </w:t>
            </w:r>
          </w:p>
          <w:p w14:paraId="68FC0062" w14:textId="468F0125" w:rsidR="00951DE8" w:rsidRDefault="00951DE8" w:rsidP="00951DE8">
            <w:pPr>
              <w:pStyle w:val="BoxText"/>
              <w:rPr>
                <w:lang w:eastAsia="en-US"/>
              </w:rPr>
            </w:pPr>
            <w:r w:rsidRPr="00BD4041" w:rsidDel="00001209">
              <w:rPr>
                <w:lang w:eastAsia="en-US"/>
              </w:rPr>
              <w:t>S</w:t>
            </w:r>
            <w:r>
              <w:rPr>
                <w:lang w:eastAsia="en-US"/>
              </w:rPr>
              <w:t>pread all enforcement costs</w:t>
            </w:r>
            <w:r w:rsidRPr="00CA7839">
              <w:rPr>
                <w:lang w:eastAsia="en-US"/>
              </w:rPr>
              <w:t xml:space="preserve"> </w:t>
            </w:r>
            <w:r>
              <w:rPr>
                <w:lang w:eastAsia="en-US"/>
              </w:rPr>
              <w:t>(including all direct and indirect costs)</w:t>
            </w:r>
            <w:r w:rsidRPr="00CA7839">
              <w:rPr>
                <w:lang w:eastAsia="en-US"/>
              </w:rPr>
              <w:t xml:space="preserve"> across a</w:t>
            </w:r>
            <w:r>
              <w:rPr>
                <w:lang w:eastAsia="en-US"/>
              </w:rPr>
              <w:t>ll of ASIC’s</w:t>
            </w:r>
            <w:r w:rsidRPr="00CA7839">
              <w:rPr>
                <w:lang w:eastAsia="en-US"/>
              </w:rPr>
              <w:t xml:space="preserve"> population</w:t>
            </w:r>
            <w:r>
              <w:rPr>
                <w:lang w:eastAsia="en-US"/>
              </w:rPr>
              <w:t xml:space="preserve"> using a generalised metric, such as a volume-based proxy (for example, revenue or turnover). All other costs would </w:t>
            </w:r>
            <w:r w:rsidRPr="005D0B32">
              <w:rPr>
                <w:lang w:eastAsia="en-US"/>
              </w:rPr>
              <w:t xml:space="preserve">continue to be allocated to </w:t>
            </w:r>
            <w:r>
              <w:rPr>
                <w:lang w:eastAsia="en-US"/>
              </w:rPr>
              <w:t>sub</w:t>
            </w:r>
            <w:r>
              <w:rPr>
                <w:lang w:eastAsia="en-US"/>
              </w:rPr>
              <w:noBreakHyphen/>
            </w:r>
            <w:r w:rsidRPr="005D0B32">
              <w:rPr>
                <w:lang w:eastAsia="en-US"/>
              </w:rPr>
              <w:t>sectors and levies</w:t>
            </w:r>
            <w:r w:rsidR="00107085">
              <w:rPr>
                <w:lang w:eastAsia="en-US"/>
              </w:rPr>
              <w:t xml:space="preserve"> would be</w:t>
            </w:r>
            <w:r w:rsidRPr="005D0B32">
              <w:rPr>
                <w:lang w:eastAsia="en-US"/>
              </w:rPr>
              <w:t xml:space="preserve"> calculated for an individual entity consistent with the current IFM settings</w:t>
            </w:r>
            <w:r>
              <w:rPr>
                <w:lang w:eastAsia="en-US"/>
              </w:rPr>
              <w:t xml:space="preserve">. </w:t>
            </w:r>
          </w:p>
          <w:p w14:paraId="75B60945" w14:textId="4C7CC0C4" w:rsidR="00A9715B" w:rsidRDefault="00A9715B" w:rsidP="0033187E">
            <w:pPr>
              <w:pStyle w:val="BoxText"/>
              <w:numPr>
                <w:ilvl w:val="0"/>
                <w:numId w:val="14"/>
              </w:numPr>
              <w:rPr>
                <w:lang w:eastAsia="en-US"/>
              </w:rPr>
            </w:pPr>
            <w:r w:rsidRPr="00A9715B">
              <w:rPr>
                <w:lang w:eastAsia="en-US"/>
              </w:rPr>
              <w:lastRenderedPageBreak/>
              <w:t xml:space="preserve">As enforcement costs </w:t>
            </w:r>
            <w:r>
              <w:rPr>
                <w:lang w:eastAsia="en-US"/>
              </w:rPr>
              <w:t xml:space="preserve">are the key driver of volatility and </w:t>
            </w:r>
            <w:r w:rsidRPr="00A9715B">
              <w:rPr>
                <w:lang w:eastAsia="en-US"/>
              </w:rPr>
              <w:t xml:space="preserve">have consistently been concentrated to certain </w:t>
            </w:r>
            <w:r w:rsidR="00F33074">
              <w:rPr>
                <w:lang w:eastAsia="en-US"/>
              </w:rPr>
              <w:t>sub</w:t>
            </w:r>
            <w:r w:rsidR="00F33074">
              <w:rPr>
                <w:lang w:eastAsia="en-US"/>
              </w:rPr>
              <w:noBreakHyphen/>
            </w:r>
            <w:r w:rsidRPr="00A9715B">
              <w:rPr>
                <w:lang w:eastAsia="en-US"/>
              </w:rPr>
              <w:t>sectors each year, this option</w:t>
            </w:r>
            <w:r w:rsidR="006A5163">
              <w:rPr>
                <w:lang w:eastAsia="en-US"/>
              </w:rPr>
              <w:t xml:space="preserve"> would seek to</w:t>
            </w:r>
            <w:r w:rsidRPr="00A9715B">
              <w:rPr>
                <w:lang w:eastAsia="en-US"/>
              </w:rPr>
              <w:t xml:space="preserve"> remove the volatility that comes from </w:t>
            </w:r>
            <w:r w:rsidR="007C203B">
              <w:rPr>
                <w:lang w:eastAsia="en-US"/>
              </w:rPr>
              <w:t xml:space="preserve">fluctuations and </w:t>
            </w:r>
            <w:r w:rsidRPr="00A9715B">
              <w:rPr>
                <w:lang w:eastAsia="en-US"/>
              </w:rPr>
              <w:t>concentration of enforcement costs</w:t>
            </w:r>
            <w:r w:rsidR="002342BA">
              <w:rPr>
                <w:lang w:eastAsia="en-US"/>
              </w:rPr>
              <w:t xml:space="preserve">. </w:t>
            </w:r>
          </w:p>
          <w:p w14:paraId="4D04C014" w14:textId="73A51903" w:rsidR="00C02B0B" w:rsidRDefault="008F7789" w:rsidP="0033187E">
            <w:pPr>
              <w:pStyle w:val="BoxText"/>
              <w:numPr>
                <w:ilvl w:val="0"/>
                <w:numId w:val="14"/>
              </w:numPr>
              <w:rPr>
                <w:lang w:eastAsia="en-US"/>
              </w:rPr>
            </w:pPr>
            <w:r>
              <w:rPr>
                <w:lang w:eastAsia="en-US"/>
              </w:rPr>
              <w:t xml:space="preserve">This would result in </w:t>
            </w:r>
            <w:r w:rsidR="008E71F1">
              <w:rPr>
                <w:lang w:eastAsia="en-US"/>
              </w:rPr>
              <w:t xml:space="preserve">increased </w:t>
            </w:r>
            <w:r>
              <w:rPr>
                <w:lang w:eastAsia="en-US"/>
              </w:rPr>
              <w:t xml:space="preserve">cross-subsidisation </w:t>
            </w:r>
            <w:r w:rsidR="006E5AE8">
              <w:rPr>
                <w:lang w:eastAsia="en-US"/>
              </w:rPr>
              <w:t>of enforcement costs</w:t>
            </w:r>
            <w:r>
              <w:rPr>
                <w:lang w:eastAsia="en-US"/>
              </w:rPr>
              <w:t xml:space="preserve"> across </w:t>
            </w:r>
            <w:r w:rsidR="003477BD">
              <w:rPr>
                <w:lang w:eastAsia="en-US"/>
              </w:rPr>
              <w:t>the whole</w:t>
            </w:r>
            <w:r>
              <w:rPr>
                <w:lang w:eastAsia="en-US"/>
              </w:rPr>
              <w:t xml:space="preserve"> regulated population in any given year. </w:t>
            </w:r>
          </w:p>
          <w:p w14:paraId="5BEF23EE" w14:textId="067FD5D2" w:rsidR="00AD3CE8" w:rsidRDefault="00E4454D" w:rsidP="0033187E">
            <w:pPr>
              <w:pStyle w:val="BoxText"/>
              <w:numPr>
                <w:ilvl w:val="0"/>
                <w:numId w:val="14"/>
              </w:numPr>
              <w:rPr>
                <w:lang w:eastAsia="en-US"/>
              </w:rPr>
            </w:pPr>
            <w:r>
              <w:rPr>
                <w:lang w:eastAsia="en-US"/>
              </w:rPr>
              <w:t>Entities that would</w:t>
            </w:r>
            <w:r w:rsidR="00BA04F1">
              <w:rPr>
                <w:lang w:eastAsia="en-US"/>
              </w:rPr>
              <w:t xml:space="preserve"> likely</w:t>
            </w:r>
            <w:r>
              <w:rPr>
                <w:lang w:eastAsia="en-US"/>
              </w:rPr>
              <w:t xml:space="preserve"> benefit </w:t>
            </w:r>
            <w:r w:rsidR="000A6BE1">
              <w:rPr>
                <w:lang w:eastAsia="en-US"/>
              </w:rPr>
              <w:t xml:space="preserve">the most </w:t>
            </w:r>
            <w:r>
              <w:rPr>
                <w:lang w:eastAsia="en-US"/>
              </w:rPr>
              <w:t xml:space="preserve">from this </w:t>
            </w:r>
            <w:r w:rsidR="008E14C9">
              <w:rPr>
                <w:lang w:eastAsia="en-US"/>
              </w:rPr>
              <w:t>approach</w:t>
            </w:r>
            <w:r>
              <w:rPr>
                <w:lang w:eastAsia="en-US"/>
              </w:rPr>
              <w:t xml:space="preserve"> are </w:t>
            </w:r>
            <w:r w:rsidR="006D7A19">
              <w:rPr>
                <w:lang w:eastAsia="en-US"/>
              </w:rPr>
              <w:t>smaller</w:t>
            </w:r>
            <w:r>
              <w:rPr>
                <w:lang w:eastAsia="en-US"/>
              </w:rPr>
              <w:t xml:space="preserve"> entities in </w:t>
            </w:r>
            <w:r w:rsidR="00F33074">
              <w:rPr>
                <w:lang w:eastAsia="en-US"/>
              </w:rPr>
              <w:t>sub</w:t>
            </w:r>
            <w:r w:rsidR="00F33074">
              <w:rPr>
                <w:lang w:eastAsia="en-US"/>
              </w:rPr>
              <w:noBreakHyphen/>
            </w:r>
            <w:r w:rsidR="00527197">
              <w:rPr>
                <w:lang w:eastAsia="en-US"/>
              </w:rPr>
              <w:t>sector</w:t>
            </w:r>
            <w:r>
              <w:rPr>
                <w:lang w:eastAsia="en-US"/>
              </w:rPr>
              <w:t xml:space="preserve">s subject to high </w:t>
            </w:r>
            <w:r w:rsidR="00A317D8">
              <w:rPr>
                <w:lang w:eastAsia="en-US"/>
              </w:rPr>
              <w:t>enforcement</w:t>
            </w:r>
            <w:r>
              <w:rPr>
                <w:lang w:eastAsia="en-US"/>
              </w:rPr>
              <w:t xml:space="preserve"> costs </w:t>
            </w:r>
            <w:r w:rsidR="005F411C">
              <w:rPr>
                <w:lang w:eastAsia="en-US"/>
              </w:rPr>
              <w:t xml:space="preserve">as these costs </w:t>
            </w:r>
            <w:r w:rsidR="00D04C1C">
              <w:rPr>
                <w:lang w:eastAsia="en-US"/>
              </w:rPr>
              <w:t>would be</w:t>
            </w:r>
            <w:r w:rsidR="005F411C">
              <w:rPr>
                <w:lang w:eastAsia="en-US"/>
              </w:rPr>
              <w:t xml:space="preserve"> spread across </w:t>
            </w:r>
            <w:r w:rsidR="00870268">
              <w:rPr>
                <w:lang w:eastAsia="en-US"/>
              </w:rPr>
              <w:t>a wider population</w:t>
            </w:r>
            <w:r w:rsidR="003B29A0">
              <w:rPr>
                <w:lang w:eastAsia="en-US"/>
              </w:rPr>
              <w:t xml:space="preserve"> and may result in lower </w:t>
            </w:r>
            <w:r w:rsidR="008A6D88">
              <w:rPr>
                <w:lang w:eastAsia="en-US"/>
              </w:rPr>
              <w:t xml:space="preserve">and more stable levy amounts </w:t>
            </w:r>
            <w:r w:rsidR="00FF5849">
              <w:rPr>
                <w:lang w:eastAsia="en-US"/>
              </w:rPr>
              <w:t>each year</w:t>
            </w:r>
            <w:r w:rsidR="00870268">
              <w:rPr>
                <w:lang w:eastAsia="en-US"/>
              </w:rPr>
              <w:t xml:space="preserve">. </w:t>
            </w:r>
          </w:p>
          <w:p w14:paraId="457186E9" w14:textId="7BAF5C3D" w:rsidR="00865208" w:rsidRDefault="00AD3CE8" w:rsidP="00C6745C">
            <w:pPr>
              <w:pStyle w:val="BoxText"/>
              <w:numPr>
                <w:ilvl w:val="0"/>
                <w:numId w:val="33"/>
              </w:numPr>
              <w:rPr>
                <w:lang w:eastAsia="en-US"/>
              </w:rPr>
            </w:pPr>
            <w:r>
              <w:rPr>
                <w:lang w:eastAsia="en-US"/>
              </w:rPr>
              <w:t xml:space="preserve">If this mechanism </w:t>
            </w:r>
            <w:r w:rsidR="00421D85">
              <w:rPr>
                <w:lang w:eastAsia="en-US"/>
              </w:rPr>
              <w:t>was</w:t>
            </w:r>
            <w:r>
              <w:rPr>
                <w:lang w:eastAsia="en-US"/>
              </w:rPr>
              <w:t xml:space="preserve"> in place in previous years,</w:t>
            </w:r>
            <w:r w:rsidR="00DC5F7A">
              <w:rPr>
                <w:lang w:eastAsia="en-US"/>
              </w:rPr>
              <w:t xml:space="preserve"> preliminary analysis suggests</w:t>
            </w:r>
            <w:r w:rsidR="002C78E1">
              <w:rPr>
                <w:lang w:eastAsia="en-US"/>
              </w:rPr>
              <w:t xml:space="preserve"> that</w:t>
            </w:r>
            <w:r>
              <w:rPr>
                <w:lang w:eastAsia="en-US"/>
              </w:rPr>
              <w:t xml:space="preserve"> s</w:t>
            </w:r>
            <w:r w:rsidRPr="00AD3CE8">
              <w:rPr>
                <w:lang w:eastAsia="en-US"/>
              </w:rPr>
              <w:t xml:space="preserve">maller entities in the personal financial advice licensee </w:t>
            </w:r>
            <w:r w:rsidR="00F33074">
              <w:rPr>
                <w:lang w:eastAsia="en-US"/>
              </w:rPr>
              <w:t>sub</w:t>
            </w:r>
            <w:r w:rsidR="00F33074">
              <w:rPr>
                <w:lang w:eastAsia="en-US"/>
              </w:rPr>
              <w:noBreakHyphen/>
              <w:t>sector</w:t>
            </w:r>
            <w:r w:rsidR="005D5440">
              <w:rPr>
                <w:lang w:eastAsia="en-US"/>
              </w:rPr>
              <w:t xml:space="preserve"> and credit intermediaries </w:t>
            </w:r>
            <w:r w:rsidR="00F33074">
              <w:rPr>
                <w:lang w:eastAsia="en-US"/>
              </w:rPr>
              <w:t>sub</w:t>
            </w:r>
            <w:r w:rsidR="00F33074">
              <w:rPr>
                <w:lang w:eastAsia="en-US"/>
              </w:rPr>
              <w:noBreakHyphen/>
              <w:t>sector</w:t>
            </w:r>
            <w:r w:rsidRPr="00AD3CE8">
              <w:rPr>
                <w:lang w:eastAsia="en-US"/>
              </w:rPr>
              <w:t xml:space="preserve">, would </w:t>
            </w:r>
            <w:r w:rsidR="00C336F7">
              <w:rPr>
                <w:lang w:eastAsia="en-US"/>
              </w:rPr>
              <w:t>likely</w:t>
            </w:r>
            <w:r w:rsidRPr="00AD3CE8">
              <w:rPr>
                <w:lang w:eastAsia="en-US"/>
              </w:rPr>
              <w:t xml:space="preserve"> have paid lower and more stable levies. </w:t>
            </w:r>
          </w:p>
          <w:p w14:paraId="4EED62F1" w14:textId="243E0542" w:rsidR="00E4454D" w:rsidRDefault="00F2310E" w:rsidP="0033187E">
            <w:pPr>
              <w:pStyle w:val="BoxText"/>
              <w:numPr>
                <w:ilvl w:val="0"/>
                <w:numId w:val="14"/>
              </w:numPr>
              <w:rPr>
                <w:lang w:eastAsia="en-US"/>
              </w:rPr>
            </w:pPr>
            <w:r>
              <w:rPr>
                <w:lang w:eastAsia="en-US"/>
              </w:rPr>
              <w:t xml:space="preserve">Conversely, </w:t>
            </w:r>
            <w:r w:rsidR="006D7A19">
              <w:rPr>
                <w:lang w:eastAsia="en-US"/>
              </w:rPr>
              <w:t>larger</w:t>
            </w:r>
            <w:r>
              <w:rPr>
                <w:lang w:eastAsia="en-US"/>
              </w:rPr>
              <w:t xml:space="preserve"> entities </w:t>
            </w:r>
            <w:r w:rsidR="002147E5">
              <w:rPr>
                <w:lang w:eastAsia="en-US"/>
              </w:rPr>
              <w:t xml:space="preserve">and those entities </w:t>
            </w:r>
            <w:r>
              <w:rPr>
                <w:lang w:eastAsia="en-US"/>
              </w:rPr>
              <w:t xml:space="preserve">in </w:t>
            </w:r>
            <w:r w:rsidR="00F33074">
              <w:rPr>
                <w:lang w:eastAsia="en-US"/>
              </w:rPr>
              <w:t>sub</w:t>
            </w:r>
            <w:r w:rsidR="00F33074">
              <w:rPr>
                <w:lang w:eastAsia="en-US"/>
              </w:rPr>
              <w:noBreakHyphen/>
            </w:r>
            <w:r w:rsidR="00527197">
              <w:rPr>
                <w:lang w:eastAsia="en-US"/>
              </w:rPr>
              <w:t>sector</w:t>
            </w:r>
            <w:r>
              <w:rPr>
                <w:lang w:eastAsia="en-US"/>
              </w:rPr>
              <w:t xml:space="preserve">s that are not subject to high regulatory costs </w:t>
            </w:r>
            <w:r w:rsidR="00B623D1">
              <w:rPr>
                <w:lang w:eastAsia="en-US"/>
              </w:rPr>
              <w:t>would likely face a sustained increase in their levies</w:t>
            </w:r>
            <w:r w:rsidR="00A53DAF">
              <w:rPr>
                <w:lang w:eastAsia="en-US"/>
              </w:rPr>
              <w:t>.</w:t>
            </w:r>
            <w:r w:rsidR="000F6332">
              <w:rPr>
                <w:lang w:eastAsia="en-US"/>
              </w:rPr>
              <w:t xml:space="preserve"> </w:t>
            </w:r>
          </w:p>
          <w:p w14:paraId="3E8BBEB8" w14:textId="1A348ABE" w:rsidR="00CC727E" w:rsidRDefault="00C93CBE" w:rsidP="00C6745C">
            <w:pPr>
              <w:pStyle w:val="BoxText"/>
              <w:numPr>
                <w:ilvl w:val="0"/>
                <w:numId w:val="33"/>
              </w:numPr>
              <w:rPr>
                <w:lang w:eastAsia="en-US"/>
              </w:rPr>
            </w:pPr>
            <w:r>
              <w:rPr>
                <w:lang w:eastAsia="en-US"/>
              </w:rPr>
              <w:t>If this mechanism w</w:t>
            </w:r>
            <w:r w:rsidR="00421D85">
              <w:rPr>
                <w:lang w:eastAsia="en-US"/>
              </w:rPr>
              <w:t>as</w:t>
            </w:r>
            <w:r>
              <w:rPr>
                <w:lang w:eastAsia="en-US"/>
              </w:rPr>
              <w:t xml:space="preserve"> in place in previous years,</w:t>
            </w:r>
            <w:r w:rsidR="008F0073">
              <w:rPr>
                <w:lang w:eastAsia="en-US"/>
              </w:rPr>
              <w:t xml:space="preserve"> preliminary analysis suggests</w:t>
            </w:r>
            <w:r w:rsidR="002C78E1">
              <w:rPr>
                <w:lang w:eastAsia="en-US"/>
              </w:rPr>
              <w:t xml:space="preserve"> that</w:t>
            </w:r>
            <w:r>
              <w:rPr>
                <w:lang w:eastAsia="en-US"/>
              </w:rPr>
              <w:t xml:space="preserve"> </w:t>
            </w:r>
            <w:r w:rsidR="00192B72">
              <w:rPr>
                <w:lang w:eastAsia="en-US"/>
              </w:rPr>
              <w:t xml:space="preserve">larger </w:t>
            </w:r>
            <w:r w:rsidR="00214308">
              <w:rPr>
                <w:lang w:eastAsia="en-US"/>
              </w:rPr>
              <w:t>entities</w:t>
            </w:r>
            <w:r w:rsidR="00345A10">
              <w:rPr>
                <w:lang w:eastAsia="en-US"/>
              </w:rPr>
              <w:t xml:space="preserve"> </w:t>
            </w:r>
            <w:r w:rsidR="00431B72">
              <w:rPr>
                <w:lang w:eastAsia="en-US"/>
              </w:rPr>
              <w:t xml:space="preserve">in the corporate sector and </w:t>
            </w:r>
            <w:r w:rsidR="009047F9">
              <w:rPr>
                <w:lang w:eastAsia="en-US"/>
              </w:rPr>
              <w:t>deposit taking and credit sector</w:t>
            </w:r>
            <w:r w:rsidR="00345A10">
              <w:rPr>
                <w:lang w:eastAsia="en-US"/>
              </w:rPr>
              <w:t xml:space="preserve"> </w:t>
            </w:r>
            <w:r w:rsidR="009D66F9">
              <w:rPr>
                <w:lang w:eastAsia="en-US"/>
              </w:rPr>
              <w:t>(</w:t>
            </w:r>
            <w:r w:rsidR="00D73BAC">
              <w:rPr>
                <w:lang w:eastAsia="en-US"/>
              </w:rPr>
              <w:t xml:space="preserve">such as </w:t>
            </w:r>
            <w:r w:rsidR="00F73D41">
              <w:rPr>
                <w:lang w:eastAsia="en-US"/>
              </w:rPr>
              <w:t>banks and large corporations</w:t>
            </w:r>
            <w:r w:rsidR="009D66F9">
              <w:rPr>
                <w:lang w:eastAsia="en-US"/>
              </w:rPr>
              <w:t>)</w:t>
            </w:r>
            <w:r w:rsidR="00345A10">
              <w:rPr>
                <w:lang w:eastAsia="en-US"/>
              </w:rPr>
              <w:t xml:space="preserve"> </w:t>
            </w:r>
            <w:r w:rsidR="00CC727E" w:rsidRPr="6E634AC5">
              <w:rPr>
                <w:lang w:eastAsia="en-US"/>
              </w:rPr>
              <w:t xml:space="preserve">would </w:t>
            </w:r>
            <w:r w:rsidR="00E31754">
              <w:rPr>
                <w:lang w:eastAsia="en-US"/>
              </w:rPr>
              <w:t xml:space="preserve">likely </w:t>
            </w:r>
            <w:r w:rsidR="00CC727E" w:rsidRPr="6E634AC5">
              <w:rPr>
                <w:lang w:eastAsia="en-US"/>
              </w:rPr>
              <w:t>have paid higher levies relative to the amount they are paying under the current settings.</w:t>
            </w:r>
          </w:p>
          <w:p w14:paraId="4DFF0B56" w14:textId="6CBB4F79" w:rsidR="002E729A" w:rsidRDefault="002E729A" w:rsidP="002E729A">
            <w:pPr>
              <w:pStyle w:val="BoxText"/>
              <w:numPr>
                <w:ilvl w:val="0"/>
                <w:numId w:val="33"/>
              </w:numPr>
              <w:rPr>
                <w:lang w:eastAsia="en-US"/>
              </w:rPr>
            </w:pPr>
            <w:r>
              <w:rPr>
                <w:lang w:eastAsia="en-US"/>
              </w:rPr>
              <w:t xml:space="preserve">Similarly, </w:t>
            </w:r>
            <w:r w:rsidRPr="0039560B">
              <w:rPr>
                <w:lang w:eastAsia="en-US"/>
              </w:rPr>
              <w:t xml:space="preserve">entities in </w:t>
            </w:r>
            <w:r>
              <w:rPr>
                <w:lang w:eastAsia="en-US"/>
              </w:rPr>
              <w:t>sub</w:t>
            </w:r>
            <w:r>
              <w:rPr>
                <w:lang w:eastAsia="en-US"/>
              </w:rPr>
              <w:noBreakHyphen/>
            </w:r>
            <w:r w:rsidRPr="0039560B">
              <w:rPr>
                <w:lang w:eastAsia="en-US"/>
              </w:rPr>
              <w:t xml:space="preserve">sectors that </w:t>
            </w:r>
            <w:r>
              <w:rPr>
                <w:lang w:eastAsia="en-US"/>
              </w:rPr>
              <w:t xml:space="preserve">have </w:t>
            </w:r>
            <w:r w:rsidRPr="0039560B">
              <w:rPr>
                <w:lang w:eastAsia="en-US"/>
              </w:rPr>
              <w:t xml:space="preserve">not </w:t>
            </w:r>
            <w:r>
              <w:rPr>
                <w:lang w:eastAsia="en-US"/>
              </w:rPr>
              <w:t>been</w:t>
            </w:r>
            <w:r w:rsidRPr="0039560B">
              <w:rPr>
                <w:lang w:eastAsia="en-US"/>
              </w:rPr>
              <w:t xml:space="preserve"> subject to </w:t>
            </w:r>
            <w:r>
              <w:rPr>
                <w:lang w:eastAsia="en-US"/>
              </w:rPr>
              <w:t>a large proportion of ASIC’s enforcement</w:t>
            </w:r>
            <w:r w:rsidRPr="0039560B">
              <w:rPr>
                <w:lang w:eastAsia="en-US"/>
              </w:rPr>
              <w:t xml:space="preserve"> </w:t>
            </w:r>
            <w:r>
              <w:rPr>
                <w:lang w:eastAsia="en-US"/>
              </w:rPr>
              <w:t xml:space="preserve">activity or no enforcement activity </w:t>
            </w:r>
            <w:r w:rsidRPr="0039560B">
              <w:rPr>
                <w:lang w:eastAsia="en-US"/>
              </w:rPr>
              <w:t xml:space="preserve">(such as entities in </w:t>
            </w:r>
            <w:r>
              <w:rPr>
                <w:lang w:eastAsia="en-US"/>
              </w:rPr>
              <w:t>sub</w:t>
            </w:r>
            <w:r>
              <w:rPr>
                <w:lang w:eastAsia="en-US"/>
              </w:rPr>
              <w:noBreakHyphen/>
            </w:r>
            <w:r w:rsidRPr="0039560B">
              <w:rPr>
                <w:lang w:eastAsia="en-US"/>
              </w:rPr>
              <w:t>sectors for clearing and settlement facility operators</w:t>
            </w:r>
            <w:r>
              <w:rPr>
                <w:lang w:eastAsia="en-US"/>
              </w:rPr>
              <w:t>, and the registered liquidators sub-sector</w:t>
            </w:r>
            <w:r w:rsidRPr="0039560B">
              <w:rPr>
                <w:lang w:eastAsia="en-US"/>
              </w:rPr>
              <w:t>)</w:t>
            </w:r>
            <w:r>
              <w:rPr>
                <w:lang w:eastAsia="en-US"/>
              </w:rPr>
              <w:t xml:space="preserve"> would likely </w:t>
            </w:r>
            <w:r w:rsidR="00E31754">
              <w:rPr>
                <w:lang w:eastAsia="en-US"/>
              </w:rPr>
              <w:t xml:space="preserve">have </w:t>
            </w:r>
            <w:r>
              <w:rPr>
                <w:lang w:eastAsia="en-US"/>
              </w:rPr>
              <w:t xml:space="preserve">paid higher levies relative to the amount they are paying under the current settings. </w:t>
            </w:r>
          </w:p>
          <w:p w14:paraId="36596D21" w14:textId="26783212" w:rsidR="006266FF" w:rsidRDefault="006266FF" w:rsidP="0033187E">
            <w:pPr>
              <w:pStyle w:val="BoxText"/>
              <w:numPr>
                <w:ilvl w:val="0"/>
                <w:numId w:val="14"/>
              </w:numPr>
              <w:rPr>
                <w:lang w:eastAsia="en-US"/>
              </w:rPr>
            </w:pPr>
            <w:r>
              <w:rPr>
                <w:lang w:eastAsia="en-US"/>
              </w:rPr>
              <w:t>W</w:t>
            </w:r>
            <w:r w:rsidRPr="006266FF">
              <w:rPr>
                <w:lang w:eastAsia="en-US"/>
              </w:rPr>
              <w:t>hile certain sub-sectors have been a focus for enforcement</w:t>
            </w:r>
            <w:r w:rsidR="00185A0E">
              <w:rPr>
                <w:lang w:eastAsia="en-US"/>
              </w:rPr>
              <w:t xml:space="preserve"> action</w:t>
            </w:r>
            <w:r w:rsidRPr="006266FF">
              <w:rPr>
                <w:lang w:eastAsia="en-US"/>
              </w:rPr>
              <w:t xml:space="preserve"> to date, another sub-sector</w:t>
            </w:r>
            <w:r w:rsidR="00D0336A">
              <w:rPr>
                <w:lang w:eastAsia="en-US"/>
              </w:rPr>
              <w:t xml:space="preserve"> or sub-sectors</w:t>
            </w:r>
            <w:r w:rsidRPr="006266FF">
              <w:rPr>
                <w:lang w:eastAsia="en-US"/>
              </w:rPr>
              <w:t xml:space="preserve"> might be in the future</w:t>
            </w:r>
            <w:r w:rsidR="00185A0E">
              <w:rPr>
                <w:lang w:eastAsia="en-US"/>
              </w:rPr>
              <w:t>.</w:t>
            </w:r>
            <w:r w:rsidRPr="006266FF">
              <w:rPr>
                <w:lang w:eastAsia="en-US"/>
              </w:rPr>
              <w:t xml:space="preserve"> </w:t>
            </w:r>
            <w:r w:rsidR="00185A0E">
              <w:rPr>
                <w:lang w:eastAsia="en-US"/>
              </w:rPr>
              <w:t>This approach</w:t>
            </w:r>
            <w:r w:rsidRPr="006266FF">
              <w:rPr>
                <w:lang w:eastAsia="en-US"/>
              </w:rPr>
              <w:t xml:space="preserve"> would mean all entities pay a more stable amount, but </w:t>
            </w:r>
            <w:r w:rsidR="00185A0E">
              <w:rPr>
                <w:lang w:eastAsia="en-US"/>
              </w:rPr>
              <w:t>that</w:t>
            </w:r>
            <w:r w:rsidR="008A0BF1">
              <w:rPr>
                <w:lang w:eastAsia="en-US"/>
              </w:rPr>
              <w:t xml:space="preserve"> </w:t>
            </w:r>
            <w:r w:rsidR="00E17A68">
              <w:rPr>
                <w:lang w:eastAsia="en-US"/>
              </w:rPr>
              <w:t>amount would</w:t>
            </w:r>
            <w:r w:rsidRPr="006266FF">
              <w:rPr>
                <w:lang w:eastAsia="en-US"/>
              </w:rPr>
              <w:t xml:space="preserve"> not directly relate to</w:t>
            </w:r>
            <w:r w:rsidR="00612D11">
              <w:rPr>
                <w:lang w:eastAsia="en-US"/>
              </w:rPr>
              <w:t xml:space="preserve"> misconduct in the</w:t>
            </w:r>
            <w:r w:rsidRPr="006266FF">
              <w:rPr>
                <w:lang w:eastAsia="en-US"/>
              </w:rPr>
              <w:t xml:space="preserve"> sub-sector they operate in</w:t>
            </w:r>
            <w:r w:rsidR="006A23E1">
              <w:rPr>
                <w:lang w:eastAsia="en-US"/>
              </w:rPr>
              <w:t xml:space="preserve">. </w:t>
            </w:r>
          </w:p>
          <w:p w14:paraId="07CB5A38" w14:textId="6B1F99BA" w:rsidR="00DA4B0A" w:rsidRDefault="00DA4B0A" w:rsidP="0033187E">
            <w:pPr>
              <w:pStyle w:val="BoxText"/>
              <w:numPr>
                <w:ilvl w:val="0"/>
                <w:numId w:val="14"/>
              </w:numPr>
              <w:rPr>
                <w:lang w:eastAsia="en-US"/>
              </w:rPr>
            </w:pPr>
            <w:r w:rsidRPr="00DA4B0A">
              <w:rPr>
                <w:lang w:eastAsia="en-US"/>
              </w:rPr>
              <w:t xml:space="preserve">Other factors, such as </w:t>
            </w:r>
            <w:r>
              <w:rPr>
                <w:lang w:eastAsia="en-US"/>
              </w:rPr>
              <w:t xml:space="preserve">ASIC’s total funding </w:t>
            </w:r>
            <w:r w:rsidR="0096202D">
              <w:rPr>
                <w:lang w:eastAsia="en-US"/>
              </w:rPr>
              <w:t>provided by</w:t>
            </w:r>
            <w:r>
              <w:rPr>
                <w:lang w:eastAsia="en-US"/>
              </w:rPr>
              <w:t xml:space="preserve"> Government, </w:t>
            </w:r>
            <w:r w:rsidR="00A57639">
              <w:rPr>
                <w:lang w:eastAsia="en-US"/>
              </w:rPr>
              <w:t xml:space="preserve">the total </w:t>
            </w:r>
            <w:r w:rsidRPr="00DA4B0A">
              <w:rPr>
                <w:lang w:eastAsia="en-US"/>
              </w:rPr>
              <w:t xml:space="preserve">number of </w:t>
            </w:r>
            <w:r w:rsidR="00A57639">
              <w:rPr>
                <w:lang w:eastAsia="en-US"/>
              </w:rPr>
              <w:t xml:space="preserve">leviable </w:t>
            </w:r>
            <w:r w:rsidRPr="00DA4B0A">
              <w:rPr>
                <w:lang w:eastAsia="en-US"/>
              </w:rPr>
              <w:t>entities</w:t>
            </w:r>
            <w:r w:rsidR="006F7D6D">
              <w:rPr>
                <w:lang w:eastAsia="en-US"/>
              </w:rPr>
              <w:t xml:space="preserve">, and an entity’s </w:t>
            </w:r>
            <w:r w:rsidR="000B3BE7">
              <w:rPr>
                <w:lang w:eastAsia="en-US"/>
              </w:rPr>
              <w:t xml:space="preserve">business </w:t>
            </w:r>
            <w:r w:rsidR="007C6C8C">
              <w:rPr>
                <w:lang w:eastAsia="en-US"/>
              </w:rPr>
              <w:t>activity</w:t>
            </w:r>
            <w:r w:rsidR="000B3BE7">
              <w:rPr>
                <w:lang w:eastAsia="en-US"/>
              </w:rPr>
              <w:t xml:space="preserve"> metrics</w:t>
            </w:r>
            <w:r w:rsidRPr="00DA4B0A">
              <w:rPr>
                <w:lang w:eastAsia="en-US"/>
              </w:rPr>
              <w:t xml:space="preserve"> </w:t>
            </w:r>
            <w:r w:rsidR="00E562CB">
              <w:rPr>
                <w:lang w:eastAsia="en-US"/>
              </w:rPr>
              <w:t>would also</w:t>
            </w:r>
            <w:r w:rsidR="0086573C">
              <w:rPr>
                <w:lang w:eastAsia="en-US"/>
              </w:rPr>
              <w:t xml:space="preserve"> </w:t>
            </w:r>
            <w:r w:rsidRPr="00DA4B0A">
              <w:rPr>
                <w:lang w:eastAsia="en-US"/>
              </w:rPr>
              <w:t>impact the volatility in levy amounts each year</w:t>
            </w:r>
            <w:r w:rsidR="004A0547">
              <w:rPr>
                <w:lang w:eastAsia="en-US"/>
              </w:rPr>
              <w:t xml:space="preserve">. </w:t>
            </w:r>
          </w:p>
          <w:p w14:paraId="6834BA4D" w14:textId="0E5D0D10" w:rsidR="009321C8" w:rsidRDefault="009321C8" w:rsidP="0033187E">
            <w:pPr>
              <w:pStyle w:val="BoxText"/>
              <w:numPr>
                <w:ilvl w:val="0"/>
                <w:numId w:val="14"/>
              </w:numPr>
              <w:rPr>
                <w:lang w:eastAsia="en-US"/>
              </w:rPr>
            </w:pPr>
            <w:r>
              <w:rPr>
                <w:lang w:eastAsia="en-US"/>
              </w:rPr>
              <w:t xml:space="preserve">Alternatively, </w:t>
            </w:r>
            <w:r w:rsidR="00E3647D">
              <w:rPr>
                <w:lang w:eastAsia="en-US"/>
              </w:rPr>
              <w:t xml:space="preserve">this </w:t>
            </w:r>
            <w:r>
              <w:rPr>
                <w:lang w:eastAsia="en-US"/>
              </w:rPr>
              <w:t xml:space="preserve">mechanism could </w:t>
            </w:r>
            <w:r w:rsidR="001D6DA4">
              <w:rPr>
                <w:lang w:eastAsia="en-US"/>
              </w:rPr>
              <w:t xml:space="preserve">be applied to </w:t>
            </w:r>
            <w:r w:rsidR="00B00E97">
              <w:rPr>
                <w:lang w:eastAsia="en-US"/>
              </w:rPr>
              <w:t>all</w:t>
            </w:r>
            <w:r w:rsidR="001D6DA4">
              <w:rPr>
                <w:lang w:eastAsia="en-US"/>
              </w:rPr>
              <w:t xml:space="preserve"> regulatory cos</w:t>
            </w:r>
            <w:r w:rsidR="00B00E97">
              <w:rPr>
                <w:lang w:eastAsia="en-US"/>
              </w:rPr>
              <w:t>ts</w:t>
            </w:r>
            <w:r w:rsidR="002103E0">
              <w:rPr>
                <w:lang w:eastAsia="en-US"/>
              </w:rPr>
              <w:t>.</w:t>
            </w:r>
            <w:r w:rsidR="00E307FC">
              <w:rPr>
                <w:lang w:eastAsia="en-US"/>
              </w:rPr>
              <w:t xml:space="preserve"> If</w:t>
            </w:r>
            <w:r w:rsidR="006A2FE4">
              <w:rPr>
                <w:lang w:eastAsia="en-US"/>
              </w:rPr>
              <w:t xml:space="preserve"> all</w:t>
            </w:r>
            <w:r w:rsidR="006A2FE4" w:rsidDel="00B00E97">
              <w:rPr>
                <w:lang w:eastAsia="en-US"/>
              </w:rPr>
              <w:t xml:space="preserve"> </w:t>
            </w:r>
            <w:r w:rsidR="00B00E97">
              <w:rPr>
                <w:lang w:eastAsia="en-US"/>
              </w:rPr>
              <w:t>regulatory</w:t>
            </w:r>
            <w:r w:rsidR="006A2FE4">
              <w:rPr>
                <w:lang w:eastAsia="en-US"/>
              </w:rPr>
              <w:t xml:space="preserve"> costs were to be </w:t>
            </w:r>
            <w:r w:rsidR="00B60BF9">
              <w:rPr>
                <w:lang w:eastAsia="en-US"/>
              </w:rPr>
              <w:t xml:space="preserve">spread </w:t>
            </w:r>
            <w:r w:rsidR="006A2FE4">
              <w:rPr>
                <w:lang w:eastAsia="en-US"/>
              </w:rPr>
              <w:t>across all of ASIC’s regulated population,</w:t>
            </w:r>
            <w:r w:rsidR="002103E0">
              <w:rPr>
                <w:lang w:eastAsia="en-US"/>
              </w:rPr>
              <w:t xml:space="preserve"> </w:t>
            </w:r>
            <w:r w:rsidR="006A2FE4">
              <w:rPr>
                <w:lang w:eastAsia="en-US"/>
              </w:rPr>
              <w:t>t</w:t>
            </w:r>
            <w:r w:rsidR="003C379A">
              <w:rPr>
                <w:lang w:eastAsia="en-US"/>
              </w:rPr>
              <w:t xml:space="preserve">his would achieve </w:t>
            </w:r>
            <w:r w:rsidR="00185A0E">
              <w:rPr>
                <w:lang w:eastAsia="en-US"/>
              </w:rPr>
              <w:t xml:space="preserve">broadly </w:t>
            </w:r>
            <w:r w:rsidR="003C379A">
              <w:rPr>
                <w:lang w:eastAsia="en-US"/>
              </w:rPr>
              <w:t>the same</w:t>
            </w:r>
            <w:r w:rsidR="002103E0">
              <w:rPr>
                <w:lang w:eastAsia="en-US"/>
              </w:rPr>
              <w:t xml:space="preserve"> outcomes </w:t>
            </w:r>
            <w:r w:rsidR="001C1A9B">
              <w:rPr>
                <w:lang w:eastAsia="en-US"/>
              </w:rPr>
              <w:t>set out above</w:t>
            </w:r>
            <w:r w:rsidR="00BD5E7A">
              <w:rPr>
                <w:lang w:eastAsia="en-US"/>
              </w:rPr>
              <w:t xml:space="preserve">, as </w:t>
            </w:r>
            <w:r w:rsidR="00D67C23">
              <w:rPr>
                <w:lang w:eastAsia="en-US"/>
              </w:rPr>
              <w:t xml:space="preserve">other regulatory costs are not as volatile or concentrated as </w:t>
            </w:r>
            <w:r w:rsidR="00BD5E7A">
              <w:rPr>
                <w:lang w:eastAsia="en-US"/>
              </w:rPr>
              <w:t xml:space="preserve">enforcement </w:t>
            </w:r>
            <w:r w:rsidR="00D67C23">
              <w:rPr>
                <w:lang w:eastAsia="en-US"/>
              </w:rPr>
              <w:t>costs</w:t>
            </w:r>
            <w:r w:rsidR="006C7996">
              <w:rPr>
                <w:lang w:eastAsia="en-US"/>
              </w:rPr>
              <w:t xml:space="preserve">. </w:t>
            </w:r>
          </w:p>
          <w:p w14:paraId="01AF9CFE" w14:textId="3EB32E5D" w:rsidR="004F484A" w:rsidRDefault="002351C0" w:rsidP="0033187E">
            <w:pPr>
              <w:pStyle w:val="BoxText"/>
              <w:numPr>
                <w:ilvl w:val="0"/>
                <w:numId w:val="14"/>
              </w:numPr>
              <w:rPr>
                <w:lang w:eastAsia="en-US"/>
              </w:rPr>
            </w:pPr>
            <w:r>
              <w:rPr>
                <w:lang w:eastAsia="en-US"/>
              </w:rPr>
              <w:t xml:space="preserve">While </w:t>
            </w:r>
            <w:r w:rsidR="002F70A1">
              <w:rPr>
                <w:lang w:eastAsia="en-US"/>
              </w:rPr>
              <w:t xml:space="preserve">enforcement </w:t>
            </w:r>
            <w:r w:rsidR="0006259B">
              <w:rPr>
                <w:lang w:eastAsia="en-US"/>
              </w:rPr>
              <w:t xml:space="preserve">costs </w:t>
            </w:r>
            <w:r>
              <w:rPr>
                <w:lang w:eastAsia="en-US"/>
              </w:rPr>
              <w:t xml:space="preserve">could be </w:t>
            </w:r>
            <w:r w:rsidR="00530A39">
              <w:rPr>
                <w:lang w:eastAsia="en-US"/>
              </w:rPr>
              <w:t xml:space="preserve">spread </w:t>
            </w:r>
            <w:r w:rsidR="005A143C">
              <w:rPr>
                <w:lang w:eastAsia="en-US"/>
              </w:rPr>
              <w:t>at a sector level</w:t>
            </w:r>
            <w:r>
              <w:rPr>
                <w:lang w:eastAsia="en-US"/>
              </w:rPr>
              <w:t>, this</w:t>
            </w:r>
            <w:r w:rsidR="005A143C">
              <w:rPr>
                <w:lang w:eastAsia="en-US"/>
              </w:rPr>
              <w:t xml:space="preserve"> </w:t>
            </w:r>
            <w:r w:rsidR="00FF08D0">
              <w:rPr>
                <w:lang w:eastAsia="en-US"/>
              </w:rPr>
              <w:t xml:space="preserve">would not have as large an impact on levy </w:t>
            </w:r>
            <w:r w:rsidR="00D227DF">
              <w:rPr>
                <w:lang w:eastAsia="en-US"/>
              </w:rPr>
              <w:t>volatility</w:t>
            </w:r>
            <w:r w:rsidR="00373FF4">
              <w:rPr>
                <w:lang w:eastAsia="en-US"/>
              </w:rPr>
              <w:t>, compared with s</w:t>
            </w:r>
            <w:r w:rsidR="00921096">
              <w:rPr>
                <w:lang w:eastAsia="en-US"/>
              </w:rPr>
              <w:t>preading costs</w:t>
            </w:r>
            <w:r w:rsidR="00373FF4">
              <w:rPr>
                <w:lang w:eastAsia="en-US"/>
              </w:rPr>
              <w:t xml:space="preserve"> across the entire regulated population.</w:t>
            </w:r>
          </w:p>
          <w:p w14:paraId="6CF8C755" w14:textId="62C3199A" w:rsidR="004541CC" w:rsidRDefault="004541CC" w:rsidP="004541CC">
            <w:pPr>
              <w:pStyle w:val="BoxText"/>
              <w:rPr>
                <w:lang w:eastAsia="en-US"/>
              </w:rPr>
            </w:pPr>
            <w:r>
              <w:t xml:space="preserve">This paper seeks stakeholders’ views on the </w:t>
            </w:r>
            <w:r w:rsidR="00921096">
              <w:t xml:space="preserve">examples </w:t>
            </w:r>
            <w:r>
              <w:t xml:space="preserve">identified above. In providing feedback on these </w:t>
            </w:r>
            <w:r w:rsidR="00921096">
              <w:t>examples</w:t>
            </w:r>
            <w:r>
              <w:t xml:space="preserve">, stakeholders should consider: </w:t>
            </w:r>
          </w:p>
          <w:p w14:paraId="1F03ECF6" w14:textId="77F8107D" w:rsidR="004541CC" w:rsidRDefault="004541CC" w:rsidP="00677723">
            <w:pPr>
              <w:pStyle w:val="OutlineNumbered1"/>
              <w:numPr>
                <w:ilvl w:val="0"/>
                <w:numId w:val="38"/>
              </w:numPr>
              <w:rPr>
                <w:lang w:eastAsia="en-US"/>
              </w:rPr>
            </w:pPr>
            <w:r>
              <w:rPr>
                <w:lang w:eastAsia="en-US"/>
              </w:rPr>
              <w:t>any</w:t>
            </w:r>
            <w:r w:rsidRPr="00AD7D34">
              <w:rPr>
                <w:lang w:eastAsia="en-US"/>
              </w:rPr>
              <w:t xml:space="preserve"> reduction/increase </w:t>
            </w:r>
            <w:r>
              <w:rPr>
                <w:lang w:eastAsia="en-US"/>
              </w:rPr>
              <w:t xml:space="preserve">in levies faced by one </w:t>
            </w:r>
            <w:r w:rsidR="00F33074">
              <w:rPr>
                <w:lang w:eastAsia="en-US"/>
              </w:rPr>
              <w:t>sub</w:t>
            </w:r>
            <w:r w:rsidR="00F33074">
              <w:rPr>
                <w:lang w:eastAsia="en-US"/>
              </w:rPr>
              <w:noBreakHyphen/>
              <w:t>sector</w:t>
            </w:r>
            <w:r>
              <w:rPr>
                <w:lang w:eastAsia="en-US"/>
              </w:rPr>
              <w:t xml:space="preserve"> would be offset by</w:t>
            </w:r>
            <w:r w:rsidRPr="00AD7D34">
              <w:rPr>
                <w:lang w:eastAsia="en-US"/>
              </w:rPr>
              <w:t xml:space="preserve"> </w:t>
            </w:r>
            <w:r>
              <w:rPr>
                <w:lang w:eastAsia="en-US"/>
              </w:rPr>
              <w:t>equivalent increases/</w:t>
            </w:r>
            <w:r w:rsidRPr="00AD7D34">
              <w:rPr>
                <w:lang w:eastAsia="en-US"/>
              </w:rPr>
              <w:t>reduction</w:t>
            </w:r>
            <w:r>
              <w:rPr>
                <w:lang w:eastAsia="en-US"/>
              </w:rPr>
              <w:t xml:space="preserve">s in other </w:t>
            </w:r>
            <w:r w:rsidR="00F33074">
              <w:rPr>
                <w:lang w:eastAsia="en-US"/>
              </w:rPr>
              <w:t>sub</w:t>
            </w:r>
            <w:r w:rsidR="00F33074">
              <w:rPr>
                <w:lang w:eastAsia="en-US"/>
              </w:rPr>
              <w:noBreakHyphen/>
            </w:r>
            <w:r>
              <w:rPr>
                <w:lang w:eastAsia="en-US"/>
              </w:rPr>
              <w:t>sectors to continue to recover the full amount of ASIC’s regulatory costs;</w:t>
            </w:r>
          </w:p>
          <w:p w14:paraId="74A64E30" w14:textId="0C11B345" w:rsidR="004541CC" w:rsidRDefault="004541CC" w:rsidP="00677723">
            <w:pPr>
              <w:pStyle w:val="OutlineNumbered1"/>
              <w:numPr>
                <w:ilvl w:val="0"/>
                <w:numId w:val="38"/>
              </w:numPr>
              <w:rPr>
                <w:lang w:eastAsia="en-US"/>
              </w:rPr>
            </w:pPr>
            <w:r>
              <w:rPr>
                <w:lang w:eastAsia="en-US"/>
              </w:rPr>
              <w:lastRenderedPageBreak/>
              <w:t xml:space="preserve">the impact of the </w:t>
            </w:r>
            <w:r w:rsidR="00FB02D6">
              <w:rPr>
                <w:lang w:eastAsia="en-US"/>
              </w:rPr>
              <w:t xml:space="preserve">examples </w:t>
            </w:r>
            <w:r>
              <w:rPr>
                <w:lang w:eastAsia="en-US"/>
              </w:rPr>
              <w:t xml:space="preserve">on entities, including the cost to business and regulatory burden, as well as fairness and equity considerations; </w:t>
            </w:r>
          </w:p>
          <w:p w14:paraId="013DCC81" w14:textId="1E1718BD" w:rsidR="004541CC" w:rsidRDefault="004541CC" w:rsidP="00677723">
            <w:pPr>
              <w:pStyle w:val="OutlineNumbered1"/>
              <w:numPr>
                <w:ilvl w:val="0"/>
                <w:numId w:val="38"/>
              </w:numPr>
              <w:rPr>
                <w:lang w:eastAsia="en-US"/>
              </w:rPr>
            </w:pPr>
            <w:r>
              <w:rPr>
                <w:lang w:eastAsia="en-US"/>
              </w:rPr>
              <w:t>if there are</w:t>
            </w:r>
            <w:r w:rsidR="0076130F">
              <w:rPr>
                <w:lang w:eastAsia="en-US"/>
              </w:rPr>
              <w:t xml:space="preserve"> other</w:t>
            </w:r>
            <w:r w:rsidDel="0076130F">
              <w:rPr>
                <w:lang w:eastAsia="en-US"/>
              </w:rPr>
              <w:t xml:space="preserve"> certain</w:t>
            </w:r>
            <w:r>
              <w:rPr>
                <w:lang w:eastAsia="en-US"/>
              </w:rPr>
              <w:t xml:space="preserve"> activities or costs that should/should not be </w:t>
            </w:r>
            <w:r w:rsidR="00DF1483">
              <w:rPr>
                <w:lang w:eastAsia="en-US"/>
              </w:rPr>
              <w:t xml:space="preserve">spread </w:t>
            </w:r>
            <w:r>
              <w:rPr>
                <w:lang w:eastAsia="en-US"/>
              </w:rPr>
              <w:t>across years or a wider population;</w:t>
            </w:r>
          </w:p>
          <w:p w14:paraId="3ADB1F78" w14:textId="2601A784" w:rsidR="004541CC" w:rsidRDefault="004541CC" w:rsidP="00677723">
            <w:pPr>
              <w:pStyle w:val="OutlineNumbered1"/>
              <w:numPr>
                <w:ilvl w:val="0"/>
                <w:numId w:val="38"/>
              </w:numPr>
              <w:rPr>
                <w:lang w:eastAsia="en-US"/>
              </w:rPr>
            </w:pPr>
            <w:r>
              <w:rPr>
                <w:lang w:eastAsia="en-US"/>
              </w:rPr>
              <w:t>whether it would be preferable to s</w:t>
            </w:r>
            <w:r w:rsidR="00DF1483">
              <w:rPr>
                <w:lang w:eastAsia="en-US"/>
              </w:rPr>
              <w:t xml:space="preserve">pread </w:t>
            </w:r>
            <w:r>
              <w:rPr>
                <w:lang w:eastAsia="en-US"/>
              </w:rPr>
              <w:t xml:space="preserve">costs </w:t>
            </w:r>
            <w:r w:rsidDel="0076130F">
              <w:rPr>
                <w:lang w:eastAsia="en-US"/>
              </w:rPr>
              <w:t xml:space="preserve">over </w:t>
            </w:r>
            <w:r>
              <w:rPr>
                <w:lang w:eastAsia="en-US"/>
              </w:rPr>
              <w:t>entities within a sector, or over the entire regulated population;</w:t>
            </w:r>
          </w:p>
          <w:p w14:paraId="035317B0" w14:textId="4B1E583B" w:rsidR="004541CC" w:rsidDel="00E3799F" w:rsidRDefault="004541CC" w:rsidP="00677723">
            <w:pPr>
              <w:pStyle w:val="OutlineNumbered1"/>
              <w:numPr>
                <w:ilvl w:val="0"/>
                <w:numId w:val="38"/>
              </w:numPr>
              <w:rPr>
                <w:lang w:eastAsia="en-US"/>
              </w:rPr>
            </w:pPr>
            <w:r>
              <w:rPr>
                <w:lang w:eastAsia="en-US"/>
              </w:rPr>
              <w:t>for Option 1, the appropriate time period for costs to be averaged over – for example, a three-year average or a four-year average; and</w:t>
            </w:r>
            <w:r w:rsidR="008A0465">
              <w:rPr>
                <w:lang w:eastAsia="en-US"/>
              </w:rPr>
              <w:t xml:space="preserve"> </w:t>
            </w:r>
          </w:p>
          <w:p w14:paraId="77723C30" w14:textId="25C078C1" w:rsidR="004541CC" w:rsidRPr="00CA7839" w:rsidRDefault="004541CC" w:rsidP="00677723">
            <w:pPr>
              <w:pStyle w:val="BoxText"/>
              <w:numPr>
                <w:ilvl w:val="0"/>
                <w:numId w:val="38"/>
              </w:numPr>
              <w:rPr>
                <w:lang w:eastAsia="en-US"/>
              </w:rPr>
            </w:pPr>
            <w:r w:rsidDel="00E3799F">
              <w:rPr>
                <w:lang w:eastAsia="en-US"/>
              </w:rPr>
              <w:t xml:space="preserve">for Option 2, </w:t>
            </w:r>
            <w:r>
              <w:rPr>
                <w:lang w:eastAsia="en-US"/>
              </w:rPr>
              <w:t>whether any maximum caps or other safeguards should be set to ensure that entities are not disadvantaged by higher levy amounts.</w:t>
            </w:r>
          </w:p>
        </w:tc>
      </w:tr>
      <w:tr w:rsidR="00C845A2" w14:paraId="0B2184C3" w14:textId="77777777" w:rsidTr="00082A83">
        <w:tblPrEx>
          <w:shd w:val="clear" w:color="auto" w:fill="EEEEEE" w:themeFill="background2"/>
          <w:tblLook w:val="04A0" w:firstRow="1" w:lastRow="0" w:firstColumn="1" w:lastColumn="0" w:noHBand="0" w:noVBand="1"/>
        </w:tblPrEx>
        <w:trPr>
          <w:trHeight w:val="2097"/>
        </w:trPr>
        <w:tc>
          <w:tcPr>
            <w:tcW w:w="5000" w:type="pct"/>
            <w:shd w:val="clear" w:color="auto" w:fill="EEEEEE" w:themeFill="background2"/>
          </w:tcPr>
          <w:p w14:paraId="020C0133" w14:textId="32B6731E" w:rsidR="001951D5" w:rsidRPr="000D1284" w:rsidRDefault="001951D5" w:rsidP="001E6383">
            <w:pPr>
              <w:pStyle w:val="BoxHeading"/>
              <w:numPr>
                <w:ilvl w:val="0"/>
                <w:numId w:val="0"/>
              </w:numPr>
              <w:spacing w:before="120"/>
            </w:pPr>
            <w:r>
              <w:lastRenderedPageBreak/>
              <w:t>Questions</w:t>
            </w:r>
          </w:p>
          <w:p w14:paraId="61947709" w14:textId="5F9DC28F" w:rsidR="00420475" w:rsidRDefault="00221C87" w:rsidP="009114BE">
            <w:pPr>
              <w:pStyle w:val="OutlineNumbered1"/>
              <w:numPr>
                <w:ilvl w:val="0"/>
                <w:numId w:val="40"/>
              </w:numPr>
              <w:tabs>
                <w:tab w:val="num" w:pos="520"/>
              </w:tabs>
              <w:rPr>
                <w:lang w:eastAsia="en-US"/>
              </w:rPr>
            </w:pPr>
            <w:r>
              <w:rPr>
                <w:lang w:eastAsia="en-US"/>
              </w:rPr>
              <w:t>I</w:t>
            </w:r>
            <w:r w:rsidR="002E0800">
              <w:rPr>
                <w:lang w:eastAsia="en-US"/>
              </w:rPr>
              <w:t>s</w:t>
            </w:r>
            <w:r>
              <w:rPr>
                <w:lang w:eastAsia="en-US"/>
              </w:rPr>
              <w:t xml:space="preserve"> it</w:t>
            </w:r>
            <w:r w:rsidR="002E0800">
              <w:rPr>
                <w:lang w:eastAsia="en-US"/>
              </w:rPr>
              <w:t xml:space="preserve"> more important to have</w:t>
            </w:r>
            <w:r w:rsidR="00890921" w:rsidRPr="00890921">
              <w:rPr>
                <w:lang w:eastAsia="en-US"/>
              </w:rPr>
              <w:t xml:space="preserve"> less volatile</w:t>
            </w:r>
            <w:r w:rsidR="00B93A01">
              <w:rPr>
                <w:lang w:eastAsia="en-US"/>
              </w:rPr>
              <w:t>/more stable</w:t>
            </w:r>
            <w:r w:rsidR="00890921" w:rsidRPr="00890921">
              <w:rPr>
                <w:lang w:eastAsia="en-US"/>
              </w:rPr>
              <w:t xml:space="preserve"> lev</w:t>
            </w:r>
            <w:r w:rsidR="00B93A01">
              <w:rPr>
                <w:lang w:eastAsia="en-US"/>
              </w:rPr>
              <w:t xml:space="preserve">y amounts </w:t>
            </w:r>
            <w:r w:rsidR="006364E7">
              <w:rPr>
                <w:lang w:eastAsia="en-US"/>
              </w:rPr>
              <w:t>year-on-year,</w:t>
            </w:r>
            <w:r w:rsidR="00890921" w:rsidRPr="00890921">
              <w:rPr>
                <w:lang w:eastAsia="en-US"/>
              </w:rPr>
              <w:t xml:space="preserve"> or more granular</w:t>
            </w:r>
            <w:r w:rsidR="002E0800">
              <w:rPr>
                <w:lang w:eastAsia="en-US"/>
              </w:rPr>
              <w:t xml:space="preserve"> and </w:t>
            </w:r>
            <w:r w:rsidR="00890921" w:rsidRPr="00890921">
              <w:rPr>
                <w:lang w:eastAsia="en-US"/>
              </w:rPr>
              <w:t>equitable apportion</w:t>
            </w:r>
            <w:r w:rsidR="00600E12">
              <w:rPr>
                <w:lang w:eastAsia="en-US"/>
              </w:rPr>
              <w:t>ment</w:t>
            </w:r>
            <w:r w:rsidR="00890921" w:rsidRPr="00890921">
              <w:rPr>
                <w:lang w:eastAsia="en-US"/>
              </w:rPr>
              <w:t xml:space="preserve"> of costs</w:t>
            </w:r>
            <w:r w:rsidR="006364E7">
              <w:rPr>
                <w:lang w:eastAsia="en-US"/>
              </w:rPr>
              <w:t xml:space="preserve"> each year</w:t>
            </w:r>
            <w:r>
              <w:rPr>
                <w:lang w:eastAsia="en-US"/>
              </w:rPr>
              <w:t>?</w:t>
            </w:r>
          </w:p>
          <w:p w14:paraId="2196B681" w14:textId="5BC3764C" w:rsidR="00743338" w:rsidRPr="000D1284" w:rsidRDefault="00974087" w:rsidP="00BD4041">
            <w:pPr>
              <w:pStyle w:val="OutlineNumbered1"/>
              <w:numPr>
                <w:ilvl w:val="0"/>
                <w:numId w:val="40"/>
              </w:numPr>
              <w:tabs>
                <w:tab w:val="num" w:pos="520"/>
              </w:tabs>
              <w:rPr>
                <w:lang w:eastAsia="en-US"/>
              </w:rPr>
            </w:pPr>
            <w:r>
              <w:rPr>
                <w:lang w:eastAsia="en-US"/>
              </w:rPr>
              <w:t xml:space="preserve">Are there </w:t>
            </w:r>
            <w:r w:rsidR="00A2305E">
              <w:rPr>
                <w:lang w:eastAsia="en-US"/>
              </w:rPr>
              <w:t>other</w:t>
            </w:r>
            <w:r w:rsidR="0007269C">
              <w:rPr>
                <w:lang w:eastAsia="en-US"/>
              </w:rPr>
              <w:t xml:space="preserve"> ways to manage or reduce volatility in levy amounts year-on-year, including other approaches to s</w:t>
            </w:r>
            <w:r w:rsidR="00887FED">
              <w:rPr>
                <w:lang w:eastAsia="en-US"/>
              </w:rPr>
              <w:t>preading costs</w:t>
            </w:r>
            <w:r w:rsidR="0007269C">
              <w:rPr>
                <w:lang w:eastAsia="en-US"/>
              </w:rPr>
              <w:t>?</w:t>
            </w:r>
            <w:r w:rsidR="00B5201B">
              <w:rPr>
                <w:lang w:eastAsia="en-US"/>
              </w:rPr>
              <w:t xml:space="preserve"> If so, </w:t>
            </w:r>
            <w:r w:rsidR="00D7175C">
              <w:rPr>
                <w:lang w:eastAsia="en-US"/>
              </w:rPr>
              <w:t>why,</w:t>
            </w:r>
            <w:r w:rsidR="00B5201B">
              <w:rPr>
                <w:lang w:eastAsia="en-US"/>
              </w:rPr>
              <w:t xml:space="preserve"> and what benefits</w:t>
            </w:r>
            <w:r w:rsidR="00C762CD">
              <w:rPr>
                <w:lang w:eastAsia="en-US"/>
              </w:rPr>
              <w:t xml:space="preserve"> would it provide</w:t>
            </w:r>
            <w:r w:rsidR="00B5201B">
              <w:rPr>
                <w:lang w:eastAsia="en-US"/>
              </w:rPr>
              <w:t>?</w:t>
            </w:r>
          </w:p>
        </w:tc>
      </w:tr>
    </w:tbl>
    <w:p w14:paraId="6F495B79" w14:textId="6F63B58C" w:rsidR="00537613" w:rsidRDefault="00537613">
      <w:pPr>
        <w:spacing w:before="0" w:after="160" w:line="259" w:lineRule="auto"/>
        <w:rPr>
          <w:rFonts w:ascii="Calibri" w:hAnsi="Calibri" w:cs="Arial"/>
          <w:b/>
          <w:color w:val="5D779D" w:themeColor="accent3"/>
          <w:kern w:val="32"/>
          <w:sz w:val="44"/>
          <w:szCs w:val="36"/>
        </w:rPr>
      </w:pPr>
      <w:bookmarkStart w:id="61" w:name="_Toc109834340"/>
      <w:r>
        <w:br w:type="page"/>
      </w:r>
    </w:p>
    <w:p w14:paraId="21C37DC3" w14:textId="6B59CE39" w:rsidR="00394D7B" w:rsidRDefault="00394D7B" w:rsidP="00394D7B">
      <w:pPr>
        <w:pStyle w:val="Heading1"/>
      </w:pPr>
      <w:bookmarkStart w:id="62" w:name="_Toc114214424"/>
      <w:r>
        <w:lastRenderedPageBreak/>
        <w:t>Fees-for-service</w:t>
      </w:r>
      <w:bookmarkEnd w:id="62"/>
    </w:p>
    <w:p w14:paraId="63BC6054" w14:textId="77777777" w:rsidR="00394D7B" w:rsidRDefault="00394D7B" w:rsidP="00C6745C">
      <w:pPr>
        <w:pStyle w:val="Heading2"/>
        <w:numPr>
          <w:ilvl w:val="6"/>
          <w:numId w:val="30"/>
        </w:numPr>
        <w:tabs>
          <w:tab w:val="clear" w:pos="2520"/>
        </w:tabs>
        <w:ind w:left="426" w:hanging="426"/>
      </w:pPr>
      <w:bookmarkStart w:id="63" w:name="_Toc109834341"/>
      <w:bookmarkStart w:id="64" w:name="_Toc114214425"/>
      <w:bookmarkEnd w:id="61"/>
      <w:r>
        <w:t>Overview</w:t>
      </w:r>
      <w:bookmarkEnd w:id="63"/>
      <w:bookmarkEnd w:id="64"/>
      <w:r>
        <w:t xml:space="preserve"> </w:t>
      </w:r>
    </w:p>
    <w:p w14:paraId="259309FF" w14:textId="7B31D72B" w:rsidR="00E74017" w:rsidRDefault="00990007" w:rsidP="00682917">
      <w:r w:rsidRPr="00682917">
        <w:t xml:space="preserve">As part of the IFM, </w:t>
      </w:r>
      <w:r w:rsidR="00EC299E" w:rsidRPr="00682917">
        <w:t xml:space="preserve">ASIC charges </w:t>
      </w:r>
      <w:r w:rsidR="002F3F22" w:rsidRPr="00682917">
        <w:t xml:space="preserve">cost recovery </w:t>
      </w:r>
      <w:r w:rsidRPr="00682917">
        <w:t>f</w:t>
      </w:r>
      <w:r w:rsidR="0052148B" w:rsidRPr="00682917">
        <w:t>ees</w:t>
      </w:r>
      <w:r w:rsidR="00D1731E">
        <w:t>-</w:t>
      </w:r>
      <w:r w:rsidR="0052148B" w:rsidRPr="00682917">
        <w:t>for</w:t>
      </w:r>
      <w:r w:rsidR="00D1731E">
        <w:t>-</w:t>
      </w:r>
      <w:r w:rsidR="0052148B" w:rsidRPr="00682917">
        <w:t xml:space="preserve">service for user-initiated and transaction-based </w:t>
      </w:r>
      <w:r w:rsidR="00D635FD" w:rsidRPr="00682917">
        <w:t>activities</w:t>
      </w:r>
      <w:r w:rsidR="0052148B" w:rsidRPr="00682917">
        <w:t xml:space="preserve"> </w:t>
      </w:r>
      <w:r w:rsidR="00D635FD" w:rsidRPr="00682917">
        <w:t xml:space="preserve">where ASIC </w:t>
      </w:r>
      <w:r w:rsidR="0052148B" w:rsidRPr="00682917">
        <w:t>provide</w:t>
      </w:r>
      <w:r w:rsidR="00D635FD" w:rsidRPr="00682917">
        <w:t>s a specific service</w:t>
      </w:r>
      <w:r w:rsidR="0052148B" w:rsidRPr="00682917">
        <w:t xml:space="preserve"> to individual entities. </w:t>
      </w:r>
      <w:r w:rsidR="00A46403" w:rsidRPr="00682917">
        <w:t xml:space="preserve">These </w:t>
      </w:r>
      <w:r w:rsidR="00484B09" w:rsidRPr="00682917">
        <w:t xml:space="preserve">fees are charged when a good, </w:t>
      </w:r>
      <w:r w:rsidR="000D158B" w:rsidRPr="00682917">
        <w:t>service,</w:t>
      </w:r>
      <w:r w:rsidR="00484B09" w:rsidRPr="00682917">
        <w:t xml:space="preserve"> or regulatory activity is provided directly to an individual or organisation.</w:t>
      </w:r>
      <w:r w:rsidR="00916709" w:rsidRPr="00682917">
        <w:t xml:space="preserve"> </w:t>
      </w:r>
      <w:r w:rsidR="00AF160D">
        <w:t>T</w:t>
      </w:r>
      <w:r w:rsidR="00916709" w:rsidRPr="00682917">
        <w:t xml:space="preserve">he </w:t>
      </w:r>
      <w:r w:rsidR="00AF160D">
        <w:t xml:space="preserve">fee </w:t>
      </w:r>
      <w:r w:rsidR="00B4295A" w:rsidRPr="00682917">
        <w:t xml:space="preserve">amount </w:t>
      </w:r>
      <w:r w:rsidR="006E47C8" w:rsidRPr="00682917">
        <w:t>charged,</w:t>
      </w:r>
      <w:r w:rsidR="00B4295A" w:rsidRPr="00682917">
        <w:t xml:space="preserve"> and the costing approach is governed by the Charging Framework.</w:t>
      </w:r>
      <w:r w:rsidR="00A2002B">
        <w:t xml:space="preserve"> </w:t>
      </w:r>
      <w:r w:rsidR="00894FC7">
        <w:t>Fees account for a small proportion of the total amount recovered from industry under the IFM</w:t>
      </w:r>
      <w:r w:rsidR="00F9511E">
        <w:t xml:space="preserve"> – typically between </w:t>
      </w:r>
      <w:r w:rsidR="00FD7B2D">
        <w:t>3</w:t>
      </w:r>
      <w:r w:rsidR="002D12F1">
        <w:noBreakHyphen/>
      </w:r>
      <w:r w:rsidR="00FD7B2D">
        <w:t>5</w:t>
      </w:r>
      <w:r w:rsidR="002D12F1">
        <w:t> </w:t>
      </w:r>
      <w:r w:rsidR="00DA75B8" w:rsidRPr="00360713">
        <w:t>per cent</w:t>
      </w:r>
      <w:r w:rsidR="00A2002B">
        <w:t xml:space="preserve"> each year</w:t>
      </w:r>
      <w:r w:rsidR="00432778" w:rsidRPr="0049650F">
        <w:t>.</w:t>
      </w:r>
      <w:r w:rsidR="00DC100D">
        <w:t xml:space="preserve"> The </w:t>
      </w:r>
      <w:r w:rsidR="00423A74">
        <w:t>fees-for-serv</w:t>
      </w:r>
      <w:r w:rsidR="004A3759">
        <w:t>i</w:t>
      </w:r>
      <w:r w:rsidR="00423A74">
        <w:t>ce</w:t>
      </w:r>
      <w:r w:rsidR="00DC100D">
        <w:t xml:space="preserve"> component of the IFM commenced on 4 July 2018.</w:t>
      </w:r>
    </w:p>
    <w:p w14:paraId="656F0A71" w14:textId="2A7BD8D3" w:rsidR="00015131" w:rsidRDefault="00015131" w:rsidP="00682917">
      <w:r w:rsidRPr="003D79E8">
        <w:rPr>
          <w:b/>
        </w:rPr>
        <w:t xml:space="preserve">Table </w:t>
      </w:r>
      <w:r>
        <w:rPr>
          <w:b/>
        </w:rPr>
        <w:t>3</w:t>
      </w:r>
      <w:r w:rsidRPr="003D79E8">
        <w:rPr>
          <w:b/>
        </w:rPr>
        <w:t>: Fee revenue compared to industry levies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1103"/>
        <w:gridCol w:w="1104"/>
        <w:gridCol w:w="1104"/>
        <w:gridCol w:w="1104"/>
      </w:tblGrid>
      <w:tr w:rsidR="00015131" w14:paraId="7B86F7CA" w14:textId="77777777" w:rsidTr="00CA455F">
        <w:trPr>
          <w:cnfStyle w:val="100000000000" w:firstRow="1" w:lastRow="0" w:firstColumn="0" w:lastColumn="0" w:oddVBand="0" w:evenVBand="0" w:oddHBand="0" w:evenHBand="0" w:firstRowFirstColumn="0" w:firstRowLastColumn="0" w:lastRowFirstColumn="0" w:lastRowLastColumn="0"/>
        </w:trPr>
        <w:tc>
          <w:tcPr>
            <w:tcW w:w="4645" w:type="dxa"/>
            <w:shd w:val="clear" w:color="auto" w:fill="9F9F9F" w:themeFill="text2" w:themeFillTint="99"/>
          </w:tcPr>
          <w:p w14:paraId="3151992F" w14:textId="77777777" w:rsidR="00015131" w:rsidRPr="00F2702C" w:rsidRDefault="00015131" w:rsidP="00B31FB5">
            <w:pPr>
              <w:spacing w:before="96" w:after="96"/>
              <w:rPr>
                <w:sz w:val="22"/>
                <w:szCs w:val="22"/>
              </w:rPr>
            </w:pPr>
          </w:p>
        </w:tc>
        <w:tc>
          <w:tcPr>
            <w:tcW w:w="1103" w:type="dxa"/>
            <w:shd w:val="clear" w:color="auto" w:fill="9F9F9F" w:themeFill="text2" w:themeFillTint="99"/>
          </w:tcPr>
          <w:p w14:paraId="226E61CA" w14:textId="77777777" w:rsidR="00015131" w:rsidRPr="00015131" w:rsidRDefault="00015131" w:rsidP="00B31FB5">
            <w:pPr>
              <w:spacing w:before="96" w:after="96"/>
              <w:jc w:val="center"/>
              <w:rPr>
                <w:color w:val="auto"/>
                <w:sz w:val="22"/>
                <w:szCs w:val="22"/>
              </w:rPr>
            </w:pPr>
            <w:r w:rsidRPr="00015131">
              <w:rPr>
                <w:color w:val="auto"/>
                <w:sz w:val="22"/>
                <w:szCs w:val="22"/>
              </w:rPr>
              <w:t>2018-19</w:t>
            </w:r>
          </w:p>
        </w:tc>
        <w:tc>
          <w:tcPr>
            <w:tcW w:w="1104" w:type="dxa"/>
            <w:shd w:val="clear" w:color="auto" w:fill="9F9F9F" w:themeFill="text2" w:themeFillTint="99"/>
          </w:tcPr>
          <w:p w14:paraId="7FAA4152" w14:textId="77777777" w:rsidR="00015131" w:rsidRPr="00015131" w:rsidRDefault="00015131" w:rsidP="00B31FB5">
            <w:pPr>
              <w:spacing w:before="96" w:after="96"/>
              <w:jc w:val="center"/>
              <w:rPr>
                <w:color w:val="auto"/>
                <w:sz w:val="22"/>
                <w:szCs w:val="22"/>
              </w:rPr>
            </w:pPr>
            <w:r w:rsidRPr="00015131">
              <w:rPr>
                <w:color w:val="auto"/>
                <w:sz w:val="22"/>
                <w:szCs w:val="22"/>
              </w:rPr>
              <w:t>2019-20</w:t>
            </w:r>
          </w:p>
        </w:tc>
        <w:tc>
          <w:tcPr>
            <w:tcW w:w="1104" w:type="dxa"/>
            <w:shd w:val="clear" w:color="auto" w:fill="9F9F9F" w:themeFill="text2" w:themeFillTint="99"/>
          </w:tcPr>
          <w:p w14:paraId="4198D6CF" w14:textId="77777777" w:rsidR="00015131" w:rsidRPr="00015131" w:rsidRDefault="00015131" w:rsidP="00B31FB5">
            <w:pPr>
              <w:spacing w:before="96" w:after="96"/>
              <w:jc w:val="center"/>
              <w:rPr>
                <w:color w:val="auto"/>
                <w:sz w:val="22"/>
                <w:szCs w:val="22"/>
              </w:rPr>
            </w:pPr>
            <w:r w:rsidRPr="00015131">
              <w:rPr>
                <w:color w:val="auto"/>
                <w:sz w:val="22"/>
                <w:szCs w:val="22"/>
              </w:rPr>
              <w:t>2020-21</w:t>
            </w:r>
          </w:p>
        </w:tc>
        <w:tc>
          <w:tcPr>
            <w:tcW w:w="1104" w:type="dxa"/>
            <w:shd w:val="clear" w:color="auto" w:fill="9F9F9F" w:themeFill="text2" w:themeFillTint="99"/>
          </w:tcPr>
          <w:p w14:paraId="1F758BF5" w14:textId="77777777" w:rsidR="00015131" w:rsidRPr="00015131" w:rsidRDefault="00015131" w:rsidP="00B31FB5">
            <w:pPr>
              <w:spacing w:before="96" w:after="96"/>
              <w:jc w:val="center"/>
              <w:rPr>
                <w:color w:val="auto"/>
                <w:sz w:val="22"/>
                <w:szCs w:val="22"/>
              </w:rPr>
            </w:pPr>
            <w:r w:rsidRPr="00015131">
              <w:rPr>
                <w:color w:val="auto"/>
                <w:sz w:val="22"/>
                <w:szCs w:val="22"/>
              </w:rPr>
              <w:t>2021-22*</w:t>
            </w:r>
          </w:p>
        </w:tc>
      </w:tr>
      <w:tr w:rsidR="00015131" w14:paraId="05B6FA22" w14:textId="77777777" w:rsidTr="008057ED">
        <w:tc>
          <w:tcPr>
            <w:tcW w:w="4645" w:type="dxa"/>
          </w:tcPr>
          <w:p w14:paraId="03DCECA8" w14:textId="3B2FC9A9" w:rsidR="00015131" w:rsidRPr="00F2702C" w:rsidRDefault="00015131" w:rsidP="00B31FB5">
            <w:pPr>
              <w:rPr>
                <w:sz w:val="22"/>
                <w:szCs w:val="22"/>
              </w:rPr>
            </w:pPr>
            <w:r w:rsidRPr="00F2702C">
              <w:rPr>
                <w:sz w:val="22"/>
                <w:szCs w:val="22"/>
              </w:rPr>
              <w:t>Amount recovered via industry levies</w:t>
            </w:r>
            <w:r w:rsidR="008A5018">
              <w:rPr>
                <w:sz w:val="22"/>
                <w:szCs w:val="22"/>
              </w:rPr>
              <w:t xml:space="preserve"> </w:t>
            </w:r>
            <w:r w:rsidR="007F0A32">
              <w:rPr>
                <w:sz w:val="22"/>
                <w:szCs w:val="22"/>
              </w:rPr>
              <w:t>(</w:t>
            </w:r>
            <w:r w:rsidR="008A5018">
              <w:rPr>
                <w:sz w:val="22"/>
                <w:szCs w:val="22"/>
              </w:rPr>
              <w:t>$</w:t>
            </w:r>
            <w:r w:rsidR="007F0A32">
              <w:rPr>
                <w:sz w:val="22"/>
                <w:szCs w:val="22"/>
              </w:rPr>
              <w:t xml:space="preserve"> million)</w:t>
            </w:r>
            <w:r w:rsidR="008A5018">
              <w:rPr>
                <w:sz w:val="22"/>
                <w:szCs w:val="22"/>
              </w:rPr>
              <w:t xml:space="preserve"> </w:t>
            </w:r>
          </w:p>
        </w:tc>
        <w:tc>
          <w:tcPr>
            <w:tcW w:w="1103" w:type="dxa"/>
          </w:tcPr>
          <w:p w14:paraId="4D6FAEA4" w14:textId="0C56A105" w:rsidR="00015131" w:rsidRPr="00F2702C" w:rsidRDefault="00015131" w:rsidP="00B31FB5">
            <w:pPr>
              <w:jc w:val="right"/>
              <w:rPr>
                <w:sz w:val="22"/>
                <w:szCs w:val="22"/>
              </w:rPr>
            </w:pPr>
            <w:r w:rsidRPr="00F2702C">
              <w:rPr>
                <w:sz w:val="22"/>
                <w:szCs w:val="22"/>
              </w:rPr>
              <w:t>276.7</w:t>
            </w:r>
          </w:p>
        </w:tc>
        <w:tc>
          <w:tcPr>
            <w:tcW w:w="1104" w:type="dxa"/>
          </w:tcPr>
          <w:p w14:paraId="508B999A" w14:textId="726C00EC" w:rsidR="00015131" w:rsidRPr="00F2702C" w:rsidRDefault="00015131" w:rsidP="00B31FB5">
            <w:pPr>
              <w:jc w:val="right"/>
              <w:rPr>
                <w:sz w:val="22"/>
                <w:szCs w:val="22"/>
              </w:rPr>
            </w:pPr>
            <w:r w:rsidRPr="00F2702C">
              <w:rPr>
                <w:sz w:val="22"/>
                <w:szCs w:val="22"/>
              </w:rPr>
              <w:t>320.3</w:t>
            </w:r>
          </w:p>
        </w:tc>
        <w:tc>
          <w:tcPr>
            <w:tcW w:w="1104" w:type="dxa"/>
          </w:tcPr>
          <w:p w14:paraId="1690827D" w14:textId="346C6235" w:rsidR="00015131" w:rsidRPr="00F2702C" w:rsidRDefault="00015131" w:rsidP="00B31FB5">
            <w:pPr>
              <w:jc w:val="right"/>
              <w:rPr>
                <w:sz w:val="22"/>
                <w:szCs w:val="22"/>
              </w:rPr>
            </w:pPr>
            <w:r w:rsidRPr="00F2702C">
              <w:rPr>
                <w:sz w:val="22"/>
                <w:szCs w:val="22"/>
              </w:rPr>
              <w:t>314.1</w:t>
            </w:r>
          </w:p>
        </w:tc>
        <w:tc>
          <w:tcPr>
            <w:tcW w:w="1104" w:type="dxa"/>
          </w:tcPr>
          <w:p w14:paraId="40EAAB35" w14:textId="3D006A7D" w:rsidR="00015131" w:rsidRPr="00F2702C" w:rsidRDefault="00015131" w:rsidP="00B31FB5">
            <w:pPr>
              <w:jc w:val="right"/>
              <w:rPr>
                <w:sz w:val="22"/>
                <w:szCs w:val="22"/>
              </w:rPr>
            </w:pPr>
            <w:r w:rsidRPr="00F2702C">
              <w:rPr>
                <w:sz w:val="22"/>
                <w:szCs w:val="22"/>
              </w:rPr>
              <w:t>332.3</w:t>
            </w:r>
          </w:p>
        </w:tc>
      </w:tr>
      <w:tr w:rsidR="00015131" w14:paraId="7AB405A4" w14:textId="77777777" w:rsidTr="008057ED">
        <w:tc>
          <w:tcPr>
            <w:tcW w:w="4645" w:type="dxa"/>
          </w:tcPr>
          <w:p w14:paraId="57A690B7" w14:textId="303FA31E" w:rsidR="00015131" w:rsidRPr="00F2702C" w:rsidRDefault="00015131" w:rsidP="00B31FB5">
            <w:pPr>
              <w:rPr>
                <w:sz w:val="22"/>
                <w:szCs w:val="22"/>
              </w:rPr>
            </w:pPr>
            <w:r w:rsidRPr="00F2702C">
              <w:rPr>
                <w:sz w:val="22"/>
                <w:szCs w:val="22"/>
              </w:rPr>
              <w:t xml:space="preserve">Amount recovered via fees-for-service </w:t>
            </w:r>
            <w:r w:rsidR="007F0A32">
              <w:rPr>
                <w:sz w:val="22"/>
                <w:szCs w:val="22"/>
              </w:rPr>
              <w:t>($ million)</w:t>
            </w:r>
          </w:p>
        </w:tc>
        <w:tc>
          <w:tcPr>
            <w:tcW w:w="1103" w:type="dxa"/>
          </w:tcPr>
          <w:p w14:paraId="2C0A9652" w14:textId="54021214" w:rsidR="00015131" w:rsidRPr="00F2702C" w:rsidRDefault="00015131" w:rsidP="00B31FB5">
            <w:pPr>
              <w:jc w:val="right"/>
              <w:rPr>
                <w:sz w:val="22"/>
                <w:szCs w:val="22"/>
              </w:rPr>
            </w:pPr>
            <w:r w:rsidRPr="00F2702C">
              <w:rPr>
                <w:sz w:val="22"/>
                <w:szCs w:val="22"/>
              </w:rPr>
              <w:t>13.6</w:t>
            </w:r>
          </w:p>
        </w:tc>
        <w:tc>
          <w:tcPr>
            <w:tcW w:w="1104" w:type="dxa"/>
          </w:tcPr>
          <w:p w14:paraId="2D359976" w14:textId="6E7C6CD8" w:rsidR="00015131" w:rsidRPr="00F2702C" w:rsidRDefault="00015131" w:rsidP="00B31FB5">
            <w:pPr>
              <w:jc w:val="right"/>
              <w:rPr>
                <w:sz w:val="22"/>
                <w:szCs w:val="22"/>
              </w:rPr>
            </w:pPr>
            <w:r w:rsidRPr="00F2702C">
              <w:rPr>
                <w:sz w:val="22"/>
                <w:szCs w:val="22"/>
              </w:rPr>
              <w:t>11.2m</w:t>
            </w:r>
          </w:p>
        </w:tc>
        <w:tc>
          <w:tcPr>
            <w:tcW w:w="1104" w:type="dxa"/>
          </w:tcPr>
          <w:p w14:paraId="7C4D1D41" w14:textId="366883AB" w:rsidR="00015131" w:rsidRPr="00F2702C" w:rsidRDefault="00015131" w:rsidP="00B31FB5">
            <w:pPr>
              <w:jc w:val="right"/>
              <w:rPr>
                <w:sz w:val="22"/>
                <w:szCs w:val="22"/>
              </w:rPr>
            </w:pPr>
            <w:r w:rsidRPr="00F2702C">
              <w:rPr>
                <w:sz w:val="22"/>
                <w:szCs w:val="22"/>
              </w:rPr>
              <w:t>14.5m</w:t>
            </w:r>
          </w:p>
        </w:tc>
        <w:tc>
          <w:tcPr>
            <w:tcW w:w="1104" w:type="dxa"/>
          </w:tcPr>
          <w:p w14:paraId="35683B34" w14:textId="629011DC" w:rsidR="00015131" w:rsidRPr="00F2702C" w:rsidRDefault="00015131" w:rsidP="00B31FB5">
            <w:pPr>
              <w:jc w:val="right"/>
              <w:rPr>
                <w:sz w:val="22"/>
                <w:szCs w:val="22"/>
              </w:rPr>
            </w:pPr>
            <w:r w:rsidRPr="00F2702C">
              <w:rPr>
                <w:sz w:val="22"/>
                <w:szCs w:val="22"/>
              </w:rPr>
              <w:t>16.9</w:t>
            </w:r>
          </w:p>
        </w:tc>
      </w:tr>
      <w:tr w:rsidR="00015131" w14:paraId="659C7735" w14:textId="77777777" w:rsidTr="008057ED">
        <w:tc>
          <w:tcPr>
            <w:tcW w:w="4645" w:type="dxa"/>
          </w:tcPr>
          <w:p w14:paraId="674956EB" w14:textId="77777777" w:rsidR="00015131" w:rsidRPr="00F2702C" w:rsidRDefault="00015131" w:rsidP="00B31FB5">
            <w:pPr>
              <w:rPr>
                <w:sz w:val="22"/>
                <w:szCs w:val="22"/>
              </w:rPr>
            </w:pPr>
            <w:r w:rsidRPr="00F2702C">
              <w:rPr>
                <w:sz w:val="22"/>
                <w:szCs w:val="22"/>
              </w:rPr>
              <w:t>Fees revenue as a proportion of total amount recovered (%)</w:t>
            </w:r>
          </w:p>
        </w:tc>
        <w:tc>
          <w:tcPr>
            <w:tcW w:w="1103" w:type="dxa"/>
          </w:tcPr>
          <w:p w14:paraId="03985668" w14:textId="77777777" w:rsidR="00015131" w:rsidRPr="00F2702C" w:rsidRDefault="00015131" w:rsidP="00B31FB5">
            <w:pPr>
              <w:jc w:val="right"/>
              <w:rPr>
                <w:sz w:val="22"/>
                <w:szCs w:val="22"/>
              </w:rPr>
            </w:pPr>
            <w:r w:rsidRPr="00F2702C">
              <w:rPr>
                <w:sz w:val="22"/>
                <w:szCs w:val="22"/>
              </w:rPr>
              <w:t>4.7</w:t>
            </w:r>
          </w:p>
        </w:tc>
        <w:tc>
          <w:tcPr>
            <w:tcW w:w="1104" w:type="dxa"/>
          </w:tcPr>
          <w:p w14:paraId="06378FE1" w14:textId="77777777" w:rsidR="00015131" w:rsidRPr="00F2702C" w:rsidRDefault="00015131" w:rsidP="00B31FB5">
            <w:pPr>
              <w:jc w:val="right"/>
              <w:rPr>
                <w:sz w:val="22"/>
                <w:szCs w:val="22"/>
              </w:rPr>
            </w:pPr>
            <w:r w:rsidRPr="00F2702C">
              <w:rPr>
                <w:sz w:val="22"/>
                <w:szCs w:val="22"/>
              </w:rPr>
              <w:t>3.4</w:t>
            </w:r>
          </w:p>
        </w:tc>
        <w:tc>
          <w:tcPr>
            <w:tcW w:w="1104" w:type="dxa"/>
          </w:tcPr>
          <w:p w14:paraId="1C9751C7" w14:textId="77777777" w:rsidR="00015131" w:rsidRPr="00F2702C" w:rsidRDefault="00015131" w:rsidP="00B31FB5">
            <w:pPr>
              <w:jc w:val="right"/>
              <w:rPr>
                <w:sz w:val="22"/>
                <w:szCs w:val="22"/>
              </w:rPr>
            </w:pPr>
            <w:r w:rsidRPr="00F2702C">
              <w:rPr>
                <w:sz w:val="22"/>
                <w:szCs w:val="22"/>
              </w:rPr>
              <w:t>4.</w:t>
            </w:r>
            <w:r w:rsidRPr="00F2702C" w:rsidDel="00115899">
              <w:rPr>
                <w:sz w:val="22"/>
                <w:szCs w:val="22"/>
              </w:rPr>
              <w:t>4</w:t>
            </w:r>
          </w:p>
        </w:tc>
        <w:tc>
          <w:tcPr>
            <w:tcW w:w="1104" w:type="dxa"/>
          </w:tcPr>
          <w:p w14:paraId="74290B1E" w14:textId="77777777" w:rsidR="00015131" w:rsidRPr="00F2702C" w:rsidRDefault="00015131" w:rsidP="00B31FB5">
            <w:pPr>
              <w:jc w:val="right"/>
              <w:rPr>
                <w:sz w:val="22"/>
                <w:szCs w:val="22"/>
              </w:rPr>
            </w:pPr>
            <w:r w:rsidRPr="00F2702C">
              <w:rPr>
                <w:sz w:val="22"/>
                <w:szCs w:val="22"/>
              </w:rPr>
              <w:t>4.8</w:t>
            </w:r>
          </w:p>
        </w:tc>
      </w:tr>
    </w:tbl>
    <w:p w14:paraId="0FFC6974" w14:textId="78C0F4C3" w:rsidR="0052285B" w:rsidRPr="00450442" w:rsidRDefault="0052285B" w:rsidP="00A843B2">
      <w:pPr>
        <w:tabs>
          <w:tab w:val="left" w:pos="6030"/>
        </w:tabs>
        <w:rPr>
          <w:sz w:val="20"/>
        </w:rPr>
      </w:pPr>
      <w:r w:rsidRPr="00450442">
        <w:rPr>
          <w:sz w:val="20"/>
        </w:rPr>
        <w:t>*</w:t>
      </w:r>
      <w:r w:rsidR="00B67DD9" w:rsidRPr="00450442">
        <w:rPr>
          <w:sz w:val="20"/>
        </w:rPr>
        <w:t xml:space="preserve">Estimated </w:t>
      </w:r>
      <w:r w:rsidR="00015131" w:rsidRPr="00450442">
        <w:rPr>
          <w:sz w:val="20"/>
        </w:rPr>
        <w:t>figures</w:t>
      </w:r>
      <w:r w:rsidR="00B67DD9" w:rsidRPr="00450442">
        <w:rPr>
          <w:sz w:val="20"/>
        </w:rPr>
        <w:t xml:space="preserve"> for 2021-22</w:t>
      </w:r>
      <w:r w:rsidR="00015131" w:rsidRPr="00450442">
        <w:rPr>
          <w:sz w:val="20"/>
        </w:rPr>
        <w:t>.</w:t>
      </w:r>
      <w:r w:rsidR="00B67DD9" w:rsidRPr="00450442">
        <w:rPr>
          <w:sz w:val="20"/>
        </w:rPr>
        <w:t xml:space="preserve"> </w:t>
      </w:r>
    </w:p>
    <w:p w14:paraId="5CCD9901" w14:textId="6D559835" w:rsidR="00FA1009" w:rsidRPr="00FA1009" w:rsidRDefault="00D1731E" w:rsidP="00FA1009">
      <w:r>
        <w:t>ASIC also charges registry fees</w:t>
      </w:r>
      <w:r w:rsidR="00692FA2" w:rsidRPr="00FA1009">
        <w:rPr>
          <w:rFonts w:cs="Calibri Light"/>
        </w:rPr>
        <w:t>, attached to</w:t>
      </w:r>
      <w:r w:rsidRPr="00FA1009">
        <w:rPr>
          <w:rFonts w:cs="Calibri Light"/>
        </w:rPr>
        <w:t xml:space="preserve"> </w:t>
      </w:r>
      <w:r w:rsidR="0052148B" w:rsidRPr="00FA1009">
        <w:rPr>
          <w:rFonts w:cs="Calibri Light"/>
        </w:rPr>
        <w:t xml:space="preserve">forms </w:t>
      </w:r>
      <w:r w:rsidR="00C41AE2" w:rsidRPr="00FA1009">
        <w:rPr>
          <w:rFonts w:cs="Calibri Light"/>
        </w:rPr>
        <w:t>relating to</w:t>
      </w:r>
      <w:r w:rsidR="0052148B" w:rsidRPr="00FA1009">
        <w:rPr>
          <w:rFonts w:cs="Calibri Light"/>
        </w:rPr>
        <w:t xml:space="preserve"> updat</w:t>
      </w:r>
      <w:r w:rsidR="00C41AE2" w:rsidRPr="00FA1009">
        <w:rPr>
          <w:rFonts w:cs="Calibri Light"/>
        </w:rPr>
        <w:t>ing ASIC</w:t>
      </w:r>
      <w:r w:rsidR="0085328F">
        <w:rPr>
          <w:rFonts w:cs="Calibri Light"/>
        </w:rPr>
        <w:t>’s</w:t>
      </w:r>
      <w:r w:rsidR="0052148B" w:rsidRPr="00FA1009">
        <w:rPr>
          <w:rFonts w:cs="Calibri Light"/>
        </w:rPr>
        <w:t xml:space="preserve"> registry database</w:t>
      </w:r>
      <w:r w:rsidR="0085328F">
        <w:rPr>
          <w:rFonts w:cs="Calibri Light"/>
        </w:rPr>
        <w:t>s</w:t>
      </w:r>
      <w:r w:rsidR="0052148B" w:rsidRPr="00FA1009">
        <w:rPr>
          <w:rFonts w:cs="Calibri Light"/>
        </w:rPr>
        <w:t xml:space="preserve">. </w:t>
      </w:r>
      <w:r w:rsidR="000442D8" w:rsidRPr="00FA1009">
        <w:rPr>
          <w:rFonts w:cs="Calibri Light"/>
        </w:rPr>
        <w:t>These fees are not part of the IFM</w:t>
      </w:r>
      <w:r w:rsidR="000442D8" w:rsidRPr="00FA1009" w:rsidDel="00496855">
        <w:rPr>
          <w:rFonts w:cs="Calibri Light"/>
        </w:rPr>
        <w:t xml:space="preserve"> and are not charged within the Charging Framework,</w:t>
      </w:r>
      <w:r w:rsidR="000442D8" w:rsidRPr="00FA1009">
        <w:rPr>
          <w:rFonts w:cs="Calibri Light"/>
        </w:rPr>
        <w:t xml:space="preserve"> </w:t>
      </w:r>
      <w:r w:rsidR="00CA1097" w:rsidRPr="00FA1009">
        <w:rPr>
          <w:rFonts w:cs="Calibri Light"/>
        </w:rPr>
        <w:t>and therefore</w:t>
      </w:r>
      <w:r w:rsidR="000442D8" w:rsidRPr="00FA1009">
        <w:rPr>
          <w:rFonts w:cs="Calibri Light"/>
        </w:rPr>
        <w:t xml:space="preserve"> </w:t>
      </w:r>
      <w:r w:rsidR="0052148B" w:rsidRPr="00FA1009">
        <w:rPr>
          <w:rFonts w:cs="Calibri Light"/>
        </w:rPr>
        <w:t xml:space="preserve">are not within the scope of </w:t>
      </w:r>
      <w:r w:rsidR="000442D8" w:rsidRPr="00FA1009">
        <w:rPr>
          <w:rFonts w:cs="Calibri Light"/>
        </w:rPr>
        <w:t>this</w:t>
      </w:r>
      <w:r w:rsidR="0052148B" w:rsidRPr="00FA1009">
        <w:rPr>
          <w:rFonts w:cs="Calibri Light"/>
        </w:rPr>
        <w:t xml:space="preserve"> </w:t>
      </w:r>
      <w:r w:rsidR="00141347">
        <w:rPr>
          <w:rFonts w:cs="Calibri Light"/>
        </w:rPr>
        <w:t>R</w:t>
      </w:r>
      <w:r w:rsidR="0052148B" w:rsidRPr="00FA1009">
        <w:rPr>
          <w:rFonts w:cs="Calibri Light"/>
        </w:rPr>
        <w:t>eview.</w:t>
      </w:r>
      <w:r w:rsidR="00234170" w:rsidRPr="00FA1009">
        <w:rPr>
          <w:rFonts w:cs="Calibri Light"/>
        </w:rPr>
        <w:t xml:space="preserve"> </w:t>
      </w:r>
    </w:p>
    <w:p w14:paraId="634344C6" w14:textId="41C61FF5" w:rsidR="00B55587" w:rsidRDefault="6A7A34DD" w:rsidP="00C6745C">
      <w:pPr>
        <w:pStyle w:val="Heading2"/>
        <w:numPr>
          <w:ilvl w:val="6"/>
          <w:numId w:val="30"/>
        </w:numPr>
        <w:tabs>
          <w:tab w:val="clear" w:pos="2520"/>
        </w:tabs>
        <w:ind w:left="426" w:hanging="426"/>
      </w:pPr>
      <w:bookmarkStart w:id="65" w:name="_Toc114214426"/>
      <w:bookmarkStart w:id="66" w:name="_Toc109834343"/>
      <w:r>
        <w:t xml:space="preserve">Key features of </w:t>
      </w:r>
      <w:r w:rsidR="7B5C00C8">
        <w:t xml:space="preserve">the </w:t>
      </w:r>
      <w:r w:rsidR="5D24A4F5">
        <w:t>fees</w:t>
      </w:r>
      <w:r w:rsidR="7B5C00C8">
        <w:t>-for-service model</w:t>
      </w:r>
      <w:bookmarkEnd w:id="65"/>
    </w:p>
    <w:p w14:paraId="58A704C9" w14:textId="416E7D89" w:rsidR="0084735B" w:rsidRDefault="000F090D" w:rsidP="000F090D">
      <w:r w:rsidDel="00C43307">
        <w:t>There are</w:t>
      </w:r>
      <w:r>
        <w:t xml:space="preserve"> </w:t>
      </w:r>
      <w:r w:rsidR="00276AC6">
        <w:t xml:space="preserve">419 </w:t>
      </w:r>
      <w:r>
        <w:t>fees</w:t>
      </w:r>
      <w:r w:rsidR="00276AC6">
        <w:t xml:space="preserve"> currently</w:t>
      </w:r>
      <w:r>
        <w:t xml:space="preserve"> </w:t>
      </w:r>
      <w:r w:rsidDel="00563396">
        <w:t>charged under the</w:t>
      </w:r>
      <w:r>
        <w:t xml:space="preserve"> IFM</w:t>
      </w:r>
      <w:r w:rsidR="00276AC6">
        <w:t xml:space="preserve">. </w:t>
      </w:r>
      <w:r w:rsidR="00971DF9">
        <w:t xml:space="preserve">Fee amounts are set </w:t>
      </w:r>
      <w:r w:rsidR="002E0FAF">
        <w:t>by the Government in legislation</w:t>
      </w:r>
      <w:r w:rsidR="00F14A81">
        <w:t xml:space="preserve"> (see Appendix C)</w:t>
      </w:r>
      <w:r w:rsidR="00757ABB">
        <w:t>, at a level based on the cost to ASIC of undertaking the relevant activity to facilitate full cost recovery of these activities</w:t>
      </w:r>
      <w:r w:rsidR="00AB565B">
        <w:t>.</w:t>
      </w:r>
      <w:r w:rsidR="0051473C">
        <w:t xml:space="preserve"> </w:t>
      </w:r>
      <w:r w:rsidR="00D773BC">
        <w:t>Fee amounts reco</w:t>
      </w:r>
      <w:r w:rsidR="00D813A9">
        <w:t xml:space="preserve">ver </w:t>
      </w:r>
      <w:r w:rsidR="00A51BC2">
        <w:t xml:space="preserve">both </w:t>
      </w:r>
      <w:r w:rsidR="001876A1">
        <w:t xml:space="preserve">direct and indirect costs relating to the provision of the relevant service. No aspect of ASIC’s capital costs </w:t>
      </w:r>
      <w:r w:rsidR="000D2C16">
        <w:t>is</w:t>
      </w:r>
      <w:r w:rsidR="001876A1">
        <w:t xml:space="preserve"> recovered via fees. </w:t>
      </w:r>
    </w:p>
    <w:p w14:paraId="618AB3F1" w14:textId="77777777" w:rsidR="001D688C" w:rsidRDefault="001D688C" w:rsidP="001D688C">
      <w:r w:rsidRPr="005D2FCB">
        <w:t xml:space="preserve">Activities that are cost recovered through </w:t>
      </w:r>
      <w:r>
        <w:t>fees-for-service</w:t>
      </w:r>
      <w:r w:rsidRPr="005D2FCB">
        <w:t xml:space="preserve"> include:</w:t>
      </w:r>
    </w:p>
    <w:p w14:paraId="212603C9" w14:textId="77777777" w:rsidR="001D688C" w:rsidRDefault="001D688C" w:rsidP="001D688C">
      <w:pPr>
        <w:pStyle w:val="ListParagraph"/>
        <w:numPr>
          <w:ilvl w:val="0"/>
          <w:numId w:val="17"/>
        </w:numPr>
      </w:pPr>
      <w:r w:rsidRPr="00682917">
        <w:rPr>
          <w:b/>
          <w:bCs/>
        </w:rPr>
        <w:t>License application or variation services:</w:t>
      </w:r>
      <w:r>
        <w:t xml:space="preserve"> Licensing or otherwise authorising people to operate or participate in the markets and industries that ASIC regulates. </w:t>
      </w:r>
    </w:p>
    <w:p w14:paraId="4A6C0AB0" w14:textId="77777777" w:rsidR="001D688C" w:rsidRDefault="001D688C" w:rsidP="001D688C">
      <w:pPr>
        <w:pStyle w:val="ListParagraph"/>
        <w:numPr>
          <w:ilvl w:val="0"/>
          <w:numId w:val="17"/>
        </w:numPr>
      </w:pPr>
      <w:r>
        <w:rPr>
          <w:b/>
          <w:bCs/>
        </w:rPr>
        <w:t>Registration application services:</w:t>
      </w:r>
      <w:r>
        <w:t xml:space="preserve"> Registering or otherwise authorising people to operate or participate in the markets and industries that ASIC regulates.</w:t>
      </w:r>
    </w:p>
    <w:p w14:paraId="2DE2E585" w14:textId="77777777" w:rsidR="001D688C" w:rsidRDefault="001D688C" w:rsidP="001D688C">
      <w:pPr>
        <w:pStyle w:val="ListParagraph"/>
        <w:numPr>
          <w:ilvl w:val="0"/>
          <w:numId w:val="17"/>
        </w:numPr>
      </w:pPr>
      <w:r w:rsidRPr="00682917">
        <w:rPr>
          <w:b/>
          <w:bCs/>
        </w:rPr>
        <w:t>Compliance review of documents lodged with ASIC:</w:t>
      </w:r>
      <w:r>
        <w:t xml:space="preserve"> Undertaking compliance reviews of documents related to commercial transactions to identify disclosure deficiencies and whether the disclosure complies with the law. </w:t>
      </w:r>
    </w:p>
    <w:p w14:paraId="748BE226" w14:textId="77777777" w:rsidR="001D688C" w:rsidRDefault="001D688C" w:rsidP="001D688C">
      <w:pPr>
        <w:pStyle w:val="ListParagraph"/>
        <w:numPr>
          <w:ilvl w:val="0"/>
          <w:numId w:val="17"/>
        </w:numPr>
      </w:pPr>
      <w:r w:rsidRPr="00682917">
        <w:rPr>
          <w:b/>
          <w:bCs/>
        </w:rPr>
        <w:t>Requests for changes to market operating rules:</w:t>
      </w:r>
      <w:r>
        <w:t xml:space="preserve"> Assessing changes to the operating rules of a licensed market or licensed clearing and settlement facility.</w:t>
      </w:r>
    </w:p>
    <w:p w14:paraId="74BD995D" w14:textId="1912E364" w:rsidR="001D688C" w:rsidRDefault="001D688C" w:rsidP="00FD7F4C">
      <w:pPr>
        <w:pStyle w:val="ListParagraph"/>
        <w:numPr>
          <w:ilvl w:val="0"/>
          <w:numId w:val="17"/>
        </w:numPr>
      </w:pPr>
      <w:r w:rsidRPr="00682917">
        <w:rPr>
          <w:b/>
          <w:bCs/>
        </w:rPr>
        <w:t>Applications for relief:</w:t>
      </w:r>
      <w:r>
        <w:t xml:space="preserve"> Assessing and determining applications for relief from certain provisions in the legislation that ASIC is responsible for administering.</w:t>
      </w:r>
    </w:p>
    <w:p w14:paraId="2871D052" w14:textId="100040AB" w:rsidR="00987877" w:rsidRDefault="00571F1E" w:rsidP="00B7773A">
      <w:r w:rsidRPr="00A81CD9">
        <w:t xml:space="preserve">Flat fees are charged for services related to </w:t>
      </w:r>
      <w:r w:rsidR="006238CD">
        <w:t>some</w:t>
      </w:r>
      <w:r w:rsidRPr="00A81CD9">
        <w:t xml:space="preserve"> licensing and professional registrations, processing applications for relief, requests for changes to market operating rules, and ASIC's formal compliance </w:t>
      </w:r>
      <w:r w:rsidR="00C550BF">
        <w:t>r</w:t>
      </w:r>
      <w:r w:rsidRPr="00A81CD9">
        <w:t xml:space="preserve">eview of documents lodged by entities under the Corporations Act.  </w:t>
      </w:r>
    </w:p>
    <w:p w14:paraId="4AF22D6B" w14:textId="63C73EAD" w:rsidR="005C1127" w:rsidRPr="000F090D" w:rsidRDefault="00B7773A" w:rsidP="000F090D">
      <w:r>
        <w:lastRenderedPageBreak/>
        <w:t>T</w:t>
      </w:r>
      <w:r w:rsidR="009B1032" w:rsidRPr="00A81CD9">
        <w:t>iered fees</w:t>
      </w:r>
      <w:r>
        <w:t xml:space="preserve"> are charged</w:t>
      </w:r>
      <w:r w:rsidR="009B1032" w:rsidRPr="00A81CD9">
        <w:t xml:space="preserve"> for regulatory activities that vary in complexity</w:t>
      </w:r>
      <w:r w:rsidR="009B1032">
        <w:t>; that is, whether certain applications and notices are of low, medium or high complexity</w:t>
      </w:r>
      <w:r w:rsidR="009B1032" w:rsidRPr="00A81CD9">
        <w:t xml:space="preserve">. </w:t>
      </w:r>
      <w:r w:rsidR="00A70DF6">
        <w:t>T</w:t>
      </w:r>
      <w:r w:rsidR="00B33E51">
        <w:t xml:space="preserve">his aims to </w:t>
      </w:r>
      <w:r w:rsidR="009B1032" w:rsidRPr="00A81CD9">
        <w:t xml:space="preserve">align </w:t>
      </w:r>
      <w:r w:rsidR="00B33E51">
        <w:t xml:space="preserve">fee amounts </w:t>
      </w:r>
      <w:r w:rsidR="009B1032" w:rsidRPr="00A81CD9">
        <w:t xml:space="preserve">with actual </w:t>
      </w:r>
      <w:r w:rsidR="00B33E51">
        <w:t>reg</w:t>
      </w:r>
      <w:r w:rsidR="00050DE6">
        <w:t>ulator</w:t>
      </w:r>
      <w:r w:rsidR="00D868B2">
        <w:t>y</w:t>
      </w:r>
      <w:r w:rsidR="00B33E51">
        <w:t xml:space="preserve"> </w:t>
      </w:r>
      <w:r w:rsidR="009B1032" w:rsidRPr="00A81CD9">
        <w:t>effort and therefore costs.</w:t>
      </w:r>
      <w:r w:rsidR="00FD0E40">
        <w:t xml:space="preserve"> </w:t>
      </w:r>
      <w:r w:rsidR="009B1032">
        <w:t>Tiered fees are applied to</w:t>
      </w:r>
      <w:r w:rsidR="009B1032" w:rsidRPr="00A81CD9">
        <w:t xml:space="preserve"> AFS licence applications</w:t>
      </w:r>
      <w:r w:rsidR="00FD0E40">
        <w:t>,</w:t>
      </w:r>
      <w:r w:rsidR="009B1032">
        <w:t xml:space="preserve"> </w:t>
      </w:r>
      <w:r w:rsidR="009B1032" w:rsidRPr="00A81CD9">
        <w:t>credit licence applications</w:t>
      </w:r>
      <w:r w:rsidR="009700EF">
        <w:t>,</w:t>
      </w:r>
      <w:r w:rsidR="009B1032" w:rsidRPr="00A81CD9">
        <w:t xml:space="preserve"> market licence application</w:t>
      </w:r>
      <w:r w:rsidR="009B1032">
        <w:t>s</w:t>
      </w:r>
      <w:r w:rsidR="000B15A4">
        <w:t>,</w:t>
      </w:r>
      <w:r w:rsidR="009B1032">
        <w:t xml:space="preserve"> </w:t>
      </w:r>
      <w:r w:rsidR="009B1032" w:rsidRPr="00A81CD9">
        <w:t xml:space="preserve">notices of changes to market and </w:t>
      </w:r>
      <w:r w:rsidR="002527B9">
        <w:t>clearing and settlement (</w:t>
      </w:r>
      <w:r w:rsidR="009B1032" w:rsidRPr="00A81CD9">
        <w:t>CS</w:t>
      </w:r>
      <w:r w:rsidR="002527B9">
        <w:t>)</w:t>
      </w:r>
      <w:r w:rsidR="009B1032" w:rsidRPr="00A81CD9">
        <w:t xml:space="preserve"> facility operating rules</w:t>
      </w:r>
      <w:r w:rsidR="000B15A4">
        <w:t>,</w:t>
      </w:r>
      <w:r w:rsidR="009B1032" w:rsidRPr="00A81CD9">
        <w:t xml:space="preserve"> and CS facility licence applications.</w:t>
      </w:r>
    </w:p>
    <w:p w14:paraId="005D6408" w14:textId="6F94C821" w:rsidR="000F090D" w:rsidRDefault="008940AD" w:rsidP="00682917">
      <w:r>
        <w:t>The f</w:t>
      </w:r>
      <w:r w:rsidR="000F090D" w:rsidRPr="000F090D">
        <w:t>ees</w:t>
      </w:r>
      <w:r w:rsidR="0019473C">
        <w:t>-</w:t>
      </w:r>
      <w:r w:rsidR="000F090D" w:rsidRPr="000F090D">
        <w:t>for</w:t>
      </w:r>
      <w:r w:rsidR="0019473C">
        <w:t>-</w:t>
      </w:r>
      <w:r w:rsidR="000F090D" w:rsidRPr="000F090D">
        <w:t>service</w:t>
      </w:r>
      <w:r w:rsidR="000D3248">
        <w:t xml:space="preserve"> </w:t>
      </w:r>
      <w:r>
        <w:t>framework is</w:t>
      </w:r>
      <w:r w:rsidR="000D3248">
        <w:t xml:space="preserve"> implemented via several pieces of legislation</w:t>
      </w:r>
      <w:r w:rsidR="000F090D" w:rsidRPr="000F090D">
        <w:t>. The</w:t>
      </w:r>
      <w:r w:rsidR="002D5598">
        <w:t> </w:t>
      </w:r>
      <w:r w:rsidR="000F090D" w:rsidRPr="006A4AA7">
        <w:rPr>
          <w:i/>
        </w:rPr>
        <w:t>Corporations</w:t>
      </w:r>
      <w:r w:rsidR="007F63BC">
        <w:rPr>
          <w:i/>
        </w:rPr>
        <w:t> </w:t>
      </w:r>
      <w:r w:rsidR="000F090D" w:rsidRPr="006A4AA7">
        <w:rPr>
          <w:i/>
        </w:rPr>
        <w:t>(Fees) Act</w:t>
      </w:r>
      <w:r w:rsidR="000F090D">
        <w:rPr>
          <w:i/>
        </w:rPr>
        <w:t xml:space="preserve"> </w:t>
      </w:r>
      <w:r w:rsidR="00800EE3" w:rsidRPr="008538DB">
        <w:rPr>
          <w:i/>
        </w:rPr>
        <w:t>2001</w:t>
      </w:r>
      <w:r w:rsidR="00800EE3">
        <w:t xml:space="preserve"> </w:t>
      </w:r>
      <w:r w:rsidR="000F090D" w:rsidRPr="000F090D">
        <w:t xml:space="preserve">sets out the </w:t>
      </w:r>
      <w:r w:rsidR="009C57DC">
        <w:t xml:space="preserve">matters for which </w:t>
      </w:r>
      <w:r w:rsidR="00563E74">
        <w:t xml:space="preserve">a fee </w:t>
      </w:r>
      <w:r w:rsidR="00DD478E">
        <w:t>can be charged</w:t>
      </w:r>
      <w:r w:rsidR="000F090D" w:rsidRPr="000F090D">
        <w:t xml:space="preserve"> and who is liable to pay the fee. The types of fees</w:t>
      </w:r>
      <w:r w:rsidR="00564F62">
        <w:t xml:space="preserve"> and </w:t>
      </w:r>
      <w:r w:rsidR="000F090D" w:rsidRPr="000F090D">
        <w:t xml:space="preserve">fee amounts are set by the Government </w:t>
      </w:r>
      <w:r w:rsidR="00600D11">
        <w:t xml:space="preserve">and prescribed </w:t>
      </w:r>
      <w:r w:rsidR="000F090D" w:rsidRPr="000F090D">
        <w:t xml:space="preserve">in the </w:t>
      </w:r>
      <w:r w:rsidR="000F090D" w:rsidRPr="00B46582">
        <w:t>Corporations (Fees) Regulations 2001</w:t>
      </w:r>
      <w:r w:rsidR="000F090D" w:rsidRPr="000F090D">
        <w:t xml:space="preserve">. </w:t>
      </w:r>
      <w:r w:rsidR="00CA30C0">
        <w:t xml:space="preserve">Fees relating to </w:t>
      </w:r>
      <w:r w:rsidR="00836D16">
        <w:t>self-managed</w:t>
      </w:r>
      <w:r w:rsidR="00CA30C0">
        <w:t xml:space="preserve"> </w:t>
      </w:r>
      <w:r w:rsidR="00836D16">
        <w:t>s</w:t>
      </w:r>
      <w:r w:rsidR="00CA30C0">
        <w:t>u</w:t>
      </w:r>
      <w:r w:rsidR="009A4977">
        <w:t xml:space="preserve">per </w:t>
      </w:r>
      <w:r w:rsidR="00836D16">
        <w:t>f</w:t>
      </w:r>
      <w:r w:rsidR="009A4977">
        <w:t xml:space="preserve">und </w:t>
      </w:r>
      <w:r w:rsidR="00CE6EF2">
        <w:t>auditors</w:t>
      </w:r>
      <w:r w:rsidR="009A4977">
        <w:t xml:space="preserve"> and </w:t>
      </w:r>
      <w:r w:rsidR="00315E91">
        <w:t xml:space="preserve">credit activities are provided </w:t>
      </w:r>
      <w:r w:rsidR="00492D77">
        <w:t xml:space="preserve">for </w:t>
      </w:r>
      <w:r w:rsidR="00315E91">
        <w:t xml:space="preserve">in </w:t>
      </w:r>
      <w:r w:rsidR="00492D77">
        <w:t xml:space="preserve">other </w:t>
      </w:r>
      <w:r w:rsidR="00315E91">
        <w:t xml:space="preserve">legislation </w:t>
      </w:r>
      <w:r w:rsidR="00492D77">
        <w:t>(</w:t>
      </w:r>
      <w:r w:rsidR="00315E91">
        <w:t xml:space="preserve">at </w:t>
      </w:r>
      <w:r w:rsidR="009E1BD2">
        <w:t>Appendix C</w:t>
      </w:r>
      <w:r w:rsidR="00492D77">
        <w:t>)</w:t>
      </w:r>
      <w:r w:rsidR="00315E91">
        <w:t xml:space="preserve">. </w:t>
      </w:r>
    </w:p>
    <w:p w14:paraId="6AAFE212" w14:textId="480947FC" w:rsidR="008B12E0" w:rsidRDefault="008B12E0" w:rsidP="00682917">
      <w:r>
        <w:t>Fees are payable to ASIC at the time that the regulatory activity occurs. For example, an application fee for an Australian Financial Services licence would be payable at the time of application.</w:t>
      </w:r>
    </w:p>
    <w:p w14:paraId="526E6D0A" w14:textId="77777777" w:rsidR="008B38FB" w:rsidRPr="00013381" w:rsidRDefault="008B38FB" w:rsidP="00013381">
      <w:pPr>
        <w:pStyle w:val="NoSpacing"/>
        <w:ind w:left="360"/>
        <w:rPr>
          <w:rFonts w:ascii="Calibri Light" w:eastAsia="Times New Roman" w:hAnsi="Calibri Light" w:cs="Calibri Light"/>
          <w:szCs w:val="20"/>
          <w:lang w:eastAsia="en-AU"/>
        </w:rPr>
      </w:pPr>
    </w:p>
    <w:tbl>
      <w:tblPr>
        <w:tblW w:w="4908"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8903"/>
      </w:tblGrid>
      <w:tr w:rsidR="00B55587" w14:paraId="09E6D6CF" w14:textId="77777777" w:rsidTr="00E76141">
        <w:trPr>
          <w:trHeight w:val="3461"/>
        </w:trPr>
        <w:tc>
          <w:tcPr>
            <w:tcW w:w="5000" w:type="pct"/>
            <w:shd w:val="clear" w:color="auto" w:fill="EEEEEE" w:themeFill="background2"/>
          </w:tcPr>
          <w:p w14:paraId="39254294" w14:textId="77777777" w:rsidR="00B55587" w:rsidRDefault="00B55587" w:rsidP="001E6383">
            <w:pPr>
              <w:pStyle w:val="BoxHeading"/>
              <w:numPr>
                <w:ilvl w:val="0"/>
                <w:numId w:val="0"/>
              </w:numPr>
              <w:spacing w:before="120"/>
            </w:pPr>
            <w:r>
              <w:t xml:space="preserve">Questions </w:t>
            </w:r>
          </w:p>
          <w:p w14:paraId="287761E5" w14:textId="1D3C9076" w:rsidR="00F86CBA" w:rsidRPr="00DD5F93" w:rsidRDefault="002E25F2" w:rsidP="009114BE">
            <w:pPr>
              <w:pStyle w:val="OutlineNumbered1"/>
              <w:numPr>
                <w:ilvl w:val="0"/>
                <w:numId w:val="40"/>
              </w:numPr>
              <w:tabs>
                <w:tab w:val="num" w:pos="520"/>
              </w:tabs>
            </w:pPr>
            <w:r>
              <w:t>In relation to</w:t>
            </w:r>
            <w:r w:rsidR="00F86CBA">
              <w:t xml:space="preserve"> the design, structure and legislative framework </w:t>
            </w:r>
            <w:r w:rsidR="004915BF">
              <w:t>for fees-for-service</w:t>
            </w:r>
            <w:r w:rsidR="009012CF">
              <w:t>:</w:t>
            </w:r>
          </w:p>
          <w:p w14:paraId="471400A1" w14:textId="7151B4AE" w:rsidR="00F86CBA" w:rsidRDefault="004915BF" w:rsidP="009114BE">
            <w:pPr>
              <w:pStyle w:val="OutlineNumbered1"/>
              <w:numPr>
                <w:ilvl w:val="1"/>
                <w:numId w:val="40"/>
              </w:numPr>
              <w:tabs>
                <w:tab w:val="clear" w:pos="1040"/>
                <w:tab w:val="num" w:pos="851"/>
                <w:tab w:val="num" w:pos="1440"/>
              </w:tabs>
              <w:rPr>
                <w:rFonts w:cs="Calibri Light"/>
                <w:szCs w:val="22"/>
              </w:rPr>
            </w:pPr>
            <w:r>
              <w:rPr>
                <w:rFonts w:cs="Calibri Light"/>
                <w:szCs w:val="22"/>
              </w:rPr>
              <w:t xml:space="preserve">Are any changes required to ensure it remains fit for purpose in the </w:t>
            </w:r>
            <w:r w:rsidR="00C660A8">
              <w:rPr>
                <w:rFonts w:cs="Calibri Light"/>
                <w:szCs w:val="22"/>
              </w:rPr>
              <w:t>longer-term and/or can respond to changes in industry?</w:t>
            </w:r>
          </w:p>
          <w:p w14:paraId="5CB5811C" w14:textId="398E2F17" w:rsidR="00B55587" w:rsidRDefault="00C660A8" w:rsidP="009114BE">
            <w:pPr>
              <w:pStyle w:val="OutlineNumbered1"/>
              <w:numPr>
                <w:ilvl w:val="1"/>
                <w:numId w:val="40"/>
              </w:numPr>
              <w:tabs>
                <w:tab w:val="clear" w:pos="1040"/>
                <w:tab w:val="num" w:pos="851"/>
                <w:tab w:val="num" w:pos="1440"/>
              </w:tabs>
              <w:rPr>
                <w:rFonts w:cs="Calibri Light"/>
              </w:rPr>
            </w:pPr>
            <w:r w:rsidRPr="35666411">
              <w:rPr>
                <w:rFonts w:cs="Calibri Light"/>
              </w:rPr>
              <w:t xml:space="preserve">Are there opportunities to simplify the design, </w:t>
            </w:r>
            <w:r w:rsidR="00784A22" w:rsidRPr="35666411">
              <w:rPr>
                <w:rFonts w:cs="Calibri Light"/>
              </w:rPr>
              <w:t>structure,</w:t>
            </w:r>
            <w:r w:rsidRPr="35666411">
              <w:rPr>
                <w:rFonts w:cs="Calibri Light"/>
              </w:rPr>
              <w:t xml:space="preserve"> and legislative framework </w:t>
            </w:r>
            <w:r w:rsidR="00E25DB3">
              <w:rPr>
                <w:rFonts w:cs="Calibri Light"/>
              </w:rPr>
              <w:t>for</w:t>
            </w:r>
            <w:r w:rsidRPr="35666411">
              <w:rPr>
                <w:rFonts w:cs="Calibri Light"/>
              </w:rPr>
              <w:t xml:space="preserve"> fees-for-service?</w:t>
            </w:r>
          </w:p>
          <w:p w14:paraId="614407A9" w14:textId="2684A0E6" w:rsidR="009F36E8" w:rsidRPr="000D1284" w:rsidRDefault="009F36E8" w:rsidP="00E704F9">
            <w:pPr>
              <w:pStyle w:val="OutlineNumbered1"/>
              <w:numPr>
                <w:ilvl w:val="0"/>
                <w:numId w:val="40"/>
              </w:numPr>
              <w:tabs>
                <w:tab w:val="clear" w:pos="851"/>
              </w:tabs>
              <w:rPr>
                <w:rFonts w:cs="Calibri Light"/>
              </w:rPr>
            </w:pPr>
            <w:r w:rsidRPr="00CE3B9A">
              <w:t xml:space="preserve">Are there any costs currently recovered through fees-for-service that would be more appropriate to recover through industry levies? If so, why?  </w:t>
            </w:r>
          </w:p>
        </w:tc>
      </w:tr>
    </w:tbl>
    <w:p w14:paraId="03B55D36" w14:textId="089A349B" w:rsidR="00394D7B" w:rsidRDefault="00253B63" w:rsidP="00C6745C">
      <w:pPr>
        <w:pStyle w:val="Heading2"/>
        <w:numPr>
          <w:ilvl w:val="6"/>
          <w:numId w:val="30"/>
        </w:numPr>
        <w:tabs>
          <w:tab w:val="clear" w:pos="2520"/>
        </w:tabs>
        <w:ind w:left="426" w:hanging="426"/>
      </w:pPr>
      <w:bookmarkStart w:id="67" w:name="_Toc114214427"/>
      <w:bookmarkEnd w:id="66"/>
      <w:r>
        <w:t>Key issues related to fees</w:t>
      </w:r>
      <w:bookmarkEnd w:id="67"/>
    </w:p>
    <w:p w14:paraId="23ED44A0" w14:textId="6B846286" w:rsidR="00253B63" w:rsidRDefault="00253B63" w:rsidP="00253B63">
      <w:pPr>
        <w:pStyle w:val="Heading3"/>
        <w:rPr>
          <w:shd w:val="clear" w:color="auto" w:fill="FFFFFF"/>
        </w:rPr>
      </w:pPr>
      <w:bookmarkStart w:id="68" w:name="_Toc114214428"/>
      <w:r>
        <w:rPr>
          <w:shd w:val="clear" w:color="auto" w:fill="FFFFFF"/>
        </w:rPr>
        <w:t>Full cost recovery through fees</w:t>
      </w:r>
      <w:bookmarkEnd w:id="68"/>
    </w:p>
    <w:p w14:paraId="4E0678C7" w14:textId="3D1DFE46" w:rsidR="00A16A6C" w:rsidRDefault="0017421F" w:rsidP="00A72DCA">
      <w:r w:rsidRPr="00A72DCA">
        <w:t>The fees-for-service component of the IFM is underpinned by the policy principle</w:t>
      </w:r>
      <w:r w:rsidR="00252F87" w:rsidRPr="00A72DCA">
        <w:t xml:space="preserve"> </w:t>
      </w:r>
      <w:r w:rsidR="004B7570" w:rsidRPr="00A72DCA">
        <w:t xml:space="preserve">of </w:t>
      </w:r>
      <w:r w:rsidR="00125334" w:rsidRPr="00A72DCA">
        <w:t>cost reflective fees</w:t>
      </w:r>
      <w:r w:rsidR="00073656" w:rsidRPr="00A72DCA">
        <w:t>;</w:t>
      </w:r>
      <w:r w:rsidR="003C49D2" w:rsidRPr="00A72DCA">
        <w:t xml:space="preserve"> </w:t>
      </w:r>
      <w:r w:rsidR="005E24E6" w:rsidRPr="00A72DCA">
        <w:t xml:space="preserve">that is, fees reflect </w:t>
      </w:r>
      <w:r w:rsidR="00C40D02" w:rsidRPr="00A72DCA">
        <w:t>ASIC’s regulatory efforts</w:t>
      </w:r>
      <w:r w:rsidR="00BA74F7" w:rsidRPr="00A72DCA">
        <w:t xml:space="preserve">, and ASIC can charge </w:t>
      </w:r>
      <w:r w:rsidR="000040B1" w:rsidRPr="00A72DCA">
        <w:t xml:space="preserve">for the services it provides </w:t>
      </w:r>
      <w:r w:rsidR="008C1236" w:rsidRPr="00A72DCA">
        <w:t>to</w:t>
      </w:r>
      <w:r w:rsidR="000040B1" w:rsidRPr="00A72DCA">
        <w:t xml:space="preserve"> a specific entity</w:t>
      </w:r>
      <w:r w:rsidR="00A72DCA">
        <w:t>.</w:t>
      </w:r>
      <w:r w:rsidR="007370A4" w:rsidRPr="00A72DCA">
        <w:rPr>
          <w:vertAlign w:val="superscript"/>
        </w:rPr>
        <w:footnoteReference w:id="14"/>
      </w:r>
      <w:r w:rsidR="000040B1" w:rsidRPr="00A72DCA">
        <w:t xml:space="preserve"> </w:t>
      </w:r>
      <w:r w:rsidR="00771A4B" w:rsidRPr="00A72DCA">
        <w:t>In line with this, f</w:t>
      </w:r>
      <w:r w:rsidRPr="00A72DCA">
        <w:t>ees should be charged at</w:t>
      </w:r>
      <w:r w:rsidRPr="00A72DCA" w:rsidDel="00E81A78">
        <w:t xml:space="preserve"> </w:t>
      </w:r>
      <w:r w:rsidRPr="00A72DCA">
        <w:t>a level</w:t>
      </w:r>
      <w:r w:rsidR="00E81A78" w:rsidRPr="00A72DCA">
        <w:t xml:space="preserve"> that fully recovers the cost of ASIC pro</w:t>
      </w:r>
      <w:r w:rsidR="00C239D9" w:rsidRPr="00A72DCA">
        <w:t>viding the relevant service</w:t>
      </w:r>
      <w:r w:rsidRPr="00A72DCA">
        <w:t xml:space="preserve">. </w:t>
      </w:r>
      <w:r w:rsidR="00C239D9" w:rsidRPr="00A72DCA">
        <w:t>However, f</w:t>
      </w:r>
      <w:r w:rsidRPr="00A72DCA">
        <w:t xml:space="preserve">ee amounts have not been updated since </w:t>
      </w:r>
      <w:r w:rsidR="00FB7E54" w:rsidRPr="00A72DCA">
        <w:t>the commencement of the</w:t>
      </w:r>
      <w:r w:rsidR="00B01851" w:rsidRPr="00A72DCA">
        <w:t xml:space="preserve"> </w:t>
      </w:r>
      <w:r w:rsidR="00423A74">
        <w:t>fees-for-service</w:t>
      </w:r>
      <w:r w:rsidR="00B01851" w:rsidRPr="00A72DCA">
        <w:t xml:space="preserve"> component of the</w:t>
      </w:r>
      <w:r w:rsidR="00FB7E54" w:rsidRPr="00A72DCA">
        <w:t xml:space="preserve"> IFM</w:t>
      </w:r>
      <w:r w:rsidR="00B01851" w:rsidRPr="00A72DCA">
        <w:t xml:space="preserve"> (</w:t>
      </w:r>
      <w:r w:rsidR="00704782" w:rsidRPr="00A72DCA">
        <w:t>2018-19)</w:t>
      </w:r>
      <w:r w:rsidR="00FB7E54" w:rsidRPr="00A72DCA">
        <w:t>,</w:t>
      </w:r>
      <w:r w:rsidRPr="00A72DCA">
        <w:t xml:space="preserve"> and </w:t>
      </w:r>
      <w:r w:rsidR="00962C42" w:rsidRPr="00A72DCA">
        <w:t>consequently, in</w:t>
      </w:r>
      <w:r w:rsidR="00FB7E54" w:rsidRPr="00A72DCA">
        <w:t xml:space="preserve"> most cases the fee amount no longer aligns to the cost</w:t>
      </w:r>
      <w:r w:rsidR="00771A4B" w:rsidRPr="00A72DCA">
        <w:t xml:space="preserve"> to ASIC</w:t>
      </w:r>
      <w:r w:rsidR="00D3601C" w:rsidRPr="00A72DCA">
        <w:t>.</w:t>
      </w:r>
      <w:r w:rsidR="00D86C32" w:rsidRPr="00A72DCA">
        <w:t xml:space="preserve"> </w:t>
      </w:r>
      <w:r w:rsidR="00D3601C" w:rsidRPr="00A72DCA">
        <w:t>T</w:t>
      </w:r>
      <w:r w:rsidRPr="00A72DCA">
        <w:t xml:space="preserve">otal fee revenue now only partially </w:t>
      </w:r>
      <w:r w:rsidR="00D3601C" w:rsidRPr="00A72DCA">
        <w:t>recovers</w:t>
      </w:r>
      <w:r w:rsidRPr="00A72DCA">
        <w:t xml:space="preserve"> ASIC’s costs of providing these </w:t>
      </w:r>
      <w:r w:rsidR="00D3601C" w:rsidRPr="00A72DCA">
        <w:t>services</w:t>
      </w:r>
      <w:r w:rsidRPr="00A72DCA">
        <w:t xml:space="preserve">. </w:t>
      </w:r>
      <w:r w:rsidR="00ED2259" w:rsidRPr="00A72DCA">
        <w:t xml:space="preserve">The </w:t>
      </w:r>
      <w:r w:rsidR="00CA12C5" w:rsidRPr="00A72DCA">
        <w:t xml:space="preserve">deficit </w:t>
      </w:r>
      <w:r w:rsidR="006550E4" w:rsidRPr="00A72DCA">
        <w:t xml:space="preserve">per year </w:t>
      </w:r>
      <w:r w:rsidR="00CA12C5" w:rsidRPr="00A72DCA">
        <w:t xml:space="preserve">between </w:t>
      </w:r>
      <w:r w:rsidR="00670865" w:rsidRPr="00A72DCA">
        <w:t>fee revenue and ASIC’s costs</w:t>
      </w:r>
      <w:r w:rsidR="00EE5075" w:rsidRPr="00A72DCA">
        <w:t xml:space="preserve"> in providing the services </w:t>
      </w:r>
      <w:r w:rsidR="005663E2" w:rsidRPr="00A72DCA">
        <w:t xml:space="preserve">since the </w:t>
      </w:r>
      <w:r w:rsidR="006550E4" w:rsidRPr="00A72DCA">
        <w:t>commencement</w:t>
      </w:r>
      <w:r w:rsidR="005663E2" w:rsidRPr="00A72DCA">
        <w:t xml:space="preserve"> of the </w:t>
      </w:r>
      <w:r w:rsidR="00423A74">
        <w:t>fees-for-service</w:t>
      </w:r>
      <w:r w:rsidR="005663E2" w:rsidRPr="00A72DCA">
        <w:t xml:space="preserve"> component of the IFM </w:t>
      </w:r>
      <w:r w:rsidR="00D74DEE" w:rsidRPr="00A72DCA">
        <w:t xml:space="preserve">has ranged between </w:t>
      </w:r>
      <w:r w:rsidR="00EA79F1">
        <w:t xml:space="preserve">approximately </w:t>
      </w:r>
      <w:r w:rsidR="00585CEA">
        <w:t>$</w:t>
      </w:r>
      <w:r w:rsidR="00D74DEE" w:rsidRPr="00A72DCA">
        <w:t>10 million and $18 million</w:t>
      </w:r>
      <w:r w:rsidR="007C5A4F" w:rsidRPr="00A72DCA">
        <w:t>, with the</w:t>
      </w:r>
      <w:r w:rsidRPr="00A72DCA">
        <w:t xml:space="preserve"> shortfall funded by </w:t>
      </w:r>
      <w:r w:rsidR="00D7476D" w:rsidRPr="00A72DCA">
        <w:t>the G</w:t>
      </w:r>
      <w:r w:rsidRPr="00A72DCA">
        <w:t>overnment (</w:t>
      </w:r>
      <w:r w:rsidR="00D7476D" w:rsidRPr="00A72DCA">
        <w:t>i.e.</w:t>
      </w:r>
      <w:r w:rsidR="003F154C">
        <w:t> </w:t>
      </w:r>
      <w:r w:rsidRPr="00A72DCA">
        <w:t>general taxpayers).</w:t>
      </w:r>
      <w:r w:rsidR="008C1236" w:rsidRPr="00A72DCA">
        <w:t xml:space="preserve"> </w:t>
      </w:r>
    </w:p>
    <w:p w14:paraId="2E85A0C5" w14:textId="77777777" w:rsidR="00A72DCA" w:rsidRPr="00A72DCA" w:rsidRDefault="00A72DCA" w:rsidP="00A72DCA">
      <w:pPr>
        <w:pStyle w:val="NoSpacing"/>
        <w:ind w:left="360"/>
        <w:rPr>
          <w:rFonts w:ascii="Calibri Light" w:eastAsia="Times New Roman" w:hAnsi="Calibri Light" w:cs="Calibri Light"/>
          <w:szCs w:val="20"/>
          <w:lang w:eastAsia="en-AU"/>
        </w:rPr>
      </w:pPr>
    </w:p>
    <w:p w14:paraId="0F9F0006" w14:textId="2B332051" w:rsidR="00EB7CFB" w:rsidRPr="00850EC6" w:rsidRDefault="00EB7CFB" w:rsidP="00DB6CC4">
      <w:pPr>
        <w:pStyle w:val="NoSpacing"/>
        <w:keepNext/>
        <w:keepLines/>
        <w:spacing w:after="240"/>
        <w:rPr>
          <w:rFonts w:cs="Times New Roman"/>
          <w:b/>
          <w:szCs w:val="20"/>
        </w:rPr>
      </w:pPr>
      <w:r w:rsidRPr="00850EC6">
        <w:rPr>
          <w:rFonts w:ascii="Calibri Light" w:eastAsia="Times New Roman" w:hAnsi="Calibri Light" w:cs="Times New Roman"/>
          <w:b/>
          <w:szCs w:val="20"/>
          <w:lang w:eastAsia="en-AU"/>
        </w:rPr>
        <w:lastRenderedPageBreak/>
        <w:t xml:space="preserve">Table </w:t>
      </w:r>
      <w:r w:rsidR="00760F60">
        <w:rPr>
          <w:rFonts w:ascii="Calibri Light" w:eastAsia="Times New Roman" w:hAnsi="Calibri Light" w:cs="Times New Roman"/>
          <w:b/>
          <w:szCs w:val="20"/>
          <w:lang w:eastAsia="en-AU"/>
        </w:rPr>
        <w:t>4</w:t>
      </w:r>
      <w:r w:rsidRPr="00850EC6">
        <w:rPr>
          <w:rFonts w:ascii="Calibri Light" w:eastAsia="Times New Roman" w:hAnsi="Calibri Light" w:cs="Times New Roman"/>
          <w:b/>
          <w:szCs w:val="20"/>
          <w:lang w:eastAsia="en-AU"/>
        </w:rPr>
        <w:t xml:space="preserve">: Fee for service revenue </w:t>
      </w:r>
      <w:r w:rsidR="00850EC6">
        <w:rPr>
          <w:rFonts w:ascii="Calibri Light" w:eastAsia="Times New Roman" w:hAnsi="Calibri Light" w:cs="Times New Roman"/>
          <w:b/>
          <w:szCs w:val="20"/>
          <w:lang w:eastAsia="en-AU"/>
        </w:rPr>
        <w:t>relative to</w:t>
      </w:r>
      <w:r w:rsidRPr="00850EC6">
        <w:rPr>
          <w:rFonts w:ascii="Calibri Light" w:eastAsia="Times New Roman" w:hAnsi="Calibri Light" w:cs="Times New Roman"/>
          <w:b/>
          <w:szCs w:val="20"/>
          <w:lang w:eastAsia="en-AU"/>
        </w:rPr>
        <w:t xml:space="preserve"> costs</w:t>
      </w:r>
    </w:p>
    <w:tbl>
      <w:tblPr>
        <w:tblStyle w:val="TableGrid1"/>
        <w:tblW w:w="0" w:type="auto"/>
        <w:tblLook w:val="04A0" w:firstRow="1" w:lastRow="0" w:firstColumn="1" w:lastColumn="0" w:noHBand="0" w:noVBand="1"/>
      </w:tblPr>
      <w:tblGrid>
        <w:gridCol w:w="2689"/>
        <w:gridCol w:w="2123"/>
        <w:gridCol w:w="2124"/>
        <w:gridCol w:w="2124"/>
      </w:tblGrid>
      <w:tr w:rsidR="006548CA" w14:paraId="21DA34F6" w14:textId="77777777" w:rsidTr="00466256">
        <w:tc>
          <w:tcPr>
            <w:tcW w:w="2689" w:type="dxa"/>
            <w:shd w:val="clear" w:color="auto" w:fill="9F9F9F" w:themeFill="text2" w:themeFillTint="99"/>
          </w:tcPr>
          <w:p w14:paraId="69F08DC4" w14:textId="0C85E5A4" w:rsidR="0025018B" w:rsidRPr="009809E0" w:rsidRDefault="0025018B" w:rsidP="004F62FA">
            <w:pPr>
              <w:spacing w:before="96" w:after="96"/>
              <w:rPr>
                <w:szCs w:val="22"/>
              </w:rPr>
            </w:pPr>
          </w:p>
        </w:tc>
        <w:tc>
          <w:tcPr>
            <w:tcW w:w="2123" w:type="dxa"/>
            <w:shd w:val="clear" w:color="auto" w:fill="9F9F9F" w:themeFill="text2" w:themeFillTint="99"/>
          </w:tcPr>
          <w:p w14:paraId="4C7B7EDB" w14:textId="0C0AB374" w:rsidR="0025018B" w:rsidRPr="009809E0" w:rsidRDefault="0025018B" w:rsidP="009809E0">
            <w:pPr>
              <w:jc w:val="center"/>
              <w:rPr>
                <w:b/>
                <w:szCs w:val="22"/>
              </w:rPr>
            </w:pPr>
            <w:r w:rsidRPr="009809E0">
              <w:rPr>
                <w:b/>
                <w:szCs w:val="22"/>
              </w:rPr>
              <w:t>2018-19</w:t>
            </w:r>
          </w:p>
        </w:tc>
        <w:tc>
          <w:tcPr>
            <w:tcW w:w="2124" w:type="dxa"/>
            <w:shd w:val="clear" w:color="auto" w:fill="9F9F9F" w:themeFill="text2" w:themeFillTint="99"/>
          </w:tcPr>
          <w:p w14:paraId="38BE828F" w14:textId="213895D5" w:rsidR="0025018B" w:rsidRPr="009809E0" w:rsidRDefault="0025018B" w:rsidP="009809E0">
            <w:pPr>
              <w:jc w:val="center"/>
              <w:rPr>
                <w:b/>
                <w:szCs w:val="22"/>
              </w:rPr>
            </w:pPr>
            <w:r w:rsidRPr="009809E0">
              <w:rPr>
                <w:b/>
                <w:szCs w:val="22"/>
              </w:rPr>
              <w:t>2019-20</w:t>
            </w:r>
          </w:p>
        </w:tc>
        <w:tc>
          <w:tcPr>
            <w:tcW w:w="2124" w:type="dxa"/>
            <w:shd w:val="clear" w:color="auto" w:fill="9F9F9F" w:themeFill="text2" w:themeFillTint="99"/>
          </w:tcPr>
          <w:p w14:paraId="7FA36A1B" w14:textId="5D3C5337" w:rsidR="0025018B" w:rsidRPr="009809E0" w:rsidRDefault="0025018B" w:rsidP="009809E0">
            <w:pPr>
              <w:jc w:val="center"/>
              <w:rPr>
                <w:b/>
                <w:szCs w:val="22"/>
              </w:rPr>
            </w:pPr>
            <w:r w:rsidRPr="009809E0">
              <w:rPr>
                <w:b/>
                <w:szCs w:val="22"/>
              </w:rPr>
              <w:t>2020-21</w:t>
            </w:r>
          </w:p>
        </w:tc>
      </w:tr>
      <w:tr w:rsidR="006548CA" w14:paraId="1AFD904F" w14:textId="77777777" w:rsidTr="00466256">
        <w:tc>
          <w:tcPr>
            <w:tcW w:w="2689" w:type="dxa"/>
          </w:tcPr>
          <w:p w14:paraId="6CD2E12C" w14:textId="56C1614F" w:rsidR="0025018B" w:rsidRPr="009809E0" w:rsidRDefault="0025018B" w:rsidP="00DB6CC4">
            <w:pPr>
              <w:rPr>
                <w:rFonts w:cs="Calibri Light"/>
                <w:color w:val="202124"/>
                <w:szCs w:val="22"/>
                <w:shd w:val="clear" w:color="auto" w:fill="FFFFFF"/>
              </w:rPr>
            </w:pPr>
            <w:r w:rsidRPr="009809E0">
              <w:rPr>
                <w:rFonts w:cs="Calibri Light"/>
                <w:color w:val="202124"/>
                <w:szCs w:val="22"/>
                <w:shd w:val="clear" w:color="auto" w:fill="FFFFFF"/>
              </w:rPr>
              <w:t>Fee revenues</w:t>
            </w:r>
            <w:r w:rsidR="00AB6BED" w:rsidRPr="009809E0">
              <w:rPr>
                <w:rFonts w:cs="Calibri Light"/>
                <w:color w:val="202124"/>
                <w:szCs w:val="22"/>
                <w:shd w:val="clear" w:color="auto" w:fill="FFFFFF"/>
              </w:rPr>
              <w:t xml:space="preserve"> ($</w:t>
            </w:r>
            <w:r w:rsidR="00ED70C8">
              <w:rPr>
                <w:rFonts w:cs="Calibri Light"/>
                <w:color w:val="202124"/>
                <w:szCs w:val="22"/>
                <w:shd w:val="clear" w:color="auto" w:fill="FFFFFF"/>
              </w:rPr>
              <w:t xml:space="preserve"> </w:t>
            </w:r>
            <w:r w:rsidR="00AB6BED" w:rsidRPr="009809E0">
              <w:rPr>
                <w:rFonts w:cs="Calibri Light"/>
                <w:color w:val="202124"/>
                <w:szCs w:val="22"/>
                <w:shd w:val="clear" w:color="auto" w:fill="FFFFFF"/>
              </w:rPr>
              <w:t>m</w:t>
            </w:r>
            <w:r w:rsidR="00ED70C8">
              <w:rPr>
                <w:rFonts w:cs="Calibri Light"/>
                <w:color w:val="202124"/>
                <w:szCs w:val="22"/>
                <w:shd w:val="clear" w:color="auto" w:fill="FFFFFF"/>
              </w:rPr>
              <w:t>illion</w:t>
            </w:r>
            <w:r w:rsidR="00AB6BED" w:rsidRPr="009809E0">
              <w:rPr>
                <w:rFonts w:cs="Calibri Light"/>
                <w:color w:val="202124"/>
                <w:szCs w:val="22"/>
                <w:shd w:val="clear" w:color="auto" w:fill="FFFFFF"/>
              </w:rPr>
              <w:t>)</w:t>
            </w:r>
          </w:p>
        </w:tc>
        <w:tc>
          <w:tcPr>
            <w:tcW w:w="2123" w:type="dxa"/>
          </w:tcPr>
          <w:p w14:paraId="71155436" w14:textId="1ED3CD88" w:rsidR="0025018B" w:rsidRPr="00360713" w:rsidRDefault="00B76FF9" w:rsidP="00DB6CC4">
            <w:pPr>
              <w:jc w:val="right"/>
              <w:rPr>
                <w:rFonts w:cs="Calibri Light"/>
                <w:color w:val="202124"/>
                <w:szCs w:val="22"/>
                <w:shd w:val="clear" w:color="auto" w:fill="FFFFFF"/>
              </w:rPr>
            </w:pPr>
            <w:r w:rsidRPr="00360713">
              <w:rPr>
                <w:rFonts w:eastAsiaTheme="minorHAnsi" w:cs="Calibri Light"/>
                <w:color w:val="202124"/>
                <w:szCs w:val="22"/>
                <w:shd w:val="clear" w:color="auto" w:fill="FFFFFF"/>
              </w:rPr>
              <w:t>13.6</w:t>
            </w:r>
          </w:p>
        </w:tc>
        <w:tc>
          <w:tcPr>
            <w:tcW w:w="2124" w:type="dxa"/>
          </w:tcPr>
          <w:p w14:paraId="5A4C85F0" w14:textId="3E80AC74" w:rsidR="0025018B" w:rsidRPr="00360713" w:rsidRDefault="00EB7CFB" w:rsidP="00DB6CC4">
            <w:pPr>
              <w:jc w:val="right"/>
              <w:rPr>
                <w:rFonts w:cs="Calibri Light"/>
                <w:color w:val="202124"/>
                <w:szCs w:val="22"/>
                <w:shd w:val="clear" w:color="auto" w:fill="FFFFFF"/>
              </w:rPr>
            </w:pPr>
            <w:r w:rsidRPr="00360713">
              <w:rPr>
                <w:rFonts w:cs="Calibri Light"/>
                <w:color w:val="202124"/>
                <w:szCs w:val="22"/>
                <w:shd w:val="clear" w:color="auto" w:fill="FFFFFF"/>
              </w:rPr>
              <w:t>11.</w:t>
            </w:r>
            <w:r w:rsidR="001504FB">
              <w:rPr>
                <w:rFonts w:cs="Calibri Light"/>
                <w:color w:val="202124"/>
                <w:szCs w:val="22"/>
                <w:shd w:val="clear" w:color="auto" w:fill="FFFFFF"/>
              </w:rPr>
              <w:t>3</w:t>
            </w:r>
          </w:p>
        </w:tc>
        <w:tc>
          <w:tcPr>
            <w:tcW w:w="2124" w:type="dxa"/>
          </w:tcPr>
          <w:p w14:paraId="44BB3ECD" w14:textId="6964B402" w:rsidR="0025018B" w:rsidRPr="00360713" w:rsidRDefault="00EB7CFB" w:rsidP="00DB6CC4">
            <w:pPr>
              <w:jc w:val="right"/>
              <w:rPr>
                <w:rFonts w:cs="Calibri Light"/>
                <w:color w:val="202124"/>
                <w:szCs w:val="22"/>
                <w:shd w:val="clear" w:color="auto" w:fill="FFFFFF"/>
              </w:rPr>
            </w:pPr>
            <w:r w:rsidRPr="00360713">
              <w:rPr>
                <w:rFonts w:cs="Calibri Light"/>
                <w:color w:val="202124"/>
                <w:szCs w:val="22"/>
                <w:shd w:val="clear" w:color="auto" w:fill="FFFFFF"/>
              </w:rPr>
              <w:t>14.5</w:t>
            </w:r>
          </w:p>
        </w:tc>
      </w:tr>
      <w:tr w:rsidR="006548CA" w14:paraId="53DAC312" w14:textId="77777777" w:rsidTr="00466256">
        <w:tc>
          <w:tcPr>
            <w:tcW w:w="2689" w:type="dxa"/>
          </w:tcPr>
          <w:p w14:paraId="55CE3ED1" w14:textId="1D4ED481" w:rsidR="0025018B" w:rsidRPr="009809E0" w:rsidRDefault="0025018B" w:rsidP="00DB6CC4">
            <w:pPr>
              <w:rPr>
                <w:rFonts w:cs="Calibri Light"/>
                <w:color w:val="202124"/>
                <w:szCs w:val="22"/>
                <w:shd w:val="clear" w:color="auto" w:fill="FFFFFF"/>
              </w:rPr>
            </w:pPr>
            <w:r w:rsidRPr="009809E0">
              <w:rPr>
                <w:rFonts w:cs="Calibri Light"/>
                <w:color w:val="202124"/>
                <w:szCs w:val="22"/>
                <w:shd w:val="clear" w:color="auto" w:fill="FFFFFF"/>
              </w:rPr>
              <w:t>Fee costs</w:t>
            </w:r>
            <w:r w:rsidR="00AB6BED" w:rsidRPr="009809E0">
              <w:rPr>
                <w:rFonts w:cs="Calibri Light"/>
                <w:color w:val="202124"/>
                <w:szCs w:val="22"/>
                <w:shd w:val="clear" w:color="auto" w:fill="FFFFFF"/>
              </w:rPr>
              <w:t xml:space="preserve"> ($</w:t>
            </w:r>
            <w:r w:rsidR="00ED70C8">
              <w:rPr>
                <w:rFonts w:cs="Calibri Light"/>
                <w:color w:val="202124"/>
                <w:szCs w:val="22"/>
                <w:shd w:val="clear" w:color="auto" w:fill="FFFFFF"/>
              </w:rPr>
              <w:t xml:space="preserve"> </w:t>
            </w:r>
            <w:r w:rsidR="00AB6BED" w:rsidRPr="009809E0">
              <w:rPr>
                <w:rFonts w:cs="Calibri Light"/>
                <w:color w:val="202124"/>
                <w:szCs w:val="22"/>
                <w:shd w:val="clear" w:color="auto" w:fill="FFFFFF"/>
              </w:rPr>
              <w:t>m</w:t>
            </w:r>
            <w:r w:rsidR="00ED70C8">
              <w:rPr>
                <w:rFonts w:cs="Calibri Light"/>
                <w:color w:val="202124"/>
                <w:szCs w:val="22"/>
                <w:shd w:val="clear" w:color="auto" w:fill="FFFFFF"/>
              </w:rPr>
              <w:t>illion</w:t>
            </w:r>
            <w:r w:rsidR="00AB6BED" w:rsidRPr="009809E0">
              <w:rPr>
                <w:rFonts w:cs="Calibri Light"/>
                <w:color w:val="202124"/>
                <w:szCs w:val="22"/>
                <w:shd w:val="clear" w:color="auto" w:fill="FFFFFF"/>
              </w:rPr>
              <w:t>)</w:t>
            </w:r>
          </w:p>
        </w:tc>
        <w:tc>
          <w:tcPr>
            <w:tcW w:w="2123" w:type="dxa"/>
          </w:tcPr>
          <w:p w14:paraId="644CAF5D" w14:textId="575A90B5" w:rsidR="0025018B" w:rsidRPr="00360713" w:rsidRDefault="00B76FF9" w:rsidP="00DB6CC4">
            <w:pPr>
              <w:jc w:val="right"/>
              <w:rPr>
                <w:rFonts w:cs="Calibri Light"/>
                <w:color w:val="202124"/>
                <w:szCs w:val="22"/>
                <w:shd w:val="clear" w:color="auto" w:fill="FFFFFF"/>
              </w:rPr>
            </w:pPr>
            <w:r w:rsidRPr="00360713">
              <w:rPr>
                <w:rFonts w:eastAsiaTheme="minorHAnsi" w:cs="Calibri Light"/>
                <w:color w:val="202124"/>
                <w:szCs w:val="22"/>
                <w:shd w:val="clear" w:color="auto" w:fill="FFFFFF"/>
              </w:rPr>
              <w:t>23.5</w:t>
            </w:r>
          </w:p>
        </w:tc>
        <w:tc>
          <w:tcPr>
            <w:tcW w:w="2124" w:type="dxa"/>
          </w:tcPr>
          <w:p w14:paraId="6CF08203" w14:textId="486E63BE" w:rsidR="0025018B" w:rsidRPr="00360713" w:rsidRDefault="00EB7CFB" w:rsidP="00DB6CC4">
            <w:pPr>
              <w:jc w:val="right"/>
              <w:rPr>
                <w:rFonts w:cs="Calibri Light"/>
                <w:color w:val="202124"/>
                <w:szCs w:val="22"/>
                <w:shd w:val="clear" w:color="auto" w:fill="FFFFFF"/>
              </w:rPr>
            </w:pPr>
            <w:r w:rsidRPr="00360713">
              <w:rPr>
                <w:rFonts w:cs="Calibri Light"/>
                <w:color w:val="202124"/>
                <w:szCs w:val="22"/>
                <w:shd w:val="clear" w:color="auto" w:fill="FFFFFF"/>
              </w:rPr>
              <w:t>29.</w:t>
            </w:r>
            <w:r w:rsidR="001504FB">
              <w:rPr>
                <w:rFonts w:cs="Calibri Light"/>
                <w:color w:val="202124"/>
                <w:szCs w:val="22"/>
                <w:shd w:val="clear" w:color="auto" w:fill="FFFFFF"/>
              </w:rPr>
              <w:t>4</w:t>
            </w:r>
          </w:p>
        </w:tc>
        <w:tc>
          <w:tcPr>
            <w:tcW w:w="2124" w:type="dxa"/>
          </w:tcPr>
          <w:p w14:paraId="61B89743" w14:textId="4DF550C1" w:rsidR="0025018B" w:rsidRPr="00360713" w:rsidRDefault="00EB7CFB" w:rsidP="00DB6CC4">
            <w:pPr>
              <w:jc w:val="right"/>
              <w:rPr>
                <w:rFonts w:cs="Calibri Light"/>
                <w:color w:val="202124"/>
                <w:szCs w:val="22"/>
                <w:shd w:val="clear" w:color="auto" w:fill="FFFFFF"/>
              </w:rPr>
            </w:pPr>
            <w:r w:rsidRPr="00360713">
              <w:rPr>
                <w:rFonts w:cs="Calibri Light"/>
                <w:color w:val="202124"/>
                <w:szCs w:val="22"/>
                <w:shd w:val="clear" w:color="auto" w:fill="FFFFFF"/>
              </w:rPr>
              <w:t>25.</w:t>
            </w:r>
            <w:r w:rsidR="001504FB">
              <w:rPr>
                <w:rFonts w:cs="Calibri Light"/>
                <w:color w:val="202124"/>
                <w:szCs w:val="22"/>
                <w:shd w:val="clear" w:color="auto" w:fill="FFFFFF"/>
              </w:rPr>
              <w:t>5</w:t>
            </w:r>
          </w:p>
        </w:tc>
      </w:tr>
      <w:tr w:rsidR="006548CA" w14:paraId="6B87E68E" w14:textId="77777777" w:rsidTr="00466256">
        <w:tc>
          <w:tcPr>
            <w:tcW w:w="2689" w:type="dxa"/>
          </w:tcPr>
          <w:p w14:paraId="29C54941" w14:textId="23656A90" w:rsidR="0025018B" w:rsidRPr="009809E0" w:rsidRDefault="0025018B" w:rsidP="00DB6CC4">
            <w:pPr>
              <w:rPr>
                <w:rFonts w:cs="Calibri Light"/>
                <w:color w:val="202124"/>
                <w:szCs w:val="22"/>
                <w:shd w:val="clear" w:color="auto" w:fill="FFFFFF"/>
              </w:rPr>
            </w:pPr>
            <w:r w:rsidRPr="009809E0">
              <w:rPr>
                <w:rFonts w:cs="Calibri Light"/>
                <w:color w:val="202124"/>
                <w:szCs w:val="22"/>
                <w:shd w:val="clear" w:color="auto" w:fill="FFFFFF"/>
              </w:rPr>
              <w:t>Deficit</w:t>
            </w:r>
            <w:r w:rsidR="00AB6BED" w:rsidRPr="009809E0">
              <w:rPr>
                <w:rFonts w:cs="Calibri Light"/>
                <w:color w:val="202124"/>
                <w:szCs w:val="22"/>
                <w:shd w:val="clear" w:color="auto" w:fill="FFFFFF"/>
              </w:rPr>
              <w:t xml:space="preserve"> ($</w:t>
            </w:r>
            <w:r w:rsidR="00ED70C8">
              <w:rPr>
                <w:rFonts w:cs="Calibri Light"/>
                <w:color w:val="202124"/>
                <w:szCs w:val="22"/>
                <w:shd w:val="clear" w:color="auto" w:fill="FFFFFF"/>
              </w:rPr>
              <w:t xml:space="preserve"> </w:t>
            </w:r>
            <w:r w:rsidR="00AB6BED" w:rsidRPr="009809E0">
              <w:rPr>
                <w:rFonts w:cs="Calibri Light"/>
                <w:color w:val="202124"/>
                <w:szCs w:val="22"/>
                <w:shd w:val="clear" w:color="auto" w:fill="FFFFFF"/>
              </w:rPr>
              <w:t>m</w:t>
            </w:r>
            <w:r w:rsidR="00ED70C8">
              <w:rPr>
                <w:rFonts w:cs="Calibri Light"/>
                <w:color w:val="202124"/>
                <w:szCs w:val="22"/>
                <w:shd w:val="clear" w:color="auto" w:fill="FFFFFF"/>
              </w:rPr>
              <w:t>illion</w:t>
            </w:r>
            <w:r w:rsidR="00AB6BED" w:rsidRPr="009809E0">
              <w:rPr>
                <w:rFonts w:cs="Calibri Light"/>
                <w:color w:val="202124"/>
                <w:szCs w:val="22"/>
                <w:shd w:val="clear" w:color="auto" w:fill="FFFFFF"/>
              </w:rPr>
              <w:t>)</w:t>
            </w:r>
          </w:p>
        </w:tc>
        <w:tc>
          <w:tcPr>
            <w:tcW w:w="2123" w:type="dxa"/>
          </w:tcPr>
          <w:p w14:paraId="10980B4C" w14:textId="5727E90F" w:rsidR="0025018B" w:rsidRPr="00360713" w:rsidRDefault="00AB6BED" w:rsidP="00DB6CC4">
            <w:pPr>
              <w:jc w:val="right"/>
              <w:rPr>
                <w:rFonts w:cs="Calibri Light"/>
                <w:color w:val="202124"/>
                <w:szCs w:val="22"/>
                <w:shd w:val="clear" w:color="auto" w:fill="FFFFFF"/>
              </w:rPr>
            </w:pPr>
            <w:r w:rsidRPr="00360713">
              <w:rPr>
                <w:rFonts w:cs="Calibri Light"/>
                <w:color w:val="202124"/>
                <w:szCs w:val="22"/>
                <w:shd w:val="clear" w:color="auto" w:fill="FFFFFF"/>
              </w:rPr>
              <w:t>9.9</w:t>
            </w:r>
          </w:p>
        </w:tc>
        <w:tc>
          <w:tcPr>
            <w:tcW w:w="2124" w:type="dxa"/>
          </w:tcPr>
          <w:p w14:paraId="33F61D6E" w14:textId="3124C256" w:rsidR="0025018B" w:rsidRPr="00360713" w:rsidRDefault="00EB7CFB" w:rsidP="00DB6CC4">
            <w:pPr>
              <w:jc w:val="right"/>
              <w:rPr>
                <w:rFonts w:cs="Calibri Light"/>
                <w:color w:val="202124"/>
                <w:szCs w:val="22"/>
                <w:shd w:val="clear" w:color="auto" w:fill="FFFFFF"/>
              </w:rPr>
            </w:pPr>
            <w:r w:rsidRPr="00360713">
              <w:rPr>
                <w:rFonts w:cs="Calibri Light"/>
                <w:color w:val="202124"/>
                <w:szCs w:val="22"/>
                <w:shd w:val="clear" w:color="auto" w:fill="FFFFFF"/>
              </w:rPr>
              <w:t>18.</w:t>
            </w:r>
            <w:r w:rsidR="001504FB">
              <w:rPr>
                <w:rFonts w:cs="Calibri Light"/>
                <w:color w:val="202124"/>
                <w:szCs w:val="22"/>
                <w:shd w:val="clear" w:color="auto" w:fill="FFFFFF"/>
              </w:rPr>
              <w:t>1</w:t>
            </w:r>
          </w:p>
        </w:tc>
        <w:tc>
          <w:tcPr>
            <w:tcW w:w="2124" w:type="dxa"/>
          </w:tcPr>
          <w:p w14:paraId="03D3CEFE" w14:textId="6A402792" w:rsidR="0025018B" w:rsidRPr="00360713" w:rsidRDefault="00EB7CFB" w:rsidP="00DB6CC4">
            <w:pPr>
              <w:jc w:val="right"/>
              <w:rPr>
                <w:rFonts w:cs="Calibri Light"/>
                <w:color w:val="202124"/>
                <w:szCs w:val="22"/>
                <w:shd w:val="clear" w:color="auto" w:fill="FFFFFF"/>
              </w:rPr>
            </w:pPr>
            <w:r w:rsidRPr="00360713">
              <w:rPr>
                <w:rFonts w:cs="Calibri Light"/>
                <w:color w:val="202124"/>
                <w:szCs w:val="22"/>
                <w:shd w:val="clear" w:color="auto" w:fill="FFFFFF"/>
              </w:rPr>
              <w:t>1</w:t>
            </w:r>
            <w:r w:rsidR="00C36738">
              <w:rPr>
                <w:rFonts w:cs="Calibri Light"/>
                <w:color w:val="202124"/>
                <w:szCs w:val="22"/>
                <w:shd w:val="clear" w:color="auto" w:fill="FFFFFF"/>
              </w:rPr>
              <w:t>1</w:t>
            </w:r>
            <w:r w:rsidR="00CC463D">
              <w:rPr>
                <w:rFonts w:cs="Calibri Light"/>
                <w:color w:val="202124"/>
                <w:szCs w:val="22"/>
                <w:shd w:val="clear" w:color="auto" w:fill="FFFFFF"/>
              </w:rPr>
              <w:t>.0</w:t>
            </w:r>
          </w:p>
        </w:tc>
      </w:tr>
    </w:tbl>
    <w:p w14:paraId="38A42EE5" w14:textId="77777777" w:rsidR="007F52A9" w:rsidRDefault="007F52A9" w:rsidP="000066F0">
      <w:pPr>
        <w:pStyle w:val="NoSpacing"/>
        <w:ind w:left="360"/>
        <w:rPr>
          <w:rFonts w:ascii="Calibri Light" w:eastAsia="Times New Roman" w:hAnsi="Calibri Light" w:cs="Calibri Light"/>
          <w:szCs w:val="20"/>
          <w:lang w:eastAsia="en-AU"/>
        </w:rPr>
      </w:pPr>
    </w:p>
    <w:p w14:paraId="2112CC5F" w14:textId="77777777" w:rsidR="00A72DCA" w:rsidRPr="000066F0" w:rsidRDefault="00A72DCA" w:rsidP="000066F0">
      <w:pPr>
        <w:pStyle w:val="NoSpacing"/>
        <w:ind w:left="360"/>
        <w:rPr>
          <w:rFonts w:ascii="Calibri Light" w:eastAsia="Times New Roman" w:hAnsi="Calibri Light" w:cs="Calibri Light"/>
          <w:szCs w:val="20"/>
          <w:lang w:eastAsia="en-AU"/>
        </w:rPr>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B774AB" w14:paraId="35EEC508" w14:textId="77777777" w:rsidTr="00162B24">
        <w:trPr>
          <w:trHeight w:val="1476"/>
        </w:trPr>
        <w:tc>
          <w:tcPr>
            <w:tcW w:w="5000" w:type="pct"/>
            <w:shd w:val="clear" w:color="auto" w:fill="F2F9FC"/>
            <w:hideMark/>
          </w:tcPr>
          <w:p w14:paraId="4BA85335" w14:textId="6888613C" w:rsidR="00B774AB" w:rsidRDefault="00EE1C7D" w:rsidP="00951FC2">
            <w:pPr>
              <w:pStyle w:val="BoxHeading"/>
              <w:numPr>
                <w:ilvl w:val="0"/>
                <w:numId w:val="0"/>
              </w:numPr>
              <w:rPr>
                <w:lang w:eastAsia="en-US"/>
              </w:rPr>
            </w:pPr>
            <w:r>
              <w:rPr>
                <w:szCs w:val="28"/>
                <w:lang w:eastAsia="en-US"/>
              </w:rPr>
              <w:t xml:space="preserve">3: </w:t>
            </w:r>
            <w:r w:rsidR="00152A08">
              <w:rPr>
                <w:szCs w:val="28"/>
                <w:lang w:eastAsia="en-US"/>
              </w:rPr>
              <w:t>Examples of fee adjustment</w:t>
            </w:r>
            <w:r w:rsidR="00B4442E">
              <w:rPr>
                <w:rStyle w:val="FootnoteReference"/>
                <w:szCs w:val="28"/>
                <w:lang w:eastAsia="en-US"/>
              </w:rPr>
              <w:footnoteReference w:id="15"/>
            </w:r>
          </w:p>
          <w:p w14:paraId="34157323" w14:textId="42B0A0DE" w:rsidR="001862A1" w:rsidRDefault="00B774AB" w:rsidP="001F7D21">
            <w:pPr>
              <w:pStyle w:val="BoxText"/>
              <w:rPr>
                <w:lang w:eastAsia="en-US"/>
              </w:rPr>
            </w:pPr>
            <w:r>
              <w:rPr>
                <w:b/>
                <w:bCs/>
                <w:lang w:eastAsia="en-US"/>
              </w:rPr>
              <w:t xml:space="preserve">Option 1: </w:t>
            </w:r>
            <w:r>
              <w:rPr>
                <w:lang w:eastAsia="en-US"/>
              </w:rPr>
              <w:t>Adjust fee amounts to a level which facilitates full cost recovery of ASIC</w:t>
            </w:r>
            <w:r w:rsidR="001F7D21">
              <w:rPr>
                <w:lang w:eastAsia="en-US"/>
              </w:rPr>
              <w:t>’</w:t>
            </w:r>
            <w:r>
              <w:rPr>
                <w:lang w:eastAsia="en-US"/>
              </w:rPr>
              <w:t xml:space="preserve">s cost relating to </w:t>
            </w:r>
            <w:r w:rsidR="00423A74">
              <w:rPr>
                <w:lang w:eastAsia="en-US"/>
              </w:rPr>
              <w:t>fees-for-service</w:t>
            </w:r>
            <w:r w:rsidR="00A02822">
              <w:rPr>
                <w:lang w:eastAsia="en-US"/>
              </w:rPr>
              <w:t xml:space="preserve">. </w:t>
            </w:r>
            <w:r w:rsidR="001F7D21">
              <w:rPr>
                <w:lang w:eastAsia="en-US"/>
              </w:rPr>
              <w:t xml:space="preserve">Setting fee amounts at full cost recovery level </w:t>
            </w:r>
            <w:r w:rsidR="00B05607">
              <w:rPr>
                <w:lang w:eastAsia="en-US"/>
              </w:rPr>
              <w:t>would</w:t>
            </w:r>
            <w:r w:rsidR="001F7D21">
              <w:rPr>
                <w:lang w:eastAsia="en-US"/>
              </w:rPr>
              <w:t xml:space="preserve"> mean the majority of fee amounts </w:t>
            </w:r>
            <w:r w:rsidR="00B05607">
              <w:rPr>
                <w:lang w:eastAsia="en-US"/>
              </w:rPr>
              <w:t>would</w:t>
            </w:r>
            <w:r w:rsidR="001F7D21">
              <w:rPr>
                <w:lang w:eastAsia="en-US"/>
              </w:rPr>
              <w:t xml:space="preserve"> increase.</w:t>
            </w:r>
          </w:p>
        </w:tc>
      </w:tr>
      <w:tr w:rsidR="00B774AB" w14:paraId="1AC8AE97" w14:textId="77777777" w:rsidTr="001B5B42">
        <w:tblPrEx>
          <w:shd w:val="clear" w:color="auto" w:fill="EEEEEE" w:themeFill="background2"/>
          <w:tblLook w:val="04A0" w:firstRow="1" w:lastRow="0" w:firstColumn="1" w:lastColumn="0" w:noHBand="0" w:noVBand="1"/>
        </w:tblPrEx>
        <w:tc>
          <w:tcPr>
            <w:tcW w:w="5000" w:type="pct"/>
            <w:shd w:val="clear" w:color="auto" w:fill="EEEEEE" w:themeFill="background2"/>
          </w:tcPr>
          <w:p w14:paraId="24098A0B" w14:textId="77777777" w:rsidR="00B774AB" w:rsidRPr="000D1284" w:rsidRDefault="00B774AB" w:rsidP="001E6383">
            <w:pPr>
              <w:pStyle w:val="BoxHeading"/>
              <w:numPr>
                <w:ilvl w:val="0"/>
                <w:numId w:val="0"/>
              </w:numPr>
              <w:spacing w:before="120"/>
            </w:pPr>
            <w:r>
              <w:t xml:space="preserve">Questions </w:t>
            </w:r>
          </w:p>
          <w:p w14:paraId="22A12301" w14:textId="3A13FDC9" w:rsidR="00B774AB" w:rsidRPr="000D1284" w:rsidRDefault="0081209B" w:rsidP="009114BE">
            <w:pPr>
              <w:pStyle w:val="OutlineNumbered1"/>
              <w:numPr>
                <w:ilvl w:val="0"/>
                <w:numId w:val="40"/>
              </w:numPr>
              <w:tabs>
                <w:tab w:val="num" w:pos="520"/>
              </w:tabs>
              <w:rPr>
                <w:lang w:eastAsia="en-US"/>
              </w:rPr>
            </w:pPr>
            <w:r>
              <w:rPr>
                <w:rFonts w:cs="Calibri Light"/>
              </w:rPr>
              <w:t xml:space="preserve">If fee amounts are to be changed, should this be amended via a one-off increase or staged to </w:t>
            </w:r>
            <w:r w:rsidR="00D75031">
              <w:rPr>
                <w:rFonts w:cs="Calibri Light"/>
              </w:rPr>
              <w:t>spread the impact over multiple years</w:t>
            </w:r>
            <w:r w:rsidR="00C40C4D">
              <w:rPr>
                <w:rFonts w:cs="Calibri Light"/>
              </w:rPr>
              <w:t>?</w:t>
            </w:r>
          </w:p>
        </w:tc>
      </w:tr>
    </w:tbl>
    <w:p w14:paraId="3AFFE0AF" w14:textId="3147A079" w:rsidR="00394D7B" w:rsidRPr="00CB4773" w:rsidRDefault="00394D7B" w:rsidP="00394D7B">
      <w:pPr>
        <w:pStyle w:val="Heading3"/>
      </w:pPr>
      <w:bookmarkStart w:id="69" w:name="_Toc114214429"/>
      <w:r w:rsidRPr="00CB4773">
        <w:t>Flexibility of the IFM to respond to changes</w:t>
      </w:r>
      <w:bookmarkEnd w:id="69"/>
    </w:p>
    <w:p w14:paraId="21236370" w14:textId="18AC3FAF" w:rsidR="00394E14" w:rsidRDefault="00B83B01" w:rsidP="00B83B01">
      <w:bookmarkStart w:id="70" w:name="_Toc109834344"/>
      <w:r>
        <w:t xml:space="preserve">While ASIC administers and charges </w:t>
      </w:r>
      <w:r w:rsidR="00423A74">
        <w:t>fees-for-service</w:t>
      </w:r>
      <w:r>
        <w:t xml:space="preserve">, </w:t>
      </w:r>
      <w:r w:rsidDel="00B92D59">
        <w:t xml:space="preserve">the </w:t>
      </w:r>
      <w:r w:rsidR="00B92D59">
        <w:t xml:space="preserve">types of </w:t>
      </w:r>
      <w:r w:rsidR="00F13B6E">
        <w:t xml:space="preserve">activities </w:t>
      </w:r>
      <w:r w:rsidR="00B92D59">
        <w:t xml:space="preserve">ASIC can charge </w:t>
      </w:r>
      <w:r w:rsidR="00F13B6E">
        <w:t xml:space="preserve">fees for </w:t>
      </w:r>
      <w:r w:rsidR="00CD6A81">
        <w:t>are set in primary law</w:t>
      </w:r>
      <w:r w:rsidR="00E67A88">
        <w:t>,</w:t>
      </w:r>
      <w:r w:rsidR="00C511B0">
        <w:t xml:space="preserve"> </w:t>
      </w:r>
      <w:r w:rsidR="00F13B6E">
        <w:t xml:space="preserve">with specific </w:t>
      </w:r>
      <w:r w:rsidR="006E0366">
        <w:t>chargeable matters and</w:t>
      </w:r>
      <w:r w:rsidR="00F13B6E">
        <w:t xml:space="preserve"> </w:t>
      </w:r>
      <w:r>
        <w:t>fee amounts</w:t>
      </w:r>
      <w:r w:rsidR="00883EF9">
        <w:t xml:space="preserve"> set </w:t>
      </w:r>
      <w:r w:rsidR="00C511B0">
        <w:t xml:space="preserve">in regulations </w:t>
      </w:r>
      <w:r w:rsidR="00883EF9">
        <w:t>by</w:t>
      </w:r>
      <w:r w:rsidDel="00883EF9">
        <w:t xml:space="preserve"> </w:t>
      </w:r>
      <w:r>
        <w:t xml:space="preserve">the </w:t>
      </w:r>
      <w:r w:rsidR="00883EF9">
        <w:t>G</w:t>
      </w:r>
      <w:r>
        <w:t>overnment</w:t>
      </w:r>
      <w:r w:rsidR="00EF3D25">
        <w:t xml:space="preserve"> </w:t>
      </w:r>
      <w:r w:rsidR="00484214">
        <w:t>(</w:t>
      </w:r>
      <w:r w:rsidR="00EF3D25">
        <w:t>subject to Parliamentary processes</w:t>
      </w:r>
      <w:r w:rsidR="00484214">
        <w:t>)</w:t>
      </w:r>
      <w:r w:rsidR="00BC5B77">
        <w:t>.</w:t>
      </w:r>
      <w:r w:rsidR="00883EF9" w:rsidDel="00BC5B77">
        <w:t xml:space="preserve"> </w:t>
      </w:r>
      <w:r w:rsidR="00134ED4">
        <w:t xml:space="preserve">This provides a high degree of </w:t>
      </w:r>
      <w:r w:rsidR="009C3235">
        <w:t xml:space="preserve">government </w:t>
      </w:r>
      <w:r w:rsidR="00134ED4">
        <w:t xml:space="preserve">oversight on </w:t>
      </w:r>
      <w:r w:rsidR="00492910">
        <w:t xml:space="preserve">what </w:t>
      </w:r>
      <w:r w:rsidR="00850EC6">
        <w:t>activities</w:t>
      </w:r>
      <w:r w:rsidR="00492910">
        <w:t xml:space="preserve"> fees can be charged for and </w:t>
      </w:r>
      <w:r w:rsidR="000323EF">
        <w:t xml:space="preserve">fee </w:t>
      </w:r>
      <w:r w:rsidR="00492910">
        <w:t>amounts, however limits the flexibility to make changes</w:t>
      </w:r>
      <w:r w:rsidR="00126E66">
        <w:t>.</w:t>
      </w:r>
    </w:p>
    <w:p w14:paraId="5C782948" w14:textId="4A6A762C" w:rsidR="00407D67" w:rsidRDefault="001927CD" w:rsidP="00B83B01">
      <w:pPr>
        <w:rPr>
          <w:rFonts w:cs="Calibri Light"/>
        </w:rPr>
      </w:pPr>
      <w:r>
        <w:rPr>
          <w:rFonts w:cs="Calibri Light"/>
        </w:rPr>
        <w:t>Updating fee</w:t>
      </w:r>
      <w:r w:rsidR="00B12309">
        <w:rPr>
          <w:rFonts w:cs="Calibri Light"/>
        </w:rPr>
        <w:t xml:space="preserve"> </w:t>
      </w:r>
      <w:r w:rsidR="00D137A6">
        <w:rPr>
          <w:rFonts w:cs="Calibri Light"/>
        </w:rPr>
        <w:t xml:space="preserve">amounts </w:t>
      </w:r>
      <w:r w:rsidR="00FF4E96">
        <w:rPr>
          <w:rFonts w:cs="Calibri Light"/>
        </w:rPr>
        <w:t>in Regulations</w:t>
      </w:r>
      <w:r w:rsidR="00D137A6">
        <w:rPr>
          <w:rFonts w:cs="Calibri Light"/>
        </w:rPr>
        <w:t xml:space="preserve"> </w:t>
      </w:r>
      <w:r w:rsidR="00A12172">
        <w:t>can be a lengthy</w:t>
      </w:r>
      <w:r w:rsidR="009135C1">
        <w:t xml:space="preserve"> </w:t>
      </w:r>
      <w:r w:rsidR="00B44F05">
        <w:t>process</w:t>
      </w:r>
      <w:r w:rsidR="005F61D3">
        <w:t xml:space="preserve"> and resource intensive</w:t>
      </w:r>
      <w:r w:rsidR="00B44F05">
        <w:t>.</w:t>
      </w:r>
      <w:r w:rsidR="009135C1" w:rsidDel="00B44F05">
        <w:t xml:space="preserve"> </w:t>
      </w:r>
      <w:r w:rsidR="0049793D">
        <w:t>The length of this process impacts the ability to keep fee amounts up-to-date and ensure fees fully recover the costs of ASIC providing services</w:t>
      </w:r>
      <w:r w:rsidR="0049793D">
        <w:rPr>
          <w:rFonts w:cs="Calibri Light"/>
        </w:rPr>
        <w:t>.</w:t>
      </w:r>
    </w:p>
    <w:p w14:paraId="5B7874A2" w14:textId="2313D8BE" w:rsidR="00FC0ABF" w:rsidRDefault="001161F1" w:rsidP="00B83B01">
      <w:r>
        <w:t>Since commencement</w:t>
      </w:r>
      <w:r w:rsidR="0038427D">
        <w:t xml:space="preserve"> of the IFM</w:t>
      </w:r>
      <w:r>
        <w:t>, there has been no wholesale change to the framework of th</w:t>
      </w:r>
      <w:r w:rsidR="00EF72BD">
        <w:t>e</w:t>
      </w:r>
      <w:r>
        <w:t xml:space="preserve"> fees component of the ASIC IFM. However,</w:t>
      </w:r>
      <w:r w:rsidR="0099199A">
        <w:t xml:space="preserve"> there have been legislative </w:t>
      </w:r>
      <w:r w:rsidR="003E1087">
        <w:t>amendments</w:t>
      </w:r>
      <w:r w:rsidR="005D47FE">
        <w:t xml:space="preserve"> </w:t>
      </w:r>
      <w:r w:rsidR="006A1A42">
        <w:t xml:space="preserve">to </w:t>
      </w:r>
      <w:r w:rsidR="00DB6A7F">
        <w:t>enable</w:t>
      </w:r>
      <w:r w:rsidR="006A1A42">
        <w:t xml:space="preserve"> ASIC</w:t>
      </w:r>
      <w:r w:rsidR="008840FD">
        <w:t xml:space="preserve"> to</w:t>
      </w:r>
      <w:r w:rsidR="00946B01">
        <w:t xml:space="preserve"> charge new fees </w:t>
      </w:r>
      <w:r w:rsidR="00991124">
        <w:t xml:space="preserve">– </w:t>
      </w:r>
      <w:r w:rsidR="00946B01">
        <w:t>s</w:t>
      </w:r>
      <w:r>
        <w:t xml:space="preserve">ee Appendix C for a list of these changes. </w:t>
      </w:r>
    </w:p>
    <w:p w14:paraId="6092000A" w14:textId="67A96E2F" w:rsidR="009B5D43" w:rsidRDefault="00184B0B" w:rsidP="00B83B01">
      <w:r w:rsidRPr="00332A8C">
        <w:t xml:space="preserve">The </w:t>
      </w:r>
      <w:r w:rsidR="00BA0539" w:rsidRPr="00BA0539">
        <w:t>Australian Prudential Regulation Authority (APRA)</w:t>
      </w:r>
      <w:r w:rsidR="00946B01" w:rsidRPr="00332A8C">
        <w:t xml:space="preserve">, </w:t>
      </w:r>
      <w:r w:rsidR="00E07864" w:rsidRPr="00332A8C">
        <w:t xml:space="preserve">which also operates an industry cost recovery model, has been </w:t>
      </w:r>
      <w:r w:rsidRPr="00332A8C">
        <w:t>delegated</w:t>
      </w:r>
      <w:r w:rsidR="00E07864" w:rsidRPr="00332A8C">
        <w:t xml:space="preserve"> the au</w:t>
      </w:r>
      <w:r w:rsidR="00C841E3" w:rsidRPr="00332A8C">
        <w:t xml:space="preserve">thority to set fee amounts for its regulated population. This provides APRA </w:t>
      </w:r>
      <w:r w:rsidR="00FA3506" w:rsidRPr="00332A8C">
        <w:t>more flexibil</w:t>
      </w:r>
      <w:r w:rsidR="008B1DB3" w:rsidRPr="00332A8C">
        <w:t>ity to</w:t>
      </w:r>
      <w:r w:rsidR="00654430" w:rsidRPr="00332A8C">
        <w:t xml:space="preserve"> regularly update fees.</w:t>
      </w:r>
      <w:r w:rsidR="001417A1">
        <w:t xml:space="preserve"> APRA</w:t>
      </w:r>
      <w:r w:rsidR="00AD2ED2">
        <w:t>, like ASIC,</w:t>
      </w:r>
      <w:r w:rsidR="001417A1">
        <w:t xml:space="preserve"> charges fees </w:t>
      </w:r>
      <w:r w:rsidR="00954EA9">
        <w:t>for</w:t>
      </w:r>
      <w:r w:rsidR="001417A1">
        <w:t xml:space="preserve"> </w:t>
      </w:r>
      <w:r w:rsidR="00F073E3">
        <w:t>u</w:t>
      </w:r>
      <w:r w:rsidR="00954EA9" w:rsidRPr="00682917">
        <w:t>ser-</w:t>
      </w:r>
      <w:r w:rsidR="001417A1">
        <w:t xml:space="preserve">initiated </w:t>
      </w:r>
      <w:r w:rsidR="00954EA9" w:rsidRPr="00682917">
        <w:t>and transaction-based activities</w:t>
      </w:r>
      <w:r w:rsidR="00AD2ED2">
        <w:t xml:space="preserve"> </w:t>
      </w:r>
      <w:r w:rsidR="001417A1">
        <w:t xml:space="preserve">services </w:t>
      </w:r>
      <w:r w:rsidR="00AD2ED2">
        <w:t xml:space="preserve">such </w:t>
      </w:r>
      <w:r w:rsidR="001417A1">
        <w:t xml:space="preserve">as </w:t>
      </w:r>
      <w:r w:rsidR="00AD2ED2">
        <w:t>licensing</w:t>
      </w:r>
      <w:r w:rsidR="001417A1">
        <w:t xml:space="preserve"> </w:t>
      </w:r>
      <w:r w:rsidR="00F722F9">
        <w:t>and application fee</w:t>
      </w:r>
      <w:r w:rsidR="00954EA9">
        <w:t>s</w:t>
      </w:r>
      <w:r w:rsidR="006558FE">
        <w:t>.</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9B5D43" w14:paraId="446BE0C2" w14:textId="77777777" w:rsidTr="008247A8">
        <w:trPr>
          <w:trHeight w:val="1476"/>
        </w:trPr>
        <w:tc>
          <w:tcPr>
            <w:tcW w:w="5000" w:type="pct"/>
            <w:shd w:val="clear" w:color="auto" w:fill="F2F9FC"/>
            <w:hideMark/>
          </w:tcPr>
          <w:p w14:paraId="2432A6A8" w14:textId="79AAA801" w:rsidR="009B5D43" w:rsidRDefault="008A4788" w:rsidP="007E74CA">
            <w:pPr>
              <w:pStyle w:val="BoxHeading"/>
              <w:numPr>
                <w:ilvl w:val="0"/>
                <w:numId w:val="0"/>
              </w:numPr>
              <w:rPr>
                <w:lang w:eastAsia="en-US"/>
              </w:rPr>
            </w:pPr>
            <w:r>
              <w:rPr>
                <w:szCs w:val="28"/>
                <w:lang w:eastAsia="en-US"/>
              </w:rPr>
              <w:lastRenderedPageBreak/>
              <w:t xml:space="preserve">4: </w:t>
            </w:r>
            <w:r w:rsidR="006C0F5E">
              <w:rPr>
                <w:szCs w:val="28"/>
                <w:lang w:eastAsia="en-US"/>
              </w:rPr>
              <w:t>Examples of improving flexibility</w:t>
            </w:r>
            <w:r w:rsidR="00B4442E">
              <w:rPr>
                <w:rStyle w:val="FootnoteReference"/>
                <w:szCs w:val="28"/>
                <w:lang w:eastAsia="en-US"/>
              </w:rPr>
              <w:footnoteReference w:id="16"/>
            </w:r>
          </w:p>
          <w:p w14:paraId="237C665A" w14:textId="6B842643" w:rsidR="00AD2ED2" w:rsidRPr="00C17498" w:rsidRDefault="009B5D43" w:rsidP="00AD2ED2">
            <w:pPr>
              <w:pStyle w:val="BoxText"/>
              <w:rPr>
                <w:b/>
                <w:bCs/>
                <w:lang w:eastAsia="en-US"/>
              </w:rPr>
            </w:pPr>
            <w:r>
              <w:rPr>
                <w:b/>
                <w:bCs/>
                <w:lang w:eastAsia="en-US"/>
              </w:rPr>
              <w:t xml:space="preserve">Option 1: </w:t>
            </w:r>
            <w:r w:rsidR="004D2431" w:rsidRPr="00C17498">
              <w:rPr>
                <w:lang w:eastAsia="en-US"/>
              </w:rPr>
              <w:t xml:space="preserve">Delegate </w:t>
            </w:r>
            <w:r w:rsidR="00BD36AD" w:rsidRPr="00C17498">
              <w:rPr>
                <w:lang w:eastAsia="en-US"/>
              </w:rPr>
              <w:t xml:space="preserve">to ASIC the power to </w:t>
            </w:r>
            <w:r w:rsidR="00AD2ED2" w:rsidRPr="00C17498">
              <w:rPr>
                <w:lang w:eastAsia="en-US"/>
              </w:rPr>
              <w:t>determine what activities ASIC is able to charges fees for, rather than the Government prescribing the activities.</w:t>
            </w:r>
          </w:p>
          <w:p w14:paraId="4630424A" w14:textId="76645C4A" w:rsidR="009B5D43" w:rsidRDefault="009B5D43" w:rsidP="00360713">
            <w:pPr>
              <w:pStyle w:val="BoxText"/>
              <w:rPr>
                <w:lang w:eastAsia="en-US"/>
              </w:rPr>
            </w:pPr>
            <w:r>
              <w:rPr>
                <w:b/>
                <w:bCs/>
                <w:lang w:eastAsia="en-US"/>
              </w:rPr>
              <w:t xml:space="preserve">Option </w:t>
            </w:r>
            <w:r w:rsidR="00AD2ED2">
              <w:rPr>
                <w:b/>
                <w:bCs/>
                <w:lang w:eastAsia="en-US"/>
              </w:rPr>
              <w:t>2</w:t>
            </w:r>
            <w:r>
              <w:rPr>
                <w:b/>
                <w:bCs/>
                <w:lang w:eastAsia="en-US"/>
              </w:rPr>
              <w:t xml:space="preserve">: </w:t>
            </w:r>
            <w:r w:rsidR="004D2431" w:rsidRPr="00C17498">
              <w:rPr>
                <w:lang w:eastAsia="en-US"/>
              </w:rPr>
              <w:t xml:space="preserve">Delegate </w:t>
            </w:r>
            <w:r w:rsidR="00BD36AD" w:rsidRPr="00C17498">
              <w:rPr>
                <w:lang w:eastAsia="en-US"/>
              </w:rPr>
              <w:t>to ASIC the power to set and adjust fee</w:t>
            </w:r>
            <w:r w:rsidR="002B7236" w:rsidRPr="00C17498">
              <w:rPr>
                <w:lang w:eastAsia="en-US"/>
              </w:rPr>
              <w:t xml:space="preserve"> amounts</w:t>
            </w:r>
            <w:r w:rsidR="001970A7" w:rsidRPr="00C17498">
              <w:rPr>
                <w:lang w:eastAsia="en-US"/>
              </w:rPr>
              <w:t xml:space="preserve"> </w:t>
            </w:r>
            <w:r w:rsidR="004F63D0" w:rsidRPr="00C17498">
              <w:rPr>
                <w:lang w:eastAsia="en-US"/>
              </w:rPr>
              <w:t>in</w:t>
            </w:r>
            <w:r w:rsidR="001970A7" w:rsidRPr="00C17498">
              <w:rPr>
                <w:lang w:eastAsia="en-US"/>
              </w:rPr>
              <w:t xml:space="preserve"> legislative instrument</w:t>
            </w:r>
            <w:r w:rsidR="004F63D0" w:rsidRPr="00C17498">
              <w:rPr>
                <w:lang w:eastAsia="en-US"/>
              </w:rPr>
              <w:t>s</w:t>
            </w:r>
            <w:r w:rsidR="002B7236" w:rsidRPr="00C17498">
              <w:rPr>
                <w:lang w:eastAsia="en-US"/>
              </w:rPr>
              <w:t>, rather than the Government setting fee amounts in regulations</w:t>
            </w:r>
            <w:r w:rsidR="00233981">
              <w:rPr>
                <w:lang w:eastAsia="en-US"/>
              </w:rPr>
              <w:t>, but with the Government continuing to determine the activities for which ASIC is able to charge fees.</w:t>
            </w:r>
          </w:p>
        </w:tc>
      </w:tr>
      <w:tr w:rsidR="009B5D43" w14:paraId="01EF7AA9" w14:textId="77777777" w:rsidTr="008247A8">
        <w:tblPrEx>
          <w:shd w:val="clear" w:color="auto" w:fill="EEEEEE" w:themeFill="background2"/>
          <w:tblLook w:val="04A0" w:firstRow="1" w:lastRow="0" w:firstColumn="1" w:lastColumn="0" w:noHBand="0" w:noVBand="1"/>
        </w:tblPrEx>
        <w:tc>
          <w:tcPr>
            <w:tcW w:w="5000" w:type="pct"/>
            <w:shd w:val="clear" w:color="auto" w:fill="EEEEEE" w:themeFill="background2"/>
          </w:tcPr>
          <w:p w14:paraId="799A3E13" w14:textId="77777777" w:rsidR="009B5D43" w:rsidRPr="000D1284" w:rsidRDefault="009B5D43" w:rsidP="001E6383">
            <w:pPr>
              <w:pStyle w:val="BoxHeading"/>
              <w:numPr>
                <w:ilvl w:val="0"/>
                <w:numId w:val="0"/>
              </w:numPr>
              <w:spacing w:before="120"/>
            </w:pPr>
            <w:r>
              <w:t xml:space="preserve">Questions </w:t>
            </w:r>
          </w:p>
          <w:p w14:paraId="71C8F94F" w14:textId="033588EF" w:rsidR="00AD2ED2" w:rsidRDefault="00AD2ED2" w:rsidP="009114BE">
            <w:pPr>
              <w:pStyle w:val="OutlineNumbered1"/>
              <w:numPr>
                <w:ilvl w:val="0"/>
                <w:numId w:val="40"/>
              </w:numPr>
              <w:tabs>
                <w:tab w:val="num" w:pos="520"/>
              </w:tabs>
            </w:pPr>
            <w:r>
              <w:t>Is it appropriate for ASIC to have the power to determine w</w:t>
            </w:r>
            <w:r w:rsidR="00233981">
              <w:t>hich</w:t>
            </w:r>
            <w:r>
              <w:t xml:space="preserve"> of its regulatory activities/services it can charge a fee for?</w:t>
            </w:r>
          </w:p>
          <w:p w14:paraId="40F0168A" w14:textId="37D2EAA7" w:rsidR="004E17AF" w:rsidRDefault="004E17AF" w:rsidP="009114BE">
            <w:pPr>
              <w:pStyle w:val="OutlineNumbered1"/>
              <w:numPr>
                <w:ilvl w:val="0"/>
                <w:numId w:val="40"/>
              </w:numPr>
              <w:tabs>
                <w:tab w:val="num" w:pos="520"/>
              </w:tabs>
            </w:pPr>
            <w:r>
              <w:t xml:space="preserve">Is it appropriate for ASIC to have the power to set fee amounts, or should this power remain with </w:t>
            </w:r>
            <w:r w:rsidR="0025541D">
              <w:t>the G</w:t>
            </w:r>
            <w:r>
              <w:t>overnment?</w:t>
            </w:r>
          </w:p>
          <w:p w14:paraId="3E3618A9" w14:textId="3A723030" w:rsidR="009B5D43" w:rsidRDefault="00687D3B" w:rsidP="009162C5">
            <w:pPr>
              <w:pStyle w:val="OutlineNumbered1"/>
              <w:numPr>
                <w:ilvl w:val="1"/>
                <w:numId w:val="40"/>
              </w:numPr>
              <w:tabs>
                <w:tab w:val="clear" w:pos="1040"/>
                <w:tab w:val="num" w:pos="851"/>
                <w:tab w:val="num" w:pos="1440"/>
              </w:tabs>
              <w:rPr>
                <w:lang w:eastAsia="en-US"/>
              </w:rPr>
            </w:pPr>
            <w:r>
              <w:rPr>
                <w:lang w:eastAsia="en-US"/>
              </w:rPr>
              <w:t>If ASIC were provided the power to set fee</w:t>
            </w:r>
            <w:r w:rsidR="00344D69">
              <w:rPr>
                <w:lang w:eastAsia="en-US"/>
              </w:rPr>
              <w:t xml:space="preserve"> amounts</w:t>
            </w:r>
            <w:r>
              <w:rPr>
                <w:lang w:eastAsia="en-US"/>
              </w:rPr>
              <w:t xml:space="preserve">, should there be any limitations on what fees </w:t>
            </w:r>
            <w:r w:rsidR="00992D49">
              <w:rPr>
                <w:lang w:eastAsia="en-US"/>
              </w:rPr>
              <w:t xml:space="preserve">it </w:t>
            </w:r>
            <w:r w:rsidR="0028068C">
              <w:rPr>
                <w:lang w:eastAsia="en-US"/>
              </w:rPr>
              <w:t>can adjust</w:t>
            </w:r>
            <w:r w:rsidR="005A1303">
              <w:rPr>
                <w:lang w:eastAsia="en-US"/>
              </w:rPr>
              <w:t>,</w:t>
            </w:r>
            <w:r w:rsidR="0028068C">
              <w:rPr>
                <w:lang w:eastAsia="en-US"/>
              </w:rPr>
              <w:t xml:space="preserve"> or by how much?</w:t>
            </w:r>
            <w:r w:rsidR="0076400F">
              <w:rPr>
                <w:lang w:eastAsia="en-US"/>
              </w:rPr>
              <w:t xml:space="preserve"> For example, setting caps </w:t>
            </w:r>
            <w:r w:rsidR="00082328">
              <w:rPr>
                <w:lang w:eastAsia="en-US"/>
              </w:rPr>
              <w:t>on specific fees</w:t>
            </w:r>
            <w:r w:rsidR="0076400F">
              <w:rPr>
                <w:lang w:eastAsia="en-US"/>
              </w:rPr>
              <w:t xml:space="preserve"> in primary law</w:t>
            </w:r>
            <w:r w:rsidR="00D85940">
              <w:rPr>
                <w:lang w:eastAsia="en-US"/>
              </w:rPr>
              <w:t xml:space="preserve"> or regulations</w:t>
            </w:r>
            <w:r w:rsidR="00943AF4">
              <w:rPr>
                <w:lang w:eastAsia="en-US"/>
              </w:rPr>
              <w:t>, or setting principles to guide ASIC’s setting of fee amounts?</w:t>
            </w:r>
            <w:r w:rsidR="0076400F">
              <w:rPr>
                <w:lang w:eastAsia="en-US"/>
              </w:rPr>
              <w:t xml:space="preserve"> </w:t>
            </w:r>
          </w:p>
          <w:p w14:paraId="677EAE3E" w14:textId="1821BC4C" w:rsidR="009D5FE4" w:rsidRPr="000D1284" w:rsidRDefault="009D5FE4" w:rsidP="00983A0A">
            <w:pPr>
              <w:pStyle w:val="OutlineNumbered1"/>
              <w:numPr>
                <w:ilvl w:val="0"/>
                <w:numId w:val="40"/>
              </w:numPr>
              <w:tabs>
                <w:tab w:val="clear" w:pos="851"/>
              </w:tabs>
              <w:rPr>
                <w:lang w:eastAsia="en-US"/>
              </w:rPr>
            </w:pPr>
            <w:r>
              <w:rPr>
                <w:lang w:eastAsia="en-US"/>
              </w:rPr>
              <w:t>What transparency and accountability mechanisms would</w:t>
            </w:r>
            <w:r w:rsidR="007F61E0">
              <w:rPr>
                <w:lang w:eastAsia="en-US"/>
              </w:rPr>
              <w:t xml:space="preserve"> be appropriate</w:t>
            </w:r>
            <w:r>
              <w:rPr>
                <w:lang w:eastAsia="en-US"/>
              </w:rPr>
              <w:t xml:space="preserve"> if ASIC were setting fee</w:t>
            </w:r>
            <w:r w:rsidR="00BE4FD8">
              <w:rPr>
                <w:lang w:eastAsia="en-US"/>
              </w:rPr>
              <w:t xml:space="preserve"> amounts</w:t>
            </w:r>
            <w:r>
              <w:rPr>
                <w:lang w:eastAsia="en-US"/>
              </w:rPr>
              <w:t>?</w:t>
            </w:r>
          </w:p>
        </w:tc>
      </w:tr>
    </w:tbl>
    <w:p w14:paraId="77E489FB" w14:textId="3EC43C5A" w:rsidR="000A7728" w:rsidRDefault="000A7728" w:rsidP="000A7728">
      <w:pPr>
        <w:pStyle w:val="Heading3"/>
      </w:pPr>
      <w:bookmarkStart w:id="71" w:name="_Toc114214430"/>
      <w:bookmarkEnd w:id="70"/>
      <w:r>
        <w:t xml:space="preserve">Fees charged for licence </w:t>
      </w:r>
      <w:r w:rsidR="00850EC6">
        <w:t>and registration</w:t>
      </w:r>
      <w:r>
        <w:t xml:space="preserve"> cancellations</w:t>
      </w:r>
      <w:bookmarkEnd w:id="71"/>
      <w:r>
        <w:t xml:space="preserve"> </w:t>
      </w:r>
    </w:p>
    <w:p w14:paraId="7F08277B" w14:textId="7BD8F679" w:rsidR="00C64C05" w:rsidRDefault="00852C22" w:rsidP="00E64A44">
      <w:r>
        <w:t xml:space="preserve">ASIC charges fees for licence and </w:t>
      </w:r>
      <w:r w:rsidR="0074347C">
        <w:t>registration cancellations</w:t>
      </w:r>
      <w:r>
        <w:t xml:space="preserve">. </w:t>
      </w:r>
      <w:r w:rsidR="00437B70">
        <w:t xml:space="preserve">There are </w:t>
      </w:r>
      <w:r w:rsidR="00DB1FDC">
        <w:t>six</w:t>
      </w:r>
      <w:r w:rsidR="00437B70">
        <w:t xml:space="preserve"> </w:t>
      </w:r>
      <w:r w:rsidR="00931510">
        <w:t xml:space="preserve">flat fees which relate to licence </w:t>
      </w:r>
      <w:r w:rsidR="000447E0">
        <w:t>and registration</w:t>
      </w:r>
      <w:r w:rsidR="00931510">
        <w:t xml:space="preserve"> cancellations </w:t>
      </w:r>
      <w:r w:rsidR="00C4408C">
        <w:t xml:space="preserve">for </w:t>
      </w:r>
      <w:r w:rsidR="00E92923">
        <w:t>Australian Financial Service Licen</w:t>
      </w:r>
      <w:r w:rsidR="00DE5F85">
        <w:t>c</w:t>
      </w:r>
      <w:r w:rsidR="00E92923">
        <w:t>e (</w:t>
      </w:r>
      <w:r w:rsidR="00C4408C">
        <w:t>AFSL</w:t>
      </w:r>
      <w:r w:rsidR="00E92923">
        <w:t>)</w:t>
      </w:r>
      <w:r w:rsidR="00C4408C">
        <w:t xml:space="preserve"> holders, </w:t>
      </w:r>
      <w:r w:rsidR="00277DCA">
        <w:t xml:space="preserve">benchmark </w:t>
      </w:r>
      <w:r w:rsidR="005141F9">
        <w:t>administrators</w:t>
      </w:r>
      <w:r w:rsidR="00277DCA">
        <w:t xml:space="preserve">, </w:t>
      </w:r>
      <w:r w:rsidR="00E92923">
        <w:t>Self-Managed Super Fund (</w:t>
      </w:r>
      <w:r w:rsidR="00277DCA">
        <w:t>SMSF</w:t>
      </w:r>
      <w:r w:rsidR="00E92923">
        <w:t>)</w:t>
      </w:r>
      <w:r w:rsidR="00277DCA">
        <w:t xml:space="preserve"> auditors</w:t>
      </w:r>
      <w:r w:rsidR="00716C19">
        <w:t xml:space="preserve"> and liquidators.</w:t>
      </w:r>
      <w:r w:rsidR="005141F9">
        <w:t xml:space="preserve"> There are</w:t>
      </w:r>
      <w:r w:rsidR="0024123A">
        <w:t xml:space="preserve"> also</w:t>
      </w:r>
      <w:r w:rsidR="00E648FD" w:rsidDel="005141F9">
        <w:t xml:space="preserve"> </w:t>
      </w:r>
      <w:r w:rsidR="00AE6E7E">
        <w:t>three</w:t>
      </w:r>
      <w:r w:rsidR="00E36F10">
        <w:t xml:space="preserve"> licence</w:t>
      </w:r>
      <w:r w:rsidR="00E36F10" w:rsidDel="00EA12E6">
        <w:t xml:space="preserve"> </w:t>
      </w:r>
      <w:r w:rsidR="00E36F10">
        <w:t>cancellation</w:t>
      </w:r>
      <w:r w:rsidR="00816AEA">
        <w:t xml:space="preserve"> activities</w:t>
      </w:r>
      <w:r w:rsidR="00E36F10">
        <w:t xml:space="preserve"> that have no fee</w:t>
      </w:r>
      <w:r w:rsidR="005141F9">
        <w:t>, which relate to clearing and settlement facility, trad</w:t>
      </w:r>
      <w:r w:rsidR="00495E5A">
        <w:t>e</w:t>
      </w:r>
      <w:r w:rsidR="005141F9">
        <w:t xml:space="preserve"> repository and Australian market licenses</w:t>
      </w:r>
      <w:r w:rsidR="000D4A2D">
        <w:t>.</w:t>
      </w:r>
    </w:p>
    <w:p w14:paraId="6E714675" w14:textId="542761EB" w:rsidR="00594CC3" w:rsidRDefault="00594CC3" w:rsidP="00E64A44">
      <w:r>
        <w:t xml:space="preserve">ASIC undertakes a number of steps before cancelling a licence which can include consultation with APRA (if </w:t>
      </w:r>
      <w:r w:rsidR="00771129">
        <w:t xml:space="preserve">the entity is </w:t>
      </w:r>
      <w:r>
        <w:t xml:space="preserve">APRA-regulated), a review of open disputes with </w:t>
      </w:r>
      <w:r w:rsidR="004423F9">
        <w:t>the</w:t>
      </w:r>
      <w:r>
        <w:t xml:space="preserve"> </w:t>
      </w:r>
      <w:r w:rsidR="004423F9">
        <w:t>Australian Financial Complaints Authority (</w:t>
      </w:r>
      <w:r>
        <w:t>AFCA</w:t>
      </w:r>
      <w:r w:rsidR="004423F9">
        <w:t>)</w:t>
      </w:r>
      <w:r>
        <w:t>, confirming there are no outstanding financial statements or auditor’s reports and conducting intelligence searches to identify if there are any reasons not to cancel the licen</w:t>
      </w:r>
      <w:r w:rsidR="00A378B6">
        <w:t>c</w:t>
      </w:r>
      <w:r>
        <w:t>e.</w:t>
      </w:r>
    </w:p>
    <w:p w14:paraId="506245F9" w14:textId="3F000E1D" w:rsidR="00AB783E" w:rsidRDefault="000926F9" w:rsidP="00AB783E">
      <w:pPr>
        <w:rPr>
          <w:rFonts w:eastAsiaTheme="minorHAnsi"/>
        </w:rPr>
      </w:pPr>
      <w:r>
        <w:t>Some s</w:t>
      </w:r>
      <w:r w:rsidR="008E0113">
        <w:t>takeholders have</w:t>
      </w:r>
      <w:r w:rsidR="00E64A44">
        <w:t xml:space="preserve"> expressed</w:t>
      </w:r>
      <w:r w:rsidR="008E0113">
        <w:t xml:space="preserve"> concerns about t</w:t>
      </w:r>
      <w:r w:rsidR="003B6A32">
        <w:t>hese fees.</w:t>
      </w:r>
      <w:r w:rsidR="00FD66F5">
        <w:t xml:space="preserve"> In some cases, these concerns arise from</w:t>
      </w:r>
      <w:r w:rsidR="00E64A44">
        <w:t xml:space="preserve"> a lack of understanding </w:t>
      </w:r>
      <w:r w:rsidR="009F08C8">
        <w:t>of</w:t>
      </w:r>
      <w:r w:rsidR="00E64A44">
        <w:t xml:space="preserve"> the work involved </w:t>
      </w:r>
      <w:r w:rsidR="009F08C8">
        <w:t xml:space="preserve">for </w:t>
      </w:r>
      <w:r w:rsidR="00E64A44">
        <w:t xml:space="preserve">ASIC. </w:t>
      </w:r>
      <w:r w:rsidR="009F08C8">
        <w:t>Stakeholders have also raised concerns that</w:t>
      </w:r>
      <w:r w:rsidR="00E64A44">
        <w:t xml:space="preserve"> licen</w:t>
      </w:r>
      <w:r w:rsidR="000B2F66">
        <w:t>c</w:t>
      </w:r>
      <w:r w:rsidR="00E64A44">
        <w:t>e cancellation fees are not universal, with some significantly more expensive than others</w:t>
      </w:r>
      <w:r w:rsidR="00F865E0">
        <w:t>, and some charged no fee at all</w:t>
      </w:r>
      <w:r w:rsidR="00E64A44">
        <w:t>. Stakeholders</w:t>
      </w:r>
      <w:r w:rsidR="0029378D">
        <w:t xml:space="preserve"> have also</w:t>
      </w:r>
      <w:r w:rsidR="00E64A44">
        <w:t xml:space="preserve"> suggested </w:t>
      </w:r>
      <w:r w:rsidR="0029378D">
        <w:t xml:space="preserve">that </w:t>
      </w:r>
      <w:r w:rsidR="00E64A44">
        <w:t xml:space="preserve">charging fees for this type of service may function as a disincentive for entities to engage with the process, potentially leading to individuals and businesses </w:t>
      </w:r>
      <w:r w:rsidR="00872F35">
        <w:t>retaining</w:t>
      </w:r>
      <w:r w:rsidR="00E64A44">
        <w:t xml:space="preserve"> a licen</w:t>
      </w:r>
      <w:r w:rsidR="00156BDB">
        <w:t>c</w:t>
      </w:r>
      <w:r w:rsidR="00E64A44">
        <w:t>e unnecessarily.</w:t>
      </w:r>
      <w:r w:rsidR="00AB783E">
        <w:t xml:space="preserve"> </w:t>
      </w:r>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0"/>
      </w:tblGrid>
      <w:tr w:rsidR="00D7266F" w14:paraId="34DCBE15" w14:textId="77777777" w:rsidTr="007D23D9">
        <w:tc>
          <w:tcPr>
            <w:tcW w:w="5000" w:type="pct"/>
            <w:shd w:val="clear" w:color="auto" w:fill="EEEEEE" w:themeFill="background2"/>
            <w:hideMark/>
          </w:tcPr>
          <w:p w14:paraId="507232B6" w14:textId="77777777" w:rsidR="00D7266F" w:rsidRDefault="00D7266F" w:rsidP="001E6383">
            <w:pPr>
              <w:pStyle w:val="BoxHeading"/>
              <w:numPr>
                <w:ilvl w:val="0"/>
                <w:numId w:val="0"/>
              </w:numPr>
              <w:spacing w:before="120"/>
              <w:rPr>
                <w:szCs w:val="28"/>
                <w:lang w:eastAsia="en-US"/>
              </w:rPr>
            </w:pPr>
            <w:r>
              <w:rPr>
                <w:szCs w:val="28"/>
                <w:lang w:eastAsia="en-US"/>
              </w:rPr>
              <w:lastRenderedPageBreak/>
              <w:t xml:space="preserve">Questions </w:t>
            </w:r>
          </w:p>
          <w:p w14:paraId="48104802" w14:textId="2ADFE4A6" w:rsidR="00D7266F" w:rsidRDefault="00D7266F" w:rsidP="009114BE">
            <w:pPr>
              <w:pStyle w:val="OutlineNumbered1"/>
              <w:numPr>
                <w:ilvl w:val="0"/>
                <w:numId w:val="40"/>
              </w:numPr>
              <w:tabs>
                <w:tab w:val="num" w:pos="520"/>
              </w:tabs>
              <w:rPr>
                <w:lang w:eastAsia="en-US"/>
              </w:rPr>
            </w:pPr>
            <w:r>
              <w:rPr>
                <w:lang w:eastAsia="en-US"/>
              </w:rPr>
              <w:t>Do fees for licen</w:t>
            </w:r>
            <w:r w:rsidR="00156BDB">
              <w:rPr>
                <w:lang w:eastAsia="en-US"/>
              </w:rPr>
              <w:t>c</w:t>
            </w:r>
            <w:r>
              <w:rPr>
                <w:lang w:eastAsia="en-US"/>
              </w:rPr>
              <w:t xml:space="preserve">e and </w:t>
            </w:r>
            <w:r w:rsidR="000447E0">
              <w:rPr>
                <w:lang w:eastAsia="en-US"/>
              </w:rPr>
              <w:t>registration</w:t>
            </w:r>
            <w:r w:rsidR="002D65E5">
              <w:rPr>
                <w:lang w:eastAsia="en-US"/>
              </w:rPr>
              <w:t xml:space="preserve"> cancellation</w:t>
            </w:r>
            <w:r w:rsidR="009C77F4">
              <w:rPr>
                <w:lang w:eastAsia="en-US"/>
              </w:rPr>
              <w:t>s</w:t>
            </w:r>
            <w:r>
              <w:rPr>
                <w:lang w:eastAsia="en-US"/>
              </w:rPr>
              <w:t xml:space="preserve"> provide a disincentive </w:t>
            </w:r>
            <w:r w:rsidR="001512AC">
              <w:rPr>
                <w:lang w:eastAsia="en-US"/>
              </w:rPr>
              <w:t xml:space="preserve">to </w:t>
            </w:r>
            <w:r>
              <w:rPr>
                <w:lang w:eastAsia="en-US"/>
              </w:rPr>
              <w:t xml:space="preserve">cancel licenses and </w:t>
            </w:r>
            <w:r w:rsidR="00E90941">
              <w:rPr>
                <w:lang w:eastAsia="en-US"/>
              </w:rPr>
              <w:t>registrations</w:t>
            </w:r>
            <w:r>
              <w:rPr>
                <w:lang w:eastAsia="en-US"/>
              </w:rPr>
              <w:t xml:space="preserve">? </w:t>
            </w:r>
            <w:r w:rsidR="004603C1">
              <w:rPr>
                <w:lang w:eastAsia="en-US"/>
              </w:rPr>
              <w:t xml:space="preserve">If so, </w:t>
            </w:r>
            <w:r w:rsidR="00065CBA">
              <w:rPr>
                <w:lang w:eastAsia="en-US"/>
              </w:rPr>
              <w:t>w</w:t>
            </w:r>
            <w:r>
              <w:rPr>
                <w:lang w:eastAsia="en-US"/>
              </w:rPr>
              <w:t xml:space="preserve">ould a </w:t>
            </w:r>
            <w:r w:rsidR="0029378D">
              <w:rPr>
                <w:lang w:eastAsia="en-US"/>
              </w:rPr>
              <w:t xml:space="preserve">lower </w:t>
            </w:r>
            <w:r>
              <w:rPr>
                <w:lang w:eastAsia="en-US"/>
              </w:rPr>
              <w:t xml:space="preserve">fee or no fee </w:t>
            </w:r>
            <w:r w:rsidR="00065CBA">
              <w:rPr>
                <w:lang w:eastAsia="en-US"/>
              </w:rPr>
              <w:t xml:space="preserve">remove this disincentive? </w:t>
            </w:r>
          </w:p>
          <w:p w14:paraId="33A7510A" w14:textId="5021932F" w:rsidR="00D7266F" w:rsidRDefault="00D7266F" w:rsidP="009114BE">
            <w:pPr>
              <w:pStyle w:val="OutlineNumbered1"/>
              <w:numPr>
                <w:ilvl w:val="0"/>
                <w:numId w:val="40"/>
              </w:numPr>
              <w:tabs>
                <w:tab w:val="num" w:pos="520"/>
              </w:tabs>
              <w:rPr>
                <w:lang w:eastAsia="en-US"/>
              </w:rPr>
            </w:pPr>
            <w:r>
              <w:rPr>
                <w:lang w:eastAsia="en-US"/>
              </w:rPr>
              <w:t xml:space="preserve">Would it be more appropriate for the costs associated with </w:t>
            </w:r>
            <w:r w:rsidR="00E756A7">
              <w:rPr>
                <w:lang w:eastAsia="en-US"/>
              </w:rPr>
              <w:t xml:space="preserve">licence and registration cancellations </w:t>
            </w:r>
            <w:r>
              <w:rPr>
                <w:lang w:eastAsia="en-US"/>
              </w:rPr>
              <w:t xml:space="preserve">to be </w:t>
            </w:r>
            <w:r w:rsidR="0029378D">
              <w:rPr>
                <w:lang w:eastAsia="en-US"/>
              </w:rPr>
              <w:t>recovered through industry</w:t>
            </w:r>
            <w:r>
              <w:rPr>
                <w:lang w:eastAsia="en-US"/>
              </w:rPr>
              <w:t xml:space="preserve"> levies</w:t>
            </w:r>
            <w:r w:rsidR="00594BE7">
              <w:rPr>
                <w:lang w:eastAsia="en-US"/>
              </w:rPr>
              <w:t xml:space="preserve"> (noting that there are wider benefits to ensuring entities and individuals that are no longer undertaking a particular licensed activity do not continue to hold a licence for that activity)</w:t>
            </w:r>
            <w:r w:rsidR="00FF3F8E">
              <w:rPr>
                <w:lang w:eastAsia="en-US"/>
              </w:rPr>
              <w:t>?</w:t>
            </w:r>
          </w:p>
        </w:tc>
      </w:tr>
    </w:tbl>
    <w:p w14:paraId="1816F8C1" w14:textId="3A91CD3E" w:rsidR="000B3E07" w:rsidRDefault="000B3E07" w:rsidP="000B3E07">
      <w:pPr>
        <w:pStyle w:val="Heading3"/>
      </w:pPr>
      <w:bookmarkStart w:id="72" w:name="_Toc114214431"/>
      <w:r>
        <w:t xml:space="preserve">Fees charged for </w:t>
      </w:r>
      <w:r w:rsidR="0029378D">
        <w:t>relief applications</w:t>
      </w:r>
      <w:bookmarkEnd w:id="72"/>
    </w:p>
    <w:p w14:paraId="64290A86" w14:textId="002A3785" w:rsidR="00843DCC" w:rsidRDefault="0029378D" w:rsidP="00C22568">
      <w:r>
        <w:t xml:space="preserve">ASIC charges </w:t>
      </w:r>
      <w:r w:rsidR="00F7303F">
        <w:t xml:space="preserve">fees to consider </w:t>
      </w:r>
      <w:r w:rsidR="0032401F">
        <w:t xml:space="preserve">individual </w:t>
      </w:r>
      <w:r w:rsidR="00F7303F">
        <w:t xml:space="preserve">applications </w:t>
      </w:r>
      <w:r w:rsidR="00E356B1">
        <w:t xml:space="preserve">for the exercise of discretionary powers to </w:t>
      </w:r>
      <w:r w:rsidR="0067552D">
        <w:t>grant relief from certain provisions in the legislation that ASIC is responsible for administering. Relief can be provided on an individual basis</w:t>
      </w:r>
      <w:r w:rsidR="0072162D">
        <w:t xml:space="preserve"> or to a class of </w:t>
      </w:r>
      <w:r w:rsidR="00184428">
        <w:t>entities</w:t>
      </w:r>
      <w:r w:rsidR="0072162D">
        <w:t>.</w:t>
      </w:r>
      <w:r w:rsidR="00843DCC">
        <w:t xml:space="preserve"> </w:t>
      </w:r>
      <w:r w:rsidR="000926F9">
        <w:t>Some s</w:t>
      </w:r>
      <w:r w:rsidR="00C22568">
        <w:t>takeholders raised</w:t>
      </w:r>
      <w:r w:rsidR="007E6CD0">
        <w:t xml:space="preserve"> confusion about the recovery of costs relating to </w:t>
      </w:r>
      <w:r w:rsidR="007E5494">
        <w:t>relief provided to a class of entitie</w:t>
      </w:r>
      <w:r w:rsidR="006E615D">
        <w:t>s</w:t>
      </w:r>
      <w:r w:rsidR="00C22568">
        <w:t xml:space="preserve">. </w:t>
      </w:r>
    </w:p>
    <w:p w14:paraId="0B9FCBED" w14:textId="2099363E" w:rsidR="00C22568" w:rsidRDefault="00C6602A" w:rsidP="00C22568">
      <w:r w:rsidRPr="007D23D9">
        <w:t xml:space="preserve">Although relief can be granted either on an individual basis or to a class of entities, only individual applications for relief attract a fee for service. </w:t>
      </w:r>
      <w:r w:rsidR="007A29B1" w:rsidRPr="007D23D9">
        <w:t xml:space="preserve">ASIC’s regulatory effort relating to </w:t>
      </w:r>
      <w:r w:rsidR="006E615D">
        <w:t>relief provided to a class of entities</w:t>
      </w:r>
      <w:r w:rsidR="006D63E4" w:rsidRPr="007D23D9">
        <w:t xml:space="preserve"> is recovered via industry levies from the relevant </w:t>
      </w:r>
      <w:r w:rsidR="00F33074">
        <w:t>sub</w:t>
      </w:r>
      <w:r w:rsidR="00F33074">
        <w:noBreakHyphen/>
        <w:t>sector</w:t>
      </w:r>
      <w:r w:rsidR="00D93D52" w:rsidRPr="007D23D9">
        <w:t>.</w:t>
      </w:r>
      <w:r w:rsidR="005D08CD" w:rsidRPr="007D23D9">
        <w:t xml:space="preserve"> </w:t>
      </w:r>
      <w:r w:rsidR="00041DCB">
        <w:t>Such relief has</w:t>
      </w:r>
      <w:r w:rsidR="005D08CD" w:rsidRPr="007D23D9">
        <w:t xml:space="preserve"> a benefit that is spread across a class of </w:t>
      </w:r>
      <w:r w:rsidR="00E10F52" w:rsidRPr="007D23D9">
        <w:t>entities,</w:t>
      </w:r>
      <w:r w:rsidR="005D08CD" w:rsidRPr="007D23D9">
        <w:t xml:space="preserve"> and it would therefore be inappropriate to charge a single entity.</w:t>
      </w:r>
    </w:p>
    <w:tbl>
      <w:tblPr>
        <w:tblW w:w="5000" w:type="pct"/>
        <w:shd w:val="clear" w:color="auto" w:fill="EEEEEE" w:themeFill="background2"/>
        <w:tblCellMar>
          <w:top w:w="227" w:type="dxa"/>
          <w:left w:w="227" w:type="dxa"/>
          <w:bottom w:w="227" w:type="dxa"/>
          <w:right w:w="227" w:type="dxa"/>
        </w:tblCellMar>
        <w:tblLook w:val="01E0" w:firstRow="1" w:lastRow="1" w:firstColumn="1" w:lastColumn="1" w:noHBand="0" w:noVBand="0"/>
      </w:tblPr>
      <w:tblGrid>
        <w:gridCol w:w="9070"/>
      </w:tblGrid>
      <w:tr w:rsidR="00BD42F1" w14:paraId="00303549" w14:textId="77777777" w:rsidTr="006A57FE">
        <w:trPr>
          <w:trHeight w:val="1042"/>
        </w:trPr>
        <w:tc>
          <w:tcPr>
            <w:tcW w:w="5000" w:type="pct"/>
            <w:shd w:val="clear" w:color="auto" w:fill="EEEEEE" w:themeFill="background2"/>
            <w:hideMark/>
          </w:tcPr>
          <w:p w14:paraId="029487BF" w14:textId="77777777" w:rsidR="00BD42F1" w:rsidRDefault="00BD42F1" w:rsidP="001E6383">
            <w:pPr>
              <w:pStyle w:val="BoxHeading"/>
              <w:numPr>
                <w:ilvl w:val="0"/>
                <w:numId w:val="0"/>
              </w:numPr>
              <w:spacing w:before="120"/>
              <w:rPr>
                <w:szCs w:val="28"/>
                <w:lang w:eastAsia="en-US"/>
              </w:rPr>
            </w:pPr>
            <w:r>
              <w:rPr>
                <w:szCs w:val="28"/>
                <w:lang w:eastAsia="en-US"/>
              </w:rPr>
              <w:t>Questions</w:t>
            </w:r>
          </w:p>
          <w:p w14:paraId="17284D75" w14:textId="30C2A238" w:rsidR="00BD42F1" w:rsidRDefault="009F7703" w:rsidP="009114BE">
            <w:pPr>
              <w:pStyle w:val="OutlineNumbered1"/>
              <w:numPr>
                <w:ilvl w:val="0"/>
                <w:numId w:val="40"/>
              </w:numPr>
              <w:tabs>
                <w:tab w:val="num" w:pos="520"/>
              </w:tabs>
              <w:rPr>
                <w:lang w:eastAsia="en-US"/>
              </w:rPr>
            </w:pPr>
            <w:r>
              <w:rPr>
                <w:lang w:eastAsia="en-US"/>
              </w:rPr>
              <w:t>Is</w:t>
            </w:r>
            <w:r w:rsidR="00E60FBE">
              <w:rPr>
                <w:lang w:eastAsia="en-US"/>
              </w:rPr>
              <w:t xml:space="preserve"> </w:t>
            </w:r>
            <w:r w:rsidR="00B92A9E" w:rsidDel="00410836">
              <w:rPr>
                <w:lang w:eastAsia="en-US"/>
              </w:rPr>
              <w:t xml:space="preserve">it </w:t>
            </w:r>
            <w:r w:rsidR="00B92A9E">
              <w:rPr>
                <w:lang w:eastAsia="en-US"/>
              </w:rPr>
              <w:t>appropriate</w:t>
            </w:r>
            <w:r w:rsidR="00DA2768">
              <w:rPr>
                <w:lang w:eastAsia="en-US"/>
              </w:rPr>
              <w:t xml:space="preserve"> for </w:t>
            </w:r>
            <w:r w:rsidR="00941DAF">
              <w:rPr>
                <w:lang w:eastAsia="en-US"/>
              </w:rPr>
              <w:t>ASIC’s work on</w:t>
            </w:r>
            <w:r w:rsidR="00B92A9E">
              <w:rPr>
                <w:lang w:eastAsia="en-US"/>
              </w:rPr>
              <w:t xml:space="preserve"> </w:t>
            </w:r>
            <w:r w:rsidR="00DA2768">
              <w:rPr>
                <w:lang w:eastAsia="en-US"/>
              </w:rPr>
              <w:t xml:space="preserve">individual </w:t>
            </w:r>
            <w:r w:rsidR="00CA550E">
              <w:rPr>
                <w:lang w:eastAsia="en-US"/>
              </w:rPr>
              <w:t xml:space="preserve">relief </w:t>
            </w:r>
            <w:r w:rsidR="0021349A">
              <w:rPr>
                <w:lang w:eastAsia="en-US"/>
              </w:rPr>
              <w:t>applications</w:t>
            </w:r>
            <w:r w:rsidR="00CA550E">
              <w:rPr>
                <w:lang w:eastAsia="en-US"/>
              </w:rPr>
              <w:t xml:space="preserve"> </w:t>
            </w:r>
            <w:r w:rsidR="00B92A9E">
              <w:rPr>
                <w:lang w:eastAsia="en-US"/>
              </w:rPr>
              <w:t>to be recovered via fees</w:t>
            </w:r>
            <w:r w:rsidR="00F6174B">
              <w:rPr>
                <w:lang w:eastAsia="en-US"/>
              </w:rPr>
              <w:t>,</w:t>
            </w:r>
            <w:r w:rsidR="00EA0E69">
              <w:rPr>
                <w:lang w:eastAsia="en-US"/>
              </w:rPr>
              <w:t xml:space="preserve"> with the </w:t>
            </w:r>
            <w:r w:rsidR="00B92A9E">
              <w:rPr>
                <w:lang w:eastAsia="en-US"/>
              </w:rPr>
              <w:t xml:space="preserve">costs associated with </w:t>
            </w:r>
            <w:r w:rsidR="00E44203">
              <w:rPr>
                <w:lang w:eastAsia="en-US"/>
              </w:rPr>
              <w:t xml:space="preserve">ASIC’s </w:t>
            </w:r>
            <w:r w:rsidR="00941DAF">
              <w:rPr>
                <w:lang w:eastAsia="en-US"/>
              </w:rPr>
              <w:t xml:space="preserve">work on </w:t>
            </w:r>
            <w:r w:rsidR="00991EAD">
              <w:rPr>
                <w:lang w:eastAsia="en-US"/>
              </w:rPr>
              <w:t xml:space="preserve">relief provided to a class of </w:t>
            </w:r>
            <w:r w:rsidR="00CD5588">
              <w:rPr>
                <w:lang w:eastAsia="en-US"/>
              </w:rPr>
              <w:t>entities</w:t>
            </w:r>
            <w:r w:rsidR="00B92A9E">
              <w:rPr>
                <w:lang w:eastAsia="en-US"/>
              </w:rPr>
              <w:t xml:space="preserve"> to be recovered through industry levies</w:t>
            </w:r>
            <w:r w:rsidR="0021349A">
              <w:rPr>
                <w:lang w:eastAsia="en-US"/>
              </w:rPr>
              <w:t>?</w:t>
            </w:r>
          </w:p>
        </w:tc>
      </w:tr>
    </w:tbl>
    <w:p w14:paraId="1F534CB1" w14:textId="77777777" w:rsidR="00394D7B" w:rsidRDefault="00394D7B">
      <w:pPr>
        <w:spacing w:before="0" w:after="160" w:line="259" w:lineRule="auto"/>
      </w:pPr>
      <w:r>
        <w:br w:type="page"/>
      </w:r>
    </w:p>
    <w:p w14:paraId="5B9D99BA" w14:textId="493E1366" w:rsidR="005861F3" w:rsidRDefault="005861F3" w:rsidP="005861F3">
      <w:pPr>
        <w:pStyle w:val="Heading1"/>
      </w:pPr>
      <w:bookmarkStart w:id="73" w:name="_Toc114214432"/>
      <w:bookmarkStart w:id="74" w:name="_Toc109834349"/>
      <w:r>
        <w:lastRenderedPageBreak/>
        <w:t xml:space="preserve">Reporting, </w:t>
      </w:r>
      <w:r w:rsidR="00B80B23">
        <w:t>transparency</w:t>
      </w:r>
      <w:r>
        <w:t xml:space="preserve"> and consultation</w:t>
      </w:r>
      <w:bookmarkEnd w:id="73"/>
      <w:r>
        <w:t xml:space="preserve"> </w:t>
      </w:r>
      <w:bookmarkEnd w:id="74"/>
    </w:p>
    <w:p w14:paraId="481F6B08" w14:textId="0C9D5E03" w:rsidR="005861F3" w:rsidRDefault="005861F3" w:rsidP="00C6745C">
      <w:pPr>
        <w:pStyle w:val="Heading2"/>
        <w:numPr>
          <w:ilvl w:val="6"/>
          <w:numId w:val="20"/>
        </w:numPr>
        <w:ind w:left="426" w:hanging="426"/>
      </w:pPr>
      <w:bookmarkStart w:id="75" w:name="_Toc109834350"/>
      <w:bookmarkStart w:id="76" w:name="_Toc114214433"/>
      <w:r>
        <w:t>Overview</w:t>
      </w:r>
      <w:bookmarkEnd w:id="75"/>
      <w:bookmarkEnd w:id="76"/>
    </w:p>
    <w:p w14:paraId="7859F269" w14:textId="5FBC93BE" w:rsidR="005861F3" w:rsidRDefault="005861F3" w:rsidP="005861F3">
      <w:r>
        <w:rPr>
          <w:rFonts w:cs="Calibri Light"/>
        </w:rPr>
        <w:t xml:space="preserve">Reporting, </w:t>
      </w:r>
      <w:r w:rsidRPr="0073245A">
        <w:rPr>
          <w:rFonts w:cs="Calibri Light"/>
        </w:rPr>
        <w:t xml:space="preserve">transparency </w:t>
      </w:r>
      <w:r>
        <w:rPr>
          <w:rFonts w:cs="Calibri Light"/>
        </w:rPr>
        <w:t>and consultation</w:t>
      </w:r>
      <w:r w:rsidRPr="0073245A">
        <w:rPr>
          <w:rFonts w:cs="Calibri Light"/>
        </w:rPr>
        <w:t xml:space="preserve"> arrangements for the ASIC IFM are intended to ensure </w:t>
      </w:r>
      <w:r>
        <w:rPr>
          <w:rFonts w:cs="Calibri Light"/>
        </w:rPr>
        <w:t xml:space="preserve">key </w:t>
      </w:r>
      <w:r w:rsidRPr="0073245A">
        <w:rPr>
          <w:rFonts w:cs="Calibri Light"/>
        </w:rPr>
        <w:t xml:space="preserve">information </w:t>
      </w:r>
      <w:r>
        <w:rPr>
          <w:rFonts w:cs="Calibri Light"/>
        </w:rPr>
        <w:t xml:space="preserve">is available </w:t>
      </w:r>
      <w:r w:rsidRPr="0073245A">
        <w:rPr>
          <w:rFonts w:cs="Calibri Light"/>
        </w:rPr>
        <w:t xml:space="preserve">to </w:t>
      </w:r>
      <w:r>
        <w:rPr>
          <w:rFonts w:cs="Calibri Light"/>
        </w:rPr>
        <w:t>stakeholders to enable an</w:t>
      </w:r>
      <w:r w:rsidRPr="0073245A">
        <w:rPr>
          <w:rFonts w:cs="Calibri Light"/>
        </w:rPr>
        <w:t xml:space="preserve"> appropriate level of scrutiny of ASIC’s activities, decisions and processes. </w:t>
      </w:r>
      <w:r w:rsidR="00244045" w:rsidRPr="00457660">
        <w:rPr>
          <w:rFonts w:cs="Calibri Light"/>
        </w:rPr>
        <w:t>However, it is important to ensure that transparency mechanisms are appropriately balanced with ASIC’s independence</w:t>
      </w:r>
      <w:r w:rsidR="00244045" w:rsidRPr="002C569E">
        <w:rPr>
          <w:rFonts w:cs="Calibri Light"/>
        </w:rPr>
        <w:t xml:space="preserve"> to</w:t>
      </w:r>
      <w:r w:rsidR="00244045" w:rsidRPr="00307E05">
        <w:rPr>
          <w:rFonts w:cs="Calibri Light"/>
        </w:rPr>
        <w:t xml:space="preserve"> </w:t>
      </w:r>
      <w:r w:rsidR="00244045" w:rsidRPr="0074612F">
        <w:rPr>
          <w:rFonts w:cs="Calibri Light"/>
        </w:rPr>
        <w:t>s</w:t>
      </w:r>
      <w:r w:rsidR="00244045" w:rsidRPr="009C2527">
        <w:rPr>
          <w:rFonts w:cs="Calibri Light"/>
        </w:rPr>
        <w:t>e</w:t>
      </w:r>
      <w:r w:rsidR="00244045" w:rsidRPr="00DC100D">
        <w:rPr>
          <w:rFonts w:cs="Calibri Light"/>
        </w:rPr>
        <w:t>t it</w:t>
      </w:r>
      <w:r w:rsidR="00244045" w:rsidRPr="00652E32">
        <w:rPr>
          <w:rFonts w:cs="Calibri Light"/>
        </w:rPr>
        <w:t>s</w:t>
      </w:r>
      <w:r w:rsidR="00244045" w:rsidRPr="00B82391">
        <w:rPr>
          <w:rFonts w:cs="Calibri Light"/>
        </w:rPr>
        <w:t xml:space="preserve"> </w:t>
      </w:r>
      <w:r w:rsidR="00244045" w:rsidRPr="00244045">
        <w:rPr>
          <w:rFonts w:cs="Calibri Light"/>
        </w:rPr>
        <w:t>regulatory priorities.</w:t>
      </w:r>
    </w:p>
    <w:p w14:paraId="2DB5A48D" w14:textId="35D612F0" w:rsidR="005861F3" w:rsidRDefault="00254813" w:rsidP="005861F3">
      <w:r>
        <w:t>L</w:t>
      </w:r>
      <w:r w:rsidR="005861F3">
        <w:t>egislation</w:t>
      </w:r>
      <w:r>
        <w:t xml:space="preserve"> (such</w:t>
      </w:r>
      <w:r w:rsidR="005861F3">
        <w:t xml:space="preserve"> as </w:t>
      </w:r>
      <w:r>
        <w:t xml:space="preserve">the </w:t>
      </w:r>
      <w:r w:rsidR="00E53F74" w:rsidRPr="004A19F1">
        <w:rPr>
          <w:i/>
          <w:iCs/>
        </w:rPr>
        <w:t>Public Governance, Performance and Accountability Act 2013</w:t>
      </w:r>
      <w:r w:rsidR="00AF385E">
        <w:rPr>
          <w:i/>
          <w:iCs/>
        </w:rPr>
        <w:t xml:space="preserve"> </w:t>
      </w:r>
      <w:r w:rsidR="00AF385E">
        <w:t>(PGPA Act)</w:t>
      </w:r>
      <w:r w:rsidR="00E53F74" w:rsidRPr="00E53F74">
        <w:t xml:space="preserve">, </w:t>
      </w:r>
      <w:r w:rsidR="00E53F74" w:rsidRPr="004A19F1">
        <w:rPr>
          <w:i/>
          <w:iCs/>
        </w:rPr>
        <w:t>Australian Securities and Investments Commission Act 2001</w:t>
      </w:r>
      <w:r w:rsidR="00E53F74" w:rsidRPr="00E53F74">
        <w:t xml:space="preserve"> </w:t>
      </w:r>
      <w:r w:rsidR="00E53F74">
        <w:t xml:space="preserve">and </w:t>
      </w:r>
      <w:r w:rsidRPr="00307B01">
        <w:rPr>
          <w:iCs/>
        </w:rPr>
        <w:t>Cost Recovery Levy Act</w:t>
      </w:r>
      <w:r w:rsidR="00B57BCC">
        <w:rPr>
          <w:iCs/>
        </w:rPr>
        <w:t>)</w:t>
      </w:r>
      <w:r w:rsidR="007B6AC8">
        <w:rPr>
          <w:iCs/>
        </w:rPr>
        <w:t>,</w:t>
      </w:r>
      <w:r w:rsidR="00FD1B49">
        <w:rPr>
          <w:iCs/>
        </w:rPr>
        <w:t xml:space="preserve"> as well as</w:t>
      </w:r>
      <w:r>
        <w:t xml:space="preserve"> the </w:t>
      </w:r>
      <w:r w:rsidR="00742CC5">
        <w:t>Australian Government Charging Framework</w:t>
      </w:r>
      <w:r w:rsidR="005861F3">
        <w:t xml:space="preserve"> require</w:t>
      </w:r>
      <w:r w:rsidR="00742CC5">
        <w:t>s</w:t>
      </w:r>
      <w:r w:rsidR="005861F3">
        <w:t xml:space="preserve"> ASIC to make available key information about its regulatory activities, regulatory costs and charges. </w:t>
      </w:r>
    </w:p>
    <w:p w14:paraId="04E34603" w14:textId="063D8CF8" w:rsidR="006E54B7" w:rsidRDefault="006E54B7" w:rsidP="005861F3">
      <w:r w:rsidRPr="006E54B7">
        <w:t>More broadly, ASIC is also subject to a range of external accountability and oversight mechanisms. The Parliamentary Joint Committee on Corporations and Financial Services has oversight of ASIC. ASIC also appears before other parliamentary committees and inquiries as required, including the Senate Standing Committee on Economics and the House of Representatives Standing Committee on Economics.</w:t>
      </w:r>
    </w:p>
    <w:p w14:paraId="2C76792F" w14:textId="63726401" w:rsidR="005861F3" w:rsidRDefault="005861F3" w:rsidP="005861F3">
      <w:r>
        <w:t xml:space="preserve">In relation to the IFM, ASIC’s current reporting, transparency and consultation </w:t>
      </w:r>
      <w:r w:rsidDel="00582BF2">
        <w:t xml:space="preserve">arrangements </w:t>
      </w:r>
      <w:r>
        <w:t>consist of:</w:t>
      </w:r>
    </w:p>
    <w:p w14:paraId="5813D03F" w14:textId="3FC19800" w:rsidR="005861F3" w:rsidRDefault="005861F3" w:rsidP="00C6745C">
      <w:pPr>
        <w:pStyle w:val="ListParagraph"/>
        <w:numPr>
          <w:ilvl w:val="0"/>
          <w:numId w:val="19"/>
        </w:numPr>
      </w:pPr>
      <w:r>
        <w:t xml:space="preserve">producing and consulting on an annual Cost Recovery Implementation Statement (CRIS) which outlines how the costs of ASIC’s regulatory activities will be recovered from industry; </w:t>
      </w:r>
    </w:p>
    <w:p w14:paraId="0B28E85E" w14:textId="139578EE" w:rsidR="005861F3" w:rsidRDefault="005861F3" w:rsidP="00C6745C">
      <w:pPr>
        <w:pStyle w:val="ListParagraph"/>
        <w:numPr>
          <w:ilvl w:val="0"/>
          <w:numId w:val="19"/>
        </w:numPr>
      </w:pPr>
      <w:r>
        <w:t xml:space="preserve">reporting on its expenditure for each regulated </w:t>
      </w:r>
      <w:r w:rsidR="00F33074">
        <w:t>sub</w:t>
      </w:r>
      <w:r w:rsidR="00F33074">
        <w:noBreakHyphen/>
        <w:t>sector</w:t>
      </w:r>
      <w:r>
        <w:t xml:space="preserve"> by regulatory activity via the CRIS, legislative instruments and an Annual Dashboard; </w:t>
      </w:r>
    </w:p>
    <w:p w14:paraId="3B670BB5" w14:textId="77777777" w:rsidR="005861F3" w:rsidRDefault="005861F3" w:rsidP="00C6745C">
      <w:pPr>
        <w:pStyle w:val="ListParagraph"/>
        <w:numPr>
          <w:ilvl w:val="0"/>
          <w:numId w:val="19"/>
        </w:numPr>
      </w:pPr>
      <w:r>
        <w:t>publishing an annual Corporate Plan which outlines ASIC’s priorities for future years; and</w:t>
      </w:r>
    </w:p>
    <w:p w14:paraId="7B38E303" w14:textId="77777777" w:rsidR="005861F3" w:rsidRDefault="005861F3" w:rsidP="00C6745C">
      <w:pPr>
        <w:pStyle w:val="ListParagraph"/>
        <w:numPr>
          <w:ilvl w:val="0"/>
          <w:numId w:val="19"/>
        </w:numPr>
      </w:pPr>
      <w:r>
        <w:t>publishing an Annual Report which outlines ASIC’s performance and financial statements each financial year.</w:t>
      </w:r>
    </w:p>
    <w:p w14:paraId="474B0BEE" w14:textId="290B7D4D" w:rsidR="00EF65ED" w:rsidRDefault="00EF65ED" w:rsidP="00B516AC">
      <w:r>
        <w:t xml:space="preserve">In addition to its Corporate Plan and Annual Report, ASIC uses a number of other mechanisms to provide information to stakeholders about its activities. This includes </w:t>
      </w:r>
      <w:r w:rsidR="00CD1A5F">
        <w:t>quarterly enforcement and regulatory updates.</w:t>
      </w:r>
    </w:p>
    <w:p w14:paraId="5069D623" w14:textId="3FC19800" w:rsidR="005861F3" w:rsidRDefault="0010146D" w:rsidP="00C6745C">
      <w:pPr>
        <w:pStyle w:val="Heading2"/>
        <w:numPr>
          <w:ilvl w:val="6"/>
          <w:numId w:val="20"/>
        </w:numPr>
        <w:ind w:left="426" w:hanging="426"/>
      </w:pPr>
      <w:bookmarkStart w:id="77" w:name="_Toc114214434"/>
      <w:r>
        <w:t xml:space="preserve">Key features of </w:t>
      </w:r>
      <w:r w:rsidR="00B62A36">
        <w:t>reporting, transparency and consul</w:t>
      </w:r>
      <w:r w:rsidR="00D610FD">
        <w:t>t</w:t>
      </w:r>
      <w:r w:rsidR="00B62A36">
        <w:t>ation</w:t>
      </w:r>
      <w:bookmarkEnd w:id="77"/>
    </w:p>
    <w:p w14:paraId="49936696" w14:textId="0D26BCCF" w:rsidR="0004112D" w:rsidRDefault="0004112D" w:rsidP="00FA219B">
      <w:pPr>
        <w:pStyle w:val="Heading3"/>
      </w:pPr>
      <w:bookmarkStart w:id="78" w:name="_Toc109834352"/>
      <w:bookmarkStart w:id="79" w:name="_Toc114214435"/>
      <w:r>
        <w:t xml:space="preserve">Cost </w:t>
      </w:r>
      <w:r w:rsidR="00046109">
        <w:t>R</w:t>
      </w:r>
      <w:r>
        <w:t xml:space="preserve">ecovery </w:t>
      </w:r>
      <w:r w:rsidR="00046109">
        <w:t>I</w:t>
      </w:r>
      <w:r>
        <w:t xml:space="preserve">mplementation </w:t>
      </w:r>
      <w:r w:rsidR="00046109">
        <w:t>S</w:t>
      </w:r>
      <w:r>
        <w:t>tatement (CRIS)</w:t>
      </w:r>
      <w:bookmarkEnd w:id="78"/>
      <w:bookmarkEnd w:id="79"/>
    </w:p>
    <w:p w14:paraId="58562260" w14:textId="70A15DCC" w:rsidR="00A9323E" w:rsidRPr="00B516AC" w:rsidRDefault="00C47066" w:rsidP="00B516AC">
      <w:r w:rsidRPr="00B516AC">
        <w:t>The C</w:t>
      </w:r>
      <w:r w:rsidR="006F181D">
        <w:t>harging Framework</w:t>
      </w:r>
      <w:r w:rsidRPr="00B516AC">
        <w:t xml:space="preserve"> requires</w:t>
      </w:r>
      <w:r w:rsidRPr="007B32D8">
        <w:t xml:space="preserve"> </w:t>
      </w:r>
      <w:r w:rsidR="00755E47" w:rsidRPr="00825FB4">
        <w:t>t</w:t>
      </w:r>
      <w:r w:rsidR="00755E47" w:rsidRPr="00D53C00">
        <w:t>hat</w:t>
      </w:r>
      <w:r w:rsidR="00755E47" w:rsidRPr="00C377BF">
        <w:t xml:space="preserve"> c</w:t>
      </w:r>
      <w:r w:rsidR="00755E47" w:rsidRPr="00CF6B8D">
        <w:t>o</w:t>
      </w:r>
      <w:r w:rsidR="00755E47" w:rsidRPr="00F5280C">
        <w:t>s</w:t>
      </w:r>
      <w:r w:rsidR="00755E47" w:rsidRPr="007C1F63">
        <w:t>t</w:t>
      </w:r>
      <w:r w:rsidR="00755E47" w:rsidRPr="00FE5A26">
        <w:t xml:space="preserve"> </w:t>
      </w:r>
      <w:r w:rsidR="00755E47" w:rsidRPr="00767C5A">
        <w:t>r</w:t>
      </w:r>
      <w:r w:rsidR="00755E47" w:rsidRPr="00622E95">
        <w:t>e</w:t>
      </w:r>
      <w:r w:rsidR="00755E47" w:rsidRPr="00744D53">
        <w:t>c</w:t>
      </w:r>
      <w:r w:rsidR="00755E47" w:rsidRPr="00833886">
        <w:t>o</w:t>
      </w:r>
      <w:r w:rsidR="00755E47" w:rsidRPr="008D54AC">
        <w:t>v</w:t>
      </w:r>
      <w:r w:rsidR="00755E47" w:rsidRPr="009A295B">
        <w:t>e</w:t>
      </w:r>
      <w:r w:rsidR="00755E47" w:rsidRPr="00990007">
        <w:t>r</w:t>
      </w:r>
      <w:r w:rsidR="00755E47" w:rsidRPr="005D2F98">
        <w:t>e</w:t>
      </w:r>
      <w:r w:rsidR="00755E47" w:rsidRPr="008B51C9">
        <w:t xml:space="preserve">d </w:t>
      </w:r>
      <w:r w:rsidR="00BD609A">
        <w:t xml:space="preserve">regulatory </w:t>
      </w:r>
      <w:r w:rsidR="00755E47" w:rsidRPr="00585E6A">
        <w:t>a</w:t>
      </w:r>
      <w:r w:rsidR="00755E47" w:rsidRPr="00A46403">
        <w:t>c</w:t>
      </w:r>
      <w:r w:rsidR="00755E47" w:rsidRPr="00AA6F21">
        <w:t>t</w:t>
      </w:r>
      <w:r w:rsidR="00755E47" w:rsidRPr="00BD3743">
        <w:t>i</w:t>
      </w:r>
      <w:r w:rsidR="00755E47" w:rsidRPr="00E4721E">
        <w:t>v</w:t>
      </w:r>
      <w:r w:rsidR="00755E47" w:rsidRPr="00ED0B5A">
        <w:t>ities are documented in a CRIS</w:t>
      </w:r>
      <w:r w:rsidRPr="00210974">
        <w:t xml:space="preserve"> </w:t>
      </w:r>
      <w:r w:rsidRPr="00B516AC">
        <w:t>before cost recovery can commence.</w:t>
      </w:r>
      <w:r w:rsidRPr="00B516AC">
        <w:rPr>
          <w:vertAlign w:val="superscript"/>
        </w:rPr>
        <w:footnoteReference w:id="17"/>
      </w:r>
      <w:r w:rsidRPr="00B516AC">
        <w:t xml:space="preserve"> </w:t>
      </w:r>
      <w:r w:rsidR="000057EF" w:rsidRPr="00B516AC">
        <w:t>This require</w:t>
      </w:r>
      <w:r w:rsidR="000057EF" w:rsidRPr="007B32D8">
        <w:t>m</w:t>
      </w:r>
      <w:r w:rsidR="000057EF" w:rsidRPr="00825FB4">
        <w:t>e</w:t>
      </w:r>
      <w:r w:rsidR="000057EF" w:rsidRPr="00D53C00">
        <w:t>n</w:t>
      </w:r>
      <w:r w:rsidR="000057EF" w:rsidRPr="00C377BF">
        <w:t xml:space="preserve">t </w:t>
      </w:r>
      <w:r w:rsidR="000057EF" w:rsidRPr="00CF6B8D">
        <w:t>i</w:t>
      </w:r>
      <w:r w:rsidR="000057EF" w:rsidRPr="00F5280C">
        <w:t>s</w:t>
      </w:r>
      <w:r w:rsidR="000057EF" w:rsidRPr="007C1F63">
        <w:t xml:space="preserve"> </w:t>
      </w:r>
      <w:r w:rsidR="000057EF" w:rsidRPr="00FE5A26">
        <w:t>p</w:t>
      </w:r>
      <w:r w:rsidR="000057EF" w:rsidRPr="00767C5A">
        <w:t>u</w:t>
      </w:r>
      <w:r w:rsidR="000057EF" w:rsidRPr="00622E95">
        <w:t>t</w:t>
      </w:r>
      <w:r w:rsidR="000057EF" w:rsidRPr="00744D53">
        <w:t xml:space="preserve"> </w:t>
      </w:r>
      <w:r w:rsidR="000057EF" w:rsidRPr="00833886">
        <w:t>i</w:t>
      </w:r>
      <w:r w:rsidR="000057EF" w:rsidRPr="008D54AC">
        <w:t>n</w:t>
      </w:r>
      <w:r w:rsidR="000057EF" w:rsidRPr="009A295B">
        <w:t>t</w:t>
      </w:r>
      <w:r w:rsidR="000057EF" w:rsidRPr="00990007">
        <w:t>o</w:t>
      </w:r>
      <w:r w:rsidR="000057EF" w:rsidRPr="005D2F98">
        <w:t xml:space="preserve"> </w:t>
      </w:r>
      <w:r w:rsidR="000057EF" w:rsidRPr="008B51C9">
        <w:t>pr</w:t>
      </w:r>
      <w:r w:rsidR="000057EF" w:rsidRPr="00585E6A">
        <w:t>a</w:t>
      </w:r>
      <w:r w:rsidR="000057EF" w:rsidRPr="00A46403">
        <w:t>c</w:t>
      </w:r>
      <w:r w:rsidR="000057EF" w:rsidRPr="00AA6F21">
        <w:t>t</w:t>
      </w:r>
      <w:r w:rsidR="000057EF" w:rsidRPr="00BD3743">
        <w:t>i</w:t>
      </w:r>
      <w:r w:rsidR="000057EF" w:rsidRPr="00E4721E">
        <w:t>c</w:t>
      </w:r>
      <w:r w:rsidR="000057EF" w:rsidRPr="00ED0B5A">
        <w:t>e through ASIC consulting on and publishing a CRIS on an annual basis.</w:t>
      </w:r>
      <w:r w:rsidR="002A47D3" w:rsidRPr="00B11922">
        <w:t xml:space="preserve"> </w:t>
      </w:r>
      <w:r w:rsidR="00B516AC" w:rsidRPr="00B516AC">
        <w:t xml:space="preserve">The </w:t>
      </w:r>
      <w:r w:rsidR="00F44830">
        <w:t>Charging Framework</w:t>
      </w:r>
      <w:r w:rsidR="00F44830" w:rsidRPr="00B516AC">
        <w:t xml:space="preserve"> </w:t>
      </w:r>
      <w:r w:rsidR="00B516AC" w:rsidRPr="00B516AC">
        <w:t>set</w:t>
      </w:r>
      <w:r w:rsidR="00780DAB">
        <w:t>s</w:t>
      </w:r>
      <w:r w:rsidR="00B516AC" w:rsidRPr="00B516AC">
        <w:t xml:space="preserve"> out the type of information that must be included in a CRIS and stipulate</w:t>
      </w:r>
      <w:r w:rsidR="007C5011">
        <w:t>s</w:t>
      </w:r>
      <w:r w:rsidR="00B516AC" w:rsidRPr="00B516AC">
        <w:t xml:space="preserve"> that the level of information in the CRIS be proportional to the complexity, materiality and sensitivity of the activity. </w:t>
      </w:r>
    </w:p>
    <w:p w14:paraId="20A6539B" w14:textId="7998486D" w:rsidR="00C47066" w:rsidRPr="00B516AC" w:rsidRDefault="00C47066" w:rsidP="00B516AC">
      <w:r w:rsidRPr="00B516AC">
        <w:t xml:space="preserve">The CRIS outlines ASIC's </w:t>
      </w:r>
      <w:r w:rsidR="00215FBB">
        <w:t>estimated</w:t>
      </w:r>
      <w:r w:rsidRPr="00B516AC">
        <w:t xml:space="preserve"> regulatory</w:t>
      </w:r>
      <w:r w:rsidRPr="007B32D8">
        <w:rPr>
          <w:rFonts w:cs="Calibri Light"/>
        </w:rPr>
        <w:t xml:space="preserve"> costs and activities by sub</w:t>
      </w:r>
      <w:r w:rsidR="007C5011">
        <w:rPr>
          <w:rFonts w:cs="Calibri Light"/>
        </w:rPr>
        <w:t>-</w:t>
      </w:r>
      <w:r w:rsidRPr="00D53C00">
        <w:rPr>
          <w:rFonts w:cs="Calibri Light"/>
        </w:rPr>
        <w:t>sector for each financial year and provides details on how ASIC allocated its costs in the previous year. The CRIS is the key process through which industry can engage with ASIC on th</w:t>
      </w:r>
      <w:r w:rsidRPr="00C377BF">
        <w:rPr>
          <w:rFonts w:cs="Calibri Light"/>
        </w:rPr>
        <w:t xml:space="preserve">e IFM. Industry has an opportunity to comment on </w:t>
      </w:r>
      <w:r w:rsidRPr="00C377BF">
        <w:rPr>
          <w:rFonts w:cs="Calibri Light"/>
        </w:rPr>
        <w:lastRenderedPageBreak/>
        <w:t>proposed charges in the draft CRIS and ASIC must summarise and respond to the issues</w:t>
      </w:r>
      <w:r w:rsidR="00EE451F">
        <w:rPr>
          <w:rFonts w:cs="Calibri Light"/>
        </w:rPr>
        <w:t xml:space="preserve"> raised</w:t>
      </w:r>
      <w:r w:rsidRPr="00C377BF">
        <w:rPr>
          <w:rFonts w:cs="Calibri Light"/>
        </w:rPr>
        <w:t xml:space="preserve"> in the final published CRIS. </w:t>
      </w:r>
    </w:p>
    <w:p w14:paraId="2C715913" w14:textId="6F97DAD3" w:rsidR="00C47066" w:rsidRPr="00B516AC" w:rsidRDefault="00C47066" w:rsidP="00B516AC">
      <w:r w:rsidRPr="00B516AC">
        <w:t>A</w:t>
      </w:r>
      <w:r w:rsidRPr="00825FB4">
        <w:rPr>
          <w:rFonts w:cs="Calibri Light"/>
        </w:rPr>
        <w:t>n indicative</w:t>
      </w:r>
      <w:r w:rsidRPr="00D53C00">
        <w:rPr>
          <w:rFonts w:cs="Calibri Light"/>
        </w:rPr>
        <w:t xml:space="preserve"> timeline of the CRIS process relating to the IFM is at </w:t>
      </w:r>
      <w:r w:rsidR="00700E14">
        <w:rPr>
          <w:rFonts w:cs="Calibri Light"/>
          <w:bCs/>
        </w:rPr>
        <w:t>T</w:t>
      </w:r>
      <w:r w:rsidR="00E07A71" w:rsidRPr="00F14742">
        <w:rPr>
          <w:rFonts w:cs="Calibri Light"/>
          <w:bCs/>
        </w:rPr>
        <w:t>able 5</w:t>
      </w:r>
      <w:r w:rsidRPr="00C377BF">
        <w:rPr>
          <w:rFonts w:cs="Calibri Light"/>
        </w:rPr>
        <w:t>. The CRIS proc</w:t>
      </w:r>
      <w:r w:rsidRPr="00CF6B8D">
        <w:rPr>
          <w:rFonts w:cs="Calibri Light"/>
        </w:rPr>
        <w:t xml:space="preserve">ess commences when ASIC publishes estimated levies via a draft CRIS to give regulated entities an indication of what levy costs to expect. The estimated levies each year </w:t>
      </w:r>
      <w:r w:rsidR="002A29FD">
        <w:rPr>
          <w:rFonts w:cs="Calibri Light"/>
        </w:rPr>
        <w:t>are</w:t>
      </w:r>
      <w:r w:rsidRPr="007B32D8">
        <w:rPr>
          <w:rFonts w:cs="Calibri Light"/>
        </w:rPr>
        <w:t xml:space="preserve"> ASIC’s</w:t>
      </w:r>
      <w:r w:rsidRPr="00825FB4">
        <w:rPr>
          <w:rFonts w:cs="Calibri Light"/>
        </w:rPr>
        <w:t xml:space="preserve"> best estimate based on </w:t>
      </w:r>
      <w:r w:rsidRPr="00D53C00">
        <w:rPr>
          <w:rFonts w:cs="Calibri Light"/>
        </w:rPr>
        <w:t xml:space="preserve">available information. </w:t>
      </w:r>
      <w:r w:rsidR="00AE75C0">
        <w:rPr>
          <w:rFonts w:cs="Calibri Light"/>
        </w:rPr>
        <w:t xml:space="preserve">Entities </w:t>
      </w:r>
      <w:r w:rsidRPr="00D53C00">
        <w:rPr>
          <w:rFonts w:cs="Calibri Light"/>
        </w:rPr>
        <w:t>can use the data</w:t>
      </w:r>
      <w:r w:rsidRPr="00C377BF">
        <w:rPr>
          <w:rFonts w:cs="Calibri Light"/>
        </w:rPr>
        <w:t xml:space="preserve"> in the draft CRIS to estimate their invoice for </w:t>
      </w:r>
      <w:r w:rsidR="00C21C89">
        <w:rPr>
          <w:rFonts w:cs="Calibri Light"/>
        </w:rPr>
        <w:t>that</w:t>
      </w:r>
      <w:r w:rsidR="00C21C89" w:rsidRPr="00C377BF">
        <w:rPr>
          <w:rFonts w:cs="Calibri Light"/>
        </w:rPr>
        <w:t xml:space="preserve"> </w:t>
      </w:r>
      <w:r w:rsidRPr="00C377BF">
        <w:rPr>
          <w:rFonts w:cs="Calibri Light"/>
        </w:rPr>
        <w:t>year, noting that the figures remain an estimate and are likely to change.</w:t>
      </w:r>
    </w:p>
    <w:p w14:paraId="5812075B" w14:textId="1D4BDA99" w:rsidR="00C47066" w:rsidRDefault="00C47066" w:rsidP="00B516AC">
      <w:pPr>
        <w:pStyle w:val="NoSpacing"/>
      </w:pPr>
      <w:r w:rsidRPr="005D38A2">
        <w:rPr>
          <w:rFonts w:ascii="Calibri Light" w:hAnsi="Calibri Light" w:cs="Calibri Light"/>
        </w:rPr>
        <w:t>A</w:t>
      </w:r>
      <w:r w:rsidRPr="00F5280C">
        <w:rPr>
          <w:rFonts w:cs="Calibri Light"/>
        </w:rPr>
        <w:t xml:space="preserve"> </w:t>
      </w:r>
      <w:r w:rsidRPr="00ED0B5A">
        <w:rPr>
          <w:rFonts w:ascii="Calibri Light" w:hAnsi="Calibri Light" w:cs="Calibri Light"/>
        </w:rPr>
        <w:t>final CRIS is published that summarises the stakeholder feedback ASIC received during the consultation process and ASIC’s response to stakeholder f</w:t>
      </w:r>
      <w:r w:rsidRPr="00FA219B">
        <w:rPr>
          <w:rFonts w:ascii="Calibri Light" w:hAnsi="Calibri Light" w:cs="Calibri Light"/>
        </w:rPr>
        <w:t>eedback. The final CRIS also include</w:t>
      </w:r>
      <w:r w:rsidR="00A9637F">
        <w:rPr>
          <w:rFonts w:ascii="Calibri Light" w:hAnsi="Calibri Light" w:cs="Calibri Light"/>
        </w:rPr>
        <w:t>s</w:t>
      </w:r>
      <w:r w:rsidRPr="00FA219B">
        <w:rPr>
          <w:rFonts w:ascii="Calibri Light" w:hAnsi="Calibri Light" w:cs="Calibri Light"/>
        </w:rPr>
        <w:t xml:space="preserve"> ASIC’s annual dashboard report, which sets out information about ASIC’s regulatory costs for the previous financial year.</w:t>
      </w:r>
      <w:r w:rsidRPr="00C47066">
        <w:rPr>
          <w:rFonts w:cs="Calibri Light"/>
        </w:rPr>
        <w:t xml:space="preserve"> </w:t>
      </w:r>
    </w:p>
    <w:p w14:paraId="611E568D" w14:textId="319AED63" w:rsidR="005861F3" w:rsidRPr="0040085B" w:rsidRDefault="005861F3" w:rsidP="005861F3">
      <w:pPr>
        <w:pStyle w:val="NoSpacing"/>
        <w:spacing w:before="120" w:after="120"/>
        <w:rPr>
          <w:rFonts w:ascii="Calibri Light" w:hAnsi="Calibri Light" w:cs="Calibri Light"/>
          <w:b/>
        </w:rPr>
      </w:pPr>
      <w:r w:rsidRPr="0040085B">
        <w:rPr>
          <w:rFonts w:ascii="Calibri Light" w:hAnsi="Calibri Light" w:cs="Calibri Light"/>
          <w:b/>
        </w:rPr>
        <w:t xml:space="preserve">Table </w:t>
      </w:r>
      <w:r w:rsidR="00E07A71">
        <w:rPr>
          <w:rFonts w:ascii="Calibri Light" w:hAnsi="Calibri Light" w:cs="Calibri Light"/>
          <w:b/>
        </w:rPr>
        <w:t>5</w:t>
      </w:r>
      <w:r w:rsidRPr="0040085B">
        <w:rPr>
          <w:rFonts w:ascii="Calibri Light" w:hAnsi="Calibri Light" w:cs="Calibri Light"/>
          <w:b/>
        </w:rPr>
        <w:t>: Indicative timeline of CRIS and levies process for 2021-22</w:t>
      </w:r>
    </w:p>
    <w:tbl>
      <w:tblPr>
        <w:tblStyle w:val="ListTable3-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95"/>
      </w:tblGrid>
      <w:tr w:rsidR="005861F3" w:rsidRPr="00E43044" w14:paraId="31C4A6E6" w14:textId="77777777" w:rsidTr="00CA4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9F9F9F" w:themeFill="text2" w:themeFillTint="99"/>
          </w:tcPr>
          <w:p w14:paraId="63EB47D2" w14:textId="77777777" w:rsidR="005861F3" w:rsidRPr="00F26CB8" w:rsidRDefault="005861F3" w:rsidP="00F26CB8">
            <w:pPr>
              <w:jc w:val="center"/>
              <w:rPr>
                <w:color w:val="auto"/>
              </w:rPr>
            </w:pPr>
            <w:r w:rsidRPr="00F26CB8">
              <w:rPr>
                <w:color w:val="auto"/>
              </w:rPr>
              <w:t>Key event</w:t>
            </w:r>
          </w:p>
        </w:tc>
        <w:tc>
          <w:tcPr>
            <w:tcW w:w="3395" w:type="dxa"/>
            <w:shd w:val="clear" w:color="auto" w:fill="9F9F9F" w:themeFill="text2" w:themeFillTint="99"/>
          </w:tcPr>
          <w:p w14:paraId="542F3302" w14:textId="2EAAFB85" w:rsidR="005861F3" w:rsidRPr="00F26CB8" w:rsidRDefault="000D0095" w:rsidP="00F26CB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Indicative </w:t>
            </w:r>
            <w:r w:rsidR="005861F3" w:rsidRPr="00F26CB8">
              <w:rPr>
                <w:color w:val="auto"/>
              </w:rPr>
              <w:t>Date</w:t>
            </w:r>
          </w:p>
        </w:tc>
      </w:tr>
      <w:tr w:rsidR="005861F3" w14:paraId="2B990563" w14:textId="77777777" w:rsidTr="00F26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04390DB" w14:textId="77777777" w:rsidR="005861F3" w:rsidRPr="001F1164" w:rsidRDefault="005861F3" w:rsidP="0006718A">
            <w:r>
              <w:rPr>
                <w:b w:val="0"/>
                <w:bCs w:val="0"/>
              </w:rPr>
              <w:t xml:space="preserve">ASIC publishes the draft CRIS for stakeholder feedback, which includes estimated regulatory costs for each sub sector itemised by each of ASIC’s regulatory activities </w:t>
            </w:r>
          </w:p>
        </w:tc>
        <w:tc>
          <w:tcPr>
            <w:tcW w:w="3395" w:type="dxa"/>
          </w:tcPr>
          <w:p w14:paraId="1B191074" w14:textId="77777777" w:rsidR="005861F3" w:rsidRPr="00E43044" w:rsidRDefault="005861F3" w:rsidP="0006718A">
            <w:pPr>
              <w:cnfStyle w:val="000000100000" w:firstRow="0" w:lastRow="0" w:firstColumn="0" w:lastColumn="0" w:oddVBand="0" w:evenVBand="0" w:oddHBand="1" w:evenHBand="0" w:firstRowFirstColumn="0" w:firstRowLastColumn="0" w:lastRowFirstColumn="0" w:lastRowLastColumn="0"/>
            </w:pPr>
            <w:r>
              <w:t>June</w:t>
            </w:r>
            <w:r w:rsidRPr="00E43044">
              <w:t xml:space="preserve"> 202</w:t>
            </w:r>
            <w:r>
              <w:t>2</w:t>
            </w:r>
          </w:p>
        </w:tc>
      </w:tr>
      <w:tr w:rsidR="005861F3" w14:paraId="432BFDA9" w14:textId="77777777" w:rsidTr="00F26CB8">
        <w:tc>
          <w:tcPr>
            <w:cnfStyle w:val="001000000000" w:firstRow="0" w:lastRow="0" w:firstColumn="1" w:lastColumn="0" w:oddVBand="0" w:evenVBand="0" w:oddHBand="0" w:evenHBand="0" w:firstRowFirstColumn="0" w:firstRowLastColumn="0" w:lastRowFirstColumn="0" w:lastRowLastColumn="0"/>
            <w:tcW w:w="5665" w:type="dxa"/>
          </w:tcPr>
          <w:p w14:paraId="2870793D" w14:textId="77777777" w:rsidR="005861F3" w:rsidRDefault="005861F3" w:rsidP="0006718A">
            <w:pPr>
              <w:rPr>
                <w:b w:val="0"/>
                <w:bCs w:val="0"/>
              </w:rPr>
            </w:pPr>
            <w:r>
              <w:rPr>
                <w:b w:val="0"/>
                <w:bCs w:val="0"/>
              </w:rPr>
              <w:t xml:space="preserve">ASIC’s portal opens for entities to enter their 2021-22 annual returns, which includes their business metrics. </w:t>
            </w:r>
          </w:p>
        </w:tc>
        <w:tc>
          <w:tcPr>
            <w:tcW w:w="3395" w:type="dxa"/>
          </w:tcPr>
          <w:p w14:paraId="7DE7DD91" w14:textId="77777777" w:rsidR="005861F3" w:rsidRPr="00E43044" w:rsidRDefault="005861F3" w:rsidP="0006718A">
            <w:pPr>
              <w:cnfStyle w:val="000000000000" w:firstRow="0" w:lastRow="0" w:firstColumn="0" w:lastColumn="0" w:oddVBand="0" w:evenVBand="0" w:oddHBand="0" w:evenHBand="0" w:firstRowFirstColumn="0" w:firstRowLastColumn="0" w:lastRowFirstColumn="0" w:lastRowLastColumn="0"/>
            </w:pPr>
            <w:r>
              <w:t>July – September 2022</w:t>
            </w:r>
          </w:p>
        </w:tc>
      </w:tr>
      <w:tr w:rsidR="005861F3" w14:paraId="0B4D2CC4" w14:textId="77777777" w:rsidTr="00F26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B4B609D" w14:textId="31BF0C73" w:rsidR="005861F3" w:rsidRDefault="005861F3" w:rsidP="0006718A">
            <w:pPr>
              <w:rPr>
                <w:b w:val="0"/>
                <w:bCs w:val="0"/>
              </w:rPr>
            </w:pPr>
            <w:r>
              <w:rPr>
                <w:b w:val="0"/>
                <w:bCs w:val="0"/>
              </w:rPr>
              <w:t xml:space="preserve">ASIC publishes the final CRIS for 2020-21 which summarises stakeholder feedback on the draft CRIS. The levy amounts included remain unchanged from the draft CRIS and are therefore still only estimates. </w:t>
            </w:r>
          </w:p>
        </w:tc>
        <w:tc>
          <w:tcPr>
            <w:tcW w:w="3395" w:type="dxa"/>
          </w:tcPr>
          <w:p w14:paraId="35C6162A" w14:textId="2FB2C445" w:rsidR="005861F3" w:rsidRPr="00E43044" w:rsidRDefault="005861F3" w:rsidP="0006718A">
            <w:pPr>
              <w:cnfStyle w:val="000000100000" w:firstRow="0" w:lastRow="0" w:firstColumn="0" w:lastColumn="0" w:oddVBand="0" w:evenVBand="0" w:oddHBand="1" w:evenHBand="0" w:firstRowFirstColumn="0" w:firstRowLastColumn="0" w:lastRowFirstColumn="0" w:lastRowLastColumn="0"/>
            </w:pPr>
            <w:r>
              <w:t>September 2022</w:t>
            </w:r>
          </w:p>
        </w:tc>
      </w:tr>
      <w:tr w:rsidR="005861F3" w14:paraId="1529DD40" w14:textId="77777777" w:rsidTr="00F26CB8">
        <w:tc>
          <w:tcPr>
            <w:cnfStyle w:val="001000000000" w:firstRow="0" w:lastRow="0" w:firstColumn="1" w:lastColumn="0" w:oddVBand="0" w:evenVBand="0" w:oddHBand="0" w:evenHBand="0" w:firstRowFirstColumn="0" w:firstRowLastColumn="0" w:lastRowFirstColumn="0" w:lastRowLastColumn="0"/>
            <w:tcW w:w="5665" w:type="dxa"/>
          </w:tcPr>
          <w:p w14:paraId="2ABB1713" w14:textId="77777777" w:rsidR="005861F3" w:rsidRDefault="005861F3" w:rsidP="0006718A">
            <w:pPr>
              <w:rPr>
                <w:b w:val="0"/>
                <w:bCs w:val="0"/>
              </w:rPr>
            </w:pPr>
            <w:r>
              <w:rPr>
                <w:b w:val="0"/>
                <w:bCs w:val="0"/>
              </w:rPr>
              <w:t>ASIC makes legislative instruments with business activity details and final regulatory costs, and publishes annual dashboard report.</w:t>
            </w:r>
          </w:p>
        </w:tc>
        <w:tc>
          <w:tcPr>
            <w:tcW w:w="3395" w:type="dxa"/>
          </w:tcPr>
          <w:p w14:paraId="6670EC65" w14:textId="77777777" w:rsidR="005861F3" w:rsidRPr="00E43044" w:rsidRDefault="005861F3" w:rsidP="0006718A">
            <w:pPr>
              <w:cnfStyle w:val="000000000000" w:firstRow="0" w:lastRow="0" w:firstColumn="0" w:lastColumn="0" w:oddVBand="0" w:evenVBand="0" w:oddHBand="0" w:evenHBand="0" w:firstRowFirstColumn="0" w:firstRowLastColumn="0" w:lastRowFirstColumn="0" w:lastRowLastColumn="0"/>
            </w:pPr>
            <w:r>
              <w:t>December 2022</w:t>
            </w:r>
          </w:p>
        </w:tc>
      </w:tr>
      <w:tr w:rsidR="005861F3" w14:paraId="2051999E" w14:textId="77777777" w:rsidTr="00F26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2198BB6" w14:textId="77777777" w:rsidR="005861F3" w:rsidRDefault="005861F3" w:rsidP="0006718A">
            <w:pPr>
              <w:rPr>
                <w:b w:val="0"/>
                <w:bCs w:val="0"/>
              </w:rPr>
            </w:pPr>
            <w:r>
              <w:rPr>
                <w:b w:val="0"/>
                <w:bCs w:val="0"/>
              </w:rPr>
              <w:t xml:space="preserve">ASIC sends invoices to entities for 2021-22 levies. </w:t>
            </w:r>
          </w:p>
        </w:tc>
        <w:tc>
          <w:tcPr>
            <w:tcW w:w="3395" w:type="dxa"/>
          </w:tcPr>
          <w:p w14:paraId="29118615" w14:textId="77777777" w:rsidR="005861F3" w:rsidRPr="00E43044" w:rsidRDefault="005861F3" w:rsidP="0006718A">
            <w:pPr>
              <w:cnfStyle w:val="000000100000" w:firstRow="0" w:lastRow="0" w:firstColumn="0" w:lastColumn="0" w:oddVBand="0" w:evenVBand="0" w:oddHBand="1" w:evenHBand="0" w:firstRowFirstColumn="0" w:firstRowLastColumn="0" w:lastRowFirstColumn="0" w:lastRowLastColumn="0"/>
            </w:pPr>
            <w:r>
              <w:t>January – March 2023</w:t>
            </w:r>
          </w:p>
        </w:tc>
      </w:tr>
    </w:tbl>
    <w:p w14:paraId="564350BA" w14:textId="018C5F9D" w:rsidR="005861F3" w:rsidRDefault="005861F3" w:rsidP="005861F3">
      <w:pPr>
        <w:pStyle w:val="Heading3"/>
      </w:pPr>
      <w:bookmarkStart w:id="80" w:name="_Toc114214436"/>
      <w:bookmarkStart w:id="81" w:name="_Toc109834356"/>
      <w:r>
        <w:t>Corporate Plan</w:t>
      </w:r>
      <w:bookmarkEnd w:id="80"/>
    </w:p>
    <w:p w14:paraId="2E843842" w14:textId="77777777" w:rsidR="007B1286" w:rsidRDefault="005861F3" w:rsidP="005861F3">
      <w:pPr>
        <w:rPr>
          <w:rFonts w:cs="Calibri"/>
        </w:rPr>
      </w:pPr>
      <w:r>
        <w:rPr>
          <w:rFonts w:cs="Calibri"/>
        </w:rPr>
        <w:t xml:space="preserve">ASIC is required (under the PGPA Act) to publish </w:t>
      </w:r>
      <w:r w:rsidRPr="00460D48">
        <w:rPr>
          <w:rFonts w:cs="Calibri"/>
        </w:rPr>
        <w:t>a Corporate Plan</w:t>
      </w:r>
      <w:r>
        <w:rPr>
          <w:rFonts w:cs="Calibri"/>
        </w:rPr>
        <w:t xml:space="preserve">, which sets out </w:t>
      </w:r>
      <w:r w:rsidR="00027C17">
        <w:rPr>
          <w:rFonts w:cs="Calibri"/>
        </w:rPr>
        <w:t xml:space="preserve">its </w:t>
      </w:r>
      <w:r>
        <w:rPr>
          <w:rFonts w:cs="Calibri"/>
        </w:rPr>
        <w:t xml:space="preserve">strategic planning framework, priorities and actions for future years. This strategic planning process supports ASIC in planning its regulatory action and allocating regulatory costs. Of </w:t>
      </w:r>
      <w:r w:rsidR="00027C17">
        <w:rPr>
          <w:rFonts w:cs="Calibri"/>
        </w:rPr>
        <w:t xml:space="preserve">particular </w:t>
      </w:r>
      <w:r>
        <w:rPr>
          <w:rFonts w:cs="Calibri"/>
        </w:rPr>
        <w:t xml:space="preserve">relevance to the IFM, the Corporate Plan provides </w:t>
      </w:r>
      <w:r w:rsidR="009D3862">
        <w:rPr>
          <w:rFonts w:cs="Calibri"/>
        </w:rPr>
        <w:t>information on</w:t>
      </w:r>
      <w:r>
        <w:rPr>
          <w:rFonts w:cs="Calibri"/>
        </w:rPr>
        <w:t xml:space="preserve"> ASIC’s strategic priorities which may assist industry in </w:t>
      </w:r>
      <w:r w:rsidR="009D3862">
        <w:rPr>
          <w:rFonts w:cs="Calibri"/>
        </w:rPr>
        <w:t xml:space="preserve">understanding </w:t>
      </w:r>
      <w:r>
        <w:rPr>
          <w:rFonts w:cs="Calibri"/>
        </w:rPr>
        <w:t xml:space="preserve">ASIC’s </w:t>
      </w:r>
      <w:r w:rsidR="00407D47">
        <w:rPr>
          <w:rFonts w:cs="Calibri"/>
        </w:rPr>
        <w:t xml:space="preserve">areas of focus and </w:t>
      </w:r>
      <w:r>
        <w:rPr>
          <w:rFonts w:cs="Calibri"/>
        </w:rPr>
        <w:t>resource allocation, and therefore where costs may be recovered from industry.</w:t>
      </w:r>
      <w:r w:rsidR="009D3862">
        <w:rPr>
          <w:rFonts w:cs="Calibri"/>
        </w:rPr>
        <w:t xml:space="preserve"> </w:t>
      </w:r>
    </w:p>
    <w:p w14:paraId="2A595C96" w14:textId="099E9A11" w:rsidR="003C1154" w:rsidRDefault="003C1154" w:rsidP="005861F3">
      <w:pPr>
        <w:rPr>
          <w:rFonts w:cs="Calibri"/>
        </w:rPr>
      </w:pPr>
      <w:r w:rsidRPr="003C1154">
        <w:rPr>
          <w:rFonts w:cs="Calibri"/>
        </w:rPr>
        <w:t xml:space="preserve">As part of ASIC’s strategic planning process, ASIC consults with </w:t>
      </w:r>
      <w:r w:rsidR="00A34E7B">
        <w:rPr>
          <w:rFonts w:cs="Calibri"/>
        </w:rPr>
        <w:t>the</w:t>
      </w:r>
      <w:r w:rsidR="00A34E7B" w:rsidRPr="003C1154">
        <w:rPr>
          <w:rFonts w:cs="Calibri"/>
        </w:rPr>
        <w:t xml:space="preserve"> </w:t>
      </w:r>
      <w:r w:rsidRPr="003C1154">
        <w:rPr>
          <w:rFonts w:cs="Calibri"/>
        </w:rPr>
        <w:t xml:space="preserve">ASIC Consultative Panel, </w:t>
      </w:r>
      <w:r w:rsidR="0097339F">
        <w:rPr>
          <w:rFonts w:cs="Calibri"/>
        </w:rPr>
        <w:t>the</w:t>
      </w:r>
      <w:r w:rsidRPr="003C1154">
        <w:rPr>
          <w:rFonts w:cs="Calibri"/>
        </w:rPr>
        <w:t xml:space="preserve"> ASIC Consumer Consultative Panel, APRA, the RBA and Treasury. </w:t>
      </w:r>
      <w:r w:rsidR="00376452">
        <w:rPr>
          <w:rFonts w:cs="Calibri"/>
        </w:rPr>
        <w:t xml:space="preserve">ASIC’s </w:t>
      </w:r>
      <w:r w:rsidRPr="003C1154">
        <w:rPr>
          <w:rFonts w:cs="Calibri"/>
        </w:rPr>
        <w:t>Corporate Plan is the culmination of this process.</w:t>
      </w:r>
    </w:p>
    <w:p w14:paraId="223EC7B2" w14:textId="5130970A" w:rsidR="005861F3" w:rsidRDefault="005861F3" w:rsidP="005861F3">
      <w:pPr>
        <w:pStyle w:val="Heading3"/>
      </w:pPr>
      <w:bookmarkStart w:id="82" w:name="_Toc114214437"/>
      <w:r>
        <w:lastRenderedPageBreak/>
        <w:t>Annual Report</w:t>
      </w:r>
      <w:bookmarkEnd w:id="81"/>
      <w:bookmarkEnd w:id="82"/>
    </w:p>
    <w:p w14:paraId="5D7FC7E9" w14:textId="7853C799" w:rsidR="005861F3" w:rsidRDefault="005861F3" w:rsidP="005861F3">
      <w:pPr>
        <w:pStyle w:val="NoSpacing"/>
        <w:rPr>
          <w:rFonts w:ascii="Calibri Light" w:hAnsi="Calibri Light" w:cs="Calibri Light"/>
        </w:rPr>
      </w:pPr>
      <w:r w:rsidRPr="0040085B">
        <w:rPr>
          <w:rFonts w:ascii="Calibri Light" w:hAnsi="Calibri Light" w:cs="Calibri Light"/>
        </w:rPr>
        <w:t xml:space="preserve">ASIC is required (under the PGPA Act) to publish an </w:t>
      </w:r>
      <w:r w:rsidR="00F23B0D">
        <w:rPr>
          <w:rFonts w:ascii="Calibri Light" w:hAnsi="Calibri Light" w:cs="Calibri Light"/>
        </w:rPr>
        <w:t>A</w:t>
      </w:r>
      <w:r w:rsidRPr="0040085B">
        <w:rPr>
          <w:rFonts w:ascii="Calibri Light" w:hAnsi="Calibri Light" w:cs="Calibri Light"/>
        </w:rPr>
        <w:t xml:space="preserve">nnual </w:t>
      </w:r>
      <w:r w:rsidR="00F23B0D">
        <w:rPr>
          <w:rFonts w:ascii="Calibri Light" w:hAnsi="Calibri Light" w:cs="Calibri Light"/>
        </w:rPr>
        <w:t>R</w:t>
      </w:r>
      <w:r w:rsidRPr="0040085B">
        <w:rPr>
          <w:rFonts w:ascii="Calibri Light" w:hAnsi="Calibri Light" w:cs="Calibri Light"/>
        </w:rPr>
        <w:t xml:space="preserve">eport each year which outlines ASIC’s performance and financial statements for the reporting period. </w:t>
      </w:r>
      <w:r w:rsidR="009A01F1">
        <w:rPr>
          <w:rFonts w:ascii="Calibri Light" w:hAnsi="Calibri Light" w:cs="Calibri Light"/>
        </w:rPr>
        <w:t>The report provides an</w:t>
      </w:r>
      <w:r w:rsidRPr="0040085B">
        <w:rPr>
          <w:rFonts w:ascii="Calibri Light" w:hAnsi="Calibri Light" w:cs="Calibri Light"/>
        </w:rPr>
        <w:t xml:space="preserve"> analysis of ASIC’s activities</w:t>
      </w:r>
      <w:r w:rsidR="009A01F1">
        <w:rPr>
          <w:rFonts w:ascii="Calibri Light" w:hAnsi="Calibri Light" w:cs="Calibri Light"/>
        </w:rPr>
        <w:t xml:space="preserve"> and</w:t>
      </w:r>
      <w:r w:rsidRPr="0040085B">
        <w:rPr>
          <w:rFonts w:ascii="Calibri Light" w:hAnsi="Calibri Light" w:cs="Calibri Light"/>
        </w:rPr>
        <w:t xml:space="preserve"> outcomes achieved</w:t>
      </w:r>
      <w:r w:rsidR="0059421E">
        <w:rPr>
          <w:rFonts w:ascii="Calibri Light" w:hAnsi="Calibri Light" w:cs="Calibri Light"/>
        </w:rPr>
        <w:t xml:space="preserve"> in each IFM sector</w:t>
      </w:r>
      <w:r w:rsidR="00D934EE">
        <w:rPr>
          <w:rFonts w:ascii="Calibri Light" w:hAnsi="Calibri Light" w:cs="Calibri Light"/>
        </w:rPr>
        <w:t xml:space="preserve"> – thereby assisting </w:t>
      </w:r>
      <w:r w:rsidR="00772281">
        <w:rPr>
          <w:rFonts w:ascii="Calibri Light" w:hAnsi="Calibri Light" w:cs="Calibri Light"/>
        </w:rPr>
        <w:t xml:space="preserve">regulated entities and other </w:t>
      </w:r>
      <w:r w:rsidR="00D934EE">
        <w:rPr>
          <w:rFonts w:ascii="Calibri Light" w:hAnsi="Calibri Light" w:cs="Calibri Light"/>
        </w:rPr>
        <w:t xml:space="preserve">stakeholders </w:t>
      </w:r>
      <w:r w:rsidR="007C02DA">
        <w:rPr>
          <w:rFonts w:ascii="Calibri Light" w:hAnsi="Calibri Light" w:cs="Calibri Light"/>
        </w:rPr>
        <w:t xml:space="preserve">to </w:t>
      </w:r>
      <w:r w:rsidR="008976FC">
        <w:rPr>
          <w:rFonts w:ascii="Calibri Light" w:hAnsi="Calibri Light" w:cs="Calibri Light"/>
        </w:rPr>
        <w:t xml:space="preserve">understand </w:t>
      </w:r>
      <w:r w:rsidR="00407D47">
        <w:rPr>
          <w:rFonts w:ascii="Calibri Light" w:hAnsi="Calibri Light" w:cs="Calibri Light"/>
        </w:rPr>
        <w:t>the regulatory effort ASIC expended in each sector</w:t>
      </w:r>
      <w:r w:rsidR="00D934EE">
        <w:rPr>
          <w:rFonts w:ascii="Calibri Light" w:hAnsi="Calibri Light" w:cs="Calibri Light"/>
        </w:rPr>
        <w:t>.</w:t>
      </w:r>
      <w:r w:rsidRPr="0040085B">
        <w:rPr>
          <w:rFonts w:ascii="Calibri Light" w:hAnsi="Calibri Light" w:cs="Calibri Light"/>
        </w:rPr>
        <w:t xml:space="preserve"> </w:t>
      </w:r>
      <w:r w:rsidR="0067365B">
        <w:rPr>
          <w:rFonts w:ascii="Calibri Light" w:hAnsi="Calibri Light" w:cs="Calibri Light"/>
        </w:rPr>
        <w:t>Consultation is not undertaken on the Annual Report.</w:t>
      </w:r>
    </w:p>
    <w:p w14:paraId="0A252418" w14:textId="77777777" w:rsidR="005861F3" w:rsidRDefault="005861F3" w:rsidP="005861F3">
      <w:pPr>
        <w:pStyle w:val="Heading3"/>
      </w:pPr>
      <w:bookmarkStart w:id="83" w:name="_Toc114214438"/>
      <w:r>
        <w:t>Quarterly enforcement and regulatory updates</w:t>
      </w:r>
      <w:bookmarkEnd w:id="83"/>
    </w:p>
    <w:p w14:paraId="4DE65627" w14:textId="7D0A2CCE" w:rsidR="005861F3" w:rsidRDefault="009D1081" w:rsidP="005861F3">
      <w:pPr>
        <w:rPr>
          <w:rFonts w:cs="Calibri"/>
        </w:rPr>
      </w:pPr>
      <w:r>
        <w:rPr>
          <w:rFonts w:cs="Calibri"/>
        </w:rPr>
        <w:t xml:space="preserve">On a quarterly basis, </w:t>
      </w:r>
      <w:r w:rsidR="005861F3">
        <w:rPr>
          <w:rFonts w:cs="Calibri"/>
        </w:rPr>
        <w:t>ASIC releases a</w:t>
      </w:r>
      <w:r>
        <w:rPr>
          <w:rFonts w:cs="Calibri"/>
        </w:rPr>
        <w:t>n enforcement and regulatory update</w:t>
      </w:r>
      <w:r w:rsidR="005861F3">
        <w:rPr>
          <w:rFonts w:cs="Calibri"/>
        </w:rPr>
        <w:t xml:space="preserve"> report</w:t>
      </w:r>
      <w:r>
        <w:rPr>
          <w:rFonts w:cs="Calibri"/>
        </w:rPr>
        <w:t xml:space="preserve">. </w:t>
      </w:r>
      <w:r w:rsidR="005861F3">
        <w:rPr>
          <w:rFonts w:cs="Calibri"/>
        </w:rPr>
        <w:t xml:space="preserve"> </w:t>
      </w:r>
      <w:r w:rsidR="00FD437F">
        <w:rPr>
          <w:rFonts w:cs="Calibri"/>
        </w:rPr>
        <w:t xml:space="preserve">This report </w:t>
      </w:r>
      <w:r w:rsidR="005861F3">
        <w:rPr>
          <w:rFonts w:cs="Calibri"/>
        </w:rPr>
        <w:t>provid</w:t>
      </w:r>
      <w:r w:rsidR="00FD437F">
        <w:rPr>
          <w:rFonts w:cs="Calibri"/>
        </w:rPr>
        <w:t>es</w:t>
      </w:r>
      <w:r w:rsidR="005861F3">
        <w:rPr>
          <w:rFonts w:cs="Calibri"/>
        </w:rPr>
        <w:t xml:space="preserve"> a summary of enforcement outcomes</w:t>
      </w:r>
      <w:r w:rsidR="005467C2">
        <w:rPr>
          <w:rFonts w:cs="Calibri"/>
        </w:rPr>
        <w:t>, regulatory changes and other areas of activity</w:t>
      </w:r>
      <w:r w:rsidR="00275CD7">
        <w:rPr>
          <w:rFonts w:cs="Calibri"/>
        </w:rPr>
        <w:t xml:space="preserve"> – and can therefore support regulated entities and other stakeholders in understanding ASIC’s activities over the course of the year</w:t>
      </w:r>
      <w:r w:rsidR="005467C2">
        <w:rPr>
          <w:rFonts w:cs="Calibri"/>
        </w:rPr>
        <w:t>.</w:t>
      </w:r>
    </w:p>
    <w:p w14:paraId="1884012B" w14:textId="0D16F6D2" w:rsidR="005861F3" w:rsidRDefault="005861F3" w:rsidP="005861F3">
      <w:pPr>
        <w:pStyle w:val="Heading3"/>
      </w:pPr>
      <w:bookmarkStart w:id="84" w:name="_Toc114214439"/>
      <w:bookmarkStart w:id="85" w:name="_Toc109834358"/>
      <w:r>
        <w:t xml:space="preserve">Government </w:t>
      </w:r>
      <w:r w:rsidR="001E66E6">
        <w:t>c</w:t>
      </w:r>
      <w:r>
        <w:t>onsultation</w:t>
      </w:r>
      <w:bookmarkEnd w:id="84"/>
      <w:r>
        <w:t xml:space="preserve"> </w:t>
      </w:r>
      <w:bookmarkEnd w:id="85"/>
    </w:p>
    <w:p w14:paraId="58BCB5D4" w14:textId="6D873CB9" w:rsidR="005861F3" w:rsidRDefault="005861F3" w:rsidP="005861F3">
      <w:pPr>
        <w:pStyle w:val="NoSpacing"/>
      </w:pPr>
      <w:r w:rsidRPr="0040085B">
        <w:rPr>
          <w:rFonts w:ascii="Calibri Light" w:hAnsi="Calibri Light" w:cs="Calibri Light"/>
        </w:rPr>
        <w:t>The Government is responsible for the policy settings of the IFM, which is prescribed in a legislative framework comprising several Acts and Regulations</w:t>
      </w:r>
      <w:r w:rsidR="00035294">
        <w:rPr>
          <w:rFonts w:ascii="Calibri Light" w:hAnsi="Calibri Light" w:cs="Calibri Light"/>
        </w:rPr>
        <w:t xml:space="preserve"> and subject to Parliamentary processes and oversight</w:t>
      </w:r>
      <w:r w:rsidRPr="0040085B">
        <w:rPr>
          <w:rFonts w:ascii="Calibri Light" w:hAnsi="Calibri Light" w:cs="Calibri Light"/>
        </w:rPr>
        <w:t>. The Government is also responsible for making changes to the IFM and subsequent amendments to the legislation to give effect to any changes. If the Government proposes to make changes to the IFM and amend legislation, it would consult with stakeholders as part of its legislative processes.</w:t>
      </w:r>
    </w:p>
    <w:p w14:paraId="2A963D26" w14:textId="3FC19800" w:rsidR="009D040F" w:rsidRDefault="0010146D" w:rsidP="00C6745C">
      <w:pPr>
        <w:pStyle w:val="Heading2"/>
        <w:numPr>
          <w:ilvl w:val="6"/>
          <w:numId w:val="20"/>
        </w:numPr>
        <w:ind w:left="426" w:hanging="426"/>
      </w:pPr>
      <w:bookmarkStart w:id="86" w:name="_Toc114214440"/>
      <w:r>
        <w:t>Key issues related to</w:t>
      </w:r>
      <w:r w:rsidR="00D71498">
        <w:t xml:space="preserve"> reporting, transparency and consultation</w:t>
      </w:r>
      <w:bookmarkEnd w:id="86"/>
      <w:r w:rsidR="007C3416">
        <w:t xml:space="preserve"> </w:t>
      </w:r>
    </w:p>
    <w:p w14:paraId="3995B67C" w14:textId="62DD57A0" w:rsidR="00A53CCD" w:rsidRDefault="00A85BB1" w:rsidP="005D2F98">
      <w:pPr>
        <w:pStyle w:val="Heading3"/>
      </w:pPr>
      <w:bookmarkStart w:id="87" w:name="_Toc114214441"/>
      <w:r>
        <w:t>Purpose of engagement with stakeholders</w:t>
      </w:r>
      <w:bookmarkEnd w:id="87"/>
    </w:p>
    <w:p w14:paraId="5AE6F500" w14:textId="7C7A56AF" w:rsidR="000C72A5" w:rsidRDefault="006C4ECE" w:rsidP="009A6F0E">
      <w:pPr>
        <w:rPr>
          <w:rFonts w:cs="Calibri Light"/>
        </w:rPr>
      </w:pPr>
      <w:r>
        <w:rPr>
          <w:rFonts w:cs="Calibri Light"/>
        </w:rPr>
        <w:t>E</w:t>
      </w:r>
      <w:r w:rsidR="00F50F24">
        <w:rPr>
          <w:rFonts w:cs="Calibri Light"/>
        </w:rPr>
        <w:t xml:space="preserve">ngagement with stakeholders on the IFM </w:t>
      </w:r>
      <w:r>
        <w:rPr>
          <w:rFonts w:cs="Calibri Light"/>
        </w:rPr>
        <w:t xml:space="preserve">can serve </w:t>
      </w:r>
      <w:r w:rsidR="00926423">
        <w:rPr>
          <w:rFonts w:cs="Calibri Light"/>
        </w:rPr>
        <w:t>transparency and/or consultation purposes. Both</w:t>
      </w:r>
      <w:r w:rsidR="00C713EE">
        <w:rPr>
          <w:rFonts w:cs="Calibri Light"/>
        </w:rPr>
        <w:t> </w:t>
      </w:r>
      <w:r w:rsidR="000A610A">
        <w:rPr>
          <w:rFonts w:cs="Calibri Light"/>
        </w:rPr>
        <w:t xml:space="preserve">transparency and consultation </w:t>
      </w:r>
      <w:r w:rsidR="00926423">
        <w:rPr>
          <w:rFonts w:cs="Calibri Light"/>
        </w:rPr>
        <w:t>are important for industry-funded activities</w:t>
      </w:r>
      <w:r w:rsidR="00231C01">
        <w:rPr>
          <w:rFonts w:cs="Calibri Light"/>
        </w:rPr>
        <w:t>.</w:t>
      </w:r>
    </w:p>
    <w:p w14:paraId="587D1258" w14:textId="0DB5A785" w:rsidR="00307E3C" w:rsidRDefault="009A6F0E" w:rsidP="009A6F0E">
      <w:pPr>
        <w:rPr>
          <w:rFonts w:cs="Calibri Light"/>
        </w:rPr>
      </w:pPr>
      <w:r w:rsidRPr="00FE087A">
        <w:rPr>
          <w:rFonts w:cs="Calibri Light"/>
        </w:rPr>
        <w:t>Currently</w:t>
      </w:r>
      <w:r w:rsidR="003B7ABF">
        <w:rPr>
          <w:rFonts w:cs="Calibri Light"/>
        </w:rPr>
        <w:t>,</w:t>
      </w:r>
      <w:r w:rsidRPr="00FE087A">
        <w:rPr>
          <w:rFonts w:cs="Calibri Light"/>
        </w:rPr>
        <w:t xml:space="preserve"> the CRIS</w:t>
      </w:r>
      <w:r w:rsidR="00CE2D62">
        <w:rPr>
          <w:rFonts w:cs="Calibri Light"/>
        </w:rPr>
        <w:t xml:space="preserve"> is the key means for </w:t>
      </w:r>
      <w:r w:rsidR="00322263">
        <w:rPr>
          <w:rFonts w:cs="Calibri Light"/>
        </w:rPr>
        <w:t xml:space="preserve">information and </w:t>
      </w:r>
      <w:r w:rsidR="00F66C3B">
        <w:rPr>
          <w:rFonts w:cs="Calibri Light"/>
        </w:rPr>
        <w:t xml:space="preserve">industry </w:t>
      </w:r>
      <w:r w:rsidR="00322263">
        <w:rPr>
          <w:rFonts w:cs="Calibri Light"/>
        </w:rPr>
        <w:t xml:space="preserve">engagement on the </w:t>
      </w:r>
      <w:r w:rsidR="006E47C8">
        <w:rPr>
          <w:rFonts w:cs="Calibri Light"/>
        </w:rPr>
        <w:t>IFM and</w:t>
      </w:r>
      <w:r w:rsidR="000C2720">
        <w:rPr>
          <w:rFonts w:cs="Calibri Light"/>
        </w:rPr>
        <w:t> </w:t>
      </w:r>
      <w:r w:rsidRPr="00FE087A">
        <w:rPr>
          <w:rFonts w:cs="Calibri Light"/>
        </w:rPr>
        <w:t>operat</w:t>
      </w:r>
      <w:r w:rsidR="003B7ABF">
        <w:rPr>
          <w:rFonts w:cs="Calibri Light"/>
        </w:rPr>
        <w:t>es</w:t>
      </w:r>
      <w:r w:rsidRPr="00FE087A">
        <w:rPr>
          <w:rFonts w:cs="Calibri Light"/>
        </w:rPr>
        <w:t xml:space="preserve"> as both a transparency </w:t>
      </w:r>
      <w:r w:rsidR="003B7ABF">
        <w:rPr>
          <w:rFonts w:cs="Calibri Light"/>
        </w:rPr>
        <w:t>mechanism</w:t>
      </w:r>
      <w:r w:rsidRPr="00FE087A">
        <w:rPr>
          <w:rFonts w:cs="Calibri Light"/>
        </w:rPr>
        <w:t xml:space="preserve"> and </w:t>
      </w:r>
      <w:r w:rsidR="00AC52E6">
        <w:rPr>
          <w:rFonts w:cs="Calibri Light"/>
        </w:rPr>
        <w:t xml:space="preserve">a </w:t>
      </w:r>
      <w:r w:rsidRPr="00FE087A">
        <w:rPr>
          <w:rFonts w:cs="Calibri Light"/>
        </w:rPr>
        <w:t xml:space="preserve">means of industry consultation. </w:t>
      </w:r>
      <w:r w:rsidR="00EC2DC2">
        <w:rPr>
          <w:rFonts w:cs="Calibri Light"/>
        </w:rPr>
        <w:t>However, s</w:t>
      </w:r>
      <w:r>
        <w:rPr>
          <w:rFonts w:cs="Calibri Light"/>
        </w:rPr>
        <w:t xml:space="preserve">takeholder feedback </w:t>
      </w:r>
      <w:r w:rsidR="006F0A3A">
        <w:rPr>
          <w:rFonts w:cs="Calibri Light"/>
        </w:rPr>
        <w:t>has indicated relatively low levels of engagement on the CRIS</w:t>
      </w:r>
      <w:r w:rsidR="00C251DE">
        <w:rPr>
          <w:rFonts w:cs="Calibri Light"/>
        </w:rPr>
        <w:t xml:space="preserve">, with one of the contributing factors being stakeholders viewing the consultation aspect of the CRIS </w:t>
      </w:r>
      <w:r w:rsidR="00882CFF">
        <w:rPr>
          <w:rFonts w:cs="Calibri Light"/>
        </w:rPr>
        <w:t xml:space="preserve">as </w:t>
      </w:r>
      <w:r w:rsidR="00D01629">
        <w:rPr>
          <w:rFonts w:cs="Calibri Light"/>
        </w:rPr>
        <w:t>having little benefit</w:t>
      </w:r>
      <w:r w:rsidR="00307E3C">
        <w:rPr>
          <w:rFonts w:cs="Calibri Light"/>
        </w:rPr>
        <w:t xml:space="preserve">, noting </w:t>
      </w:r>
      <w:r w:rsidR="0059043D">
        <w:rPr>
          <w:rFonts w:cs="Calibri Light"/>
        </w:rPr>
        <w:t xml:space="preserve">that </w:t>
      </w:r>
      <w:r w:rsidR="00307E3C">
        <w:rPr>
          <w:rFonts w:cs="Calibri Light"/>
        </w:rPr>
        <w:t>past feedback has not led to changes to levies or the IFM</w:t>
      </w:r>
      <w:r w:rsidR="002A6785">
        <w:rPr>
          <w:rFonts w:cs="Calibri Light"/>
        </w:rPr>
        <w:t xml:space="preserve"> more broadly</w:t>
      </w:r>
      <w:r w:rsidR="00D01629">
        <w:rPr>
          <w:rFonts w:cs="Calibri Light"/>
        </w:rPr>
        <w:t>.</w:t>
      </w:r>
      <w:r w:rsidR="000D14C4">
        <w:rPr>
          <w:rFonts w:cs="Calibri Light"/>
        </w:rPr>
        <w:t xml:space="preserve"> </w:t>
      </w:r>
      <w:r w:rsidR="00322263">
        <w:rPr>
          <w:rFonts w:cs="Calibri Light"/>
        </w:rPr>
        <w:t>Several factors contribute to this</w:t>
      </w:r>
      <w:r w:rsidR="00CE0899">
        <w:rPr>
          <w:rFonts w:cs="Calibri Light"/>
        </w:rPr>
        <w:t>, including:</w:t>
      </w:r>
    </w:p>
    <w:p w14:paraId="27CBE2FC" w14:textId="59AD8196" w:rsidR="00A168AE" w:rsidRPr="009225A7" w:rsidRDefault="00A168AE" w:rsidP="00C6745C">
      <w:pPr>
        <w:pStyle w:val="ListParagraph"/>
        <w:numPr>
          <w:ilvl w:val="0"/>
          <w:numId w:val="19"/>
        </w:numPr>
        <w:rPr>
          <w:rFonts w:cs="Calibri Light"/>
        </w:rPr>
      </w:pPr>
      <w:r>
        <w:rPr>
          <w:rFonts w:cs="Calibri Light"/>
        </w:rPr>
        <w:t>F</w:t>
      </w:r>
      <w:r w:rsidRPr="00BB0F27">
        <w:rPr>
          <w:rFonts w:cs="Calibri Light"/>
        </w:rPr>
        <w:t>eedback submitted by stakeholders</w:t>
      </w:r>
      <w:r>
        <w:rPr>
          <w:rFonts w:cs="Calibri Light"/>
        </w:rPr>
        <w:t xml:space="preserve"> often relates to matters outside of ASIC’s remit – stakeholders often raise concerns </w:t>
      </w:r>
      <w:r w:rsidRPr="009225A7">
        <w:rPr>
          <w:rFonts w:cs="Calibri Light"/>
        </w:rPr>
        <w:t>related to the design of the IFM,</w:t>
      </w:r>
      <w:r>
        <w:rPr>
          <w:rFonts w:cs="Calibri Light"/>
        </w:rPr>
        <w:t xml:space="preserve"> which </w:t>
      </w:r>
      <w:r w:rsidRPr="009225A7">
        <w:rPr>
          <w:rFonts w:cs="Calibri Light"/>
        </w:rPr>
        <w:t xml:space="preserve">are matters for </w:t>
      </w:r>
      <w:r>
        <w:rPr>
          <w:rFonts w:cs="Calibri Light"/>
        </w:rPr>
        <w:t>the G</w:t>
      </w:r>
      <w:r w:rsidRPr="009225A7">
        <w:rPr>
          <w:rFonts w:cs="Calibri Light"/>
        </w:rPr>
        <w:t>overnment.</w:t>
      </w:r>
    </w:p>
    <w:p w14:paraId="704AF22A" w14:textId="3D352A03" w:rsidR="00E9319D" w:rsidRPr="00120B54" w:rsidRDefault="00E9319D" w:rsidP="00C6745C">
      <w:pPr>
        <w:pStyle w:val="ListParagraph"/>
        <w:numPr>
          <w:ilvl w:val="0"/>
          <w:numId w:val="19"/>
        </w:numPr>
        <w:rPr>
          <w:rFonts w:cs="Calibri Light"/>
        </w:rPr>
      </w:pPr>
      <w:r>
        <w:t xml:space="preserve">The nature of consultation in an ex-post cost recovery model – levy amounts and the allocation of regulatory costs to </w:t>
      </w:r>
      <w:r w:rsidR="00F33074">
        <w:t>sub</w:t>
      </w:r>
      <w:r w:rsidR="00F33074">
        <w:noBreakHyphen/>
      </w:r>
      <w:r w:rsidR="00527197">
        <w:t>sector</w:t>
      </w:r>
      <w:r>
        <w:t>s are determined based on the regulatory effort ASIC has expended, and there is therefore little capacity for change in response to stakeholder feedback</w:t>
      </w:r>
    </w:p>
    <w:p w14:paraId="161387D2" w14:textId="1207024E" w:rsidR="00B800D1" w:rsidRPr="00120B54" w:rsidRDefault="00205FC0" w:rsidP="007F7FBD">
      <w:pPr>
        <w:rPr>
          <w:rFonts w:cs="Calibri Light"/>
        </w:rPr>
      </w:pPr>
      <w:r>
        <w:rPr>
          <w:rFonts w:cs="Calibri Light"/>
        </w:rPr>
        <w:t xml:space="preserve">Noting stakeholder feedback and </w:t>
      </w:r>
      <w:r w:rsidR="00575852">
        <w:rPr>
          <w:rFonts w:cs="Calibri Light"/>
        </w:rPr>
        <w:t xml:space="preserve">the </w:t>
      </w:r>
      <w:r w:rsidR="00B34B11">
        <w:rPr>
          <w:rFonts w:cs="Calibri Light"/>
        </w:rPr>
        <w:t>constraints on</w:t>
      </w:r>
      <w:r w:rsidR="00575852">
        <w:rPr>
          <w:rFonts w:cs="Calibri Light"/>
        </w:rPr>
        <w:t xml:space="preserve"> ASIC </w:t>
      </w:r>
      <w:r w:rsidR="00B34B11">
        <w:rPr>
          <w:rFonts w:cs="Calibri Light"/>
        </w:rPr>
        <w:t>acting on feedback</w:t>
      </w:r>
      <w:r w:rsidR="00575852">
        <w:rPr>
          <w:rFonts w:cs="Calibri Light"/>
        </w:rPr>
        <w:t xml:space="preserve"> received via the CRIS process, the </w:t>
      </w:r>
      <w:r w:rsidR="00A75DEE">
        <w:rPr>
          <w:rFonts w:cs="Calibri Light"/>
        </w:rPr>
        <w:t xml:space="preserve">CRIS may not be the most appropriate </w:t>
      </w:r>
      <w:r w:rsidR="000D445C">
        <w:rPr>
          <w:rFonts w:cs="Calibri Light"/>
        </w:rPr>
        <w:t xml:space="preserve">mechanism for consultation </w:t>
      </w:r>
      <w:r>
        <w:rPr>
          <w:rFonts w:cs="Calibri Light"/>
        </w:rPr>
        <w:t>on the IFM</w:t>
      </w:r>
      <w:r w:rsidR="003C5202">
        <w:rPr>
          <w:rFonts w:cs="Calibri Light"/>
        </w:rPr>
        <w:t xml:space="preserve"> and </w:t>
      </w:r>
      <w:r w:rsidR="00AB25D8">
        <w:rPr>
          <w:rFonts w:cs="Calibri Light"/>
        </w:rPr>
        <w:t xml:space="preserve">there may be merit in </w:t>
      </w:r>
      <w:r w:rsidR="003C5202">
        <w:rPr>
          <w:rFonts w:cs="Calibri Light"/>
        </w:rPr>
        <w:t xml:space="preserve">reframing </w:t>
      </w:r>
      <w:r w:rsidR="00AB25D8">
        <w:rPr>
          <w:rFonts w:cs="Calibri Light"/>
        </w:rPr>
        <w:t>the CRIS</w:t>
      </w:r>
      <w:r w:rsidR="004F4A1C">
        <w:rPr>
          <w:rFonts w:cs="Calibri Light"/>
        </w:rPr>
        <w:t xml:space="preserve"> as a</w:t>
      </w:r>
      <w:r w:rsidR="003C5202">
        <w:rPr>
          <w:rFonts w:cs="Calibri Light"/>
        </w:rPr>
        <w:t xml:space="preserve"> transparency document</w:t>
      </w:r>
      <w:r w:rsidR="00DB061E">
        <w:rPr>
          <w:rFonts w:cs="Calibri Light"/>
        </w:rPr>
        <w:t>.</w:t>
      </w:r>
      <w:r>
        <w:rPr>
          <w:rFonts w:cs="Calibri Light"/>
        </w:rPr>
        <w:t xml:space="preserve"> </w:t>
      </w:r>
    </w:p>
    <w:p w14:paraId="6EE5DE54" w14:textId="0942C7E0" w:rsidR="00D3671A" w:rsidRDefault="00D3671A" w:rsidP="00563869">
      <w:pPr>
        <w:rPr>
          <w:rFonts w:cs="Calibri Light"/>
        </w:rPr>
      </w:pPr>
      <w:r>
        <w:rPr>
          <w:rFonts w:cs="Calibri Light"/>
        </w:rPr>
        <w:lastRenderedPageBreak/>
        <w:t xml:space="preserve">Other aspects of </w:t>
      </w:r>
      <w:r w:rsidR="00BE2C76">
        <w:rPr>
          <w:rFonts w:cs="Calibri Light"/>
        </w:rPr>
        <w:t>existing</w:t>
      </w:r>
      <w:r>
        <w:rPr>
          <w:rFonts w:cs="Calibri Light"/>
        </w:rPr>
        <w:t xml:space="preserve"> arrangements – such as ASIC’s Corporate Plan and Annual Report </w:t>
      </w:r>
      <w:r w:rsidR="00BE2C76">
        <w:rPr>
          <w:rFonts w:cs="Calibri Light"/>
        </w:rPr>
        <w:t>–</w:t>
      </w:r>
      <w:r>
        <w:rPr>
          <w:rFonts w:cs="Calibri Light"/>
        </w:rPr>
        <w:t xml:space="preserve"> </w:t>
      </w:r>
      <w:r w:rsidR="00BE2C76">
        <w:rPr>
          <w:rFonts w:cs="Calibri Light"/>
        </w:rPr>
        <w:t>primarily serve transparency purposes in helping stakeholders to understand ASIC’s activities and costs.</w:t>
      </w:r>
    </w:p>
    <w:p w14:paraId="0E91390A" w14:textId="0E95CF3E" w:rsidR="00563869" w:rsidRDefault="00563869" w:rsidP="00563869">
      <w:pPr>
        <w:rPr>
          <w:rFonts w:cs="Calibri Light"/>
        </w:rPr>
      </w:pPr>
      <w:r>
        <w:rPr>
          <w:rFonts w:cs="Calibri Light"/>
        </w:rPr>
        <w:t>However, there are limits to the extent of transparency and consultation that is feasible and appropriate. For example, it is not feasible or appropriate for ASIC to provide highly granular ‘line-by-line’ information about its costs to stakeholders. There are also limits to the extent to which ASIC can and should consult with stakeholders on its activities</w:t>
      </w:r>
      <w:r w:rsidR="00F36F58">
        <w:rPr>
          <w:rFonts w:cs="Calibri Light"/>
        </w:rPr>
        <w:t xml:space="preserve"> (in particular its enforcement activities)</w:t>
      </w:r>
      <w:r>
        <w:rPr>
          <w:rFonts w:cs="Calibri Light"/>
        </w:rPr>
        <w:t>, given the need to maintain clear independence from its regulated population.</w:t>
      </w:r>
    </w:p>
    <w:p w14:paraId="45ECAA4B" w14:textId="451FF135" w:rsidR="00332E58" w:rsidRDefault="00E70098" w:rsidP="00563869">
      <w:pPr>
        <w:rPr>
          <w:rFonts w:cs="Calibri Light"/>
        </w:rPr>
      </w:pPr>
      <w:r>
        <w:rPr>
          <w:rFonts w:cs="Calibri Light"/>
        </w:rPr>
        <w:t xml:space="preserve">It is also important to </w:t>
      </w:r>
      <w:r w:rsidR="00B81E35">
        <w:rPr>
          <w:rFonts w:cs="Calibri Light"/>
        </w:rPr>
        <w:t xml:space="preserve">ensure that transparency and consultation mechanisms are proportional to the </w:t>
      </w:r>
      <w:r w:rsidR="00F124DF">
        <w:rPr>
          <w:rFonts w:cs="Calibri Light"/>
        </w:rPr>
        <w:t xml:space="preserve">nature of cost recovery. The provision of additional information or new consultation or transparency mechanisms </w:t>
      </w:r>
      <w:r w:rsidR="00B87990">
        <w:rPr>
          <w:rFonts w:cs="Calibri Light"/>
        </w:rPr>
        <w:t xml:space="preserve">would impose additional demands and costs on </w:t>
      </w:r>
      <w:r w:rsidR="006E47C8">
        <w:rPr>
          <w:rFonts w:cs="Calibri Light"/>
        </w:rPr>
        <w:t>ASIC and</w:t>
      </w:r>
      <w:r w:rsidR="00B87990">
        <w:rPr>
          <w:rFonts w:cs="Calibri Light"/>
        </w:rPr>
        <w:t xml:space="preserve"> </w:t>
      </w:r>
      <w:r w:rsidR="00AB25D8">
        <w:rPr>
          <w:rFonts w:cs="Calibri Light"/>
        </w:rPr>
        <w:t xml:space="preserve">would </w:t>
      </w:r>
      <w:r w:rsidR="00B87990">
        <w:rPr>
          <w:rFonts w:cs="Calibri Light"/>
        </w:rPr>
        <w:t>need to be appropriately balanced with the potential benefits for regulated entities and other stakeholders.</w:t>
      </w:r>
    </w:p>
    <w:p w14:paraId="401E5FBC" w14:textId="6A41D626" w:rsidR="00BB0EF6" w:rsidRDefault="006B4715" w:rsidP="00BB0EF6">
      <w:pPr>
        <w:pStyle w:val="Heading3"/>
      </w:pPr>
      <w:bookmarkStart w:id="88" w:name="_Toc114214442"/>
      <w:r>
        <w:t>I</w:t>
      </w:r>
      <w:r w:rsidR="00BB0EF6">
        <w:t>nformation provided</w:t>
      </w:r>
      <w:r>
        <w:t xml:space="preserve"> to stakeholders</w:t>
      </w:r>
      <w:bookmarkEnd w:id="88"/>
    </w:p>
    <w:p w14:paraId="1A7FD0C7" w14:textId="73273837" w:rsidR="001E705A" w:rsidRDefault="0034002E" w:rsidP="00BF5472">
      <w:pPr>
        <w:shd w:val="clear" w:color="auto" w:fill="FFFFFF"/>
        <w:spacing w:before="0"/>
      </w:pPr>
      <w:r>
        <w:t>A wide range of information about the IFM and ASIC’s activities and costs is made available to stakeholder</w:t>
      </w:r>
      <w:r w:rsidR="0087767F">
        <w:t>s</w:t>
      </w:r>
      <w:r>
        <w:t xml:space="preserve"> across the CRIS, Corporate Plan and Annual Report. However, s</w:t>
      </w:r>
      <w:r w:rsidR="00BB0EF6">
        <w:t>takeholder feedback on the information provided has been mixed</w:t>
      </w:r>
      <w:r>
        <w:t>.</w:t>
      </w:r>
      <w:r w:rsidR="00BB0EF6">
        <w:t xml:space="preserve"> </w:t>
      </w:r>
    </w:p>
    <w:p w14:paraId="55F1CEB6" w14:textId="7C5C65F1" w:rsidR="00533C63" w:rsidRDefault="00FE3735" w:rsidP="00B72C09">
      <w:pPr>
        <w:shd w:val="clear" w:color="auto" w:fill="FFFFFF"/>
        <w:spacing w:before="0"/>
      </w:pPr>
      <w:r>
        <w:t xml:space="preserve">In particular, the CRIS attracts mixed views from stakeholders. </w:t>
      </w:r>
      <w:r w:rsidR="00D97FB1">
        <w:t xml:space="preserve">Many stakeholders </w:t>
      </w:r>
      <w:r w:rsidR="00113F7C">
        <w:t xml:space="preserve">have </w:t>
      </w:r>
      <w:r w:rsidR="00BB0EF6">
        <w:t>comment</w:t>
      </w:r>
      <w:r w:rsidR="00113F7C">
        <w:t>ed</w:t>
      </w:r>
      <w:r w:rsidR="00D97FB1">
        <w:t xml:space="preserve"> that</w:t>
      </w:r>
      <w:r w:rsidR="00BB0EF6">
        <w:t xml:space="preserve"> the document is too complex,</w:t>
      </w:r>
      <w:r w:rsidR="00D97FB1">
        <w:t xml:space="preserve"> lengthy and difficult to navigate.</w:t>
      </w:r>
      <w:r w:rsidR="00BB0EF6">
        <w:t xml:space="preserve"> </w:t>
      </w:r>
      <w:r w:rsidR="00386AE0">
        <w:t>However, stakeholders</w:t>
      </w:r>
      <w:r w:rsidR="00113F7C">
        <w:t xml:space="preserve"> </w:t>
      </w:r>
      <w:r w:rsidR="00823042">
        <w:t>have also sought more granular information and data on ASIC’s activities and costs to help them understand the drivers of levy amounts, including changes between years</w:t>
      </w:r>
      <w:r w:rsidR="00274222">
        <w:t xml:space="preserve"> </w:t>
      </w:r>
      <w:r w:rsidR="0097355C">
        <w:t>and how levies are calculated</w:t>
      </w:r>
      <w:r w:rsidR="00BB0EF6">
        <w:t>.</w:t>
      </w:r>
      <w:r w:rsidR="00386AE0">
        <w:t xml:space="preserve"> </w:t>
      </w:r>
      <w:r w:rsidR="00246BE6">
        <w:t>Such c</w:t>
      </w:r>
      <w:r w:rsidR="002C4BAA">
        <w:t xml:space="preserve">onflicting feedback makes </w:t>
      </w:r>
      <w:r w:rsidR="00746974">
        <w:t>achieving</w:t>
      </w:r>
      <w:r w:rsidR="00246BE6">
        <w:t xml:space="preserve"> th</w:t>
      </w:r>
      <w:r w:rsidR="00386AE0">
        <w:t>e right</w:t>
      </w:r>
      <w:r w:rsidR="00246BE6">
        <w:t xml:space="preserve"> balance</w:t>
      </w:r>
      <w:r w:rsidR="00EB136B">
        <w:t xml:space="preserve"> difficult</w:t>
      </w:r>
      <w:r w:rsidR="00386AE0">
        <w:t>.</w:t>
      </w:r>
      <w:r w:rsidR="007919E0">
        <w:t xml:space="preserve"> It is also important to</w:t>
      </w:r>
      <w:r w:rsidR="00246BE6">
        <w:t xml:space="preserve"> not</w:t>
      </w:r>
      <w:r w:rsidR="007919E0">
        <w:t>e that</w:t>
      </w:r>
      <w:r w:rsidR="00DD74B6">
        <w:t xml:space="preserve"> the complexity of the CRIS is in part a product of the complexity of the IFM and the breadth of ASIC’s regulated population</w:t>
      </w:r>
      <w:r w:rsidR="00393A1D">
        <w:t>; and that</w:t>
      </w:r>
      <w:r w:rsidR="00246BE6">
        <w:t xml:space="preserve"> </w:t>
      </w:r>
      <w:r w:rsidR="00393A1D">
        <w:t>some</w:t>
      </w:r>
      <w:r w:rsidR="00246BE6">
        <w:t xml:space="preserve"> content in the CRIS </w:t>
      </w:r>
      <w:r w:rsidR="00746974">
        <w:t xml:space="preserve">is </w:t>
      </w:r>
      <w:r w:rsidR="00393A1D">
        <w:t>driven by requirements of the Charging Framework</w:t>
      </w:r>
      <w:r w:rsidR="00845DFB">
        <w:t>.</w:t>
      </w:r>
    </w:p>
    <w:p w14:paraId="4164F86B" w14:textId="526932CF" w:rsidR="0036453A" w:rsidRPr="00775173" w:rsidRDefault="0036453A" w:rsidP="00775173">
      <w:pPr>
        <w:pStyle w:val="Heading3"/>
      </w:pPr>
      <w:bookmarkStart w:id="89" w:name="_Toc114214443"/>
      <w:r>
        <w:t xml:space="preserve">Timing of </w:t>
      </w:r>
      <w:r w:rsidR="006B4715">
        <w:t>engagement with stakeholders</w:t>
      </w:r>
      <w:bookmarkEnd w:id="89"/>
    </w:p>
    <w:p w14:paraId="3C92A0E7" w14:textId="175ADDAB" w:rsidR="008E5CF6" w:rsidRDefault="00431B1C" w:rsidP="00CF60B9">
      <w:pPr>
        <w:pStyle w:val="NoSpacing"/>
        <w:spacing w:before="120" w:after="120"/>
        <w:rPr>
          <w:rFonts w:ascii="Calibri Light" w:hAnsi="Calibri Light" w:cs="Calibri Light"/>
        </w:rPr>
      </w:pPr>
      <w:r>
        <w:rPr>
          <w:rFonts w:ascii="Calibri Light" w:hAnsi="Calibri Light" w:cs="Calibri Light"/>
        </w:rPr>
        <w:t xml:space="preserve">Engagement with stakeholders on the IFM occurs at different </w:t>
      </w:r>
      <w:r w:rsidR="00DC4A8B">
        <w:rPr>
          <w:rFonts w:ascii="Calibri Light" w:hAnsi="Calibri Light" w:cs="Calibri Light"/>
        </w:rPr>
        <w:t xml:space="preserve">times for different mechanisms, and </w:t>
      </w:r>
      <w:r w:rsidR="00DC3C20">
        <w:rPr>
          <w:rFonts w:ascii="Calibri Light" w:hAnsi="Calibri Light" w:cs="Calibri Light"/>
        </w:rPr>
        <w:t>stakeholders have provided a range of feedback on this timing.</w:t>
      </w:r>
      <w:r>
        <w:rPr>
          <w:rFonts w:ascii="Calibri Light" w:hAnsi="Calibri Light" w:cs="Calibri Light"/>
        </w:rPr>
        <w:t xml:space="preserve"> </w:t>
      </w:r>
    </w:p>
    <w:p w14:paraId="72AFD91A" w14:textId="7FBFBDD1" w:rsidR="00B11922" w:rsidRDefault="003F2944" w:rsidP="00B72C09">
      <w:pPr>
        <w:pStyle w:val="NoSpacing"/>
        <w:spacing w:before="120" w:after="120"/>
        <w:rPr>
          <w:rFonts w:ascii="Calibri Light" w:hAnsi="Calibri Light" w:cs="Calibri Light"/>
        </w:rPr>
      </w:pPr>
      <w:r>
        <w:rPr>
          <w:rFonts w:ascii="Calibri Light" w:hAnsi="Calibri Light" w:cs="Calibri Light"/>
        </w:rPr>
        <w:t xml:space="preserve">The </w:t>
      </w:r>
      <w:r w:rsidR="00DC3C20">
        <w:rPr>
          <w:rFonts w:ascii="Calibri Light" w:hAnsi="Calibri Light" w:cs="Calibri Light"/>
        </w:rPr>
        <w:t xml:space="preserve">timing for the </w:t>
      </w:r>
      <w:r w:rsidR="00CF60B9">
        <w:rPr>
          <w:rFonts w:ascii="Calibri Light" w:hAnsi="Calibri Light" w:cs="Calibri Light"/>
        </w:rPr>
        <w:t xml:space="preserve">release </w:t>
      </w:r>
      <w:r w:rsidR="00A72FAE">
        <w:rPr>
          <w:rFonts w:ascii="Calibri Light" w:hAnsi="Calibri Light" w:cs="Calibri Light"/>
        </w:rPr>
        <w:t>of</w:t>
      </w:r>
      <w:r w:rsidR="00CF60B9">
        <w:rPr>
          <w:rFonts w:ascii="Calibri Light" w:hAnsi="Calibri Light" w:cs="Calibri Light"/>
        </w:rPr>
        <w:t xml:space="preserve"> </w:t>
      </w:r>
      <w:r>
        <w:rPr>
          <w:rFonts w:ascii="Calibri Light" w:hAnsi="Calibri Light" w:cs="Calibri Light"/>
        </w:rPr>
        <w:t xml:space="preserve">ASIC’s </w:t>
      </w:r>
      <w:r w:rsidR="00CF60B9">
        <w:rPr>
          <w:rFonts w:ascii="Calibri Light" w:hAnsi="Calibri Light" w:cs="Calibri Light"/>
        </w:rPr>
        <w:t>draft and final CRIS ha</w:t>
      </w:r>
      <w:r w:rsidR="00DC3C20">
        <w:rPr>
          <w:rFonts w:ascii="Calibri Light" w:hAnsi="Calibri Light" w:cs="Calibri Light"/>
        </w:rPr>
        <w:t>s</w:t>
      </w:r>
      <w:r w:rsidR="00CF60B9">
        <w:rPr>
          <w:rFonts w:ascii="Calibri Light" w:hAnsi="Calibri Light" w:cs="Calibri Light"/>
        </w:rPr>
        <w:t xml:space="preserve"> not been consistent </w:t>
      </w:r>
      <w:r w:rsidR="00DC3C20">
        <w:rPr>
          <w:rFonts w:ascii="Calibri Light" w:hAnsi="Calibri Light" w:cs="Calibri Light"/>
        </w:rPr>
        <w:t>over the life of the IFM</w:t>
      </w:r>
      <w:r w:rsidR="00CF60B9">
        <w:rPr>
          <w:rFonts w:ascii="Calibri Light" w:hAnsi="Calibri Light" w:cs="Calibri Light"/>
        </w:rPr>
        <w:t xml:space="preserve">. </w:t>
      </w:r>
      <w:r w:rsidR="00DC3C20">
        <w:rPr>
          <w:rFonts w:ascii="Calibri Light" w:hAnsi="Calibri Light" w:cs="Calibri Light"/>
        </w:rPr>
        <w:t xml:space="preserve">Stakeholder </w:t>
      </w:r>
      <w:r w:rsidR="00CF60B9">
        <w:rPr>
          <w:rFonts w:ascii="Calibri Light" w:hAnsi="Calibri Light" w:cs="Calibri Light"/>
        </w:rPr>
        <w:t xml:space="preserve">feedback has </w:t>
      </w:r>
      <w:r>
        <w:rPr>
          <w:rFonts w:ascii="Calibri Light" w:hAnsi="Calibri Light" w:cs="Calibri Light"/>
        </w:rPr>
        <w:t>indicated</w:t>
      </w:r>
      <w:r w:rsidR="00CF60B9">
        <w:rPr>
          <w:rFonts w:ascii="Calibri Light" w:hAnsi="Calibri Light" w:cs="Calibri Light"/>
        </w:rPr>
        <w:t xml:space="preserve"> that a more consistent approach would be preferred, </w:t>
      </w:r>
      <w:r w:rsidR="00A72FAE">
        <w:rPr>
          <w:rFonts w:ascii="Calibri Light" w:hAnsi="Calibri Light" w:cs="Calibri Light"/>
        </w:rPr>
        <w:t>specifically</w:t>
      </w:r>
      <w:r w:rsidR="00CF60B9">
        <w:rPr>
          <w:rFonts w:ascii="Calibri Light" w:hAnsi="Calibri Light" w:cs="Calibri Light"/>
        </w:rPr>
        <w:t xml:space="preserve"> so entities are able to budget consistently by knowing in advance when estimated levies will be released.</w:t>
      </w:r>
      <w:r w:rsidR="00DC3C20">
        <w:rPr>
          <w:rFonts w:ascii="Calibri Light" w:hAnsi="Calibri Light" w:cs="Calibri Light"/>
        </w:rPr>
        <w:t xml:space="preserve"> This </w:t>
      </w:r>
      <w:r w:rsidR="00141347">
        <w:rPr>
          <w:rFonts w:ascii="Calibri Light" w:hAnsi="Calibri Light" w:cs="Calibri Light"/>
        </w:rPr>
        <w:t>R</w:t>
      </w:r>
      <w:r w:rsidR="00DC3C20">
        <w:rPr>
          <w:rFonts w:ascii="Calibri Light" w:hAnsi="Calibri Light" w:cs="Calibri Light"/>
        </w:rPr>
        <w:t xml:space="preserve">eview recognises the timing of the CRIS has varied significantly, and that more consistent timing </w:t>
      </w:r>
      <w:r w:rsidR="001557B0">
        <w:rPr>
          <w:rFonts w:ascii="Calibri Light" w:hAnsi="Calibri Light" w:cs="Calibri Light"/>
        </w:rPr>
        <w:t>will provide more certainty to stakeholders.</w:t>
      </w:r>
      <w:r w:rsidR="0089731B">
        <w:rPr>
          <w:rFonts w:ascii="Calibri Light" w:hAnsi="Calibri Light" w:cs="Calibri Light"/>
        </w:rPr>
        <w:t xml:space="preserve"> The trade-off between timing and accuracy of estimates is addressed </w:t>
      </w:r>
      <w:r w:rsidR="00D94CC5">
        <w:rPr>
          <w:rFonts w:ascii="Calibri Light" w:hAnsi="Calibri Light" w:cs="Calibri Light"/>
        </w:rPr>
        <w:t xml:space="preserve">in the discussion of levy variance </w:t>
      </w:r>
      <w:r w:rsidR="0089731B">
        <w:rPr>
          <w:rFonts w:ascii="Calibri Light" w:hAnsi="Calibri Light" w:cs="Calibri Light"/>
        </w:rPr>
        <w:t>earlier in this paper.</w:t>
      </w:r>
    </w:p>
    <w:p w14:paraId="7352C253" w14:textId="79E1F116" w:rsidR="00E90BD5" w:rsidRPr="00AA50E7" w:rsidRDefault="00574D0F" w:rsidP="004351A3">
      <w:pPr>
        <w:pStyle w:val="NoSpacing"/>
        <w:spacing w:before="120" w:after="120"/>
        <w:rPr>
          <w:rFonts w:ascii="Calibri Light" w:hAnsi="Calibri Light" w:cs="Calibri Light"/>
        </w:rPr>
      </w:pPr>
      <w:r>
        <w:rPr>
          <w:rFonts w:ascii="Calibri Light" w:hAnsi="Calibri Light" w:cs="Calibri Light"/>
        </w:rPr>
        <w:t xml:space="preserve">Stakeholders have also raised concerns about the timing for the publication of </w:t>
      </w:r>
      <w:r w:rsidR="00087D00">
        <w:rPr>
          <w:rFonts w:ascii="Calibri Light" w:hAnsi="Calibri Light" w:cs="Calibri Light"/>
        </w:rPr>
        <w:t>information</w:t>
      </w:r>
      <w:r>
        <w:rPr>
          <w:rFonts w:ascii="Calibri Light" w:hAnsi="Calibri Light" w:cs="Calibri Light"/>
        </w:rPr>
        <w:t xml:space="preserve"> explaining material variances between estimated and actual levies. Currently, </w:t>
      </w:r>
      <w:r w:rsidR="001C251E" w:rsidRPr="00574D0F">
        <w:rPr>
          <w:rFonts w:ascii="Calibri Light" w:hAnsi="Calibri Light" w:cs="Calibri Light"/>
        </w:rPr>
        <w:t xml:space="preserve">ASIC </w:t>
      </w:r>
      <w:r>
        <w:rPr>
          <w:rFonts w:ascii="Calibri Light" w:hAnsi="Calibri Light" w:cs="Calibri Light"/>
        </w:rPr>
        <w:t>uses the CRIS to</w:t>
      </w:r>
      <w:r w:rsidRPr="00574D0F">
        <w:rPr>
          <w:rFonts w:ascii="Calibri Light" w:hAnsi="Calibri Light" w:cs="Calibri Light"/>
        </w:rPr>
        <w:t xml:space="preserve"> </w:t>
      </w:r>
      <w:r w:rsidR="00E90BD5" w:rsidRPr="00574D0F">
        <w:rPr>
          <w:rFonts w:ascii="Calibri Light" w:hAnsi="Calibri Light" w:cs="Calibri Light"/>
        </w:rPr>
        <w:t>outline</w:t>
      </w:r>
      <w:r w:rsidR="001C251E" w:rsidRPr="00574D0F">
        <w:rPr>
          <w:rFonts w:ascii="Calibri Light" w:hAnsi="Calibri Light" w:cs="Calibri Light"/>
        </w:rPr>
        <w:t xml:space="preserve"> the variance between its levy estimates </w:t>
      </w:r>
      <w:r w:rsidR="00A72FAE" w:rsidRPr="00574D0F">
        <w:rPr>
          <w:rFonts w:ascii="Calibri Light" w:hAnsi="Calibri Light" w:cs="Calibri Light"/>
        </w:rPr>
        <w:t xml:space="preserve">and </w:t>
      </w:r>
      <w:r w:rsidR="001C251E" w:rsidRPr="00574D0F">
        <w:rPr>
          <w:rFonts w:ascii="Calibri Light" w:hAnsi="Calibri Light" w:cs="Calibri Light"/>
        </w:rPr>
        <w:t xml:space="preserve">actual levies </w:t>
      </w:r>
      <w:r w:rsidR="00A72FAE" w:rsidRPr="00574D0F">
        <w:rPr>
          <w:rFonts w:ascii="Calibri Light" w:hAnsi="Calibri Light" w:cs="Calibri Light"/>
        </w:rPr>
        <w:t>for the previous financial year</w:t>
      </w:r>
      <w:r w:rsidR="00E90BD5" w:rsidRPr="00574D0F">
        <w:rPr>
          <w:rFonts w:ascii="Calibri Light" w:hAnsi="Calibri Light" w:cs="Calibri Light"/>
        </w:rPr>
        <w:t xml:space="preserve">. Additional commentary is provided for </w:t>
      </w:r>
      <w:r w:rsidR="00F33074">
        <w:rPr>
          <w:rFonts w:ascii="Calibri Light" w:hAnsi="Calibri Light" w:cs="Calibri Light"/>
        </w:rPr>
        <w:t>sub</w:t>
      </w:r>
      <w:r w:rsidR="00F33074">
        <w:rPr>
          <w:rFonts w:ascii="Calibri Light" w:hAnsi="Calibri Light" w:cs="Calibri Light"/>
        </w:rPr>
        <w:noBreakHyphen/>
      </w:r>
      <w:r w:rsidR="00527197">
        <w:rPr>
          <w:rFonts w:ascii="Calibri Light" w:hAnsi="Calibri Light" w:cs="Calibri Light"/>
        </w:rPr>
        <w:t>sector</w:t>
      </w:r>
      <w:r w:rsidR="00E90BD5" w:rsidRPr="00574D0F">
        <w:rPr>
          <w:rFonts w:ascii="Calibri Light" w:hAnsi="Calibri Light" w:cs="Calibri Light"/>
        </w:rPr>
        <w:t>s which experience a material variance</w:t>
      </w:r>
      <w:r>
        <w:rPr>
          <w:rFonts w:ascii="Calibri Light" w:hAnsi="Calibri Light" w:cs="Calibri Light"/>
        </w:rPr>
        <w:t xml:space="preserve"> (that is,</w:t>
      </w:r>
      <w:r w:rsidR="00BE4085" w:rsidRPr="00574D0F">
        <w:rPr>
          <w:rFonts w:ascii="Calibri Light" w:hAnsi="Calibri Light" w:cs="Calibri Light"/>
        </w:rPr>
        <w:t xml:space="preserve"> </w:t>
      </w:r>
      <w:r w:rsidR="00E90BD5" w:rsidRPr="00574D0F">
        <w:rPr>
          <w:rFonts w:ascii="Calibri Light" w:hAnsi="Calibri Light" w:cs="Calibri Light"/>
        </w:rPr>
        <w:t>if</w:t>
      </w:r>
      <w:r w:rsidR="001C251E" w:rsidRPr="00574D0F">
        <w:rPr>
          <w:rFonts w:ascii="Calibri Light" w:hAnsi="Calibri Light" w:cs="Calibri Light"/>
        </w:rPr>
        <w:t xml:space="preserve"> the difference between the total actual costs and the estimated costs for the </w:t>
      </w:r>
      <w:r w:rsidR="00F33074">
        <w:rPr>
          <w:rFonts w:ascii="Calibri Light" w:hAnsi="Calibri Light" w:cs="Calibri Light"/>
        </w:rPr>
        <w:t>sub</w:t>
      </w:r>
      <w:r w:rsidR="00F33074">
        <w:rPr>
          <w:rFonts w:ascii="Calibri Light" w:hAnsi="Calibri Light" w:cs="Calibri Light"/>
        </w:rPr>
        <w:noBreakHyphen/>
        <w:t>sector</w:t>
      </w:r>
      <w:r w:rsidR="001C251E" w:rsidRPr="00574D0F">
        <w:rPr>
          <w:rFonts w:ascii="Calibri Light" w:hAnsi="Calibri Light" w:cs="Calibri Light"/>
        </w:rPr>
        <w:t xml:space="preserve"> </w:t>
      </w:r>
      <w:r w:rsidR="00FC07E2">
        <w:rPr>
          <w:rFonts w:ascii="Calibri Light" w:hAnsi="Calibri Light" w:cs="Calibri Light"/>
        </w:rPr>
        <w:t>is</w:t>
      </w:r>
      <w:r w:rsidR="001C251E" w:rsidRPr="00574D0F">
        <w:rPr>
          <w:rFonts w:ascii="Calibri Light" w:hAnsi="Calibri Light" w:cs="Calibri Light"/>
        </w:rPr>
        <w:t xml:space="preserve"> greater than 10</w:t>
      </w:r>
      <w:r w:rsidR="0055113D">
        <w:rPr>
          <w:rFonts w:ascii="Calibri Light" w:hAnsi="Calibri Light" w:cs="Calibri Light"/>
        </w:rPr>
        <w:t xml:space="preserve"> per cent</w:t>
      </w:r>
      <w:r w:rsidR="001C251E" w:rsidRPr="00574D0F">
        <w:rPr>
          <w:rFonts w:ascii="Calibri Light" w:hAnsi="Calibri Light" w:cs="Calibri Light"/>
        </w:rPr>
        <w:t xml:space="preserve"> of the estimated costs and greater than $2 million in total</w:t>
      </w:r>
      <w:r>
        <w:rPr>
          <w:rFonts w:ascii="Calibri Light" w:hAnsi="Calibri Light" w:cs="Calibri Light"/>
        </w:rPr>
        <w:t>)</w:t>
      </w:r>
      <w:r w:rsidR="001C251E" w:rsidRPr="00574D0F">
        <w:rPr>
          <w:rFonts w:ascii="Calibri Light" w:hAnsi="Calibri Light" w:cs="Calibri Light"/>
        </w:rPr>
        <w:t xml:space="preserve">. </w:t>
      </w:r>
      <w:r w:rsidR="00E90BD5" w:rsidRPr="004351A3">
        <w:rPr>
          <w:rFonts w:ascii="Calibri Light" w:hAnsi="Calibri Light" w:cs="Calibri Light"/>
        </w:rPr>
        <w:t xml:space="preserve">Stakeholder feedback </w:t>
      </w:r>
      <w:r w:rsidR="00201E4E">
        <w:rPr>
          <w:rFonts w:ascii="Calibri Light" w:hAnsi="Calibri Light" w:cs="Calibri Light"/>
        </w:rPr>
        <w:t xml:space="preserve">has </w:t>
      </w:r>
      <w:r w:rsidR="00E90BD5" w:rsidRPr="004351A3">
        <w:rPr>
          <w:rFonts w:ascii="Calibri Light" w:hAnsi="Calibri Light" w:cs="Calibri Light"/>
        </w:rPr>
        <w:t>indicated that th</w:t>
      </w:r>
      <w:r w:rsidR="00201E4E">
        <w:rPr>
          <w:rFonts w:ascii="Calibri Light" w:hAnsi="Calibri Light" w:cs="Calibri Light"/>
        </w:rPr>
        <w:t>is</w:t>
      </w:r>
      <w:r w:rsidR="00E90BD5" w:rsidRPr="0089731B">
        <w:rPr>
          <w:rFonts w:ascii="Calibri Light" w:hAnsi="Calibri Light" w:cs="Calibri Light"/>
        </w:rPr>
        <w:t xml:space="preserve"> timing is too late, noting</w:t>
      </w:r>
      <w:r w:rsidR="00201E4E">
        <w:rPr>
          <w:rFonts w:ascii="Calibri Light" w:hAnsi="Calibri Light" w:cs="Calibri Light"/>
        </w:rPr>
        <w:t xml:space="preserve"> that it occurs after the relevant</w:t>
      </w:r>
      <w:r w:rsidR="00E90BD5" w:rsidRPr="004351A3">
        <w:rPr>
          <w:rFonts w:ascii="Calibri Light" w:hAnsi="Calibri Light" w:cs="Calibri Light"/>
        </w:rPr>
        <w:t xml:space="preserve"> invoices have been issued and paid. </w:t>
      </w:r>
      <w:r w:rsidR="00201E4E">
        <w:rPr>
          <w:rFonts w:ascii="Calibri Light" w:hAnsi="Calibri Light" w:cs="Calibri Light"/>
        </w:rPr>
        <w:t>Stakeholders have s</w:t>
      </w:r>
      <w:r w:rsidR="00E3482A">
        <w:rPr>
          <w:rFonts w:ascii="Calibri Light" w:hAnsi="Calibri Light" w:cs="Calibri Light"/>
        </w:rPr>
        <w:t xml:space="preserve">uggested this information should be provided </w:t>
      </w:r>
      <w:r w:rsidR="004351A3">
        <w:rPr>
          <w:rFonts w:ascii="Calibri Light" w:hAnsi="Calibri Light" w:cs="Calibri Light"/>
        </w:rPr>
        <w:t>at the same time as ASIC publishes final levies</w:t>
      </w:r>
      <w:r w:rsidR="00E90BD5" w:rsidRPr="00AA50E7">
        <w:rPr>
          <w:rFonts w:ascii="Calibri Light" w:hAnsi="Calibri Light" w:cs="Calibri Light"/>
        </w:rPr>
        <w:t xml:space="preserve">. </w:t>
      </w:r>
    </w:p>
    <w:p w14:paraId="37920549" w14:textId="77777777" w:rsidR="00DB63C0" w:rsidRDefault="00DB63C0" w:rsidP="005861F3">
      <w:pPr>
        <w:spacing w:before="0" w:after="160" w:line="259" w:lineRule="auto"/>
      </w:pPr>
    </w:p>
    <w:p w14:paraId="26F3EB6D" w14:textId="77777777" w:rsidR="00DB63C0" w:rsidRDefault="00DB63C0" w:rsidP="005861F3">
      <w:pPr>
        <w:spacing w:before="0" w:after="160" w:line="259" w:lineRule="auto"/>
      </w:pPr>
    </w:p>
    <w:tbl>
      <w:tblPr>
        <w:tblW w:w="5061" w:type="pct"/>
        <w:shd w:val="clear" w:color="auto" w:fill="F2F9FC"/>
        <w:tblCellMar>
          <w:top w:w="227" w:type="dxa"/>
          <w:left w:w="227" w:type="dxa"/>
          <w:bottom w:w="227" w:type="dxa"/>
          <w:right w:w="227" w:type="dxa"/>
        </w:tblCellMar>
        <w:tblLook w:val="01E0" w:firstRow="1" w:lastRow="1" w:firstColumn="1" w:lastColumn="1" w:noHBand="0" w:noVBand="0"/>
      </w:tblPr>
      <w:tblGrid>
        <w:gridCol w:w="9181"/>
      </w:tblGrid>
      <w:tr w:rsidR="00A94A8B" w14:paraId="4A08C1EF" w14:textId="77777777" w:rsidTr="00457660">
        <w:trPr>
          <w:trHeight w:val="3515"/>
        </w:trPr>
        <w:tc>
          <w:tcPr>
            <w:tcW w:w="5000" w:type="pct"/>
            <w:shd w:val="clear" w:color="auto" w:fill="F2F9FC"/>
            <w:hideMark/>
          </w:tcPr>
          <w:p w14:paraId="21BD2859" w14:textId="7D06A077" w:rsidR="00A94A8B" w:rsidRPr="009D3E1D" w:rsidRDefault="00B97859" w:rsidP="00092B3C">
            <w:pPr>
              <w:pStyle w:val="BoxHeading"/>
              <w:numPr>
                <w:ilvl w:val="0"/>
                <w:numId w:val="0"/>
              </w:numPr>
              <w:spacing w:before="0"/>
            </w:pPr>
            <w:r>
              <w:lastRenderedPageBreak/>
              <w:t xml:space="preserve">5: </w:t>
            </w:r>
            <w:r w:rsidR="00A94A8B" w:rsidRPr="009D3E1D">
              <w:t xml:space="preserve">Examples of </w:t>
            </w:r>
            <w:r w:rsidR="00A25A81" w:rsidRPr="009D3E1D">
              <w:t>adjust</w:t>
            </w:r>
            <w:r w:rsidR="00A25A81">
              <w:t>ments to</w:t>
            </w:r>
            <w:r w:rsidR="00A25A81" w:rsidRPr="009D3E1D">
              <w:t xml:space="preserve"> </w:t>
            </w:r>
            <w:r w:rsidR="00E17772">
              <w:t xml:space="preserve">reporting, </w:t>
            </w:r>
            <w:r w:rsidR="0082680B">
              <w:t>transparency,</w:t>
            </w:r>
            <w:r w:rsidR="00E17772">
              <w:t xml:space="preserve"> and </w:t>
            </w:r>
            <w:r w:rsidR="009F4E76">
              <w:t>consultation</w:t>
            </w:r>
            <w:r w:rsidR="009C4DF4">
              <w:rPr>
                <w:rStyle w:val="FootnoteReference"/>
              </w:rPr>
              <w:footnoteReference w:id="18"/>
            </w:r>
          </w:p>
          <w:p w14:paraId="15F429EC" w14:textId="24E522CE" w:rsidR="005A183E" w:rsidRPr="00C17498" w:rsidRDefault="00A94A8B" w:rsidP="00C17498">
            <w:pPr>
              <w:pStyle w:val="BoxText"/>
              <w:rPr>
                <w:b/>
                <w:bCs/>
                <w:lang w:eastAsia="en-US"/>
              </w:rPr>
            </w:pPr>
            <w:r w:rsidRPr="00927E7B">
              <w:rPr>
                <w:rFonts w:cs="Calibri Light"/>
                <w:b/>
                <w:lang w:eastAsia="en-US"/>
              </w:rPr>
              <w:t xml:space="preserve">Option 1: </w:t>
            </w:r>
            <w:r w:rsidR="008D1DEB" w:rsidRPr="00C17498">
              <w:rPr>
                <w:lang w:eastAsia="en-US"/>
              </w:rPr>
              <w:t>Reframe</w:t>
            </w:r>
            <w:r w:rsidR="00203387" w:rsidRPr="00C17498">
              <w:rPr>
                <w:lang w:eastAsia="en-US"/>
              </w:rPr>
              <w:t xml:space="preserve"> the purpose </w:t>
            </w:r>
            <w:r w:rsidR="008D1DEB" w:rsidRPr="00C17498">
              <w:rPr>
                <w:lang w:eastAsia="en-US"/>
              </w:rPr>
              <w:t>and role</w:t>
            </w:r>
            <w:r w:rsidR="00203387" w:rsidRPr="00C17498">
              <w:rPr>
                <w:lang w:eastAsia="en-US"/>
              </w:rPr>
              <w:t xml:space="preserve"> of the CRIS to focus on transparency</w:t>
            </w:r>
            <w:r w:rsidR="008D1DEB" w:rsidRPr="00C17498">
              <w:rPr>
                <w:lang w:eastAsia="en-US"/>
              </w:rPr>
              <w:t xml:space="preserve"> </w:t>
            </w:r>
            <w:r w:rsidR="002C7313" w:rsidRPr="00C17498">
              <w:rPr>
                <w:lang w:eastAsia="en-US"/>
              </w:rPr>
              <w:t>(</w:t>
            </w:r>
            <w:r w:rsidR="008D1DEB" w:rsidRPr="00C17498">
              <w:rPr>
                <w:lang w:eastAsia="en-US"/>
              </w:rPr>
              <w:t>rather than</w:t>
            </w:r>
            <w:r w:rsidR="001E2D20" w:rsidRPr="00C17498">
              <w:rPr>
                <w:lang w:eastAsia="en-US"/>
              </w:rPr>
              <w:t xml:space="preserve"> </w:t>
            </w:r>
            <w:r w:rsidR="004E278D" w:rsidRPr="00C17498">
              <w:rPr>
                <w:lang w:eastAsia="en-US"/>
              </w:rPr>
              <w:t xml:space="preserve">also </w:t>
            </w:r>
            <w:r w:rsidR="001E2D20" w:rsidRPr="00C17498">
              <w:rPr>
                <w:lang w:eastAsia="en-US"/>
              </w:rPr>
              <w:t>consultation</w:t>
            </w:r>
            <w:r w:rsidR="002C7313" w:rsidRPr="00C17498">
              <w:rPr>
                <w:lang w:eastAsia="en-US"/>
              </w:rPr>
              <w:t>)</w:t>
            </w:r>
            <w:r w:rsidR="005E347A" w:rsidRPr="00C17498">
              <w:rPr>
                <w:lang w:eastAsia="en-US"/>
              </w:rPr>
              <w:t xml:space="preserve"> </w:t>
            </w:r>
            <w:r w:rsidR="002C7313" w:rsidRPr="00C17498">
              <w:rPr>
                <w:lang w:eastAsia="en-US"/>
              </w:rPr>
              <w:t xml:space="preserve">and publish </w:t>
            </w:r>
            <w:r w:rsidR="000074DA" w:rsidRPr="00C17498">
              <w:rPr>
                <w:lang w:eastAsia="en-US"/>
              </w:rPr>
              <w:t>only one CRIS each year (rather than a draft and final)</w:t>
            </w:r>
            <w:r w:rsidR="00755BCD">
              <w:rPr>
                <w:lang w:eastAsia="en-US"/>
              </w:rPr>
              <w:t xml:space="preserve">, with </w:t>
            </w:r>
            <w:r w:rsidR="009223CC">
              <w:rPr>
                <w:lang w:eastAsia="en-US"/>
              </w:rPr>
              <w:t>other mechanisms used for industry consultation (such as Option 2)</w:t>
            </w:r>
            <w:r w:rsidR="00203387" w:rsidRPr="00C17498">
              <w:rPr>
                <w:lang w:eastAsia="en-US"/>
              </w:rPr>
              <w:t>.</w:t>
            </w:r>
          </w:p>
          <w:p w14:paraId="0F043F9F" w14:textId="6BEAC410" w:rsidR="00C30F7B" w:rsidRPr="00C17498" w:rsidRDefault="00C30F7B" w:rsidP="00C17498">
            <w:pPr>
              <w:pStyle w:val="BoxText"/>
              <w:rPr>
                <w:b/>
                <w:bCs/>
                <w:lang w:eastAsia="en-US"/>
              </w:rPr>
            </w:pPr>
            <w:r>
              <w:rPr>
                <w:rFonts w:cs="Calibri Light"/>
                <w:b/>
                <w:szCs w:val="22"/>
              </w:rPr>
              <w:t xml:space="preserve">Option 2: </w:t>
            </w:r>
            <w:r w:rsidRPr="00C17498">
              <w:rPr>
                <w:lang w:eastAsia="en-US"/>
              </w:rPr>
              <w:t xml:space="preserve">Introduce other industry consultation mechanisms – </w:t>
            </w:r>
            <w:r w:rsidR="00E2380B" w:rsidRPr="00C17498">
              <w:rPr>
                <w:lang w:eastAsia="en-US"/>
              </w:rPr>
              <w:t>for example</w:t>
            </w:r>
            <w:r w:rsidR="009F4E76" w:rsidRPr="00C17498">
              <w:rPr>
                <w:lang w:eastAsia="en-US"/>
              </w:rPr>
              <w:t xml:space="preserve">, </w:t>
            </w:r>
            <w:r w:rsidR="009F4E76">
              <w:t xml:space="preserve">less frequent but more substantive consultation on the IFM’s policy settings </w:t>
            </w:r>
            <w:r w:rsidR="008D1DEB">
              <w:t xml:space="preserve">undertaken jointly </w:t>
            </w:r>
            <w:r w:rsidR="009F4E76">
              <w:t>by ASIC</w:t>
            </w:r>
            <w:r w:rsidR="009F4E76" w:rsidRPr="00C17498">
              <w:rPr>
                <w:lang w:eastAsia="en-US"/>
              </w:rPr>
              <w:t xml:space="preserve"> and </w:t>
            </w:r>
            <w:r w:rsidR="009F4E76">
              <w:t>Treasury.</w:t>
            </w:r>
          </w:p>
          <w:p w14:paraId="57FCAAA1" w14:textId="0148939A" w:rsidR="00485B2C" w:rsidRPr="00C17498" w:rsidRDefault="00485B2C" w:rsidP="00C17498">
            <w:pPr>
              <w:pStyle w:val="BoxText"/>
              <w:rPr>
                <w:b/>
                <w:bCs/>
                <w:lang w:eastAsia="en-US"/>
              </w:rPr>
            </w:pPr>
            <w:r w:rsidRPr="007D27B7">
              <w:rPr>
                <w:b/>
              </w:rPr>
              <w:t xml:space="preserve">Option </w:t>
            </w:r>
            <w:r w:rsidR="007359BC">
              <w:rPr>
                <w:b/>
              </w:rPr>
              <w:t>3</w:t>
            </w:r>
            <w:r w:rsidRPr="007D27B7">
              <w:rPr>
                <w:b/>
              </w:rPr>
              <w:t>:</w:t>
            </w:r>
            <w:r>
              <w:rPr>
                <w:b/>
              </w:rPr>
              <w:t xml:space="preserve"> </w:t>
            </w:r>
            <w:r w:rsidR="00EB24F1" w:rsidRPr="00C17498">
              <w:rPr>
                <w:lang w:eastAsia="en-US"/>
              </w:rPr>
              <w:t>Ensure the</w:t>
            </w:r>
            <w:r w:rsidRPr="00C17498">
              <w:rPr>
                <w:lang w:eastAsia="en-US"/>
              </w:rPr>
              <w:t xml:space="preserve"> CRIS </w:t>
            </w:r>
            <w:r w:rsidR="008D2E4D" w:rsidRPr="00C17498">
              <w:rPr>
                <w:lang w:eastAsia="en-US"/>
              </w:rPr>
              <w:t>is published</w:t>
            </w:r>
            <w:r w:rsidRPr="00C17498">
              <w:rPr>
                <w:lang w:eastAsia="en-US"/>
              </w:rPr>
              <w:t xml:space="preserve"> at </w:t>
            </w:r>
            <w:r w:rsidR="00EB24F1" w:rsidRPr="00C17498">
              <w:rPr>
                <w:lang w:eastAsia="en-US"/>
              </w:rPr>
              <w:t>a more consistent time each year</w:t>
            </w:r>
            <w:r w:rsidRPr="00C17498">
              <w:rPr>
                <w:lang w:eastAsia="en-US"/>
              </w:rPr>
              <w:t>.</w:t>
            </w:r>
          </w:p>
          <w:p w14:paraId="39B45067" w14:textId="1056E1A3" w:rsidR="009B1C73" w:rsidRPr="00C17498" w:rsidRDefault="00BD38E8" w:rsidP="00C17498">
            <w:pPr>
              <w:pStyle w:val="BoxText"/>
              <w:rPr>
                <w:b/>
                <w:bCs/>
                <w:lang w:eastAsia="en-US"/>
              </w:rPr>
            </w:pPr>
            <w:r w:rsidRPr="007D27B7">
              <w:rPr>
                <w:b/>
              </w:rPr>
              <w:t xml:space="preserve">Option </w:t>
            </w:r>
            <w:r w:rsidR="007359BC">
              <w:rPr>
                <w:b/>
              </w:rPr>
              <w:t>4</w:t>
            </w:r>
            <w:r w:rsidRPr="007D27B7">
              <w:rPr>
                <w:b/>
              </w:rPr>
              <w:t>:</w:t>
            </w:r>
            <w:r>
              <w:rPr>
                <w:b/>
              </w:rPr>
              <w:t xml:space="preserve"> </w:t>
            </w:r>
            <w:r w:rsidR="009B1C73" w:rsidRPr="00C17498">
              <w:rPr>
                <w:lang w:eastAsia="en-US"/>
              </w:rPr>
              <w:t>P</w:t>
            </w:r>
            <w:r w:rsidR="001A232D" w:rsidRPr="00C17498">
              <w:rPr>
                <w:lang w:eastAsia="en-US"/>
              </w:rPr>
              <w:t>ublish</w:t>
            </w:r>
            <w:r w:rsidR="009B1C73" w:rsidRPr="00C17498">
              <w:rPr>
                <w:lang w:eastAsia="en-US"/>
              </w:rPr>
              <w:t xml:space="preserve"> </w:t>
            </w:r>
            <w:r w:rsidR="00EF55FF">
              <w:rPr>
                <w:lang w:eastAsia="en-US"/>
              </w:rPr>
              <w:t xml:space="preserve">the </w:t>
            </w:r>
            <w:r w:rsidR="009B1C73" w:rsidRPr="00C17498">
              <w:rPr>
                <w:lang w:eastAsia="en-US"/>
              </w:rPr>
              <w:t xml:space="preserve">explanations for </w:t>
            </w:r>
            <w:r w:rsidR="003C4EAE" w:rsidRPr="00C17498">
              <w:rPr>
                <w:lang w:eastAsia="en-US"/>
              </w:rPr>
              <w:t xml:space="preserve">material </w:t>
            </w:r>
            <w:r w:rsidR="009B1C73" w:rsidRPr="00C17498">
              <w:rPr>
                <w:lang w:eastAsia="en-US"/>
              </w:rPr>
              <w:t>variances between estimated and actual levies</w:t>
            </w:r>
            <w:r w:rsidR="001A232D" w:rsidRPr="00C17498" w:rsidDel="009B1C73">
              <w:rPr>
                <w:lang w:eastAsia="en-US"/>
              </w:rPr>
              <w:t xml:space="preserve"> </w:t>
            </w:r>
            <w:r w:rsidR="007359BC">
              <w:t>soon after the actual levies are determined</w:t>
            </w:r>
            <w:r w:rsidR="009B1C73">
              <w:t xml:space="preserve"> (</w:t>
            </w:r>
            <w:r w:rsidR="00207ADE">
              <w:t>these are currently reported</w:t>
            </w:r>
            <w:r w:rsidR="009B1C73">
              <w:t xml:space="preserve"> in the follow</w:t>
            </w:r>
            <w:r w:rsidR="002E254B">
              <w:t>ing</w:t>
            </w:r>
            <w:r w:rsidR="009B1C73">
              <w:t xml:space="preserve"> year’s CRIS)</w:t>
            </w:r>
            <w:r w:rsidR="009F4E76">
              <w:t>.</w:t>
            </w:r>
          </w:p>
          <w:p w14:paraId="7DEEB7A9" w14:textId="13D8BBF5" w:rsidR="00A94A8B" w:rsidRPr="00C17498" w:rsidRDefault="00016DFB" w:rsidP="005B5488">
            <w:pPr>
              <w:pStyle w:val="BoxText"/>
              <w:rPr>
                <w:lang w:eastAsia="en-US"/>
              </w:rPr>
            </w:pPr>
            <w:r>
              <w:t>This paper seeks stakeholders’ views on the options identified above.</w:t>
            </w:r>
            <w:r w:rsidRPr="00C17498">
              <w:t xml:space="preserve"> </w:t>
            </w:r>
          </w:p>
        </w:tc>
      </w:tr>
      <w:tr w:rsidR="00A94A8B" w14:paraId="2947ABE5" w14:textId="77777777" w:rsidTr="00457660">
        <w:tblPrEx>
          <w:shd w:val="clear" w:color="auto" w:fill="EEEEEE" w:themeFill="background2"/>
        </w:tblPrEx>
        <w:trPr>
          <w:trHeight w:val="5506"/>
        </w:trPr>
        <w:tc>
          <w:tcPr>
            <w:tcW w:w="5000" w:type="pct"/>
            <w:shd w:val="clear" w:color="auto" w:fill="EEEEEE" w:themeFill="background2"/>
          </w:tcPr>
          <w:p w14:paraId="4D04CB42" w14:textId="47EBEEA0" w:rsidR="00ED4067" w:rsidRPr="000D1284" w:rsidRDefault="00ED4067" w:rsidP="00457660">
            <w:pPr>
              <w:pStyle w:val="BoxHeading"/>
              <w:numPr>
                <w:ilvl w:val="0"/>
                <w:numId w:val="0"/>
              </w:numPr>
              <w:spacing w:before="120"/>
            </w:pPr>
            <w:r>
              <w:t xml:space="preserve">Questions </w:t>
            </w:r>
          </w:p>
          <w:p w14:paraId="45BF6FE2" w14:textId="3A6B0C0C" w:rsidR="00ED4067" w:rsidRDefault="00ED4067" w:rsidP="009114BE">
            <w:pPr>
              <w:pStyle w:val="OutlineNumbered1"/>
              <w:numPr>
                <w:ilvl w:val="0"/>
                <w:numId w:val="40"/>
              </w:numPr>
              <w:rPr>
                <w:lang w:eastAsia="en-US"/>
              </w:rPr>
            </w:pPr>
            <w:r w:rsidRPr="003032BE">
              <w:rPr>
                <w:lang w:eastAsia="en-US"/>
              </w:rPr>
              <w:t>How do regulated entities and other stakeholders engage with ASIC’s transparency and consultation mechanisms relating to the IFM? What aspects are most useful?</w:t>
            </w:r>
          </w:p>
          <w:p w14:paraId="4BF69039" w14:textId="6DA1076C" w:rsidR="00ED4067" w:rsidRPr="003032BE" w:rsidRDefault="00ED4067" w:rsidP="009114BE">
            <w:pPr>
              <w:pStyle w:val="OutlineNumbered1"/>
              <w:numPr>
                <w:ilvl w:val="1"/>
                <w:numId w:val="40"/>
              </w:numPr>
              <w:tabs>
                <w:tab w:val="clear" w:pos="1040"/>
                <w:tab w:val="num" w:pos="851"/>
                <w:tab w:val="num" w:pos="1440"/>
              </w:tabs>
              <w:rPr>
                <w:lang w:eastAsia="en-US"/>
              </w:rPr>
            </w:pPr>
            <w:r>
              <w:rPr>
                <w:lang w:eastAsia="en-US"/>
              </w:rPr>
              <w:t>What do stakeholders seek from mechanisms to engage with the IFM? Is it more important for these mechanisms to provide transparency, or to allow for stakeholder consultation and feedback?</w:t>
            </w:r>
            <w:r w:rsidRPr="003032BE">
              <w:rPr>
                <w:lang w:eastAsia="en-US"/>
              </w:rPr>
              <w:t xml:space="preserve"> </w:t>
            </w:r>
          </w:p>
          <w:p w14:paraId="65D22582" w14:textId="37B9EF05" w:rsidR="009234B0" w:rsidRDefault="00ED4067" w:rsidP="009114BE">
            <w:pPr>
              <w:pStyle w:val="OutlineNumbered1"/>
              <w:numPr>
                <w:ilvl w:val="0"/>
                <w:numId w:val="40"/>
              </w:numPr>
              <w:rPr>
                <w:lang w:eastAsia="en-US"/>
              </w:rPr>
            </w:pPr>
            <w:r w:rsidRPr="003032BE">
              <w:rPr>
                <w:lang w:eastAsia="en-US"/>
              </w:rPr>
              <w:t xml:space="preserve">Are the existing transparency </w:t>
            </w:r>
            <w:r>
              <w:rPr>
                <w:lang w:eastAsia="en-US"/>
              </w:rPr>
              <w:t xml:space="preserve">and consultation </w:t>
            </w:r>
            <w:r w:rsidRPr="003032BE">
              <w:rPr>
                <w:lang w:eastAsia="en-US"/>
              </w:rPr>
              <w:t>mechanisms in relation to the IFM appropriate?</w:t>
            </w:r>
          </w:p>
          <w:p w14:paraId="3AAEFBA7" w14:textId="03456ECF" w:rsidR="00ED4067" w:rsidRPr="003032BE" w:rsidRDefault="00ED4067" w:rsidP="009114BE">
            <w:pPr>
              <w:pStyle w:val="OutlineNumbered1"/>
              <w:numPr>
                <w:ilvl w:val="1"/>
                <w:numId w:val="40"/>
              </w:numPr>
              <w:tabs>
                <w:tab w:val="clear" w:pos="1040"/>
                <w:tab w:val="num" w:pos="851"/>
                <w:tab w:val="num" w:pos="1440"/>
              </w:tabs>
            </w:pPr>
            <w:r w:rsidRPr="003032BE">
              <w:t xml:space="preserve">Would changes to existing mechanisms </w:t>
            </w:r>
            <w:r w:rsidRPr="003032BE" w:rsidDel="0035185C">
              <w:t>or alternative</w:t>
            </w:r>
            <w:r>
              <w:t xml:space="preserve"> mechanisms</w:t>
            </w:r>
            <w:r w:rsidRPr="003032BE">
              <w:t xml:space="preserve"> be beneficial? If so, what changes could be adopted and what benefits would they provide?</w:t>
            </w:r>
          </w:p>
          <w:p w14:paraId="6781B99A" w14:textId="349173CC" w:rsidR="009234B0" w:rsidRDefault="00ED4067" w:rsidP="009114BE">
            <w:pPr>
              <w:pStyle w:val="OutlineNumbered1"/>
              <w:numPr>
                <w:ilvl w:val="0"/>
                <w:numId w:val="40"/>
              </w:numPr>
              <w:rPr>
                <w:lang w:eastAsia="en-US"/>
              </w:rPr>
            </w:pPr>
            <w:r>
              <w:rPr>
                <w:lang w:eastAsia="en-US"/>
              </w:rPr>
              <w:t>How is the CRIS used by regulated entities and other stakeholders, and do stakeholders find the information in the CRIS useful?</w:t>
            </w:r>
          </w:p>
          <w:p w14:paraId="769A15A9" w14:textId="42446D67" w:rsidR="00ED4067" w:rsidRDefault="00ED4067" w:rsidP="009114BE">
            <w:pPr>
              <w:pStyle w:val="OutlineNumbered1"/>
              <w:numPr>
                <w:ilvl w:val="1"/>
                <w:numId w:val="40"/>
              </w:numPr>
              <w:tabs>
                <w:tab w:val="clear" w:pos="1040"/>
                <w:tab w:val="num" w:pos="851"/>
                <w:tab w:val="num" w:pos="1440"/>
              </w:tabs>
              <w:rPr>
                <w:lang w:eastAsia="en-US"/>
              </w:rPr>
            </w:pPr>
            <w:r>
              <w:rPr>
                <w:lang w:eastAsia="en-US"/>
              </w:rPr>
              <w:t>Could improvements be made to the CRIS, including the form/format and nature of information provided? If so, what improvements and what benefits would they provide?</w:t>
            </w:r>
          </w:p>
          <w:p w14:paraId="35D031D2" w14:textId="1507E0FB" w:rsidR="009234B0" w:rsidRDefault="00ED4067" w:rsidP="009114BE">
            <w:pPr>
              <w:pStyle w:val="OutlineNumbered1"/>
              <w:numPr>
                <w:ilvl w:val="1"/>
                <w:numId w:val="40"/>
              </w:numPr>
              <w:tabs>
                <w:tab w:val="clear" w:pos="1040"/>
                <w:tab w:val="num" w:pos="851"/>
                <w:tab w:val="num" w:pos="1440"/>
              </w:tabs>
              <w:rPr>
                <w:lang w:eastAsia="en-US"/>
              </w:rPr>
            </w:pPr>
            <w:r>
              <w:rPr>
                <w:lang w:eastAsia="en-US"/>
              </w:rPr>
              <w:t>At what time is it most beneficial for the CRIS to be published?</w:t>
            </w:r>
          </w:p>
          <w:p w14:paraId="5B2969E7" w14:textId="4AFB5147" w:rsidR="00ED4067" w:rsidRDefault="00ED4067" w:rsidP="009114BE">
            <w:pPr>
              <w:pStyle w:val="OutlineNumbered1"/>
              <w:numPr>
                <w:ilvl w:val="0"/>
                <w:numId w:val="40"/>
              </w:numPr>
              <w:tabs>
                <w:tab w:val="clear" w:pos="851"/>
              </w:tabs>
              <w:rPr>
                <w:lang w:eastAsia="en-US"/>
              </w:rPr>
            </w:pPr>
            <w:r w:rsidRPr="003032BE">
              <w:rPr>
                <w:lang w:eastAsia="en-US"/>
              </w:rPr>
              <w:t xml:space="preserve">Noting that changes to the IFM are for the most part decisions for the Government, is annual consultation by ASIC </w:t>
            </w:r>
            <w:r w:rsidR="00D37EF6">
              <w:rPr>
                <w:lang w:eastAsia="en-US"/>
              </w:rPr>
              <w:t>via</w:t>
            </w:r>
            <w:r w:rsidRPr="003032BE">
              <w:rPr>
                <w:lang w:eastAsia="en-US"/>
              </w:rPr>
              <w:t xml:space="preserve"> the CRIS useful?</w:t>
            </w:r>
            <w:r>
              <w:rPr>
                <w:lang w:eastAsia="en-US"/>
              </w:rPr>
              <w:t xml:space="preserve"> Would less frequent but more substantive consultation be preferable?</w:t>
            </w:r>
          </w:p>
          <w:p w14:paraId="0402B047" w14:textId="28708962" w:rsidR="009114BE" w:rsidRDefault="009114BE" w:rsidP="009114BE">
            <w:pPr>
              <w:pStyle w:val="OutlineNumbered1"/>
              <w:numPr>
                <w:ilvl w:val="0"/>
                <w:numId w:val="40"/>
              </w:numPr>
              <w:rPr>
                <w:lang w:eastAsia="en-US"/>
              </w:rPr>
            </w:pPr>
            <w:r w:rsidRPr="00F33B73">
              <w:rPr>
                <w:lang w:eastAsia="en-US"/>
              </w:rPr>
              <w:t xml:space="preserve">Are changes required to the criteria </w:t>
            </w:r>
            <w:r>
              <w:rPr>
                <w:lang w:eastAsia="en-US"/>
              </w:rPr>
              <w:t xml:space="preserve">determining </w:t>
            </w:r>
            <w:r w:rsidRPr="00F33B73">
              <w:rPr>
                <w:lang w:eastAsia="en-US"/>
              </w:rPr>
              <w:t>material variance</w:t>
            </w:r>
            <w:r w:rsidR="005C0F42">
              <w:rPr>
                <w:lang w:eastAsia="en-US"/>
              </w:rPr>
              <w:t>? I</w:t>
            </w:r>
            <w:r w:rsidRPr="00F33B73">
              <w:rPr>
                <w:lang w:eastAsia="en-US"/>
              </w:rPr>
              <w:t>f so, what should be changed</w:t>
            </w:r>
            <w:r w:rsidR="001D377B">
              <w:rPr>
                <w:lang w:eastAsia="en-US"/>
              </w:rPr>
              <w:t xml:space="preserve"> –</w:t>
            </w:r>
            <w:r>
              <w:rPr>
                <w:lang w:eastAsia="en-US"/>
              </w:rPr>
              <w:t xml:space="preserve"> the percentage </w:t>
            </w:r>
            <w:r w:rsidR="005C0F42">
              <w:rPr>
                <w:lang w:eastAsia="en-US"/>
              </w:rPr>
              <w:t>and/</w:t>
            </w:r>
            <w:r>
              <w:rPr>
                <w:lang w:eastAsia="en-US"/>
              </w:rPr>
              <w:t>or dollar value amount, or be based on the number of entities impacted</w:t>
            </w:r>
            <w:r w:rsidRPr="00F33B73">
              <w:rPr>
                <w:lang w:eastAsia="en-US"/>
              </w:rPr>
              <w:t xml:space="preserve">? </w:t>
            </w:r>
          </w:p>
          <w:p w14:paraId="4487BDEF" w14:textId="77777777" w:rsidR="000966C4" w:rsidRDefault="000966C4" w:rsidP="00804114">
            <w:pPr>
              <w:pStyle w:val="OutlineNumbered1"/>
              <w:numPr>
                <w:ilvl w:val="1"/>
                <w:numId w:val="40"/>
              </w:numPr>
              <w:tabs>
                <w:tab w:val="clear" w:pos="1040"/>
                <w:tab w:val="num" w:pos="851"/>
                <w:tab w:val="num" w:pos="1440"/>
              </w:tabs>
              <w:rPr>
                <w:lang w:eastAsia="en-US"/>
              </w:rPr>
            </w:pPr>
            <w:r>
              <w:rPr>
                <w:lang w:eastAsia="en-US"/>
              </w:rPr>
              <w:t xml:space="preserve">When </w:t>
            </w:r>
            <w:r w:rsidR="00D4395F">
              <w:rPr>
                <w:lang w:eastAsia="en-US"/>
              </w:rPr>
              <w:t>should information regarding material variations be published?</w:t>
            </w:r>
          </w:p>
          <w:p w14:paraId="69B03E01" w14:textId="7AFEE090" w:rsidR="007D2E4F" w:rsidRPr="000D1284" w:rsidRDefault="007D2E4F" w:rsidP="00457660">
            <w:pPr>
              <w:pStyle w:val="OutlineNumbered1"/>
              <w:numPr>
                <w:ilvl w:val="0"/>
                <w:numId w:val="40"/>
              </w:numPr>
              <w:tabs>
                <w:tab w:val="clear" w:pos="851"/>
              </w:tabs>
              <w:rPr>
                <w:lang w:eastAsia="en-US"/>
              </w:rPr>
            </w:pPr>
            <w:r w:rsidRPr="005F2BED">
              <w:t>What other information would be useful to regulated entities or other stakeholders to understand how ASIC sets its regulatory priorities and/or to understand the relationship between ASIC’s costs and the amounts recovered from industry? What benefits would additional information provide?</w:t>
            </w:r>
          </w:p>
        </w:tc>
      </w:tr>
    </w:tbl>
    <w:p w14:paraId="330ED8F5" w14:textId="30DD07F9" w:rsidR="005861F3" w:rsidRDefault="005861F3" w:rsidP="005861F3">
      <w:pPr>
        <w:pStyle w:val="Heading1"/>
        <w:jc w:val="right"/>
      </w:pPr>
      <w:bookmarkStart w:id="90" w:name="_Toc109834359"/>
      <w:bookmarkStart w:id="91" w:name="_Toc114214444"/>
      <w:r>
        <w:lastRenderedPageBreak/>
        <w:t>Appendix A: Terms of Reference</w:t>
      </w:r>
      <w:bookmarkEnd w:id="90"/>
      <w:bookmarkEnd w:id="91"/>
    </w:p>
    <w:p w14:paraId="634A56EE" w14:textId="00EAC1FD" w:rsidR="00F15F26" w:rsidRPr="00162B24" w:rsidRDefault="00F15F26" w:rsidP="00F15F26">
      <w:pPr>
        <w:spacing w:before="0" w:after="160" w:line="259" w:lineRule="auto"/>
        <w:rPr>
          <w:b/>
          <w:bCs/>
        </w:rPr>
      </w:pPr>
      <w:r w:rsidRPr="00162B24">
        <w:rPr>
          <w:b/>
          <w:bCs/>
        </w:rPr>
        <w:t xml:space="preserve">Purpose of </w:t>
      </w:r>
      <w:r w:rsidRPr="00162B24" w:rsidDel="00D41913">
        <w:rPr>
          <w:b/>
          <w:bCs/>
        </w:rPr>
        <w:t>the Review</w:t>
      </w:r>
    </w:p>
    <w:p w14:paraId="35F5DCD3" w14:textId="77777777" w:rsidR="00F15F26" w:rsidRDefault="00F15F26" w:rsidP="00F15F26">
      <w:pPr>
        <w:spacing w:before="0" w:after="160" w:line="259" w:lineRule="auto"/>
      </w:pPr>
      <w:r>
        <w:t>The Australian Securities and Investments Commission (ASIC) Industry Funding Model (IFM) commenced in July 2017, following a recommendation of the Financial System Inquiry that the Government introduce a cost recovery model for ASIC.</w:t>
      </w:r>
    </w:p>
    <w:p w14:paraId="342567DD" w14:textId="555BE9EF" w:rsidR="00F15F26" w:rsidRDefault="00F15F26" w:rsidP="00F15F26">
      <w:pPr>
        <w:spacing w:before="0" w:after="160" w:line="259" w:lineRule="auto"/>
      </w:pPr>
      <w:r>
        <w:t xml:space="preserve">The IFM is intended to meet the Australian Government’s 2015 Charging Framework objectives, requirements and Charging Policy Statement.  </w:t>
      </w:r>
    </w:p>
    <w:p w14:paraId="1A0E61A1" w14:textId="4FCAA6E5" w:rsidR="00F15F26" w:rsidRDefault="00F15F26" w:rsidP="00F15F26">
      <w:pPr>
        <w:spacing w:before="0" w:after="160" w:line="259" w:lineRule="auto"/>
      </w:pPr>
      <w:r>
        <w:t>In addition, Governments’ long-standing position is that cost recovery fees and levies attributable to regulated activity are considered as a funding mechanism prior to statutory</w:t>
      </w:r>
      <w:r w:rsidR="0080614B" w:rsidDel="0024554B">
        <w:t xml:space="preserve"> </w:t>
      </w:r>
      <w:r w:rsidDel="0024554B">
        <w:t>c</w:t>
      </w:r>
      <w:r>
        <w:t>harges (taxation) or budget funding.</w:t>
      </w:r>
    </w:p>
    <w:p w14:paraId="34C416E2" w14:textId="3CDE3E3B" w:rsidR="00F15F26" w:rsidRDefault="00F15F26" w:rsidP="00F15F26">
      <w:pPr>
        <w:spacing w:before="0" w:after="160" w:line="259" w:lineRule="auto"/>
      </w:pPr>
      <w:r>
        <w:t xml:space="preserve">The IFM determines which costs incurred by ASIC are recovered from which regulated </w:t>
      </w:r>
      <w:r w:rsidR="00F33074">
        <w:t>sub</w:t>
      </w:r>
      <w:r w:rsidR="00F33074">
        <w:noBreakHyphen/>
      </w:r>
      <w:r>
        <w:t xml:space="preserve">sectors, such that the cost is met by entities in the </w:t>
      </w:r>
      <w:r w:rsidR="00F33074">
        <w:t>sub</w:t>
      </w:r>
      <w:r w:rsidR="00F33074">
        <w:noBreakHyphen/>
      </w:r>
      <w:r>
        <w:t xml:space="preserve">sectors that create the need for regulation. Prior to the introduction of the IFM, ASIC was primarily funded by taxpayers through government appropriations. Costs are recovered in proportion to the costs incurred by ASIC in respect of each regulated </w:t>
      </w:r>
      <w:r w:rsidR="00F33074">
        <w:t>sub</w:t>
      </w:r>
      <w:r w:rsidR="00F33074">
        <w:noBreakHyphen/>
        <w:t>sector</w:t>
      </w:r>
      <w:r>
        <w:t>. Under the IFM, costs are recovered through a combination of cost recovery levies, cost recovery regulatory fees-for-service, and statutory levies/charges.</w:t>
      </w:r>
    </w:p>
    <w:p w14:paraId="61AEBB2F" w14:textId="4409B027" w:rsidR="00F15F26" w:rsidRDefault="00F15F26" w:rsidP="00F15F26">
      <w:pPr>
        <w:spacing w:before="0" w:after="160" w:line="259" w:lineRule="auto"/>
      </w:pPr>
      <w:r>
        <w:t xml:space="preserve">The Government is committed to maintaining appropriate industry funding arrangements for ASIC. Treasury will lead </w:t>
      </w:r>
      <w:r w:rsidDel="00D41913">
        <w:t xml:space="preserve">the </w:t>
      </w:r>
      <w:r w:rsidR="00D702FA">
        <w:t>R</w:t>
      </w:r>
      <w:r w:rsidDel="00D41913">
        <w:t>eview</w:t>
      </w:r>
      <w:r>
        <w:t xml:space="preserve"> in consultation with ASIC, Department of Finance and the Department of the Prime Minister and Cabinet to ensure the settings of the IFM remain appropriate in the longer term. </w:t>
      </w:r>
    </w:p>
    <w:p w14:paraId="074FE72C" w14:textId="4B693FC1" w:rsidR="00F15F26" w:rsidRDefault="00F15F26" w:rsidP="00F15F26">
      <w:pPr>
        <w:spacing w:before="0" w:after="160" w:line="259" w:lineRule="auto"/>
      </w:pPr>
      <w:r>
        <w:t xml:space="preserve">It is appropriate to review the IFM at this point given it has now been in place for five years, and over this period there has been substantial regulatory and structural changes within industry sectors resulting in increased cost pressures within certain </w:t>
      </w:r>
      <w:r w:rsidR="00F33074">
        <w:t>sub</w:t>
      </w:r>
      <w:r w:rsidR="00F33074">
        <w:noBreakHyphen/>
      </w:r>
      <w:r>
        <w:t>sectors.</w:t>
      </w:r>
    </w:p>
    <w:p w14:paraId="653BFF80" w14:textId="6D6CCA5A" w:rsidR="00F15F26" w:rsidRDefault="00F15F26" w:rsidP="00F15F26">
      <w:pPr>
        <w:spacing w:before="0" w:after="160" w:line="259" w:lineRule="auto"/>
      </w:pPr>
      <w:r>
        <w:t>The</w:t>
      </w:r>
      <w:r w:rsidR="00D41913">
        <w:t xml:space="preserve"> Review</w:t>
      </w:r>
      <w:r>
        <w:t xml:space="preserve"> will be forward looking and focused on identifying any changes to the IFM that may be required to ensure the settings remain appropriate.</w:t>
      </w:r>
    </w:p>
    <w:p w14:paraId="49C5B348" w14:textId="3C1061D4" w:rsidR="00F15F26" w:rsidRPr="00162B24" w:rsidRDefault="00F15F26" w:rsidP="00F15F26">
      <w:pPr>
        <w:spacing w:before="0" w:after="160" w:line="259" w:lineRule="auto"/>
        <w:rPr>
          <w:b/>
          <w:bCs/>
        </w:rPr>
      </w:pPr>
      <w:r w:rsidRPr="00162B24">
        <w:rPr>
          <w:b/>
          <w:bCs/>
        </w:rPr>
        <w:t xml:space="preserve">Scope of </w:t>
      </w:r>
      <w:r w:rsidRPr="00162B24" w:rsidDel="00D41913">
        <w:rPr>
          <w:b/>
          <w:bCs/>
        </w:rPr>
        <w:t>the Review</w:t>
      </w:r>
    </w:p>
    <w:p w14:paraId="407BAC92" w14:textId="38F4365F" w:rsidR="00F15F26" w:rsidRDefault="00F15F26" w:rsidP="00C6745C">
      <w:pPr>
        <w:pStyle w:val="ListParagraph"/>
        <w:numPr>
          <w:ilvl w:val="0"/>
          <w:numId w:val="24"/>
        </w:numPr>
        <w:spacing w:before="0" w:after="160" w:line="259" w:lineRule="auto"/>
      </w:pPr>
      <w:r w:rsidDel="00D41913">
        <w:t>The Review</w:t>
      </w:r>
      <w:r>
        <w:t xml:space="preserve"> will consider and, where appropriate, make recommendations regarding:</w:t>
      </w:r>
    </w:p>
    <w:p w14:paraId="63982797" w14:textId="3FC19800" w:rsidR="00F15F26" w:rsidRDefault="00F15F26" w:rsidP="00C6745C">
      <w:pPr>
        <w:pStyle w:val="ListParagraph"/>
        <w:numPr>
          <w:ilvl w:val="0"/>
          <w:numId w:val="25"/>
        </w:numPr>
        <w:spacing w:before="0" w:after="160" w:line="259" w:lineRule="auto"/>
      </w:pPr>
      <w:r>
        <w:t xml:space="preserve">The types of costs and nature of ASIC’s activities that are recovered from industry, how those costs are recovered and who they are recovered from. This will include considering costs recovered through levies and regulatory fees-for-service, but will not include a detailed examination of individual fees-for-service. This will also include considering whether some or all costs for certain activities such as enforcement and capital expenditure remain appropriate to be recovered through the IFM. </w:t>
      </w:r>
    </w:p>
    <w:p w14:paraId="5F33C1CB" w14:textId="6C675A12" w:rsidR="00F15F26" w:rsidRDefault="00F15F26" w:rsidP="00C6745C">
      <w:pPr>
        <w:pStyle w:val="ListParagraph"/>
        <w:numPr>
          <w:ilvl w:val="0"/>
          <w:numId w:val="25"/>
        </w:numPr>
        <w:spacing w:before="0" w:after="160" w:line="259" w:lineRule="auto"/>
      </w:pPr>
      <w:r>
        <w:t xml:space="preserve">How ASIC allocates costs to </w:t>
      </w:r>
      <w:r w:rsidR="00F33074">
        <w:t>sub</w:t>
      </w:r>
      <w:r w:rsidR="00F33074">
        <w:noBreakHyphen/>
      </w:r>
      <w:r>
        <w:t xml:space="preserve">sectors, with a focus on regulatory activity that impacts multiple </w:t>
      </w:r>
      <w:r w:rsidR="00F33074">
        <w:t>sub</w:t>
      </w:r>
      <w:r w:rsidR="00F33074">
        <w:noBreakHyphen/>
      </w:r>
      <w:r>
        <w:t xml:space="preserve">sectors, the consequences of time lags between regulatory action and cost allocation, and the changes to </w:t>
      </w:r>
      <w:r w:rsidR="00F33074">
        <w:t>sub</w:t>
      </w:r>
      <w:r w:rsidR="00F33074">
        <w:noBreakHyphen/>
        <w:t>sector</w:t>
      </w:r>
      <w:r>
        <w:t xml:space="preserve"> composition, including due to firm exits.  </w:t>
      </w:r>
    </w:p>
    <w:p w14:paraId="5F9E5ED6" w14:textId="507131C7" w:rsidR="00F15F26" w:rsidRDefault="00F15F26" w:rsidP="00C6745C">
      <w:pPr>
        <w:pStyle w:val="ListParagraph"/>
        <w:numPr>
          <w:ilvl w:val="0"/>
          <w:numId w:val="25"/>
        </w:numPr>
        <w:spacing w:before="0" w:after="160" w:line="259" w:lineRule="auto"/>
      </w:pPr>
      <w:r>
        <w:lastRenderedPageBreak/>
        <w:t xml:space="preserve">Changes in levy amounts since the commencement of the IFM; with a focus on those </w:t>
      </w:r>
      <w:r w:rsidR="00F33074">
        <w:t>sub</w:t>
      </w:r>
      <w:r w:rsidR="00F33074">
        <w:noBreakHyphen/>
      </w:r>
      <w:r>
        <w:t xml:space="preserve">sectors that have faced significant increases in levies, volatility in levies between years, and variance between estimated and actual levies. This will include considering the impact of the cost burden on different types and sizes of regulated entities. </w:t>
      </w:r>
    </w:p>
    <w:p w14:paraId="59A92CA1" w14:textId="218F893E" w:rsidR="00F15F26" w:rsidRDefault="00F15F26" w:rsidP="00C6745C">
      <w:pPr>
        <w:pStyle w:val="ListParagraph"/>
        <w:numPr>
          <w:ilvl w:val="0"/>
          <w:numId w:val="25"/>
        </w:numPr>
        <w:spacing w:before="0" w:after="160" w:line="259" w:lineRule="auto"/>
      </w:pPr>
      <w:r>
        <w:t xml:space="preserve">Whether key aspects of the design and legislative framework for the IFM remain appropriate, including in light of structural changes in parts of industry. This will include considering whether changes are required to any </w:t>
      </w:r>
      <w:r w:rsidR="00F33074">
        <w:t>sub</w:t>
      </w:r>
      <w:r w:rsidR="00F33074">
        <w:noBreakHyphen/>
        <w:t>sector</w:t>
      </w:r>
      <w:r>
        <w:t xml:space="preserve"> definitions and/or levy metrics, and whether any opportunities exist for simplification. </w:t>
      </w:r>
    </w:p>
    <w:p w14:paraId="4A22041D" w14:textId="1187DD6B" w:rsidR="00F15F26" w:rsidRDefault="00F15F26" w:rsidP="00C6745C">
      <w:pPr>
        <w:pStyle w:val="ListParagraph"/>
        <w:numPr>
          <w:ilvl w:val="0"/>
          <w:numId w:val="25"/>
        </w:numPr>
        <w:spacing w:before="0" w:after="160" w:line="259" w:lineRule="auto"/>
      </w:pPr>
      <w:r>
        <w:t>The flexibility of the IFM to respond to changes in industry, including emerging industry sectors.</w:t>
      </w:r>
    </w:p>
    <w:p w14:paraId="1604AE65" w14:textId="4369B110" w:rsidR="00F15F26" w:rsidRDefault="00F15F26" w:rsidP="00C6745C">
      <w:pPr>
        <w:pStyle w:val="ListParagraph"/>
        <w:numPr>
          <w:ilvl w:val="0"/>
          <w:numId w:val="25"/>
        </w:numPr>
        <w:spacing w:before="0" w:after="160" w:line="259" w:lineRule="auto"/>
      </w:pPr>
      <w:r>
        <w:t xml:space="preserve">The suitability of transparency and consultation mechanisms, including the Cost Recovery Implementation Statement (CRIS), and how ASIC could improve the accuracy of its estimates of costs to </w:t>
      </w:r>
      <w:r w:rsidR="00F33074">
        <w:t>sub</w:t>
      </w:r>
      <w:r w:rsidR="00F33074">
        <w:noBreakHyphen/>
      </w:r>
      <w:r>
        <w:t>sectors.</w:t>
      </w:r>
    </w:p>
    <w:p w14:paraId="5949A55F" w14:textId="77777777" w:rsidR="004744E9" w:rsidRDefault="004744E9" w:rsidP="00162B24">
      <w:pPr>
        <w:pStyle w:val="ListParagraph"/>
        <w:spacing w:before="0" w:after="160" w:line="259" w:lineRule="auto"/>
      </w:pPr>
    </w:p>
    <w:p w14:paraId="4CA314B5" w14:textId="574117A0" w:rsidR="00F15F26" w:rsidRDefault="00F15F26" w:rsidP="00C6745C">
      <w:pPr>
        <w:pStyle w:val="ListParagraph"/>
        <w:numPr>
          <w:ilvl w:val="0"/>
          <w:numId w:val="24"/>
        </w:numPr>
        <w:spacing w:before="0" w:after="160" w:line="259" w:lineRule="auto"/>
      </w:pPr>
      <w:r>
        <w:t xml:space="preserve">As relevant, </w:t>
      </w:r>
      <w:r w:rsidDel="00D41913">
        <w:t>the Review</w:t>
      </w:r>
      <w:r>
        <w:t xml:space="preserve"> will have regard to:</w:t>
      </w:r>
    </w:p>
    <w:p w14:paraId="275E508D" w14:textId="1D0EF6CD" w:rsidR="00F15F26" w:rsidRDefault="00F15F26" w:rsidP="00C6745C">
      <w:pPr>
        <w:pStyle w:val="ListParagraph"/>
        <w:numPr>
          <w:ilvl w:val="0"/>
          <w:numId w:val="26"/>
        </w:numPr>
        <w:spacing w:before="0" w:after="160" w:line="259" w:lineRule="auto"/>
      </w:pPr>
      <w:r>
        <w:t xml:space="preserve">The level of funding recovered from industry since the commencement of the IFM. </w:t>
      </w:r>
    </w:p>
    <w:p w14:paraId="6845012B" w14:textId="12BFCAB0" w:rsidR="00F15F26" w:rsidRDefault="00F15F26" w:rsidP="00C6745C">
      <w:pPr>
        <w:pStyle w:val="ListParagraph"/>
        <w:numPr>
          <w:ilvl w:val="0"/>
          <w:numId w:val="26"/>
        </w:numPr>
        <w:spacing w:before="0" w:after="160" w:line="259" w:lineRule="auto"/>
      </w:pPr>
      <w:r>
        <w:t xml:space="preserve">The temporary levies relief provided to personal financial advice licensees in respect of 2020-21 and 2021-22. </w:t>
      </w:r>
    </w:p>
    <w:p w14:paraId="3A4AC78E" w14:textId="3FC19800" w:rsidR="00F15F26" w:rsidRDefault="00F15F26" w:rsidP="00C6745C">
      <w:pPr>
        <w:pStyle w:val="ListParagraph"/>
        <w:numPr>
          <w:ilvl w:val="0"/>
          <w:numId w:val="26"/>
        </w:numPr>
        <w:spacing w:before="0" w:after="160" w:line="259" w:lineRule="auto"/>
      </w:pPr>
      <w:r>
        <w:t>The Australian Government Charging Framework, noting Governments’ long standing position that fees and levies consistent with the Framework should be considered prior to considering other funding options.</w:t>
      </w:r>
    </w:p>
    <w:p w14:paraId="61D672DE" w14:textId="2BBFC12B" w:rsidR="00F15F26" w:rsidRDefault="00F15F26" w:rsidP="00C6745C">
      <w:pPr>
        <w:pStyle w:val="ListParagraph"/>
        <w:numPr>
          <w:ilvl w:val="0"/>
          <w:numId w:val="26"/>
        </w:numPr>
        <w:spacing w:before="0" w:after="160" w:line="259" w:lineRule="auto"/>
      </w:pPr>
      <w:r>
        <w:t xml:space="preserve">The regulator costing reviews being undertaken by the Department of Finance. </w:t>
      </w:r>
    </w:p>
    <w:p w14:paraId="7B019825" w14:textId="79B444BB" w:rsidR="00F15F26" w:rsidRDefault="00F15F26" w:rsidP="00C6745C">
      <w:pPr>
        <w:pStyle w:val="ListParagraph"/>
        <w:numPr>
          <w:ilvl w:val="0"/>
          <w:numId w:val="26"/>
        </w:numPr>
        <w:spacing w:before="0" w:after="160" w:line="259" w:lineRule="auto"/>
      </w:pPr>
      <w:r>
        <w:t>The impact of any potential changes to the IFM on the incentives faced by ASIC and regulated entities.</w:t>
      </w:r>
    </w:p>
    <w:p w14:paraId="26279232" w14:textId="77777777" w:rsidR="004744E9" w:rsidRDefault="004744E9" w:rsidP="00162B24">
      <w:pPr>
        <w:pStyle w:val="ListParagraph"/>
        <w:spacing w:before="0" w:after="160" w:line="259" w:lineRule="auto"/>
      </w:pPr>
    </w:p>
    <w:p w14:paraId="0736BA0F" w14:textId="77342765" w:rsidR="00F15F26" w:rsidRDefault="00F15F26" w:rsidP="00C6745C">
      <w:pPr>
        <w:pStyle w:val="ListParagraph"/>
        <w:numPr>
          <w:ilvl w:val="0"/>
          <w:numId w:val="24"/>
        </w:numPr>
        <w:spacing w:before="0" w:after="160" w:line="259" w:lineRule="auto"/>
      </w:pPr>
      <w:r w:rsidDel="00D41913">
        <w:t>The Review</w:t>
      </w:r>
      <w:r>
        <w:t xml:space="preserve"> will not assess or make recommendations on:</w:t>
      </w:r>
    </w:p>
    <w:p w14:paraId="598C733E" w14:textId="330E8DD6" w:rsidR="00F15F26" w:rsidRDefault="00F15F26" w:rsidP="00C6745C">
      <w:pPr>
        <w:pStyle w:val="ListParagraph"/>
        <w:numPr>
          <w:ilvl w:val="0"/>
          <w:numId w:val="27"/>
        </w:numPr>
        <w:spacing w:before="0" w:after="160" w:line="259" w:lineRule="auto"/>
      </w:pPr>
      <w:r>
        <w:t>ASIC’s role and regulatory remit.</w:t>
      </w:r>
    </w:p>
    <w:p w14:paraId="7C2DE849" w14:textId="2F5ED704" w:rsidR="00F15F26" w:rsidRDefault="00F15F26" w:rsidP="00C6745C">
      <w:pPr>
        <w:pStyle w:val="ListParagraph"/>
        <w:numPr>
          <w:ilvl w:val="0"/>
          <w:numId w:val="27"/>
        </w:numPr>
        <w:spacing w:before="0" w:after="160" w:line="259" w:lineRule="auto"/>
      </w:pPr>
      <w:r>
        <w:t>ASIC’s performance.</w:t>
      </w:r>
    </w:p>
    <w:p w14:paraId="083545C3" w14:textId="445590B5" w:rsidR="00F15F26" w:rsidRDefault="00F15F26" w:rsidP="00C6745C">
      <w:pPr>
        <w:pStyle w:val="ListParagraph"/>
        <w:numPr>
          <w:ilvl w:val="0"/>
          <w:numId w:val="27"/>
        </w:numPr>
        <w:spacing w:before="0" w:after="160" w:line="259" w:lineRule="auto"/>
      </w:pPr>
      <w:r>
        <w:t>The appropriate aggregate level of funding for ASIC.</w:t>
      </w:r>
    </w:p>
    <w:p w14:paraId="7EC20C73" w14:textId="41DA2BAE" w:rsidR="00F15F26" w:rsidRDefault="00F15F26" w:rsidP="00C6745C">
      <w:pPr>
        <w:pStyle w:val="ListParagraph"/>
        <w:numPr>
          <w:ilvl w:val="0"/>
          <w:numId w:val="27"/>
        </w:numPr>
        <w:spacing w:before="0" w:after="160" w:line="259" w:lineRule="auto"/>
      </w:pPr>
      <w:r>
        <w:t>How ASIC allocates its resources to deliver on its mandate.</w:t>
      </w:r>
    </w:p>
    <w:p w14:paraId="4F466189" w14:textId="2CE9D6FF" w:rsidR="006E2A24" w:rsidRDefault="00F15F26" w:rsidP="00C6745C">
      <w:pPr>
        <w:pStyle w:val="ListParagraph"/>
        <w:numPr>
          <w:ilvl w:val="0"/>
          <w:numId w:val="27"/>
        </w:numPr>
        <w:spacing w:before="0" w:after="160" w:line="259" w:lineRule="auto"/>
      </w:pPr>
      <w:r>
        <w:t xml:space="preserve">Registry fees currently collected by ASIC, which are not within the scope of the IFM. </w:t>
      </w:r>
      <w:r w:rsidR="006E2A24">
        <w:br w:type="page"/>
      </w:r>
    </w:p>
    <w:p w14:paraId="6F994680" w14:textId="0C6D9988" w:rsidR="001B6595" w:rsidRDefault="001B6595" w:rsidP="001B6595">
      <w:pPr>
        <w:pStyle w:val="Heading1"/>
        <w:jc w:val="right"/>
      </w:pPr>
      <w:bookmarkStart w:id="92" w:name="_Toc109834360"/>
      <w:bookmarkStart w:id="93" w:name="_Toc114214445"/>
      <w:r w:rsidRPr="00B4442E">
        <w:lastRenderedPageBreak/>
        <w:t xml:space="preserve">Appendix B: </w:t>
      </w:r>
      <w:bookmarkEnd w:id="92"/>
      <w:r w:rsidR="008D4BA4" w:rsidRPr="00B4442E">
        <w:t>Summary of stakeholder feedback (March 2022 consultations)</w:t>
      </w:r>
      <w:bookmarkEnd w:id="93"/>
    </w:p>
    <w:p w14:paraId="714C60F6" w14:textId="77777777" w:rsidR="008D4BA4" w:rsidRDefault="008D4BA4" w:rsidP="008D4BA4"/>
    <w:p w14:paraId="5EE25134" w14:textId="6826497B" w:rsidR="00130537" w:rsidRDefault="00130537" w:rsidP="00130537">
      <w:r>
        <w:t xml:space="preserve">Treasury undertook targeted </w:t>
      </w:r>
      <w:r w:rsidR="0099588A">
        <w:t xml:space="preserve">stakeholder </w:t>
      </w:r>
      <w:r>
        <w:t>consultation in March 2022. A number of concerns about the ASIC IFM were consistently raised.</w:t>
      </w:r>
    </w:p>
    <w:p w14:paraId="6CC6A0AA" w14:textId="02262B9A" w:rsidR="003F7FAB" w:rsidRPr="004A19F1" w:rsidRDefault="003F7FAB" w:rsidP="00360713">
      <w:pPr>
        <w:pStyle w:val="Heading3"/>
      </w:pPr>
      <w:bookmarkStart w:id="94" w:name="_Toc114214446"/>
      <w:r>
        <w:t>Industry funding levies</w:t>
      </w:r>
      <w:bookmarkEnd w:id="94"/>
      <w:r>
        <w:t xml:space="preserve"> </w:t>
      </w:r>
    </w:p>
    <w:p w14:paraId="2B522058" w14:textId="00949497" w:rsidR="00130537" w:rsidRPr="00E74DCC" w:rsidRDefault="00130537" w:rsidP="00130537">
      <w:pPr>
        <w:rPr>
          <w:b/>
          <w:bCs/>
        </w:rPr>
      </w:pPr>
      <w:r w:rsidRPr="00E74DCC">
        <w:rPr>
          <w:b/>
          <w:bCs/>
        </w:rPr>
        <w:t>Variances between estimated and actual levies</w:t>
      </w:r>
    </w:p>
    <w:p w14:paraId="0D604A82" w14:textId="1FDDDEFC" w:rsidR="009F6F56" w:rsidRDefault="00640414" w:rsidP="00C6745C">
      <w:pPr>
        <w:pStyle w:val="ListParagraph"/>
        <w:numPr>
          <w:ilvl w:val="0"/>
          <w:numId w:val="22"/>
        </w:numPr>
      </w:pPr>
      <w:r>
        <w:t>A key challenge</w:t>
      </w:r>
      <w:r w:rsidR="009F6F56">
        <w:t xml:space="preserve"> for stakeholders </w:t>
      </w:r>
      <w:r w:rsidR="00CC7706">
        <w:t>is</w:t>
      </w:r>
      <w:r w:rsidR="009F6F56">
        <w:t xml:space="preserve"> the significant variance between estimated and actual levies each year.</w:t>
      </w:r>
    </w:p>
    <w:p w14:paraId="42170B4F" w14:textId="0099D7D6" w:rsidR="009F6F56" w:rsidRDefault="009F6F56" w:rsidP="00C6745C">
      <w:pPr>
        <w:pStyle w:val="ListParagraph"/>
        <w:numPr>
          <w:ilvl w:val="0"/>
          <w:numId w:val="22"/>
        </w:numPr>
      </w:pPr>
      <w:r>
        <w:t xml:space="preserve">Some stakeholders raised concern that they are not able to understand why there has been a significant increase in the final levy amount. </w:t>
      </w:r>
    </w:p>
    <w:p w14:paraId="3A540196" w14:textId="5CCB6734" w:rsidR="00FD0EED" w:rsidRPr="004A19F1" w:rsidRDefault="009F6F56" w:rsidP="00C6745C">
      <w:pPr>
        <w:pStyle w:val="ListParagraph"/>
        <w:numPr>
          <w:ilvl w:val="0"/>
          <w:numId w:val="22"/>
        </w:numPr>
      </w:pPr>
      <w:r>
        <w:t>There was also concern that the variances between estimated and actual levies ma</w:t>
      </w:r>
      <w:r w:rsidR="002A67BA">
        <w:t>k</w:t>
      </w:r>
      <w:r>
        <w:t xml:space="preserve">e it </w:t>
      </w:r>
      <w:r w:rsidR="002A67BA">
        <w:t>difficult</w:t>
      </w:r>
      <w:r>
        <w:t xml:space="preserve"> for </w:t>
      </w:r>
      <w:r w:rsidR="002A67BA">
        <w:t xml:space="preserve">regulated </w:t>
      </w:r>
      <w:r>
        <w:t>entities to budget for the actual levy</w:t>
      </w:r>
      <w:r w:rsidR="002A67BA">
        <w:t xml:space="preserve"> amounts</w:t>
      </w:r>
      <w:r>
        <w:t xml:space="preserve">, and therefore some entities did not find the estimated levies useful and did not engage with the draft Cost Recovery Implementation Statement (CRIS). </w:t>
      </w:r>
    </w:p>
    <w:p w14:paraId="1DAC6532" w14:textId="7048CE0E" w:rsidR="00FD0EED" w:rsidRPr="00E74DCC" w:rsidRDefault="002A67BA" w:rsidP="004A19F1">
      <w:pPr>
        <w:rPr>
          <w:b/>
          <w:bCs/>
        </w:rPr>
      </w:pPr>
      <w:r w:rsidRPr="00E74DCC">
        <w:rPr>
          <w:b/>
          <w:bCs/>
        </w:rPr>
        <w:t>V</w:t>
      </w:r>
      <w:r w:rsidR="00FD0EED" w:rsidRPr="00E74DCC">
        <w:rPr>
          <w:b/>
          <w:bCs/>
        </w:rPr>
        <w:t>olatility in levy amounts across years</w:t>
      </w:r>
    </w:p>
    <w:p w14:paraId="79B2E6E8" w14:textId="74074A44" w:rsidR="00FD0EED" w:rsidRDefault="00FD0EED" w:rsidP="00C6745C">
      <w:pPr>
        <w:pStyle w:val="ListParagraph"/>
        <w:numPr>
          <w:ilvl w:val="0"/>
          <w:numId w:val="22"/>
        </w:numPr>
      </w:pPr>
      <w:r>
        <w:t xml:space="preserve">Another key concern for stakeholders </w:t>
      </w:r>
      <w:r w:rsidR="00F11656">
        <w:t>is</w:t>
      </w:r>
      <w:r>
        <w:t xml:space="preserve"> the volatility in levy amounts across years, which makes it hard for entities to budget for the upcoming year. </w:t>
      </w:r>
    </w:p>
    <w:p w14:paraId="5F5157E0" w14:textId="17EFF82A" w:rsidR="00FD0EED" w:rsidRDefault="00FD0EED" w:rsidP="00C6745C">
      <w:pPr>
        <w:pStyle w:val="ListParagraph"/>
        <w:numPr>
          <w:ilvl w:val="0"/>
          <w:numId w:val="22"/>
        </w:numPr>
      </w:pPr>
      <w:r>
        <w:t>Increases in the levies result in entities passing these costs to clients (although it was noted the ex-post nature of the IFM makes this more difficult</w:t>
      </w:r>
      <w:r w:rsidR="004A5B07">
        <w:t>).</w:t>
      </w:r>
      <w:r>
        <w:t xml:space="preserve"> </w:t>
      </w:r>
    </w:p>
    <w:p w14:paraId="51833060" w14:textId="77777777" w:rsidR="00130537" w:rsidRPr="00E74DCC" w:rsidRDefault="00130537" w:rsidP="00130537">
      <w:pPr>
        <w:rPr>
          <w:b/>
          <w:bCs/>
        </w:rPr>
      </w:pPr>
      <w:r w:rsidRPr="00E74DCC">
        <w:rPr>
          <w:b/>
          <w:bCs/>
        </w:rPr>
        <w:t>Types of costs recovered</w:t>
      </w:r>
    </w:p>
    <w:p w14:paraId="38A99C76" w14:textId="005339EA" w:rsidR="005E0D70" w:rsidRDefault="00130537" w:rsidP="00C6745C">
      <w:pPr>
        <w:pStyle w:val="ListParagraph"/>
        <w:numPr>
          <w:ilvl w:val="0"/>
          <w:numId w:val="22"/>
        </w:numPr>
      </w:pPr>
      <w:r>
        <w:t>Stakeholders consistently raise</w:t>
      </w:r>
      <w:r w:rsidR="00322DE1">
        <w:t>d</w:t>
      </w:r>
      <w:r>
        <w:t xml:space="preserve"> concerns about the recovery of costs relating to enforcement. In particular, stakeholders do not consider it appropriate that the cost of enforcement action against a specific entity is recovered from all entities in an industry </w:t>
      </w:r>
      <w:r w:rsidR="00F33074">
        <w:t>sub</w:t>
      </w:r>
      <w:r w:rsidR="00F33074">
        <w:noBreakHyphen/>
        <w:t>sector</w:t>
      </w:r>
      <w:r>
        <w:t xml:space="preserve">. </w:t>
      </w:r>
    </w:p>
    <w:p w14:paraId="30E3C3CB" w14:textId="74569546" w:rsidR="00130537" w:rsidRDefault="00130537" w:rsidP="00C6745C">
      <w:pPr>
        <w:pStyle w:val="ListParagraph"/>
        <w:numPr>
          <w:ilvl w:val="1"/>
          <w:numId w:val="22"/>
        </w:numPr>
      </w:pPr>
      <w:r>
        <w:t>Regulated entities also have concerns about being charged for the cost of enforcement activity in relation to unlicensed or unregulated operators.</w:t>
      </w:r>
    </w:p>
    <w:p w14:paraId="2CDB1252" w14:textId="378DE5EB" w:rsidR="00130537" w:rsidRDefault="00130537" w:rsidP="00C6745C">
      <w:pPr>
        <w:pStyle w:val="ListParagraph"/>
        <w:numPr>
          <w:ilvl w:val="0"/>
          <w:numId w:val="22"/>
        </w:numPr>
      </w:pPr>
      <w:r>
        <w:t>Stakeholders also raised concerns about the recovery of costs relating to emerging industry sectors (for example, crypto</w:t>
      </w:r>
      <w:r w:rsidR="00BD561E">
        <w:t xml:space="preserve"> assets</w:t>
      </w:r>
      <w:r>
        <w:t xml:space="preserve"> and buy-now-pay-later); the lack of transparency as to how </w:t>
      </w:r>
      <w:r w:rsidR="002A67BA">
        <w:t>ASIC’s indirect costs</w:t>
      </w:r>
      <w:r>
        <w:t xml:space="preserve"> contribute to levies; and</w:t>
      </w:r>
      <w:r w:rsidR="00991062">
        <w:t xml:space="preserve"> the recovery of</w:t>
      </w:r>
      <w:r>
        <w:t xml:space="preserve"> certain other regulatory activities, specifically policy advice and education.</w:t>
      </w:r>
    </w:p>
    <w:p w14:paraId="6B5AA9E1" w14:textId="4851A157" w:rsidR="00130537" w:rsidRPr="00E74DCC" w:rsidRDefault="00130537" w:rsidP="00130537">
      <w:pPr>
        <w:rPr>
          <w:b/>
          <w:bCs/>
        </w:rPr>
      </w:pPr>
      <w:r w:rsidRPr="00E74DCC">
        <w:rPr>
          <w:b/>
          <w:bCs/>
        </w:rPr>
        <w:t xml:space="preserve">Industry </w:t>
      </w:r>
      <w:r w:rsidR="00F33074">
        <w:rPr>
          <w:b/>
          <w:bCs/>
        </w:rPr>
        <w:t>sub</w:t>
      </w:r>
      <w:r w:rsidR="00F33074">
        <w:rPr>
          <w:b/>
          <w:bCs/>
        </w:rPr>
        <w:noBreakHyphen/>
      </w:r>
      <w:r w:rsidR="00527197" w:rsidRPr="00E74DCC">
        <w:rPr>
          <w:b/>
          <w:bCs/>
        </w:rPr>
        <w:t>sector</w:t>
      </w:r>
      <w:r w:rsidRPr="00E74DCC">
        <w:rPr>
          <w:b/>
          <w:bCs/>
        </w:rPr>
        <w:t>s definitions and levy metrics</w:t>
      </w:r>
    </w:p>
    <w:p w14:paraId="103411A1" w14:textId="3732A417" w:rsidR="00130537" w:rsidRDefault="00130537" w:rsidP="00C6745C">
      <w:pPr>
        <w:pStyle w:val="ListParagraph"/>
        <w:numPr>
          <w:ilvl w:val="0"/>
          <w:numId w:val="23"/>
        </w:numPr>
      </w:pPr>
      <w:r>
        <w:t xml:space="preserve">Stakeholders had a range of suggestions and concerns about the </w:t>
      </w:r>
      <w:r w:rsidR="00F33074">
        <w:t>sub</w:t>
      </w:r>
      <w:r w:rsidR="00F33074">
        <w:noBreakHyphen/>
        <w:t>sector</w:t>
      </w:r>
      <w:r>
        <w:t xml:space="preserve"> definitions and levy metrics. In some cases, stakeholders feel the definitions and metrics do not appropriately reflect the nature of the </w:t>
      </w:r>
      <w:r w:rsidR="00F33074">
        <w:t>sub</w:t>
      </w:r>
      <w:r w:rsidR="00F33074">
        <w:noBreakHyphen/>
        <w:t>sector</w:t>
      </w:r>
      <w:r>
        <w:t xml:space="preserve"> and do not apportion costs amongst entities in a </w:t>
      </w:r>
      <w:r w:rsidR="00F33074">
        <w:t>sub</w:t>
      </w:r>
      <w:r w:rsidR="00F33074">
        <w:noBreakHyphen/>
        <w:t>sector</w:t>
      </w:r>
      <w:r>
        <w:t xml:space="preserve"> in a way that is reflective of </w:t>
      </w:r>
      <w:r w:rsidR="002A67BA">
        <w:t xml:space="preserve">the </w:t>
      </w:r>
      <w:r>
        <w:t>risk</w:t>
      </w:r>
      <w:r w:rsidR="002A67BA">
        <w:t xml:space="preserve"> associated with regulated entities</w:t>
      </w:r>
      <w:r>
        <w:t xml:space="preserve"> or ASIC’s regulatory effort.</w:t>
      </w:r>
    </w:p>
    <w:p w14:paraId="41B1CEB9" w14:textId="77777777" w:rsidR="00130537" w:rsidRPr="00864502" w:rsidRDefault="00130537" w:rsidP="00360713">
      <w:pPr>
        <w:pStyle w:val="Heading3"/>
      </w:pPr>
      <w:bookmarkStart w:id="95" w:name="_Toc114214447"/>
      <w:r w:rsidRPr="00864502">
        <w:t>Fees-for-service</w:t>
      </w:r>
      <w:bookmarkEnd w:id="95"/>
    </w:p>
    <w:p w14:paraId="5D5469CB" w14:textId="13E17A29" w:rsidR="001219C6" w:rsidRDefault="001219C6" w:rsidP="00C6745C">
      <w:pPr>
        <w:pStyle w:val="ListParagraph"/>
        <w:numPr>
          <w:ilvl w:val="0"/>
          <w:numId w:val="22"/>
        </w:numPr>
      </w:pPr>
      <w:r>
        <w:t xml:space="preserve">Generally, stakeholders did not have any concerns with the fees-for-service model and </w:t>
      </w:r>
      <w:r w:rsidR="00A20222">
        <w:t xml:space="preserve">considered </w:t>
      </w:r>
      <w:r>
        <w:t xml:space="preserve">the transaction-based model was appropriate. </w:t>
      </w:r>
    </w:p>
    <w:p w14:paraId="595D0633" w14:textId="41C61FF5" w:rsidR="001219C6" w:rsidRDefault="00035F0E" w:rsidP="00C6745C">
      <w:pPr>
        <w:pStyle w:val="ListParagraph"/>
        <w:numPr>
          <w:ilvl w:val="0"/>
          <w:numId w:val="22"/>
        </w:numPr>
      </w:pPr>
      <w:r>
        <w:t>S</w:t>
      </w:r>
      <w:r w:rsidR="001219C6">
        <w:t xml:space="preserve">ome stakeholders raised concerns about </w:t>
      </w:r>
      <w:r w:rsidR="002A67BA">
        <w:t>fees for</w:t>
      </w:r>
      <w:r w:rsidR="001219C6">
        <w:t xml:space="preserve"> licence </w:t>
      </w:r>
      <w:r w:rsidR="002A67BA">
        <w:t xml:space="preserve">and </w:t>
      </w:r>
      <w:r w:rsidR="002D65E5">
        <w:t xml:space="preserve">registration </w:t>
      </w:r>
      <w:r w:rsidR="001219C6">
        <w:t>cancellation</w:t>
      </w:r>
      <w:r w:rsidR="002A67BA">
        <w:t>.</w:t>
      </w:r>
      <w:r w:rsidR="001219C6">
        <w:t xml:space="preserve"> </w:t>
      </w:r>
      <w:r w:rsidR="002A67BA">
        <w:t>Stakeholders did not necessarily understand</w:t>
      </w:r>
      <w:r w:rsidR="001219C6">
        <w:t xml:space="preserve"> </w:t>
      </w:r>
      <w:r w:rsidR="00E2629D">
        <w:t>the regulatory effort associated with these fees</w:t>
      </w:r>
      <w:r w:rsidR="001219C6">
        <w:t xml:space="preserve">. </w:t>
      </w:r>
    </w:p>
    <w:p w14:paraId="60C3CADC" w14:textId="4C183A8E" w:rsidR="001219C6" w:rsidRDefault="001219C6" w:rsidP="00C6745C">
      <w:pPr>
        <w:pStyle w:val="ListParagraph"/>
        <w:numPr>
          <w:ilvl w:val="0"/>
          <w:numId w:val="22"/>
        </w:numPr>
      </w:pPr>
      <w:r>
        <w:lastRenderedPageBreak/>
        <w:t xml:space="preserve">Some stakeholders </w:t>
      </w:r>
      <w:r w:rsidR="00E2629D">
        <w:t xml:space="preserve">also </w:t>
      </w:r>
      <w:r>
        <w:t>raised concern</w:t>
      </w:r>
      <w:r w:rsidR="00977159">
        <w:t>s about the charging of fees for relief applications.</w:t>
      </w:r>
      <w:r>
        <w:t xml:space="preserve"> </w:t>
      </w:r>
    </w:p>
    <w:p w14:paraId="22ED14AD" w14:textId="75E7755B" w:rsidR="007E6572" w:rsidRPr="00AC586E" w:rsidRDefault="007E6572" w:rsidP="00360713">
      <w:pPr>
        <w:pStyle w:val="Heading3"/>
      </w:pPr>
      <w:bookmarkStart w:id="96" w:name="_Toc114214448"/>
      <w:r w:rsidRPr="00AC586E">
        <w:t>Consultation and transparency</w:t>
      </w:r>
      <w:bookmarkEnd w:id="96"/>
    </w:p>
    <w:p w14:paraId="15680334" w14:textId="71BA71B1" w:rsidR="007E6572" w:rsidRPr="00E74DCC" w:rsidRDefault="007E6572" w:rsidP="004A19F1">
      <w:pPr>
        <w:rPr>
          <w:b/>
          <w:bCs/>
        </w:rPr>
      </w:pPr>
      <w:r w:rsidRPr="00E74DCC">
        <w:rPr>
          <w:b/>
          <w:bCs/>
        </w:rPr>
        <w:t>Cost Recovery Implementation Statement (CRIS)</w:t>
      </w:r>
    </w:p>
    <w:p w14:paraId="524FA972" w14:textId="1E3F2002" w:rsidR="007E6572" w:rsidRDefault="007E6572" w:rsidP="00C6745C">
      <w:pPr>
        <w:pStyle w:val="ListParagraph"/>
        <w:numPr>
          <w:ilvl w:val="0"/>
          <w:numId w:val="23"/>
        </w:numPr>
      </w:pPr>
      <w:r>
        <w:t>Stakeholders raised concern</w:t>
      </w:r>
      <w:r w:rsidR="00E2629D">
        <w:t>s</w:t>
      </w:r>
      <w:r>
        <w:t xml:space="preserve"> that the CRIS </w:t>
      </w:r>
      <w:r w:rsidR="00E2629D">
        <w:t xml:space="preserve">is </w:t>
      </w:r>
      <w:r>
        <w:t>not released at the same time each year, which ma</w:t>
      </w:r>
      <w:r w:rsidR="00E2629D">
        <w:t>kes</w:t>
      </w:r>
      <w:r>
        <w:t xml:space="preserve"> it difficult for entities to plan and budget</w:t>
      </w:r>
      <w:r w:rsidR="00E2629D">
        <w:t xml:space="preserve"> for levy costs</w:t>
      </w:r>
      <w:r>
        <w:t xml:space="preserve">. </w:t>
      </w:r>
    </w:p>
    <w:p w14:paraId="55246629" w14:textId="3D301807" w:rsidR="007E6572" w:rsidRDefault="007E6572" w:rsidP="00C6745C">
      <w:pPr>
        <w:pStyle w:val="ListParagraph"/>
        <w:numPr>
          <w:ilvl w:val="0"/>
          <w:numId w:val="23"/>
        </w:numPr>
      </w:pPr>
      <w:r>
        <w:t>Some stakeholders noted that while they were engaging in the consultation process on the CRIS, they did not see it as meaningful consultation as they d</w:t>
      </w:r>
      <w:r w:rsidR="006840C6">
        <w:t>id</w:t>
      </w:r>
      <w:r>
        <w:t xml:space="preserve"> not believe their feedback would lead to changes. </w:t>
      </w:r>
    </w:p>
    <w:p w14:paraId="70701460" w14:textId="77777777" w:rsidR="007E6572" w:rsidRDefault="007E6572" w:rsidP="00C6745C">
      <w:pPr>
        <w:pStyle w:val="ListParagraph"/>
        <w:numPr>
          <w:ilvl w:val="0"/>
          <w:numId w:val="23"/>
        </w:numPr>
      </w:pPr>
      <w:r>
        <w:t>There was consensus that the CRIS is a long and complicated document, and generally entities either were not aware of the CRIS or did not engage with it.</w:t>
      </w:r>
    </w:p>
    <w:p w14:paraId="6070FD1D" w14:textId="76BBB0E9" w:rsidR="00D460CA" w:rsidRPr="00E74DCC" w:rsidRDefault="00D460CA" w:rsidP="004A19F1">
      <w:pPr>
        <w:rPr>
          <w:b/>
          <w:bCs/>
        </w:rPr>
      </w:pPr>
      <w:r w:rsidRPr="00E74DCC">
        <w:rPr>
          <w:b/>
          <w:bCs/>
        </w:rPr>
        <w:t>Increased transparency about costs</w:t>
      </w:r>
    </w:p>
    <w:p w14:paraId="69AB1F1E" w14:textId="419C07C1" w:rsidR="00D460CA" w:rsidRDefault="00D460CA" w:rsidP="00C6745C">
      <w:pPr>
        <w:pStyle w:val="ListParagraph"/>
        <w:numPr>
          <w:ilvl w:val="0"/>
          <w:numId w:val="23"/>
        </w:numPr>
      </w:pPr>
      <w:r>
        <w:t xml:space="preserve">Generally, stakeholders </w:t>
      </w:r>
      <w:r w:rsidR="00763AEC">
        <w:t xml:space="preserve">sought </w:t>
      </w:r>
      <w:r>
        <w:t xml:space="preserve">a more granular understanding of (and data on) the drivers of ASIC’s costs for each </w:t>
      </w:r>
      <w:r w:rsidR="00F33074">
        <w:t>sub</w:t>
      </w:r>
      <w:r w:rsidR="00F33074">
        <w:noBreakHyphen/>
        <w:t>sector</w:t>
      </w:r>
      <w:r w:rsidR="00E2629D">
        <w:t>,</w:t>
      </w:r>
      <w:r>
        <w:t xml:space="preserve"> as well as </w:t>
      </w:r>
      <w:r w:rsidR="00E2629D">
        <w:t>more information about the reasons for</w:t>
      </w:r>
      <w:r>
        <w:t xml:space="preserve"> variance between estimated and actual levies. For example, </w:t>
      </w:r>
      <w:r w:rsidR="00E2629D">
        <w:t xml:space="preserve">stakeholders </w:t>
      </w:r>
      <w:r w:rsidR="00763AEC">
        <w:t xml:space="preserve">sought </w:t>
      </w:r>
      <w:r>
        <w:t xml:space="preserve">more detail on the enforcement activities that have contributed to costs for certain </w:t>
      </w:r>
      <w:r w:rsidR="00F33074">
        <w:t>sub</w:t>
      </w:r>
      <w:r w:rsidR="00F33074">
        <w:noBreakHyphen/>
      </w:r>
      <w:r w:rsidR="00527197">
        <w:t>sector</w:t>
      </w:r>
      <w:r>
        <w:t>s as well as how those costs have been allocated</w:t>
      </w:r>
      <w:r w:rsidR="00E2629D">
        <w:t xml:space="preserve"> between </w:t>
      </w:r>
      <w:r w:rsidR="00F33074">
        <w:t>sub</w:t>
      </w:r>
      <w:r w:rsidR="00F33074">
        <w:noBreakHyphen/>
      </w:r>
      <w:r w:rsidR="00527197">
        <w:t>sector</w:t>
      </w:r>
      <w:r w:rsidR="00E2629D">
        <w:t>s where an enforcement matter relates to multiple parts of the industry</w:t>
      </w:r>
      <w:r>
        <w:t xml:space="preserve">. </w:t>
      </w:r>
    </w:p>
    <w:p w14:paraId="4B97E17E" w14:textId="77777777" w:rsidR="00830280" w:rsidRDefault="00830280">
      <w:pPr>
        <w:spacing w:before="0" w:after="160" w:line="259" w:lineRule="auto"/>
      </w:pPr>
    </w:p>
    <w:p w14:paraId="2F3C92AA" w14:textId="77777777" w:rsidR="005872C6" w:rsidRDefault="005872C6">
      <w:pPr>
        <w:spacing w:before="0" w:after="160" w:line="259" w:lineRule="auto"/>
        <w:rPr>
          <w:rFonts w:ascii="Calibri" w:hAnsi="Calibri" w:cs="Arial"/>
          <w:b/>
          <w:color w:val="5D779D" w:themeColor="accent3"/>
          <w:kern w:val="32"/>
          <w:sz w:val="44"/>
          <w:szCs w:val="36"/>
          <w:highlight w:val="yellow"/>
        </w:rPr>
      </w:pPr>
      <w:bookmarkStart w:id="97" w:name="_Toc109834361"/>
      <w:r>
        <w:rPr>
          <w:highlight w:val="yellow"/>
        </w:rPr>
        <w:br w:type="page"/>
      </w:r>
    </w:p>
    <w:p w14:paraId="18F895FE" w14:textId="69086830" w:rsidR="004B554D" w:rsidRDefault="004B554D" w:rsidP="004B554D">
      <w:pPr>
        <w:pStyle w:val="Heading1"/>
        <w:jc w:val="right"/>
      </w:pPr>
      <w:bookmarkStart w:id="98" w:name="_Toc114214449"/>
      <w:r w:rsidRPr="008D2E4D">
        <w:t>Appendix C: Legislative framework</w:t>
      </w:r>
      <w:bookmarkEnd w:id="97"/>
      <w:r w:rsidR="003B7655" w:rsidRPr="008D2E4D">
        <w:t xml:space="preserve"> and amendments</w:t>
      </w:r>
      <w:bookmarkEnd w:id="98"/>
    </w:p>
    <w:p w14:paraId="507707FF" w14:textId="72A2A921" w:rsidR="00D56DB6" w:rsidRDefault="00AA12E4" w:rsidP="00D56DB6">
      <w:pPr>
        <w:pStyle w:val="Heading3"/>
      </w:pPr>
      <w:bookmarkStart w:id="99" w:name="_Toc114214450"/>
      <w:r>
        <w:t xml:space="preserve">Levies (effective from </w:t>
      </w:r>
      <w:r w:rsidR="00527140">
        <w:t>1 July 2017)</w:t>
      </w:r>
      <w:bookmarkEnd w:id="99"/>
    </w:p>
    <w:p w14:paraId="4ED889AB" w14:textId="28DA0C92" w:rsidR="000E7A78" w:rsidRDefault="000E7A78" w:rsidP="00162B24">
      <w:pPr>
        <w:pStyle w:val="Bullet"/>
      </w:pPr>
      <w:r w:rsidRPr="00162B24">
        <w:rPr>
          <w:i/>
        </w:rPr>
        <w:t>ASIC Supervisory Cost Recovery Levy Act 2017</w:t>
      </w:r>
      <w:r>
        <w:t xml:space="preserve">— </w:t>
      </w:r>
      <w:r w:rsidR="00B130AE">
        <w:t>i</w:t>
      </w:r>
      <w:r>
        <w:t>mposes a levy on persons ASIC regulates to recover its regulatory costs.</w:t>
      </w:r>
    </w:p>
    <w:p w14:paraId="64263AC3" w14:textId="794685BE" w:rsidR="000E7A78" w:rsidRDefault="000E7A78" w:rsidP="00162B24">
      <w:pPr>
        <w:pStyle w:val="Bullet"/>
      </w:pPr>
      <w:r w:rsidRPr="00162B24">
        <w:rPr>
          <w:i/>
        </w:rPr>
        <w:t>ASIC Supervisory Cost Recovery Levy</w:t>
      </w:r>
      <w:r>
        <w:t xml:space="preserve"> </w:t>
      </w:r>
      <w:r w:rsidRPr="0012330F">
        <w:rPr>
          <w:i/>
        </w:rPr>
        <w:t xml:space="preserve">(Collection) </w:t>
      </w:r>
      <w:r w:rsidRPr="00B03D88">
        <w:rPr>
          <w:i/>
        </w:rPr>
        <w:t>Act 2017</w:t>
      </w:r>
      <w:r>
        <w:t xml:space="preserve"> — empowers ASIC to collect the levy and requires entities to submit annual metrics so that ASIC can calculate the levy.</w:t>
      </w:r>
    </w:p>
    <w:p w14:paraId="29A93C48" w14:textId="3FC19800" w:rsidR="000E7A78" w:rsidRDefault="000E7A78" w:rsidP="00162B24">
      <w:pPr>
        <w:pStyle w:val="Bullet"/>
      </w:pPr>
      <w:r w:rsidRPr="004A19F1">
        <w:t>ASIC Supervisory Cost Recovery Levy Regulations 2017</w:t>
      </w:r>
      <w:r>
        <w:t xml:space="preserve"> — sets out the criteria for determining the sub sectors an entity is a part of and the metrics to be used for calculating the levy payable by entities in each sub sector. The Regulations also require ASIC to make an annual legislative instrument setting out, for each sub sector, its regulatory costs and the total amount of activity (the sub sector metric) for the financial year.</w:t>
      </w:r>
    </w:p>
    <w:p w14:paraId="7490AC7C" w14:textId="1AC40CC1" w:rsidR="00527140" w:rsidRDefault="000E7A78" w:rsidP="00EB534B">
      <w:pPr>
        <w:pStyle w:val="Bullet"/>
      </w:pPr>
      <w:r w:rsidRPr="004A19F1">
        <w:t>Corporations (Review Fees) Regulations 2003</w:t>
      </w:r>
      <w:r w:rsidRPr="00162B24">
        <w:rPr>
          <w:i/>
        </w:rPr>
        <w:t xml:space="preserve"> </w:t>
      </w:r>
      <w:r>
        <w:t>—</w:t>
      </w:r>
      <w:r w:rsidR="000135F3">
        <w:t xml:space="preserve"> </w:t>
      </w:r>
      <w:r>
        <w:t>ASIC’s regulatory costs for small proprietary companies are recovered through annual review fees for proprietary companies.</w:t>
      </w:r>
    </w:p>
    <w:p w14:paraId="41833B88" w14:textId="37A3CB7D" w:rsidR="00EB534B" w:rsidRDefault="00EB534B">
      <w:pPr>
        <w:pStyle w:val="Heading3"/>
      </w:pPr>
      <w:bookmarkStart w:id="100" w:name="_Toc114214451"/>
      <w:r>
        <w:t xml:space="preserve">Fees </w:t>
      </w:r>
      <w:r w:rsidR="00E6654E">
        <w:t>framework</w:t>
      </w:r>
      <w:r>
        <w:t xml:space="preserve"> (effective from </w:t>
      </w:r>
      <w:r w:rsidR="00732EB5">
        <w:t>4 July 2018)</w:t>
      </w:r>
      <w:bookmarkEnd w:id="100"/>
    </w:p>
    <w:p w14:paraId="43DFB797" w14:textId="4B0277FD" w:rsidR="00487DC5" w:rsidRPr="00DA711D" w:rsidRDefault="00487DC5" w:rsidP="00D97EAF">
      <w:pPr>
        <w:pStyle w:val="Bullet"/>
      </w:pPr>
      <w:r w:rsidRPr="00162B24">
        <w:rPr>
          <w:i/>
          <w:iCs/>
        </w:rPr>
        <w:t>Corporations (Fees) Act 2001</w:t>
      </w:r>
      <w:r w:rsidR="000135F3">
        <w:rPr>
          <w:i/>
          <w:iCs/>
        </w:rPr>
        <w:t xml:space="preserve"> </w:t>
      </w:r>
      <w:r w:rsidR="000135F3">
        <w:t>—</w:t>
      </w:r>
      <w:r w:rsidRPr="00162B24">
        <w:rPr>
          <w:i/>
          <w:iCs/>
        </w:rPr>
        <w:t xml:space="preserve"> </w:t>
      </w:r>
      <w:r w:rsidRPr="00BB7677">
        <w:t>enables ASIC to charge tiered fees, based on whether a chargeable matter is low, medium or high complexity; places statutory caps on fees; and enables ASIC</w:t>
      </w:r>
      <w:r w:rsidRPr="00D00F36">
        <w:t xml:space="preserve"> to charge a different fee for certa</w:t>
      </w:r>
      <w:r w:rsidRPr="00BD4FE6">
        <w:t>in chargeable matters based on the type of entity.</w:t>
      </w:r>
    </w:p>
    <w:p w14:paraId="7892EA3A" w14:textId="438FB800" w:rsidR="00487DC5" w:rsidRDefault="00487DC5" w:rsidP="00D97EAF">
      <w:pPr>
        <w:pStyle w:val="Bullet"/>
      </w:pPr>
      <w:r w:rsidRPr="004A19F1">
        <w:t>Corporations (Fees) Regulations 2001</w:t>
      </w:r>
      <w:r w:rsidR="000135F3">
        <w:t xml:space="preserve"> —</w:t>
      </w:r>
      <w:r w:rsidRPr="00162B24">
        <w:rPr>
          <w:i/>
          <w:iCs/>
        </w:rPr>
        <w:t xml:space="preserve"> </w:t>
      </w:r>
      <w:r w:rsidRPr="00BB7677">
        <w:t>prescribes the cost recovery fees (including tiered fees) ASIC can charge for services it provides to a specific entity</w:t>
      </w:r>
      <w:r w:rsidR="00B130AE">
        <w:t>.</w:t>
      </w:r>
    </w:p>
    <w:p w14:paraId="370634DB" w14:textId="089D8611" w:rsidR="00C813B8" w:rsidRPr="008538DB" w:rsidRDefault="00330151" w:rsidP="009E1640">
      <w:pPr>
        <w:pStyle w:val="Bullet"/>
      </w:pPr>
      <w:r w:rsidRPr="00021DC6">
        <w:t>The</w:t>
      </w:r>
      <w:r w:rsidRPr="00360713">
        <w:rPr>
          <w:i/>
          <w:iCs/>
        </w:rPr>
        <w:t> </w:t>
      </w:r>
      <w:r w:rsidRPr="00330151">
        <w:rPr>
          <w:i/>
          <w:iCs/>
        </w:rPr>
        <w:t>Superannuation Industry (Supervision) Act 1993 </w:t>
      </w:r>
      <w:r w:rsidRPr="00330151">
        <w:t xml:space="preserve">and the </w:t>
      </w:r>
      <w:r w:rsidRPr="004A19F1">
        <w:t>Superannuation Industry (Supervision) Regulations</w:t>
      </w:r>
      <w:r w:rsidR="00F85617" w:rsidRPr="004A19F1">
        <w:t xml:space="preserve"> 1996</w:t>
      </w:r>
      <w:r w:rsidR="00196950">
        <w:t xml:space="preserve"> —</w:t>
      </w:r>
      <w:r w:rsidRPr="00330151">
        <w:t xml:space="preserve"> provide for </w:t>
      </w:r>
      <w:r w:rsidR="009835FF" w:rsidRPr="00BB7677">
        <w:t xml:space="preserve">ASIC to </w:t>
      </w:r>
      <w:r w:rsidR="00E50C56" w:rsidRPr="00BB7677">
        <w:t xml:space="preserve">charge fees for </w:t>
      </w:r>
      <w:r w:rsidR="00E50C56">
        <w:t xml:space="preserve">applications for registration to be an approved SMSF auditor, or </w:t>
      </w:r>
      <w:r w:rsidR="00E50C56" w:rsidRPr="00BB7677">
        <w:t>applications to vary or revoke the conditions or cancel the registration of an approved SMSF auditor.</w:t>
      </w:r>
    </w:p>
    <w:p w14:paraId="6254966F" w14:textId="2C913483" w:rsidR="00487DC5" w:rsidRPr="00D00F36" w:rsidRDefault="00487DC5" w:rsidP="00162B24">
      <w:pPr>
        <w:pStyle w:val="Bullet"/>
      </w:pPr>
      <w:r w:rsidRPr="00162B24">
        <w:rPr>
          <w:i/>
          <w:iCs/>
        </w:rPr>
        <w:t xml:space="preserve">National Consumer Credit Protection (Fees) Act 2009 </w:t>
      </w:r>
      <w:r w:rsidR="005218A0">
        <w:t>and the</w:t>
      </w:r>
      <w:r w:rsidR="008E5069">
        <w:t xml:space="preserve"> </w:t>
      </w:r>
      <w:r w:rsidRPr="00BB7677">
        <w:t xml:space="preserve"> </w:t>
      </w:r>
      <w:r w:rsidRPr="004A19F1">
        <w:t xml:space="preserve">National Consumer Credit Protection (Fees) Regulations </w:t>
      </w:r>
      <w:r w:rsidRPr="00A873CD">
        <w:t>2010</w:t>
      </w:r>
      <w:r w:rsidR="00476C57">
        <w:t xml:space="preserve"> —</w:t>
      </w:r>
      <w:r w:rsidRPr="00BB7677">
        <w:t xml:space="preserve"> allow ASIC to charge different fees depending on: whether or not the applicant is an individual; and the credit activities they engage in.</w:t>
      </w:r>
    </w:p>
    <w:p w14:paraId="14134FBA" w14:textId="5DC4E915" w:rsidR="00732EB5" w:rsidRPr="00D8394E" w:rsidRDefault="00487DC5" w:rsidP="00162B24">
      <w:pPr>
        <w:pStyle w:val="Bullet"/>
      </w:pPr>
      <w:r w:rsidRPr="00162B24">
        <w:rPr>
          <w:i/>
          <w:iCs/>
        </w:rPr>
        <w:t xml:space="preserve">Superannuation Auditor Registration Imposition Act 2012 </w:t>
      </w:r>
      <w:r w:rsidR="008E5069">
        <w:t xml:space="preserve">and the </w:t>
      </w:r>
      <w:r w:rsidR="00AE277D">
        <w:t xml:space="preserve"> </w:t>
      </w:r>
      <w:r w:rsidR="00AE277D" w:rsidRPr="004A19F1">
        <w:t>Superannuation Auditor Registration Imposition Regulation 2012</w:t>
      </w:r>
      <w:r w:rsidR="00682284">
        <w:t xml:space="preserve"> —</w:t>
      </w:r>
      <w:r w:rsidRPr="00162B24">
        <w:rPr>
          <w:i/>
          <w:iCs/>
        </w:rPr>
        <w:t xml:space="preserve"> </w:t>
      </w:r>
      <w:r w:rsidRPr="00BB7677">
        <w:t xml:space="preserve">state the maximum amount of the fee that can </w:t>
      </w:r>
      <w:r w:rsidRPr="00D00F36">
        <w:t>be prescribed in the regulations so ASIC can r</w:t>
      </w:r>
      <w:r w:rsidRPr="00BD4FE6">
        <w:t xml:space="preserve">ecover the costs </w:t>
      </w:r>
      <w:r w:rsidR="00A52C29">
        <w:t>it</w:t>
      </w:r>
      <w:r w:rsidR="00A52C29" w:rsidRPr="00BD4FE6">
        <w:t xml:space="preserve"> </w:t>
      </w:r>
      <w:r w:rsidRPr="00BD4FE6">
        <w:t>incur</w:t>
      </w:r>
      <w:r w:rsidR="00A52C29">
        <w:t>s</w:t>
      </w:r>
      <w:r w:rsidRPr="00BD4FE6">
        <w:t xml:space="preserve"> when providing regulatory services to SMSF auditors</w:t>
      </w:r>
      <w:r>
        <w:t>.</w:t>
      </w:r>
      <w:r w:rsidR="00114AA6">
        <w:t xml:space="preserve"> </w:t>
      </w:r>
      <w:r w:rsidR="00114AA6" w:rsidRPr="00674931">
        <w:t xml:space="preserve"> </w:t>
      </w:r>
    </w:p>
    <w:p w14:paraId="79AB5777" w14:textId="77777777" w:rsidR="00FB4CA5" w:rsidRDefault="00FB4CA5">
      <w:pPr>
        <w:spacing w:before="0" w:after="160" w:line="259" w:lineRule="auto"/>
        <w:rPr>
          <w:rFonts w:ascii="Calibri" w:hAnsi="Calibri" w:cs="Arial"/>
          <w:b/>
          <w:color w:val="4D7861" w:themeColor="accent2"/>
          <w:kern w:val="32"/>
          <w:sz w:val="28"/>
          <w:szCs w:val="26"/>
        </w:rPr>
      </w:pPr>
      <w:r>
        <w:br w:type="page"/>
      </w:r>
    </w:p>
    <w:p w14:paraId="0C804E26" w14:textId="50702795" w:rsidR="00313677" w:rsidRPr="00BB7677" w:rsidRDefault="00B75D02" w:rsidP="00162B24">
      <w:pPr>
        <w:pStyle w:val="Heading3"/>
      </w:pPr>
      <w:bookmarkStart w:id="101" w:name="_Toc114214452"/>
      <w:r>
        <w:t>Key a</w:t>
      </w:r>
      <w:r w:rsidR="00313677">
        <w:t xml:space="preserve">mendments </w:t>
      </w:r>
      <w:r>
        <w:t>(since commencement of IFM)</w:t>
      </w:r>
      <w:bookmarkEnd w:id="101"/>
    </w:p>
    <w:p w14:paraId="0F507520" w14:textId="4DAA805C" w:rsidR="00AE09F2" w:rsidRPr="00DB250A" w:rsidRDefault="00AE09F2" w:rsidP="005E00A8">
      <w:pPr>
        <w:pStyle w:val="Bullet"/>
        <w:numPr>
          <w:ilvl w:val="0"/>
          <w:numId w:val="0"/>
        </w:numPr>
        <w:tabs>
          <w:tab w:val="clear" w:pos="720"/>
          <w:tab w:val="left" w:pos="284"/>
        </w:tabs>
        <w:rPr>
          <w:b/>
          <w:i/>
        </w:rPr>
      </w:pPr>
      <w:r w:rsidRPr="00A73C05">
        <w:rPr>
          <w:b/>
          <w:i/>
        </w:rPr>
        <w:t>Corporations (Fees) Ac</w:t>
      </w:r>
      <w:r w:rsidRPr="00DB250A">
        <w:rPr>
          <w:b/>
          <w:i/>
        </w:rPr>
        <w:t xml:space="preserve">t 2001 </w:t>
      </w:r>
    </w:p>
    <w:p w14:paraId="1CAA07AC" w14:textId="5DB41BE4" w:rsidR="00AE09F2" w:rsidRDefault="00AE09F2" w:rsidP="002C3EBB">
      <w:pPr>
        <w:pStyle w:val="Bullet"/>
        <w:rPr>
          <w:i/>
        </w:rPr>
      </w:pPr>
      <w:r w:rsidRPr="00162B24">
        <w:rPr>
          <w:i/>
          <w:iCs/>
        </w:rPr>
        <w:t xml:space="preserve">Corporations (Fees) Amendment (Hayne Royal Commission Response) </w:t>
      </w:r>
      <w:r w:rsidR="008A4D67">
        <w:rPr>
          <w:i/>
          <w:iCs/>
        </w:rPr>
        <w:t xml:space="preserve">Act </w:t>
      </w:r>
      <w:r w:rsidRPr="00162B24">
        <w:rPr>
          <w:i/>
          <w:iCs/>
        </w:rPr>
        <w:t>2020</w:t>
      </w:r>
    </w:p>
    <w:p w14:paraId="41F50A0E" w14:textId="098FC407" w:rsidR="00AE09F2" w:rsidRPr="00162B24" w:rsidRDefault="00660968" w:rsidP="00591009">
      <w:pPr>
        <w:pStyle w:val="Bullet"/>
        <w:numPr>
          <w:ilvl w:val="1"/>
          <w:numId w:val="11"/>
        </w:numPr>
        <w:ind w:left="1134"/>
        <w:rPr>
          <w:i/>
          <w:iCs/>
        </w:rPr>
      </w:pPr>
      <w:r>
        <w:t>A</w:t>
      </w:r>
      <w:r w:rsidR="00AE09F2" w:rsidRPr="000F187F">
        <w:t>llow ASIC to charge a fee for an application by an entity to be exempted from the deferred sales model</w:t>
      </w:r>
      <w:r w:rsidR="00AE09F2">
        <w:t>.</w:t>
      </w:r>
    </w:p>
    <w:p w14:paraId="17538F5D" w14:textId="08DEFF3D" w:rsidR="00CE3D01" w:rsidRPr="004A19F1" w:rsidRDefault="00CE3D01" w:rsidP="005E00A8">
      <w:pPr>
        <w:pStyle w:val="Bullet"/>
        <w:numPr>
          <w:ilvl w:val="0"/>
          <w:numId w:val="0"/>
        </w:numPr>
        <w:tabs>
          <w:tab w:val="clear" w:pos="720"/>
          <w:tab w:val="left" w:pos="284"/>
        </w:tabs>
        <w:rPr>
          <w:b/>
        </w:rPr>
      </w:pPr>
      <w:r w:rsidRPr="004A19F1">
        <w:rPr>
          <w:b/>
        </w:rPr>
        <w:t>ASIC Supervisory Cost Recovery Levy Regulations 2017</w:t>
      </w:r>
    </w:p>
    <w:p w14:paraId="7BAF9E5A" w14:textId="1A877918" w:rsidR="00CE3D01" w:rsidRPr="004A19F1" w:rsidRDefault="00CE3D01" w:rsidP="00162B24">
      <w:pPr>
        <w:pStyle w:val="Bullet"/>
      </w:pPr>
      <w:r w:rsidRPr="004A19F1">
        <w:t>ASIC Supervisory Cost Recovery Levy Amendment (Enhancements) Regulations 2018</w:t>
      </w:r>
    </w:p>
    <w:p w14:paraId="1B5ACC0C" w14:textId="29EF4403" w:rsidR="00CE3D01" w:rsidRPr="00162B24" w:rsidRDefault="00CE3D01" w:rsidP="00C6745C">
      <w:pPr>
        <w:pStyle w:val="Bullet"/>
        <w:numPr>
          <w:ilvl w:val="0"/>
          <w:numId w:val="28"/>
        </w:numPr>
      </w:pPr>
      <w:r w:rsidRPr="00162B24">
        <w:t xml:space="preserve">Establish new industry </w:t>
      </w:r>
      <w:r w:rsidR="00F33074">
        <w:t>sub</w:t>
      </w:r>
      <w:r w:rsidR="00F33074">
        <w:noBreakHyphen/>
      </w:r>
      <w:r w:rsidR="00527197">
        <w:t>sector</w:t>
      </w:r>
      <w:r w:rsidRPr="00162B24">
        <w:t>s to reflect the recently introduced licencing schemes for crowd-sourced funding intermediaries and financial benchmark administrators;</w:t>
      </w:r>
    </w:p>
    <w:p w14:paraId="0552AAD3" w14:textId="0E3C22FE" w:rsidR="00CE3D01" w:rsidRPr="00162B24" w:rsidRDefault="00CE3D01" w:rsidP="00C6745C">
      <w:pPr>
        <w:pStyle w:val="Bullet"/>
        <w:numPr>
          <w:ilvl w:val="0"/>
          <w:numId w:val="28"/>
        </w:numPr>
      </w:pPr>
      <w:r w:rsidRPr="00162B24">
        <w:t>Creat</w:t>
      </w:r>
      <w:r w:rsidR="001E0708">
        <w:t>e</w:t>
      </w:r>
      <w:r w:rsidRPr="00162B24">
        <w:t xml:space="preserve"> separate industry </w:t>
      </w:r>
      <w:r w:rsidR="00F33074">
        <w:t>sub</w:t>
      </w:r>
      <w:r w:rsidR="00F33074">
        <w:noBreakHyphen/>
      </w:r>
      <w:r w:rsidR="00527197">
        <w:t>sector</w:t>
      </w:r>
      <w:r w:rsidRPr="00162B24">
        <w:t>s for small and large credit rating agencies; and</w:t>
      </w:r>
    </w:p>
    <w:p w14:paraId="4F70188C" w14:textId="70FF7839" w:rsidR="00CE3D01" w:rsidRPr="00162B24" w:rsidRDefault="00CE3D01" w:rsidP="00C6745C">
      <w:pPr>
        <w:pStyle w:val="Bullet"/>
        <w:numPr>
          <w:ilvl w:val="0"/>
          <w:numId w:val="28"/>
        </w:numPr>
      </w:pPr>
      <w:r w:rsidRPr="00162B24">
        <w:t xml:space="preserve">Simplify the levy metric for the large securities exchange participants industry </w:t>
      </w:r>
      <w:r w:rsidR="00F33074">
        <w:t>sub</w:t>
      </w:r>
      <w:r w:rsidR="00F33074">
        <w:noBreakHyphen/>
        <w:t>sector</w:t>
      </w:r>
      <w:r w:rsidRPr="00162B24">
        <w:t>.</w:t>
      </w:r>
    </w:p>
    <w:p w14:paraId="10E50758" w14:textId="45BC03CA" w:rsidR="000E2A1D" w:rsidRPr="004A19F1" w:rsidRDefault="000E2A1D" w:rsidP="000E2A1D">
      <w:pPr>
        <w:pStyle w:val="Bullet"/>
      </w:pPr>
      <w:r w:rsidRPr="004A19F1">
        <w:t>Treasury Laws Amendment (ASIC Cost Recovery and Fees) Regulations 2019</w:t>
      </w:r>
    </w:p>
    <w:p w14:paraId="3D577DF5" w14:textId="461B2237" w:rsidR="00CE3D01" w:rsidRDefault="00602BED" w:rsidP="00C6745C">
      <w:pPr>
        <w:pStyle w:val="Bullet"/>
        <w:numPr>
          <w:ilvl w:val="0"/>
          <w:numId w:val="28"/>
        </w:numPr>
      </w:pPr>
      <w:r>
        <w:t>C</w:t>
      </w:r>
      <w:r w:rsidR="00CE3D01" w:rsidRPr="00162B24">
        <w:t xml:space="preserve">reate a new </w:t>
      </w:r>
      <w:r w:rsidR="00F33074">
        <w:t>sub</w:t>
      </w:r>
      <w:r w:rsidR="00F33074">
        <w:noBreakHyphen/>
        <w:t>sector</w:t>
      </w:r>
      <w:r w:rsidR="00CE3D01" w:rsidRPr="00162B24">
        <w:t xml:space="preserve"> to enable ASIC to recover its regulatory costs incurred from its close and continuous monitoring of Australia's largest institutions</w:t>
      </w:r>
      <w:r w:rsidR="00932FE3">
        <w:t>.</w:t>
      </w:r>
    </w:p>
    <w:p w14:paraId="452D0E85" w14:textId="77777777" w:rsidR="00CE3D01" w:rsidRPr="004A19F1" w:rsidRDefault="00CE3D01" w:rsidP="00162B24">
      <w:pPr>
        <w:pStyle w:val="Bullet"/>
      </w:pPr>
      <w:r w:rsidRPr="004A19F1">
        <w:t>ASIC Supervisory Cost Recovery Levy Amendment (Corporate Insolvency Reforms) Regulations 2021</w:t>
      </w:r>
    </w:p>
    <w:p w14:paraId="6C92CBDF" w14:textId="6B5FF883" w:rsidR="00CE3D01" w:rsidRPr="00162B24" w:rsidRDefault="00F866FF" w:rsidP="00C6745C">
      <w:pPr>
        <w:pStyle w:val="Bullet"/>
        <w:numPr>
          <w:ilvl w:val="0"/>
          <w:numId w:val="28"/>
        </w:numPr>
      </w:pPr>
      <w:r>
        <w:t>Allow</w:t>
      </w:r>
      <w:r w:rsidR="00CE3D01" w:rsidRPr="00162B24">
        <w:t xml:space="preserve"> ASIC to recover costs from its regulation of activities undertaken by a small business restructuring practitioner in the new formal debt restructuring process.</w:t>
      </w:r>
    </w:p>
    <w:p w14:paraId="6FE3951B" w14:textId="77777777" w:rsidR="00CE3D01" w:rsidRPr="004A19F1" w:rsidRDefault="00CE3D01" w:rsidP="00162B24">
      <w:pPr>
        <w:pStyle w:val="Bullet"/>
      </w:pPr>
      <w:r w:rsidRPr="004A19F1">
        <w:t>ASIC Supervisory Cost Recovery Levy Amendment (Claims Handling and Settling Services Providers) Regulations 2021</w:t>
      </w:r>
    </w:p>
    <w:p w14:paraId="7FDD533F" w14:textId="15357E7D" w:rsidR="00CE3D01" w:rsidRPr="00162B24" w:rsidRDefault="00705ED2">
      <w:pPr>
        <w:pStyle w:val="Bullet"/>
        <w:numPr>
          <w:ilvl w:val="0"/>
          <w:numId w:val="28"/>
        </w:numPr>
      </w:pPr>
      <w:r>
        <w:t>Allow</w:t>
      </w:r>
      <w:r w:rsidR="00CE3D01" w:rsidRPr="00162B24">
        <w:t xml:space="preserve"> ASIC to recover costs from its regulation of activities undertaken by people who handle insurance claims</w:t>
      </w:r>
      <w:r w:rsidR="00A61AE9">
        <w:t xml:space="preserve">, by creating </w:t>
      </w:r>
      <w:r w:rsidR="00CE3D01" w:rsidRPr="00162B24">
        <w:t xml:space="preserve">the ‘claims handling and settling services providers’ </w:t>
      </w:r>
      <w:r w:rsidR="00F33074">
        <w:t>sub</w:t>
      </w:r>
      <w:r w:rsidR="00F33074">
        <w:noBreakHyphen/>
        <w:t>sector</w:t>
      </w:r>
      <w:r w:rsidR="00CE3D01" w:rsidRPr="00162B24">
        <w:t xml:space="preserve"> in the insurance sector</w:t>
      </w:r>
      <w:r w:rsidR="00ED4F59">
        <w:t>.</w:t>
      </w:r>
    </w:p>
    <w:p w14:paraId="68CF9B02" w14:textId="77777777" w:rsidR="00CE3D01" w:rsidRPr="004A19F1" w:rsidRDefault="00CE3D01" w:rsidP="00162B24">
      <w:pPr>
        <w:pStyle w:val="Bullet"/>
      </w:pPr>
      <w:r w:rsidRPr="004A19F1">
        <w:t>ASIC Supervisory Cost Recovery Levy Amendment (Levies Relief) Regulations 2021</w:t>
      </w:r>
    </w:p>
    <w:p w14:paraId="0BB34A93" w14:textId="7CCA119B" w:rsidR="00CE3D01" w:rsidRPr="00162B24" w:rsidRDefault="00C17864" w:rsidP="00C6745C">
      <w:pPr>
        <w:pStyle w:val="Bullet"/>
        <w:numPr>
          <w:ilvl w:val="0"/>
          <w:numId w:val="28"/>
        </w:numPr>
      </w:pPr>
      <w:r>
        <w:t>Set</w:t>
      </w:r>
      <w:r w:rsidR="00CE3D01" w:rsidRPr="00162B24">
        <w:t xml:space="preserve"> the maximum cost of the graduated levy component per adviser to the level it was at in 2018-19 (i.e. $1,142) for the </w:t>
      </w:r>
      <w:r w:rsidR="00F33074">
        <w:t>sub</w:t>
      </w:r>
      <w:r w:rsidR="00F33074">
        <w:noBreakHyphen/>
        <w:t>sector</w:t>
      </w:r>
      <w:r w:rsidR="00CE3D01" w:rsidRPr="00162B24">
        <w:t xml:space="preserve"> that is licensees that provide personal advice on relevant financial products to retail clients</w:t>
      </w:r>
      <w:r w:rsidR="00ED4F59">
        <w:t>.</w:t>
      </w:r>
    </w:p>
    <w:p w14:paraId="290F473C" w14:textId="3DABE489" w:rsidR="00BA2C58" w:rsidRPr="00A73C05" w:rsidRDefault="004D0B95" w:rsidP="005E00A8">
      <w:pPr>
        <w:pStyle w:val="Bullet"/>
        <w:numPr>
          <w:ilvl w:val="0"/>
          <w:numId w:val="0"/>
        </w:numPr>
        <w:tabs>
          <w:tab w:val="clear" w:pos="720"/>
          <w:tab w:val="left" w:pos="284"/>
        </w:tabs>
        <w:ind w:left="360" w:hanging="360"/>
        <w:rPr>
          <w:b/>
          <w:i/>
        </w:rPr>
      </w:pPr>
      <w:r w:rsidRPr="004D0B95">
        <w:rPr>
          <w:b/>
          <w:bCs/>
          <w:i/>
          <w:iCs/>
        </w:rPr>
        <w:t xml:space="preserve">National Consumer Credit Protection (Fees) Act 2009 </w:t>
      </w:r>
    </w:p>
    <w:p w14:paraId="485913D2" w14:textId="77777777" w:rsidR="00176DF6" w:rsidRPr="00A73C05" w:rsidRDefault="00176DF6" w:rsidP="00176DF6">
      <w:pPr>
        <w:pStyle w:val="Bullet"/>
        <w:rPr>
          <w:i/>
        </w:rPr>
      </w:pPr>
      <w:r w:rsidRPr="005E00A8">
        <w:rPr>
          <w:i/>
        </w:rPr>
        <w:t>National Consumer Credit Protection (Fees) Amendment (ASIC Fees) Act 2018</w:t>
      </w:r>
    </w:p>
    <w:p w14:paraId="1C5A35C2" w14:textId="2CE98311" w:rsidR="00176DF6" w:rsidRDefault="00C17864" w:rsidP="00C6745C">
      <w:pPr>
        <w:pStyle w:val="Bullet"/>
        <w:numPr>
          <w:ilvl w:val="0"/>
          <w:numId w:val="28"/>
        </w:numPr>
      </w:pPr>
      <w:r>
        <w:t>Allow</w:t>
      </w:r>
      <w:r w:rsidR="00176DF6">
        <w:t xml:space="preserve"> ASIC to charge different fees depending on whether or not the applicant is an individual; and the credit activities they engage in.</w:t>
      </w:r>
    </w:p>
    <w:p w14:paraId="00B5B8BF" w14:textId="77777777" w:rsidR="002901B4" w:rsidRDefault="002901B4" w:rsidP="005E00A8">
      <w:pPr>
        <w:pStyle w:val="Bullet"/>
        <w:numPr>
          <w:ilvl w:val="0"/>
          <w:numId w:val="0"/>
        </w:numPr>
        <w:tabs>
          <w:tab w:val="clear" w:pos="720"/>
          <w:tab w:val="left" w:pos="284"/>
        </w:tabs>
        <w:rPr>
          <w:b/>
          <w:i/>
        </w:rPr>
      </w:pPr>
    </w:p>
    <w:p w14:paraId="6F2CBEC8" w14:textId="77777777" w:rsidR="002901B4" w:rsidRDefault="002901B4" w:rsidP="005E00A8">
      <w:pPr>
        <w:pStyle w:val="Bullet"/>
        <w:numPr>
          <w:ilvl w:val="0"/>
          <w:numId w:val="0"/>
        </w:numPr>
        <w:tabs>
          <w:tab w:val="clear" w:pos="720"/>
          <w:tab w:val="left" w:pos="284"/>
        </w:tabs>
        <w:rPr>
          <w:b/>
          <w:i/>
        </w:rPr>
      </w:pPr>
    </w:p>
    <w:p w14:paraId="2593D32D" w14:textId="77777777" w:rsidR="002901B4" w:rsidRDefault="002901B4" w:rsidP="005E00A8">
      <w:pPr>
        <w:pStyle w:val="Bullet"/>
        <w:numPr>
          <w:ilvl w:val="0"/>
          <w:numId w:val="0"/>
        </w:numPr>
        <w:tabs>
          <w:tab w:val="clear" w:pos="720"/>
          <w:tab w:val="left" w:pos="284"/>
        </w:tabs>
        <w:rPr>
          <w:b/>
          <w:i/>
        </w:rPr>
      </w:pPr>
    </w:p>
    <w:p w14:paraId="4BCD1E7B" w14:textId="4C4C48DB" w:rsidR="00176DF6" w:rsidRPr="00A73C05" w:rsidRDefault="00176DF6" w:rsidP="005E00A8">
      <w:pPr>
        <w:pStyle w:val="Bullet"/>
        <w:numPr>
          <w:ilvl w:val="0"/>
          <w:numId w:val="0"/>
        </w:numPr>
        <w:tabs>
          <w:tab w:val="clear" w:pos="720"/>
          <w:tab w:val="left" w:pos="284"/>
        </w:tabs>
        <w:rPr>
          <w:b/>
          <w:i/>
        </w:rPr>
      </w:pPr>
      <w:r w:rsidRPr="005E00A8">
        <w:rPr>
          <w:b/>
          <w:i/>
        </w:rPr>
        <w:t>Superannuation Auditor Registration Imposition Act 2012</w:t>
      </w:r>
    </w:p>
    <w:p w14:paraId="171727B5" w14:textId="77777777" w:rsidR="00176DF6" w:rsidRDefault="00176DF6" w:rsidP="00176DF6">
      <w:pPr>
        <w:pStyle w:val="Bullet"/>
        <w:rPr>
          <w:i/>
          <w:iCs/>
        </w:rPr>
      </w:pPr>
      <w:r>
        <w:rPr>
          <w:i/>
          <w:iCs/>
        </w:rPr>
        <w:t>Superannuation Auditor Registration Imposition Amendment (ASIC Fes) Act 2018</w:t>
      </w:r>
    </w:p>
    <w:p w14:paraId="6690EE19" w14:textId="1555F0BB" w:rsidR="000B742D" w:rsidRDefault="0041027D" w:rsidP="00C6745C">
      <w:pPr>
        <w:pStyle w:val="Bullet"/>
        <w:numPr>
          <w:ilvl w:val="0"/>
          <w:numId w:val="28"/>
        </w:numPr>
      </w:pPr>
      <w:r>
        <w:rPr>
          <w:rFonts w:cs="Calibri Light"/>
          <w:bCs/>
          <w:szCs w:val="22"/>
        </w:rPr>
        <w:t>Increase</w:t>
      </w:r>
      <w:r w:rsidR="00176DF6" w:rsidRPr="00EE7E58">
        <w:rPr>
          <w:rFonts w:cs="Calibri Light"/>
          <w:bCs/>
          <w:szCs w:val="22"/>
        </w:rPr>
        <w:t xml:space="preserve"> the maximum amount of the fee that can be prescribed in the regulations so </w:t>
      </w:r>
      <w:r w:rsidR="008C502A">
        <w:rPr>
          <w:rFonts w:cs="Calibri Light"/>
          <w:bCs/>
          <w:szCs w:val="22"/>
        </w:rPr>
        <w:t>ASIC</w:t>
      </w:r>
      <w:r w:rsidR="00176DF6" w:rsidRPr="00EE7E58">
        <w:rPr>
          <w:rFonts w:cs="Calibri Light"/>
          <w:bCs/>
          <w:szCs w:val="22"/>
        </w:rPr>
        <w:t xml:space="preserve"> can recover the costs </w:t>
      </w:r>
      <w:r w:rsidR="009C1A3D">
        <w:rPr>
          <w:rFonts w:cs="Calibri Light"/>
          <w:bCs/>
          <w:szCs w:val="22"/>
        </w:rPr>
        <w:t>ASIC</w:t>
      </w:r>
      <w:r w:rsidR="00176DF6" w:rsidRPr="00EE7E58">
        <w:rPr>
          <w:rFonts w:cs="Calibri Light"/>
          <w:bCs/>
          <w:szCs w:val="22"/>
        </w:rPr>
        <w:t xml:space="preserve"> incur</w:t>
      </w:r>
      <w:r w:rsidR="00D83EC7">
        <w:rPr>
          <w:rFonts w:cs="Calibri Light"/>
          <w:bCs/>
          <w:szCs w:val="22"/>
        </w:rPr>
        <w:t>s</w:t>
      </w:r>
      <w:r w:rsidR="00176DF6" w:rsidRPr="00EE7E58">
        <w:rPr>
          <w:rFonts w:cs="Calibri Light"/>
          <w:bCs/>
          <w:szCs w:val="22"/>
        </w:rPr>
        <w:t xml:space="preserve"> when providing regulatory services to SMSF auditors</w:t>
      </w:r>
      <w:r w:rsidR="004B4597">
        <w:rPr>
          <w:rFonts w:cs="Calibri Light"/>
          <w:bCs/>
          <w:szCs w:val="22"/>
        </w:rPr>
        <w:t>.</w:t>
      </w:r>
    </w:p>
    <w:p w14:paraId="4CBB176B" w14:textId="762C7228" w:rsidR="00CC3857" w:rsidRDefault="00CC3857" w:rsidP="00ED3853">
      <w:pPr>
        <w:pStyle w:val="Bullet"/>
        <w:numPr>
          <w:ilvl w:val="0"/>
          <w:numId w:val="0"/>
        </w:numPr>
        <w:rPr>
          <w:b/>
          <w:bCs/>
          <w:i/>
        </w:rPr>
      </w:pPr>
    </w:p>
    <w:p w14:paraId="79427688" w14:textId="0B80E721" w:rsidR="006132BD" w:rsidRDefault="00A8528D">
      <w:pPr>
        <w:spacing w:before="0" w:after="160" w:line="259" w:lineRule="auto"/>
        <w:rPr>
          <w:b/>
          <w:bCs/>
          <w:i/>
        </w:rPr>
      </w:pPr>
      <w:r>
        <w:rPr>
          <w:b/>
          <w:bCs/>
          <w:i/>
        </w:rPr>
        <w:br w:type="page"/>
      </w:r>
    </w:p>
    <w:p w14:paraId="64C6F923" w14:textId="77777777" w:rsidR="00501EC2" w:rsidRDefault="00501EC2" w:rsidP="00DF4976">
      <w:pPr>
        <w:pStyle w:val="Heading1"/>
        <w:jc w:val="right"/>
        <w:sectPr w:rsidR="00501EC2" w:rsidSect="00534161">
          <w:footerReference w:type="default" r:id="rId29"/>
          <w:pgSz w:w="11906" w:h="16838" w:code="9"/>
          <w:pgMar w:top="1843" w:right="1418" w:bottom="1418" w:left="1418" w:header="709" w:footer="709" w:gutter="0"/>
          <w:cols w:space="708"/>
          <w:docGrid w:linePitch="360"/>
        </w:sectPr>
      </w:pPr>
    </w:p>
    <w:p w14:paraId="0324AC09" w14:textId="117D3E5A" w:rsidR="006132BD" w:rsidRDefault="00DF4976" w:rsidP="00DF4976">
      <w:pPr>
        <w:pStyle w:val="Heading1"/>
        <w:jc w:val="right"/>
      </w:pPr>
      <w:bookmarkStart w:id="102" w:name="_Toc114214453"/>
      <w:r>
        <w:t xml:space="preserve">Appendix D: Catalogue of </w:t>
      </w:r>
      <w:r w:rsidR="00F33074">
        <w:t>sub</w:t>
      </w:r>
      <w:r w:rsidR="00F33074">
        <w:noBreakHyphen/>
        <w:t>sector</w:t>
      </w:r>
      <w:r>
        <w:t xml:space="preserve"> definitions, formulas and metrics</w:t>
      </w:r>
      <w:bookmarkEnd w:id="102"/>
    </w:p>
    <w:p w14:paraId="6B2BEDDD" w14:textId="071F379E" w:rsidR="00DF4976" w:rsidRDefault="00DF4976" w:rsidP="00DF4976"/>
    <w:tbl>
      <w:tblPr>
        <w:tblStyle w:val="TableGridLight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6305"/>
        <w:gridCol w:w="4601"/>
      </w:tblGrid>
      <w:tr w:rsidR="00D20F85" w:rsidRPr="007A46E0" w14:paraId="4789675A" w14:textId="77777777" w:rsidTr="00DC1E42">
        <w:trPr>
          <w:tblHeader/>
        </w:trPr>
        <w:tc>
          <w:tcPr>
            <w:tcW w:w="0" w:type="auto"/>
            <w:tcBorders>
              <w:top w:val="single" w:sz="4" w:space="0" w:color="auto"/>
              <w:left w:val="single" w:sz="4" w:space="0" w:color="auto"/>
              <w:bottom w:val="single" w:sz="4" w:space="0" w:color="auto"/>
              <w:right w:val="single" w:sz="4" w:space="0" w:color="auto"/>
            </w:tcBorders>
            <w:shd w:val="clear" w:color="auto" w:fill="AEAAAA"/>
            <w:hideMark/>
          </w:tcPr>
          <w:p w14:paraId="48B0636D" w14:textId="08BD904F" w:rsidR="00C52D09" w:rsidRPr="00AC4B10" w:rsidRDefault="00F33074" w:rsidP="008E0024">
            <w:pPr>
              <w:spacing w:before="0" w:after="0"/>
              <w:jc w:val="center"/>
              <w:rPr>
                <w:rFonts w:cs="Calibri Light"/>
                <w:b/>
                <w:color w:val="000000"/>
                <w:sz w:val="22"/>
                <w:szCs w:val="22"/>
              </w:rPr>
            </w:pPr>
            <w:r>
              <w:rPr>
                <w:rFonts w:cs="Calibri Light"/>
                <w:b/>
                <w:color w:val="000000"/>
                <w:szCs w:val="22"/>
              </w:rPr>
              <w:t>Sub</w:t>
            </w:r>
            <w:r>
              <w:rPr>
                <w:rFonts w:cs="Calibri Light"/>
                <w:b/>
                <w:color w:val="000000"/>
                <w:szCs w:val="22"/>
              </w:rPr>
              <w:noBreakHyphen/>
              <w:t>sector</w:t>
            </w:r>
          </w:p>
        </w:tc>
        <w:tc>
          <w:tcPr>
            <w:tcW w:w="0" w:type="auto"/>
            <w:tcBorders>
              <w:top w:val="single" w:sz="4" w:space="0" w:color="auto"/>
              <w:left w:val="single" w:sz="4" w:space="0" w:color="auto"/>
              <w:bottom w:val="single" w:sz="4" w:space="0" w:color="auto"/>
              <w:right w:val="single" w:sz="4" w:space="0" w:color="auto"/>
            </w:tcBorders>
            <w:shd w:val="clear" w:color="auto" w:fill="AEAAAA"/>
            <w:hideMark/>
          </w:tcPr>
          <w:p w14:paraId="31E31C79" w14:textId="77777777" w:rsidR="00C52D09" w:rsidRPr="00AC4B10" w:rsidRDefault="00C52D09" w:rsidP="008E0024">
            <w:pPr>
              <w:spacing w:before="0" w:after="0"/>
              <w:jc w:val="center"/>
              <w:rPr>
                <w:rFonts w:cs="Calibri Light"/>
                <w:b/>
                <w:color w:val="000000"/>
                <w:sz w:val="22"/>
                <w:szCs w:val="22"/>
              </w:rPr>
            </w:pPr>
            <w:r w:rsidRPr="00AC4B10">
              <w:rPr>
                <w:rFonts w:cs="Calibri Light"/>
                <w:b/>
                <w:color w:val="000000"/>
                <w:szCs w:val="22"/>
              </w:rPr>
              <w:t>Definition</w:t>
            </w:r>
          </w:p>
        </w:tc>
        <w:tc>
          <w:tcPr>
            <w:tcW w:w="0" w:type="auto"/>
            <w:tcBorders>
              <w:top w:val="single" w:sz="4" w:space="0" w:color="auto"/>
              <w:left w:val="single" w:sz="4" w:space="0" w:color="auto"/>
              <w:bottom w:val="single" w:sz="4" w:space="0" w:color="auto"/>
              <w:right w:val="single" w:sz="4" w:space="0" w:color="auto"/>
            </w:tcBorders>
            <w:shd w:val="clear" w:color="auto" w:fill="AEAAAA"/>
            <w:hideMark/>
          </w:tcPr>
          <w:p w14:paraId="70C8198F" w14:textId="77777777" w:rsidR="00C52D09" w:rsidRPr="00AC4B10" w:rsidRDefault="00C52D09" w:rsidP="008E0024">
            <w:pPr>
              <w:spacing w:before="0" w:after="0"/>
              <w:jc w:val="center"/>
              <w:rPr>
                <w:rFonts w:cs="Calibri Light"/>
                <w:b/>
                <w:color w:val="000000"/>
                <w:sz w:val="22"/>
                <w:szCs w:val="22"/>
              </w:rPr>
            </w:pPr>
            <w:r w:rsidRPr="00AC4B10">
              <w:rPr>
                <w:rFonts w:cs="Calibri Light"/>
                <w:b/>
                <w:color w:val="000000"/>
                <w:szCs w:val="22"/>
              </w:rPr>
              <w:t>Levy calculation</w:t>
            </w:r>
            <w:r w:rsidRPr="00AC4B10">
              <w:rPr>
                <w:rFonts w:cs="Calibri Light"/>
                <w:b/>
                <w:color w:val="000000"/>
                <w:szCs w:val="22"/>
                <w:vertAlign w:val="superscript"/>
              </w:rPr>
              <w:footnoteReference w:id="19"/>
            </w:r>
          </w:p>
        </w:tc>
      </w:tr>
      <w:tr w:rsidR="00C52D09" w:rsidRPr="007A46E0" w14:paraId="53ADDC0F" w14:textId="77777777" w:rsidTr="00DC1E42">
        <w:tc>
          <w:tcPr>
            <w:tcW w:w="0" w:type="auto"/>
            <w:gridSpan w:val="3"/>
            <w:tcBorders>
              <w:top w:val="single" w:sz="4" w:space="0" w:color="auto"/>
              <w:left w:val="single" w:sz="4" w:space="0" w:color="auto"/>
              <w:bottom w:val="single" w:sz="4" w:space="0" w:color="auto"/>
              <w:right w:val="single" w:sz="4" w:space="0" w:color="auto"/>
            </w:tcBorders>
            <w:hideMark/>
          </w:tcPr>
          <w:p w14:paraId="7D4ED0D1" w14:textId="77777777" w:rsidR="00C52D09" w:rsidRPr="00AC4B10" w:rsidRDefault="00C52D09" w:rsidP="00C52D09">
            <w:pPr>
              <w:spacing w:before="0" w:after="0"/>
              <w:jc w:val="center"/>
              <w:rPr>
                <w:rFonts w:cs="Calibri Light"/>
                <w:i/>
                <w:color w:val="000000"/>
                <w:sz w:val="22"/>
                <w:szCs w:val="22"/>
              </w:rPr>
            </w:pPr>
            <w:r w:rsidRPr="00AC4B10">
              <w:rPr>
                <w:rFonts w:cs="Calibri Light"/>
                <w:i/>
                <w:color w:val="000000"/>
                <w:szCs w:val="22"/>
              </w:rPr>
              <w:t>Corporate sector</w:t>
            </w:r>
          </w:p>
        </w:tc>
      </w:tr>
      <w:tr w:rsidR="00D20F85" w:rsidRPr="007A46E0" w14:paraId="3FBB0CDF"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60AAB461" w14:textId="37B85BCD" w:rsidR="00C52D09" w:rsidRPr="00BC0F97" w:rsidRDefault="00C52D09" w:rsidP="00C52D09">
            <w:pPr>
              <w:spacing w:before="0" w:after="0"/>
              <w:rPr>
                <w:rFonts w:cs="Calibri Light"/>
                <w:b/>
                <w:color w:val="000000"/>
                <w:sz w:val="22"/>
                <w:szCs w:val="22"/>
              </w:rPr>
            </w:pPr>
            <w:r w:rsidRPr="00AC4B10">
              <w:rPr>
                <w:rFonts w:cs="Calibri Light"/>
                <w:b/>
                <w:color w:val="000000"/>
                <w:szCs w:val="22"/>
              </w:rPr>
              <w:t>Listed corporations</w:t>
            </w:r>
          </w:p>
        </w:tc>
        <w:tc>
          <w:tcPr>
            <w:tcW w:w="0" w:type="auto"/>
            <w:tcBorders>
              <w:top w:val="single" w:sz="4" w:space="0" w:color="auto"/>
              <w:left w:val="single" w:sz="4" w:space="0" w:color="auto"/>
              <w:bottom w:val="single" w:sz="4" w:space="0" w:color="auto"/>
              <w:right w:val="single" w:sz="4" w:space="0" w:color="auto"/>
            </w:tcBorders>
            <w:hideMark/>
          </w:tcPr>
          <w:p w14:paraId="0FD6E19B" w14:textId="77777777" w:rsidR="00C52D09" w:rsidRPr="00AC4B10" w:rsidRDefault="00C52D09" w:rsidP="00C52D09">
            <w:pPr>
              <w:spacing w:before="0" w:after="0"/>
              <w:rPr>
                <w:rFonts w:cs="Calibri Light"/>
                <w:color w:val="000000"/>
                <w:sz w:val="22"/>
                <w:szCs w:val="22"/>
              </w:rPr>
            </w:pPr>
            <w:r w:rsidRPr="00AC4B10">
              <w:rPr>
                <w:rFonts w:cs="Calibri Light"/>
                <w:color w:val="000000"/>
                <w:szCs w:val="22"/>
              </w:rPr>
              <w:t>An entity that, at any time in the financial year, is a listed corporation.</w:t>
            </w:r>
          </w:p>
        </w:tc>
        <w:tc>
          <w:tcPr>
            <w:tcW w:w="0" w:type="auto"/>
            <w:tcBorders>
              <w:top w:val="single" w:sz="4" w:space="0" w:color="auto"/>
              <w:left w:val="single" w:sz="4" w:space="0" w:color="auto"/>
              <w:bottom w:val="single" w:sz="4" w:space="0" w:color="auto"/>
              <w:right w:val="single" w:sz="4" w:space="0" w:color="auto"/>
            </w:tcBorders>
            <w:hideMark/>
          </w:tcPr>
          <w:p w14:paraId="4199AE28" w14:textId="77777777" w:rsidR="00C52D09" w:rsidRPr="00AC4B10" w:rsidRDefault="00C52D09" w:rsidP="00C52D09">
            <w:pPr>
              <w:spacing w:before="0" w:after="0"/>
              <w:rPr>
                <w:rFonts w:cs="Calibri Light"/>
                <w:color w:val="000000"/>
                <w:sz w:val="22"/>
                <w:szCs w:val="22"/>
              </w:rPr>
            </w:pPr>
            <w:r w:rsidRPr="00AC4B10">
              <w:rPr>
                <w:rFonts w:cs="Calibri Light"/>
                <w:color w:val="000000"/>
                <w:szCs w:val="22"/>
              </w:rPr>
              <w:t xml:space="preserve">Minimum levy ($4,000) + graduated levy based on market capitalisation above $5 million. Graduated levy is capped for entities with a market capitalisation of or greater than $20 billion. </w:t>
            </w:r>
          </w:p>
        </w:tc>
      </w:tr>
      <w:tr w:rsidR="00D20F85" w:rsidRPr="007A46E0" w14:paraId="49A26FE0"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05E9A6C6" w14:textId="59179D3A" w:rsidR="00C52D09" w:rsidRPr="00AC4B10" w:rsidRDefault="00C52D09" w:rsidP="00C52D09">
            <w:pPr>
              <w:spacing w:before="0" w:after="0"/>
              <w:rPr>
                <w:rFonts w:cs="Calibri Light"/>
                <w:color w:val="000000"/>
                <w:sz w:val="22"/>
                <w:szCs w:val="22"/>
              </w:rPr>
            </w:pPr>
            <w:r w:rsidRPr="00AC4B10">
              <w:rPr>
                <w:rFonts w:cs="Calibri Light"/>
                <w:b/>
                <w:color w:val="000000"/>
                <w:szCs w:val="22"/>
              </w:rPr>
              <w:t>Registered liquidators</w:t>
            </w:r>
          </w:p>
        </w:tc>
        <w:tc>
          <w:tcPr>
            <w:tcW w:w="0" w:type="auto"/>
            <w:tcBorders>
              <w:top w:val="single" w:sz="4" w:space="0" w:color="auto"/>
              <w:left w:val="single" w:sz="4" w:space="0" w:color="auto"/>
              <w:bottom w:val="single" w:sz="4" w:space="0" w:color="auto"/>
              <w:right w:val="single" w:sz="4" w:space="0" w:color="auto"/>
            </w:tcBorders>
            <w:hideMark/>
          </w:tcPr>
          <w:p w14:paraId="6FAFB2A6" w14:textId="77777777" w:rsidR="00C52D09" w:rsidRPr="00AC4B10" w:rsidRDefault="00C52D09" w:rsidP="00C52D09">
            <w:pPr>
              <w:spacing w:before="0" w:after="0"/>
              <w:rPr>
                <w:rFonts w:cs="Calibri Light"/>
                <w:color w:val="000000"/>
                <w:sz w:val="22"/>
                <w:szCs w:val="22"/>
              </w:rPr>
            </w:pPr>
            <w:r w:rsidRPr="00AC4B10">
              <w:rPr>
                <w:rFonts w:cs="Calibri Light"/>
                <w:color w:val="000000"/>
                <w:szCs w:val="22"/>
              </w:rPr>
              <w:t xml:space="preserve">An entity that, at any time in the financial year, is a registered liquidator. </w:t>
            </w:r>
          </w:p>
        </w:tc>
        <w:tc>
          <w:tcPr>
            <w:tcW w:w="0" w:type="auto"/>
            <w:tcBorders>
              <w:top w:val="single" w:sz="4" w:space="0" w:color="auto"/>
              <w:left w:val="single" w:sz="4" w:space="0" w:color="auto"/>
              <w:bottom w:val="single" w:sz="4" w:space="0" w:color="auto"/>
              <w:right w:val="single" w:sz="4" w:space="0" w:color="auto"/>
            </w:tcBorders>
            <w:hideMark/>
          </w:tcPr>
          <w:p w14:paraId="42657767" w14:textId="77777777" w:rsidR="00C52D09" w:rsidRPr="00AC4B10" w:rsidRDefault="00C52D09" w:rsidP="00C52D09">
            <w:pPr>
              <w:spacing w:before="0" w:after="0"/>
              <w:rPr>
                <w:rFonts w:cs="Calibri Light"/>
                <w:color w:val="000000"/>
                <w:sz w:val="22"/>
                <w:szCs w:val="22"/>
              </w:rPr>
            </w:pPr>
            <w:r w:rsidRPr="00AC4B10">
              <w:rPr>
                <w:rFonts w:cs="Calibri Light"/>
                <w:color w:val="000000"/>
                <w:szCs w:val="22"/>
              </w:rPr>
              <w:t>Minimum levy ($2,500) + graduated levy based on the total number of external administration appointments and notifiable events in a financial year.</w:t>
            </w:r>
          </w:p>
        </w:tc>
      </w:tr>
      <w:tr w:rsidR="00D20F85" w:rsidRPr="007A46E0" w14:paraId="61F822C5"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6E809C6E" w14:textId="713087A5" w:rsidR="00C52D09" w:rsidRPr="00BC0F97" w:rsidRDefault="00C52D09" w:rsidP="00C52D09">
            <w:pPr>
              <w:spacing w:before="0" w:after="0"/>
              <w:rPr>
                <w:rFonts w:cs="Calibri Light"/>
                <w:b/>
                <w:color w:val="000000"/>
                <w:sz w:val="22"/>
                <w:szCs w:val="22"/>
              </w:rPr>
            </w:pPr>
            <w:r w:rsidRPr="002A3BF7">
              <w:rPr>
                <w:rFonts w:cs="Calibri Light"/>
                <w:b/>
                <w:color w:val="000000"/>
                <w:szCs w:val="22"/>
              </w:rPr>
              <w:t>Auditors of disclosing entities</w:t>
            </w:r>
          </w:p>
        </w:tc>
        <w:tc>
          <w:tcPr>
            <w:tcW w:w="0" w:type="auto"/>
            <w:tcBorders>
              <w:top w:val="single" w:sz="4" w:space="0" w:color="auto"/>
              <w:left w:val="single" w:sz="4" w:space="0" w:color="auto"/>
              <w:bottom w:val="single" w:sz="4" w:space="0" w:color="auto"/>
              <w:right w:val="single" w:sz="4" w:space="0" w:color="auto"/>
            </w:tcBorders>
          </w:tcPr>
          <w:p w14:paraId="6F96E228" w14:textId="401C98DE"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at any time in the financial year, is or has consented to be, an audit entity for a disclosing entity with quoted securities.</w:t>
            </w:r>
          </w:p>
        </w:tc>
        <w:tc>
          <w:tcPr>
            <w:tcW w:w="0" w:type="auto"/>
            <w:tcBorders>
              <w:top w:val="single" w:sz="4" w:space="0" w:color="auto"/>
              <w:left w:val="single" w:sz="4" w:space="0" w:color="auto"/>
              <w:bottom w:val="single" w:sz="4" w:space="0" w:color="auto"/>
              <w:right w:val="single" w:sz="4" w:space="0" w:color="auto"/>
            </w:tcBorders>
            <w:hideMark/>
          </w:tcPr>
          <w:p w14:paraId="0A6F1152"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Graduated levy based on audit fee revenue (per $10,000 of revenue).</w:t>
            </w:r>
          </w:p>
        </w:tc>
      </w:tr>
      <w:tr w:rsidR="00D20F85" w:rsidRPr="007A46E0" w14:paraId="056AE351"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421C9333" w14:textId="5C8DEDB9" w:rsidR="00C52D09" w:rsidRPr="00BC0F97" w:rsidRDefault="00C52D09" w:rsidP="00C52D09">
            <w:pPr>
              <w:spacing w:before="0" w:after="0"/>
              <w:rPr>
                <w:rFonts w:cs="Calibri Light"/>
                <w:b/>
                <w:color w:val="000000"/>
                <w:sz w:val="22"/>
                <w:szCs w:val="22"/>
              </w:rPr>
            </w:pPr>
            <w:r w:rsidRPr="002A3BF7">
              <w:rPr>
                <w:rFonts w:cs="Calibri Light"/>
                <w:b/>
                <w:color w:val="000000"/>
                <w:szCs w:val="22"/>
              </w:rPr>
              <w:t>Unlisted public companies</w:t>
            </w:r>
          </w:p>
        </w:tc>
        <w:tc>
          <w:tcPr>
            <w:tcW w:w="0" w:type="auto"/>
            <w:tcBorders>
              <w:top w:val="single" w:sz="4" w:space="0" w:color="auto"/>
              <w:left w:val="single" w:sz="4" w:space="0" w:color="auto"/>
              <w:bottom w:val="single" w:sz="4" w:space="0" w:color="auto"/>
              <w:right w:val="single" w:sz="4" w:space="0" w:color="auto"/>
            </w:tcBorders>
            <w:hideMark/>
          </w:tcPr>
          <w:p w14:paraId="5D47DAA6"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at any time in the financial year, is a public company that is not listed.</w:t>
            </w:r>
          </w:p>
        </w:tc>
        <w:tc>
          <w:tcPr>
            <w:tcW w:w="0" w:type="auto"/>
            <w:vMerge w:val="restart"/>
            <w:tcBorders>
              <w:top w:val="single" w:sz="4" w:space="0" w:color="auto"/>
              <w:left w:val="single" w:sz="4" w:space="0" w:color="auto"/>
              <w:bottom w:val="single" w:sz="4" w:space="0" w:color="auto"/>
              <w:right w:val="single" w:sz="4" w:space="0" w:color="auto"/>
            </w:tcBorders>
            <w:hideMark/>
          </w:tcPr>
          <w:p w14:paraId="289C0B51"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Flat levy</w:t>
            </w:r>
          </w:p>
        </w:tc>
      </w:tr>
      <w:tr w:rsidR="00D20F85" w:rsidRPr="007A46E0" w14:paraId="7FDC681C"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2C3714AD" w14:textId="5A2020BE" w:rsidR="00C52D09" w:rsidRPr="002A3BF7" w:rsidRDefault="00C52D09" w:rsidP="00C52D09">
            <w:pPr>
              <w:spacing w:before="0" w:after="0"/>
              <w:rPr>
                <w:rFonts w:cs="Calibri Light"/>
                <w:b/>
                <w:color w:val="000000"/>
                <w:sz w:val="22"/>
                <w:szCs w:val="22"/>
              </w:rPr>
            </w:pPr>
            <w:r w:rsidRPr="002A3BF7">
              <w:rPr>
                <w:rFonts w:cs="Calibri Light"/>
                <w:b/>
                <w:color w:val="000000"/>
                <w:szCs w:val="22"/>
              </w:rPr>
              <w:t>Large proprietary companies</w:t>
            </w:r>
          </w:p>
        </w:tc>
        <w:tc>
          <w:tcPr>
            <w:tcW w:w="0" w:type="auto"/>
            <w:tcBorders>
              <w:top w:val="single" w:sz="4" w:space="0" w:color="auto"/>
              <w:left w:val="single" w:sz="4" w:space="0" w:color="auto"/>
              <w:bottom w:val="single" w:sz="4" w:space="0" w:color="auto"/>
              <w:right w:val="single" w:sz="4" w:space="0" w:color="auto"/>
            </w:tcBorders>
            <w:hideMark/>
          </w:tcPr>
          <w:p w14:paraId="5820F568"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at any time in the financial year, is a large proprietary company.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37858" w14:textId="77777777" w:rsidR="00C52D09" w:rsidRPr="002A3BF7" w:rsidRDefault="00C52D09" w:rsidP="00C52D09">
            <w:pPr>
              <w:spacing w:before="0" w:after="0"/>
              <w:rPr>
                <w:rFonts w:cs="Calibri Light"/>
                <w:color w:val="000000"/>
                <w:sz w:val="22"/>
                <w:szCs w:val="22"/>
              </w:rPr>
            </w:pPr>
          </w:p>
        </w:tc>
      </w:tr>
      <w:tr w:rsidR="00D20F85" w:rsidRPr="007A46E0" w14:paraId="6226E791"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4592F774" w14:textId="4781027E" w:rsidR="00C52D09" w:rsidRPr="002A3BF7" w:rsidRDefault="00C52D09" w:rsidP="00C52D09">
            <w:pPr>
              <w:spacing w:before="0" w:after="0"/>
              <w:rPr>
                <w:rFonts w:cs="Calibri Light"/>
                <w:b/>
                <w:color w:val="000000"/>
                <w:sz w:val="22"/>
                <w:szCs w:val="22"/>
              </w:rPr>
            </w:pPr>
            <w:r w:rsidRPr="002A3BF7">
              <w:rPr>
                <w:rFonts w:cs="Calibri Light"/>
                <w:b/>
                <w:color w:val="000000"/>
                <w:szCs w:val="22"/>
              </w:rPr>
              <w:t>Registered company auditors</w:t>
            </w:r>
          </w:p>
        </w:tc>
        <w:tc>
          <w:tcPr>
            <w:tcW w:w="0" w:type="auto"/>
            <w:tcBorders>
              <w:top w:val="single" w:sz="4" w:space="0" w:color="auto"/>
              <w:left w:val="single" w:sz="4" w:space="0" w:color="auto"/>
              <w:bottom w:val="single" w:sz="4" w:space="0" w:color="auto"/>
              <w:right w:val="single" w:sz="4" w:space="0" w:color="auto"/>
            </w:tcBorders>
            <w:hideMark/>
          </w:tcPr>
          <w:p w14:paraId="322BEB97"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at any time in the financial year, is a registered company auditor.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9E083" w14:textId="77777777" w:rsidR="00C52D09" w:rsidRPr="002A3BF7" w:rsidRDefault="00C52D09" w:rsidP="00C52D09">
            <w:pPr>
              <w:spacing w:before="0" w:after="0"/>
              <w:rPr>
                <w:rFonts w:cs="Calibri Light"/>
                <w:color w:val="000000"/>
                <w:sz w:val="22"/>
                <w:szCs w:val="22"/>
              </w:rPr>
            </w:pPr>
          </w:p>
        </w:tc>
      </w:tr>
      <w:tr w:rsidR="00C52D09" w:rsidRPr="007A46E0" w14:paraId="3BF80E87" w14:textId="77777777" w:rsidTr="00DC1E42">
        <w:tc>
          <w:tcPr>
            <w:tcW w:w="0" w:type="auto"/>
            <w:gridSpan w:val="3"/>
            <w:tcBorders>
              <w:top w:val="single" w:sz="4" w:space="0" w:color="auto"/>
              <w:left w:val="single" w:sz="4" w:space="0" w:color="auto"/>
              <w:bottom w:val="single" w:sz="4" w:space="0" w:color="auto"/>
              <w:right w:val="single" w:sz="4" w:space="0" w:color="auto"/>
            </w:tcBorders>
            <w:hideMark/>
          </w:tcPr>
          <w:p w14:paraId="098E87B0" w14:textId="77777777" w:rsidR="00C52D09" w:rsidRPr="002A3BF7" w:rsidRDefault="00C52D09" w:rsidP="00C52D09">
            <w:pPr>
              <w:spacing w:before="0" w:after="0"/>
              <w:jc w:val="center"/>
              <w:rPr>
                <w:rFonts w:cs="Calibri Light"/>
                <w:i/>
                <w:color w:val="000000"/>
                <w:sz w:val="22"/>
                <w:szCs w:val="22"/>
              </w:rPr>
            </w:pPr>
            <w:r w:rsidRPr="002A3BF7">
              <w:rPr>
                <w:rFonts w:cs="Calibri Light"/>
                <w:i/>
                <w:color w:val="000000"/>
                <w:szCs w:val="22"/>
              </w:rPr>
              <w:t>Deposit taking and credit sector</w:t>
            </w:r>
          </w:p>
        </w:tc>
      </w:tr>
      <w:tr w:rsidR="00D20F85" w:rsidRPr="007A46E0" w14:paraId="39C28CF9"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0ADEFF49"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Credit providers</w:t>
            </w:r>
          </w:p>
        </w:tc>
        <w:tc>
          <w:tcPr>
            <w:tcW w:w="0" w:type="auto"/>
            <w:tcBorders>
              <w:top w:val="single" w:sz="4" w:space="0" w:color="auto"/>
              <w:left w:val="single" w:sz="4" w:space="0" w:color="auto"/>
              <w:bottom w:val="single" w:sz="4" w:space="0" w:color="auto"/>
              <w:right w:val="single" w:sz="4" w:space="0" w:color="auto"/>
            </w:tcBorders>
            <w:hideMark/>
          </w:tcPr>
          <w:p w14:paraId="27F438B0"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holds an Australian credit licence (credit licence) authorising it to engage in credit activities as a credit provider.</w:t>
            </w:r>
          </w:p>
        </w:tc>
        <w:tc>
          <w:tcPr>
            <w:tcW w:w="0" w:type="auto"/>
            <w:tcBorders>
              <w:top w:val="single" w:sz="4" w:space="0" w:color="auto"/>
              <w:left w:val="single" w:sz="4" w:space="0" w:color="auto"/>
              <w:bottom w:val="single" w:sz="4" w:space="0" w:color="auto"/>
              <w:right w:val="single" w:sz="4" w:space="0" w:color="auto"/>
            </w:tcBorders>
            <w:hideMark/>
          </w:tcPr>
          <w:p w14:paraId="5F2F6F02"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Minimum levy ($2,000) + graduated levy based on the gross amount of credit provided above $100 million under credit contracts (other than small and medium amount credit contracts) in a financial year.</w:t>
            </w:r>
          </w:p>
        </w:tc>
      </w:tr>
      <w:tr w:rsidR="00D20F85" w:rsidRPr="007A46E0" w14:paraId="58B0AD03"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5CB22E67"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 xml:space="preserve">Small </w:t>
            </w:r>
            <w:r w:rsidRPr="002A3BF7">
              <w:rPr>
                <w:rFonts w:cs="Calibri Light"/>
                <w:b/>
                <w:szCs w:val="22"/>
              </w:rPr>
              <w:t xml:space="preserve">and medium </w:t>
            </w:r>
            <w:r w:rsidRPr="002A3BF7">
              <w:rPr>
                <w:rFonts w:cs="Calibri Light"/>
                <w:b/>
                <w:color w:val="000000"/>
                <w:szCs w:val="22"/>
              </w:rPr>
              <w:t>amount credit providers</w:t>
            </w:r>
          </w:p>
        </w:tc>
        <w:tc>
          <w:tcPr>
            <w:tcW w:w="0" w:type="auto"/>
            <w:tcBorders>
              <w:top w:val="single" w:sz="4" w:space="0" w:color="auto"/>
              <w:left w:val="single" w:sz="4" w:space="0" w:color="auto"/>
              <w:bottom w:val="single" w:sz="4" w:space="0" w:color="auto"/>
              <w:right w:val="single" w:sz="4" w:space="0" w:color="auto"/>
            </w:tcBorders>
            <w:hideMark/>
          </w:tcPr>
          <w:p w14:paraId="3AAB07F3"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holds a credit licence and provides credit under a small amount credit contract or a medium amount credit contract.</w:t>
            </w:r>
          </w:p>
        </w:tc>
        <w:tc>
          <w:tcPr>
            <w:tcW w:w="0" w:type="auto"/>
            <w:tcBorders>
              <w:top w:val="single" w:sz="4" w:space="0" w:color="auto"/>
              <w:left w:val="single" w:sz="4" w:space="0" w:color="auto"/>
              <w:bottom w:val="single" w:sz="4" w:space="0" w:color="auto"/>
              <w:right w:val="single" w:sz="4" w:space="0" w:color="auto"/>
            </w:tcBorders>
            <w:hideMark/>
          </w:tcPr>
          <w:p w14:paraId="4E5CC9A5"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Graduated levy per $10,000 of gross credit provided under small and medium amount credit contracts in a financial year.</w:t>
            </w:r>
          </w:p>
        </w:tc>
      </w:tr>
      <w:tr w:rsidR="00D20F85" w:rsidRPr="007A46E0" w14:paraId="60FF1D7B"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0CC3D863"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Credit Intermediaries</w:t>
            </w:r>
          </w:p>
        </w:tc>
        <w:tc>
          <w:tcPr>
            <w:tcW w:w="0" w:type="auto"/>
            <w:tcBorders>
              <w:top w:val="single" w:sz="4" w:space="0" w:color="auto"/>
              <w:left w:val="single" w:sz="4" w:space="0" w:color="auto"/>
              <w:bottom w:val="single" w:sz="4" w:space="0" w:color="auto"/>
              <w:right w:val="single" w:sz="4" w:space="0" w:color="auto"/>
            </w:tcBorders>
            <w:hideMark/>
          </w:tcPr>
          <w:p w14:paraId="50510E41"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holds a credit licence authorising it to engage in credit activities other than as a credit provider.</w:t>
            </w:r>
          </w:p>
        </w:tc>
        <w:tc>
          <w:tcPr>
            <w:tcW w:w="0" w:type="auto"/>
            <w:tcBorders>
              <w:top w:val="single" w:sz="4" w:space="0" w:color="auto"/>
              <w:left w:val="single" w:sz="4" w:space="0" w:color="auto"/>
              <w:bottom w:val="single" w:sz="4" w:space="0" w:color="auto"/>
              <w:right w:val="single" w:sz="4" w:space="0" w:color="auto"/>
            </w:tcBorders>
          </w:tcPr>
          <w:p w14:paraId="24D6D6E7" w14:textId="13532DFC" w:rsidR="00C52D09" w:rsidRPr="002A3BF7" w:rsidRDefault="00C52D09" w:rsidP="00C52D09">
            <w:pPr>
              <w:spacing w:before="0" w:after="0"/>
              <w:rPr>
                <w:rFonts w:cs="Calibri Light"/>
                <w:color w:val="000000"/>
                <w:sz w:val="22"/>
                <w:szCs w:val="22"/>
              </w:rPr>
            </w:pPr>
            <w:r w:rsidRPr="002A3BF7">
              <w:rPr>
                <w:rFonts w:cs="Calibri Light"/>
                <w:color w:val="000000"/>
                <w:szCs w:val="22"/>
              </w:rPr>
              <w:t>Minimum levy ($1,000) + graduated levy based on the number of credit representatives that the entity has at the end of the financial year.</w:t>
            </w:r>
          </w:p>
        </w:tc>
      </w:tr>
      <w:tr w:rsidR="00D20F85" w:rsidRPr="007A46E0" w14:paraId="3FF3B626"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3D85F79F"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Deposit product providers</w:t>
            </w:r>
          </w:p>
        </w:tc>
        <w:tc>
          <w:tcPr>
            <w:tcW w:w="0" w:type="auto"/>
            <w:tcBorders>
              <w:top w:val="single" w:sz="4" w:space="0" w:color="auto"/>
              <w:left w:val="single" w:sz="4" w:space="0" w:color="auto"/>
              <w:bottom w:val="single" w:sz="4" w:space="0" w:color="auto"/>
              <w:right w:val="single" w:sz="4" w:space="0" w:color="auto"/>
            </w:tcBorders>
            <w:hideMark/>
          </w:tcPr>
          <w:p w14:paraId="577956B1"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Authorised deposit-taking institutions that provide deposit products to consumers, such as deposit accounts, certificates of deposit, and foreign currency deposits.</w:t>
            </w:r>
          </w:p>
        </w:tc>
        <w:tc>
          <w:tcPr>
            <w:tcW w:w="0" w:type="auto"/>
            <w:tcBorders>
              <w:top w:val="single" w:sz="4" w:space="0" w:color="auto"/>
              <w:left w:val="single" w:sz="4" w:space="0" w:color="auto"/>
              <w:bottom w:val="single" w:sz="4" w:space="0" w:color="auto"/>
              <w:right w:val="single" w:sz="4" w:space="0" w:color="auto"/>
            </w:tcBorders>
          </w:tcPr>
          <w:p w14:paraId="3F8A83EB" w14:textId="4A99C2DD" w:rsidR="00C52D09" w:rsidRPr="002A3BF7" w:rsidRDefault="00C52D09" w:rsidP="00C52D09">
            <w:pPr>
              <w:spacing w:before="0" w:after="0"/>
              <w:rPr>
                <w:rFonts w:cs="Calibri Light"/>
                <w:sz w:val="22"/>
                <w:szCs w:val="22"/>
              </w:rPr>
            </w:pPr>
            <w:r w:rsidRPr="002A3BF7">
              <w:rPr>
                <w:rFonts w:cs="Calibri Light"/>
                <w:color w:val="000000"/>
                <w:szCs w:val="22"/>
              </w:rPr>
              <w:t>Minimum levy ($2,000) + graduated levy based on the total value of deposits held at the end of the financial year above $10 million in deposit products issued by the entity.</w:t>
            </w:r>
          </w:p>
        </w:tc>
      </w:tr>
      <w:tr w:rsidR="00D20F85" w:rsidRPr="007A46E0" w14:paraId="3C6C0940"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1CC66CF0"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Payment product providers</w:t>
            </w:r>
          </w:p>
        </w:tc>
        <w:tc>
          <w:tcPr>
            <w:tcW w:w="0" w:type="auto"/>
            <w:tcBorders>
              <w:top w:val="single" w:sz="4" w:space="0" w:color="auto"/>
              <w:left w:val="single" w:sz="4" w:space="0" w:color="auto"/>
              <w:bottom w:val="single" w:sz="4" w:space="0" w:color="auto"/>
              <w:right w:val="single" w:sz="4" w:space="0" w:color="auto"/>
            </w:tcBorders>
            <w:hideMark/>
          </w:tcPr>
          <w:p w14:paraId="034DFA60"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Australian Financial Services (AFS) licensees that deal in financial products through which, or through the acquisition of which, non-cash payments can be made.</w:t>
            </w:r>
          </w:p>
        </w:tc>
        <w:tc>
          <w:tcPr>
            <w:tcW w:w="0" w:type="auto"/>
            <w:tcBorders>
              <w:top w:val="single" w:sz="4" w:space="0" w:color="auto"/>
              <w:left w:val="single" w:sz="4" w:space="0" w:color="auto"/>
              <w:bottom w:val="single" w:sz="4" w:space="0" w:color="auto"/>
              <w:right w:val="single" w:sz="4" w:space="0" w:color="auto"/>
            </w:tcBorders>
            <w:hideMark/>
          </w:tcPr>
          <w:p w14:paraId="618AD76A"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2017-18: flat levy</w:t>
            </w:r>
          </w:p>
          <w:p w14:paraId="2676F399"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2018-19 onwards: minimum levy ($2,000) + graduated levy based on the gross revenue received in the financial year from payment product provider activity less expenses from dealing in non</w:t>
            </w:r>
            <w:r w:rsidRPr="002A3BF7">
              <w:rPr>
                <w:rFonts w:cs="Calibri Light"/>
                <w:color w:val="000000"/>
                <w:szCs w:val="22"/>
              </w:rPr>
              <w:noBreakHyphen/>
              <w:t>cash payment facilities.</w:t>
            </w:r>
          </w:p>
        </w:tc>
      </w:tr>
      <w:tr w:rsidR="00D20F85" w:rsidRPr="007A46E0" w14:paraId="3FA225E0"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32EB1137"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Margin lenders</w:t>
            </w:r>
          </w:p>
        </w:tc>
        <w:tc>
          <w:tcPr>
            <w:tcW w:w="0" w:type="auto"/>
            <w:tcBorders>
              <w:top w:val="single" w:sz="4" w:space="0" w:color="auto"/>
              <w:left w:val="single" w:sz="4" w:space="0" w:color="auto"/>
              <w:bottom w:val="single" w:sz="4" w:space="0" w:color="auto"/>
              <w:right w:val="single" w:sz="4" w:space="0" w:color="auto"/>
            </w:tcBorders>
            <w:hideMark/>
          </w:tcPr>
          <w:p w14:paraId="7F0045B7"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 xml:space="preserve">AFS licensees with an authorisation to deal in a financial product by issuing margin lending facilities. </w:t>
            </w:r>
          </w:p>
        </w:tc>
        <w:tc>
          <w:tcPr>
            <w:tcW w:w="0" w:type="auto"/>
            <w:tcBorders>
              <w:top w:val="single" w:sz="4" w:space="0" w:color="auto"/>
              <w:left w:val="single" w:sz="4" w:space="0" w:color="auto"/>
              <w:bottom w:val="single" w:sz="4" w:space="0" w:color="auto"/>
              <w:right w:val="single" w:sz="4" w:space="0" w:color="auto"/>
            </w:tcBorders>
          </w:tcPr>
          <w:p w14:paraId="5DD49698" w14:textId="75EF3DE3" w:rsidR="00C52D09" w:rsidRPr="002A3BF7" w:rsidRDefault="00C52D09" w:rsidP="00C52D09">
            <w:pPr>
              <w:spacing w:before="0" w:after="0"/>
              <w:rPr>
                <w:rFonts w:cs="Calibri Light"/>
                <w:color w:val="000000"/>
                <w:sz w:val="22"/>
                <w:szCs w:val="22"/>
              </w:rPr>
            </w:pPr>
            <w:r w:rsidRPr="002A3BF7">
              <w:rPr>
                <w:rFonts w:cs="Calibri Light"/>
                <w:color w:val="000000"/>
                <w:szCs w:val="22"/>
              </w:rPr>
              <w:t>Flat levy based on the number of days in the financial year on which the entity holds the prescribed AFS licence authorisation.</w:t>
            </w:r>
          </w:p>
        </w:tc>
      </w:tr>
      <w:tr w:rsidR="00C52D09" w:rsidRPr="007A46E0" w14:paraId="2745A6B4" w14:textId="77777777" w:rsidTr="00DC1E42">
        <w:tc>
          <w:tcPr>
            <w:tcW w:w="0" w:type="auto"/>
            <w:gridSpan w:val="3"/>
            <w:tcBorders>
              <w:top w:val="single" w:sz="4" w:space="0" w:color="auto"/>
              <w:left w:val="single" w:sz="4" w:space="0" w:color="auto"/>
              <w:bottom w:val="single" w:sz="4" w:space="0" w:color="auto"/>
              <w:right w:val="single" w:sz="4" w:space="0" w:color="auto"/>
            </w:tcBorders>
            <w:hideMark/>
          </w:tcPr>
          <w:p w14:paraId="4A93E85A" w14:textId="77777777" w:rsidR="00C52D09" w:rsidRPr="002A3BF7" w:rsidRDefault="00C52D09" w:rsidP="00C52D09">
            <w:pPr>
              <w:spacing w:before="0" w:after="0"/>
              <w:jc w:val="center"/>
              <w:rPr>
                <w:rFonts w:cs="Calibri Light"/>
                <w:color w:val="000000"/>
                <w:sz w:val="22"/>
                <w:szCs w:val="22"/>
              </w:rPr>
            </w:pPr>
            <w:r w:rsidRPr="002A3BF7">
              <w:rPr>
                <w:rFonts w:cs="Calibri Light"/>
                <w:i/>
                <w:color w:val="000000"/>
                <w:szCs w:val="22"/>
              </w:rPr>
              <w:t>Investment management, superannuation and related services sector</w:t>
            </w:r>
          </w:p>
        </w:tc>
      </w:tr>
      <w:tr w:rsidR="00D20F85" w:rsidRPr="007A46E0" w14:paraId="71BAEE4B"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7ABB4185"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Superannuation trustees</w:t>
            </w:r>
          </w:p>
        </w:tc>
        <w:tc>
          <w:tcPr>
            <w:tcW w:w="0" w:type="auto"/>
            <w:tcBorders>
              <w:top w:val="single" w:sz="4" w:space="0" w:color="auto"/>
              <w:left w:val="single" w:sz="4" w:space="0" w:color="auto"/>
              <w:bottom w:val="single" w:sz="4" w:space="0" w:color="auto"/>
              <w:right w:val="single" w:sz="4" w:space="0" w:color="auto"/>
            </w:tcBorders>
            <w:hideMark/>
          </w:tcPr>
          <w:p w14:paraId="7CCD8260"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 xml:space="preserve">An entity that is a </w:t>
            </w:r>
            <w:r w:rsidRPr="002A3BF7">
              <w:rPr>
                <w:rFonts w:cs="Calibri Light"/>
                <w:color w:val="000000"/>
                <w:szCs w:val="22"/>
                <w:shd w:val="clear" w:color="auto" w:fill="FFFFFF"/>
              </w:rPr>
              <w:t>registrable superannuation entity</w:t>
            </w:r>
            <w:r w:rsidRPr="002A3BF7">
              <w:rPr>
                <w:rFonts w:cs="Calibri Light"/>
                <w:color w:val="000000"/>
                <w:szCs w:val="22"/>
              </w:rPr>
              <w:t xml:space="preserve"> (RSE) licensee.</w:t>
            </w:r>
          </w:p>
        </w:tc>
        <w:tc>
          <w:tcPr>
            <w:tcW w:w="0" w:type="auto"/>
            <w:tcBorders>
              <w:top w:val="single" w:sz="4" w:space="0" w:color="auto"/>
              <w:left w:val="single" w:sz="4" w:space="0" w:color="auto"/>
              <w:bottom w:val="single" w:sz="4" w:space="0" w:color="auto"/>
              <w:right w:val="single" w:sz="4" w:space="0" w:color="auto"/>
            </w:tcBorders>
          </w:tcPr>
          <w:p w14:paraId="36E7B296" w14:textId="4AF7DF74" w:rsidR="00C52D09" w:rsidRPr="002A3BF7" w:rsidRDefault="00C52D09" w:rsidP="00C52D09">
            <w:pPr>
              <w:spacing w:before="0" w:after="0"/>
              <w:rPr>
                <w:rFonts w:cs="Calibri Light"/>
                <w:color w:val="000000"/>
                <w:sz w:val="22"/>
                <w:szCs w:val="22"/>
              </w:rPr>
            </w:pPr>
            <w:r w:rsidRPr="002A3BF7">
              <w:rPr>
                <w:rFonts w:cs="Calibri Light"/>
                <w:color w:val="000000"/>
                <w:szCs w:val="22"/>
              </w:rPr>
              <w:t>Minimum levy ($18,000) + graduated levy based on the total value of assets above $250 million in all RSEs operated by the entity at the end of the financial year.</w:t>
            </w:r>
          </w:p>
        </w:tc>
      </w:tr>
      <w:tr w:rsidR="00D20F85" w:rsidRPr="007A46E0" w14:paraId="0D1B0126"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6AF97A02"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Responsible entities</w:t>
            </w:r>
          </w:p>
        </w:tc>
        <w:tc>
          <w:tcPr>
            <w:tcW w:w="0" w:type="auto"/>
            <w:tcBorders>
              <w:top w:val="single" w:sz="4" w:space="0" w:color="auto"/>
              <w:left w:val="single" w:sz="4" w:space="0" w:color="auto"/>
              <w:bottom w:val="single" w:sz="4" w:space="0" w:color="auto"/>
              <w:right w:val="single" w:sz="4" w:space="0" w:color="auto"/>
            </w:tcBorders>
            <w:hideMark/>
          </w:tcPr>
          <w:p w14:paraId="7FCA8FDD"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holds an AFS licence authorising them to operate a registered scheme.</w:t>
            </w:r>
          </w:p>
        </w:tc>
        <w:tc>
          <w:tcPr>
            <w:tcW w:w="0" w:type="auto"/>
            <w:tcBorders>
              <w:top w:val="single" w:sz="4" w:space="0" w:color="auto"/>
              <w:left w:val="single" w:sz="4" w:space="0" w:color="auto"/>
              <w:bottom w:val="single" w:sz="4" w:space="0" w:color="auto"/>
              <w:right w:val="single" w:sz="4" w:space="0" w:color="auto"/>
            </w:tcBorders>
          </w:tcPr>
          <w:p w14:paraId="678FA788" w14:textId="3C576DD4" w:rsidR="00C52D09" w:rsidRPr="002A3BF7" w:rsidRDefault="00C52D09" w:rsidP="00C52D09">
            <w:pPr>
              <w:spacing w:before="0" w:after="0"/>
              <w:rPr>
                <w:rFonts w:cs="Calibri Light"/>
                <w:color w:val="000000"/>
                <w:sz w:val="22"/>
                <w:szCs w:val="22"/>
              </w:rPr>
            </w:pPr>
            <w:r w:rsidRPr="002A3BF7">
              <w:rPr>
                <w:rFonts w:cs="Calibri Light"/>
                <w:color w:val="000000"/>
                <w:szCs w:val="22"/>
              </w:rPr>
              <w:t>Minimum levy ($7,000) + graduated levy based on the total value of assets above $10 million in all registered schemes operated by the entity at the end of the financial year.</w:t>
            </w:r>
          </w:p>
        </w:tc>
      </w:tr>
      <w:tr w:rsidR="00D20F85" w:rsidRPr="007A46E0" w14:paraId="3B60EB97"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24AF5617"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Operators of notified foreign passport funds and regulated former notified funds</w:t>
            </w:r>
          </w:p>
        </w:tc>
        <w:tc>
          <w:tcPr>
            <w:tcW w:w="0" w:type="auto"/>
            <w:tcBorders>
              <w:top w:val="single" w:sz="4" w:space="0" w:color="auto"/>
              <w:left w:val="single" w:sz="4" w:space="0" w:color="auto"/>
              <w:bottom w:val="single" w:sz="4" w:space="0" w:color="auto"/>
              <w:right w:val="single" w:sz="4" w:space="0" w:color="auto"/>
            </w:tcBorders>
            <w:hideMark/>
          </w:tcPr>
          <w:p w14:paraId="75866B9F"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at any time in the financial year, was the operator of a notified foreign passport fund or a regulated former notified fund.</w:t>
            </w:r>
          </w:p>
        </w:tc>
        <w:tc>
          <w:tcPr>
            <w:tcW w:w="0" w:type="auto"/>
            <w:tcBorders>
              <w:top w:val="single" w:sz="4" w:space="0" w:color="auto"/>
              <w:left w:val="single" w:sz="4" w:space="0" w:color="auto"/>
              <w:bottom w:val="single" w:sz="4" w:space="0" w:color="auto"/>
              <w:right w:val="single" w:sz="4" w:space="0" w:color="auto"/>
            </w:tcBorders>
          </w:tcPr>
          <w:p w14:paraId="459334E4" w14:textId="7AF7C157" w:rsidR="00C52D09" w:rsidRPr="002A3BF7" w:rsidRDefault="00C52D09" w:rsidP="00C52D09">
            <w:pPr>
              <w:spacing w:before="0" w:after="0"/>
              <w:rPr>
                <w:rFonts w:cs="Calibri Light"/>
                <w:color w:val="000000"/>
                <w:sz w:val="22"/>
                <w:szCs w:val="22"/>
              </w:rPr>
            </w:pPr>
            <w:r w:rsidRPr="002A3BF7">
              <w:rPr>
                <w:rFonts w:cs="Calibri Light"/>
                <w:color w:val="000000"/>
                <w:szCs w:val="22"/>
              </w:rPr>
              <w:t>Minimum levy ($1,000) + graduated levy based on the total value of Australian assets in all notified foreign passport funds/regulated former notified funds operated by the entity at the end of the financial year.</w:t>
            </w:r>
          </w:p>
        </w:tc>
      </w:tr>
      <w:tr w:rsidR="00D20F85" w:rsidRPr="007A46E0" w14:paraId="17BF20D1"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3C009BDF" w14:textId="77777777" w:rsidR="00C52D09" w:rsidRPr="0095015C" w:rsidRDefault="00C52D09" w:rsidP="00C52D09">
            <w:pPr>
              <w:spacing w:before="0" w:after="0"/>
              <w:rPr>
                <w:rFonts w:cs="Calibri Light"/>
                <w:b/>
                <w:sz w:val="22"/>
                <w:szCs w:val="22"/>
              </w:rPr>
            </w:pPr>
            <w:r w:rsidRPr="002A3BF7">
              <w:rPr>
                <w:rFonts w:cs="Calibri Light"/>
                <w:b/>
                <w:szCs w:val="22"/>
              </w:rPr>
              <w:t>Investor directed portfolio service (IDPS) operators</w:t>
            </w:r>
          </w:p>
        </w:tc>
        <w:tc>
          <w:tcPr>
            <w:tcW w:w="0" w:type="auto"/>
            <w:tcBorders>
              <w:top w:val="single" w:sz="4" w:space="0" w:color="auto"/>
              <w:left w:val="single" w:sz="4" w:space="0" w:color="auto"/>
              <w:bottom w:val="single" w:sz="4" w:space="0" w:color="auto"/>
              <w:right w:val="single" w:sz="4" w:space="0" w:color="auto"/>
            </w:tcBorders>
            <w:hideMark/>
          </w:tcPr>
          <w:p w14:paraId="7E6896D8"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holds an AFS licence authorising them to operate an IDPS.</w:t>
            </w:r>
          </w:p>
        </w:tc>
        <w:tc>
          <w:tcPr>
            <w:tcW w:w="0" w:type="auto"/>
            <w:tcBorders>
              <w:top w:val="single" w:sz="4" w:space="0" w:color="auto"/>
              <w:left w:val="single" w:sz="4" w:space="0" w:color="auto"/>
              <w:bottom w:val="single" w:sz="4" w:space="0" w:color="auto"/>
              <w:right w:val="single" w:sz="4" w:space="0" w:color="auto"/>
            </w:tcBorders>
            <w:hideMark/>
          </w:tcPr>
          <w:p w14:paraId="0D6FDEB3"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Minimum levy ($10,000) + graduated levy based on total gross revenue from IDPS activity and any amount paid or payable in the financial year from the IDPS for the performance of obligations imposed on an entity as an operator of the IDPS.</w:t>
            </w:r>
          </w:p>
        </w:tc>
      </w:tr>
      <w:tr w:rsidR="00D20F85" w:rsidRPr="007A46E0" w14:paraId="3C0718C0"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25203438" w14:textId="77777777" w:rsidR="00C52D09" w:rsidRPr="0095015C" w:rsidRDefault="00C52D09" w:rsidP="00C52D09">
            <w:pPr>
              <w:spacing w:before="0" w:after="0"/>
              <w:rPr>
                <w:rFonts w:cs="Calibri Light"/>
                <w:b/>
                <w:color w:val="000000"/>
                <w:sz w:val="22"/>
                <w:szCs w:val="22"/>
              </w:rPr>
            </w:pPr>
            <w:r w:rsidRPr="002A3BF7">
              <w:rPr>
                <w:rFonts w:cs="Calibri Light"/>
                <w:b/>
                <w:color w:val="000000"/>
                <w:szCs w:val="22"/>
              </w:rPr>
              <w:t>Wholesale trustees</w:t>
            </w:r>
          </w:p>
        </w:tc>
        <w:tc>
          <w:tcPr>
            <w:tcW w:w="0" w:type="auto"/>
            <w:tcBorders>
              <w:top w:val="single" w:sz="4" w:space="0" w:color="auto"/>
              <w:left w:val="single" w:sz="4" w:space="0" w:color="auto"/>
              <w:bottom w:val="single" w:sz="4" w:space="0" w:color="auto"/>
              <w:right w:val="single" w:sz="4" w:space="0" w:color="auto"/>
            </w:tcBorders>
            <w:hideMark/>
          </w:tcPr>
          <w:p w14:paraId="5F80027D"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 xml:space="preserve">An entity that holds an AFS licence authorising them to deal in a financial product by issuing interests in, or arranging for the issue of interests in, a managed investment scheme to wholesale clients. </w:t>
            </w:r>
          </w:p>
        </w:tc>
        <w:tc>
          <w:tcPr>
            <w:tcW w:w="0" w:type="auto"/>
            <w:tcBorders>
              <w:top w:val="single" w:sz="4" w:space="0" w:color="auto"/>
              <w:left w:val="single" w:sz="4" w:space="0" w:color="auto"/>
              <w:bottom w:val="single" w:sz="4" w:space="0" w:color="auto"/>
              <w:right w:val="single" w:sz="4" w:space="0" w:color="auto"/>
            </w:tcBorders>
          </w:tcPr>
          <w:p w14:paraId="20641F07" w14:textId="4105A7E2" w:rsidR="00C52D09" w:rsidRPr="002A3BF7" w:rsidRDefault="00C52D09" w:rsidP="00C52D09">
            <w:pPr>
              <w:spacing w:before="0" w:after="0"/>
              <w:rPr>
                <w:rFonts w:cs="Calibri Light"/>
                <w:color w:val="000000"/>
                <w:sz w:val="22"/>
                <w:szCs w:val="22"/>
              </w:rPr>
            </w:pPr>
            <w:r w:rsidRPr="002A3BF7">
              <w:rPr>
                <w:rFonts w:cs="Calibri Light"/>
                <w:color w:val="000000"/>
                <w:szCs w:val="22"/>
              </w:rPr>
              <w:t xml:space="preserve">Minimum levy ($1,000) + graduated levy based on the total value of assets. </w:t>
            </w:r>
          </w:p>
        </w:tc>
      </w:tr>
      <w:tr w:rsidR="00D20F85" w:rsidRPr="007A46E0" w14:paraId="2AE186AB"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6A0F9117" w14:textId="77777777" w:rsidR="00C52D09" w:rsidRPr="00D40418" w:rsidRDefault="00C52D09" w:rsidP="00C52D09">
            <w:pPr>
              <w:spacing w:before="0" w:after="0"/>
              <w:rPr>
                <w:rFonts w:cs="Calibri Light"/>
                <w:b/>
                <w:color w:val="000000"/>
                <w:sz w:val="22"/>
                <w:szCs w:val="22"/>
              </w:rPr>
            </w:pPr>
            <w:r w:rsidRPr="002A3BF7">
              <w:rPr>
                <w:rFonts w:cs="Calibri Light"/>
                <w:b/>
                <w:color w:val="000000"/>
                <w:szCs w:val="22"/>
              </w:rPr>
              <w:t>Custodians</w:t>
            </w:r>
          </w:p>
        </w:tc>
        <w:tc>
          <w:tcPr>
            <w:tcW w:w="0" w:type="auto"/>
            <w:tcBorders>
              <w:top w:val="single" w:sz="4" w:space="0" w:color="auto"/>
              <w:left w:val="single" w:sz="4" w:space="0" w:color="auto"/>
              <w:bottom w:val="single" w:sz="4" w:space="0" w:color="auto"/>
              <w:right w:val="single" w:sz="4" w:space="0" w:color="auto"/>
            </w:tcBorders>
          </w:tcPr>
          <w:p w14:paraId="519BA1A9" w14:textId="764915F1"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at any time in the financial year, holds an AFS licence that authorises the holder to provide a custodial or depository service.</w:t>
            </w:r>
          </w:p>
        </w:tc>
        <w:tc>
          <w:tcPr>
            <w:tcW w:w="0" w:type="auto"/>
            <w:tcBorders>
              <w:top w:val="single" w:sz="4" w:space="0" w:color="auto"/>
              <w:left w:val="single" w:sz="4" w:space="0" w:color="auto"/>
              <w:bottom w:val="single" w:sz="4" w:space="0" w:color="auto"/>
              <w:right w:val="single" w:sz="4" w:space="0" w:color="auto"/>
            </w:tcBorders>
          </w:tcPr>
          <w:p w14:paraId="5A95A18A"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Flat levy</w:t>
            </w:r>
          </w:p>
          <w:p w14:paraId="39632079" w14:textId="77777777" w:rsidR="00C52D09" w:rsidRPr="002A3BF7" w:rsidRDefault="00C52D09" w:rsidP="00C52D09">
            <w:pPr>
              <w:spacing w:before="0" w:after="0"/>
              <w:rPr>
                <w:rFonts w:cs="Calibri Light"/>
                <w:color w:val="000000"/>
                <w:sz w:val="22"/>
                <w:szCs w:val="22"/>
              </w:rPr>
            </w:pPr>
          </w:p>
        </w:tc>
      </w:tr>
      <w:tr w:rsidR="00D20F85" w:rsidRPr="007A46E0" w14:paraId="26AFA85E" w14:textId="77777777" w:rsidTr="007865BF">
        <w:trPr>
          <w:trHeight w:val="756"/>
        </w:trPr>
        <w:tc>
          <w:tcPr>
            <w:tcW w:w="0" w:type="auto"/>
            <w:tcBorders>
              <w:top w:val="single" w:sz="4" w:space="0" w:color="auto"/>
              <w:left w:val="single" w:sz="4" w:space="0" w:color="auto"/>
              <w:bottom w:val="single" w:sz="4" w:space="0" w:color="auto"/>
              <w:right w:val="single" w:sz="4" w:space="0" w:color="auto"/>
            </w:tcBorders>
          </w:tcPr>
          <w:p w14:paraId="50A0D6E1"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Managed discretionary account (MDA) providers</w:t>
            </w:r>
          </w:p>
          <w:p w14:paraId="60416CD3" w14:textId="77777777" w:rsidR="00C52D09" w:rsidRPr="002A3BF7" w:rsidRDefault="00C52D09" w:rsidP="00C52D09">
            <w:pPr>
              <w:spacing w:before="0" w:after="0"/>
              <w:rPr>
                <w:rFonts w:cs="Calibri Light"/>
                <w:b/>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48F8BCBC"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AFS licensees authorised to deal in a financial product by issuing financial products in respect of interests in managed investment schemes or miscellaneous financial investment products, limited to MDA services.</w:t>
            </w:r>
          </w:p>
        </w:tc>
        <w:tc>
          <w:tcPr>
            <w:tcW w:w="0" w:type="auto"/>
            <w:vMerge w:val="restart"/>
            <w:tcBorders>
              <w:top w:val="single" w:sz="4" w:space="0" w:color="auto"/>
              <w:left w:val="single" w:sz="4" w:space="0" w:color="auto"/>
              <w:bottom w:val="single" w:sz="4" w:space="0" w:color="auto"/>
              <w:right w:val="single" w:sz="4" w:space="0" w:color="auto"/>
            </w:tcBorders>
          </w:tcPr>
          <w:p w14:paraId="409EC9C7" w14:textId="032090CC" w:rsidR="00C52D09" w:rsidRPr="002A3BF7" w:rsidRDefault="00C52D09" w:rsidP="00C52D09">
            <w:pPr>
              <w:spacing w:before="0" w:after="0"/>
              <w:rPr>
                <w:rFonts w:cs="Calibri Light"/>
                <w:color w:val="000000"/>
                <w:sz w:val="22"/>
                <w:szCs w:val="22"/>
              </w:rPr>
            </w:pPr>
            <w:r w:rsidRPr="002A3BF7">
              <w:rPr>
                <w:rFonts w:cs="Calibri Light"/>
                <w:color w:val="000000"/>
                <w:szCs w:val="22"/>
              </w:rPr>
              <w:t>Flat levy based on the number of days in the financial year on which the entity holds the prescribed AFS licence authorisation.</w:t>
            </w:r>
          </w:p>
        </w:tc>
      </w:tr>
      <w:tr w:rsidR="00D20F85" w:rsidRPr="007A46E0" w14:paraId="24775594" w14:textId="77777777" w:rsidTr="007865BF">
        <w:trPr>
          <w:trHeight w:val="70"/>
        </w:trPr>
        <w:tc>
          <w:tcPr>
            <w:tcW w:w="0" w:type="auto"/>
            <w:tcBorders>
              <w:top w:val="single" w:sz="4" w:space="0" w:color="auto"/>
              <w:left w:val="single" w:sz="4" w:space="0" w:color="auto"/>
              <w:bottom w:val="single" w:sz="4" w:space="0" w:color="auto"/>
              <w:right w:val="single" w:sz="4" w:space="0" w:color="auto"/>
            </w:tcBorders>
            <w:hideMark/>
          </w:tcPr>
          <w:p w14:paraId="57BC555C"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Traditional trustee company service providers</w:t>
            </w:r>
          </w:p>
        </w:tc>
        <w:tc>
          <w:tcPr>
            <w:tcW w:w="0" w:type="auto"/>
            <w:tcBorders>
              <w:top w:val="single" w:sz="4" w:space="0" w:color="auto"/>
              <w:left w:val="single" w:sz="4" w:space="0" w:color="auto"/>
              <w:bottom w:val="single" w:sz="4" w:space="0" w:color="auto"/>
              <w:right w:val="single" w:sz="4" w:space="0" w:color="auto"/>
            </w:tcBorders>
            <w:hideMark/>
          </w:tcPr>
          <w:p w14:paraId="6F23998A"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holds an AFS licence authorising them to provide traditional trustee company services.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62B49" w14:textId="77777777" w:rsidR="00C52D09" w:rsidRPr="002A3BF7" w:rsidRDefault="00C52D09" w:rsidP="00C52D09">
            <w:pPr>
              <w:spacing w:before="0" w:after="0"/>
              <w:rPr>
                <w:rFonts w:cs="Calibri Light"/>
                <w:color w:val="000000"/>
                <w:sz w:val="22"/>
                <w:szCs w:val="22"/>
              </w:rPr>
            </w:pPr>
          </w:p>
        </w:tc>
      </w:tr>
      <w:tr w:rsidR="00C52D09" w:rsidRPr="007A46E0" w14:paraId="4F65FEF9" w14:textId="77777777" w:rsidTr="00DC1E42">
        <w:tc>
          <w:tcPr>
            <w:tcW w:w="0" w:type="auto"/>
            <w:gridSpan w:val="3"/>
            <w:tcBorders>
              <w:top w:val="single" w:sz="4" w:space="0" w:color="auto"/>
              <w:left w:val="single" w:sz="4" w:space="0" w:color="auto"/>
              <w:bottom w:val="single" w:sz="4" w:space="0" w:color="auto"/>
              <w:right w:val="single" w:sz="4" w:space="0" w:color="auto"/>
            </w:tcBorders>
            <w:hideMark/>
          </w:tcPr>
          <w:p w14:paraId="111AE23D" w14:textId="77777777" w:rsidR="00C52D09" w:rsidRPr="002A3BF7" w:rsidRDefault="00C52D09" w:rsidP="00C52D09">
            <w:pPr>
              <w:spacing w:before="0" w:after="0"/>
              <w:jc w:val="center"/>
              <w:rPr>
                <w:rFonts w:cs="Calibri Light"/>
                <w:i/>
                <w:color w:val="000000"/>
                <w:sz w:val="22"/>
                <w:szCs w:val="22"/>
              </w:rPr>
            </w:pPr>
            <w:r w:rsidRPr="002A3BF7">
              <w:rPr>
                <w:rFonts w:cs="Calibri Light"/>
                <w:i/>
                <w:color w:val="000000"/>
                <w:szCs w:val="22"/>
              </w:rPr>
              <w:t>Financial advice sector</w:t>
            </w:r>
          </w:p>
        </w:tc>
      </w:tr>
      <w:tr w:rsidR="00D20F85" w:rsidRPr="007A46E0" w14:paraId="4338ACA8"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14D73D65"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Licensees that provide personal advice to retail clients on relevant financial products</w:t>
            </w:r>
          </w:p>
        </w:tc>
        <w:tc>
          <w:tcPr>
            <w:tcW w:w="0" w:type="auto"/>
            <w:tcBorders>
              <w:top w:val="single" w:sz="4" w:space="0" w:color="auto"/>
              <w:left w:val="single" w:sz="4" w:space="0" w:color="auto"/>
              <w:bottom w:val="single" w:sz="4" w:space="0" w:color="auto"/>
              <w:right w:val="single" w:sz="4" w:space="0" w:color="auto"/>
            </w:tcBorders>
            <w:hideMark/>
          </w:tcPr>
          <w:p w14:paraId="205B0FE1"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holds an AFS licence that authorises it to provide financial product advice on relevant financial products to retail clients.</w:t>
            </w:r>
          </w:p>
        </w:tc>
        <w:tc>
          <w:tcPr>
            <w:tcW w:w="0" w:type="auto"/>
            <w:tcBorders>
              <w:top w:val="single" w:sz="4" w:space="0" w:color="auto"/>
              <w:left w:val="single" w:sz="4" w:space="0" w:color="auto"/>
              <w:bottom w:val="single" w:sz="4" w:space="0" w:color="auto"/>
              <w:right w:val="single" w:sz="4" w:space="0" w:color="auto"/>
            </w:tcBorders>
          </w:tcPr>
          <w:p w14:paraId="3314E241" w14:textId="6B2D18AF" w:rsidR="00C52D09" w:rsidRPr="002A3BF7" w:rsidRDefault="00C52D09" w:rsidP="00C52D09">
            <w:pPr>
              <w:spacing w:before="0" w:after="0"/>
              <w:rPr>
                <w:rFonts w:cs="Calibri Light"/>
                <w:color w:val="000000"/>
                <w:sz w:val="22"/>
                <w:szCs w:val="22"/>
              </w:rPr>
            </w:pPr>
            <w:r w:rsidRPr="002A3BF7">
              <w:rPr>
                <w:rFonts w:cs="Calibri Light"/>
                <w:color w:val="000000"/>
                <w:szCs w:val="22"/>
              </w:rPr>
              <w:t xml:space="preserve">Minimum levy ($1,500) + graduated levy based on the number of advisers on the financial advisers register at the end of the financial year (noting that the graduated levy per adviser has been fixed for 2020-21 and 2021-22 financial years). </w:t>
            </w:r>
          </w:p>
        </w:tc>
      </w:tr>
      <w:tr w:rsidR="00D20F85" w:rsidRPr="007A46E0" w14:paraId="2BEAE2F8" w14:textId="77777777" w:rsidTr="00DF7187">
        <w:tc>
          <w:tcPr>
            <w:tcW w:w="0" w:type="auto"/>
            <w:tcBorders>
              <w:top w:val="single" w:sz="4" w:space="0" w:color="auto"/>
              <w:left w:val="single" w:sz="4" w:space="0" w:color="auto"/>
              <w:bottom w:val="single" w:sz="4" w:space="0" w:color="auto"/>
              <w:right w:val="single" w:sz="4" w:space="0" w:color="auto"/>
            </w:tcBorders>
            <w:hideMark/>
          </w:tcPr>
          <w:p w14:paraId="104C0BF4"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Licensees that provide personal advice to retail clients on products that are not relevant financial products</w:t>
            </w:r>
          </w:p>
        </w:tc>
        <w:tc>
          <w:tcPr>
            <w:tcW w:w="0" w:type="auto"/>
            <w:tcBorders>
              <w:top w:val="single" w:sz="4" w:space="0" w:color="auto"/>
              <w:left w:val="single" w:sz="4" w:space="0" w:color="auto"/>
              <w:bottom w:val="single" w:sz="4" w:space="0" w:color="auto"/>
              <w:right w:val="single" w:sz="4" w:space="0" w:color="auto"/>
            </w:tcBorders>
            <w:hideMark/>
          </w:tcPr>
          <w:p w14:paraId="507345F7"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An entity that holds an AFS licence that authorises it to provide financial product advice to retail clients only on basic banking products, general insurance products and consumer credit insurance.</w:t>
            </w:r>
          </w:p>
        </w:tc>
        <w:tc>
          <w:tcPr>
            <w:tcW w:w="0" w:type="auto"/>
            <w:vMerge w:val="restart"/>
            <w:tcBorders>
              <w:top w:val="single" w:sz="4" w:space="0" w:color="auto"/>
              <w:left w:val="single" w:sz="4" w:space="0" w:color="auto"/>
              <w:right w:val="single" w:sz="4" w:space="0" w:color="auto"/>
            </w:tcBorders>
          </w:tcPr>
          <w:p w14:paraId="714FE2A7" w14:textId="77777777" w:rsidR="00C52D09" w:rsidRPr="002A3BF7" w:rsidRDefault="00C52D09" w:rsidP="00C52D09">
            <w:pPr>
              <w:spacing w:before="0" w:after="0"/>
              <w:rPr>
                <w:rFonts w:cs="Calibri Light"/>
                <w:color w:val="000000"/>
                <w:sz w:val="22"/>
                <w:szCs w:val="22"/>
              </w:rPr>
            </w:pPr>
            <w:r w:rsidRPr="002A3BF7">
              <w:rPr>
                <w:rFonts w:cs="Calibri Light"/>
                <w:color w:val="000000"/>
                <w:szCs w:val="22"/>
              </w:rPr>
              <w:t xml:space="preserve">Flat levy </w:t>
            </w:r>
          </w:p>
          <w:p w14:paraId="0480A032" w14:textId="77777777" w:rsidR="00A135DD" w:rsidRPr="00E317E6" w:rsidRDefault="00A135DD" w:rsidP="00C52D09">
            <w:pPr>
              <w:spacing w:before="0" w:after="0"/>
              <w:rPr>
                <w:rFonts w:cs="Calibri Light"/>
                <w:color w:val="000000"/>
                <w:sz w:val="22"/>
                <w:szCs w:val="22"/>
              </w:rPr>
            </w:pPr>
          </w:p>
          <w:p w14:paraId="20B71D47" w14:textId="77777777" w:rsidR="00C52D09" w:rsidRPr="002A3BF7" w:rsidRDefault="00C52D09" w:rsidP="00C52D09">
            <w:pPr>
              <w:spacing w:before="0" w:after="0"/>
              <w:rPr>
                <w:rFonts w:cs="Calibri Light"/>
                <w:color w:val="000000"/>
                <w:sz w:val="22"/>
                <w:szCs w:val="22"/>
              </w:rPr>
            </w:pPr>
          </w:p>
        </w:tc>
      </w:tr>
      <w:tr w:rsidR="00D20F85" w:rsidRPr="007A46E0" w14:paraId="1E0B54C0" w14:textId="77777777" w:rsidTr="00DF7187">
        <w:tc>
          <w:tcPr>
            <w:tcW w:w="0" w:type="auto"/>
            <w:tcBorders>
              <w:top w:val="single" w:sz="4" w:space="0" w:color="auto"/>
              <w:left w:val="single" w:sz="4" w:space="0" w:color="auto"/>
              <w:bottom w:val="single" w:sz="4" w:space="0" w:color="auto"/>
              <w:right w:val="single" w:sz="4" w:space="0" w:color="auto"/>
            </w:tcBorders>
            <w:hideMark/>
          </w:tcPr>
          <w:p w14:paraId="6733781D" w14:textId="77777777" w:rsidR="00C52D09" w:rsidRPr="002A3BF7" w:rsidRDefault="00C52D09" w:rsidP="00C52D09">
            <w:pPr>
              <w:spacing w:before="0" w:after="0"/>
              <w:rPr>
                <w:rFonts w:cs="Calibri Light"/>
                <w:b/>
                <w:color w:val="000000"/>
                <w:sz w:val="22"/>
                <w:szCs w:val="22"/>
              </w:rPr>
            </w:pPr>
            <w:r w:rsidRPr="002A3BF7">
              <w:rPr>
                <w:rFonts w:cs="Calibri Light"/>
                <w:b/>
                <w:color w:val="000000"/>
                <w:szCs w:val="22"/>
              </w:rPr>
              <w:t>Licensees that provide only general advice to retail or wholesale clients</w:t>
            </w:r>
          </w:p>
        </w:tc>
        <w:tc>
          <w:tcPr>
            <w:tcW w:w="0" w:type="auto"/>
            <w:tcBorders>
              <w:top w:val="single" w:sz="4" w:space="0" w:color="auto"/>
              <w:left w:val="single" w:sz="4" w:space="0" w:color="auto"/>
              <w:bottom w:val="single" w:sz="4" w:space="0" w:color="auto"/>
              <w:right w:val="single" w:sz="4" w:space="0" w:color="auto"/>
            </w:tcBorders>
            <w:hideMark/>
          </w:tcPr>
          <w:p w14:paraId="3C93CC53"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an entity that holds an AFS licence authorising it to provide financial product advice that is general advice only.</w:t>
            </w:r>
          </w:p>
        </w:tc>
        <w:tc>
          <w:tcPr>
            <w:tcW w:w="0" w:type="auto"/>
            <w:vMerge/>
            <w:tcBorders>
              <w:left w:val="single" w:sz="4" w:space="0" w:color="auto"/>
              <w:right w:val="single" w:sz="4" w:space="0" w:color="auto"/>
            </w:tcBorders>
          </w:tcPr>
          <w:p w14:paraId="130E1369" w14:textId="77777777" w:rsidR="00C52D09" w:rsidRPr="00E317E6" w:rsidRDefault="00C52D09" w:rsidP="00C52D09">
            <w:pPr>
              <w:spacing w:before="0" w:after="0"/>
              <w:rPr>
                <w:rFonts w:cs="Calibri Light"/>
                <w:color w:val="000000"/>
                <w:sz w:val="22"/>
                <w:szCs w:val="22"/>
              </w:rPr>
            </w:pPr>
          </w:p>
        </w:tc>
      </w:tr>
      <w:tr w:rsidR="00D20F85" w:rsidRPr="007A46E0" w14:paraId="2E8D618B" w14:textId="77777777" w:rsidTr="00DF7187">
        <w:tc>
          <w:tcPr>
            <w:tcW w:w="0" w:type="auto"/>
            <w:tcBorders>
              <w:top w:val="single" w:sz="4" w:space="0" w:color="auto"/>
              <w:left w:val="single" w:sz="4" w:space="0" w:color="auto"/>
              <w:bottom w:val="single" w:sz="4" w:space="0" w:color="auto"/>
              <w:right w:val="single" w:sz="4" w:space="0" w:color="auto"/>
            </w:tcBorders>
            <w:hideMark/>
          </w:tcPr>
          <w:p w14:paraId="426F9B73"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Licensees that provide personal advice to wholesale clients only</w:t>
            </w:r>
          </w:p>
        </w:tc>
        <w:tc>
          <w:tcPr>
            <w:tcW w:w="0" w:type="auto"/>
            <w:tcBorders>
              <w:top w:val="single" w:sz="4" w:space="0" w:color="auto"/>
              <w:left w:val="single" w:sz="4" w:space="0" w:color="auto"/>
              <w:bottom w:val="single" w:sz="4" w:space="0" w:color="auto"/>
              <w:right w:val="single" w:sz="4" w:space="0" w:color="auto"/>
            </w:tcBorders>
            <w:hideMark/>
          </w:tcPr>
          <w:p w14:paraId="4EAB4FA3"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An entity that holds an AFS licence authorising it to provide financial product advice to wholesale clients only.</w:t>
            </w:r>
          </w:p>
        </w:tc>
        <w:tc>
          <w:tcPr>
            <w:tcW w:w="0" w:type="auto"/>
            <w:vMerge/>
            <w:tcBorders>
              <w:left w:val="single" w:sz="4" w:space="0" w:color="auto"/>
              <w:bottom w:val="single" w:sz="4" w:space="0" w:color="auto"/>
              <w:right w:val="single" w:sz="4" w:space="0" w:color="auto"/>
            </w:tcBorders>
            <w:vAlign w:val="center"/>
            <w:hideMark/>
          </w:tcPr>
          <w:p w14:paraId="1D1AF749" w14:textId="77777777" w:rsidR="00C52D09" w:rsidRPr="00E317E6" w:rsidRDefault="00C52D09" w:rsidP="00C52D09">
            <w:pPr>
              <w:spacing w:before="0" w:after="0"/>
              <w:rPr>
                <w:rFonts w:cs="Calibri Light"/>
                <w:color w:val="000000"/>
                <w:sz w:val="22"/>
                <w:szCs w:val="22"/>
              </w:rPr>
            </w:pPr>
          </w:p>
        </w:tc>
      </w:tr>
      <w:tr w:rsidR="00C52D09" w:rsidRPr="007A46E0" w14:paraId="4291765F" w14:textId="77777777" w:rsidTr="00DC1E42">
        <w:tc>
          <w:tcPr>
            <w:tcW w:w="0" w:type="auto"/>
            <w:gridSpan w:val="3"/>
            <w:tcBorders>
              <w:top w:val="single" w:sz="4" w:space="0" w:color="auto"/>
              <w:left w:val="single" w:sz="4" w:space="0" w:color="auto"/>
              <w:bottom w:val="single" w:sz="4" w:space="0" w:color="auto"/>
              <w:right w:val="single" w:sz="4" w:space="0" w:color="auto"/>
            </w:tcBorders>
            <w:hideMark/>
          </w:tcPr>
          <w:p w14:paraId="00E3E9EA" w14:textId="77777777" w:rsidR="00C52D09" w:rsidRPr="00E317E6" w:rsidRDefault="00C52D09" w:rsidP="00C52D09">
            <w:pPr>
              <w:spacing w:before="0" w:after="0"/>
              <w:jc w:val="center"/>
              <w:rPr>
                <w:rFonts w:cs="Calibri Light"/>
                <w:i/>
                <w:color w:val="000000"/>
                <w:sz w:val="22"/>
                <w:szCs w:val="22"/>
              </w:rPr>
            </w:pPr>
            <w:r w:rsidRPr="00E317E6">
              <w:rPr>
                <w:rFonts w:cs="Calibri Light"/>
                <w:i/>
                <w:color w:val="000000"/>
                <w:szCs w:val="22"/>
              </w:rPr>
              <w:t>Market infrastructure and intermediaries sector</w:t>
            </w:r>
          </w:p>
        </w:tc>
      </w:tr>
      <w:tr w:rsidR="00D20F85" w:rsidRPr="007A46E0" w14:paraId="1738E761" w14:textId="77777777" w:rsidTr="00D64A20">
        <w:trPr>
          <w:trHeight w:val="1118"/>
        </w:trPr>
        <w:tc>
          <w:tcPr>
            <w:tcW w:w="0" w:type="auto"/>
            <w:tcBorders>
              <w:top w:val="single" w:sz="4" w:space="0" w:color="auto"/>
              <w:left w:val="single" w:sz="4" w:space="0" w:color="auto"/>
              <w:bottom w:val="single" w:sz="4" w:space="0" w:color="auto"/>
              <w:right w:val="single" w:sz="4" w:space="0" w:color="auto"/>
            </w:tcBorders>
            <w:hideMark/>
          </w:tcPr>
          <w:p w14:paraId="2BB41BE5"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Large securities exchange operators</w:t>
            </w:r>
          </w:p>
        </w:tc>
        <w:tc>
          <w:tcPr>
            <w:tcW w:w="0" w:type="auto"/>
            <w:tcBorders>
              <w:top w:val="single" w:sz="4" w:space="0" w:color="auto"/>
              <w:left w:val="single" w:sz="4" w:space="0" w:color="auto"/>
              <w:bottom w:val="single" w:sz="4" w:space="0" w:color="auto"/>
              <w:right w:val="single" w:sz="4" w:space="0" w:color="auto"/>
            </w:tcBorders>
            <w:hideMark/>
          </w:tcPr>
          <w:p w14:paraId="379EDA1D"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An entity that operates a market where 10 million or more transactions in securities are entered on the market in the financial year, and the market is not an overseas market.</w:t>
            </w:r>
          </w:p>
        </w:tc>
        <w:tc>
          <w:tcPr>
            <w:tcW w:w="0" w:type="auto"/>
            <w:tcBorders>
              <w:top w:val="single" w:sz="4" w:space="0" w:color="auto"/>
              <w:left w:val="single" w:sz="4" w:space="0" w:color="auto"/>
              <w:bottom w:val="single" w:sz="4" w:space="0" w:color="auto"/>
              <w:right w:val="single" w:sz="4" w:space="0" w:color="auto"/>
            </w:tcBorders>
            <w:hideMark/>
          </w:tcPr>
          <w:p w14:paraId="130A8FBC" w14:textId="4040A101" w:rsidR="00C52D09" w:rsidRPr="00E317E6" w:rsidRDefault="00C52D09" w:rsidP="00C52D09">
            <w:pPr>
              <w:spacing w:before="0" w:after="0"/>
              <w:rPr>
                <w:rFonts w:cs="Calibri Light"/>
                <w:color w:val="000000"/>
                <w:sz w:val="22"/>
                <w:szCs w:val="22"/>
              </w:rPr>
            </w:pPr>
            <w:r w:rsidRPr="00E317E6">
              <w:rPr>
                <w:rFonts w:cs="Calibri Light"/>
                <w:color w:val="000000"/>
                <w:szCs w:val="22"/>
              </w:rPr>
              <w:t>Graduated levy based on the total value of all transactions that are entered into on, or reported to, the large securities exchange(s) operated by the entity in the financial year; are within the operating rules of the exchange(s); and are not invalid or cancelled.</w:t>
            </w:r>
          </w:p>
        </w:tc>
      </w:tr>
      <w:tr w:rsidR="00D20F85" w:rsidRPr="007A46E0" w14:paraId="1BC8E80F"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1A6BF845"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Large futures exchange operators</w:t>
            </w:r>
          </w:p>
        </w:tc>
        <w:tc>
          <w:tcPr>
            <w:tcW w:w="0" w:type="auto"/>
            <w:tcBorders>
              <w:top w:val="single" w:sz="4" w:space="0" w:color="auto"/>
              <w:left w:val="single" w:sz="4" w:space="0" w:color="auto"/>
              <w:bottom w:val="single" w:sz="4" w:space="0" w:color="auto"/>
              <w:right w:val="single" w:sz="4" w:space="0" w:color="auto"/>
            </w:tcBorders>
            <w:hideMark/>
          </w:tcPr>
          <w:p w14:paraId="3B20313B"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An entity that operates a market where 10 million or more futures transactions are entered into on the market in the financial year, and the market is not an overseas market or a large securities exchange.</w:t>
            </w:r>
          </w:p>
        </w:tc>
        <w:tc>
          <w:tcPr>
            <w:tcW w:w="0" w:type="auto"/>
            <w:vMerge w:val="restart"/>
            <w:tcBorders>
              <w:top w:val="single" w:sz="4" w:space="0" w:color="auto"/>
              <w:left w:val="single" w:sz="4" w:space="0" w:color="auto"/>
              <w:bottom w:val="single" w:sz="4" w:space="0" w:color="auto"/>
              <w:right w:val="single" w:sz="4" w:space="0" w:color="auto"/>
            </w:tcBorders>
          </w:tcPr>
          <w:p w14:paraId="5D0D66D2"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Flat levy based on the number of days in the financial year on which the entity operated their exchange(s).</w:t>
            </w:r>
          </w:p>
          <w:p w14:paraId="662E5D94" w14:textId="77777777" w:rsidR="00C52D09" w:rsidRPr="00E317E6" w:rsidRDefault="00C52D09" w:rsidP="00C52D09">
            <w:pPr>
              <w:spacing w:before="0" w:after="0"/>
              <w:rPr>
                <w:rFonts w:cs="Calibri Light"/>
                <w:color w:val="000000"/>
                <w:sz w:val="22"/>
                <w:szCs w:val="22"/>
              </w:rPr>
            </w:pPr>
          </w:p>
        </w:tc>
      </w:tr>
      <w:tr w:rsidR="00D20F85" w:rsidRPr="007A46E0" w14:paraId="38D8B638"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673F3D59"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Small futures exchange operators</w:t>
            </w:r>
          </w:p>
        </w:tc>
        <w:tc>
          <w:tcPr>
            <w:tcW w:w="0" w:type="auto"/>
            <w:tcBorders>
              <w:top w:val="single" w:sz="4" w:space="0" w:color="auto"/>
              <w:left w:val="single" w:sz="4" w:space="0" w:color="auto"/>
              <w:bottom w:val="single" w:sz="4" w:space="0" w:color="auto"/>
              <w:right w:val="single" w:sz="4" w:space="0" w:color="auto"/>
            </w:tcBorders>
            <w:hideMark/>
          </w:tcPr>
          <w:p w14:paraId="00217619"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An entity that operates a market where less than 10 million transactions in futures contracts are entered into on the market in the financial year, and the market is not an overseas market, a small securities (self-listing) exchange or a small securities exchange.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C4CBD" w14:textId="77777777" w:rsidR="00C52D09" w:rsidRPr="00E317E6" w:rsidRDefault="00C52D09" w:rsidP="00C52D09">
            <w:pPr>
              <w:spacing w:before="0" w:after="0"/>
              <w:rPr>
                <w:rFonts w:cs="Calibri Light"/>
                <w:color w:val="000000"/>
                <w:sz w:val="22"/>
                <w:szCs w:val="22"/>
              </w:rPr>
            </w:pPr>
          </w:p>
        </w:tc>
      </w:tr>
      <w:tr w:rsidR="00D20F85" w:rsidRPr="007A46E0" w14:paraId="5DBBD613"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029B733A"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Small securities exchange operators with self</w:t>
            </w:r>
            <w:r w:rsidRPr="00E317E6">
              <w:rPr>
                <w:rFonts w:cs="Calibri Light"/>
                <w:b/>
                <w:color w:val="000000"/>
                <w:szCs w:val="22"/>
              </w:rPr>
              <w:noBreakHyphen/>
              <w:t>listing function only</w:t>
            </w:r>
          </w:p>
        </w:tc>
        <w:tc>
          <w:tcPr>
            <w:tcW w:w="0" w:type="auto"/>
            <w:tcBorders>
              <w:top w:val="single" w:sz="4" w:space="0" w:color="auto"/>
              <w:left w:val="single" w:sz="4" w:space="0" w:color="auto"/>
              <w:bottom w:val="single" w:sz="4" w:space="0" w:color="auto"/>
              <w:right w:val="single" w:sz="4" w:space="0" w:color="auto"/>
            </w:tcBorders>
            <w:hideMark/>
          </w:tcPr>
          <w:p w14:paraId="20A01FB6"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An entity that operates a market where less than 10 million transactions in ordinary shares are entered into the market during a financial year, only ordinary shares of the market operator can be traded on the market, and the market is not an overseas market.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D3FF8" w14:textId="77777777" w:rsidR="00C52D09" w:rsidRPr="00E317E6" w:rsidRDefault="00C52D09" w:rsidP="00C52D09">
            <w:pPr>
              <w:spacing w:before="0" w:after="0"/>
              <w:rPr>
                <w:rFonts w:cs="Calibri Light"/>
                <w:color w:val="000000"/>
                <w:sz w:val="22"/>
                <w:szCs w:val="22"/>
              </w:rPr>
            </w:pPr>
          </w:p>
        </w:tc>
      </w:tr>
      <w:tr w:rsidR="00D20F85" w:rsidRPr="007A46E0" w14:paraId="25797652"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33494021"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Small securities exchange operators</w:t>
            </w:r>
          </w:p>
        </w:tc>
        <w:tc>
          <w:tcPr>
            <w:tcW w:w="0" w:type="auto"/>
            <w:tcBorders>
              <w:top w:val="single" w:sz="4" w:space="0" w:color="auto"/>
              <w:left w:val="single" w:sz="4" w:space="0" w:color="auto"/>
              <w:bottom w:val="single" w:sz="4" w:space="0" w:color="auto"/>
              <w:right w:val="single" w:sz="4" w:space="0" w:color="auto"/>
            </w:tcBorders>
            <w:hideMark/>
          </w:tcPr>
          <w:p w14:paraId="1C2DF8A6"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An entity that operates a market where less than 10 million transactions in securities are entered into on the market in the financial year, the market is a prescribed financial market, and the market is not an overseas market or a small securities (self-listing) exchange.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8B6CC" w14:textId="77777777" w:rsidR="00C52D09" w:rsidRPr="00E317E6" w:rsidRDefault="00C52D09" w:rsidP="00C52D09">
            <w:pPr>
              <w:spacing w:before="0" w:after="0"/>
              <w:rPr>
                <w:rFonts w:cs="Calibri Light"/>
                <w:color w:val="000000"/>
                <w:sz w:val="22"/>
                <w:szCs w:val="22"/>
              </w:rPr>
            </w:pPr>
          </w:p>
        </w:tc>
      </w:tr>
      <w:tr w:rsidR="00D20F85" w:rsidRPr="007A46E0" w14:paraId="6CC94882"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4C56E450"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Overseas market operators</w:t>
            </w:r>
          </w:p>
        </w:tc>
        <w:tc>
          <w:tcPr>
            <w:tcW w:w="0" w:type="auto"/>
            <w:tcBorders>
              <w:top w:val="single" w:sz="4" w:space="0" w:color="auto"/>
              <w:left w:val="single" w:sz="4" w:space="0" w:color="auto"/>
              <w:bottom w:val="single" w:sz="4" w:space="0" w:color="auto"/>
              <w:right w:val="single" w:sz="4" w:space="0" w:color="auto"/>
            </w:tcBorders>
          </w:tcPr>
          <w:p w14:paraId="56524868" w14:textId="6B55E7A9" w:rsidR="00C52D09" w:rsidRPr="00E317E6" w:rsidRDefault="00C52D09" w:rsidP="00C52D09">
            <w:pPr>
              <w:spacing w:before="0" w:after="0"/>
              <w:rPr>
                <w:rFonts w:cs="Calibri Light"/>
                <w:color w:val="000000"/>
                <w:sz w:val="22"/>
                <w:szCs w:val="22"/>
              </w:rPr>
            </w:pPr>
            <w:r w:rsidRPr="00E317E6">
              <w:rPr>
                <w:rFonts w:cs="Calibri Light"/>
                <w:color w:val="000000"/>
                <w:szCs w:val="22"/>
              </w:rPr>
              <w:t>Entities that operate an overseas market that are licensed under s795B(2)</w:t>
            </w:r>
            <w:r w:rsidR="008C78D7">
              <w:rPr>
                <w:rFonts w:cs="Calibri Light"/>
                <w:color w:val="000000"/>
                <w:szCs w:val="22"/>
              </w:rPr>
              <w:t> </w:t>
            </w:r>
            <w:r w:rsidRPr="00E317E6">
              <w:rPr>
                <w:rFonts w:cs="Calibri Light"/>
                <w:color w:val="000000"/>
                <w:szCs w:val="22"/>
              </w:rPr>
              <w:t xml:space="preserve">of the </w:t>
            </w:r>
            <w:r w:rsidRPr="00E317E6">
              <w:rPr>
                <w:rFonts w:cs="Calibri Light"/>
                <w:i/>
                <w:color w:val="000000"/>
                <w:szCs w:val="22"/>
              </w:rPr>
              <w:t>Corporations Act 2001</w:t>
            </w:r>
            <w:r w:rsidRPr="00E317E6">
              <w:rPr>
                <w:rFonts w:cs="Calibri Light"/>
                <w:color w:val="000000"/>
                <w:szCs w:val="22"/>
              </w:rPr>
              <w:t xml:space="preserv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2DB0A57C" w14:textId="77777777" w:rsidR="00C52D09" w:rsidRPr="00E317E6" w:rsidRDefault="00C52D09" w:rsidP="00C52D09">
            <w:pPr>
              <w:spacing w:before="0" w:after="0"/>
              <w:rPr>
                <w:rFonts w:cs="Calibri Light"/>
                <w:color w:val="000000"/>
                <w:sz w:val="22"/>
                <w:szCs w:val="22"/>
              </w:rPr>
            </w:pPr>
            <w:r w:rsidRPr="00E317E6">
              <w:rPr>
                <w:rFonts w:cs="Calibri Light"/>
                <w:color w:val="000000"/>
                <w:szCs w:val="22"/>
              </w:rPr>
              <w:t>Flat levy based on the number of days in the financial year on which the entity operated their market(s).</w:t>
            </w:r>
          </w:p>
        </w:tc>
      </w:tr>
      <w:tr w:rsidR="00D20F85" w:rsidRPr="007A46E0" w14:paraId="11302FEA"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7F475F5D"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Exempt market operators</w:t>
            </w:r>
          </w:p>
        </w:tc>
        <w:tc>
          <w:tcPr>
            <w:tcW w:w="0" w:type="auto"/>
            <w:tcBorders>
              <w:top w:val="single" w:sz="4" w:space="0" w:color="auto"/>
              <w:left w:val="single" w:sz="4" w:space="0" w:color="auto"/>
              <w:bottom w:val="single" w:sz="4" w:space="0" w:color="auto"/>
              <w:right w:val="single" w:sz="4" w:space="0" w:color="auto"/>
            </w:tcBorders>
            <w:hideMark/>
          </w:tcPr>
          <w:p w14:paraId="70227383" w14:textId="59A52ABD" w:rsidR="00C52D09" w:rsidRPr="00E317E6" w:rsidRDefault="00C52D09" w:rsidP="00C52D09">
            <w:pPr>
              <w:spacing w:before="0" w:after="0"/>
              <w:rPr>
                <w:rFonts w:cs="Calibri Light"/>
                <w:color w:val="000000"/>
                <w:sz w:val="22"/>
                <w:szCs w:val="22"/>
              </w:rPr>
            </w:pPr>
            <w:r w:rsidRPr="00E317E6">
              <w:rPr>
                <w:rFonts w:cs="Calibri Light"/>
                <w:color w:val="000000"/>
                <w:szCs w:val="22"/>
              </w:rPr>
              <w:t>An entity that operates a market that is exempt from the operation of Part</w:t>
            </w:r>
            <w:r w:rsidR="00136DAB">
              <w:rPr>
                <w:rFonts w:cs="Calibri Light"/>
                <w:color w:val="000000"/>
                <w:szCs w:val="22"/>
              </w:rPr>
              <w:t> </w:t>
            </w:r>
            <w:r w:rsidRPr="00E317E6">
              <w:rPr>
                <w:rFonts w:cs="Calibri Light"/>
                <w:color w:val="000000"/>
                <w:szCs w:val="22"/>
              </w:rPr>
              <w:t xml:space="preserve">7.2 of the </w:t>
            </w:r>
            <w:r w:rsidRPr="00E317E6">
              <w:rPr>
                <w:rFonts w:cs="Calibri Light"/>
                <w:i/>
                <w:color w:val="000000"/>
                <w:szCs w:val="22"/>
              </w:rPr>
              <w:t>Corporations Act 2001</w:t>
            </w:r>
            <w:r w:rsidRPr="00E317E6">
              <w:rPr>
                <w:rFonts w:cs="Calibri Light"/>
                <w:color w:val="000000"/>
                <w:szCs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65036" w14:textId="77777777" w:rsidR="00C52D09" w:rsidRPr="00E317E6" w:rsidRDefault="00C52D09" w:rsidP="00C52D09">
            <w:pPr>
              <w:spacing w:before="0" w:after="0"/>
              <w:rPr>
                <w:rFonts w:cs="Calibri Light"/>
                <w:color w:val="000000"/>
                <w:sz w:val="22"/>
                <w:szCs w:val="22"/>
              </w:rPr>
            </w:pPr>
          </w:p>
        </w:tc>
      </w:tr>
      <w:tr w:rsidR="00D20F85" w:rsidRPr="007A46E0" w14:paraId="1F38289D"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376F66D2" w14:textId="77777777" w:rsidR="00C52D09" w:rsidRPr="00E317E6" w:rsidRDefault="00C52D09" w:rsidP="00C52D09">
            <w:pPr>
              <w:spacing w:before="0" w:after="0"/>
              <w:rPr>
                <w:rFonts w:cs="Calibri Light"/>
                <w:b/>
                <w:color w:val="000000"/>
                <w:sz w:val="22"/>
                <w:szCs w:val="22"/>
              </w:rPr>
            </w:pPr>
            <w:r w:rsidRPr="00E317E6">
              <w:rPr>
                <w:rFonts w:cs="Calibri Light"/>
                <w:b/>
                <w:color w:val="000000"/>
                <w:szCs w:val="22"/>
              </w:rPr>
              <w:t>Exempt clearing and settlement (CS) facility operators</w:t>
            </w:r>
          </w:p>
        </w:tc>
        <w:tc>
          <w:tcPr>
            <w:tcW w:w="0" w:type="auto"/>
            <w:tcBorders>
              <w:top w:val="single" w:sz="4" w:space="0" w:color="auto"/>
              <w:left w:val="single" w:sz="4" w:space="0" w:color="auto"/>
              <w:bottom w:val="single" w:sz="4" w:space="0" w:color="auto"/>
              <w:right w:val="single" w:sz="4" w:space="0" w:color="auto"/>
            </w:tcBorders>
            <w:hideMark/>
          </w:tcPr>
          <w:p w14:paraId="47C8527E" w14:textId="77777777" w:rsidR="00C52D09" w:rsidRPr="00DC1E42" w:rsidRDefault="00C52D09" w:rsidP="00C52D09">
            <w:pPr>
              <w:spacing w:before="0" w:after="0"/>
              <w:rPr>
                <w:rFonts w:cs="Calibri Light"/>
                <w:color w:val="000000"/>
                <w:sz w:val="22"/>
                <w:szCs w:val="22"/>
              </w:rPr>
            </w:pPr>
            <w:r w:rsidRPr="004F4E55">
              <w:rPr>
                <w:rFonts w:cs="Calibri Light"/>
                <w:color w:val="000000"/>
                <w:szCs w:val="22"/>
              </w:rPr>
              <w:t xml:space="preserve">An entity that operates a market during a financial year that is exempt from the operation of Part 7.3 of the </w:t>
            </w:r>
            <w:r w:rsidRPr="004F4E55">
              <w:rPr>
                <w:rFonts w:cs="Calibri Light"/>
                <w:i/>
                <w:color w:val="000000"/>
                <w:szCs w:val="22"/>
              </w:rPr>
              <w:t>Corporations Act 2001.</w:t>
            </w:r>
          </w:p>
        </w:tc>
        <w:tc>
          <w:tcPr>
            <w:tcW w:w="0" w:type="auto"/>
            <w:tcBorders>
              <w:top w:val="single" w:sz="4" w:space="0" w:color="auto"/>
              <w:left w:val="single" w:sz="4" w:space="0" w:color="auto"/>
              <w:bottom w:val="single" w:sz="4" w:space="0" w:color="auto"/>
              <w:right w:val="single" w:sz="4" w:space="0" w:color="auto"/>
            </w:tcBorders>
          </w:tcPr>
          <w:p w14:paraId="6B1186A9"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Flat levy based on the number of days in the financial year on which the entity operated their facility(s).</w:t>
            </w:r>
          </w:p>
          <w:p w14:paraId="1A67E7E6" w14:textId="77777777" w:rsidR="00C52D09" w:rsidRPr="00DC1E42" w:rsidRDefault="00C52D09" w:rsidP="00C52D09">
            <w:pPr>
              <w:spacing w:before="0" w:after="0"/>
              <w:rPr>
                <w:rFonts w:cs="Calibri Light"/>
                <w:color w:val="000000"/>
                <w:sz w:val="22"/>
                <w:szCs w:val="22"/>
              </w:rPr>
            </w:pPr>
          </w:p>
        </w:tc>
      </w:tr>
      <w:tr w:rsidR="00D20F85" w:rsidRPr="007A46E0" w14:paraId="29CC62E2"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2D50560A"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Tier 1 CS facility operators</w:t>
            </w:r>
          </w:p>
        </w:tc>
        <w:tc>
          <w:tcPr>
            <w:tcW w:w="0" w:type="auto"/>
            <w:tcBorders>
              <w:top w:val="single" w:sz="4" w:space="0" w:color="auto"/>
              <w:left w:val="single" w:sz="4" w:space="0" w:color="auto"/>
              <w:bottom w:val="single" w:sz="4" w:space="0" w:color="auto"/>
              <w:right w:val="single" w:sz="4" w:space="0" w:color="auto"/>
            </w:tcBorders>
          </w:tcPr>
          <w:p w14:paraId="1ECC26BE" w14:textId="6C745564"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holds a licence that was granted for a CS facility that is systemically important in Australia and has a strong connection to the Australian financial system.</w:t>
            </w:r>
          </w:p>
        </w:tc>
        <w:tc>
          <w:tcPr>
            <w:tcW w:w="0" w:type="auto"/>
            <w:vMerge w:val="restart"/>
            <w:tcBorders>
              <w:top w:val="single" w:sz="4" w:space="0" w:color="auto"/>
              <w:left w:val="single" w:sz="4" w:space="0" w:color="auto"/>
              <w:bottom w:val="single" w:sz="4" w:space="0" w:color="auto"/>
              <w:right w:val="single" w:sz="4" w:space="0" w:color="auto"/>
            </w:tcBorders>
          </w:tcPr>
          <w:p w14:paraId="18F70B49"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Flat levy based on the number of days in the financial year on which the entity operated their facility(s).</w:t>
            </w:r>
          </w:p>
          <w:p w14:paraId="5878B534" w14:textId="77777777" w:rsidR="00C52D09" w:rsidRPr="00DC1E42" w:rsidRDefault="00C52D09" w:rsidP="00C52D09">
            <w:pPr>
              <w:spacing w:before="0" w:after="0"/>
              <w:rPr>
                <w:rFonts w:cs="Calibri Light"/>
                <w:color w:val="000000"/>
                <w:sz w:val="22"/>
                <w:szCs w:val="22"/>
              </w:rPr>
            </w:pPr>
          </w:p>
        </w:tc>
      </w:tr>
      <w:tr w:rsidR="00D20F85" w:rsidRPr="007A46E0" w14:paraId="6C864182"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3D7CC3DA"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Tier 2 CS facility operators</w:t>
            </w:r>
          </w:p>
        </w:tc>
        <w:tc>
          <w:tcPr>
            <w:tcW w:w="0" w:type="auto"/>
            <w:tcBorders>
              <w:top w:val="single" w:sz="4" w:space="0" w:color="auto"/>
              <w:left w:val="single" w:sz="4" w:space="0" w:color="auto"/>
              <w:bottom w:val="single" w:sz="4" w:space="0" w:color="auto"/>
              <w:right w:val="single" w:sz="4" w:space="0" w:color="auto"/>
            </w:tcBorders>
          </w:tcPr>
          <w:p w14:paraId="1E21A159" w14:textId="6B01169C"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holds a licence that was granted for a CS facility that is systemically important in Australia but does not have a strong domestic connection to the Australian financial system.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788C2" w14:textId="77777777" w:rsidR="00C52D09" w:rsidRPr="00DC1E42" w:rsidRDefault="00C52D09" w:rsidP="00C52D09">
            <w:pPr>
              <w:spacing w:before="0" w:after="0"/>
              <w:rPr>
                <w:rFonts w:cs="Calibri Light"/>
                <w:color w:val="000000"/>
                <w:sz w:val="22"/>
                <w:szCs w:val="22"/>
              </w:rPr>
            </w:pPr>
          </w:p>
        </w:tc>
      </w:tr>
      <w:tr w:rsidR="00D20F85" w:rsidRPr="007A46E0" w14:paraId="5100A0B8"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15F1BAFE"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Tier 3 CS facility operators</w:t>
            </w:r>
          </w:p>
        </w:tc>
        <w:tc>
          <w:tcPr>
            <w:tcW w:w="0" w:type="auto"/>
            <w:tcBorders>
              <w:top w:val="single" w:sz="4" w:space="0" w:color="auto"/>
              <w:left w:val="single" w:sz="4" w:space="0" w:color="auto"/>
              <w:bottom w:val="single" w:sz="4" w:space="0" w:color="auto"/>
              <w:right w:val="single" w:sz="4" w:space="0" w:color="auto"/>
            </w:tcBorders>
            <w:hideMark/>
          </w:tcPr>
          <w:p w14:paraId="759F663B"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holds a licence that was granted for a CS facility that is not systemically important in Australia and does not have a strong domestic connection to the Australian financial system.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1DBF7" w14:textId="77777777" w:rsidR="00C52D09" w:rsidRPr="00DC1E42" w:rsidRDefault="00C52D09" w:rsidP="00C52D09">
            <w:pPr>
              <w:spacing w:before="0" w:after="0"/>
              <w:rPr>
                <w:rFonts w:cs="Calibri Light"/>
                <w:color w:val="000000"/>
                <w:sz w:val="22"/>
                <w:szCs w:val="22"/>
              </w:rPr>
            </w:pPr>
          </w:p>
        </w:tc>
      </w:tr>
      <w:tr w:rsidR="00D20F85" w:rsidRPr="007A46E0" w14:paraId="645E6E6B"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69B25947"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Tier 4 CS facility operators</w:t>
            </w:r>
          </w:p>
        </w:tc>
        <w:tc>
          <w:tcPr>
            <w:tcW w:w="0" w:type="auto"/>
            <w:tcBorders>
              <w:top w:val="single" w:sz="4" w:space="0" w:color="auto"/>
              <w:left w:val="single" w:sz="4" w:space="0" w:color="auto"/>
              <w:bottom w:val="single" w:sz="4" w:space="0" w:color="auto"/>
              <w:right w:val="single" w:sz="4" w:space="0" w:color="auto"/>
            </w:tcBorders>
            <w:hideMark/>
          </w:tcPr>
          <w:p w14:paraId="7A17E177"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holds a licence that only authorises the entity to operate a CS facility for the sole purpose of clearing and settling trades in the entity’s own shares.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188EC" w14:textId="77777777" w:rsidR="00C52D09" w:rsidRPr="00DC1E42" w:rsidRDefault="00C52D09" w:rsidP="00C52D09">
            <w:pPr>
              <w:spacing w:before="0" w:after="0"/>
              <w:rPr>
                <w:rFonts w:cs="Calibri Light"/>
                <w:color w:val="000000"/>
                <w:sz w:val="22"/>
                <w:szCs w:val="22"/>
              </w:rPr>
            </w:pPr>
          </w:p>
        </w:tc>
      </w:tr>
      <w:tr w:rsidR="00D20F85" w:rsidRPr="007A46E0" w14:paraId="4CA62FBE"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592D117B"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Australian derivative trade repository operators</w:t>
            </w:r>
          </w:p>
        </w:tc>
        <w:tc>
          <w:tcPr>
            <w:tcW w:w="0" w:type="auto"/>
            <w:tcBorders>
              <w:top w:val="single" w:sz="4" w:space="0" w:color="auto"/>
              <w:left w:val="single" w:sz="4" w:space="0" w:color="auto"/>
              <w:bottom w:val="single" w:sz="4" w:space="0" w:color="auto"/>
              <w:right w:val="single" w:sz="4" w:space="0" w:color="auto"/>
            </w:tcBorders>
          </w:tcPr>
          <w:p w14:paraId="01A0207F" w14:textId="74401631"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operates a licensed derivative trade repository.</w:t>
            </w:r>
          </w:p>
        </w:tc>
        <w:tc>
          <w:tcPr>
            <w:tcW w:w="0" w:type="auto"/>
            <w:tcBorders>
              <w:top w:val="single" w:sz="4" w:space="0" w:color="auto"/>
              <w:left w:val="single" w:sz="4" w:space="0" w:color="auto"/>
              <w:bottom w:val="single" w:sz="4" w:space="0" w:color="auto"/>
              <w:right w:val="single" w:sz="4" w:space="0" w:color="auto"/>
            </w:tcBorders>
          </w:tcPr>
          <w:p w14:paraId="0A648099" w14:textId="446CF2BF" w:rsidR="00C52D09" w:rsidRPr="00DC1E42" w:rsidRDefault="00C52D09" w:rsidP="00C52D09">
            <w:pPr>
              <w:spacing w:before="0" w:after="0"/>
              <w:rPr>
                <w:rFonts w:cs="Calibri Light"/>
                <w:color w:val="000000"/>
                <w:sz w:val="22"/>
                <w:szCs w:val="22"/>
              </w:rPr>
            </w:pPr>
            <w:r w:rsidRPr="00DC1E42">
              <w:rPr>
                <w:rFonts w:cs="Calibri Light"/>
                <w:color w:val="000000"/>
                <w:szCs w:val="22"/>
              </w:rPr>
              <w:t>Flat levy based on the number of days in the financial year on which the entity operated each of their trade repository(ies).</w:t>
            </w:r>
          </w:p>
        </w:tc>
      </w:tr>
      <w:tr w:rsidR="00D20F85" w:rsidRPr="007A46E0" w14:paraId="44C1273B"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0DC6A739"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Credit rating agencies (CRAs)</w:t>
            </w:r>
          </w:p>
        </w:tc>
        <w:tc>
          <w:tcPr>
            <w:tcW w:w="0" w:type="auto"/>
            <w:tcBorders>
              <w:top w:val="single" w:sz="4" w:space="0" w:color="auto"/>
              <w:left w:val="single" w:sz="4" w:space="0" w:color="auto"/>
              <w:bottom w:val="single" w:sz="4" w:space="0" w:color="auto"/>
              <w:right w:val="single" w:sz="4" w:space="0" w:color="auto"/>
            </w:tcBorders>
          </w:tcPr>
          <w:p w14:paraId="08ECCD8F" w14:textId="63987CF4"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holds an AFS licence that authorises it to provide general advice by issuing a credit rating.</w:t>
            </w:r>
          </w:p>
        </w:tc>
        <w:tc>
          <w:tcPr>
            <w:tcW w:w="0" w:type="auto"/>
            <w:tcBorders>
              <w:top w:val="single" w:sz="4" w:space="0" w:color="auto"/>
              <w:left w:val="single" w:sz="4" w:space="0" w:color="auto"/>
              <w:bottom w:val="single" w:sz="4" w:space="0" w:color="auto"/>
              <w:right w:val="single" w:sz="4" w:space="0" w:color="auto"/>
            </w:tcBorders>
            <w:hideMark/>
          </w:tcPr>
          <w:p w14:paraId="7F9690FB"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2017-18: Flat levy</w:t>
            </w:r>
          </w:p>
          <w:p w14:paraId="4E44E990"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2018-19 onwards: Minimum levy ($2,000) + graduated levy based on the number of days on which the entity holds the prescribed AFS licence authorisation and there is a supervisory college for the entity.  </w:t>
            </w:r>
          </w:p>
        </w:tc>
      </w:tr>
      <w:tr w:rsidR="00D20F85" w:rsidRPr="007A46E0" w14:paraId="04BB5F0A"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5B603C31"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Benchmark administrator licensees</w:t>
            </w:r>
          </w:p>
        </w:tc>
        <w:tc>
          <w:tcPr>
            <w:tcW w:w="0" w:type="auto"/>
            <w:tcBorders>
              <w:top w:val="single" w:sz="4" w:space="0" w:color="auto"/>
              <w:left w:val="single" w:sz="4" w:space="0" w:color="auto"/>
              <w:bottom w:val="single" w:sz="4" w:space="0" w:color="auto"/>
              <w:right w:val="single" w:sz="4" w:space="0" w:color="auto"/>
            </w:tcBorders>
            <w:hideMark/>
          </w:tcPr>
          <w:p w14:paraId="15F209B5"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Entities that hold a licence to administer a financial benchmark.</w:t>
            </w:r>
          </w:p>
        </w:tc>
        <w:tc>
          <w:tcPr>
            <w:tcW w:w="0" w:type="auto"/>
            <w:tcBorders>
              <w:top w:val="single" w:sz="4" w:space="0" w:color="auto"/>
              <w:left w:val="single" w:sz="4" w:space="0" w:color="auto"/>
              <w:bottom w:val="single" w:sz="4" w:space="0" w:color="auto"/>
              <w:right w:val="single" w:sz="4" w:space="0" w:color="auto"/>
            </w:tcBorders>
            <w:hideMark/>
          </w:tcPr>
          <w:p w14:paraId="016B196F"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Flat levy based on the number of days the entity administers each of the financial benchmark(s) it is licensed to administer. </w:t>
            </w:r>
          </w:p>
        </w:tc>
      </w:tr>
      <w:tr w:rsidR="00D20F85" w:rsidRPr="007A46E0" w14:paraId="423C4B94"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7998DB7E"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Large securities exchange participants</w:t>
            </w:r>
          </w:p>
        </w:tc>
        <w:tc>
          <w:tcPr>
            <w:tcW w:w="0" w:type="auto"/>
            <w:tcBorders>
              <w:top w:val="single" w:sz="4" w:space="0" w:color="auto"/>
              <w:left w:val="single" w:sz="4" w:space="0" w:color="auto"/>
              <w:bottom w:val="single" w:sz="4" w:space="0" w:color="auto"/>
              <w:right w:val="single" w:sz="4" w:space="0" w:color="auto"/>
            </w:tcBorders>
          </w:tcPr>
          <w:p w14:paraId="782957E9"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is a participant in a large securities exchange during the financial year.</w:t>
            </w:r>
          </w:p>
          <w:p w14:paraId="651E73DD" w14:textId="77777777" w:rsidR="00C52D09" w:rsidRPr="00DC1E42" w:rsidRDefault="00C52D09" w:rsidP="00C52D09">
            <w:pPr>
              <w:spacing w:before="0" w:after="0"/>
              <w:rPr>
                <w:rFonts w:cs="Calibri Light"/>
                <w:color w:val="000000"/>
                <w:sz w:val="22"/>
                <w:szCs w:val="22"/>
              </w:rPr>
            </w:pPr>
          </w:p>
          <w:p w14:paraId="5C4FC69E"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 </w:t>
            </w:r>
          </w:p>
          <w:p w14:paraId="7B83735C" w14:textId="77777777" w:rsidR="00C52D09" w:rsidRPr="00DC1E42" w:rsidRDefault="00C52D09" w:rsidP="00C52D09">
            <w:pPr>
              <w:spacing w:before="0" w:after="0"/>
              <w:rPr>
                <w:rFonts w:cs="Calibri Light"/>
                <w:color w:val="000000"/>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CED9A10"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Minimum levy ($9,000) + graduated levy based on total number of messages sent and transactions entered or reported to a large securities exchange that are recognised by ASIC’s markets surveillance system. </w:t>
            </w:r>
          </w:p>
        </w:tc>
      </w:tr>
      <w:tr w:rsidR="00D20F85" w:rsidRPr="007A46E0" w14:paraId="5CF740A7"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2186D20A"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Large futures exchange participants</w:t>
            </w:r>
          </w:p>
        </w:tc>
        <w:tc>
          <w:tcPr>
            <w:tcW w:w="0" w:type="auto"/>
            <w:tcBorders>
              <w:top w:val="single" w:sz="4" w:space="0" w:color="auto"/>
              <w:left w:val="single" w:sz="4" w:space="0" w:color="auto"/>
              <w:bottom w:val="single" w:sz="4" w:space="0" w:color="auto"/>
              <w:right w:val="single" w:sz="4" w:space="0" w:color="auto"/>
            </w:tcBorders>
          </w:tcPr>
          <w:p w14:paraId="4C347BE9"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An entity that is a participant in a large futures exchange. </w:t>
            </w:r>
          </w:p>
          <w:p w14:paraId="14826EEA" w14:textId="77777777" w:rsidR="00C52D09" w:rsidRPr="00DC1E42" w:rsidRDefault="00C52D09" w:rsidP="00C52D09">
            <w:pPr>
              <w:spacing w:before="0" w:after="0"/>
              <w:rPr>
                <w:rFonts w:cs="Calibri Light"/>
                <w:color w:val="000000"/>
                <w:sz w:val="22"/>
                <w:szCs w:val="22"/>
              </w:rPr>
            </w:pPr>
          </w:p>
          <w:p w14:paraId="6AE5D59B" w14:textId="77777777" w:rsidR="00C52D09" w:rsidRPr="00DC1E42" w:rsidRDefault="00C52D09" w:rsidP="00C52D09">
            <w:pPr>
              <w:spacing w:before="0" w:after="0"/>
              <w:rPr>
                <w:rFonts w:cs="Calibri Light"/>
                <w:color w:val="000000"/>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0E4089E8" w14:textId="77777777" w:rsidR="00C52D09" w:rsidRPr="00DC1E42" w:rsidRDefault="00C52D09" w:rsidP="00C52D09">
            <w:pPr>
              <w:spacing w:before="0" w:after="0"/>
              <w:rPr>
                <w:rFonts w:cs="Calibri Light"/>
                <w:i/>
                <w:color w:val="000000"/>
                <w:sz w:val="22"/>
                <w:szCs w:val="22"/>
              </w:rPr>
            </w:pPr>
            <w:r w:rsidRPr="00DC1E42">
              <w:rPr>
                <w:rFonts w:cs="Calibri Light"/>
                <w:color w:val="000000"/>
                <w:szCs w:val="22"/>
              </w:rPr>
              <w:t xml:space="preserve">Minimum levy ($9,000) + graduated levy based on the total number of messages sent and lots entered or reported to a large futures exchange that are recognised by ASIC’s markets surveillance system. </w:t>
            </w:r>
          </w:p>
        </w:tc>
      </w:tr>
      <w:tr w:rsidR="00D20F85" w:rsidRPr="007A46E0" w14:paraId="417F43BE"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60D9FD82"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Securities dealers</w:t>
            </w:r>
          </w:p>
        </w:tc>
        <w:tc>
          <w:tcPr>
            <w:tcW w:w="0" w:type="auto"/>
            <w:tcBorders>
              <w:top w:val="single" w:sz="4" w:space="0" w:color="auto"/>
              <w:left w:val="single" w:sz="4" w:space="0" w:color="auto"/>
              <w:bottom w:val="single" w:sz="4" w:space="0" w:color="auto"/>
              <w:right w:val="single" w:sz="4" w:space="0" w:color="auto"/>
            </w:tcBorders>
            <w:hideMark/>
          </w:tcPr>
          <w:p w14:paraId="25DF45EF"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AFS licensee that is authorised to deal in securities at any time during the financial year; is not a participant in a large futures exchange or a large securities exchange; and more than $250,000 in transactions for the entity has been executed on, or reported to a large securities exchange in the financial year.</w:t>
            </w:r>
          </w:p>
        </w:tc>
        <w:tc>
          <w:tcPr>
            <w:tcW w:w="0" w:type="auto"/>
            <w:tcBorders>
              <w:top w:val="single" w:sz="4" w:space="0" w:color="auto"/>
              <w:left w:val="single" w:sz="4" w:space="0" w:color="auto"/>
              <w:bottom w:val="single" w:sz="4" w:space="0" w:color="auto"/>
              <w:right w:val="single" w:sz="4" w:space="0" w:color="auto"/>
            </w:tcBorders>
            <w:hideMark/>
          </w:tcPr>
          <w:p w14:paraId="018AB646"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Minimum levy ($1,000) + Graduated levy (per $1 million of annual transaction turnover)</w:t>
            </w:r>
            <w:r w:rsidRPr="00DC1E42">
              <w:rPr>
                <w:rFonts w:cs="Calibri Light"/>
                <w:i/>
                <w:color w:val="000000"/>
                <w:szCs w:val="22"/>
              </w:rPr>
              <w:t xml:space="preserve"> </w:t>
            </w:r>
            <w:r w:rsidRPr="00DC1E42">
              <w:rPr>
                <w:rFonts w:cs="Calibri Light"/>
                <w:color w:val="000000"/>
                <w:szCs w:val="22"/>
              </w:rPr>
              <w:t xml:space="preserve">based on the annual transaction value attributable to each securities dealer. </w:t>
            </w:r>
          </w:p>
        </w:tc>
      </w:tr>
      <w:tr w:rsidR="00D20F85" w:rsidRPr="007A46E0" w14:paraId="5CF15FC0"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782732C8"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Corporate advisers</w:t>
            </w:r>
          </w:p>
        </w:tc>
        <w:tc>
          <w:tcPr>
            <w:tcW w:w="0" w:type="auto"/>
            <w:tcBorders>
              <w:top w:val="single" w:sz="4" w:space="0" w:color="auto"/>
              <w:left w:val="single" w:sz="4" w:space="0" w:color="auto"/>
              <w:bottom w:val="single" w:sz="4" w:space="0" w:color="auto"/>
              <w:right w:val="single" w:sz="4" w:space="0" w:color="auto"/>
            </w:tcBorders>
            <w:hideMark/>
          </w:tcPr>
          <w:p w14:paraId="12D42423"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An entity that holds an AFS licence or is exempt from the requirement, provides corporate advisory services (such as on takeover bids or mergers), and deals in a financial product in Australia by underwriting the issue, acquisition or sale of the product. </w:t>
            </w:r>
          </w:p>
        </w:tc>
        <w:tc>
          <w:tcPr>
            <w:tcW w:w="0" w:type="auto"/>
            <w:tcBorders>
              <w:top w:val="single" w:sz="4" w:space="0" w:color="auto"/>
              <w:left w:val="single" w:sz="4" w:space="0" w:color="auto"/>
              <w:bottom w:val="single" w:sz="4" w:space="0" w:color="auto"/>
              <w:right w:val="single" w:sz="4" w:space="0" w:color="auto"/>
            </w:tcBorders>
            <w:hideMark/>
          </w:tcPr>
          <w:p w14:paraId="6F7B0165"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Minimum levy ($1,000) + Graduated levy (per $10,000 of revenue above the $100,000 threshold)</w:t>
            </w:r>
            <w:r w:rsidRPr="00DC1E42">
              <w:rPr>
                <w:rFonts w:cs="Calibri Light"/>
                <w:i/>
                <w:color w:val="000000"/>
                <w:szCs w:val="22"/>
              </w:rPr>
              <w:t xml:space="preserve"> </w:t>
            </w:r>
            <w:r w:rsidRPr="00DC1E42">
              <w:rPr>
                <w:rFonts w:cs="Calibri Light"/>
                <w:color w:val="000000"/>
                <w:szCs w:val="22"/>
              </w:rPr>
              <w:t>based on gross revenue from providing the prescribed financial services.</w:t>
            </w:r>
          </w:p>
        </w:tc>
      </w:tr>
      <w:tr w:rsidR="00D20F85" w:rsidRPr="007A46E0" w14:paraId="3452193C"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33BF5553"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Over the counter (OTC) traders</w:t>
            </w:r>
          </w:p>
        </w:tc>
        <w:tc>
          <w:tcPr>
            <w:tcW w:w="0" w:type="auto"/>
            <w:tcBorders>
              <w:top w:val="single" w:sz="4" w:space="0" w:color="auto"/>
              <w:left w:val="single" w:sz="4" w:space="0" w:color="auto"/>
              <w:bottom w:val="single" w:sz="4" w:space="0" w:color="auto"/>
              <w:right w:val="single" w:sz="4" w:space="0" w:color="auto"/>
            </w:tcBorders>
            <w:hideMark/>
          </w:tcPr>
          <w:p w14:paraId="4E390FDE" w14:textId="6E25A83A" w:rsidR="00C52D09" w:rsidRPr="00DC1E42" w:rsidRDefault="00343DC3" w:rsidP="00C52D09">
            <w:pPr>
              <w:spacing w:before="0" w:after="0"/>
              <w:rPr>
                <w:rFonts w:cs="Calibri Light"/>
                <w:color w:val="000000"/>
                <w:sz w:val="22"/>
                <w:szCs w:val="22"/>
              </w:rPr>
            </w:pPr>
            <w:r>
              <w:rPr>
                <w:rFonts w:cs="Calibri Light"/>
                <w:color w:val="000000"/>
                <w:szCs w:val="22"/>
              </w:rPr>
              <w:t>A</w:t>
            </w:r>
            <w:r w:rsidR="00C52D09" w:rsidRPr="00DC1E42">
              <w:rPr>
                <w:rFonts w:cs="Calibri Light"/>
                <w:color w:val="000000"/>
                <w:szCs w:val="22"/>
              </w:rPr>
              <w:t xml:space="preserve">n entity that holds an AFS licence or is exempt from the requirement and deals in OTC products by acquiring, disposing, or issuing OTC products to or from professional investors; and forms part of, or is a related body corporate of, an entity that forms part of the corporate advisers </w:t>
            </w:r>
            <w:r w:rsidR="00F33074">
              <w:rPr>
                <w:rFonts w:cs="Calibri Light"/>
                <w:color w:val="000000"/>
                <w:szCs w:val="22"/>
              </w:rPr>
              <w:t>sub</w:t>
            </w:r>
            <w:r w:rsidR="00F33074">
              <w:rPr>
                <w:rFonts w:cs="Calibri Light"/>
                <w:color w:val="000000"/>
                <w:szCs w:val="22"/>
              </w:rPr>
              <w:noBreakHyphen/>
              <w:t>sector</w:t>
            </w:r>
            <w:r w:rsidR="00C52D09" w:rsidRPr="00DC1E42">
              <w:rPr>
                <w:rFonts w:cs="Calibri Light"/>
                <w:color w:val="000000"/>
                <w:szCs w:val="22"/>
              </w:rPr>
              <w:t>.</w:t>
            </w:r>
          </w:p>
        </w:tc>
        <w:tc>
          <w:tcPr>
            <w:tcW w:w="0" w:type="auto"/>
            <w:tcBorders>
              <w:top w:val="single" w:sz="4" w:space="0" w:color="auto"/>
              <w:left w:val="single" w:sz="4" w:space="0" w:color="auto"/>
              <w:bottom w:val="single" w:sz="4" w:space="0" w:color="auto"/>
              <w:right w:val="single" w:sz="4" w:space="0" w:color="auto"/>
            </w:tcBorders>
          </w:tcPr>
          <w:p w14:paraId="0F6517E3" w14:textId="35A1D0EE" w:rsidR="00C52D09" w:rsidRPr="00DC1E42" w:rsidRDefault="00C52D09" w:rsidP="00C52D09">
            <w:pPr>
              <w:spacing w:before="0" w:after="0"/>
              <w:rPr>
                <w:rFonts w:cs="Calibri Light"/>
                <w:color w:val="000000"/>
                <w:sz w:val="22"/>
                <w:szCs w:val="22"/>
              </w:rPr>
            </w:pPr>
            <w:r w:rsidRPr="00DC1E42">
              <w:rPr>
                <w:rFonts w:cs="Calibri Light"/>
                <w:color w:val="000000"/>
                <w:szCs w:val="22"/>
              </w:rPr>
              <w:t>Minimum levy ($1,000) + graduated levy based on the total number of FTE staff engaged in prescribed activities during the financial year.</w:t>
            </w:r>
          </w:p>
        </w:tc>
      </w:tr>
      <w:tr w:rsidR="00D20F85" w:rsidRPr="007A46E0" w14:paraId="3D419EB4"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082B17EA"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Retail OTC derivatives issuers</w:t>
            </w:r>
          </w:p>
        </w:tc>
        <w:tc>
          <w:tcPr>
            <w:tcW w:w="0" w:type="auto"/>
            <w:tcBorders>
              <w:top w:val="single" w:sz="4" w:space="0" w:color="auto"/>
              <w:left w:val="single" w:sz="4" w:space="0" w:color="auto"/>
              <w:bottom w:val="single" w:sz="4" w:space="0" w:color="auto"/>
              <w:right w:val="single" w:sz="4" w:space="0" w:color="auto"/>
            </w:tcBorders>
            <w:hideMark/>
          </w:tcPr>
          <w:p w14:paraId="78413356"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AFS licensees authorised to deal in a financial product by issuing derivatives and making a market in derivatives but is not regulated by APRA.</w:t>
            </w:r>
          </w:p>
        </w:tc>
        <w:tc>
          <w:tcPr>
            <w:tcW w:w="0" w:type="auto"/>
            <w:tcBorders>
              <w:top w:val="single" w:sz="4" w:space="0" w:color="auto"/>
              <w:left w:val="single" w:sz="4" w:space="0" w:color="auto"/>
              <w:bottom w:val="single" w:sz="4" w:space="0" w:color="auto"/>
              <w:right w:val="single" w:sz="4" w:space="0" w:color="auto"/>
            </w:tcBorders>
            <w:hideMark/>
          </w:tcPr>
          <w:p w14:paraId="659C6E55" w14:textId="6B3CB81C" w:rsidR="00C52D09" w:rsidRPr="00DC1E42" w:rsidRDefault="00C52D09" w:rsidP="00C52D09">
            <w:pPr>
              <w:spacing w:before="0" w:after="0"/>
              <w:rPr>
                <w:rFonts w:cs="Calibri Light"/>
                <w:color w:val="000000"/>
                <w:sz w:val="22"/>
                <w:szCs w:val="22"/>
              </w:rPr>
            </w:pPr>
            <w:r w:rsidRPr="00DC1E42">
              <w:rPr>
                <w:rFonts w:cs="Calibri Light"/>
                <w:color w:val="000000"/>
                <w:szCs w:val="22"/>
              </w:rPr>
              <w:t>Flat levy based on the number of days in the financial year on which the entity holds the prescribed AFS licence authorisation.</w:t>
            </w:r>
          </w:p>
        </w:tc>
      </w:tr>
      <w:tr w:rsidR="00D20F85" w:rsidRPr="007A46E0" w14:paraId="3FA48D96"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4A7B271A"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Wholesale electricity dealers</w:t>
            </w:r>
          </w:p>
        </w:tc>
        <w:tc>
          <w:tcPr>
            <w:tcW w:w="0" w:type="auto"/>
            <w:tcBorders>
              <w:top w:val="single" w:sz="4" w:space="0" w:color="auto"/>
              <w:left w:val="single" w:sz="4" w:space="0" w:color="auto"/>
              <w:bottom w:val="single" w:sz="4" w:space="0" w:color="auto"/>
              <w:right w:val="single" w:sz="4" w:space="0" w:color="auto"/>
            </w:tcBorders>
          </w:tcPr>
          <w:p w14:paraId="735114F7" w14:textId="6F21FD64"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deals in, or makes a market in, OTC derivatives that relate to the wholesale price of electricity but is not regulated by APRA or is a participant in a financial market.</w:t>
            </w:r>
          </w:p>
        </w:tc>
        <w:tc>
          <w:tcPr>
            <w:tcW w:w="0" w:type="auto"/>
            <w:tcBorders>
              <w:top w:val="single" w:sz="4" w:space="0" w:color="auto"/>
              <w:left w:val="single" w:sz="4" w:space="0" w:color="auto"/>
              <w:bottom w:val="single" w:sz="4" w:space="0" w:color="auto"/>
              <w:right w:val="single" w:sz="4" w:space="0" w:color="auto"/>
            </w:tcBorders>
          </w:tcPr>
          <w:p w14:paraId="089E4B3C"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Flat levy </w:t>
            </w:r>
          </w:p>
          <w:p w14:paraId="3BB8E7E2" w14:textId="77777777" w:rsidR="00C52D09" w:rsidRPr="00DC1E42" w:rsidRDefault="00C52D09" w:rsidP="00C52D09">
            <w:pPr>
              <w:spacing w:before="0" w:after="0"/>
              <w:rPr>
                <w:rFonts w:cs="Calibri Light"/>
                <w:color w:val="000000"/>
                <w:sz w:val="22"/>
                <w:szCs w:val="22"/>
              </w:rPr>
            </w:pPr>
          </w:p>
        </w:tc>
      </w:tr>
      <w:tr w:rsidR="00D20F85" w:rsidRPr="007A46E0" w14:paraId="07654DC9"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5CCF8642"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New specialised market operators</w:t>
            </w:r>
          </w:p>
        </w:tc>
        <w:tc>
          <w:tcPr>
            <w:tcW w:w="0" w:type="auto"/>
            <w:tcBorders>
              <w:top w:val="single" w:sz="4" w:space="0" w:color="auto"/>
              <w:left w:val="single" w:sz="4" w:space="0" w:color="auto"/>
              <w:bottom w:val="single" w:sz="4" w:space="0" w:color="auto"/>
              <w:right w:val="single" w:sz="4" w:space="0" w:color="auto"/>
            </w:tcBorders>
            <w:hideMark/>
          </w:tcPr>
          <w:p w14:paraId="205E6885" w14:textId="4341E684"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An entity that is operating a new market that has not been previously operated in Australia or overseas, and the entity has never previously held an Australian market licence. An entity will fall within this </w:t>
            </w:r>
            <w:r w:rsidR="00F33074">
              <w:rPr>
                <w:rFonts w:cs="Calibri Light"/>
                <w:color w:val="000000"/>
                <w:szCs w:val="22"/>
              </w:rPr>
              <w:t>sub</w:t>
            </w:r>
            <w:r w:rsidR="00F33074">
              <w:rPr>
                <w:rFonts w:cs="Calibri Light"/>
                <w:color w:val="000000"/>
                <w:szCs w:val="22"/>
              </w:rPr>
              <w:noBreakHyphen/>
              <w:t>sector</w:t>
            </w:r>
            <w:r w:rsidRPr="00DC1E42">
              <w:rPr>
                <w:rFonts w:cs="Calibri Light"/>
                <w:color w:val="000000"/>
                <w:szCs w:val="22"/>
              </w:rPr>
              <w:t xml:space="preserve"> for two years after it is licensed to operate a specialised market.</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DC8849"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Flat levy based on the number of days in the financial year on which the entity operated the specialised market(s).</w:t>
            </w:r>
          </w:p>
        </w:tc>
      </w:tr>
      <w:tr w:rsidR="00D20F85" w:rsidRPr="007A46E0" w14:paraId="1FC2CBF0"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61C66717"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Established specialised market operators</w:t>
            </w:r>
          </w:p>
        </w:tc>
        <w:tc>
          <w:tcPr>
            <w:tcW w:w="0" w:type="auto"/>
            <w:tcBorders>
              <w:top w:val="single" w:sz="4" w:space="0" w:color="auto"/>
              <w:left w:val="single" w:sz="4" w:space="0" w:color="auto"/>
              <w:bottom w:val="single" w:sz="4" w:space="0" w:color="auto"/>
              <w:right w:val="single" w:sz="4" w:space="0" w:color="auto"/>
            </w:tcBorders>
            <w:hideMark/>
          </w:tcPr>
          <w:p w14:paraId="136DC19D"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operates a market in Australia that has been previously operated by it or another entity in Australia or overseas; or operates a new type of market that has never been previously operated in Australia or overseas, but the entity holds or previously held an Australian market licence; or has already operated a new market that has never been previously operated in Australia or overseas for more than two years.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958DB" w14:textId="77777777" w:rsidR="00C52D09" w:rsidRPr="00DC1E42" w:rsidRDefault="00C52D09" w:rsidP="00C52D09">
            <w:pPr>
              <w:spacing w:before="0" w:after="0"/>
              <w:rPr>
                <w:rFonts w:cs="Calibri Light"/>
                <w:color w:val="000000"/>
                <w:sz w:val="22"/>
                <w:szCs w:val="22"/>
              </w:rPr>
            </w:pPr>
          </w:p>
        </w:tc>
      </w:tr>
      <w:tr w:rsidR="00C52D09" w:rsidRPr="007A46E0" w14:paraId="6A30ECCE" w14:textId="77777777" w:rsidTr="00DC1E42">
        <w:tc>
          <w:tcPr>
            <w:tcW w:w="0" w:type="auto"/>
            <w:gridSpan w:val="3"/>
            <w:tcBorders>
              <w:top w:val="single" w:sz="4" w:space="0" w:color="auto"/>
              <w:left w:val="single" w:sz="4" w:space="0" w:color="auto"/>
              <w:bottom w:val="single" w:sz="4" w:space="0" w:color="auto"/>
              <w:right w:val="single" w:sz="4" w:space="0" w:color="auto"/>
            </w:tcBorders>
            <w:hideMark/>
          </w:tcPr>
          <w:p w14:paraId="0F166BC4" w14:textId="77777777" w:rsidR="00C52D09" w:rsidRPr="00DC1E42" w:rsidRDefault="00C52D09" w:rsidP="00C52D09">
            <w:pPr>
              <w:spacing w:before="0" w:after="0"/>
              <w:jc w:val="center"/>
              <w:rPr>
                <w:rFonts w:cs="Calibri Light"/>
                <w:i/>
                <w:color w:val="000000"/>
                <w:sz w:val="22"/>
                <w:szCs w:val="22"/>
              </w:rPr>
            </w:pPr>
            <w:r w:rsidRPr="00DC1E42">
              <w:rPr>
                <w:rFonts w:cs="Calibri Light"/>
                <w:i/>
                <w:color w:val="000000"/>
                <w:szCs w:val="22"/>
              </w:rPr>
              <w:t>Insurance sector</w:t>
            </w:r>
          </w:p>
        </w:tc>
      </w:tr>
      <w:tr w:rsidR="00D20F85" w:rsidRPr="007A46E0" w14:paraId="508DCAAD"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0FA0E19A" w14:textId="77777777" w:rsidR="00C52D09" w:rsidRPr="00DC1E42" w:rsidRDefault="00C52D09" w:rsidP="00C52D09">
            <w:pPr>
              <w:spacing w:before="0" w:after="0"/>
              <w:rPr>
                <w:rFonts w:cs="Calibri Light"/>
                <w:b/>
                <w:color w:val="000000"/>
                <w:sz w:val="22"/>
                <w:szCs w:val="22"/>
              </w:rPr>
            </w:pPr>
            <w:r w:rsidRPr="00DC1E42">
              <w:rPr>
                <w:rFonts w:cs="Calibri Light"/>
                <w:b/>
                <w:color w:val="000000"/>
                <w:szCs w:val="22"/>
              </w:rPr>
              <w:t>Insurance product providers</w:t>
            </w:r>
          </w:p>
        </w:tc>
        <w:tc>
          <w:tcPr>
            <w:tcW w:w="0" w:type="auto"/>
            <w:tcBorders>
              <w:top w:val="single" w:sz="4" w:space="0" w:color="auto"/>
              <w:left w:val="single" w:sz="4" w:space="0" w:color="auto"/>
              <w:bottom w:val="single" w:sz="4" w:space="0" w:color="auto"/>
              <w:right w:val="single" w:sz="4" w:space="0" w:color="auto"/>
            </w:tcBorders>
          </w:tcPr>
          <w:p w14:paraId="29FB86D2"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holds an AFS licence with an authorisation to deal in general insurance, life insurance products or investment life products.</w:t>
            </w:r>
          </w:p>
          <w:p w14:paraId="316FF0C5" w14:textId="77777777" w:rsidR="00C52D09" w:rsidRPr="00DC1E42" w:rsidRDefault="00C52D09" w:rsidP="00C52D09">
            <w:pPr>
              <w:spacing w:before="0" w:after="0"/>
              <w:rPr>
                <w:rFonts w:cs="Calibri Light"/>
                <w:color w:val="000000"/>
                <w:sz w:val="22"/>
                <w:szCs w:val="22"/>
              </w:rPr>
            </w:pPr>
          </w:p>
          <w:p w14:paraId="2E747E2C" w14:textId="77777777" w:rsidR="00C52D09" w:rsidRPr="00DC1E42" w:rsidRDefault="00C52D09" w:rsidP="00C52D09">
            <w:pPr>
              <w:spacing w:before="0" w:after="0"/>
              <w:rPr>
                <w:rFonts w:cs="Calibri Light"/>
                <w:color w:val="000000"/>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46193833"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Minimum levy ($20,000) + graduated levy based on the gross amount of premiums written or net revenue received above $5 million, less any reinsurance expenses, in relation to business covered by the entity’s AFS licence. </w:t>
            </w:r>
          </w:p>
        </w:tc>
      </w:tr>
      <w:tr w:rsidR="00D20F85" w:rsidRPr="007A46E0" w14:paraId="0DABACA0"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5FAEBBBC" w14:textId="77777777" w:rsidR="00C52D09" w:rsidRPr="00521A56" w:rsidRDefault="00C52D09" w:rsidP="00C52D09">
            <w:pPr>
              <w:spacing w:before="0" w:after="0"/>
              <w:rPr>
                <w:rFonts w:cs="Calibri Light"/>
                <w:b/>
                <w:sz w:val="22"/>
                <w:szCs w:val="22"/>
              </w:rPr>
            </w:pPr>
            <w:r w:rsidRPr="00DC1E42">
              <w:rPr>
                <w:rFonts w:cs="Calibri Light"/>
                <w:b/>
                <w:szCs w:val="22"/>
              </w:rPr>
              <w:t>Claims handling and settling services providers</w:t>
            </w:r>
          </w:p>
        </w:tc>
        <w:tc>
          <w:tcPr>
            <w:tcW w:w="0" w:type="auto"/>
            <w:tcBorders>
              <w:top w:val="single" w:sz="4" w:space="0" w:color="auto"/>
              <w:left w:val="single" w:sz="4" w:space="0" w:color="auto"/>
              <w:bottom w:val="single" w:sz="4" w:space="0" w:color="auto"/>
              <w:right w:val="single" w:sz="4" w:space="0" w:color="auto"/>
            </w:tcBorders>
            <w:hideMark/>
          </w:tcPr>
          <w:p w14:paraId="4D64FBCE"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An entity that holds an AFS licence with an authorisation to provide claims handling and settling services. </w:t>
            </w:r>
          </w:p>
        </w:tc>
        <w:tc>
          <w:tcPr>
            <w:tcW w:w="0" w:type="auto"/>
            <w:tcBorders>
              <w:top w:val="single" w:sz="4" w:space="0" w:color="auto"/>
              <w:left w:val="single" w:sz="4" w:space="0" w:color="auto"/>
              <w:bottom w:val="single" w:sz="4" w:space="0" w:color="auto"/>
              <w:right w:val="single" w:sz="4" w:space="0" w:color="auto"/>
            </w:tcBorders>
            <w:hideMark/>
          </w:tcPr>
          <w:p w14:paraId="361CE5E1"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Minimum levy ($500) + graduated levy based on the number of claims under insurance products in relation to which the entity provides claims handling and settling services in the financial year.</w:t>
            </w:r>
          </w:p>
        </w:tc>
      </w:tr>
      <w:tr w:rsidR="00D20F85" w:rsidRPr="007A46E0" w14:paraId="0F21E515" w14:textId="77777777" w:rsidTr="00DC1E42">
        <w:trPr>
          <w:trHeight w:val="817"/>
        </w:trPr>
        <w:tc>
          <w:tcPr>
            <w:tcW w:w="0" w:type="auto"/>
            <w:tcBorders>
              <w:top w:val="single" w:sz="4" w:space="0" w:color="auto"/>
              <w:left w:val="single" w:sz="4" w:space="0" w:color="auto"/>
              <w:bottom w:val="single" w:sz="4" w:space="0" w:color="auto"/>
              <w:right w:val="single" w:sz="4" w:space="0" w:color="auto"/>
            </w:tcBorders>
            <w:hideMark/>
          </w:tcPr>
          <w:p w14:paraId="3A2C651D" w14:textId="77777777" w:rsidR="00C52D09" w:rsidRPr="00521A56" w:rsidRDefault="00C52D09" w:rsidP="00C52D09">
            <w:pPr>
              <w:spacing w:before="0" w:after="0"/>
              <w:rPr>
                <w:rFonts w:cs="Calibri Light"/>
                <w:b/>
                <w:color w:val="000000"/>
                <w:sz w:val="22"/>
                <w:szCs w:val="22"/>
              </w:rPr>
            </w:pPr>
            <w:r w:rsidRPr="00DC1E42">
              <w:rPr>
                <w:rFonts w:cs="Calibri Light"/>
                <w:b/>
                <w:color w:val="000000"/>
                <w:szCs w:val="22"/>
              </w:rPr>
              <w:t>Insurance product distributors</w:t>
            </w:r>
          </w:p>
        </w:tc>
        <w:tc>
          <w:tcPr>
            <w:tcW w:w="0" w:type="auto"/>
            <w:tcBorders>
              <w:top w:val="single" w:sz="4" w:space="0" w:color="auto"/>
              <w:left w:val="single" w:sz="4" w:space="0" w:color="auto"/>
              <w:bottom w:val="single" w:sz="4" w:space="0" w:color="auto"/>
              <w:right w:val="single" w:sz="4" w:space="0" w:color="auto"/>
            </w:tcBorders>
          </w:tcPr>
          <w:p w14:paraId="1FD1346F" w14:textId="2C09822A" w:rsidR="00C52D09" w:rsidRPr="00DC1E42" w:rsidRDefault="00C52D09" w:rsidP="00C52D09">
            <w:pPr>
              <w:spacing w:before="0" w:after="0"/>
              <w:rPr>
                <w:rFonts w:cs="Calibri Light"/>
                <w:color w:val="000000"/>
                <w:sz w:val="22"/>
                <w:szCs w:val="22"/>
              </w:rPr>
            </w:pPr>
            <w:r w:rsidRPr="00DC1E42">
              <w:rPr>
                <w:rFonts w:cs="Calibri Light"/>
                <w:color w:val="000000"/>
                <w:szCs w:val="22"/>
              </w:rPr>
              <w:t>An entity that holds an AFS licence with an authorisation to deal in general insurance, life insurance products or investment life products and is not an insurance product provider.</w:t>
            </w:r>
          </w:p>
        </w:tc>
        <w:tc>
          <w:tcPr>
            <w:tcW w:w="0" w:type="auto"/>
            <w:tcBorders>
              <w:top w:val="single" w:sz="4" w:space="0" w:color="auto"/>
              <w:left w:val="single" w:sz="4" w:space="0" w:color="auto"/>
              <w:bottom w:val="single" w:sz="4" w:space="0" w:color="auto"/>
              <w:right w:val="single" w:sz="4" w:space="0" w:color="auto"/>
            </w:tcBorders>
            <w:hideMark/>
          </w:tcPr>
          <w:p w14:paraId="37D55B72"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Flat levy</w:t>
            </w:r>
          </w:p>
        </w:tc>
      </w:tr>
      <w:tr w:rsidR="00D20F85" w:rsidRPr="007A46E0" w14:paraId="08666B57" w14:textId="77777777" w:rsidTr="00DC1E42">
        <w:tc>
          <w:tcPr>
            <w:tcW w:w="0" w:type="auto"/>
            <w:tcBorders>
              <w:top w:val="single" w:sz="4" w:space="0" w:color="auto"/>
              <w:left w:val="single" w:sz="4" w:space="0" w:color="auto"/>
              <w:bottom w:val="single" w:sz="4" w:space="0" w:color="auto"/>
              <w:right w:val="single" w:sz="4" w:space="0" w:color="auto"/>
            </w:tcBorders>
            <w:hideMark/>
          </w:tcPr>
          <w:p w14:paraId="0B4F2FA6" w14:textId="77777777" w:rsidR="00C52D09" w:rsidRPr="004F4E55" w:rsidRDefault="00C52D09" w:rsidP="00C52D09">
            <w:pPr>
              <w:spacing w:before="0" w:after="0"/>
              <w:rPr>
                <w:rFonts w:cs="Calibri Light"/>
                <w:b/>
                <w:color w:val="000000"/>
                <w:sz w:val="22"/>
                <w:szCs w:val="22"/>
              </w:rPr>
            </w:pPr>
            <w:r w:rsidRPr="00DC1E42">
              <w:rPr>
                <w:rFonts w:cs="Calibri Light"/>
                <w:b/>
                <w:color w:val="000000"/>
                <w:szCs w:val="22"/>
              </w:rPr>
              <w:t>Risk management product providers</w:t>
            </w:r>
          </w:p>
        </w:tc>
        <w:tc>
          <w:tcPr>
            <w:tcW w:w="0" w:type="auto"/>
            <w:tcBorders>
              <w:top w:val="single" w:sz="4" w:space="0" w:color="auto"/>
              <w:left w:val="single" w:sz="4" w:space="0" w:color="auto"/>
              <w:bottom w:val="single" w:sz="4" w:space="0" w:color="auto"/>
              <w:right w:val="single" w:sz="4" w:space="0" w:color="auto"/>
            </w:tcBorders>
          </w:tcPr>
          <w:p w14:paraId="218242B2" w14:textId="15EF9B28" w:rsidR="00C52D09" w:rsidRPr="004F4E55" w:rsidRDefault="00C52D09" w:rsidP="00C52D09">
            <w:pPr>
              <w:spacing w:before="0" w:after="0"/>
              <w:rPr>
                <w:rFonts w:cs="Calibri Light"/>
                <w:color w:val="000000"/>
                <w:sz w:val="22"/>
                <w:szCs w:val="22"/>
              </w:rPr>
            </w:pPr>
            <w:r w:rsidRPr="00DC1E42">
              <w:rPr>
                <w:rFonts w:cs="Calibri Light"/>
                <w:color w:val="000000"/>
                <w:szCs w:val="22"/>
              </w:rPr>
              <w:t>Entities that hold an AFS licence with an authorisation to deal in a financial product for managing financial risk.</w:t>
            </w:r>
          </w:p>
        </w:tc>
        <w:tc>
          <w:tcPr>
            <w:tcW w:w="0" w:type="auto"/>
            <w:tcBorders>
              <w:top w:val="single" w:sz="4" w:space="0" w:color="auto"/>
              <w:left w:val="single" w:sz="4" w:space="0" w:color="auto"/>
              <w:bottom w:val="single" w:sz="4" w:space="0" w:color="auto"/>
              <w:right w:val="single" w:sz="4" w:space="0" w:color="auto"/>
            </w:tcBorders>
            <w:hideMark/>
          </w:tcPr>
          <w:p w14:paraId="1D4558A5" w14:textId="77777777" w:rsidR="00C52D09" w:rsidRPr="00DC1E42" w:rsidRDefault="00C52D09" w:rsidP="00C52D09">
            <w:pPr>
              <w:spacing w:before="0" w:after="0"/>
              <w:rPr>
                <w:rFonts w:cs="Calibri Light"/>
                <w:color w:val="000000"/>
                <w:sz w:val="22"/>
                <w:szCs w:val="22"/>
              </w:rPr>
            </w:pPr>
            <w:r w:rsidRPr="00DC1E42">
              <w:rPr>
                <w:rFonts w:cs="Calibri Light"/>
                <w:color w:val="000000"/>
                <w:szCs w:val="22"/>
              </w:rPr>
              <w:t xml:space="preserve">Flat levy based on the number of days in the financial year the entity held the required AFS licence authorisation. </w:t>
            </w:r>
          </w:p>
        </w:tc>
      </w:tr>
    </w:tbl>
    <w:p w14:paraId="635178AB" w14:textId="071F379E" w:rsidR="00DF4976" w:rsidRDefault="00DF4976" w:rsidP="00DF4976"/>
    <w:p w14:paraId="075425CE" w14:textId="071F379E" w:rsidR="00DF4976" w:rsidRDefault="00DF4976" w:rsidP="00DF4976"/>
    <w:p w14:paraId="6FBBB50F" w14:textId="77777777" w:rsidR="00D57088" w:rsidRDefault="00D57088">
      <w:pPr>
        <w:spacing w:before="0" w:after="160" w:line="259" w:lineRule="auto"/>
        <w:sectPr w:rsidR="00D57088" w:rsidSect="005053F4">
          <w:pgSz w:w="16838" w:h="11906" w:orient="landscape" w:code="9"/>
          <w:pgMar w:top="1418" w:right="1843" w:bottom="1418" w:left="1418" w:header="709" w:footer="709" w:gutter="0"/>
          <w:cols w:space="708"/>
          <w:docGrid w:linePitch="360"/>
        </w:sectPr>
      </w:pPr>
    </w:p>
    <w:p w14:paraId="0E081EA6" w14:textId="5E5A2D60" w:rsidR="006132BD" w:rsidRDefault="000F49A7" w:rsidP="005053F4">
      <w:pPr>
        <w:pStyle w:val="Heading1"/>
        <w:jc w:val="right"/>
      </w:pPr>
      <w:bookmarkStart w:id="103" w:name="_Toc114214454"/>
      <w:r>
        <w:t xml:space="preserve">Appendix E: </w:t>
      </w:r>
      <w:r w:rsidR="00501EC2">
        <w:t>List of stakeholder questions</w:t>
      </w:r>
      <w:bookmarkEnd w:id="103"/>
    </w:p>
    <w:p w14:paraId="4263B567" w14:textId="77777777" w:rsidR="00695A85" w:rsidRDefault="00695A85" w:rsidP="00501EC2"/>
    <w:p w14:paraId="6B851974" w14:textId="77777777" w:rsidR="009019E1" w:rsidRDefault="003C5FF6" w:rsidP="00092BA4">
      <w:r>
        <w:t>Stakeholders are invited to consider options, examples of potential changes and questions that are designed to examine and address the issues set out in the Review’s Terms of Reference.</w:t>
      </w:r>
      <w:r w:rsidR="00F62B4C">
        <w:t xml:space="preserve"> </w:t>
      </w:r>
    </w:p>
    <w:p w14:paraId="4C181989" w14:textId="7FB8B1AC" w:rsidR="003C5FF6" w:rsidRDefault="00C45C92" w:rsidP="00092BA4">
      <w:r w:rsidRPr="0058553A">
        <w:t>The principles, options and examples of potential changes outlined in this paper have not received Government approval and are not yet law. As a consequence, this paper is merely a guide as to how the principles, options or examples of potential changes might operate.</w:t>
      </w:r>
    </w:p>
    <w:p w14:paraId="4C752E31" w14:textId="02E02A5A" w:rsidR="00934765" w:rsidRDefault="00E077F2" w:rsidP="00770F31">
      <w:r>
        <w:t xml:space="preserve">A list of consolidated questions is set out below. </w:t>
      </w:r>
      <w:r w:rsidR="00DB1037">
        <w:t>T</w:t>
      </w:r>
      <w:r>
        <w:t xml:space="preserve">his paper also sets out </w:t>
      </w:r>
      <w:r w:rsidR="00922A0D">
        <w:t>additional</w:t>
      </w:r>
      <w:r>
        <w:t xml:space="preserve"> questions </w:t>
      </w:r>
      <w:r w:rsidR="005A496A">
        <w:t>for stakeholder</w:t>
      </w:r>
      <w:r w:rsidR="003A41B2">
        <w:t>s</w:t>
      </w:r>
      <w:r w:rsidR="005A496A">
        <w:t xml:space="preserve"> to consider </w:t>
      </w:r>
      <w:r w:rsidR="009566BF">
        <w:t xml:space="preserve">that are targeted to specific options and examples of potential changes. </w:t>
      </w:r>
      <w:r w:rsidR="00934765">
        <w:t>In</w:t>
      </w:r>
      <w:r w:rsidR="00EE23A7">
        <w:t> </w:t>
      </w:r>
      <w:r w:rsidR="00934765">
        <w:t>providing feedback</w:t>
      </w:r>
      <w:r w:rsidR="00E135C2">
        <w:t xml:space="preserve"> on the options and examples of potential changes</w:t>
      </w:r>
      <w:r w:rsidR="00934765">
        <w:t xml:space="preserve">, stakeholders should consider: </w:t>
      </w:r>
    </w:p>
    <w:p w14:paraId="4679FCD9" w14:textId="3B56E7FF" w:rsidR="00934765" w:rsidRDefault="00934765" w:rsidP="00934765">
      <w:pPr>
        <w:pStyle w:val="BoxText"/>
        <w:numPr>
          <w:ilvl w:val="0"/>
          <w:numId w:val="14"/>
        </w:numPr>
        <w:rPr>
          <w:lang w:eastAsia="en-US"/>
        </w:rPr>
      </w:pPr>
      <w:r>
        <w:rPr>
          <w:lang w:eastAsia="en-US"/>
        </w:rPr>
        <w:t>the impact of the options and examples of potential changes on entities, including the cost to business and regulatory burden, as well as fairness and equity considerations;</w:t>
      </w:r>
      <w:r w:rsidR="00051135">
        <w:rPr>
          <w:lang w:eastAsia="en-US"/>
        </w:rPr>
        <w:t xml:space="preserve"> and </w:t>
      </w:r>
      <w:r>
        <w:rPr>
          <w:lang w:eastAsia="en-US"/>
        </w:rPr>
        <w:t xml:space="preserve"> </w:t>
      </w:r>
    </w:p>
    <w:p w14:paraId="342E5BC4" w14:textId="22019117" w:rsidR="004D625E" w:rsidRDefault="006817CA" w:rsidP="00934765">
      <w:pPr>
        <w:pStyle w:val="BoxText"/>
        <w:numPr>
          <w:ilvl w:val="0"/>
          <w:numId w:val="14"/>
        </w:numPr>
        <w:rPr>
          <w:lang w:eastAsia="en-US"/>
        </w:rPr>
      </w:pPr>
      <w:r>
        <w:rPr>
          <w:lang w:eastAsia="en-US"/>
        </w:rPr>
        <w:t xml:space="preserve">targeted </w:t>
      </w:r>
      <w:r w:rsidR="004D625E">
        <w:rPr>
          <w:lang w:eastAsia="en-US"/>
        </w:rPr>
        <w:t xml:space="preserve">questions </w:t>
      </w:r>
      <w:r w:rsidR="00D76DF2">
        <w:rPr>
          <w:lang w:eastAsia="en-US"/>
        </w:rPr>
        <w:t xml:space="preserve">in </w:t>
      </w:r>
      <w:r w:rsidR="00912E42">
        <w:rPr>
          <w:lang w:eastAsia="en-US"/>
        </w:rPr>
        <w:t xml:space="preserve">relation to </w:t>
      </w:r>
      <w:r w:rsidR="00051135">
        <w:rPr>
          <w:lang w:eastAsia="en-US"/>
        </w:rPr>
        <w:t>specific options and examples of potential changes set out in;</w:t>
      </w:r>
    </w:p>
    <w:p w14:paraId="3F1E0DEB" w14:textId="5AA24BB4" w:rsidR="00051135" w:rsidRDefault="00051135" w:rsidP="00051135">
      <w:pPr>
        <w:pStyle w:val="BoxText"/>
        <w:numPr>
          <w:ilvl w:val="1"/>
          <w:numId w:val="14"/>
        </w:numPr>
        <w:rPr>
          <w:lang w:eastAsia="en-US"/>
        </w:rPr>
      </w:pPr>
      <w:r>
        <w:rPr>
          <w:lang w:eastAsia="en-US"/>
        </w:rPr>
        <w:t xml:space="preserve">Box 1: </w:t>
      </w:r>
      <w:r w:rsidRPr="00051135">
        <w:rPr>
          <w:lang w:eastAsia="en-US"/>
        </w:rPr>
        <w:t>Examples of simplification (page 15)</w:t>
      </w:r>
      <w:r>
        <w:rPr>
          <w:lang w:eastAsia="en-US"/>
        </w:rPr>
        <w:t>;</w:t>
      </w:r>
    </w:p>
    <w:p w14:paraId="3B12050C" w14:textId="0FEA4479" w:rsidR="00051135" w:rsidRDefault="00051135" w:rsidP="00051135">
      <w:pPr>
        <w:pStyle w:val="BoxText"/>
        <w:numPr>
          <w:ilvl w:val="1"/>
          <w:numId w:val="14"/>
        </w:numPr>
        <w:rPr>
          <w:lang w:eastAsia="en-US"/>
        </w:rPr>
      </w:pPr>
      <w:r>
        <w:rPr>
          <w:lang w:eastAsia="en-US"/>
        </w:rPr>
        <w:t xml:space="preserve">Box 2: </w:t>
      </w:r>
      <w:r w:rsidRPr="00051135">
        <w:rPr>
          <w:lang w:eastAsia="en-US"/>
        </w:rPr>
        <w:t>Examples of alternative approaches to distribute costs (page 2</w:t>
      </w:r>
      <w:r>
        <w:rPr>
          <w:lang w:eastAsia="en-US"/>
        </w:rPr>
        <w:t>6</w:t>
      </w:r>
      <w:r w:rsidRPr="00051135">
        <w:rPr>
          <w:lang w:eastAsia="en-US"/>
        </w:rPr>
        <w:t>)</w:t>
      </w:r>
      <w:r>
        <w:rPr>
          <w:lang w:eastAsia="en-US"/>
        </w:rPr>
        <w:t>;</w:t>
      </w:r>
    </w:p>
    <w:p w14:paraId="54AC8327" w14:textId="5FF955AD" w:rsidR="00051135" w:rsidRDefault="00051135" w:rsidP="00051135">
      <w:pPr>
        <w:pStyle w:val="BoxText"/>
        <w:numPr>
          <w:ilvl w:val="1"/>
          <w:numId w:val="14"/>
        </w:numPr>
        <w:rPr>
          <w:lang w:eastAsia="en-US"/>
        </w:rPr>
      </w:pPr>
      <w:r>
        <w:rPr>
          <w:lang w:eastAsia="en-US"/>
        </w:rPr>
        <w:t xml:space="preserve">Box 3: </w:t>
      </w:r>
      <w:r w:rsidRPr="00051135">
        <w:rPr>
          <w:lang w:eastAsia="en-US"/>
        </w:rPr>
        <w:t>Examples of fee adjustment (page 3</w:t>
      </w:r>
      <w:r>
        <w:rPr>
          <w:lang w:eastAsia="en-US"/>
        </w:rPr>
        <w:t>1</w:t>
      </w:r>
      <w:r w:rsidRPr="00051135">
        <w:rPr>
          <w:lang w:eastAsia="en-US"/>
        </w:rPr>
        <w:t>)</w:t>
      </w:r>
      <w:r>
        <w:rPr>
          <w:lang w:eastAsia="en-US"/>
        </w:rPr>
        <w:t>;</w:t>
      </w:r>
    </w:p>
    <w:p w14:paraId="180B243A" w14:textId="31C51AF9" w:rsidR="00051135" w:rsidRDefault="00F1393F" w:rsidP="00051135">
      <w:pPr>
        <w:pStyle w:val="BoxText"/>
        <w:numPr>
          <w:ilvl w:val="1"/>
          <w:numId w:val="14"/>
        </w:numPr>
        <w:rPr>
          <w:lang w:eastAsia="en-US"/>
        </w:rPr>
      </w:pPr>
      <w:r>
        <w:rPr>
          <w:lang w:eastAsia="en-US"/>
        </w:rPr>
        <w:t xml:space="preserve">Box 4: </w:t>
      </w:r>
      <w:r w:rsidR="00051135" w:rsidRPr="00051135">
        <w:rPr>
          <w:lang w:eastAsia="en-US"/>
        </w:rPr>
        <w:t>Examples of improving flexibility (page 3</w:t>
      </w:r>
      <w:r>
        <w:rPr>
          <w:lang w:eastAsia="en-US"/>
        </w:rPr>
        <w:t>2</w:t>
      </w:r>
      <w:r w:rsidR="00051135" w:rsidRPr="00051135">
        <w:rPr>
          <w:lang w:eastAsia="en-US"/>
        </w:rPr>
        <w:t>)</w:t>
      </w:r>
      <w:r>
        <w:rPr>
          <w:lang w:eastAsia="en-US"/>
        </w:rPr>
        <w:t>; and</w:t>
      </w:r>
    </w:p>
    <w:p w14:paraId="6AD8462B" w14:textId="3E932DBA" w:rsidR="00F1393F" w:rsidRDefault="00F1393F" w:rsidP="00051135">
      <w:pPr>
        <w:pStyle w:val="BoxText"/>
        <w:numPr>
          <w:ilvl w:val="1"/>
          <w:numId w:val="14"/>
        </w:numPr>
        <w:rPr>
          <w:lang w:eastAsia="en-US"/>
        </w:rPr>
      </w:pPr>
      <w:r>
        <w:rPr>
          <w:lang w:eastAsia="en-US"/>
        </w:rPr>
        <w:t xml:space="preserve">Box 5: </w:t>
      </w:r>
      <w:r w:rsidRPr="00F1393F">
        <w:rPr>
          <w:lang w:eastAsia="en-US"/>
        </w:rPr>
        <w:t>Examples of adjustments to reporting, transparency, and consultation (page</w:t>
      </w:r>
      <w:r>
        <w:rPr>
          <w:lang w:eastAsia="en-US"/>
        </w:rPr>
        <w:t> </w:t>
      </w:r>
      <w:r w:rsidRPr="00F1393F">
        <w:rPr>
          <w:lang w:eastAsia="en-US"/>
        </w:rPr>
        <w:t>3</w:t>
      </w:r>
      <w:r>
        <w:rPr>
          <w:lang w:eastAsia="en-US"/>
        </w:rPr>
        <w:t>8</w:t>
      </w:r>
      <w:r w:rsidRPr="00F1393F">
        <w:rPr>
          <w:lang w:eastAsia="en-US"/>
        </w:rPr>
        <w:t>)</w:t>
      </w:r>
    </w:p>
    <w:p w14:paraId="554B7B06" w14:textId="5B319179" w:rsidR="00CE6F05" w:rsidRDefault="001137C1" w:rsidP="00092BA4">
      <w:pPr>
        <w:pStyle w:val="Heading2"/>
      </w:pPr>
      <w:bookmarkStart w:id="104" w:name="_Toc114214455"/>
      <w:r>
        <w:t>Industry funding</w:t>
      </w:r>
      <w:r w:rsidR="00CE6F05">
        <w:t xml:space="preserve"> levies</w:t>
      </w:r>
      <w:bookmarkEnd w:id="104"/>
      <w:r w:rsidR="00CE6F05">
        <w:t xml:space="preserve"> </w:t>
      </w:r>
    </w:p>
    <w:p w14:paraId="24A09E64" w14:textId="7C528A62" w:rsidR="00B04200" w:rsidRPr="00B8456F" w:rsidRDefault="00B04200" w:rsidP="0049247E">
      <w:pPr>
        <w:numPr>
          <w:ilvl w:val="0"/>
          <w:numId w:val="49"/>
        </w:numPr>
      </w:pPr>
      <w:r w:rsidRPr="00B8456F">
        <w:t>Appendix D provides a catalogue of sub</w:t>
      </w:r>
      <w:r w:rsidRPr="00B8456F">
        <w:noBreakHyphen/>
        <w:t xml:space="preserve">sector definitions, metrics and formulas. If the status quo remains (that is, there are no substantial changes to the IFM framework), </w:t>
      </w:r>
      <w:r w:rsidR="009D253C">
        <w:t>a</w:t>
      </w:r>
      <w:r w:rsidRPr="00B8456F">
        <w:t xml:space="preserve">re any changes required to ensure </w:t>
      </w:r>
      <w:r w:rsidR="009D253C">
        <w:t>the existing industry sub-sectors, levy formulas and entity metrics</w:t>
      </w:r>
      <w:r w:rsidR="009D253C" w:rsidRPr="00B8456F">
        <w:t xml:space="preserve"> </w:t>
      </w:r>
      <w:r w:rsidRPr="00B8456F">
        <w:t>remain fit for purpose in the longer-term and/or can respond to changes within industry sub</w:t>
      </w:r>
      <w:r w:rsidRPr="00B8456F">
        <w:noBreakHyphen/>
        <w:t>sectors?</w:t>
      </w:r>
    </w:p>
    <w:p w14:paraId="40E91834" w14:textId="77777777" w:rsidR="00B04200" w:rsidRPr="00B8456F" w:rsidRDefault="00B04200" w:rsidP="00B04200">
      <w:pPr>
        <w:ind w:left="342"/>
      </w:pPr>
      <w:r w:rsidRPr="00B8456F">
        <w:t>Note: Changes to sub</w:t>
      </w:r>
      <w:r w:rsidRPr="00B8456F">
        <w:noBreakHyphen/>
        <w:t>sector definitions, formulas and metrics would change the way levies are calculated and distributed amongst entities in a sub</w:t>
      </w:r>
      <w:r w:rsidRPr="00B8456F">
        <w:noBreakHyphen/>
        <w:t>sector and would impact the levy amounts for individual entities but would not change the total amount recovered from the relevant sub</w:t>
      </w:r>
      <w:r w:rsidRPr="00B8456F">
        <w:noBreakHyphen/>
        <w:t>sector.</w:t>
      </w:r>
    </w:p>
    <w:p w14:paraId="49524D5E" w14:textId="77777777" w:rsidR="00B04200" w:rsidRDefault="00B04200" w:rsidP="00B04200">
      <w:pPr>
        <w:numPr>
          <w:ilvl w:val="0"/>
          <w:numId w:val="49"/>
        </w:numPr>
        <w:tabs>
          <w:tab w:val="num" w:pos="851"/>
        </w:tabs>
      </w:pPr>
      <w:r w:rsidRPr="00B8456F">
        <w:t>Do stakeholders understand ASIC’s methodology for allocating costs of activities that impact multiple sub</w:t>
      </w:r>
      <w:r w:rsidRPr="00B8456F">
        <w:noBreakHyphen/>
        <w:t>sectors? Is the current level of transparency relating to this approach appropriate?</w:t>
      </w:r>
    </w:p>
    <w:p w14:paraId="3E179F1D" w14:textId="77777777" w:rsidR="00B04200" w:rsidRDefault="00B04200" w:rsidP="00B04200">
      <w:pPr>
        <w:pStyle w:val="OutlineNumbered1"/>
        <w:numPr>
          <w:ilvl w:val="0"/>
          <w:numId w:val="49"/>
        </w:numPr>
        <w:tabs>
          <w:tab w:val="clear" w:pos="851"/>
        </w:tabs>
        <w:rPr>
          <w:lang w:eastAsia="en-US"/>
        </w:rPr>
      </w:pPr>
      <w:r>
        <w:rPr>
          <w:lang w:eastAsia="en-US"/>
        </w:rPr>
        <w:t>Is it</w:t>
      </w:r>
      <w:r w:rsidRPr="004C5084">
        <w:rPr>
          <w:lang w:eastAsia="en-US"/>
        </w:rPr>
        <w:t xml:space="preserve"> more important to have a </w:t>
      </w:r>
      <w:r>
        <w:rPr>
          <w:lang w:eastAsia="en-US"/>
        </w:rPr>
        <w:t xml:space="preserve">simpler </w:t>
      </w:r>
      <w:r w:rsidRPr="004C5084">
        <w:rPr>
          <w:lang w:eastAsia="en-US"/>
        </w:rPr>
        <w:t xml:space="preserve">model that can be more readily understood </w:t>
      </w:r>
      <w:r>
        <w:rPr>
          <w:lang w:eastAsia="en-US"/>
        </w:rPr>
        <w:t xml:space="preserve">by entities </w:t>
      </w:r>
      <w:r w:rsidRPr="004C5084">
        <w:rPr>
          <w:lang w:eastAsia="en-US"/>
        </w:rPr>
        <w:t>and administered</w:t>
      </w:r>
      <w:r>
        <w:rPr>
          <w:lang w:eastAsia="en-US"/>
        </w:rPr>
        <w:t xml:space="preserve"> by ASIC which may result in increased cross-subsidisation</w:t>
      </w:r>
      <w:r w:rsidRPr="004C5084">
        <w:rPr>
          <w:lang w:eastAsia="en-US"/>
        </w:rPr>
        <w:t xml:space="preserve">, or a more </w:t>
      </w:r>
      <w:r>
        <w:rPr>
          <w:lang w:eastAsia="en-US"/>
        </w:rPr>
        <w:t>equitable</w:t>
      </w:r>
      <w:r w:rsidRPr="004C5084">
        <w:rPr>
          <w:lang w:eastAsia="en-US"/>
        </w:rPr>
        <w:t xml:space="preserve"> model</w:t>
      </w:r>
      <w:r>
        <w:rPr>
          <w:lang w:eastAsia="en-US"/>
        </w:rPr>
        <w:t xml:space="preserve"> (similar to the status quo)</w:t>
      </w:r>
      <w:r w:rsidRPr="004C5084">
        <w:rPr>
          <w:lang w:eastAsia="en-US"/>
        </w:rPr>
        <w:t xml:space="preserve"> that</w:t>
      </w:r>
      <w:r>
        <w:rPr>
          <w:lang w:eastAsia="en-US"/>
        </w:rPr>
        <w:t xml:space="preserve"> </w:t>
      </w:r>
      <w:r w:rsidRPr="004C5084">
        <w:rPr>
          <w:lang w:eastAsia="en-US"/>
        </w:rPr>
        <w:t>closely links the recovery of costs to the groups of entities causing the need for those costs</w:t>
      </w:r>
      <w:r>
        <w:rPr>
          <w:lang w:eastAsia="en-US"/>
        </w:rPr>
        <w:t>?</w:t>
      </w:r>
    </w:p>
    <w:p w14:paraId="2B3FE9B0" w14:textId="77777777" w:rsidR="00B04200" w:rsidRDefault="00B04200" w:rsidP="00B04200">
      <w:pPr>
        <w:pStyle w:val="OutlineNumbered1"/>
        <w:numPr>
          <w:ilvl w:val="0"/>
          <w:numId w:val="49"/>
        </w:numPr>
        <w:tabs>
          <w:tab w:val="clear" w:pos="851"/>
        </w:tabs>
        <w:rPr>
          <w:lang w:eastAsia="en-US"/>
        </w:rPr>
      </w:pPr>
      <w:r>
        <w:rPr>
          <w:lang w:eastAsia="en-US"/>
        </w:rPr>
        <w:t>Is cross-subsidising costs for entities within a sub</w:t>
      </w:r>
      <w:r>
        <w:rPr>
          <w:lang w:eastAsia="en-US"/>
        </w:rPr>
        <w:noBreakHyphen/>
        <w:t xml:space="preserve">sector or sector more appropriate than cross-subsidising costs across all of ASIC’s regulated population? If so, why?  </w:t>
      </w:r>
    </w:p>
    <w:p w14:paraId="4DF4C9B9" w14:textId="77777777" w:rsidR="00B04200" w:rsidRPr="00B8456F" w:rsidRDefault="00B04200" w:rsidP="00B04200">
      <w:pPr>
        <w:numPr>
          <w:ilvl w:val="0"/>
          <w:numId w:val="49"/>
        </w:numPr>
        <w:tabs>
          <w:tab w:val="num" w:pos="851"/>
        </w:tabs>
      </w:pPr>
      <w:r w:rsidRPr="00B8456F">
        <w:t>Are there other opportunities to simplify the design, structure and legislative framework for levies? If so, what opportunities and what benefits would they provide?</w:t>
      </w:r>
    </w:p>
    <w:p w14:paraId="42EB8E4E" w14:textId="77777777" w:rsidR="00B04200" w:rsidRPr="00B8456F" w:rsidRDefault="00B04200" w:rsidP="00B04200">
      <w:pPr>
        <w:numPr>
          <w:ilvl w:val="0"/>
          <w:numId w:val="49"/>
        </w:numPr>
        <w:tabs>
          <w:tab w:val="num" w:pos="851"/>
        </w:tabs>
      </w:pPr>
      <w:r w:rsidRPr="00B8456F">
        <w:t>Does the design, structure and legislative framework of the levy component of the IFM have sufficient flexibility to respond to changes in markets, sectors and products ASIC has oversight of? If not, what aspects require more flexibility and what changes could be made?</w:t>
      </w:r>
    </w:p>
    <w:p w14:paraId="61BF26D8" w14:textId="77777777" w:rsidR="00B04200" w:rsidRDefault="00B04200" w:rsidP="00B04200">
      <w:pPr>
        <w:pStyle w:val="OutlineNumbered1"/>
        <w:numPr>
          <w:ilvl w:val="0"/>
          <w:numId w:val="49"/>
        </w:numPr>
        <w:tabs>
          <w:tab w:val="clear" w:pos="851"/>
        </w:tabs>
      </w:pPr>
      <w:r>
        <w:t>How can costs associated with enforcement activity be recovered most equitably? What changes could be made to the current approach, and what benefits would they provide?</w:t>
      </w:r>
    </w:p>
    <w:p w14:paraId="7D420482" w14:textId="77777777" w:rsidR="00B04200" w:rsidRDefault="00B04200" w:rsidP="00B04200">
      <w:pPr>
        <w:numPr>
          <w:ilvl w:val="0"/>
          <w:numId w:val="49"/>
        </w:numPr>
        <w:tabs>
          <w:tab w:val="num" w:pos="851"/>
        </w:tabs>
      </w:pPr>
      <w:r w:rsidRPr="00B8456F">
        <w:t>Are there opportunities to improve the transparency and reporting of enforcement costs? If so, what changes could be made and what benefits would they provide?</w:t>
      </w:r>
    </w:p>
    <w:p w14:paraId="68B3D979" w14:textId="77777777" w:rsidR="00B04200" w:rsidRDefault="00B04200" w:rsidP="00B04200">
      <w:pPr>
        <w:numPr>
          <w:ilvl w:val="0"/>
          <w:numId w:val="49"/>
        </w:numPr>
        <w:tabs>
          <w:tab w:val="num" w:pos="851"/>
        </w:tabs>
      </w:pPr>
      <w:r w:rsidRPr="00B8456F">
        <w:t>Is the approach of attributing costs of illegal unlicensed conduct to the most ‘relevant’ sub sector the most appropriate recovery method? Alternatively, how should these costs be recovered, and why?</w:t>
      </w:r>
    </w:p>
    <w:p w14:paraId="56AAE6AD" w14:textId="14CD479A" w:rsidR="00B04200" w:rsidRDefault="009D253C" w:rsidP="00B04200">
      <w:pPr>
        <w:numPr>
          <w:ilvl w:val="0"/>
          <w:numId w:val="49"/>
        </w:numPr>
        <w:tabs>
          <w:tab w:val="num" w:pos="851"/>
        </w:tabs>
      </w:pPr>
      <w:r>
        <w:t>Are there alternative ways to</w:t>
      </w:r>
      <w:r w:rsidR="00B04200" w:rsidRPr="00B8456F">
        <w:t xml:space="preserve"> recover the costs of ASIC’s activity relating to emerging sectors and legal unlicensed conduct from current industry sub</w:t>
      </w:r>
      <w:r w:rsidR="00B04200" w:rsidRPr="00B8456F">
        <w:noBreakHyphen/>
        <w:t>sectors</w:t>
      </w:r>
      <w:r>
        <w:t>, a</w:t>
      </w:r>
      <w:r w:rsidR="00B04200" w:rsidRPr="00B8456F">
        <w:t>nd why?</w:t>
      </w:r>
    </w:p>
    <w:p w14:paraId="75604E04" w14:textId="77777777" w:rsidR="00B04200" w:rsidRDefault="00B04200" w:rsidP="00B04200">
      <w:pPr>
        <w:numPr>
          <w:ilvl w:val="0"/>
          <w:numId w:val="49"/>
        </w:numPr>
        <w:tabs>
          <w:tab w:val="num" w:pos="851"/>
        </w:tabs>
      </w:pPr>
      <w:r w:rsidRPr="00B8456F">
        <w:t>How can costs associated with capital expenditure be recovered most equitably and transparently? What changes could be made to the current approach, and what benefits would they provide?</w:t>
      </w:r>
    </w:p>
    <w:p w14:paraId="0A9DE11F" w14:textId="77777777" w:rsidR="00B04200" w:rsidRPr="00B8456F" w:rsidRDefault="00B04200" w:rsidP="00B04200">
      <w:pPr>
        <w:numPr>
          <w:ilvl w:val="0"/>
          <w:numId w:val="49"/>
        </w:numPr>
      </w:pPr>
      <w:r w:rsidRPr="00B8456F">
        <w:t>How can costs associated with education and policy advice be recovered most equitably and transparently? What changes could be made to the current approach, and what benefits would they provide?</w:t>
      </w:r>
    </w:p>
    <w:p w14:paraId="65D22ADE" w14:textId="77777777" w:rsidR="00B04200" w:rsidRDefault="00B04200" w:rsidP="00B04200">
      <w:pPr>
        <w:numPr>
          <w:ilvl w:val="0"/>
          <w:numId w:val="49"/>
        </w:numPr>
      </w:pPr>
      <w:r w:rsidRPr="00B8456F">
        <w:t>What changes could be made to the reporting of indirect costs to improve stakeholder understanding of these costs?</w:t>
      </w:r>
    </w:p>
    <w:p w14:paraId="4AC360DD" w14:textId="0F8588E9" w:rsidR="00B04200" w:rsidRPr="00B8456F" w:rsidRDefault="00B04200" w:rsidP="00B04200">
      <w:pPr>
        <w:numPr>
          <w:ilvl w:val="0"/>
          <w:numId w:val="49"/>
        </w:numPr>
      </w:pPr>
      <w:r w:rsidRPr="00B8456F">
        <w:t>Do regulated entities find estimated levies useful</w:t>
      </w:r>
      <w:r w:rsidR="00AE5CB5">
        <w:t>,</w:t>
      </w:r>
      <w:r w:rsidRPr="00B8456F">
        <w:t xml:space="preserve"> and how is this information used by entities? </w:t>
      </w:r>
    </w:p>
    <w:p w14:paraId="4467CC6F" w14:textId="77777777" w:rsidR="00B04200" w:rsidRPr="00B8456F" w:rsidRDefault="00B04200" w:rsidP="00B04200">
      <w:pPr>
        <w:numPr>
          <w:ilvl w:val="1"/>
          <w:numId w:val="49"/>
        </w:numPr>
        <w:tabs>
          <w:tab w:val="num" w:pos="851"/>
          <w:tab w:val="num" w:pos="1440"/>
        </w:tabs>
      </w:pPr>
      <w:r w:rsidRPr="00B8456F">
        <w:t>Noting the trade-off between timing and accuracy, when is it most beneficial for entities to receive estimated levy amounts?</w:t>
      </w:r>
    </w:p>
    <w:p w14:paraId="5D1AA978" w14:textId="77777777" w:rsidR="00B04200" w:rsidRDefault="00B04200" w:rsidP="00B04200">
      <w:pPr>
        <w:numPr>
          <w:ilvl w:val="1"/>
          <w:numId w:val="49"/>
        </w:numPr>
        <w:tabs>
          <w:tab w:val="num" w:pos="851"/>
          <w:tab w:val="num" w:pos="1440"/>
        </w:tabs>
      </w:pPr>
      <w:r w:rsidRPr="00B8456F">
        <w:t>Would alternative information, such as a range for estimated levies, be more useful?</w:t>
      </w:r>
    </w:p>
    <w:p w14:paraId="6CEC9497" w14:textId="77777777" w:rsidR="00B04200" w:rsidRPr="00B8456F" w:rsidRDefault="00B04200" w:rsidP="00B04200">
      <w:pPr>
        <w:numPr>
          <w:ilvl w:val="0"/>
          <w:numId w:val="49"/>
        </w:numPr>
      </w:pPr>
      <w:r w:rsidRPr="00B8456F">
        <w:t>Is it more important to have less volatile/more stable levy amounts year-on-year, or more granular and equitable apportionment of costs each year?</w:t>
      </w:r>
    </w:p>
    <w:p w14:paraId="7498776D" w14:textId="421D25B0" w:rsidR="00C53363" w:rsidRPr="00C53363" w:rsidRDefault="00B04200" w:rsidP="00C53363">
      <w:pPr>
        <w:numPr>
          <w:ilvl w:val="0"/>
          <w:numId w:val="49"/>
        </w:numPr>
      </w:pPr>
      <w:r w:rsidRPr="00B8456F">
        <w:t>Are there other ways to manage or reduce volatility in levy amounts year-on-year, including other approaches to spreading costs? If so, why, and what benefits would it provide?</w:t>
      </w:r>
    </w:p>
    <w:p w14:paraId="7FD5D06B" w14:textId="17A7EF88" w:rsidR="000048BD" w:rsidRDefault="001137C1" w:rsidP="00092BA4">
      <w:pPr>
        <w:pStyle w:val="Heading2"/>
      </w:pPr>
      <w:bookmarkStart w:id="105" w:name="_Toc114214456"/>
      <w:r>
        <w:t>Fees-for-service</w:t>
      </w:r>
      <w:bookmarkEnd w:id="105"/>
    </w:p>
    <w:p w14:paraId="6CF5752C" w14:textId="0247CED0" w:rsidR="004966C8" w:rsidRPr="00DD5F93" w:rsidRDefault="009D253C" w:rsidP="004966C8">
      <w:pPr>
        <w:pStyle w:val="OutlineNumbered1"/>
        <w:numPr>
          <w:ilvl w:val="0"/>
          <w:numId w:val="49"/>
        </w:numPr>
        <w:tabs>
          <w:tab w:val="clear" w:pos="851"/>
        </w:tabs>
      </w:pPr>
      <w:r>
        <w:t>In relation to the de</w:t>
      </w:r>
      <w:r w:rsidR="004966C8">
        <w:t>sign, structure and legislative framework for fees-for-service</w:t>
      </w:r>
      <w:r>
        <w:t xml:space="preserve">: </w:t>
      </w:r>
    </w:p>
    <w:p w14:paraId="1F9D046F" w14:textId="77777777" w:rsidR="004966C8" w:rsidRPr="004966C8" w:rsidRDefault="004966C8" w:rsidP="004966C8">
      <w:pPr>
        <w:numPr>
          <w:ilvl w:val="1"/>
          <w:numId w:val="49"/>
        </w:numPr>
        <w:tabs>
          <w:tab w:val="num" w:pos="851"/>
          <w:tab w:val="num" w:pos="1440"/>
        </w:tabs>
      </w:pPr>
      <w:r w:rsidRPr="004966C8">
        <w:t>Are any changes required to ensure it remains fit for purpose in the longer-term and/or can respond to changes in industry?</w:t>
      </w:r>
    </w:p>
    <w:p w14:paraId="65BFDC15" w14:textId="470452F2" w:rsidR="004966C8" w:rsidRDefault="004966C8" w:rsidP="004966C8">
      <w:pPr>
        <w:numPr>
          <w:ilvl w:val="1"/>
          <w:numId w:val="49"/>
        </w:numPr>
        <w:tabs>
          <w:tab w:val="num" w:pos="851"/>
          <w:tab w:val="num" w:pos="1440"/>
        </w:tabs>
        <w:rPr>
          <w:rFonts w:cs="Calibri Light"/>
        </w:rPr>
      </w:pPr>
      <w:r w:rsidRPr="004966C8">
        <w:t xml:space="preserve">Are there opportunities to simplify the design, structure, and legislative framework for </w:t>
      </w:r>
      <w:r w:rsidRPr="35666411">
        <w:rPr>
          <w:rFonts w:cs="Calibri Light"/>
        </w:rPr>
        <w:t>fees-for-service?</w:t>
      </w:r>
    </w:p>
    <w:p w14:paraId="0C6AEF98" w14:textId="77777777" w:rsidR="004966C8" w:rsidRDefault="004966C8" w:rsidP="004966C8">
      <w:pPr>
        <w:numPr>
          <w:ilvl w:val="0"/>
          <w:numId w:val="49"/>
        </w:numPr>
        <w:rPr>
          <w:rFonts w:cs="Calibri Light"/>
        </w:rPr>
      </w:pPr>
      <w:r w:rsidRPr="006231C1">
        <w:rPr>
          <w:rFonts w:cs="Calibri Light"/>
        </w:rPr>
        <w:t xml:space="preserve">Are there any costs currently recovered through fees-for-service that would be more appropriate to recover through industry levies? If so, why?  </w:t>
      </w:r>
    </w:p>
    <w:p w14:paraId="0586D01A" w14:textId="77777777" w:rsidR="004966C8" w:rsidRDefault="004966C8" w:rsidP="004966C8">
      <w:pPr>
        <w:numPr>
          <w:ilvl w:val="0"/>
          <w:numId w:val="49"/>
        </w:numPr>
        <w:rPr>
          <w:rFonts w:cs="Calibri Light"/>
        </w:rPr>
      </w:pPr>
      <w:r w:rsidRPr="006231C1">
        <w:rPr>
          <w:rFonts w:cs="Calibri Light"/>
        </w:rPr>
        <w:t>If fee amounts are to be changed, should this be amended via a one-off increase or staged to spread the impact over multiple years?</w:t>
      </w:r>
    </w:p>
    <w:p w14:paraId="72CC72F3" w14:textId="0BEEEB6E" w:rsidR="004966C8" w:rsidRDefault="004966C8" w:rsidP="004966C8">
      <w:pPr>
        <w:pStyle w:val="OutlineNumbered1"/>
        <w:numPr>
          <w:ilvl w:val="0"/>
          <w:numId w:val="49"/>
        </w:numPr>
      </w:pPr>
      <w:r>
        <w:t xml:space="preserve">Is it appropriate for ASIC to have the power to determine </w:t>
      </w:r>
      <w:r w:rsidR="00740247">
        <w:t xml:space="preserve">which </w:t>
      </w:r>
      <w:r>
        <w:t>of its regulatory activities/services it can charge a fee for?</w:t>
      </w:r>
    </w:p>
    <w:p w14:paraId="2862CF76" w14:textId="67CA8272" w:rsidR="004966C8" w:rsidRDefault="004966C8" w:rsidP="004966C8">
      <w:pPr>
        <w:pStyle w:val="OutlineNumbered1"/>
        <w:numPr>
          <w:ilvl w:val="0"/>
          <w:numId w:val="49"/>
        </w:numPr>
      </w:pPr>
      <w:r>
        <w:t xml:space="preserve">Is it appropriate for ASIC to have the power to set fee amounts, or should this power remain with </w:t>
      </w:r>
      <w:r w:rsidR="00934FC3">
        <w:t>the G</w:t>
      </w:r>
      <w:r>
        <w:t>overnment?</w:t>
      </w:r>
    </w:p>
    <w:p w14:paraId="14A379C7" w14:textId="77777777" w:rsidR="004966C8" w:rsidRDefault="004966C8" w:rsidP="004966C8">
      <w:pPr>
        <w:numPr>
          <w:ilvl w:val="1"/>
          <w:numId w:val="49"/>
        </w:numPr>
        <w:tabs>
          <w:tab w:val="num" w:pos="851"/>
          <w:tab w:val="num" w:pos="1440"/>
        </w:tabs>
        <w:rPr>
          <w:lang w:eastAsia="en-US"/>
        </w:rPr>
      </w:pPr>
      <w:r>
        <w:t>If ASIC were provided the power to set fee amounts, should there be any limitations on what fees it can adjust, or by how much? For example, setting caps on specific fees in primary law or</w:t>
      </w:r>
      <w:r>
        <w:rPr>
          <w:lang w:eastAsia="en-US"/>
        </w:rPr>
        <w:t xml:space="preserve"> regulations, or setting principles to guide ASIC’s setting of fee amounts? </w:t>
      </w:r>
    </w:p>
    <w:p w14:paraId="5E837C91" w14:textId="77777777" w:rsidR="004966C8" w:rsidRDefault="004966C8" w:rsidP="004966C8">
      <w:pPr>
        <w:numPr>
          <w:ilvl w:val="0"/>
          <w:numId w:val="49"/>
        </w:numPr>
      </w:pPr>
      <w:r w:rsidRPr="006231C1">
        <w:t>What transparency and accountability mechanisms would be appropriate if ASIC were setting fee amounts?</w:t>
      </w:r>
    </w:p>
    <w:p w14:paraId="754EA622" w14:textId="77777777" w:rsidR="004966C8" w:rsidRDefault="004966C8" w:rsidP="004966C8">
      <w:pPr>
        <w:pStyle w:val="OutlineNumbered1"/>
        <w:numPr>
          <w:ilvl w:val="0"/>
          <w:numId w:val="49"/>
        </w:numPr>
        <w:rPr>
          <w:lang w:eastAsia="en-US"/>
        </w:rPr>
      </w:pPr>
      <w:r>
        <w:rPr>
          <w:lang w:eastAsia="en-US"/>
        </w:rPr>
        <w:t xml:space="preserve">Do fees for licence and registration cancellations provide a disincentive to cancel licenses and registrations? If so, would a lower fee or no fee remove this disincentive? </w:t>
      </w:r>
    </w:p>
    <w:p w14:paraId="65484FEC" w14:textId="77777777" w:rsidR="004966C8" w:rsidRDefault="004966C8" w:rsidP="004966C8">
      <w:pPr>
        <w:numPr>
          <w:ilvl w:val="0"/>
          <w:numId w:val="49"/>
        </w:numPr>
      </w:pPr>
      <w:r w:rsidRPr="006231C1">
        <w:rPr>
          <w:lang w:eastAsia="en-US"/>
        </w:rPr>
        <w:t>Would it be more appropriate for the costs associated with licence and registration cancellations to be recovered through industry levies (noting that there are wider benefits to ensuring entities and individuals that are no longer undertaking a particular licensed activity do not continue to hold a licence for that activity)?</w:t>
      </w:r>
    </w:p>
    <w:p w14:paraId="1C833466" w14:textId="3D7B0D19" w:rsidR="00C53363" w:rsidRDefault="004966C8" w:rsidP="00C53363">
      <w:pPr>
        <w:numPr>
          <w:ilvl w:val="0"/>
          <w:numId w:val="49"/>
        </w:numPr>
        <w:rPr>
          <w:lang w:eastAsia="en-US"/>
        </w:rPr>
      </w:pPr>
      <w:r w:rsidRPr="006231C1">
        <w:rPr>
          <w:lang w:eastAsia="en-US"/>
        </w:rPr>
        <w:t xml:space="preserve">Is </w:t>
      </w:r>
      <w:r w:rsidRPr="006231C1" w:rsidDel="00410836">
        <w:rPr>
          <w:lang w:eastAsia="en-US"/>
        </w:rPr>
        <w:t xml:space="preserve">it </w:t>
      </w:r>
      <w:r w:rsidRPr="006231C1">
        <w:rPr>
          <w:lang w:eastAsia="en-US"/>
        </w:rPr>
        <w:t xml:space="preserve">appropriate for ASIC’s work on individual relief applications to be recovered via fees, with the costs associated with ASIC’s work on </w:t>
      </w:r>
      <w:r w:rsidR="00991EAD">
        <w:rPr>
          <w:lang w:eastAsia="en-US"/>
        </w:rPr>
        <w:t>relief provided to a class of entities</w:t>
      </w:r>
      <w:r w:rsidRPr="006231C1">
        <w:rPr>
          <w:lang w:eastAsia="en-US"/>
        </w:rPr>
        <w:t xml:space="preserve"> to be recovered through industry levies?</w:t>
      </w:r>
    </w:p>
    <w:p w14:paraId="551F8141" w14:textId="663F8539" w:rsidR="001137C1" w:rsidRDefault="001137C1" w:rsidP="001137C1">
      <w:pPr>
        <w:pStyle w:val="Heading2"/>
      </w:pPr>
      <w:bookmarkStart w:id="106" w:name="_Toc114214457"/>
      <w:r>
        <w:t>Reporting, transparency and consul</w:t>
      </w:r>
      <w:r w:rsidR="004966C8">
        <w:t>t</w:t>
      </w:r>
      <w:r>
        <w:t>ation</w:t>
      </w:r>
      <w:bookmarkEnd w:id="106"/>
    </w:p>
    <w:p w14:paraId="631A0339" w14:textId="77777777" w:rsidR="00D93968" w:rsidRDefault="00D93968" w:rsidP="00D93968">
      <w:pPr>
        <w:pStyle w:val="OutlineNumbered1"/>
        <w:numPr>
          <w:ilvl w:val="0"/>
          <w:numId w:val="49"/>
        </w:numPr>
        <w:tabs>
          <w:tab w:val="clear" w:pos="851"/>
        </w:tabs>
        <w:rPr>
          <w:lang w:eastAsia="en-US"/>
        </w:rPr>
      </w:pPr>
      <w:r w:rsidRPr="003032BE">
        <w:rPr>
          <w:lang w:eastAsia="en-US"/>
        </w:rPr>
        <w:t>How do regulated entities and other stakeholders engage with ASIC’s transparency and consultation mechanisms relating to the IFM? What aspects are most useful?</w:t>
      </w:r>
    </w:p>
    <w:p w14:paraId="77FA7A58" w14:textId="77777777" w:rsidR="00D93968" w:rsidRPr="003032BE" w:rsidRDefault="00D93968" w:rsidP="00D93968">
      <w:pPr>
        <w:numPr>
          <w:ilvl w:val="1"/>
          <w:numId w:val="49"/>
        </w:numPr>
        <w:tabs>
          <w:tab w:val="num" w:pos="851"/>
          <w:tab w:val="num" w:pos="1440"/>
        </w:tabs>
      </w:pPr>
      <w:r>
        <w:t>What do stakeholders seek from mechanisms to engage with the IFM? Is it more important for these mechanisms to provide transparency, or to allow for stakeholder consultation and feedback?</w:t>
      </w:r>
      <w:r w:rsidRPr="003032BE">
        <w:t xml:space="preserve"> </w:t>
      </w:r>
    </w:p>
    <w:p w14:paraId="5F347D99" w14:textId="77777777" w:rsidR="00D93968" w:rsidRDefault="00D93968" w:rsidP="00D93968">
      <w:pPr>
        <w:pStyle w:val="OutlineNumbered1"/>
        <w:numPr>
          <w:ilvl w:val="0"/>
          <w:numId w:val="49"/>
        </w:numPr>
        <w:tabs>
          <w:tab w:val="clear" w:pos="851"/>
        </w:tabs>
        <w:rPr>
          <w:lang w:eastAsia="en-US"/>
        </w:rPr>
      </w:pPr>
      <w:r w:rsidRPr="003032BE">
        <w:rPr>
          <w:lang w:eastAsia="en-US"/>
        </w:rPr>
        <w:t xml:space="preserve">Are the existing transparency </w:t>
      </w:r>
      <w:r>
        <w:rPr>
          <w:lang w:eastAsia="en-US"/>
        </w:rPr>
        <w:t xml:space="preserve">and consultation </w:t>
      </w:r>
      <w:r w:rsidRPr="003032BE">
        <w:rPr>
          <w:lang w:eastAsia="en-US"/>
        </w:rPr>
        <w:t>mechanisms in relation to the IFM appropriate?</w:t>
      </w:r>
    </w:p>
    <w:p w14:paraId="7BC34BB1" w14:textId="77777777" w:rsidR="00D93968" w:rsidRPr="003032BE" w:rsidRDefault="00D93968" w:rsidP="00D93968">
      <w:pPr>
        <w:numPr>
          <w:ilvl w:val="1"/>
          <w:numId w:val="49"/>
        </w:numPr>
        <w:tabs>
          <w:tab w:val="num" w:pos="851"/>
          <w:tab w:val="num" w:pos="1440"/>
        </w:tabs>
      </w:pPr>
      <w:r w:rsidRPr="003032BE">
        <w:t xml:space="preserve">Would changes to existing mechanisms </w:t>
      </w:r>
      <w:r w:rsidRPr="003032BE" w:rsidDel="0035185C">
        <w:t>or alternative</w:t>
      </w:r>
      <w:r>
        <w:t xml:space="preserve"> mechanisms</w:t>
      </w:r>
      <w:r w:rsidRPr="003032BE">
        <w:t xml:space="preserve"> be beneficial? If so, what changes could be adopted and what benefits would they provide?</w:t>
      </w:r>
    </w:p>
    <w:p w14:paraId="0E3BC1D6" w14:textId="77777777" w:rsidR="00D93968" w:rsidRDefault="00D93968" w:rsidP="00D93968">
      <w:pPr>
        <w:pStyle w:val="OutlineNumbered1"/>
        <w:numPr>
          <w:ilvl w:val="0"/>
          <w:numId w:val="49"/>
        </w:numPr>
        <w:tabs>
          <w:tab w:val="clear" w:pos="851"/>
        </w:tabs>
        <w:rPr>
          <w:lang w:eastAsia="en-US"/>
        </w:rPr>
      </w:pPr>
      <w:r>
        <w:rPr>
          <w:lang w:eastAsia="en-US"/>
        </w:rPr>
        <w:t>How is the CRIS used by regulated entities and other stakeholders, and do stakeholders find the information in the CRIS useful?</w:t>
      </w:r>
    </w:p>
    <w:p w14:paraId="2587DE06" w14:textId="77777777" w:rsidR="00D93968" w:rsidRDefault="00D93968" w:rsidP="00D93968">
      <w:pPr>
        <w:numPr>
          <w:ilvl w:val="1"/>
          <w:numId w:val="49"/>
        </w:numPr>
        <w:tabs>
          <w:tab w:val="num" w:pos="851"/>
          <w:tab w:val="num" w:pos="1440"/>
        </w:tabs>
      </w:pPr>
      <w:r>
        <w:t>Could improvements be made to the CRIS, including the form/format and nature of information provided? If so, what improvements and what benefits would they provide?</w:t>
      </w:r>
    </w:p>
    <w:p w14:paraId="685D5741" w14:textId="77777777" w:rsidR="00D93968" w:rsidRDefault="00D93968" w:rsidP="00D93968">
      <w:pPr>
        <w:numPr>
          <w:ilvl w:val="1"/>
          <w:numId w:val="49"/>
        </w:numPr>
        <w:tabs>
          <w:tab w:val="num" w:pos="851"/>
          <w:tab w:val="num" w:pos="1440"/>
        </w:tabs>
      </w:pPr>
      <w:r>
        <w:t>At what time is it most beneficial for the CRIS to be published?</w:t>
      </w:r>
    </w:p>
    <w:p w14:paraId="5FE958F7" w14:textId="77777777" w:rsidR="00D93968" w:rsidRDefault="00D93968" w:rsidP="00D93968">
      <w:pPr>
        <w:pStyle w:val="OutlineNumbered1"/>
        <w:numPr>
          <w:ilvl w:val="0"/>
          <w:numId w:val="49"/>
        </w:numPr>
        <w:tabs>
          <w:tab w:val="clear" w:pos="851"/>
        </w:tabs>
        <w:rPr>
          <w:lang w:eastAsia="en-US"/>
        </w:rPr>
      </w:pPr>
      <w:r w:rsidRPr="003032BE">
        <w:rPr>
          <w:lang w:eastAsia="en-US"/>
        </w:rPr>
        <w:t xml:space="preserve">Noting that changes to the IFM are for the most part decisions for the Government, is annual consultation by ASIC </w:t>
      </w:r>
      <w:r>
        <w:rPr>
          <w:lang w:eastAsia="en-US"/>
        </w:rPr>
        <w:t>via</w:t>
      </w:r>
      <w:r w:rsidRPr="003032BE">
        <w:rPr>
          <w:lang w:eastAsia="en-US"/>
        </w:rPr>
        <w:t xml:space="preserve"> the CRIS useful?</w:t>
      </w:r>
      <w:r>
        <w:rPr>
          <w:lang w:eastAsia="en-US"/>
        </w:rPr>
        <w:t xml:space="preserve"> Would less frequent but more substantive consultation be preferable?</w:t>
      </w:r>
    </w:p>
    <w:p w14:paraId="1606DB58" w14:textId="34B241AA" w:rsidR="00D93968" w:rsidRDefault="00D93968" w:rsidP="00D93968">
      <w:pPr>
        <w:pStyle w:val="OutlineNumbered1"/>
        <w:numPr>
          <w:ilvl w:val="0"/>
          <w:numId w:val="49"/>
        </w:numPr>
        <w:tabs>
          <w:tab w:val="clear" w:pos="851"/>
        </w:tabs>
        <w:rPr>
          <w:lang w:eastAsia="en-US"/>
        </w:rPr>
      </w:pPr>
      <w:r w:rsidRPr="00F33B73">
        <w:rPr>
          <w:lang w:eastAsia="en-US"/>
        </w:rPr>
        <w:t xml:space="preserve">Are changes required to the criteria </w:t>
      </w:r>
      <w:r>
        <w:rPr>
          <w:lang w:eastAsia="en-US"/>
        </w:rPr>
        <w:t xml:space="preserve">determining </w:t>
      </w:r>
      <w:r w:rsidRPr="00F33B73">
        <w:rPr>
          <w:lang w:eastAsia="en-US"/>
        </w:rPr>
        <w:t>material variance</w:t>
      </w:r>
      <w:r>
        <w:rPr>
          <w:lang w:eastAsia="en-US"/>
        </w:rPr>
        <w:t>? I</w:t>
      </w:r>
      <w:r w:rsidRPr="00F33B73">
        <w:rPr>
          <w:lang w:eastAsia="en-US"/>
        </w:rPr>
        <w:t>f so, what should be changed</w:t>
      </w:r>
      <w:r>
        <w:rPr>
          <w:lang w:eastAsia="en-US"/>
        </w:rPr>
        <w:t xml:space="preserve"> – the percentage and/or dollar value amount, or be based on the number of entities impacted</w:t>
      </w:r>
      <w:r w:rsidRPr="00F33B73">
        <w:rPr>
          <w:lang w:eastAsia="en-US"/>
        </w:rPr>
        <w:t xml:space="preserve">? </w:t>
      </w:r>
    </w:p>
    <w:p w14:paraId="201969C1" w14:textId="77777777" w:rsidR="00D93968" w:rsidRDefault="00D93968" w:rsidP="00D93968">
      <w:pPr>
        <w:numPr>
          <w:ilvl w:val="1"/>
          <w:numId w:val="49"/>
        </w:numPr>
        <w:tabs>
          <w:tab w:val="num" w:pos="851"/>
          <w:tab w:val="num" w:pos="1440"/>
        </w:tabs>
      </w:pPr>
      <w:r>
        <w:t>When should information regarding material variations be published?</w:t>
      </w:r>
    </w:p>
    <w:p w14:paraId="75677A78" w14:textId="7F736704" w:rsidR="004966C8" w:rsidRPr="001D2B01" w:rsidRDefault="001D2B01" w:rsidP="001D2B01">
      <w:pPr>
        <w:numPr>
          <w:ilvl w:val="0"/>
          <w:numId w:val="49"/>
        </w:numPr>
        <w:tabs>
          <w:tab w:val="num" w:pos="1440"/>
        </w:tabs>
      </w:pPr>
      <w:r w:rsidRPr="005F2BED">
        <w:t>What other information would be useful to regulated entities or other stakeholders to understand how ASIC sets its regulatory priorities and/or to understand the relationship between ASIC’s costs and the amounts recovered from industry? What benefits would additional information provide</w:t>
      </w:r>
      <w:r w:rsidR="008D3979">
        <w:t>?</w:t>
      </w:r>
    </w:p>
    <w:p w14:paraId="54313800" w14:textId="6C30E944" w:rsidR="00501EC2" w:rsidRDefault="00501EC2" w:rsidP="00501EC2">
      <w:pPr>
        <w:pStyle w:val="Heading1"/>
        <w:jc w:val="right"/>
      </w:pPr>
      <w:bookmarkStart w:id="107" w:name="_Toc114214458"/>
      <w:r>
        <w:t xml:space="preserve">Appendix </w:t>
      </w:r>
      <w:r w:rsidR="00F810AF">
        <w:t>F</w:t>
      </w:r>
      <w:r>
        <w:t>: ASIC IFM Data</w:t>
      </w:r>
      <w:bookmarkEnd w:id="107"/>
    </w:p>
    <w:p w14:paraId="1DCA9D6A" w14:textId="283534D2" w:rsidR="00501EC2" w:rsidRDefault="00501EC2" w:rsidP="00501EC2">
      <w:r>
        <w:t>Historical cost and levy data has been provided for stakeholders to assist with answering questions and considering options proposed in this discussion paper. The data has been consolidated predominantly from publicly available source</w:t>
      </w:r>
      <w:r w:rsidR="00CE1DBB">
        <w:t>s</w:t>
      </w:r>
      <w:r>
        <w:t xml:space="preserve"> with some additional data to assist stakeholders. </w:t>
      </w:r>
    </w:p>
    <w:p w14:paraId="37DFF107" w14:textId="77777777" w:rsidR="00501EC2" w:rsidRDefault="00501EC2" w:rsidP="00501EC2"/>
    <w:p w14:paraId="75401C2C" w14:textId="77777777" w:rsidR="00501EC2" w:rsidRPr="00501EC2" w:rsidRDefault="00501EC2" w:rsidP="00501EC2"/>
    <w:p w14:paraId="284C21D3" w14:textId="77777777" w:rsidR="006132BD" w:rsidRDefault="006132BD" w:rsidP="00ED3853">
      <w:pPr>
        <w:pStyle w:val="Bullet"/>
        <w:numPr>
          <w:ilvl w:val="0"/>
          <w:numId w:val="0"/>
        </w:numPr>
        <w:rPr>
          <w:b/>
          <w:bCs/>
          <w:i/>
        </w:rPr>
      </w:pPr>
    </w:p>
    <w:p w14:paraId="5099F496" w14:textId="77777777" w:rsidR="006132BD" w:rsidRDefault="006132BD" w:rsidP="00ED3853">
      <w:pPr>
        <w:pStyle w:val="Bullet"/>
        <w:numPr>
          <w:ilvl w:val="0"/>
          <w:numId w:val="0"/>
        </w:numPr>
        <w:rPr>
          <w:b/>
          <w:bCs/>
          <w:i/>
        </w:rPr>
      </w:pPr>
    </w:p>
    <w:p w14:paraId="1DC2A137" w14:textId="77777777" w:rsidR="006132BD" w:rsidRDefault="006132BD" w:rsidP="00ED3853">
      <w:pPr>
        <w:pStyle w:val="Bullet"/>
        <w:numPr>
          <w:ilvl w:val="0"/>
          <w:numId w:val="0"/>
        </w:numPr>
        <w:rPr>
          <w:b/>
          <w:bCs/>
          <w:i/>
        </w:rPr>
      </w:pPr>
    </w:p>
    <w:p w14:paraId="09353F3D" w14:textId="77777777" w:rsidR="006132BD" w:rsidRDefault="006132BD" w:rsidP="00ED3853">
      <w:pPr>
        <w:pStyle w:val="Bullet"/>
        <w:numPr>
          <w:ilvl w:val="0"/>
          <w:numId w:val="0"/>
        </w:numPr>
        <w:rPr>
          <w:b/>
          <w:bCs/>
          <w:i/>
        </w:rPr>
      </w:pPr>
    </w:p>
    <w:p w14:paraId="6D6A0E81" w14:textId="77777777" w:rsidR="006132BD" w:rsidRDefault="006132BD" w:rsidP="00ED3853">
      <w:pPr>
        <w:pStyle w:val="Bullet"/>
        <w:numPr>
          <w:ilvl w:val="0"/>
          <w:numId w:val="0"/>
        </w:numPr>
        <w:rPr>
          <w:b/>
          <w:bCs/>
          <w:i/>
        </w:rPr>
      </w:pPr>
    </w:p>
    <w:p w14:paraId="46305376" w14:textId="77777777" w:rsidR="006132BD" w:rsidRPr="0051299E" w:rsidRDefault="006132BD" w:rsidP="00ED3853">
      <w:pPr>
        <w:pStyle w:val="Bullet"/>
        <w:numPr>
          <w:ilvl w:val="0"/>
          <w:numId w:val="0"/>
        </w:numPr>
        <w:rPr>
          <w:b/>
          <w:bCs/>
          <w:i/>
        </w:rPr>
      </w:pPr>
    </w:p>
    <w:p w14:paraId="138F12E6" w14:textId="77777777" w:rsidR="00082FC2" w:rsidRDefault="00082FC2" w:rsidP="008361B4"/>
    <w:sectPr w:rsidR="00082FC2" w:rsidSect="00564F62">
      <w:footerReference w:type="default" r:id="rId30"/>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75F5" w14:textId="77777777" w:rsidR="005D0992" w:rsidRDefault="005D0992">
      <w:pPr>
        <w:spacing w:before="0" w:after="0"/>
      </w:pPr>
      <w:r>
        <w:separator/>
      </w:r>
    </w:p>
  </w:endnote>
  <w:endnote w:type="continuationSeparator" w:id="0">
    <w:p w14:paraId="2DAA4856" w14:textId="77777777" w:rsidR="005D0992" w:rsidRDefault="005D0992">
      <w:pPr>
        <w:spacing w:before="0" w:after="0"/>
      </w:pPr>
      <w:r>
        <w:continuationSeparator/>
      </w:r>
    </w:p>
  </w:endnote>
  <w:endnote w:type="continuationNotice" w:id="1">
    <w:p w14:paraId="0E8EB119" w14:textId="77777777" w:rsidR="005D0992" w:rsidRDefault="005D09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8D4E" w14:textId="405203D0" w:rsidR="0008444F" w:rsidRDefault="00084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5026" w14:textId="25691C2E" w:rsidR="0008444F" w:rsidRDefault="00084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9301" w14:textId="4C6ACD7A" w:rsidR="0008444F" w:rsidRDefault="00084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35B9"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ECB1" w14:textId="58819A80" w:rsidR="009927E5" w:rsidRPr="008043EA" w:rsidRDefault="009927E5" w:rsidP="00BB0081">
    <w:pPr>
      <w:jc w:val="right"/>
    </w:pPr>
    <w:r w:rsidRPr="00742366">
      <w:rPr>
        <w:noProof/>
      </w:rPr>
      <w:drawing>
        <wp:anchor distT="0" distB="0" distL="114300" distR="114300" simplePos="0" relativeHeight="251656704" behindDoc="1" locked="1" layoutInCell="1" allowOverlap="1" wp14:anchorId="33EEA377" wp14:editId="6501DFC6">
          <wp:simplePos x="0" y="0"/>
          <wp:positionH relativeFrom="margin">
            <wp:posOffset>5459095</wp:posOffset>
          </wp:positionH>
          <wp:positionV relativeFrom="page">
            <wp:posOffset>3280410</wp:posOffset>
          </wp:positionV>
          <wp:extent cx="7574280" cy="1043940"/>
          <wp:effectExtent l="762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0" wp14:anchorId="13F29D14" wp14:editId="5D80BC3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4"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763503">
      <w:fldChar w:fldCharType="begin"/>
    </w:r>
    <w:r w:rsidR="00763503">
      <w:instrText>STYLEREF  "Heading 1"  \* MERGEFORMAT</w:instrText>
    </w:r>
    <w:r w:rsidR="00763503">
      <w:fldChar w:fldCharType="separate"/>
    </w:r>
    <w:r w:rsidR="00763503">
      <w:rPr>
        <w:noProof/>
      </w:rPr>
      <w:t>Contents</w:t>
    </w:r>
    <w:r w:rsidR="00763503">
      <w:rPr>
        <w:noProof/>
      </w:rPr>
      <w:fldChar w:fldCharType="end"/>
    </w:r>
    <w:r>
      <w:t xml:space="preserve"> | </w:t>
    </w:r>
    <w:r>
      <w:fldChar w:fldCharType="begin"/>
    </w:r>
    <w:r>
      <w:instrText xml:space="preserve"> PAGE   \* MERGEFORMAT </w:instrText>
    </w:r>
    <w:r>
      <w:fldChar w:fldCharType="separate"/>
    </w:r>
    <w:r>
      <w:t>1</w:t>
    </w:r>
    <w:r>
      <w:fldChar w:fldCharType="end"/>
    </w:r>
  </w:p>
  <w:p w14:paraId="3E302641" w14:textId="77777777" w:rsidR="009927E5" w:rsidRPr="008043EA" w:rsidRDefault="009927E5" w:rsidP="009927E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98AE" w14:textId="41CE3986" w:rsidR="00E81A40" w:rsidRPr="00E13E90" w:rsidRDefault="00E81A40" w:rsidP="00E13E90">
    <w:pPr>
      <w:pStyle w:val="Footer"/>
    </w:pPr>
    <w:r>
      <w:tab/>
    </w:r>
    <w:r w:rsidR="00763503">
      <w:fldChar w:fldCharType="begin"/>
    </w:r>
    <w:r w:rsidR="00763503">
      <w:instrText>STYLEREF  "Heading 1"  \* MERGEFORMAT</w:instrText>
    </w:r>
    <w:r w:rsidR="00763503">
      <w:fldChar w:fldCharType="separate"/>
    </w:r>
    <w:r w:rsidR="00763503">
      <w:t>Appendix B: Summary of stakeholder feedback (March 2022 consultations)</w:t>
    </w:r>
    <w:r w:rsidR="00763503">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4045" w14:textId="58F2CFB9" w:rsidR="00E81A40" w:rsidRPr="00E13E90" w:rsidRDefault="00E81A40" w:rsidP="00E13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41E0" w14:textId="77777777" w:rsidR="005D0992" w:rsidRDefault="005D0992">
      <w:pPr>
        <w:spacing w:before="0" w:after="0"/>
      </w:pPr>
      <w:r>
        <w:separator/>
      </w:r>
    </w:p>
  </w:footnote>
  <w:footnote w:type="continuationSeparator" w:id="0">
    <w:p w14:paraId="5DD06CD8" w14:textId="77777777" w:rsidR="005D0992" w:rsidRDefault="005D0992">
      <w:pPr>
        <w:spacing w:before="0" w:after="0"/>
      </w:pPr>
      <w:r>
        <w:continuationSeparator/>
      </w:r>
    </w:p>
  </w:footnote>
  <w:footnote w:type="continuationNotice" w:id="1">
    <w:p w14:paraId="4FB20FCA" w14:textId="77777777" w:rsidR="005D0992" w:rsidRDefault="005D0992">
      <w:pPr>
        <w:spacing w:before="0" w:after="0"/>
      </w:pPr>
    </w:p>
  </w:footnote>
  <w:footnote w:id="2">
    <w:p w14:paraId="7A3A56D1" w14:textId="7DED70D3" w:rsidR="00A163DA" w:rsidRDefault="00A163DA">
      <w:pPr>
        <w:pStyle w:val="FootnoteText"/>
      </w:pPr>
      <w:r>
        <w:rPr>
          <w:rStyle w:val="FootnoteReference"/>
        </w:rPr>
        <w:footnoteRef/>
      </w:r>
      <w:r>
        <w:t xml:space="preserve"> </w:t>
      </w:r>
      <w:hyperlink r:id="rId1" w:history="1">
        <w:r w:rsidRPr="00ED4CB6">
          <w:rPr>
            <w:rStyle w:val="Hyperlink"/>
          </w:rPr>
          <w:t>2021-22 Mid-Year Economic and Fiscal Outlook</w:t>
        </w:r>
      </w:hyperlink>
      <w:r>
        <w:t xml:space="preserve"> measure </w:t>
      </w:r>
      <w:r>
        <w:rPr>
          <w:i/>
          <w:iCs/>
        </w:rPr>
        <w:t>‘ASIC Industry Levies – fee relief’</w:t>
      </w:r>
    </w:p>
  </w:footnote>
  <w:footnote w:id="3">
    <w:p w14:paraId="21D2CA8E" w14:textId="77777777" w:rsidR="00451946" w:rsidRDefault="00451946" w:rsidP="00451946">
      <w:pPr>
        <w:pStyle w:val="FootnoteText"/>
        <w:ind w:left="0" w:firstLine="0"/>
      </w:pPr>
      <w:r>
        <w:rPr>
          <w:rStyle w:val="FootnoteReference"/>
        </w:rPr>
        <w:footnoteRef/>
      </w:r>
      <w:r>
        <w:t xml:space="preserve"> </w:t>
      </w:r>
      <w:r w:rsidRPr="005F7D25">
        <w:t>“Where specific demand for a government activity is created by identifiable individuals and groups, they should be charged for it unless the government has decided to fund the activity. Where it is appropriate for the Australian Government to participate in an activity, it should fully utilise and maintain public resources, through appropriate charging. The application of charging should not, however, adversely impact disadvantaged Australians.”</w:t>
      </w:r>
    </w:p>
  </w:footnote>
  <w:footnote w:id="4">
    <w:p w14:paraId="5CB8F6F1" w14:textId="77777777" w:rsidR="00FB2B54" w:rsidRDefault="00FB2B54" w:rsidP="00FB2B54">
      <w:pPr>
        <w:pStyle w:val="FootnoteText"/>
      </w:pPr>
      <w:r>
        <w:rPr>
          <w:rStyle w:val="FootnoteReference"/>
        </w:rPr>
        <w:footnoteRef/>
      </w:r>
      <w:r>
        <w:t xml:space="preserve"> </w:t>
      </w:r>
      <w:r w:rsidRPr="00FD7690">
        <w:t xml:space="preserve">ASIC Supervisory Cost Recovery Levy Bill 2017, Explanatory Memorandum, page 44.  </w:t>
      </w:r>
    </w:p>
  </w:footnote>
  <w:footnote w:id="5">
    <w:p w14:paraId="3EE6577D" w14:textId="77777777" w:rsidR="00FB2B54" w:rsidRDefault="00FB2B54" w:rsidP="00FB2B54">
      <w:pPr>
        <w:pStyle w:val="FootnoteText"/>
      </w:pPr>
      <w:r>
        <w:rPr>
          <w:rStyle w:val="FootnoteReference"/>
        </w:rPr>
        <w:footnoteRef/>
      </w:r>
      <w:r>
        <w:t xml:space="preserve"> </w:t>
      </w:r>
      <w:r w:rsidRPr="000A3883">
        <w:t xml:space="preserve">ASIC Supervisory Cost Recovery Levy Bill 2017, Explanatory Memorandum, page 6.  </w:t>
      </w:r>
    </w:p>
  </w:footnote>
  <w:footnote w:id="6">
    <w:p w14:paraId="08EA957C" w14:textId="15DC528B" w:rsidR="00D3475E" w:rsidRDefault="00D3475E" w:rsidP="00C97B91">
      <w:pPr>
        <w:pStyle w:val="FootnoteText"/>
        <w:ind w:left="0" w:firstLine="0"/>
      </w:pPr>
      <w:r>
        <w:rPr>
          <w:rStyle w:val="FootnoteReference"/>
        </w:rPr>
        <w:footnoteRef/>
      </w:r>
      <w:r>
        <w:t xml:space="preserve"> Some entities </w:t>
      </w:r>
      <w:r w:rsidR="00922316">
        <w:t>may</w:t>
      </w:r>
      <w:r w:rsidR="006D3CB6">
        <w:t xml:space="preserve"> be regulated</w:t>
      </w:r>
      <w:r>
        <w:t xml:space="preserve"> in multiple </w:t>
      </w:r>
      <w:r w:rsidR="00527197">
        <w:t>sub</w:t>
      </w:r>
      <w:r w:rsidR="00FB6FCA">
        <w:t>-</w:t>
      </w:r>
      <w:r w:rsidR="00527197">
        <w:t>sector</w:t>
      </w:r>
      <w:r>
        <w:t>s</w:t>
      </w:r>
      <w:r w:rsidR="00E05F7B">
        <w:t xml:space="preserve">. </w:t>
      </w:r>
      <w:r w:rsidR="00871185">
        <w:t xml:space="preserve">The </w:t>
      </w:r>
      <w:r w:rsidR="00B43BF0">
        <w:t xml:space="preserve">total number of </w:t>
      </w:r>
      <w:r w:rsidR="00F92406">
        <w:t xml:space="preserve">leviable </w:t>
      </w:r>
      <w:r w:rsidR="00B43BF0">
        <w:t xml:space="preserve">entities represents the unique count of entities, </w:t>
      </w:r>
      <w:r w:rsidR="00C97B91">
        <w:t xml:space="preserve">not the total number of entities </w:t>
      </w:r>
      <w:r w:rsidR="00D848E5">
        <w:t>in</w:t>
      </w:r>
      <w:r w:rsidR="00800AC4">
        <w:t xml:space="preserve"> each </w:t>
      </w:r>
      <w:r w:rsidR="00527197">
        <w:t>sub</w:t>
      </w:r>
      <w:r w:rsidR="00FB6FCA">
        <w:t>-</w:t>
      </w:r>
      <w:r w:rsidR="00527197">
        <w:t>sector</w:t>
      </w:r>
      <w:r w:rsidR="00800AC4">
        <w:t xml:space="preserve">. </w:t>
      </w:r>
      <w:r w:rsidR="00C97B91">
        <w:t xml:space="preserve"> </w:t>
      </w:r>
    </w:p>
  </w:footnote>
  <w:footnote w:id="7">
    <w:p w14:paraId="078D38D5" w14:textId="13AC724F" w:rsidR="0060156E" w:rsidDel="002E5BF2" w:rsidRDefault="0060156E" w:rsidP="009A3D89">
      <w:pPr>
        <w:pStyle w:val="FootnoteText"/>
        <w:ind w:left="0" w:firstLine="0"/>
      </w:pPr>
      <w:r w:rsidDel="002E5BF2">
        <w:rPr>
          <w:rStyle w:val="FootnoteReference"/>
        </w:rPr>
        <w:footnoteRef/>
      </w:r>
      <w:r w:rsidDel="002E5BF2">
        <w:t xml:space="preserve"> </w:t>
      </w:r>
      <w:r w:rsidR="00A427D2" w:rsidRPr="008D6D55" w:rsidDel="002E5BF2">
        <w:t>The Superannuation Complaints Tribunal</w:t>
      </w:r>
      <w:r w:rsidR="008D6D55" w:rsidRPr="008D6D55" w:rsidDel="002E5BF2">
        <w:t xml:space="preserve"> (SCT)</w:t>
      </w:r>
      <w:r w:rsidR="00A427D2" w:rsidRPr="008D6D55" w:rsidDel="002E5BF2">
        <w:t xml:space="preserve"> ceased operation on 30 December 2020</w:t>
      </w:r>
      <w:r w:rsidR="000374A3" w:rsidRPr="008D6D55" w:rsidDel="002E5BF2">
        <w:t xml:space="preserve">, </w:t>
      </w:r>
      <w:r w:rsidR="009A3D89" w:rsidRPr="008D6D55" w:rsidDel="002E5BF2">
        <w:t xml:space="preserve">but </w:t>
      </w:r>
      <w:r w:rsidR="009A3D89" w:rsidRPr="00360713" w:rsidDel="002E5BF2">
        <w:t xml:space="preserve">ASIC </w:t>
      </w:r>
      <w:r w:rsidR="001B1CD4" w:rsidRPr="00EE5B27">
        <w:t xml:space="preserve">will receive a small amount of funding until 30 June 2023 to address SCT records management, requests for information, freedom of information requests and other post closure expenditures. </w:t>
      </w:r>
      <w:r w:rsidR="00B43F3C" w:rsidRPr="00EE5B27" w:rsidDel="002E5BF2">
        <w:t xml:space="preserve">APRA will continue to recover </w:t>
      </w:r>
      <w:r w:rsidR="00D075FC" w:rsidRPr="00EE5B27" w:rsidDel="002E5BF2">
        <w:t>ASIC’s</w:t>
      </w:r>
      <w:r w:rsidR="00B43F3C" w:rsidRPr="00EE5B27" w:rsidDel="002E5BF2">
        <w:t xml:space="preserve"> costs </w:t>
      </w:r>
      <w:r w:rsidR="00D075FC" w:rsidRPr="00EE5B27" w:rsidDel="002E5BF2">
        <w:t>relating to</w:t>
      </w:r>
      <w:r w:rsidR="00B43F3C" w:rsidRPr="00EE5B27" w:rsidDel="002E5BF2">
        <w:t xml:space="preserve"> the S</w:t>
      </w:r>
      <w:r w:rsidR="008D6D55" w:rsidRPr="00EE5B27" w:rsidDel="002E5BF2">
        <w:t>CT</w:t>
      </w:r>
      <w:r w:rsidR="00B43F3C" w:rsidRPr="00EE5B27" w:rsidDel="002E5BF2">
        <w:t xml:space="preserve"> until 30 June 2023.</w:t>
      </w:r>
      <w:r w:rsidR="00B43F3C" w:rsidRPr="001552A4" w:rsidDel="002E5BF2">
        <w:rPr>
          <w:i/>
        </w:rPr>
        <w:t xml:space="preserve"> </w:t>
      </w:r>
    </w:p>
  </w:footnote>
  <w:footnote w:id="8">
    <w:p w14:paraId="26FBFC96" w14:textId="77777777" w:rsidR="006B212D" w:rsidRPr="00B4442E" w:rsidRDefault="006B212D" w:rsidP="006B212D">
      <w:pPr>
        <w:rPr>
          <w:sz w:val="20"/>
        </w:rPr>
      </w:pPr>
      <w:r>
        <w:rPr>
          <w:rStyle w:val="FootnoteReference"/>
        </w:rPr>
        <w:footnoteRef/>
      </w:r>
      <w:r>
        <w:t xml:space="preserve"> </w:t>
      </w:r>
      <w:r w:rsidRPr="00EE5B27">
        <w:rPr>
          <w:sz w:val="20"/>
        </w:rPr>
        <w:t>The principles, options and examples of potential changes outlined in this paper have not received Government approval and are not yet law. As a consequence, this paper is merely a guide as to how the principles, options or examples of potential changes might operate.</w:t>
      </w:r>
    </w:p>
  </w:footnote>
  <w:footnote w:id="9">
    <w:p w14:paraId="4D40A7CF" w14:textId="4C68819E" w:rsidR="00082559" w:rsidRDefault="00082559" w:rsidP="00360713">
      <w:pPr>
        <w:spacing w:before="0" w:after="0"/>
      </w:pPr>
      <w:r w:rsidRPr="00360713">
        <w:rPr>
          <w:rStyle w:val="FootnoteReference"/>
          <w:sz w:val="20"/>
        </w:rPr>
        <w:footnoteRef/>
      </w:r>
      <w:r w:rsidRPr="00360713">
        <w:rPr>
          <w:sz w:val="20"/>
        </w:rPr>
        <w:t xml:space="preserve"> The following</w:t>
      </w:r>
      <w:r>
        <w:rPr>
          <w:sz w:val="20"/>
        </w:rPr>
        <w:t xml:space="preserve"> </w:t>
      </w:r>
      <w:r w:rsidR="002F0EC4">
        <w:rPr>
          <w:sz w:val="20"/>
        </w:rPr>
        <w:t>5</w:t>
      </w:r>
      <w:r w:rsidRPr="00360713">
        <w:rPr>
          <w:sz w:val="20"/>
        </w:rPr>
        <w:t xml:space="preserve"> sub</w:t>
      </w:r>
      <w:r w:rsidR="00FB6FCA">
        <w:rPr>
          <w:sz w:val="20"/>
        </w:rPr>
        <w:t>-</w:t>
      </w:r>
      <w:r w:rsidRPr="00360713">
        <w:rPr>
          <w:sz w:val="20"/>
        </w:rPr>
        <w:t xml:space="preserve">sectors </w:t>
      </w:r>
      <w:r w:rsidR="00A42845" w:rsidRPr="00360713">
        <w:rPr>
          <w:sz w:val="20"/>
        </w:rPr>
        <w:t xml:space="preserve">have accounted for </w:t>
      </w:r>
      <w:r w:rsidR="002F0EC4">
        <w:rPr>
          <w:sz w:val="20"/>
        </w:rPr>
        <w:t>the majority of</w:t>
      </w:r>
      <w:r w:rsidRPr="00360713">
        <w:rPr>
          <w:sz w:val="20"/>
        </w:rPr>
        <w:t xml:space="preserve"> </w:t>
      </w:r>
      <w:r w:rsidR="00A42845" w:rsidRPr="00360713">
        <w:rPr>
          <w:sz w:val="20"/>
        </w:rPr>
        <w:t>enforcement costs</w:t>
      </w:r>
      <w:r w:rsidRPr="00360713">
        <w:rPr>
          <w:sz w:val="20"/>
        </w:rPr>
        <w:t xml:space="preserve"> since </w:t>
      </w:r>
      <w:r w:rsidR="00A42845" w:rsidRPr="00360713">
        <w:rPr>
          <w:sz w:val="20"/>
        </w:rPr>
        <w:t>the</w:t>
      </w:r>
      <w:r w:rsidRPr="00360713">
        <w:rPr>
          <w:sz w:val="20"/>
        </w:rPr>
        <w:t xml:space="preserve"> commencement</w:t>
      </w:r>
      <w:r w:rsidR="00A42845" w:rsidRPr="00360713">
        <w:rPr>
          <w:sz w:val="20"/>
        </w:rPr>
        <w:t xml:space="preserve"> of the IFM</w:t>
      </w:r>
      <w:r w:rsidR="00382714" w:rsidRPr="00360713">
        <w:rPr>
          <w:sz w:val="20"/>
        </w:rPr>
        <w:t xml:space="preserve"> (average over 4 years</w:t>
      </w:r>
      <w:r w:rsidR="0020588A">
        <w:rPr>
          <w:sz w:val="20"/>
        </w:rPr>
        <w:t xml:space="preserve"> from 2017-18 to 2020-21</w:t>
      </w:r>
      <w:r w:rsidR="00382714" w:rsidRPr="00360713">
        <w:rPr>
          <w:sz w:val="20"/>
        </w:rPr>
        <w:t>)</w:t>
      </w:r>
      <w:r w:rsidRPr="00360713">
        <w:rPr>
          <w:sz w:val="20"/>
        </w:rPr>
        <w:t>: Listed corporations</w:t>
      </w:r>
      <w:r w:rsidR="00A42845" w:rsidRPr="00360713">
        <w:rPr>
          <w:sz w:val="20"/>
        </w:rPr>
        <w:t xml:space="preserve"> (</w:t>
      </w:r>
      <w:r w:rsidR="00382714" w:rsidRPr="00360713">
        <w:rPr>
          <w:sz w:val="20"/>
        </w:rPr>
        <w:t>29</w:t>
      </w:r>
      <w:r w:rsidR="004C694E">
        <w:rPr>
          <w:sz w:val="20"/>
        </w:rPr>
        <w:t xml:space="preserve"> per cent</w:t>
      </w:r>
      <w:r w:rsidR="00382714" w:rsidRPr="00360713">
        <w:rPr>
          <w:sz w:val="20"/>
        </w:rPr>
        <w:t>)</w:t>
      </w:r>
      <w:r w:rsidRPr="00360713">
        <w:rPr>
          <w:sz w:val="20"/>
        </w:rPr>
        <w:t>, Licensees that provide personal advice on relevant financial products to retail clients</w:t>
      </w:r>
      <w:r w:rsidR="00382714" w:rsidRPr="00360713">
        <w:rPr>
          <w:sz w:val="20"/>
        </w:rPr>
        <w:t xml:space="preserve"> (14</w:t>
      </w:r>
      <w:r w:rsidR="004C694E">
        <w:rPr>
          <w:sz w:val="20"/>
        </w:rPr>
        <w:t xml:space="preserve"> per cent</w:t>
      </w:r>
      <w:r w:rsidR="00382714" w:rsidRPr="00360713">
        <w:rPr>
          <w:sz w:val="20"/>
        </w:rPr>
        <w:t>)</w:t>
      </w:r>
      <w:r w:rsidRPr="00360713">
        <w:rPr>
          <w:sz w:val="20"/>
        </w:rPr>
        <w:t>, Responsible entities</w:t>
      </w:r>
      <w:r w:rsidR="00382714" w:rsidRPr="00360713">
        <w:rPr>
          <w:sz w:val="20"/>
        </w:rPr>
        <w:t xml:space="preserve"> (11</w:t>
      </w:r>
      <w:r w:rsidR="004C694E">
        <w:rPr>
          <w:sz w:val="20"/>
        </w:rPr>
        <w:t xml:space="preserve"> per cent</w:t>
      </w:r>
      <w:r w:rsidR="00382714" w:rsidRPr="00360713">
        <w:rPr>
          <w:sz w:val="20"/>
        </w:rPr>
        <w:t>)</w:t>
      </w:r>
      <w:r w:rsidRPr="00360713">
        <w:rPr>
          <w:sz w:val="20"/>
        </w:rPr>
        <w:t xml:space="preserve">, Credit providers </w:t>
      </w:r>
      <w:r w:rsidR="00A25C4C" w:rsidRPr="00360713">
        <w:rPr>
          <w:sz w:val="20"/>
        </w:rPr>
        <w:t>(7</w:t>
      </w:r>
      <w:r w:rsidR="004C694E">
        <w:rPr>
          <w:sz w:val="20"/>
        </w:rPr>
        <w:t xml:space="preserve"> per cent</w:t>
      </w:r>
      <w:r w:rsidR="00A25C4C" w:rsidRPr="00360713">
        <w:rPr>
          <w:sz w:val="20"/>
        </w:rPr>
        <w:t>)</w:t>
      </w:r>
      <w:r w:rsidRPr="00360713">
        <w:rPr>
          <w:sz w:val="20"/>
        </w:rPr>
        <w:t xml:space="preserve"> </w:t>
      </w:r>
      <w:r w:rsidR="0020588A">
        <w:rPr>
          <w:sz w:val="20"/>
        </w:rPr>
        <w:t>and</w:t>
      </w:r>
      <w:r w:rsidRPr="00360713">
        <w:rPr>
          <w:sz w:val="20"/>
        </w:rPr>
        <w:t xml:space="preserve"> Superannuation trustees</w:t>
      </w:r>
      <w:r w:rsidR="00A25C4C" w:rsidRPr="00360713">
        <w:rPr>
          <w:sz w:val="20"/>
        </w:rPr>
        <w:t xml:space="preserve"> (6</w:t>
      </w:r>
      <w:r w:rsidR="004C694E">
        <w:rPr>
          <w:sz w:val="20"/>
        </w:rPr>
        <w:t xml:space="preserve"> per cent</w:t>
      </w:r>
      <w:r w:rsidR="00A25C4C" w:rsidRPr="00360713">
        <w:rPr>
          <w:sz w:val="20"/>
        </w:rPr>
        <w:t>)</w:t>
      </w:r>
      <w:r w:rsidR="0020588A">
        <w:rPr>
          <w:sz w:val="20"/>
        </w:rPr>
        <w:t>.</w:t>
      </w:r>
    </w:p>
  </w:footnote>
  <w:footnote w:id="10">
    <w:p w14:paraId="47123008" w14:textId="34B2D564" w:rsidR="006F0F3F" w:rsidRDefault="006F0F3F" w:rsidP="00971B03">
      <w:pPr>
        <w:pStyle w:val="FootnoteText"/>
        <w:ind w:left="0" w:firstLine="0"/>
      </w:pPr>
      <w:r>
        <w:rPr>
          <w:rStyle w:val="FootnoteReference"/>
        </w:rPr>
        <w:footnoteRef/>
      </w:r>
      <w:r>
        <w:t xml:space="preserve"> </w:t>
      </w:r>
      <w:r w:rsidR="00C749A7">
        <w:t xml:space="preserve">These </w:t>
      </w:r>
      <w:r w:rsidR="00527197">
        <w:t>sub</w:t>
      </w:r>
      <w:r w:rsidR="00963A41">
        <w:t>-</w:t>
      </w:r>
      <w:r w:rsidR="00527197">
        <w:t>sector</w:t>
      </w:r>
      <w:r w:rsidR="00C749A7">
        <w:t xml:space="preserve">s are: </w:t>
      </w:r>
      <w:r w:rsidR="000C6CE9" w:rsidRPr="000C6CE9">
        <w:t>Large proprietary companies</w:t>
      </w:r>
      <w:r w:rsidR="000C6CE9">
        <w:t xml:space="preserve">, </w:t>
      </w:r>
      <w:r w:rsidR="00840E67" w:rsidRPr="00840E67">
        <w:t>Small and medium amount credit providers</w:t>
      </w:r>
      <w:r w:rsidR="00840E67">
        <w:t xml:space="preserve">, </w:t>
      </w:r>
      <w:r w:rsidR="00455E8B" w:rsidRPr="00455E8B">
        <w:t>Deposit product providers</w:t>
      </w:r>
      <w:r w:rsidR="00455E8B">
        <w:t xml:space="preserve">, </w:t>
      </w:r>
      <w:r w:rsidR="007E154E" w:rsidRPr="007E154E">
        <w:t>Superannuation trustees</w:t>
      </w:r>
      <w:r w:rsidR="007E154E">
        <w:t xml:space="preserve">, </w:t>
      </w:r>
      <w:r w:rsidR="007E154E" w:rsidRPr="007E154E">
        <w:t>Managed discretionary account providers</w:t>
      </w:r>
      <w:r w:rsidR="007E154E">
        <w:t xml:space="preserve">, </w:t>
      </w:r>
      <w:r w:rsidR="00EE6D4A" w:rsidRPr="00EE6D4A">
        <w:t>Small securities exchange operators</w:t>
      </w:r>
      <w:r w:rsidR="00EE6D4A">
        <w:t xml:space="preserve">, </w:t>
      </w:r>
      <w:r w:rsidR="00B925F7" w:rsidRPr="00B925F7">
        <w:t>Established specialised market operators</w:t>
      </w:r>
      <w:r w:rsidR="00B925F7">
        <w:t xml:space="preserve">, </w:t>
      </w:r>
      <w:r w:rsidR="006A2D41" w:rsidRPr="006A2D41">
        <w:t>Exempt market operators</w:t>
      </w:r>
      <w:r w:rsidR="006A2D41">
        <w:t xml:space="preserve">, </w:t>
      </w:r>
      <w:r w:rsidR="00BB3065" w:rsidRPr="00BB3065">
        <w:t>Securities dealers</w:t>
      </w:r>
      <w:r w:rsidR="00BB3065">
        <w:t xml:space="preserve">, </w:t>
      </w:r>
      <w:r w:rsidR="00E4607A" w:rsidRPr="00E4607A">
        <w:t>Retail over-the-counter derivatives issuers</w:t>
      </w:r>
      <w:r w:rsidR="00E4607A">
        <w:t xml:space="preserve">, </w:t>
      </w:r>
      <w:r w:rsidR="001A5D22" w:rsidRPr="001A5D22">
        <w:t>Licensees that provide personal advice on relevant financial products to retail clients</w:t>
      </w:r>
      <w:r w:rsidR="001A5D22">
        <w:t>,</w:t>
      </w:r>
      <w:r w:rsidR="006875B2">
        <w:t xml:space="preserve"> </w:t>
      </w:r>
      <w:r w:rsidR="006875B2" w:rsidRPr="006875B2">
        <w:t>Licensees that provide personal advice to retail clients on only products that are not relevant financial products</w:t>
      </w:r>
      <w:r w:rsidR="006875B2">
        <w:t xml:space="preserve">, </w:t>
      </w:r>
      <w:r w:rsidR="00971B03" w:rsidRPr="00971B03">
        <w:t>Insurance product distributors</w:t>
      </w:r>
      <w:r w:rsidR="00971B03">
        <w:t>.</w:t>
      </w:r>
    </w:p>
  </w:footnote>
  <w:footnote w:id="11">
    <w:p w14:paraId="3CED2726" w14:textId="2DF8A4DF" w:rsidR="007A20D4" w:rsidRDefault="007A20D4" w:rsidP="00446666">
      <w:pPr>
        <w:pStyle w:val="FootnoteText"/>
        <w:ind w:left="0" w:firstLine="0"/>
      </w:pPr>
      <w:r>
        <w:rPr>
          <w:rStyle w:val="FootnoteReference"/>
        </w:rPr>
        <w:footnoteRef/>
      </w:r>
      <w:r>
        <w:t xml:space="preserve"> In this case, ‘single greatest c</w:t>
      </w:r>
      <w:r w:rsidR="00594972">
        <w:t>ontributor</w:t>
      </w:r>
      <w:r>
        <w:t xml:space="preserve"> of variance’ means the </w:t>
      </w:r>
      <w:r w:rsidR="00446666">
        <w:t xml:space="preserve">activity cost that </w:t>
      </w:r>
      <w:r w:rsidR="006A2B01">
        <w:t>comprises</w:t>
      </w:r>
      <w:r w:rsidR="00446666">
        <w:t xml:space="preserve"> the </w:t>
      </w:r>
      <w:r w:rsidR="006007BC">
        <w:t xml:space="preserve">largest </w:t>
      </w:r>
      <w:r w:rsidR="00446666">
        <w:t xml:space="preserve">proportion of the </w:t>
      </w:r>
      <w:r w:rsidR="006007BC">
        <w:t>net</w:t>
      </w:r>
      <w:r w:rsidR="00446666">
        <w:t xml:space="preserve"> variance affecting a sub-sector in a given year.</w:t>
      </w:r>
    </w:p>
  </w:footnote>
  <w:footnote w:id="12">
    <w:p w14:paraId="2F63F5F1" w14:textId="54BCEFC1" w:rsidR="00DB577A" w:rsidDel="00603D49" w:rsidRDefault="00DB577A" w:rsidP="00DB577A">
      <w:pPr>
        <w:pStyle w:val="FootnoteText"/>
        <w:ind w:left="0" w:firstLine="0"/>
      </w:pPr>
      <w:r w:rsidDel="00603D49">
        <w:rPr>
          <w:rStyle w:val="FootnoteReference"/>
        </w:rPr>
        <w:footnoteRef/>
      </w:r>
      <w:r w:rsidDel="00603D49">
        <w:t xml:space="preserve"> In this case, ‘single greatest contributor of v</w:t>
      </w:r>
      <w:r w:rsidR="006F0038" w:rsidDel="00603D49">
        <w:t>olatility</w:t>
      </w:r>
      <w:r w:rsidDel="00603D49">
        <w:t xml:space="preserve">’ means the activity cost that comprises the largest proportion of the </w:t>
      </w:r>
      <w:r w:rsidR="00905876" w:rsidDel="00603D49">
        <w:t>total volatility</w:t>
      </w:r>
      <w:r w:rsidDel="00603D49">
        <w:t xml:space="preserve"> affecting a sub-sector in a given year.</w:t>
      </w:r>
    </w:p>
  </w:footnote>
  <w:footnote w:id="13">
    <w:p w14:paraId="5053A8BE" w14:textId="77777777" w:rsidR="00BD0BB3" w:rsidRDefault="00BD0BB3" w:rsidP="00BD0BB3">
      <w:pPr>
        <w:pStyle w:val="FootnoteText"/>
        <w:ind w:left="0" w:firstLine="0"/>
      </w:pPr>
      <w:r>
        <w:rPr>
          <w:rStyle w:val="FootnoteReference"/>
        </w:rPr>
        <w:footnoteRef/>
      </w:r>
      <w:r>
        <w:t xml:space="preserve"> </w:t>
      </w:r>
      <w:r w:rsidRPr="000C39A3">
        <w:t>The principles, options and examples of potential changes outlined in this paper have not received Government approval and are not yet law. As a consequence, this paper is merely a guide as to how the principles, options or examples of potential changes might operate.</w:t>
      </w:r>
    </w:p>
  </w:footnote>
  <w:footnote w:id="14">
    <w:p w14:paraId="44332631" w14:textId="777D3935" w:rsidR="007370A4" w:rsidRPr="00360713" w:rsidRDefault="007370A4">
      <w:pPr>
        <w:pStyle w:val="FootnoteText"/>
        <w:rPr>
          <w:sz w:val="18"/>
          <w:szCs w:val="18"/>
        </w:rPr>
      </w:pPr>
      <w:r w:rsidRPr="00870732">
        <w:rPr>
          <w:rStyle w:val="FootnoteReference"/>
          <w:szCs w:val="18"/>
        </w:rPr>
        <w:footnoteRef/>
      </w:r>
      <w:r w:rsidRPr="00360713">
        <w:rPr>
          <w:sz w:val="18"/>
          <w:szCs w:val="18"/>
        </w:rPr>
        <w:t xml:space="preserve"> </w:t>
      </w:r>
      <w:r w:rsidR="004C188C">
        <w:rPr>
          <w:sz w:val="18"/>
          <w:szCs w:val="18"/>
        </w:rPr>
        <w:t>Treasury Laws Amendment (</w:t>
      </w:r>
      <w:hyperlink r:id="rId2" w:history="1">
        <w:r w:rsidR="004C188C" w:rsidRPr="00FD7F4C">
          <w:rPr>
            <w:sz w:val="18"/>
            <w:szCs w:val="18"/>
          </w:rPr>
          <w:t>ASIC</w:t>
        </w:r>
      </w:hyperlink>
      <w:r w:rsidR="004C188C" w:rsidRPr="00FD7F4C">
        <w:rPr>
          <w:sz w:val="18"/>
          <w:szCs w:val="18"/>
        </w:rPr>
        <w:t xml:space="preserve"> Fees) Regulations 2018, Explanatory Statement, </w:t>
      </w:r>
      <w:r w:rsidR="00E6307B" w:rsidRPr="00FD7F4C">
        <w:rPr>
          <w:sz w:val="18"/>
          <w:szCs w:val="18"/>
        </w:rPr>
        <w:t>page 3</w:t>
      </w:r>
      <w:r w:rsidR="0033201F" w:rsidRPr="00FD7F4C">
        <w:rPr>
          <w:sz w:val="18"/>
          <w:szCs w:val="18"/>
        </w:rPr>
        <w:t>.</w:t>
      </w:r>
    </w:p>
  </w:footnote>
  <w:footnote w:id="15">
    <w:p w14:paraId="1EE3DDFC" w14:textId="72BFEBE9" w:rsidR="00B4442E" w:rsidRDefault="00B4442E" w:rsidP="00B4442E">
      <w:pPr>
        <w:pStyle w:val="FootnoteText"/>
        <w:ind w:left="0" w:firstLine="0"/>
      </w:pPr>
      <w:r>
        <w:rPr>
          <w:rStyle w:val="FootnoteReference"/>
        </w:rPr>
        <w:footnoteRef/>
      </w:r>
      <w:r>
        <w:t xml:space="preserve"> </w:t>
      </w:r>
      <w:r w:rsidR="000C39A3" w:rsidRPr="000C39A3">
        <w:t>The principles, options and examples of potential changes outlined in this paper have not received Government approval and are not yet law. As a consequence, this paper is merely a guide as to how the principles, options or examples of potential changes might operate.</w:t>
      </w:r>
    </w:p>
  </w:footnote>
  <w:footnote w:id="16">
    <w:p w14:paraId="56FD20B5" w14:textId="7C972E83" w:rsidR="00B4442E" w:rsidRDefault="00B4442E" w:rsidP="00B4442E">
      <w:pPr>
        <w:pStyle w:val="FootnoteText"/>
        <w:ind w:left="0" w:firstLine="0"/>
      </w:pPr>
      <w:r>
        <w:rPr>
          <w:rStyle w:val="FootnoteReference"/>
        </w:rPr>
        <w:footnoteRef/>
      </w:r>
      <w:r>
        <w:t xml:space="preserve"> </w:t>
      </w:r>
      <w:r w:rsidR="000C39A3" w:rsidRPr="000C39A3">
        <w:t>The principles, options and examples of potential changes outlined in this paper have not received Government approval and are not yet law. As a consequence, this paper is merely a guide as to how the principles, options or examples of potential changes might operate.</w:t>
      </w:r>
    </w:p>
  </w:footnote>
  <w:footnote w:id="17">
    <w:p w14:paraId="3BEC1900" w14:textId="629CE196" w:rsidR="00C47066" w:rsidRDefault="00C47066" w:rsidP="00C47066">
      <w:pPr>
        <w:pStyle w:val="FootnoteText"/>
      </w:pPr>
      <w:r>
        <w:rPr>
          <w:rStyle w:val="FootnoteReference"/>
        </w:rPr>
        <w:footnoteRef/>
      </w:r>
      <w:r>
        <w:t xml:space="preserve"> </w:t>
      </w:r>
      <w:hyperlink r:id="rId3" w:history="1">
        <w:r w:rsidRPr="003A6B90">
          <w:rPr>
            <w:rStyle w:val="Hyperlink"/>
          </w:rPr>
          <w:t>RMG-304 Australian Government Cost Recovery Guidelines</w:t>
        </w:r>
      </w:hyperlink>
      <w:r>
        <w:t xml:space="preserve">.  </w:t>
      </w:r>
    </w:p>
  </w:footnote>
  <w:footnote w:id="18">
    <w:p w14:paraId="0E33C6A2" w14:textId="4BDCEA28" w:rsidR="009C4DF4" w:rsidRPr="006E2281" w:rsidRDefault="009C4DF4" w:rsidP="009C4DF4">
      <w:pPr>
        <w:pStyle w:val="FootnoteText"/>
        <w:ind w:left="0" w:firstLine="0"/>
        <w:rPr>
          <w:strike/>
        </w:rPr>
      </w:pPr>
      <w:r>
        <w:rPr>
          <w:rStyle w:val="FootnoteReference"/>
        </w:rPr>
        <w:footnoteRef/>
      </w:r>
      <w:r>
        <w:t xml:space="preserve"> </w:t>
      </w:r>
      <w:r w:rsidR="0058553A" w:rsidRPr="0058553A">
        <w:t>The principles, options and examples of potential changes outlined in this paper have not received Government approval and are not yet law. As a consequence, this paper is merely a guide as to how the principles, options or examples of potential changes might operate.</w:t>
      </w:r>
    </w:p>
    <w:p w14:paraId="361C7FA1" w14:textId="7357F42A" w:rsidR="009C4DF4" w:rsidRDefault="009C4DF4">
      <w:pPr>
        <w:pStyle w:val="FootnoteText"/>
      </w:pPr>
    </w:p>
  </w:footnote>
  <w:footnote w:id="19">
    <w:p w14:paraId="5C30A153" w14:textId="77777777" w:rsidR="00C52D09" w:rsidRDefault="00C52D09" w:rsidP="00C52D09">
      <w:pPr>
        <w:pStyle w:val="FootnoteText"/>
        <w:rPr>
          <w:rFonts w:ascii="Calibri" w:hAnsi="Calibri"/>
          <w:color w:val="000000"/>
          <w:sz w:val="18"/>
        </w:rPr>
      </w:pPr>
      <w:r>
        <w:rPr>
          <w:rStyle w:val="FootnoteReference"/>
        </w:rPr>
        <w:footnoteRef/>
      </w:r>
      <w:r>
        <w:t xml:space="preserve"> Full levy calculations for each sub-sector are outlined in the </w:t>
      </w:r>
      <w:r>
        <w:rPr>
          <w:i/>
          <w:iCs/>
        </w:rPr>
        <w:t>ASIC Supervisory Cost Recovery Levy Regulations 2017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89B6" w14:textId="0EA3E342" w:rsidR="0008444F" w:rsidRDefault="00084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058321"/>
      <w:docPartObj>
        <w:docPartGallery w:val="Watermarks"/>
        <w:docPartUnique/>
      </w:docPartObj>
    </w:sdtPr>
    <w:sdtEndPr/>
    <w:sdtContent>
      <w:p w14:paraId="3E90D1B1" w14:textId="77777777" w:rsidR="00C248B6" w:rsidRDefault="00763503">
        <w:pPr>
          <w:pStyle w:val="Header"/>
        </w:pPr>
        <w:r>
          <w:rPr>
            <w:noProof/>
          </w:rPr>
          <w:pict w14:anchorId="5B05A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41C4"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BD6D" w14:textId="77777777" w:rsidR="002314D2" w:rsidRPr="001F3912" w:rsidRDefault="002314D2" w:rsidP="001708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A4C8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D77AE8"/>
    <w:multiLevelType w:val="hybridMultilevel"/>
    <w:tmpl w:val="B8B0DF5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ED3FC7"/>
    <w:multiLevelType w:val="multilevel"/>
    <w:tmpl w:val="D10E9CF6"/>
    <w:styleLink w:val="BoxBulleted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2813BA"/>
    <w:multiLevelType w:val="multilevel"/>
    <w:tmpl w:val="3E7A5938"/>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3E7EF5"/>
    <w:multiLevelType w:val="hybridMultilevel"/>
    <w:tmpl w:val="7E96C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312DE8"/>
    <w:multiLevelType w:val="hybridMultilevel"/>
    <w:tmpl w:val="B9EE52C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F0C02F0"/>
    <w:multiLevelType w:val="hybridMultilevel"/>
    <w:tmpl w:val="E3B2D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B70104"/>
    <w:multiLevelType w:val="multilevel"/>
    <w:tmpl w:val="C424413C"/>
    <w:lvl w:ilvl="0">
      <w:start w:val="1"/>
      <w:numFmt w:val="bullet"/>
      <w:lvlText w:val=""/>
      <w:lvlJc w:val="left"/>
      <w:pPr>
        <w:tabs>
          <w:tab w:val="num" w:pos="520"/>
        </w:tabs>
        <w:ind w:left="520" w:hanging="520"/>
      </w:pPr>
      <w:rPr>
        <w:rFonts w:ascii="Symbol" w:hAnsi="Symbol" w:hint="default"/>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7FA7FA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CB3FD7"/>
    <w:multiLevelType w:val="hybridMultilevel"/>
    <w:tmpl w:val="C06432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506683"/>
    <w:multiLevelType w:val="multilevel"/>
    <w:tmpl w:val="E9760052"/>
    <w:lvl w:ilvl="0">
      <w:start w:val="1"/>
      <w:numFmt w:val="decimal"/>
      <w:lvlText w:val="%1."/>
      <w:lvlJc w:val="left"/>
      <w:pPr>
        <w:tabs>
          <w:tab w:val="num" w:pos="283"/>
        </w:tabs>
        <w:ind w:left="283" w:hanging="283"/>
      </w:pPr>
      <w:rPr>
        <w:rFonts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264E3C71"/>
    <w:multiLevelType w:val="hybridMultilevel"/>
    <w:tmpl w:val="17CC2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A67841"/>
    <w:multiLevelType w:val="hybridMultilevel"/>
    <w:tmpl w:val="706E91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08C2710"/>
    <w:multiLevelType w:val="multilevel"/>
    <w:tmpl w:val="79E48CD8"/>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0EB5FC2"/>
    <w:multiLevelType w:val="multilevel"/>
    <w:tmpl w:val="8B3CDECA"/>
    <w:name w:val="OutlineNumbered"/>
    <w:lvl w:ilvl="0">
      <w:start w:val="1"/>
      <w:numFmt w:val="decimal"/>
      <w:lvlRestart w:val="0"/>
      <w:lvlText w:val="%1."/>
      <w:lvlJc w:val="left"/>
      <w:pPr>
        <w:tabs>
          <w:tab w:val="num" w:pos="567"/>
        </w:tabs>
        <w:ind w:left="567" w:hanging="567"/>
      </w:pPr>
      <w:rPr>
        <w:rFonts w:ascii="Calibri" w:hAnsi="Calibri" w:hint="default"/>
        <w:b w:val="0"/>
        <w:i w:val="0"/>
      </w:rPr>
    </w:lvl>
    <w:lvl w:ilvl="1">
      <w:start w:val="1"/>
      <w:numFmt w:val="decimal"/>
      <w:lvlText w:val="%1.%2"/>
      <w:lvlJc w:val="left"/>
      <w:pPr>
        <w:tabs>
          <w:tab w:val="num" w:pos="567"/>
        </w:tabs>
        <w:ind w:left="567" w:hanging="283"/>
      </w:pPr>
      <w:rPr>
        <w:rFonts w:ascii="Calibri" w:hAnsi="Calibri" w:hint="default"/>
        <w:b w:val="0"/>
        <w:i w:val="0"/>
      </w:rPr>
    </w:lvl>
    <w:lvl w:ilvl="2">
      <w:start w:val="1"/>
      <w:numFmt w:val="decimal"/>
      <w:lvlText w:val="%1.%2.%3"/>
      <w:lvlJc w:val="left"/>
      <w:pPr>
        <w:tabs>
          <w:tab w:val="num" w:pos="851"/>
        </w:tabs>
        <w:ind w:left="851" w:hanging="284"/>
      </w:pPr>
      <w:rPr>
        <w:rFonts w:ascii="Calibri" w:hAnsi="Calibri" w:hint="default"/>
        <w:b w:val="0"/>
        <w:i w:val="0"/>
      </w:rPr>
    </w:lvl>
    <w:lvl w:ilvl="3">
      <w:start w:val="1"/>
      <w:numFmt w:val="decimal"/>
      <w:lvlText w:val="%1.%2.%3.%4"/>
      <w:lvlJc w:val="left"/>
      <w:pPr>
        <w:tabs>
          <w:tab w:val="num" w:pos="851"/>
        </w:tabs>
        <w:ind w:left="851" w:hanging="851"/>
      </w:pPr>
      <w:rPr>
        <w:rFonts w:ascii="Calibri" w:hAnsi="Calibri" w:hint="default"/>
        <w:b w:val="0"/>
        <w:i w:val="0"/>
      </w:rPr>
    </w:lvl>
    <w:lvl w:ilvl="4">
      <w:start w:val="1"/>
      <w:numFmt w:val="decimal"/>
      <w:lvlText w:val="%1.%2.%3.%4.%5"/>
      <w:lvlJc w:val="left"/>
      <w:pPr>
        <w:tabs>
          <w:tab w:val="num" w:pos="1008"/>
        </w:tabs>
        <w:ind w:left="1008" w:hanging="1008"/>
      </w:pPr>
      <w:rPr>
        <w:rFonts w:ascii="Calibri" w:hAnsi="Calibri"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8" w15:restartNumberingAfterBreak="0">
    <w:nsid w:val="31776BE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72F8140E"/>
    <w:styleLink w:val="OneLevel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672289"/>
    <w:multiLevelType w:val="hybridMultilevel"/>
    <w:tmpl w:val="52EA5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EF501B"/>
    <w:multiLevelType w:val="multilevel"/>
    <w:tmpl w:val="DF98473C"/>
    <w:styleLink w:val="AlphaParagraphList1"/>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7D0215"/>
    <w:multiLevelType w:val="multilevel"/>
    <w:tmpl w:val="0D7236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379213F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9D4F0C"/>
    <w:multiLevelType w:val="hybridMultilevel"/>
    <w:tmpl w:val="A8C2C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B23939"/>
    <w:multiLevelType w:val="hybridMultilevel"/>
    <w:tmpl w:val="F1FE2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50744C"/>
    <w:multiLevelType w:val="multilevel"/>
    <w:tmpl w:val="B6DA59E0"/>
    <w:name w:val="StandardBulletedList"/>
    <w:lvl w:ilvl="0">
      <w:start w:val="1"/>
      <w:numFmt w:val="bullet"/>
      <w:pStyle w:val="ChartGraphic"/>
      <w:lvlText w:val="-"/>
      <w:lvlJc w:val="left"/>
      <w:pPr>
        <w:tabs>
          <w:tab w:val="num" w:pos="520"/>
        </w:tabs>
        <w:ind w:left="520" w:hanging="520"/>
      </w:pPr>
      <w:rPr>
        <w:rFonts w:ascii="Times New Roman" w:eastAsiaTheme="minorHAnsi"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pStyle w:val="BoxHeading"/>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076" w:hanging="360"/>
      </w:pPr>
    </w:lvl>
    <w:lvl w:ilvl="4">
      <w:start w:val="1"/>
      <w:numFmt w:val="lowerLetter"/>
      <w:lvlText w:val="(%5)"/>
      <w:lvlJc w:val="left"/>
      <w:pPr>
        <w:ind w:left="2436" w:hanging="360"/>
      </w:pPr>
    </w:lvl>
    <w:lvl w:ilvl="5">
      <w:start w:val="1"/>
      <w:numFmt w:val="lowerRoman"/>
      <w:lvlText w:val="(%6)"/>
      <w:lvlJc w:val="left"/>
      <w:pPr>
        <w:ind w:left="2796" w:hanging="360"/>
      </w:pPr>
    </w:lvl>
    <w:lvl w:ilvl="6">
      <w:start w:val="1"/>
      <w:numFmt w:val="decimal"/>
      <w:lvlText w:val="%7."/>
      <w:lvlJc w:val="left"/>
      <w:pPr>
        <w:ind w:left="3156" w:hanging="360"/>
      </w:pPr>
    </w:lvl>
    <w:lvl w:ilvl="7">
      <w:start w:val="1"/>
      <w:numFmt w:val="lowerLetter"/>
      <w:lvlText w:val="%8."/>
      <w:lvlJc w:val="left"/>
      <w:pPr>
        <w:ind w:left="3516" w:hanging="360"/>
      </w:pPr>
    </w:lvl>
    <w:lvl w:ilvl="8">
      <w:start w:val="1"/>
      <w:numFmt w:val="lowerRoman"/>
      <w:lvlText w:val="%9."/>
      <w:lvlJc w:val="left"/>
      <w:pPr>
        <w:ind w:left="3876" w:hanging="360"/>
      </w:pPr>
    </w:lvl>
  </w:abstractNum>
  <w:abstractNum w:abstractNumId="28" w15:restartNumberingAfterBreak="0">
    <w:nsid w:val="3B7E7E42"/>
    <w:multiLevelType w:val="hybridMultilevel"/>
    <w:tmpl w:val="4B709726"/>
    <w:lvl w:ilvl="0" w:tplc="0C090001">
      <w:start w:val="1"/>
      <w:numFmt w:val="bullet"/>
      <w:pStyle w:val="Bullet"/>
      <w:lvlText w:val=""/>
      <w:lvlJc w:val="left"/>
      <w:pPr>
        <w:ind w:left="720" w:hanging="360"/>
      </w:pPr>
      <w:rPr>
        <w:rFonts w:ascii="Symbol" w:hAnsi="Symbol" w:hint="default"/>
      </w:rPr>
    </w:lvl>
    <w:lvl w:ilvl="1" w:tplc="59BC18DE">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2F0E68"/>
    <w:multiLevelType w:val="hybridMultilevel"/>
    <w:tmpl w:val="D2D4866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439727F"/>
    <w:multiLevelType w:val="hybridMultilevel"/>
    <w:tmpl w:val="958A3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9EA56F2"/>
    <w:multiLevelType w:val="hybridMultilevel"/>
    <w:tmpl w:val="AE2E9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296456"/>
    <w:multiLevelType w:val="hybridMultilevel"/>
    <w:tmpl w:val="5EDCB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951626"/>
    <w:multiLevelType w:val="hybridMultilevel"/>
    <w:tmpl w:val="E2C2F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6367D5"/>
    <w:multiLevelType w:val="hybridMultilevel"/>
    <w:tmpl w:val="5156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2906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7E2666"/>
    <w:multiLevelType w:val="multilevel"/>
    <w:tmpl w:val="46B872D6"/>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4A1E7B"/>
    <w:multiLevelType w:val="hybridMultilevel"/>
    <w:tmpl w:val="F30CA80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15545C3"/>
    <w:multiLevelType w:val="multilevel"/>
    <w:tmpl w:val="0D7236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0" w15:restartNumberingAfterBreak="0">
    <w:nsid w:val="6CF838B8"/>
    <w:multiLevelType w:val="hybridMultilevel"/>
    <w:tmpl w:val="6770CEB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2520D22"/>
    <w:multiLevelType w:val="hybridMultilevel"/>
    <w:tmpl w:val="0B425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3C1BC5"/>
    <w:multiLevelType w:val="hybridMultilevel"/>
    <w:tmpl w:val="27FA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FB6C24"/>
    <w:multiLevelType w:val="hybridMultilevel"/>
    <w:tmpl w:val="4E884790"/>
    <w:lvl w:ilvl="0" w:tplc="9EE06E2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94CAD"/>
    <w:multiLevelType w:val="hybridMultilevel"/>
    <w:tmpl w:val="76703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6"/>
  </w:num>
  <w:num w:numId="4">
    <w:abstractNumId w:val="20"/>
  </w:num>
  <w:num w:numId="5">
    <w:abstractNumId w:val="9"/>
  </w:num>
  <w:num w:numId="6">
    <w:abstractNumId w:val="19"/>
  </w:num>
  <w:num w:numId="7">
    <w:abstractNumId w:val="14"/>
  </w:num>
  <w:num w:numId="8">
    <w:abstractNumId w:val="30"/>
  </w:num>
  <w:num w:numId="9">
    <w:abstractNumId w:val="25"/>
  </w:num>
  <w:num w:numId="10">
    <w:abstractNumId w:val="21"/>
  </w:num>
  <w:num w:numId="11">
    <w:abstractNumId w:val="28"/>
  </w:num>
  <w:num w:numId="12">
    <w:abstractNumId w:val="42"/>
  </w:num>
  <w:num w:numId="13">
    <w:abstractNumId w:val="8"/>
  </w:num>
  <w:num w:numId="14">
    <w:abstractNumId w:val="34"/>
  </w:num>
  <w:num w:numId="15">
    <w:abstractNumId w:val="33"/>
  </w:num>
  <w:num w:numId="16">
    <w:abstractNumId w:val="26"/>
  </w:num>
  <w:num w:numId="17">
    <w:abstractNumId w:val="32"/>
  </w:num>
  <w:num w:numId="18">
    <w:abstractNumId w:val="1"/>
  </w:num>
  <w:num w:numId="19">
    <w:abstractNumId w:val="41"/>
  </w:num>
  <w:num w:numId="20">
    <w:abstractNumId w:val="23"/>
  </w:num>
  <w:num w:numId="21">
    <w:abstractNumId w:val="5"/>
  </w:num>
  <w:num w:numId="22">
    <w:abstractNumId w:val="11"/>
  </w:num>
  <w:num w:numId="23">
    <w:abstractNumId w:val="7"/>
  </w:num>
  <w:num w:numId="24">
    <w:abstractNumId w:val="15"/>
  </w:num>
  <w:num w:numId="25">
    <w:abstractNumId w:val="38"/>
  </w:num>
  <w:num w:numId="26">
    <w:abstractNumId w:val="44"/>
  </w:num>
  <w:num w:numId="27">
    <w:abstractNumId w:val="13"/>
  </w:num>
  <w:num w:numId="28">
    <w:abstractNumId w:val="2"/>
  </w:num>
  <w:num w:numId="29">
    <w:abstractNumId w:val="12"/>
  </w:num>
  <w:num w:numId="30">
    <w:abstractNumId w:val="39"/>
  </w:num>
  <w:num w:numId="31">
    <w:abstractNumId w:val="28"/>
    <w:lvlOverride w:ilvl="0">
      <w:startOverride w:val="1"/>
    </w:lvlOverride>
  </w:num>
  <w:num w:numId="32">
    <w:abstractNumId w:val="27"/>
  </w:num>
  <w:num w:numId="33">
    <w:abstractNumId w:val="6"/>
  </w:num>
  <w:num w:numId="34">
    <w:abstractNumId w:val="3"/>
  </w:num>
  <w:num w:numId="35">
    <w:abstractNumId w:val="40"/>
  </w:num>
  <w:num w:numId="36">
    <w:abstractNumId w:val="29"/>
  </w:num>
  <w:num w:numId="37">
    <w:abstractNumId w:val="37"/>
  </w:num>
  <w:num w:numId="38">
    <w:abstractNumId w:val="35"/>
  </w:num>
  <w:num w:numId="39">
    <w:abstractNumId w:val="22"/>
  </w:num>
  <w:num w:numId="40">
    <w:abstractNumId w:val="10"/>
  </w:num>
  <w:num w:numId="41">
    <w:abstractNumId w:val="37"/>
  </w:num>
  <w:num w:numId="42">
    <w:abstractNumId w:val="24"/>
  </w:num>
  <w:num w:numId="43">
    <w:abstractNumId w:val="37"/>
  </w:num>
  <w:num w:numId="44">
    <w:abstractNumId w:val="36"/>
  </w:num>
  <w:num w:numId="45">
    <w:abstractNumId w:val="37"/>
  </w:num>
  <w:num w:numId="46">
    <w:abstractNumId w:val="37"/>
  </w:num>
  <w:num w:numId="47">
    <w:abstractNumId w:val="43"/>
  </w:num>
  <w:num w:numId="48">
    <w:abstractNumId w:val="4"/>
  </w:num>
  <w:num w:numId="4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B8"/>
    <w:rsid w:val="000001A3"/>
    <w:rsid w:val="000001B3"/>
    <w:rsid w:val="0000026E"/>
    <w:rsid w:val="0000028B"/>
    <w:rsid w:val="000003BD"/>
    <w:rsid w:val="0000083A"/>
    <w:rsid w:val="000008A4"/>
    <w:rsid w:val="000008A9"/>
    <w:rsid w:val="000009F3"/>
    <w:rsid w:val="00000A11"/>
    <w:rsid w:val="00000AB7"/>
    <w:rsid w:val="00000AEC"/>
    <w:rsid w:val="00000B70"/>
    <w:rsid w:val="00000C15"/>
    <w:rsid w:val="00000CB9"/>
    <w:rsid w:val="00000EDC"/>
    <w:rsid w:val="000010D9"/>
    <w:rsid w:val="000010DB"/>
    <w:rsid w:val="00001209"/>
    <w:rsid w:val="0000127A"/>
    <w:rsid w:val="000012FC"/>
    <w:rsid w:val="000013AD"/>
    <w:rsid w:val="0000143F"/>
    <w:rsid w:val="00001445"/>
    <w:rsid w:val="0000152A"/>
    <w:rsid w:val="000015BF"/>
    <w:rsid w:val="000018C4"/>
    <w:rsid w:val="00001998"/>
    <w:rsid w:val="00001AA7"/>
    <w:rsid w:val="00001ABF"/>
    <w:rsid w:val="00001C52"/>
    <w:rsid w:val="00001C8E"/>
    <w:rsid w:val="000020D0"/>
    <w:rsid w:val="0000217A"/>
    <w:rsid w:val="000021CD"/>
    <w:rsid w:val="000024B3"/>
    <w:rsid w:val="000027D3"/>
    <w:rsid w:val="00002A52"/>
    <w:rsid w:val="00002A69"/>
    <w:rsid w:val="00002B95"/>
    <w:rsid w:val="00002C0A"/>
    <w:rsid w:val="00002D18"/>
    <w:rsid w:val="00002D51"/>
    <w:rsid w:val="000030C1"/>
    <w:rsid w:val="00003114"/>
    <w:rsid w:val="00003153"/>
    <w:rsid w:val="0000315F"/>
    <w:rsid w:val="000033AB"/>
    <w:rsid w:val="000034D5"/>
    <w:rsid w:val="0000363B"/>
    <w:rsid w:val="00003662"/>
    <w:rsid w:val="00003778"/>
    <w:rsid w:val="0000386A"/>
    <w:rsid w:val="000039E9"/>
    <w:rsid w:val="00003E47"/>
    <w:rsid w:val="00003E8E"/>
    <w:rsid w:val="00003F78"/>
    <w:rsid w:val="00003FC6"/>
    <w:rsid w:val="000040B1"/>
    <w:rsid w:val="000043D3"/>
    <w:rsid w:val="000044E0"/>
    <w:rsid w:val="00004696"/>
    <w:rsid w:val="000047A2"/>
    <w:rsid w:val="000047D1"/>
    <w:rsid w:val="00004817"/>
    <w:rsid w:val="000048BD"/>
    <w:rsid w:val="00004941"/>
    <w:rsid w:val="000049A9"/>
    <w:rsid w:val="00004B27"/>
    <w:rsid w:val="00004B4D"/>
    <w:rsid w:val="00004BA7"/>
    <w:rsid w:val="00004C59"/>
    <w:rsid w:val="00004D6F"/>
    <w:rsid w:val="00004EB5"/>
    <w:rsid w:val="00004F93"/>
    <w:rsid w:val="00005369"/>
    <w:rsid w:val="00005551"/>
    <w:rsid w:val="00005673"/>
    <w:rsid w:val="000057EF"/>
    <w:rsid w:val="000057F3"/>
    <w:rsid w:val="00005AA4"/>
    <w:rsid w:val="00005AC3"/>
    <w:rsid w:val="00005BDE"/>
    <w:rsid w:val="00005CC9"/>
    <w:rsid w:val="00005CEF"/>
    <w:rsid w:val="00005DCF"/>
    <w:rsid w:val="00005F00"/>
    <w:rsid w:val="00006127"/>
    <w:rsid w:val="000061AD"/>
    <w:rsid w:val="000061C9"/>
    <w:rsid w:val="00006205"/>
    <w:rsid w:val="000063E0"/>
    <w:rsid w:val="0000644A"/>
    <w:rsid w:val="0000644B"/>
    <w:rsid w:val="000064AD"/>
    <w:rsid w:val="00006657"/>
    <w:rsid w:val="000066F0"/>
    <w:rsid w:val="00006862"/>
    <w:rsid w:val="00006AAE"/>
    <w:rsid w:val="00006AE3"/>
    <w:rsid w:val="00006BC2"/>
    <w:rsid w:val="00006BC9"/>
    <w:rsid w:val="00006CE7"/>
    <w:rsid w:val="00006D74"/>
    <w:rsid w:val="00006DE8"/>
    <w:rsid w:val="00006F44"/>
    <w:rsid w:val="0000722E"/>
    <w:rsid w:val="00007287"/>
    <w:rsid w:val="000072D9"/>
    <w:rsid w:val="000072DF"/>
    <w:rsid w:val="0000746C"/>
    <w:rsid w:val="000074DA"/>
    <w:rsid w:val="00007709"/>
    <w:rsid w:val="00007886"/>
    <w:rsid w:val="000079A3"/>
    <w:rsid w:val="000079E4"/>
    <w:rsid w:val="00007A15"/>
    <w:rsid w:val="00007A37"/>
    <w:rsid w:val="00007A66"/>
    <w:rsid w:val="00007AAB"/>
    <w:rsid w:val="00007D9C"/>
    <w:rsid w:val="00007DC3"/>
    <w:rsid w:val="00007E84"/>
    <w:rsid w:val="00007EFC"/>
    <w:rsid w:val="00007F21"/>
    <w:rsid w:val="00007F56"/>
    <w:rsid w:val="00007FF5"/>
    <w:rsid w:val="000100EA"/>
    <w:rsid w:val="00010117"/>
    <w:rsid w:val="000104C8"/>
    <w:rsid w:val="0001060F"/>
    <w:rsid w:val="00010741"/>
    <w:rsid w:val="000107A0"/>
    <w:rsid w:val="00010921"/>
    <w:rsid w:val="00010A07"/>
    <w:rsid w:val="00010A16"/>
    <w:rsid w:val="00010A70"/>
    <w:rsid w:val="00010A95"/>
    <w:rsid w:val="00010B53"/>
    <w:rsid w:val="00010BBC"/>
    <w:rsid w:val="00010BEF"/>
    <w:rsid w:val="00010CA5"/>
    <w:rsid w:val="00010CCD"/>
    <w:rsid w:val="00010DE8"/>
    <w:rsid w:val="00010EE9"/>
    <w:rsid w:val="00010FB8"/>
    <w:rsid w:val="00011111"/>
    <w:rsid w:val="00011335"/>
    <w:rsid w:val="00011549"/>
    <w:rsid w:val="00011725"/>
    <w:rsid w:val="0001183B"/>
    <w:rsid w:val="00011B4A"/>
    <w:rsid w:val="00011B5C"/>
    <w:rsid w:val="00011BE7"/>
    <w:rsid w:val="00011CC3"/>
    <w:rsid w:val="00011CD8"/>
    <w:rsid w:val="00011EDD"/>
    <w:rsid w:val="00011EE9"/>
    <w:rsid w:val="00012036"/>
    <w:rsid w:val="0001210F"/>
    <w:rsid w:val="0001215F"/>
    <w:rsid w:val="000121AF"/>
    <w:rsid w:val="000121C4"/>
    <w:rsid w:val="00012369"/>
    <w:rsid w:val="000125D5"/>
    <w:rsid w:val="00012820"/>
    <w:rsid w:val="000128C2"/>
    <w:rsid w:val="000128FF"/>
    <w:rsid w:val="00012979"/>
    <w:rsid w:val="000129D1"/>
    <w:rsid w:val="000129DD"/>
    <w:rsid w:val="00012B5C"/>
    <w:rsid w:val="00012BF2"/>
    <w:rsid w:val="00012C2D"/>
    <w:rsid w:val="00012C4D"/>
    <w:rsid w:val="00012C62"/>
    <w:rsid w:val="00012CB7"/>
    <w:rsid w:val="00012D1E"/>
    <w:rsid w:val="00012EB2"/>
    <w:rsid w:val="000130E7"/>
    <w:rsid w:val="00013373"/>
    <w:rsid w:val="00013381"/>
    <w:rsid w:val="0001345D"/>
    <w:rsid w:val="00013481"/>
    <w:rsid w:val="0001355E"/>
    <w:rsid w:val="000135F3"/>
    <w:rsid w:val="0001370D"/>
    <w:rsid w:val="00013712"/>
    <w:rsid w:val="0001375F"/>
    <w:rsid w:val="0001379C"/>
    <w:rsid w:val="0001388D"/>
    <w:rsid w:val="00013915"/>
    <w:rsid w:val="0001394F"/>
    <w:rsid w:val="00013ABC"/>
    <w:rsid w:val="00013B20"/>
    <w:rsid w:val="00013C29"/>
    <w:rsid w:val="00013D69"/>
    <w:rsid w:val="00013FCD"/>
    <w:rsid w:val="0001414F"/>
    <w:rsid w:val="0001424E"/>
    <w:rsid w:val="000142E8"/>
    <w:rsid w:val="00014310"/>
    <w:rsid w:val="00014427"/>
    <w:rsid w:val="00014750"/>
    <w:rsid w:val="000147EA"/>
    <w:rsid w:val="00014BB1"/>
    <w:rsid w:val="00014C33"/>
    <w:rsid w:val="00014CD9"/>
    <w:rsid w:val="00015131"/>
    <w:rsid w:val="00015364"/>
    <w:rsid w:val="0001536B"/>
    <w:rsid w:val="00015472"/>
    <w:rsid w:val="00015478"/>
    <w:rsid w:val="00015692"/>
    <w:rsid w:val="000158C9"/>
    <w:rsid w:val="000158CD"/>
    <w:rsid w:val="00015AA8"/>
    <w:rsid w:val="00015AAC"/>
    <w:rsid w:val="00015AB4"/>
    <w:rsid w:val="00015C9C"/>
    <w:rsid w:val="00015D57"/>
    <w:rsid w:val="00015F19"/>
    <w:rsid w:val="00015F79"/>
    <w:rsid w:val="00016006"/>
    <w:rsid w:val="00016054"/>
    <w:rsid w:val="00016103"/>
    <w:rsid w:val="00016194"/>
    <w:rsid w:val="00016305"/>
    <w:rsid w:val="0001640E"/>
    <w:rsid w:val="00016A34"/>
    <w:rsid w:val="00016DFB"/>
    <w:rsid w:val="000170FD"/>
    <w:rsid w:val="00017146"/>
    <w:rsid w:val="000172D8"/>
    <w:rsid w:val="00017313"/>
    <w:rsid w:val="00017572"/>
    <w:rsid w:val="0001785C"/>
    <w:rsid w:val="00017871"/>
    <w:rsid w:val="00017CF6"/>
    <w:rsid w:val="00017CFA"/>
    <w:rsid w:val="00017D2A"/>
    <w:rsid w:val="00017D39"/>
    <w:rsid w:val="00017DB5"/>
    <w:rsid w:val="00017DD0"/>
    <w:rsid w:val="00017DE7"/>
    <w:rsid w:val="00017E78"/>
    <w:rsid w:val="00017ECE"/>
    <w:rsid w:val="00017FC6"/>
    <w:rsid w:val="000200B0"/>
    <w:rsid w:val="0002025C"/>
    <w:rsid w:val="000205F9"/>
    <w:rsid w:val="0002086C"/>
    <w:rsid w:val="000208A8"/>
    <w:rsid w:val="00020A46"/>
    <w:rsid w:val="00020BD8"/>
    <w:rsid w:val="00020C75"/>
    <w:rsid w:val="00020CA3"/>
    <w:rsid w:val="00020DA5"/>
    <w:rsid w:val="00020E8C"/>
    <w:rsid w:val="00020FCC"/>
    <w:rsid w:val="00021028"/>
    <w:rsid w:val="0002109E"/>
    <w:rsid w:val="00021155"/>
    <w:rsid w:val="0002126C"/>
    <w:rsid w:val="000215A1"/>
    <w:rsid w:val="00021D08"/>
    <w:rsid w:val="00021D0C"/>
    <w:rsid w:val="00021DC6"/>
    <w:rsid w:val="00021E2D"/>
    <w:rsid w:val="00021E90"/>
    <w:rsid w:val="00021ECC"/>
    <w:rsid w:val="00021F3A"/>
    <w:rsid w:val="000220AD"/>
    <w:rsid w:val="000221C4"/>
    <w:rsid w:val="000221FE"/>
    <w:rsid w:val="00022231"/>
    <w:rsid w:val="00022272"/>
    <w:rsid w:val="0002228F"/>
    <w:rsid w:val="00022376"/>
    <w:rsid w:val="000225E7"/>
    <w:rsid w:val="000226C0"/>
    <w:rsid w:val="00022769"/>
    <w:rsid w:val="00022A56"/>
    <w:rsid w:val="00022D72"/>
    <w:rsid w:val="0002311F"/>
    <w:rsid w:val="0002329C"/>
    <w:rsid w:val="000232DE"/>
    <w:rsid w:val="00023453"/>
    <w:rsid w:val="000234D1"/>
    <w:rsid w:val="000234DB"/>
    <w:rsid w:val="00023AEE"/>
    <w:rsid w:val="00023F19"/>
    <w:rsid w:val="00023F76"/>
    <w:rsid w:val="00024048"/>
    <w:rsid w:val="000240F0"/>
    <w:rsid w:val="000241AA"/>
    <w:rsid w:val="0002424E"/>
    <w:rsid w:val="00024273"/>
    <w:rsid w:val="00024281"/>
    <w:rsid w:val="000242A8"/>
    <w:rsid w:val="0002454C"/>
    <w:rsid w:val="00024614"/>
    <w:rsid w:val="00024718"/>
    <w:rsid w:val="000248E2"/>
    <w:rsid w:val="00024922"/>
    <w:rsid w:val="000249C3"/>
    <w:rsid w:val="000249E2"/>
    <w:rsid w:val="000249EC"/>
    <w:rsid w:val="00024A09"/>
    <w:rsid w:val="00024BF8"/>
    <w:rsid w:val="00024D54"/>
    <w:rsid w:val="00024DA4"/>
    <w:rsid w:val="00024EB7"/>
    <w:rsid w:val="00025225"/>
    <w:rsid w:val="00025232"/>
    <w:rsid w:val="000252A0"/>
    <w:rsid w:val="0002544D"/>
    <w:rsid w:val="00025450"/>
    <w:rsid w:val="000254BD"/>
    <w:rsid w:val="000254E5"/>
    <w:rsid w:val="00025525"/>
    <w:rsid w:val="0002552E"/>
    <w:rsid w:val="0002564E"/>
    <w:rsid w:val="00025685"/>
    <w:rsid w:val="00025978"/>
    <w:rsid w:val="000259B0"/>
    <w:rsid w:val="00025D24"/>
    <w:rsid w:val="00025D56"/>
    <w:rsid w:val="00025D7F"/>
    <w:rsid w:val="00025D8E"/>
    <w:rsid w:val="0002601F"/>
    <w:rsid w:val="00026299"/>
    <w:rsid w:val="00026347"/>
    <w:rsid w:val="0002636F"/>
    <w:rsid w:val="00026390"/>
    <w:rsid w:val="00026703"/>
    <w:rsid w:val="00026763"/>
    <w:rsid w:val="00026793"/>
    <w:rsid w:val="000267D8"/>
    <w:rsid w:val="0002697B"/>
    <w:rsid w:val="00026A2E"/>
    <w:rsid w:val="00026ADE"/>
    <w:rsid w:val="00026E4D"/>
    <w:rsid w:val="00026EC4"/>
    <w:rsid w:val="00026F01"/>
    <w:rsid w:val="0002700E"/>
    <w:rsid w:val="000272B8"/>
    <w:rsid w:val="00027345"/>
    <w:rsid w:val="000274F9"/>
    <w:rsid w:val="00027686"/>
    <w:rsid w:val="000276F1"/>
    <w:rsid w:val="00027766"/>
    <w:rsid w:val="0002799A"/>
    <w:rsid w:val="00027B1E"/>
    <w:rsid w:val="00027C17"/>
    <w:rsid w:val="00027C22"/>
    <w:rsid w:val="00027C9D"/>
    <w:rsid w:val="00027E1D"/>
    <w:rsid w:val="00030045"/>
    <w:rsid w:val="0003014E"/>
    <w:rsid w:val="000301CD"/>
    <w:rsid w:val="000301DF"/>
    <w:rsid w:val="0003024C"/>
    <w:rsid w:val="00030352"/>
    <w:rsid w:val="00030411"/>
    <w:rsid w:val="00030546"/>
    <w:rsid w:val="000305A4"/>
    <w:rsid w:val="00030676"/>
    <w:rsid w:val="00030A87"/>
    <w:rsid w:val="00030AE6"/>
    <w:rsid w:val="00030B4D"/>
    <w:rsid w:val="00030C14"/>
    <w:rsid w:val="00030C88"/>
    <w:rsid w:val="00030CBF"/>
    <w:rsid w:val="00030FCF"/>
    <w:rsid w:val="00031099"/>
    <w:rsid w:val="00031153"/>
    <w:rsid w:val="000311F8"/>
    <w:rsid w:val="0003141B"/>
    <w:rsid w:val="000316DF"/>
    <w:rsid w:val="00031925"/>
    <w:rsid w:val="000319BA"/>
    <w:rsid w:val="00031AC7"/>
    <w:rsid w:val="00031B2D"/>
    <w:rsid w:val="00031C71"/>
    <w:rsid w:val="00031CEA"/>
    <w:rsid w:val="00031D6E"/>
    <w:rsid w:val="00031F9A"/>
    <w:rsid w:val="00031F9D"/>
    <w:rsid w:val="0003210E"/>
    <w:rsid w:val="00032159"/>
    <w:rsid w:val="0003228D"/>
    <w:rsid w:val="00032387"/>
    <w:rsid w:val="000323EF"/>
    <w:rsid w:val="000324AA"/>
    <w:rsid w:val="000325D9"/>
    <w:rsid w:val="00032659"/>
    <w:rsid w:val="00032661"/>
    <w:rsid w:val="0003275D"/>
    <w:rsid w:val="00032948"/>
    <w:rsid w:val="00032AA4"/>
    <w:rsid w:val="00032B46"/>
    <w:rsid w:val="00032C3F"/>
    <w:rsid w:val="00032C4F"/>
    <w:rsid w:val="00032EA8"/>
    <w:rsid w:val="000331B7"/>
    <w:rsid w:val="0003321B"/>
    <w:rsid w:val="000332CB"/>
    <w:rsid w:val="000336A1"/>
    <w:rsid w:val="0003387D"/>
    <w:rsid w:val="00033B9E"/>
    <w:rsid w:val="00033C87"/>
    <w:rsid w:val="00033E49"/>
    <w:rsid w:val="00033F2E"/>
    <w:rsid w:val="00034080"/>
    <w:rsid w:val="00034673"/>
    <w:rsid w:val="00034686"/>
    <w:rsid w:val="000348B3"/>
    <w:rsid w:val="000348FE"/>
    <w:rsid w:val="000349D7"/>
    <w:rsid w:val="00034AF0"/>
    <w:rsid w:val="00034B71"/>
    <w:rsid w:val="00034CE0"/>
    <w:rsid w:val="00034D5B"/>
    <w:rsid w:val="00034E6F"/>
    <w:rsid w:val="00034E78"/>
    <w:rsid w:val="00035043"/>
    <w:rsid w:val="000350B1"/>
    <w:rsid w:val="00035231"/>
    <w:rsid w:val="00035235"/>
    <w:rsid w:val="00035294"/>
    <w:rsid w:val="000352BB"/>
    <w:rsid w:val="000353F2"/>
    <w:rsid w:val="000355C7"/>
    <w:rsid w:val="000355DF"/>
    <w:rsid w:val="00035763"/>
    <w:rsid w:val="0003576B"/>
    <w:rsid w:val="000358B9"/>
    <w:rsid w:val="000358D6"/>
    <w:rsid w:val="000359A6"/>
    <w:rsid w:val="000359B0"/>
    <w:rsid w:val="00035A63"/>
    <w:rsid w:val="00035E7E"/>
    <w:rsid w:val="00035ECB"/>
    <w:rsid w:val="00035F0E"/>
    <w:rsid w:val="00035F9E"/>
    <w:rsid w:val="00035FCA"/>
    <w:rsid w:val="00036039"/>
    <w:rsid w:val="000360AE"/>
    <w:rsid w:val="000360B3"/>
    <w:rsid w:val="00036446"/>
    <w:rsid w:val="000364FA"/>
    <w:rsid w:val="00036565"/>
    <w:rsid w:val="00036566"/>
    <w:rsid w:val="00036692"/>
    <w:rsid w:val="00036738"/>
    <w:rsid w:val="00036768"/>
    <w:rsid w:val="000367DE"/>
    <w:rsid w:val="00036845"/>
    <w:rsid w:val="000369A1"/>
    <w:rsid w:val="00036A25"/>
    <w:rsid w:val="00036A7D"/>
    <w:rsid w:val="00036D44"/>
    <w:rsid w:val="00036D5F"/>
    <w:rsid w:val="00037024"/>
    <w:rsid w:val="000370EB"/>
    <w:rsid w:val="0003740E"/>
    <w:rsid w:val="000374A3"/>
    <w:rsid w:val="00037515"/>
    <w:rsid w:val="0003754D"/>
    <w:rsid w:val="0003758D"/>
    <w:rsid w:val="000375A0"/>
    <w:rsid w:val="00037670"/>
    <w:rsid w:val="000377D7"/>
    <w:rsid w:val="00037864"/>
    <w:rsid w:val="0003787E"/>
    <w:rsid w:val="00037A09"/>
    <w:rsid w:val="00037C92"/>
    <w:rsid w:val="00037E4D"/>
    <w:rsid w:val="00037E72"/>
    <w:rsid w:val="00037E96"/>
    <w:rsid w:val="00037F88"/>
    <w:rsid w:val="00040030"/>
    <w:rsid w:val="00040082"/>
    <w:rsid w:val="0004043A"/>
    <w:rsid w:val="000404F3"/>
    <w:rsid w:val="000406F2"/>
    <w:rsid w:val="0004086A"/>
    <w:rsid w:val="00040C06"/>
    <w:rsid w:val="00040CCB"/>
    <w:rsid w:val="00040CFA"/>
    <w:rsid w:val="00040D99"/>
    <w:rsid w:val="00040E38"/>
    <w:rsid w:val="000410A2"/>
    <w:rsid w:val="0004112D"/>
    <w:rsid w:val="000415B6"/>
    <w:rsid w:val="00041676"/>
    <w:rsid w:val="0004169B"/>
    <w:rsid w:val="000416D6"/>
    <w:rsid w:val="000419CA"/>
    <w:rsid w:val="00041A08"/>
    <w:rsid w:val="00041A2C"/>
    <w:rsid w:val="00041A8B"/>
    <w:rsid w:val="00041B4E"/>
    <w:rsid w:val="00041C02"/>
    <w:rsid w:val="00041DCB"/>
    <w:rsid w:val="000423A1"/>
    <w:rsid w:val="000423C7"/>
    <w:rsid w:val="00042409"/>
    <w:rsid w:val="000426C0"/>
    <w:rsid w:val="0004274D"/>
    <w:rsid w:val="0004293E"/>
    <w:rsid w:val="000429A9"/>
    <w:rsid w:val="000429AC"/>
    <w:rsid w:val="000429F2"/>
    <w:rsid w:val="00042A18"/>
    <w:rsid w:val="00042B9F"/>
    <w:rsid w:val="00042BA1"/>
    <w:rsid w:val="00042CC5"/>
    <w:rsid w:val="00042CCF"/>
    <w:rsid w:val="00042E84"/>
    <w:rsid w:val="00042EBC"/>
    <w:rsid w:val="000430A5"/>
    <w:rsid w:val="000430D4"/>
    <w:rsid w:val="00043185"/>
    <w:rsid w:val="000431E5"/>
    <w:rsid w:val="0004328C"/>
    <w:rsid w:val="0004337C"/>
    <w:rsid w:val="0004342E"/>
    <w:rsid w:val="000434BA"/>
    <w:rsid w:val="0004358C"/>
    <w:rsid w:val="0004370F"/>
    <w:rsid w:val="00043829"/>
    <w:rsid w:val="00043901"/>
    <w:rsid w:val="00043BA1"/>
    <w:rsid w:val="00043ED1"/>
    <w:rsid w:val="0004401A"/>
    <w:rsid w:val="0004404C"/>
    <w:rsid w:val="000440AE"/>
    <w:rsid w:val="00044159"/>
    <w:rsid w:val="00044177"/>
    <w:rsid w:val="0004425B"/>
    <w:rsid w:val="000442D8"/>
    <w:rsid w:val="0004440F"/>
    <w:rsid w:val="000445EA"/>
    <w:rsid w:val="0004463E"/>
    <w:rsid w:val="0004465C"/>
    <w:rsid w:val="0004475A"/>
    <w:rsid w:val="000447E0"/>
    <w:rsid w:val="00044A7F"/>
    <w:rsid w:val="00044A94"/>
    <w:rsid w:val="00044B23"/>
    <w:rsid w:val="00044BFF"/>
    <w:rsid w:val="00044C0A"/>
    <w:rsid w:val="00044C33"/>
    <w:rsid w:val="00044C90"/>
    <w:rsid w:val="00044E92"/>
    <w:rsid w:val="00044ECC"/>
    <w:rsid w:val="0004530D"/>
    <w:rsid w:val="0004533E"/>
    <w:rsid w:val="00045366"/>
    <w:rsid w:val="000459D1"/>
    <w:rsid w:val="00045A08"/>
    <w:rsid w:val="00045BAA"/>
    <w:rsid w:val="00045D7C"/>
    <w:rsid w:val="00046109"/>
    <w:rsid w:val="00046191"/>
    <w:rsid w:val="0004641B"/>
    <w:rsid w:val="00046484"/>
    <w:rsid w:val="00046596"/>
    <w:rsid w:val="00046803"/>
    <w:rsid w:val="00046D8A"/>
    <w:rsid w:val="000470F3"/>
    <w:rsid w:val="000471BA"/>
    <w:rsid w:val="00047280"/>
    <w:rsid w:val="00047432"/>
    <w:rsid w:val="00047AEB"/>
    <w:rsid w:val="00047B13"/>
    <w:rsid w:val="00047B2E"/>
    <w:rsid w:val="00047CE7"/>
    <w:rsid w:val="00047D0A"/>
    <w:rsid w:val="00047D71"/>
    <w:rsid w:val="00047D7E"/>
    <w:rsid w:val="00047EBB"/>
    <w:rsid w:val="000502F5"/>
    <w:rsid w:val="000504F8"/>
    <w:rsid w:val="000505C1"/>
    <w:rsid w:val="0005082E"/>
    <w:rsid w:val="000508BB"/>
    <w:rsid w:val="00050AC7"/>
    <w:rsid w:val="00050ACC"/>
    <w:rsid w:val="00050B78"/>
    <w:rsid w:val="00050D3D"/>
    <w:rsid w:val="00050D40"/>
    <w:rsid w:val="00050DE6"/>
    <w:rsid w:val="00050ECF"/>
    <w:rsid w:val="00050F37"/>
    <w:rsid w:val="00051135"/>
    <w:rsid w:val="0005137A"/>
    <w:rsid w:val="000513D2"/>
    <w:rsid w:val="000513DA"/>
    <w:rsid w:val="00051421"/>
    <w:rsid w:val="0005143B"/>
    <w:rsid w:val="0005144C"/>
    <w:rsid w:val="00051731"/>
    <w:rsid w:val="00051732"/>
    <w:rsid w:val="000518AD"/>
    <w:rsid w:val="00051958"/>
    <w:rsid w:val="00051A33"/>
    <w:rsid w:val="00051BFA"/>
    <w:rsid w:val="00051D0E"/>
    <w:rsid w:val="00051D60"/>
    <w:rsid w:val="00051ED9"/>
    <w:rsid w:val="00052007"/>
    <w:rsid w:val="0005209D"/>
    <w:rsid w:val="0005224F"/>
    <w:rsid w:val="000523C2"/>
    <w:rsid w:val="000523FC"/>
    <w:rsid w:val="00052503"/>
    <w:rsid w:val="00052864"/>
    <w:rsid w:val="00052B8D"/>
    <w:rsid w:val="00052D45"/>
    <w:rsid w:val="00052E00"/>
    <w:rsid w:val="00052E1D"/>
    <w:rsid w:val="00052E26"/>
    <w:rsid w:val="00052F5A"/>
    <w:rsid w:val="00052F91"/>
    <w:rsid w:val="00052FAC"/>
    <w:rsid w:val="00053122"/>
    <w:rsid w:val="00053323"/>
    <w:rsid w:val="0005335E"/>
    <w:rsid w:val="00053411"/>
    <w:rsid w:val="00053480"/>
    <w:rsid w:val="000536DB"/>
    <w:rsid w:val="00053710"/>
    <w:rsid w:val="00053786"/>
    <w:rsid w:val="000537D7"/>
    <w:rsid w:val="000538FA"/>
    <w:rsid w:val="00053904"/>
    <w:rsid w:val="00053C1E"/>
    <w:rsid w:val="00053D8C"/>
    <w:rsid w:val="00053EAB"/>
    <w:rsid w:val="000543AA"/>
    <w:rsid w:val="00054524"/>
    <w:rsid w:val="00054896"/>
    <w:rsid w:val="000548A0"/>
    <w:rsid w:val="0005491A"/>
    <w:rsid w:val="00054A41"/>
    <w:rsid w:val="00054A6F"/>
    <w:rsid w:val="00054B5F"/>
    <w:rsid w:val="00054E95"/>
    <w:rsid w:val="00054FA4"/>
    <w:rsid w:val="000550DC"/>
    <w:rsid w:val="0005510A"/>
    <w:rsid w:val="00055182"/>
    <w:rsid w:val="000551C7"/>
    <w:rsid w:val="0005540E"/>
    <w:rsid w:val="0005545D"/>
    <w:rsid w:val="00055509"/>
    <w:rsid w:val="000559B8"/>
    <w:rsid w:val="00055A19"/>
    <w:rsid w:val="00055BE9"/>
    <w:rsid w:val="00055C51"/>
    <w:rsid w:val="00055DA0"/>
    <w:rsid w:val="00055DDB"/>
    <w:rsid w:val="00055E2C"/>
    <w:rsid w:val="00055EBB"/>
    <w:rsid w:val="000561C6"/>
    <w:rsid w:val="00056263"/>
    <w:rsid w:val="000562A7"/>
    <w:rsid w:val="00056363"/>
    <w:rsid w:val="0005636E"/>
    <w:rsid w:val="000567DF"/>
    <w:rsid w:val="000567F8"/>
    <w:rsid w:val="00056880"/>
    <w:rsid w:val="000569C0"/>
    <w:rsid w:val="000569DA"/>
    <w:rsid w:val="00056BEB"/>
    <w:rsid w:val="00056C6B"/>
    <w:rsid w:val="00056CC7"/>
    <w:rsid w:val="00056E08"/>
    <w:rsid w:val="00056E76"/>
    <w:rsid w:val="00056F09"/>
    <w:rsid w:val="00056FA3"/>
    <w:rsid w:val="0005700B"/>
    <w:rsid w:val="0005722B"/>
    <w:rsid w:val="000574B7"/>
    <w:rsid w:val="000576CF"/>
    <w:rsid w:val="0005779B"/>
    <w:rsid w:val="00057947"/>
    <w:rsid w:val="00057A1A"/>
    <w:rsid w:val="00057A54"/>
    <w:rsid w:val="00057A91"/>
    <w:rsid w:val="00057AAB"/>
    <w:rsid w:val="00057BB3"/>
    <w:rsid w:val="00057D14"/>
    <w:rsid w:val="00057E7C"/>
    <w:rsid w:val="00057FE5"/>
    <w:rsid w:val="00057FE7"/>
    <w:rsid w:val="00060231"/>
    <w:rsid w:val="0006023A"/>
    <w:rsid w:val="0006029B"/>
    <w:rsid w:val="000602F9"/>
    <w:rsid w:val="00060468"/>
    <w:rsid w:val="000605D5"/>
    <w:rsid w:val="000606DA"/>
    <w:rsid w:val="00060884"/>
    <w:rsid w:val="000608F7"/>
    <w:rsid w:val="00060907"/>
    <w:rsid w:val="00060A3C"/>
    <w:rsid w:val="00060AF0"/>
    <w:rsid w:val="00060C87"/>
    <w:rsid w:val="00060D10"/>
    <w:rsid w:val="00060D1C"/>
    <w:rsid w:val="00060D5A"/>
    <w:rsid w:val="00060DE0"/>
    <w:rsid w:val="00060E00"/>
    <w:rsid w:val="00060F24"/>
    <w:rsid w:val="00060F7C"/>
    <w:rsid w:val="0006127A"/>
    <w:rsid w:val="000612D1"/>
    <w:rsid w:val="0006136B"/>
    <w:rsid w:val="0006141F"/>
    <w:rsid w:val="0006143F"/>
    <w:rsid w:val="000614B8"/>
    <w:rsid w:val="0006152B"/>
    <w:rsid w:val="000615D1"/>
    <w:rsid w:val="000615F1"/>
    <w:rsid w:val="00061664"/>
    <w:rsid w:val="000616FF"/>
    <w:rsid w:val="00061700"/>
    <w:rsid w:val="00061864"/>
    <w:rsid w:val="00061911"/>
    <w:rsid w:val="00061BAB"/>
    <w:rsid w:val="00061BCE"/>
    <w:rsid w:val="00061D9F"/>
    <w:rsid w:val="00061EBB"/>
    <w:rsid w:val="0006201A"/>
    <w:rsid w:val="0006205C"/>
    <w:rsid w:val="000620CA"/>
    <w:rsid w:val="0006210B"/>
    <w:rsid w:val="00062167"/>
    <w:rsid w:val="0006223E"/>
    <w:rsid w:val="00062287"/>
    <w:rsid w:val="00062472"/>
    <w:rsid w:val="000624E4"/>
    <w:rsid w:val="0006256C"/>
    <w:rsid w:val="0006259B"/>
    <w:rsid w:val="000625D6"/>
    <w:rsid w:val="0006264D"/>
    <w:rsid w:val="000626CB"/>
    <w:rsid w:val="0006277F"/>
    <w:rsid w:val="00062831"/>
    <w:rsid w:val="00062966"/>
    <w:rsid w:val="000629B7"/>
    <w:rsid w:val="00062AA8"/>
    <w:rsid w:val="00062C7F"/>
    <w:rsid w:val="00062E38"/>
    <w:rsid w:val="00063032"/>
    <w:rsid w:val="000630CB"/>
    <w:rsid w:val="0006313B"/>
    <w:rsid w:val="0006324D"/>
    <w:rsid w:val="000632DB"/>
    <w:rsid w:val="000632F2"/>
    <w:rsid w:val="00063516"/>
    <w:rsid w:val="0006364B"/>
    <w:rsid w:val="00063747"/>
    <w:rsid w:val="000638C8"/>
    <w:rsid w:val="00063977"/>
    <w:rsid w:val="00063A93"/>
    <w:rsid w:val="00063B3E"/>
    <w:rsid w:val="00063CAA"/>
    <w:rsid w:val="00063D02"/>
    <w:rsid w:val="00064115"/>
    <w:rsid w:val="000641F1"/>
    <w:rsid w:val="0006431C"/>
    <w:rsid w:val="00064471"/>
    <w:rsid w:val="000645B5"/>
    <w:rsid w:val="00064786"/>
    <w:rsid w:val="0006481B"/>
    <w:rsid w:val="00064B24"/>
    <w:rsid w:val="00064CBD"/>
    <w:rsid w:val="00064CCE"/>
    <w:rsid w:val="00064DB5"/>
    <w:rsid w:val="00064EC7"/>
    <w:rsid w:val="00064F06"/>
    <w:rsid w:val="00064F86"/>
    <w:rsid w:val="00065084"/>
    <w:rsid w:val="00065306"/>
    <w:rsid w:val="00065392"/>
    <w:rsid w:val="00065553"/>
    <w:rsid w:val="0006557E"/>
    <w:rsid w:val="000655FE"/>
    <w:rsid w:val="0006569D"/>
    <w:rsid w:val="00065940"/>
    <w:rsid w:val="00065A45"/>
    <w:rsid w:val="00065AE7"/>
    <w:rsid w:val="00065B6B"/>
    <w:rsid w:val="00065BA9"/>
    <w:rsid w:val="00065CBA"/>
    <w:rsid w:val="00065DA8"/>
    <w:rsid w:val="00066127"/>
    <w:rsid w:val="00066541"/>
    <w:rsid w:val="00066827"/>
    <w:rsid w:val="00066AFA"/>
    <w:rsid w:val="00066BB3"/>
    <w:rsid w:val="00066CFB"/>
    <w:rsid w:val="00066DA2"/>
    <w:rsid w:val="00066E51"/>
    <w:rsid w:val="00066F51"/>
    <w:rsid w:val="00066F77"/>
    <w:rsid w:val="00067080"/>
    <w:rsid w:val="000670A3"/>
    <w:rsid w:val="0006718A"/>
    <w:rsid w:val="00067281"/>
    <w:rsid w:val="0006740A"/>
    <w:rsid w:val="0006751E"/>
    <w:rsid w:val="000675D1"/>
    <w:rsid w:val="0006766D"/>
    <w:rsid w:val="00067711"/>
    <w:rsid w:val="00067733"/>
    <w:rsid w:val="00067806"/>
    <w:rsid w:val="00067961"/>
    <w:rsid w:val="00067A2E"/>
    <w:rsid w:val="00067C36"/>
    <w:rsid w:val="00070403"/>
    <w:rsid w:val="000704C1"/>
    <w:rsid w:val="000706EB"/>
    <w:rsid w:val="00070D13"/>
    <w:rsid w:val="00070EF5"/>
    <w:rsid w:val="00070FA2"/>
    <w:rsid w:val="0007102C"/>
    <w:rsid w:val="0007103F"/>
    <w:rsid w:val="0007109A"/>
    <w:rsid w:val="00071112"/>
    <w:rsid w:val="000711A8"/>
    <w:rsid w:val="00071347"/>
    <w:rsid w:val="00071378"/>
    <w:rsid w:val="000714E8"/>
    <w:rsid w:val="000715D5"/>
    <w:rsid w:val="0007192D"/>
    <w:rsid w:val="00071958"/>
    <w:rsid w:val="00071E08"/>
    <w:rsid w:val="00071EF4"/>
    <w:rsid w:val="00071F05"/>
    <w:rsid w:val="00071FB2"/>
    <w:rsid w:val="00072098"/>
    <w:rsid w:val="00072119"/>
    <w:rsid w:val="00072279"/>
    <w:rsid w:val="00072352"/>
    <w:rsid w:val="0007269C"/>
    <w:rsid w:val="00072750"/>
    <w:rsid w:val="000728DA"/>
    <w:rsid w:val="0007298B"/>
    <w:rsid w:val="000729F1"/>
    <w:rsid w:val="00072B75"/>
    <w:rsid w:val="00072F16"/>
    <w:rsid w:val="00073099"/>
    <w:rsid w:val="00073107"/>
    <w:rsid w:val="0007339A"/>
    <w:rsid w:val="0007348D"/>
    <w:rsid w:val="000734ED"/>
    <w:rsid w:val="00073521"/>
    <w:rsid w:val="0007360F"/>
    <w:rsid w:val="00073649"/>
    <w:rsid w:val="00073656"/>
    <w:rsid w:val="00073844"/>
    <w:rsid w:val="000738AA"/>
    <w:rsid w:val="00073B57"/>
    <w:rsid w:val="00073D6B"/>
    <w:rsid w:val="00073EF7"/>
    <w:rsid w:val="00073FCD"/>
    <w:rsid w:val="00073FFB"/>
    <w:rsid w:val="000740D0"/>
    <w:rsid w:val="00074426"/>
    <w:rsid w:val="000745E6"/>
    <w:rsid w:val="00074785"/>
    <w:rsid w:val="00074835"/>
    <w:rsid w:val="00074C9C"/>
    <w:rsid w:val="00074D34"/>
    <w:rsid w:val="00074D3A"/>
    <w:rsid w:val="00074FBE"/>
    <w:rsid w:val="0007507F"/>
    <w:rsid w:val="0007514E"/>
    <w:rsid w:val="000751BD"/>
    <w:rsid w:val="000751D0"/>
    <w:rsid w:val="00075519"/>
    <w:rsid w:val="000755BA"/>
    <w:rsid w:val="000755CC"/>
    <w:rsid w:val="00075842"/>
    <w:rsid w:val="000758C8"/>
    <w:rsid w:val="0007595D"/>
    <w:rsid w:val="00075A79"/>
    <w:rsid w:val="00075B03"/>
    <w:rsid w:val="00075B3F"/>
    <w:rsid w:val="00075B73"/>
    <w:rsid w:val="00075C53"/>
    <w:rsid w:val="00076069"/>
    <w:rsid w:val="000762F2"/>
    <w:rsid w:val="00076472"/>
    <w:rsid w:val="0007661A"/>
    <w:rsid w:val="000766A8"/>
    <w:rsid w:val="0007698E"/>
    <w:rsid w:val="00076B37"/>
    <w:rsid w:val="00076BE7"/>
    <w:rsid w:val="00076C94"/>
    <w:rsid w:val="00076D72"/>
    <w:rsid w:val="00077032"/>
    <w:rsid w:val="0007718E"/>
    <w:rsid w:val="00077280"/>
    <w:rsid w:val="0007738B"/>
    <w:rsid w:val="000773A6"/>
    <w:rsid w:val="000773CD"/>
    <w:rsid w:val="000773EC"/>
    <w:rsid w:val="00077506"/>
    <w:rsid w:val="0007752D"/>
    <w:rsid w:val="00077584"/>
    <w:rsid w:val="000775DE"/>
    <w:rsid w:val="000776AF"/>
    <w:rsid w:val="000776D3"/>
    <w:rsid w:val="000777B0"/>
    <w:rsid w:val="0007781C"/>
    <w:rsid w:val="000778A9"/>
    <w:rsid w:val="00077920"/>
    <w:rsid w:val="0007799C"/>
    <w:rsid w:val="000779AB"/>
    <w:rsid w:val="00077B35"/>
    <w:rsid w:val="00077BED"/>
    <w:rsid w:val="00077C8B"/>
    <w:rsid w:val="00077D84"/>
    <w:rsid w:val="00077D8F"/>
    <w:rsid w:val="00077E26"/>
    <w:rsid w:val="00077E2D"/>
    <w:rsid w:val="00077E65"/>
    <w:rsid w:val="00077F7C"/>
    <w:rsid w:val="0008009A"/>
    <w:rsid w:val="000804E5"/>
    <w:rsid w:val="00080687"/>
    <w:rsid w:val="000806BA"/>
    <w:rsid w:val="00080B33"/>
    <w:rsid w:val="00080BAD"/>
    <w:rsid w:val="00080C08"/>
    <w:rsid w:val="00080CD2"/>
    <w:rsid w:val="0008107F"/>
    <w:rsid w:val="00081292"/>
    <w:rsid w:val="0008136F"/>
    <w:rsid w:val="000814D9"/>
    <w:rsid w:val="000816AA"/>
    <w:rsid w:val="0008191E"/>
    <w:rsid w:val="00081956"/>
    <w:rsid w:val="000819CD"/>
    <w:rsid w:val="00081BBE"/>
    <w:rsid w:val="00081EDC"/>
    <w:rsid w:val="00081F19"/>
    <w:rsid w:val="00081F3D"/>
    <w:rsid w:val="00081F8B"/>
    <w:rsid w:val="00082325"/>
    <w:rsid w:val="00082328"/>
    <w:rsid w:val="00082364"/>
    <w:rsid w:val="00082380"/>
    <w:rsid w:val="00082394"/>
    <w:rsid w:val="00082443"/>
    <w:rsid w:val="000824BB"/>
    <w:rsid w:val="000824F9"/>
    <w:rsid w:val="00082559"/>
    <w:rsid w:val="00082576"/>
    <w:rsid w:val="00082969"/>
    <w:rsid w:val="00082A83"/>
    <w:rsid w:val="00082B47"/>
    <w:rsid w:val="00082B50"/>
    <w:rsid w:val="00082BB5"/>
    <w:rsid w:val="00082C3F"/>
    <w:rsid w:val="00082C71"/>
    <w:rsid w:val="00082C92"/>
    <w:rsid w:val="00082D81"/>
    <w:rsid w:val="00082EA3"/>
    <w:rsid w:val="00082EA9"/>
    <w:rsid w:val="00082EAE"/>
    <w:rsid w:val="00082FC2"/>
    <w:rsid w:val="00083389"/>
    <w:rsid w:val="000834A3"/>
    <w:rsid w:val="0008351F"/>
    <w:rsid w:val="00083766"/>
    <w:rsid w:val="00083896"/>
    <w:rsid w:val="000839EC"/>
    <w:rsid w:val="00083A5E"/>
    <w:rsid w:val="00083B0C"/>
    <w:rsid w:val="00083BA6"/>
    <w:rsid w:val="00083C4A"/>
    <w:rsid w:val="00083CC0"/>
    <w:rsid w:val="00083DA0"/>
    <w:rsid w:val="00083DB5"/>
    <w:rsid w:val="00083E4D"/>
    <w:rsid w:val="00083EB7"/>
    <w:rsid w:val="00083FEF"/>
    <w:rsid w:val="0008408B"/>
    <w:rsid w:val="00084142"/>
    <w:rsid w:val="00084219"/>
    <w:rsid w:val="00084241"/>
    <w:rsid w:val="000843E3"/>
    <w:rsid w:val="0008444F"/>
    <w:rsid w:val="000844C1"/>
    <w:rsid w:val="00084733"/>
    <w:rsid w:val="000847A8"/>
    <w:rsid w:val="000848CB"/>
    <w:rsid w:val="000849F8"/>
    <w:rsid w:val="00084CE2"/>
    <w:rsid w:val="00084D65"/>
    <w:rsid w:val="00084D7D"/>
    <w:rsid w:val="00084DBB"/>
    <w:rsid w:val="00084E22"/>
    <w:rsid w:val="00084EAB"/>
    <w:rsid w:val="000850FB"/>
    <w:rsid w:val="000850FD"/>
    <w:rsid w:val="0008511E"/>
    <w:rsid w:val="00085397"/>
    <w:rsid w:val="00085434"/>
    <w:rsid w:val="00085496"/>
    <w:rsid w:val="000854A8"/>
    <w:rsid w:val="00085569"/>
    <w:rsid w:val="000855F0"/>
    <w:rsid w:val="000856AC"/>
    <w:rsid w:val="00085763"/>
    <w:rsid w:val="000857DE"/>
    <w:rsid w:val="000857E4"/>
    <w:rsid w:val="000858F2"/>
    <w:rsid w:val="00085AFA"/>
    <w:rsid w:val="00085C97"/>
    <w:rsid w:val="00085CA2"/>
    <w:rsid w:val="00085DCB"/>
    <w:rsid w:val="00085F3D"/>
    <w:rsid w:val="00085F89"/>
    <w:rsid w:val="00085FB8"/>
    <w:rsid w:val="00086139"/>
    <w:rsid w:val="0008617C"/>
    <w:rsid w:val="00086273"/>
    <w:rsid w:val="00086329"/>
    <w:rsid w:val="00086393"/>
    <w:rsid w:val="00086795"/>
    <w:rsid w:val="00086807"/>
    <w:rsid w:val="00086935"/>
    <w:rsid w:val="00086A4F"/>
    <w:rsid w:val="00086AAB"/>
    <w:rsid w:val="00086AEC"/>
    <w:rsid w:val="00086AEE"/>
    <w:rsid w:val="00086C9B"/>
    <w:rsid w:val="00086D10"/>
    <w:rsid w:val="00086D3A"/>
    <w:rsid w:val="00086DC9"/>
    <w:rsid w:val="00086E48"/>
    <w:rsid w:val="00086F50"/>
    <w:rsid w:val="0008702A"/>
    <w:rsid w:val="00087041"/>
    <w:rsid w:val="0008711D"/>
    <w:rsid w:val="0008719C"/>
    <w:rsid w:val="00087222"/>
    <w:rsid w:val="000872A6"/>
    <w:rsid w:val="0008734E"/>
    <w:rsid w:val="00087490"/>
    <w:rsid w:val="000875C9"/>
    <w:rsid w:val="00087669"/>
    <w:rsid w:val="000876C3"/>
    <w:rsid w:val="00087724"/>
    <w:rsid w:val="000878A2"/>
    <w:rsid w:val="000878EA"/>
    <w:rsid w:val="00087C5A"/>
    <w:rsid w:val="00087CD5"/>
    <w:rsid w:val="00087D00"/>
    <w:rsid w:val="00087E19"/>
    <w:rsid w:val="00087F5E"/>
    <w:rsid w:val="00087FA9"/>
    <w:rsid w:val="00087FAF"/>
    <w:rsid w:val="00087FD5"/>
    <w:rsid w:val="0009014E"/>
    <w:rsid w:val="00090215"/>
    <w:rsid w:val="0009023D"/>
    <w:rsid w:val="000902F7"/>
    <w:rsid w:val="0009039F"/>
    <w:rsid w:val="00090569"/>
    <w:rsid w:val="0009068E"/>
    <w:rsid w:val="00090814"/>
    <w:rsid w:val="0009081A"/>
    <w:rsid w:val="00090AF9"/>
    <w:rsid w:val="00090B06"/>
    <w:rsid w:val="00090C14"/>
    <w:rsid w:val="00091072"/>
    <w:rsid w:val="0009122C"/>
    <w:rsid w:val="000912FD"/>
    <w:rsid w:val="0009136A"/>
    <w:rsid w:val="0009148C"/>
    <w:rsid w:val="0009151A"/>
    <w:rsid w:val="00091520"/>
    <w:rsid w:val="00091579"/>
    <w:rsid w:val="00091850"/>
    <w:rsid w:val="00091B3D"/>
    <w:rsid w:val="00091BF1"/>
    <w:rsid w:val="00091C5C"/>
    <w:rsid w:val="00091C89"/>
    <w:rsid w:val="00091D54"/>
    <w:rsid w:val="00091DFD"/>
    <w:rsid w:val="00091E32"/>
    <w:rsid w:val="00091E81"/>
    <w:rsid w:val="00091FFB"/>
    <w:rsid w:val="00092009"/>
    <w:rsid w:val="000920A4"/>
    <w:rsid w:val="00092134"/>
    <w:rsid w:val="00092154"/>
    <w:rsid w:val="00092267"/>
    <w:rsid w:val="000923A1"/>
    <w:rsid w:val="000924BD"/>
    <w:rsid w:val="00092565"/>
    <w:rsid w:val="0009268D"/>
    <w:rsid w:val="000926F9"/>
    <w:rsid w:val="00092B31"/>
    <w:rsid w:val="00092B3C"/>
    <w:rsid w:val="00092BA4"/>
    <w:rsid w:val="00092C7F"/>
    <w:rsid w:val="00092D6A"/>
    <w:rsid w:val="00092FD9"/>
    <w:rsid w:val="000930C9"/>
    <w:rsid w:val="000930E6"/>
    <w:rsid w:val="00093188"/>
    <w:rsid w:val="0009322D"/>
    <w:rsid w:val="0009325D"/>
    <w:rsid w:val="000932A7"/>
    <w:rsid w:val="0009351D"/>
    <w:rsid w:val="00093575"/>
    <w:rsid w:val="000935AD"/>
    <w:rsid w:val="000937D8"/>
    <w:rsid w:val="000938BE"/>
    <w:rsid w:val="00093A38"/>
    <w:rsid w:val="00093A59"/>
    <w:rsid w:val="00093CB7"/>
    <w:rsid w:val="00093F76"/>
    <w:rsid w:val="00093FEB"/>
    <w:rsid w:val="00094102"/>
    <w:rsid w:val="000941C0"/>
    <w:rsid w:val="00094263"/>
    <w:rsid w:val="000942E0"/>
    <w:rsid w:val="00094318"/>
    <w:rsid w:val="000943C0"/>
    <w:rsid w:val="000944F8"/>
    <w:rsid w:val="000945FE"/>
    <w:rsid w:val="000949D1"/>
    <w:rsid w:val="00094B0A"/>
    <w:rsid w:val="00094B9B"/>
    <w:rsid w:val="00094C60"/>
    <w:rsid w:val="00094CD3"/>
    <w:rsid w:val="00094CE0"/>
    <w:rsid w:val="00094DC2"/>
    <w:rsid w:val="00094E62"/>
    <w:rsid w:val="00095117"/>
    <w:rsid w:val="000951DF"/>
    <w:rsid w:val="00095498"/>
    <w:rsid w:val="00095512"/>
    <w:rsid w:val="00095904"/>
    <w:rsid w:val="00095C12"/>
    <w:rsid w:val="00095CBE"/>
    <w:rsid w:val="00095D0A"/>
    <w:rsid w:val="00095DD6"/>
    <w:rsid w:val="00095F99"/>
    <w:rsid w:val="00096196"/>
    <w:rsid w:val="00096218"/>
    <w:rsid w:val="0009632B"/>
    <w:rsid w:val="000963E1"/>
    <w:rsid w:val="00096498"/>
    <w:rsid w:val="000966C4"/>
    <w:rsid w:val="00096740"/>
    <w:rsid w:val="00096863"/>
    <w:rsid w:val="00096ABD"/>
    <w:rsid w:val="00096B71"/>
    <w:rsid w:val="00096D0A"/>
    <w:rsid w:val="00096D19"/>
    <w:rsid w:val="00096E20"/>
    <w:rsid w:val="00096E56"/>
    <w:rsid w:val="00096E74"/>
    <w:rsid w:val="00096E84"/>
    <w:rsid w:val="0009700F"/>
    <w:rsid w:val="00097191"/>
    <w:rsid w:val="00097488"/>
    <w:rsid w:val="00097506"/>
    <w:rsid w:val="000975F2"/>
    <w:rsid w:val="00097694"/>
    <w:rsid w:val="00097798"/>
    <w:rsid w:val="00097800"/>
    <w:rsid w:val="000978BC"/>
    <w:rsid w:val="00097D43"/>
    <w:rsid w:val="00097E45"/>
    <w:rsid w:val="00097F19"/>
    <w:rsid w:val="00097F43"/>
    <w:rsid w:val="000A063D"/>
    <w:rsid w:val="000A0AD5"/>
    <w:rsid w:val="000A0BF9"/>
    <w:rsid w:val="000A0D3D"/>
    <w:rsid w:val="000A0D7F"/>
    <w:rsid w:val="000A0E8F"/>
    <w:rsid w:val="000A0F41"/>
    <w:rsid w:val="000A12F2"/>
    <w:rsid w:val="000A1342"/>
    <w:rsid w:val="000A152C"/>
    <w:rsid w:val="000A1573"/>
    <w:rsid w:val="000A15DD"/>
    <w:rsid w:val="000A1674"/>
    <w:rsid w:val="000A1967"/>
    <w:rsid w:val="000A1A1A"/>
    <w:rsid w:val="000A1A63"/>
    <w:rsid w:val="000A1CB2"/>
    <w:rsid w:val="000A1EAE"/>
    <w:rsid w:val="000A1EB3"/>
    <w:rsid w:val="000A1EB4"/>
    <w:rsid w:val="000A1F63"/>
    <w:rsid w:val="000A1F73"/>
    <w:rsid w:val="000A2038"/>
    <w:rsid w:val="000A2084"/>
    <w:rsid w:val="000A22F3"/>
    <w:rsid w:val="000A2588"/>
    <w:rsid w:val="000A25DC"/>
    <w:rsid w:val="000A25DE"/>
    <w:rsid w:val="000A26C8"/>
    <w:rsid w:val="000A2C9B"/>
    <w:rsid w:val="000A2DC2"/>
    <w:rsid w:val="000A2E1C"/>
    <w:rsid w:val="000A324D"/>
    <w:rsid w:val="000A3255"/>
    <w:rsid w:val="000A33B1"/>
    <w:rsid w:val="000A354E"/>
    <w:rsid w:val="000A3550"/>
    <w:rsid w:val="000A35B9"/>
    <w:rsid w:val="000A3633"/>
    <w:rsid w:val="000A36F9"/>
    <w:rsid w:val="000A3823"/>
    <w:rsid w:val="000A397B"/>
    <w:rsid w:val="000A3B21"/>
    <w:rsid w:val="000A3B79"/>
    <w:rsid w:val="000A3CDD"/>
    <w:rsid w:val="000A3DCF"/>
    <w:rsid w:val="000A3DE3"/>
    <w:rsid w:val="000A3E0D"/>
    <w:rsid w:val="000A4155"/>
    <w:rsid w:val="000A4182"/>
    <w:rsid w:val="000A422F"/>
    <w:rsid w:val="000A4253"/>
    <w:rsid w:val="000A425C"/>
    <w:rsid w:val="000A4330"/>
    <w:rsid w:val="000A444E"/>
    <w:rsid w:val="000A45B0"/>
    <w:rsid w:val="000A4601"/>
    <w:rsid w:val="000A4659"/>
    <w:rsid w:val="000A46F3"/>
    <w:rsid w:val="000A47A5"/>
    <w:rsid w:val="000A47AE"/>
    <w:rsid w:val="000A47FA"/>
    <w:rsid w:val="000A4BDB"/>
    <w:rsid w:val="000A4CB8"/>
    <w:rsid w:val="000A4D99"/>
    <w:rsid w:val="000A4FA1"/>
    <w:rsid w:val="000A5298"/>
    <w:rsid w:val="000A52F9"/>
    <w:rsid w:val="000A5314"/>
    <w:rsid w:val="000A5372"/>
    <w:rsid w:val="000A5499"/>
    <w:rsid w:val="000A55F9"/>
    <w:rsid w:val="000A5620"/>
    <w:rsid w:val="000A5671"/>
    <w:rsid w:val="000A590F"/>
    <w:rsid w:val="000A596B"/>
    <w:rsid w:val="000A59D8"/>
    <w:rsid w:val="000A5BE2"/>
    <w:rsid w:val="000A5D27"/>
    <w:rsid w:val="000A5DB2"/>
    <w:rsid w:val="000A5DBD"/>
    <w:rsid w:val="000A5EE6"/>
    <w:rsid w:val="000A5EE8"/>
    <w:rsid w:val="000A5F32"/>
    <w:rsid w:val="000A5FAD"/>
    <w:rsid w:val="000A6001"/>
    <w:rsid w:val="000A6024"/>
    <w:rsid w:val="000A609A"/>
    <w:rsid w:val="000A610A"/>
    <w:rsid w:val="000A61DF"/>
    <w:rsid w:val="000A61FA"/>
    <w:rsid w:val="000A625C"/>
    <w:rsid w:val="000A627E"/>
    <w:rsid w:val="000A6693"/>
    <w:rsid w:val="000A67DD"/>
    <w:rsid w:val="000A69A2"/>
    <w:rsid w:val="000A6BE1"/>
    <w:rsid w:val="000A6D01"/>
    <w:rsid w:val="000A7027"/>
    <w:rsid w:val="000A712E"/>
    <w:rsid w:val="000A71A2"/>
    <w:rsid w:val="000A71FD"/>
    <w:rsid w:val="000A727C"/>
    <w:rsid w:val="000A73E4"/>
    <w:rsid w:val="000A75BF"/>
    <w:rsid w:val="000A7728"/>
    <w:rsid w:val="000A78DB"/>
    <w:rsid w:val="000A78FB"/>
    <w:rsid w:val="000A7A39"/>
    <w:rsid w:val="000A7A92"/>
    <w:rsid w:val="000A7B7E"/>
    <w:rsid w:val="000A7B99"/>
    <w:rsid w:val="000A7EB1"/>
    <w:rsid w:val="000A7F08"/>
    <w:rsid w:val="000A7F57"/>
    <w:rsid w:val="000B0049"/>
    <w:rsid w:val="000B03B3"/>
    <w:rsid w:val="000B04AA"/>
    <w:rsid w:val="000B051F"/>
    <w:rsid w:val="000B059C"/>
    <w:rsid w:val="000B0816"/>
    <w:rsid w:val="000B0896"/>
    <w:rsid w:val="000B09B1"/>
    <w:rsid w:val="000B0DBC"/>
    <w:rsid w:val="000B0E87"/>
    <w:rsid w:val="000B0E93"/>
    <w:rsid w:val="000B1049"/>
    <w:rsid w:val="000B11DF"/>
    <w:rsid w:val="000B1350"/>
    <w:rsid w:val="000B1486"/>
    <w:rsid w:val="000B14DE"/>
    <w:rsid w:val="000B15A4"/>
    <w:rsid w:val="000B15B1"/>
    <w:rsid w:val="000B17CD"/>
    <w:rsid w:val="000B1807"/>
    <w:rsid w:val="000B1A03"/>
    <w:rsid w:val="000B1A60"/>
    <w:rsid w:val="000B1AD0"/>
    <w:rsid w:val="000B1ADC"/>
    <w:rsid w:val="000B1EBE"/>
    <w:rsid w:val="000B20A2"/>
    <w:rsid w:val="000B215F"/>
    <w:rsid w:val="000B232C"/>
    <w:rsid w:val="000B2394"/>
    <w:rsid w:val="000B2462"/>
    <w:rsid w:val="000B248E"/>
    <w:rsid w:val="000B2556"/>
    <w:rsid w:val="000B275A"/>
    <w:rsid w:val="000B27FA"/>
    <w:rsid w:val="000B2835"/>
    <w:rsid w:val="000B289A"/>
    <w:rsid w:val="000B290F"/>
    <w:rsid w:val="000B291D"/>
    <w:rsid w:val="000B29C9"/>
    <w:rsid w:val="000B29D7"/>
    <w:rsid w:val="000B2B06"/>
    <w:rsid w:val="000B2C5C"/>
    <w:rsid w:val="000B2C94"/>
    <w:rsid w:val="000B2E17"/>
    <w:rsid w:val="000B2F66"/>
    <w:rsid w:val="000B3029"/>
    <w:rsid w:val="000B30BE"/>
    <w:rsid w:val="000B31B0"/>
    <w:rsid w:val="000B32A0"/>
    <w:rsid w:val="000B33CF"/>
    <w:rsid w:val="000B34BA"/>
    <w:rsid w:val="000B364A"/>
    <w:rsid w:val="000B3841"/>
    <w:rsid w:val="000B390F"/>
    <w:rsid w:val="000B3929"/>
    <w:rsid w:val="000B3989"/>
    <w:rsid w:val="000B39E2"/>
    <w:rsid w:val="000B3A27"/>
    <w:rsid w:val="000B3BE7"/>
    <w:rsid w:val="000B3D09"/>
    <w:rsid w:val="000B3DE3"/>
    <w:rsid w:val="000B3E07"/>
    <w:rsid w:val="000B3F65"/>
    <w:rsid w:val="000B41EC"/>
    <w:rsid w:val="000B43DF"/>
    <w:rsid w:val="000B43F6"/>
    <w:rsid w:val="000B458C"/>
    <w:rsid w:val="000B47E4"/>
    <w:rsid w:val="000B48BB"/>
    <w:rsid w:val="000B493E"/>
    <w:rsid w:val="000B4A1C"/>
    <w:rsid w:val="000B4A94"/>
    <w:rsid w:val="000B4B33"/>
    <w:rsid w:val="000B4B68"/>
    <w:rsid w:val="000B4B9A"/>
    <w:rsid w:val="000B4D9B"/>
    <w:rsid w:val="000B4DD4"/>
    <w:rsid w:val="000B4DE0"/>
    <w:rsid w:val="000B5042"/>
    <w:rsid w:val="000B5085"/>
    <w:rsid w:val="000B5213"/>
    <w:rsid w:val="000B5336"/>
    <w:rsid w:val="000B54E4"/>
    <w:rsid w:val="000B54F8"/>
    <w:rsid w:val="000B568D"/>
    <w:rsid w:val="000B5812"/>
    <w:rsid w:val="000B5813"/>
    <w:rsid w:val="000B5821"/>
    <w:rsid w:val="000B58A1"/>
    <w:rsid w:val="000B5A94"/>
    <w:rsid w:val="000B5CAA"/>
    <w:rsid w:val="000B5CFC"/>
    <w:rsid w:val="000B5DA2"/>
    <w:rsid w:val="000B5E23"/>
    <w:rsid w:val="000B5E41"/>
    <w:rsid w:val="000B5EEA"/>
    <w:rsid w:val="000B5FA3"/>
    <w:rsid w:val="000B601E"/>
    <w:rsid w:val="000B615F"/>
    <w:rsid w:val="000B6225"/>
    <w:rsid w:val="000B6279"/>
    <w:rsid w:val="000B65C6"/>
    <w:rsid w:val="000B68D2"/>
    <w:rsid w:val="000B697A"/>
    <w:rsid w:val="000B6ABE"/>
    <w:rsid w:val="000B6DBE"/>
    <w:rsid w:val="000B6E07"/>
    <w:rsid w:val="000B707A"/>
    <w:rsid w:val="000B70DF"/>
    <w:rsid w:val="000B7343"/>
    <w:rsid w:val="000B7425"/>
    <w:rsid w:val="000B742D"/>
    <w:rsid w:val="000B7436"/>
    <w:rsid w:val="000B7480"/>
    <w:rsid w:val="000B7553"/>
    <w:rsid w:val="000B761F"/>
    <w:rsid w:val="000B77DB"/>
    <w:rsid w:val="000B77F3"/>
    <w:rsid w:val="000B7878"/>
    <w:rsid w:val="000B7898"/>
    <w:rsid w:val="000B7924"/>
    <w:rsid w:val="000B7A43"/>
    <w:rsid w:val="000B7C9A"/>
    <w:rsid w:val="000B7C9E"/>
    <w:rsid w:val="000B7D5A"/>
    <w:rsid w:val="000C00E0"/>
    <w:rsid w:val="000C00E2"/>
    <w:rsid w:val="000C0115"/>
    <w:rsid w:val="000C0133"/>
    <w:rsid w:val="000C02D9"/>
    <w:rsid w:val="000C02EA"/>
    <w:rsid w:val="000C032E"/>
    <w:rsid w:val="000C0378"/>
    <w:rsid w:val="000C0384"/>
    <w:rsid w:val="000C03B4"/>
    <w:rsid w:val="000C04A6"/>
    <w:rsid w:val="000C04D1"/>
    <w:rsid w:val="000C0505"/>
    <w:rsid w:val="000C06B2"/>
    <w:rsid w:val="000C07F1"/>
    <w:rsid w:val="000C085E"/>
    <w:rsid w:val="000C0BD6"/>
    <w:rsid w:val="000C0D33"/>
    <w:rsid w:val="000C0DCB"/>
    <w:rsid w:val="000C0FAA"/>
    <w:rsid w:val="000C0FDC"/>
    <w:rsid w:val="000C106B"/>
    <w:rsid w:val="000C107A"/>
    <w:rsid w:val="000C10C4"/>
    <w:rsid w:val="000C117A"/>
    <w:rsid w:val="000C1319"/>
    <w:rsid w:val="000C1430"/>
    <w:rsid w:val="000C15A9"/>
    <w:rsid w:val="000C170E"/>
    <w:rsid w:val="000C19AC"/>
    <w:rsid w:val="000C1A3E"/>
    <w:rsid w:val="000C1A6A"/>
    <w:rsid w:val="000C1A7A"/>
    <w:rsid w:val="000C1B02"/>
    <w:rsid w:val="000C1D3A"/>
    <w:rsid w:val="000C1E2C"/>
    <w:rsid w:val="000C1F9D"/>
    <w:rsid w:val="000C2018"/>
    <w:rsid w:val="000C232B"/>
    <w:rsid w:val="000C23AB"/>
    <w:rsid w:val="000C240D"/>
    <w:rsid w:val="000C242C"/>
    <w:rsid w:val="000C2557"/>
    <w:rsid w:val="000C2598"/>
    <w:rsid w:val="000C2720"/>
    <w:rsid w:val="000C2806"/>
    <w:rsid w:val="000C287B"/>
    <w:rsid w:val="000C2CAE"/>
    <w:rsid w:val="000C2DB6"/>
    <w:rsid w:val="000C2E2D"/>
    <w:rsid w:val="000C2EFD"/>
    <w:rsid w:val="000C3061"/>
    <w:rsid w:val="000C310D"/>
    <w:rsid w:val="000C3307"/>
    <w:rsid w:val="000C33C9"/>
    <w:rsid w:val="000C344D"/>
    <w:rsid w:val="000C34B8"/>
    <w:rsid w:val="000C3545"/>
    <w:rsid w:val="000C354F"/>
    <w:rsid w:val="000C369C"/>
    <w:rsid w:val="000C3948"/>
    <w:rsid w:val="000C39A3"/>
    <w:rsid w:val="000C39A9"/>
    <w:rsid w:val="000C3ACF"/>
    <w:rsid w:val="000C3BB7"/>
    <w:rsid w:val="000C3F2B"/>
    <w:rsid w:val="000C3F8E"/>
    <w:rsid w:val="000C420A"/>
    <w:rsid w:val="000C4233"/>
    <w:rsid w:val="000C456E"/>
    <w:rsid w:val="000C46D0"/>
    <w:rsid w:val="000C46D4"/>
    <w:rsid w:val="000C475D"/>
    <w:rsid w:val="000C4785"/>
    <w:rsid w:val="000C48C1"/>
    <w:rsid w:val="000C4B14"/>
    <w:rsid w:val="000C4BA4"/>
    <w:rsid w:val="000C4BC9"/>
    <w:rsid w:val="000C4C97"/>
    <w:rsid w:val="000C4CD2"/>
    <w:rsid w:val="000C4E94"/>
    <w:rsid w:val="000C4FE6"/>
    <w:rsid w:val="000C518E"/>
    <w:rsid w:val="000C53F0"/>
    <w:rsid w:val="000C540C"/>
    <w:rsid w:val="000C5548"/>
    <w:rsid w:val="000C55D6"/>
    <w:rsid w:val="000C563C"/>
    <w:rsid w:val="000C57E7"/>
    <w:rsid w:val="000C5918"/>
    <w:rsid w:val="000C5ADA"/>
    <w:rsid w:val="000C5AFC"/>
    <w:rsid w:val="000C5B0A"/>
    <w:rsid w:val="000C5B18"/>
    <w:rsid w:val="000C5B76"/>
    <w:rsid w:val="000C5B7B"/>
    <w:rsid w:val="000C5F40"/>
    <w:rsid w:val="000C5FED"/>
    <w:rsid w:val="000C61B7"/>
    <w:rsid w:val="000C6309"/>
    <w:rsid w:val="000C654D"/>
    <w:rsid w:val="000C6590"/>
    <w:rsid w:val="000C6639"/>
    <w:rsid w:val="000C6746"/>
    <w:rsid w:val="000C67C3"/>
    <w:rsid w:val="000C6844"/>
    <w:rsid w:val="000C68C6"/>
    <w:rsid w:val="000C68E5"/>
    <w:rsid w:val="000C695E"/>
    <w:rsid w:val="000C6A8F"/>
    <w:rsid w:val="000C6CE9"/>
    <w:rsid w:val="000C6CED"/>
    <w:rsid w:val="000C6CFE"/>
    <w:rsid w:val="000C6D00"/>
    <w:rsid w:val="000C6DAE"/>
    <w:rsid w:val="000C6EB0"/>
    <w:rsid w:val="000C6ECB"/>
    <w:rsid w:val="000C6FCA"/>
    <w:rsid w:val="000C7057"/>
    <w:rsid w:val="000C72A5"/>
    <w:rsid w:val="000C736B"/>
    <w:rsid w:val="000C757D"/>
    <w:rsid w:val="000C76B0"/>
    <w:rsid w:val="000C77C1"/>
    <w:rsid w:val="000C78DC"/>
    <w:rsid w:val="000C799C"/>
    <w:rsid w:val="000C7AF8"/>
    <w:rsid w:val="000C7B24"/>
    <w:rsid w:val="000C7C01"/>
    <w:rsid w:val="000C7D4E"/>
    <w:rsid w:val="000C7D51"/>
    <w:rsid w:val="000C7E7A"/>
    <w:rsid w:val="000C7F5F"/>
    <w:rsid w:val="000D0095"/>
    <w:rsid w:val="000D0199"/>
    <w:rsid w:val="000D0223"/>
    <w:rsid w:val="000D08CA"/>
    <w:rsid w:val="000D09EA"/>
    <w:rsid w:val="000D0CE2"/>
    <w:rsid w:val="000D0DCD"/>
    <w:rsid w:val="000D0EDB"/>
    <w:rsid w:val="000D0FD8"/>
    <w:rsid w:val="000D1074"/>
    <w:rsid w:val="000D1284"/>
    <w:rsid w:val="000D130A"/>
    <w:rsid w:val="000D13B3"/>
    <w:rsid w:val="000D1419"/>
    <w:rsid w:val="000D14C4"/>
    <w:rsid w:val="000D158B"/>
    <w:rsid w:val="000D160F"/>
    <w:rsid w:val="000D1697"/>
    <w:rsid w:val="000D16A5"/>
    <w:rsid w:val="000D1736"/>
    <w:rsid w:val="000D1743"/>
    <w:rsid w:val="000D19E1"/>
    <w:rsid w:val="000D1B4B"/>
    <w:rsid w:val="000D1B54"/>
    <w:rsid w:val="000D1F1B"/>
    <w:rsid w:val="000D1F5A"/>
    <w:rsid w:val="000D1F5C"/>
    <w:rsid w:val="000D21E3"/>
    <w:rsid w:val="000D2234"/>
    <w:rsid w:val="000D22E5"/>
    <w:rsid w:val="000D2466"/>
    <w:rsid w:val="000D2512"/>
    <w:rsid w:val="000D2618"/>
    <w:rsid w:val="000D26A9"/>
    <w:rsid w:val="000D2744"/>
    <w:rsid w:val="000D2A86"/>
    <w:rsid w:val="000D2B68"/>
    <w:rsid w:val="000D2BD0"/>
    <w:rsid w:val="000D2BF2"/>
    <w:rsid w:val="000D2C16"/>
    <w:rsid w:val="000D2C30"/>
    <w:rsid w:val="000D2EEC"/>
    <w:rsid w:val="000D2FBB"/>
    <w:rsid w:val="000D2FC8"/>
    <w:rsid w:val="000D3106"/>
    <w:rsid w:val="000D310F"/>
    <w:rsid w:val="000D3133"/>
    <w:rsid w:val="000D3248"/>
    <w:rsid w:val="000D33D6"/>
    <w:rsid w:val="000D377F"/>
    <w:rsid w:val="000D37FE"/>
    <w:rsid w:val="000D3895"/>
    <w:rsid w:val="000D39B7"/>
    <w:rsid w:val="000D3A39"/>
    <w:rsid w:val="000D3AB0"/>
    <w:rsid w:val="000D3E1F"/>
    <w:rsid w:val="000D3E8D"/>
    <w:rsid w:val="000D3FDB"/>
    <w:rsid w:val="000D4088"/>
    <w:rsid w:val="000D414D"/>
    <w:rsid w:val="000D4374"/>
    <w:rsid w:val="000D4397"/>
    <w:rsid w:val="000D445C"/>
    <w:rsid w:val="000D4523"/>
    <w:rsid w:val="000D4797"/>
    <w:rsid w:val="000D4958"/>
    <w:rsid w:val="000D49B7"/>
    <w:rsid w:val="000D4A2D"/>
    <w:rsid w:val="000D4A95"/>
    <w:rsid w:val="000D4AC3"/>
    <w:rsid w:val="000D4DA9"/>
    <w:rsid w:val="000D4F08"/>
    <w:rsid w:val="000D505B"/>
    <w:rsid w:val="000D507C"/>
    <w:rsid w:val="000D5200"/>
    <w:rsid w:val="000D52FA"/>
    <w:rsid w:val="000D5650"/>
    <w:rsid w:val="000D56A9"/>
    <w:rsid w:val="000D57BB"/>
    <w:rsid w:val="000D5B79"/>
    <w:rsid w:val="000D5C05"/>
    <w:rsid w:val="000D5CC5"/>
    <w:rsid w:val="000D5D7F"/>
    <w:rsid w:val="000D5D8D"/>
    <w:rsid w:val="000D6149"/>
    <w:rsid w:val="000D61E3"/>
    <w:rsid w:val="000D6473"/>
    <w:rsid w:val="000D65D6"/>
    <w:rsid w:val="000D6669"/>
    <w:rsid w:val="000D66D9"/>
    <w:rsid w:val="000D6853"/>
    <w:rsid w:val="000D695E"/>
    <w:rsid w:val="000D6C19"/>
    <w:rsid w:val="000D6D0F"/>
    <w:rsid w:val="000D6D12"/>
    <w:rsid w:val="000D6D6F"/>
    <w:rsid w:val="000D6DA0"/>
    <w:rsid w:val="000D6DC0"/>
    <w:rsid w:val="000D6DE8"/>
    <w:rsid w:val="000D6E64"/>
    <w:rsid w:val="000D707C"/>
    <w:rsid w:val="000D70C7"/>
    <w:rsid w:val="000D72C3"/>
    <w:rsid w:val="000D74ED"/>
    <w:rsid w:val="000D763C"/>
    <w:rsid w:val="000D76FD"/>
    <w:rsid w:val="000D7775"/>
    <w:rsid w:val="000D7796"/>
    <w:rsid w:val="000D7E68"/>
    <w:rsid w:val="000D7E6E"/>
    <w:rsid w:val="000D7E8A"/>
    <w:rsid w:val="000E007A"/>
    <w:rsid w:val="000E0161"/>
    <w:rsid w:val="000E025B"/>
    <w:rsid w:val="000E0311"/>
    <w:rsid w:val="000E033F"/>
    <w:rsid w:val="000E0386"/>
    <w:rsid w:val="000E0392"/>
    <w:rsid w:val="000E03D1"/>
    <w:rsid w:val="000E042E"/>
    <w:rsid w:val="000E0574"/>
    <w:rsid w:val="000E0761"/>
    <w:rsid w:val="000E07BD"/>
    <w:rsid w:val="000E0A35"/>
    <w:rsid w:val="000E0A66"/>
    <w:rsid w:val="000E0B74"/>
    <w:rsid w:val="000E0B96"/>
    <w:rsid w:val="000E0C13"/>
    <w:rsid w:val="000E0C1C"/>
    <w:rsid w:val="000E0DB9"/>
    <w:rsid w:val="000E0EE0"/>
    <w:rsid w:val="000E0F48"/>
    <w:rsid w:val="000E1099"/>
    <w:rsid w:val="000E1151"/>
    <w:rsid w:val="000E117C"/>
    <w:rsid w:val="000E121B"/>
    <w:rsid w:val="000E128D"/>
    <w:rsid w:val="000E140C"/>
    <w:rsid w:val="000E1525"/>
    <w:rsid w:val="000E1599"/>
    <w:rsid w:val="000E15E6"/>
    <w:rsid w:val="000E172A"/>
    <w:rsid w:val="000E1763"/>
    <w:rsid w:val="000E1930"/>
    <w:rsid w:val="000E1BD0"/>
    <w:rsid w:val="000E1CED"/>
    <w:rsid w:val="000E1D94"/>
    <w:rsid w:val="000E1EC4"/>
    <w:rsid w:val="000E204F"/>
    <w:rsid w:val="000E2138"/>
    <w:rsid w:val="000E21E0"/>
    <w:rsid w:val="000E226B"/>
    <w:rsid w:val="000E2326"/>
    <w:rsid w:val="000E2358"/>
    <w:rsid w:val="000E2797"/>
    <w:rsid w:val="000E27B1"/>
    <w:rsid w:val="000E28E4"/>
    <w:rsid w:val="000E2A1D"/>
    <w:rsid w:val="000E2B62"/>
    <w:rsid w:val="000E2BD4"/>
    <w:rsid w:val="000E31A3"/>
    <w:rsid w:val="000E35C3"/>
    <w:rsid w:val="000E36AC"/>
    <w:rsid w:val="000E3797"/>
    <w:rsid w:val="000E37DF"/>
    <w:rsid w:val="000E38F6"/>
    <w:rsid w:val="000E3941"/>
    <w:rsid w:val="000E3B17"/>
    <w:rsid w:val="000E3B97"/>
    <w:rsid w:val="000E40F8"/>
    <w:rsid w:val="000E4147"/>
    <w:rsid w:val="000E42E7"/>
    <w:rsid w:val="000E4302"/>
    <w:rsid w:val="000E4636"/>
    <w:rsid w:val="000E46A5"/>
    <w:rsid w:val="000E47CA"/>
    <w:rsid w:val="000E4957"/>
    <w:rsid w:val="000E4997"/>
    <w:rsid w:val="000E4AB6"/>
    <w:rsid w:val="000E4B12"/>
    <w:rsid w:val="000E4C03"/>
    <w:rsid w:val="000E4E5D"/>
    <w:rsid w:val="000E4E88"/>
    <w:rsid w:val="000E5027"/>
    <w:rsid w:val="000E52AF"/>
    <w:rsid w:val="000E5370"/>
    <w:rsid w:val="000E5406"/>
    <w:rsid w:val="000E584D"/>
    <w:rsid w:val="000E588D"/>
    <w:rsid w:val="000E588F"/>
    <w:rsid w:val="000E5943"/>
    <w:rsid w:val="000E598D"/>
    <w:rsid w:val="000E5A5A"/>
    <w:rsid w:val="000E5B66"/>
    <w:rsid w:val="000E5B75"/>
    <w:rsid w:val="000E5C29"/>
    <w:rsid w:val="000E5C3F"/>
    <w:rsid w:val="000E5CA9"/>
    <w:rsid w:val="000E6186"/>
    <w:rsid w:val="000E6234"/>
    <w:rsid w:val="000E6267"/>
    <w:rsid w:val="000E6393"/>
    <w:rsid w:val="000E6689"/>
    <w:rsid w:val="000E6917"/>
    <w:rsid w:val="000E7124"/>
    <w:rsid w:val="000E7166"/>
    <w:rsid w:val="000E720A"/>
    <w:rsid w:val="000E7321"/>
    <w:rsid w:val="000E764B"/>
    <w:rsid w:val="000E7670"/>
    <w:rsid w:val="000E7695"/>
    <w:rsid w:val="000E7699"/>
    <w:rsid w:val="000E793F"/>
    <w:rsid w:val="000E7A78"/>
    <w:rsid w:val="000E7B9D"/>
    <w:rsid w:val="000E7D33"/>
    <w:rsid w:val="000E7D3A"/>
    <w:rsid w:val="000E7DA7"/>
    <w:rsid w:val="000E7E19"/>
    <w:rsid w:val="000F0036"/>
    <w:rsid w:val="000F007D"/>
    <w:rsid w:val="000F007E"/>
    <w:rsid w:val="000F01F7"/>
    <w:rsid w:val="000F081B"/>
    <w:rsid w:val="000F090D"/>
    <w:rsid w:val="000F0B73"/>
    <w:rsid w:val="000F0BF8"/>
    <w:rsid w:val="000F0E54"/>
    <w:rsid w:val="000F1084"/>
    <w:rsid w:val="000F10C4"/>
    <w:rsid w:val="000F1148"/>
    <w:rsid w:val="000F14F0"/>
    <w:rsid w:val="000F1523"/>
    <w:rsid w:val="000F15E0"/>
    <w:rsid w:val="000F166B"/>
    <w:rsid w:val="000F18FA"/>
    <w:rsid w:val="000F1B51"/>
    <w:rsid w:val="000F1B9C"/>
    <w:rsid w:val="000F1CC0"/>
    <w:rsid w:val="000F1D1B"/>
    <w:rsid w:val="000F1D26"/>
    <w:rsid w:val="000F1D5C"/>
    <w:rsid w:val="000F1E94"/>
    <w:rsid w:val="000F207D"/>
    <w:rsid w:val="000F20FA"/>
    <w:rsid w:val="000F2161"/>
    <w:rsid w:val="000F2246"/>
    <w:rsid w:val="000F22AB"/>
    <w:rsid w:val="000F237F"/>
    <w:rsid w:val="000F2390"/>
    <w:rsid w:val="000F23FE"/>
    <w:rsid w:val="000F26FE"/>
    <w:rsid w:val="000F2913"/>
    <w:rsid w:val="000F2CA6"/>
    <w:rsid w:val="000F2EF7"/>
    <w:rsid w:val="000F306D"/>
    <w:rsid w:val="000F30CB"/>
    <w:rsid w:val="000F33BF"/>
    <w:rsid w:val="000F35E2"/>
    <w:rsid w:val="000F3826"/>
    <w:rsid w:val="000F38B1"/>
    <w:rsid w:val="000F3979"/>
    <w:rsid w:val="000F39F4"/>
    <w:rsid w:val="000F3A63"/>
    <w:rsid w:val="000F3FDB"/>
    <w:rsid w:val="000F3FF3"/>
    <w:rsid w:val="000F4165"/>
    <w:rsid w:val="000F4225"/>
    <w:rsid w:val="000F4277"/>
    <w:rsid w:val="000F46CF"/>
    <w:rsid w:val="000F4727"/>
    <w:rsid w:val="000F47A1"/>
    <w:rsid w:val="000F4963"/>
    <w:rsid w:val="000F49A7"/>
    <w:rsid w:val="000F49F3"/>
    <w:rsid w:val="000F4A6F"/>
    <w:rsid w:val="000F4A88"/>
    <w:rsid w:val="000F4B36"/>
    <w:rsid w:val="000F4C93"/>
    <w:rsid w:val="000F4DB8"/>
    <w:rsid w:val="000F4F51"/>
    <w:rsid w:val="000F4FDA"/>
    <w:rsid w:val="000F52AD"/>
    <w:rsid w:val="000F5403"/>
    <w:rsid w:val="000F54E0"/>
    <w:rsid w:val="000F5605"/>
    <w:rsid w:val="000F5723"/>
    <w:rsid w:val="000F5984"/>
    <w:rsid w:val="000F59B8"/>
    <w:rsid w:val="000F5AB6"/>
    <w:rsid w:val="000F5BDD"/>
    <w:rsid w:val="000F5E14"/>
    <w:rsid w:val="000F5E19"/>
    <w:rsid w:val="000F5EC1"/>
    <w:rsid w:val="000F60D6"/>
    <w:rsid w:val="000F60EE"/>
    <w:rsid w:val="000F618D"/>
    <w:rsid w:val="000F6332"/>
    <w:rsid w:val="000F6434"/>
    <w:rsid w:val="000F6438"/>
    <w:rsid w:val="000F6468"/>
    <w:rsid w:val="000F64AF"/>
    <w:rsid w:val="000F64EF"/>
    <w:rsid w:val="000F6568"/>
    <w:rsid w:val="000F65B1"/>
    <w:rsid w:val="000F65F3"/>
    <w:rsid w:val="000F6636"/>
    <w:rsid w:val="000F66C7"/>
    <w:rsid w:val="000F66EF"/>
    <w:rsid w:val="000F6788"/>
    <w:rsid w:val="000F6AC1"/>
    <w:rsid w:val="000F6B79"/>
    <w:rsid w:val="000F6E27"/>
    <w:rsid w:val="000F702D"/>
    <w:rsid w:val="000F71E3"/>
    <w:rsid w:val="000F71F7"/>
    <w:rsid w:val="000F7290"/>
    <w:rsid w:val="000F7300"/>
    <w:rsid w:val="000F738E"/>
    <w:rsid w:val="000F7449"/>
    <w:rsid w:val="000F7517"/>
    <w:rsid w:val="000F755C"/>
    <w:rsid w:val="000F7576"/>
    <w:rsid w:val="000F76D2"/>
    <w:rsid w:val="000F770A"/>
    <w:rsid w:val="000F7886"/>
    <w:rsid w:val="000F791B"/>
    <w:rsid w:val="000F7A55"/>
    <w:rsid w:val="000F7B2F"/>
    <w:rsid w:val="000F7CEB"/>
    <w:rsid w:val="000F7E0E"/>
    <w:rsid w:val="000F7E6F"/>
    <w:rsid w:val="0010008C"/>
    <w:rsid w:val="001000D6"/>
    <w:rsid w:val="001000EA"/>
    <w:rsid w:val="00100266"/>
    <w:rsid w:val="0010036A"/>
    <w:rsid w:val="00100416"/>
    <w:rsid w:val="00100475"/>
    <w:rsid w:val="001004F4"/>
    <w:rsid w:val="00100602"/>
    <w:rsid w:val="00100703"/>
    <w:rsid w:val="00100884"/>
    <w:rsid w:val="0010096A"/>
    <w:rsid w:val="00100D2B"/>
    <w:rsid w:val="00100DD0"/>
    <w:rsid w:val="00100E47"/>
    <w:rsid w:val="001011A4"/>
    <w:rsid w:val="00101236"/>
    <w:rsid w:val="0010131B"/>
    <w:rsid w:val="0010146D"/>
    <w:rsid w:val="0010162E"/>
    <w:rsid w:val="001016B2"/>
    <w:rsid w:val="0010185C"/>
    <w:rsid w:val="0010188A"/>
    <w:rsid w:val="00101A1E"/>
    <w:rsid w:val="00101D42"/>
    <w:rsid w:val="00101D48"/>
    <w:rsid w:val="00101FBF"/>
    <w:rsid w:val="00102007"/>
    <w:rsid w:val="00102063"/>
    <w:rsid w:val="00102286"/>
    <w:rsid w:val="0010231F"/>
    <w:rsid w:val="00102462"/>
    <w:rsid w:val="001024C0"/>
    <w:rsid w:val="001025F7"/>
    <w:rsid w:val="001026A4"/>
    <w:rsid w:val="00102781"/>
    <w:rsid w:val="0010298D"/>
    <w:rsid w:val="00102A98"/>
    <w:rsid w:val="00102B36"/>
    <w:rsid w:val="00102D7D"/>
    <w:rsid w:val="00102E3B"/>
    <w:rsid w:val="00102EEA"/>
    <w:rsid w:val="00103172"/>
    <w:rsid w:val="001031BA"/>
    <w:rsid w:val="001032C3"/>
    <w:rsid w:val="001032E1"/>
    <w:rsid w:val="00103352"/>
    <w:rsid w:val="001033F2"/>
    <w:rsid w:val="00103531"/>
    <w:rsid w:val="0010380C"/>
    <w:rsid w:val="0010380D"/>
    <w:rsid w:val="001039C1"/>
    <w:rsid w:val="00103A23"/>
    <w:rsid w:val="00103AAD"/>
    <w:rsid w:val="00103BE4"/>
    <w:rsid w:val="00103D5F"/>
    <w:rsid w:val="00103E77"/>
    <w:rsid w:val="00104048"/>
    <w:rsid w:val="00104101"/>
    <w:rsid w:val="001041A6"/>
    <w:rsid w:val="00104308"/>
    <w:rsid w:val="001043AC"/>
    <w:rsid w:val="00104794"/>
    <w:rsid w:val="001048E8"/>
    <w:rsid w:val="0010496A"/>
    <w:rsid w:val="001049E3"/>
    <w:rsid w:val="00104A5F"/>
    <w:rsid w:val="00104BE3"/>
    <w:rsid w:val="00104C41"/>
    <w:rsid w:val="00104D28"/>
    <w:rsid w:val="00104E87"/>
    <w:rsid w:val="00105275"/>
    <w:rsid w:val="00105311"/>
    <w:rsid w:val="00105433"/>
    <w:rsid w:val="0010564D"/>
    <w:rsid w:val="0010566E"/>
    <w:rsid w:val="00105687"/>
    <w:rsid w:val="00105779"/>
    <w:rsid w:val="001057FE"/>
    <w:rsid w:val="0010581A"/>
    <w:rsid w:val="00105A00"/>
    <w:rsid w:val="00105AEB"/>
    <w:rsid w:val="00105B4B"/>
    <w:rsid w:val="00105BCF"/>
    <w:rsid w:val="00105C7A"/>
    <w:rsid w:val="00105C92"/>
    <w:rsid w:val="00105D93"/>
    <w:rsid w:val="00105E22"/>
    <w:rsid w:val="0010603A"/>
    <w:rsid w:val="00106194"/>
    <w:rsid w:val="001061D5"/>
    <w:rsid w:val="001062A8"/>
    <w:rsid w:val="00106315"/>
    <w:rsid w:val="00106405"/>
    <w:rsid w:val="0010641C"/>
    <w:rsid w:val="0010643F"/>
    <w:rsid w:val="0010679F"/>
    <w:rsid w:val="001067AD"/>
    <w:rsid w:val="0010685D"/>
    <w:rsid w:val="00106A66"/>
    <w:rsid w:val="00106A6E"/>
    <w:rsid w:val="00106C17"/>
    <w:rsid w:val="00106C78"/>
    <w:rsid w:val="00106D3A"/>
    <w:rsid w:val="00106EEA"/>
    <w:rsid w:val="00106F36"/>
    <w:rsid w:val="00107085"/>
    <w:rsid w:val="0010714A"/>
    <w:rsid w:val="0010744D"/>
    <w:rsid w:val="001074C6"/>
    <w:rsid w:val="00107643"/>
    <w:rsid w:val="0010784C"/>
    <w:rsid w:val="00107925"/>
    <w:rsid w:val="001079D9"/>
    <w:rsid w:val="00107A53"/>
    <w:rsid w:val="00107F6B"/>
    <w:rsid w:val="00107FB9"/>
    <w:rsid w:val="00107FE2"/>
    <w:rsid w:val="001100DC"/>
    <w:rsid w:val="001101C1"/>
    <w:rsid w:val="001102D3"/>
    <w:rsid w:val="001104F2"/>
    <w:rsid w:val="0011050F"/>
    <w:rsid w:val="001106FA"/>
    <w:rsid w:val="00110792"/>
    <w:rsid w:val="00110988"/>
    <w:rsid w:val="001109EE"/>
    <w:rsid w:val="00110A86"/>
    <w:rsid w:val="00110A93"/>
    <w:rsid w:val="00110B1C"/>
    <w:rsid w:val="00110DE7"/>
    <w:rsid w:val="0011106F"/>
    <w:rsid w:val="00111114"/>
    <w:rsid w:val="001113EB"/>
    <w:rsid w:val="00111445"/>
    <w:rsid w:val="001114E7"/>
    <w:rsid w:val="001115C7"/>
    <w:rsid w:val="0011175C"/>
    <w:rsid w:val="00111800"/>
    <w:rsid w:val="00111A46"/>
    <w:rsid w:val="00111A7C"/>
    <w:rsid w:val="00111BAC"/>
    <w:rsid w:val="00111C1D"/>
    <w:rsid w:val="00111E5F"/>
    <w:rsid w:val="00112063"/>
    <w:rsid w:val="0011206A"/>
    <w:rsid w:val="00112199"/>
    <w:rsid w:val="00112281"/>
    <w:rsid w:val="0011229F"/>
    <w:rsid w:val="00112407"/>
    <w:rsid w:val="00112529"/>
    <w:rsid w:val="001125C1"/>
    <w:rsid w:val="00112779"/>
    <w:rsid w:val="0011282A"/>
    <w:rsid w:val="001128BA"/>
    <w:rsid w:val="00112AC2"/>
    <w:rsid w:val="00112AD5"/>
    <w:rsid w:val="00112B3B"/>
    <w:rsid w:val="00112C04"/>
    <w:rsid w:val="00112CE6"/>
    <w:rsid w:val="00112DE2"/>
    <w:rsid w:val="00112E85"/>
    <w:rsid w:val="00112F6A"/>
    <w:rsid w:val="00112FD8"/>
    <w:rsid w:val="0011313C"/>
    <w:rsid w:val="0011327B"/>
    <w:rsid w:val="001133C6"/>
    <w:rsid w:val="00113427"/>
    <w:rsid w:val="00113463"/>
    <w:rsid w:val="00113590"/>
    <w:rsid w:val="00113697"/>
    <w:rsid w:val="00113742"/>
    <w:rsid w:val="001137BA"/>
    <w:rsid w:val="001137C0"/>
    <w:rsid w:val="001137C1"/>
    <w:rsid w:val="001138FF"/>
    <w:rsid w:val="001139C6"/>
    <w:rsid w:val="00113B4A"/>
    <w:rsid w:val="00113D68"/>
    <w:rsid w:val="00113D84"/>
    <w:rsid w:val="00113DFF"/>
    <w:rsid w:val="00113F7C"/>
    <w:rsid w:val="00114108"/>
    <w:rsid w:val="001141F2"/>
    <w:rsid w:val="001142E0"/>
    <w:rsid w:val="00114356"/>
    <w:rsid w:val="0011478E"/>
    <w:rsid w:val="00114895"/>
    <w:rsid w:val="0011489E"/>
    <w:rsid w:val="001149CA"/>
    <w:rsid w:val="001149D4"/>
    <w:rsid w:val="00114A89"/>
    <w:rsid w:val="00114AA0"/>
    <w:rsid w:val="00114AA6"/>
    <w:rsid w:val="00114C08"/>
    <w:rsid w:val="00114CE5"/>
    <w:rsid w:val="00114F0C"/>
    <w:rsid w:val="00114FF4"/>
    <w:rsid w:val="001151B2"/>
    <w:rsid w:val="00115232"/>
    <w:rsid w:val="001153C4"/>
    <w:rsid w:val="001153D6"/>
    <w:rsid w:val="00115610"/>
    <w:rsid w:val="00115ADC"/>
    <w:rsid w:val="00115BEF"/>
    <w:rsid w:val="00115C02"/>
    <w:rsid w:val="00115D56"/>
    <w:rsid w:val="00115EA4"/>
    <w:rsid w:val="00115EF9"/>
    <w:rsid w:val="00115F65"/>
    <w:rsid w:val="001160A6"/>
    <w:rsid w:val="00116117"/>
    <w:rsid w:val="001161DE"/>
    <w:rsid w:val="001161F1"/>
    <w:rsid w:val="001162C9"/>
    <w:rsid w:val="001164D6"/>
    <w:rsid w:val="001164EC"/>
    <w:rsid w:val="001164FB"/>
    <w:rsid w:val="00116610"/>
    <w:rsid w:val="00116654"/>
    <w:rsid w:val="0011683A"/>
    <w:rsid w:val="00116993"/>
    <w:rsid w:val="00116CF6"/>
    <w:rsid w:val="00116DA9"/>
    <w:rsid w:val="00116EEC"/>
    <w:rsid w:val="001172BF"/>
    <w:rsid w:val="001172EB"/>
    <w:rsid w:val="0011730A"/>
    <w:rsid w:val="00117424"/>
    <w:rsid w:val="00117557"/>
    <w:rsid w:val="00117570"/>
    <w:rsid w:val="001175A1"/>
    <w:rsid w:val="001175E3"/>
    <w:rsid w:val="0011767C"/>
    <w:rsid w:val="0011770A"/>
    <w:rsid w:val="00117844"/>
    <w:rsid w:val="001178EF"/>
    <w:rsid w:val="00117992"/>
    <w:rsid w:val="00117BF9"/>
    <w:rsid w:val="00117D14"/>
    <w:rsid w:val="00117D49"/>
    <w:rsid w:val="00117DCE"/>
    <w:rsid w:val="00117EB3"/>
    <w:rsid w:val="00117EE9"/>
    <w:rsid w:val="0012008C"/>
    <w:rsid w:val="0012019B"/>
    <w:rsid w:val="0012023B"/>
    <w:rsid w:val="0012036B"/>
    <w:rsid w:val="001204A8"/>
    <w:rsid w:val="001205BE"/>
    <w:rsid w:val="0012089A"/>
    <w:rsid w:val="001209FD"/>
    <w:rsid w:val="00120A1D"/>
    <w:rsid w:val="00120A1E"/>
    <w:rsid w:val="00120A7D"/>
    <w:rsid w:val="00120B2B"/>
    <w:rsid w:val="00120B54"/>
    <w:rsid w:val="00120B7C"/>
    <w:rsid w:val="00120C95"/>
    <w:rsid w:val="00120E43"/>
    <w:rsid w:val="00120EB4"/>
    <w:rsid w:val="001212C6"/>
    <w:rsid w:val="001214A0"/>
    <w:rsid w:val="00121525"/>
    <w:rsid w:val="00121759"/>
    <w:rsid w:val="001219C6"/>
    <w:rsid w:val="00121A22"/>
    <w:rsid w:val="00121B69"/>
    <w:rsid w:val="00121F9C"/>
    <w:rsid w:val="0012202E"/>
    <w:rsid w:val="001221CB"/>
    <w:rsid w:val="00122861"/>
    <w:rsid w:val="00122C76"/>
    <w:rsid w:val="00122D82"/>
    <w:rsid w:val="00122E04"/>
    <w:rsid w:val="00122E2B"/>
    <w:rsid w:val="00122F1A"/>
    <w:rsid w:val="00122FD8"/>
    <w:rsid w:val="00123072"/>
    <w:rsid w:val="0012330F"/>
    <w:rsid w:val="00123421"/>
    <w:rsid w:val="00123A0F"/>
    <w:rsid w:val="00123AC1"/>
    <w:rsid w:val="00123C28"/>
    <w:rsid w:val="00123C4B"/>
    <w:rsid w:val="00123E26"/>
    <w:rsid w:val="00123EE2"/>
    <w:rsid w:val="00123EF1"/>
    <w:rsid w:val="00124009"/>
    <w:rsid w:val="00124061"/>
    <w:rsid w:val="001240EC"/>
    <w:rsid w:val="00124126"/>
    <w:rsid w:val="00124296"/>
    <w:rsid w:val="00124396"/>
    <w:rsid w:val="00124514"/>
    <w:rsid w:val="001245DD"/>
    <w:rsid w:val="00124694"/>
    <w:rsid w:val="0012494D"/>
    <w:rsid w:val="001249DC"/>
    <w:rsid w:val="00124B80"/>
    <w:rsid w:val="00124F9C"/>
    <w:rsid w:val="00125002"/>
    <w:rsid w:val="0012517D"/>
    <w:rsid w:val="00125283"/>
    <w:rsid w:val="00125334"/>
    <w:rsid w:val="0012540C"/>
    <w:rsid w:val="001254C3"/>
    <w:rsid w:val="00125522"/>
    <w:rsid w:val="001257AC"/>
    <w:rsid w:val="0012587B"/>
    <w:rsid w:val="001258F6"/>
    <w:rsid w:val="00125B0B"/>
    <w:rsid w:val="00125D91"/>
    <w:rsid w:val="00125DB5"/>
    <w:rsid w:val="00125F0C"/>
    <w:rsid w:val="001262B1"/>
    <w:rsid w:val="00126533"/>
    <w:rsid w:val="0012657F"/>
    <w:rsid w:val="0012659A"/>
    <w:rsid w:val="0012661F"/>
    <w:rsid w:val="0012675B"/>
    <w:rsid w:val="001267FF"/>
    <w:rsid w:val="00126898"/>
    <w:rsid w:val="0012699D"/>
    <w:rsid w:val="00126E66"/>
    <w:rsid w:val="00127003"/>
    <w:rsid w:val="001270B2"/>
    <w:rsid w:val="001270EB"/>
    <w:rsid w:val="00127256"/>
    <w:rsid w:val="00127265"/>
    <w:rsid w:val="00127279"/>
    <w:rsid w:val="00127306"/>
    <w:rsid w:val="00127480"/>
    <w:rsid w:val="001274C6"/>
    <w:rsid w:val="00127B74"/>
    <w:rsid w:val="00127CBA"/>
    <w:rsid w:val="00127CBD"/>
    <w:rsid w:val="00127D48"/>
    <w:rsid w:val="00127DDC"/>
    <w:rsid w:val="00127DF7"/>
    <w:rsid w:val="00127EA0"/>
    <w:rsid w:val="00127F91"/>
    <w:rsid w:val="00130077"/>
    <w:rsid w:val="00130348"/>
    <w:rsid w:val="00130396"/>
    <w:rsid w:val="00130459"/>
    <w:rsid w:val="001304A0"/>
    <w:rsid w:val="00130537"/>
    <w:rsid w:val="0013057A"/>
    <w:rsid w:val="00130712"/>
    <w:rsid w:val="0013095C"/>
    <w:rsid w:val="00130BDE"/>
    <w:rsid w:val="00130BF6"/>
    <w:rsid w:val="00130F55"/>
    <w:rsid w:val="001310F9"/>
    <w:rsid w:val="00131192"/>
    <w:rsid w:val="00131230"/>
    <w:rsid w:val="001313CC"/>
    <w:rsid w:val="00131426"/>
    <w:rsid w:val="00131502"/>
    <w:rsid w:val="00131826"/>
    <w:rsid w:val="00131896"/>
    <w:rsid w:val="00131950"/>
    <w:rsid w:val="00131962"/>
    <w:rsid w:val="00131979"/>
    <w:rsid w:val="00131BC1"/>
    <w:rsid w:val="00131DDF"/>
    <w:rsid w:val="00131ECE"/>
    <w:rsid w:val="00131F84"/>
    <w:rsid w:val="00131FA7"/>
    <w:rsid w:val="001321AF"/>
    <w:rsid w:val="00132392"/>
    <w:rsid w:val="001323A8"/>
    <w:rsid w:val="00132534"/>
    <w:rsid w:val="0013255E"/>
    <w:rsid w:val="00132656"/>
    <w:rsid w:val="001326AE"/>
    <w:rsid w:val="00132870"/>
    <w:rsid w:val="0013295B"/>
    <w:rsid w:val="0013299F"/>
    <w:rsid w:val="00132BDD"/>
    <w:rsid w:val="00132D36"/>
    <w:rsid w:val="00132DE8"/>
    <w:rsid w:val="00132E6D"/>
    <w:rsid w:val="00132F4F"/>
    <w:rsid w:val="001331D4"/>
    <w:rsid w:val="001332FD"/>
    <w:rsid w:val="001333C8"/>
    <w:rsid w:val="00133929"/>
    <w:rsid w:val="00133A13"/>
    <w:rsid w:val="00133EEA"/>
    <w:rsid w:val="00134047"/>
    <w:rsid w:val="00134093"/>
    <w:rsid w:val="001340B7"/>
    <w:rsid w:val="001340D2"/>
    <w:rsid w:val="00134344"/>
    <w:rsid w:val="001343EE"/>
    <w:rsid w:val="0013458B"/>
    <w:rsid w:val="00134742"/>
    <w:rsid w:val="00134A21"/>
    <w:rsid w:val="00134A62"/>
    <w:rsid w:val="00134D9C"/>
    <w:rsid w:val="00134ED4"/>
    <w:rsid w:val="0013521C"/>
    <w:rsid w:val="001353BE"/>
    <w:rsid w:val="0013542A"/>
    <w:rsid w:val="00135683"/>
    <w:rsid w:val="00135750"/>
    <w:rsid w:val="001357D1"/>
    <w:rsid w:val="00135906"/>
    <w:rsid w:val="00135949"/>
    <w:rsid w:val="00135B23"/>
    <w:rsid w:val="00135C91"/>
    <w:rsid w:val="00135D83"/>
    <w:rsid w:val="00135F96"/>
    <w:rsid w:val="0013606D"/>
    <w:rsid w:val="001363F2"/>
    <w:rsid w:val="00136612"/>
    <w:rsid w:val="00136690"/>
    <w:rsid w:val="001366A7"/>
    <w:rsid w:val="00136A55"/>
    <w:rsid w:val="00136B8B"/>
    <w:rsid w:val="00136BDD"/>
    <w:rsid w:val="00136D3D"/>
    <w:rsid w:val="00136DAB"/>
    <w:rsid w:val="00136DD7"/>
    <w:rsid w:val="00136E15"/>
    <w:rsid w:val="00136EA8"/>
    <w:rsid w:val="001373B1"/>
    <w:rsid w:val="0013761E"/>
    <w:rsid w:val="00137793"/>
    <w:rsid w:val="00137B16"/>
    <w:rsid w:val="00137BFD"/>
    <w:rsid w:val="00137CC7"/>
    <w:rsid w:val="00137CEA"/>
    <w:rsid w:val="00137EA0"/>
    <w:rsid w:val="00137EC3"/>
    <w:rsid w:val="00137F58"/>
    <w:rsid w:val="001400F4"/>
    <w:rsid w:val="00140136"/>
    <w:rsid w:val="0014014C"/>
    <w:rsid w:val="00140177"/>
    <w:rsid w:val="0014019E"/>
    <w:rsid w:val="001401D9"/>
    <w:rsid w:val="00140289"/>
    <w:rsid w:val="001403D6"/>
    <w:rsid w:val="00140433"/>
    <w:rsid w:val="001405B5"/>
    <w:rsid w:val="0014076B"/>
    <w:rsid w:val="00140824"/>
    <w:rsid w:val="0014091C"/>
    <w:rsid w:val="001409CB"/>
    <w:rsid w:val="00140C24"/>
    <w:rsid w:val="00140D4A"/>
    <w:rsid w:val="00140E01"/>
    <w:rsid w:val="00140F26"/>
    <w:rsid w:val="00140F98"/>
    <w:rsid w:val="00140F99"/>
    <w:rsid w:val="0014127F"/>
    <w:rsid w:val="00141347"/>
    <w:rsid w:val="001413AF"/>
    <w:rsid w:val="00141491"/>
    <w:rsid w:val="001416E1"/>
    <w:rsid w:val="0014179A"/>
    <w:rsid w:val="001417A1"/>
    <w:rsid w:val="00141828"/>
    <w:rsid w:val="0014193A"/>
    <w:rsid w:val="00141A06"/>
    <w:rsid w:val="00141C0B"/>
    <w:rsid w:val="00141C94"/>
    <w:rsid w:val="00141CE8"/>
    <w:rsid w:val="00141D13"/>
    <w:rsid w:val="00141E10"/>
    <w:rsid w:val="00141F2D"/>
    <w:rsid w:val="00141F4A"/>
    <w:rsid w:val="001420F4"/>
    <w:rsid w:val="0014213F"/>
    <w:rsid w:val="00142140"/>
    <w:rsid w:val="00142207"/>
    <w:rsid w:val="0014242A"/>
    <w:rsid w:val="001424EE"/>
    <w:rsid w:val="001426EA"/>
    <w:rsid w:val="001429FA"/>
    <w:rsid w:val="00142B9E"/>
    <w:rsid w:val="00142CBF"/>
    <w:rsid w:val="00142E0D"/>
    <w:rsid w:val="00142F17"/>
    <w:rsid w:val="0014324F"/>
    <w:rsid w:val="001432BE"/>
    <w:rsid w:val="00143445"/>
    <w:rsid w:val="00143454"/>
    <w:rsid w:val="001434F0"/>
    <w:rsid w:val="001435EB"/>
    <w:rsid w:val="001435F2"/>
    <w:rsid w:val="001437EF"/>
    <w:rsid w:val="00143912"/>
    <w:rsid w:val="0014392F"/>
    <w:rsid w:val="0014394A"/>
    <w:rsid w:val="00143A54"/>
    <w:rsid w:val="00143A70"/>
    <w:rsid w:val="00143AE9"/>
    <w:rsid w:val="00143F55"/>
    <w:rsid w:val="0014404A"/>
    <w:rsid w:val="00144065"/>
    <w:rsid w:val="0014417B"/>
    <w:rsid w:val="0014428E"/>
    <w:rsid w:val="00144495"/>
    <w:rsid w:val="0014449A"/>
    <w:rsid w:val="0014454D"/>
    <w:rsid w:val="001445C5"/>
    <w:rsid w:val="001448C1"/>
    <w:rsid w:val="00144AB6"/>
    <w:rsid w:val="00144BE7"/>
    <w:rsid w:val="00144C9A"/>
    <w:rsid w:val="00144CBE"/>
    <w:rsid w:val="0014500D"/>
    <w:rsid w:val="00145033"/>
    <w:rsid w:val="00145102"/>
    <w:rsid w:val="0014524A"/>
    <w:rsid w:val="0014537C"/>
    <w:rsid w:val="0014548C"/>
    <w:rsid w:val="0014561D"/>
    <w:rsid w:val="0014569A"/>
    <w:rsid w:val="0014579F"/>
    <w:rsid w:val="001457D1"/>
    <w:rsid w:val="0014582D"/>
    <w:rsid w:val="00145A79"/>
    <w:rsid w:val="00145B56"/>
    <w:rsid w:val="00145B99"/>
    <w:rsid w:val="00145C4D"/>
    <w:rsid w:val="00145D42"/>
    <w:rsid w:val="00145EDC"/>
    <w:rsid w:val="00145FC6"/>
    <w:rsid w:val="00145FF4"/>
    <w:rsid w:val="00146009"/>
    <w:rsid w:val="0014603C"/>
    <w:rsid w:val="00146137"/>
    <w:rsid w:val="00146214"/>
    <w:rsid w:val="00146309"/>
    <w:rsid w:val="001463DB"/>
    <w:rsid w:val="001463F6"/>
    <w:rsid w:val="00146690"/>
    <w:rsid w:val="00146859"/>
    <w:rsid w:val="00146B40"/>
    <w:rsid w:val="00146E99"/>
    <w:rsid w:val="00147219"/>
    <w:rsid w:val="001477D8"/>
    <w:rsid w:val="001478B2"/>
    <w:rsid w:val="00147927"/>
    <w:rsid w:val="00147B4B"/>
    <w:rsid w:val="00147BB0"/>
    <w:rsid w:val="00147BD9"/>
    <w:rsid w:val="00147C3C"/>
    <w:rsid w:val="00147E10"/>
    <w:rsid w:val="00147FAB"/>
    <w:rsid w:val="001500F0"/>
    <w:rsid w:val="00150237"/>
    <w:rsid w:val="001504A4"/>
    <w:rsid w:val="001504FB"/>
    <w:rsid w:val="00150596"/>
    <w:rsid w:val="001506F0"/>
    <w:rsid w:val="0015076A"/>
    <w:rsid w:val="0015079B"/>
    <w:rsid w:val="00150CD8"/>
    <w:rsid w:val="00150DEB"/>
    <w:rsid w:val="00150F90"/>
    <w:rsid w:val="00150FA4"/>
    <w:rsid w:val="00151022"/>
    <w:rsid w:val="00151164"/>
    <w:rsid w:val="001512AC"/>
    <w:rsid w:val="0015141A"/>
    <w:rsid w:val="0015141E"/>
    <w:rsid w:val="00151445"/>
    <w:rsid w:val="00151857"/>
    <w:rsid w:val="00151911"/>
    <w:rsid w:val="00151B60"/>
    <w:rsid w:val="00151BCC"/>
    <w:rsid w:val="00151CF7"/>
    <w:rsid w:val="00151D25"/>
    <w:rsid w:val="00151E26"/>
    <w:rsid w:val="00151E44"/>
    <w:rsid w:val="00151FF5"/>
    <w:rsid w:val="00152204"/>
    <w:rsid w:val="001525C0"/>
    <w:rsid w:val="001525DA"/>
    <w:rsid w:val="00152881"/>
    <w:rsid w:val="00152A08"/>
    <w:rsid w:val="00152A99"/>
    <w:rsid w:val="00152AFC"/>
    <w:rsid w:val="00152B40"/>
    <w:rsid w:val="00152CC9"/>
    <w:rsid w:val="00152E8E"/>
    <w:rsid w:val="00152EBB"/>
    <w:rsid w:val="00152FDB"/>
    <w:rsid w:val="001531C1"/>
    <w:rsid w:val="00153318"/>
    <w:rsid w:val="00153551"/>
    <w:rsid w:val="001537BB"/>
    <w:rsid w:val="001537BE"/>
    <w:rsid w:val="00153864"/>
    <w:rsid w:val="00153880"/>
    <w:rsid w:val="001539AD"/>
    <w:rsid w:val="00153AF5"/>
    <w:rsid w:val="00153AFB"/>
    <w:rsid w:val="00153DBA"/>
    <w:rsid w:val="00153DD2"/>
    <w:rsid w:val="00153E5D"/>
    <w:rsid w:val="0015403C"/>
    <w:rsid w:val="00154156"/>
    <w:rsid w:val="0015426D"/>
    <w:rsid w:val="00154294"/>
    <w:rsid w:val="001542E3"/>
    <w:rsid w:val="001542FA"/>
    <w:rsid w:val="00154321"/>
    <w:rsid w:val="00154416"/>
    <w:rsid w:val="00154709"/>
    <w:rsid w:val="00154A94"/>
    <w:rsid w:val="00154ADC"/>
    <w:rsid w:val="00154C28"/>
    <w:rsid w:val="00154C63"/>
    <w:rsid w:val="00154D2D"/>
    <w:rsid w:val="00154F5E"/>
    <w:rsid w:val="001550D5"/>
    <w:rsid w:val="001550E2"/>
    <w:rsid w:val="001551F1"/>
    <w:rsid w:val="00155211"/>
    <w:rsid w:val="00155220"/>
    <w:rsid w:val="001552CE"/>
    <w:rsid w:val="00155378"/>
    <w:rsid w:val="001557B0"/>
    <w:rsid w:val="001557F5"/>
    <w:rsid w:val="00155C2D"/>
    <w:rsid w:val="00155C5D"/>
    <w:rsid w:val="00155D90"/>
    <w:rsid w:val="00155E49"/>
    <w:rsid w:val="00155ECC"/>
    <w:rsid w:val="00156297"/>
    <w:rsid w:val="001562B4"/>
    <w:rsid w:val="001562B6"/>
    <w:rsid w:val="0015640E"/>
    <w:rsid w:val="0015644B"/>
    <w:rsid w:val="00156475"/>
    <w:rsid w:val="0015654F"/>
    <w:rsid w:val="001565CF"/>
    <w:rsid w:val="001565EC"/>
    <w:rsid w:val="00156710"/>
    <w:rsid w:val="00156816"/>
    <w:rsid w:val="00156AE8"/>
    <w:rsid w:val="00156B0B"/>
    <w:rsid w:val="00156B39"/>
    <w:rsid w:val="00156B47"/>
    <w:rsid w:val="00156B71"/>
    <w:rsid w:val="00156BC3"/>
    <w:rsid w:val="00156BDB"/>
    <w:rsid w:val="00156DEA"/>
    <w:rsid w:val="00156E76"/>
    <w:rsid w:val="00157002"/>
    <w:rsid w:val="00157428"/>
    <w:rsid w:val="00157430"/>
    <w:rsid w:val="00157456"/>
    <w:rsid w:val="00157815"/>
    <w:rsid w:val="0015785B"/>
    <w:rsid w:val="001578F6"/>
    <w:rsid w:val="001579BC"/>
    <w:rsid w:val="00157A47"/>
    <w:rsid w:val="00157CE8"/>
    <w:rsid w:val="00157EF4"/>
    <w:rsid w:val="00157F08"/>
    <w:rsid w:val="00157F15"/>
    <w:rsid w:val="00157F5E"/>
    <w:rsid w:val="0016002B"/>
    <w:rsid w:val="0016005D"/>
    <w:rsid w:val="00160110"/>
    <w:rsid w:val="00160180"/>
    <w:rsid w:val="001601B8"/>
    <w:rsid w:val="001601B9"/>
    <w:rsid w:val="00160256"/>
    <w:rsid w:val="001603FD"/>
    <w:rsid w:val="00160682"/>
    <w:rsid w:val="001606CF"/>
    <w:rsid w:val="00160B6F"/>
    <w:rsid w:val="00160DC1"/>
    <w:rsid w:val="0016107A"/>
    <w:rsid w:val="00161255"/>
    <w:rsid w:val="0016128D"/>
    <w:rsid w:val="001614A9"/>
    <w:rsid w:val="00161503"/>
    <w:rsid w:val="00161548"/>
    <w:rsid w:val="0016158A"/>
    <w:rsid w:val="00161636"/>
    <w:rsid w:val="00161739"/>
    <w:rsid w:val="00161749"/>
    <w:rsid w:val="001618A9"/>
    <w:rsid w:val="00161988"/>
    <w:rsid w:val="001619F3"/>
    <w:rsid w:val="00161A90"/>
    <w:rsid w:val="00161C03"/>
    <w:rsid w:val="00161D0E"/>
    <w:rsid w:val="00161D54"/>
    <w:rsid w:val="00161E2A"/>
    <w:rsid w:val="00161E95"/>
    <w:rsid w:val="00161FCB"/>
    <w:rsid w:val="00162008"/>
    <w:rsid w:val="0016207D"/>
    <w:rsid w:val="001620E0"/>
    <w:rsid w:val="00162300"/>
    <w:rsid w:val="001623AB"/>
    <w:rsid w:val="001623B5"/>
    <w:rsid w:val="001625F5"/>
    <w:rsid w:val="0016279F"/>
    <w:rsid w:val="00162916"/>
    <w:rsid w:val="00162939"/>
    <w:rsid w:val="00162988"/>
    <w:rsid w:val="001629DC"/>
    <w:rsid w:val="00162A9C"/>
    <w:rsid w:val="00162B24"/>
    <w:rsid w:val="00162CB4"/>
    <w:rsid w:val="0016303E"/>
    <w:rsid w:val="001630FD"/>
    <w:rsid w:val="0016312F"/>
    <w:rsid w:val="001635B2"/>
    <w:rsid w:val="00163875"/>
    <w:rsid w:val="001639FE"/>
    <w:rsid w:val="00163A19"/>
    <w:rsid w:val="00163AE8"/>
    <w:rsid w:val="00163B29"/>
    <w:rsid w:val="00163B5F"/>
    <w:rsid w:val="00163C93"/>
    <w:rsid w:val="00163D06"/>
    <w:rsid w:val="00163D3E"/>
    <w:rsid w:val="00163ED0"/>
    <w:rsid w:val="00163F84"/>
    <w:rsid w:val="00164133"/>
    <w:rsid w:val="0016426C"/>
    <w:rsid w:val="0016438B"/>
    <w:rsid w:val="00164395"/>
    <w:rsid w:val="0016447E"/>
    <w:rsid w:val="00164562"/>
    <w:rsid w:val="0016463C"/>
    <w:rsid w:val="00164720"/>
    <w:rsid w:val="001647BA"/>
    <w:rsid w:val="001648B3"/>
    <w:rsid w:val="00164963"/>
    <w:rsid w:val="00164A11"/>
    <w:rsid w:val="00164A76"/>
    <w:rsid w:val="00164D92"/>
    <w:rsid w:val="00164DF3"/>
    <w:rsid w:val="00165162"/>
    <w:rsid w:val="0016525B"/>
    <w:rsid w:val="001653D7"/>
    <w:rsid w:val="00165553"/>
    <w:rsid w:val="00165558"/>
    <w:rsid w:val="001655ED"/>
    <w:rsid w:val="00165812"/>
    <w:rsid w:val="0016586F"/>
    <w:rsid w:val="0016587C"/>
    <w:rsid w:val="00165989"/>
    <w:rsid w:val="00165C4A"/>
    <w:rsid w:val="00165DB4"/>
    <w:rsid w:val="00165EA9"/>
    <w:rsid w:val="0016601F"/>
    <w:rsid w:val="0016630F"/>
    <w:rsid w:val="00166360"/>
    <w:rsid w:val="00166374"/>
    <w:rsid w:val="00166416"/>
    <w:rsid w:val="00166542"/>
    <w:rsid w:val="00166653"/>
    <w:rsid w:val="00166785"/>
    <w:rsid w:val="00166ADE"/>
    <w:rsid w:val="00166F39"/>
    <w:rsid w:val="00167079"/>
    <w:rsid w:val="0016716B"/>
    <w:rsid w:val="001671B7"/>
    <w:rsid w:val="001671E6"/>
    <w:rsid w:val="001673F2"/>
    <w:rsid w:val="00167463"/>
    <w:rsid w:val="001674DC"/>
    <w:rsid w:val="00167501"/>
    <w:rsid w:val="00167673"/>
    <w:rsid w:val="001676BA"/>
    <w:rsid w:val="00167753"/>
    <w:rsid w:val="001678DC"/>
    <w:rsid w:val="00167A30"/>
    <w:rsid w:val="00167B24"/>
    <w:rsid w:val="00167BE1"/>
    <w:rsid w:val="00167C00"/>
    <w:rsid w:val="00167D72"/>
    <w:rsid w:val="00170009"/>
    <w:rsid w:val="00170018"/>
    <w:rsid w:val="00170044"/>
    <w:rsid w:val="001701BC"/>
    <w:rsid w:val="00170284"/>
    <w:rsid w:val="001703B7"/>
    <w:rsid w:val="001704B5"/>
    <w:rsid w:val="001707FB"/>
    <w:rsid w:val="0017089D"/>
    <w:rsid w:val="001709C7"/>
    <w:rsid w:val="00170AA3"/>
    <w:rsid w:val="00170EA9"/>
    <w:rsid w:val="00171182"/>
    <w:rsid w:val="00171244"/>
    <w:rsid w:val="0017124B"/>
    <w:rsid w:val="00171294"/>
    <w:rsid w:val="00171428"/>
    <w:rsid w:val="00171763"/>
    <w:rsid w:val="00171797"/>
    <w:rsid w:val="001719F0"/>
    <w:rsid w:val="00171A01"/>
    <w:rsid w:val="00171B90"/>
    <w:rsid w:val="00171DCF"/>
    <w:rsid w:val="00171F25"/>
    <w:rsid w:val="00171FBD"/>
    <w:rsid w:val="0017221D"/>
    <w:rsid w:val="001724FB"/>
    <w:rsid w:val="001726DC"/>
    <w:rsid w:val="00172779"/>
    <w:rsid w:val="00172822"/>
    <w:rsid w:val="00172AA1"/>
    <w:rsid w:val="00172DF1"/>
    <w:rsid w:val="00172FB6"/>
    <w:rsid w:val="00173434"/>
    <w:rsid w:val="001735E4"/>
    <w:rsid w:val="00173679"/>
    <w:rsid w:val="001737C2"/>
    <w:rsid w:val="0017392A"/>
    <w:rsid w:val="00173A44"/>
    <w:rsid w:val="00173B4F"/>
    <w:rsid w:val="00173C25"/>
    <w:rsid w:val="00173E85"/>
    <w:rsid w:val="001741B4"/>
    <w:rsid w:val="0017421F"/>
    <w:rsid w:val="001743FD"/>
    <w:rsid w:val="00174564"/>
    <w:rsid w:val="0017468B"/>
    <w:rsid w:val="001746DD"/>
    <w:rsid w:val="0017477F"/>
    <w:rsid w:val="00174C4A"/>
    <w:rsid w:val="00175064"/>
    <w:rsid w:val="00175136"/>
    <w:rsid w:val="00175168"/>
    <w:rsid w:val="0017540C"/>
    <w:rsid w:val="001754B8"/>
    <w:rsid w:val="0017550A"/>
    <w:rsid w:val="001757B1"/>
    <w:rsid w:val="001757CF"/>
    <w:rsid w:val="00175C6B"/>
    <w:rsid w:val="00175F75"/>
    <w:rsid w:val="00175F7E"/>
    <w:rsid w:val="00176197"/>
    <w:rsid w:val="001763F9"/>
    <w:rsid w:val="001764C9"/>
    <w:rsid w:val="001764EB"/>
    <w:rsid w:val="001765EC"/>
    <w:rsid w:val="001766A0"/>
    <w:rsid w:val="001767A1"/>
    <w:rsid w:val="0017681C"/>
    <w:rsid w:val="00176897"/>
    <w:rsid w:val="00176969"/>
    <w:rsid w:val="0017698C"/>
    <w:rsid w:val="00176C94"/>
    <w:rsid w:val="00176DF6"/>
    <w:rsid w:val="00176E66"/>
    <w:rsid w:val="00176EE2"/>
    <w:rsid w:val="0017708C"/>
    <w:rsid w:val="001770D4"/>
    <w:rsid w:val="00177189"/>
    <w:rsid w:val="00177249"/>
    <w:rsid w:val="0017727F"/>
    <w:rsid w:val="001773FE"/>
    <w:rsid w:val="001775D1"/>
    <w:rsid w:val="00177623"/>
    <w:rsid w:val="00177723"/>
    <w:rsid w:val="0017793D"/>
    <w:rsid w:val="00177B1E"/>
    <w:rsid w:val="00177B52"/>
    <w:rsid w:val="00177B88"/>
    <w:rsid w:val="00177CA3"/>
    <w:rsid w:val="00177DDE"/>
    <w:rsid w:val="00177EFA"/>
    <w:rsid w:val="00177FB6"/>
    <w:rsid w:val="001801F5"/>
    <w:rsid w:val="00180244"/>
    <w:rsid w:val="00180292"/>
    <w:rsid w:val="0018038A"/>
    <w:rsid w:val="00180575"/>
    <w:rsid w:val="001805E5"/>
    <w:rsid w:val="001806AF"/>
    <w:rsid w:val="001806EF"/>
    <w:rsid w:val="0018081B"/>
    <w:rsid w:val="0018091D"/>
    <w:rsid w:val="0018094A"/>
    <w:rsid w:val="00180A22"/>
    <w:rsid w:val="00180A83"/>
    <w:rsid w:val="00180AB9"/>
    <w:rsid w:val="00180B37"/>
    <w:rsid w:val="00180C59"/>
    <w:rsid w:val="00180E87"/>
    <w:rsid w:val="00180FCC"/>
    <w:rsid w:val="00181057"/>
    <w:rsid w:val="00181135"/>
    <w:rsid w:val="0018133B"/>
    <w:rsid w:val="001813DD"/>
    <w:rsid w:val="001814DE"/>
    <w:rsid w:val="00181548"/>
    <w:rsid w:val="001815DE"/>
    <w:rsid w:val="00181691"/>
    <w:rsid w:val="001816C0"/>
    <w:rsid w:val="001816C3"/>
    <w:rsid w:val="00181767"/>
    <w:rsid w:val="001817A7"/>
    <w:rsid w:val="0018188F"/>
    <w:rsid w:val="001818C8"/>
    <w:rsid w:val="0018193C"/>
    <w:rsid w:val="0018199C"/>
    <w:rsid w:val="001819FA"/>
    <w:rsid w:val="00181A8C"/>
    <w:rsid w:val="00181B5C"/>
    <w:rsid w:val="00181D61"/>
    <w:rsid w:val="00181E4E"/>
    <w:rsid w:val="0018205D"/>
    <w:rsid w:val="0018214C"/>
    <w:rsid w:val="0018216D"/>
    <w:rsid w:val="001821D9"/>
    <w:rsid w:val="0018235E"/>
    <w:rsid w:val="001827FB"/>
    <w:rsid w:val="00182888"/>
    <w:rsid w:val="001829D9"/>
    <w:rsid w:val="00182C53"/>
    <w:rsid w:val="00182DCB"/>
    <w:rsid w:val="00182E6A"/>
    <w:rsid w:val="0018301C"/>
    <w:rsid w:val="00183049"/>
    <w:rsid w:val="00183238"/>
    <w:rsid w:val="00183240"/>
    <w:rsid w:val="00183393"/>
    <w:rsid w:val="00183461"/>
    <w:rsid w:val="001834F7"/>
    <w:rsid w:val="00183787"/>
    <w:rsid w:val="001839A2"/>
    <w:rsid w:val="001839AC"/>
    <w:rsid w:val="001839D0"/>
    <w:rsid w:val="00183B82"/>
    <w:rsid w:val="00183BA9"/>
    <w:rsid w:val="00183C7A"/>
    <w:rsid w:val="00183D2C"/>
    <w:rsid w:val="00183EA7"/>
    <w:rsid w:val="00183FE0"/>
    <w:rsid w:val="00184148"/>
    <w:rsid w:val="0018432F"/>
    <w:rsid w:val="0018438F"/>
    <w:rsid w:val="00184428"/>
    <w:rsid w:val="001844AC"/>
    <w:rsid w:val="0018450C"/>
    <w:rsid w:val="00184663"/>
    <w:rsid w:val="001846C2"/>
    <w:rsid w:val="001848C2"/>
    <w:rsid w:val="00184B0B"/>
    <w:rsid w:val="00184C96"/>
    <w:rsid w:val="00184E2E"/>
    <w:rsid w:val="00185130"/>
    <w:rsid w:val="00185175"/>
    <w:rsid w:val="00185222"/>
    <w:rsid w:val="0018522F"/>
    <w:rsid w:val="00185280"/>
    <w:rsid w:val="001854F7"/>
    <w:rsid w:val="001855AF"/>
    <w:rsid w:val="00185670"/>
    <w:rsid w:val="001857F0"/>
    <w:rsid w:val="001858BC"/>
    <w:rsid w:val="00185963"/>
    <w:rsid w:val="00185A0E"/>
    <w:rsid w:val="00185BF0"/>
    <w:rsid w:val="00185C0F"/>
    <w:rsid w:val="00185C70"/>
    <w:rsid w:val="00185CC3"/>
    <w:rsid w:val="00185DC8"/>
    <w:rsid w:val="00185E75"/>
    <w:rsid w:val="001862A1"/>
    <w:rsid w:val="0018633E"/>
    <w:rsid w:val="00186615"/>
    <w:rsid w:val="00186B3D"/>
    <w:rsid w:val="00186B50"/>
    <w:rsid w:val="00186B5B"/>
    <w:rsid w:val="00186C7C"/>
    <w:rsid w:val="00186DA0"/>
    <w:rsid w:val="00186E0D"/>
    <w:rsid w:val="00186EB6"/>
    <w:rsid w:val="001870C0"/>
    <w:rsid w:val="001870FF"/>
    <w:rsid w:val="001872A4"/>
    <w:rsid w:val="001873B4"/>
    <w:rsid w:val="001876A1"/>
    <w:rsid w:val="00187700"/>
    <w:rsid w:val="0018781C"/>
    <w:rsid w:val="00187A2C"/>
    <w:rsid w:val="001901C8"/>
    <w:rsid w:val="001902EB"/>
    <w:rsid w:val="001903BE"/>
    <w:rsid w:val="00190495"/>
    <w:rsid w:val="0019061E"/>
    <w:rsid w:val="00190837"/>
    <w:rsid w:val="0019084F"/>
    <w:rsid w:val="00190917"/>
    <w:rsid w:val="001909BD"/>
    <w:rsid w:val="00190AB2"/>
    <w:rsid w:val="00190AB5"/>
    <w:rsid w:val="00190ADF"/>
    <w:rsid w:val="00190AF4"/>
    <w:rsid w:val="00190F1E"/>
    <w:rsid w:val="00190FEC"/>
    <w:rsid w:val="0019101A"/>
    <w:rsid w:val="001910AC"/>
    <w:rsid w:val="00191163"/>
    <w:rsid w:val="001912F5"/>
    <w:rsid w:val="001914E5"/>
    <w:rsid w:val="00191514"/>
    <w:rsid w:val="00191550"/>
    <w:rsid w:val="0019157B"/>
    <w:rsid w:val="00191681"/>
    <w:rsid w:val="00191782"/>
    <w:rsid w:val="001918E8"/>
    <w:rsid w:val="0019195A"/>
    <w:rsid w:val="00191BA8"/>
    <w:rsid w:val="00191CAB"/>
    <w:rsid w:val="00191DA6"/>
    <w:rsid w:val="001921AF"/>
    <w:rsid w:val="0019239F"/>
    <w:rsid w:val="0019243B"/>
    <w:rsid w:val="00192483"/>
    <w:rsid w:val="001924BD"/>
    <w:rsid w:val="00192516"/>
    <w:rsid w:val="00192626"/>
    <w:rsid w:val="00192672"/>
    <w:rsid w:val="001926D4"/>
    <w:rsid w:val="001927CD"/>
    <w:rsid w:val="00192B72"/>
    <w:rsid w:val="00192CFA"/>
    <w:rsid w:val="00192E05"/>
    <w:rsid w:val="00192EDE"/>
    <w:rsid w:val="00192F14"/>
    <w:rsid w:val="00192FAE"/>
    <w:rsid w:val="00193071"/>
    <w:rsid w:val="0019310E"/>
    <w:rsid w:val="00193141"/>
    <w:rsid w:val="00193252"/>
    <w:rsid w:val="001932F9"/>
    <w:rsid w:val="00193472"/>
    <w:rsid w:val="00193815"/>
    <w:rsid w:val="00193825"/>
    <w:rsid w:val="0019383D"/>
    <w:rsid w:val="00193863"/>
    <w:rsid w:val="001938F4"/>
    <w:rsid w:val="00193970"/>
    <w:rsid w:val="0019398C"/>
    <w:rsid w:val="00193BBB"/>
    <w:rsid w:val="00193C95"/>
    <w:rsid w:val="00193F77"/>
    <w:rsid w:val="001940CF"/>
    <w:rsid w:val="0019412E"/>
    <w:rsid w:val="00194332"/>
    <w:rsid w:val="001943B4"/>
    <w:rsid w:val="00194504"/>
    <w:rsid w:val="00194684"/>
    <w:rsid w:val="0019473C"/>
    <w:rsid w:val="0019479D"/>
    <w:rsid w:val="001947BD"/>
    <w:rsid w:val="0019485E"/>
    <w:rsid w:val="00194968"/>
    <w:rsid w:val="00194C73"/>
    <w:rsid w:val="00194D33"/>
    <w:rsid w:val="00194F23"/>
    <w:rsid w:val="00194F5C"/>
    <w:rsid w:val="00194F78"/>
    <w:rsid w:val="00194FA4"/>
    <w:rsid w:val="0019504F"/>
    <w:rsid w:val="00195119"/>
    <w:rsid w:val="001951D5"/>
    <w:rsid w:val="00195298"/>
    <w:rsid w:val="001952DA"/>
    <w:rsid w:val="00195379"/>
    <w:rsid w:val="00195458"/>
    <w:rsid w:val="00195463"/>
    <w:rsid w:val="00195481"/>
    <w:rsid w:val="0019557F"/>
    <w:rsid w:val="001955E5"/>
    <w:rsid w:val="001957A7"/>
    <w:rsid w:val="001957AA"/>
    <w:rsid w:val="001958F9"/>
    <w:rsid w:val="001959CB"/>
    <w:rsid w:val="00195A4B"/>
    <w:rsid w:val="00195AE0"/>
    <w:rsid w:val="00195BBE"/>
    <w:rsid w:val="00195E50"/>
    <w:rsid w:val="00195EC9"/>
    <w:rsid w:val="00195F73"/>
    <w:rsid w:val="001960A9"/>
    <w:rsid w:val="001960FF"/>
    <w:rsid w:val="00196226"/>
    <w:rsid w:val="001962D1"/>
    <w:rsid w:val="00196561"/>
    <w:rsid w:val="001967D9"/>
    <w:rsid w:val="00196950"/>
    <w:rsid w:val="00196965"/>
    <w:rsid w:val="00196AA1"/>
    <w:rsid w:val="00196B39"/>
    <w:rsid w:val="00196B90"/>
    <w:rsid w:val="00196BC2"/>
    <w:rsid w:val="00196C71"/>
    <w:rsid w:val="00196CCD"/>
    <w:rsid w:val="001970A7"/>
    <w:rsid w:val="0019726E"/>
    <w:rsid w:val="001972D1"/>
    <w:rsid w:val="00197458"/>
    <w:rsid w:val="00197594"/>
    <w:rsid w:val="001975A1"/>
    <w:rsid w:val="00197643"/>
    <w:rsid w:val="00197974"/>
    <w:rsid w:val="00197987"/>
    <w:rsid w:val="00197A3E"/>
    <w:rsid w:val="00197BE9"/>
    <w:rsid w:val="00197C09"/>
    <w:rsid w:val="00197C24"/>
    <w:rsid w:val="00197E19"/>
    <w:rsid w:val="001A0048"/>
    <w:rsid w:val="001A015F"/>
    <w:rsid w:val="001A019D"/>
    <w:rsid w:val="001A021D"/>
    <w:rsid w:val="001A03A6"/>
    <w:rsid w:val="001A0639"/>
    <w:rsid w:val="001A0667"/>
    <w:rsid w:val="001A09D8"/>
    <w:rsid w:val="001A0CD0"/>
    <w:rsid w:val="001A0EB7"/>
    <w:rsid w:val="001A104F"/>
    <w:rsid w:val="001A11CB"/>
    <w:rsid w:val="001A12EA"/>
    <w:rsid w:val="001A146B"/>
    <w:rsid w:val="001A14F4"/>
    <w:rsid w:val="001A1569"/>
    <w:rsid w:val="001A1699"/>
    <w:rsid w:val="001A1729"/>
    <w:rsid w:val="001A1774"/>
    <w:rsid w:val="001A17C6"/>
    <w:rsid w:val="001A19E1"/>
    <w:rsid w:val="001A1B18"/>
    <w:rsid w:val="001A1BB0"/>
    <w:rsid w:val="001A1BD6"/>
    <w:rsid w:val="001A1D82"/>
    <w:rsid w:val="001A1DE6"/>
    <w:rsid w:val="001A1EED"/>
    <w:rsid w:val="001A1FB1"/>
    <w:rsid w:val="001A21B2"/>
    <w:rsid w:val="001A22A8"/>
    <w:rsid w:val="001A232D"/>
    <w:rsid w:val="001A243D"/>
    <w:rsid w:val="001A2574"/>
    <w:rsid w:val="001A29B7"/>
    <w:rsid w:val="001A2B00"/>
    <w:rsid w:val="001A2D58"/>
    <w:rsid w:val="001A2FCC"/>
    <w:rsid w:val="001A306D"/>
    <w:rsid w:val="001A30C8"/>
    <w:rsid w:val="001A31A9"/>
    <w:rsid w:val="001A31CA"/>
    <w:rsid w:val="001A3237"/>
    <w:rsid w:val="001A3609"/>
    <w:rsid w:val="001A3645"/>
    <w:rsid w:val="001A36AE"/>
    <w:rsid w:val="001A3767"/>
    <w:rsid w:val="001A3894"/>
    <w:rsid w:val="001A39AB"/>
    <w:rsid w:val="001A39F7"/>
    <w:rsid w:val="001A3AE3"/>
    <w:rsid w:val="001A3C33"/>
    <w:rsid w:val="001A3D73"/>
    <w:rsid w:val="001A3DA2"/>
    <w:rsid w:val="001A3E79"/>
    <w:rsid w:val="001A3F96"/>
    <w:rsid w:val="001A3FDC"/>
    <w:rsid w:val="001A40FE"/>
    <w:rsid w:val="001A4199"/>
    <w:rsid w:val="001A42D2"/>
    <w:rsid w:val="001A45E4"/>
    <w:rsid w:val="001A49B9"/>
    <w:rsid w:val="001A4B5B"/>
    <w:rsid w:val="001A4C9E"/>
    <w:rsid w:val="001A4DBF"/>
    <w:rsid w:val="001A4EA4"/>
    <w:rsid w:val="001A4F6A"/>
    <w:rsid w:val="001A506D"/>
    <w:rsid w:val="001A5484"/>
    <w:rsid w:val="001A54C7"/>
    <w:rsid w:val="001A555D"/>
    <w:rsid w:val="001A5652"/>
    <w:rsid w:val="001A5741"/>
    <w:rsid w:val="001A5793"/>
    <w:rsid w:val="001A599D"/>
    <w:rsid w:val="001A5A67"/>
    <w:rsid w:val="001A5A81"/>
    <w:rsid w:val="001A5B62"/>
    <w:rsid w:val="001A5C14"/>
    <w:rsid w:val="001A5C82"/>
    <w:rsid w:val="001A5D22"/>
    <w:rsid w:val="001A5E6B"/>
    <w:rsid w:val="001A5F16"/>
    <w:rsid w:val="001A5F22"/>
    <w:rsid w:val="001A5F63"/>
    <w:rsid w:val="001A5FCC"/>
    <w:rsid w:val="001A6047"/>
    <w:rsid w:val="001A626C"/>
    <w:rsid w:val="001A6284"/>
    <w:rsid w:val="001A62B9"/>
    <w:rsid w:val="001A6474"/>
    <w:rsid w:val="001A6554"/>
    <w:rsid w:val="001A6588"/>
    <w:rsid w:val="001A67B6"/>
    <w:rsid w:val="001A683B"/>
    <w:rsid w:val="001A68AD"/>
    <w:rsid w:val="001A68DD"/>
    <w:rsid w:val="001A6902"/>
    <w:rsid w:val="001A6A9C"/>
    <w:rsid w:val="001A6D4F"/>
    <w:rsid w:val="001A6F0A"/>
    <w:rsid w:val="001A6F45"/>
    <w:rsid w:val="001A71FA"/>
    <w:rsid w:val="001A72B2"/>
    <w:rsid w:val="001A773F"/>
    <w:rsid w:val="001A775C"/>
    <w:rsid w:val="001A7949"/>
    <w:rsid w:val="001A79FC"/>
    <w:rsid w:val="001A7A52"/>
    <w:rsid w:val="001A7BA4"/>
    <w:rsid w:val="001A7BE5"/>
    <w:rsid w:val="001A7CE2"/>
    <w:rsid w:val="001A7D01"/>
    <w:rsid w:val="001A7E51"/>
    <w:rsid w:val="001A7EF0"/>
    <w:rsid w:val="001B0039"/>
    <w:rsid w:val="001B004F"/>
    <w:rsid w:val="001B027A"/>
    <w:rsid w:val="001B034B"/>
    <w:rsid w:val="001B03CB"/>
    <w:rsid w:val="001B0441"/>
    <w:rsid w:val="001B04F8"/>
    <w:rsid w:val="001B07F5"/>
    <w:rsid w:val="001B081B"/>
    <w:rsid w:val="001B0846"/>
    <w:rsid w:val="001B08EA"/>
    <w:rsid w:val="001B0A1A"/>
    <w:rsid w:val="001B0B2E"/>
    <w:rsid w:val="001B0B31"/>
    <w:rsid w:val="001B0B5A"/>
    <w:rsid w:val="001B0BC1"/>
    <w:rsid w:val="001B0F97"/>
    <w:rsid w:val="001B10AF"/>
    <w:rsid w:val="001B111E"/>
    <w:rsid w:val="001B1122"/>
    <w:rsid w:val="001B1255"/>
    <w:rsid w:val="001B1469"/>
    <w:rsid w:val="001B1479"/>
    <w:rsid w:val="001B14C3"/>
    <w:rsid w:val="001B1519"/>
    <w:rsid w:val="001B157C"/>
    <w:rsid w:val="001B1581"/>
    <w:rsid w:val="001B15B9"/>
    <w:rsid w:val="001B15FA"/>
    <w:rsid w:val="001B170E"/>
    <w:rsid w:val="001B19EB"/>
    <w:rsid w:val="001B1CD4"/>
    <w:rsid w:val="001B1D68"/>
    <w:rsid w:val="001B1E4F"/>
    <w:rsid w:val="001B1E92"/>
    <w:rsid w:val="001B205B"/>
    <w:rsid w:val="001B206B"/>
    <w:rsid w:val="001B2176"/>
    <w:rsid w:val="001B2281"/>
    <w:rsid w:val="001B22EE"/>
    <w:rsid w:val="001B2376"/>
    <w:rsid w:val="001B237B"/>
    <w:rsid w:val="001B2410"/>
    <w:rsid w:val="001B2485"/>
    <w:rsid w:val="001B249D"/>
    <w:rsid w:val="001B254B"/>
    <w:rsid w:val="001B2635"/>
    <w:rsid w:val="001B26B1"/>
    <w:rsid w:val="001B277F"/>
    <w:rsid w:val="001B2A71"/>
    <w:rsid w:val="001B2A9B"/>
    <w:rsid w:val="001B2AB1"/>
    <w:rsid w:val="001B2AFC"/>
    <w:rsid w:val="001B2B74"/>
    <w:rsid w:val="001B2E3C"/>
    <w:rsid w:val="001B2E84"/>
    <w:rsid w:val="001B2F05"/>
    <w:rsid w:val="001B2FCC"/>
    <w:rsid w:val="001B30A9"/>
    <w:rsid w:val="001B30D2"/>
    <w:rsid w:val="001B331F"/>
    <w:rsid w:val="001B3373"/>
    <w:rsid w:val="001B34A9"/>
    <w:rsid w:val="001B35B5"/>
    <w:rsid w:val="001B35F9"/>
    <w:rsid w:val="001B36A2"/>
    <w:rsid w:val="001B377B"/>
    <w:rsid w:val="001B37AE"/>
    <w:rsid w:val="001B386D"/>
    <w:rsid w:val="001B3A93"/>
    <w:rsid w:val="001B3AB4"/>
    <w:rsid w:val="001B3AD6"/>
    <w:rsid w:val="001B3E96"/>
    <w:rsid w:val="001B41EC"/>
    <w:rsid w:val="001B41FB"/>
    <w:rsid w:val="001B42BE"/>
    <w:rsid w:val="001B443F"/>
    <w:rsid w:val="001B4491"/>
    <w:rsid w:val="001B44A2"/>
    <w:rsid w:val="001B477D"/>
    <w:rsid w:val="001B47A0"/>
    <w:rsid w:val="001B480D"/>
    <w:rsid w:val="001B481D"/>
    <w:rsid w:val="001B48D7"/>
    <w:rsid w:val="001B4907"/>
    <w:rsid w:val="001B4922"/>
    <w:rsid w:val="001B49C1"/>
    <w:rsid w:val="001B49D8"/>
    <w:rsid w:val="001B4AE4"/>
    <w:rsid w:val="001B4C13"/>
    <w:rsid w:val="001B4DED"/>
    <w:rsid w:val="001B4E4C"/>
    <w:rsid w:val="001B4FB5"/>
    <w:rsid w:val="001B5091"/>
    <w:rsid w:val="001B50B3"/>
    <w:rsid w:val="001B50CE"/>
    <w:rsid w:val="001B51A7"/>
    <w:rsid w:val="001B55E4"/>
    <w:rsid w:val="001B5735"/>
    <w:rsid w:val="001B5B42"/>
    <w:rsid w:val="001B5C01"/>
    <w:rsid w:val="001B5D10"/>
    <w:rsid w:val="001B5F0D"/>
    <w:rsid w:val="001B6158"/>
    <w:rsid w:val="001B6226"/>
    <w:rsid w:val="001B62B9"/>
    <w:rsid w:val="001B63A9"/>
    <w:rsid w:val="001B6595"/>
    <w:rsid w:val="001B672E"/>
    <w:rsid w:val="001B68A2"/>
    <w:rsid w:val="001B68FC"/>
    <w:rsid w:val="001B699A"/>
    <w:rsid w:val="001B6A76"/>
    <w:rsid w:val="001B6AEA"/>
    <w:rsid w:val="001B6EFD"/>
    <w:rsid w:val="001B6F47"/>
    <w:rsid w:val="001B6F51"/>
    <w:rsid w:val="001B7264"/>
    <w:rsid w:val="001B731E"/>
    <w:rsid w:val="001B739B"/>
    <w:rsid w:val="001B74FA"/>
    <w:rsid w:val="001B75BA"/>
    <w:rsid w:val="001B7619"/>
    <w:rsid w:val="001B767D"/>
    <w:rsid w:val="001B7693"/>
    <w:rsid w:val="001B7715"/>
    <w:rsid w:val="001B7B26"/>
    <w:rsid w:val="001B7BEA"/>
    <w:rsid w:val="001B7CC0"/>
    <w:rsid w:val="001B7D41"/>
    <w:rsid w:val="001B7DDF"/>
    <w:rsid w:val="001B7E1B"/>
    <w:rsid w:val="001C021F"/>
    <w:rsid w:val="001C03BD"/>
    <w:rsid w:val="001C03D7"/>
    <w:rsid w:val="001C048D"/>
    <w:rsid w:val="001C05ED"/>
    <w:rsid w:val="001C0696"/>
    <w:rsid w:val="001C0B34"/>
    <w:rsid w:val="001C0B92"/>
    <w:rsid w:val="001C0B96"/>
    <w:rsid w:val="001C0CDD"/>
    <w:rsid w:val="001C0DFC"/>
    <w:rsid w:val="001C0FB0"/>
    <w:rsid w:val="001C124C"/>
    <w:rsid w:val="001C1298"/>
    <w:rsid w:val="001C141B"/>
    <w:rsid w:val="001C15ED"/>
    <w:rsid w:val="001C16E0"/>
    <w:rsid w:val="001C17E6"/>
    <w:rsid w:val="001C1A9B"/>
    <w:rsid w:val="001C1AE4"/>
    <w:rsid w:val="001C1B8B"/>
    <w:rsid w:val="001C1C29"/>
    <w:rsid w:val="001C1FAA"/>
    <w:rsid w:val="001C21D3"/>
    <w:rsid w:val="001C21DC"/>
    <w:rsid w:val="001C21F2"/>
    <w:rsid w:val="001C249B"/>
    <w:rsid w:val="001C251E"/>
    <w:rsid w:val="001C25D1"/>
    <w:rsid w:val="001C25D9"/>
    <w:rsid w:val="001C266D"/>
    <w:rsid w:val="001C29AD"/>
    <w:rsid w:val="001C2A19"/>
    <w:rsid w:val="001C2A24"/>
    <w:rsid w:val="001C2A2A"/>
    <w:rsid w:val="001C2B22"/>
    <w:rsid w:val="001C2BE4"/>
    <w:rsid w:val="001C2C57"/>
    <w:rsid w:val="001C2C66"/>
    <w:rsid w:val="001C2CAE"/>
    <w:rsid w:val="001C2D48"/>
    <w:rsid w:val="001C2E55"/>
    <w:rsid w:val="001C3192"/>
    <w:rsid w:val="001C3216"/>
    <w:rsid w:val="001C32A0"/>
    <w:rsid w:val="001C3403"/>
    <w:rsid w:val="001C344A"/>
    <w:rsid w:val="001C3518"/>
    <w:rsid w:val="001C358D"/>
    <w:rsid w:val="001C35BD"/>
    <w:rsid w:val="001C3896"/>
    <w:rsid w:val="001C38BA"/>
    <w:rsid w:val="001C3C02"/>
    <w:rsid w:val="001C3C1F"/>
    <w:rsid w:val="001C3C94"/>
    <w:rsid w:val="001C4055"/>
    <w:rsid w:val="001C42AB"/>
    <w:rsid w:val="001C42EB"/>
    <w:rsid w:val="001C48BB"/>
    <w:rsid w:val="001C4989"/>
    <w:rsid w:val="001C49C5"/>
    <w:rsid w:val="001C4A28"/>
    <w:rsid w:val="001C4B8B"/>
    <w:rsid w:val="001C4BB4"/>
    <w:rsid w:val="001C4E8B"/>
    <w:rsid w:val="001C501D"/>
    <w:rsid w:val="001C5031"/>
    <w:rsid w:val="001C513F"/>
    <w:rsid w:val="001C53C2"/>
    <w:rsid w:val="001C54B4"/>
    <w:rsid w:val="001C5616"/>
    <w:rsid w:val="001C571F"/>
    <w:rsid w:val="001C57CD"/>
    <w:rsid w:val="001C5A22"/>
    <w:rsid w:val="001C5A8C"/>
    <w:rsid w:val="001C5AAD"/>
    <w:rsid w:val="001C5B6F"/>
    <w:rsid w:val="001C5C62"/>
    <w:rsid w:val="001C5CB9"/>
    <w:rsid w:val="001C5D69"/>
    <w:rsid w:val="001C5DAC"/>
    <w:rsid w:val="001C60B6"/>
    <w:rsid w:val="001C6171"/>
    <w:rsid w:val="001C6424"/>
    <w:rsid w:val="001C65CA"/>
    <w:rsid w:val="001C6607"/>
    <w:rsid w:val="001C66A8"/>
    <w:rsid w:val="001C6729"/>
    <w:rsid w:val="001C67B6"/>
    <w:rsid w:val="001C67FA"/>
    <w:rsid w:val="001C696E"/>
    <w:rsid w:val="001C6B13"/>
    <w:rsid w:val="001C6F0C"/>
    <w:rsid w:val="001C6FE4"/>
    <w:rsid w:val="001C70BF"/>
    <w:rsid w:val="001C7206"/>
    <w:rsid w:val="001C7436"/>
    <w:rsid w:val="001C767C"/>
    <w:rsid w:val="001C78AE"/>
    <w:rsid w:val="001C7A8C"/>
    <w:rsid w:val="001C7B68"/>
    <w:rsid w:val="001C7CD7"/>
    <w:rsid w:val="001C7DA7"/>
    <w:rsid w:val="001C7F47"/>
    <w:rsid w:val="001D004C"/>
    <w:rsid w:val="001D00CC"/>
    <w:rsid w:val="001D02E7"/>
    <w:rsid w:val="001D040C"/>
    <w:rsid w:val="001D0430"/>
    <w:rsid w:val="001D0454"/>
    <w:rsid w:val="001D04D7"/>
    <w:rsid w:val="001D063B"/>
    <w:rsid w:val="001D06D9"/>
    <w:rsid w:val="001D0879"/>
    <w:rsid w:val="001D0A47"/>
    <w:rsid w:val="001D0B13"/>
    <w:rsid w:val="001D0B3C"/>
    <w:rsid w:val="001D0C73"/>
    <w:rsid w:val="001D0D03"/>
    <w:rsid w:val="001D0D52"/>
    <w:rsid w:val="001D0DEA"/>
    <w:rsid w:val="001D0EC3"/>
    <w:rsid w:val="001D0FA0"/>
    <w:rsid w:val="001D105B"/>
    <w:rsid w:val="001D10D0"/>
    <w:rsid w:val="001D1324"/>
    <w:rsid w:val="001D150A"/>
    <w:rsid w:val="001D1635"/>
    <w:rsid w:val="001D17F1"/>
    <w:rsid w:val="001D1850"/>
    <w:rsid w:val="001D1B1B"/>
    <w:rsid w:val="001D1B3A"/>
    <w:rsid w:val="001D1C50"/>
    <w:rsid w:val="001D1D8A"/>
    <w:rsid w:val="001D1E62"/>
    <w:rsid w:val="001D203D"/>
    <w:rsid w:val="001D208A"/>
    <w:rsid w:val="001D2101"/>
    <w:rsid w:val="001D23A3"/>
    <w:rsid w:val="001D25CA"/>
    <w:rsid w:val="001D26C3"/>
    <w:rsid w:val="001D2753"/>
    <w:rsid w:val="001D280C"/>
    <w:rsid w:val="001D2B01"/>
    <w:rsid w:val="001D2C13"/>
    <w:rsid w:val="001D2E63"/>
    <w:rsid w:val="001D2F60"/>
    <w:rsid w:val="001D2F96"/>
    <w:rsid w:val="001D2FC1"/>
    <w:rsid w:val="001D3110"/>
    <w:rsid w:val="001D314C"/>
    <w:rsid w:val="001D332C"/>
    <w:rsid w:val="001D342E"/>
    <w:rsid w:val="001D3722"/>
    <w:rsid w:val="001D377B"/>
    <w:rsid w:val="001D37BB"/>
    <w:rsid w:val="001D3880"/>
    <w:rsid w:val="001D38D4"/>
    <w:rsid w:val="001D3900"/>
    <w:rsid w:val="001D3925"/>
    <w:rsid w:val="001D3B07"/>
    <w:rsid w:val="001D3C91"/>
    <w:rsid w:val="001D3CC3"/>
    <w:rsid w:val="001D3D7F"/>
    <w:rsid w:val="001D3E6D"/>
    <w:rsid w:val="001D3EBD"/>
    <w:rsid w:val="001D3F1F"/>
    <w:rsid w:val="001D4585"/>
    <w:rsid w:val="001D45B7"/>
    <w:rsid w:val="001D464C"/>
    <w:rsid w:val="001D464E"/>
    <w:rsid w:val="001D4654"/>
    <w:rsid w:val="001D47FF"/>
    <w:rsid w:val="001D4801"/>
    <w:rsid w:val="001D4953"/>
    <w:rsid w:val="001D49A7"/>
    <w:rsid w:val="001D4BBE"/>
    <w:rsid w:val="001D4EAA"/>
    <w:rsid w:val="001D4EC4"/>
    <w:rsid w:val="001D51E9"/>
    <w:rsid w:val="001D5322"/>
    <w:rsid w:val="001D5352"/>
    <w:rsid w:val="001D5591"/>
    <w:rsid w:val="001D564E"/>
    <w:rsid w:val="001D5762"/>
    <w:rsid w:val="001D576F"/>
    <w:rsid w:val="001D588F"/>
    <w:rsid w:val="001D58A3"/>
    <w:rsid w:val="001D58C7"/>
    <w:rsid w:val="001D5ACA"/>
    <w:rsid w:val="001D5D6D"/>
    <w:rsid w:val="001D5E6D"/>
    <w:rsid w:val="001D5F04"/>
    <w:rsid w:val="001D5F32"/>
    <w:rsid w:val="001D6111"/>
    <w:rsid w:val="001D665F"/>
    <w:rsid w:val="001D679E"/>
    <w:rsid w:val="001D688C"/>
    <w:rsid w:val="001D6949"/>
    <w:rsid w:val="001D6969"/>
    <w:rsid w:val="001D6A1B"/>
    <w:rsid w:val="001D6B23"/>
    <w:rsid w:val="001D6C64"/>
    <w:rsid w:val="001D6DA4"/>
    <w:rsid w:val="001D7120"/>
    <w:rsid w:val="001D730E"/>
    <w:rsid w:val="001D7318"/>
    <w:rsid w:val="001D73B6"/>
    <w:rsid w:val="001D7463"/>
    <w:rsid w:val="001D7592"/>
    <w:rsid w:val="001D7788"/>
    <w:rsid w:val="001D78FB"/>
    <w:rsid w:val="001D790A"/>
    <w:rsid w:val="001D7A05"/>
    <w:rsid w:val="001D7B26"/>
    <w:rsid w:val="001D7B97"/>
    <w:rsid w:val="001D7BAA"/>
    <w:rsid w:val="001D7E9A"/>
    <w:rsid w:val="001D7EC1"/>
    <w:rsid w:val="001D7F2F"/>
    <w:rsid w:val="001D7FFA"/>
    <w:rsid w:val="001E0025"/>
    <w:rsid w:val="001E02B9"/>
    <w:rsid w:val="001E052A"/>
    <w:rsid w:val="001E05B0"/>
    <w:rsid w:val="001E0708"/>
    <w:rsid w:val="001E0858"/>
    <w:rsid w:val="001E0873"/>
    <w:rsid w:val="001E0935"/>
    <w:rsid w:val="001E0982"/>
    <w:rsid w:val="001E0BCB"/>
    <w:rsid w:val="001E0BD7"/>
    <w:rsid w:val="001E0D06"/>
    <w:rsid w:val="001E0D50"/>
    <w:rsid w:val="001E1072"/>
    <w:rsid w:val="001E1338"/>
    <w:rsid w:val="001E15FC"/>
    <w:rsid w:val="001E16E3"/>
    <w:rsid w:val="001E17E0"/>
    <w:rsid w:val="001E17F6"/>
    <w:rsid w:val="001E1A66"/>
    <w:rsid w:val="001E1A78"/>
    <w:rsid w:val="001E1BF9"/>
    <w:rsid w:val="001E1D78"/>
    <w:rsid w:val="001E200B"/>
    <w:rsid w:val="001E20B9"/>
    <w:rsid w:val="001E22B9"/>
    <w:rsid w:val="001E266C"/>
    <w:rsid w:val="001E28A5"/>
    <w:rsid w:val="001E2ABB"/>
    <w:rsid w:val="001E2B46"/>
    <w:rsid w:val="001E2C63"/>
    <w:rsid w:val="001E2D20"/>
    <w:rsid w:val="001E2D29"/>
    <w:rsid w:val="001E2DC8"/>
    <w:rsid w:val="001E2E87"/>
    <w:rsid w:val="001E2EAC"/>
    <w:rsid w:val="001E2F1B"/>
    <w:rsid w:val="001E2FA8"/>
    <w:rsid w:val="001E3111"/>
    <w:rsid w:val="001E316A"/>
    <w:rsid w:val="001E33E8"/>
    <w:rsid w:val="001E344A"/>
    <w:rsid w:val="001E3555"/>
    <w:rsid w:val="001E394E"/>
    <w:rsid w:val="001E3A95"/>
    <w:rsid w:val="001E3AB9"/>
    <w:rsid w:val="001E3B03"/>
    <w:rsid w:val="001E3B6D"/>
    <w:rsid w:val="001E3BC9"/>
    <w:rsid w:val="001E3CCE"/>
    <w:rsid w:val="001E3D22"/>
    <w:rsid w:val="001E3E44"/>
    <w:rsid w:val="001E3F17"/>
    <w:rsid w:val="001E401C"/>
    <w:rsid w:val="001E407C"/>
    <w:rsid w:val="001E4189"/>
    <w:rsid w:val="001E4354"/>
    <w:rsid w:val="001E4396"/>
    <w:rsid w:val="001E44E1"/>
    <w:rsid w:val="001E4563"/>
    <w:rsid w:val="001E4569"/>
    <w:rsid w:val="001E4848"/>
    <w:rsid w:val="001E498B"/>
    <w:rsid w:val="001E4B09"/>
    <w:rsid w:val="001E4CB6"/>
    <w:rsid w:val="001E4D8D"/>
    <w:rsid w:val="001E4DA6"/>
    <w:rsid w:val="001E4EA8"/>
    <w:rsid w:val="001E4F69"/>
    <w:rsid w:val="001E5183"/>
    <w:rsid w:val="001E5246"/>
    <w:rsid w:val="001E5732"/>
    <w:rsid w:val="001E5893"/>
    <w:rsid w:val="001E58F5"/>
    <w:rsid w:val="001E5946"/>
    <w:rsid w:val="001E5C0B"/>
    <w:rsid w:val="001E626A"/>
    <w:rsid w:val="001E6286"/>
    <w:rsid w:val="001E6327"/>
    <w:rsid w:val="001E6383"/>
    <w:rsid w:val="001E6450"/>
    <w:rsid w:val="001E646D"/>
    <w:rsid w:val="001E66A0"/>
    <w:rsid w:val="001E66E6"/>
    <w:rsid w:val="001E6930"/>
    <w:rsid w:val="001E69A3"/>
    <w:rsid w:val="001E6B8A"/>
    <w:rsid w:val="001E6CC9"/>
    <w:rsid w:val="001E6DB9"/>
    <w:rsid w:val="001E6DCB"/>
    <w:rsid w:val="001E6DDB"/>
    <w:rsid w:val="001E6F2C"/>
    <w:rsid w:val="001E705A"/>
    <w:rsid w:val="001E709A"/>
    <w:rsid w:val="001E72CE"/>
    <w:rsid w:val="001E72E9"/>
    <w:rsid w:val="001E74B2"/>
    <w:rsid w:val="001E75E5"/>
    <w:rsid w:val="001E769D"/>
    <w:rsid w:val="001E76B6"/>
    <w:rsid w:val="001E76FC"/>
    <w:rsid w:val="001E772D"/>
    <w:rsid w:val="001E77BC"/>
    <w:rsid w:val="001E79ED"/>
    <w:rsid w:val="001E7A2A"/>
    <w:rsid w:val="001E7B36"/>
    <w:rsid w:val="001E7B8C"/>
    <w:rsid w:val="001E7C83"/>
    <w:rsid w:val="001E7DDB"/>
    <w:rsid w:val="001E7F6B"/>
    <w:rsid w:val="001F0126"/>
    <w:rsid w:val="001F0286"/>
    <w:rsid w:val="001F0287"/>
    <w:rsid w:val="001F02A1"/>
    <w:rsid w:val="001F041D"/>
    <w:rsid w:val="001F0428"/>
    <w:rsid w:val="001F0610"/>
    <w:rsid w:val="001F07DF"/>
    <w:rsid w:val="001F0935"/>
    <w:rsid w:val="001F098C"/>
    <w:rsid w:val="001F0B24"/>
    <w:rsid w:val="001F0C3E"/>
    <w:rsid w:val="001F0CA9"/>
    <w:rsid w:val="001F0F86"/>
    <w:rsid w:val="001F0F98"/>
    <w:rsid w:val="001F0F9C"/>
    <w:rsid w:val="001F1131"/>
    <w:rsid w:val="001F11FB"/>
    <w:rsid w:val="001F1255"/>
    <w:rsid w:val="001F126B"/>
    <w:rsid w:val="001F148C"/>
    <w:rsid w:val="001F15DA"/>
    <w:rsid w:val="001F1776"/>
    <w:rsid w:val="001F18D2"/>
    <w:rsid w:val="001F1921"/>
    <w:rsid w:val="001F19E6"/>
    <w:rsid w:val="001F1A50"/>
    <w:rsid w:val="001F1ADF"/>
    <w:rsid w:val="001F1BF7"/>
    <w:rsid w:val="001F1D92"/>
    <w:rsid w:val="001F2025"/>
    <w:rsid w:val="001F2287"/>
    <w:rsid w:val="001F22C9"/>
    <w:rsid w:val="001F231D"/>
    <w:rsid w:val="001F23B4"/>
    <w:rsid w:val="001F24D6"/>
    <w:rsid w:val="001F2607"/>
    <w:rsid w:val="001F2686"/>
    <w:rsid w:val="001F2691"/>
    <w:rsid w:val="001F27FE"/>
    <w:rsid w:val="001F291F"/>
    <w:rsid w:val="001F2A4B"/>
    <w:rsid w:val="001F2B44"/>
    <w:rsid w:val="001F2B76"/>
    <w:rsid w:val="001F2CA8"/>
    <w:rsid w:val="001F2FA8"/>
    <w:rsid w:val="001F2FFF"/>
    <w:rsid w:val="001F3534"/>
    <w:rsid w:val="001F3588"/>
    <w:rsid w:val="001F3592"/>
    <w:rsid w:val="001F35C5"/>
    <w:rsid w:val="001F364A"/>
    <w:rsid w:val="001F372D"/>
    <w:rsid w:val="001F378E"/>
    <w:rsid w:val="001F38C6"/>
    <w:rsid w:val="001F39F0"/>
    <w:rsid w:val="001F3A54"/>
    <w:rsid w:val="001F3B12"/>
    <w:rsid w:val="001F3B23"/>
    <w:rsid w:val="001F3B24"/>
    <w:rsid w:val="001F3D65"/>
    <w:rsid w:val="001F3DF8"/>
    <w:rsid w:val="001F3EB0"/>
    <w:rsid w:val="001F3EEA"/>
    <w:rsid w:val="001F4025"/>
    <w:rsid w:val="001F41F2"/>
    <w:rsid w:val="001F42DC"/>
    <w:rsid w:val="001F435A"/>
    <w:rsid w:val="001F448E"/>
    <w:rsid w:val="001F4495"/>
    <w:rsid w:val="001F4887"/>
    <w:rsid w:val="001F4920"/>
    <w:rsid w:val="001F496C"/>
    <w:rsid w:val="001F4BD5"/>
    <w:rsid w:val="001F4BD8"/>
    <w:rsid w:val="001F4CB0"/>
    <w:rsid w:val="001F4EAF"/>
    <w:rsid w:val="001F533A"/>
    <w:rsid w:val="001F5516"/>
    <w:rsid w:val="001F5630"/>
    <w:rsid w:val="001F5778"/>
    <w:rsid w:val="001F57AC"/>
    <w:rsid w:val="001F5A77"/>
    <w:rsid w:val="001F5B58"/>
    <w:rsid w:val="001F5BD0"/>
    <w:rsid w:val="001F5C49"/>
    <w:rsid w:val="001F5D72"/>
    <w:rsid w:val="001F5E7D"/>
    <w:rsid w:val="001F5F6F"/>
    <w:rsid w:val="001F611C"/>
    <w:rsid w:val="001F62E0"/>
    <w:rsid w:val="001F62E3"/>
    <w:rsid w:val="001F63F8"/>
    <w:rsid w:val="001F655F"/>
    <w:rsid w:val="001F6594"/>
    <w:rsid w:val="001F65D5"/>
    <w:rsid w:val="001F65E3"/>
    <w:rsid w:val="001F66C5"/>
    <w:rsid w:val="001F695C"/>
    <w:rsid w:val="001F6A47"/>
    <w:rsid w:val="001F6ADF"/>
    <w:rsid w:val="001F6C72"/>
    <w:rsid w:val="001F6C86"/>
    <w:rsid w:val="001F7046"/>
    <w:rsid w:val="001F7076"/>
    <w:rsid w:val="001F70FB"/>
    <w:rsid w:val="001F71A8"/>
    <w:rsid w:val="001F73BD"/>
    <w:rsid w:val="001F746A"/>
    <w:rsid w:val="001F74EE"/>
    <w:rsid w:val="001F758E"/>
    <w:rsid w:val="001F75CF"/>
    <w:rsid w:val="001F762E"/>
    <w:rsid w:val="001F7669"/>
    <w:rsid w:val="001F791E"/>
    <w:rsid w:val="001F794B"/>
    <w:rsid w:val="001F7A72"/>
    <w:rsid w:val="001F7AC4"/>
    <w:rsid w:val="001F7C60"/>
    <w:rsid w:val="001F7D1E"/>
    <w:rsid w:val="001F7D21"/>
    <w:rsid w:val="001F7D81"/>
    <w:rsid w:val="001F7D92"/>
    <w:rsid w:val="001F7EFF"/>
    <w:rsid w:val="001F7F16"/>
    <w:rsid w:val="001F7F91"/>
    <w:rsid w:val="001F7FB4"/>
    <w:rsid w:val="001F7FDD"/>
    <w:rsid w:val="001FAADF"/>
    <w:rsid w:val="00200302"/>
    <w:rsid w:val="0020052E"/>
    <w:rsid w:val="00200629"/>
    <w:rsid w:val="00200703"/>
    <w:rsid w:val="00200817"/>
    <w:rsid w:val="0020083F"/>
    <w:rsid w:val="00200990"/>
    <w:rsid w:val="00200A72"/>
    <w:rsid w:val="00200A83"/>
    <w:rsid w:val="00200A89"/>
    <w:rsid w:val="00200B30"/>
    <w:rsid w:val="00200C26"/>
    <w:rsid w:val="00200C6A"/>
    <w:rsid w:val="00200E44"/>
    <w:rsid w:val="00200ED9"/>
    <w:rsid w:val="00200F0A"/>
    <w:rsid w:val="00200F87"/>
    <w:rsid w:val="00201110"/>
    <w:rsid w:val="002012F1"/>
    <w:rsid w:val="002013A2"/>
    <w:rsid w:val="002016E9"/>
    <w:rsid w:val="0020174C"/>
    <w:rsid w:val="002017B0"/>
    <w:rsid w:val="0020180F"/>
    <w:rsid w:val="0020192E"/>
    <w:rsid w:val="00201B11"/>
    <w:rsid w:val="00201B38"/>
    <w:rsid w:val="00201D7E"/>
    <w:rsid w:val="00201E4E"/>
    <w:rsid w:val="00201E6E"/>
    <w:rsid w:val="00201EF1"/>
    <w:rsid w:val="00201FE7"/>
    <w:rsid w:val="00202220"/>
    <w:rsid w:val="002022FB"/>
    <w:rsid w:val="00202340"/>
    <w:rsid w:val="00202524"/>
    <w:rsid w:val="00202535"/>
    <w:rsid w:val="002027DA"/>
    <w:rsid w:val="00202887"/>
    <w:rsid w:val="002028FA"/>
    <w:rsid w:val="0020294E"/>
    <w:rsid w:val="002029ED"/>
    <w:rsid w:val="00202A57"/>
    <w:rsid w:val="00202B0E"/>
    <w:rsid w:val="00202C07"/>
    <w:rsid w:val="00202D20"/>
    <w:rsid w:val="00203387"/>
    <w:rsid w:val="002033FD"/>
    <w:rsid w:val="0020357C"/>
    <w:rsid w:val="002035DD"/>
    <w:rsid w:val="0020376C"/>
    <w:rsid w:val="00203849"/>
    <w:rsid w:val="002039B3"/>
    <w:rsid w:val="002039BC"/>
    <w:rsid w:val="00203A04"/>
    <w:rsid w:val="00203BD5"/>
    <w:rsid w:val="00203BE6"/>
    <w:rsid w:val="00204000"/>
    <w:rsid w:val="002040C5"/>
    <w:rsid w:val="00204252"/>
    <w:rsid w:val="002044B3"/>
    <w:rsid w:val="00204504"/>
    <w:rsid w:val="002045BD"/>
    <w:rsid w:val="00204959"/>
    <w:rsid w:val="00204A9C"/>
    <w:rsid w:val="00204B11"/>
    <w:rsid w:val="00204B58"/>
    <w:rsid w:val="00204CE1"/>
    <w:rsid w:val="0020505E"/>
    <w:rsid w:val="00205097"/>
    <w:rsid w:val="0020509D"/>
    <w:rsid w:val="00205115"/>
    <w:rsid w:val="00205204"/>
    <w:rsid w:val="002054B9"/>
    <w:rsid w:val="0020568A"/>
    <w:rsid w:val="00205787"/>
    <w:rsid w:val="00205820"/>
    <w:rsid w:val="0020588A"/>
    <w:rsid w:val="00205D02"/>
    <w:rsid w:val="00205E4D"/>
    <w:rsid w:val="00205EE8"/>
    <w:rsid w:val="00205FC0"/>
    <w:rsid w:val="00205FC8"/>
    <w:rsid w:val="00205FEB"/>
    <w:rsid w:val="00206098"/>
    <w:rsid w:val="0020614C"/>
    <w:rsid w:val="00206203"/>
    <w:rsid w:val="00206219"/>
    <w:rsid w:val="0020622F"/>
    <w:rsid w:val="00206490"/>
    <w:rsid w:val="002065AA"/>
    <w:rsid w:val="00206656"/>
    <w:rsid w:val="00206A26"/>
    <w:rsid w:val="00206A55"/>
    <w:rsid w:val="00206B18"/>
    <w:rsid w:val="00206B45"/>
    <w:rsid w:val="00206B89"/>
    <w:rsid w:val="00206C1D"/>
    <w:rsid w:val="00206CDB"/>
    <w:rsid w:val="00206D48"/>
    <w:rsid w:val="00206D54"/>
    <w:rsid w:val="00206E47"/>
    <w:rsid w:val="00206E9D"/>
    <w:rsid w:val="00207037"/>
    <w:rsid w:val="00207206"/>
    <w:rsid w:val="00207536"/>
    <w:rsid w:val="00207573"/>
    <w:rsid w:val="0020763A"/>
    <w:rsid w:val="00207ADE"/>
    <w:rsid w:val="00207BAB"/>
    <w:rsid w:val="00207BAF"/>
    <w:rsid w:val="00207CB3"/>
    <w:rsid w:val="00210266"/>
    <w:rsid w:val="0021032C"/>
    <w:rsid w:val="002103E0"/>
    <w:rsid w:val="00210454"/>
    <w:rsid w:val="00210479"/>
    <w:rsid w:val="0021047D"/>
    <w:rsid w:val="00210510"/>
    <w:rsid w:val="002105B4"/>
    <w:rsid w:val="002105E3"/>
    <w:rsid w:val="00210682"/>
    <w:rsid w:val="002108A3"/>
    <w:rsid w:val="00210974"/>
    <w:rsid w:val="002109DC"/>
    <w:rsid w:val="00210B16"/>
    <w:rsid w:val="00210B68"/>
    <w:rsid w:val="00210B70"/>
    <w:rsid w:val="00210E77"/>
    <w:rsid w:val="00210F02"/>
    <w:rsid w:val="0021116D"/>
    <w:rsid w:val="002115F7"/>
    <w:rsid w:val="002116BF"/>
    <w:rsid w:val="002116C1"/>
    <w:rsid w:val="002119B1"/>
    <w:rsid w:val="00211ABB"/>
    <w:rsid w:val="00211FD4"/>
    <w:rsid w:val="00212049"/>
    <w:rsid w:val="0021222B"/>
    <w:rsid w:val="002122F2"/>
    <w:rsid w:val="00212552"/>
    <w:rsid w:val="002125A2"/>
    <w:rsid w:val="0021263C"/>
    <w:rsid w:val="00212713"/>
    <w:rsid w:val="0021274A"/>
    <w:rsid w:val="0021285B"/>
    <w:rsid w:val="002128B8"/>
    <w:rsid w:val="00212A19"/>
    <w:rsid w:val="00212FAE"/>
    <w:rsid w:val="002131E6"/>
    <w:rsid w:val="002132AD"/>
    <w:rsid w:val="00213313"/>
    <w:rsid w:val="00213397"/>
    <w:rsid w:val="0021349A"/>
    <w:rsid w:val="00213567"/>
    <w:rsid w:val="0021357D"/>
    <w:rsid w:val="00213590"/>
    <w:rsid w:val="00213846"/>
    <w:rsid w:val="0021385E"/>
    <w:rsid w:val="00213A24"/>
    <w:rsid w:val="00213A2F"/>
    <w:rsid w:val="00213E53"/>
    <w:rsid w:val="0021408E"/>
    <w:rsid w:val="002140F4"/>
    <w:rsid w:val="00214145"/>
    <w:rsid w:val="00214308"/>
    <w:rsid w:val="00214385"/>
    <w:rsid w:val="0021446B"/>
    <w:rsid w:val="00214548"/>
    <w:rsid w:val="0021456F"/>
    <w:rsid w:val="0021469C"/>
    <w:rsid w:val="002146FA"/>
    <w:rsid w:val="002147B2"/>
    <w:rsid w:val="002147E5"/>
    <w:rsid w:val="00214AD1"/>
    <w:rsid w:val="00214C15"/>
    <w:rsid w:val="00214E8C"/>
    <w:rsid w:val="00214EE0"/>
    <w:rsid w:val="002152FB"/>
    <w:rsid w:val="00215395"/>
    <w:rsid w:val="002154C5"/>
    <w:rsid w:val="0021556C"/>
    <w:rsid w:val="002156FC"/>
    <w:rsid w:val="00215786"/>
    <w:rsid w:val="00215985"/>
    <w:rsid w:val="00215A40"/>
    <w:rsid w:val="00215B74"/>
    <w:rsid w:val="00215B7E"/>
    <w:rsid w:val="00215B96"/>
    <w:rsid w:val="00215BBF"/>
    <w:rsid w:val="00215BDE"/>
    <w:rsid w:val="00215D59"/>
    <w:rsid w:val="00215DFD"/>
    <w:rsid w:val="00215FBB"/>
    <w:rsid w:val="0021602E"/>
    <w:rsid w:val="002161AA"/>
    <w:rsid w:val="002161CB"/>
    <w:rsid w:val="002161FC"/>
    <w:rsid w:val="00216231"/>
    <w:rsid w:val="00216325"/>
    <w:rsid w:val="00216361"/>
    <w:rsid w:val="00216454"/>
    <w:rsid w:val="0021652A"/>
    <w:rsid w:val="00216744"/>
    <w:rsid w:val="002167A6"/>
    <w:rsid w:val="002167AD"/>
    <w:rsid w:val="00216812"/>
    <w:rsid w:val="00216962"/>
    <w:rsid w:val="002169BA"/>
    <w:rsid w:val="00216AB7"/>
    <w:rsid w:val="00216B9F"/>
    <w:rsid w:val="00216CDB"/>
    <w:rsid w:val="00216D03"/>
    <w:rsid w:val="00216E1A"/>
    <w:rsid w:val="00216E1F"/>
    <w:rsid w:val="00216E40"/>
    <w:rsid w:val="00216EC1"/>
    <w:rsid w:val="00216EF7"/>
    <w:rsid w:val="00216F4D"/>
    <w:rsid w:val="00216F54"/>
    <w:rsid w:val="002170A5"/>
    <w:rsid w:val="002170C6"/>
    <w:rsid w:val="002170CD"/>
    <w:rsid w:val="002174CE"/>
    <w:rsid w:val="002175F8"/>
    <w:rsid w:val="002177BF"/>
    <w:rsid w:val="0021784F"/>
    <w:rsid w:val="002178C5"/>
    <w:rsid w:val="00217B07"/>
    <w:rsid w:val="00217DA4"/>
    <w:rsid w:val="00217E69"/>
    <w:rsid w:val="002200A0"/>
    <w:rsid w:val="002200DD"/>
    <w:rsid w:val="002202E4"/>
    <w:rsid w:val="002203B0"/>
    <w:rsid w:val="00220A11"/>
    <w:rsid w:val="00220DDD"/>
    <w:rsid w:val="00220F9D"/>
    <w:rsid w:val="00221129"/>
    <w:rsid w:val="0022143D"/>
    <w:rsid w:val="002214A1"/>
    <w:rsid w:val="002214AB"/>
    <w:rsid w:val="00221698"/>
    <w:rsid w:val="0022190E"/>
    <w:rsid w:val="00221925"/>
    <w:rsid w:val="00221938"/>
    <w:rsid w:val="00221A49"/>
    <w:rsid w:val="00221B7E"/>
    <w:rsid w:val="00221C87"/>
    <w:rsid w:val="00221D3C"/>
    <w:rsid w:val="00221ECE"/>
    <w:rsid w:val="00221FDD"/>
    <w:rsid w:val="0022208F"/>
    <w:rsid w:val="002220A8"/>
    <w:rsid w:val="002224C6"/>
    <w:rsid w:val="0022269F"/>
    <w:rsid w:val="00222816"/>
    <w:rsid w:val="00222838"/>
    <w:rsid w:val="00222A13"/>
    <w:rsid w:val="00222A3F"/>
    <w:rsid w:val="00222B16"/>
    <w:rsid w:val="00222E1D"/>
    <w:rsid w:val="00222F11"/>
    <w:rsid w:val="002230D3"/>
    <w:rsid w:val="002230EC"/>
    <w:rsid w:val="00223163"/>
    <w:rsid w:val="00223217"/>
    <w:rsid w:val="00223218"/>
    <w:rsid w:val="00223293"/>
    <w:rsid w:val="00223310"/>
    <w:rsid w:val="0022337D"/>
    <w:rsid w:val="00223441"/>
    <w:rsid w:val="002234B1"/>
    <w:rsid w:val="00223506"/>
    <w:rsid w:val="00223521"/>
    <w:rsid w:val="002236B0"/>
    <w:rsid w:val="0022380C"/>
    <w:rsid w:val="00223884"/>
    <w:rsid w:val="00223AD5"/>
    <w:rsid w:val="00223CB5"/>
    <w:rsid w:val="00223CE5"/>
    <w:rsid w:val="00223E9B"/>
    <w:rsid w:val="00223F57"/>
    <w:rsid w:val="002240A4"/>
    <w:rsid w:val="00224252"/>
    <w:rsid w:val="00224A6F"/>
    <w:rsid w:val="00224A82"/>
    <w:rsid w:val="00224B2E"/>
    <w:rsid w:val="00224C18"/>
    <w:rsid w:val="00224C58"/>
    <w:rsid w:val="00224C61"/>
    <w:rsid w:val="00224C62"/>
    <w:rsid w:val="00224C67"/>
    <w:rsid w:val="00224D17"/>
    <w:rsid w:val="00224E04"/>
    <w:rsid w:val="00224EEB"/>
    <w:rsid w:val="00225000"/>
    <w:rsid w:val="002251DF"/>
    <w:rsid w:val="002252E7"/>
    <w:rsid w:val="0022549B"/>
    <w:rsid w:val="0022556F"/>
    <w:rsid w:val="0022559B"/>
    <w:rsid w:val="00225A82"/>
    <w:rsid w:val="00225BB8"/>
    <w:rsid w:val="00225C85"/>
    <w:rsid w:val="00225C8D"/>
    <w:rsid w:val="00225CCD"/>
    <w:rsid w:val="00225ED1"/>
    <w:rsid w:val="00226136"/>
    <w:rsid w:val="002261BD"/>
    <w:rsid w:val="0022651D"/>
    <w:rsid w:val="002267BD"/>
    <w:rsid w:val="00226A23"/>
    <w:rsid w:val="00226AB5"/>
    <w:rsid w:val="00226CB3"/>
    <w:rsid w:val="00226DF3"/>
    <w:rsid w:val="00226E82"/>
    <w:rsid w:val="00227090"/>
    <w:rsid w:val="002272C1"/>
    <w:rsid w:val="00227822"/>
    <w:rsid w:val="0022787E"/>
    <w:rsid w:val="00227938"/>
    <w:rsid w:val="0022794E"/>
    <w:rsid w:val="00227963"/>
    <w:rsid w:val="00227C7E"/>
    <w:rsid w:val="002302F1"/>
    <w:rsid w:val="00230339"/>
    <w:rsid w:val="002305BB"/>
    <w:rsid w:val="002305E7"/>
    <w:rsid w:val="00230884"/>
    <w:rsid w:val="002308C0"/>
    <w:rsid w:val="00230BE3"/>
    <w:rsid w:val="00230E29"/>
    <w:rsid w:val="00231049"/>
    <w:rsid w:val="00231178"/>
    <w:rsid w:val="00231239"/>
    <w:rsid w:val="002314D2"/>
    <w:rsid w:val="0023154F"/>
    <w:rsid w:val="00231604"/>
    <w:rsid w:val="0023167B"/>
    <w:rsid w:val="002317A4"/>
    <w:rsid w:val="0023188A"/>
    <w:rsid w:val="0023191B"/>
    <w:rsid w:val="00231995"/>
    <w:rsid w:val="00231A27"/>
    <w:rsid w:val="00231C01"/>
    <w:rsid w:val="00231C3C"/>
    <w:rsid w:val="00231D85"/>
    <w:rsid w:val="00231E9C"/>
    <w:rsid w:val="00231FF4"/>
    <w:rsid w:val="00232183"/>
    <w:rsid w:val="0023222A"/>
    <w:rsid w:val="00232261"/>
    <w:rsid w:val="0023233C"/>
    <w:rsid w:val="002323BA"/>
    <w:rsid w:val="00232483"/>
    <w:rsid w:val="00232491"/>
    <w:rsid w:val="0023285C"/>
    <w:rsid w:val="0023295B"/>
    <w:rsid w:val="00232A33"/>
    <w:rsid w:val="00232ADF"/>
    <w:rsid w:val="00232D4D"/>
    <w:rsid w:val="00232DA8"/>
    <w:rsid w:val="00232FB0"/>
    <w:rsid w:val="002332E5"/>
    <w:rsid w:val="00233461"/>
    <w:rsid w:val="002337BB"/>
    <w:rsid w:val="00233960"/>
    <w:rsid w:val="00233981"/>
    <w:rsid w:val="00233996"/>
    <w:rsid w:val="00233C5F"/>
    <w:rsid w:val="00233CDF"/>
    <w:rsid w:val="00233EA5"/>
    <w:rsid w:val="00233EA7"/>
    <w:rsid w:val="00233F30"/>
    <w:rsid w:val="00233FBD"/>
    <w:rsid w:val="00234078"/>
    <w:rsid w:val="00234170"/>
    <w:rsid w:val="00234241"/>
    <w:rsid w:val="002342BA"/>
    <w:rsid w:val="0023433B"/>
    <w:rsid w:val="00234454"/>
    <w:rsid w:val="002344DE"/>
    <w:rsid w:val="00234524"/>
    <w:rsid w:val="0023458E"/>
    <w:rsid w:val="0023482D"/>
    <w:rsid w:val="00234B00"/>
    <w:rsid w:val="00234C12"/>
    <w:rsid w:val="00234E6F"/>
    <w:rsid w:val="00234E9E"/>
    <w:rsid w:val="0023503A"/>
    <w:rsid w:val="00235070"/>
    <w:rsid w:val="002351C0"/>
    <w:rsid w:val="0023524D"/>
    <w:rsid w:val="002354C7"/>
    <w:rsid w:val="00235589"/>
    <w:rsid w:val="00235A86"/>
    <w:rsid w:val="00235CB0"/>
    <w:rsid w:val="00235D0A"/>
    <w:rsid w:val="00235EBF"/>
    <w:rsid w:val="00235FD2"/>
    <w:rsid w:val="00235FD7"/>
    <w:rsid w:val="00236010"/>
    <w:rsid w:val="002360B5"/>
    <w:rsid w:val="002362D8"/>
    <w:rsid w:val="0023638D"/>
    <w:rsid w:val="0023656B"/>
    <w:rsid w:val="0023660D"/>
    <w:rsid w:val="00236762"/>
    <w:rsid w:val="00236B89"/>
    <w:rsid w:val="00236BC2"/>
    <w:rsid w:val="00236BE1"/>
    <w:rsid w:val="00236D28"/>
    <w:rsid w:val="00236D4E"/>
    <w:rsid w:val="00236E54"/>
    <w:rsid w:val="00237257"/>
    <w:rsid w:val="002372A6"/>
    <w:rsid w:val="00237329"/>
    <w:rsid w:val="00237396"/>
    <w:rsid w:val="002376B8"/>
    <w:rsid w:val="002378B3"/>
    <w:rsid w:val="0023795E"/>
    <w:rsid w:val="00237A12"/>
    <w:rsid w:val="00237C19"/>
    <w:rsid w:val="00237C28"/>
    <w:rsid w:val="00237C79"/>
    <w:rsid w:val="00237D0C"/>
    <w:rsid w:val="00237DCA"/>
    <w:rsid w:val="00237E3A"/>
    <w:rsid w:val="00237EAB"/>
    <w:rsid w:val="00237EAE"/>
    <w:rsid w:val="00237FFC"/>
    <w:rsid w:val="00240096"/>
    <w:rsid w:val="00240324"/>
    <w:rsid w:val="00240458"/>
    <w:rsid w:val="002407B7"/>
    <w:rsid w:val="002407E5"/>
    <w:rsid w:val="0024084C"/>
    <w:rsid w:val="002409E7"/>
    <w:rsid w:val="00240AB8"/>
    <w:rsid w:val="00240B2C"/>
    <w:rsid w:val="00240B60"/>
    <w:rsid w:val="00240EED"/>
    <w:rsid w:val="00240F7F"/>
    <w:rsid w:val="00241030"/>
    <w:rsid w:val="002410F5"/>
    <w:rsid w:val="002410F8"/>
    <w:rsid w:val="002411AD"/>
    <w:rsid w:val="0024123A"/>
    <w:rsid w:val="00241248"/>
    <w:rsid w:val="0024149F"/>
    <w:rsid w:val="00241592"/>
    <w:rsid w:val="00241597"/>
    <w:rsid w:val="002415F8"/>
    <w:rsid w:val="002417AC"/>
    <w:rsid w:val="00241952"/>
    <w:rsid w:val="00241D32"/>
    <w:rsid w:val="00241D37"/>
    <w:rsid w:val="00241D3F"/>
    <w:rsid w:val="00241DE2"/>
    <w:rsid w:val="00241DFD"/>
    <w:rsid w:val="00241E33"/>
    <w:rsid w:val="00241E84"/>
    <w:rsid w:val="00241F82"/>
    <w:rsid w:val="002422BA"/>
    <w:rsid w:val="002422E7"/>
    <w:rsid w:val="0024232F"/>
    <w:rsid w:val="0024233A"/>
    <w:rsid w:val="00242355"/>
    <w:rsid w:val="0024245E"/>
    <w:rsid w:val="00242550"/>
    <w:rsid w:val="00242771"/>
    <w:rsid w:val="002427D6"/>
    <w:rsid w:val="002429CF"/>
    <w:rsid w:val="00242BCD"/>
    <w:rsid w:val="00242FBE"/>
    <w:rsid w:val="002431C4"/>
    <w:rsid w:val="0024326D"/>
    <w:rsid w:val="00243294"/>
    <w:rsid w:val="00243496"/>
    <w:rsid w:val="00243795"/>
    <w:rsid w:val="002438A9"/>
    <w:rsid w:val="00243C08"/>
    <w:rsid w:val="00243E44"/>
    <w:rsid w:val="00243E7A"/>
    <w:rsid w:val="00243F5D"/>
    <w:rsid w:val="00243FD0"/>
    <w:rsid w:val="00243FFA"/>
    <w:rsid w:val="00244045"/>
    <w:rsid w:val="002440AC"/>
    <w:rsid w:val="002440B0"/>
    <w:rsid w:val="002442B6"/>
    <w:rsid w:val="0024442C"/>
    <w:rsid w:val="002444B0"/>
    <w:rsid w:val="002446CE"/>
    <w:rsid w:val="00244903"/>
    <w:rsid w:val="0024496D"/>
    <w:rsid w:val="002449A2"/>
    <w:rsid w:val="00244CE5"/>
    <w:rsid w:val="00244CEB"/>
    <w:rsid w:val="00244E2E"/>
    <w:rsid w:val="00244FF2"/>
    <w:rsid w:val="002451AA"/>
    <w:rsid w:val="00245350"/>
    <w:rsid w:val="0024554B"/>
    <w:rsid w:val="002455B4"/>
    <w:rsid w:val="002458E7"/>
    <w:rsid w:val="0024598F"/>
    <w:rsid w:val="00245997"/>
    <w:rsid w:val="002459D8"/>
    <w:rsid w:val="00245A91"/>
    <w:rsid w:val="00245AC6"/>
    <w:rsid w:val="00245D72"/>
    <w:rsid w:val="00245FF9"/>
    <w:rsid w:val="0024608F"/>
    <w:rsid w:val="00246149"/>
    <w:rsid w:val="002461F7"/>
    <w:rsid w:val="0024628E"/>
    <w:rsid w:val="00246459"/>
    <w:rsid w:val="00246472"/>
    <w:rsid w:val="00246550"/>
    <w:rsid w:val="00246571"/>
    <w:rsid w:val="002466E4"/>
    <w:rsid w:val="00246736"/>
    <w:rsid w:val="002468AD"/>
    <w:rsid w:val="00246930"/>
    <w:rsid w:val="00246BE6"/>
    <w:rsid w:val="00246C69"/>
    <w:rsid w:val="00246E0C"/>
    <w:rsid w:val="0024724A"/>
    <w:rsid w:val="00247260"/>
    <w:rsid w:val="0024763C"/>
    <w:rsid w:val="002476F6"/>
    <w:rsid w:val="002477A5"/>
    <w:rsid w:val="0024787A"/>
    <w:rsid w:val="00247B79"/>
    <w:rsid w:val="00247C82"/>
    <w:rsid w:val="00247CC4"/>
    <w:rsid w:val="00247CF5"/>
    <w:rsid w:val="00247D0A"/>
    <w:rsid w:val="00247D61"/>
    <w:rsid w:val="00247F03"/>
    <w:rsid w:val="00247F76"/>
    <w:rsid w:val="002500C4"/>
    <w:rsid w:val="0025018B"/>
    <w:rsid w:val="00250210"/>
    <w:rsid w:val="002505C9"/>
    <w:rsid w:val="002508A5"/>
    <w:rsid w:val="00250A09"/>
    <w:rsid w:val="00250A41"/>
    <w:rsid w:val="00250AAB"/>
    <w:rsid w:val="00250AB6"/>
    <w:rsid w:val="00250ADC"/>
    <w:rsid w:val="0025105D"/>
    <w:rsid w:val="002510EA"/>
    <w:rsid w:val="00251130"/>
    <w:rsid w:val="00251242"/>
    <w:rsid w:val="0025131C"/>
    <w:rsid w:val="0025141F"/>
    <w:rsid w:val="002516F2"/>
    <w:rsid w:val="00251AC7"/>
    <w:rsid w:val="00251BF4"/>
    <w:rsid w:val="00251C7B"/>
    <w:rsid w:val="00251D3C"/>
    <w:rsid w:val="00251DDE"/>
    <w:rsid w:val="00252373"/>
    <w:rsid w:val="002524A3"/>
    <w:rsid w:val="002525D0"/>
    <w:rsid w:val="00252605"/>
    <w:rsid w:val="002526E1"/>
    <w:rsid w:val="002526F2"/>
    <w:rsid w:val="002527B9"/>
    <w:rsid w:val="00252ACD"/>
    <w:rsid w:val="00252AE4"/>
    <w:rsid w:val="00252B29"/>
    <w:rsid w:val="00252B64"/>
    <w:rsid w:val="00252C60"/>
    <w:rsid w:val="00252D81"/>
    <w:rsid w:val="00252EA2"/>
    <w:rsid w:val="00252F87"/>
    <w:rsid w:val="00253173"/>
    <w:rsid w:val="002532B3"/>
    <w:rsid w:val="002532D6"/>
    <w:rsid w:val="002532DE"/>
    <w:rsid w:val="00253351"/>
    <w:rsid w:val="00253691"/>
    <w:rsid w:val="0025399A"/>
    <w:rsid w:val="00253A16"/>
    <w:rsid w:val="00253B63"/>
    <w:rsid w:val="00253B73"/>
    <w:rsid w:val="00253C3A"/>
    <w:rsid w:val="00253CAD"/>
    <w:rsid w:val="00253CE7"/>
    <w:rsid w:val="00253F0B"/>
    <w:rsid w:val="00253FDF"/>
    <w:rsid w:val="00253FFE"/>
    <w:rsid w:val="002540DF"/>
    <w:rsid w:val="002542E3"/>
    <w:rsid w:val="002545C9"/>
    <w:rsid w:val="00254608"/>
    <w:rsid w:val="0025462D"/>
    <w:rsid w:val="00254813"/>
    <w:rsid w:val="002548C8"/>
    <w:rsid w:val="00254B71"/>
    <w:rsid w:val="00254C67"/>
    <w:rsid w:val="00254C73"/>
    <w:rsid w:val="00254D5F"/>
    <w:rsid w:val="00254DC8"/>
    <w:rsid w:val="00254ECF"/>
    <w:rsid w:val="00254ED8"/>
    <w:rsid w:val="00254FDE"/>
    <w:rsid w:val="0025541D"/>
    <w:rsid w:val="0025552E"/>
    <w:rsid w:val="0025576B"/>
    <w:rsid w:val="00255A42"/>
    <w:rsid w:val="00255CBD"/>
    <w:rsid w:val="00255D00"/>
    <w:rsid w:val="00255E1E"/>
    <w:rsid w:val="00255FD1"/>
    <w:rsid w:val="0025633D"/>
    <w:rsid w:val="0025639F"/>
    <w:rsid w:val="002564C8"/>
    <w:rsid w:val="002565AC"/>
    <w:rsid w:val="002565CE"/>
    <w:rsid w:val="0025670A"/>
    <w:rsid w:val="002567BC"/>
    <w:rsid w:val="002569CE"/>
    <w:rsid w:val="00256CE6"/>
    <w:rsid w:val="00256F81"/>
    <w:rsid w:val="00257217"/>
    <w:rsid w:val="002572D7"/>
    <w:rsid w:val="0025748F"/>
    <w:rsid w:val="002575EF"/>
    <w:rsid w:val="002577DC"/>
    <w:rsid w:val="002578BC"/>
    <w:rsid w:val="00257AEE"/>
    <w:rsid w:val="00257BF4"/>
    <w:rsid w:val="00257C46"/>
    <w:rsid w:val="00257FF0"/>
    <w:rsid w:val="00260019"/>
    <w:rsid w:val="00260083"/>
    <w:rsid w:val="0026012F"/>
    <w:rsid w:val="0026063D"/>
    <w:rsid w:val="002606E3"/>
    <w:rsid w:val="00260980"/>
    <w:rsid w:val="00260985"/>
    <w:rsid w:val="00260B69"/>
    <w:rsid w:val="00260DA2"/>
    <w:rsid w:val="00260E7B"/>
    <w:rsid w:val="0026114A"/>
    <w:rsid w:val="002612AE"/>
    <w:rsid w:val="002613E5"/>
    <w:rsid w:val="002614E7"/>
    <w:rsid w:val="002615A0"/>
    <w:rsid w:val="00261617"/>
    <w:rsid w:val="0026170C"/>
    <w:rsid w:val="0026179B"/>
    <w:rsid w:val="002617BD"/>
    <w:rsid w:val="002618D0"/>
    <w:rsid w:val="00261A9E"/>
    <w:rsid w:val="00261CC0"/>
    <w:rsid w:val="00261D96"/>
    <w:rsid w:val="00261F03"/>
    <w:rsid w:val="00262034"/>
    <w:rsid w:val="0026209B"/>
    <w:rsid w:val="0026216D"/>
    <w:rsid w:val="002621A4"/>
    <w:rsid w:val="0026220A"/>
    <w:rsid w:val="00262241"/>
    <w:rsid w:val="00262286"/>
    <w:rsid w:val="00262521"/>
    <w:rsid w:val="00262525"/>
    <w:rsid w:val="00262750"/>
    <w:rsid w:val="002628D0"/>
    <w:rsid w:val="00262A60"/>
    <w:rsid w:val="00262A9B"/>
    <w:rsid w:val="00262AE0"/>
    <w:rsid w:val="00262BB3"/>
    <w:rsid w:val="00262E9E"/>
    <w:rsid w:val="00262F9F"/>
    <w:rsid w:val="0026331D"/>
    <w:rsid w:val="00263391"/>
    <w:rsid w:val="002634AF"/>
    <w:rsid w:val="002634E2"/>
    <w:rsid w:val="0026396A"/>
    <w:rsid w:val="00263AA8"/>
    <w:rsid w:val="00263B6C"/>
    <w:rsid w:val="00263BE8"/>
    <w:rsid w:val="00263C34"/>
    <w:rsid w:val="00263D20"/>
    <w:rsid w:val="00263FAE"/>
    <w:rsid w:val="00264005"/>
    <w:rsid w:val="002641FB"/>
    <w:rsid w:val="00264260"/>
    <w:rsid w:val="002643C3"/>
    <w:rsid w:val="0026454E"/>
    <w:rsid w:val="002645BE"/>
    <w:rsid w:val="002645D8"/>
    <w:rsid w:val="002646A3"/>
    <w:rsid w:val="00264786"/>
    <w:rsid w:val="00264CEF"/>
    <w:rsid w:val="00264D6C"/>
    <w:rsid w:val="00264EB1"/>
    <w:rsid w:val="00264F2E"/>
    <w:rsid w:val="0026509D"/>
    <w:rsid w:val="00265181"/>
    <w:rsid w:val="002652D6"/>
    <w:rsid w:val="00265323"/>
    <w:rsid w:val="00265483"/>
    <w:rsid w:val="00265698"/>
    <w:rsid w:val="0026586D"/>
    <w:rsid w:val="00265902"/>
    <w:rsid w:val="00265CC2"/>
    <w:rsid w:val="00265D13"/>
    <w:rsid w:val="00265DFC"/>
    <w:rsid w:val="002661BE"/>
    <w:rsid w:val="00266277"/>
    <w:rsid w:val="002662EF"/>
    <w:rsid w:val="002662FA"/>
    <w:rsid w:val="00266331"/>
    <w:rsid w:val="002663BE"/>
    <w:rsid w:val="0026648D"/>
    <w:rsid w:val="0026649B"/>
    <w:rsid w:val="0026667C"/>
    <w:rsid w:val="002666E3"/>
    <w:rsid w:val="00266916"/>
    <w:rsid w:val="00266945"/>
    <w:rsid w:val="002669DA"/>
    <w:rsid w:val="00266B41"/>
    <w:rsid w:val="00266BBC"/>
    <w:rsid w:val="00266BE8"/>
    <w:rsid w:val="00267506"/>
    <w:rsid w:val="002675CD"/>
    <w:rsid w:val="00267949"/>
    <w:rsid w:val="0026795B"/>
    <w:rsid w:val="002679D6"/>
    <w:rsid w:val="00267B73"/>
    <w:rsid w:val="00267B9D"/>
    <w:rsid w:val="00267C08"/>
    <w:rsid w:val="00267C7F"/>
    <w:rsid w:val="00267D15"/>
    <w:rsid w:val="00267E8F"/>
    <w:rsid w:val="00267EEF"/>
    <w:rsid w:val="00267F8A"/>
    <w:rsid w:val="00267FD4"/>
    <w:rsid w:val="002701F7"/>
    <w:rsid w:val="002702BD"/>
    <w:rsid w:val="00270335"/>
    <w:rsid w:val="0027037E"/>
    <w:rsid w:val="002703F3"/>
    <w:rsid w:val="00270433"/>
    <w:rsid w:val="00270473"/>
    <w:rsid w:val="00270567"/>
    <w:rsid w:val="00270639"/>
    <w:rsid w:val="00270775"/>
    <w:rsid w:val="002708C4"/>
    <w:rsid w:val="002708F0"/>
    <w:rsid w:val="0027099D"/>
    <w:rsid w:val="002709DC"/>
    <w:rsid w:val="002709E2"/>
    <w:rsid w:val="00270B18"/>
    <w:rsid w:val="00270BA9"/>
    <w:rsid w:val="00270CF7"/>
    <w:rsid w:val="00270DF3"/>
    <w:rsid w:val="00270F9B"/>
    <w:rsid w:val="002713CF"/>
    <w:rsid w:val="002713E2"/>
    <w:rsid w:val="0027156E"/>
    <w:rsid w:val="00271690"/>
    <w:rsid w:val="002717EC"/>
    <w:rsid w:val="00271819"/>
    <w:rsid w:val="00271833"/>
    <w:rsid w:val="0027185A"/>
    <w:rsid w:val="0027186E"/>
    <w:rsid w:val="00271908"/>
    <w:rsid w:val="00271949"/>
    <w:rsid w:val="0027196D"/>
    <w:rsid w:val="00271AEF"/>
    <w:rsid w:val="00271BC4"/>
    <w:rsid w:val="00271C9C"/>
    <w:rsid w:val="00271CE6"/>
    <w:rsid w:val="00271F00"/>
    <w:rsid w:val="00271FDB"/>
    <w:rsid w:val="00271FFE"/>
    <w:rsid w:val="00272080"/>
    <w:rsid w:val="002720C4"/>
    <w:rsid w:val="002721F5"/>
    <w:rsid w:val="00272225"/>
    <w:rsid w:val="002723F9"/>
    <w:rsid w:val="002724DE"/>
    <w:rsid w:val="002724FB"/>
    <w:rsid w:val="00272505"/>
    <w:rsid w:val="00272536"/>
    <w:rsid w:val="0027259D"/>
    <w:rsid w:val="002725A0"/>
    <w:rsid w:val="0027263D"/>
    <w:rsid w:val="002726EA"/>
    <w:rsid w:val="00272A6A"/>
    <w:rsid w:val="00272B30"/>
    <w:rsid w:val="00272FF3"/>
    <w:rsid w:val="00273007"/>
    <w:rsid w:val="00273035"/>
    <w:rsid w:val="0027337A"/>
    <w:rsid w:val="0027352C"/>
    <w:rsid w:val="002738E9"/>
    <w:rsid w:val="00273928"/>
    <w:rsid w:val="00273A01"/>
    <w:rsid w:val="00273A59"/>
    <w:rsid w:val="00273AA9"/>
    <w:rsid w:val="00273B47"/>
    <w:rsid w:val="00273D84"/>
    <w:rsid w:val="00273F12"/>
    <w:rsid w:val="00273FF3"/>
    <w:rsid w:val="00274047"/>
    <w:rsid w:val="002741C4"/>
    <w:rsid w:val="00274211"/>
    <w:rsid w:val="00274222"/>
    <w:rsid w:val="00274271"/>
    <w:rsid w:val="00274412"/>
    <w:rsid w:val="0027449F"/>
    <w:rsid w:val="002744F8"/>
    <w:rsid w:val="002746AE"/>
    <w:rsid w:val="002747B8"/>
    <w:rsid w:val="002748FA"/>
    <w:rsid w:val="00274AB6"/>
    <w:rsid w:val="00274B05"/>
    <w:rsid w:val="00274C2E"/>
    <w:rsid w:val="00274D47"/>
    <w:rsid w:val="00274ED0"/>
    <w:rsid w:val="002751A3"/>
    <w:rsid w:val="002753B5"/>
    <w:rsid w:val="00275503"/>
    <w:rsid w:val="002756CD"/>
    <w:rsid w:val="00275744"/>
    <w:rsid w:val="002757FD"/>
    <w:rsid w:val="00275821"/>
    <w:rsid w:val="0027590B"/>
    <w:rsid w:val="00275A92"/>
    <w:rsid w:val="00275B16"/>
    <w:rsid w:val="00275BD0"/>
    <w:rsid w:val="00275CD7"/>
    <w:rsid w:val="00275E8E"/>
    <w:rsid w:val="00275F3E"/>
    <w:rsid w:val="00275F6F"/>
    <w:rsid w:val="00275F74"/>
    <w:rsid w:val="00276051"/>
    <w:rsid w:val="0027605D"/>
    <w:rsid w:val="002762E1"/>
    <w:rsid w:val="002763C3"/>
    <w:rsid w:val="0027641E"/>
    <w:rsid w:val="002764E0"/>
    <w:rsid w:val="002769FA"/>
    <w:rsid w:val="00276AC6"/>
    <w:rsid w:val="00276BF2"/>
    <w:rsid w:val="00276DDC"/>
    <w:rsid w:val="00276E86"/>
    <w:rsid w:val="00277006"/>
    <w:rsid w:val="002773AD"/>
    <w:rsid w:val="00277504"/>
    <w:rsid w:val="0027751E"/>
    <w:rsid w:val="00277544"/>
    <w:rsid w:val="002775F8"/>
    <w:rsid w:val="00277AFC"/>
    <w:rsid w:val="00277B5A"/>
    <w:rsid w:val="00277C7A"/>
    <w:rsid w:val="00277DCA"/>
    <w:rsid w:val="00277E8E"/>
    <w:rsid w:val="00277F3B"/>
    <w:rsid w:val="00277FE0"/>
    <w:rsid w:val="00280293"/>
    <w:rsid w:val="002802B7"/>
    <w:rsid w:val="00280415"/>
    <w:rsid w:val="0028068C"/>
    <w:rsid w:val="0028083B"/>
    <w:rsid w:val="002809BA"/>
    <w:rsid w:val="00280A47"/>
    <w:rsid w:val="00280B10"/>
    <w:rsid w:val="00280BBA"/>
    <w:rsid w:val="00280F7A"/>
    <w:rsid w:val="0028103F"/>
    <w:rsid w:val="0028105A"/>
    <w:rsid w:val="0028110B"/>
    <w:rsid w:val="00281168"/>
    <w:rsid w:val="002811AE"/>
    <w:rsid w:val="00281681"/>
    <w:rsid w:val="002817C7"/>
    <w:rsid w:val="002817F7"/>
    <w:rsid w:val="00281987"/>
    <w:rsid w:val="00281A61"/>
    <w:rsid w:val="00281B4F"/>
    <w:rsid w:val="00281C3D"/>
    <w:rsid w:val="00281C50"/>
    <w:rsid w:val="00281CFF"/>
    <w:rsid w:val="00281F1B"/>
    <w:rsid w:val="00281FF2"/>
    <w:rsid w:val="0028232E"/>
    <w:rsid w:val="00282363"/>
    <w:rsid w:val="0028239A"/>
    <w:rsid w:val="00282449"/>
    <w:rsid w:val="0028244A"/>
    <w:rsid w:val="0028245A"/>
    <w:rsid w:val="00282468"/>
    <w:rsid w:val="002825F5"/>
    <w:rsid w:val="0028283D"/>
    <w:rsid w:val="00282895"/>
    <w:rsid w:val="0028295D"/>
    <w:rsid w:val="00282A1B"/>
    <w:rsid w:val="00282C5B"/>
    <w:rsid w:val="00282E39"/>
    <w:rsid w:val="00282F05"/>
    <w:rsid w:val="00283050"/>
    <w:rsid w:val="002833D9"/>
    <w:rsid w:val="002833E5"/>
    <w:rsid w:val="002833F2"/>
    <w:rsid w:val="00283862"/>
    <w:rsid w:val="002838D6"/>
    <w:rsid w:val="002838FB"/>
    <w:rsid w:val="00283CC6"/>
    <w:rsid w:val="00283DE8"/>
    <w:rsid w:val="00283DF6"/>
    <w:rsid w:val="002842B2"/>
    <w:rsid w:val="00284325"/>
    <w:rsid w:val="0028445C"/>
    <w:rsid w:val="00284535"/>
    <w:rsid w:val="0028467D"/>
    <w:rsid w:val="0028494B"/>
    <w:rsid w:val="002849C6"/>
    <w:rsid w:val="00284AE8"/>
    <w:rsid w:val="00284B96"/>
    <w:rsid w:val="00284EDE"/>
    <w:rsid w:val="00285195"/>
    <w:rsid w:val="002852A0"/>
    <w:rsid w:val="002856CB"/>
    <w:rsid w:val="002856DC"/>
    <w:rsid w:val="002858C0"/>
    <w:rsid w:val="00285969"/>
    <w:rsid w:val="00285A5D"/>
    <w:rsid w:val="00285D91"/>
    <w:rsid w:val="00285F67"/>
    <w:rsid w:val="00285F76"/>
    <w:rsid w:val="002860CA"/>
    <w:rsid w:val="0028610C"/>
    <w:rsid w:val="0028613E"/>
    <w:rsid w:val="002861A1"/>
    <w:rsid w:val="0028628F"/>
    <w:rsid w:val="00286487"/>
    <w:rsid w:val="00286554"/>
    <w:rsid w:val="0028659C"/>
    <w:rsid w:val="002867ED"/>
    <w:rsid w:val="002868D0"/>
    <w:rsid w:val="00286979"/>
    <w:rsid w:val="002869D2"/>
    <w:rsid w:val="00286ABE"/>
    <w:rsid w:val="00286AC5"/>
    <w:rsid w:val="00286BA7"/>
    <w:rsid w:val="002870CA"/>
    <w:rsid w:val="00287147"/>
    <w:rsid w:val="00287336"/>
    <w:rsid w:val="00287436"/>
    <w:rsid w:val="00287589"/>
    <w:rsid w:val="00287C22"/>
    <w:rsid w:val="00290114"/>
    <w:rsid w:val="002901B4"/>
    <w:rsid w:val="002901CF"/>
    <w:rsid w:val="002904F2"/>
    <w:rsid w:val="00290564"/>
    <w:rsid w:val="0029060B"/>
    <w:rsid w:val="00290BEA"/>
    <w:rsid w:val="00290C7B"/>
    <w:rsid w:val="00290CDC"/>
    <w:rsid w:val="00290E01"/>
    <w:rsid w:val="00290E13"/>
    <w:rsid w:val="00290E16"/>
    <w:rsid w:val="00291263"/>
    <w:rsid w:val="00291392"/>
    <w:rsid w:val="002914D0"/>
    <w:rsid w:val="0029168F"/>
    <w:rsid w:val="002916DD"/>
    <w:rsid w:val="002917E6"/>
    <w:rsid w:val="0029180E"/>
    <w:rsid w:val="002918BB"/>
    <w:rsid w:val="00291A40"/>
    <w:rsid w:val="00291C36"/>
    <w:rsid w:val="00291C41"/>
    <w:rsid w:val="00291C9A"/>
    <w:rsid w:val="00291CBD"/>
    <w:rsid w:val="00291DFA"/>
    <w:rsid w:val="00291F87"/>
    <w:rsid w:val="002920B0"/>
    <w:rsid w:val="00292191"/>
    <w:rsid w:val="002921B8"/>
    <w:rsid w:val="0029231D"/>
    <w:rsid w:val="002923E0"/>
    <w:rsid w:val="002923FD"/>
    <w:rsid w:val="002926F9"/>
    <w:rsid w:val="00292777"/>
    <w:rsid w:val="002927F6"/>
    <w:rsid w:val="00292ACF"/>
    <w:rsid w:val="00292C17"/>
    <w:rsid w:val="00292C6D"/>
    <w:rsid w:val="00292DD2"/>
    <w:rsid w:val="00292F0A"/>
    <w:rsid w:val="00293170"/>
    <w:rsid w:val="00293374"/>
    <w:rsid w:val="00293499"/>
    <w:rsid w:val="002934D0"/>
    <w:rsid w:val="0029366C"/>
    <w:rsid w:val="00293738"/>
    <w:rsid w:val="0029378D"/>
    <w:rsid w:val="002937CE"/>
    <w:rsid w:val="002937D7"/>
    <w:rsid w:val="00293848"/>
    <w:rsid w:val="00293893"/>
    <w:rsid w:val="00293A70"/>
    <w:rsid w:val="00293EAB"/>
    <w:rsid w:val="00293F4C"/>
    <w:rsid w:val="00293F69"/>
    <w:rsid w:val="0029408A"/>
    <w:rsid w:val="002940EC"/>
    <w:rsid w:val="002941D6"/>
    <w:rsid w:val="002941DB"/>
    <w:rsid w:val="002941F7"/>
    <w:rsid w:val="0029421E"/>
    <w:rsid w:val="00294248"/>
    <w:rsid w:val="00294310"/>
    <w:rsid w:val="002943CE"/>
    <w:rsid w:val="0029444B"/>
    <w:rsid w:val="0029448B"/>
    <w:rsid w:val="00294544"/>
    <w:rsid w:val="002945D6"/>
    <w:rsid w:val="00294730"/>
    <w:rsid w:val="002947F6"/>
    <w:rsid w:val="002948EB"/>
    <w:rsid w:val="002949EE"/>
    <w:rsid w:val="00294E6E"/>
    <w:rsid w:val="00295142"/>
    <w:rsid w:val="0029520F"/>
    <w:rsid w:val="0029535D"/>
    <w:rsid w:val="002953E4"/>
    <w:rsid w:val="0029542C"/>
    <w:rsid w:val="00295438"/>
    <w:rsid w:val="00295551"/>
    <w:rsid w:val="0029576F"/>
    <w:rsid w:val="002957E2"/>
    <w:rsid w:val="00295A59"/>
    <w:rsid w:val="00295BFD"/>
    <w:rsid w:val="00295C35"/>
    <w:rsid w:val="00295CB0"/>
    <w:rsid w:val="00295F29"/>
    <w:rsid w:val="00295F5F"/>
    <w:rsid w:val="00295FAF"/>
    <w:rsid w:val="00296054"/>
    <w:rsid w:val="002960DE"/>
    <w:rsid w:val="00296231"/>
    <w:rsid w:val="00296240"/>
    <w:rsid w:val="002962A4"/>
    <w:rsid w:val="002962DD"/>
    <w:rsid w:val="00296375"/>
    <w:rsid w:val="002963C8"/>
    <w:rsid w:val="002963E4"/>
    <w:rsid w:val="002965B2"/>
    <w:rsid w:val="002966C0"/>
    <w:rsid w:val="002968D7"/>
    <w:rsid w:val="00296D34"/>
    <w:rsid w:val="00296FBD"/>
    <w:rsid w:val="00297187"/>
    <w:rsid w:val="002971C0"/>
    <w:rsid w:val="002971CA"/>
    <w:rsid w:val="002972A6"/>
    <w:rsid w:val="0029749B"/>
    <w:rsid w:val="002977CB"/>
    <w:rsid w:val="00297ADD"/>
    <w:rsid w:val="00297B0C"/>
    <w:rsid w:val="00297BAE"/>
    <w:rsid w:val="00297C70"/>
    <w:rsid w:val="00297CA9"/>
    <w:rsid w:val="00297F12"/>
    <w:rsid w:val="00297F1C"/>
    <w:rsid w:val="002A00E8"/>
    <w:rsid w:val="002A0357"/>
    <w:rsid w:val="002A036E"/>
    <w:rsid w:val="002A0712"/>
    <w:rsid w:val="002A0820"/>
    <w:rsid w:val="002A08A3"/>
    <w:rsid w:val="002A0A4D"/>
    <w:rsid w:val="002A0B96"/>
    <w:rsid w:val="002A102C"/>
    <w:rsid w:val="002A11C8"/>
    <w:rsid w:val="002A1353"/>
    <w:rsid w:val="002A1377"/>
    <w:rsid w:val="002A16B2"/>
    <w:rsid w:val="002A1713"/>
    <w:rsid w:val="002A175A"/>
    <w:rsid w:val="002A19B1"/>
    <w:rsid w:val="002A19C3"/>
    <w:rsid w:val="002A1AA3"/>
    <w:rsid w:val="002A1BE5"/>
    <w:rsid w:val="002A1D9E"/>
    <w:rsid w:val="002A1F40"/>
    <w:rsid w:val="002A206D"/>
    <w:rsid w:val="002A2266"/>
    <w:rsid w:val="002A236E"/>
    <w:rsid w:val="002A2446"/>
    <w:rsid w:val="002A25AD"/>
    <w:rsid w:val="002A25E7"/>
    <w:rsid w:val="002A263A"/>
    <w:rsid w:val="002A26E0"/>
    <w:rsid w:val="002A26EE"/>
    <w:rsid w:val="002A29FD"/>
    <w:rsid w:val="002A2A1B"/>
    <w:rsid w:val="002A2AFD"/>
    <w:rsid w:val="002A2B65"/>
    <w:rsid w:val="002A2C28"/>
    <w:rsid w:val="002A2C8E"/>
    <w:rsid w:val="002A2D36"/>
    <w:rsid w:val="002A2E15"/>
    <w:rsid w:val="002A2E2D"/>
    <w:rsid w:val="002A2E9F"/>
    <w:rsid w:val="002A320E"/>
    <w:rsid w:val="002A34B9"/>
    <w:rsid w:val="002A35BD"/>
    <w:rsid w:val="002A35E6"/>
    <w:rsid w:val="002A370F"/>
    <w:rsid w:val="002A37F5"/>
    <w:rsid w:val="002A383B"/>
    <w:rsid w:val="002A3842"/>
    <w:rsid w:val="002A38D8"/>
    <w:rsid w:val="002A390A"/>
    <w:rsid w:val="002A3A45"/>
    <w:rsid w:val="002A3A5B"/>
    <w:rsid w:val="002A3BF7"/>
    <w:rsid w:val="002A3D46"/>
    <w:rsid w:val="002A3E6A"/>
    <w:rsid w:val="002A3FB7"/>
    <w:rsid w:val="002A4180"/>
    <w:rsid w:val="002A43BE"/>
    <w:rsid w:val="002A43E8"/>
    <w:rsid w:val="002A452E"/>
    <w:rsid w:val="002A4555"/>
    <w:rsid w:val="002A47D3"/>
    <w:rsid w:val="002A4996"/>
    <w:rsid w:val="002A49CA"/>
    <w:rsid w:val="002A4A68"/>
    <w:rsid w:val="002A4BBF"/>
    <w:rsid w:val="002A4BFC"/>
    <w:rsid w:val="002A4D1D"/>
    <w:rsid w:val="002A4F9D"/>
    <w:rsid w:val="002A4FBD"/>
    <w:rsid w:val="002A52FD"/>
    <w:rsid w:val="002A55D1"/>
    <w:rsid w:val="002A5608"/>
    <w:rsid w:val="002A5694"/>
    <w:rsid w:val="002A5CED"/>
    <w:rsid w:val="002A5D85"/>
    <w:rsid w:val="002A5DC6"/>
    <w:rsid w:val="002A5FAF"/>
    <w:rsid w:val="002A6009"/>
    <w:rsid w:val="002A605C"/>
    <w:rsid w:val="002A62F1"/>
    <w:rsid w:val="002A63E6"/>
    <w:rsid w:val="002A6507"/>
    <w:rsid w:val="002A65AE"/>
    <w:rsid w:val="002A65ED"/>
    <w:rsid w:val="002A6650"/>
    <w:rsid w:val="002A6785"/>
    <w:rsid w:val="002A67BA"/>
    <w:rsid w:val="002A6837"/>
    <w:rsid w:val="002A69AB"/>
    <w:rsid w:val="002A6CD4"/>
    <w:rsid w:val="002A6FFF"/>
    <w:rsid w:val="002A71D1"/>
    <w:rsid w:val="002A72C9"/>
    <w:rsid w:val="002A7405"/>
    <w:rsid w:val="002A74EC"/>
    <w:rsid w:val="002A75A4"/>
    <w:rsid w:val="002A7610"/>
    <w:rsid w:val="002A78B1"/>
    <w:rsid w:val="002A79E9"/>
    <w:rsid w:val="002A7B6C"/>
    <w:rsid w:val="002A7D42"/>
    <w:rsid w:val="002B0071"/>
    <w:rsid w:val="002B0088"/>
    <w:rsid w:val="002B0169"/>
    <w:rsid w:val="002B02AC"/>
    <w:rsid w:val="002B042E"/>
    <w:rsid w:val="002B0456"/>
    <w:rsid w:val="002B0490"/>
    <w:rsid w:val="002B0663"/>
    <w:rsid w:val="002B0773"/>
    <w:rsid w:val="002B0822"/>
    <w:rsid w:val="002B0AC4"/>
    <w:rsid w:val="002B0CEF"/>
    <w:rsid w:val="002B0F68"/>
    <w:rsid w:val="002B0F73"/>
    <w:rsid w:val="002B1175"/>
    <w:rsid w:val="002B11BE"/>
    <w:rsid w:val="002B12B2"/>
    <w:rsid w:val="002B136F"/>
    <w:rsid w:val="002B138E"/>
    <w:rsid w:val="002B13A1"/>
    <w:rsid w:val="002B16A6"/>
    <w:rsid w:val="002B1714"/>
    <w:rsid w:val="002B1715"/>
    <w:rsid w:val="002B1718"/>
    <w:rsid w:val="002B1837"/>
    <w:rsid w:val="002B18A7"/>
    <w:rsid w:val="002B1A1B"/>
    <w:rsid w:val="002B1A61"/>
    <w:rsid w:val="002B1AE3"/>
    <w:rsid w:val="002B1BA4"/>
    <w:rsid w:val="002B1BD8"/>
    <w:rsid w:val="002B1D8E"/>
    <w:rsid w:val="002B1DA7"/>
    <w:rsid w:val="002B1DFE"/>
    <w:rsid w:val="002B1DFF"/>
    <w:rsid w:val="002B1EB3"/>
    <w:rsid w:val="002B1F15"/>
    <w:rsid w:val="002B202C"/>
    <w:rsid w:val="002B2172"/>
    <w:rsid w:val="002B2588"/>
    <w:rsid w:val="002B2750"/>
    <w:rsid w:val="002B27F4"/>
    <w:rsid w:val="002B29C5"/>
    <w:rsid w:val="002B2ADD"/>
    <w:rsid w:val="002B2C21"/>
    <w:rsid w:val="002B2FAF"/>
    <w:rsid w:val="002B2FE8"/>
    <w:rsid w:val="002B3020"/>
    <w:rsid w:val="002B30B7"/>
    <w:rsid w:val="002B320A"/>
    <w:rsid w:val="002B3217"/>
    <w:rsid w:val="002B33C8"/>
    <w:rsid w:val="002B34B5"/>
    <w:rsid w:val="002B367C"/>
    <w:rsid w:val="002B3786"/>
    <w:rsid w:val="002B37EA"/>
    <w:rsid w:val="002B3829"/>
    <w:rsid w:val="002B390E"/>
    <w:rsid w:val="002B3B75"/>
    <w:rsid w:val="002B3C29"/>
    <w:rsid w:val="002B3CD3"/>
    <w:rsid w:val="002B3D5C"/>
    <w:rsid w:val="002B3D8B"/>
    <w:rsid w:val="002B3E2F"/>
    <w:rsid w:val="002B3F1F"/>
    <w:rsid w:val="002B3FD0"/>
    <w:rsid w:val="002B407B"/>
    <w:rsid w:val="002B407F"/>
    <w:rsid w:val="002B410B"/>
    <w:rsid w:val="002B42AF"/>
    <w:rsid w:val="002B4379"/>
    <w:rsid w:val="002B45CE"/>
    <w:rsid w:val="002B470A"/>
    <w:rsid w:val="002B4828"/>
    <w:rsid w:val="002B4980"/>
    <w:rsid w:val="002B49F9"/>
    <w:rsid w:val="002B4A9C"/>
    <w:rsid w:val="002B4AF7"/>
    <w:rsid w:val="002B4C52"/>
    <w:rsid w:val="002B4D3D"/>
    <w:rsid w:val="002B4D4D"/>
    <w:rsid w:val="002B4DC4"/>
    <w:rsid w:val="002B4E4B"/>
    <w:rsid w:val="002B4E71"/>
    <w:rsid w:val="002B4F07"/>
    <w:rsid w:val="002B4FFC"/>
    <w:rsid w:val="002B517F"/>
    <w:rsid w:val="002B51AE"/>
    <w:rsid w:val="002B5543"/>
    <w:rsid w:val="002B55E1"/>
    <w:rsid w:val="002B57D3"/>
    <w:rsid w:val="002B5892"/>
    <w:rsid w:val="002B58F4"/>
    <w:rsid w:val="002B5946"/>
    <w:rsid w:val="002B5B69"/>
    <w:rsid w:val="002B5BCF"/>
    <w:rsid w:val="002B5C0D"/>
    <w:rsid w:val="002B5C39"/>
    <w:rsid w:val="002B5C83"/>
    <w:rsid w:val="002B5DA3"/>
    <w:rsid w:val="002B5F26"/>
    <w:rsid w:val="002B6035"/>
    <w:rsid w:val="002B61BD"/>
    <w:rsid w:val="002B6408"/>
    <w:rsid w:val="002B64E0"/>
    <w:rsid w:val="002B6505"/>
    <w:rsid w:val="002B6585"/>
    <w:rsid w:val="002B6664"/>
    <w:rsid w:val="002B67E2"/>
    <w:rsid w:val="002B68A7"/>
    <w:rsid w:val="002B6969"/>
    <w:rsid w:val="002B6C1D"/>
    <w:rsid w:val="002B6C54"/>
    <w:rsid w:val="002B6D4A"/>
    <w:rsid w:val="002B6E6D"/>
    <w:rsid w:val="002B6E79"/>
    <w:rsid w:val="002B709F"/>
    <w:rsid w:val="002B7236"/>
    <w:rsid w:val="002B7280"/>
    <w:rsid w:val="002B735A"/>
    <w:rsid w:val="002B7691"/>
    <w:rsid w:val="002B77BF"/>
    <w:rsid w:val="002B790B"/>
    <w:rsid w:val="002B7A11"/>
    <w:rsid w:val="002B7AC6"/>
    <w:rsid w:val="002B7AF9"/>
    <w:rsid w:val="002B7DF5"/>
    <w:rsid w:val="002B7E32"/>
    <w:rsid w:val="002B7E7E"/>
    <w:rsid w:val="002B7FEC"/>
    <w:rsid w:val="002C034D"/>
    <w:rsid w:val="002C06AD"/>
    <w:rsid w:val="002C0827"/>
    <w:rsid w:val="002C08C6"/>
    <w:rsid w:val="002C0AD1"/>
    <w:rsid w:val="002C0C45"/>
    <w:rsid w:val="002C0DA9"/>
    <w:rsid w:val="002C0F46"/>
    <w:rsid w:val="002C0F58"/>
    <w:rsid w:val="002C1021"/>
    <w:rsid w:val="002C109F"/>
    <w:rsid w:val="002C11FD"/>
    <w:rsid w:val="002C130F"/>
    <w:rsid w:val="002C1313"/>
    <w:rsid w:val="002C1598"/>
    <w:rsid w:val="002C1637"/>
    <w:rsid w:val="002C1685"/>
    <w:rsid w:val="002C16A4"/>
    <w:rsid w:val="002C17AB"/>
    <w:rsid w:val="002C189F"/>
    <w:rsid w:val="002C192E"/>
    <w:rsid w:val="002C1B0B"/>
    <w:rsid w:val="002C1B94"/>
    <w:rsid w:val="002C1BF9"/>
    <w:rsid w:val="002C1C1E"/>
    <w:rsid w:val="002C1C2E"/>
    <w:rsid w:val="002C1D9C"/>
    <w:rsid w:val="002C1E78"/>
    <w:rsid w:val="002C1FAB"/>
    <w:rsid w:val="002C1FB3"/>
    <w:rsid w:val="002C2024"/>
    <w:rsid w:val="002C20B3"/>
    <w:rsid w:val="002C221C"/>
    <w:rsid w:val="002C22FD"/>
    <w:rsid w:val="002C2404"/>
    <w:rsid w:val="002C2735"/>
    <w:rsid w:val="002C2762"/>
    <w:rsid w:val="002C2B22"/>
    <w:rsid w:val="002C2C81"/>
    <w:rsid w:val="002C2D46"/>
    <w:rsid w:val="002C3092"/>
    <w:rsid w:val="002C30B3"/>
    <w:rsid w:val="002C3386"/>
    <w:rsid w:val="002C347E"/>
    <w:rsid w:val="002C35F2"/>
    <w:rsid w:val="002C3604"/>
    <w:rsid w:val="002C392C"/>
    <w:rsid w:val="002C39EF"/>
    <w:rsid w:val="002C3AFA"/>
    <w:rsid w:val="002C3BF2"/>
    <w:rsid w:val="002C3C3D"/>
    <w:rsid w:val="002C3CC3"/>
    <w:rsid w:val="002C3EBB"/>
    <w:rsid w:val="002C3FC5"/>
    <w:rsid w:val="002C3FF4"/>
    <w:rsid w:val="002C401F"/>
    <w:rsid w:val="002C41E8"/>
    <w:rsid w:val="002C4214"/>
    <w:rsid w:val="002C4225"/>
    <w:rsid w:val="002C4302"/>
    <w:rsid w:val="002C45B6"/>
    <w:rsid w:val="002C471F"/>
    <w:rsid w:val="002C49FD"/>
    <w:rsid w:val="002C4BAA"/>
    <w:rsid w:val="002C4D0D"/>
    <w:rsid w:val="002C528B"/>
    <w:rsid w:val="002C52DB"/>
    <w:rsid w:val="002C538B"/>
    <w:rsid w:val="002C5451"/>
    <w:rsid w:val="002C546B"/>
    <w:rsid w:val="002C55AD"/>
    <w:rsid w:val="002C569E"/>
    <w:rsid w:val="002C5714"/>
    <w:rsid w:val="002C57B7"/>
    <w:rsid w:val="002C57B9"/>
    <w:rsid w:val="002C5878"/>
    <w:rsid w:val="002C58A5"/>
    <w:rsid w:val="002C58CD"/>
    <w:rsid w:val="002C58FB"/>
    <w:rsid w:val="002C5B38"/>
    <w:rsid w:val="002C5EE8"/>
    <w:rsid w:val="002C5F18"/>
    <w:rsid w:val="002C604F"/>
    <w:rsid w:val="002C625C"/>
    <w:rsid w:val="002C62A6"/>
    <w:rsid w:val="002C662C"/>
    <w:rsid w:val="002C6796"/>
    <w:rsid w:val="002C684E"/>
    <w:rsid w:val="002C68F5"/>
    <w:rsid w:val="002C6945"/>
    <w:rsid w:val="002C694D"/>
    <w:rsid w:val="002C6A21"/>
    <w:rsid w:val="002C6A49"/>
    <w:rsid w:val="002C6AEA"/>
    <w:rsid w:val="002C6C51"/>
    <w:rsid w:val="002C6C7D"/>
    <w:rsid w:val="002C6EAF"/>
    <w:rsid w:val="002C6F26"/>
    <w:rsid w:val="002C7313"/>
    <w:rsid w:val="002C7355"/>
    <w:rsid w:val="002C7367"/>
    <w:rsid w:val="002C738A"/>
    <w:rsid w:val="002C742C"/>
    <w:rsid w:val="002C7431"/>
    <w:rsid w:val="002C7658"/>
    <w:rsid w:val="002C769E"/>
    <w:rsid w:val="002C7736"/>
    <w:rsid w:val="002C773C"/>
    <w:rsid w:val="002C78E1"/>
    <w:rsid w:val="002C7A01"/>
    <w:rsid w:val="002C7C02"/>
    <w:rsid w:val="002C7E21"/>
    <w:rsid w:val="002C7E42"/>
    <w:rsid w:val="002C7F69"/>
    <w:rsid w:val="002C7F6A"/>
    <w:rsid w:val="002C7F71"/>
    <w:rsid w:val="002D0111"/>
    <w:rsid w:val="002D036A"/>
    <w:rsid w:val="002D038C"/>
    <w:rsid w:val="002D049F"/>
    <w:rsid w:val="002D04A9"/>
    <w:rsid w:val="002D04B7"/>
    <w:rsid w:val="002D0636"/>
    <w:rsid w:val="002D0699"/>
    <w:rsid w:val="002D090C"/>
    <w:rsid w:val="002D0A49"/>
    <w:rsid w:val="002D0AFE"/>
    <w:rsid w:val="002D0B24"/>
    <w:rsid w:val="002D0B40"/>
    <w:rsid w:val="002D0BD9"/>
    <w:rsid w:val="002D0C70"/>
    <w:rsid w:val="002D0C77"/>
    <w:rsid w:val="002D0D2B"/>
    <w:rsid w:val="002D0DF4"/>
    <w:rsid w:val="002D0F23"/>
    <w:rsid w:val="002D0F96"/>
    <w:rsid w:val="002D0FE8"/>
    <w:rsid w:val="002D12B3"/>
    <w:rsid w:val="002D12F1"/>
    <w:rsid w:val="002D1B68"/>
    <w:rsid w:val="002D1BB9"/>
    <w:rsid w:val="002D1CC0"/>
    <w:rsid w:val="002D1DB5"/>
    <w:rsid w:val="002D1E28"/>
    <w:rsid w:val="002D1E3F"/>
    <w:rsid w:val="002D1F90"/>
    <w:rsid w:val="002D1FAC"/>
    <w:rsid w:val="002D20EC"/>
    <w:rsid w:val="002D216C"/>
    <w:rsid w:val="002D216D"/>
    <w:rsid w:val="002D217E"/>
    <w:rsid w:val="002D21D8"/>
    <w:rsid w:val="002D223B"/>
    <w:rsid w:val="002D2431"/>
    <w:rsid w:val="002D244B"/>
    <w:rsid w:val="002D2659"/>
    <w:rsid w:val="002D280C"/>
    <w:rsid w:val="002D2A22"/>
    <w:rsid w:val="002D2A2A"/>
    <w:rsid w:val="002D2C17"/>
    <w:rsid w:val="002D2CD4"/>
    <w:rsid w:val="002D2E9E"/>
    <w:rsid w:val="002D304E"/>
    <w:rsid w:val="002D32DA"/>
    <w:rsid w:val="002D336E"/>
    <w:rsid w:val="002D3424"/>
    <w:rsid w:val="002D36EE"/>
    <w:rsid w:val="002D3ABD"/>
    <w:rsid w:val="002D3BFB"/>
    <w:rsid w:val="002D3CC6"/>
    <w:rsid w:val="002D403A"/>
    <w:rsid w:val="002D406D"/>
    <w:rsid w:val="002D4185"/>
    <w:rsid w:val="002D4469"/>
    <w:rsid w:val="002D469A"/>
    <w:rsid w:val="002D47E0"/>
    <w:rsid w:val="002D488F"/>
    <w:rsid w:val="002D49FA"/>
    <w:rsid w:val="002D4BD3"/>
    <w:rsid w:val="002D4CA2"/>
    <w:rsid w:val="002D4CB4"/>
    <w:rsid w:val="002D4F1D"/>
    <w:rsid w:val="002D4F97"/>
    <w:rsid w:val="002D5005"/>
    <w:rsid w:val="002D506B"/>
    <w:rsid w:val="002D512A"/>
    <w:rsid w:val="002D523E"/>
    <w:rsid w:val="002D5412"/>
    <w:rsid w:val="002D5486"/>
    <w:rsid w:val="002D54C8"/>
    <w:rsid w:val="002D550A"/>
    <w:rsid w:val="002D5598"/>
    <w:rsid w:val="002D5684"/>
    <w:rsid w:val="002D56EB"/>
    <w:rsid w:val="002D5A5F"/>
    <w:rsid w:val="002D5D07"/>
    <w:rsid w:val="002D5DD9"/>
    <w:rsid w:val="002D5FB7"/>
    <w:rsid w:val="002D604D"/>
    <w:rsid w:val="002D608C"/>
    <w:rsid w:val="002D6095"/>
    <w:rsid w:val="002D60FF"/>
    <w:rsid w:val="002D62D5"/>
    <w:rsid w:val="002D63F7"/>
    <w:rsid w:val="002D64C3"/>
    <w:rsid w:val="002D65E5"/>
    <w:rsid w:val="002D6665"/>
    <w:rsid w:val="002D6891"/>
    <w:rsid w:val="002D6A8C"/>
    <w:rsid w:val="002D6A8E"/>
    <w:rsid w:val="002D6AAA"/>
    <w:rsid w:val="002D6ABF"/>
    <w:rsid w:val="002D6C4D"/>
    <w:rsid w:val="002D6E17"/>
    <w:rsid w:val="002D6ED7"/>
    <w:rsid w:val="002D703E"/>
    <w:rsid w:val="002D7189"/>
    <w:rsid w:val="002D7247"/>
    <w:rsid w:val="002D73D4"/>
    <w:rsid w:val="002D743A"/>
    <w:rsid w:val="002D74F9"/>
    <w:rsid w:val="002D7534"/>
    <w:rsid w:val="002D768F"/>
    <w:rsid w:val="002D7713"/>
    <w:rsid w:val="002D7720"/>
    <w:rsid w:val="002D7735"/>
    <w:rsid w:val="002D775D"/>
    <w:rsid w:val="002D77A3"/>
    <w:rsid w:val="002D7A03"/>
    <w:rsid w:val="002D7A71"/>
    <w:rsid w:val="002D7B18"/>
    <w:rsid w:val="002D7B9C"/>
    <w:rsid w:val="002D7C41"/>
    <w:rsid w:val="002D7CD3"/>
    <w:rsid w:val="002D7D13"/>
    <w:rsid w:val="002D7D34"/>
    <w:rsid w:val="002E03B9"/>
    <w:rsid w:val="002E0769"/>
    <w:rsid w:val="002E0776"/>
    <w:rsid w:val="002E0800"/>
    <w:rsid w:val="002E0838"/>
    <w:rsid w:val="002E0856"/>
    <w:rsid w:val="002E0983"/>
    <w:rsid w:val="002E0ABD"/>
    <w:rsid w:val="002E0BEF"/>
    <w:rsid w:val="002E0C7B"/>
    <w:rsid w:val="002E0E89"/>
    <w:rsid w:val="002E0FAF"/>
    <w:rsid w:val="002E106F"/>
    <w:rsid w:val="002E13A2"/>
    <w:rsid w:val="002E17B1"/>
    <w:rsid w:val="002E1903"/>
    <w:rsid w:val="002E196D"/>
    <w:rsid w:val="002E1998"/>
    <w:rsid w:val="002E1ABC"/>
    <w:rsid w:val="002E1B90"/>
    <w:rsid w:val="002E1C06"/>
    <w:rsid w:val="002E1C8E"/>
    <w:rsid w:val="002E1E51"/>
    <w:rsid w:val="002E1FB3"/>
    <w:rsid w:val="002E1FE1"/>
    <w:rsid w:val="002E21DE"/>
    <w:rsid w:val="002E21F7"/>
    <w:rsid w:val="002E22BD"/>
    <w:rsid w:val="002E2404"/>
    <w:rsid w:val="002E254B"/>
    <w:rsid w:val="002E25F2"/>
    <w:rsid w:val="002E2705"/>
    <w:rsid w:val="002E27D4"/>
    <w:rsid w:val="002E280B"/>
    <w:rsid w:val="002E2ACF"/>
    <w:rsid w:val="002E2ADA"/>
    <w:rsid w:val="002E2B7F"/>
    <w:rsid w:val="002E2B9E"/>
    <w:rsid w:val="002E2C75"/>
    <w:rsid w:val="002E2C7B"/>
    <w:rsid w:val="002E2CF6"/>
    <w:rsid w:val="002E303C"/>
    <w:rsid w:val="002E3044"/>
    <w:rsid w:val="002E30B8"/>
    <w:rsid w:val="002E31DD"/>
    <w:rsid w:val="002E327E"/>
    <w:rsid w:val="002E3294"/>
    <w:rsid w:val="002E32A0"/>
    <w:rsid w:val="002E3447"/>
    <w:rsid w:val="002E35DD"/>
    <w:rsid w:val="002E3731"/>
    <w:rsid w:val="002E37D9"/>
    <w:rsid w:val="002E38C0"/>
    <w:rsid w:val="002E392F"/>
    <w:rsid w:val="002E39D1"/>
    <w:rsid w:val="002E3DA2"/>
    <w:rsid w:val="002E3F5B"/>
    <w:rsid w:val="002E4135"/>
    <w:rsid w:val="002E4145"/>
    <w:rsid w:val="002E4521"/>
    <w:rsid w:val="002E48A3"/>
    <w:rsid w:val="002E48CB"/>
    <w:rsid w:val="002E492E"/>
    <w:rsid w:val="002E4A98"/>
    <w:rsid w:val="002E4ADE"/>
    <w:rsid w:val="002E4C8F"/>
    <w:rsid w:val="002E4DEB"/>
    <w:rsid w:val="002E4E2F"/>
    <w:rsid w:val="002E4FD4"/>
    <w:rsid w:val="002E5089"/>
    <w:rsid w:val="002E50A8"/>
    <w:rsid w:val="002E5112"/>
    <w:rsid w:val="002E54B5"/>
    <w:rsid w:val="002E558C"/>
    <w:rsid w:val="002E57C1"/>
    <w:rsid w:val="002E57E1"/>
    <w:rsid w:val="002E589E"/>
    <w:rsid w:val="002E598E"/>
    <w:rsid w:val="002E5AD5"/>
    <w:rsid w:val="002E5BF2"/>
    <w:rsid w:val="002E5CCE"/>
    <w:rsid w:val="002E5E8A"/>
    <w:rsid w:val="002E6037"/>
    <w:rsid w:val="002E6082"/>
    <w:rsid w:val="002E61A6"/>
    <w:rsid w:val="002E62F2"/>
    <w:rsid w:val="002E64F0"/>
    <w:rsid w:val="002E64FB"/>
    <w:rsid w:val="002E687D"/>
    <w:rsid w:val="002E6A3C"/>
    <w:rsid w:val="002E6A7C"/>
    <w:rsid w:val="002E6CCD"/>
    <w:rsid w:val="002E6CF3"/>
    <w:rsid w:val="002E6DF5"/>
    <w:rsid w:val="002E6E54"/>
    <w:rsid w:val="002E6EE5"/>
    <w:rsid w:val="002E6FC4"/>
    <w:rsid w:val="002E7109"/>
    <w:rsid w:val="002E7162"/>
    <w:rsid w:val="002E7178"/>
    <w:rsid w:val="002E7277"/>
    <w:rsid w:val="002E729A"/>
    <w:rsid w:val="002E73D0"/>
    <w:rsid w:val="002E74F4"/>
    <w:rsid w:val="002E753B"/>
    <w:rsid w:val="002E773D"/>
    <w:rsid w:val="002E7756"/>
    <w:rsid w:val="002E777E"/>
    <w:rsid w:val="002E781C"/>
    <w:rsid w:val="002E7895"/>
    <w:rsid w:val="002E7996"/>
    <w:rsid w:val="002E79C4"/>
    <w:rsid w:val="002E7BEC"/>
    <w:rsid w:val="002E7C24"/>
    <w:rsid w:val="002E7CD6"/>
    <w:rsid w:val="002E7FBC"/>
    <w:rsid w:val="002F0423"/>
    <w:rsid w:val="002F045C"/>
    <w:rsid w:val="002F0543"/>
    <w:rsid w:val="002F0658"/>
    <w:rsid w:val="002F06CB"/>
    <w:rsid w:val="002F0717"/>
    <w:rsid w:val="002F0779"/>
    <w:rsid w:val="002F0786"/>
    <w:rsid w:val="002F0B15"/>
    <w:rsid w:val="002F0B57"/>
    <w:rsid w:val="002F0CC0"/>
    <w:rsid w:val="002F0D3E"/>
    <w:rsid w:val="002F0DE9"/>
    <w:rsid w:val="002F0E5C"/>
    <w:rsid w:val="002F0EC4"/>
    <w:rsid w:val="002F0F69"/>
    <w:rsid w:val="002F0F9A"/>
    <w:rsid w:val="002F10F5"/>
    <w:rsid w:val="002F115A"/>
    <w:rsid w:val="002F11C2"/>
    <w:rsid w:val="002F121C"/>
    <w:rsid w:val="002F1513"/>
    <w:rsid w:val="002F158F"/>
    <w:rsid w:val="002F15A8"/>
    <w:rsid w:val="002F18B0"/>
    <w:rsid w:val="002F18E0"/>
    <w:rsid w:val="002F1A5D"/>
    <w:rsid w:val="002F1AE2"/>
    <w:rsid w:val="002F1BAD"/>
    <w:rsid w:val="002F1C4B"/>
    <w:rsid w:val="002F1CB9"/>
    <w:rsid w:val="002F1CCC"/>
    <w:rsid w:val="002F1D09"/>
    <w:rsid w:val="002F1DA6"/>
    <w:rsid w:val="002F20EA"/>
    <w:rsid w:val="002F2287"/>
    <w:rsid w:val="002F236C"/>
    <w:rsid w:val="002F23B7"/>
    <w:rsid w:val="002F25A8"/>
    <w:rsid w:val="002F25D1"/>
    <w:rsid w:val="002F2607"/>
    <w:rsid w:val="002F26B7"/>
    <w:rsid w:val="002F28EA"/>
    <w:rsid w:val="002F2A1D"/>
    <w:rsid w:val="002F2A94"/>
    <w:rsid w:val="002F2DE3"/>
    <w:rsid w:val="002F2E45"/>
    <w:rsid w:val="002F2FE9"/>
    <w:rsid w:val="002F33BC"/>
    <w:rsid w:val="002F3472"/>
    <w:rsid w:val="002F34B0"/>
    <w:rsid w:val="002F35F6"/>
    <w:rsid w:val="002F3A5F"/>
    <w:rsid w:val="002F3F22"/>
    <w:rsid w:val="002F41AB"/>
    <w:rsid w:val="002F429D"/>
    <w:rsid w:val="002F44FD"/>
    <w:rsid w:val="002F4580"/>
    <w:rsid w:val="002F46DF"/>
    <w:rsid w:val="002F4710"/>
    <w:rsid w:val="002F485D"/>
    <w:rsid w:val="002F48A0"/>
    <w:rsid w:val="002F49A7"/>
    <w:rsid w:val="002F4E13"/>
    <w:rsid w:val="002F4F11"/>
    <w:rsid w:val="002F4FE3"/>
    <w:rsid w:val="002F50BA"/>
    <w:rsid w:val="002F51CB"/>
    <w:rsid w:val="002F5212"/>
    <w:rsid w:val="002F526D"/>
    <w:rsid w:val="002F52A8"/>
    <w:rsid w:val="002F52EE"/>
    <w:rsid w:val="002F5809"/>
    <w:rsid w:val="002F593A"/>
    <w:rsid w:val="002F59CD"/>
    <w:rsid w:val="002F5B12"/>
    <w:rsid w:val="002F5C16"/>
    <w:rsid w:val="002F5CA7"/>
    <w:rsid w:val="002F5D2B"/>
    <w:rsid w:val="002F5DBC"/>
    <w:rsid w:val="002F5DD0"/>
    <w:rsid w:val="002F5E8B"/>
    <w:rsid w:val="002F5F10"/>
    <w:rsid w:val="002F5FF3"/>
    <w:rsid w:val="002F613A"/>
    <w:rsid w:val="002F6173"/>
    <w:rsid w:val="002F617F"/>
    <w:rsid w:val="002F6361"/>
    <w:rsid w:val="002F63E1"/>
    <w:rsid w:val="002F651C"/>
    <w:rsid w:val="002F6698"/>
    <w:rsid w:val="002F674F"/>
    <w:rsid w:val="002F6755"/>
    <w:rsid w:val="002F6803"/>
    <w:rsid w:val="002F68AC"/>
    <w:rsid w:val="002F6C5E"/>
    <w:rsid w:val="002F6D47"/>
    <w:rsid w:val="002F6DDE"/>
    <w:rsid w:val="002F6E17"/>
    <w:rsid w:val="002F70A1"/>
    <w:rsid w:val="002F74A7"/>
    <w:rsid w:val="002F74C6"/>
    <w:rsid w:val="002F77DF"/>
    <w:rsid w:val="002F77E2"/>
    <w:rsid w:val="002F796C"/>
    <w:rsid w:val="002F7AE9"/>
    <w:rsid w:val="002F7CC2"/>
    <w:rsid w:val="002F7CFB"/>
    <w:rsid w:val="00300476"/>
    <w:rsid w:val="00300522"/>
    <w:rsid w:val="0030075D"/>
    <w:rsid w:val="0030086C"/>
    <w:rsid w:val="0030086D"/>
    <w:rsid w:val="0030094F"/>
    <w:rsid w:val="00300B32"/>
    <w:rsid w:val="00300B6A"/>
    <w:rsid w:val="00300CA6"/>
    <w:rsid w:val="00300CA7"/>
    <w:rsid w:val="00300DB4"/>
    <w:rsid w:val="00300E49"/>
    <w:rsid w:val="00300F07"/>
    <w:rsid w:val="0030111B"/>
    <w:rsid w:val="0030140B"/>
    <w:rsid w:val="0030156E"/>
    <w:rsid w:val="0030157C"/>
    <w:rsid w:val="00301581"/>
    <w:rsid w:val="0030186B"/>
    <w:rsid w:val="00301958"/>
    <w:rsid w:val="00301AF8"/>
    <w:rsid w:val="00301B0E"/>
    <w:rsid w:val="00301C0F"/>
    <w:rsid w:val="00301DB3"/>
    <w:rsid w:val="00301F9F"/>
    <w:rsid w:val="00302050"/>
    <w:rsid w:val="0030220A"/>
    <w:rsid w:val="00302288"/>
    <w:rsid w:val="0030237E"/>
    <w:rsid w:val="003023CB"/>
    <w:rsid w:val="003023F5"/>
    <w:rsid w:val="0030267D"/>
    <w:rsid w:val="003028C8"/>
    <w:rsid w:val="003028F9"/>
    <w:rsid w:val="003029F5"/>
    <w:rsid w:val="00302A72"/>
    <w:rsid w:val="00302B79"/>
    <w:rsid w:val="00302BC1"/>
    <w:rsid w:val="00302C2B"/>
    <w:rsid w:val="00302C47"/>
    <w:rsid w:val="00302DBF"/>
    <w:rsid w:val="0030306A"/>
    <w:rsid w:val="00303130"/>
    <w:rsid w:val="003032B6"/>
    <w:rsid w:val="003032BE"/>
    <w:rsid w:val="00303513"/>
    <w:rsid w:val="0030384B"/>
    <w:rsid w:val="00303880"/>
    <w:rsid w:val="003038F2"/>
    <w:rsid w:val="0030392F"/>
    <w:rsid w:val="00303AA8"/>
    <w:rsid w:val="00303B87"/>
    <w:rsid w:val="00303C99"/>
    <w:rsid w:val="00303CC9"/>
    <w:rsid w:val="00303CF5"/>
    <w:rsid w:val="00303EC1"/>
    <w:rsid w:val="00303FA2"/>
    <w:rsid w:val="00304002"/>
    <w:rsid w:val="00304129"/>
    <w:rsid w:val="0030434E"/>
    <w:rsid w:val="003043DA"/>
    <w:rsid w:val="003044C1"/>
    <w:rsid w:val="003044EB"/>
    <w:rsid w:val="003045A5"/>
    <w:rsid w:val="00304615"/>
    <w:rsid w:val="00304857"/>
    <w:rsid w:val="003048FD"/>
    <w:rsid w:val="00304AD3"/>
    <w:rsid w:val="00304E17"/>
    <w:rsid w:val="00305054"/>
    <w:rsid w:val="0030509D"/>
    <w:rsid w:val="00305558"/>
    <w:rsid w:val="003056A8"/>
    <w:rsid w:val="00305700"/>
    <w:rsid w:val="00305904"/>
    <w:rsid w:val="0030593F"/>
    <w:rsid w:val="00305993"/>
    <w:rsid w:val="00305BB9"/>
    <w:rsid w:val="00305C20"/>
    <w:rsid w:val="00305CD4"/>
    <w:rsid w:val="00305D02"/>
    <w:rsid w:val="00305DB1"/>
    <w:rsid w:val="00305E7A"/>
    <w:rsid w:val="00305F24"/>
    <w:rsid w:val="00305FBB"/>
    <w:rsid w:val="0030603C"/>
    <w:rsid w:val="0030642A"/>
    <w:rsid w:val="00306494"/>
    <w:rsid w:val="00306673"/>
    <w:rsid w:val="003069E2"/>
    <w:rsid w:val="00306F03"/>
    <w:rsid w:val="0030700A"/>
    <w:rsid w:val="00307013"/>
    <w:rsid w:val="00307179"/>
    <w:rsid w:val="00307254"/>
    <w:rsid w:val="003072E0"/>
    <w:rsid w:val="00307471"/>
    <w:rsid w:val="003074FF"/>
    <w:rsid w:val="00307643"/>
    <w:rsid w:val="00307686"/>
    <w:rsid w:val="00307764"/>
    <w:rsid w:val="00307933"/>
    <w:rsid w:val="003079CC"/>
    <w:rsid w:val="00307A04"/>
    <w:rsid w:val="00307B01"/>
    <w:rsid w:val="00307BFB"/>
    <w:rsid w:val="00307E05"/>
    <w:rsid w:val="00307E3C"/>
    <w:rsid w:val="00307E81"/>
    <w:rsid w:val="00307EA5"/>
    <w:rsid w:val="003101AB"/>
    <w:rsid w:val="0031031A"/>
    <w:rsid w:val="003105A2"/>
    <w:rsid w:val="00310797"/>
    <w:rsid w:val="003108FC"/>
    <w:rsid w:val="003109B3"/>
    <w:rsid w:val="00310AFC"/>
    <w:rsid w:val="00310BAF"/>
    <w:rsid w:val="00310C9E"/>
    <w:rsid w:val="0031134F"/>
    <w:rsid w:val="00311353"/>
    <w:rsid w:val="0031150B"/>
    <w:rsid w:val="00311536"/>
    <w:rsid w:val="00311581"/>
    <w:rsid w:val="0031173A"/>
    <w:rsid w:val="0031182F"/>
    <w:rsid w:val="0031189A"/>
    <w:rsid w:val="00311A6C"/>
    <w:rsid w:val="00311B17"/>
    <w:rsid w:val="00311B34"/>
    <w:rsid w:val="00311C34"/>
    <w:rsid w:val="00311F0F"/>
    <w:rsid w:val="00311F6E"/>
    <w:rsid w:val="00311FB3"/>
    <w:rsid w:val="003122F4"/>
    <w:rsid w:val="003123DF"/>
    <w:rsid w:val="0031276E"/>
    <w:rsid w:val="003127B4"/>
    <w:rsid w:val="003127BD"/>
    <w:rsid w:val="00312860"/>
    <w:rsid w:val="00312889"/>
    <w:rsid w:val="003128DD"/>
    <w:rsid w:val="00312E23"/>
    <w:rsid w:val="00312F0C"/>
    <w:rsid w:val="00312FD8"/>
    <w:rsid w:val="00313106"/>
    <w:rsid w:val="003132A0"/>
    <w:rsid w:val="00313451"/>
    <w:rsid w:val="00313587"/>
    <w:rsid w:val="003135B8"/>
    <w:rsid w:val="00313677"/>
    <w:rsid w:val="00313686"/>
    <w:rsid w:val="003137D5"/>
    <w:rsid w:val="00313ADE"/>
    <w:rsid w:val="00313C16"/>
    <w:rsid w:val="00313CB7"/>
    <w:rsid w:val="00313D74"/>
    <w:rsid w:val="00313ECB"/>
    <w:rsid w:val="00313FDC"/>
    <w:rsid w:val="0031424D"/>
    <w:rsid w:val="00314596"/>
    <w:rsid w:val="00314679"/>
    <w:rsid w:val="00314697"/>
    <w:rsid w:val="003146E6"/>
    <w:rsid w:val="0031470E"/>
    <w:rsid w:val="00314748"/>
    <w:rsid w:val="00314789"/>
    <w:rsid w:val="00314A89"/>
    <w:rsid w:val="00314B17"/>
    <w:rsid w:val="00314B1D"/>
    <w:rsid w:val="00314B73"/>
    <w:rsid w:val="00314DD3"/>
    <w:rsid w:val="00314FA3"/>
    <w:rsid w:val="0031526E"/>
    <w:rsid w:val="00315300"/>
    <w:rsid w:val="003156BD"/>
    <w:rsid w:val="003158B2"/>
    <w:rsid w:val="00315A68"/>
    <w:rsid w:val="00315A8B"/>
    <w:rsid w:val="00315A94"/>
    <w:rsid w:val="00315B19"/>
    <w:rsid w:val="00315B7C"/>
    <w:rsid w:val="00315BF2"/>
    <w:rsid w:val="00315C13"/>
    <w:rsid w:val="00315D98"/>
    <w:rsid w:val="00315DE7"/>
    <w:rsid w:val="00315E91"/>
    <w:rsid w:val="00315F08"/>
    <w:rsid w:val="00316079"/>
    <w:rsid w:val="0031610B"/>
    <w:rsid w:val="0031633B"/>
    <w:rsid w:val="003163D6"/>
    <w:rsid w:val="00316621"/>
    <w:rsid w:val="003166A1"/>
    <w:rsid w:val="003166C3"/>
    <w:rsid w:val="00316AB4"/>
    <w:rsid w:val="00316E96"/>
    <w:rsid w:val="00316EE0"/>
    <w:rsid w:val="00316F2E"/>
    <w:rsid w:val="00316F4E"/>
    <w:rsid w:val="0031700A"/>
    <w:rsid w:val="00317028"/>
    <w:rsid w:val="00317039"/>
    <w:rsid w:val="003174FA"/>
    <w:rsid w:val="00317674"/>
    <w:rsid w:val="00317C68"/>
    <w:rsid w:val="00317D32"/>
    <w:rsid w:val="00317E25"/>
    <w:rsid w:val="00317FF1"/>
    <w:rsid w:val="00320471"/>
    <w:rsid w:val="00320618"/>
    <w:rsid w:val="0032068D"/>
    <w:rsid w:val="003208A6"/>
    <w:rsid w:val="003209C0"/>
    <w:rsid w:val="00320AEB"/>
    <w:rsid w:val="00320BFC"/>
    <w:rsid w:val="00320C44"/>
    <w:rsid w:val="00320D73"/>
    <w:rsid w:val="00320DBF"/>
    <w:rsid w:val="00320EE2"/>
    <w:rsid w:val="00320F64"/>
    <w:rsid w:val="00320FEC"/>
    <w:rsid w:val="00321028"/>
    <w:rsid w:val="0032112D"/>
    <w:rsid w:val="00321193"/>
    <w:rsid w:val="003211B7"/>
    <w:rsid w:val="00321249"/>
    <w:rsid w:val="0032136C"/>
    <w:rsid w:val="003213D5"/>
    <w:rsid w:val="00321483"/>
    <w:rsid w:val="00321545"/>
    <w:rsid w:val="00321597"/>
    <w:rsid w:val="00321600"/>
    <w:rsid w:val="00321623"/>
    <w:rsid w:val="0032164D"/>
    <w:rsid w:val="00321723"/>
    <w:rsid w:val="00321946"/>
    <w:rsid w:val="00321C29"/>
    <w:rsid w:val="00321CFC"/>
    <w:rsid w:val="0032208D"/>
    <w:rsid w:val="00322121"/>
    <w:rsid w:val="0032223B"/>
    <w:rsid w:val="00322263"/>
    <w:rsid w:val="0032242D"/>
    <w:rsid w:val="003224C1"/>
    <w:rsid w:val="00322574"/>
    <w:rsid w:val="00322685"/>
    <w:rsid w:val="00322DE1"/>
    <w:rsid w:val="00322E93"/>
    <w:rsid w:val="00322EA8"/>
    <w:rsid w:val="00322EE6"/>
    <w:rsid w:val="00322FF7"/>
    <w:rsid w:val="003230FD"/>
    <w:rsid w:val="00323144"/>
    <w:rsid w:val="0032316A"/>
    <w:rsid w:val="00323184"/>
    <w:rsid w:val="0032327E"/>
    <w:rsid w:val="003232CF"/>
    <w:rsid w:val="00323396"/>
    <w:rsid w:val="003233D7"/>
    <w:rsid w:val="0032346E"/>
    <w:rsid w:val="00323529"/>
    <w:rsid w:val="003235A7"/>
    <w:rsid w:val="0032364F"/>
    <w:rsid w:val="00323848"/>
    <w:rsid w:val="003239F5"/>
    <w:rsid w:val="00323AED"/>
    <w:rsid w:val="00323D78"/>
    <w:rsid w:val="00323DD9"/>
    <w:rsid w:val="00323DF5"/>
    <w:rsid w:val="00323E8C"/>
    <w:rsid w:val="00323F6E"/>
    <w:rsid w:val="0032401F"/>
    <w:rsid w:val="0032416C"/>
    <w:rsid w:val="003241DC"/>
    <w:rsid w:val="003241F9"/>
    <w:rsid w:val="0032425A"/>
    <w:rsid w:val="003243F5"/>
    <w:rsid w:val="003246B9"/>
    <w:rsid w:val="003247F8"/>
    <w:rsid w:val="003248B1"/>
    <w:rsid w:val="003248B6"/>
    <w:rsid w:val="00324971"/>
    <w:rsid w:val="00324991"/>
    <w:rsid w:val="00324DF5"/>
    <w:rsid w:val="00324EC0"/>
    <w:rsid w:val="003250BF"/>
    <w:rsid w:val="003250E2"/>
    <w:rsid w:val="0032517F"/>
    <w:rsid w:val="003253A3"/>
    <w:rsid w:val="00325511"/>
    <w:rsid w:val="003256B0"/>
    <w:rsid w:val="00325756"/>
    <w:rsid w:val="00325771"/>
    <w:rsid w:val="00325968"/>
    <w:rsid w:val="003259BA"/>
    <w:rsid w:val="00325C81"/>
    <w:rsid w:val="00325CCC"/>
    <w:rsid w:val="00325D25"/>
    <w:rsid w:val="0032604D"/>
    <w:rsid w:val="0032636D"/>
    <w:rsid w:val="00326375"/>
    <w:rsid w:val="0032638A"/>
    <w:rsid w:val="003263A6"/>
    <w:rsid w:val="003263C9"/>
    <w:rsid w:val="00326674"/>
    <w:rsid w:val="0032689F"/>
    <w:rsid w:val="003268D5"/>
    <w:rsid w:val="00326967"/>
    <w:rsid w:val="00326AC2"/>
    <w:rsid w:val="00326BFA"/>
    <w:rsid w:val="00326C50"/>
    <w:rsid w:val="00326D29"/>
    <w:rsid w:val="00326D7D"/>
    <w:rsid w:val="00326DC6"/>
    <w:rsid w:val="0032701C"/>
    <w:rsid w:val="003270BB"/>
    <w:rsid w:val="00327148"/>
    <w:rsid w:val="0032722C"/>
    <w:rsid w:val="00327241"/>
    <w:rsid w:val="0032735E"/>
    <w:rsid w:val="00327437"/>
    <w:rsid w:val="00327604"/>
    <w:rsid w:val="00327900"/>
    <w:rsid w:val="00327B89"/>
    <w:rsid w:val="00327CB3"/>
    <w:rsid w:val="00327D66"/>
    <w:rsid w:val="00327F60"/>
    <w:rsid w:val="00327FC3"/>
    <w:rsid w:val="00330118"/>
    <w:rsid w:val="00330151"/>
    <w:rsid w:val="0033028B"/>
    <w:rsid w:val="003302B5"/>
    <w:rsid w:val="0033040C"/>
    <w:rsid w:val="0033044B"/>
    <w:rsid w:val="00330519"/>
    <w:rsid w:val="0033052A"/>
    <w:rsid w:val="003305A2"/>
    <w:rsid w:val="003306D6"/>
    <w:rsid w:val="00330789"/>
    <w:rsid w:val="003307F2"/>
    <w:rsid w:val="0033090E"/>
    <w:rsid w:val="00330A85"/>
    <w:rsid w:val="00330B13"/>
    <w:rsid w:val="00330CD6"/>
    <w:rsid w:val="00330D1C"/>
    <w:rsid w:val="00330E69"/>
    <w:rsid w:val="00330E79"/>
    <w:rsid w:val="00330E8C"/>
    <w:rsid w:val="00330F4B"/>
    <w:rsid w:val="00330F99"/>
    <w:rsid w:val="00331180"/>
    <w:rsid w:val="003313E5"/>
    <w:rsid w:val="0033140E"/>
    <w:rsid w:val="00331487"/>
    <w:rsid w:val="00331613"/>
    <w:rsid w:val="00331778"/>
    <w:rsid w:val="00331874"/>
    <w:rsid w:val="0033187E"/>
    <w:rsid w:val="003319B0"/>
    <w:rsid w:val="00331A2E"/>
    <w:rsid w:val="00331A2F"/>
    <w:rsid w:val="00331E23"/>
    <w:rsid w:val="00331ECE"/>
    <w:rsid w:val="00331F06"/>
    <w:rsid w:val="00331F3C"/>
    <w:rsid w:val="00331F72"/>
    <w:rsid w:val="0033201F"/>
    <w:rsid w:val="0033208A"/>
    <w:rsid w:val="003320A1"/>
    <w:rsid w:val="003320B8"/>
    <w:rsid w:val="00332186"/>
    <w:rsid w:val="0033238A"/>
    <w:rsid w:val="003323C2"/>
    <w:rsid w:val="0033248F"/>
    <w:rsid w:val="003324F9"/>
    <w:rsid w:val="00332620"/>
    <w:rsid w:val="0033267B"/>
    <w:rsid w:val="00332997"/>
    <w:rsid w:val="003329B6"/>
    <w:rsid w:val="00332A6B"/>
    <w:rsid w:val="00332A8C"/>
    <w:rsid w:val="00332A8E"/>
    <w:rsid w:val="00332AC5"/>
    <w:rsid w:val="00332C00"/>
    <w:rsid w:val="00332E58"/>
    <w:rsid w:val="00332ED3"/>
    <w:rsid w:val="0033302E"/>
    <w:rsid w:val="0033308F"/>
    <w:rsid w:val="00333178"/>
    <w:rsid w:val="00333643"/>
    <w:rsid w:val="00333674"/>
    <w:rsid w:val="00333862"/>
    <w:rsid w:val="00333A8B"/>
    <w:rsid w:val="00333E91"/>
    <w:rsid w:val="00334093"/>
    <w:rsid w:val="0033409C"/>
    <w:rsid w:val="0033421B"/>
    <w:rsid w:val="0033430C"/>
    <w:rsid w:val="00334360"/>
    <w:rsid w:val="003343CB"/>
    <w:rsid w:val="0033440C"/>
    <w:rsid w:val="00334475"/>
    <w:rsid w:val="0033450C"/>
    <w:rsid w:val="00334582"/>
    <w:rsid w:val="00334631"/>
    <w:rsid w:val="00334662"/>
    <w:rsid w:val="00334946"/>
    <w:rsid w:val="003349B2"/>
    <w:rsid w:val="003349CB"/>
    <w:rsid w:val="00334A14"/>
    <w:rsid w:val="00334A6F"/>
    <w:rsid w:val="00334C67"/>
    <w:rsid w:val="00334DB9"/>
    <w:rsid w:val="00334E6F"/>
    <w:rsid w:val="00335074"/>
    <w:rsid w:val="00335080"/>
    <w:rsid w:val="003351B0"/>
    <w:rsid w:val="00335329"/>
    <w:rsid w:val="00335374"/>
    <w:rsid w:val="003354BC"/>
    <w:rsid w:val="003354E2"/>
    <w:rsid w:val="00335566"/>
    <w:rsid w:val="0033563E"/>
    <w:rsid w:val="00335672"/>
    <w:rsid w:val="00335725"/>
    <w:rsid w:val="0033591F"/>
    <w:rsid w:val="0033593E"/>
    <w:rsid w:val="00335B99"/>
    <w:rsid w:val="00335CFC"/>
    <w:rsid w:val="00335EFB"/>
    <w:rsid w:val="0033601F"/>
    <w:rsid w:val="003361C5"/>
    <w:rsid w:val="003361DA"/>
    <w:rsid w:val="0033623D"/>
    <w:rsid w:val="00336242"/>
    <w:rsid w:val="0033659C"/>
    <w:rsid w:val="00336725"/>
    <w:rsid w:val="00336A81"/>
    <w:rsid w:val="00336AF3"/>
    <w:rsid w:val="00336E76"/>
    <w:rsid w:val="00337390"/>
    <w:rsid w:val="003374BC"/>
    <w:rsid w:val="003376F3"/>
    <w:rsid w:val="00337710"/>
    <w:rsid w:val="0033771F"/>
    <w:rsid w:val="0033774B"/>
    <w:rsid w:val="003378A3"/>
    <w:rsid w:val="003378A4"/>
    <w:rsid w:val="0033794B"/>
    <w:rsid w:val="00337A9D"/>
    <w:rsid w:val="00337C2D"/>
    <w:rsid w:val="00337DB7"/>
    <w:rsid w:val="0034002E"/>
    <w:rsid w:val="003402D4"/>
    <w:rsid w:val="003402E9"/>
    <w:rsid w:val="003403CA"/>
    <w:rsid w:val="003404A3"/>
    <w:rsid w:val="00340547"/>
    <w:rsid w:val="003405D1"/>
    <w:rsid w:val="003408E6"/>
    <w:rsid w:val="00340A4B"/>
    <w:rsid w:val="00340B7E"/>
    <w:rsid w:val="00340BFA"/>
    <w:rsid w:val="00340C32"/>
    <w:rsid w:val="00340E47"/>
    <w:rsid w:val="00340E71"/>
    <w:rsid w:val="00340FE7"/>
    <w:rsid w:val="003412AF"/>
    <w:rsid w:val="003413B5"/>
    <w:rsid w:val="00341425"/>
    <w:rsid w:val="00341494"/>
    <w:rsid w:val="003418A4"/>
    <w:rsid w:val="00341902"/>
    <w:rsid w:val="00341912"/>
    <w:rsid w:val="00341999"/>
    <w:rsid w:val="003419AA"/>
    <w:rsid w:val="003419C6"/>
    <w:rsid w:val="00341AC9"/>
    <w:rsid w:val="00341B2D"/>
    <w:rsid w:val="00341BF1"/>
    <w:rsid w:val="00341E18"/>
    <w:rsid w:val="00341FCC"/>
    <w:rsid w:val="0034217E"/>
    <w:rsid w:val="0034256B"/>
    <w:rsid w:val="003425CD"/>
    <w:rsid w:val="003426CD"/>
    <w:rsid w:val="003427A3"/>
    <w:rsid w:val="003430EB"/>
    <w:rsid w:val="00343106"/>
    <w:rsid w:val="00343175"/>
    <w:rsid w:val="00343274"/>
    <w:rsid w:val="0034331F"/>
    <w:rsid w:val="003433CB"/>
    <w:rsid w:val="003433E4"/>
    <w:rsid w:val="00343416"/>
    <w:rsid w:val="00343453"/>
    <w:rsid w:val="00343528"/>
    <w:rsid w:val="00343668"/>
    <w:rsid w:val="003436CB"/>
    <w:rsid w:val="0034383A"/>
    <w:rsid w:val="00343A89"/>
    <w:rsid w:val="00343C0D"/>
    <w:rsid w:val="00343C2F"/>
    <w:rsid w:val="00343D97"/>
    <w:rsid w:val="00343DC3"/>
    <w:rsid w:val="00343E66"/>
    <w:rsid w:val="00343E9B"/>
    <w:rsid w:val="00344037"/>
    <w:rsid w:val="003443AE"/>
    <w:rsid w:val="00344446"/>
    <w:rsid w:val="003444D3"/>
    <w:rsid w:val="00344594"/>
    <w:rsid w:val="00344747"/>
    <w:rsid w:val="00344758"/>
    <w:rsid w:val="00344779"/>
    <w:rsid w:val="003448B5"/>
    <w:rsid w:val="00344B14"/>
    <w:rsid w:val="00344BAD"/>
    <w:rsid w:val="00344D69"/>
    <w:rsid w:val="00344FEC"/>
    <w:rsid w:val="0034513B"/>
    <w:rsid w:val="003451F9"/>
    <w:rsid w:val="0034537A"/>
    <w:rsid w:val="0034548B"/>
    <w:rsid w:val="0034548F"/>
    <w:rsid w:val="003456D2"/>
    <w:rsid w:val="0034586B"/>
    <w:rsid w:val="003458D9"/>
    <w:rsid w:val="00345978"/>
    <w:rsid w:val="00345A10"/>
    <w:rsid w:val="00345B46"/>
    <w:rsid w:val="00345C14"/>
    <w:rsid w:val="00345D30"/>
    <w:rsid w:val="00345E4E"/>
    <w:rsid w:val="00345ECC"/>
    <w:rsid w:val="00346041"/>
    <w:rsid w:val="0034609B"/>
    <w:rsid w:val="00346142"/>
    <w:rsid w:val="00346165"/>
    <w:rsid w:val="003463DE"/>
    <w:rsid w:val="00346438"/>
    <w:rsid w:val="00346714"/>
    <w:rsid w:val="0034676B"/>
    <w:rsid w:val="003467CD"/>
    <w:rsid w:val="003468A2"/>
    <w:rsid w:val="003468B5"/>
    <w:rsid w:val="003469D0"/>
    <w:rsid w:val="003469F6"/>
    <w:rsid w:val="00346A5A"/>
    <w:rsid w:val="00346A7F"/>
    <w:rsid w:val="00346C5C"/>
    <w:rsid w:val="00346CF0"/>
    <w:rsid w:val="00346D62"/>
    <w:rsid w:val="00346E4D"/>
    <w:rsid w:val="00346E84"/>
    <w:rsid w:val="00347014"/>
    <w:rsid w:val="0034702B"/>
    <w:rsid w:val="00347248"/>
    <w:rsid w:val="00347301"/>
    <w:rsid w:val="00347499"/>
    <w:rsid w:val="003475AF"/>
    <w:rsid w:val="003475DA"/>
    <w:rsid w:val="003475F9"/>
    <w:rsid w:val="003477BD"/>
    <w:rsid w:val="00347873"/>
    <w:rsid w:val="00347B30"/>
    <w:rsid w:val="00347B46"/>
    <w:rsid w:val="00347BA2"/>
    <w:rsid w:val="00347C3A"/>
    <w:rsid w:val="00347F37"/>
    <w:rsid w:val="00347F7C"/>
    <w:rsid w:val="0035002E"/>
    <w:rsid w:val="00350046"/>
    <w:rsid w:val="00350278"/>
    <w:rsid w:val="003503D0"/>
    <w:rsid w:val="00350521"/>
    <w:rsid w:val="00350668"/>
    <w:rsid w:val="00350735"/>
    <w:rsid w:val="003507FF"/>
    <w:rsid w:val="00350C16"/>
    <w:rsid w:val="00350C8C"/>
    <w:rsid w:val="00350E9E"/>
    <w:rsid w:val="00350EAD"/>
    <w:rsid w:val="0035155A"/>
    <w:rsid w:val="00351665"/>
    <w:rsid w:val="00351768"/>
    <w:rsid w:val="003517E2"/>
    <w:rsid w:val="00351803"/>
    <w:rsid w:val="00351851"/>
    <w:rsid w:val="0035185C"/>
    <w:rsid w:val="00351A51"/>
    <w:rsid w:val="00351B1C"/>
    <w:rsid w:val="00351C4A"/>
    <w:rsid w:val="00351E3A"/>
    <w:rsid w:val="00351E87"/>
    <w:rsid w:val="00351EB1"/>
    <w:rsid w:val="00351F5A"/>
    <w:rsid w:val="00351F8D"/>
    <w:rsid w:val="0035204D"/>
    <w:rsid w:val="00352170"/>
    <w:rsid w:val="00352176"/>
    <w:rsid w:val="003521AE"/>
    <w:rsid w:val="00352318"/>
    <w:rsid w:val="00352397"/>
    <w:rsid w:val="0035239A"/>
    <w:rsid w:val="003523B5"/>
    <w:rsid w:val="00352465"/>
    <w:rsid w:val="003524A0"/>
    <w:rsid w:val="003525A8"/>
    <w:rsid w:val="00352880"/>
    <w:rsid w:val="0035295A"/>
    <w:rsid w:val="00352A23"/>
    <w:rsid w:val="00352B86"/>
    <w:rsid w:val="00352C82"/>
    <w:rsid w:val="00352C9B"/>
    <w:rsid w:val="00352D44"/>
    <w:rsid w:val="003534B9"/>
    <w:rsid w:val="00353816"/>
    <w:rsid w:val="00353974"/>
    <w:rsid w:val="00353B1F"/>
    <w:rsid w:val="00353B7F"/>
    <w:rsid w:val="00353C53"/>
    <w:rsid w:val="00353CEF"/>
    <w:rsid w:val="00353D79"/>
    <w:rsid w:val="00353F81"/>
    <w:rsid w:val="00353FE6"/>
    <w:rsid w:val="00354050"/>
    <w:rsid w:val="003540B0"/>
    <w:rsid w:val="00354132"/>
    <w:rsid w:val="0035413A"/>
    <w:rsid w:val="0035413D"/>
    <w:rsid w:val="00354222"/>
    <w:rsid w:val="003542F4"/>
    <w:rsid w:val="003543B3"/>
    <w:rsid w:val="0035452C"/>
    <w:rsid w:val="0035472F"/>
    <w:rsid w:val="003547A4"/>
    <w:rsid w:val="003547AC"/>
    <w:rsid w:val="003548FE"/>
    <w:rsid w:val="0035493B"/>
    <w:rsid w:val="00354A13"/>
    <w:rsid w:val="00354B6F"/>
    <w:rsid w:val="00354B89"/>
    <w:rsid w:val="00354BF5"/>
    <w:rsid w:val="00354D18"/>
    <w:rsid w:val="00354D27"/>
    <w:rsid w:val="00354F0D"/>
    <w:rsid w:val="00354F87"/>
    <w:rsid w:val="00354FBB"/>
    <w:rsid w:val="00355046"/>
    <w:rsid w:val="00355068"/>
    <w:rsid w:val="0035516C"/>
    <w:rsid w:val="00355264"/>
    <w:rsid w:val="0035529F"/>
    <w:rsid w:val="00355300"/>
    <w:rsid w:val="003554B9"/>
    <w:rsid w:val="00355515"/>
    <w:rsid w:val="0035569A"/>
    <w:rsid w:val="003556EE"/>
    <w:rsid w:val="003557D0"/>
    <w:rsid w:val="003558C3"/>
    <w:rsid w:val="00355994"/>
    <w:rsid w:val="003559D7"/>
    <w:rsid w:val="00355B25"/>
    <w:rsid w:val="00355BE9"/>
    <w:rsid w:val="00355C98"/>
    <w:rsid w:val="00355CE5"/>
    <w:rsid w:val="00355CF5"/>
    <w:rsid w:val="00355E1C"/>
    <w:rsid w:val="00355ED3"/>
    <w:rsid w:val="00355F35"/>
    <w:rsid w:val="003560B2"/>
    <w:rsid w:val="00356190"/>
    <w:rsid w:val="00356373"/>
    <w:rsid w:val="0035653F"/>
    <w:rsid w:val="00356618"/>
    <w:rsid w:val="003569F1"/>
    <w:rsid w:val="00356C00"/>
    <w:rsid w:val="00356C92"/>
    <w:rsid w:val="00356CF0"/>
    <w:rsid w:val="00356DDF"/>
    <w:rsid w:val="00356E21"/>
    <w:rsid w:val="00356F6A"/>
    <w:rsid w:val="00356F82"/>
    <w:rsid w:val="00356FA9"/>
    <w:rsid w:val="003570E8"/>
    <w:rsid w:val="003572E8"/>
    <w:rsid w:val="00357321"/>
    <w:rsid w:val="003574B7"/>
    <w:rsid w:val="003574F7"/>
    <w:rsid w:val="00357955"/>
    <w:rsid w:val="00357A09"/>
    <w:rsid w:val="00357CD1"/>
    <w:rsid w:val="00357EE8"/>
    <w:rsid w:val="00357F2D"/>
    <w:rsid w:val="00357FBC"/>
    <w:rsid w:val="00357FE6"/>
    <w:rsid w:val="0036029F"/>
    <w:rsid w:val="00360510"/>
    <w:rsid w:val="00360530"/>
    <w:rsid w:val="0036056C"/>
    <w:rsid w:val="0036062F"/>
    <w:rsid w:val="00360713"/>
    <w:rsid w:val="0036077C"/>
    <w:rsid w:val="00360816"/>
    <w:rsid w:val="00360893"/>
    <w:rsid w:val="00360949"/>
    <w:rsid w:val="00360A0D"/>
    <w:rsid w:val="00360ADF"/>
    <w:rsid w:val="00360C77"/>
    <w:rsid w:val="00360E58"/>
    <w:rsid w:val="00360FA0"/>
    <w:rsid w:val="00360FE5"/>
    <w:rsid w:val="0036103F"/>
    <w:rsid w:val="00361148"/>
    <w:rsid w:val="00361167"/>
    <w:rsid w:val="00361221"/>
    <w:rsid w:val="00361223"/>
    <w:rsid w:val="003614A3"/>
    <w:rsid w:val="003615C0"/>
    <w:rsid w:val="00361638"/>
    <w:rsid w:val="00361664"/>
    <w:rsid w:val="00361751"/>
    <w:rsid w:val="003618BD"/>
    <w:rsid w:val="003619C1"/>
    <w:rsid w:val="00361A0E"/>
    <w:rsid w:val="00361AC5"/>
    <w:rsid w:val="00361BA3"/>
    <w:rsid w:val="00361BAB"/>
    <w:rsid w:val="00361FBC"/>
    <w:rsid w:val="00362120"/>
    <w:rsid w:val="00362312"/>
    <w:rsid w:val="00362547"/>
    <w:rsid w:val="0036269E"/>
    <w:rsid w:val="0036298F"/>
    <w:rsid w:val="00362C71"/>
    <w:rsid w:val="00362DD8"/>
    <w:rsid w:val="003631D0"/>
    <w:rsid w:val="003633D0"/>
    <w:rsid w:val="003633F8"/>
    <w:rsid w:val="00363415"/>
    <w:rsid w:val="00363440"/>
    <w:rsid w:val="003634EE"/>
    <w:rsid w:val="003635A2"/>
    <w:rsid w:val="00363702"/>
    <w:rsid w:val="0036376C"/>
    <w:rsid w:val="003638F3"/>
    <w:rsid w:val="00363947"/>
    <w:rsid w:val="0036396E"/>
    <w:rsid w:val="003639E8"/>
    <w:rsid w:val="00363F68"/>
    <w:rsid w:val="00363FF7"/>
    <w:rsid w:val="00364120"/>
    <w:rsid w:val="00364153"/>
    <w:rsid w:val="00364235"/>
    <w:rsid w:val="00364334"/>
    <w:rsid w:val="0036443B"/>
    <w:rsid w:val="003644E5"/>
    <w:rsid w:val="0036453A"/>
    <w:rsid w:val="0036457B"/>
    <w:rsid w:val="00364655"/>
    <w:rsid w:val="00364684"/>
    <w:rsid w:val="003646D7"/>
    <w:rsid w:val="00364756"/>
    <w:rsid w:val="00364E42"/>
    <w:rsid w:val="00364EF1"/>
    <w:rsid w:val="00364FAA"/>
    <w:rsid w:val="003650FD"/>
    <w:rsid w:val="00365120"/>
    <w:rsid w:val="003651EE"/>
    <w:rsid w:val="0036524E"/>
    <w:rsid w:val="003656AE"/>
    <w:rsid w:val="003656C8"/>
    <w:rsid w:val="003656D3"/>
    <w:rsid w:val="0036572A"/>
    <w:rsid w:val="00365986"/>
    <w:rsid w:val="00365A40"/>
    <w:rsid w:val="00365AE6"/>
    <w:rsid w:val="00365B8F"/>
    <w:rsid w:val="00365D18"/>
    <w:rsid w:val="00365DB0"/>
    <w:rsid w:val="00365E83"/>
    <w:rsid w:val="00365F55"/>
    <w:rsid w:val="00365F7A"/>
    <w:rsid w:val="00365FE4"/>
    <w:rsid w:val="003660AF"/>
    <w:rsid w:val="003663C6"/>
    <w:rsid w:val="0036652C"/>
    <w:rsid w:val="00366674"/>
    <w:rsid w:val="00366739"/>
    <w:rsid w:val="0036679C"/>
    <w:rsid w:val="003667B8"/>
    <w:rsid w:val="003667C3"/>
    <w:rsid w:val="00366A4D"/>
    <w:rsid w:val="00366BA0"/>
    <w:rsid w:val="00366BC2"/>
    <w:rsid w:val="00366C08"/>
    <w:rsid w:val="00366CE4"/>
    <w:rsid w:val="0036711D"/>
    <w:rsid w:val="00367144"/>
    <w:rsid w:val="00367275"/>
    <w:rsid w:val="003672C6"/>
    <w:rsid w:val="00367600"/>
    <w:rsid w:val="0036761B"/>
    <w:rsid w:val="00367975"/>
    <w:rsid w:val="00367ACB"/>
    <w:rsid w:val="00367B79"/>
    <w:rsid w:val="00367CC2"/>
    <w:rsid w:val="00367E5D"/>
    <w:rsid w:val="00367F27"/>
    <w:rsid w:val="003700DA"/>
    <w:rsid w:val="0037025A"/>
    <w:rsid w:val="00370297"/>
    <w:rsid w:val="003703DF"/>
    <w:rsid w:val="00370491"/>
    <w:rsid w:val="003704D8"/>
    <w:rsid w:val="00370597"/>
    <w:rsid w:val="003706AE"/>
    <w:rsid w:val="003706C6"/>
    <w:rsid w:val="003706DA"/>
    <w:rsid w:val="0037078D"/>
    <w:rsid w:val="00370814"/>
    <w:rsid w:val="00370829"/>
    <w:rsid w:val="00370928"/>
    <w:rsid w:val="00370A42"/>
    <w:rsid w:val="00370D20"/>
    <w:rsid w:val="00370D33"/>
    <w:rsid w:val="00370DE0"/>
    <w:rsid w:val="00370EA1"/>
    <w:rsid w:val="00370F43"/>
    <w:rsid w:val="00370F5B"/>
    <w:rsid w:val="003710F1"/>
    <w:rsid w:val="00371630"/>
    <w:rsid w:val="00371673"/>
    <w:rsid w:val="00371760"/>
    <w:rsid w:val="0037195A"/>
    <w:rsid w:val="00371A7F"/>
    <w:rsid w:val="00371B14"/>
    <w:rsid w:val="00371B6D"/>
    <w:rsid w:val="00371B82"/>
    <w:rsid w:val="00371B91"/>
    <w:rsid w:val="00371C85"/>
    <w:rsid w:val="00371CDE"/>
    <w:rsid w:val="00371CE2"/>
    <w:rsid w:val="00371F5E"/>
    <w:rsid w:val="00372220"/>
    <w:rsid w:val="0037231E"/>
    <w:rsid w:val="00372342"/>
    <w:rsid w:val="00372485"/>
    <w:rsid w:val="00372509"/>
    <w:rsid w:val="0037259B"/>
    <w:rsid w:val="003725DF"/>
    <w:rsid w:val="0037285B"/>
    <w:rsid w:val="003728A9"/>
    <w:rsid w:val="0037292A"/>
    <w:rsid w:val="003729F7"/>
    <w:rsid w:val="00372B54"/>
    <w:rsid w:val="00372BF1"/>
    <w:rsid w:val="00372C17"/>
    <w:rsid w:val="00372F72"/>
    <w:rsid w:val="003730C5"/>
    <w:rsid w:val="0037312D"/>
    <w:rsid w:val="003732CC"/>
    <w:rsid w:val="003733BC"/>
    <w:rsid w:val="00373403"/>
    <w:rsid w:val="0037346C"/>
    <w:rsid w:val="003734F6"/>
    <w:rsid w:val="00373687"/>
    <w:rsid w:val="0037368C"/>
    <w:rsid w:val="0037387E"/>
    <w:rsid w:val="00373895"/>
    <w:rsid w:val="0037395F"/>
    <w:rsid w:val="00373971"/>
    <w:rsid w:val="003739DA"/>
    <w:rsid w:val="00373D39"/>
    <w:rsid w:val="00373E73"/>
    <w:rsid w:val="00373FF4"/>
    <w:rsid w:val="00374030"/>
    <w:rsid w:val="00374279"/>
    <w:rsid w:val="003742E3"/>
    <w:rsid w:val="0037431E"/>
    <w:rsid w:val="00374369"/>
    <w:rsid w:val="00374379"/>
    <w:rsid w:val="003743C1"/>
    <w:rsid w:val="00374563"/>
    <w:rsid w:val="00374644"/>
    <w:rsid w:val="003746C7"/>
    <w:rsid w:val="00374718"/>
    <w:rsid w:val="00374770"/>
    <w:rsid w:val="003748D2"/>
    <w:rsid w:val="00374904"/>
    <w:rsid w:val="0037495F"/>
    <w:rsid w:val="003749C6"/>
    <w:rsid w:val="00374A25"/>
    <w:rsid w:val="00374AFB"/>
    <w:rsid w:val="00374B45"/>
    <w:rsid w:val="00374BA6"/>
    <w:rsid w:val="00374BCD"/>
    <w:rsid w:val="00374DBB"/>
    <w:rsid w:val="00374E4A"/>
    <w:rsid w:val="00374EE1"/>
    <w:rsid w:val="00374F8D"/>
    <w:rsid w:val="00375262"/>
    <w:rsid w:val="00375326"/>
    <w:rsid w:val="0037538F"/>
    <w:rsid w:val="003753CF"/>
    <w:rsid w:val="00375636"/>
    <w:rsid w:val="003756A2"/>
    <w:rsid w:val="003757CA"/>
    <w:rsid w:val="003758B4"/>
    <w:rsid w:val="003758BA"/>
    <w:rsid w:val="0037596B"/>
    <w:rsid w:val="00375992"/>
    <w:rsid w:val="00375BD1"/>
    <w:rsid w:val="00375CD7"/>
    <w:rsid w:val="00375D3C"/>
    <w:rsid w:val="00375D8C"/>
    <w:rsid w:val="00375E01"/>
    <w:rsid w:val="00375E16"/>
    <w:rsid w:val="00375FB3"/>
    <w:rsid w:val="0037604C"/>
    <w:rsid w:val="0037615B"/>
    <w:rsid w:val="003763A5"/>
    <w:rsid w:val="00376408"/>
    <w:rsid w:val="00376452"/>
    <w:rsid w:val="00376472"/>
    <w:rsid w:val="003764A0"/>
    <w:rsid w:val="0037669C"/>
    <w:rsid w:val="00376709"/>
    <w:rsid w:val="003767F1"/>
    <w:rsid w:val="003769EA"/>
    <w:rsid w:val="00376B5F"/>
    <w:rsid w:val="00376C04"/>
    <w:rsid w:val="00376D8F"/>
    <w:rsid w:val="00376E49"/>
    <w:rsid w:val="0037702A"/>
    <w:rsid w:val="00377178"/>
    <w:rsid w:val="00377242"/>
    <w:rsid w:val="00377257"/>
    <w:rsid w:val="0037727D"/>
    <w:rsid w:val="00377548"/>
    <w:rsid w:val="0037757B"/>
    <w:rsid w:val="00377669"/>
    <w:rsid w:val="003777C0"/>
    <w:rsid w:val="0037780C"/>
    <w:rsid w:val="0037782E"/>
    <w:rsid w:val="003778D3"/>
    <w:rsid w:val="00377B51"/>
    <w:rsid w:val="00377C5E"/>
    <w:rsid w:val="00377CA2"/>
    <w:rsid w:val="003800E0"/>
    <w:rsid w:val="0038011F"/>
    <w:rsid w:val="0038021C"/>
    <w:rsid w:val="00380604"/>
    <w:rsid w:val="0038060F"/>
    <w:rsid w:val="0038062D"/>
    <w:rsid w:val="003806AF"/>
    <w:rsid w:val="003808A2"/>
    <w:rsid w:val="00380974"/>
    <w:rsid w:val="00380A93"/>
    <w:rsid w:val="00380B17"/>
    <w:rsid w:val="00380BDB"/>
    <w:rsid w:val="00380DC0"/>
    <w:rsid w:val="00380E84"/>
    <w:rsid w:val="00380F25"/>
    <w:rsid w:val="00381032"/>
    <w:rsid w:val="00381160"/>
    <w:rsid w:val="00381194"/>
    <w:rsid w:val="0038144F"/>
    <w:rsid w:val="003817B7"/>
    <w:rsid w:val="00381B25"/>
    <w:rsid w:val="00381B8C"/>
    <w:rsid w:val="00381C3B"/>
    <w:rsid w:val="00381E0F"/>
    <w:rsid w:val="00381E3E"/>
    <w:rsid w:val="00381E88"/>
    <w:rsid w:val="003820E4"/>
    <w:rsid w:val="0038213C"/>
    <w:rsid w:val="0038217E"/>
    <w:rsid w:val="00382303"/>
    <w:rsid w:val="00382393"/>
    <w:rsid w:val="0038263B"/>
    <w:rsid w:val="00382714"/>
    <w:rsid w:val="0038275C"/>
    <w:rsid w:val="0038287A"/>
    <w:rsid w:val="003828B1"/>
    <w:rsid w:val="003828B2"/>
    <w:rsid w:val="00382BD9"/>
    <w:rsid w:val="00382CC2"/>
    <w:rsid w:val="00382D5D"/>
    <w:rsid w:val="00382D6A"/>
    <w:rsid w:val="00382D77"/>
    <w:rsid w:val="00382E54"/>
    <w:rsid w:val="00382EB2"/>
    <w:rsid w:val="00383037"/>
    <w:rsid w:val="0038306D"/>
    <w:rsid w:val="003830DC"/>
    <w:rsid w:val="003831BA"/>
    <w:rsid w:val="00383432"/>
    <w:rsid w:val="003834B8"/>
    <w:rsid w:val="003835B1"/>
    <w:rsid w:val="003836B3"/>
    <w:rsid w:val="0038375E"/>
    <w:rsid w:val="003839F0"/>
    <w:rsid w:val="00383A0C"/>
    <w:rsid w:val="00383E13"/>
    <w:rsid w:val="00383E26"/>
    <w:rsid w:val="00383F46"/>
    <w:rsid w:val="003841EF"/>
    <w:rsid w:val="0038427D"/>
    <w:rsid w:val="003843C0"/>
    <w:rsid w:val="00384410"/>
    <w:rsid w:val="003846A6"/>
    <w:rsid w:val="0038482B"/>
    <w:rsid w:val="003848DC"/>
    <w:rsid w:val="00384946"/>
    <w:rsid w:val="00384A85"/>
    <w:rsid w:val="00384B51"/>
    <w:rsid w:val="00384BA8"/>
    <w:rsid w:val="00384D21"/>
    <w:rsid w:val="00384F46"/>
    <w:rsid w:val="003853E1"/>
    <w:rsid w:val="003854DF"/>
    <w:rsid w:val="00385631"/>
    <w:rsid w:val="0038577D"/>
    <w:rsid w:val="0038577F"/>
    <w:rsid w:val="003857CD"/>
    <w:rsid w:val="003858A6"/>
    <w:rsid w:val="00385A4A"/>
    <w:rsid w:val="00385AEE"/>
    <w:rsid w:val="00385B0E"/>
    <w:rsid w:val="00385BA8"/>
    <w:rsid w:val="00385C4D"/>
    <w:rsid w:val="00385C82"/>
    <w:rsid w:val="00385DCD"/>
    <w:rsid w:val="00385E0C"/>
    <w:rsid w:val="00386199"/>
    <w:rsid w:val="003861FA"/>
    <w:rsid w:val="003862E8"/>
    <w:rsid w:val="0038630E"/>
    <w:rsid w:val="0038657F"/>
    <w:rsid w:val="00386693"/>
    <w:rsid w:val="00386781"/>
    <w:rsid w:val="00386AE0"/>
    <w:rsid w:val="00386B81"/>
    <w:rsid w:val="00386BAA"/>
    <w:rsid w:val="00386BBC"/>
    <w:rsid w:val="00386C03"/>
    <w:rsid w:val="00386D29"/>
    <w:rsid w:val="00386ED1"/>
    <w:rsid w:val="00387104"/>
    <w:rsid w:val="00387110"/>
    <w:rsid w:val="0038716A"/>
    <w:rsid w:val="00387174"/>
    <w:rsid w:val="00387262"/>
    <w:rsid w:val="0038727C"/>
    <w:rsid w:val="00387349"/>
    <w:rsid w:val="003873D3"/>
    <w:rsid w:val="003875ED"/>
    <w:rsid w:val="00387637"/>
    <w:rsid w:val="00387697"/>
    <w:rsid w:val="003877BE"/>
    <w:rsid w:val="00387916"/>
    <w:rsid w:val="003879A3"/>
    <w:rsid w:val="00387A1D"/>
    <w:rsid w:val="00387B4F"/>
    <w:rsid w:val="00387CE3"/>
    <w:rsid w:val="00390169"/>
    <w:rsid w:val="003901EB"/>
    <w:rsid w:val="00390326"/>
    <w:rsid w:val="0039042C"/>
    <w:rsid w:val="00390632"/>
    <w:rsid w:val="00390787"/>
    <w:rsid w:val="00390793"/>
    <w:rsid w:val="00390821"/>
    <w:rsid w:val="003909F8"/>
    <w:rsid w:val="00390A5C"/>
    <w:rsid w:val="00390BED"/>
    <w:rsid w:val="00390CE4"/>
    <w:rsid w:val="00390D43"/>
    <w:rsid w:val="00390D61"/>
    <w:rsid w:val="00390D62"/>
    <w:rsid w:val="00390E71"/>
    <w:rsid w:val="00390FF0"/>
    <w:rsid w:val="0039103F"/>
    <w:rsid w:val="00391087"/>
    <w:rsid w:val="003910B0"/>
    <w:rsid w:val="003910F0"/>
    <w:rsid w:val="0039113E"/>
    <w:rsid w:val="003912F5"/>
    <w:rsid w:val="0039141D"/>
    <w:rsid w:val="003914CA"/>
    <w:rsid w:val="003915EB"/>
    <w:rsid w:val="00391671"/>
    <w:rsid w:val="00391771"/>
    <w:rsid w:val="003918CF"/>
    <w:rsid w:val="00391A74"/>
    <w:rsid w:val="00391B04"/>
    <w:rsid w:val="00391DB8"/>
    <w:rsid w:val="00391EC6"/>
    <w:rsid w:val="0039211B"/>
    <w:rsid w:val="0039235D"/>
    <w:rsid w:val="00392484"/>
    <w:rsid w:val="00392AC2"/>
    <w:rsid w:val="00392B89"/>
    <w:rsid w:val="00392BE2"/>
    <w:rsid w:val="00392C69"/>
    <w:rsid w:val="00392D69"/>
    <w:rsid w:val="00392DCC"/>
    <w:rsid w:val="00392F1A"/>
    <w:rsid w:val="00392F1D"/>
    <w:rsid w:val="00392F32"/>
    <w:rsid w:val="00392F46"/>
    <w:rsid w:val="00392F54"/>
    <w:rsid w:val="003930D3"/>
    <w:rsid w:val="00393202"/>
    <w:rsid w:val="00393341"/>
    <w:rsid w:val="003933BE"/>
    <w:rsid w:val="003934D7"/>
    <w:rsid w:val="0039357F"/>
    <w:rsid w:val="003935F9"/>
    <w:rsid w:val="0039370A"/>
    <w:rsid w:val="0039378D"/>
    <w:rsid w:val="003937A0"/>
    <w:rsid w:val="003937D1"/>
    <w:rsid w:val="00393814"/>
    <w:rsid w:val="003939AD"/>
    <w:rsid w:val="00393A16"/>
    <w:rsid w:val="00393A1D"/>
    <w:rsid w:val="00393AC4"/>
    <w:rsid w:val="00393C55"/>
    <w:rsid w:val="00394390"/>
    <w:rsid w:val="003943CD"/>
    <w:rsid w:val="00394468"/>
    <w:rsid w:val="00394542"/>
    <w:rsid w:val="00394622"/>
    <w:rsid w:val="0039465E"/>
    <w:rsid w:val="003946CE"/>
    <w:rsid w:val="003946D4"/>
    <w:rsid w:val="003947D5"/>
    <w:rsid w:val="00394869"/>
    <w:rsid w:val="003948F2"/>
    <w:rsid w:val="003948FF"/>
    <w:rsid w:val="00394A27"/>
    <w:rsid w:val="00394B17"/>
    <w:rsid w:val="00394C9B"/>
    <w:rsid w:val="00394D18"/>
    <w:rsid w:val="00394D2E"/>
    <w:rsid w:val="00394D7B"/>
    <w:rsid w:val="00394D92"/>
    <w:rsid w:val="00394DFF"/>
    <w:rsid w:val="00394E14"/>
    <w:rsid w:val="00394E33"/>
    <w:rsid w:val="00394F30"/>
    <w:rsid w:val="003950A8"/>
    <w:rsid w:val="003951EC"/>
    <w:rsid w:val="00395220"/>
    <w:rsid w:val="0039560B"/>
    <w:rsid w:val="0039561D"/>
    <w:rsid w:val="003956FC"/>
    <w:rsid w:val="0039570A"/>
    <w:rsid w:val="003957AC"/>
    <w:rsid w:val="003957DE"/>
    <w:rsid w:val="003957E4"/>
    <w:rsid w:val="003957EC"/>
    <w:rsid w:val="0039583D"/>
    <w:rsid w:val="00395928"/>
    <w:rsid w:val="00395C6A"/>
    <w:rsid w:val="00395E1B"/>
    <w:rsid w:val="00395ED3"/>
    <w:rsid w:val="003960B6"/>
    <w:rsid w:val="003962B7"/>
    <w:rsid w:val="003962C3"/>
    <w:rsid w:val="003962EF"/>
    <w:rsid w:val="00396373"/>
    <w:rsid w:val="0039641D"/>
    <w:rsid w:val="003964E3"/>
    <w:rsid w:val="003969C2"/>
    <w:rsid w:val="00396A40"/>
    <w:rsid w:val="00396C0F"/>
    <w:rsid w:val="00396C16"/>
    <w:rsid w:val="00396DA1"/>
    <w:rsid w:val="00396E1F"/>
    <w:rsid w:val="00396F3D"/>
    <w:rsid w:val="00396FB6"/>
    <w:rsid w:val="0039703E"/>
    <w:rsid w:val="0039761F"/>
    <w:rsid w:val="003978E2"/>
    <w:rsid w:val="0039797B"/>
    <w:rsid w:val="00397A15"/>
    <w:rsid w:val="00397EEA"/>
    <w:rsid w:val="00397F00"/>
    <w:rsid w:val="00397F3F"/>
    <w:rsid w:val="003A0086"/>
    <w:rsid w:val="003A0507"/>
    <w:rsid w:val="003A058B"/>
    <w:rsid w:val="003A05BF"/>
    <w:rsid w:val="003A06AA"/>
    <w:rsid w:val="003A06CA"/>
    <w:rsid w:val="003A078D"/>
    <w:rsid w:val="003A0AF0"/>
    <w:rsid w:val="003A0B53"/>
    <w:rsid w:val="003A0B98"/>
    <w:rsid w:val="003A0D67"/>
    <w:rsid w:val="003A0DAB"/>
    <w:rsid w:val="003A0F72"/>
    <w:rsid w:val="003A1054"/>
    <w:rsid w:val="003A105D"/>
    <w:rsid w:val="003A120E"/>
    <w:rsid w:val="003A159B"/>
    <w:rsid w:val="003A1756"/>
    <w:rsid w:val="003A1974"/>
    <w:rsid w:val="003A199F"/>
    <w:rsid w:val="003A1A02"/>
    <w:rsid w:val="003A1A76"/>
    <w:rsid w:val="003A1D4F"/>
    <w:rsid w:val="003A1FB5"/>
    <w:rsid w:val="003A211E"/>
    <w:rsid w:val="003A2162"/>
    <w:rsid w:val="003A21C7"/>
    <w:rsid w:val="003A2248"/>
    <w:rsid w:val="003A22A6"/>
    <w:rsid w:val="003A2337"/>
    <w:rsid w:val="003A2539"/>
    <w:rsid w:val="003A25D8"/>
    <w:rsid w:val="003A2713"/>
    <w:rsid w:val="003A272C"/>
    <w:rsid w:val="003A27B5"/>
    <w:rsid w:val="003A27B7"/>
    <w:rsid w:val="003A2C99"/>
    <w:rsid w:val="003A2EB8"/>
    <w:rsid w:val="003A2F5F"/>
    <w:rsid w:val="003A2F75"/>
    <w:rsid w:val="003A37D4"/>
    <w:rsid w:val="003A3957"/>
    <w:rsid w:val="003A3AC5"/>
    <w:rsid w:val="003A3B53"/>
    <w:rsid w:val="003A3B92"/>
    <w:rsid w:val="003A3C6A"/>
    <w:rsid w:val="003A4119"/>
    <w:rsid w:val="003A41B2"/>
    <w:rsid w:val="003A41C1"/>
    <w:rsid w:val="003A4364"/>
    <w:rsid w:val="003A442E"/>
    <w:rsid w:val="003A4642"/>
    <w:rsid w:val="003A4689"/>
    <w:rsid w:val="003A46D2"/>
    <w:rsid w:val="003A46E5"/>
    <w:rsid w:val="003A4A65"/>
    <w:rsid w:val="003A4BD3"/>
    <w:rsid w:val="003A4CFC"/>
    <w:rsid w:val="003A4F3F"/>
    <w:rsid w:val="003A5255"/>
    <w:rsid w:val="003A54C8"/>
    <w:rsid w:val="003A5A23"/>
    <w:rsid w:val="003A5C68"/>
    <w:rsid w:val="003A5C7F"/>
    <w:rsid w:val="003A5D69"/>
    <w:rsid w:val="003A5DC7"/>
    <w:rsid w:val="003A5EAE"/>
    <w:rsid w:val="003A5F8B"/>
    <w:rsid w:val="003A6243"/>
    <w:rsid w:val="003A6244"/>
    <w:rsid w:val="003A62C1"/>
    <w:rsid w:val="003A6454"/>
    <w:rsid w:val="003A64F7"/>
    <w:rsid w:val="003A6510"/>
    <w:rsid w:val="003A652A"/>
    <w:rsid w:val="003A65AA"/>
    <w:rsid w:val="003A669E"/>
    <w:rsid w:val="003A681E"/>
    <w:rsid w:val="003A6888"/>
    <w:rsid w:val="003A695C"/>
    <w:rsid w:val="003A69AA"/>
    <w:rsid w:val="003A6B90"/>
    <w:rsid w:val="003A6BFF"/>
    <w:rsid w:val="003A71D9"/>
    <w:rsid w:val="003A71FF"/>
    <w:rsid w:val="003A7501"/>
    <w:rsid w:val="003A7767"/>
    <w:rsid w:val="003A7998"/>
    <w:rsid w:val="003A7AA1"/>
    <w:rsid w:val="003A7B91"/>
    <w:rsid w:val="003A7BC1"/>
    <w:rsid w:val="003A7C67"/>
    <w:rsid w:val="003A7C78"/>
    <w:rsid w:val="003A7CBF"/>
    <w:rsid w:val="003A7D6E"/>
    <w:rsid w:val="003A7E34"/>
    <w:rsid w:val="003A7E78"/>
    <w:rsid w:val="003B002A"/>
    <w:rsid w:val="003B0305"/>
    <w:rsid w:val="003B03B9"/>
    <w:rsid w:val="003B04FB"/>
    <w:rsid w:val="003B0539"/>
    <w:rsid w:val="003B0639"/>
    <w:rsid w:val="003B0761"/>
    <w:rsid w:val="003B077C"/>
    <w:rsid w:val="003B08AF"/>
    <w:rsid w:val="003B0A49"/>
    <w:rsid w:val="003B0AD0"/>
    <w:rsid w:val="003B0B10"/>
    <w:rsid w:val="003B0B4E"/>
    <w:rsid w:val="003B0C9D"/>
    <w:rsid w:val="003B0D1E"/>
    <w:rsid w:val="003B0D8F"/>
    <w:rsid w:val="003B12B4"/>
    <w:rsid w:val="003B13D4"/>
    <w:rsid w:val="003B1467"/>
    <w:rsid w:val="003B165E"/>
    <w:rsid w:val="003B1668"/>
    <w:rsid w:val="003B17B6"/>
    <w:rsid w:val="003B1817"/>
    <w:rsid w:val="003B1E33"/>
    <w:rsid w:val="003B1E49"/>
    <w:rsid w:val="003B2002"/>
    <w:rsid w:val="003B2084"/>
    <w:rsid w:val="003B229B"/>
    <w:rsid w:val="003B267B"/>
    <w:rsid w:val="003B26CA"/>
    <w:rsid w:val="003B2718"/>
    <w:rsid w:val="003B27AD"/>
    <w:rsid w:val="003B27E4"/>
    <w:rsid w:val="003B2920"/>
    <w:rsid w:val="003B2994"/>
    <w:rsid w:val="003B29A0"/>
    <w:rsid w:val="003B2AE4"/>
    <w:rsid w:val="003B2D0C"/>
    <w:rsid w:val="003B2D19"/>
    <w:rsid w:val="003B2E4D"/>
    <w:rsid w:val="003B2EA8"/>
    <w:rsid w:val="003B2FD8"/>
    <w:rsid w:val="003B2FF4"/>
    <w:rsid w:val="003B3032"/>
    <w:rsid w:val="003B303C"/>
    <w:rsid w:val="003B328D"/>
    <w:rsid w:val="003B34F7"/>
    <w:rsid w:val="003B3500"/>
    <w:rsid w:val="003B3899"/>
    <w:rsid w:val="003B3956"/>
    <w:rsid w:val="003B3B5B"/>
    <w:rsid w:val="003B3CF4"/>
    <w:rsid w:val="003B3D35"/>
    <w:rsid w:val="003B3DCB"/>
    <w:rsid w:val="003B3F74"/>
    <w:rsid w:val="003B3FD9"/>
    <w:rsid w:val="003B3FF7"/>
    <w:rsid w:val="003B409D"/>
    <w:rsid w:val="003B428E"/>
    <w:rsid w:val="003B42FF"/>
    <w:rsid w:val="003B4305"/>
    <w:rsid w:val="003B439C"/>
    <w:rsid w:val="003B43E2"/>
    <w:rsid w:val="003B440C"/>
    <w:rsid w:val="003B45B5"/>
    <w:rsid w:val="003B475B"/>
    <w:rsid w:val="003B4892"/>
    <w:rsid w:val="003B48E7"/>
    <w:rsid w:val="003B492C"/>
    <w:rsid w:val="003B4A0C"/>
    <w:rsid w:val="003B4AEF"/>
    <w:rsid w:val="003B4B50"/>
    <w:rsid w:val="003B4B5C"/>
    <w:rsid w:val="003B4B9F"/>
    <w:rsid w:val="003B4DCD"/>
    <w:rsid w:val="003B4E3D"/>
    <w:rsid w:val="003B4ED4"/>
    <w:rsid w:val="003B5049"/>
    <w:rsid w:val="003B50B3"/>
    <w:rsid w:val="003B5306"/>
    <w:rsid w:val="003B532E"/>
    <w:rsid w:val="003B54A0"/>
    <w:rsid w:val="003B551F"/>
    <w:rsid w:val="003B58A7"/>
    <w:rsid w:val="003B5981"/>
    <w:rsid w:val="003B59EC"/>
    <w:rsid w:val="003B5A8B"/>
    <w:rsid w:val="003B5C75"/>
    <w:rsid w:val="003B5CE4"/>
    <w:rsid w:val="003B5DAF"/>
    <w:rsid w:val="003B6163"/>
    <w:rsid w:val="003B61A5"/>
    <w:rsid w:val="003B61E3"/>
    <w:rsid w:val="003B620B"/>
    <w:rsid w:val="003B6562"/>
    <w:rsid w:val="003B6611"/>
    <w:rsid w:val="003B67B6"/>
    <w:rsid w:val="003B68F6"/>
    <w:rsid w:val="003B6A32"/>
    <w:rsid w:val="003B6BD8"/>
    <w:rsid w:val="003B6C90"/>
    <w:rsid w:val="003B6CCB"/>
    <w:rsid w:val="003B6E18"/>
    <w:rsid w:val="003B6F75"/>
    <w:rsid w:val="003B6FE9"/>
    <w:rsid w:val="003B70D9"/>
    <w:rsid w:val="003B7196"/>
    <w:rsid w:val="003B726C"/>
    <w:rsid w:val="003B7286"/>
    <w:rsid w:val="003B733C"/>
    <w:rsid w:val="003B73B3"/>
    <w:rsid w:val="003B75BF"/>
    <w:rsid w:val="003B75DC"/>
    <w:rsid w:val="003B7655"/>
    <w:rsid w:val="003B76E1"/>
    <w:rsid w:val="003B79CC"/>
    <w:rsid w:val="003B79F5"/>
    <w:rsid w:val="003B7ABF"/>
    <w:rsid w:val="003B7BDB"/>
    <w:rsid w:val="003B7D9D"/>
    <w:rsid w:val="003B7ECD"/>
    <w:rsid w:val="003C002E"/>
    <w:rsid w:val="003C0087"/>
    <w:rsid w:val="003C06AF"/>
    <w:rsid w:val="003C08A7"/>
    <w:rsid w:val="003C08F3"/>
    <w:rsid w:val="003C09AA"/>
    <w:rsid w:val="003C0B17"/>
    <w:rsid w:val="003C0B85"/>
    <w:rsid w:val="003C0BE1"/>
    <w:rsid w:val="003C0CC7"/>
    <w:rsid w:val="003C0DDF"/>
    <w:rsid w:val="003C0E8E"/>
    <w:rsid w:val="003C0FDD"/>
    <w:rsid w:val="003C10E3"/>
    <w:rsid w:val="003C1154"/>
    <w:rsid w:val="003C120D"/>
    <w:rsid w:val="003C1262"/>
    <w:rsid w:val="003C1371"/>
    <w:rsid w:val="003C148F"/>
    <w:rsid w:val="003C162D"/>
    <w:rsid w:val="003C16D6"/>
    <w:rsid w:val="003C1776"/>
    <w:rsid w:val="003C19C4"/>
    <w:rsid w:val="003C1A96"/>
    <w:rsid w:val="003C1ACF"/>
    <w:rsid w:val="003C1D7F"/>
    <w:rsid w:val="003C1D98"/>
    <w:rsid w:val="003C1E16"/>
    <w:rsid w:val="003C1F3C"/>
    <w:rsid w:val="003C1F4D"/>
    <w:rsid w:val="003C1F88"/>
    <w:rsid w:val="003C1FD4"/>
    <w:rsid w:val="003C24F4"/>
    <w:rsid w:val="003C260B"/>
    <w:rsid w:val="003C26C1"/>
    <w:rsid w:val="003C2725"/>
    <w:rsid w:val="003C2CDD"/>
    <w:rsid w:val="003C2D89"/>
    <w:rsid w:val="003C2E22"/>
    <w:rsid w:val="003C2F7B"/>
    <w:rsid w:val="003C2FDD"/>
    <w:rsid w:val="003C352B"/>
    <w:rsid w:val="003C3542"/>
    <w:rsid w:val="003C3570"/>
    <w:rsid w:val="003C379A"/>
    <w:rsid w:val="003C37DC"/>
    <w:rsid w:val="003C38F4"/>
    <w:rsid w:val="003C394A"/>
    <w:rsid w:val="003C3B3B"/>
    <w:rsid w:val="003C3D4F"/>
    <w:rsid w:val="003C3E30"/>
    <w:rsid w:val="003C3EA4"/>
    <w:rsid w:val="003C3EDE"/>
    <w:rsid w:val="003C435F"/>
    <w:rsid w:val="003C4372"/>
    <w:rsid w:val="003C43B3"/>
    <w:rsid w:val="003C453C"/>
    <w:rsid w:val="003C4662"/>
    <w:rsid w:val="003C4699"/>
    <w:rsid w:val="003C46E2"/>
    <w:rsid w:val="003C474F"/>
    <w:rsid w:val="003C4764"/>
    <w:rsid w:val="003C486A"/>
    <w:rsid w:val="003C48D8"/>
    <w:rsid w:val="003C49D2"/>
    <w:rsid w:val="003C4AB5"/>
    <w:rsid w:val="003C4B3C"/>
    <w:rsid w:val="003C4BD7"/>
    <w:rsid w:val="003C4E10"/>
    <w:rsid w:val="003C4E87"/>
    <w:rsid w:val="003C4EAE"/>
    <w:rsid w:val="003C5010"/>
    <w:rsid w:val="003C512E"/>
    <w:rsid w:val="003C5181"/>
    <w:rsid w:val="003C5202"/>
    <w:rsid w:val="003C5402"/>
    <w:rsid w:val="003C585D"/>
    <w:rsid w:val="003C58FA"/>
    <w:rsid w:val="003C5A1C"/>
    <w:rsid w:val="003C5A4A"/>
    <w:rsid w:val="003C5AB7"/>
    <w:rsid w:val="003C5AC5"/>
    <w:rsid w:val="003C5B23"/>
    <w:rsid w:val="003C5D91"/>
    <w:rsid w:val="003C5FF6"/>
    <w:rsid w:val="003C60C7"/>
    <w:rsid w:val="003C62AF"/>
    <w:rsid w:val="003C6409"/>
    <w:rsid w:val="003C641E"/>
    <w:rsid w:val="003C649D"/>
    <w:rsid w:val="003C64C4"/>
    <w:rsid w:val="003C64CC"/>
    <w:rsid w:val="003C699E"/>
    <w:rsid w:val="003C6A4D"/>
    <w:rsid w:val="003C6B44"/>
    <w:rsid w:val="003C6B7B"/>
    <w:rsid w:val="003C6C99"/>
    <w:rsid w:val="003C6D0D"/>
    <w:rsid w:val="003C6D2D"/>
    <w:rsid w:val="003C6D61"/>
    <w:rsid w:val="003C6ED2"/>
    <w:rsid w:val="003C7120"/>
    <w:rsid w:val="003C71E8"/>
    <w:rsid w:val="003C725C"/>
    <w:rsid w:val="003C72B6"/>
    <w:rsid w:val="003C749B"/>
    <w:rsid w:val="003C7512"/>
    <w:rsid w:val="003C7623"/>
    <w:rsid w:val="003C76AF"/>
    <w:rsid w:val="003C77A1"/>
    <w:rsid w:val="003C77A5"/>
    <w:rsid w:val="003C784A"/>
    <w:rsid w:val="003C7C1C"/>
    <w:rsid w:val="003C7DA5"/>
    <w:rsid w:val="003C7E21"/>
    <w:rsid w:val="003C7EAD"/>
    <w:rsid w:val="003C7ECB"/>
    <w:rsid w:val="003C7F7A"/>
    <w:rsid w:val="003D0110"/>
    <w:rsid w:val="003D030F"/>
    <w:rsid w:val="003D03D0"/>
    <w:rsid w:val="003D0485"/>
    <w:rsid w:val="003D0514"/>
    <w:rsid w:val="003D0532"/>
    <w:rsid w:val="003D06DA"/>
    <w:rsid w:val="003D07C4"/>
    <w:rsid w:val="003D0862"/>
    <w:rsid w:val="003D0942"/>
    <w:rsid w:val="003D0985"/>
    <w:rsid w:val="003D0ADA"/>
    <w:rsid w:val="003D0B4C"/>
    <w:rsid w:val="003D0CFD"/>
    <w:rsid w:val="003D0ECA"/>
    <w:rsid w:val="003D0F9E"/>
    <w:rsid w:val="003D0FDF"/>
    <w:rsid w:val="003D1075"/>
    <w:rsid w:val="003D10CD"/>
    <w:rsid w:val="003D165C"/>
    <w:rsid w:val="003D18A5"/>
    <w:rsid w:val="003D1A37"/>
    <w:rsid w:val="003D1B2D"/>
    <w:rsid w:val="003D1E7F"/>
    <w:rsid w:val="003D1F7D"/>
    <w:rsid w:val="003D241F"/>
    <w:rsid w:val="003D2575"/>
    <w:rsid w:val="003D2694"/>
    <w:rsid w:val="003D278C"/>
    <w:rsid w:val="003D27A9"/>
    <w:rsid w:val="003D2976"/>
    <w:rsid w:val="003D2CA9"/>
    <w:rsid w:val="003D2EB2"/>
    <w:rsid w:val="003D2F14"/>
    <w:rsid w:val="003D2FE7"/>
    <w:rsid w:val="003D3186"/>
    <w:rsid w:val="003D354F"/>
    <w:rsid w:val="003D3572"/>
    <w:rsid w:val="003D3605"/>
    <w:rsid w:val="003D360A"/>
    <w:rsid w:val="003D3618"/>
    <w:rsid w:val="003D3827"/>
    <w:rsid w:val="003D386C"/>
    <w:rsid w:val="003D39FE"/>
    <w:rsid w:val="003D3A24"/>
    <w:rsid w:val="003D3B69"/>
    <w:rsid w:val="003D4009"/>
    <w:rsid w:val="003D42DC"/>
    <w:rsid w:val="003D453D"/>
    <w:rsid w:val="003D470B"/>
    <w:rsid w:val="003D47F9"/>
    <w:rsid w:val="003D4810"/>
    <w:rsid w:val="003D49BA"/>
    <w:rsid w:val="003D49DB"/>
    <w:rsid w:val="003D4A1A"/>
    <w:rsid w:val="003D4DE8"/>
    <w:rsid w:val="003D4EED"/>
    <w:rsid w:val="003D5166"/>
    <w:rsid w:val="003D51C5"/>
    <w:rsid w:val="003D51E8"/>
    <w:rsid w:val="003D542D"/>
    <w:rsid w:val="003D54AA"/>
    <w:rsid w:val="003D54DF"/>
    <w:rsid w:val="003D55EB"/>
    <w:rsid w:val="003D570E"/>
    <w:rsid w:val="003D57CE"/>
    <w:rsid w:val="003D5813"/>
    <w:rsid w:val="003D59A9"/>
    <w:rsid w:val="003D59DA"/>
    <w:rsid w:val="003D59F1"/>
    <w:rsid w:val="003D5A4C"/>
    <w:rsid w:val="003D5B1E"/>
    <w:rsid w:val="003D60E1"/>
    <w:rsid w:val="003D60EA"/>
    <w:rsid w:val="003D6352"/>
    <w:rsid w:val="003D6404"/>
    <w:rsid w:val="003D654D"/>
    <w:rsid w:val="003D656A"/>
    <w:rsid w:val="003D66AB"/>
    <w:rsid w:val="003D6781"/>
    <w:rsid w:val="003D68CC"/>
    <w:rsid w:val="003D69E4"/>
    <w:rsid w:val="003D6A77"/>
    <w:rsid w:val="003D6C89"/>
    <w:rsid w:val="003D6D1B"/>
    <w:rsid w:val="003D6E06"/>
    <w:rsid w:val="003D6F92"/>
    <w:rsid w:val="003D7086"/>
    <w:rsid w:val="003D710A"/>
    <w:rsid w:val="003D7112"/>
    <w:rsid w:val="003D7198"/>
    <w:rsid w:val="003D71A3"/>
    <w:rsid w:val="003D72C8"/>
    <w:rsid w:val="003D7371"/>
    <w:rsid w:val="003D7443"/>
    <w:rsid w:val="003D74E1"/>
    <w:rsid w:val="003D7508"/>
    <w:rsid w:val="003D75FD"/>
    <w:rsid w:val="003D764E"/>
    <w:rsid w:val="003D78B0"/>
    <w:rsid w:val="003D79E8"/>
    <w:rsid w:val="003D7A40"/>
    <w:rsid w:val="003D7BC1"/>
    <w:rsid w:val="003D7C4B"/>
    <w:rsid w:val="003D7C9D"/>
    <w:rsid w:val="003D7DF6"/>
    <w:rsid w:val="003D7EDA"/>
    <w:rsid w:val="003E00C0"/>
    <w:rsid w:val="003E0263"/>
    <w:rsid w:val="003E02BB"/>
    <w:rsid w:val="003E0401"/>
    <w:rsid w:val="003E050C"/>
    <w:rsid w:val="003E05B6"/>
    <w:rsid w:val="003E065A"/>
    <w:rsid w:val="003E0734"/>
    <w:rsid w:val="003E0763"/>
    <w:rsid w:val="003E0816"/>
    <w:rsid w:val="003E0881"/>
    <w:rsid w:val="003E08B7"/>
    <w:rsid w:val="003E08C4"/>
    <w:rsid w:val="003E09D2"/>
    <w:rsid w:val="003E0A15"/>
    <w:rsid w:val="003E0BD3"/>
    <w:rsid w:val="003E0C48"/>
    <w:rsid w:val="003E0CC0"/>
    <w:rsid w:val="003E0CDC"/>
    <w:rsid w:val="003E0CE7"/>
    <w:rsid w:val="003E0D41"/>
    <w:rsid w:val="003E0D4E"/>
    <w:rsid w:val="003E0D73"/>
    <w:rsid w:val="003E0D78"/>
    <w:rsid w:val="003E0ED1"/>
    <w:rsid w:val="003E0FD9"/>
    <w:rsid w:val="003E1048"/>
    <w:rsid w:val="003E1087"/>
    <w:rsid w:val="003E1259"/>
    <w:rsid w:val="003E1365"/>
    <w:rsid w:val="003E140A"/>
    <w:rsid w:val="003E1B39"/>
    <w:rsid w:val="003E1C1A"/>
    <w:rsid w:val="003E1CCC"/>
    <w:rsid w:val="003E1DCD"/>
    <w:rsid w:val="003E1EEA"/>
    <w:rsid w:val="003E1EF7"/>
    <w:rsid w:val="003E1F6C"/>
    <w:rsid w:val="003E1FAD"/>
    <w:rsid w:val="003E2078"/>
    <w:rsid w:val="003E209A"/>
    <w:rsid w:val="003E218C"/>
    <w:rsid w:val="003E21DF"/>
    <w:rsid w:val="003E23A6"/>
    <w:rsid w:val="003E23D7"/>
    <w:rsid w:val="003E2545"/>
    <w:rsid w:val="003E25AB"/>
    <w:rsid w:val="003E2677"/>
    <w:rsid w:val="003E288B"/>
    <w:rsid w:val="003E28F1"/>
    <w:rsid w:val="003E2979"/>
    <w:rsid w:val="003E2A3D"/>
    <w:rsid w:val="003E2AA4"/>
    <w:rsid w:val="003E30E2"/>
    <w:rsid w:val="003E3231"/>
    <w:rsid w:val="003E32CC"/>
    <w:rsid w:val="003E3319"/>
    <w:rsid w:val="003E3348"/>
    <w:rsid w:val="003E34B6"/>
    <w:rsid w:val="003E3688"/>
    <w:rsid w:val="003E36F6"/>
    <w:rsid w:val="003E3792"/>
    <w:rsid w:val="003E37B7"/>
    <w:rsid w:val="003E3806"/>
    <w:rsid w:val="003E38B0"/>
    <w:rsid w:val="003E399F"/>
    <w:rsid w:val="003E3A03"/>
    <w:rsid w:val="003E3A78"/>
    <w:rsid w:val="003E3C0A"/>
    <w:rsid w:val="003E3D08"/>
    <w:rsid w:val="003E3D3E"/>
    <w:rsid w:val="003E3FDD"/>
    <w:rsid w:val="003E42CD"/>
    <w:rsid w:val="003E4361"/>
    <w:rsid w:val="003E440A"/>
    <w:rsid w:val="003E4446"/>
    <w:rsid w:val="003E44C8"/>
    <w:rsid w:val="003E454B"/>
    <w:rsid w:val="003E4662"/>
    <w:rsid w:val="003E4724"/>
    <w:rsid w:val="003E48C5"/>
    <w:rsid w:val="003E49BA"/>
    <w:rsid w:val="003E4AF1"/>
    <w:rsid w:val="003E4BA9"/>
    <w:rsid w:val="003E4C73"/>
    <w:rsid w:val="003E4D87"/>
    <w:rsid w:val="003E4DAB"/>
    <w:rsid w:val="003E503C"/>
    <w:rsid w:val="003E514E"/>
    <w:rsid w:val="003E5236"/>
    <w:rsid w:val="003E526A"/>
    <w:rsid w:val="003E56A6"/>
    <w:rsid w:val="003E585B"/>
    <w:rsid w:val="003E58D5"/>
    <w:rsid w:val="003E5A78"/>
    <w:rsid w:val="003E5AC6"/>
    <w:rsid w:val="003E5B8E"/>
    <w:rsid w:val="003E5EAD"/>
    <w:rsid w:val="003E5F1B"/>
    <w:rsid w:val="003E5F81"/>
    <w:rsid w:val="003E6075"/>
    <w:rsid w:val="003E622A"/>
    <w:rsid w:val="003E6454"/>
    <w:rsid w:val="003E6681"/>
    <w:rsid w:val="003E6799"/>
    <w:rsid w:val="003E689A"/>
    <w:rsid w:val="003E6937"/>
    <w:rsid w:val="003E6A07"/>
    <w:rsid w:val="003E6C3E"/>
    <w:rsid w:val="003E6E9B"/>
    <w:rsid w:val="003E6F7A"/>
    <w:rsid w:val="003E7014"/>
    <w:rsid w:val="003E7042"/>
    <w:rsid w:val="003E70A8"/>
    <w:rsid w:val="003E71CD"/>
    <w:rsid w:val="003E727F"/>
    <w:rsid w:val="003E73EA"/>
    <w:rsid w:val="003E741E"/>
    <w:rsid w:val="003E75CE"/>
    <w:rsid w:val="003E772F"/>
    <w:rsid w:val="003E7799"/>
    <w:rsid w:val="003E77E5"/>
    <w:rsid w:val="003E7C82"/>
    <w:rsid w:val="003E7CBE"/>
    <w:rsid w:val="003E7E2A"/>
    <w:rsid w:val="003E7FD0"/>
    <w:rsid w:val="003F032A"/>
    <w:rsid w:val="003F03A8"/>
    <w:rsid w:val="003F052A"/>
    <w:rsid w:val="003F0764"/>
    <w:rsid w:val="003F0773"/>
    <w:rsid w:val="003F0815"/>
    <w:rsid w:val="003F087D"/>
    <w:rsid w:val="003F0880"/>
    <w:rsid w:val="003F08CD"/>
    <w:rsid w:val="003F097F"/>
    <w:rsid w:val="003F0C50"/>
    <w:rsid w:val="003F0CE4"/>
    <w:rsid w:val="003F0EBC"/>
    <w:rsid w:val="003F1380"/>
    <w:rsid w:val="003F143D"/>
    <w:rsid w:val="003F154C"/>
    <w:rsid w:val="003F15A8"/>
    <w:rsid w:val="003F15CA"/>
    <w:rsid w:val="003F161E"/>
    <w:rsid w:val="003F16BD"/>
    <w:rsid w:val="003F16BF"/>
    <w:rsid w:val="003F1829"/>
    <w:rsid w:val="003F1898"/>
    <w:rsid w:val="003F1A2B"/>
    <w:rsid w:val="003F1B6B"/>
    <w:rsid w:val="003F1C8A"/>
    <w:rsid w:val="003F1DA3"/>
    <w:rsid w:val="003F1E52"/>
    <w:rsid w:val="003F200C"/>
    <w:rsid w:val="003F20D2"/>
    <w:rsid w:val="003F21C6"/>
    <w:rsid w:val="003F2203"/>
    <w:rsid w:val="003F23DA"/>
    <w:rsid w:val="003F2494"/>
    <w:rsid w:val="003F2495"/>
    <w:rsid w:val="003F25FC"/>
    <w:rsid w:val="003F26D3"/>
    <w:rsid w:val="003F272D"/>
    <w:rsid w:val="003F27AB"/>
    <w:rsid w:val="003F2913"/>
    <w:rsid w:val="003F293C"/>
    <w:rsid w:val="003F2944"/>
    <w:rsid w:val="003F2958"/>
    <w:rsid w:val="003F2A13"/>
    <w:rsid w:val="003F2A4C"/>
    <w:rsid w:val="003F2B33"/>
    <w:rsid w:val="003F2CBF"/>
    <w:rsid w:val="003F2E64"/>
    <w:rsid w:val="003F2E8B"/>
    <w:rsid w:val="003F2EC9"/>
    <w:rsid w:val="003F3280"/>
    <w:rsid w:val="003F32D2"/>
    <w:rsid w:val="003F331A"/>
    <w:rsid w:val="003F34EC"/>
    <w:rsid w:val="003F36E2"/>
    <w:rsid w:val="003F3766"/>
    <w:rsid w:val="003F3A01"/>
    <w:rsid w:val="003F3AF4"/>
    <w:rsid w:val="003F3FB2"/>
    <w:rsid w:val="003F40E5"/>
    <w:rsid w:val="003F413A"/>
    <w:rsid w:val="003F41A7"/>
    <w:rsid w:val="003F4313"/>
    <w:rsid w:val="003F449F"/>
    <w:rsid w:val="003F464B"/>
    <w:rsid w:val="003F46A7"/>
    <w:rsid w:val="003F46D2"/>
    <w:rsid w:val="003F479A"/>
    <w:rsid w:val="003F4829"/>
    <w:rsid w:val="003F4920"/>
    <w:rsid w:val="003F4A36"/>
    <w:rsid w:val="003F4AC0"/>
    <w:rsid w:val="003F4AC8"/>
    <w:rsid w:val="003F4C29"/>
    <w:rsid w:val="003F51D0"/>
    <w:rsid w:val="003F51F4"/>
    <w:rsid w:val="003F53CE"/>
    <w:rsid w:val="003F5417"/>
    <w:rsid w:val="003F5421"/>
    <w:rsid w:val="003F54CE"/>
    <w:rsid w:val="003F5543"/>
    <w:rsid w:val="003F5864"/>
    <w:rsid w:val="003F5CA5"/>
    <w:rsid w:val="003F5CAB"/>
    <w:rsid w:val="003F5D99"/>
    <w:rsid w:val="003F603C"/>
    <w:rsid w:val="003F61BE"/>
    <w:rsid w:val="003F6592"/>
    <w:rsid w:val="003F66A2"/>
    <w:rsid w:val="003F6717"/>
    <w:rsid w:val="003F680B"/>
    <w:rsid w:val="003F6837"/>
    <w:rsid w:val="003F6990"/>
    <w:rsid w:val="003F6AC7"/>
    <w:rsid w:val="003F6C42"/>
    <w:rsid w:val="003F6CE7"/>
    <w:rsid w:val="003F6DAC"/>
    <w:rsid w:val="003F6E4A"/>
    <w:rsid w:val="003F71D0"/>
    <w:rsid w:val="003F71F2"/>
    <w:rsid w:val="003F71F6"/>
    <w:rsid w:val="003F7394"/>
    <w:rsid w:val="003F74D4"/>
    <w:rsid w:val="003F7517"/>
    <w:rsid w:val="003F76E0"/>
    <w:rsid w:val="003F7794"/>
    <w:rsid w:val="003F779C"/>
    <w:rsid w:val="003F7887"/>
    <w:rsid w:val="003F79D6"/>
    <w:rsid w:val="003F7B09"/>
    <w:rsid w:val="003F7B9E"/>
    <w:rsid w:val="003F7C01"/>
    <w:rsid w:val="003F7F98"/>
    <w:rsid w:val="003F7FAB"/>
    <w:rsid w:val="003F7FD7"/>
    <w:rsid w:val="00400129"/>
    <w:rsid w:val="004001B5"/>
    <w:rsid w:val="0040029C"/>
    <w:rsid w:val="00400337"/>
    <w:rsid w:val="0040058E"/>
    <w:rsid w:val="00400603"/>
    <w:rsid w:val="00400730"/>
    <w:rsid w:val="0040075B"/>
    <w:rsid w:val="00400779"/>
    <w:rsid w:val="004007D9"/>
    <w:rsid w:val="004008D3"/>
    <w:rsid w:val="004008EC"/>
    <w:rsid w:val="00400A8D"/>
    <w:rsid w:val="00400B31"/>
    <w:rsid w:val="00400BAE"/>
    <w:rsid w:val="00400C7B"/>
    <w:rsid w:val="00400CBB"/>
    <w:rsid w:val="00400E93"/>
    <w:rsid w:val="00400F3C"/>
    <w:rsid w:val="004010D7"/>
    <w:rsid w:val="00401190"/>
    <w:rsid w:val="00401447"/>
    <w:rsid w:val="00401677"/>
    <w:rsid w:val="0040167A"/>
    <w:rsid w:val="0040188B"/>
    <w:rsid w:val="00401AE8"/>
    <w:rsid w:val="00401B63"/>
    <w:rsid w:val="00401DCD"/>
    <w:rsid w:val="00401E60"/>
    <w:rsid w:val="00401FB8"/>
    <w:rsid w:val="0040209A"/>
    <w:rsid w:val="0040214D"/>
    <w:rsid w:val="00402256"/>
    <w:rsid w:val="00402288"/>
    <w:rsid w:val="004023B9"/>
    <w:rsid w:val="00402456"/>
    <w:rsid w:val="004024F2"/>
    <w:rsid w:val="004026BA"/>
    <w:rsid w:val="004027CD"/>
    <w:rsid w:val="00402840"/>
    <w:rsid w:val="00402852"/>
    <w:rsid w:val="0040286A"/>
    <w:rsid w:val="004028FB"/>
    <w:rsid w:val="00402986"/>
    <w:rsid w:val="0040299E"/>
    <w:rsid w:val="00402AF7"/>
    <w:rsid w:val="00402B2A"/>
    <w:rsid w:val="00402C4A"/>
    <w:rsid w:val="00402D42"/>
    <w:rsid w:val="00402DEB"/>
    <w:rsid w:val="00402DFD"/>
    <w:rsid w:val="00402F7B"/>
    <w:rsid w:val="00403119"/>
    <w:rsid w:val="00403257"/>
    <w:rsid w:val="0040330B"/>
    <w:rsid w:val="0040342C"/>
    <w:rsid w:val="0040357B"/>
    <w:rsid w:val="0040390F"/>
    <w:rsid w:val="00403967"/>
    <w:rsid w:val="00403AA7"/>
    <w:rsid w:val="00403B24"/>
    <w:rsid w:val="00403B29"/>
    <w:rsid w:val="00403BAA"/>
    <w:rsid w:val="00403BC7"/>
    <w:rsid w:val="00403C38"/>
    <w:rsid w:val="004042B6"/>
    <w:rsid w:val="004042F7"/>
    <w:rsid w:val="0040435C"/>
    <w:rsid w:val="0040466E"/>
    <w:rsid w:val="004046C8"/>
    <w:rsid w:val="00404923"/>
    <w:rsid w:val="00404AA0"/>
    <w:rsid w:val="00404B10"/>
    <w:rsid w:val="00404B6E"/>
    <w:rsid w:val="00404BAE"/>
    <w:rsid w:val="00404D22"/>
    <w:rsid w:val="00404DB6"/>
    <w:rsid w:val="00404F16"/>
    <w:rsid w:val="0040502E"/>
    <w:rsid w:val="0040511F"/>
    <w:rsid w:val="00405133"/>
    <w:rsid w:val="004051A4"/>
    <w:rsid w:val="00405307"/>
    <w:rsid w:val="0040533D"/>
    <w:rsid w:val="004053E4"/>
    <w:rsid w:val="0040582F"/>
    <w:rsid w:val="00405A96"/>
    <w:rsid w:val="00405D36"/>
    <w:rsid w:val="00405DF6"/>
    <w:rsid w:val="00405E6D"/>
    <w:rsid w:val="00406007"/>
    <w:rsid w:val="00406071"/>
    <w:rsid w:val="00406078"/>
    <w:rsid w:val="0040638C"/>
    <w:rsid w:val="004063B0"/>
    <w:rsid w:val="00406415"/>
    <w:rsid w:val="004065DC"/>
    <w:rsid w:val="0040661F"/>
    <w:rsid w:val="0040677B"/>
    <w:rsid w:val="00406816"/>
    <w:rsid w:val="00406871"/>
    <w:rsid w:val="00406A09"/>
    <w:rsid w:val="00406AA2"/>
    <w:rsid w:val="00406BA2"/>
    <w:rsid w:val="00406C98"/>
    <w:rsid w:val="00406F42"/>
    <w:rsid w:val="00406F90"/>
    <w:rsid w:val="00406FDD"/>
    <w:rsid w:val="00406FF3"/>
    <w:rsid w:val="00406FFE"/>
    <w:rsid w:val="004071AD"/>
    <w:rsid w:val="00407385"/>
    <w:rsid w:val="00407479"/>
    <w:rsid w:val="0040789D"/>
    <w:rsid w:val="00407A59"/>
    <w:rsid w:val="00407AFE"/>
    <w:rsid w:val="00407D47"/>
    <w:rsid w:val="00407D67"/>
    <w:rsid w:val="00407DB3"/>
    <w:rsid w:val="00407DFD"/>
    <w:rsid w:val="00407E21"/>
    <w:rsid w:val="00407E7B"/>
    <w:rsid w:val="00407FC2"/>
    <w:rsid w:val="00407FED"/>
    <w:rsid w:val="00407FFC"/>
    <w:rsid w:val="00410075"/>
    <w:rsid w:val="00410206"/>
    <w:rsid w:val="00410265"/>
    <w:rsid w:val="0041027D"/>
    <w:rsid w:val="00410363"/>
    <w:rsid w:val="004103DB"/>
    <w:rsid w:val="0041059E"/>
    <w:rsid w:val="004105D5"/>
    <w:rsid w:val="00410643"/>
    <w:rsid w:val="0041076F"/>
    <w:rsid w:val="004107D0"/>
    <w:rsid w:val="00410836"/>
    <w:rsid w:val="00410846"/>
    <w:rsid w:val="004108AA"/>
    <w:rsid w:val="0041095D"/>
    <w:rsid w:val="00410965"/>
    <w:rsid w:val="00410BDA"/>
    <w:rsid w:val="00410C77"/>
    <w:rsid w:val="00410CFD"/>
    <w:rsid w:val="00410DFB"/>
    <w:rsid w:val="00410F2C"/>
    <w:rsid w:val="004110F5"/>
    <w:rsid w:val="00411289"/>
    <w:rsid w:val="00411345"/>
    <w:rsid w:val="0041136C"/>
    <w:rsid w:val="00411397"/>
    <w:rsid w:val="004113FB"/>
    <w:rsid w:val="004114BC"/>
    <w:rsid w:val="004116D2"/>
    <w:rsid w:val="004117A0"/>
    <w:rsid w:val="00411957"/>
    <w:rsid w:val="00411C27"/>
    <w:rsid w:val="00411CB5"/>
    <w:rsid w:val="00411DB5"/>
    <w:rsid w:val="0041227D"/>
    <w:rsid w:val="004123E0"/>
    <w:rsid w:val="00412402"/>
    <w:rsid w:val="00412403"/>
    <w:rsid w:val="004124BC"/>
    <w:rsid w:val="00412534"/>
    <w:rsid w:val="0041255C"/>
    <w:rsid w:val="004125C3"/>
    <w:rsid w:val="004127EA"/>
    <w:rsid w:val="00412B06"/>
    <w:rsid w:val="00412B9F"/>
    <w:rsid w:val="00412BA6"/>
    <w:rsid w:val="00412C05"/>
    <w:rsid w:val="00412C63"/>
    <w:rsid w:val="00412CCF"/>
    <w:rsid w:val="00412CED"/>
    <w:rsid w:val="00412F52"/>
    <w:rsid w:val="00412F6C"/>
    <w:rsid w:val="00412FB2"/>
    <w:rsid w:val="004130C1"/>
    <w:rsid w:val="004130D0"/>
    <w:rsid w:val="0041315A"/>
    <w:rsid w:val="00413210"/>
    <w:rsid w:val="0041348C"/>
    <w:rsid w:val="00413716"/>
    <w:rsid w:val="0041371A"/>
    <w:rsid w:val="0041377D"/>
    <w:rsid w:val="004137AD"/>
    <w:rsid w:val="004138BF"/>
    <w:rsid w:val="00413906"/>
    <w:rsid w:val="00413A43"/>
    <w:rsid w:val="00413B18"/>
    <w:rsid w:val="00413CD7"/>
    <w:rsid w:val="0041413F"/>
    <w:rsid w:val="0041422B"/>
    <w:rsid w:val="00414256"/>
    <w:rsid w:val="00414285"/>
    <w:rsid w:val="0041432F"/>
    <w:rsid w:val="0041434E"/>
    <w:rsid w:val="004149CB"/>
    <w:rsid w:val="004149DA"/>
    <w:rsid w:val="00414A07"/>
    <w:rsid w:val="00414B65"/>
    <w:rsid w:val="00414C81"/>
    <w:rsid w:val="00414D29"/>
    <w:rsid w:val="00414D46"/>
    <w:rsid w:val="00414F99"/>
    <w:rsid w:val="0041513D"/>
    <w:rsid w:val="00415307"/>
    <w:rsid w:val="0041536B"/>
    <w:rsid w:val="004153E7"/>
    <w:rsid w:val="004153FB"/>
    <w:rsid w:val="00415412"/>
    <w:rsid w:val="0041541C"/>
    <w:rsid w:val="00415480"/>
    <w:rsid w:val="004154FC"/>
    <w:rsid w:val="0041571D"/>
    <w:rsid w:val="00415732"/>
    <w:rsid w:val="004157AE"/>
    <w:rsid w:val="004158FF"/>
    <w:rsid w:val="004159EC"/>
    <w:rsid w:val="00415AC2"/>
    <w:rsid w:val="00415AE7"/>
    <w:rsid w:val="00415B19"/>
    <w:rsid w:val="00415C3C"/>
    <w:rsid w:val="0041613F"/>
    <w:rsid w:val="004161CB"/>
    <w:rsid w:val="0041621F"/>
    <w:rsid w:val="004162A0"/>
    <w:rsid w:val="00416353"/>
    <w:rsid w:val="00416475"/>
    <w:rsid w:val="00416500"/>
    <w:rsid w:val="004165B2"/>
    <w:rsid w:val="00416762"/>
    <w:rsid w:val="0041676E"/>
    <w:rsid w:val="004167C9"/>
    <w:rsid w:val="00416805"/>
    <w:rsid w:val="004168F9"/>
    <w:rsid w:val="00416916"/>
    <w:rsid w:val="00416AE2"/>
    <w:rsid w:val="00416C69"/>
    <w:rsid w:val="00416C9D"/>
    <w:rsid w:val="00416D08"/>
    <w:rsid w:val="00416F87"/>
    <w:rsid w:val="004170AC"/>
    <w:rsid w:val="004170D5"/>
    <w:rsid w:val="004171E3"/>
    <w:rsid w:val="00417253"/>
    <w:rsid w:val="0041731F"/>
    <w:rsid w:val="0041732D"/>
    <w:rsid w:val="00417472"/>
    <w:rsid w:val="004174FA"/>
    <w:rsid w:val="00417791"/>
    <w:rsid w:val="00417852"/>
    <w:rsid w:val="004178B0"/>
    <w:rsid w:val="00417918"/>
    <w:rsid w:val="00417C1F"/>
    <w:rsid w:val="00417C66"/>
    <w:rsid w:val="00417CEB"/>
    <w:rsid w:val="00417D7A"/>
    <w:rsid w:val="00417FB9"/>
    <w:rsid w:val="00420128"/>
    <w:rsid w:val="00420475"/>
    <w:rsid w:val="00420511"/>
    <w:rsid w:val="00420846"/>
    <w:rsid w:val="00420857"/>
    <w:rsid w:val="0042093E"/>
    <w:rsid w:val="0042099D"/>
    <w:rsid w:val="00420AAD"/>
    <w:rsid w:val="00420B19"/>
    <w:rsid w:val="00420C27"/>
    <w:rsid w:val="00420CCB"/>
    <w:rsid w:val="00420E1E"/>
    <w:rsid w:val="00420E95"/>
    <w:rsid w:val="00421051"/>
    <w:rsid w:val="00421055"/>
    <w:rsid w:val="00421077"/>
    <w:rsid w:val="004211AA"/>
    <w:rsid w:val="004211AC"/>
    <w:rsid w:val="00421351"/>
    <w:rsid w:val="004214BE"/>
    <w:rsid w:val="00421514"/>
    <w:rsid w:val="00421650"/>
    <w:rsid w:val="004216B5"/>
    <w:rsid w:val="00421710"/>
    <w:rsid w:val="00421865"/>
    <w:rsid w:val="00421A76"/>
    <w:rsid w:val="00421B11"/>
    <w:rsid w:val="00421BEB"/>
    <w:rsid w:val="00421D85"/>
    <w:rsid w:val="00421EE6"/>
    <w:rsid w:val="00421F4D"/>
    <w:rsid w:val="0042228A"/>
    <w:rsid w:val="004225B4"/>
    <w:rsid w:val="00422807"/>
    <w:rsid w:val="00422A07"/>
    <w:rsid w:val="00422B05"/>
    <w:rsid w:val="00422CAB"/>
    <w:rsid w:val="00422E63"/>
    <w:rsid w:val="00422EAF"/>
    <w:rsid w:val="00422EDF"/>
    <w:rsid w:val="00423050"/>
    <w:rsid w:val="004231C1"/>
    <w:rsid w:val="004231FE"/>
    <w:rsid w:val="004232AE"/>
    <w:rsid w:val="004233BE"/>
    <w:rsid w:val="00423602"/>
    <w:rsid w:val="0042384D"/>
    <w:rsid w:val="00423934"/>
    <w:rsid w:val="0042393E"/>
    <w:rsid w:val="0042398A"/>
    <w:rsid w:val="004239AD"/>
    <w:rsid w:val="004239C8"/>
    <w:rsid w:val="00423A74"/>
    <w:rsid w:val="00423AE1"/>
    <w:rsid w:val="00423AF1"/>
    <w:rsid w:val="00423B8E"/>
    <w:rsid w:val="00423BF4"/>
    <w:rsid w:val="00423C9A"/>
    <w:rsid w:val="00423FFD"/>
    <w:rsid w:val="0042416F"/>
    <w:rsid w:val="0042419F"/>
    <w:rsid w:val="004242F6"/>
    <w:rsid w:val="004245A2"/>
    <w:rsid w:val="0042476E"/>
    <w:rsid w:val="0042476F"/>
    <w:rsid w:val="00424862"/>
    <w:rsid w:val="004248F8"/>
    <w:rsid w:val="004249A0"/>
    <w:rsid w:val="004249D4"/>
    <w:rsid w:val="00424B01"/>
    <w:rsid w:val="00424EF0"/>
    <w:rsid w:val="0042535E"/>
    <w:rsid w:val="00425443"/>
    <w:rsid w:val="0042551E"/>
    <w:rsid w:val="00425839"/>
    <w:rsid w:val="0042589A"/>
    <w:rsid w:val="004259E2"/>
    <w:rsid w:val="00425AED"/>
    <w:rsid w:val="00425C2A"/>
    <w:rsid w:val="004260A0"/>
    <w:rsid w:val="00426395"/>
    <w:rsid w:val="0042660B"/>
    <w:rsid w:val="0042666D"/>
    <w:rsid w:val="00426734"/>
    <w:rsid w:val="00426756"/>
    <w:rsid w:val="004267A0"/>
    <w:rsid w:val="0042681D"/>
    <w:rsid w:val="00426823"/>
    <w:rsid w:val="00426A3A"/>
    <w:rsid w:val="00426A66"/>
    <w:rsid w:val="00426E2F"/>
    <w:rsid w:val="00426E64"/>
    <w:rsid w:val="00426E69"/>
    <w:rsid w:val="00427012"/>
    <w:rsid w:val="004271C2"/>
    <w:rsid w:val="004271F4"/>
    <w:rsid w:val="00427243"/>
    <w:rsid w:val="00427269"/>
    <w:rsid w:val="00427270"/>
    <w:rsid w:val="004273A2"/>
    <w:rsid w:val="004274CC"/>
    <w:rsid w:val="004276F5"/>
    <w:rsid w:val="004279CB"/>
    <w:rsid w:val="00427B6D"/>
    <w:rsid w:val="00427C16"/>
    <w:rsid w:val="00427E48"/>
    <w:rsid w:val="00427F5B"/>
    <w:rsid w:val="00427FA5"/>
    <w:rsid w:val="004300BD"/>
    <w:rsid w:val="004300EA"/>
    <w:rsid w:val="00430451"/>
    <w:rsid w:val="00430467"/>
    <w:rsid w:val="004305C8"/>
    <w:rsid w:val="00430774"/>
    <w:rsid w:val="00430A9D"/>
    <w:rsid w:val="00430BDC"/>
    <w:rsid w:val="00430CEF"/>
    <w:rsid w:val="00430E78"/>
    <w:rsid w:val="004312D8"/>
    <w:rsid w:val="0043143D"/>
    <w:rsid w:val="004314AA"/>
    <w:rsid w:val="004316E3"/>
    <w:rsid w:val="0043188D"/>
    <w:rsid w:val="004318FB"/>
    <w:rsid w:val="00431B1C"/>
    <w:rsid w:val="00431B72"/>
    <w:rsid w:val="00431BC4"/>
    <w:rsid w:val="00431C32"/>
    <w:rsid w:val="00431D1D"/>
    <w:rsid w:val="00431E01"/>
    <w:rsid w:val="00431F55"/>
    <w:rsid w:val="00431F7F"/>
    <w:rsid w:val="00432009"/>
    <w:rsid w:val="0043212E"/>
    <w:rsid w:val="00432335"/>
    <w:rsid w:val="00432523"/>
    <w:rsid w:val="00432736"/>
    <w:rsid w:val="00432750"/>
    <w:rsid w:val="0043275F"/>
    <w:rsid w:val="00432778"/>
    <w:rsid w:val="00432AEB"/>
    <w:rsid w:val="00432B79"/>
    <w:rsid w:val="00432C69"/>
    <w:rsid w:val="00432C95"/>
    <w:rsid w:val="00432C9E"/>
    <w:rsid w:val="00432D7D"/>
    <w:rsid w:val="00432E9C"/>
    <w:rsid w:val="00432EDD"/>
    <w:rsid w:val="00433084"/>
    <w:rsid w:val="00433161"/>
    <w:rsid w:val="004332A0"/>
    <w:rsid w:val="00433429"/>
    <w:rsid w:val="0043367B"/>
    <w:rsid w:val="0043372C"/>
    <w:rsid w:val="00433786"/>
    <w:rsid w:val="0043387C"/>
    <w:rsid w:val="004338A2"/>
    <w:rsid w:val="004338B8"/>
    <w:rsid w:val="004338D3"/>
    <w:rsid w:val="004338E4"/>
    <w:rsid w:val="00433B2D"/>
    <w:rsid w:val="00433B2E"/>
    <w:rsid w:val="00433BB2"/>
    <w:rsid w:val="00433C2E"/>
    <w:rsid w:val="00433D82"/>
    <w:rsid w:val="00434064"/>
    <w:rsid w:val="004340EE"/>
    <w:rsid w:val="00434241"/>
    <w:rsid w:val="004345BA"/>
    <w:rsid w:val="00434760"/>
    <w:rsid w:val="004347F6"/>
    <w:rsid w:val="00434804"/>
    <w:rsid w:val="00434927"/>
    <w:rsid w:val="00434B99"/>
    <w:rsid w:val="00434D0C"/>
    <w:rsid w:val="00434E0B"/>
    <w:rsid w:val="00434E23"/>
    <w:rsid w:val="00434EE0"/>
    <w:rsid w:val="00434FBD"/>
    <w:rsid w:val="004351A3"/>
    <w:rsid w:val="004351E9"/>
    <w:rsid w:val="0043544B"/>
    <w:rsid w:val="00435496"/>
    <w:rsid w:val="00435579"/>
    <w:rsid w:val="00435587"/>
    <w:rsid w:val="004355AD"/>
    <w:rsid w:val="004355DA"/>
    <w:rsid w:val="00435648"/>
    <w:rsid w:val="004357D5"/>
    <w:rsid w:val="004358C9"/>
    <w:rsid w:val="00435ADC"/>
    <w:rsid w:val="00435B0B"/>
    <w:rsid w:val="00435D12"/>
    <w:rsid w:val="00435D83"/>
    <w:rsid w:val="00435F85"/>
    <w:rsid w:val="00435FAA"/>
    <w:rsid w:val="00436254"/>
    <w:rsid w:val="00436266"/>
    <w:rsid w:val="00436299"/>
    <w:rsid w:val="004363C6"/>
    <w:rsid w:val="004364BD"/>
    <w:rsid w:val="0043654D"/>
    <w:rsid w:val="0043673E"/>
    <w:rsid w:val="00436779"/>
    <w:rsid w:val="004367EB"/>
    <w:rsid w:val="00436AFA"/>
    <w:rsid w:val="00436C39"/>
    <w:rsid w:val="00437404"/>
    <w:rsid w:val="00437486"/>
    <w:rsid w:val="004374A3"/>
    <w:rsid w:val="004374AF"/>
    <w:rsid w:val="00437504"/>
    <w:rsid w:val="00437540"/>
    <w:rsid w:val="00437591"/>
    <w:rsid w:val="00437592"/>
    <w:rsid w:val="004375D7"/>
    <w:rsid w:val="004377B7"/>
    <w:rsid w:val="0043791E"/>
    <w:rsid w:val="00437A29"/>
    <w:rsid w:val="00437B70"/>
    <w:rsid w:val="00437C3C"/>
    <w:rsid w:val="00437D9A"/>
    <w:rsid w:val="00437EDA"/>
    <w:rsid w:val="0044006D"/>
    <w:rsid w:val="00440091"/>
    <w:rsid w:val="00440237"/>
    <w:rsid w:val="00440238"/>
    <w:rsid w:val="00440447"/>
    <w:rsid w:val="0044048B"/>
    <w:rsid w:val="0044053D"/>
    <w:rsid w:val="004406B8"/>
    <w:rsid w:val="00440904"/>
    <w:rsid w:val="00440AA3"/>
    <w:rsid w:val="00440AA8"/>
    <w:rsid w:val="00440BE6"/>
    <w:rsid w:val="00440D3F"/>
    <w:rsid w:val="00440E7E"/>
    <w:rsid w:val="00440F0A"/>
    <w:rsid w:val="00440FFD"/>
    <w:rsid w:val="00441024"/>
    <w:rsid w:val="0044106B"/>
    <w:rsid w:val="00441954"/>
    <w:rsid w:val="004419ED"/>
    <w:rsid w:val="00441A0B"/>
    <w:rsid w:val="00441A5C"/>
    <w:rsid w:val="00441B76"/>
    <w:rsid w:val="00441C04"/>
    <w:rsid w:val="00441C4E"/>
    <w:rsid w:val="00441C72"/>
    <w:rsid w:val="00441C78"/>
    <w:rsid w:val="00441D28"/>
    <w:rsid w:val="0044212A"/>
    <w:rsid w:val="0044216D"/>
    <w:rsid w:val="004421F5"/>
    <w:rsid w:val="004422A5"/>
    <w:rsid w:val="004423F9"/>
    <w:rsid w:val="004427EE"/>
    <w:rsid w:val="00442875"/>
    <w:rsid w:val="00442886"/>
    <w:rsid w:val="0044293B"/>
    <w:rsid w:val="00442AF4"/>
    <w:rsid w:val="00442B22"/>
    <w:rsid w:val="00442B28"/>
    <w:rsid w:val="00442C39"/>
    <w:rsid w:val="00442D55"/>
    <w:rsid w:val="00442D59"/>
    <w:rsid w:val="004430DF"/>
    <w:rsid w:val="0044314A"/>
    <w:rsid w:val="004432EA"/>
    <w:rsid w:val="0044338E"/>
    <w:rsid w:val="0044353E"/>
    <w:rsid w:val="00443567"/>
    <w:rsid w:val="00443738"/>
    <w:rsid w:val="0044377D"/>
    <w:rsid w:val="00443848"/>
    <w:rsid w:val="004438F0"/>
    <w:rsid w:val="004439B7"/>
    <w:rsid w:val="00443B66"/>
    <w:rsid w:val="00443C2F"/>
    <w:rsid w:val="00443CE7"/>
    <w:rsid w:val="0044418B"/>
    <w:rsid w:val="004441F3"/>
    <w:rsid w:val="004443F6"/>
    <w:rsid w:val="00444417"/>
    <w:rsid w:val="0044444C"/>
    <w:rsid w:val="00444605"/>
    <w:rsid w:val="00444799"/>
    <w:rsid w:val="00444943"/>
    <w:rsid w:val="004449DB"/>
    <w:rsid w:val="00444F0E"/>
    <w:rsid w:val="00444F4A"/>
    <w:rsid w:val="004451EB"/>
    <w:rsid w:val="00445265"/>
    <w:rsid w:val="004453AB"/>
    <w:rsid w:val="004454EA"/>
    <w:rsid w:val="00445553"/>
    <w:rsid w:val="004455C0"/>
    <w:rsid w:val="00445789"/>
    <w:rsid w:val="004457A3"/>
    <w:rsid w:val="00445845"/>
    <w:rsid w:val="0044596C"/>
    <w:rsid w:val="00445AEF"/>
    <w:rsid w:val="00445B57"/>
    <w:rsid w:val="00445BCF"/>
    <w:rsid w:val="00445D59"/>
    <w:rsid w:val="00445DF3"/>
    <w:rsid w:val="00445F74"/>
    <w:rsid w:val="00445FD4"/>
    <w:rsid w:val="0044604A"/>
    <w:rsid w:val="00446102"/>
    <w:rsid w:val="00446165"/>
    <w:rsid w:val="0044630C"/>
    <w:rsid w:val="00446315"/>
    <w:rsid w:val="004464E7"/>
    <w:rsid w:val="0044655E"/>
    <w:rsid w:val="004465D2"/>
    <w:rsid w:val="00446666"/>
    <w:rsid w:val="0044675F"/>
    <w:rsid w:val="0044676B"/>
    <w:rsid w:val="004467DD"/>
    <w:rsid w:val="00446BA2"/>
    <w:rsid w:val="00446BC6"/>
    <w:rsid w:val="00446ED1"/>
    <w:rsid w:val="00446FB9"/>
    <w:rsid w:val="004472D4"/>
    <w:rsid w:val="00447360"/>
    <w:rsid w:val="004477C3"/>
    <w:rsid w:val="0044784B"/>
    <w:rsid w:val="0044798F"/>
    <w:rsid w:val="004479C7"/>
    <w:rsid w:val="00447AEE"/>
    <w:rsid w:val="00447BA5"/>
    <w:rsid w:val="00447CAD"/>
    <w:rsid w:val="00447F61"/>
    <w:rsid w:val="00447F82"/>
    <w:rsid w:val="00450101"/>
    <w:rsid w:val="0045038C"/>
    <w:rsid w:val="00450442"/>
    <w:rsid w:val="004504D9"/>
    <w:rsid w:val="00450570"/>
    <w:rsid w:val="00450738"/>
    <w:rsid w:val="00450999"/>
    <w:rsid w:val="00450DDF"/>
    <w:rsid w:val="00450E0C"/>
    <w:rsid w:val="00451048"/>
    <w:rsid w:val="00451142"/>
    <w:rsid w:val="004511C6"/>
    <w:rsid w:val="00451274"/>
    <w:rsid w:val="00451761"/>
    <w:rsid w:val="004517DC"/>
    <w:rsid w:val="004517F6"/>
    <w:rsid w:val="00451862"/>
    <w:rsid w:val="00451930"/>
    <w:rsid w:val="00451946"/>
    <w:rsid w:val="004519B8"/>
    <w:rsid w:val="00451A6C"/>
    <w:rsid w:val="00451AF2"/>
    <w:rsid w:val="00451B99"/>
    <w:rsid w:val="00451C26"/>
    <w:rsid w:val="00451C94"/>
    <w:rsid w:val="00451E48"/>
    <w:rsid w:val="00451EA1"/>
    <w:rsid w:val="00451ECC"/>
    <w:rsid w:val="00452116"/>
    <w:rsid w:val="004521F7"/>
    <w:rsid w:val="004522CA"/>
    <w:rsid w:val="004522CE"/>
    <w:rsid w:val="004522E2"/>
    <w:rsid w:val="0045265E"/>
    <w:rsid w:val="00452914"/>
    <w:rsid w:val="004529FD"/>
    <w:rsid w:val="00452A8B"/>
    <w:rsid w:val="00452B0E"/>
    <w:rsid w:val="00452B72"/>
    <w:rsid w:val="00452BC6"/>
    <w:rsid w:val="00452BCA"/>
    <w:rsid w:val="00452F07"/>
    <w:rsid w:val="004530DC"/>
    <w:rsid w:val="004530F5"/>
    <w:rsid w:val="004531AF"/>
    <w:rsid w:val="004531C5"/>
    <w:rsid w:val="004532A9"/>
    <w:rsid w:val="004535A2"/>
    <w:rsid w:val="00453617"/>
    <w:rsid w:val="0045365D"/>
    <w:rsid w:val="004536FA"/>
    <w:rsid w:val="0045375F"/>
    <w:rsid w:val="00453C4F"/>
    <w:rsid w:val="00453C88"/>
    <w:rsid w:val="00453EE0"/>
    <w:rsid w:val="004540E8"/>
    <w:rsid w:val="004541CC"/>
    <w:rsid w:val="0045436A"/>
    <w:rsid w:val="00454431"/>
    <w:rsid w:val="00454514"/>
    <w:rsid w:val="004549D4"/>
    <w:rsid w:val="00454B7F"/>
    <w:rsid w:val="00454D8E"/>
    <w:rsid w:val="00454EFE"/>
    <w:rsid w:val="00454FC1"/>
    <w:rsid w:val="00455062"/>
    <w:rsid w:val="00455152"/>
    <w:rsid w:val="0045518E"/>
    <w:rsid w:val="004551E6"/>
    <w:rsid w:val="004555C4"/>
    <w:rsid w:val="004555E1"/>
    <w:rsid w:val="00455796"/>
    <w:rsid w:val="004557A4"/>
    <w:rsid w:val="00455822"/>
    <w:rsid w:val="004558B1"/>
    <w:rsid w:val="004559CE"/>
    <w:rsid w:val="00455A3F"/>
    <w:rsid w:val="00455CDD"/>
    <w:rsid w:val="00455DCD"/>
    <w:rsid w:val="00455E8B"/>
    <w:rsid w:val="00455E9F"/>
    <w:rsid w:val="0045602B"/>
    <w:rsid w:val="00456062"/>
    <w:rsid w:val="004560AD"/>
    <w:rsid w:val="004562D0"/>
    <w:rsid w:val="004563F0"/>
    <w:rsid w:val="00456412"/>
    <w:rsid w:val="00456493"/>
    <w:rsid w:val="004565A7"/>
    <w:rsid w:val="004566D0"/>
    <w:rsid w:val="004566E3"/>
    <w:rsid w:val="00456929"/>
    <w:rsid w:val="00456A36"/>
    <w:rsid w:val="00456BD4"/>
    <w:rsid w:val="00456E7B"/>
    <w:rsid w:val="00456F0E"/>
    <w:rsid w:val="00456FED"/>
    <w:rsid w:val="00457192"/>
    <w:rsid w:val="0045734D"/>
    <w:rsid w:val="00457528"/>
    <w:rsid w:val="00457660"/>
    <w:rsid w:val="0045780C"/>
    <w:rsid w:val="004578F6"/>
    <w:rsid w:val="00457902"/>
    <w:rsid w:val="004579A2"/>
    <w:rsid w:val="00457A42"/>
    <w:rsid w:val="00457B36"/>
    <w:rsid w:val="00457CDB"/>
    <w:rsid w:val="00457DE8"/>
    <w:rsid w:val="00457EB6"/>
    <w:rsid w:val="00457F9B"/>
    <w:rsid w:val="00460081"/>
    <w:rsid w:val="004600B9"/>
    <w:rsid w:val="00460165"/>
    <w:rsid w:val="0046032B"/>
    <w:rsid w:val="004603C1"/>
    <w:rsid w:val="00460928"/>
    <w:rsid w:val="00460963"/>
    <w:rsid w:val="00460AD7"/>
    <w:rsid w:val="00460B22"/>
    <w:rsid w:val="00460D9C"/>
    <w:rsid w:val="00460DCA"/>
    <w:rsid w:val="00460EA3"/>
    <w:rsid w:val="00460ECF"/>
    <w:rsid w:val="00460EEE"/>
    <w:rsid w:val="0046106A"/>
    <w:rsid w:val="004610C2"/>
    <w:rsid w:val="00461320"/>
    <w:rsid w:val="004615AC"/>
    <w:rsid w:val="0046191E"/>
    <w:rsid w:val="00461A01"/>
    <w:rsid w:val="00461A2E"/>
    <w:rsid w:val="00461B15"/>
    <w:rsid w:val="00461BB1"/>
    <w:rsid w:val="00461CFE"/>
    <w:rsid w:val="00461D82"/>
    <w:rsid w:val="00461F70"/>
    <w:rsid w:val="00461FD7"/>
    <w:rsid w:val="00461FEA"/>
    <w:rsid w:val="00462020"/>
    <w:rsid w:val="004620AA"/>
    <w:rsid w:val="00462143"/>
    <w:rsid w:val="0046234F"/>
    <w:rsid w:val="004624A1"/>
    <w:rsid w:val="00462579"/>
    <w:rsid w:val="0046264D"/>
    <w:rsid w:val="00462691"/>
    <w:rsid w:val="00462774"/>
    <w:rsid w:val="00462811"/>
    <w:rsid w:val="0046284E"/>
    <w:rsid w:val="004628B9"/>
    <w:rsid w:val="00462907"/>
    <w:rsid w:val="00462A2D"/>
    <w:rsid w:val="00462CEC"/>
    <w:rsid w:val="00462DC4"/>
    <w:rsid w:val="00462E31"/>
    <w:rsid w:val="0046304D"/>
    <w:rsid w:val="00463220"/>
    <w:rsid w:val="00463247"/>
    <w:rsid w:val="004633E3"/>
    <w:rsid w:val="0046347B"/>
    <w:rsid w:val="004634B8"/>
    <w:rsid w:val="00463515"/>
    <w:rsid w:val="00463655"/>
    <w:rsid w:val="004636B2"/>
    <w:rsid w:val="0046371D"/>
    <w:rsid w:val="004637DE"/>
    <w:rsid w:val="00463A5D"/>
    <w:rsid w:val="00463AF5"/>
    <w:rsid w:val="00463C47"/>
    <w:rsid w:val="0046419C"/>
    <w:rsid w:val="00464202"/>
    <w:rsid w:val="0046450F"/>
    <w:rsid w:val="0046466D"/>
    <w:rsid w:val="004649AF"/>
    <w:rsid w:val="00464E31"/>
    <w:rsid w:val="00464F15"/>
    <w:rsid w:val="00464F2A"/>
    <w:rsid w:val="00464F36"/>
    <w:rsid w:val="00464FAF"/>
    <w:rsid w:val="00464FB2"/>
    <w:rsid w:val="00464FFD"/>
    <w:rsid w:val="00465160"/>
    <w:rsid w:val="004653D9"/>
    <w:rsid w:val="00465436"/>
    <w:rsid w:val="00465493"/>
    <w:rsid w:val="004655E0"/>
    <w:rsid w:val="004657BD"/>
    <w:rsid w:val="004658C8"/>
    <w:rsid w:val="00465944"/>
    <w:rsid w:val="00465AE3"/>
    <w:rsid w:val="00465B24"/>
    <w:rsid w:val="00465E44"/>
    <w:rsid w:val="00465E94"/>
    <w:rsid w:val="00465EB0"/>
    <w:rsid w:val="004661BD"/>
    <w:rsid w:val="004661EE"/>
    <w:rsid w:val="00466256"/>
    <w:rsid w:val="004663C3"/>
    <w:rsid w:val="0046649C"/>
    <w:rsid w:val="00466566"/>
    <w:rsid w:val="004665AB"/>
    <w:rsid w:val="00466993"/>
    <w:rsid w:val="00466A39"/>
    <w:rsid w:val="00466D81"/>
    <w:rsid w:val="00467029"/>
    <w:rsid w:val="004671CF"/>
    <w:rsid w:val="00467274"/>
    <w:rsid w:val="004672D3"/>
    <w:rsid w:val="00467317"/>
    <w:rsid w:val="00467475"/>
    <w:rsid w:val="0046774F"/>
    <w:rsid w:val="00467781"/>
    <w:rsid w:val="00467884"/>
    <w:rsid w:val="00467910"/>
    <w:rsid w:val="00467BB4"/>
    <w:rsid w:val="00467CAF"/>
    <w:rsid w:val="00467D72"/>
    <w:rsid w:val="00467DB9"/>
    <w:rsid w:val="00467F33"/>
    <w:rsid w:val="00470189"/>
    <w:rsid w:val="0047067A"/>
    <w:rsid w:val="004706BB"/>
    <w:rsid w:val="00470C15"/>
    <w:rsid w:val="00470CDB"/>
    <w:rsid w:val="00470CE7"/>
    <w:rsid w:val="00470D4A"/>
    <w:rsid w:val="00470DB2"/>
    <w:rsid w:val="00470E60"/>
    <w:rsid w:val="004710E5"/>
    <w:rsid w:val="0047123B"/>
    <w:rsid w:val="004712AE"/>
    <w:rsid w:val="004713E4"/>
    <w:rsid w:val="00471490"/>
    <w:rsid w:val="004714A6"/>
    <w:rsid w:val="0047152A"/>
    <w:rsid w:val="00471579"/>
    <w:rsid w:val="004716B0"/>
    <w:rsid w:val="004716DF"/>
    <w:rsid w:val="00471984"/>
    <w:rsid w:val="00471A01"/>
    <w:rsid w:val="00471AB2"/>
    <w:rsid w:val="00471ABD"/>
    <w:rsid w:val="00471B0E"/>
    <w:rsid w:val="00471B88"/>
    <w:rsid w:val="00471BC8"/>
    <w:rsid w:val="00471CCF"/>
    <w:rsid w:val="00471D2A"/>
    <w:rsid w:val="00472020"/>
    <w:rsid w:val="0047205C"/>
    <w:rsid w:val="00472200"/>
    <w:rsid w:val="0047242B"/>
    <w:rsid w:val="0047247C"/>
    <w:rsid w:val="00472484"/>
    <w:rsid w:val="00472726"/>
    <w:rsid w:val="00472746"/>
    <w:rsid w:val="004727C8"/>
    <w:rsid w:val="00472894"/>
    <w:rsid w:val="00472936"/>
    <w:rsid w:val="00472C10"/>
    <w:rsid w:val="00472C3C"/>
    <w:rsid w:val="00472CD8"/>
    <w:rsid w:val="00472E5C"/>
    <w:rsid w:val="00472EF2"/>
    <w:rsid w:val="00472F31"/>
    <w:rsid w:val="00472FA9"/>
    <w:rsid w:val="0047311C"/>
    <w:rsid w:val="0047340E"/>
    <w:rsid w:val="004736EE"/>
    <w:rsid w:val="004738C9"/>
    <w:rsid w:val="004738D6"/>
    <w:rsid w:val="004739D4"/>
    <w:rsid w:val="00473B5D"/>
    <w:rsid w:val="00473B73"/>
    <w:rsid w:val="00473C03"/>
    <w:rsid w:val="00473C30"/>
    <w:rsid w:val="00473CDD"/>
    <w:rsid w:val="0047407C"/>
    <w:rsid w:val="004740DA"/>
    <w:rsid w:val="0047411A"/>
    <w:rsid w:val="004741D0"/>
    <w:rsid w:val="00474315"/>
    <w:rsid w:val="004744E9"/>
    <w:rsid w:val="0047455D"/>
    <w:rsid w:val="004745C6"/>
    <w:rsid w:val="004745F8"/>
    <w:rsid w:val="00474619"/>
    <w:rsid w:val="00474A41"/>
    <w:rsid w:val="00474AA5"/>
    <w:rsid w:val="00474C35"/>
    <w:rsid w:val="00474C89"/>
    <w:rsid w:val="00474FD3"/>
    <w:rsid w:val="00475133"/>
    <w:rsid w:val="00475134"/>
    <w:rsid w:val="004751CA"/>
    <w:rsid w:val="004752E5"/>
    <w:rsid w:val="0047531F"/>
    <w:rsid w:val="004754DB"/>
    <w:rsid w:val="004755B2"/>
    <w:rsid w:val="00475869"/>
    <w:rsid w:val="00475979"/>
    <w:rsid w:val="00475A49"/>
    <w:rsid w:val="00475AC0"/>
    <w:rsid w:val="00475B7B"/>
    <w:rsid w:val="00475C2F"/>
    <w:rsid w:val="00475C9A"/>
    <w:rsid w:val="00475DAD"/>
    <w:rsid w:val="00475E2B"/>
    <w:rsid w:val="00475EB0"/>
    <w:rsid w:val="00475F4D"/>
    <w:rsid w:val="00475FFC"/>
    <w:rsid w:val="00476052"/>
    <w:rsid w:val="00476090"/>
    <w:rsid w:val="00476141"/>
    <w:rsid w:val="0047638D"/>
    <w:rsid w:val="004764D4"/>
    <w:rsid w:val="004764F4"/>
    <w:rsid w:val="0047696E"/>
    <w:rsid w:val="00476AFB"/>
    <w:rsid w:val="00476C57"/>
    <w:rsid w:val="00476CA7"/>
    <w:rsid w:val="00476EAB"/>
    <w:rsid w:val="0047710D"/>
    <w:rsid w:val="00477152"/>
    <w:rsid w:val="00477469"/>
    <w:rsid w:val="0047751D"/>
    <w:rsid w:val="0047758A"/>
    <w:rsid w:val="0047761B"/>
    <w:rsid w:val="004776CE"/>
    <w:rsid w:val="0047775F"/>
    <w:rsid w:val="004778D5"/>
    <w:rsid w:val="00477978"/>
    <w:rsid w:val="00477A6C"/>
    <w:rsid w:val="00477ABD"/>
    <w:rsid w:val="00477B1C"/>
    <w:rsid w:val="00477DAE"/>
    <w:rsid w:val="00477E2D"/>
    <w:rsid w:val="0048018E"/>
    <w:rsid w:val="004801D7"/>
    <w:rsid w:val="004802F2"/>
    <w:rsid w:val="004805A6"/>
    <w:rsid w:val="004807EC"/>
    <w:rsid w:val="00480B01"/>
    <w:rsid w:val="00480CED"/>
    <w:rsid w:val="00480D6C"/>
    <w:rsid w:val="00480EFA"/>
    <w:rsid w:val="00480F0A"/>
    <w:rsid w:val="00480F1C"/>
    <w:rsid w:val="00480F5A"/>
    <w:rsid w:val="00480FF7"/>
    <w:rsid w:val="0048107D"/>
    <w:rsid w:val="00481238"/>
    <w:rsid w:val="0048124C"/>
    <w:rsid w:val="0048141B"/>
    <w:rsid w:val="004814A4"/>
    <w:rsid w:val="004814BF"/>
    <w:rsid w:val="004814FE"/>
    <w:rsid w:val="00481860"/>
    <w:rsid w:val="004818CC"/>
    <w:rsid w:val="00481944"/>
    <w:rsid w:val="00481A13"/>
    <w:rsid w:val="00481A66"/>
    <w:rsid w:val="00481C2C"/>
    <w:rsid w:val="00481D2A"/>
    <w:rsid w:val="00481EC3"/>
    <w:rsid w:val="00481EC9"/>
    <w:rsid w:val="00481F5A"/>
    <w:rsid w:val="00481FF5"/>
    <w:rsid w:val="00482021"/>
    <w:rsid w:val="00482033"/>
    <w:rsid w:val="0048208C"/>
    <w:rsid w:val="00482144"/>
    <w:rsid w:val="0048215D"/>
    <w:rsid w:val="00482338"/>
    <w:rsid w:val="00482447"/>
    <w:rsid w:val="004825BE"/>
    <w:rsid w:val="00482661"/>
    <w:rsid w:val="00482A44"/>
    <w:rsid w:val="00482A80"/>
    <w:rsid w:val="00482AD1"/>
    <w:rsid w:val="00482AEF"/>
    <w:rsid w:val="00482C6B"/>
    <w:rsid w:val="00482DAA"/>
    <w:rsid w:val="00482FED"/>
    <w:rsid w:val="00483049"/>
    <w:rsid w:val="00483193"/>
    <w:rsid w:val="0048320F"/>
    <w:rsid w:val="004832B5"/>
    <w:rsid w:val="00483387"/>
    <w:rsid w:val="004833D4"/>
    <w:rsid w:val="004835E6"/>
    <w:rsid w:val="00483724"/>
    <w:rsid w:val="0048379C"/>
    <w:rsid w:val="00483820"/>
    <w:rsid w:val="004839A3"/>
    <w:rsid w:val="00483A70"/>
    <w:rsid w:val="00483AD3"/>
    <w:rsid w:val="00483C71"/>
    <w:rsid w:val="00483D41"/>
    <w:rsid w:val="00483D6F"/>
    <w:rsid w:val="00483DC0"/>
    <w:rsid w:val="00483F63"/>
    <w:rsid w:val="00484013"/>
    <w:rsid w:val="00484044"/>
    <w:rsid w:val="004840D6"/>
    <w:rsid w:val="004841F9"/>
    <w:rsid w:val="0048420B"/>
    <w:rsid w:val="00484214"/>
    <w:rsid w:val="00484399"/>
    <w:rsid w:val="00484443"/>
    <w:rsid w:val="0048454E"/>
    <w:rsid w:val="004846B2"/>
    <w:rsid w:val="004847AB"/>
    <w:rsid w:val="00484A3B"/>
    <w:rsid w:val="00484ABA"/>
    <w:rsid w:val="00484AF3"/>
    <w:rsid w:val="00484B09"/>
    <w:rsid w:val="00484CB7"/>
    <w:rsid w:val="00484D8C"/>
    <w:rsid w:val="00484F77"/>
    <w:rsid w:val="00484F7B"/>
    <w:rsid w:val="00484F85"/>
    <w:rsid w:val="0048508B"/>
    <w:rsid w:val="00485131"/>
    <w:rsid w:val="00485307"/>
    <w:rsid w:val="00485417"/>
    <w:rsid w:val="00485507"/>
    <w:rsid w:val="004857C8"/>
    <w:rsid w:val="00485958"/>
    <w:rsid w:val="004859D9"/>
    <w:rsid w:val="004859E0"/>
    <w:rsid w:val="00485B2C"/>
    <w:rsid w:val="00485B6A"/>
    <w:rsid w:val="00485CDC"/>
    <w:rsid w:val="00485E0F"/>
    <w:rsid w:val="00485ECE"/>
    <w:rsid w:val="00486047"/>
    <w:rsid w:val="00486077"/>
    <w:rsid w:val="004863DC"/>
    <w:rsid w:val="00486673"/>
    <w:rsid w:val="0048668A"/>
    <w:rsid w:val="00486C0C"/>
    <w:rsid w:val="00486D76"/>
    <w:rsid w:val="004870CC"/>
    <w:rsid w:val="00487263"/>
    <w:rsid w:val="004874C2"/>
    <w:rsid w:val="004877E5"/>
    <w:rsid w:val="00487903"/>
    <w:rsid w:val="00487BF5"/>
    <w:rsid w:val="00487C0C"/>
    <w:rsid w:val="00487D20"/>
    <w:rsid w:val="00487DC5"/>
    <w:rsid w:val="00487E4C"/>
    <w:rsid w:val="0049004A"/>
    <w:rsid w:val="0049028D"/>
    <w:rsid w:val="00490466"/>
    <w:rsid w:val="00490527"/>
    <w:rsid w:val="004905FD"/>
    <w:rsid w:val="00490685"/>
    <w:rsid w:val="00490956"/>
    <w:rsid w:val="00490A22"/>
    <w:rsid w:val="00490A7D"/>
    <w:rsid w:val="00490C3A"/>
    <w:rsid w:val="00490EAE"/>
    <w:rsid w:val="00490ECF"/>
    <w:rsid w:val="00490F2B"/>
    <w:rsid w:val="00490FF1"/>
    <w:rsid w:val="0049118B"/>
    <w:rsid w:val="0049122A"/>
    <w:rsid w:val="0049135E"/>
    <w:rsid w:val="004913F7"/>
    <w:rsid w:val="004914CB"/>
    <w:rsid w:val="004915BF"/>
    <w:rsid w:val="004915E8"/>
    <w:rsid w:val="00491A3A"/>
    <w:rsid w:val="00491A81"/>
    <w:rsid w:val="00491BFA"/>
    <w:rsid w:val="00491C3F"/>
    <w:rsid w:val="00491CCF"/>
    <w:rsid w:val="00491CDC"/>
    <w:rsid w:val="00491D20"/>
    <w:rsid w:val="00491D4B"/>
    <w:rsid w:val="00491D71"/>
    <w:rsid w:val="00491F17"/>
    <w:rsid w:val="00491F47"/>
    <w:rsid w:val="00491FFE"/>
    <w:rsid w:val="004922E5"/>
    <w:rsid w:val="00492363"/>
    <w:rsid w:val="00492379"/>
    <w:rsid w:val="0049247E"/>
    <w:rsid w:val="004924AA"/>
    <w:rsid w:val="004925DE"/>
    <w:rsid w:val="004926AC"/>
    <w:rsid w:val="004926E8"/>
    <w:rsid w:val="0049273F"/>
    <w:rsid w:val="004928A1"/>
    <w:rsid w:val="00492910"/>
    <w:rsid w:val="00492939"/>
    <w:rsid w:val="004929B2"/>
    <w:rsid w:val="00492A0E"/>
    <w:rsid w:val="00492B98"/>
    <w:rsid w:val="00492BB0"/>
    <w:rsid w:val="00492CA0"/>
    <w:rsid w:val="00492D77"/>
    <w:rsid w:val="00492F43"/>
    <w:rsid w:val="00492FCB"/>
    <w:rsid w:val="004930FB"/>
    <w:rsid w:val="00493394"/>
    <w:rsid w:val="00493557"/>
    <w:rsid w:val="00493871"/>
    <w:rsid w:val="004938D1"/>
    <w:rsid w:val="004938FB"/>
    <w:rsid w:val="00493971"/>
    <w:rsid w:val="00493A00"/>
    <w:rsid w:val="00493A06"/>
    <w:rsid w:val="00493ABC"/>
    <w:rsid w:val="00493B00"/>
    <w:rsid w:val="00493E9F"/>
    <w:rsid w:val="00493F7E"/>
    <w:rsid w:val="004942C3"/>
    <w:rsid w:val="004945DB"/>
    <w:rsid w:val="00494652"/>
    <w:rsid w:val="0049471C"/>
    <w:rsid w:val="00494770"/>
    <w:rsid w:val="00494C2A"/>
    <w:rsid w:val="00494C9B"/>
    <w:rsid w:val="00494CAA"/>
    <w:rsid w:val="00494CD3"/>
    <w:rsid w:val="00494D1C"/>
    <w:rsid w:val="00494D89"/>
    <w:rsid w:val="00494E3B"/>
    <w:rsid w:val="00494F11"/>
    <w:rsid w:val="00494F1E"/>
    <w:rsid w:val="00495130"/>
    <w:rsid w:val="004951A8"/>
    <w:rsid w:val="004952FB"/>
    <w:rsid w:val="0049539A"/>
    <w:rsid w:val="004956A7"/>
    <w:rsid w:val="0049574B"/>
    <w:rsid w:val="0049594B"/>
    <w:rsid w:val="004959A3"/>
    <w:rsid w:val="00495AD0"/>
    <w:rsid w:val="00495B79"/>
    <w:rsid w:val="00495BF4"/>
    <w:rsid w:val="00495C38"/>
    <w:rsid w:val="00495E5A"/>
    <w:rsid w:val="00495E68"/>
    <w:rsid w:val="00495EC2"/>
    <w:rsid w:val="00495F4E"/>
    <w:rsid w:val="00495FAE"/>
    <w:rsid w:val="00496030"/>
    <w:rsid w:val="004960D7"/>
    <w:rsid w:val="004960E3"/>
    <w:rsid w:val="004962B7"/>
    <w:rsid w:val="00496355"/>
    <w:rsid w:val="00496373"/>
    <w:rsid w:val="004964EF"/>
    <w:rsid w:val="0049650F"/>
    <w:rsid w:val="00496569"/>
    <w:rsid w:val="004966C8"/>
    <w:rsid w:val="00496764"/>
    <w:rsid w:val="00496855"/>
    <w:rsid w:val="00496862"/>
    <w:rsid w:val="00496A39"/>
    <w:rsid w:val="00496A5B"/>
    <w:rsid w:val="00496CC0"/>
    <w:rsid w:val="00496CF8"/>
    <w:rsid w:val="00496E96"/>
    <w:rsid w:val="00496EE8"/>
    <w:rsid w:val="00496F8D"/>
    <w:rsid w:val="00497174"/>
    <w:rsid w:val="0049770B"/>
    <w:rsid w:val="0049793D"/>
    <w:rsid w:val="00497A1D"/>
    <w:rsid w:val="00497BB7"/>
    <w:rsid w:val="00497D21"/>
    <w:rsid w:val="00497E29"/>
    <w:rsid w:val="00497EBC"/>
    <w:rsid w:val="004A00DE"/>
    <w:rsid w:val="004A0334"/>
    <w:rsid w:val="004A038C"/>
    <w:rsid w:val="004A0547"/>
    <w:rsid w:val="004A05B7"/>
    <w:rsid w:val="004A05D3"/>
    <w:rsid w:val="004A077D"/>
    <w:rsid w:val="004A0840"/>
    <w:rsid w:val="004A0BFE"/>
    <w:rsid w:val="004A0D16"/>
    <w:rsid w:val="004A0D96"/>
    <w:rsid w:val="004A0E22"/>
    <w:rsid w:val="004A0F85"/>
    <w:rsid w:val="004A0FC4"/>
    <w:rsid w:val="004A1022"/>
    <w:rsid w:val="004A1047"/>
    <w:rsid w:val="004A10B7"/>
    <w:rsid w:val="004A114B"/>
    <w:rsid w:val="004A1266"/>
    <w:rsid w:val="004A128F"/>
    <w:rsid w:val="004A15D6"/>
    <w:rsid w:val="004A19E1"/>
    <w:rsid w:val="004A19F1"/>
    <w:rsid w:val="004A1B88"/>
    <w:rsid w:val="004A1CD3"/>
    <w:rsid w:val="004A1D53"/>
    <w:rsid w:val="004A1D7F"/>
    <w:rsid w:val="004A1E40"/>
    <w:rsid w:val="004A1E73"/>
    <w:rsid w:val="004A1FC9"/>
    <w:rsid w:val="004A210D"/>
    <w:rsid w:val="004A26B3"/>
    <w:rsid w:val="004A26F6"/>
    <w:rsid w:val="004A27A5"/>
    <w:rsid w:val="004A2876"/>
    <w:rsid w:val="004A2881"/>
    <w:rsid w:val="004A2A40"/>
    <w:rsid w:val="004A2A5A"/>
    <w:rsid w:val="004A2A9A"/>
    <w:rsid w:val="004A2AB7"/>
    <w:rsid w:val="004A2ACF"/>
    <w:rsid w:val="004A2CC3"/>
    <w:rsid w:val="004A2D05"/>
    <w:rsid w:val="004A2D5A"/>
    <w:rsid w:val="004A2EFF"/>
    <w:rsid w:val="004A2F6B"/>
    <w:rsid w:val="004A3005"/>
    <w:rsid w:val="004A3040"/>
    <w:rsid w:val="004A3082"/>
    <w:rsid w:val="004A30D8"/>
    <w:rsid w:val="004A30E1"/>
    <w:rsid w:val="004A3128"/>
    <w:rsid w:val="004A319B"/>
    <w:rsid w:val="004A31EA"/>
    <w:rsid w:val="004A324C"/>
    <w:rsid w:val="004A331F"/>
    <w:rsid w:val="004A3385"/>
    <w:rsid w:val="004A34D8"/>
    <w:rsid w:val="004A356B"/>
    <w:rsid w:val="004A35CB"/>
    <w:rsid w:val="004A3759"/>
    <w:rsid w:val="004A38FC"/>
    <w:rsid w:val="004A3B76"/>
    <w:rsid w:val="004A3D9E"/>
    <w:rsid w:val="004A40BF"/>
    <w:rsid w:val="004A40FE"/>
    <w:rsid w:val="004A41FD"/>
    <w:rsid w:val="004A4333"/>
    <w:rsid w:val="004A4447"/>
    <w:rsid w:val="004A44D0"/>
    <w:rsid w:val="004A4507"/>
    <w:rsid w:val="004A46B4"/>
    <w:rsid w:val="004A4B43"/>
    <w:rsid w:val="004A4D00"/>
    <w:rsid w:val="004A4D3F"/>
    <w:rsid w:val="004A4D9F"/>
    <w:rsid w:val="004A50FB"/>
    <w:rsid w:val="004A5117"/>
    <w:rsid w:val="004A5133"/>
    <w:rsid w:val="004A52D1"/>
    <w:rsid w:val="004A53E4"/>
    <w:rsid w:val="004A56D8"/>
    <w:rsid w:val="004A575B"/>
    <w:rsid w:val="004A580A"/>
    <w:rsid w:val="004A58A7"/>
    <w:rsid w:val="004A5B07"/>
    <w:rsid w:val="004A5BBA"/>
    <w:rsid w:val="004A5C3F"/>
    <w:rsid w:val="004A5D60"/>
    <w:rsid w:val="004A5DF7"/>
    <w:rsid w:val="004A5FCC"/>
    <w:rsid w:val="004A6073"/>
    <w:rsid w:val="004A61DC"/>
    <w:rsid w:val="004A6217"/>
    <w:rsid w:val="004A62A6"/>
    <w:rsid w:val="004A6517"/>
    <w:rsid w:val="004A6649"/>
    <w:rsid w:val="004A6A00"/>
    <w:rsid w:val="004A6A34"/>
    <w:rsid w:val="004A6AF8"/>
    <w:rsid w:val="004A6CD4"/>
    <w:rsid w:val="004A6D0D"/>
    <w:rsid w:val="004A6D1C"/>
    <w:rsid w:val="004A6D84"/>
    <w:rsid w:val="004A6E5C"/>
    <w:rsid w:val="004A6EA5"/>
    <w:rsid w:val="004A7149"/>
    <w:rsid w:val="004A7686"/>
    <w:rsid w:val="004A76EA"/>
    <w:rsid w:val="004A776B"/>
    <w:rsid w:val="004A793E"/>
    <w:rsid w:val="004A7A18"/>
    <w:rsid w:val="004A7B68"/>
    <w:rsid w:val="004A7BA0"/>
    <w:rsid w:val="004A7BC2"/>
    <w:rsid w:val="004A7F2D"/>
    <w:rsid w:val="004A7F88"/>
    <w:rsid w:val="004B00F7"/>
    <w:rsid w:val="004B0121"/>
    <w:rsid w:val="004B026A"/>
    <w:rsid w:val="004B02CE"/>
    <w:rsid w:val="004B03B5"/>
    <w:rsid w:val="004B03E4"/>
    <w:rsid w:val="004B04A7"/>
    <w:rsid w:val="004B04B8"/>
    <w:rsid w:val="004B0565"/>
    <w:rsid w:val="004B08DE"/>
    <w:rsid w:val="004B0B5B"/>
    <w:rsid w:val="004B0B89"/>
    <w:rsid w:val="004B0BD6"/>
    <w:rsid w:val="004B0C55"/>
    <w:rsid w:val="004B0E0E"/>
    <w:rsid w:val="004B0E51"/>
    <w:rsid w:val="004B0EAB"/>
    <w:rsid w:val="004B0F9D"/>
    <w:rsid w:val="004B12CF"/>
    <w:rsid w:val="004B1344"/>
    <w:rsid w:val="004B1416"/>
    <w:rsid w:val="004B18C4"/>
    <w:rsid w:val="004B1972"/>
    <w:rsid w:val="004B1A8E"/>
    <w:rsid w:val="004B1ACF"/>
    <w:rsid w:val="004B1B80"/>
    <w:rsid w:val="004B1D73"/>
    <w:rsid w:val="004B1E8C"/>
    <w:rsid w:val="004B1ED8"/>
    <w:rsid w:val="004B1FBF"/>
    <w:rsid w:val="004B200A"/>
    <w:rsid w:val="004B2224"/>
    <w:rsid w:val="004B2309"/>
    <w:rsid w:val="004B2518"/>
    <w:rsid w:val="004B2521"/>
    <w:rsid w:val="004B2553"/>
    <w:rsid w:val="004B25A9"/>
    <w:rsid w:val="004B2682"/>
    <w:rsid w:val="004B2778"/>
    <w:rsid w:val="004B2959"/>
    <w:rsid w:val="004B2A7B"/>
    <w:rsid w:val="004B2A9C"/>
    <w:rsid w:val="004B2ADA"/>
    <w:rsid w:val="004B2B96"/>
    <w:rsid w:val="004B2D85"/>
    <w:rsid w:val="004B2DF1"/>
    <w:rsid w:val="004B3093"/>
    <w:rsid w:val="004B312C"/>
    <w:rsid w:val="004B336E"/>
    <w:rsid w:val="004B3439"/>
    <w:rsid w:val="004B348B"/>
    <w:rsid w:val="004B34A8"/>
    <w:rsid w:val="004B351B"/>
    <w:rsid w:val="004B3550"/>
    <w:rsid w:val="004B36FB"/>
    <w:rsid w:val="004B36FE"/>
    <w:rsid w:val="004B37C7"/>
    <w:rsid w:val="004B382B"/>
    <w:rsid w:val="004B3993"/>
    <w:rsid w:val="004B3AF5"/>
    <w:rsid w:val="004B3B82"/>
    <w:rsid w:val="004B3BC1"/>
    <w:rsid w:val="004B3D72"/>
    <w:rsid w:val="004B3E50"/>
    <w:rsid w:val="004B40DB"/>
    <w:rsid w:val="004B41B4"/>
    <w:rsid w:val="004B41F0"/>
    <w:rsid w:val="004B4597"/>
    <w:rsid w:val="004B45E2"/>
    <w:rsid w:val="004B462A"/>
    <w:rsid w:val="004B471A"/>
    <w:rsid w:val="004B4721"/>
    <w:rsid w:val="004B4772"/>
    <w:rsid w:val="004B48AB"/>
    <w:rsid w:val="004B48F7"/>
    <w:rsid w:val="004B4A7A"/>
    <w:rsid w:val="004B4AF9"/>
    <w:rsid w:val="004B4CB1"/>
    <w:rsid w:val="004B4E9B"/>
    <w:rsid w:val="004B4E9C"/>
    <w:rsid w:val="004B4F0B"/>
    <w:rsid w:val="004B4FEE"/>
    <w:rsid w:val="004B504A"/>
    <w:rsid w:val="004B5135"/>
    <w:rsid w:val="004B5215"/>
    <w:rsid w:val="004B554D"/>
    <w:rsid w:val="004B5595"/>
    <w:rsid w:val="004B5903"/>
    <w:rsid w:val="004B5949"/>
    <w:rsid w:val="004B5A7B"/>
    <w:rsid w:val="004B5AD0"/>
    <w:rsid w:val="004B5B57"/>
    <w:rsid w:val="004B5C1A"/>
    <w:rsid w:val="004B5C41"/>
    <w:rsid w:val="004B5D18"/>
    <w:rsid w:val="004B5D8A"/>
    <w:rsid w:val="004B5D8B"/>
    <w:rsid w:val="004B608D"/>
    <w:rsid w:val="004B63B1"/>
    <w:rsid w:val="004B64ED"/>
    <w:rsid w:val="004B6543"/>
    <w:rsid w:val="004B671C"/>
    <w:rsid w:val="004B68AC"/>
    <w:rsid w:val="004B69F0"/>
    <w:rsid w:val="004B6CDE"/>
    <w:rsid w:val="004B6E04"/>
    <w:rsid w:val="004B6FBE"/>
    <w:rsid w:val="004B6FF2"/>
    <w:rsid w:val="004B7014"/>
    <w:rsid w:val="004B70B9"/>
    <w:rsid w:val="004B71FE"/>
    <w:rsid w:val="004B722A"/>
    <w:rsid w:val="004B7247"/>
    <w:rsid w:val="004B73B8"/>
    <w:rsid w:val="004B73DC"/>
    <w:rsid w:val="004B744B"/>
    <w:rsid w:val="004B7570"/>
    <w:rsid w:val="004B7812"/>
    <w:rsid w:val="004B7817"/>
    <w:rsid w:val="004B78FE"/>
    <w:rsid w:val="004B7913"/>
    <w:rsid w:val="004B7D35"/>
    <w:rsid w:val="004B7DDE"/>
    <w:rsid w:val="004B7DF6"/>
    <w:rsid w:val="004B7E9A"/>
    <w:rsid w:val="004B7FA7"/>
    <w:rsid w:val="004C0049"/>
    <w:rsid w:val="004C01E3"/>
    <w:rsid w:val="004C0386"/>
    <w:rsid w:val="004C0429"/>
    <w:rsid w:val="004C0612"/>
    <w:rsid w:val="004C0986"/>
    <w:rsid w:val="004C0A17"/>
    <w:rsid w:val="004C0B67"/>
    <w:rsid w:val="004C0C0C"/>
    <w:rsid w:val="004C0C46"/>
    <w:rsid w:val="004C0DC0"/>
    <w:rsid w:val="004C0F16"/>
    <w:rsid w:val="004C1046"/>
    <w:rsid w:val="004C1098"/>
    <w:rsid w:val="004C1311"/>
    <w:rsid w:val="004C145C"/>
    <w:rsid w:val="004C14ED"/>
    <w:rsid w:val="004C17B1"/>
    <w:rsid w:val="004C188C"/>
    <w:rsid w:val="004C1AEC"/>
    <w:rsid w:val="004C1BA2"/>
    <w:rsid w:val="004C1CB2"/>
    <w:rsid w:val="004C1CD4"/>
    <w:rsid w:val="004C1DB5"/>
    <w:rsid w:val="004C1E6A"/>
    <w:rsid w:val="004C1F03"/>
    <w:rsid w:val="004C1FEF"/>
    <w:rsid w:val="004C20B6"/>
    <w:rsid w:val="004C223F"/>
    <w:rsid w:val="004C2288"/>
    <w:rsid w:val="004C2728"/>
    <w:rsid w:val="004C273A"/>
    <w:rsid w:val="004C2810"/>
    <w:rsid w:val="004C2958"/>
    <w:rsid w:val="004C2C22"/>
    <w:rsid w:val="004C2D0F"/>
    <w:rsid w:val="004C2ECF"/>
    <w:rsid w:val="004C2EDB"/>
    <w:rsid w:val="004C2EDD"/>
    <w:rsid w:val="004C301A"/>
    <w:rsid w:val="004C328A"/>
    <w:rsid w:val="004C32EE"/>
    <w:rsid w:val="004C3443"/>
    <w:rsid w:val="004C3631"/>
    <w:rsid w:val="004C3710"/>
    <w:rsid w:val="004C3759"/>
    <w:rsid w:val="004C39EF"/>
    <w:rsid w:val="004C3B9B"/>
    <w:rsid w:val="004C3CBE"/>
    <w:rsid w:val="004C3CF5"/>
    <w:rsid w:val="004C3D16"/>
    <w:rsid w:val="004C3DFB"/>
    <w:rsid w:val="004C3DFD"/>
    <w:rsid w:val="004C3F32"/>
    <w:rsid w:val="004C3FA9"/>
    <w:rsid w:val="004C4217"/>
    <w:rsid w:val="004C43C0"/>
    <w:rsid w:val="004C4472"/>
    <w:rsid w:val="004C44A1"/>
    <w:rsid w:val="004C458D"/>
    <w:rsid w:val="004C45D2"/>
    <w:rsid w:val="004C47A0"/>
    <w:rsid w:val="004C47EE"/>
    <w:rsid w:val="004C4B4A"/>
    <w:rsid w:val="004C4B56"/>
    <w:rsid w:val="004C4C8C"/>
    <w:rsid w:val="004C4E8A"/>
    <w:rsid w:val="004C4ECF"/>
    <w:rsid w:val="004C4EF6"/>
    <w:rsid w:val="004C4F06"/>
    <w:rsid w:val="004C512A"/>
    <w:rsid w:val="004C5222"/>
    <w:rsid w:val="004C524E"/>
    <w:rsid w:val="004C531F"/>
    <w:rsid w:val="004C569D"/>
    <w:rsid w:val="004C56C5"/>
    <w:rsid w:val="004C5A18"/>
    <w:rsid w:val="004C5B2B"/>
    <w:rsid w:val="004C6073"/>
    <w:rsid w:val="004C60E5"/>
    <w:rsid w:val="004C6117"/>
    <w:rsid w:val="004C6123"/>
    <w:rsid w:val="004C6424"/>
    <w:rsid w:val="004C651D"/>
    <w:rsid w:val="004C655B"/>
    <w:rsid w:val="004C6799"/>
    <w:rsid w:val="004C679A"/>
    <w:rsid w:val="004C694E"/>
    <w:rsid w:val="004C6AA9"/>
    <w:rsid w:val="004C6AB0"/>
    <w:rsid w:val="004C6B12"/>
    <w:rsid w:val="004C6BED"/>
    <w:rsid w:val="004C6C6D"/>
    <w:rsid w:val="004C6CA1"/>
    <w:rsid w:val="004C6D34"/>
    <w:rsid w:val="004C6F0B"/>
    <w:rsid w:val="004C6F33"/>
    <w:rsid w:val="004C704A"/>
    <w:rsid w:val="004C718B"/>
    <w:rsid w:val="004C71A7"/>
    <w:rsid w:val="004C72E2"/>
    <w:rsid w:val="004C775A"/>
    <w:rsid w:val="004C7928"/>
    <w:rsid w:val="004C794D"/>
    <w:rsid w:val="004C79E7"/>
    <w:rsid w:val="004C7BA8"/>
    <w:rsid w:val="004C7CE5"/>
    <w:rsid w:val="004D0360"/>
    <w:rsid w:val="004D0407"/>
    <w:rsid w:val="004D0413"/>
    <w:rsid w:val="004D054C"/>
    <w:rsid w:val="004D0567"/>
    <w:rsid w:val="004D058F"/>
    <w:rsid w:val="004D0611"/>
    <w:rsid w:val="004D061B"/>
    <w:rsid w:val="004D0724"/>
    <w:rsid w:val="004D0744"/>
    <w:rsid w:val="004D0A5B"/>
    <w:rsid w:val="004D0AAA"/>
    <w:rsid w:val="004D0B95"/>
    <w:rsid w:val="004D0C53"/>
    <w:rsid w:val="004D0C91"/>
    <w:rsid w:val="004D0D47"/>
    <w:rsid w:val="004D0E13"/>
    <w:rsid w:val="004D1181"/>
    <w:rsid w:val="004D1482"/>
    <w:rsid w:val="004D1491"/>
    <w:rsid w:val="004D1820"/>
    <w:rsid w:val="004D18A1"/>
    <w:rsid w:val="004D1DC5"/>
    <w:rsid w:val="004D1EE8"/>
    <w:rsid w:val="004D1F95"/>
    <w:rsid w:val="004D223D"/>
    <w:rsid w:val="004D2367"/>
    <w:rsid w:val="004D2431"/>
    <w:rsid w:val="004D24BD"/>
    <w:rsid w:val="004D25B7"/>
    <w:rsid w:val="004D27C4"/>
    <w:rsid w:val="004D2A60"/>
    <w:rsid w:val="004D2B97"/>
    <w:rsid w:val="004D2C06"/>
    <w:rsid w:val="004D2C17"/>
    <w:rsid w:val="004D2CC8"/>
    <w:rsid w:val="004D2E46"/>
    <w:rsid w:val="004D2E5C"/>
    <w:rsid w:val="004D2F45"/>
    <w:rsid w:val="004D2F79"/>
    <w:rsid w:val="004D3162"/>
    <w:rsid w:val="004D3452"/>
    <w:rsid w:val="004D34F9"/>
    <w:rsid w:val="004D36C1"/>
    <w:rsid w:val="004D394C"/>
    <w:rsid w:val="004D3B22"/>
    <w:rsid w:val="004D3BF4"/>
    <w:rsid w:val="004D3C2F"/>
    <w:rsid w:val="004D4104"/>
    <w:rsid w:val="004D414F"/>
    <w:rsid w:val="004D4190"/>
    <w:rsid w:val="004D41B2"/>
    <w:rsid w:val="004D425A"/>
    <w:rsid w:val="004D4383"/>
    <w:rsid w:val="004D457D"/>
    <w:rsid w:val="004D45FF"/>
    <w:rsid w:val="004D474E"/>
    <w:rsid w:val="004D4756"/>
    <w:rsid w:val="004D480C"/>
    <w:rsid w:val="004D49D3"/>
    <w:rsid w:val="004D4A60"/>
    <w:rsid w:val="004D4C30"/>
    <w:rsid w:val="004D4CA0"/>
    <w:rsid w:val="004D4ED1"/>
    <w:rsid w:val="004D519C"/>
    <w:rsid w:val="004D5435"/>
    <w:rsid w:val="004D546E"/>
    <w:rsid w:val="004D5495"/>
    <w:rsid w:val="004D565A"/>
    <w:rsid w:val="004D56CC"/>
    <w:rsid w:val="004D5871"/>
    <w:rsid w:val="004D597C"/>
    <w:rsid w:val="004D5AC2"/>
    <w:rsid w:val="004D5E7F"/>
    <w:rsid w:val="004D5F16"/>
    <w:rsid w:val="004D5FCE"/>
    <w:rsid w:val="004D625E"/>
    <w:rsid w:val="004D62A0"/>
    <w:rsid w:val="004D6322"/>
    <w:rsid w:val="004D63A0"/>
    <w:rsid w:val="004D63E9"/>
    <w:rsid w:val="004D65DE"/>
    <w:rsid w:val="004D670E"/>
    <w:rsid w:val="004D68B3"/>
    <w:rsid w:val="004D69DC"/>
    <w:rsid w:val="004D6B60"/>
    <w:rsid w:val="004D6B7A"/>
    <w:rsid w:val="004D6BC8"/>
    <w:rsid w:val="004D6CCC"/>
    <w:rsid w:val="004D6CF7"/>
    <w:rsid w:val="004D6D03"/>
    <w:rsid w:val="004D6D71"/>
    <w:rsid w:val="004D6DC9"/>
    <w:rsid w:val="004D6F6B"/>
    <w:rsid w:val="004D7065"/>
    <w:rsid w:val="004D708E"/>
    <w:rsid w:val="004D708F"/>
    <w:rsid w:val="004D7091"/>
    <w:rsid w:val="004D7169"/>
    <w:rsid w:val="004D73B9"/>
    <w:rsid w:val="004D7428"/>
    <w:rsid w:val="004D7462"/>
    <w:rsid w:val="004D7596"/>
    <w:rsid w:val="004D75EF"/>
    <w:rsid w:val="004D76DB"/>
    <w:rsid w:val="004D7720"/>
    <w:rsid w:val="004D77F6"/>
    <w:rsid w:val="004D784C"/>
    <w:rsid w:val="004D7855"/>
    <w:rsid w:val="004D79D8"/>
    <w:rsid w:val="004D7A69"/>
    <w:rsid w:val="004D7ABE"/>
    <w:rsid w:val="004D7B52"/>
    <w:rsid w:val="004D7B71"/>
    <w:rsid w:val="004D7C18"/>
    <w:rsid w:val="004D7D28"/>
    <w:rsid w:val="004D7DFF"/>
    <w:rsid w:val="004D7E3B"/>
    <w:rsid w:val="004D7F9D"/>
    <w:rsid w:val="004D7FE6"/>
    <w:rsid w:val="004E006B"/>
    <w:rsid w:val="004E05A5"/>
    <w:rsid w:val="004E05DB"/>
    <w:rsid w:val="004E0607"/>
    <w:rsid w:val="004E062B"/>
    <w:rsid w:val="004E06BC"/>
    <w:rsid w:val="004E06C0"/>
    <w:rsid w:val="004E0816"/>
    <w:rsid w:val="004E0935"/>
    <w:rsid w:val="004E0965"/>
    <w:rsid w:val="004E0CF9"/>
    <w:rsid w:val="004E0D5E"/>
    <w:rsid w:val="004E0F17"/>
    <w:rsid w:val="004E0F9C"/>
    <w:rsid w:val="004E12AD"/>
    <w:rsid w:val="004E1404"/>
    <w:rsid w:val="004E158F"/>
    <w:rsid w:val="004E17AF"/>
    <w:rsid w:val="004E17DA"/>
    <w:rsid w:val="004E1819"/>
    <w:rsid w:val="004E184B"/>
    <w:rsid w:val="004E1874"/>
    <w:rsid w:val="004E18DF"/>
    <w:rsid w:val="004E199B"/>
    <w:rsid w:val="004E19E2"/>
    <w:rsid w:val="004E1A1B"/>
    <w:rsid w:val="004E1C17"/>
    <w:rsid w:val="004E1C32"/>
    <w:rsid w:val="004E1CB2"/>
    <w:rsid w:val="004E1FB4"/>
    <w:rsid w:val="004E207D"/>
    <w:rsid w:val="004E215A"/>
    <w:rsid w:val="004E21F9"/>
    <w:rsid w:val="004E2337"/>
    <w:rsid w:val="004E236A"/>
    <w:rsid w:val="004E244D"/>
    <w:rsid w:val="004E248B"/>
    <w:rsid w:val="004E2510"/>
    <w:rsid w:val="004E253E"/>
    <w:rsid w:val="004E266D"/>
    <w:rsid w:val="004E278D"/>
    <w:rsid w:val="004E29E3"/>
    <w:rsid w:val="004E2C8F"/>
    <w:rsid w:val="004E2CAF"/>
    <w:rsid w:val="004E2CC6"/>
    <w:rsid w:val="004E2CEF"/>
    <w:rsid w:val="004E2F22"/>
    <w:rsid w:val="004E2FA4"/>
    <w:rsid w:val="004E2FED"/>
    <w:rsid w:val="004E3186"/>
    <w:rsid w:val="004E3232"/>
    <w:rsid w:val="004E3330"/>
    <w:rsid w:val="004E3391"/>
    <w:rsid w:val="004E33AD"/>
    <w:rsid w:val="004E346A"/>
    <w:rsid w:val="004E35A4"/>
    <w:rsid w:val="004E35E5"/>
    <w:rsid w:val="004E370D"/>
    <w:rsid w:val="004E3790"/>
    <w:rsid w:val="004E3830"/>
    <w:rsid w:val="004E3B1C"/>
    <w:rsid w:val="004E3C99"/>
    <w:rsid w:val="004E3D16"/>
    <w:rsid w:val="004E3F29"/>
    <w:rsid w:val="004E40BB"/>
    <w:rsid w:val="004E42D0"/>
    <w:rsid w:val="004E432F"/>
    <w:rsid w:val="004E456C"/>
    <w:rsid w:val="004E459C"/>
    <w:rsid w:val="004E4675"/>
    <w:rsid w:val="004E47C2"/>
    <w:rsid w:val="004E48D0"/>
    <w:rsid w:val="004E4A6A"/>
    <w:rsid w:val="004E4CCF"/>
    <w:rsid w:val="004E4D1C"/>
    <w:rsid w:val="004E4D5F"/>
    <w:rsid w:val="004E4D88"/>
    <w:rsid w:val="004E4EB0"/>
    <w:rsid w:val="004E4F28"/>
    <w:rsid w:val="004E51DB"/>
    <w:rsid w:val="004E52CA"/>
    <w:rsid w:val="004E53D5"/>
    <w:rsid w:val="004E53E0"/>
    <w:rsid w:val="004E545B"/>
    <w:rsid w:val="004E54B8"/>
    <w:rsid w:val="004E54FD"/>
    <w:rsid w:val="004E5781"/>
    <w:rsid w:val="004E5831"/>
    <w:rsid w:val="004E5A79"/>
    <w:rsid w:val="004E5B2D"/>
    <w:rsid w:val="004E5E7E"/>
    <w:rsid w:val="004E5EBA"/>
    <w:rsid w:val="004E5EFD"/>
    <w:rsid w:val="004E6022"/>
    <w:rsid w:val="004E6074"/>
    <w:rsid w:val="004E6115"/>
    <w:rsid w:val="004E6198"/>
    <w:rsid w:val="004E65B8"/>
    <w:rsid w:val="004E6695"/>
    <w:rsid w:val="004E6827"/>
    <w:rsid w:val="004E6860"/>
    <w:rsid w:val="004E68AE"/>
    <w:rsid w:val="004E6901"/>
    <w:rsid w:val="004E6A02"/>
    <w:rsid w:val="004E6AF2"/>
    <w:rsid w:val="004E6B93"/>
    <w:rsid w:val="004E6CDC"/>
    <w:rsid w:val="004E72D6"/>
    <w:rsid w:val="004E736A"/>
    <w:rsid w:val="004E749A"/>
    <w:rsid w:val="004E75FE"/>
    <w:rsid w:val="004E76A0"/>
    <w:rsid w:val="004E7999"/>
    <w:rsid w:val="004E7B2D"/>
    <w:rsid w:val="004E7B78"/>
    <w:rsid w:val="004E7C25"/>
    <w:rsid w:val="004E7DB7"/>
    <w:rsid w:val="004E7E70"/>
    <w:rsid w:val="004E7F6A"/>
    <w:rsid w:val="004F01D2"/>
    <w:rsid w:val="004F05B7"/>
    <w:rsid w:val="004F0787"/>
    <w:rsid w:val="004F07D2"/>
    <w:rsid w:val="004F095E"/>
    <w:rsid w:val="004F09C6"/>
    <w:rsid w:val="004F0BAD"/>
    <w:rsid w:val="004F0BB8"/>
    <w:rsid w:val="004F0D97"/>
    <w:rsid w:val="004F0DA4"/>
    <w:rsid w:val="004F0DBA"/>
    <w:rsid w:val="004F0EDE"/>
    <w:rsid w:val="004F0F64"/>
    <w:rsid w:val="004F0FA6"/>
    <w:rsid w:val="004F0FFF"/>
    <w:rsid w:val="004F1164"/>
    <w:rsid w:val="004F1252"/>
    <w:rsid w:val="004F130D"/>
    <w:rsid w:val="004F1393"/>
    <w:rsid w:val="004F13C7"/>
    <w:rsid w:val="004F14A9"/>
    <w:rsid w:val="004F15CF"/>
    <w:rsid w:val="004F164C"/>
    <w:rsid w:val="004F1821"/>
    <w:rsid w:val="004F1933"/>
    <w:rsid w:val="004F193E"/>
    <w:rsid w:val="004F1A35"/>
    <w:rsid w:val="004F1AAF"/>
    <w:rsid w:val="004F1D07"/>
    <w:rsid w:val="004F1DFF"/>
    <w:rsid w:val="004F207E"/>
    <w:rsid w:val="004F29A1"/>
    <w:rsid w:val="004F2B7E"/>
    <w:rsid w:val="004F2BB0"/>
    <w:rsid w:val="004F2C3F"/>
    <w:rsid w:val="004F2C4D"/>
    <w:rsid w:val="004F2CAE"/>
    <w:rsid w:val="004F30FC"/>
    <w:rsid w:val="004F31EB"/>
    <w:rsid w:val="004F32B8"/>
    <w:rsid w:val="004F3353"/>
    <w:rsid w:val="004F3447"/>
    <w:rsid w:val="004F36DD"/>
    <w:rsid w:val="004F3834"/>
    <w:rsid w:val="004F3877"/>
    <w:rsid w:val="004F392B"/>
    <w:rsid w:val="004F39AA"/>
    <w:rsid w:val="004F39D0"/>
    <w:rsid w:val="004F3CE5"/>
    <w:rsid w:val="004F3DA4"/>
    <w:rsid w:val="004F3E43"/>
    <w:rsid w:val="004F40A3"/>
    <w:rsid w:val="004F4170"/>
    <w:rsid w:val="004F4349"/>
    <w:rsid w:val="004F4435"/>
    <w:rsid w:val="004F459A"/>
    <w:rsid w:val="004F4604"/>
    <w:rsid w:val="004F46CC"/>
    <w:rsid w:val="004F4767"/>
    <w:rsid w:val="004F484A"/>
    <w:rsid w:val="004F48F3"/>
    <w:rsid w:val="004F4A1C"/>
    <w:rsid w:val="004F4A23"/>
    <w:rsid w:val="004F4A73"/>
    <w:rsid w:val="004F4B13"/>
    <w:rsid w:val="004F4C79"/>
    <w:rsid w:val="004F4E55"/>
    <w:rsid w:val="004F5107"/>
    <w:rsid w:val="004F535E"/>
    <w:rsid w:val="004F5391"/>
    <w:rsid w:val="004F53F1"/>
    <w:rsid w:val="004F5407"/>
    <w:rsid w:val="004F547A"/>
    <w:rsid w:val="004F5629"/>
    <w:rsid w:val="004F58E6"/>
    <w:rsid w:val="004F5A8C"/>
    <w:rsid w:val="004F5B9D"/>
    <w:rsid w:val="004F5CB9"/>
    <w:rsid w:val="004F6015"/>
    <w:rsid w:val="004F607D"/>
    <w:rsid w:val="004F619E"/>
    <w:rsid w:val="004F62FA"/>
    <w:rsid w:val="004F6301"/>
    <w:rsid w:val="004F63A8"/>
    <w:rsid w:val="004F63D0"/>
    <w:rsid w:val="004F6575"/>
    <w:rsid w:val="004F6634"/>
    <w:rsid w:val="004F684E"/>
    <w:rsid w:val="004F69A2"/>
    <w:rsid w:val="004F6A79"/>
    <w:rsid w:val="004F6E8E"/>
    <w:rsid w:val="004F70EB"/>
    <w:rsid w:val="004F7135"/>
    <w:rsid w:val="004F713C"/>
    <w:rsid w:val="004F714F"/>
    <w:rsid w:val="004F7626"/>
    <w:rsid w:val="004F765B"/>
    <w:rsid w:val="004F768B"/>
    <w:rsid w:val="004F77AE"/>
    <w:rsid w:val="004F7AF8"/>
    <w:rsid w:val="004F7BC9"/>
    <w:rsid w:val="004F7D80"/>
    <w:rsid w:val="0050014F"/>
    <w:rsid w:val="005001A8"/>
    <w:rsid w:val="0050021E"/>
    <w:rsid w:val="00500453"/>
    <w:rsid w:val="005004A3"/>
    <w:rsid w:val="00500633"/>
    <w:rsid w:val="00500738"/>
    <w:rsid w:val="0050074C"/>
    <w:rsid w:val="00500819"/>
    <w:rsid w:val="0050085C"/>
    <w:rsid w:val="00500A27"/>
    <w:rsid w:val="00500B29"/>
    <w:rsid w:val="00500CCA"/>
    <w:rsid w:val="00500E39"/>
    <w:rsid w:val="00500EA1"/>
    <w:rsid w:val="00501002"/>
    <w:rsid w:val="005011A5"/>
    <w:rsid w:val="00501224"/>
    <w:rsid w:val="005012B2"/>
    <w:rsid w:val="00501329"/>
    <w:rsid w:val="00501381"/>
    <w:rsid w:val="005013BC"/>
    <w:rsid w:val="00501504"/>
    <w:rsid w:val="005015D2"/>
    <w:rsid w:val="00501B66"/>
    <w:rsid w:val="00501BD2"/>
    <w:rsid w:val="00501CC6"/>
    <w:rsid w:val="00501DDA"/>
    <w:rsid w:val="00501EA0"/>
    <w:rsid w:val="00501EC2"/>
    <w:rsid w:val="00501F93"/>
    <w:rsid w:val="00502145"/>
    <w:rsid w:val="00502150"/>
    <w:rsid w:val="005021FC"/>
    <w:rsid w:val="00502450"/>
    <w:rsid w:val="00502465"/>
    <w:rsid w:val="0050248A"/>
    <w:rsid w:val="005024C8"/>
    <w:rsid w:val="00502514"/>
    <w:rsid w:val="00502A5E"/>
    <w:rsid w:val="00502C18"/>
    <w:rsid w:val="00502CE8"/>
    <w:rsid w:val="00502D76"/>
    <w:rsid w:val="00503108"/>
    <w:rsid w:val="0050311C"/>
    <w:rsid w:val="005031CD"/>
    <w:rsid w:val="005031F4"/>
    <w:rsid w:val="00503224"/>
    <w:rsid w:val="005033D5"/>
    <w:rsid w:val="005034E5"/>
    <w:rsid w:val="005035AC"/>
    <w:rsid w:val="00503686"/>
    <w:rsid w:val="005036A0"/>
    <w:rsid w:val="0050371B"/>
    <w:rsid w:val="0050371D"/>
    <w:rsid w:val="00503727"/>
    <w:rsid w:val="00503755"/>
    <w:rsid w:val="005037A5"/>
    <w:rsid w:val="00503805"/>
    <w:rsid w:val="00503807"/>
    <w:rsid w:val="005038AA"/>
    <w:rsid w:val="00503935"/>
    <w:rsid w:val="00503A89"/>
    <w:rsid w:val="00503C4C"/>
    <w:rsid w:val="00503CD4"/>
    <w:rsid w:val="00503E0F"/>
    <w:rsid w:val="00503FFA"/>
    <w:rsid w:val="0050408C"/>
    <w:rsid w:val="005040B8"/>
    <w:rsid w:val="00504267"/>
    <w:rsid w:val="005042AF"/>
    <w:rsid w:val="00504503"/>
    <w:rsid w:val="00504504"/>
    <w:rsid w:val="005049B6"/>
    <w:rsid w:val="005049BE"/>
    <w:rsid w:val="00504A3C"/>
    <w:rsid w:val="00504CAF"/>
    <w:rsid w:val="00504CC8"/>
    <w:rsid w:val="00504E01"/>
    <w:rsid w:val="00504E99"/>
    <w:rsid w:val="0050508B"/>
    <w:rsid w:val="00505185"/>
    <w:rsid w:val="0050523F"/>
    <w:rsid w:val="005053AF"/>
    <w:rsid w:val="005053F4"/>
    <w:rsid w:val="00505573"/>
    <w:rsid w:val="00505602"/>
    <w:rsid w:val="00505718"/>
    <w:rsid w:val="00505953"/>
    <w:rsid w:val="005059E0"/>
    <w:rsid w:val="005059FD"/>
    <w:rsid w:val="00505DCB"/>
    <w:rsid w:val="00505E98"/>
    <w:rsid w:val="00505FB7"/>
    <w:rsid w:val="00506080"/>
    <w:rsid w:val="005060ED"/>
    <w:rsid w:val="0050610D"/>
    <w:rsid w:val="00506253"/>
    <w:rsid w:val="00506339"/>
    <w:rsid w:val="00506381"/>
    <w:rsid w:val="005064EC"/>
    <w:rsid w:val="005065B2"/>
    <w:rsid w:val="00506671"/>
    <w:rsid w:val="005067E4"/>
    <w:rsid w:val="00506849"/>
    <w:rsid w:val="0050698C"/>
    <w:rsid w:val="00506B4E"/>
    <w:rsid w:val="00506C7B"/>
    <w:rsid w:val="00507294"/>
    <w:rsid w:val="005073BC"/>
    <w:rsid w:val="005074CD"/>
    <w:rsid w:val="005074E9"/>
    <w:rsid w:val="00507620"/>
    <w:rsid w:val="005076EA"/>
    <w:rsid w:val="0050777E"/>
    <w:rsid w:val="00507847"/>
    <w:rsid w:val="0050787E"/>
    <w:rsid w:val="005079A1"/>
    <w:rsid w:val="00507A90"/>
    <w:rsid w:val="00507AA2"/>
    <w:rsid w:val="00507B96"/>
    <w:rsid w:val="00507CD7"/>
    <w:rsid w:val="00507E5A"/>
    <w:rsid w:val="00507F26"/>
    <w:rsid w:val="00507F57"/>
    <w:rsid w:val="00507F6A"/>
    <w:rsid w:val="00507F6B"/>
    <w:rsid w:val="00507FD5"/>
    <w:rsid w:val="005104E7"/>
    <w:rsid w:val="005104F1"/>
    <w:rsid w:val="00510617"/>
    <w:rsid w:val="00510619"/>
    <w:rsid w:val="0051062B"/>
    <w:rsid w:val="00510679"/>
    <w:rsid w:val="00510930"/>
    <w:rsid w:val="00510A1F"/>
    <w:rsid w:val="00510A49"/>
    <w:rsid w:val="00510B84"/>
    <w:rsid w:val="00510C61"/>
    <w:rsid w:val="00510C64"/>
    <w:rsid w:val="00510CA8"/>
    <w:rsid w:val="00510DCB"/>
    <w:rsid w:val="00511033"/>
    <w:rsid w:val="005111B2"/>
    <w:rsid w:val="005111FD"/>
    <w:rsid w:val="005113DE"/>
    <w:rsid w:val="005115F7"/>
    <w:rsid w:val="0051167A"/>
    <w:rsid w:val="005116FC"/>
    <w:rsid w:val="0051171B"/>
    <w:rsid w:val="00511883"/>
    <w:rsid w:val="00511898"/>
    <w:rsid w:val="005118DC"/>
    <w:rsid w:val="00511A7A"/>
    <w:rsid w:val="00511AF6"/>
    <w:rsid w:val="00511B82"/>
    <w:rsid w:val="00511B9B"/>
    <w:rsid w:val="00511D62"/>
    <w:rsid w:val="00511E3E"/>
    <w:rsid w:val="00511EC7"/>
    <w:rsid w:val="00511F35"/>
    <w:rsid w:val="005121C4"/>
    <w:rsid w:val="005121E9"/>
    <w:rsid w:val="005123E4"/>
    <w:rsid w:val="005124B3"/>
    <w:rsid w:val="0051256A"/>
    <w:rsid w:val="005125E1"/>
    <w:rsid w:val="0051280A"/>
    <w:rsid w:val="00512896"/>
    <w:rsid w:val="005128F7"/>
    <w:rsid w:val="005128F9"/>
    <w:rsid w:val="00512924"/>
    <w:rsid w:val="0051299E"/>
    <w:rsid w:val="005129D1"/>
    <w:rsid w:val="00512A07"/>
    <w:rsid w:val="00512EE3"/>
    <w:rsid w:val="00512F51"/>
    <w:rsid w:val="00512FE7"/>
    <w:rsid w:val="0051336A"/>
    <w:rsid w:val="0051349A"/>
    <w:rsid w:val="00513512"/>
    <w:rsid w:val="0051353A"/>
    <w:rsid w:val="0051362E"/>
    <w:rsid w:val="0051363C"/>
    <w:rsid w:val="00513A4A"/>
    <w:rsid w:val="00513C4F"/>
    <w:rsid w:val="00514125"/>
    <w:rsid w:val="00514181"/>
    <w:rsid w:val="005141F9"/>
    <w:rsid w:val="005141FA"/>
    <w:rsid w:val="0051473C"/>
    <w:rsid w:val="0051478C"/>
    <w:rsid w:val="0051487C"/>
    <w:rsid w:val="005148A5"/>
    <w:rsid w:val="0051491D"/>
    <w:rsid w:val="005149A3"/>
    <w:rsid w:val="005149A9"/>
    <w:rsid w:val="00514A68"/>
    <w:rsid w:val="00514B32"/>
    <w:rsid w:val="00514B51"/>
    <w:rsid w:val="00514C71"/>
    <w:rsid w:val="00514E2A"/>
    <w:rsid w:val="00514EF2"/>
    <w:rsid w:val="00514FC3"/>
    <w:rsid w:val="005152DF"/>
    <w:rsid w:val="005152E9"/>
    <w:rsid w:val="0051539C"/>
    <w:rsid w:val="005154EE"/>
    <w:rsid w:val="005155B1"/>
    <w:rsid w:val="005156FB"/>
    <w:rsid w:val="005157BD"/>
    <w:rsid w:val="005157C0"/>
    <w:rsid w:val="00515901"/>
    <w:rsid w:val="00515978"/>
    <w:rsid w:val="00515B30"/>
    <w:rsid w:val="00515DCB"/>
    <w:rsid w:val="00515EB5"/>
    <w:rsid w:val="00515FCF"/>
    <w:rsid w:val="005160D6"/>
    <w:rsid w:val="0051614C"/>
    <w:rsid w:val="0051623D"/>
    <w:rsid w:val="0051634B"/>
    <w:rsid w:val="00516469"/>
    <w:rsid w:val="0051677E"/>
    <w:rsid w:val="00516785"/>
    <w:rsid w:val="005167A6"/>
    <w:rsid w:val="00516B14"/>
    <w:rsid w:val="00516C82"/>
    <w:rsid w:val="00516E78"/>
    <w:rsid w:val="00516E8B"/>
    <w:rsid w:val="00516F04"/>
    <w:rsid w:val="00516F36"/>
    <w:rsid w:val="005170D3"/>
    <w:rsid w:val="005171D3"/>
    <w:rsid w:val="00517222"/>
    <w:rsid w:val="005172F9"/>
    <w:rsid w:val="005176A7"/>
    <w:rsid w:val="00517773"/>
    <w:rsid w:val="00517799"/>
    <w:rsid w:val="005177C8"/>
    <w:rsid w:val="00517BE4"/>
    <w:rsid w:val="00517DDD"/>
    <w:rsid w:val="0052006F"/>
    <w:rsid w:val="005200E5"/>
    <w:rsid w:val="0052035F"/>
    <w:rsid w:val="00520413"/>
    <w:rsid w:val="00520482"/>
    <w:rsid w:val="00520492"/>
    <w:rsid w:val="00520671"/>
    <w:rsid w:val="005206A1"/>
    <w:rsid w:val="0052070C"/>
    <w:rsid w:val="005207F9"/>
    <w:rsid w:val="00520A4F"/>
    <w:rsid w:val="00520AA0"/>
    <w:rsid w:val="00520B10"/>
    <w:rsid w:val="00520C6F"/>
    <w:rsid w:val="00520EC6"/>
    <w:rsid w:val="00520F10"/>
    <w:rsid w:val="00520F60"/>
    <w:rsid w:val="0052110D"/>
    <w:rsid w:val="00521178"/>
    <w:rsid w:val="005212F3"/>
    <w:rsid w:val="005213AC"/>
    <w:rsid w:val="0052148B"/>
    <w:rsid w:val="005214A2"/>
    <w:rsid w:val="0052161D"/>
    <w:rsid w:val="005218A0"/>
    <w:rsid w:val="005218AD"/>
    <w:rsid w:val="005218BC"/>
    <w:rsid w:val="005219B4"/>
    <w:rsid w:val="005219C7"/>
    <w:rsid w:val="00521A46"/>
    <w:rsid w:val="00521A56"/>
    <w:rsid w:val="00521AB5"/>
    <w:rsid w:val="00521BE2"/>
    <w:rsid w:val="00521CF1"/>
    <w:rsid w:val="00521DD3"/>
    <w:rsid w:val="00521E04"/>
    <w:rsid w:val="00521F6A"/>
    <w:rsid w:val="00522054"/>
    <w:rsid w:val="00522090"/>
    <w:rsid w:val="005222B1"/>
    <w:rsid w:val="005223DE"/>
    <w:rsid w:val="00522546"/>
    <w:rsid w:val="005225EF"/>
    <w:rsid w:val="0052275F"/>
    <w:rsid w:val="0052285B"/>
    <w:rsid w:val="005228E7"/>
    <w:rsid w:val="00522EF3"/>
    <w:rsid w:val="00523024"/>
    <w:rsid w:val="00523175"/>
    <w:rsid w:val="00523368"/>
    <w:rsid w:val="0052361F"/>
    <w:rsid w:val="00523860"/>
    <w:rsid w:val="005239C4"/>
    <w:rsid w:val="005239F8"/>
    <w:rsid w:val="00523A9E"/>
    <w:rsid w:val="00523B92"/>
    <w:rsid w:val="00523CCA"/>
    <w:rsid w:val="00523CCE"/>
    <w:rsid w:val="00523E9B"/>
    <w:rsid w:val="00523EA8"/>
    <w:rsid w:val="00523F2C"/>
    <w:rsid w:val="0052411E"/>
    <w:rsid w:val="00524130"/>
    <w:rsid w:val="0052419D"/>
    <w:rsid w:val="00524275"/>
    <w:rsid w:val="005243D2"/>
    <w:rsid w:val="0052441A"/>
    <w:rsid w:val="005244D5"/>
    <w:rsid w:val="00524570"/>
    <w:rsid w:val="0052467D"/>
    <w:rsid w:val="005247B7"/>
    <w:rsid w:val="005247EB"/>
    <w:rsid w:val="00524834"/>
    <w:rsid w:val="0052483D"/>
    <w:rsid w:val="00524853"/>
    <w:rsid w:val="005249BE"/>
    <w:rsid w:val="00524B57"/>
    <w:rsid w:val="00524B78"/>
    <w:rsid w:val="00524CAD"/>
    <w:rsid w:val="00524D2B"/>
    <w:rsid w:val="00524EC7"/>
    <w:rsid w:val="00525265"/>
    <w:rsid w:val="005254CF"/>
    <w:rsid w:val="005255AC"/>
    <w:rsid w:val="0052565D"/>
    <w:rsid w:val="00525736"/>
    <w:rsid w:val="00525952"/>
    <w:rsid w:val="005259F9"/>
    <w:rsid w:val="00525B7C"/>
    <w:rsid w:val="00525BFD"/>
    <w:rsid w:val="00525C59"/>
    <w:rsid w:val="00525C8C"/>
    <w:rsid w:val="00525E25"/>
    <w:rsid w:val="005260BF"/>
    <w:rsid w:val="005262DA"/>
    <w:rsid w:val="005262DC"/>
    <w:rsid w:val="005263CE"/>
    <w:rsid w:val="0052647A"/>
    <w:rsid w:val="00526835"/>
    <w:rsid w:val="00526C95"/>
    <w:rsid w:val="00526D81"/>
    <w:rsid w:val="00526DDC"/>
    <w:rsid w:val="00526E8D"/>
    <w:rsid w:val="00526F9E"/>
    <w:rsid w:val="00527030"/>
    <w:rsid w:val="0052711B"/>
    <w:rsid w:val="00527140"/>
    <w:rsid w:val="00527158"/>
    <w:rsid w:val="00527197"/>
    <w:rsid w:val="0052729C"/>
    <w:rsid w:val="005272D9"/>
    <w:rsid w:val="0052730C"/>
    <w:rsid w:val="00527397"/>
    <w:rsid w:val="005274AE"/>
    <w:rsid w:val="00527758"/>
    <w:rsid w:val="005277E9"/>
    <w:rsid w:val="00527A29"/>
    <w:rsid w:val="00527B22"/>
    <w:rsid w:val="00527C40"/>
    <w:rsid w:val="00527C8C"/>
    <w:rsid w:val="00527CD6"/>
    <w:rsid w:val="00527FA1"/>
    <w:rsid w:val="00530023"/>
    <w:rsid w:val="00530041"/>
    <w:rsid w:val="005301F8"/>
    <w:rsid w:val="00530381"/>
    <w:rsid w:val="0053053D"/>
    <w:rsid w:val="005305A5"/>
    <w:rsid w:val="00530A27"/>
    <w:rsid w:val="00530A39"/>
    <w:rsid w:val="00530B83"/>
    <w:rsid w:val="00530B8F"/>
    <w:rsid w:val="00530D01"/>
    <w:rsid w:val="00530D4E"/>
    <w:rsid w:val="00530E0E"/>
    <w:rsid w:val="00530FF1"/>
    <w:rsid w:val="0053114F"/>
    <w:rsid w:val="0053115F"/>
    <w:rsid w:val="005311F8"/>
    <w:rsid w:val="005312FC"/>
    <w:rsid w:val="0053157F"/>
    <w:rsid w:val="0053160F"/>
    <w:rsid w:val="00531658"/>
    <w:rsid w:val="00531762"/>
    <w:rsid w:val="0053189C"/>
    <w:rsid w:val="005318CB"/>
    <w:rsid w:val="005318EF"/>
    <w:rsid w:val="00531B24"/>
    <w:rsid w:val="00531C83"/>
    <w:rsid w:val="00531D44"/>
    <w:rsid w:val="00531F14"/>
    <w:rsid w:val="005320B2"/>
    <w:rsid w:val="0053218B"/>
    <w:rsid w:val="00532228"/>
    <w:rsid w:val="0053230D"/>
    <w:rsid w:val="00532323"/>
    <w:rsid w:val="005323D8"/>
    <w:rsid w:val="0053243C"/>
    <w:rsid w:val="005325B6"/>
    <w:rsid w:val="00532883"/>
    <w:rsid w:val="005328AE"/>
    <w:rsid w:val="00532D1A"/>
    <w:rsid w:val="00532E60"/>
    <w:rsid w:val="00532F78"/>
    <w:rsid w:val="0053302A"/>
    <w:rsid w:val="00533148"/>
    <w:rsid w:val="00533169"/>
    <w:rsid w:val="005331FD"/>
    <w:rsid w:val="00533238"/>
    <w:rsid w:val="00533342"/>
    <w:rsid w:val="00533B02"/>
    <w:rsid w:val="00533BA3"/>
    <w:rsid w:val="00533C2D"/>
    <w:rsid w:val="00533C5F"/>
    <w:rsid w:val="00533C63"/>
    <w:rsid w:val="00533ED8"/>
    <w:rsid w:val="0053403A"/>
    <w:rsid w:val="00534161"/>
    <w:rsid w:val="0053427E"/>
    <w:rsid w:val="005343CF"/>
    <w:rsid w:val="005345ED"/>
    <w:rsid w:val="00534608"/>
    <w:rsid w:val="00534884"/>
    <w:rsid w:val="005348D2"/>
    <w:rsid w:val="005349A8"/>
    <w:rsid w:val="00534A19"/>
    <w:rsid w:val="00534CBB"/>
    <w:rsid w:val="005350BB"/>
    <w:rsid w:val="005352A1"/>
    <w:rsid w:val="005353E4"/>
    <w:rsid w:val="005353F8"/>
    <w:rsid w:val="00535436"/>
    <w:rsid w:val="00535461"/>
    <w:rsid w:val="00535501"/>
    <w:rsid w:val="005355A9"/>
    <w:rsid w:val="00535671"/>
    <w:rsid w:val="00535758"/>
    <w:rsid w:val="005358EC"/>
    <w:rsid w:val="00535A87"/>
    <w:rsid w:val="00535CF1"/>
    <w:rsid w:val="00535FAC"/>
    <w:rsid w:val="00535FE4"/>
    <w:rsid w:val="0053603D"/>
    <w:rsid w:val="00536127"/>
    <w:rsid w:val="0053624A"/>
    <w:rsid w:val="00536283"/>
    <w:rsid w:val="00536346"/>
    <w:rsid w:val="005364A7"/>
    <w:rsid w:val="005364B1"/>
    <w:rsid w:val="00536595"/>
    <w:rsid w:val="00536656"/>
    <w:rsid w:val="005366E8"/>
    <w:rsid w:val="0053673C"/>
    <w:rsid w:val="0053684C"/>
    <w:rsid w:val="00536A46"/>
    <w:rsid w:val="00536B55"/>
    <w:rsid w:val="00536B9B"/>
    <w:rsid w:val="00536BFD"/>
    <w:rsid w:val="00536D3A"/>
    <w:rsid w:val="00536D86"/>
    <w:rsid w:val="00536EC7"/>
    <w:rsid w:val="00536EE7"/>
    <w:rsid w:val="00536F8A"/>
    <w:rsid w:val="00536FCF"/>
    <w:rsid w:val="00537095"/>
    <w:rsid w:val="0053726B"/>
    <w:rsid w:val="00537359"/>
    <w:rsid w:val="00537370"/>
    <w:rsid w:val="00537395"/>
    <w:rsid w:val="0053744D"/>
    <w:rsid w:val="005374BF"/>
    <w:rsid w:val="005375B1"/>
    <w:rsid w:val="00537613"/>
    <w:rsid w:val="005378A0"/>
    <w:rsid w:val="005378FC"/>
    <w:rsid w:val="005379A5"/>
    <w:rsid w:val="00537B37"/>
    <w:rsid w:val="00537CB0"/>
    <w:rsid w:val="00537F03"/>
    <w:rsid w:val="00537FB4"/>
    <w:rsid w:val="00540209"/>
    <w:rsid w:val="005402FD"/>
    <w:rsid w:val="0054034E"/>
    <w:rsid w:val="00540356"/>
    <w:rsid w:val="005404AF"/>
    <w:rsid w:val="00540598"/>
    <w:rsid w:val="00540697"/>
    <w:rsid w:val="005406C2"/>
    <w:rsid w:val="0054072D"/>
    <w:rsid w:val="005409D2"/>
    <w:rsid w:val="00540A85"/>
    <w:rsid w:val="00540D6F"/>
    <w:rsid w:val="00540DF9"/>
    <w:rsid w:val="00540E61"/>
    <w:rsid w:val="00540F44"/>
    <w:rsid w:val="00540F5D"/>
    <w:rsid w:val="0054108C"/>
    <w:rsid w:val="005410F7"/>
    <w:rsid w:val="0054112B"/>
    <w:rsid w:val="00541180"/>
    <w:rsid w:val="00541202"/>
    <w:rsid w:val="0054125B"/>
    <w:rsid w:val="005412F7"/>
    <w:rsid w:val="0054138D"/>
    <w:rsid w:val="00541430"/>
    <w:rsid w:val="005414D7"/>
    <w:rsid w:val="0054158F"/>
    <w:rsid w:val="00541637"/>
    <w:rsid w:val="0054171A"/>
    <w:rsid w:val="0054181A"/>
    <w:rsid w:val="00541915"/>
    <w:rsid w:val="00541BDD"/>
    <w:rsid w:val="00541D4C"/>
    <w:rsid w:val="00541E17"/>
    <w:rsid w:val="00541E40"/>
    <w:rsid w:val="00541E64"/>
    <w:rsid w:val="00542070"/>
    <w:rsid w:val="005420B3"/>
    <w:rsid w:val="00542210"/>
    <w:rsid w:val="00542403"/>
    <w:rsid w:val="00542426"/>
    <w:rsid w:val="00542515"/>
    <w:rsid w:val="00542669"/>
    <w:rsid w:val="005427A6"/>
    <w:rsid w:val="005428B2"/>
    <w:rsid w:val="00542B4A"/>
    <w:rsid w:val="00542D0B"/>
    <w:rsid w:val="00542DBC"/>
    <w:rsid w:val="00542E81"/>
    <w:rsid w:val="005430BF"/>
    <w:rsid w:val="0054310F"/>
    <w:rsid w:val="005431C5"/>
    <w:rsid w:val="00543557"/>
    <w:rsid w:val="005435CC"/>
    <w:rsid w:val="00543613"/>
    <w:rsid w:val="00543721"/>
    <w:rsid w:val="00543831"/>
    <w:rsid w:val="005438DC"/>
    <w:rsid w:val="005438E9"/>
    <w:rsid w:val="00543928"/>
    <w:rsid w:val="00543968"/>
    <w:rsid w:val="005439CD"/>
    <w:rsid w:val="005439EA"/>
    <w:rsid w:val="005439F1"/>
    <w:rsid w:val="00543A52"/>
    <w:rsid w:val="00543A8D"/>
    <w:rsid w:val="00543B42"/>
    <w:rsid w:val="00543C3C"/>
    <w:rsid w:val="00543D8A"/>
    <w:rsid w:val="00543DD2"/>
    <w:rsid w:val="00543E4B"/>
    <w:rsid w:val="00543E8E"/>
    <w:rsid w:val="00544256"/>
    <w:rsid w:val="005443ED"/>
    <w:rsid w:val="00544414"/>
    <w:rsid w:val="0054466A"/>
    <w:rsid w:val="00544689"/>
    <w:rsid w:val="0054479C"/>
    <w:rsid w:val="0054488E"/>
    <w:rsid w:val="005448A6"/>
    <w:rsid w:val="005449AC"/>
    <w:rsid w:val="005449E9"/>
    <w:rsid w:val="00544B22"/>
    <w:rsid w:val="00544BA5"/>
    <w:rsid w:val="00544BE6"/>
    <w:rsid w:val="00544D11"/>
    <w:rsid w:val="00544DFE"/>
    <w:rsid w:val="00544EE9"/>
    <w:rsid w:val="00544F2F"/>
    <w:rsid w:val="00544FE5"/>
    <w:rsid w:val="00545171"/>
    <w:rsid w:val="005453FF"/>
    <w:rsid w:val="0054574A"/>
    <w:rsid w:val="00545A5C"/>
    <w:rsid w:val="00545AE2"/>
    <w:rsid w:val="00545CA4"/>
    <w:rsid w:val="00545ECB"/>
    <w:rsid w:val="00545EFF"/>
    <w:rsid w:val="00546055"/>
    <w:rsid w:val="00546184"/>
    <w:rsid w:val="00546260"/>
    <w:rsid w:val="00546367"/>
    <w:rsid w:val="005463B3"/>
    <w:rsid w:val="005464AC"/>
    <w:rsid w:val="005465FE"/>
    <w:rsid w:val="0054676E"/>
    <w:rsid w:val="005467C2"/>
    <w:rsid w:val="0054689C"/>
    <w:rsid w:val="00546AB0"/>
    <w:rsid w:val="00546BA4"/>
    <w:rsid w:val="00546BC5"/>
    <w:rsid w:val="00546BF9"/>
    <w:rsid w:val="00546E2D"/>
    <w:rsid w:val="00546FB0"/>
    <w:rsid w:val="00547074"/>
    <w:rsid w:val="0054714C"/>
    <w:rsid w:val="00547216"/>
    <w:rsid w:val="005473BB"/>
    <w:rsid w:val="00547434"/>
    <w:rsid w:val="00547498"/>
    <w:rsid w:val="0054750F"/>
    <w:rsid w:val="00547510"/>
    <w:rsid w:val="00547575"/>
    <w:rsid w:val="005476CB"/>
    <w:rsid w:val="00547977"/>
    <w:rsid w:val="00547B1E"/>
    <w:rsid w:val="00547BB5"/>
    <w:rsid w:val="00547BBF"/>
    <w:rsid w:val="00547C0F"/>
    <w:rsid w:val="00547C48"/>
    <w:rsid w:val="00547CDF"/>
    <w:rsid w:val="00547DCB"/>
    <w:rsid w:val="00547E5C"/>
    <w:rsid w:val="00547E8C"/>
    <w:rsid w:val="00547F94"/>
    <w:rsid w:val="00550001"/>
    <w:rsid w:val="005500B7"/>
    <w:rsid w:val="00550474"/>
    <w:rsid w:val="005507B6"/>
    <w:rsid w:val="00550BEB"/>
    <w:rsid w:val="00550C48"/>
    <w:rsid w:val="00550EA9"/>
    <w:rsid w:val="00551025"/>
    <w:rsid w:val="00551033"/>
    <w:rsid w:val="005510F9"/>
    <w:rsid w:val="00551138"/>
    <w:rsid w:val="0055113D"/>
    <w:rsid w:val="00551152"/>
    <w:rsid w:val="005512A0"/>
    <w:rsid w:val="00551369"/>
    <w:rsid w:val="005513BB"/>
    <w:rsid w:val="00551630"/>
    <w:rsid w:val="0055164B"/>
    <w:rsid w:val="0055180C"/>
    <w:rsid w:val="00551C10"/>
    <w:rsid w:val="00551C39"/>
    <w:rsid w:val="00551C5A"/>
    <w:rsid w:val="00551D18"/>
    <w:rsid w:val="00551E45"/>
    <w:rsid w:val="00551E5F"/>
    <w:rsid w:val="00552033"/>
    <w:rsid w:val="00552217"/>
    <w:rsid w:val="00552326"/>
    <w:rsid w:val="0055235C"/>
    <w:rsid w:val="00552563"/>
    <w:rsid w:val="00552571"/>
    <w:rsid w:val="005527C7"/>
    <w:rsid w:val="0055287E"/>
    <w:rsid w:val="00552985"/>
    <w:rsid w:val="00552E60"/>
    <w:rsid w:val="00552FDD"/>
    <w:rsid w:val="0055306F"/>
    <w:rsid w:val="00553206"/>
    <w:rsid w:val="005533FA"/>
    <w:rsid w:val="005534A1"/>
    <w:rsid w:val="00553751"/>
    <w:rsid w:val="00553871"/>
    <w:rsid w:val="005538D9"/>
    <w:rsid w:val="00553BFF"/>
    <w:rsid w:val="00553C0F"/>
    <w:rsid w:val="00553FA0"/>
    <w:rsid w:val="005540F8"/>
    <w:rsid w:val="00554109"/>
    <w:rsid w:val="005542C4"/>
    <w:rsid w:val="005542F4"/>
    <w:rsid w:val="0055437B"/>
    <w:rsid w:val="005544CC"/>
    <w:rsid w:val="00554632"/>
    <w:rsid w:val="00554819"/>
    <w:rsid w:val="00554935"/>
    <w:rsid w:val="00554A81"/>
    <w:rsid w:val="00554AAC"/>
    <w:rsid w:val="00554C54"/>
    <w:rsid w:val="00554CCF"/>
    <w:rsid w:val="00554E12"/>
    <w:rsid w:val="00554F5A"/>
    <w:rsid w:val="00554FB2"/>
    <w:rsid w:val="005551B0"/>
    <w:rsid w:val="0055528D"/>
    <w:rsid w:val="005552CE"/>
    <w:rsid w:val="00555335"/>
    <w:rsid w:val="005553CF"/>
    <w:rsid w:val="00555560"/>
    <w:rsid w:val="00555723"/>
    <w:rsid w:val="005557FF"/>
    <w:rsid w:val="005559FE"/>
    <w:rsid w:val="00555A4F"/>
    <w:rsid w:val="00555A96"/>
    <w:rsid w:val="00555B4B"/>
    <w:rsid w:val="00555C14"/>
    <w:rsid w:val="00555D14"/>
    <w:rsid w:val="00555DA2"/>
    <w:rsid w:val="00555F66"/>
    <w:rsid w:val="00556134"/>
    <w:rsid w:val="00556225"/>
    <w:rsid w:val="00556252"/>
    <w:rsid w:val="00556302"/>
    <w:rsid w:val="00556670"/>
    <w:rsid w:val="00556756"/>
    <w:rsid w:val="00556862"/>
    <w:rsid w:val="005568D6"/>
    <w:rsid w:val="00556AF6"/>
    <w:rsid w:val="00556B0A"/>
    <w:rsid w:val="00556B29"/>
    <w:rsid w:val="00556CE4"/>
    <w:rsid w:val="00556D75"/>
    <w:rsid w:val="00556ECA"/>
    <w:rsid w:val="00556F7F"/>
    <w:rsid w:val="0055703F"/>
    <w:rsid w:val="00557046"/>
    <w:rsid w:val="00557166"/>
    <w:rsid w:val="00557287"/>
    <w:rsid w:val="005572F7"/>
    <w:rsid w:val="005574C9"/>
    <w:rsid w:val="005574E6"/>
    <w:rsid w:val="005575CA"/>
    <w:rsid w:val="0055770F"/>
    <w:rsid w:val="005579A7"/>
    <w:rsid w:val="00557A74"/>
    <w:rsid w:val="00557B11"/>
    <w:rsid w:val="00557B17"/>
    <w:rsid w:val="00557B6B"/>
    <w:rsid w:val="00557BB4"/>
    <w:rsid w:val="00557C67"/>
    <w:rsid w:val="00557D75"/>
    <w:rsid w:val="00557D98"/>
    <w:rsid w:val="00557EAF"/>
    <w:rsid w:val="00557F07"/>
    <w:rsid w:val="0056002F"/>
    <w:rsid w:val="00560047"/>
    <w:rsid w:val="005600B9"/>
    <w:rsid w:val="00560231"/>
    <w:rsid w:val="00560318"/>
    <w:rsid w:val="005603CF"/>
    <w:rsid w:val="00560673"/>
    <w:rsid w:val="005606B4"/>
    <w:rsid w:val="005606F6"/>
    <w:rsid w:val="00560A50"/>
    <w:rsid w:val="00560BA6"/>
    <w:rsid w:val="00560C25"/>
    <w:rsid w:val="00560D87"/>
    <w:rsid w:val="00560F17"/>
    <w:rsid w:val="00561008"/>
    <w:rsid w:val="00561051"/>
    <w:rsid w:val="005610D8"/>
    <w:rsid w:val="005610E5"/>
    <w:rsid w:val="005610F1"/>
    <w:rsid w:val="005611CF"/>
    <w:rsid w:val="005613E3"/>
    <w:rsid w:val="005614AF"/>
    <w:rsid w:val="005618C5"/>
    <w:rsid w:val="005618E2"/>
    <w:rsid w:val="00561907"/>
    <w:rsid w:val="00561B2C"/>
    <w:rsid w:val="00561B90"/>
    <w:rsid w:val="00561C60"/>
    <w:rsid w:val="00561DA9"/>
    <w:rsid w:val="00561EA7"/>
    <w:rsid w:val="00561EA9"/>
    <w:rsid w:val="00561F25"/>
    <w:rsid w:val="00561FE9"/>
    <w:rsid w:val="0056209A"/>
    <w:rsid w:val="005621A1"/>
    <w:rsid w:val="00562235"/>
    <w:rsid w:val="00562238"/>
    <w:rsid w:val="005622E4"/>
    <w:rsid w:val="00562368"/>
    <w:rsid w:val="005624B6"/>
    <w:rsid w:val="00562563"/>
    <w:rsid w:val="0056277E"/>
    <w:rsid w:val="00562899"/>
    <w:rsid w:val="00562936"/>
    <w:rsid w:val="0056297E"/>
    <w:rsid w:val="00562B1D"/>
    <w:rsid w:val="00562B86"/>
    <w:rsid w:val="00562C23"/>
    <w:rsid w:val="00562C56"/>
    <w:rsid w:val="00562EC9"/>
    <w:rsid w:val="00562ED0"/>
    <w:rsid w:val="00563025"/>
    <w:rsid w:val="005631F6"/>
    <w:rsid w:val="0056326A"/>
    <w:rsid w:val="00563271"/>
    <w:rsid w:val="005632FB"/>
    <w:rsid w:val="00563396"/>
    <w:rsid w:val="0056353A"/>
    <w:rsid w:val="00563820"/>
    <w:rsid w:val="00563869"/>
    <w:rsid w:val="0056392A"/>
    <w:rsid w:val="005639E2"/>
    <w:rsid w:val="00563A43"/>
    <w:rsid w:val="00563A89"/>
    <w:rsid w:val="00563ACD"/>
    <w:rsid w:val="00563AD4"/>
    <w:rsid w:val="00563D26"/>
    <w:rsid w:val="00563E74"/>
    <w:rsid w:val="00563F1C"/>
    <w:rsid w:val="00563F95"/>
    <w:rsid w:val="00564127"/>
    <w:rsid w:val="00564234"/>
    <w:rsid w:val="00564240"/>
    <w:rsid w:val="005642F2"/>
    <w:rsid w:val="005645A9"/>
    <w:rsid w:val="00564684"/>
    <w:rsid w:val="005647F2"/>
    <w:rsid w:val="00564983"/>
    <w:rsid w:val="00564B7E"/>
    <w:rsid w:val="00564BB4"/>
    <w:rsid w:val="00564BC1"/>
    <w:rsid w:val="00564CBD"/>
    <w:rsid w:val="00564CDF"/>
    <w:rsid w:val="00564DD3"/>
    <w:rsid w:val="00564EE3"/>
    <w:rsid w:val="00564F62"/>
    <w:rsid w:val="00564F6F"/>
    <w:rsid w:val="00564F89"/>
    <w:rsid w:val="00565237"/>
    <w:rsid w:val="0056529B"/>
    <w:rsid w:val="0056534F"/>
    <w:rsid w:val="00565380"/>
    <w:rsid w:val="00565444"/>
    <w:rsid w:val="0056548D"/>
    <w:rsid w:val="005654DF"/>
    <w:rsid w:val="00565590"/>
    <w:rsid w:val="00565636"/>
    <w:rsid w:val="00565653"/>
    <w:rsid w:val="00565724"/>
    <w:rsid w:val="00565764"/>
    <w:rsid w:val="0056589A"/>
    <w:rsid w:val="005658B6"/>
    <w:rsid w:val="00565998"/>
    <w:rsid w:val="00565AFB"/>
    <w:rsid w:val="00565BCE"/>
    <w:rsid w:val="00565C03"/>
    <w:rsid w:val="00565C69"/>
    <w:rsid w:val="00565CBB"/>
    <w:rsid w:val="00565FB4"/>
    <w:rsid w:val="00565FCC"/>
    <w:rsid w:val="005661EE"/>
    <w:rsid w:val="0056623A"/>
    <w:rsid w:val="005663E2"/>
    <w:rsid w:val="0056670B"/>
    <w:rsid w:val="005667E3"/>
    <w:rsid w:val="00566800"/>
    <w:rsid w:val="00566957"/>
    <w:rsid w:val="00566A1C"/>
    <w:rsid w:val="00566B3D"/>
    <w:rsid w:val="00566C37"/>
    <w:rsid w:val="00566E3E"/>
    <w:rsid w:val="00566EB9"/>
    <w:rsid w:val="00566F64"/>
    <w:rsid w:val="00566F80"/>
    <w:rsid w:val="0056713E"/>
    <w:rsid w:val="0056760B"/>
    <w:rsid w:val="0056792D"/>
    <w:rsid w:val="00567AA6"/>
    <w:rsid w:val="00567E08"/>
    <w:rsid w:val="00567E57"/>
    <w:rsid w:val="00567F84"/>
    <w:rsid w:val="00570129"/>
    <w:rsid w:val="0057012C"/>
    <w:rsid w:val="0057013A"/>
    <w:rsid w:val="00570183"/>
    <w:rsid w:val="005701A6"/>
    <w:rsid w:val="0057039A"/>
    <w:rsid w:val="005703AD"/>
    <w:rsid w:val="005705A5"/>
    <w:rsid w:val="005707B8"/>
    <w:rsid w:val="00570B6C"/>
    <w:rsid w:val="00570BB2"/>
    <w:rsid w:val="00570C70"/>
    <w:rsid w:val="00570E77"/>
    <w:rsid w:val="005710C5"/>
    <w:rsid w:val="00571313"/>
    <w:rsid w:val="0057138E"/>
    <w:rsid w:val="005717DA"/>
    <w:rsid w:val="00571A06"/>
    <w:rsid w:val="00571B69"/>
    <w:rsid w:val="00571B7B"/>
    <w:rsid w:val="00571CEE"/>
    <w:rsid w:val="00571E74"/>
    <w:rsid w:val="00571E8A"/>
    <w:rsid w:val="00571F1E"/>
    <w:rsid w:val="00571F82"/>
    <w:rsid w:val="00572175"/>
    <w:rsid w:val="005721A9"/>
    <w:rsid w:val="0057228B"/>
    <w:rsid w:val="005722DB"/>
    <w:rsid w:val="00572354"/>
    <w:rsid w:val="0057240F"/>
    <w:rsid w:val="00572444"/>
    <w:rsid w:val="00572520"/>
    <w:rsid w:val="005725C0"/>
    <w:rsid w:val="00572612"/>
    <w:rsid w:val="0057268E"/>
    <w:rsid w:val="00572895"/>
    <w:rsid w:val="00572968"/>
    <w:rsid w:val="00572CDE"/>
    <w:rsid w:val="00572CEC"/>
    <w:rsid w:val="00573007"/>
    <w:rsid w:val="0057301D"/>
    <w:rsid w:val="0057316B"/>
    <w:rsid w:val="005731B3"/>
    <w:rsid w:val="0057332B"/>
    <w:rsid w:val="00573516"/>
    <w:rsid w:val="00573590"/>
    <w:rsid w:val="00573709"/>
    <w:rsid w:val="0057372E"/>
    <w:rsid w:val="00573A19"/>
    <w:rsid w:val="00573B1C"/>
    <w:rsid w:val="00573C3A"/>
    <w:rsid w:val="00573C94"/>
    <w:rsid w:val="00573E53"/>
    <w:rsid w:val="00573EA9"/>
    <w:rsid w:val="00574229"/>
    <w:rsid w:val="0057427B"/>
    <w:rsid w:val="005742EA"/>
    <w:rsid w:val="00574399"/>
    <w:rsid w:val="0057471E"/>
    <w:rsid w:val="00574827"/>
    <w:rsid w:val="00574857"/>
    <w:rsid w:val="00574C38"/>
    <w:rsid w:val="00574C4D"/>
    <w:rsid w:val="00574D0F"/>
    <w:rsid w:val="00574D6F"/>
    <w:rsid w:val="0057520C"/>
    <w:rsid w:val="00575256"/>
    <w:rsid w:val="005754E4"/>
    <w:rsid w:val="00575618"/>
    <w:rsid w:val="00575791"/>
    <w:rsid w:val="005757FA"/>
    <w:rsid w:val="00575852"/>
    <w:rsid w:val="0057586D"/>
    <w:rsid w:val="00575A70"/>
    <w:rsid w:val="00575AC9"/>
    <w:rsid w:val="00575B31"/>
    <w:rsid w:val="00575D92"/>
    <w:rsid w:val="005762BE"/>
    <w:rsid w:val="0057657F"/>
    <w:rsid w:val="005766BB"/>
    <w:rsid w:val="0057692D"/>
    <w:rsid w:val="00576B0E"/>
    <w:rsid w:val="00576DED"/>
    <w:rsid w:val="00576FB8"/>
    <w:rsid w:val="005773E4"/>
    <w:rsid w:val="00577553"/>
    <w:rsid w:val="0057760A"/>
    <w:rsid w:val="00577707"/>
    <w:rsid w:val="00577B76"/>
    <w:rsid w:val="00577C73"/>
    <w:rsid w:val="00577EF0"/>
    <w:rsid w:val="00580000"/>
    <w:rsid w:val="00580089"/>
    <w:rsid w:val="0058026C"/>
    <w:rsid w:val="00580273"/>
    <w:rsid w:val="00580574"/>
    <w:rsid w:val="00580626"/>
    <w:rsid w:val="00580704"/>
    <w:rsid w:val="0058081B"/>
    <w:rsid w:val="0058089B"/>
    <w:rsid w:val="00580B49"/>
    <w:rsid w:val="00580C14"/>
    <w:rsid w:val="00580D37"/>
    <w:rsid w:val="00580ECC"/>
    <w:rsid w:val="00580FB4"/>
    <w:rsid w:val="0058105F"/>
    <w:rsid w:val="0058106F"/>
    <w:rsid w:val="005811C4"/>
    <w:rsid w:val="005811D8"/>
    <w:rsid w:val="00581211"/>
    <w:rsid w:val="00581346"/>
    <w:rsid w:val="0058134B"/>
    <w:rsid w:val="00581681"/>
    <w:rsid w:val="005817C6"/>
    <w:rsid w:val="00581852"/>
    <w:rsid w:val="005818FE"/>
    <w:rsid w:val="00581CAD"/>
    <w:rsid w:val="00581D48"/>
    <w:rsid w:val="00581EA0"/>
    <w:rsid w:val="00581EEB"/>
    <w:rsid w:val="00581F63"/>
    <w:rsid w:val="0058203E"/>
    <w:rsid w:val="005823A0"/>
    <w:rsid w:val="005823B3"/>
    <w:rsid w:val="00582434"/>
    <w:rsid w:val="00582473"/>
    <w:rsid w:val="0058255F"/>
    <w:rsid w:val="00582576"/>
    <w:rsid w:val="0058259D"/>
    <w:rsid w:val="0058296D"/>
    <w:rsid w:val="00582A9E"/>
    <w:rsid w:val="00582B79"/>
    <w:rsid w:val="00582BF2"/>
    <w:rsid w:val="00582C40"/>
    <w:rsid w:val="00582CE2"/>
    <w:rsid w:val="00582D09"/>
    <w:rsid w:val="00582D36"/>
    <w:rsid w:val="00582EA3"/>
    <w:rsid w:val="00582FA4"/>
    <w:rsid w:val="00582FBE"/>
    <w:rsid w:val="005830E8"/>
    <w:rsid w:val="00583168"/>
    <w:rsid w:val="0058319F"/>
    <w:rsid w:val="005831D6"/>
    <w:rsid w:val="0058329E"/>
    <w:rsid w:val="00583369"/>
    <w:rsid w:val="00583777"/>
    <w:rsid w:val="00583965"/>
    <w:rsid w:val="00583B90"/>
    <w:rsid w:val="00583D6A"/>
    <w:rsid w:val="00583E4D"/>
    <w:rsid w:val="00583EE1"/>
    <w:rsid w:val="005841C7"/>
    <w:rsid w:val="00584262"/>
    <w:rsid w:val="00584519"/>
    <w:rsid w:val="00584538"/>
    <w:rsid w:val="00584617"/>
    <w:rsid w:val="005846A7"/>
    <w:rsid w:val="005847DD"/>
    <w:rsid w:val="00584AC6"/>
    <w:rsid w:val="00584ADD"/>
    <w:rsid w:val="00584EC4"/>
    <w:rsid w:val="00584F74"/>
    <w:rsid w:val="00584F9F"/>
    <w:rsid w:val="005851DA"/>
    <w:rsid w:val="005851E4"/>
    <w:rsid w:val="00585375"/>
    <w:rsid w:val="005853E9"/>
    <w:rsid w:val="00585469"/>
    <w:rsid w:val="0058549F"/>
    <w:rsid w:val="0058550E"/>
    <w:rsid w:val="0058553A"/>
    <w:rsid w:val="0058578C"/>
    <w:rsid w:val="00585806"/>
    <w:rsid w:val="005859A7"/>
    <w:rsid w:val="00585B87"/>
    <w:rsid w:val="00585C3A"/>
    <w:rsid w:val="00585CEA"/>
    <w:rsid w:val="00585E6A"/>
    <w:rsid w:val="00585F16"/>
    <w:rsid w:val="00586129"/>
    <w:rsid w:val="005861DC"/>
    <w:rsid w:val="005861F3"/>
    <w:rsid w:val="005862D3"/>
    <w:rsid w:val="00586319"/>
    <w:rsid w:val="0058632A"/>
    <w:rsid w:val="00586499"/>
    <w:rsid w:val="005864EF"/>
    <w:rsid w:val="0058657E"/>
    <w:rsid w:val="0058669D"/>
    <w:rsid w:val="00586715"/>
    <w:rsid w:val="005867C2"/>
    <w:rsid w:val="005868CC"/>
    <w:rsid w:val="005868DE"/>
    <w:rsid w:val="005869A9"/>
    <w:rsid w:val="00586ABE"/>
    <w:rsid w:val="00586B17"/>
    <w:rsid w:val="00586C8F"/>
    <w:rsid w:val="00586CD5"/>
    <w:rsid w:val="00586D55"/>
    <w:rsid w:val="00586E07"/>
    <w:rsid w:val="00586F51"/>
    <w:rsid w:val="005870A1"/>
    <w:rsid w:val="005870E5"/>
    <w:rsid w:val="00587201"/>
    <w:rsid w:val="005872C6"/>
    <w:rsid w:val="00587663"/>
    <w:rsid w:val="0058787B"/>
    <w:rsid w:val="00587883"/>
    <w:rsid w:val="005879B3"/>
    <w:rsid w:val="00587DE2"/>
    <w:rsid w:val="00587FDE"/>
    <w:rsid w:val="005901BD"/>
    <w:rsid w:val="0059043D"/>
    <w:rsid w:val="00590472"/>
    <w:rsid w:val="00590762"/>
    <w:rsid w:val="005908B5"/>
    <w:rsid w:val="00590912"/>
    <w:rsid w:val="00590BCA"/>
    <w:rsid w:val="00590BFB"/>
    <w:rsid w:val="00590C09"/>
    <w:rsid w:val="00590C41"/>
    <w:rsid w:val="00590D8C"/>
    <w:rsid w:val="00590DFB"/>
    <w:rsid w:val="00591009"/>
    <w:rsid w:val="00591043"/>
    <w:rsid w:val="005911C0"/>
    <w:rsid w:val="005912B1"/>
    <w:rsid w:val="00591300"/>
    <w:rsid w:val="005913E9"/>
    <w:rsid w:val="0059147D"/>
    <w:rsid w:val="005916D4"/>
    <w:rsid w:val="0059180C"/>
    <w:rsid w:val="0059181F"/>
    <w:rsid w:val="00591827"/>
    <w:rsid w:val="005918A8"/>
    <w:rsid w:val="005918C1"/>
    <w:rsid w:val="00591CD5"/>
    <w:rsid w:val="00591CFC"/>
    <w:rsid w:val="00591D80"/>
    <w:rsid w:val="00591E9E"/>
    <w:rsid w:val="00591F37"/>
    <w:rsid w:val="00591F3C"/>
    <w:rsid w:val="00592431"/>
    <w:rsid w:val="00592608"/>
    <w:rsid w:val="0059276C"/>
    <w:rsid w:val="0059279D"/>
    <w:rsid w:val="005928B3"/>
    <w:rsid w:val="00592997"/>
    <w:rsid w:val="00592C77"/>
    <w:rsid w:val="00592DC2"/>
    <w:rsid w:val="00592F82"/>
    <w:rsid w:val="005930DE"/>
    <w:rsid w:val="005931B1"/>
    <w:rsid w:val="00593417"/>
    <w:rsid w:val="0059398D"/>
    <w:rsid w:val="00593A30"/>
    <w:rsid w:val="00593BC1"/>
    <w:rsid w:val="00593CDF"/>
    <w:rsid w:val="00593D1C"/>
    <w:rsid w:val="00593E64"/>
    <w:rsid w:val="00593F0C"/>
    <w:rsid w:val="005941B5"/>
    <w:rsid w:val="0059421E"/>
    <w:rsid w:val="00594227"/>
    <w:rsid w:val="0059425E"/>
    <w:rsid w:val="00594260"/>
    <w:rsid w:val="00594405"/>
    <w:rsid w:val="00594484"/>
    <w:rsid w:val="005945E6"/>
    <w:rsid w:val="0059487A"/>
    <w:rsid w:val="00594972"/>
    <w:rsid w:val="00594A5A"/>
    <w:rsid w:val="00594AD5"/>
    <w:rsid w:val="00594BE7"/>
    <w:rsid w:val="00594CBC"/>
    <w:rsid w:val="00594CC3"/>
    <w:rsid w:val="00594DA3"/>
    <w:rsid w:val="00594F55"/>
    <w:rsid w:val="005950F4"/>
    <w:rsid w:val="0059515C"/>
    <w:rsid w:val="00595228"/>
    <w:rsid w:val="0059529B"/>
    <w:rsid w:val="005952A9"/>
    <w:rsid w:val="00595659"/>
    <w:rsid w:val="005956FE"/>
    <w:rsid w:val="005957BC"/>
    <w:rsid w:val="00595826"/>
    <w:rsid w:val="00595ADB"/>
    <w:rsid w:val="00595B6E"/>
    <w:rsid w:val="00595EA1"/>
    <w:rsid w:val="00595FA8"/>
    <w:rsid w:val="005960E4"/>
    <w:rsid w:val="0059620F"/>
    <w:rsid w:val="00596249"/>
    <w:rsid w:val="005965B9"/>
    <w:rsid w:val="005966BD"/>
    <w:rsid w:val="00596851"/>
    <w:rsid w:val="0059689F"/>
    <w:rsid w:val="00596979"/>
    <w:rsid w:val="00596B08"/>
    <w:rsid w:val="00596B7E"/>
    <w:rsid w:val="00596BAA"/>
    <w:rsid w:val="00596C40"/>
    <w:rsid w:val="00596D11"/>
    <w:rsid w:val="00596EA9"/>
    <w:rsid w:val="00596F8D"/>
    <w:rsid w:val="00597070"/>
    <w:rsid w:val="005970AE"/>
    <w:rsid w:val="005971F9"/>
    <w:rsid w:val="005972E7"/>
    <w:rsid w:val="005973DA"/>
    <w:rsid w:val="00597447"/>
    <w:rsid w:val="005974D6"/>
    <w:rsid w:val="0059755C"/>
    <w:rsid w:val="005975A6"/>
    <w:rsid w:val="005975F6"/>
    <w:rsid w:val="0059770B"/>
    <w:rsid w:val="00597807"/>
    <w:rsid w:val="0059782C"/>
    <w:rsid w:val="00597891"/>
    <w:rsid w:val="005979B2"/>
    <w:rsid w:val="00597A0D"/>
    <w:rsid w:val="00597AC6"/>
    <w:rsid w:val="00597B42"/>
    <w:rsid w:val="00597B48"/>
    <w:rsid w:val="00597E5B"/>
    <w:rsid w:val="00597ED1"/>
    <w:rsid w:val="00597F39"/>
    <w:rsid w:val="005A00A7"/>
    <w:rsid w:val="005A01DA"/>
    <w:rsid w:val="005A020A"/>
    <w:rsid w:val="005A0232"/>
    <w:rsid w:val="005A0259"/>
    <w:rsid w:val="005A0272"/>
    <w:rsid w:val="005A0359"/>
    <w:rsid w:val="005A03E1"/>
    <w:rsid w:val="005A0705"/>
    <w:rsid w:val="005A0764"/>
    <w:rsid w:val="005A0784"/>
    <w:rsid w:val="005A0A81"/>
    <w:rsid w:val="005A0AE2"/>
    <w:rsid w:val="005A0BCE"/>
    <w:rsid w:val="005A0D5C"/>
    <w:rsid w:val="005A0FD2"/>
    <w:rsid w:val="005A11BE"/>
    <w:rsid w:val="005A12F1"/>
    <w:rsid w:val="005A1303"/>
    <w:rsid w:val="005A135F"/>
    <w:rsid w:val="005A1365"/>
    <w:rsid w:val="005A143C"/>
    <w:rsid w:val="005A15FA"/>
    <w:rsid w:val="005A167A"/>
    <w:rsid w:val="005A1709"/>
    <w:rsid w:val="005A1769"/>
    <w:rsid w:val="005A176B"/>
    <w:rsid w:val="005A183E"/>
    <w:rsid w:val="005A193F"/>
    <w:rsid w:val="005A1974"/>
    <w:rsid w:val="005A19E8"/>
    <w:rsid w:val="005A1B18"/>
    <w:rsid w:val="005A1BA0"/>
    <w:rsid w:val="005A1C9F"/>
    <w:rsid w:val="005A1D6A"/>
    <w:rsid w:val="005A1E49"/>
    <w:rsid w:val="005A1E53"/>
    <w:rsid w:val="005A1EEB"/>
    <w:rsid w:val="005A21ED"/>
    <w:rsid w:val="005A22BE"/>
    <w:rsid w:val="005A242A"/>
    <w:rsid w:val="005A2762"/>
    <w:rsid w:val="005A2AB9"/>
    <w:rsid w:val="005A2B62"/>
    <w:rsid w:val="005A2C91"/>
    <w:rsid w:val="005A2CEC"/>
    <w:rsid w:val="005A2D14"/>
    <w:rsid w:val="005A2DB9"/>
    <w:rsid w:val="005A2DEA"/>
    <w:rsid w:val="005A2F6C"/>
    <w:rsid w:val="005A3125"/>
    <w:rsid w:val="005A3696"/>
    <w:rsid w:val="005A37B9"/>
    <w:rsid w:val="005A37C8"/>
    <w:rsid w:val="005A37E4"/>
    <w:rsid w:val="005A389C"/>
    <w:rsid w:val="005A3928"/>
    <w:rsid w:val="005A393B"/>
    <w:rsid w:val="005A3B86"/>
    <w:rsid w:val="005A3CB3"/>
    <w:rsid w:val="005A3D05"/>
    <w:rsid w:val="005A3E6D"/>
    <w:rsid w:val="005A41D3"/>
    <w:rsid w:val="005A4221"/>
    <w:rsid w:val="005A433D"/>
    <w:rsid w:val="005A496A"/>
    <w:rsid w:val="005A49A1"/>
    <w:rsid w:val="005A4AEE"/>
    <w:rsid w:val="005A4CBE"/>
    <w:rsid w:val="005A539E"/>
    <w:rsid w:val="005A57D6"/>
    <w:rsid w:val="005A5823"/>
    <w:rsid w:val="005A595F"/>
    <w:rsid w:val="005A5AF1"/>
    <w:rsid w:val="005A5C2A"/>
    <w:rsid w:val="005A5C37"/>
    <w:rsid w:val="005A5E05"/>
    <w:rsid w:val="005A5F7D"/>
    <w:rsid w:val="005A5FA1"/>
    <w:rsid w:val="005A61F3"/>
    <w:rsid w:val="005A6247"/>
    <w:rsid w:val="005A6267"/>
    <w:rsid w:val="005A6504"/>
    <w:rsid w:val="005A6525"/>
    <w:rsid w:val="005A6C5E"/>
    <w:rsid w:val="005A711B"/>
    <w:rsid w:val="005A71FC"/>
    <w:rsid w:val="005A7252"/>
    <w:rsid w:val="005A758D"/>
    <w:rsid w:val="005A763C"/>
    <w:rsid w:val="005A766D"/>
    <w:rsid w:val="005A7736"/>
    <w:rsid w:val="005A7765"/>
    <w:rsid w:val="005A779C"/>
    <w:rsid w:val="005A7991"/>
    <w:rsid w:val="005A7AA5"/>
    <w:rsid w:val="005A7BE0"/>
    <w:rsid w:val="005A7C14"/>
    <w:rsid w:val="005B049D"/>
    <w:rsid w:val="005B09D0"/>
    <w:rsid w:val="005B0B67"/>
    <w:rsid w:val="005B0BC8"/>
    <w:rsid w:val="005B0C2A"/>
    <w:rsid w:val="005B0C73"/>
    <w:rsid w:val="005B0E00"/>
    <w:rsid w:val="005B0EE8"/>
    <w:rsid w:val="005B141F"/>
    <w:rsid w:val="005B144B"/>
    <w:rsid w:val="005B14FA"/>
    <w:rsid w:val="005B161B"/>
    <w:rsid w:val="005B169D"/>
    <w:rsid w:val="005B17DC"/>
    <w:rsid w:val="005B1B18"/>
    <w:rsid w:val="005B1C0A"/>
    <w:rsid w:val="005B2042"/>
    <w:rsid w:val="005B2396"/>
    <w:rsid w:val="005B2434"/>
    <w:rsid w:val="005B244D"/>
    <w:rsid w:val="005B24CF"/>
    <w:rsid w:val="005B25E5"/>
    <w:rsid w:val="005B262F"/>
    <w:rsid w:val="005B26B5"/>
    <w:rsid w:val="005B26C8"/>
    <w:rsid w:val="005B26D7"/>
    <w:rsid w:val="005B2794"/>
    <w:rsid w:val="005B27D3"/>
    <w:rsid w:val="005B2933"/>
    <w:rsid w:val="005B2974"/>
    <w:rsid w:val="005B29A5"/>
    <w:rsid w:val="005B2B15"/>
    <w:rsid w:val="005B2BA5"/>
    <w:rsid w:val="005B2CD7"/>
    <w:rsid w:val="005B2EC4"/>
    <w:rsid w:val="005B3080"/>
    <w:rsid w:val="005B3285"/>
    <w:rsid w:val="005B33EF"/>
    <w:rsid w:val="005B343C"/>
    <w:rsid w:val="005B3539"/>
    <w:rsid w:val="005B3789"/>
    <w:rsid w:val="005B37FE"/>
    <w:rsid w:val="005B381A"/>
    <w:rsid w:val="005B3846"/>
    <w:rsid w:val="005B3A31"/>
    <w:rsid w:val="005B3A70"/>
    <w:rsid w:val="005B3B01"/>
    <w:rsid w:val="005B3CC3"/>
    <w:rsid w:val="005B3E4F"/>
    <w:rsid w:val="005B3E97"/>
    <w:rsid w:val="005B3F3F"/>
    <w:rsid w:val="005B3FDA"/>
    <w:rsid w:val="005B4044"/>
    <w:rsid w:val="005B4098"/>
    <w:rsid w:val="005B4105"/>
    <w:rsid w:val="005B42EB"/>
    <w:rsid w:val="005B43CE"/>
    <w:rsid w:val="005B442D"/>
    <w:rsid w:val="005B44A8"/>
    <w:rsid w:val="005B4595"/>
    <w:rsid w:val="005B47A9"/>
    <w:rsid w:val="005B4891"/>
    <w:rsid w:val="005B49D4"/>
    <w:rsid w:val="005B49EB"/>
    <w:rsid w:val="005B4A0C"/>
    <w:rsid w:val="005B4A61"/>
    <w:rsid w:val="005B4E80"/>
    <w:rsid w:val="005B4ED2"/>
    <w:rsid w:val="005B4F2A"/>
    <w:rsid w:val="005B4F2D"/>
    <w:rsid w:val="005B4F6F"/>
    <w:rsid w:val="005B4F7C"/>
    <w:rsid w:val="005B4FA1"/>
    <w:rsid w:val="005B519C"/>
    <w:rsid w:val="005B526B"/>
    <w:rsid w:val="005B5431"/>
    <w:rsid w:val="005B544B"/>
    <w:rsid w:val="005B5473"/>
    <w:rsid w:val="005B5488"/>
    <w:rsid w:val="005B54D5"/>
    <w:rsid w:val="005B58BA"/>
    <w:rsid w:val="005B5B2A"/>
    <w:rsid w:val="005B5C52"/>
    <w:rsid w:val="005B60E4"/>
    <w:rsid w:val="005B6205"/>
    <w:rsid w:val="005B62A9"/>
    <w:rsid w:val="005B62D7"/>
    <w:rsid w:val="005B642C"/>
    <w:rsid w:val="005B6843"/>
    <w:rsid w:val="005B6894"/>
    <w:rsid w:val="005B6AAD"/>
    <w:rsid w:val="005B6AC3"/>
    <w:rsid w:val="005B6C96"/>
    <w:rsid w:val="005B6CA4"/>
    <w:rsid w:val="005B6E3A"/>
    <w:rsid w:val="005B6E48"/>
    <w:rsid w:val="005B6F46"/>
    <w:rsid w:val="005B6F9F"/>
    <w:rsid w:val="005B6FA5"/>
    <w:rsid w:val="005B6FDE"/>
    <w:rsid w:val="005B711F"/>
    <w:rsid w:val="005B713E"/>
    <w:rsid w:val="005B7160"/>
    <w:rsid w:val="005B71B3"/>
    <w:rsid w:val="005B7653"/>
    <w:rsid w:val="005B76AB"/>
    <w:rsid w:val="005B7A36"/>
    <w:rsid w:val="005B7DDF"/>
    <w:rsid w:val="005C00E1"/>
    <w:rsid w:val="005C0145"/>
    <w:rsid w:val="005C0194"/>
    <w:rsid w:val="005C0359"/>
    <w:rsid w:val="005C03CA"/>
    <w:rsid w:val="005C0403"/>
    <w:rsid w:val="005C0574"/>
    <w:rsid w:val="005C05AA"/>
    <w:rsid w:val="005C068D"/>
    <w:rsid w:val="005C068E"/>
    <w:rsid w:val="005C06A7"/>
    <w:rsid w:val="005C0832"/>
    <w:rsid w:val="005C08CD"/>
    <w:rsid w:val="005C0C61"/>
    <w:rsid w:val="005C0C9F"/>
    <w:rsid w:val="005C0CA1"/>
    <w:rsid w:val="005C0CF4"/>
    <w:rsid w:val="005C0D4E"/>
    <w:rsid w:val="005C0DC2"/>
    <w:rsid w:val="005C0E55"/>
    <w:rsid w:val="005C0E5E"/>
    <w:rsid w:val="005C0F0A"/>
    <w:rsid w:val="005C0F42"/>
    <w:rsid w:val="005C10DE"/>
    <w:rsid w:val="005C1127"/>
    <w:rsid w:val="005C112E"/>
    <w:rsid w:val="005C153A"/>
    <w:rsid w:val="005C1598"/>
    <w:rsid w:val="005C1638"/>
    <w:rsid w:val="005C16A6"/>
    <w:rsid w:val="005C180E"/>
    <w:rsid w:val="005C1AEC"/>
    <w:rsid w:val="005C1B5C"/>
    <w:rsid w:val="005C1B82"/>
    <w:rsid w:val="005C1C20"/>
    <w:rsid w:val="005C1C56"/>
    <w:rsid w:val="005C1E8B"/>
    <w:rsid w:val="005C1F69"/>
    <w:rsid w:val="005C2150"/>
    <w:rsid w:val="005C23E6"/>
    <w:rsid w:val="005C2583"/>
    <w:rsid w:val="005C28B3"/>
    <w:rsid w:val="005C28BB"/>
    <w:rsid w:val="005C28DB"/>
    <w:rsid w:val="005C299F"/>
    <w:rsid w:val="005C2A80"/>
    <w:rsid w:val="005C2B03"/>
    <w:rsid w:val="005C2B71"/>
    <w:rsid w:val="005C2C69"/>
    <w:rsid w:val="005C2D31"/>
    <w:rsid w:val="005C2DB4"/>
    <w:rsid w:val="005C30C5"/>
    <w:rsid w:val="005C3184"/>
    <w:rsid w:val="005C3289"/>
    <w:rsid w:val="005C32DB"/>
    <w:rsid w:val="005C32F1"/>
    <w:rsid w:val="005C337E"/>
    <w:rsid w:val="005C3394"/>
    <w:rsid w:val="005C33FB"/>
    <w:rsid w:val="005C3418"/>
    <w:rsid w:val="005C34DD"/>
    <w:rsid w:val="005C35FF"/>
    <w:rsid w:val="005C3761"/>
    <w:rsid w:val="005C3803"/>
    <w:rsid w:val="005C390F"/>
    <w:rsid w:val="005C3911"/>
    <w:rsid w:val="005C3930"/>
    <w:rsid w:val="005C3BB3"/>
    <w:rsid w:val="005C3C22"/>
    <w:rsid w:val="005C3CC2"/>
    <w:rsid w:val="005C3DB1"/>
    <w:rsid w:val="005C3DFD"/>
    <w:rsid w:val="005C3E10"/>
    <w:rsid w:val="005C3E2A"/>
    <w:rsid w:val="005C3FE0"/>
    <w:rsid w:val="005C422A"/>
    <w:rsid w:val="005C422E"/>
    <w:rsid w:val="005C440A"/>
    <w:rsid w:val="005C44B8"/>
    <w:rsid w:val="005C4505"/>
    <w:rsid w:val="005C4517"/>
    <w:rsid w:val="005C46AE"/>
    <w:rsid w:val="005C47A6"/>
    <w:rsid w:val="005C47C0"/>
    <w:rsid w:val="005C49EA"/>
    <w:rsid w:val="005C4AD9"/>
    <w:rsid w:val="005C4B3C"/>
    <w:rsid w:val="005C4C70"/>
    <w:rsid w:val="005C4CB9"/>
    <w:rsid w:val="005C4D8F"/>
    <w:rsid w:val="005C4DF1"/>
    <w:rsid w:val="005C4EC9"/>
    <w:rsid w:val="005C4EF0"/>
    <w:rsid w:val="005C4F15"/>
    <w:rsid w:val="005C5054"/>
    <w:rsid w:val="005C521E"/>
    <w:rsid w:val="005C5241"/>
    <w:rsid w:val="005C56B3"/>
    <w:rsid w:val="005C58A1"/>
    <w:rsid w:val="005C5AD5"/>
    <w:rsid w:val="005C5C30"/>
    <w:rsid w:val="005C5C55"/>
    <w:rsid w:val="005C6085"/>
    <w:rsid w:val="005C60BC"/>
    <w:rsid w:val="005C6117"/>
    <w:rsid w:val="005C61AB"/>
    <w:rsid w:val="005C6211"/>
    <w:rsid w:val="005C6376"/>
    <w:rsid w:val="005C63C5"/>
    <w:rsid w:val="005C643C"/>
    <w:rsid w:val="005C6477"/>
    <w:rsid w:val="005C64E5"/>
    <w:rsid w:val="005C6574"/>
    <w:rsid w:val="005C6596"/>
    <w:rsid w:val="005C675D"/>
    <w:rsid w:val="005C68CF"/>
    <w:rsid w:val="005C6980"/>
    <w:rsid w:val="005C6A67"/>
    <w:rsid w:val="005C6B54"/>
    <w:rsid w:val="005C6B9C"/>
    <w:rsid w:val="005C6C62"/>
    <w:rsid w:val="005C6CC9"/>
    <w:rsid w:val="005C6EBC"/>
    <w:rsid w:val="005C6F93"/>
    <w:rsid w:val="005C70CF"/>
    <w:rsid w:val="005C71F2"/>
    <w:rsid w:val="005C72E9"/>
    <w:rsid w:val="005C741E"/>
    <w:rsid w:val="005C7552"/>
    <w:rsid w:val="005C765F"/>
    <w:rsid w:val="005C77B2"/>
    <w:rsid w:val="005C7856"/>
    <w:rsid w:val="005C7A31"/>
    <w:rsid w:val="005C7A6D"/>
    <w:rsid w:val="005C7C48"/>
    <w:rsid w:val="005C7D40"/>
    <w:rsid w:val="005C7E2C"/>
    <w:rsid w:val="005C7EC2"/>
    <w:rsid w:val="005D0046"/>
    <w:rsid w:val="005D010E"/>
    <w:rsid w:val="005D018D"/>
    <w:rsid w:val="005D023A"/>
    <w:rsid w:val="005D0303"/>
    <w:rsid w:val="005D039B"/>
    <w:rsid w:val="005D03F6"/>
    <w:rsid w:val="005D05BF"/>
    <w:rsid w:val="005D066F"/>
    <w:rsid w:val="005D06CD"/>
    <w:rsid w:val="005D06E9"/>
    <w:rsid w:val="005D0740"/>
    <w:rsid w:val="005D0757"/>
    <w:rsid w:val="005D0776"/>
    <w:rsid w:val="005D07A2"/>
    <w:rsid w:val="005D085E"/>
    <w:rsid w:val="005D0893"/>
    <w:rsid w:val="005D08B2"/>
    <w:rsid w:val="005D08CD"/>
    <w:rsid w:val="005D0992"/>
    <w:rsid w:val="005D0A34"/>
    <w:rsid w:val="005D0A8B"/>
    <w:rsid w:val="005D0B2D"/>
    <w:rsid w:val="005D0B32"/>
    <w:rsid w:val="005D0BBA"/>
    <w:rsid w:val="005D0CFF"/>
    <w:rsid w:val="005D0D0A"/>
    <w:rsid w:val="005D0EE9"/>
    <w:rsid w:val="005D0F9D"/>
    <w:rsid w:val="005D0FBD"/>
    <w:rsid w:val="005D105F"/>
    <w:rsid w:val="005D1121"/>
    <w:rsid w:val="005D117D"/>
    <w:rsid w:val="005D124A"/>
    <w:rsid w:val="005D1400"/>
    <w:rsid w:val="005D158D"/>
    <w:rsid w:val="005D15BE"/>
    <w:rsid w:val="005D16BB"/>
    <w:rsid w:val="005D17D1"/>
    <w:rsid w:val="005D1898"/>
    <w:rsid w:val="005D18A9"/>
    <w:rsid w:val="005D18F4"/>
    <w:rsid w:val="005D194F"/>
    <w:rsid w:val="005D1AED"/>
    <w:rsid w:val="005D1CAD"/>
    <w:rsid w:val="005D1D0B"/>
    <w:rsid w:val="005D1D46"/>
    <w:rsid w:val="005D1D99"/>
    <w:rsid w:val="005D1E08"/>
    <w:rsid w:val="005D1FBD"/>
    <w:rsid w:val="005D2087"/>
    <w:rsid w:val="005D2143"/>
    <w:rsid w:val="005D2356"/>
    <w:rsid w:val="005D2637"/>
    <w:rsid w:val="005D26EC"/>
    <w:rsid w:val="005D2787"/>
    <w:rsid w:val="005D280D"/>
    <w:rsid w:val="005D283A"/>
    <w:rsid w:val="005D29B3"/>
    <w:rsid w:val="005D2B3E"/>
    <w:rsid w:val="005D2C15"/>
    <w:rsid w:val="005D2CDC"/>
    <w:rsid w:val="005D2E63"/>
    <w:rsid w:val="005D2EF6"/>
    <w:rsid w:val="005D2F98"/>
    <w:rsid w:val="005D2FEF"/>
    <w:rsid w:val="005D2FF9"/>
    <w:rsid w:val="005D2FFC"/>
    <w:rsid w:val="005D3012"/>
    <w:rsid w:val="005D3041"/>
    <w:rsid w:val="005D31ED"/>
    <w:rsid w:val="005D3211"/>
    <w:rsid w:val="005D3239"/>
    <w:rsid w:val="005D32FF"/>
    <w:rsid w:val="005D33F8"/>
    <w:rsid w:val="005D34BC"/>
    <w:rsid w:val="005D36C0"/>
    <w:rsid w:val="005D3740"/>
    <w:rsid w:val="005D387A"/>
    <w:rsid w:val="005D3889"/>
    <w:rsid w:val="005D38A2"/>
    <w:rsid w:val="005D38E8"/>
    <w:rsid w:val="005D3900"/>
    <w:rsid w:val="005D3A34"/>
    <w:rsid w:val="005D3D3E"/>
    <w:rsid w:val="005D3D81"/>
    <w:rsid w:val="005D4015"/>
    <w:rsid w:val="005D42AF"/>
    <w:rsid w:val="005D4573"/>
    <w:rsid w:val="005D47FE"/>
    <w:rsid w:val="005D4873"/>
    <w:rsid w:val="005D4A9F"/>
    <w:rsid w:val="005D4AD2"/>
    <w:rsid w:val="005D4EDD"/>
    <w:rsid w:val="005D4F2E"/>
    <w:rsid w:val="005D5056"/>
    <w:rsid w:val="005D5137"/>
    <w:rsid w:val="005D5293"/>
    <w:rsid w:val="005D533D"/>
    <w:rsid w:val="005D53C5"/>
    <w:rsid w:val="005D5418"/>
    <w:rsid w:val="005D5440"/>
    <w:rsid w:val="005D54ED"/>
    <w:rsid w:val="005D5633"/>
    <w:rsid w:val="005D5656"/>
    <w:rsid w:val="005D5986"/>
    <w:rsid w:val="005D5A03"/>
    <w:rsid w:val="005D5A16"/>
    <w:rsid w:val="005D5A6D"/>
    <w:rsid w:val="005D5B35"/>
    <w:rsid w:val="005D5C79"/>
    <w:rsid w:val="005D5D08"/>
    <w:rsid w:val="005D5D50"/>
    <w:rsid w:val="005D5E5A"/>
    <w:rsid w:val="005D61C4"/>
    <w:rsid w:val="005D6460"/>
    <w:rsid w:val="005D6470"/>
    <w:rsid w:val="005D64F4"/>
    <w:rsid w:val="005D6516"/>
    <w:rsid w:val="005D6546"/>
    <w:rsid w:val="005D6586"/>
    <w:rsid w:val="005D691B"/>
    <w:rsid w:val="005D6B3C"/>
    <w:rsid w:val="005D6BC9"/>
    <w:rsid w:val="005D6BD4"/>
    <w:rsid w:val="005D6F61"/>
    <w:rsid w:val="005D7005"/>
    <w:rsid w:val="005D704E"/>
    <w:rsid w:val="005D7156"/>
    <w:rsid w:val="005D736E"/>
    <w:rsid w:val="005D748C"/>
    <w:rsid w:val="005D7663"/>
    <w:rsid w:val="005D76E2"/>
    <w:rsid w:val="005D787C"/>
    <w:rsid w:val="005D7B66"/>
    <w:rsid w:val="005D7D5A"/>
    <w:rsid w:val="005D7E82"/>
    <w:rsid w:val="005D7FF0"/>
    <w:rsid w:val="005E00A8"/>
    <w:rsid w:val="005E04EA"/>
    <w:rsid w:val="005E0618"/>
    <w:rsid w:val="005E06AD"/>
    <w:rsid w:val="005E06C9"/>
    <w:rsid w:val="005E06FF"/>
    <w:rsid w:val="005E07BF"/>
    <w:rsid w:val="005E0CCF"/>
    <w:rsid w:val="005E0D01"/>
    <w:rsid w:val="005E0D70"/>
    <w:rsid w:val="005E0FAA"/>
    <w:rsid w:val="005E0FEE"/>
    <w:rsid w:val="005E115B"/>
    <w:rsid w:val="005E11E6"/>
    <w:rsid w:val="005E12D7"/>
    <w:rsid w:val="005E12DD"/>
    <w:rsid w:val="005E1384"/>
    <w:rsid w:val="005E146C"/>
    <w:rsid w:val="005E165B"/>
    <w:rsid w:val="005E1674"/>
    <w:rsid w:val="005E1880"/>
    <w:rsid w:val="005E190E"/>
    <w:rsid w:val="005E1A50"/>
    <w:rsid w:val="005E1B93"/>
    <w:rsid w:val="005E1E0D"/>
    <w:rsid w:val="005E1E6A"/>
    <w:rsid w:val="005E2148"/>
    <w:rsid w:val="005E2208"/>
    <w:rsid w:val="005E239B"/>
    <w:rsid w:val="005E2468"/>
    <w:rsid w:val="005E24E6"/>
    <w:rsid w:val="005E260B"/>
    <w:rsid w:val="005E265A"/>
    <w:rsid w:val="005E26A3"/>
    <w:rsid w:val="005E26C1"/>
    <w:rsid w:val="005E2704"/>
    <w:rsid w:val="005E286B"/>
    <w:rsid w:val="005E29E3"/>
    <w:rsid w:val="005E2B23"/>
    <w:rsid w:val="005E2B8F"/>
    <w:rsid w:val="005E2D9C"/>
    <w:rsid w:val="005E2E10"/>
    <w:rsid w:val="005E2E73"/>
    <w:rsid w:val="005E2FCD"/>
    <w:rsid w:val="005E305D"/>
    <w:rsid w:val="005E308F"/>
    <w:rsid w:val="005E30A7"/>
    <w:rsid w:val="005E33E9"/>
    <w:rsid w:val="005E347A"/>
    <w:rsid w:val="005E3563"/>
    <w:rsid w:val="005E366D"/>
    <w:rsid w:val="005E388D"/>
    <w:rsid w:val="005E3911"/>
    <w:rsid w:val="005E3C2D"/>
    <w:rsid w:val="005E3D97"/>
    <w:rsid w:val="005E408B"/>
    <w:rsid w:val="005E4358"/>
    <w:rsid w:val="005E4912"/>
    <w:rsid w:val="005E495E"/>
    <w:rsid w:val="005E4B90"/>
    <w:rsid w:val="005E4BA7"/>
    <w:rsid w:val="005E4BB7"/>
    <w:rsid w:val="005E4CE2"/>
    <w:rsid w:val="005E4DA6"/>
    <w:rsid w:val="005E4DF5"/>
    <w:rsid w:val="005E4EFF"/>
    <w:rsid w:val="005E4FF6"/>
    <w:rsid w:val="005E50CD"/>
    <w:rsid w:val="005E5113"/>
    <w:rsid w:val="005E536F"/>
    <w:rsid w:val="005E5416"/>
    <w:rsid w:val="005E5491"/>
    <w:rsid w:val="005E5A17"/>
    <w:rsid w:val="005E5AE6"/>
    <w:rsid w:val="005E5BE6"/>
    <w:rsid w:val="005E5C77"/>
    <w:rsid w:val="005E5CB7"/>
    <w:rsid w:val="005E5EBB"/>
    <w:rsid w:val="005E5EF1"/>
    <w:rsid w:val="005E6244"/>
    <w:rsid w:val="005E6314"/>
    <w:rsid w:val="005E6337"/>
    <w:rsid w:val="005E635B"/>
    <w:rsid w:val="005E6440"/>
    <w:rsid w:val="005E6494"/>
    <w:rsid w:val="005E6510"/>
    <w:rsid w:val="005E6536"/>
    <w:rsid w:val="005E65CF"/>
    <w:rsid w:val="005E666E"/>
    <w:rsid w:val="005E6815"/>
    <w:rsid w:val="005E6A7B"/>
    <w:rsid w:val="005E6C6F"/>
    <w:rsid w:val="005E6DB5"/>
    <w:rsid w:val="005E6E4F"/>
    <w:rsid w:val="005E7057"/>
    <w:rsid w:val="005E71EB"/>
    <w:rsid w:val="005E72BF"/>
    <w:rsid w:val="005E72C5"/>
    <w:rsid w:val="005E7380"/>
    <w:rsid w:val="005E776D"/>
    <w:rsid w:val="005E7864"/>
    <w:rsid w:val="005E7883"/>
    <w:rsid w:val="005E788C"/>
    <w:rsid w:val="005E7931"/>
    <w:rsid w:val="005E7D09"/>
    <w:rsid w:val="005F005D"/>
    <w:rsid w:val="005F0371"/>
    <w:rsid w:val="005F0410"/>
    <w:rsid w:val="005F04A9"/>
    <w:rsid w:val="005F05D7"/>
    <w:rsid w:val="005F0651"/>
    <w:rsid w:val="005F0739"/>
    <w:rsid w:val="005F07FE"/>
    <w:rsid w:val="005F0C61"/>
    <w:rsid w:val="005F0CB8"/>
    <w:rsid w:val="005F0D72"/>
    <w:rsid w:val="005F0E87"/>
    <w:rsid w:val="005F0EEC"/>
    <w:rsid w:val="005F0F42"/>
    <w:rsid w:val="005F0FC0"/>
    <w:rsid w:val="005F0FF6"/>
    <w:rsid w:val="005F114C"/>
    <w:rsid w:val="005F1191"/>
    <w:rsid w:val="005F13D8"/>
    <w:rsid w:val="005F14AD"/>
    <w:rsid w:val="005F1743"/>
    <w:rsid w:val="005F1F95"/>
    <w:rsid w:val="005F1FFF"/>
    <w:rsid w:val="005F2035"/>
    <w:rsid w:val="005F212C"/>
    <w:rsid w:val="005F221C"/>
    <w:rsid w:val="005F2231"/>
    <w:rsid w:val="005F2296"/>
    <w:rsid w:val="005F2439"/>
    <w:rsid w:val="005F2600"/>
    <w:rsid w:val="005F266A"/>
    <w:rsid w:val="005F2698"/>
    <w:rsid w:val="005F27D7"/>
    <w:rsid w:val="005F2809"/>
    <w:rsid w:val="005F28C1"/>
    <w:rsid w:val="005F298D"/>
    <w:rsid w:val="005F2A12"/>
    <w:rsid w:val="005F2B17"/>
    <w:rsid w:val="005F2BED"/>
    <w:rsid w:val="005F2C0A"/>
    <w:rsid w:val="005F2C25"/>
    <w:rsid w:val="005F2DD4"/>
    <w:rsid w:val="005F3070"/>
    <w:rsid w:val="005F31FB"/>
    <w:rsid w:val="005F34A3"/>
    <w:rsid w:val="005F3524"/>
    <w:rsid w:val="005F3536"/>
    <w:rsid w:val="005F359F"/>
    <w:rsid w:val="005F3670"/>
    <w:rsid w:val="005F368E"/>
    <w:rsid w:val="005F3726"/>
    <w:rsid w:val="005F39F6"/>
    <w:rsid w:val="005F3AEE"/>
    <w:rsid w:val="005F3E68"/>
    <w:rsid w:val="005F3FA3"/>
    <w:rsid w:val="005F4040"/>
    <w:rsid w:val="005F4059"/>
    <w:rsid w:val="005F40EC"/>
    <w:rsid w:val="005F411C"/>
    <w:rsid w:val="005F4142"/>
    <w:rsid w:val="005F4153"/>
    <w:rsid w:val="005F4165"/>
    <w:rsid w:val="005F42E2"/>
    <w:rsid w:val="005F4492"/>
    <w:rsid w:val="005F4532"/>
    <w:rsid w:val="005F470B"/>
    <w:rsid w:val="005F479C"/>
    <w:rsid w:val="005F489F"/>
    <w:rsid w:val="005F4A56"/>
    <w:rsid w:val="005F4A59"/>
    <w:rsid w:val="005F4B0D"/>
    <w:rsid w:val="005F4B51"/>
    <w:rsid w:val="005F4C60"/>
    <w:rsid w:val="005F4C6B"/>
    <w:rsid w:val="005F507B"/>
    <w:rsid w:val="005F50D9"/>
    <w:rsid w:val="005F5737"/>
    <w:rsid w:val="005F5915"/>
    <w:rsid w:val="005F59DD"/>
    <w:rsid w:val="005F5A3F"/>
    <w:rsid w:val="005F5B0D"/>
    <w:rsid w:val="005F5BA6"/>
    <w:rsid w:val="005F5D6B"/>
    <w:rsid w:val="005F5E12"/>
    <w:rsid w:val="005F609D"/>
    <w:rsid w:val="005F61D3"/>
    <w:rsid w:val="005F61E7"/>
    <w:rsid w:val="005F6399"/>
    <w:rsid w:val="005F63BF"/>
    <w:rsid w:val="005F658A"/>
    <w:rsid w:val="005F6683"/>
    <w:rsid w:val="005F671E"/>
    <w:rsid w:val="005F6793"/>
    <w:rsid w:val="005F6A42"/>
    <w:rsid w:val="005F6A4E"/>
    <w:rsid w:val="005F6EE3"/>
    <w:rsid w:val="005F6EF3"/>
    <w:rsid w:val="005F6FDB"/>
    <w:rsid w:val="005F7082"/>
    <w:rsid w:val="005F7222"/>
    <w:rsid w:val="005F7228"/>
    <w:rsid w:val="005F722F"/>
    <w:rsid w:val="005F7269"/>
    <w:rsid w:val="005F72F1"/>
    <w:rsid w:val="005F733C"/>
    <w:rsid w:val="005F73B9"/>
    <w:rsid w:val="005F766B"/>
    <w:rsid w:val="005F7709"/>
    <w:rsid w:val="005F773B"/>
    <w:rsid w:val="005F793A"/>
    <w:rsid w:val="005F79F8"/>
    <w:rsid w:val="005F7B42"/>
    <w:rsid w:val="005F7B73"/>
    <w:rsid w:val="005F7C73"/>
    <w:rsid w:val="005F7D3E"/>
    <w:rsid w:val="005F7D47"/>
    <w:rsid w:val="005F7EFD"/>
    <w:rsid w:val="005F7F4A"/>
    <w:rsid w:val="00600052"/>
    <w:rsid w:val="00600205"/>
    <w:rsid w:val="0060021B"/>
    <w:rsid w:val="00600291"/>
    <w:rsid w:val="006003F7"/>
    <w:rsid w:val="00600480"/>
    <w:rsid w:val="00600590"/>
    <w:rsid w:val="00600594"/>
    <w:rsid w:val="006005E3"/>
    <w:rsid w:val="00600738"/>
    <w:rsid w:val="006007BC"/>
    <w:rsid w:val="006008BA"/>
    <w:rsid w:val="00600A3A"/>
    <w:rsid w:val="00600AF3"/>
    <w:rsid w:val="00600BC3"/>
    <w:rsid w:val="00600BD7"/>
    <w:rsid w:val="00600D11"/>
    <w:rsid w:val="00600E12"/>
    <w:rsid w:val="00600F0A"/>
    <w:rsid w:val="0060109C"/>
    <w:rsid w:val="006010BC"/>
    <w:rsid w:val="006011EE"/>
    <w:rsid w:val="0060130B"/>
    <w:rsid w:val="006013D2"/>
    <w:rsid w:val="006013E0"/>
    <w:rsid w:val="006013F8"/>
    <w:rsid w:val="006014A1"/>
    <w:rsid w:val="0060156E"/>
    <w:rsid w:val="0060160A"/>
    <w:rsid w:val="00601628"/>
    <w:rsid w:val="006016A6"/>
    <w:rsid w:val="00601740"/>
    <w:rsid w:val="00601859"/>
    <w:rsid w:val="006018AE"/>
    <w:rsid w:val="006019BD"/>
    <w:rsid w:val="00601A25"/>
    <w:rsid w:val="00601A44"/>
    <w:rsid w:val="00601AC5"/>
    <w:rsid w:val="00601B17"/>
    <w:rsid w:val="00601B4A"/>
    <w:rsid w:val="00601B9C"/>
    <w:rsid w:val="00601BB1"/>
    <w:rsid w:val="00601C3A"/>
    <w:rsid w:val="00601CFB"/>
    <w:rsid w:val="00601D4E"/>
    <w:rsid w:val="00601D8E"/>
    <w:rsid w:val="00601E01"/>
    <w:rsid w:val="00602132"/>
    <w:rsid w:val="0060228C"/>
    <w:rsid w:val="006022FF"/>
    <w:rsid w:val="0060250A"/>
    <w:rsid w:val="0060250C"/>
    <w:rsid w:val="006025E1"/>
    <w:rsid w:val="0060263E"/>
    <w:rsid w:val="006026A4"/>
    <w:rsid w:val="0060278C"/>
    <w:rsid w:val="006028CE"/>
    <w:rsid w:val="006029B6"/>
    <w:rsid w:val="00602A16"/>
    <w:rsid w:val="00602A95"/>
    <w:rsid w:val="00602BED"/>
    <w:rsid w:val="00602C34"/>
    <w:rsid w:val="00602D3A"/>
    <w:rsid w:val="00602E4E"/>
    <w:rsid w:val="00602E4F"/>
    <w:rsid w:val="00602E95"/>
    <w:rsid w:val="00602F0F"/>
    <w:rsid w:val="0060306F"/>
    <w:rsid w:val="006030F7"/>
    <w:rsid w:val="006032FA"/>
    <w:rsid w:val="00603560"/>
    <w:rsid w:val="006035BF"/>
    <w:rsid w:val="006035E1"/>
    <w:rsid w:val="00603A47"/>
    <w:rsid w:val="00603C60"/>
    <w:rsid w:val="00603D1A"/>
    <w:rsid w:val="00603D49"/>
    <w:rsid w:val="00603FCB"/>
    <w:rsid w:val="006042D3"/>
    <w:rsid w:val="00604490"/>
    <w:rsid w:val="0060465A"/>
    <w:rsid w:val="0060479D"/>
    <w:rsid w:val="00604A4C"/>
    <w:rsid w:val="00604A54"/>
    <w:rsid w:val="00604CB7"/>
    <w:rsid w:val="00604CBD"/>
    <w:rsid w:val="00604FD4"/>
    <w:rsid w:val="0060516C"/>
    <w:rsid w:val="00605273"/>
    <w:rsid w:val="006054BE"/>
    <w:rsid w:val="006054C0"/>
    <w:rsid w:val="006054DF"/>
    <w:rsid w:val="00605656"/>
    <w:rsid w:val="006057C8"/>
    <w:rsid w:val="006058F6"/>
    <w:rsid w:val="0060592C"/>
    <w:rsid w:val="0060595B"/>
    <w:rsid w:val="00605A98"/>
    <w:rsid w:val="00605AFD"/>
    <w:rsid w:val="00605DC8"/>
    <w:rsid w:val="00605DCF"/>
    <w:rsid w:val="00605E40"/>
    <w:rsid w:val="00605EFF"/>
    <w:rsid w:val="006060E4"/>
    <w:rsid w:val="00606109"/>
    <w:rsid w:val="00606156"/>
    <w:rsid w:val="006062B1"/>
    <w:rsid w:val="006063F0"/>
    <w:rsid w:val="0060644E"/>
    <w:rsid w:val="006066AE"/>
    <w:rsid w:val="006067B2"/>
    <w:rsid w:val="0060686F"/>
    <w:rsid w:val="00606A15"/>
    <w:rsid w:val="00606BD2"/>
    <w:rsid w:val="00606C45"/>
    <w:rsid w:val="00606D20"/>
    <w:rsid w:val="00606DEB"/>
    <w:rsid w:val="00606E51"/>
    <w:rsid w:val="00606F32"/>
    <w:rsid w:val="00606F33"/>
    <w:rsid w:val="00606FE1"/>
    <w:rsid w:val="0060700D"/>
    <w:rsid w:val="006070BD"/>
    <w:rsid w:val="006071A4"/>
    <w:rsid w:val="006072F1"/>
    <w:rsid w:val="0060738F"/>
    <w:rsid w:val="00607525"/>
    <w:rsid w:val="00607553"/>
    <w:rsid w:val="006076D8"/>
    <w:rsid w:val="0060789C"/>
    <w:rsid w:val="00607A12"/>
    <w:rsid w:val="00607C7C"/>
    <w:rsid w:val="00607C87"/>
    <w:rsid w:val="00607ED1"/>
    <w:rsid w:val="00607FA7"/>
    <w:rsid w:val="006101D4"/>
    <w:rsid w:val="0061025A"/>
    <w:rsid w:val="006102D3"/>
    <w:rsid w:val="00610572"/>
    <w:rsid w:val="00610A18"/>
    <w:rsid w:val="00610A37"/>
    <w:rsid w:val="00610A9E"/>
    <w:rsid w:val="00610B3A"/>
    <w:rsid w:val="00610BAC"/>
    <w:rsid w:val="00610D59"/>
    <w:rsid w:val="0061101D"/>
    <w:rsid w:val="0061105C"/>
    <w:rsid w:val="006112BF"/>
    <w:rsid w:val="00611468"/>
    <w:rsid w:val="006114F6"/>
    <w:rsid w:val="00611892"/>
    <w:rsid w:val="00611904"/>
    <w:rsid w:val="00611B34"/>
    <w:rsid w:val="00611DB5"/>
    <w:rsid w:val="00611F76"/>
    <w:rsid w:val="00611FED"/>
    <w:rsid w:val="0061211D"/>
    <w:rsid w:val="006121E7"/>
    <w:rsid w:val="006123D4"/>
    <w:rsid w:val="00612501"/>
    <w:rsid w:val="00612620"/>
    <w:rsid w:val="00612625"/>
    <w:rsid w:val="00612762"/>
    <w:rsid w:val="00612785"/>
    <w:rsid w:val="0061280A"/>
    <w:rsid w:val="0061284A"/>
    <w:rsid w:val="00612C6F"/>
    <w:rsid w:val="00612CF1"/>
    <w:rsid w:val="00612D11"/>
    <w:rsid w:val="00612D2A"/>
    <w:rsid w:val="00612F2C"/>
    <w:rsid w:val="0061300C"/>
    <w:rsid w:val="006130A1"/>
    <w:rsid w:val="006131C1"/>
    <w:rsid w:val="00613277"/>
    <w:rsid w:val="006132BD"/>
    <w:rsid w:val="00613448"/>
    <w:rsid w:val="006134A2"/>
    <w:rsid w:val="00613819"/>
    <w:rsid w:val="00613910"/>
    <w:rsid w:val="00613AA8"/>
    <w:rsid w:val="00613DE9"/>
    <w:rsid w:val="00613E39"/>
    <w:rsid w:val="00613F11"/>
    <w:rsid w:val="00614158"/>
    <w:rsid w:val="00614302"/>
    <w:rsid w:val="00614311"/>
    <w:rsid w:val="00614680"/>
    <w:rsid w:val="006146D6"/>
    <w:rsid w:val="00614832"/>
    <w:rsid w:val="00614872"/>
    <w:rsid w:val="00614942"/>
    <w:rsid w:val="0061497B"/>
    <w:rsid w:val="0061497C"/>
    <w:rsid w:val="00614BB5"/>
    <w:rsid w:val="0061509A"/>
    <w:rsid w:val="006152C7"/>
    <w:rsid w:val="006153B9"/>
    <w:rsid w:val="006153C1"/>
    <w:rsid w:val="0061550F"/>
    <w:rsid w:val="00615539"/>
    <w:rsid w:val="006155F5"/>
    <w:rsid w:val="00615614"/>
    <w:rsid w:val="0061576B"/>
    <w:rsid w:val="006157F3"/>
    <w:rsid w:val="00615887"/>
    <w:rsid w:val="006158FE"/>
    <w:rsid w:val="006159BF"/>
    <w:rsid w:val="00615A8E"/>
    <w:rsid w:val="00615C2B"/>
    <w:rsid w:val="00615D22"/>
    <w:rsid w:val="00616013"/>
    <w:rsid w:val="006160BB"/>
    <w:rsid w:val="006160EF"/>
    <w:rsid w:val="0061613A"/>
    <w:rsid w:val="0061623E"/>
    <w:rsid w:val="0061626E"/>
    <w:rsid w:val="00616404"/>
    <w:rsid w:val="006166A8"/>
    <w:rsid w:val="006167A0"/>
    <w:rsid w:val="00616BDD"/>
    <w:rsid w:val="00616E1C"/>
    <w:rsid w:val="00616F3B"/>
    <w:rsid w:val="00617266"/>
    <w:rsid w:val="00617352"/>
    <w:rsid w:val="006176E1"/>
    <w:rsid w:val="006176F3"/>
    <w:rsid w:val="006177E6"/>
    <w:rsid w:val="006177F2"/>
    <w:rsid w:val="00617859"/>
    <w:rsid w:val="006178AA"/>
    <w:rsid w:val="006178C1"/>
    <w:rsid w:val="00617941"/>
    <w:rsid w:val="00617A8E"/>
    <w:rsid w:val="00617BEF"/>
    <w:rsid w:val="00617E87"/>
    <w:rsid w:val="00617ECA"/>
    <w:rsid w:val="00617F6E"/>
    <w:rsid w:val="0062025B"/>
    <w:rsid w:val="006206AB"/>
    <w:rsid w:val="006206D1"/>
    <w:rsid w:val="00620833"/>
    <w:rsid w:val="00620A33"/>
    <w:rsid w:val="00620A54"/>
    <w:rsid w:val="00620B49"/>
    <w:rsid w:val="00620C96"/>
    <w:rsid w:val="00620D0D"/>
    <w:rsid w:val="00620D45"/>
    <w:rsid w:val="00620E05"/>
    <w:rsid w:val="00620F30"/>
    <w:rsid w:val="00620F48"/>
    <w:rsid w:val="006210E8"/>
    <w:rsid w:val="00621187"/>
    <w:rsid w:val="006214F0"/>
    <w:rsid w:val="0062185F"/>
    <w:rsid w:val="006218C3"/>
    <w:rsid w:val="00621A0E"/>
    <w:rsid w:val="00621A97"/>
    <w:rsid w:val="00621CED"/>
    <w:rsid w:val="00622080"/>
    <w:rsid w:val="00622156"/>
    <w:rsid w:val="006221E6"/>
    <w:rsid w:val="00622236"/>
    <w:rsid w:val="00622343"/>
    <w:rsid w:val="006224A8"/>
    <w:rsid w:val="006224CE"/>
    <w:rsid w:val="00622541"/>
    <w:rsid w:val="00622586"/>
    <w:rsid w:val="006225DA"/>
    <w:rsid w:val="006228B4"/>
    <w:rsid w:val="00622A73"/>
    <w:rsid w:val="00622AC1"/>
    <w:rsid w:val="00622B02"/>
    <w:rsid w:val="00622C24"/>
    <w:rsid w:val="00622C2A"/>
    <w:rsid w:val="00622DB6"/>
    <w:rsid w:val="00622E95"/>
    <w:rsid w:val="00622F65"/>
    <w:rsid w:val="006230DD"/>
    <w:rsid w:val="006231A7"/>
    <w:rsid w:val="006232C3"/>
    <w:rsid w:val="00623411"/>
    <w:rsid w:val="0062341B"/>
    <w:rsid w:val="0062369A"/>
    <w:rsid w:val="006238CD"/>
    <w:rsid w:val="0062393B"/>
    <w:rsid w:val="00623965"/>
    <w:rsid w:val="006239A7"/>
    <w:rsid w:val="006239C9"/>
    <w:rsid w:val="00623A13"/>
    <w:rsid w:val="00623B14"/>
    <w:rsid w:val="00623C97"/>
    <w:rsid w:val="00623CFC"/>
    <w:rsid w:val="00623D64"/>
    <w:rsid w:val="00623EA1"/>
    <w:rsid w:val="006240A5"/>
    <w:rsid w:val="0062414B"/>
    <w:rsid w:val="00624290"/>
    <w:rsid w:val="0062435D"/>
    <w:rsid w:val="00624406"/>
    <w:rsid w:val="00624407"/>
    <w:rsid w:val="00624424"/>
    <w:rsid w:val="00624537"/>
    <w:rsid w:val="0062491A"/>
    <w:rsid w:val="0062495C"/>
    <w:rsid w:val="00624A8D"/>
    <w:rsid w:val="00624BE6"/>
    <w:rsid w:val="00624C59"/>
    <w:rsid w:val="00624CED"/>
    <w:rsid w:val="00624DDD"/>
    <w:rsid w:val="00624E1A"/>
    <w:rsid w:val="00624E9C"/>
    <w:rsid w:val="00624F2E"/>
    <w:rsid w:val="00625005"/>
    <w:rsid w:val="00625040"/>
    <w:rsid w:val="0062504A"/>
    <w:rsid w:val="0062517F"/>
    <w:rsid w:val="006251C0"/>
    <w:rsid w:val="0062530E"/>
    <w:rsid w:val="00625365"/>
    <w:rsid w:val="006253C3"/>
    <w:rsid w:val="0062547B"/>
    <w:rsid w:val="0062565D"/>
    <w:rsid w:val="00625B7A"/>
    <w:rsid w:val="00625C11"/>
    <w:rsid w:val="00625ED8"/>
    <w:rsid w:val="00625FAA"/>
    <w:rsid w:val="0062612A"/>
    <w:rsid w:val="006261F2"/>
    <w:rsid w:val="006262AA"/>
    <w:rsid w:val="00626346"/>
    <w:rsid w:val="0062644F"/>
    <w:rsid w:val="00626549"/>
    <w:rsid w:val="00626567"/>
    <w:rsid w:val="00626578"/>
    <w:rsid w:val="006265B6"/>
    <w:rsid w:val="00626602"/>
    <w:rsid w:val="006266FF"/>
    <w:rsid w:val="0062689E"/>
    <w:rsid w:val="0062692A"/>
    <w:rsid w:val="00626A74"/>
    <w:rsid w:val="00626A9A"/>
    <w:rsid w:val="00626AD8"/>
    <w:rsid w:val="00626C40"/>
    <w:rsid w:val="00626CBF"/>
    <w:rsid w:val="00626CC4"/>
    <w:rsid w:val="00626D50"/>
    <w:rsid w:val="00626EAA"/>
    <w:rsid w:val="00626EE9"/>
    <w:rsid w:val="00626FDE"/>
    <w:rsid w:val="00626FFF"/>
    <w:rsid w:val="006270F2"/>
    <w:rsid w:val="006277CD"/>
    <w:rsid w:val="00627999"/>
    <w:rsid w:val="006279B3"/>
    <w:rsid w:val="00627A72"/>
    <w:rsid w:val="00627B1A"/>
    <w:rsid w:val="00627B8F"/>
    <w:rsid w:val="00627CE4"/>
    <w:rsid w:val="00630013"/>
    <w:rsid w:val="00630027"/>
    <w:rsid w:val="0063004D"/>
    <w:rsid w:val="0063042C"/>
    <w:rsid w:val="006304B6"/>
    <w:rsid w:val="006305F6"/>
    <w:rsid w:val="00630874"/>
    <w:rsid w:val="00630CE8"/>
    <w:rsid w:val="00630E0E"/>
    <w:rsid w:val="00630EA8"/>
    <w:rsid w:val="00630FF8"/>
    <w:rsid w:val="006312F1"/>
    <w:rsid w:val="0063130C"/>
    <w:rsid w:val="00631331"/>
    <w:rsid w:val="00631336"/>
    <w:rsid w:val="0063141B"/>
    <w:rsid w:val="006315A4"/>
    <w:rsid w:val="00631660"/>
    <w:rsid w:val="006316F9"/>
    <w:rsid w:val="00631973"/>
    <w:rsid w:val="00631B8A"/>
    <w:rsid w:val="00631D12"/>
    <w:rsid w:val="00631DAD"/>
    <w:rsid w:val="00631F36"/>
    <w:rsid w:val="00631F48"/>
    <w:rsid w:val="006320A0"/>
    <w:rsid w:val="006320C0"/>
    <w:rsid w:val="006322D7"/>
    <w:rsid w:val="00632532"/>
    <w:rsid w:val="0063253E"/>
    <w:rsid w:val="006325B0"/>
    <w:rsid w:val="00632780"/>
    <w:rsid w:val="0063281E"/>
    <w:rsid w:val="00632BD1"/>
    <w:rsid w:val="00632C8A"/>
    <w:rsid w:val="00632D5C"/>
    <w:rsid w:val="00632DF3"/>
    <w:rsid w:val="00632EA4"/>
    <w:rsid w:val="0063323C"/>
    <w:rsid w:val="006332A0"/>
    <w:rsid w:val="00633535"/>
    <w:rsid w:val="00633644"/>
    <w:rsid w:val="006339D9"/>
    <w:rsid w:val="00633A07"/>
    <w:rsid w:val="00633A3A"/>
    <w:rsid w:val="00633A96"/>
    <w:rsid w:val="00633DC3"/>
    <w:rsid w:val="00633EFC"/>
    <w:rsid w:val="006340E6"/>
    <w:rsid w:val="00634115"/>
    <w:rsid w:val="006341AE"/>
    <w:rsid w:val="0063420D"/>
    <w:rsid w:val="00634392"/>
    <w:rsid w:val="006343A9"/>
    <w:rsid w:val="00634485"/>
    <w:rsid w:val="00634486"/>
    <w:rsid w:val="006344EB"/>
    <w:rsid w:val="006345A1"/>
    <w:rsid w:val="00634618"/>
    <w:rsid w:val="00634619"/>
    <w:rsid w:val="0063468A"/>
    <w:rsid w:val="006347BD"/>
    <w:rsid w:val="0063487D"/>
    <w:rsid w:val="00634959"/>
    <w:rsid w:val="006349A8"/>
    <w:rsid w:val="00634B67"/>
    <w:rsid w:val="00634E56"/>
    <w:rsid w:val="00635000"/>
    <w:rsid w:val="00635155"/>
    <w:rsid w:val="0063515F"/>
    <w:rsid w:val="00635174"/>
    <w:rsid w:val="006351C3"/>
    <w:rsid w:val="006352AE"/>
    <w:rsid w:val="0063545C"/>
    <w:rsid w:val="00635517"/>
    <w:rsid w:val="00635536"/>
    <w:rsid w:val="0063556B"/>
    <w:rsid w:val="00635670"/>
    <w:rsid w:val="00635700"/>
    <w:rsid w:val="00635723"/>
    <w:rsid w:val="006357AE"/>
    <w:rsid w:val="00635A8E"/>
    <w:rsid w:val="00635C15"/>
    <w:rsid w:val="00635C4B"/>
    <w:rsid w:val="00635C88"/>
    <w:rsid w:val="00635D48"/>
    <w:rsid w:val="00635D64"/>
    <w:rsid w:val="00635DFA"/>
    <w:rsid w:val="00636005"/>
    <w:rsid w:val="00636118"/>
    <w:rsid w:val="006363E3"/>
    <w:rsid w:val="006364E7"/>
    <w:rsid w:val="006365C5"/>
    <w:rsid w:val="006365CC"/>
    <w:rsid w:val="00636629"/>
    <w:rsid w:val="00636708"/>
    <w:rsid w:val="00636713"/>
    <w:rsid w:val="0063680F"/>
    <w:rsid w:val="0063681E"/>
    <w:rsid w:val="006368D4"/>
    <w:rsid w:val="00636BBB"/>
    <w:rsid w:val="00636D65"/>
    <w:rsid w:val="00636E05"/>
    <w:rsid w:val="00636E5B"/>
    <w:rsid w:val="00636E95"/>
    <w:rsid w:val="00636F6F"/>
    <w:rsid w:val="00637358"/>
    <w:rsid w:val="006374D4"/>
    <w:rsid w:val="0063766A"/>
    <w:rsid w:val="0063775A"/>
    <w:rsid w:val="00637935"/>
    <w:rsid w:val="00637BAB"/>
    <w:rsid w:val="00637C14"/>
    <w:rsid w:val="00637DD2"/>
    <w:rsid w:val="00637DFE"/>
    <w:rsid w:val="00637E59"/>
    <w:rsid w:val="00637EF3"/>
    <w:rsid w:val="00640395"/>
    <w:rsid w:val="00640414"/>
    <w:rsid w:val="0064044D"/>
    <w:rsid w:val="006406BE"/>
    <w:rsid w:val="00640B72"/>
    <w:rsid w:val="00640D99"/>
    <w:rsid w:val="00640F97"/>
    <w:rsid w:val="00641095"/>
    <w:rsid w:val="006410AE"/>
    <w:rsid w:val="006410D9"/>
    <w:rsid w:val="006411AF"/>
    <w:rsid w:val="00641209"/>
    <w:rsid w:val="00641229"/>
    <w:rsid w:val="00641294"/>
    <w:rsid w:val="006412AA"/>
    <w:rsid w:val="006413CC"/>
    <w:rsid w:val="0064152E"/>
    <w:rsid w:val="0064164B"/>
    <w:rsid w:val="00641651"/>
    <w:rsid w:val="00641734"/>
    <w:rsid w:val="006419FF"/>
    <w:rsid w:val="00641B32"/>
    <w:rsid w:val="00641CC4"/>
    <w:rsid w:val="00641CCA"/>
    <w:rsid w:val="00641D10"/>
    <w:rsid w:val="00641D46"/>
    <w:rsid w:val="00641D4C"/>
    <w:rsid w:val="00641DC5"/>
    <w:rsid w:val="00641F37"/>
    <w:rsid w:val="00642056"/>
    <w:rsid w:val="006420EA"/>
    <w:rsid w:val="00642125"/>
    <w:rsid w:val="00642155"/>
    <w:rsid w:val="0064227C"/>
    <w:rsid w:val="006423F3"/>
    <w:rsid w:val="00642471"/>
    <w:rsid w:val="00642485"/>
    <w:rsid w:val="006424E1"/>
    <w:rsid w:val="006425A5"/>
    <w:rsid w:val="00642873"/>
    <w:rsid w:val="006428BE"/>
    <w:rsid w:val="00642A82"/>
    <w:rsid w:val="00642B25"/>
    <w:rsid w:val="00642CFF"/>
    <w:rsid w:val="00642E3E"/>
    <w:rsid w:val="00642F30"/>
    <w:rsid w:val="00642F6B"/>
    <w:rsid w:val="00642F8C"/>
    <w:rsid w:val="0064312D"/>
    <w:rsid w:val="006432D8"/>
    <w:rsid w:val="00643307"/>
    <w:rsid w:val="0064344F"/>
    <w:rsid w:val="0064346D"/>
    <w:rsid w:val="00643497"/>
    <w:rsid w:val="00643522"/>
    <w:rsid w:val="0064354E"/>
    <w:rsid w:val="0064367E"/>
    <w:rsid w:val="00643704"/>
    <w:rsid w:val="00643780"/>
    <w:rsid w:val="0064391B"/>
    <w:rsid w:val="00643988"/>
    <w:rsid w:val="00643BDE"/>
    <w:rsid w:val="00643D26"/>
    <w:rsid w:val="00643D77"/>
    <w:rsid w:val="00643DB2"/>
    <w:rsid w:val="00643F0A"/>
    <w:rsid w:val="00643F0D"/>
    <w:rsid w:val="00643F82"/>
    <w:rsid w:val="00643F8B"/>
    <w:rsid w:val="0064421C"/>
    <w:rsid w:val="00644239"/>
    <w:rsid w:val="006444D7"/>
    <w:rsid w:val="0064462B"/>
    <w:rsid w:val="0064479A"/>
    <w:rsid w:val="006448BA"/>
    <w:rsid w:val="00644937"/>
    <w:rsid w:val="006449A1"/>
    <w:rsid w:val="00644A6E"/>
    <w:rsid w:val="00644A99"/>
    <w:rsid w:val="00644AAB"/>
    <w:rsid w:val="00644ABA"/>
    <w:rsid w:val="00644C5B"/>
    <w:rsid w:val="00645001"/>
    <w:rsid w:val="006451DA"/>
    <w:rsid w:val="006451E8"/>
    <w:rsid w:val="0064532F"/>
    <w:rsid w:val="00645335"/>
    <w:rsid w:val="0064545B"/>
    <w:rsid w:val="006454F7"/>
    <w:rsid w:val="0064559E"/>
    <w:rsid w:val="00645761"/>
    <w:rsid w:val="006458B1"/>
    <w:rsid w:val="00645918"/>
    <w:rsid w:val="00645971"/>
    <w:rsid w:val="00645C4D"/>
    <w:rsid w:val="00645F2D"/>
    <w:rsid w:val="00646044"/>
    <w:rsid w:val="006464E0"/>
    <w:rsid w:val="0064650E"/>
    <w:rsid w:val="0064664E"/>
    <w:rsid w:val="0064665B"/>
    <w:rsid w:val="006467C6"/>
    <w:rsid w:val="0064688D"/>
    <w:rsid w:val="006468CE"/>
    <w:rsid w:val="0064691E"/>
    <w:rsid w:val="006469F9"/>
    <w:rsid w:val="00646AB1"/>
    <w:rsid w:val="00646B84"/>
    <w:rsid w:val="00646D1C"/>
    <w:rsid w:val="00646E03"/>
    <w:rsid w:val="00646E4B"/>
    <w:rsid w:val="00646FCA"/>
    <w:rsid w:val="006470E9"/>
    <w:rsid w:val="00647113"/>
    <w:rsid w:val="006471A0"/>
    <w:rsid w:val="0064726A"/>
    <w:rsid w:val="00647402"/>
    <w:rsid w:val="00647494"/>
    <w:rsid w:val="006474C2"/>
    <w:rsid w:val="0064768D"/>
    <w:rsid w:val="006477F8"/>
    <w:rsid w:val="0064783E"/>
    <w:rsid w:val="006479A6"/>
    <w:rsid w:val="006479F4"/>
    <w:rsid w:val="00647B22"/>
    <w:rsid w:val="00647C06"/>
    <w:rsid w:val="00647CAA"/>
    <w:rsid w:val="00647CB0"/>
    <w:rsid w:val="0065009B"/>
    <w:rsid w:val="00650161"/>
    <w:rsid w:val="006502AF"/>
    <w:rsid w:val="006502C1"/>
    <w:rsid w:val="00650787"/>
    <w:rsid w:val="0065089E"/>
    <w:rsid w:val="006508B1"/>
    <w:rsid w:val="006509F1"/>
    <w:rsid w:val="00650B42"/>
    <w:rsid w:val="00650C16"/>
    <w:rsid w:val="00650D65"/>
    <w:rsid w:val="00650D79"/>
    <w:rsid w:val="00650DCE"/>
    <w:rsid w:val="00650F37"/>
    <w:rsid w:val="006511CF"/>
    <w:rsid w:val="0065144B"/>
    <w:rsid w:val="00651545"/>
    <w:rsid w:val="00651691"/>
    <w:rsid w:val="006516E8"/>
    <w:rsid w:val="0065172F"/>
    <w:rsid w:val="00651809"/>
    <w:rsid w:val="00651994"/>
    <w:rsid w:val="00651A3F"/>
    <w:rsid w:val="00651DC9"/>
    <w:rsid w:val="00651EF3"/>
    <w:rsid w:val="00651F0B"/>
    <w:rsid w:val="00651F67"/>
    <w:rsid w:val="00651F6D"/>
    <w:rsid w:val="0065221D"/>
    <w:rsid w:val="0065230E"/>
    <w:rsid w:val="0065243B"/>
    <w:rsid w:val="006524EE"/>
    <w:rsid w:val="006525A7"/>
    <w:rsid w:val="0065263C"/>
    <w:rsid w:val="006526B6"/>
    <w:rsid w:val="0065275F"/>
    <w:rsid w:val="006527E2"/>
    <w:rsid w:val="006528DA"/>
    <w:rsid w:val="0065294E"/>
    <w:rsid w:val="0065298F"/>
    <w:rsid w:val="00652A89"/>
    <w:rsid w:val="00652E32"/>
    <w:rsid w:val="00652EF5"/>
    <w:rsid w:val="00653179"/>
    <w:rsid w:val="00653230"/>
    <w:rsid w:val="00653289"/>
    <w:rsid w:val="00653337"/>
    <w:rsid w:val="00653348"/>
    <w:rsid w:val="006533D3"/>
    <w:rsid w:val="006534D9"/>
    <w:rsid w:val="006535A3"/>
    <w:rsid w:val="00653666"/>
    <w:rsid w:val="00653933"/>
    <w:rsid w:val="006539E2"/>
    <w:rsid w:val="00653A48"/>
    <w:rsid w:val="00653C08"/>
    <w:rsid w:val="00653C5A"/>
    <w:rsid w:val="00653E65"/>
    <w:rsid w:val="00653ECE"/>
    <w:rsid w:val="00653FE9"/>
    <w:rsid w:val="0065407D"/>
    <w:rsid w:val="006542C9"/>
    <w:rsid w:val="006543C4"/>
    <w:rsid w:val="00654430"/>
    <w:rsid w:val="00654436"/>
    <w:rsid w:val="00654486"/>
    <w:rsid w:val="006545EA"/>
    <w:rsid w:val="006546F7"/>
    <w:rsid w:val="006547EB"/>
    <w:rsid w:val="0065480E"/>
    <w:rsid w:val="006548CA"/>
    <w:rsid w:val="006548D5"/>
    <w:rsid w:val="006549B3"/>
    <w:rsid w:val="006549C6"/>
    <w:rsid w:val="006549CD"/>
    <w:rsid w:val="00654AD4"/>
    <w:rsid w:val="00654B2E"/>
    <w:rsid w:val="00654BB2"/>
    <w:rsid w:val="00654C48"/>
    <w:rsid w:val="00654E40"/>
    <w:rsid w:val="006550E4"/>
    <w:rsid w:val="006550F3"/>
    <w:rsid w:val="00655199"/>
    <w:rsid w:val="006552F4"/>
    <w:rsid w:val="00655353"/>
    <w:rsid w:val="0065539D"/>
    <w:rsid w:val="006553B7"/>
    <w:rsid w:val="0065554A"/>
    <w:rsid w:val="006555C6"/>
    <w:rsid w:val="006557BB"/>
    <w:rsid w:val="0065586E"/>
    <w:rsid w:val="006558FE"/>
    <w:rsid w:val="00655B72"/>
    <w:rsid w:val="00655CDD"/>
    <w:rsid w:val="00655DD1"/>
    <w:rsid w:val="00655FF0"/>
    <w:rsid w:val="006560FC"/>
    <w:rsid w:val="00656153"/>
    <w:rsid w:val="006561B7"/>
    <w:rsid w:val="00656356"/>
    <w:rsid w:val="0065644D"/>
    <w:rsid w:val="006564A4"/>
    <w:rsid w:val="006564F0"/>
    <w:rsid w:val="0065658A"/>
    <w:rsid w:val="006567EE"/>
    <w:rsid w:val="0065680A"/>
    <w:rsid w:val="0065683A"/>
    <w:rsid w:val="0065686C"/>
    <w:rsid w:val="0065690D"/>
    <w:rsid w:val="006569FB"/>
    <w:rsid w:val="00656A18"/>
    <w:rsid w:val="00656EBA"/>
    <w:rsid w:val="00656F5B"/>
    <w:rsid w:val="006570F7"/>
    <w:rsid w:val="00657245"/>
    <w:rsid w:val="006573C8"/>
    <w:rsid w:val="0065749C"/>
    <w:rsid w:val="00657623"/>
    <w:rsid w:val="006576A7"/>
    <w:rsid w:val="0065784C"/>
    <w:rsid w:val="006579AC"/>
    <w:rsid w:val="006579C5"/>
    <w:rsid w:val="006579DF"/>
    <w:rsid w:val="00657A39"/>
    <w:rsid w:val="00657AD4"/>
    <w:rsid w:val="00657CA7"/>
    <w:rsid w:val="00657DCA"/>
    <w:rsid w:val="00657DFF"/>
    <w:rsid w:val="00660057"/>
    <w:rsid w:val="006600A5"/>
    <w:rsid w:val="006600C8"/>
    <w:rsid w:val="006600F4"/>
    <w:rsid w:val="0066010A"/>
    <w:rsid w:val="006602F0"/>
    <w:rsid w:val="00660347"/>
    <w:rsid w:val="0066052B"/>
    <w:rsid w:val="00660581"/>
    <w:rsid w:val="006605B1"/>
    <w:rsid w:val="006605FF"/>
    <w:rsid w:val="006606CD"/>
    <w:rsid w:val="00660809"/>
    <w:rsid w:val="0066080A"/>
    <w:rsid w:val="00660832"/>
    <w:rsid w:val="006608CE"/>
    <w:rsid w:val="00660968"/>
    <w:rsid w:val="00660976"/>
    <w:rsid w:val="00660B3F"/>
    <w:rsid w:val="006610A5"/>
    <w:rsid w:val="006610CA"/>
    <w:rsid w:val="0066115B"/>
    <w:rsid w:val="006611A1"/>
    <w:rsid w:val="0066137E"/>
    <w:rsid w:val="0066139A"/>
    <w:rsid w:val="006613DA"/>
    <w:rsid w:val="00661547"/>
    <w:rsid w:val="00661597"/>
    <w:rsid w:val="006615DC"/>
    <w:rsid w:val="00661616"/>
    <w:rsid w:val="0066162F"/>
    <w:rsid w:val="0066185A"/>
    <w:rsid w:val="00661918"/>
    <w:rsid w:val="006619F5"/>
    <w:rsid w:val="00661A7C"/>
    <w:rsid w:val="00661B84"/>
    <w:rsid w:val="00661EC8"/>
    <w:rsid w:val="00661F36"/>
    <w:rsid w:val="00661FEA"/>
    <w:rsid w:val="006620B8"/>
    <w:rsid w:val="006620DB"/>
    <w:rsid w:val="006620F8"/>
    <w:rsid w:val="0066225D"/>
    <w:rsid w:val="006623AA"/>
    <w:rsid w:val="006623CF"/>
    <w:rsid w:val="006624DA"/>
    <w:rsid w:val="0066252A"/>
    <w:rsid w:val="00662AB1"/>
    <w:rsid w:val="00662AC6"/>
    <w:rsid w:val="00662AE6"/>
    <w:rsid w:val="00662DB3"/>
    <w:rsid w:val="00662DFF"/>
    <w:rsid w:val="00662E6D"/>
    <w:rsid w:val="006630F2"/>
    <w:rsid w:val="0066314D"/>
    <w:rsid w:val="006631B1"/>
    <w:rsid w:val="00663226"/>
    <w:rsid w:val="006632F5"/>
    <w:rsid w:val="00663666"/>
    <w:rsid w:val="0066370F"/>
    <w:rsid w:val="006638DF"/>
    <w:rsid w:val="00663984"/>
    <w:rsid w:val="00663B41"/>
    <w:rsid w:val="00663CAB"/>
    <w:rsid w:val="00663DB0"/>
    <w:rsid w:val="00663E2F"/>
    <w:rsid w:val="00663E41"/>
    <w:rsid w:val="00663F07"/>
    <w:rsid w:val="00663F0F"/>
    <w:rsid w:val="00664001"/>
    <w:rsid w:val="006640C5"/>
    <w:rsid w:val="00664118"/>
    <w:rsid w:val="0066414B"/>
    <w:rsid w:val="006641DC"/>
    <w:rsid w:val="0066430E"/>
    <w:rsid w:val="00664538"/>
    <w:rsid w:val="0066457A"/>
    <w:rsid w:val="0066478C"/>
    <w:rsid w:val="006647EE"/>
    <w:rsid w:val="00664898"/>
    <w:rsid w:val="00664CD5"/>
    <w:rsid w:val="00664D02"/>
    <w:rsid w:val="00664E05"/>
    <w:rsid w:val="00664E73"/>
    <w:rsid w:val="00664EC2"/>
    <w:rsid w:val="006651EE"/>
    <w:rsid w:val="00665592"/>
    <w:rsid w:val="006655F1"/>
    <w:rsid w:val="006657C2"/>
    <w:rsid w:val="00665B61"/>
    <w:rsid w:val="00665C7B"/>
    <w:rsid w:val="00665D74"/>
    <w:rsid w:val="00665EDD"/>
    <w:rsid w:val="0066625C"/>
    <w:rsid w:val="0066631F"/>
    <w:rsid w:val="00666344"/>
    <w:rsid w:val="006663E4"/>
    <w:rsid w:val="0066642A"/>
    <w:rsid w:val="0066651B"/>
    <w:rsid w:val="006668B6"/>
    <w:rsid w:val="00666A41"/>
    <w:rsid w:val="00666AE5"/>
    <w:rsid w:val="00666C5E"/>
    <w:rsid w:val="00666CA8"/>
    <w:rsid w:val="00666DA8"/>
    <w:rsid w:val="00666E27"/>
    <w:rsid w:val="00666E28"/>
    <w:rsid w:val="0066733D"/>
    <w:rsid w:val="006673FF"/>
    <w:rsid w:val="00667447"/>
    <w:rsid w:val="00667653"/>
    <w:rsid w:val="00667668"/>
    <w:rsid w:val="006676BF"/>
    <w:rsid w:val="0066791F"/>
    <w:rsid w:val="00667989"/>
    <w:rsid w:val="006679A4"/>
    <w:rsid w:val="00667B89"/>
    <w:rsid w:val="00667B92"/>
    <w:rsid w:val="00667E00"/>
    <w:rsid w:val="00670071"/>
    <w:rsid w:val="006700B7"/>
    <w:rsid w:val="00670188"/>
    <w:rsid w:val="00670294"/>
    <w:rsid w:val="00670343"/>
    <w:rsid w:val="0067058C"/>
    <w:rsid w:val="006705F8"/>
    <w:rsid w:val="006707B2"/>
    <w:rsid w:val="00670865"/>
    <w:rsid w:val="0067086F"/>
    <w:rsid w:val="00670A58"/>
    <w:rsid w:val="00670B71"/>
    <w:rsid w:val="00670BE8"/>
    <w:rsid w:val="00670CB1"/>
    <w:rsid w:val="00670CDB"/>
    <w:rsid w:val="00670F7D"/>
    <w:rsid w:val="0067108D"/>
    <w:rsid w:val="0067122B"/>
    <w:rsid w:val="0067154F"/>
    <w:rsid w:val="006716D5"/>
    <w:rsid w:val="00671799"/>
    <w:rsid w:val="00671806"/>
    <w:rsid w:val="006718EA"/>
    <w:rsid w:val="00671AF3"/>
    <w:rsid w:val="00671CE7"/>
    <w:rsid w:val="00671E8D"/>
    <w:rsid w:val="00672096"/>
    <w:rsid w:val="0067222C"/>
    <w:rsid w:val="00672240"/>
    <w:rsid w:val="00672268"/>
    <w:rsid w:val="00672293"/>
    <w:rsid w:val="0067230A"/>
    <w:rsid w:val="00672665"/>
    <w:rsid w:val="006727B7"/>
    <w:rsid w:val="00672CA2"/>
    <w:rsid w:val="00672CCC"/>
    <w:rsid w:val="00673152"/>
    <w:rsid w:val="006731C7"/>
    <w:rsid w:val="006731CB"/>
    <w:rsid w:val="006731E9"/>
    <w:rsid w:val="006731EE"/>
    <w:rsid w:val="006731F8"/>
    <w:rsid w:val="006732A8"/>
    <w:rsid w:val="0067334C"/>
    <w:rsid w:val="00673579"/>
    <w:rsid w:val="006735B1"/>
    <w:rsid w:val="0067365B"/>
    <w:rsid w:val="0067365E"/>
    <w:rsid w:val="006736B8"/>
    <w:rsid w:val="00673764"/>
    <w:rsid w:val="006737C4"/>
    <w:rsid w:val="00673847"/>
    <w:rsid w:val="00673F00"/>
    <w:rsid w:val="006741B7"/>
    <w:rsid w:val="0067424E"/>
    <w:rsid w:val="0067425E"/>
    <w:rsid w:val="006743EF"/>
    <w:rsid w:val="006744E0"/>
    <w:rsid w:val="00674544"/>
    <w:rsid w:val="00674565"/>
    <w:rsid w:val="00674671"/>
    <w:rsid w:val="0067469E"/>
    <w:rsid w:val="00674806"/>
    <w:rsid w:val="00674810"/>
    <w:rsid w:val="00674931"/>
    <w:rsid w:val="006749C4"/>
    <w:rsid w:val="00674B64"/>
    <w:rsid w:val="00674E65"/>
    <w:rsid w:val="00674F43"/>
    <w:rsid w:val="00674F71"/>
    <w:rsid w:val="00674FA3"/>
    <w:rsid w:val="00674FF1"/>
    <w:rsid w:val="00675073"/>
    <w:rsid w:val="00675164"/>
    <w:rsid w:val="0067528B"/>
    <w:rsid w:val="006753F9"/>
    <w:rsid w:val="00675469"/>
    <w:rsid w:val="0067552D"/>
    <w:rsid w:val="00675544"/>
    <w:rsid w:val="006755BF"/>
    <w:rsid w:val="006755DA"/>
    <w:rsid w:val="006756C8"/>
    <w:rsid w:val="0067573A"/>
    <w:rsid w:val="00675832"/>
    <w:rsid w:val="006758AE"/>
    <w:rsid w:val="00675B5A"/>
    <w:rsid w:val="00675B9D"/>
    <w:rsid w:val="00675DDF"/>
    <w:rsid w:val="00676075"/>
    <w:rsid w:val="00676255"/>
    <w:rsid w:val="006762E1"/>
    <w:rsid w:val="00676330"/>
    <w:rsid w:val="006764C7"/>
    <w:rsid w:val="006764C9"/>
    <w:rsid w:val="0067654B"/>
    <w:rsid w:val="00676740"/>
    <w:rsid w:val="006768D6"/>
    <w:rsid w:val="006769BB"/>
    <w:rsid w:val="00676A68"/>
    <w:rsid w:val="00676D32"/>
    <w:rsid w:val="00677095"/>
    <w:rsid w:val="006770A8"/>
    <w:rsid w:val="006774FC"/>
    <w:rsid w:val="00677539"/>
    <w:rsid w:val="006776A0"/>
    <w:rsid w:val="00677723"/>
    <w:rsid w:val="006777A5"/>
    <w:rsid w:val="006778AE"/>
    <w:rsid w:val="00677913"/>
    <w:rsid w:val="00677986"/>
    <w:rsid w:val="00677A9E"/>
    <w:rsid w:val="00677ACF"/>
    <w:rsid w:val="00677EAA"/>
    <w:rsid w:val="00680040"/>
    <w:rsid w:val="006800A1"/>
    <w:rsid w:val="006800D8"/>
    <w:rsid w:val="006800F7"/>
    <w:rsid w:val="006802A1"/>
    <w:rsid w:val="00680301"/>
    <w:rsid w:val="00680461"/>
    <w:rsid w:val="006804EB"/>
    <w:rsid w:val="0068053E"/>
    <w:rsid w:val="0068057A"/>
    <w:rsid w:val="00680622"/>
    <w:rsid w:val="006807B1"/>
    <w:rsid w:val="0068084A"/>
    <w:rsid w:val="00680A0F"/>
    <w:rsid w:val="00680B3F"/>
    <w:rsid w:val="00680BA2"/>
    <w:rsid w:val="00680BDE"/>
    <w:rsid w:val="00680C4F"/>
    <w:rsid w:val="00680E15"/>
    <w:rsid w:val="00680EA3"/>
    <w:rsid w:val="006810B7"/>
    <w:rsid w:val="00681205"/>
    <w:rsid w:val="0068122B"/>
    <w:rsid w:val="006812B0"/>
    <w:rsid w:val="0068143C"/>
    <w:rsid w:val="00681527"/>
    <w:rsid w:val="00681665"/>
    <w:rsid w:val="0068169D"/>
    <w:rsid w:val="00681766"/>
    <w:rsid w:val="006817CA"/>
    <w:rsid w:val="00681942"/>
    <w:rsid w:val="00681BC7"/>
    <w:rsid w:val="00681C01"/>
    <w:rsid w:val="00681C19"/>
    <w:rsid w:val="00681E13"/>
    <w:rsid w:val="00681EE5"/>
    <w:rsid w:val="00681F28"/>
    <w:rsid w:val="00682054"/>
    <w:rsid w:val="006820A7"/>
    <w:rsid w:val="00682284"/>
    <w:rsid w:val="0068233A"/>
    <w:rsid w:val="006825C4"/>
    <w:rsid w:val="006825F5"/>
    <w:rsid w:val="006827AD"/>
    <w:rsid w:val="0068286D"/>
    <w:rsid w:val="00682917"/>
    <w:rsid w:val="00682A18"/>
    <w:rsid w:val="00682A1E"/>
    <w:rsid w:val="00682A22"/>
    <w:rsid w:val="00682A63"/>
    <w:rsid w:val="00682AC6"/>
    <w:rsid w:val="00682B83"/>
    <w:rsid w:val="00682BA9"/>
    <w:rsid w:val="00682C42"/>
    <w:rsid w:val="00682F4F"/>
    <w:rsid w:val="0068306C"/>
    <w:rsid w:val="0068325E"/>
    <w:rsid w:val="006832E1"/>
    <w:rsid w:val="0068332D"/>
    <w:rsid w:val="00683366"/>
    <w:rsid w:val="00683598"/>
    <w:rsid w:val="00683718"/>
    <w:rsid w:val="00683764"/>
    <w:rsid w:val="006838F3"/>
    <w:rsid w:val="0068394B"/>
    <w:rsid w:val="00683989"/>
    <w:rsid w:val="006839A1"/>
    <w:rsid w:val="00683B0A"/>
    <w:rsid w:val="00683C0C"/>
    <w:rsid w:val="00683CD9"/>
    <w:rsid w:val="00683EE8"/>
    <w:rsid w:val="00683EE9"/>
    <w:rsid w:val="006840C6"/>
    <w:rsid w:val="006841EB"/>
    <w:rsid w:val="006842CD"/>
    <w:rsid w:val="00684462"/>
    <w:rsid w:val="006844AA"/>
    <w:rsid w:val="00684700"/>
    <w:rsid w:val="00684834"/>
    <w:rsid w:val="00684926"/>
    <w:rsid w:val="00684D63"/>
    <w:rsid w:val="00684DD1"/>
    <w:rsid w:val="00684F25"/>
    <w:rsid w:val="00684FE1"/>
    <w:rsid w:val="0068532D"/>
    <w:rsid w:val="0068555B"/>
    <w:rsid w:val="00685561"/>
    <w:rsid w:val="0068559C"/>
    <w:rsid w:val="006855EF"/>
    <w:rsid w:val="0068562E"/>
    <w:rsid w:val="0068598C"/>
    <w:rsid w:val="0068598E"/>
    <w:rsid w:val="00685C33"/>
    <w:rsid w:val="00685CAB"/>
    <w:rsid w:val="00685DEA"/>
    <w:rsid w:val="00685FFD"/>
    <w:rsid w:val="0068615F"/>
    <w:rsid w:val="00686165"/>
    <w:rsid w:val="0068639A"/>
    <w:rsid w:val="00686465"/>
    <w:rsid w:val="0068646C"/>
    <w:rsid w:val="00686519"/>
    <w:rsid w:val="00686612"/>
    <w:rsid w:val="00686741"/>
    <w:rsid w:val="00686959"/>
    <w:rsid w:val="00686A39"/>
    <w:rsid w:val="00686B3C"/>
    <w:rsid w:val="00686E51"/>
    <w:rsid w:val="00686F19"/>
    <w:rsid w:val="00686FCA"/>
    <w:rsid w:val="006870E3"/>
    <w:rsid w:val="006871AB"/>
    <w:rsid w:val="006871C1"/>
    <w:rsid w:val="00687216"/>
    <w:rsid w:val="006875B2"/>
    <w:rsid w:val="00687630"/>
    <w:rsid w:val="0068782A"/>
    <w:rsid w:val="006879A3"/>
    <w:rsid w:val="00687AD0"/>
    <w:rsid w:val="00687D3B"/>
    <w:rsid w:val="00687D54"/>
    <w:rsid w:val="00687E9B"/>
    <w:rsid w:val="00687EDB"/>
    <w:rsid w:val="00687FAA"/>
    <w:rsid w:val="00690034"/>
    <w:rsid w:val="006900CA"/>
    <w:rsid w:val="00690160"/>
    <w:rsid w:val="006901E1"/>
    <w:rsid w:val="0069061F"/>
    <w:rsid w:val="0069062D"/>
    <w:rsid w:val="00690667"/>
    <w:rsid w:val="00690834"/>
    <w:rsid w:val="0069090B"/>
    <w:rsid w:val="006909D9"/>
    <w:rsid w:val="00690A93"/>
    <w:rsid w:val="00690AC8"/>
    <w:rsid w:val="00690E75"/>
    <w:rsid w:val="006910AF"/>
    <w:rsid w:val="00691169"/>
    <w:rsid w:val="00691231"/>
    <w:rsid w:val="006912BA"/>
    <w:rsid w:val="0069132C"/>
    <w:rsid w:val="0069135B"/>
    <w:rsid w:val="00691378"/>
    <w:rsid w:val="00691815"/>
    <w:rsid w:val="006918CF"/>
    <w:rsid w:val="00691A4E"/>
    <w:rsid w:val="00691A5E"/>
    <w:rsid w:val="00691B13"/>
    <w:rsid w:val="00691B8B"/>
    <w:rsid w:val="00691C23"/>
    <w:rsid w:val="00691CB5"/>
    <w:rsid w:val="00691CD4"/>
    <w:rsid w:val="00691F57"/>
    <w:rsid w:val="00691FE6"/>
    <w:rsid w:val="0069256E"/>
    <w:rsid w:val="00692783"/>
    <w:rsid w:val="00692AA5"/>
    <w:rsid w:val="00692D96"/>
    <w:rsid w:val="00692EB6"/>
    <w:rsid w:val="00692FA2"/>
    <w:rsid w:val="00693032"/>
    <w:rsid w:val="0069318E"/>
    <w:rsid w:val="0069320D"/>
    <w:rsid w:val="00693310"/>
    <w:rsid w:val="0069347A"/>
    <w:rsid w:val="006934EB"/>
    <w:rsid w:val="006936E5"/>
    <w:rsid w:val="00693702"/>
    <w:rsid w:val="0069383B"/>
    <w:rsid w:val="0069386B"/>
    <w:rsid w:val="006938FF"/>
    <w:rsid w:val="00693A87"/>
    <w:rsid w:val="00693AFE"/>
    <w:rsid w:val="00693B36"/>
    <w:rsid w:val="00693B61"/>
    <w:rsid w:val="00693D78"/>
    <w:rsid w:val="00694087"/>
    <w:rsid w:val="00694091"/>
    <w:rsid w:val="006940FA"/>
    <w:rsid w:val="0069416C"/>
    <w:rsid w:val="00694385"/>
    <w:rsid w:val="00694496"/>
    <w:rsid w:val="006944E7"/>
    <w:rsid w:val="0069456A"/>
    <w:rsid w:val="0069456F"/>
    <w:rsid w:val="00694784"/>
    <w:rsid w:val="0069478E"/>
    <w:rsid w:val="006948BC"/>
    <w:rsid w:val="006949DE"/>
    <w:rsid w:val="00694CA9"/>
    <w:rsid w:val="00694DC5"/>
    <w:rsid w:val="00694E25"/>
    <w:rsid w:val="00695077"/>
    <w:rsid w:val="006951B3"/>
    <w:rsid w:val="006951C5"/>
    <w:rsid w:val="0069535D"/>
    <w:rsid w:val="006953CB"/>
    <w:rsid w:val="00695603"/>
    <w:rsid w:val="0069566B"/>
    <w:rsid w:val="00695719"/>
    <w:rsid w:val="006957AE"/>
    <w:rsid w:val="006957D0"/>
    <w:rsid w:val="0069598C"/>
    <w:rsid w:val="00695A85"/>
    <w:rsid w:val="00695B67"/>
    <w:rsid w:val="00695BBF"/>
    <w:rsid w:val="00695E38"/>
    <w:rsid w:val="00696510"/>
    <w:rsid w:val="00696561"/>
    <w:rsid w:val="00696577"/>
    <w:rsid w:val="006965C0"/>
    <w:rsid w:val="006965C7"/>
    <w:rsid w:val="0069674A"/>
    <w:rsid w:val="006967E6"/>
    <w:rsid w:val="00696A6C"/>
    <w:rsid w:val="00696FD1"/>
    <w:rsid w:val="006971DB"/>
    <w:rsid w:val="00697233"/>
    <w:rsid w:val="0069747D"/>
    <w:rsid w:val="006974A5"/>
    <w:rsid w:val="00697A82"/>
    <w:rsid w:val="00697C1C"/>
    <w:rsid w:val="00697F09"/>
    <w:rsid w:val="006A0074"/>
    <w:rsid w:val="006A013A"/>
    <w:rsid w:val="006A0158"/>
    <w:rsid w:val="006A0306"/>
    <w:rsid w:val="006A0459"/>
    <w:rsid w:val="006A046A"/>
    <w:rsid w:val="006A04B0"/>
    <w:rsid w:val="006A06CB"/>
    <w:rsid w:val="006A06F4"/>
    <w:rsid w:val="006A0737"/>
    <w:rsid w:val="006A0824"/>
    <w:rsid w:val="006A091B"/>
    <w:rsid w:val="006A09BC"/>
    <w:rsid w:val="006A09D3"/>
    <w:rsid w:val="006A0AA4"/>
    <w:rsid w:val="006A0C33"/>
    <w:rsid w:val="006A0CAC"/>
    <w:rsid w:val="006A0E8E"/>
    <w:rsid w:val="006A0F03"/>
    <w:rsid w:val="006A0FED"/>
    <w:rsid w:val="006A103E"/>
    <w:rsid w:val="006A1314"/>
    <w:rsid w:val="006A1326"/>
    <w:rsid w:val="006A1507"/>
    <w:rsid w:val="006A166D"/>
    <w:rsid w:val="006A1772"/>
    <w:rsid w:val="006A19B2"/>
    <w:rsid w:val="006A19DE"/>
    <w:rsid w:val="006A1A42"/>
    <w:rsid w:val="006A1A7D"/>
    <w:rsid w:val="006A1AE9"/>
    <w:rsid w:val="006A202A"/>
    <w:rsid w:val="006A20DE"/>
    <w:rsid w:val="006A20F8"/>
    <w:rsid w:val="006A2294"/>
    <w:rsid w:val="006A23E1"/>
    <w:rsid w:val="006A26F7"/>
    <w:rsid w:val="006A270E"/>
    <w:rsid w:val="006A2731"/>
    <w:rsid w:val="006A2A72"/>
    <w:rsid w:val="006A2B01"/>
    <w:rsid w:val="006A2C6C"/>
    <w:rsid w:val="006A2CF9"/>
    <w:rsid w:val="006A2D41"/>
    <w:rsid w:val="006A2D4E"/>
    <w:rsid w:val="006A2D97"/>
    <w:rsid w:val="006A2DEF"/>
    <w:rsid w:val="006A2E99"/>
    <w:rsid w:val="006A2EA2"/>
    <w:rsid w:val="006A2F23"/>
    <w:rsid w:val="006A2FE4"/>
    <w:rsid w:val="006A312F"/>
    <w:rsid w:val="006A3181"/>
    <w:rsid w:val="006A3274"/>
    <w:rsid w:val="006A371E"/>
    <w:rsid w:val="006A37C8"/>
    <w:rsid w:val="006A39CF"/>
    <w:rsid w:val="006A3B1B"/>
    <w:rsid w:val="006A3E60"/>
    <w:rsid w:val="006A3E67"/>
    <w:rsid w:val="006A3EBF"/>
    <w:rsid w:val="006A402B"/>
    <w:rsid w:val="006A4242"/>
    <w:rsid w:val="006A4315"/>
    <w:rsid w:val="006A4685"/>
    <w:rsid w:val="006A4764"/>
    <w:rsid w:val="006A47BA"/>
    <w:rsid w:val="006A4A49"/>
    <w:rsid w:val="006A4AA7"/>
    <w:rsid w:val="006A4BBB"/>
    <w:rsid w:val="006A4BDA"/>
    <w:rsid w:val="006A4D0D"/>
    <w:rsid w:val="006A4F00"/>
    <w:rsid w:val="006A4F57"/>
    <w:rsid w:val="006A4FAF"/>
    <w:rsid w:val="006A5163"/>
    <w:rsid w:val="006A5424"/>
    <w:rsid w:val="006A5443"/>
    <w:rsid w:val="006A5554"/>
    <w:rsid w:val="006A57A1"/>
    <w:rsid w:val="006A57FE"/>
    <w:rsid w:val="006A5C31"/>
    <w:rsid w:val="006A5C97"/>
    <w:rsid w:val="006A5CB1"/>
    <w:rsid w:val="006A5F61"/>
    <w:rsid w:val="006A60E7"/>
    <w:rsid w:val="006A6160"/>
    <w:rsid w:val="006A61C6"/>
    <w:rsid w:val="006A6295"/>
    <w:rsid w:val="006A62BF"/>
    <w:rsid w:val="006A62E7"/>
    <w:rsid w:val="006A63AD"/>
    <w:rsid w:val="006A6442"/>
    <w:rsid w:val="006A6456"/>
    <w:rsid w:val="006A6510"/>
    <w:rsid w:val="006A657A"/>
    <w:rsid w:val="006A6772"/>
    <w:rsid w:val="006A6821"/>
    <w:rsid w:val="006A68D4"/>
    <w:rsid w:val="006A68D6"/>
    <w:rsid w:val="006A691D"/>
    <w:rsid w:val="006A6AC0"/>
    <w:rsid w:val="006A6B6B"/>
    <w:rsid w:val="006A6BF7"/>
    <w:rsid w:val="006A6EE1"/>
    <w:rsid w:val="006A70D1"/>
    <w:rsid w:val="006A70D9"/>
    <w:rsid w:val="006A7383"/>
    <w:rsid w:val="006A73C2"/>
    <w:rsid w:val="006A77BD"/>
    <w:rsid w:val="006A782A"/>
    <w:rsid w:val="006A7A95"/>
    <w:rsid w:val="006A7C9B"/>
    <w:rsid w:val="006A7CE4"/>
    <w:rsid w:val="006A7D98"/>
    <w:rsid w:val="006A7DA6"/>
    <w:rsid w:val="006A7E01"/>
    <w:rsid w:val="006A7F96"/>
    <w:rsid w:val="006B003C"/>
    <w:rsid w:val="006B012F"/>
    <w:rsid w:val="006B01A9"/>
    <w:rsid w:val="006B04E5"/>
    <w:rsid w:val="006B08FE"/>
    <w:rsid w:val="006B0C8C"/>
    <w:rsid w:val="006B0D24"/>
    <w:rsid w:val="006B0DCF"/>
    <w:rsid w:val="006B12B9"/>
    <w:rsid w:val="006B12BA"/>
    <w:rsid w:val="006B130B"/>
    <w:rsid w:val="006B13BF"/>
    <w:rsid w:val="006B15A4"/>
    <w:rsid w:val="006B161E"/>
    <w:rsid w:val="006B1672"/>
    <w:rsid w:val="006B1928"/>
    <w:rsid w:val="006B1B8F"/>
    <w:rsid w:val="006B1CAB"/>
    <w:rsid w:val="006B1CE6"/>
    <w:rsid w:val="006B1CF1"/>
    <w:rsid w:val="006B1DFA"/>
    <w:rsid w:val="006B212D"/>
    <w:rsid w:val="006B2154"/>
    <w:rsid w:val="006B221E"/>
    <w:rsid w:val="006B22A6"/>
    <w:rsid w:val="006B2366"/>
    <w:rsid w:val="006B240E"/>
    <w:rsid w:val="006B2570"/>
    <w:rsid w:val="006B25B7"/>
    <w:rsid w:val="006B266E"/>
    <w:rsid w:val="006B2A3C"/>
    <w:rsid w:val="006B2AD8"/>
    <w:rsid w:val="006B2AE4"/>
    <w:rsid w:val="006B2B05"/>
    <w:rsid w:val="006B2B61"/>
    <w:rsid w:val="006B2C54"/>
    <w:rsid w:val="006B2C90"/>
    <w:rsid w:val="006B2CD9"/>
    <w:rsid w:val="006B2D11"/>
    <w:rsid w:val="006B2DD7"/>
    <w:rsid w:val="006B2F4D"/>
    <w:rsid w:val="006B2FE0"/>
    <w:rsid w:val="006B313F"/>
    <w:rsid w:val="006B31F0"/>
    <w:rsid w:val="006B32D8"/>
    <w:rsid w:val="006B3382"/>
    <w:rsid w:val="006B34C3"/>
    <w:rsid w:val="006B3ABB"/>
    <w:rsid w:val="006B3B2D"/>
    <w:rsid w:val="006B3B53"/>
    <w:rsid w:val="006B3B80"/>
    <w:rsid w:val="006B3C06"/>
    <w:rsid w:val="006B3DA5"/>
    <w:rsid w:val="006B3DA9"/>
    <w:rsid w:val="006B3E57"/>
    <w:rsid w:val="006B3EB5"/>
    <w:rsid w:val="006B417A"/>
    <w:rsid w:val="006B4473"/>
    <w:rsid w:val="006B45FE"/>
    <w:rsid w:val="006B4715"/>
    <w:rsid w:val="006B4805"/>
    <w:rsid w:val="006B4B46"/>
    <w:rsid w:val="006B4F2F"/>
    <w:rsid w:val="006B50DD"/>
    <w:rsid w:val="006B5480"/>
    <w:rsid w:val="006B55A4"/>
    <w:rsid w:val="006B5696"/>
    <w:rsid w:val="006B5770"/>
    <w:rsid w:val="006B5AA9"/>
    <w:rsid w:val="006B5BBC"/>
    <w:rsid w:val="006B5C48"/>
    <w:rsid w:val="006B5D2A"/>
    <w:rsid w:val="006B5E7C"/>
    <w:rsid w:val="006B5EDD"/>
    <w:rsid w:val="006B5F68"/>
    <w:rsid w:val="006B6251"/>
    <w:rsid w:val="006B62D8"/>
    <w:rsid w:val="006B6393"/>
    <w:rsid w:val="006B647B"/>
    <w:rsid w:val="006B6503"/>
    <w:rsid w:val="006B6508"/>
    <w:rsid w:val="006B652A"/>
    <w:rsid w:val="006B654F"/>
    <w:rsid w:val="006B65F8"/>
    <w:rsid w:val="006B673F"/>
    <w:rsid w:val="006B6A83"/>
    <w:rsid w:val="006B6C9A"/>
    <w:rsid w:val="006B6DF0"/>
    <w:rsid w:val="006B6FC0"/>
    <w:rsid w:val="006B7011"/>
    <w:rsid w:val="006B7050"/>
    <w:rsid w:val="006B719C"/>
    <w:rsid w:val="006B7205"/>
    <w:rsid w:val="006B7293"/>
    <w:rsid w:val="006B7366"/>
    <w:rsid w:val="006B7531"/>
    <w:rsid w:val="006B7633"/>
    <w:rsid w:val="006B776C"/>
    <w:rsid w:val="006B7772"/>
    <w:rsid w:val="006B77BD"/>
    <w:rsid w:val="006B7C94"/>
    <w:rsid w:val="006B7CA8"/>
    <w:rsid w:val="006B7CC1"/>
    <w:rsid w:val="006B7E56"/>
    <w:rsid w:val="006B7E78"/>
    <w:rsid w:val="006B7F2B"/>
    <w:rsid w:val="006B7F70"/>
    <w:rsid w:val="006C00D6"/>
    <w:rsid w:val="006C00E5"/>
    <w:rsid w:val="006C05FB"/>
    <w:rsid w:val="006C062F"/>
    <w:rsid w:val="006C06E3"/>
    <w:rsid w:val="006C07A3"/>
    <w:rsid w:val="006C09BB"/>
    <w:rsid w:val="006C09C0"/>
    <w:rsid w:val="006C0BEF"/>
    <w:rsid w:val="006C0EEA"/>
    <w:rsid w:val="006C0F5E"/>
    <w:rsid w:val="006C0F7E"/>
    <w:rsid w:val="006C103B"/>
    <w:rsid w:val="006C12CA"/>
    <w:rsid w:val="006C1380"/>
    <w:rsid w:val="006C147B"/>
    <w:rsid w:val="006C1B86"/>
    <w:rsid w:val="006C1BC7"/>
    <w:rsid w:val="006C1C2F"/>
    <w:rsid w:val="006C1CAA"/>
    <w:rsid w:val="006C1DDF"/>
    <w:rsid w:val="006C1F70"/>
    <w:rsid w:val="006C1FEC"/>
    <w:rsid w:val="006C202B"/>
    <w:rsid w:val="006C2062"/>
    <w:rsid w:val="006C22D4"/>
    <w:rsid w:val="006C233C"/>
    <w:rsid w:val="006C26D6"/>
    <w:rsid w:val="006C27CD"/>
    <w:rsid w:val="006C2AC0"/>
    <w:rsid w:val="006C2CF6"/>
    <w:rsid w:val="006C2D93"/>
    <w:rsid w:val="006C2F28"/>
    <w:rsid w:val="006C2F41"/>
    <w:rsid w:val="006C3148"/>
    <w:rsid w:val="006C3540"/>
    <w:rsid w:val="006C39F1"/>
    <w:rsid w:val="006C3AF1"/>
    <w:rsid w:val="006C3C29"/>
    <w:rsid w:val="006C3EEE"/>
    <w:rsid w:val="006C3EF1"/>
    <w:rsid w:val="006C3FAD"/>
    <w:rsid w:val="006C401B"/>
    <w:rsid w:val="006C4069"/>
    <w:rsid w:val="006C42EF"/>
    <w:rsid w:val="006C4344"/>
    <w:rsid w:val="006C4493"/>
    <w:rsid w:val="006C473A"/>
    <w:rsid w:val="006C48CE"/>
    <w:rsid w:val="006C48EA"/>
    <w:rsid w:val="006C4BD1"/>
    <w:rsid w:val="006C4D19"/>
    <w:rsid w:val="006C4D42"/>
    <w:rsid w:val="006C4E06"/>
    <w:rsid w:val="006C4E50"/>
    <w:rsid w:val="006C4ECE"/>
    <w:rsid w:val="006C5170"/>
    <w:rsid w:val="006C5301"/>
    <w:rsid w:val="006C5438"/>
    <w:rsid w:val="006C547F"/>
    <w:rsid w:val="006C54B1"/>
    <w:rsid w:val="006C5693"/>
    <w:rsid w:val="006C576C"/>
    <w:rsid w:val="006C5780"/>
    <w:rsid w:val="006C58B0"/>
    <w:rsid w:val="006C5DE6"/>
    <w:rsid w:val="006C5F29"/>
    <w:rsid w:val="006C5FE1"/>
    <w:rsid w:val="006C6037"/>
    <w:rsid w:val="006C609D"/>
    <w:rsid w:val="006C628D"/>
    <w:rsid w:val="006C6362"/>
    <w:rsid w:val="006C645D"/>
    <w:rsid w:val="006C6870"/>
    <w:rsid w:val="006C6CEB"/>
    <w:rsid w:val="006C6DF6"/>
    <w:rsid w:val="006C70EE"/>
    <w:rsid w:val="006C7377"/>
    <w:rsid w:val="006C7417"/>
    <w:rsid w:val="006C751E"/>
    <w:rsid w:val="006C7996"/>
    <w:rsid w:val="006C7B3E"/>
    <w:rsid w:val="006C7E2F"/>
    <w:rsid w:val="006C7F08"/>
    <w:rsid w:val="006C7F3E"/>
    <w:rsid w:val="006D0066"/>
    <w:rsid w:val="006D00D1"/>
    <w:rsid w:val="006D0473"/>
    <w:rsid w:val="006D05FA"/>
    <w:rsid w:val="006D0662"/>
    <w:rsid w:val="006D06DF"/>
    <w:rsid w:val="006D06F0"/>
    <w:rsid w:val="006D07F8"/>
    <w:rsid w:val="006D0934"/>
    <w:rsid w:val="006D0950"/>
    <w:rsid w:val="006D0C1F"/>
    <w:rsid w:val="006D0CBA"/>
    <w:rsid w:val="006D0CFF"/>
    <w:rsid w:val="006D0D3D"/>
    <w:rsid w:val="006D0DEA"/>
    <w:rsid w:val="006D0E70"/>
    <w:rsid w:val="006D0EE7"/>
    <w:rsid w:val="006D10D7"/>
    <w:rsid w:val="006D12D9"/>
    <w:rsid w:val="006D12EC"/>
    <w:rsid w:val="006D13B6"/>
    <w:rsid w:val="006D141A"/>
    <w:rsid w:val="006D1717"/>
    <w:rsid w:val="006D1780"/>
    <w:rsid w:val="006D1971"/>
    <w:rsid w:val="006D19A3"/>
    <w:rsid w:val="006D1B04"/>
    <w:rsid w:val="006D1CBC"/>
    <w:rsid w:val="006D1D3B"/>
    <w:rsid w:val="006D1D93"/>
    <w:rsid w:val="006D1E03"/>
    <w:rsid w:val="006D1EFF"/>
    <w:rsid w:val="006D2037"/>
    <w:rsid w:val="006D228D"/>
    <w:rsid w:val="006D258C"/>
    <w:rsid w:val="006D27A9"/>
    <w:rsid w:val="006D27AA"/>
    <w:rsid w:val="006D2B84"/>
    <w:rsid w:val="006D2C62"/>
    <w:rsid w:val="006D2DAC"/>
    <w:rsid w:val="006D2FDC"/>
    <w:rsid w:val="006D2FE7"/>
    <w:rsid w:val="006D3095"/>
    <w:rsid w:val="006D30EC"/>
    <w:rsid w:val="006D313C"/>
    <w:rsid w:val="006D3159"/>
    <w:rsid w:val="006D3228"/>
    <w:rsid w:val="006D3687"/>
    <w:rsid w:val="006D387F"/>
    <w:rsid w:val="006D3CB6"/>
    <w:rsid w:val="006D3FF9"/>
    <w:rsid w:val="006D41A6"/>
    <w:rsid w:val="006D42A8"/>
    <w:rsid w:val="006D42C7"/>
    <w:rsid w:val="006D42D9"/>
    <w:rsid w:val="006D4592"/>
    <w:rsid w:val="006D4728"/>
    <w:rsid w:val="006D491C"/>
    <w:rsid w:val="006D4975"/>
    <w:rsid w:val="006D4B0C"/>
    <w:rsid w:val="006D4DB7"/>
    <w:rsid w:val="006D4EB2"/>
    <w:rsid w:val="006D4EB6"/>
    <w:rsid w:val="006D4F99"/>
    <w:rsid w:val="006D5259"/>
    <w:rsid w:val="006D52DF"/>
    <w:rsid w:val="006D53FD"/>
    <w:rsid w:val="006D541C"/>
    <w:rsid w:val="006D5509"/>
    <w:rsid w:val="006D55CF"/>
    <w:rsid w:val="006D58CC"/>
    <w:rsid w:val="006D5A47"/>
    <w:rsid w:val="006D5AE9"/>
    <w:rsid w:val="006D5BB4"/>
    <w:rsid w:val="006D5D62"/>
    <w:rsid w:val="006D5FF9"/>
    <w:rsid w:val="006D619F"/>
    <w:rsid w:val="006D61D2"/>
    <w:rsid w:val="006D623D"/>
    <w:rsid w:val="006D6342"/>
    <w:rsid w:val="006D63E4"/>
    <w:rsid w:val="006D64B5"/>
    <w:rsid w:val="006D64F6"/>
    <w:rsid w:val="006D64FB"/>
    <w:rsid w:val="006D6555"/>
    <w:rsid w:val="006D65B9"/>
    <w:rsid w:val="006D6635"/>
    <w:rsid w:val="006D673D"/>
    <w:rsid w:val="006D67BA"/>
    <w:rsid w:val="006D69DE"/>
    <w:rsid w:val="006D6BF9"/>
    <w:rsid w:val="006D715E"/>
    <w:rsid w:val="006D7464"/>
    <w:rsid w:val="006D74F4"/>
    <w:rsid w:val="006D753D"/>
    <w:rsid w:val="006D7759"/>
    <w:rsid w:val="006D78C3"/>
    <w:rsid w:val="006D796A"/>
    <w:rsid w:val="006D7A19"/>
    <w:rsid w:val="006D7B90"/>
    <w:rsid w:val="006D7B9A"/>
    <w:rsid w:val="006D7CBF"/>
    <w:rsid w:val="006D7E93"/>
    <w:rsid w:val="006E00F2"/>
    <w:rsid w:val="006E0163"/>
    <w:rsid w:val="006E01D1"/>
    <w:rsid w:val="006E0366"/>
    <w:rsid w:val="006E0388"/>
    <w:rsid w:val="006E03D9"/>
    <w:rsid w:val="006E04CA"/>
    <w:rsid w:val="006E0554"/>
    <w:rsid w:val="006E0581"/>
    <w:rsid w:val="006E0743"/>
    <w:rsid w:val="006E09F2"/>
    <w:rsid w:val="006E0A7A"/>
    <w:rsid w:val="006E0B1D"/>
    <w:rsid w:val="006E0BB2"/>
    <w:rsid w:val="006E0C88"/>
    <w:rsid w:val="006E0E3C"/>
    <w:rsid w:val="006E0E43"/>
    <w:rsid w:val="006E10CE"/>
    <w:rsid w:val="006E12B1"/>
    <w:rsid w:val="006E132B"/>
    <w:rsid w:val="006E13AA"/>
    <w:rsid w:val="006E1426"/>
    <w:rsid w:val="006E14BA"/>
    <w:rsid w:val="006E14DF"/>
    <w:rsid w:val="006E1525"/>
    <w:rsid w:val="006E16BE"/>
    <w:rsid w:val="006E1711"/>
    <w:rsid w:val="006E17AC"/>
    <w:rsid w:val="006E188D"/>
    <w:rsid w:val="006E1975"/>
    <w:rsid w:val="006E1B1E"/>
    <w:rsid w:val="006E1B45"/>
    <w:rsid w:val="006E1C1B"/>
    <w:rsid w:val="006E1D3C"/>
    <w:rsid w:val="006E1E18"/>
    <w:rsid w:val="006E1EE6"/>
    <w:rsid w:val="006E1F05"/>
    <w:rsid w:val="006E202D"/>
    <w:rsid w:val="006E2145"/>
    <w:rsid w:val="006E2265"/>
    <w:rsid w:val="006E24E3"/>
    <w:rsid w:val="006E2587"/>
    <w:rsid w:val="006E2A24"/>
    <w:rsid w:val="006E2BAC"/>
    <w:rsid w:val="006E2E23"/>
    <w:rsid w:val="006E2E7F"/>
    <w:rsid w:val="006E2E96"/>
    <w:rsid w:val="006E2F01"/>
    <w:rsid w:val="006E30E7"/>
    <w:rsid w:val="006E314D"/>
    <w:rsid w:val="006E33AE"/>
    <w:rsid w:val="006E346B"/>
    <w:rsid w:val="006E3877"/>
    <w:rsid w:val="006E38DC"/>
    <w:rsid w:val="006E3979"/>
    <w:rsid w:val="006E3A94"/>
    <w:rsid w:val="006E3CC3"/>
    <w:rsid w:val="006E3DCF"/>
    <w:rsid w:val="006E3DFF"/>
    <w:rsid w:val="006E3E62"/>
    <w:rsid w:val="006E3FEA"/>
    <w:rsid w:val="006E400D"/>
    <w:rsid w:val="006E40A2"/>
    <w:rsid w:val="006E4146"/>
    <w:rsid w:val="006E41F5"/>
    <w:rsid w:val="006E4339"/>
    <w:rsid w:val="006E4374"/>
    <w:rsid w:val="006E4387"/>
    <w:rsid w:val="006E4506"/>
    <w:rsid w:val="006E4749"/>
    <w:rsid w:val="006E47C8"/>
    <w:rsid w:val="006E485A"/>
    <w:rsid w:val="006E4877"/>
    <w:rsid w:val="006E4888"/>
    <w:rsid w:val="006E4951"/>
    <w:rsid w:val="006E49A2"/>
    <w:rsid w:val="006E49A5"/>
    <w:rsid w:val="006E4B67"/>
    <w:rsid w:val="006E4B82"/>
    <w:rsid w:val="006E4B99"/>
    <w:rsid w:val="006E4C7D"/>
    <w:rsid w:val="006E4EC2"/>
    <w:rsid w:val="006E4ED3"/>
    <w:rsid w:val="006E5017"/>
    <w:rsid w:val="006E5086"/>
    <w:rsid w:val="006E5147"/>
    <w:rsid w:val="006E524A"/>
    <w:rsid w:val="006E533A"/>
    <w:rsid w:val="006E539B"/>
    <w:rsid w:val="006E53B5"/>
    <w:rsid w:val="006E549C"/>
    <w:rsid w:val="006E54B7"/>
    <w:rsid w:val="006E563D"/>
    <w:rsid w:val="006E5742"/>
    <w:rsid w:val="006E5951"/>
    <w:rsid w:val="006E595A"/>
    <w:rsid w:val="006E5AE8"/>
    <w:rsid w:val="006E5C32"/>
    <w:rsid w:val="006E5DF1"/>
    <w:rsid w:val="006E6080"/>
    <w:rsid w:val="006E615D"/>
    <w:rsid w:val="006E6314"/>
    <w:rsid w:val="006E64BB"/>
    <w:rsid w:val="006E64D4"/>
    <w:rsid w:val="006E65EC"/>
    <w:rsid w:val="006E66C5"/>
    <w:rsid w:val="006E6843"/>
    <w:rsid w:val="006E6B4B"/>
    <w:rsid w:val="006E6CC3"/>
    <w:rsid w:val="006E6CD3"/>
    <w:rsid w:val="006E6E13"/>
    <w:rsid w:val="006E6E30"/>
    <w:rsid w:val="006E6EEC"/>
    <w:rsid w:val="006E6FC8"/>
    <w:rsid w:val="006E709A"/>
    <w:rsid w:val="006E7129"/>
    <w:rsid w:val="006E71A1"/>
    <w:rsid w:val="006E734E"/>
    <w:rsid w:val="006E739F"/>
    <w:rsid w:val="006E73AD"/>
    <w:rsid w:val="006E73BF"/>
    <w:rsid w:val="006E7443"/>
    <w:rsid w:val="006E75BD"/>
    <w:rsid w:val="006E761A"/>
    <w:rsid w:val="006E76D3"/>
    <w:rsid w:val="006E772C"/>
    <w:rsid w:val="006E7842"/>
    <w:rsid w:val="006E7A83"/>
    <w:rsid w:val="006E7DFD"/>
    <w:rsid w:val="006E7E4D"/>
    <w:rsid w:val="006E7EAD"/>
    <w:rsid w:val="006F0016"/>
    <w:rsid w:val="006F0038"/>
    <w:rsid w:val="006F011C"/>
    <w:rsid w:val="006F0298"/>
    <w:rsid w:val="006F0556"/>
    <w:rsid w:val="006F05A3"/>
    <w:rsid w:val="006F05CB"/>
    <w:rsid w:val="006F068C"/>
    <w:rsid w:val="006F06C5"/>
    <w:rsid w:val="006F0744"/>
    <w:rsid w:val="006F0753"/>
    <w:rsid w:val="006F07B4"/>
    <w:rsid w:val="006F0858"/>
    <w:rsid w:val="006F0984"/>
    <w:rsid w:val="006F0A3A"/>
    <w:rsid w:val="006F0B52"/>
    <w:rsid w:val="006F0CFB"/>
    <w:rsid w:val="006F0DAE"/>
    <w:rsid w:val="006F0DD1"/>
    <w:rsid w:val="006F0EBA"/>
    <w:rsid w:val="006F0F3F"/>
    <w:rsid w:val="006F0F89"/>
    <w:rsid w:val="006F1215"/>
    <w:rsid w:val="006F12B8"/>
    <w:rsid w:val="006F12F6"/>
    <w:rsid w:val="006F15BE"/>
    <w:rsid w:val="006F16B5"/>
    <w:rsid w:val="006F178A"/>
    <w:rsid w:val="006F17C6"/>
    <w:rsid w:val="006F181D"/>
    <w:rsid w:val="006F187B"/>
    <w:rsid w:val="006F1C3F"/>
    <w:rsid w:val="006F1CB3"/>
    <w:rsid w:val="006F1D7B"/>
    <w:rsid w:val="006F1DFF"/>
    <w:rsid w:val="006F1E26"/>
    <w:rsid w:val="006F1F30"/>
    <w:rsid w:val="006F1F3C"/>
    <w:rsid w:val="006F20FA"/>
    <w:rsid w:val="006F2149"/>
    <w:rsid w:val="006F22D5"/>
    <w:rsid w:val="006F2383"/>
    <w:rsid w:val="006F247C"/>
    <w:rsid w:val="006F24F8"/>
    <w:rsid w:val="006F2647"/>
    <w:rsid w:val="006F2693"/>
    <w:rsid w:val="006F281F"/>
    <w:rsid w:val="006F2909"/>
    <w:rsid w:val="006F2AB2"/>
    <w:rsid w:val="006F2E64"/>
    <w:rsid w:val="006F3013"/>
    <w:rsid w:val="006F3057"/>
    <w:rsid w:val="006F31D9"/>
    <w:rsid w:val="006F32D6"/>
    <w:rsid w:val="006F33ED"/>
    <w:rsid w:val="006F3444"/>
    <w:rsid w:val="006F35FD"/>
    <w:rsid w:val="006F3661"/>
    <w:rsid w:val="006F384C"/>
    <w:rsid w:val="006F3876"/>
    <w:rsid w:val="006F38BE"/>
    <w:rsid w:val="006F3BAC"/>
    <w:rsid w:val="006F3E17"/>
    <w:rsid w:val="006F3EC3"/>
    <w:rsid w:val="006F3F06"/>
    <w:rsid w:val="006F3FC9"/>
    <w:rsid w:val="006F4441"/>
    <w:rsid w:val="006F44F7"/>
    <w:rsid w:val="006F4761"/>
    <w:rsid w:val="006F48CC"/>
    <w:rsid w:val="006F4943"/>
    <w:rsid w:val="006F4B6A"/>
    <w:rsid w:val="006F4C8D"/>
    <w:rsid w:val="006F4F0A"/>
    <w:rsid w:val="006F4F70"/>
    <w:rsid w:val="006F4FC8"/>
    <w:rsid w:val="006F50CE"/>
    <w:rsid w:val="006F521A"/>
    <w:rsid w:val="006F522C"/>
    <w:rsid w:val="006F5411"/>
    <w:rsid w:val="006F5492"/>
    <w:rsid w:val="006F5580"/>
    <w:rsid w:val="006F5849"/>
    <w:rsid w:val="006F5A6A"/>
    <w:rsid w:val="006F5ABD"/>
    <w:rsid w:val="006F5BF6"/>
    <w:rsid w:val="006F5EC3"/>
    <w:rsid w:val="006F60F4"/>
    <w:rsid w:val="006F60F9"/>
    <w:rsid w:val="006F611F"/>
    <w:rsid w:val="006F647E"/>
    <w:rsid w:val="006F652C"/>
    <w:rsid w:val="006F655D"/>
    <w:rsid w:val="006F656C"/>
    <w:rsid w:val="006F66C3"/>
    <w:rsid w:val="006F67AB"/>
    <w:rsid w:val="006F687A"/>
    <w:rsid w:val="006F6B09"/>
    <w:rsid w:val="006F6F3F"/>
    <w:rsid w:val="006F71AF"/>
    <w:rsid w:val="006F7354"/>
    <w:rsid w:val="006F73D6"/>
    <w:rsid w:val="006F76F2"/>
    <w:rsid w:val="006F77E1"/>
    <w:rsid w:val="006F7966"/>
    <w:rsid w:val="006F7B19"/>
    <w:rsid w:val="006F7D6D"/>
    <w:rsid w:val="007000CB"/>
    <w:rsid w:val="00700189"/>
    <w:rsid w:val="00700190"/>
    <w:rsid w:val="0070023B"/>
    <w:rsid w:val="0070024B"/>
    <w:rsid w:val="00700277"/>
    <w:rsid w:val="007002F9"/>
    <w:rsid w:val="00700414"/>
    <w:rsid w:val="00700542"/>
    <w:rsid w:val="0070055D"/>
    <w:rsid w:val="007006F2"/>
    <w:rsid w:val="0070077B"/>
    <w:rsid w:val="00700815"/>
    <w:rsid w:val="007008E3"/>
    <w:rsid w:val="0070093D"/>
    <w:rsid w:val="007009E9"/>
    <w:rsid w:val="00700AFC"/>
    <w:rsid w:val="00700B6A"/>
    <w:rsid w:val="00700E14"/>
    <w:rsid w:val="00700FD3"/>
    <w:rsid w:val="00700FEA"/>
    <w:rsid w:val="007013B6"/>
    <w:rsid w:val="00701420"/>
    <w:rsid w:val="00701509"/>
    <w:rsid w:val="00701555"/>
    <w:rsid w:val="0070172F"/>
    <w:rsid w:val="00701865"/>
    <w:rsid w:val="00701AA2"/>
    <w:rsid w:val="00701B78"/>
    <w:rsid w:val="00701C8A"/>
    <w:rsid w:val="00701CE1"/>
    <w:rsid w:val="00701E3F"/>
    <w:rsid w:val="00702002"/>
    <w:rsid w:val="007020C6"/>
    <w:rsid w:val="0070215C"/>
    <w:rsid w:val="007021F0"/>
    <w:rsid w:val="00702392"/>
    <w:rsid w:val="007027EE"/>
    <w:rsid w:val="00702823"/>
    <w:rsid w:val="00702882"/>
    <w:rsid w:val="0070295F"/>
    <w:rsid w:val="00703029"/>
    <w:rsid w:val="007032F4"/>
    <w:rsid w:val="0070333E"/>
    <w:rsid w:val="00703479"/>
    <w:rsid w:val="0070352C"/>
    <w:rsid w:val="007035E5"/>
    <w:rsid w:val="0070380A"/>
    <w:rsid w:val="007038E4"/>
    <w:rsid w:val="007039EF"/>
    <w:rsid w:val="00703CB2"/>
    <w:rsid w:val="00703E51"/>
    <w:rsid w:val="007042D5"/>
    <w:rsid w:val="007042EE"/>
    <w:rsid w:val="0070430C"/>
    <w:rsid w:val="0070439F"/>
    <w:rsid w:val="00704644"/>
    <w:rsid w:val="00704782"/>
    <w:rsid w:val="00704892"/>
    <w:rsid w:val="0070491C"/>
    <w:rsid w:val="00704A11"/>
    <w:rsid w:val="00704B00"/>
    <w:rsid w:val="00704BCE"/>
    <w:rsid w:val="00704BD9"/>
    <w:rsid w:val="00704C51"/>
    <w:rsid w:val="00704D42"/>
    <w:rsid w:val="00704F08"/>
    <w:rsid w:val="007050AB"/>
    <w:rsid w:val="00705116"/>
    <w:rsid w:val="0070511F"/>
    <w:rsid w:val="0070518C"/>
    <w:rsid w:val="007051A2"/>
    <w:rsid w:val="007053C6"/>
    <w:rsid w:val="00705496"/>
    <w:rsid w:val="0070557A"/>
    <w:rsid w:val="0070583D"/>
    <w:rsid w:val="0070592B"/>
    <w:rsid w:val="00705A5B"/>
    <w:rsid w:val="00705BDB"/>
    <w:rsid w:val="00705C2D"/>
    <w:rsid w:val="00705DD1"/>
    <w:rsid w:val="00705ED2"/>
    <w:rsid w:val="00705F04"/>
    <w:rsid w:val="00706068"/>
    <w:rsid w:val="007062F7"/>
    <w:rsid w:val="007063B6"/>
    <w:rsid w:val="007064BC"/>
    <w:rsid w:val="007067CB"/>
    <w:rsid w:val="00706ADB"/>
    <w:rsid w:val="00706B08"/>
    <w:rsid w:val="00706D17"/>
    <w:rsid w:val="00706F8F"/>
    <w:rsid w:val="00707014"/>
    <w:rsid w:val="00707205"/>
    <w:rsid w:val="00707217"/>
    <w:rsid w:val="00707268"/>
    <w:rsid w:val="00707543"/>
    <w:rsid w:val="007075DB"/>
    <w:rsid w:val="00707792"/>
    <w:rsid w:val="007078C4"/>
    <w:rsid w:val="007079C9"/>
    <w:rsid w:val="00707A95"/>
    <w:rsid w:val="00707ACD"/>
    <w:rsid w:val="00707B98"/>
    <w:rsid w:val="00707D69"/>
    <w:rsid w:val="0071017E"/>
    <w:rsid w:val="007101AA"/>
    <w:rsid w:val="00710232"/>
    <w:rsid w:val="007102C0"/>
    <w:rsid w:val="00710351"/>
    <w:rsid w:val="0071037E"/>
    <w:rsid w:val="00710901"/>
    <w:rsid w:val="00710A80"/>
    <w:rsid w:val="00710C91"/>
    <w:rsid w:val="00710E13"/>
    <w:rsid w:val="00711061"/>
    <w:rsid w:val="00711117"/>
    <w:rsid w:val="00711160"/>
    <w:rsid w:val="007111A7"/>
    <w:rsid w:val="007111C1"/>
    <w:rsid w:val="007112DC"/>
    <w:rsid w:val="007113AD"/>
    <w:rsid w:val="007113DA"/>
    <w:rsid w:val="0071152D"/>
    <w:rsid w:val="0071160D"/>
    <w:rsid w:val="00711659"/>
    <w:rsid w:val="00711B26"/>
    <w:rsid w:val="007120AB"/>
    <w:rsid w:val="007121F8"/>
    <w:rsid w:val="0071247A"/>
    <w:rsid w:val="00712530"/>
    <w:rsid w:val="007125D1"/>
    <w:rsid w:val="007125D8"/>
    <w:rsid w:val="00712664"/>
    <w:rsid w:val="007126A8"/>
    <w:rsid w:val="00712913"/>
    <w:rsid w:val="007129D6"/>
    <w:rsid w:val="00712AD5"/>
    <w:rsid w:val="00712AFB"/>
    <w:rsid w:val="00712D99"/>
    <w:rsid w:val="00712F73"/>
    <w:rsid w:val="00712FCE"/>
    <w:rsid w:val="0071339E"/>
    <w:rsid w:val="007134BB"/>
    <w:rsid w:val="00713701"/>
    <w:rsid w:val="007138DD"/>
    <w:rsid w:val="00713940"/>
    <w:rsid w:val="00713962"/>
    <w:rsid w:val="00713BD2"/>
    <w:rsid w:val="00713CF0"/>
    <w:rsid w:val="00713E97"/>
    <w:rsid w:val="00713F25"/>
    <w:rsid w:val="00713FE2"/>
    <w:rsid w:val="00714211"/>
    <w:rsid w:val="007142D6"/>
    <w:rsid w:val="007144ED"/>
    <w:rsid w:val="00714716"/>
    <w:rsid w:val="0071471A"/>
    <w:rsid w:val="00714880"/>
    <w:rsid w:val="007148EE"/>
    <w:rsid w:val="00714958"/>
    <w:rsid w:val="00714BE8"/>
    <w:rsid w:val="00714C0E"/>
    <w:rsid w:val="00714DC7"/>
    <w:rsid w:val="00714E0B"/>
    <w:rsid w:val="00714EB0"/>
    <w:rsid w:val="00714EFB"/>
    <w:rsid w:val="00714F16"/>
    <w:rsid w:val="007152D5"/>
    <w:rsid w:val="00715334"/>
    <w:rsid w:val="007154F2"/>
    <w:rsid w:val="007154FA"/>
    <w:rsid w:val="007155BE"/>
    <w:rsid w:val="0071573C"/>
    <w:rsid w:val="00715909"/>
    <w:rsid w:val="00715993"/>
    <w:rsid w:val="00715B76"/>
    <w:rsid w:val="00715BB9"/>
    <w:rsid w:val="00715D8B"/>
    <w:rsid w:val="00715F05"/>
    <w:rsid w:val="00716070"/>
    <w:rsid w:val="007161D3"/>
    <w:rsid w:val="007161F4"/>
    <w:rsid w:val="007163D9"/>
    <w:rsid w:val="00716626"/>
    <w:rsid w:val="007166D8"/>
    <w:rsid w:val="007169CF"/>
    <w:rsid w:val="00716AE0"/>
    <w:rsid w:val="00716AFB"/>
    <w:rsid w:val="00716BD3"/>
    <w:rsid w:val="00716C19"/>
    <w:rsid w:val="00716E98"/>
    <w:rsid w:val="00716EE2"/>
    <w:rsid w:val="00716FEE"/>
    <w:rsid w:val="0071725B"/>
    <w:rsid w:val="0071747F"/>
    <w:rsid w:val="00717495"/>
    <w:rsid w:val="00717513"/>
    <w:rsid w:val="00717566"/>
    <w:rsid w:val="007177E4"/>
    <w:rsid w:val="007177FC"/>
    <w:rsid w:val="007179E7"/>
    <w:rsid w:val="00717A7F"/>
    <w:rsid w:val="00717A98"/>
    <w:rsid w:val="00717BA9"/>
    <w:rsid w:val="00717BF3"/>
    <w:rsid w:val="00717C18"/>
    <w:rsid w:val="00717CF6"/>
    <w:rsid w:val="00717D90"/>
    <w:rsid w:val="00717DAC"/>
    <w:rsid w:val="00717E6E"/>
    <w:rsid w:val="00717E86"/>
    <w:rsid w:val="00717F26"/>
    <w:rsid w:val="00717F2C"/>
    <w:rsid w:val="00720192"/>
    <w:rsid w:val="00720265"/>
    <w:rsid w:val="0072032D"/>
    <w:rsid w:val="00720443"/>
    <w:rsid w:val="0072053F"/>
    <w:rsid w:val="0072054D"/>
    <w:rsid w:val="007205D8"/>
    <w:rsid w:val="00720643"/>
    <w:rsid w:val="00720836"/>
    <w:rsid w:val="00720BF2"/>
    <w:rsid w:val="00720EF0"/>
    <w:rsid w:val="00720F62"/>
    <w:rsid w:val="00721127"/>
    <w:rsid w:val="00721397"/>
    <w:rsid w:val="0072139E"/>
    <w:rsid w:val="007213A1"/>
    <w:rsid w:val="0072162D"/>
    <w:rsid w:val="007217BB"/>
    <w:rsid w:val="00721904"/>
    <w:rsid w:val="007219CE"/>
    <w:rsid w:val="00721A36"/>
    <w:rsid w:val="00721C2B"/>
    <w:rsid w:val="00721DAA"/>
    <w:rsid w:val="00721E60"/>
    <w:rsid w:val="00722077"/>
    <w:rsid w:val="00722179"/>
    <w:rsid w:val="00722329"/>
    <w:rsid w:val="0072244C"/>
    <w:rsid w:val="00722464"/>
    <w:rsid w:val="00722553"/>
    <w:rsid w:val="00722556"/>
    <w:rsid w:val="0072261F"/>
    <w:rsid w:val="00722673"/>
    <w:rsid w:val="00722679"/>
    <w:rsid w:val="00722709"/>
    <w:rsid w:val="00722716"/>
    <w:rsid w:val="0072295E"/>
    <w:rsid w:val="007229D1"/>
    <w:rsid w:val="00722A72"/>
    <w:rsid w:val="00722B22"/>
    <w:rsid w:val="00722C32"/>
    <w:rsid w:val="00722C51"/>
    <w:rsid w:val="00722C5A"/>
    <w:rsid w:val="00722E0E"/>
    <w:rsid w:val="00722F3B"/>
    <w:rsid w:val="00722FA2"/>
    <w:rsid w:val="00722FBE"/>
    <w:rsid w:val="00722FD9"/>
    <w:rsid w:val="00723081"/>
    <w:rsid w:val="007231C8"/>
    <w:rsid w:val="00723203"/>
    <w:rsid w:val="0072322D"/>
    <w:rsid w:val="0072327B"/>
    <w:rsid w:val="00723289"/>
    <w:rsid w:val="007233C9"/>
    <w:rsid w:val="0072341F"/>
    <w:rsid w:val="00723452"/>
    <w:rsid w:val="007234AB"/>
    <w:rsid w:val="007234FF"/>
    <w:rsid w:val="007235C4"/>
    <w:rsid w:val="0072368D"/>
    <w:rsid w:val="00723729"/>
    <w:rsid w:val="00723748"/>
    <w:rsid w:val="00723890"/>
    <w:rsid w:val="00723C69"/>
    <w:rsid w:val="00723EAC"/>
    <w:rsid w:val="00724000"/>
    <w:rsid w:val="0072403A"/>
    <w:rsid w:val="00724041"/>
    <w:rsid w:val="00724222"/>
    <w:rsid w:val="00724317"/>
    <w:rsid w:val="00724384"/>
    <w:rsid w:val="0072453C"/>
    <w:rsid w:val="0072458B"/>
    <w:rsid w:val="007245CA"/>
    <w:rsid w:val="00724646"/>
    <w:rsid w:val="007247B8"/>
    <w:rsid w:val="007248B3"/>
    <w:rsid w:val="00724E78"/>
    <w:rsid w:val="00724EBE"/>
    <w:rsid w:val="0072526F"/>
    <w:rsid w:val="007253B8"/>
    <w:rsid w:val="00725522"/>
    <w:rsid w:val="00725667"/>
    <w:rsid w:val="007257C8"/>
    <w:rsid w:val="007258BA"/>
    <w:rsid w:val="00725B62"/>
    <w:rsid w:val="0072602B"/>
    <w:rsid w:val="007260A3"/>
    <w:rsid w:val="00726112"/>
    <w:rsid w:val="00726305"/>
    <w:rsid w:val="00726350"/>
    <w:rsid w:val="007267A0"/>
    <w:rsid w:val="0072695A"/>
    <w:rsid w:val="00726A17"/>
    <w:rsid w:val="00726A8F"/>
    <w:rsid w:val="00726A90"/>
    <w:rsid w:val="00726CFA"/>
    <w:rsid w:val="00726EFB"/>
    <w:rsid w:val="00727041"/>
    <w:rsid w:val="00727098"/>
    <w:rsid w:val="00727196"/>
    <w:rsid w:val="0072722C"/>
    <w:rsid w:val="007272DC"/>
    <w:rsid w:val="0072740B"/>
    <w:rsid w:val="007274C8"/>
    <w:rsid w:val="00727558"/>
    <w:rsid w:val="007275B4"/>
    <w:rsid w:val="0072797F"/>
    <w:rsid w:val="00727BA5"/>
    <w:rsid w:val="00727E48"/>
    <w:rsid w:val="00727F42"/>
    <w:rsid w:val="00730007"/>
    <w:rsid w:val="00730016"/>
    <w:rsid w:val="00730073"/>
    <w:rsid w:val="007300B7"/>
    <w:rsid w:val="007303F0"/>
    <w:rsid w:val="0073074C"/>
    <w:rsid w:val="0073089D"/>
    <w:rsid w:val="007309B1"/>
    <w:rsid w:val="00730AC2"/>
    <w:rsid w:val="00730B0C"/>
    <w:rsid w:val="00730CCD"/>
    <w:rsid w:val="00730D5C"/>
    <w:rsid w:val="00730F6E"/>
    <w:rsid w:val="007310D5"/>
    <w:rsid w:val="0073145D"/>
    <w:rsid w:val="00731467"/>
    <w:rsid w:val="007314F7"/>
    <w:rsid w:val="00731522"/>
    <w:rsid w:val="007315AF"/>
    <w:rsid w:val="007318C5"/>
    <w:rsid w:val="00731ACD"/>
    <w:rsid w:val="00731B27"/>
    <w:rsid w:val="00731B9A"/>
    <w:rsid w:val="00731ED0"/>
    <w:rsid w:val="00731F39"/>
    <w:rsid w:val="00731F84"/>
    <w:rsid w:val="00732029"/>
    <w:rsid w:val="007320EB"/>
    <w:rsid w:val="007322BF"/>
    <w:rsid w:val="00732694"/>
    <w:rsid w:val="007327DB"/>
    <w:rsid w:val="00732A57"/>
    <w:rsid w:val="00732B4F"/>
    <w:rsid w:val="00732B5D"/>
    <w:rsid w:val="00732C15"/>
    <w:rsid w:val="00732C3F"/>
    <w:rsid w:val="00732CCB"/>
    <w:rsid w:val="00732D1D"/>
    <w:rsid w:val="00732EB5"/>
    <w:rsid w:val="0073307C"/>
    <w:rsid w:val="007330CD"/>
    <w:rsid w:val="0073317A"/>
    <w:rsid w:val="0073328E"/>
    <w:rsid w:val="007332C2"/>
    <w:rsid w:val="0073343F"/>
    <w:rsid w:val="007335A5"/>
    <w:rsid w:val="00733650"/>
    <w:rsid w:val="00733714"/>
    <w:rsid w:val="00733733"/>
    <w:rsid w:val="007338A1"/>
    <w:rsid w:val="007338DD"/>
    <w:rsid w:val="00733912"/>
    <w:rsid w:val="00733959"/>
    <w:rsid w:val="007339EF"/>
    <w:rsid w:val="00733BD7"/>
    <w:rsid w:val="00733D3B"/>
    <w:rsid w:val="00733D83"/>
    <w:rsid w:val="00733DA4"/>
    <w:rsid w:val="00733F00"/>
    <w:rsid w:val="00733F21"/>
    <w:rsid w:val="00733FA4"/>
    <w:rsid w:val="007340C5"/>
    <w:rsid w:val="007340E9"/>
    <w:rsid w:val="0073417C"/>
    <w:rsid w:val="00734209"/>
    <w:rsid w:val="00734266"/>
    <w:rsid w:val="00734323"/>
    <w:rsid w:val="007343B6"/>
    <w:rsid w:val="007343F8"/>
    <w:rsid w:val="00734450"/>
    <w:rsid w:val="007344CD"/>
    <w:rsid w:val="0073458B"/>
    <w:rsid w:val="00734647"/>
    <w:rsid w:val="007348B7"/>
    <w:rsid w:val="007348BE"/>
    <w:rsid w:val="00734954"/>
    <w:rsid w:val="00734A16"/>
    <w:rsid w:val="00734B57"/>
    <w:rsid w:val="00734BC3"/>
    <w:rsid w:val="00734EE1"/>
    <w:rsid w:val="00734FBB"/>
    <w:rsid w:val="0073503B"/>
    <w:rsid w:val="0073505D"/>
    <w:rsid w:val="0073538D"/>
    <w:rsid w:val="0073545D"/>
    <w:rsid w:val="0073549A"/>
    <w:rsid w:val="007354C2"/>
    <w:rsid w:val="0073557D"/>
    <w:rsid w:val="00735624"/>
    <w:rsid w:val="007357FD"/>
    <w:rsid w:val="007358D5"/>
    <w:rsid w:val="00735963"/>
    <w:rsid w:val="007359BC"/>
    <w:rsid w:val="007359DD"/>
    <w:rsid w:val="007359FA"/>
    <w:rsid w:val="00735A07"/>
    <w:rsid w:val="00735B6B"/>
    <w:rsid w:val="00735BFE"/>
    <w:rsid w:val="00735C35"/>
    <w:rsid w:val="00735CCE"/>
    <w:rsid w:val="00735CE5"/>
    <w:rsid w:val="00735E7A"/>
    <w:rsid w:val="00735F66"/>
    <w:rsid w:val="0073603E"/>
    <w:rsid w:val="0073610F"/>
    <w:rsid w:val="0073627D"/>
    <w:rsid w:val="007362A2"/>
    <w:rsid w:val="0073630B"/>
    <w:rsid w:val="0073643F"/>
    <w:rsid w:val="00736716"/>
    <w:rsid w:val="00736791"/>
    <w:rsid w:val="0073680D"/>
    <w:rsid w:val="007368EA"/>
    <w:rsid w:val="00736950"/>
    <w:rsid w:val="007369A0"/>
    <w:rsid w:val="00736C13"/>
    <w:rsid w:val="00736DF9"/>
    <w:rsid w:val="00736EDE"/>
    <w:rsid w:val="00736F00"/>
    <w:rsid w:val="007370A4"/>
    <w:rsid w:val="007370F3"/>
    <w:rsid w:val="00737132"/>
    <w:rsid w:val="0073728F"/>
    <w:rsid w:val="007372A6"/>
    <w:rsid w:val="007374D7"/>
    <w:rsid w:val="0073750B"/>
    <w:rsid w:val="00737570"/>
    <w:rsid w:val="00737619"/>
    <w:rsid w:val="0073761F"/>
    <w:rsid w:val="00737810"/>
    <w:rsid w:val="00737B4A"/>
    <w:rsid w:val="00737C62"/>
    <w:rsid w:val="00737D68"/>
    <w:rsid w:val="00737E3B"/>
    <w:rsid w:val="0074018D"/>
    <w:rsid w:val="00740247"/>
    <w:rsid w:val="00740295"/>
    <w:rsid w:val="00740394"/>
    <w:rsid w:val="007404E8"/>
    <w:rsid w:val="00740532"/>
    <w:rsid w:val="007405ED"/>
    <w:rsid w:val="00740788"/>
    <w:rsid w:val="00740790"/>
    <w:rsid w:val="00740AA8"/>
    <w:rsid w:val="00740E3E"/>
    <w:rsid w:val="00741290"/>
    <w:rsid w:val="007412F3"/>
    <w:rsid w:val="00741352"/>
    <w:rsid w:val="0074156A"/>
    <w:rsid w:val="007416D2"/>
    <w:rsid w:val="007417B3"/>
    <w:rsid w:val="00741824"/>
    <w:rsid w:val="007418AD"/>
    <w:rsid w:val="007419AE"/>
    <w:rsid w:val="00741A1C"/>
    <w:rsid w:val="00741A30"/>
    <w:rsid w:val="00741A7F"/>
    <w:rsid w:val="00741B56"/>
    <w:rsid w:val="00741C30"/>
    <w:rsid w:val="00741D04"/>
    <w:rsid w:val="00741E07"/>
    <w:rsid w:val="00741EB4"/>
    <w:rsid w:val="00741F62"/>
    <w:rsid w:val="007420AD"/>
    <w:rsid w:val="007421E8"/>
    <w:rsid w:val="007425D6"/>
    <w:rsid w:val="00742784"/>
    <w:rsid w:val="00742785"/>
    <w:rsid w:val="007427C8"/>
    <w:rsid w:val="00742B7E"/>
    <w:rsid w:val="00742B97"/>
    <w:rsid w:val="00742BE5"/>
    <w:rsid w:val="00742C03"/>
    <w:rsid w:val="00742C45"/>
    <w:rsid w:val="00742CC5"/>
    <w:rsid w:val="00742CE1"/>
    <w:rsid w:val="00742E5B"/>
    <w:rsid w:val="00742F02"/>
    <w:rsid w:val="0074302D"/>
    <w:rsid w:val="0074309F"/>
    <w:rsid w:val="0074313F"/>
    <w:rsid w:val="007431D5"/>
    <w:rsid w:val="0074324C"/>
    <w:rsid w:val="00743338"/>
    <w:rsid w:val="00743354"/>
    <w:rsid w:val="0074347C"/>
    <w:rsid w:val="0074379B"/>
    <w:rsid w:val="00743A43"/>
    <w:rsid w:val="00743AEF"/>
    <w:rsid w:val="00743B3B"/>
    <w:rsid w:val="00743B58"/>
    <w:rsid w:val="00743D03"/>
    <w:rsid w:val="00743D79"/>
    <w:rsid w:val="00743D89"/>
    <w:rsid w:val="00743EA3"/>
    <w:rsid w:val="00743EB8"/>
    <w:rsid w:val="00743F0C"/>
    <w:rsid w:val="0074401A"/>
    <w:rsid w:val="00744070"/>
    <w:rsid w:val="007440DC"/>
    <w:rsid w:val="007441E5"/>
    <w:rsid w:val="007442B3"/>
    <w:rsid w:val="007442FA"/>
    <w:rsid w:val="00744436"/>
    <w:rsid w:val="007444C6"/>
    <w:rsid w:val="0074465D"/>
    <w:rsid w:val="0074471A"/>
    <w:rsid w:val="00744747"/>
    <w:rsid w:val="0074475E"/>
    <w:rsid w:val="00744780"/>
    <w:rsid w:val="007448EC"/>
    <w:rsid w:val="007449C2"/>
    <w:rsid w:val="00744A10"/>
    <w:rsid w:val="00744D53"/>
    <w:rsid w:val="00744D84"/>
    <w:rsid w:val="00744E42"/>
    <w:rsid w:val="00744EAF"/>
    <w:rsid w:val="00744FA6"/>
    <w:rsid w:val="00744FA8"/>
    <w:rsid w:val="00744FE1"/>
    <w:rsid w:val="00745006"/>
    <w:rsid w:val="00745049"/>
    <w:rsid w:val="007450B8"/>
    <w:rsid w:val="007450F6"/>
    <w:rsid w:val="007451F0"/>
    <w:rsid w:val="007452C8"/>
    <w:rsid w:val="00745614"/>
    <w:rsid w:val="0074561F"/>
    <w:rsid w:val="00745632"/>
    <w:rsid w:val="00745800"/>
    <w:rsid w:val="00745803"/>
    <w:rsid w:val="00745826"/>
    <w:rsid w:val="00745921"/>
    <w:rsid w:val="00745A4C"/>
    <w:rsid w:val="00745A87"/>
    <w:rsid w:val="00745F39"/>
    <w:rsid w:val="00745FD9"/>
    <w:rsid w:val="0074612F"/>
    <w:rsid w:val="007462A9"/>
    <w:rsid w:val="007462AF"/>
    <w:rsid w:val="00746641"/>
    <w:rsid w:val="00746838"/>
    <w:rsid w:val="00746945"/>
    <w:rsid w:val="00746974"/>
    <w:rsid w:val="007469B5"/>
    <w:rsid w:val="007469C2"/>
    <w:rsid w:val="00746B06"/>
    <w:rsid w:val="00746B32"/>
    <w:rsid w:val="00746B52"/>
    <w:rsid w:val="00746C8E"/>
    <w:rsid w:val="00746F30"/>
    <w:rsid w:val="00747065"/>
    <w:rsid w:val="007470FA"/>
    <w:rsid w:val="00747232"/>
    <w:rsid w:val="007474A2"/>
    <w:rsid w:val="007474D3"/>
    <w:rsid w:val="007475E5"/>
    <w:rsid w:val="0074761B"/>
    <w:rsid w:val="0074771F"/>
    <w:rsid w:val="00747730"/>
    <w:rsid w:val="007479D3"/>
    <w:rsid w:val="007479DA"/>
    <w:rsid w:val="00747B7D"/>
    <w:rsid w:val="00747C6A"/>
    <w:rsid w:val="00747C90"/>
    <w:rsid w:val="00750317"/>
    <w:rsid w:val="00750334"/>
    <w:rsid w:val="0075092E"/>
    <w:rsid w:val="0075094C"/>
    <w:rsid w:val="00750AD3"/>
    <w:rsid w:val="00750C5C"/>
    <w:rsid w:val="00750C85"/>
    <w:rsid w:val="00750D2B"/>
    <w:rsid w:val="00750EB7"/>
    <w:rsid w:val="00750EC5"/>
    <w:rsid w:val="00750F67"/>
    <w:rsid w:val="00750FCD"/>
    <w:rsid w:val="0075110C"/>
    <w:rsid w:val="0075124C"/>
    <w:rsid w:val="007512EE"/>
    <w:rsid w:val="007512FF"/>
    <w:rsid w:val="00751400"/>
    <w:rsid w:val="007514BA"/>
    <w:rsid w:val="007516BF"/>
    <w:rsid w:val="007516C7"/>
    <w:rsid w:val="007517DD"/>
    <w:rsid w:val="007517E4"/>
    <w:rsid w:val="00751A1E"/>
    <w:rsid w:val="00751A68"/>
    <w:rsid w:val="00751D58"/>
    <w:rsid w:val="00751E88"/>
    <w:rsid w:val="00751EB2"/>
    <w:rsid w:val="007520E8"/>
    <w:rsid w:val="007521FF"/>
    <w:rsid w:val="007522EF"/>
    <w:rsid w:val="00752573"/>
    <w:rsid w:val="0075257C"/>
    <w:rsid w:val="00752640"/>
    <w:rsid w:val="007526F2"/>
    <w:rsid w:val="00752815"/>
    <w:rsid w:val="0075284F"/>
    <w:rsid w:val="00752A5E"/>
    <w:rsid w:val="00752BDB"/>
    <w:rsid w:val="00752C24"/>
    <w:rsid w:val="00752C8C"/>
    <w:rsid w:val="00752E94"/>
    <w:rsid w:val="00752EBA"/>
    <w:rsid w:val="00753030"/>
    <w:rsid w:val="00753242"/>
    <w:rsid w:val="00753281"/>
    <w:rsid w:val="007532FD"/>
    <w:rsid w:val="00753303"/>
    <w:rsid w:val="007534D9"/>
    <w:rsid w:val="007535BC"/>
    <w:rsid w:val="00753BC3"/>
    <w:rsid w:val="00753CB4"/>
    <w:rsid w:val="00753CBA"/>
    <w:rsid w:val="00753D52"/>
    <w:rsid w:val="00753FB1"/>
    <w:rsid w:val="007540ED"/>
    <w:rsid w:val="007543CF"/>
    <w:rsid w:val="00754403"/>
    <w:rsid w:val="00754481"/>
    <w:rsid w:val="007544EA"/>
    <w:rsid w:val="00754503"/>
    <w:rsid w:val="00754593"/>
    <w:rsid w:val="007545B0"/>
    <w:rsid w:val="007547C4"/>
    <w:rsid w:val="00754AB8"/>
    <w:rsid w:val="00754ADF"/>
    <w:rsid w:val="00754B8E"/>
    <w:rsid w:val="00754D27"/>
    <w:rsid w:val="00754E43"/>
    <w:rsid w:val="00754F04"/>
    <w:rsid w:val="00755045"/>
    <w:rsid w:val="0075517F"/>
    <w:rsid w:val="00755188"/>
    <w:rsid w:val="007554E3"/>
    <w:rsid w:val="007554F3"/>
    <w:rsid w:val="00755532"/>
    <w:rsid w:val="007555EA"/>
    <w:rsid w:val="00755712"/>
    <w:rsid w:val="007557D1"/>
    <w:rsid w:val="00755AD5"/>
    <w:rsid w:val="00755BCD"/>
    <w:rsid w:val="00755CDA"/>
    <w:rsid w:val="00755DD4"/>
    <w:rsid w:val="00755E47"/>
    <w:rsid w:val="00755E9E"/>
    <w:rsid w:val="007561CC"/>
    <w:rsid w:val="00756260"/>
    <w:rsid w:val="0075640D"/>
    <w:rsid w:val="00756535"/>
    <w:rsid w:val="00756642"/>
    <w:rsid w:val="007568EA"/>
    <w:rsid w:val="007569AD"/>
    <w:rsid w:val="00756A16"/>
    <w:rsid w:val="00756A85"/>
    <w:rsid w:val="00756D7A"/>
    <w:rsid w:val="00756EEB"/>
    <w:rsid w:val="00756F22"/>
    <w:rsid w:val="00756F6B"/>
    <w:rsid w:val="0075700F"/>
    <w:rsid w:val="0075728D"/>
    <w:rsid w:val="007573AE"/>
    <w:rsid w:val="007574AF"/>
    <w:rsid w:val="00757581"/>
    <w:rsid w:val="007575DE"/>
    <w:rsid w:val="00757612"/>
    <w:rsid w:val="00757621"/>
    <w:rsid w:val="007576BC"/>
    <w:rsid w:val="00757816"/>
    <w:rsid w:val="007578ED"/>
    <w:rsid w:val="0075797C"/>
    <w:rsid w:val="00757AA1"/>
    <w:rsid w:val="00757ABB"/>
    <w:rsid w:val="00757C57"/>
    <w:rsid w:val="00757D02"/>
    <w:rsid w:val="00757FAE"/>
    <w:rsid w:val="007601EC"/>
    <w:rsid w:val="00760305"/>
    <w:rsid w:val="007604C0"/>
    <w:rsid w:val="00760570"/>
    <w:rsid w:val="00760644"/>
    <w:rsid w:val="007607A7"/>
    <w:rsid w:val="00760942"/>
    <w:rsid w:val="00760975"/>
    <w:rsid w:val="00760A88"/>
    <w:rsid w:val="00760CBF"/>
    <w:rsid w:val="00760E60"/>
    <w:rsid w:val="00760E74"/>
    <w:rsid w:val="00760F60"/>
    <w:rsid w:val="00760FCB"/>
    <w:rsid w:val="00761281"/>
    <w:rsid w:val="0076130F"/>
    <w:rsid w:val="0076148F"/>
    <w:rsid w:val="0076177D"/>
    <w:rsid w:val="0076181B"/>
    <w:rsid w:val="007618C3"/>
    <w:rsid w:val="007619A7"/>
    <w:rsid w:val="00761CAD"/>
    <w:rsid w:val="00761D67"/>
    <w:rsid w:val="00761EE8"/>
    <w:rsid w:val="00761FF3"/>
    <w:rsid w:val="007621F8"/>
    <w:rsid w:val="007623D0"/>
    <w:rsid w:val="00762491"/>
    <w:rsid w:val="007626A4"/>
    <w:rsid w:val="00762734"/>
    <w:rsid w:val="007627A8"/>
    <w:rsid w:val="0076280D"/>
    <w:rsid w:val="007628C6"/>
    <w:rsid w:val="007629A3"/>
    <w:rsid w:val="00762B32"/>
    <w:rsid w:val="00762C39"/>
    <w:rsid w:val="00762DC1"/>
    <w:rsid w:val="00762DE3"/>
    <w:rsid w:val="00762F17"/>
    <w:rsid w:val="00762F21"/>
    <w:rsid w:val="00762F40"/>
    <w:rsid w:val="007630AE"/>
    <w:rsid w:val="00763180"/>
    <w:rsid w:val="007631E2"/>
    <w:rsid w:val="007633D2"/>
    <w:rsid w:val="007634A0"/>
    <w:rsid w:val="00763503"/>
    <w:rsid w:val="00763524"/>
    <w:rsid w:val="007635E4"/>
    <w:rsid w:val="007638AA"/>
    <w:rsid w:val="00763AD4"/>
    <w:rsid w:val="00763AEC"/>
    <w:rsid w:val="00763B39"/>
    <w:rsid w:val="00763BF5"/>
    <w:rsid w:val="00763D62"/>
    <w:rsid w:val="00763D92"/>
    <w:rsid w:val="00763DB1"/>
    <w:rsid w:val="0076400F"/>
    <w:rsid w:val="00764028"/>
    <w:rsid w:val="00764175"/>
    <w:rsid w:val="007644C0"/>
    <w:rsid w:val="007644D4"/>
    <w:rsid w:val="007645D4"/>
    <w:rsid w:val="007646E3"/>
    <w:rsid w:val="0076476C"/>
    <w:rsid w:val="00764921"/>
    <w:rsid w:val="00764B0B"/>
    <w:rsid w:val="00764B4A"/>
    <w:rsid w:val="00764CA5"/>
    <w:rsid w:val="00764CB4"/>
    <w:rsid w:val="00764DC8"/>
    <w:rsid w:val="00765091"/>
    <w:rsid w:val="0076514A"/>
    <w:rsid w:val="00765267"/>
    <w:rsid w:val="007653C1"/>
    <w:rsid w:val="0076580D"/>
    <w:rsid w:val="00765BFC"/>
    <w:rsid w:val="0076613B"/>
    <w:rsid w:val="00766205"/>
    <w:rsid w:val="0076625D"/>
    <w:rsid w:val="007662FD"/>
    <w:rsid w:val="007663C9"/>
    <w:rsid w:val="007663ED"/>
    <w:rsid w:val="007665C7"/>
    <w:rsid w:val="007665D5"/>
    <w:rsid w:val="00766818"/>
    <w:rsid w:val="00766845"/>
    <w:rsid w:val="00766867"/>
    <w:rsid w:val="00766990"/>
    <w:rsid w:val="00766BF5"/>
    <w:rsid w:val="00766D31"/>
    <w:rsid w:val="00766E9D"/>
    <w:rsid w:val="00766EF0"/>
    <w:rsid w:val="00766F7C"/>
    <w:rsid w:val="00766FC5"/>
    <w:rsid w:val="00767003"/>
    <w:rsid w:val="00767053"/>
    <w:rsid w:val="00767111"/>
    <w:rsid w:val="007673D5"/>
    <w:rsid w:val="007674F6"/>
    <w:rsid w:val="007674FE"/>
    <w:rsid w:val="00767723"/>
    <w:rsid w:val="00767764"/>
    <w:rsid w:val="00767882"/>
    <w:rsid w:val="007679CB"/>
    <w:rsid w:val="007679EA"/>
    <w:rsid w:val="00767A7A"/>
    <w:rsid w:val="00767B5E"/>
    <w:rsid w:val="00767B96"/>
    <w:rsid w:val="00767B9F"/>
    <w:rsid w:val="00767BDD"/>
    <w:rsid w:val="00767C5A"/>
    <w:rsid w:val="00770217"/>
    <w:rsid w:val="00770257"/>
    <w:rsid w:val="0077061E"/>
    <w:rsid w:val="007706A3"/>
    <w:rsid w:val="007706A5"/>
    <w:rsid w:val="007706DE"/>
    <w:rsid w:val="0077076C"/>
    <w:rsid w:val="007707C0"/>
    <w:rsid w:val="00770810"/>
    <w:rsid w:val="00770A2E"/>
    <w:rsid w:val="00770D78"/>
    <w:rsid w:val="00770E90"/>
    <w:rsid w:val="00770EA2"/>
    <w:rsid w:val="00770F31"/>
    <w:rsid w:val="00770FB0"/>
    <w:rsid w:val="00771023"/>
    <w:rsid w:val="00771079"/>
    <w:rsid w:val="00771129"/>
    <w:rsid w:val="007711A3"/>
    <w:rsid w:val="00771312"/>
    <w:rsid w:val="007714F4"/>
    <w:rsid w:val="007714FF"/>
    <w:rsid w:val="007715A3"/>
    <w:rsid w:val="007715B2"/>
    <w:rsid w:val="00771884"/>
    <w:rsid w:val="00771960"/>
    <w:rsid w:val="00771A4B"/>
    <w:rsid w:val="00771AF8"/>
    <w:rsid w:val="00771DDF"/>
    <w:rsid w:val="00771E13"/>
    <w:rsid w:val="00771E8B"/>
    <w:rsid w:val="00771ED2"/>
    <w:rsid w:val="00771F0D"/>
    <w:rsid w:val="00771F93"/>
    <w:rsid w:val="0077209E"/>
    <w:rsid w:val="00772112"/>
    <w:rsid w:val="007721B4"/>
    <w:rsid w:val="0077224F"/>
    <w:rsid w:val="00772281"/>
    <w:rsid w:val="007722DE"/>
    <w:rsid w:val="00772301"/>
    <w:rsid w:val="00772486"/>
    <w:rsid w:val="0077272D"/>
    <w:rsid w:val="007727C3"/>
    <w:rsid w:val="00772984"/>
    <w:rsid w:val="00772B6C"/>
    <w:rsid w:val="00772D82"/>
    <w:rsid w:val="00772F24"/>
    <w:rsid w:val="00772FC5"/>
    <w:rsid w:val="00773232"/>
    <w:rsid w:val="00773647"/>
    <w:rsid w:val="00773662"/>
    <w:rsid w:val="00773684"/>
    <w:rsid w:val="0077375B"/>
    <w:rsid w:val="007738FA"/>
    <w:rsid w:val="0077391C"/>
    <w:rsid w:val="007739DC"/>
    <w:rsid w:val="00773A32"/>
    <w:rsid w:val="00773C5A"/>
    <w:rsid w:val="00773DD0"/>
    <w:rsid w:val="00774004"/>
    <w:rsid w:val="00774051"/>
    <w:rsid w:val="00774199"/>
    <w:rsid w:val="0077445E"/>
    <w:rsid w:val="007744A7"/>
    <w:rsid w:val="00774703"/>
    <w:rsid w:val="00774A9E"/>
    <w:rsid w:val="00774B04"/>
    <w:rsid w:val="00774CA1"/>
    <w:rsid w:val="00774CAB"/>
    <w:rsid w:val="00774DA2"/>
    <w:rsid w:val="00774DA5"/>
    <w:rsid w:val="00774DA6"/>
    <w:rsid w:val="00774E99"/>
    <w:rsid w:val="00775063"/>
    <w:rsid w:val="00775094"/>
    <w:rsid w:val="00775173"/>
    <w:rsid w:val="0077517C"/>
    <w:rsid w:val="007751F8"/>
    <w:rsid w:val="00775219"/>
    <w:rsid w:val="00775275"/>
    <w:rsid w:val="00775360"/>
    <w:rsid w:val="0077538D"/>
    <w:rsid w:val="007753A5"/>
    <w:rsid w:val="007753ED"/>
    <w:rsid w:val="007754CB"/>
    <w:rsid w:val="00775702"/>
    <w:rsid w:val="007757D7"/>
    <w:rsid w:val="00775931"/>
    <w:rsid w:val="007759F1"/>
    <w:rsid w:val="00775C51"/>
    <w:rsid w:val="00775EE1"/>
    <w:rsid w:val="007760AC"/>
    <w:rsid w:val="00776221"/>
    <w:rsid w:val="0077629E"/>
    <w:rsid w:val="007763AC"/>
    <w:rsid w:val="007764E3"/>
    <w:rsid w:val="00776789"/>
    <w:rsid w:val="00776843"/>
    <w:rsid w:val="007768E1"/>
    <w:rsid w:val="00776BE9"/>
    <w:rsid w:val="00776C62"/>
    <w:rsid w:val="00776C65"/>
    <w:rsid w:val="00776CD0"/>
    <w:rsid w:val="00776D32"/>
    <w:rsid w:val="00776DAA"/>
    <w:rsid w:val="00776EB8"/>
    <w:rsid w:val="00776F0C"/>
    <w:rsid w:val="00776F32"/>
    <w:rsid w:val="007770E0"/>
    <w:rsid w:val="007771EF"/>
    <w:rsid w:val="007772AA"/>
    <w:rsid w:val="007772F6"/>
    <w:rsid w:val="0077738A"/>
    <w:rsid w:val="007773C2"/>
    <w:rsid w:val="007774DC"/>
    <w:rsid w:val="007775D6"/>
    <w:rsid w:val="0077765B"/>
    <w:rsid w:val="00777668"/>
    <w:rsid w:val="00777860"/>
    <w:rsid w:val="00777A91"/>
    <w:rsid w:val="00777C76"/>
    <w:rsid w:val="00777DBA"/>
    <w:rsid w:val="00777E63"/>
    <w:rsid w:val="00777F7F"/>
    <w:rsid w:val="0078005E"/>
    <w:rsid w:val="00780083"/>
    <w:rsid w:val="0078018F"/>
    <w:rsid w:val="00780279"/>
    <w:rsid w:val="00780283"/>
    <w:rsid w:val="0078034C"/>
    <w:rsid w:val="00780359"/>
    <w:rsid w:val="0078071F"/>
    <w:rsid w:val="00780844"/>
    <w:rsid w:val="00780986"/>
    <w:rsid w:val="00780C73"/>
    <w:rsid w:val="00780CF9"/>
    <w:rsid w:val="00780D48"/>
    <w:rsid w:val="00780DAB"/>
    <w:rsid w:val="00780E0F"/>
    <w:rsid w:val="00780E85"/>
    <w:rsid w:val="00780FA2"/>
    <w:rsid w:val="007811C6"/>
    <w:rsid w:val="00781203"/>
    <w:rsid w:val="0078126C"/>
    <w:rsid w:val="007816F8"/>
    <w:rsid w:val="0078176C"/>
    <w:rsid w:val="00781888"/>
    <w:rsid w:val="0078191E"/>
    <w:rsid w:val="00781937"/>
    <w:rsid w:val="00781B1B"/>
    <w:rsid w:val="00781BB0"/>
    <w:rsid w:val="00781DED"/>
    <w:rsid w:val="00781E2C"/>
    <w:rsid w:val="007820E0"/>
    <w:rsid w:val="007820F1"/>
    <w:rsid w:val="007821B9"/>
    <w:rsid w:val="007821BC"/>
    <w:rsid w:val="007821E0"/>
    <w:rsid w:val="007822B1"/>
    <w:rsid w:val="007823A8"/>
    <w:rsid w:val="007826A7"/>
    <w:rsid w:val="00782A8F"/>
    <w:rsid w:val="00782B88"/>
    <w:rsid w:val="00782BA7"/>
    <w:rsid w:val="00782D3F"/>
    <w:rsid w:val="00782DD0"/>
    <w:rsid w:val="00782F9D"/>
    <w:rsid w:val="00782FCA"/>
    <w:rsid w:val="007830A1"/>
    <w:rsid w:val="0078314C"/>
    <w:rsid w:val="007831F9"/>
    <w:rsid w:val="007832F8"/>
    <w:rsid w:val="00783468"/>
    <w:rsid w:val="007838D5"/>
    <w:rsid w:val="0078397F"/>
    <w:rsid w:val="00783992"/>
    <w:rsid w:val="007839E5"/>
    <w:rsid w:val="00783A6B"/>
    <w:rsid w:val="00783CA7"/>
    <w:rsid w:val="00783CFE"/>
    <w:rsid w:val="00783EAC"/>
    <w:rsid w:val="00783EF5"/>
    <w:rsid w:val="00784003"/>
    <w:rsid w:val="00784128"/>
    <w:rsid w:val="007842C8"/>
    <w:rsid w:val="0078460F"/>
    <w:rsid w:val="00784689"/>
    <w:rsid w:val="0078472F"/>
    <w:rsid w:val="00784737"/>
    <w:rsid w:val="007847F7"/>
    <w:rsid w:val="007849C7"/>
    <w:rsid w:val="007849DB"/>
    <w:rsid w:val="00784A22"/>
    <w:rsid w:val="00784A5F"/>
    <w:rsid w:val="00784B17"/>
    <w:rsid w:val="00784BE1"/>
    <w:rsid w:val="00784CC5"/>
    <w:rsid w:val="00784D39"/>
    <w:rsid w:val="0078503F"/>
    <w:rsid w:val="0078509F"/>
    <w:rsid w:val="00785213"/>
    <w:rsid w:val="00785316"/>
    <w:rsid w:val="007854E0"/>
    <w:rsid w:val="007855C4"/>
    <w:rsid w:val="0078561D"/>
    <w:rsid w:val="007857E9"/>
    <w:rsid w:val="007858B0"/>
    <w:rsid w:val="007858FB"/>
    <w:rsid w:val="00785AD7"/>
    <w:rsid w:val="00785C11"/>
    <w:rsid w:val="00785CB6"/>
    <w:rsid w:val="00785F00"/>
    <w:rsid w:val="00785F31"/>
    <w:rsid w:val="0078611E"/>
    <w:rsid w:val="00786124"/>
    <w:rsid w:val="0078637F"/>
    <w:rsid w:val="007865BF"/>
    <w:rsid w:val="007865DE"/>
    <w:rsid w:val="00786680"/>
    <w:rsid w:val="007866BE"/>
    <w:rsid w:val="007866E1"/>
    <w:rsid w:val="007867AE"/>
    <w:rsid w:val="00786807"/>
    <w:rsid w:val="00786940"/>
    <w:rsid w:val="00786A56"/>
    <w:rsid w:val="00786BB2"/>
    <w:rsid w:val="00786D03"/>
    <w:rsid w:val="00786D23"/>
    <w:rsid w:val="00786D34"/>
    <w:rsid w:val="00786E84"/>
    <w:rsid w:val="00786EBF"/>
    <w:rsid w:val="00786F90"/>
    <w:rsid w:val="00787043"/>
    <w:rsid w:val="007870B8"/>
    <w:rsid w:val="007870C2"/>
    <w:rsid w:val="0078725C"/>
    <w:rsid w:val="00787319"/>
    <w:rsid w:val="00787378"/>
    <w:rsid w:val="0078751D"/>
    <w:rsid w:val="007875CB"/>
    <w:rsid w:val="0078766C"/>
    <w:rsid w:val="00787886"/>
    <w:rsid w:val="007878F8"/>
    <w:rsid w:val="00787AEF"/>
    <w:rsid w:val="00787B13"/>
    <w:rsid w:val="00787E67"/>
    <w:rsid w:val="00787EE7"/>
    <w:rsid w:val="007902B8"/>
    <w:rsid w:val="00790369"/>
    <w:rsid w:val="007903A9"/>
    <w:rsid w:val="007904B6"/>
    <w:rsid w:val="00790571"/>
    <w:rsid w:val="007905E5"/>
    <w:rsid w:val="007905FD"/>
    <w:rsid w:val="00790607"/>
    <w:rsid w:val="0079067C"/>
    <w:rsid w:val="007906BF"/>
    <w:rsid w:val="00790891"/>
    <w:rsid w:val="00790928"/>
    <w:rsid w:val="0079096B"/>
    <w:rsid w:val="007909D9"/>
    <w:rsid w:val="00790AFB"/>
    <w:rsid w:val="00790C7F"/>
    <w:rsid w:val="00790D0B"/>
    <w:rsid w:val="00790E77"/>
    <w:rsid w:val="00790EA4"/>
    <w:rsid w:val="00790F32"/>
    <w:rsid w:val="00790FCB"/>
    <w:rsid w:val="00791065"/>
    <w:rsid w:val="007911AC"/>
    <w:rsid w:val="00791275"/>
    <w:rsid w:val="00791393"/>
    <w:rsid w:val="007913AA"/>
    <w:rsid w:val="007913AF"/>
    <w:rsid w:val="00791406"/>
    <w:rsid w:val="007914D1"/>
    <w:rsid w:val="007914EB"/>
    <w:rsid w:val="00791512"/>
    <w:rsid w:val="00791562"/>
    <w:rsid w:val="007919E0"/>
    <w:rsid w:val="00791A27"/>
    <w:rsid w:val="00791AAC"/>
    <w:rsid w:val="00791AB3"/>
    <w:rsid w:val="00791BE3"/>
    <w:rsid w:val="00791D58"/>
    <w:rsid w:val="00791D77"/>
    <w:rsid w:val="00791D85"/>
    <w:rsid w:val="00791D8A"/>
    <w:rsid w:val="00791DBA"/>
    <w:rsid w:val="00791EE7"/>
    <w:rsid w:val="00791F96"/>
    <w:rsid w:val="00792107"/>
    <w:rsid w:val="007921AE"/>
    <w:rsid w:val="007921BF"/>
    <w:rsid w:val="007922BE"/>
    <w:rsid w:val="00792458"/>
    <w:rsid w:val="00792580"/>
    <w:rsid w:val="0079258C"/>
    <w:rsid w:val="0079265E"/>
    <w:rsid w:val="0079274B"/>
    <w:rsid w:val="007927D5"/>
    <w:rsid w:val="00792896"/>
    <w:rsid w:val="00792A94"/>
    <w:rsid w:val="00792A9C"/>
    <w:rsid w:val="00792AEF"/>
    <w:rsid w:val="00792BCC"/>
    <w:rsid w:val="00792C31"/>
    <w:rsid w:val="00792C96"/>
    <w:rsid w:val="00792DB3"/>
    <w:rsid w:val="00792DBE"/>
    <w:rsid w:val="00793083"/>
    <w:rsid w:val="0079312A"/>
    <w:rsid w:val="00793151"/>
    <w:rsid w:val="007932AE"/>
    <w:rsid w:val="00793353"/>
    <w:rsid w:val="007934A4"/>
    <w:rsid w:val="007934CC"/>
    <w:rsid w:val="00793528"/>
    <w:rsid w:val="00793653"/>
    <w:rsid w:val="00793832"/>
    <w:rsid w:val="00793AEB"/>
    <w:rsid w:val="00793CC8"/>
    <w:rsid w:val="00793F7F"/>
    <w:rsid w:val="0079409C"/>
    <w:rsid w:val="007940C9"/>
    <w:rsid w:val="007940F1"/>
    <w:rsid w:val="007941BA"/>
    <w:rsid w:val="00794499"/>
    <w:rsid w:val="00794799"/>
    <w:rsid w:val="007948DE"/>
    <w:rsid w:val="00794966"/>
    <w:rsid w:val="00794A60"/>
    <w:rsid w:val="00794AB0"/>
    <w:rsid w:val="00794CA0"/>
    <w:rsid w:val="0079507C"/>
    <w:rsid w:val="007950C1"/>
    <w:rsid w:val="00795233"/>
    <w:rsid w:val="00795529"/>
    <w:rsid w:val="0079554F"/>
    <w:rsid w:val="007957BA"/>
    <w:rsid w:val="00795940"/>
    <w:rsid w:val="00795B30"/>
    <w:rsid w:val="00795C19"/>
    <w:rsid w:val="00795CA9"/>
    <w:rsid w:val="00795D9D"/>
    <w:rsid w:val="00795FAE"/>
    <w:rsid w:val="00795FD0"/>
    <w:rsid w:val="00796008"/>
    <w:rsid w:val="0079619C"/>
    <w:rsid w:val="007961CA"/>
    <w:rsid w:val="0079630A"/>
    <w:rsid w:val="007963AE"/>
    <w:rsid w:val="007964A1"/>
    <w:rsid w:val="007965FB"/>
    <w:rsid w:val="0079663E"/>
    <w:rsid w:val="007966D3"/>
    <w:rsid w:val="0079674C"/>
    <w:rsid w:val="007967C2"/>
    <w:rsid w:val="00796A32"/>
    <w:rsid w:val="00796D79"/>
    <w:rsid w:val="00796E18"/>
    <w:rsid w:val="00796E6B"/>
    <w:rsid w:val="00796E6D"/>
    <w:rsid w:val="00797070"/>
    <w:rsid w:val="00797095"/>
    <w:rsid w:val="00797113"/>
    <w:rsid w:val="007974FD"/>
    <w:rsid w:val="007975E2"/>
    <w:rsid w:val="007976A6"/>
    <w:rsid w:val="007976DF"/>
    <w:rsid w:val="0079770D"/>
    <w:rsid w:val="007978B6"/>
    <w:rsid w:val="00797B3B"/>
    <w:rsid w:val="00797C7E"/>
    <w:rsid w:val="00797E05"/>
    <w:rsid w:val="007A0075"/>
    <w:rsid w:val="007A018F"/>
    <w:rsid w:val="007A01E2"/>
    <w:rsid w:val="007A0221"/>
    <w:rsid w:val="007A0253"/>
    <w:rsid w:val="007A0290"/>
    <w:rsid w:val="007A04BB"/>
    <w:rsid w:val="007A04E2"/>
    <w:rsid w:val="007A053D"/>
    <w:rsid w:val="007A060F"/>
    <w:rsid w:val="007A061A"/>
    <w:rsid w:val="007A0721"/>
    <w:rsid w:val="007A08C1"/>
    <w:rsid w:val="007A0A29"/>
    <w:rsid w:val="007A0BCD"/>
    <w:rsid w:val="007A0C5B"/>
    <w:rsid w:val="007A0C85"/>
    <w:rsid w:val="007A0D61"/>
    <w:rsid w:val="007A0FBF"/>
    <w:rsid w:val="007A0FFD"/>
    <w:rsid w:val="007A103F"/>
    <w:rsid w:val="007A1055"/>
    <w:rsid w:val="007A105F"/>
    <w:rsid w:val="007A10FD"/>
    <w:rsid w:val="007A1195"/>
    <w:rsid w:val="007A1230"/>
    <w:rsid w:val="007A1248"/>
    <w:rsid w:val="007A1350"/>
    <w:rsid w:val="007A14E9"/>
    <w:rsid w:val="007A16C3"/>
    <w:rsid w:val="007A18A3"/>
    <w:rsid w:val="007A19F2"/>
    <w:rsid w:val="007A1C0B"/>
    <w:rsid w:val="007A1C4E"/>
    <w:rsid w:val="007A1CF5"/>
    <w:rsid w:val="007A1D36"/>
    <w:rsid w:val="007A1DE9"/>
    <w:rsid w:val="007A1E2A"/>
    <w:rsid w:val="007A1E3D"/>
    <w:rsid w:val="007A20D4"/>
    <w:rsid w:val="007A216A"/>
    <w:rsid w:val="007A225C"/>
    <w:rsid w:val="007A235F"/>
    <w:rsid w:val="007A23A7"/>
    <w:rsid w:val="007A25DD"/>
    <w:rsid w:val="007A26BF"/>
    <w:rsid w:val="007A2722"/>
    <w:rsid w:val="007A2951"/>
    <w:rsid w:val="007A29B1"/>
    <w:rsid w:val="007A2C3A"/>
    <w:rsid w:val="007A2D4C"/>
    <w:rsid w:val="007A2F50"/>
    <w:rsid w:val="007A300A"/>
    <w:rsid w:val="007A318B"/>
    <w:rsid w:val="007A3360"/>
    <w:rsid w:val="007A343C"/>
    <w:rsid w:val="007A37FD"/>
    <w:rsid w:val="007A38FF"/>
    <w:rsid w:val="007A3913"/>
    <w:rsid w:val="007A3ECD"/>
    <w:rsid w:val="007A4072"/>
    <w:rsid w:val="007A40BE"/>
    <w:rsid w:val="007A41C1"/>
    <w:rsid w:val="007A4204"/>
    <w:rsid w:val="007A42E4"/>
    <w:rsid w:val="007A43E8"/>
    <w:rsid w:val="007A45B5"/>
    <w:rsid w:val="007A46E0"/>
    <w:rsid w:val="007A47D4"/>
    <w:rsid w:val="007A4828"/>
    <w:rsid w:val="007A493D"/>
    <w:rsid w:val="007A4B8B"/>
    <w:rsid w:val="007A4D5A"/>
    <w:rsid w:val="007A4D6E"/>
    <w:rsid w:val="007A4EE1"/>
    <w:rsid w:val="007A4F31"/>
    <w:rsid w:val="007A4FC1"/>
    <w:rsid w:val="007A4FD7"/>
    <w:rsid w:val="007A50A1"/>
    <w:rsid w:val="007A51FD"/>
    <w:rsid w:val="007A52A8"/>
    <w:rsid w:val="007A54E0"/>
    <w:rsid w:val="007A55AD"/>
    <w:rsid w:val="007A5655"/>
    <w:rsid w:val="007A58CE"/>
    <w:rsid w:val="007A592E"/>
    <w:rsid w:val="007A593E"/>
    <w:rsid w:val="007A594E"/>
    <w:rsid w:val="007A5A34"/>
    <w:rsid w:val="007A5B72"/>
    <w:rsid w:val="007A5B98"/>
    <w:rsid w:val="007A5BC3"/>
    <w:rsid w:val="007A5BC6"/>
    <w:rsid w:val="007A5DAB"/>
    <w:rsid w:val="007A5E0C"/>
    <w:rsid w:val="007A60EB"/>
    <w:rsid w:val="007A611F"/>
    <w:rsid w:val="007A62DB"/>
    <w:rsid w:val="007A6521"/>
    <w:rsid w:val="007A6888"/>
    <w:rsid w:val="007A689F"/>
    <w:rsid w:val="007A6C77"/>
    <w:rsid w:val="007A6C7C"/>
    <w:rsid w:val="007A6C85"/>
    <w:rsid w:val="007A6CEE"/>
    <w:rsid w:val="007A6D99"/>
    <w:rsid w:val="007A6DFA"/>
    <w:rsid w:val="007A703D"/>
    <w:rsid w:val="007A7108"/>
    <w:rsid w:val="007A711D"/>
    <w:rsid w:val="007A7125"/>
    <w:rsid w:val="007A7419"/>
    <w:rsid w:val="007A74FB"/>
    <w:rsid w:val="007A7A74"/>
    <w:rsid w:val="007A7F0A"/>
    <w:rsid w:val="007B01BA"/>
    <w:rsid w:val="007B0293"/>
    <w:rsid w:val="007B02BB"/>
    <w:rsid w:val="007B02FA"/>
    <w:rsid w:val="007B0456"/>
    <w:rsid w:val="007B05D9"/>
    <w:rsid w:val="007B05E3"/>
    <w:rsid w:val="007B07F6"/>
    <w:rsid w:val="007B098C"/>
    <w:rsid w:val="007B0A49"/>
    <w:rsid w:val="007B0C37"/>
    <w:rsid w:val="007B0E60"/>
    <w:rsid w:val="007B0E9D"/>
    <w:rsid w:val="007B0F01"/>
    <w:rsid w:val="007B0F38"/>
    <w:rsid w:val="007B0FB6"/>
    <w:rsid w:val="007B1286"/>
    <w:rsid w:val="007B1334"/>
    <w:rsid w:val="007B136B"/>
    <w:rsid w:val="007B139A"/>
    <w:rsid w:val="007B13DF"/>
    <w:rsid w:val="007B1537"/>
    <w:rsid w:val="007B163F"/>
    <w:rsid w:val="007B171E"/>
    <w:rsid w:val="007B1B84"/>
    <w:rsid w:val="007B1D4E"/>
    <w:rsid w:val="007B1DE2"/>
    <w:rsid w:val="007B1FA2"/>
    <w:rsid w:val="007B1FAC"/>
    <w:rsid w:val="007B210F"/>
    <w:rsid w:val="007B2398"/>
    <w:rsid w:val="007B24B7"/>
    <w:rsid w:val="007B2697"/>
    <w:rsid w:val="007B27CE"/>
    <w:rsid w:val="007B297C"/>
    <w:rsid w:val="007B2B0B"/>
    <w:rsid w:val="007B2D18"/>
    <w:rsid w:val="007B2D26"/>
    <w:rsid w:val="007B2F84"/>
    <w:rsid w:val="007B2FF5"/>
    <w:rsid w:val="007B3047"/>
    <w:rsid w:val="007B32BF"/>
    <w:rsid w:val="007B32D8"/>
    <w:rsid w:val="007B32E5"/>
    <w:rsid w:val="007B3406"/>
    <w:rsid w:val="007B356F"/>
    <w:rsid w:val="007B35FF"/>
    <w:rsid w:val="007B3680"/>
    <w:rsid w:val="007B36B0"/>
    <w:rsid w:val="007B3768"/>
    <w:rsid w:val="007B37BD"/>
    <w:rsid w:val="007B38C6"/>
    <w:rsid w:val="007B3914"/>
    <w:rsid w:val="007B3A99"/>
    <w:rsid w:val="007B3DC7"/>
    <w:rsid w:val="007B3FAF"/>
    <w:rsid w:val="007B40C5"/>
    <w:rsid w:val="007B41CF"/>
    <w:rsid w:val="007B41DE"/>
    <w:rsid w:val="007B4228"/>
    <w:rsid w:val="007B42F0"/>
    <w:rsid w:val="007B4463"/>
    <w:rsid w:val="007B44A3"/>
    <w:rsid w:val="007B453E"/>
    <w:rsid w:val="007B46E7"/>
    <w:rsid w:val="007B490A"/>
    <w:rsid w:val="007B492B"/>
    <w:rsid w:val="007B4A3C"/>
    <w:rsid w:val="007B4C16"/>
    <w:rsid w:val="007B4FAA"/>
    <w:rsid w:val="007B5044"/>
    <w:rsid w:val="007B5112"/>
    <w:rsid w:val="007B5138"/>
    <w:rsid w:val="007B52CF"/>
    <w:rsid w:val="007B535C"/>
    <w:rsid w:val="007B542E"/>
    <w:rsid w:val="007B56DF"/>
    <w:rsid w:val="007B5833"/>
    <w:rsid w:val="007B5899"/>
    <w:rsid w:val="007B5B88"/>
    <w:rsid w:val="007B5BCE"/>
    <w:rsid w:val="007B5C48"/>
    <w:rsid w:val="007B5CD5"/>
    <w:rsid w:val="007B5F5B"/>
    <w:rsid w:val="007B6059"/>
    <w:rsid w:val="007B60D3"/>
    <w:rsid w:val="007B6468"/>
    <w:rsid w:val="007B64C7"/>
    <w:rsid w:val="007B64F0"/>
    <w:rsid w:val="007B64FA"/>
    <w:rsid w:val="007B6665"/>
    <w:rsid w:val="007B67F5"/>
    <w:rsid w:val="007B6952"/>
    <w:rsid w:val="007B695C"/>
    <w:rsid w:val="007B6AC8"/>
    <w:rsid w:val="007B6B44"/>
    <w:rsid w:val="007B6CA2"/>
    <w:rsid w:val="007B6D3B"/>
    <w:rsid w:val="007B6E53"/>
    <w:rsid w:val="007B6ED4"/>
    <w:rsid w:val="007B6FB6"/>
    <w:rsid w:val="007B7300"/>
    <w:rsid w:val="007B730D"/>
    <w:rsid w:val="007B7607"/>
    <w:rsid w:val="007B7674"/>
    <w:rsid w:val="007B789C"/>
    <w:rsid w:val="007B78A1"/>
    <w:rsid w:val="007B78FF"/>
    <w:rsid w:val="007B7905"/>
    <w:rsid w:val="007B7AE6"/>
    <w:rsid w:val="007B7D8F"/>
    <w:rsid w:val="007B7E4F"/>
    <w:rsid w:val="007B7E5C"/>
    <w:rsid w:val="007B7EB2"/>
    <w:rsid w:val="007B7F5E"/>
    <w:rsid w:val="007B7F90"/>
    <w:rsid w:val="007B7FCF"/>
    <w:rsid w:val="007C00ED"/>
    <w:rsid w:val="007C0165"/>
    <w:rsid w:val="007C02DA"/>
    <w:rsid w:val="007C0370"/>
    <w:rsid w:val="007C037A"/>
    <w:rsid w:val="007C067A"/>
    <w:rsid w:val="007C0760"/>
    <w:rsid w:val="007C07DC"/>
    <w:rsid w:val="007C0875"/>
    <w:rsid w:val="007C09A4"/>
    <w:rsid w:val="007C0AD8"/>
    <w:rsid w:val="007C0B5D"/>
    <w:rsid w:val="007C0B67"/>
    <w:rsid w:val="007C0BE7"/>
    <w:rsid w:val="007C0BF9"/>
    <w:rsid w:val="007C0BFB"/>
    <w:rsid w:val="007C0C87"/>
    <w:rsid w:val="007C0CD0"/>
    <w:rsid w:val="007C0E74"/>
    <w:rsid w:val="007C0F34"/>
    <w:rsid w:val="007C1373"/>
    <w:rsid w:val="007C1385"/>
    <w:rsid w:val="007C15C3"/>
    <w:rsid w:val="007C1710"/>
    <w:rsid w:val="007C1860"/>
    <w:rsid w:val="007C19B7"/>
    <w:rsid w:val="007C1A02"/>
    <w:rsid w:val="007C1B75"/>
    <w:rsid w:val="007C1CD9"/>
    <w:rsid w:val="007C1D32"/>
    <w:rsid w:val="007C1DE6"/>
    <w:rsid w:val="007C1E49"/>
    <w:rsid w:val="007C1EA2"/>
    <w:rsid w:val="007C1F63"/>
    <w:rsid w:val="007C203B"/>
    <w:rsid w:val="007C22C6"/>
    <w:rsid w:val="007C25F6"/>
    <w:rsid w:val="007C267E"/>
    <w:rsid w:val="007C28B0"/>
    <w:rsid w:val="007C28D0"/>
    <w:rsid w:val="007C2A15"/>
    <w:rsid w:val="007C2A6B"/>
    <w:rsid w:val="007C2AB6"/>
    <w:rsid w:val="007C2B9A"/>
    <w:rsid w:val="007C2DD7"/>
    <w:rsid w:val="007C2E8B"/>
    <w:rsid w:val="007C2EFC"/>
    <w:rsid w:val="007C2F64"/>
    <w:rsid w:val="007C3012"/>
    <w:rsid w:val="007C30DC"/>
    <w:rsid w:val="007C315C"/>
    <w:rsid w:val="007C31AE"/>
    <w:rsid w:val="007C33F5"/>
    <w:rsid w:val="007C3416"/>
    <w:rsid w:val="007C3593"/>
    <w:rsid w:val="007C35E2"/>
    <w:rsid w:val="007C366F"/>
    <w:rsid w:val="007C36EF"/>
    <w:rsid w:val="007C37AB"/>
    <w:rsid w:val="007C38C9"/>
    <w:rsid w:val="007C3935"/>
    <w:rsid w:val="007C3986"/>
    <w:rsid w:val="007C3A68"/>
    <w:rsid w:val="007C3B24"/>
    <w:rsid w:val="007C3B3C"/>
    <w:rsid w:val="007C3BAE"/>
    <w:rsid w:val="007C3DBD"/>
    <w:rsid w:val="007C3E52"/>
    <w:rsid w:val="007C3ED1"/>
    <w:rsid w:val="007C3F18"/>
    <w:rsid w:val="007C4146"/>
    <w:rsid w:val="007C41AE"/>
    <w:rsid w:val="007C422D"/>
    <w:rsid w:val="007C43AF"/>
    <w:rsid w:val="007C4474"/>
    <w:rsid w:val="007C4838"/>
    <w:rsid w:val="007C4E30"/>
    <w:rsid w:val="007C4F19"/>
    <w:rsid w:val="007C5011"/>
    <w:rsid w:val="007C5030"/>
    <w:rsid w:val="007C50B2"/>
    <w:rsid w:val="007C582F"/>
    <w:rsid w:val="007C58EE"/>
    <w:rsid w:val="007C5905"/>
    <w:rsid w:val="007C590F"/>
    <w:rsid w:val="007C59AC"/>
    <w:rsid w:val="007C5A4F"/>
    <w:rsid w:val="007C5B2B"/>
    <w:rsid w:val="007C5B40"/>
    <w:rsid w:val="007C5D5A"/>
    <w:rsid w:val="007C5F92"/>
    <w:rsid w:val="007C600F"/>
    <w:rsid w:val="007C6045"/>
    <w:rsid w:val="007C63A9"/>
    <w:rsid w:val="007C661B"/>
    <w:rsid w:val="007C679F"/>
    <w:rsid w:val="007C6AD4"/>
    <w:rsid w:val="007C6C5B"/>
    <w:rsid w:val="007C6C8C"/>
    <w:rsid w:val="007C6DCC"/>
    <w:rsid w:val="007C6E0E"/>
    <w:rsid w:val="007C6EAC"/>
    <w:rsid w:val="007C70DB"/>
    <w:rsid w:val="007C726D"/>
    <w:rsid w:val="007C7576"/>
    <w:rsid w:val="007C764D"/>
    <w:rsid w:val="007C7759"/>
    <w:rsid w:val="007C7790"/>
    <w:rsid w:val="007C7B29"/>
    <w:rsid w:val="007C7CF0"/>
    <w:rsid w:val="007C7EDD"/>
    <w:rsid w:val="007D0166"/>
    <w:rsid w:val="007D01E6"/>
    <w:rsid w:val="007D05D4"/>
    <w:rsid w:val="007D0967"/>
    <w:rsid w:val="007D0993"/>
    <w:rsid w:val="007D09E2"/>
    <w:rsid w:val="007D0C45"/>
    <w:rsid w:val="007D0C8F"/>
    <w:rsid w:val="007D0F20"/>
    <w:rsid w:val="007D0FC0"/>
    <w:rsid w:val="007D10B5"/>
    <w:rsid w:val="007D15BA"/>
    <w:rsid w:val="007D15FE"/>
    <w:rsid w:val="007D1840"/>
    <w:rsid w:val="007D193C"/>
    <w:rsid w:val="007D194D"/>
    <w:rsid w:val="007D1A0E"/>
    <w:rsid w:val="007D1A93"/>
    <w:rsid w:val="007D1BD4"/>
    <w:rsid w:val="007D1C43"/>
    <w:rsid w:val="007D1D52"/>
    <w:rsid w:val="007D1D5E"/>
    <w:rsid w:val="007D1FB9"/>
    <w:rsid w:val="007D2167"/>
    <w:rsid w:val="007D21BC"/>
    <w:rsid w:val="007D2263"/>
    <w:rsid w:val="007D2274"/>
    <w:rsid w:val="007D22A9"/>
    <w:rsid w:val="007D236B"/>
    <w:rsid w:val="007D236E"/>
    <w:rsid w:val="007D2375"/>
    <w:rsid w:val="007D23B9"/>
    <w:rsid w:val="007D23D9"/>
    <w:rsid w:val="007D241F"/>
    <w:rsid w:val="007D2568"/>
    <w:rsid w:val="007D2633"/>
    <w:rsid w:val="007D2660"/>
    <w:rsid w:val="007D266A"/>
    <w:rsid w:val="007D2675"/>
    <w:rsid w:val="007D26D7"/>
    <w:rsid w:val="007D27C1"/>
    <w:rsid w:val="007D2878"/>
    <w:rsid w:val="007D288E"/>
    <w:rsid w:val="007D294A"/>
    <w:rsid w:val="007D2981"/>
    <w:rsid w:val="007D2B28"/>
    <w:rsid w:val="007D2B86"/>
    <w:rsid w:val="007D2C05"/>
    <w:rsid w:val="007D2E00"/>
    <w:rsid w:val="007D2E4F"/>
    <w:rsid w:val="007D2F4D"/>
    <w:rsid w:val="007D2F78"/>
    <w:rsid w:val="007D308B"/>
    <w:rsid w:val="007D30F8"/>
    <w:rsid w:val="007D3141"/>
    <w:rsid w:val="007D31F6"/>
    <w:rsid w:val="007D32AE"/>
    <w:rsid w:val="007D33C1"/>
    <w:rsid w:val="007D343B"/>
    <w:rsid w:val="007D3566"/>
    <w:rsid w:val="007D378D"/>
    <w:rsid w:val="007D3820"/>
    <w:rsid w:val="007D3AA0"/>
    <w:rsid w:val="007D3CBB"/>
    <w:rsid w:val="007D3DCD"/>
    <w:rsid w:val="007D4089"/>
    <w:rsid w:val="007D40C3"/>
    <w:rsid w:val="007D4213"/>
    <w:rsid w:val="007D42EC"/>
    <w:rsid w:val="007D43E4"/>
    <w:rsid w:val="007D4446"/>
    <w:rsid w:val="007D444B"/>
    <w:rsid w:val="007D4457"/>
    <w:rsid w:val="007D45DD"/>
    <w:rsid w:val="007D4709"/>
    <w:rsid w:val="007D47B5"/>
    <w:rsid w:val="007D4C9A"/>
    <w:rsid w:val="007D4CA0"/>
    <w:rsid w:val="007D4FAA"/>
    <w:rsid w:val="007D5229"/>
    <w:rsid w:val="007D5373"/>
    <w:rsid w:val="007D5580"/>
    <w:rsid w:val="007D570A"/>
    <w:rsid w:val="007D5862"/>
    <w:rsid w:val="007D59CA"/>
    <w:rsid w:val="007D5AA6"/>
    <w:rsid w:val="007D5C5D"/>
    <w:rsid w:val="007D5CD7"/>
    <w:rsid w:val="007D5DE0"/>
    <w:rsid w:val="007D60D4"/>
    <w:rsid w:val="007D623B"/>
    <w:rsid w:val="007D637D"/>
    <w:rsid w:val="007D63BB"/>
    <w:rsid w:val="007D64CF"/>
    <w:rsid w:val="007D64E7"/>
    <w:rsid w:val="007D65EC"/>
    <w:rsid w:val="007D674E"/>
    <w:rsid w:val="007D67B9"/>
    <w:rsid w:val="007D6854"/>
    <w:rsid w:val="007D697A"/>
    <w:rsid w:val="007D6A99"/>
    <w:rsid w:val="007D6B6D"/>
    <w:rsid w:val="007D6C48"/>
    <w:rsid w:val="007D6D8D"/>
    <w:rsid w:val="007D6D98"/>
    <w:rsid w:val="007D6E97"/>
    <w:rsid w:val="007D6EC6"/>
    <w:rsid w:val="007D700D"/>
    <w:rsid w:val="007D702C"/>
    <w:rsid w:val="007D7051"/>
    <w:rsid w:val="007D72D8"/>
    <w:rsid w:val="007D73B0"/>
    <w:rsid w:val="007D75B3"/>
    <w:rsid w:val="007D75B8"/>
    <w:rsid w:val="007D766E"/>
    <w:rsid w:val="007D7914"/>
    <w:rsid w:val="007D79E7"/>
    <w:rsid w:val="007D7BB8"/>
    <w:rsid w:val="007D7EDC"/>
    <w:rsid w:val="007D7F3D"/>
    <w:rsid w:val="007E0089"/>
    <w:rsid w:val="007E00D5"/>
    <w:rsid w:val="007E051D"/>
    <w:rsid w:val="007E06F4"/>
    <w:rsid w:val="007E080F"/>
    <w:rsid w:val="007E087D"/>
    <w:rsid w:val="007E0AA2"/>
    <w:rsid w:val="007E0CAA"/>
    <w:rsid w:val="007E0D24"/>
    <w:rsid w:val="007E0F6F"/>
    <w:rsid w:val="007E0F98"/>
    <w:rsid w:val="007E0FE8"/>
    <w:rsid w:val="007E1116"/>
    <w:rsid w:val="007E134B"/>
    <w:rsid w:val="007E147B"/>
    <w:rsid w:val="007E154E"/>
    <w:rsid w:val="007E1618"/>
    <w:rsid w:val="007E17FA"/>
    <w:rsid w:val="007E1C9A"/>
    <w:rsid w:val="007E1D86"/>
    <w:rsid w:val="007E2000"/>
    <w:rsid w:val="007E20F4"/>
    <w:rsid w:val="007E23DB"/>
    <w:rsid w:val="007E24C8"/>
    <w:rsid w:val="007E24FD"/>
    <w:rsid w:val="007E25EF"/>
    <w:rsid w:val="007E2635"/>
    <w:rsid w:val="007E2739"/>
    <w:rsid w:val="007E27F3"/>
    <w:rsid w:val="007E299C"/>
    <w:rsid w:val="007E2A0B"/>
    <w:rsid w:val="007E2AAA"/>
    <w:rsid w:val="007E2AB5"/>
    <w:rsid w:val="007E2AB9"/>
    <w:rsid w:val="007E2B2A"/>
    <w:rsid w:val="007E2BB3"/>
    <w:rsid w:val="007E2C33"/>
    <w:rsid w:val="007E2C9A"/>
    <w:rsid w:val="007E2D8A"/>
    <w:rsid w:val="007E2DD0"/>
    <w:rsid w:val="007E2E6B"/>
    <w:rsid w:val="007E300A"/>
    <w:rsid w:val="007E30B8"/>
    <w:rsid w:val="007E3192"/>
    <w:rsid w:val="007E34AC"/>
    <w:rsid w:val="007E34F8"/>
    <w:rsid w:val="007E35B1"/>
    <w:rsid w:val="007E3713"/>
    <w:rsid w:val="007E3762"/>
    <w:rsid w:val="007E3A16"/>
    <w:rsid w:val="007E3A34"/>
    <w:rsid w:val="007E3C53"/>
    <w:rsid w:val="007E3EDD"/>
    <w:rsid w:val="007E4142"/>
    <w:rsid w:val="007E419F"/>
    <w:rsid w:val="007E44D2"/>
    <w:rsid w:val="007E4597"/>
    <w:rsid w:val="007E47A3"/>
    <w:rsid w:val="007E47B0"/>
    <w:rsid w:val="007E4832"/>
    <w:rsid w:val="007E4929"/>
    <w:rsid w:val="007E4AD4"/>
    <w:rsid w:val="007E4AFD"/>
    <w:rsid w:val="007E4B68"/>
    <w:rsid w:val="007E4B82"/>
    <w:rsid w:val="007E4BE9"/>
    <w:rsid w:val="007E4BF8"/>
    <w:rsid w:val="007E4C4D"/>
    <w:rsid w:val="007E4F4D"/>
    <w:rsid w:val="007E4F79"/>
    <w:rsid w:val="007E538E"/>
    <w:rsid w:val="007E5494"/>
    <w:rsid w:val="007E5556"/>
    <w:rsid w:val="007E55C8"/>
    <w:rsid w:val="007E5653"/>
    <w:rsid w:val="007E5671"/>
    <w:rsid w:val="007E5704"/>
    <w:rsid w:val="007E57A3"/>
    <w:rsid w:val="007E57D0"/>
    <w:rsid w:val="007E5896"/>
    <w:rsid w:val="007E59AA"/>
    <w:rsid w:val="007E5AA5"/>
    <w:rsid w:val="007E5C2E"/>
    <w:rsid w:val="007E5CF7"/>
    <w:rsid w:val="007E5D05"/>
    <w:rsid w:val="007E5F2E"/>
    <w:rsid w:val="007E630A"/>
    <w:rsid w:val="007E63D3"/>
    <w:rsid w:val="007E6456"/>
    <w:rsid w:val="007E64CD"/>
    <w:rsid w:val="007E64EF"/>
    <w:rsid w:val="007E6544"/>
    <w:rsid w:val="007E6572"/>
    <w:rsid w:val="007E65E1"/>
    <w:rsid w:val="007E66CF"/>
    <w:rsid w:val="007E66E7"/>
    <w:rsid w:val="007E6786"/>
    <w:rsid w:val="007E67A6"/>
    <w:rsid w:val="007E68A5"/>
    <w:rsid w:val="007E68DB"/>
    <w:rsid w:val="007E69D5"/>
    <w:rsid w:val="007E6AEC"/>
    <w:rsid w:val="007E6AFB"/>
    <w:rsid w:val="007E6BAE"/>
    <w:rsid w:val="007E6BFD"/>
    <w:rsid w:val="007E6CD0"/>
    <w:rsid w:val="007E6CF9"/>
    <w:rsid w:val="007E6D39"/>
    <w:rsid w:val="007E6D4A"/>
    <w:rsid w:val="007E6E65"/>
    <w:rsid w:val="007E6FE7"/>
    <w:rsid w:val="007E70A1"/>
    <w:rsid w:val="007E7121"/>
    <w:rsid w:val="007E71C6"/>
    <w:rsid w:val="007E71C7"/>
    <w:rsid w:val="007E74BF"/>
    <w:rsid w:val="007E74CA"/>
    <w:rsid w:val="007E7841"/>
    <w:rsid w:val="007E787D"/>
    <w:rsid w:val="007E7C3A"/>
    <w:rsid w:val="007E7CD3"/>
    <w:rsid w:val="007E7D1B"/>
    <w:rsid w:val="007E7D24"/>
    <w:rsid w:val="007E7E0A"/>
    <w:rsid w:val="007E7E9B"/>
    <w:rsid w:val="007F005A"/>
    <w:rsid w:val="007F0079"/>
    <w:rsid w:val="007F0246"/>
    <w:rsid w:val="007F0279"/>
    <w:rsid w:val="007F0303"/>
    <w:rsid w:val="007F0542"/>
    <w:rsid w:val="007F0563"/>
    <w:rsid w:val="007F06C2"/>
    <w:rsid w:val="007F06DA"/>
    <w:rsid w:val="007F09C5"/>
    <w:rsid w:val="007F0A32"/>
    <w:rsid w:val="007F0BCB"/>
    <w:rsid w:val="007F0D62"/>
    <w:rsid w:val="007F0D9D"/>
    <w:rsid w:val="007F0E13"/>
    <w:rsid w:val="007F0E97"/>
    <w:rsid w:val="007F0F88"/>
    <w:rsid w:val="007F1376"/>
    <w:rsid w:val="007F13D8"/>
    <w:rsid w:val="007F1654"/>
    <w:rsid w:val="007F1B17"/>
    <w:rsid w:val="007F1BC6"/>
    <w:rsid w:val="007F1D27"/>
    <w:rsid w:val="007F1D4A"/>
    <w:rsid w:val="007F1DBD"/>
    <w:rsid w:val="007F1F08"/>
    <w:rsid w:val="007F2155"/>
    <w:rsid w:val="007F215C"/>
    <w:rsid w:val="007F22B9"/>
    <w:rsid w:val="007F238A"/>
    <w:rsid w:val="007F2416"/>
    <w:rsid w:val="007F25CE"/>
    <w:rsid w:val="007F2621"/>
    <w:rsid w:val="007F26BB"/>
    <w:rsid w:val="007F273C"/>
    <w:rsid w:val="007F287C"/>
    <w:rsid w:val="007F2A47"/>
    <w:rsid w:val="007F2A6D"/>
    <w:rsid w:val="007F2CB5"/>
    <w:rsid w:val="007F2D4B"/>
    <w:rsid w:val="007F2EC5"/>
    <w:rsid w:val="007F3095"/>
    <w:rsid w:val="007F3103"/>
    <w:rsid w:val="007F3358"/>
    <w:rsid w:val="007F33D5"/>
    <w:rsid w:val="007F3438"/>
    <w:rsid w:val="007F3575"/>
    <w:rsid w:val="007F365D"/>
    <w:rsid w:val="007F388A"/>
    <w:rsid w:val="007F3ABF"/>
    <w:rsid w:val="007F3B63"/>
    <w:rsid w:val="007F3BCA"/>
    <w:rsid w:val="007F3C72"/>
    <w:rsid w:val="007F3DA3"/>
    <w:rsid w:val="007F3FC4"/>
    <w:rsid w:val="007F402E"/>
    <w:rsid w:val="007F4134"/>
    <w:rsid w:val="007F4150"/>
    <w:rsid w:val="007F41F8"/>
    <w:rsid w:val="007F42C0"/>
    <w:rsid w:val="007F43F1"/>
    <w:rsid w:val="007F452B"/>
    <w:rsid w:val="007F4555"/>
    <w:rsid w:val="007F4604"/>
    <w:rsid w:val="007F4867"/>
    <w:rsid w:val="007F48AD"/>
    <w:rsid w:val="007F49AF"/>
    <w:rsid w:val="007F4F74"/>
    <w:rsid w:val="007F4F7B"/>
    <w:rsid w:val="007F4FC0"/>
    <w:rsid w:val="007F4FF1"/>
    <w:rsid w:val="007F5084"/>
    <w:rsid w:val="007F50E8"/>
    <w:rsid w:val="007F5155"/>
    <w:rsid w:val="007F51B1"/>
    <w:rsid w:val="007F5245"/>
    <w:rsid w:val="007F52A9"/>
    <w:rsid w:val="007F53C1"/>
    <w:rsid w:val="007F55E2"/>
    <w:rsid w:val="007F566C"/>
    <w:rsid w:val="007F569A"/>
    <w:rsid w:val="007F5815"/>
    <w:rsid w:val="007F5D06"/>
    <w:rsid w:val="007F5F6D"/>
    <w:rsid w:val="007F5FBA"/>
    <w:rsid w:val="007F608B"/>
    <w:rsid w:val="007F60A5"/>
    <w:rsid w:val="007F6150"/>
    <w:rsid w:val="007F61BA"/>
    <w:rsid w:val="007F61E0"/>
    <w:rsid w:val="007F620C"/>
    <w:rsid w:val="007F6329"/>
    <w:rsid w:val="007F63BC"/>
    <w:rsid w:val="007F6625"/>
    <w:rsid w:val="007F66C2"/>
    <w:rsid w:val="007F698C"/>
    <w:rsid w:val="007F6A2C"/>
    <w:rsid w:val="007F6A64"/>
    <w:rsid w:val="007F6B6D"/>
    <w:rsid w:val="007F6C4A"/>
    <w:rsid w:val="007F6D99"/>
    <w:rsid w:val="007F6EA6"/>
    <w:rsid w:val="007F6F25"/>
    <w:rsid w:val="007F6FF1"/>
    <w:rsid w:val="007F746E"/>
    <w:rsid w:val="007F763B"/>
    <w:rsid w:val="007F768F"/>
    <w:rsid w:val="007F76F3"/>
    <w:rsid w:val="007F79FC"/>
    <w:rsid w:val="007F7DC3"/>
    <w:rsid w:val="007F7E2C"/>
    <w:rsid w:val="007F7EFF"/>
    <w:rsid w:val="007F7FBD"/>
    <w:rsid w:val="007F7FE6"/>
    <w:rsid w:val="0080012F"/>
    <w:rsid w:val="00800375"/>
    <w:rsid w:val="008006D4"/>
    <w:rsid w:val="00800908"/>
    <w:rsid w:val="00800942"/>
    <w:rsid w:val="00800981"/>
    <w:rsid w:val="008009BE"/>
    <w:rsid w:val="00800A86"/>
    <w:rsid w:val="00800AC4"/>
    <w:rsid w:val="00800B7F"/>
    <w:rsid w:val="00800BAB"/>
    <w:rsid w:val="00800CF4"/>
    <w:rsid w:val="00800D3E"/>
    <w:rsid w:val="00800EAD"/>
    <w:rsid w:val="00800EE3"/>
    <w:rsid w:val="00801059"/>
    <w:rsid w:val="0080109F"/>
    <w:rsid w:val="00801314"/>
    <w:rsid w:val="00801768"/>
    <w:rsid w:val="008017E4"/>
    <w:rsid w:val="00801869"/>
    <w:rsid w:val="00801905"/>
    <w:rsid w:val="00801B1C"/>
    <w:rsid w:val="00801B53"/>
    <w:rsid w:val="00801C74"/>
    <w:rsid w:val="00801D52"/>
    <w:rsid w:val="008020C3"/>
    <w:rsid w:val="008022F3"/>
    <w:rsid w:val="00802363"/>
    <w:rsid w:val="008024ED"/>
    <w:rsid w:val="00802593"/>
    <w:rsid w:val="00802735"/>
    <w:rsid w:val="0080286A"/>
    <w:rsid w:val="00802923"/>
    <w:rsid w:val="00802940"/>
    <w:rsid w:val="00802A0D"/>
    <w:rsid w:val="00802D44"/>
    <w:rsid w:val="00802DDF"/>
    <w:rsid w:val="00802E4F"/>
    <w:rsid w:val="00802FBF"/>
    <w:rsid w:val="00803052"/>
    <w:rsid w:val="008030C6"/>
    <w:rsid w:val="008031DD"/>
    <w:rsid w:val="008031F6"/>
    <w:rsid w:val="008033BC"/>
    <w:rsid w:val="008033D7"/>
    <w:rsid w:val="008033EC"/>
    <w:rsid w:val="00803525"/>
    <w:rsid w:val="0080376A"/>
    <w:rsid w:val="008037D3"/>
    <w:rsid w:val="00803873"/>
    <w:rsid w:val="00803AB8"/>
    <w:rsid w:val="00803D17"/>
    <w:rsid w:val="00803DA1"/>
    <w:rsid w:val="00803F8C"/>
    <w:rsid w:val="00804108"/>
    <w:rsid w:val="00804114"/>
    <w:rsid w:val="00804117"/>
    <w:rsid w:val="008041C2"/>
    <w:rsid w:val="0080435E"/>
    <w:rsid w:val="008043DC"/>
    <w:rsid w:val="008043EA"/>
    <w:rsid w:val="00804440"/>
    <w:rsid w:val="00804485"/>
    <w:rsid w:val="008045C6"/>
    <w:rsid w:val="00804608"/>
    <w:rsid w:val="0080469B"/>
    <w:rsid w:val="008046AD"/>
    <w:rsid w:val="00804772"/>
    <w:rsid w:val="008047A4"/>
    <w:rsid w:val="008047B7"/>
    <w:rsid w:val="00804875"/>
    <w:rsid w:val="00804C55"/>
    <w:rsid w:val="00804D8D"/>
    <w:rsid w:val="00804EB0"/>
    <w:rsid w:val="00805079"/>
    <w:rsid w:val="00805127"/>
    <w:rsid w:val="008055E2"/>
    <w:rsid w:val="008056D4"/>
    <w:rsid w:val="008057ED"/>
    <w:rsid w:val="0080580A"/>
    <w:rsid w:val="008059EB"/>
    <w:rsid w:val="00805DC5"/>
    <w:rsid w:val="00805ED8"/>
    <w:rsid w:val="00806128"/>
    <w:rsid w:val="0080614B"/>
    <w:rsid w:val="008062A1"/>
    <w:rsid w:val="00806326"/>
    <w:rsid w:val="008066E6"/>
    <w:rsid w:val="0080692D"/>
    <w:rsid w:val="00806B71"/>
    <w:rsid w:val="00806BD5"/>
    <w:rsid w:val="00806CC7"/>
    <w:rsid w:val="00806D55"/>
    <w:rsid w:val="00806F17"/>
    <w:rsid w:val="00806FE0"/>
    <w:rsid w:val="008070B0"/>
    <w:rsid w:val="00807179"/>
    <w:rsid w:val="00807243"/>
    <w:rsid w:val="00807354"/>
    <w:rsid w:val="00807373"/>
    <w:rsid w:val="00807550"/>
    <w:rsid w:val="00807551"/>
    <w:rsid w:val="00807632"/>
    <w:rsid w:val="008076F7"/>
    <w:rsid w:val="00807801"/>
    <w:rsid w:val="00807911"/>
    <w:rsid w:val="00807A60"/>
    <w:rsid w:val="00807C26"/>
    <w:rsid w:val="00807C8E"/>
    <w:rsid w:val="00807DB2"/>
    <w:rsid w:val="00807F1B"/>
    <w:rsid w:val="008100AD"/>
    <w:rsid w:val="00810659"/>
    <w:rsid w:val="008106D1"/>
    <w:rsid w:val="00810794"/>
    <w:rsid w:val="00810A74"/>
    <w:rsid w:val="00810C03"/>
    <w:rsid w:val="00810C3C"/>
    <w:rsid w:val="00810D50"/>
    <w:rsid w:val="00810F94"/>
    <w:rsid w:val="008110DB"/>
    <w:rsid w:val="008111CD"/>
    <w:rsid w:val="008112D9"/>
    <w:rsid w:val="00811343"/>
    <w:rsid w:val="00811378"/>
    <w:rsid w:val="008113DA"/>
    <w:rsid w:val="0081145C"/>
    <w:rsid w:val="008114C8"/>
    <w:rsid w:val="0081155C"/>
    <w:rsid w:val="008115CF"/>
    <w:rsid w:val="00811695"/>
    <w:rsid w:val="008117F2"/>
    <w:rsid w:val="00811845"/>
    <w:rsid w:val="0081195B"/>
    <w:rsid w:val="00811B4E"/>
    <w:rsid w:val="00811BAB"/>
    <w:rsid w:val="00811EB0"/>
    <w:rsid w:val="00811FFE"/>
    <w:rsid w:val="0081209B"/>
    <w:rsid w:val="008120E8"/>
    <w:rsid w:val="008121CD"/>
    <w:rsid w:val="00812376"/>
    <w:rsid w:val="008124B8"/>
    <w:rsid w:val="00812623"/>
    <w:rsid w:val="0081278B"/>
    <w:rsid w:val="008128CD"/>
    <w:rsid w:val="008129C9"/>
    <w:rsid w:val="00812AEF"/>
    <w:rsid w:val="00812DAB"/>
    <w:rsid w:val="00812DB5"/>
    <w:rsid w:val="0081301C"/>
    <w:rsid w:val="0081320B"/>
    <w:rsid w:val="0081323B"/>
    <w:rsid w:val="008133EF"/>
    <w:rsid w:val="0081341C"/>
    <w:rsid w:val="00813518"/>
    <w:rsid w:val="00813678"/>
    <w:rsid w:val="008137F7"/>
    <w:rsid w:val="0081391B"/>
    <w:rsid w:val="008139C4"/>
    <w:rsid w:val="00813A11"/>
    <w:rsid w:val="00813A8C"/>
    <w:rsid w:val="00813ADC"/>
    <w:rsid w:val="00813B7D"/>
    <w:rsid w:val="00813BB7"/>
    <w:rsid w:val="00813C16"/>
    <w:rsid w:val="00813CB8"/>
    <w:rsid w:val="00813CDA"/>
    <w:rsid w:val="00813D78"/>
    <w:rsid w:val="00813DDE"/>
    <w:rsid w:val="00813E62"/>
    <w:rsid w:val="00813E97"/>
    <w:rsid w:val="00813EB1"/>
    <w:rsid w:val="0081402A"/>
    <w:rsid w:val="008141BA"/>
    <w:rsid w:val="008145C3"/>
    <w:rsid w:val="00814661"/>
    <w:rsid w:val="00814829"/>
    <w:rsid w:val="00814A6C"/>
    <w:rsid w:val="00814CE2"/>
    <w:rsid w:val="00814D43"/>
    <w:rsid w:val="00814DD3"/>
    <w:rsid w:val="00814EF4"/>
    <w:rsid w:val="00814F19"/>
    <w:rsid w:val="0081515D"/>
    <w:rsid w:val="0081549F"/>
    <w:rsid w:val="008156F0"/>
    <w:rsid w:val="00815779"/>
    <w:rsid w:val="0081586F"/>
    <w:rsid w:val="00815878"/>
    <w:rsid w:val="008159AF"/>
    <w:rsid w:val="00815C3D"/>
    <w:rsid w:val="00815C6D"/>
    <w:rsid w:val="00815C78"/>
    <w:rsid w:val="00815C99"/>
    <w:rsid w:val="00815EBC"/>
    <w:rsid w:val="00815F31"/>
    <w:rsid w:val="008161C7"/>
    <w:rsid w:val="008164A1"/>
    <w:rsid w:val="008166D4"/>
    <w:rsid w:val="00816703"/>
    <w:rsid w:val="00816723"/>
    <w:rsid w:val="00816990"/>
    <w:rsid w:val="008169D2"/>
    <w:rsid w:val="00816AEA"/>
    <w:rsid w:val="00816C04"/>
    <w:rsid w:val="00816C1D"/>
    <w:rsid w:val="00816C6A"/>
    <w:rsid w:val="00816D7C"/>
    <w:rsid w:val="00816DF4"/>
    <w:rsid w:val="0081706A"/>
    <w:rsid w:val="00817206"/>
    <w:rsid w:val="008174A1"/>
    <w:rsid w:val="00817598"/>
    <w:rsid w:val="008176EE"/>
    <w:rsid w:val="00817819"/>
    <w:rsid w:val="00817946"/>
    <w:rsid w:val="00817959"/>
    <w:rsid w:val="00817C8F"/>
    <w:rsid w:val="00817FCD"/>
    <w:rsid w:val="0082022A"/>
    <w:rsid w:val="0082025D"/>
    <w:rsid w:val="00820434"/>
    <w:rsid w:val="00820560"/>
    <w:rsid w:val="00820602"/>
    <w:rsid w:val="00820636"/>
    <w:rsid w:val="008206E5"/>
    <w:rsid w:val="008207FB"/>
    <w:rsid w:val="008209AA"/>
    <w:rsid w:val="008209C7"/>
    <w:rsid w:val="00820A5C"/>
    <w:rsid w:val="00820DA1"/>
    <w:rsid w:val="00820F15"/>
    <w:rsid w:val="008210C9"/>
    <w:rsid w:val="0082114E"/>
    <w:rsid w:val="00821186"/>
    <w:rsid w:val="008212AD"/>
    <w:rsid w:val="00821325"/>
    <w:rsid w:val="00821335"/>
    <w:rsid w:val="00821371"/>
    <w:rsid w:val="008213F4"/>
    <w:rsid w:val="00821539"/>
    <w:rsid w:val="008215A5"/>
    <w:rsid w:val="008215C2"/>
    <w:rsid w:val="00821647"/>
    <w:rsid w:val="00821659"/>
    <w:rsid w:val="008216A8"/>
    <w:rsid w:val="008216EE"/>
    <w:rsid w:val="00821BBF"/>
    <w:rsid w:val="00821C91"/>
    <w:rsid w:val="00821CC9"/>
    <w:rsid w:val="00821DF4"/>
    <w:rsid w:val="00821F68"/>
    <w:rsid w:val="008224E4"/>
    <w:rsid w:val="0082256D"/>
    <w:rsid w:val="008225CD"/>
    <w:rsid w:val="00822625"/>
    <w:rsid w:val="008226D7"/>
    <w:rsid w:val="0082273C"/>
    <w:rsid w:val="008228F3"/>
    <w:rsid w:val="00822A57"/>
    <w:rsid w:val="00822B19"/>
    <w:rsid w:val="00822C19"/>
    <w:rsid w:val="00822C5D"/>
    <w:rsid w:val="00822EE6"/>
    <w:rsid w:val="00823042"/>
    <w:rsid w:val="00823058"/>
    <w:rsid w:val="0082322E"/>
    <w:rsid w:val="00823371"/>
    <w:rsid w:val="00823476"/>
    <w:rsid w:val="008234BB"/>
    <w:rsid w:val="00823525"/>
    <w:rsid w:val="00823753"/>
    <w:rsid w:val="008237B3"/>
    <w:rsid w:val="008237D3"/>
    <w:rsid w:val="00823867"/>
    <w:rsid w:val="00823A66"/>
    <w:rsid w:val="00823C6C"/>
    <w:rsid w:val="00823E00"/>
    <w:rsid w:val="00823E2F"/>
    <w:rsid w:val="00823F90"/>
    <w:rsid w:val="00823FF7"/>
    <w:rsid w:val="00824058"/>
    <w:rsid w:val="008244C6"/>
    <w:rsid w:val="008245DE"/>
    <w:rsid w:val="008246D0"/>
    <w:rsid w:val="00824775"/>
    <w:rsid w:val="008247A8"/>
    <w:rsid w:val="00824804"/>
    <w:rsid w:val="00824883"/>
    <w:rsid w:val="00824915"/>
    <w:rsid w:val="0082492F"/>
    <w:rsid w:val="00824999"/>
    <w:rsid w:val="00824B6C"/>
    <w:rsid w:val="00824B80"/>
    <w:rsid w:val="00824B98"/>
    <w:rsid w:val="00824CC9"/>
    <w:rsid w:val="00824E9B"/>
    <w:rsid w:val="00824E9D"/>
    <w:rsid w:val="00824EA6"/>
    <w:rsid w:val="00824F84"/>
    <w:rsid w:val="00825040"/>
    <w:rsid w:val="00825184"/>
    <w:rsid w:val="008251AF"/>
    <w:rsid w:val="00825283"/>
    <w:rsid w:val="008253E9"/>
    <w:rsid w:val="008255C6"/>
    <w:rsid w:val="008256D8"/>
    <w:rsid w:val="008256E4"/>
    <w:rsid w:val="00825727"/>
    <w:rsid w:val="00825992"/>
    <w:rsid w:val="00825BC5"/>
    <w:rsid w:val="00825BD7"/>
    <w:rsid w:val="00825CCE"/>
    <w:rsid w:val="00825CF1"/>
    <w:rsid w:val="00825FB4"/>
    <w:rsid w:val="00825FC7"/>
    <w:rsid w:val="0082604B"/>
    <w:rsid w:val="008260F2"/>
    <w:rsid w:val="0082610F"/>
    <w:rsid w:val="00826117"/>
    <w:rsid w:val="008263D5"/>
    <w:rsid w:val="008263F5"/>
    <w:rsid w:val="0082640E"/>
    <w:rsid w:val="00826469"/>
    <w:rsid w:val="00826507"/>
    <w:rsid w:val="008266EB"/>
    <w:rsid w:val="0082680B"/>
    <w:rsid w:val="0082686E"/>
    <w:rsid w:val="00826871"/>
    <w:rsid w:val="00826A5A"/>
    <w:rsid w:val="00826B37"/>
    <w:rsid w:val="00826C2C"/>
    <w:rsid w:val="00826CAC"/>
    <w:rsid w:val="00826E21"/>
    <w:rsid w:val="00826F0D"/>
    <w:rsid w:val="00826F9B"/>
    <w:rsid w:val="0082714F"/>
    <w:rsid w:val="008272AC"/>
    <w:rsid w:val="008272DB"/>
    <w:rsid w:val="00827436"/>
    <w:rsid w:val="00827505"/>
    <w:rsid w:val="0082763D"/>
    <w:rsid w:val="00827958"/>
    <w:rsid w:val="008279CF"/>
    <w:rsid w:val="008279ED"/>
    <w:rsid w:val="00827B2F"/>
    <w:rsid w:val="00827E11"/>
    <w:rsid w:val="00827E3C"/>
    <w:rsid w:val="00827E4F"/>
    <w:rsid w:val="00827F39"/>
    <w:rsid w:val="008301B4"/>
    <w:rsid w:val="0083022C"/>
    <w:rsid w:val="00830280"/>
    <w:rsid w:val="0083031C"/>
    <w:rsid w:val="0083058F"/>
    <w:rsid w:val="00830732"/>
    <w:rsid w:val="0083081C"/>
    <w:rsid w:val="0083086B"/>
    <w:rsid w:val="00830968"/>
    <w:rsid w:val="00830A09"/>
    <w:rsid w:val="00830A62"/>
    <w:rsid w:val="00830AAE"/>
    <w:rsid w:val="00830AD2"/>
    <w:rsid w:val="00830B8F"/>
    <w:rsid w:val="00830DEB"/>
    <w:rsid w:val="008310CC"/>
    <w:rsid w:val="00831221"/>
    <w:rsid w:val="0083124E"/>
    <w:rsid w:val="00831254"/>
    <w:rsid w:val="008312B5"/>
    <w:rsid w:val="00831486"/>
    <w:rsid w:val="00831513"/>
    <w:rsid w:val="00831551"/>
    <w:rsid w:val="00831637"/>
    <w:rsid w:val="00831639"/>
    <w:rsid w:val="0083178F"/>
    <w:rsid w:val="008317C3"/>
    <w:rsid w:val="00831929"/>
    <w:rsid w:val="00831CE0"/>
    <w:rsid w:val="00831DC1"/>
    <w:rsid w:val="0083221C"/>
    <w:rsid w:val="00832532"/>
    <w:rsid w:val="00832751"/>
    <w:rsid w:val="00832839"/>
    <w:rsid w:val="00832A37"/>
    <w:rsid w:val="00832BA0"/>
    <w:rsid w:val="00832BD5"/>
    <w:rsid w:val="00832EA4"/>
    <w:rsid w:val="00833013"/>
    <w:rsid w:val="008330A7"/>
    <w:rsid w:val="008332FF"/>
    <w:rsid w:val="0083331A"/>
    <w:rsid w:val="008335EF"/>
    <w:rsid w:val="00833610"/>
    <w:rsid w:val="00833639"/>
    <w:rsid w:val="008336F4"/>
    <w:rsid w:val="00833886"/>
    <w:rsid w:val="00833997"/>
    <w:rsid w:val="00833BDE"/>
    <w:rsid w:val="00833BE9"/>
    <w:rsid w:val="00833D14"/>
    <w:rsid w:val="00833E23"/>
    <w:rsid w:val="00833FE1"/>
    <w:rsid w:val="0083400C"/>
    <w:rsid w:val="00834121"/>
    <w:rsid w:val="00834243"/>
    <w:rsid w:val="00834253"/>
    <w:rsid w:val="0083446E"/>
    <w:rsid w:val="0083461A"/>
    <w:rsid w:val="00834745"/>
    <w:rsid w:val="00834840"/>
    <w:rsid w:val="00834897"/>
    <w:rsid w:val="0083499E"/>
    <w:rsid w:val="00834A37"/>
    <w:rsid w:val="00834A63"/>
    <w:rsid w:val="00834C6B"/>
    <w:rsid w:val="00834CD8"/>
    <w:rsid w:val="00834D79"/>
    <w:rsid w:val="00834E04"/>
    <w:rsid w:val="00834E4E"/>
    <w:rsid w:val="00834F19"/>
    <w:rsid w:val="00835348"/>
    <w:rsid w:val="00835372"/>
    <w:rsid w:val="00835640"/>
    <w:rsid w:val="008356C6"/>
    <w:rsid w:val="008357D5"/>
    <w:rsid w:val="0083593B"/>
    <w:rsid w:val="00835A8A"/>
    <w:rsid w:val="00835B28"/>
    <w:rsid w:val="00835B32"/>
    <w:rsid w:val="00835BF5"/>
    <w:rsid w:val="00835E79"/>
    <w:rsid w:val="00836169"/>
    <w:rsid w:val="008361B4"/>
    <w:rsid w:val="00836212"/>
    <w:rsid w:val="00836340"/>
    <w:rsid w:val="00836359"/>
    <w:rsid w:val="0083641A"/>
    <w:rsid w:val="0083648E"/>
    <w:rsid w:val="008364A4"/>
    <w:rsid w:val="008364F7"/>
    <w:rsid w:val="00836570"/>
    <w:rsid w:val="008366C8"/>
    <w:rsid w:val="00836860"/>
    <w:rsid w:val="008368D0"/>
    <w:rsid w:val="00836ACC"/>
    <w:rsid w:val="00836B74"/>
    <w:rsid w:val="00836C5A"/>
    <w:rsid w:val="00836D16"/>
    <w:rsid w:val="00836D1B"/>
    <w:rsid w:val="00836E6A"/>
    <w:rsid w:val="00836FD8"/>
    <w:rsid w:val="0083713B"/>
    <w:rsid w:val="00837242"/>
    <w:rsid w:val="00837271"/>
    <w:rsid w:val="00837496"/>
    <w:rsid w:val="0083753A"/>
    <w:rsid w:val="008375BC"/>
    <w:rsid w:val="008375F0"/>
    <w:rsid w:val="008376EE"/>
    <w:rsid w:val="0083786B"/>
    <w:rsid w:val="00837A8E"/>
    <w:rsid w:val="00837AD3"/>
    <w:rsid w:val="00837D45"/>
    <w:rsid w:val="00837DDA"/>
    <w:rsid w:val="00837E3B"/>
    <w:rsid w:val="00837ECC"/>
    <w:rsid w:val="00837ECD"/>
    <w:rsid w:val="0084023B"/>
    <w:rsid w:val="008402BB"/>
    <w:rsid w:val="008403A8"/>
    <w:rsid w:val="00840496"/>
    <w:rsid w:val="008404C6"/>
    <w:rsid w:val="008408BB"/>
    <w:rsid w:val="00840963"/>
    <w:rsid w:val="00840A09"/>
    <w:rsid w:val="00840BEE"/>
    <w:rsid w:val="00840D7C"/>
    <w:rsid w:val="00840E53"/>
    <w:rsid w:val="00840E67"/>
    <w:rsid w:val="008410C1"/>
    <w:rsid w:val="00841245"/>
    <w:rsid w:val="008412E7"/>
    <w:rsid w:val="00841315"/>
    <w:rsid w:val="00841490"/>
    <w:rsid w:val="008414A1"/>
    <w:rsid w:val="00841665"/>
    <w:rsid w:val="00841721"/>
    <w:rsid w:val="00841A23"/>
    <w:rsid w:val="00841D33"/>
    <w:rsid w:val="00841DE4"/>
    <w:rsid w:val="00841E6E"/>
    <w:rsid w:val="0084205B"/>
    <w:rsid w:val="00842149"/>
    <w:rsid w:val="0084243D"/>
    <w:rsid w:val="008425D7"/>
    <w:rsid w:val="008426E4"/>
    <w:rsid w:val="00842719"/>
    <w:rsid w:val="00842752"/>
    <w:rsid w:val="00842B8D"/>
    <w:rsid w:val="00842C7B"/>
    <w:rsid w:val="00842C7F"/>
    <w:rsid w:val="00842C85"/>
    <w:rsid w:val="00842F0B"/>
    <w:rsid w:val="0084304D"/>
    <w:rsid w:val="0084310D"/>
    <w:rsid w:val="0084331A"/>
    <w:rsid w:val="0084333D"/>
    <w:rsid w:val="0084353A"/>
    <w:rsid w:val="008435F2"/>
    <w:rsid w:val="00843635"/>
    <w:rsid w:val="008436E2"/>
    <w:rsid w:val="008436F2"/>
    <w:rsid w:val="00843918"/>
    <w:rsid w:val="00843991"/>
    <w:rsid w:val="00843A81"/>
    <w:rsid w:val="00843DCC"/>
    <w:rsid w:val="00843DD6"/>
    <w:rsid w:val="00843DDB"/>
    <w:rsid w:val="00843F83"/>
    <w:rsid w:val="00844052"/>
    <w:rsid w:val="00844116"/>
    <w:rsid w:val="00844164"/>
    <w:rsid w:val="0084419F"/>
    <w:rsid w:val="00844221"/>
    <w:rsid w:val="00844857"/>
    <w:rsid w:val="00844A83"/>
    <w:rsid w:val="00845134"/>
    <w:rsid w:val="00845139"/>
    <w:rsid w:val="0084514E"/>
    <w:rsid w:val="00845270"/>
    <w:rsid w:val="0084529A"/>
    <w:rsid w:val="00845511"/>
    <w:rsid w:val="00845946"/>
    <w:rsid w:val="008459A1"/>
    <w:rsid w:val="008459A8"/>
    <w:rsid w:val="00845AA1"/>
    <w:rsid w:val="00845B7D"/>
    <w:rsid w:val="00845C9F"/>
    <w:rsid w:val="00845D3C"/>
    <w:rsid w:val="00845DB5"/>
    <w:rsid w:val="00845DFB"/>
    <w:rsid w:val="00845E1C"/>
    <w:rsid w:val="00845ED9"/>
    <w:rsid w:val="00845F24"/>
    <w:rsid w:val="008461AB"/>
    <w:rsid w:val="00846297"/>
    <w:rsid w:val="008463B7"/>
    <w:rsid w:val="00846434"/>
    <w:rsid w:val="0084658E"/>
    <w:rsid w:val="0084659B"/>
    <w:rsid w:val="0084663D"/>
    <w:rsid w:val="00846661"/>
    <w:rsid w:val="0084671E"/>
    <w:rsid w:val="00846754"/>
    <w:rsid w:val="00846769"/>
    <w:rsid w:val="0084687E"/>
    <w:rsid w:val="00846B08"/>
    <w:rsid w:val="00846B60"/>
    <w:rsid w:val="00846B92"/>
    <w:rsid w:val="00846C29"/>
    <w:rsid w:val="00846D09"/>
    <w:rsid w:val="00846EF6"/>
    <w:rsid w:val="00846EFB"/>
    <w:rsid w:val="00847024"/>
    <w:rsid w:val="00847181"/>
    <w:rsid w:val="00847258"/>
    <w:rsid w:val="0084735B"/>
    <w:rsid w:val="008473CB"/>
    <w:rsid w:val="0084750E"/>
    <w:rsid w:val="00847555"/>
    <w:rsid w:val="008475CA"/>
    <w:rsid w:val="0084793A"/>
    <w:rsid w:val="0084796B"/>
    <w:rsid w:val="00847A3E"/>
    <w:rsid w:val="00847BF9"/>
    <w:rsid w:val="00847D3B"/>
    <w:rsid w:val="00847DC2"/>
    <w:rsid w:val="00847E82"/>
    <w:rsid w:val="00847F02"/>
    <w:rsid w:val="00847F98"/>
    <w:rsid w:val="00850071"/>
    <w:rsid w:val="0085014A"/>
    <w:rsid w:val="00850798"/>
    <w:rsid w:val="00850802"/>
    <w:rsid w:val="00850823"/>
    <w:rsid w:val="00850956"/>
    <w:rsid w:val="008509E6"/>
    <w:rsid w:val="00850ABB"/>
    <w:rsid w:val="00850BA1"/>
    <w:rsid w:val="00850C2A"/>
    <w:rsid w:val="00850C4F"/>
    <w:rsid w:val="00850CEF"/>
    <w:rsid w:val="00850E3A"/>
    <w:rsid w:val="00850EC6"/>
    <w:rsid w:val="00850FF0"/>
    <w:rsid w:val="00851342"/>
    <w:rsid w:val="00851723"/>
    <w:rsid w:val="008517ED"/>
    <w:rsid w:val="008518AE"/>
    <w:rsid w:val="008518F5"/>
    <w:rsid w:val="00851CA1"/>
    <w:rsid w:val="00851E46"/>
    <w:rsid w:val="00851F2B"/>
    <w:rsid w:val="00851F3A"/>
    <w:rsid w:val="00851F60"/>
    <w:rsid w:val="00852111"/>
    <w:rsid w:val="00852218"/>
    <w:rsid w:val="00852243"/>
    <w:rsid w:val="0085234C"/>
    <w:rsid w:val="00852510"/>
    <w:rsid w:val="008529F6"/>
    <w:rsid w:val="00852A20"/>
    <w:rsid w:val="00852AFE"/>
    <w:rsid w:val="00852B43"/>
    <w:rsid w:val="00852BB2"/>
    <w:rsid w:val="00852BC8"/>
    <w:rsid w:val="00852C22"/>
    <w:rsid w:val="00852C57"/>
    <w:rsid w:val="00852D26"/>
    <w:rsid w:val="00852DE2"/>
    <w:rsid w:val="008531DB"/>
    <w:rsid w:val="0085328F"/>
    <w:rsid w:val="008532A4"/>
    <w:rsid w:val="008533F9"/>
    <w:rsid w:val="0085348B"/>
    <w:rsid w:val="0085360A"/>
    <w:rsid w:val="00853875"/>
    <w:rsid w:val="008538DB"/>
    <w:rsid w:val="008538EC"/>
    <w:rsid w:val="00853940"/>
    <w:rsid w:val="00853D44"/>
    <w:rsid w:val="00853F68"/>
    <w:rsid w:val="0085410F"/>
    <w:rsid w:val="00854194"/>
    <w:rsid w:val="008541A9"/>
    <w:rsid w:val="00854209"/>
    <w:rsid w:val="008543AF"/>
    <w:rsid w:val="00854489"/>
    <w:rsid w:val="00854551"/>
    <w:rsid w:val="00854613"/>
    <w:rsid w:val="008546D3"/>
    <w:rsid w:val="00854812"/>
    <w:rsid w:val="00854852"/>
    <w:rsid w:val="00854AF7"/>
    <w:rsid w:val="00854F93"/>
    <w:rsid w:val="00854FC2"/>
    <w:rsid w:val="0085501E"/>
    <w:rsid w:val="00855084"/>
    <w:rsid w:val="00855130"/>
    <w:rsid w:val="008551AC"/>
    <w:rsid w:val="0085522C"/>
    <w:rsid w:val="00855240"/>
    <w:rsid w:val="008555A5"/>
    <w:rsid w:val="008555F0"/>
    <w:rsid w:val="00855618"/>
    <w:rsid w:val="0085564C"/>
    <w:rsid w:val="00855718"/>
    <w:rsid w:val="008557B9"/>
    <w:rsid w:val="008557C6"/>
    <w:rsid w:val="008559D8"/>
    <w:rsid w:val="00855A10"/>
    <w:rsid w:val="00855AD0"/>
    <w:rsid w:val="00855AE9"/>
    <w:rsid w:val="00855B64"/>
    <w:rsid w:val="00855BF2"/>
    <w:rsid w:val="00855C17"/>
    <w:rsid w:val="00855C1F"/>
    <w:rsid w:val="00855E32"/>
    <w:rsid w:val="008562AE"/>
    <w:rsid w:val="008566CA"/>
    <w:rsid w:val="00856755"/>
    <w:rsid w:val="00856834"/>
    <w:rsid w:val="0085683B"/>
    <w:rsid w:val="00856882"/>
    <w:rsid w:val="008568D9"/>
    <w:rsid w:val="00856994"/>
    <w:rsid w:val="008569AD"/>
    <w:rsid w:val="00856CFB"/>
    <w:rsid w:val="00856EAB"/>
    <w:rsid w:val="00856F97"/>
    <w:rsid w:val="008570A5"/>
    <w:rsid w:val="0085712C"/>
    <w:rsid w:val="008572F2"/>
    <w:rsid w:val="00857493"/>
    <w:rsid w:val="008574C7"/>
    <w:rsid w:val="00857514"/>
    <w:rsid w:val="008575A0"/>
    <w:rsid w:val="008577A8"/>
    <w:rsid w:val="00857854"/>
    <w:rsid w:val="00857969"/>
    <w:rsid w:val="00857AEF"/>
    <w:rsid w:val="00857B92"/>
    <w:rsid w:val="00857BD4"/>
    <w:rsid w:val="00857C0B"/>
    <w:rsid w:val="00857E66"/>
    <w:rsid w:val="00857F27"/>
    <w:rsid w:val="00857F42"/>
    <w:rsid w:val="00860031"/>
    <w:rsid w:val="00860126"/>
    <w:rsid w:val="00860267"/>
    <w:rsid w:val="00860322"/>
    <w:rsid w:val="00860338"/>
    <w:rsid w:val="00860397"/>
    <w:rsid w:val="008604CA"/>
    <w:rsid w:val="00860512"/>
    <w:rsid w:val="00860606"/>
    <w:rsid w:val="0086077C"/>
    <w:rsid w:val="00860799"/>
    <w:rsid w:val="008609F2"/>
    <w:rsid w:val="00860A07"/>
    <w:rsid w:val="00860A31"/>
    <w:rsid w:val="00860A3D"/>
    <w:rsid w:val="00860BE6"/>
    <w:rsid w:val="00860E09"/>
    <w:rsid w:val="00860E23"/>
    <w:rsid w:val="0086102B"/>
    <w:rsid w:val="00861446"/>
    <w:rsid w:val="00861448"/>
    <w:rsid w:val="008616FA"/>
    <w:rsid w:val="0086188F"/>
    <w:rsid w:val="008618D1"/>
    <w:rsid w:val="0086191F"/>
    <w:rsid w:val="008619D7"/>
    <w:rsid w:val="008619DE"/>
    <w:rsid w:val="00861C9B"/>
    <w:rsid w:val="00861C9E"/>
    <w:rsid w:val="00861F3B"/>
    <w:rsid w:val="00861FA9"/>
    <w:rsid w:val="00862031"/>
    <w:rsid w:val="00862216"/>
    <w:rsid w:val="00862429"/>
    <w:rsid w:val="00862544"/>
    <w:rsid w:val="00862575"/>
    <w:rsid w:val="008625D5"/>
    <w:rsid w:val="0086271F"/>
    <w:rsid w:val="008627A6"/>
    <w:rsid w:val="00862812"/>
    <w:rsid w:val="00862970"/>
    <w:rsid w:val="00862BC8"/>
    <w:rsid w:val="00862C05"/>
    <w:rsid w:val="00862EB6"/>
    <w:rsid w:val="00862ED6"/>
    <w:rsid w:val="0086370C"/>
    <w:rsid w:val="00863A05"/>
    <w:rsid w:val="00863B4D"/>
    <w:rsid w:val="00863C8C"/>
    <w:rsid w:val="00863EC3"/>
    <w:rsid w:val="0086458A"/>
    <w:rsid w:val="008645CC"/>
    <w:rsid w:val="0086460C"/>
    <w:rsid w:val="008646D1"/>
    <w:rsid w:val="00864851"/>
    <w:rsid w:val="00864914"/>
    <w:rsid w:val="0086492F"/>
    <w:rsid w:val="00864B25"/>
    <w:rsid w:val="00864C1E"/>
    <w:rsid w:val="00864D73"/>
    <w:rsid w:val="00864DDE"/>
    <w:rsid w:val="00864EFE"/>
    <w:rsid w:val="00864F99"/>
    <w:rsid w:val="00864FBD"/>
    <w:rsid w:val="00865037"/>
    <w:rsid w:val="00865198"/>
    <w:rsid w:val="00865208"/>
    <w:rsid w:val="008654B8"/>
    <w:rsid w:val="008655AF"/>
    <w:rsid w:val="00865653"/>
    <w:rsid w:val="00865680"/>
    <w:rsid w:val="0086568D"/>
    <w:rsid w:val="0086573C"/>
    <w:rsid w:val="00865865"/>
    <w:rsid w:val="008658E2"/>
    <w:rsid w:val="00865A72"/>
    <w:rsid w:val="00865C82"/>
    <w:rsid w:val="00865EDE"/>
    <w:rsid w:val="00865FD9"/>
    <w:rsid w:val="00865FFE"/>
    <w:rsid w:val="008661A4"/>
    <w:rsid w:val="0086643E"/>
    <w:rsid w:val="0086653E"/>
    <w:rsid w:val="0086660C"/>
    <w:rsid w:val="008667E5"/>
    <w:rsid w:val="008669D3"/>
    <w:rsid w:val="008669F0"/>
    <w:rsid w:val="00866A23"/>
    <w:rsid w:val="00866BDC"/>
    <w:rsid w:val="00866DAD"/>
    <w:rsid w:val="00866DC0"/>
    <w:rsid w:val="00866E21"/>
    <w:rsid w:val="00866F5A"/>
    <w:rsid w:val="00866FAD"/>
    <w:rsid w:val="008671CF"/>
    <w:rsid w:val="00867243"/>
    <w:rsid w:val="0086727A"/>
    <w:rsid w:val="008674DC"/>
    <w:rsid w:val="00867800"/>
    <w:rsid w:val="00867825"/>
    <w:rsid w:val="0086784A"/>
    <w:rsid w:val="008679C0"/>
    <w:rsid w:val="00867A65"/>
    <w:rsid w:val="00867ABC"/>
    <w:rsid w:val="00867BE4"/>
    <w:rsid w:val="00867C2B"/>
    <w:rsid w:val="00867C9B"/>
    <w:rsid w:val="00867CE9"/>
    <w:rsid w:val="00867EA8"/>
    <w:rsid w:val="00867EE4"/>
    <w:rsid w:val="0087004D"/>
    <w:rsid w:val="008701E4"/>
    <w:rsid w:val="008701FD"/>
    <w:rsid w:val="00870220"/>
    <w:rsid w:val="00870268"/>
    <w:rsid w:val="0087040B"/>
    <w:rsid w:val="00870493"/>
    <w:rsid w:val="008704B0"/>
    <w:rsid w:val="00870566"/>
    <w:rsid w:val="00870732"/>
    <w:rsid w:val="0087074D"/>
    <w:rsid w:val="00870779"/>
    <w:rsid w:val="008707A0"/>
    <w:rsid w:val="008708ED"/>
    <w:rsid w:val="00870C2D"/>
    <w:rsid w:val="00870D13"/>
    <w:rsid w:val="00870D2A"/>
    <w:rsid w:val="00870D51"/>
    <w:rsid w:val="00870D78"/>
    <w:rsid w:val="00871161"/>
    <w:rsid w:val="00871164"/>
    <w:rsid w:val="00871185"/>
    <w:rsid w:val="008711B4"/>
    <w:rsid w:val="00871355"/>
    <w:rsid w:val="00871622"/>
    <w:rsid w:val="0087174F"/>
    <w:rsid w:val="00871775"/>
    <w:rsid w:val="00871801"/>
    <w:rsid w:val="00871926"/>
    <w:rsid w:val="00871A50"/>
    <w:rsid w:val="00871AC4"/>
    <w:rsid w:val="00871FC6"/>
    <w:rsid w:val="0087202E"/>
    <w:rsid w:val="00872130"/>
    <w:rsid w:val="0087225E"/>
    <w:rsid w:val="008723CC"/>
    <w:rsid w:val="00872614"/>
    <w:rsid w:val="00872638"/>
    <w:rsid w:val="008728E1"/>
    <w:rsid w:val="00872977"/>
    <w:rsid w:val="008729A3"/>
    <w:rsid w:val="00872A84"/>
    <w:rsid w:val="00872ACE"/>
    <w:rsid w:val="00872D01"/>
    <w:rsid w:val="00872DF0"/>
    <w:rsid w:val="00872F35"/>
    <w:rsid w:val="008730C0"/>
    <w:rsid w:val="008730D1"/>
    <w:rsid w:val="008731EC"/>
    <w:rsid w:val="0087338E"/>
    <w:rsid w:val="0087345E"/>
    <w:rsid w:val="008734D5"/>
    <w:rsid w:val="008735E9"/>
    <w:rsid w:val="00873813"/>
    <w:rsid w:val="00873A67"/>
    <w:rsid w:val="00873AA9"/>
    <w:rsid w:val="00874195"/>
    <w:rsid w:val="0087425E"/>
    <w:rsid w:val="0087437A"/>
    <w:rsid w:val="00874419"/>
    <w:rsid w:val="00874503"/>
    <w:rsid w:val="008745B8"/>
    <w:rsid w:val="0087460F"/>
    <w:rsid w:val="0087467D"/>
    <w:rsid w:val="00874A35"/>
    <w:rsid w:val="00874A38"/>
    <w:rsid w:val="00874AB3"/>
    <w:rsid w:val="00874AEB"/>
    <w:rsid w:val="00874B90"/>
    <w:rsid w:val="00874E50"/>
    <w:rsid w:val="00874E9D"/>
    <w:rsid w:val="00874EE1"/>
    <w:rsid w:val="00874EE9"/>
    <w:rsid w:val="00874F9F"/>
    <w:rsid w:val="00874FC0"/>
    <w:rsid w:val="00874FF2"/>
    <w:rsid w:val="0087511D"/>
    <w:rsid w:val="00875195"/>
    <w:rsid w:val="008753BC"/>
    <w:rsid w:val="00875576"/>
    <w:rsid w:val="0087563F"/>
    <w:rsid w:val="0087571C"/>
    <w:rsid w:val="008757FC"/>
    <w:rsid w:val="0087598A"/>
    <w:rsid w:val="00875B4E"/>
    <w:rsid w:val="00875C97"/>
    <w:rsid w:val="00875E3A"/>
    <w:rsid w:val="00875F16"/>
    <w:rsid w:val="00875F22"/>
    <w:rsid w:val="00876605"/>
    <w:rsid w:val="00876928"/>
    <w:rsid w:val="00876BAF"/>
    <w:rsid w:val="00876E5F"/>
    <w:rsid w:val="00876EA3"/>
    <w:rsid w:val="00876EAF"/>
    <w:rsid w:val="00876F7F"/>
    <w:rsid w:val="00877115"/>
    <w:rsid w:val="008772A0"/>
    <w:rsid w:val="00877447"/>
    <w:rsid w:val="008775C1"/>
    <w:rsid w:val="00877643"/>
    <w:rsid w:val="00877673"/>
    <w:rsid w:val="0087767F"/>
    <w:rsid w:val="00877729"/>
    <w:rsid w:val="00877746"/>
    <w:rsid w:val="00877760"/>
    <w:rsid w:val="008779D1"/>
    <w:rsid w:val="008779FF"/>
    <w:rsid w:val="00877B86"/>
    <w:rsid w:val="00877C8C"/>
    <w:rsid w:val="00877DB1"/>
    <w:rsid w:val="00877F57"/>
    <w:rsid w:val="00880146"/>
    <w:rsid w:val="00880250"/>
    <w:rsid w:val="008802F2"/>
    <w:rsid w:val="00880525"/>
    <w:rsid w:val="008805F5"/>
    <w:rsid w:val="00880680"/>
    <w:rsid w:val="008807B1"/>
    <w:rsid w:val="00880875"/>
    <w:rsid w:val="008808CD"/>
    <w:rsid w:val="008809C9"/>
    <w:rsid w:val="00880A81"/>
    <w:rsid w:val="00880C55"/>
    <w:rsid w:val="00880CEC"/>
    <w:rsid w:val="00880D58"/>
    <w:rsid w:val="00880DFC"/>
    <w:rsid w:val="00880E1E"/>
    <w:rsid w:val="00880EC6"/>
    <w:rsid w:val="00880EFB"/>
    <w:rsid w:val="00881105"/>
    <w:rsid w:val="008811BA"/>
    <w:rsid w:val="0088144A"/>
    <w:rsid w:val="0088164A"/>
    <w:rsid w:val="00881842"/>
    <w:rsid w:val="00881930"/>
    <w:rsid w:val="008819FE"/>
    <w:rsid w:val="00881B09"/>
    <w:rsid w:val="00881B0C"/>
    <w:rsid w:val="00881B1B"/>
    <w:rsid w:val="00881C6D"/>
    <w:rsid w:val="0088201B"/>
    <w:rsid w:val="00882126"/>
    <w:rsid w:val="00882199"/>
    <w:rsid w:val="0088227A"/>
    <w:rsid w:val="00882304"/>
    <w:rsid w:val="0088268D"/>
    <w:rsid w:val="00882847"/>
    <w:rsid w:val="00882C89"/>
    <w:rsid w:val="00882CC5"/>
    <w:rsid w:val="00882CFF"/>
    <w:rsid w:val="00882D5C"/>
    <w:rsid w:val="00882E37"/>
    <w:rsid w:val="00882E76"/>
    <w:rsid w:val="0088305D"/>
    <w:rsid w:val="008830FA"/>
    <w:rsid w:val="0088314E"/>
    <w:rsid w:val="00883184"/>
    <w:rsid w:val="008831B6"/>
    <w:rsid w:val="00883222"/>
    <w:rsid w:val="008832B3"/>
    <w:rsid w:val="00883426"/>
    <w:rsid w:val="008835AA"/>
    <w:rsid w:val="00883683"/>
    <w:rsid w:val="00883743"/>
    <w:rsid w:val="00883760"/>
    <w:rsid w:val="0088378A"/>
    <w:rsid w:val="00883A1C"/>
    <w:rsid w:val="00883A88"/>
    <w:rsid w:val="00883EF9"/>
    <w:rsid w:val="00883F8B"/>
    <w:rsid w:val="00883FDE"/>
    <w:rsid w:val="0088402A"/>
    <w:rsid w:val="00884068"/>
    <w:rsid w:val="008840FD"/>
    <w:rsid w:val="00884111"/>
    <w:rsid w:val="0088412C"/>
    <w:rsid w:val="008841A4"/>
    <w:rsid w:val="0088423A"/>
    <w:rsid w:val="008842A0"/>
    <w:rsid w:val="008842DA"/>
    <w:rsid w:val="008847B3"/>
    <w:rsid w:val="008848A3"/>
    <w:rsid w:val="008849FF"/>
    <w:rsid w:val="00884A43"/>
    <w:rsid w:val="00884DD1"/>
    <w:rsid w:val="00884DFC"/>
    <w:rsid w:val="00884F00"/>
    <w:rsid w:val="00884F3F"/>
    <w:rsid w:val="008850BC"/>
    <w:rsid w:val="00885792"/>
    <w:rsid w:val="008857E6"/>
    <w:rsid w:val="0088585B"/>
    <w:rsid w:val="008859A7"/>
    <w:rsid w:val="00885A02"/>
    <w:rsid w:val="00885A90"/>
    <w:rsid w:val="00885BBE"/>
    <w:rsid w:val="00885D91"/>
    <w:rsid w:val="00885EB4"/>
    <w:rsid w:val="00885EB5"/>
    <w:rsid w:val="0088615E"/>
    <w:rsid w:val="008861E3"/>
    <w:rsid w:val="00886512"/>
    <w:rsid w:val="008865EB"/>
    <w:rsid w:val="0088662E"/>
    <w:rsid w:val="00886855"/>
    <w:rsid w:val="00886876"/>
    <w:rsid w:val="00886A9C"/>
    <w:rsid w:val="00886B40"/>
    <w:rsid w:val="00886BF3"/>
    <w:rsid w:val="00886D2F"/>
    <w:rsid w:val="00886D7B"/>
    <w:rsid w:val="00886E77"/>
    <w:rsid w:val="00886FD4"/>
    <w:rsid w:val="00887027"/>
    <w:rsid w:val="00887188"/>
    <w:rsid w:val="0088718D"/>
    <w:rsid w:val="00887213"/>
    <w:rsid w:val="00887258"/>
    <w:rsid w:val="008874A6"/>
    <w:rsid w:val="0088759B"/>
    <w:rsid w:val="008875D3"/>
    <w:rsid w:val="0088774D"/>
    <w:rsid w:val="00887986"/>
    <w:rsid w:val="008879DF"/>
    <w:rsid w:val="00887BB8"/>
    <w:rsid w:val="00887FD8"/>
    <w:rsid w:val="00887FED"/>
    <w:rsid w:val="008900CD"/>
    <w:rsid w:val="0089030A"/>
    <w:rsid w:val="008903BA"/>
    <w:rsid w:val="008905C2"/>
    <w:rsid w:val="008905F5"/>
    <w:rsid w:val="008907CE"/>
    <w:rsid w:val="0089081A"/>
    <w:rsid w:val="00890921"/>
    <w:rsid w:val="00890963"/>
    <w:rsid w:val="00890B44"/>
    <w:rsid w:val="00890E14"/>
    <w:rsid w:val="00890EF9"/>
    <w:rsid w:val="00890F27"/>
    <w:rsid w:val="00890FD9"/>
    <w:rsid w:val="00891006"/>
    <w:rsid w:val="00891138"/>
    <w:rsid w:val="008911BF"/>
    <w:rsid w:val="00891271"/>
    <w:rsid w:val="0089149F"/>
    <w:rsid w:val="008914E7"/>
    <w:rsid w:val="0089152C"/>
    <w:rsid w:val="00891586"/>
    <w:rsid w:val="00891721"/>
    <w:rsid w:val="00891823"/>
    <w:rsid w:val="00891D2F"/>
    <w:rsid w:val="00891F93"/>
    <w:rsid w:val="008922A6"/>
    <w:rsid w:val="00892341"/>
    <w:rsid w:val="0089239D"/>
    <w:rsid w:val="008924AD"/>
    <w:rsid w:val="0089263C"/>
    <w:rsid w:val="008927BE"/>
    <w:rsid w:val="0089287F"/>
    <w:rsid w:val="00892986"/>
    <w:rsid w:val="00892AE5"/>
    <w:rsid w:val="00892AF3"/>
    <w:rsid w:val="00892CCD"/>
    <w:rsid w:val="00892D3C"/>
    <w:rsid w:val="00892DB0"/>
    <w:rsid w:val="00892FAF"/>
    <w:rsid w:val="0089325E"/>
    <w:rsid w:val="0089339B"/>
    <w:rsid w:val="008933B1"/>
    <w:rsid w:val="00893437"/>
    <w:rsid w:val="008934C8"/>
    <w:rsid w:val="0089355F"/>
    <w:rsid w:val="008938FA"/>
    <w:rsid w:val="00893AF2"/>
    <w:rsid w:val="00893BDC"/>
    <w:rsid w:val="00893C5E"/>
    <w:rsid w:val="00893CEA"/>
    <w:rsid w:val="00893EE6"/>
    <w:rsid w:val="008940AD"/>
    <w:rsid w:val="008942A0"/>
    <w:rsid w:val="00894421"/>
    <w:rsid w:val="0089442B"/>
    <w:rsid w:val="00894430"/>
    <w:rsid w:val="00894581"/>
    <w:rsid w:val="008945B2"/>
    <w:rsid w:val="0089461B"/>
    <w:rsid w:val="008946C2"/>
    <w:rsid w:val="00894767"/>
    <w:rsid w:val="00894879"/>
    <w:rsid w:val="0089491A"/>
    <w:rsid w:val="0089492C"/>
    <w:rsid w:val="0089495E"/>
    <w:rsid w:val="00894AC4"/>
    <w:rsid w:val="00894B2B"/>
    <w:rsid w:val="00894BB7"/>
    <w:rsid w:val="00894C39"/>
    <w:rsid w:val="00894CAB"/>
    <w:rsid w:val="00894CBA"/>
    <w:rsid w:val="00894D98"/>
    <w:rsid w:val="00894E3D"/>
    <w:rsid w:val="00894FC7"/>
    <w:rsid w:val="00895007"/>
    <w:rsid w:val="00895098"/>
    <w:rsid w:val="008950F2"/>
    <w:rsid w:val="00895118"/>
    <w:rsid w:val="008951E1"/>
    <w:rsid w:val="00895341"/>
    <w:rsid w:val="008954C8"/>
    <w:rsid w:val="00895758"/>
    <w:rsid w:val="00895878"/>
    <w:rsid w:val="00895901"/>
    <w:rsid w:val="008959D1"/>
    <w:rsid w:val="00895AE5"/>
    <w:rsid w:val="00895D17"/>
    <w:rsid w:val="00895D7D"/>
    <w:rsid w:val="00895F4E"/>
    <w:rsid w:val="0089609C"/>
    <w:rsid w:val="0089617B"/>
    <w:rsid w:val="00896284"/>
    <w:rsid w:val="00896473"/>
    <w:rsid w:val="0089670A"/>
    <w:rsid w:val="0089696C"/>
    <w:rsid w:val="00896A83"/>
    <w:rsid w:val="00896B86"/>
    <w:rsid w:val="00896C99"/>
    <w:rsid w:val="00896CAA"/>
    <w:rsid w:val="00896CB1"/>
    <w:rsid w:val="00896EB4"/>
    <w:rsid w:val="0089701A"/>
    <w:rsid w:val="0089719F"/>
    <w:rsid w:val="008971B0"/>
    <w:rsid w:val="008972D6"/>
    <w:rsid w:val="0089731B"/>
    <w:rsid w:val="00897625"/>
    <w:rsid w:val="008976AE"/>
    <w:rsid w:val="008976FC"/>
    <w:rsid w:val="0089777F"/>
    <w:rsid w:val="00897797"/>
    <w:rsid w:val="0089791F"/>
    <w:rsid w:val="008979CE"/>
    <w:rsid w:val="00897A2B"/>
    <w:rsid w:val="00897BED"/>
    <w:rsid w:val="00897C2B"/>
    <w:rsid w:val="008A007D"/>
    <w:rsid w:val="008A0086"/>
    <w:rsid w:val="008A0279"/>
    <w:rsid w:val="008A029F"/>
    <w:rsid w:val="008A0387"/>
    <w:rsid w:val="008A0465"/>
    <w:rsid w:val="008A0564"/>
    <w:rsid w:val="008A08FD"/>
    <w:rsid w:val="008A0AD8"/>
    <w:rsid w:val="008A0B7B"/>
    <w:rsid w:val="008A0B8D"/>
    <w:rsid w:val="008A0BF1"/>
    <w:rsid w:val="008A0C32"/>
    <w:rsid w:val="008A0D08"/>
    <w:rsid w:val="008A0E16"/>
    <w:rsid w:val="008A1018"/>
    <w:rsid w:val="008A10EE"/>
    <w:rsid w:val="008A1137"/>
    <w:rsid w:val="008A1187"/>
    <w:rsid w:val="008A14C2"/>
    <w:rsid w:val="008A15C5"/>
    <w:rsid w:val="008A17B6"/>
    <w:rsid w:val="008A198D"/>
    <w:rsid w:val="008A1A21"/>
    <w:rsid w:val="008A1A82"/>
    <w:rsid w:val="008A1C41"/>
    <w:rsid w:val="008A20CD"/>
    <w:rsid w:val="008A21B0"/>
    <w:rsid w:val="008A2329"/>
    <w:rsid w:val="008A2667"/>
    <w:rsid w:val="008A2669"/>
    <w:rsid w:val="008A2708"/>
    <w:rsid w:val="008A271A"/>
    <w:rsid w:val="008A2784"/>
    <w:rsid w:val="008A27F7"/>
    <w:rsid w:val="008A27F8"/>
    <w:rsid w:val="008A29FB"/>
    <w:rsid w:val="008A2A29"/>
    <w:rsid w:val="008A2A3E"/>
    <w:rsid w:val="008A2C73"/>
    <w:rsid w:val="008A2C83"/>
    <w:rsid w:val="008A2CA1"/>
    <w:rsid w:val="008A2CA9"/>
    <w:rsid w:val="008A2F17"/>
    <w:rsid w:val="008A3007"/>
    <w:rsid w:val="008A3125"/>
    <w:rsid w:val="008A314B"/>
    <w:rsid w:val="008A31B2"/>
    <w:rsid w:val="008A32B1"/>
    <w:rsid w:val="008A33E9"/>
    <w:rsid w:val="008A3469"/>
    <w:rsid w:val="008A3565"/>
    <w:rsid w:val="008A39E6"/>
    <w:rsid w:val="008A40F8"/>
    <w:rsid w:val="008A416F"/>
    <w:rsid w:val="008A41DD"/>
    <w:rsid w:val="008A44F3"/>
    <w:rsid w:val="008A4755"/>
    <w:rsid w:val="008A4788"/>
    <w:rsid w:val="008A47C4"/>
    <w:rsid w:val="008A483F"/>
    <w:rsid w:val="008A4AE3"/>
    <w:rsid w:val="008A4BDF"/>
    <w:rsid w:val="008A4C92"/>
    <w:rsid w:val="008A4CB0"/>
    <w:rsid w:val="008A4D30"/>
    <w:rsid w:val="008A4D67"/>
    <w:rsid w:val="008A4D8B"/>
    <w:rsid w:val="008A4D99"/>
    <w:rsid w:val="008A4DB8"/>
    <w:rsid w:val="008A5018"/>
    <w:rsid w:val="008A5172"/>
    <w:rsid w:val="008A53C3"/>
    <w:rsid w:val="008A54D4"/>
    <w:rsid w:val="008A56DE"/>
    <w:rsid w:val="008A573F"/>
    <w:rsid w:val="008A57B1"/>
    <w:rsid w:val="008A5830"/>
    <w:rsid w:val="008A59DE"/>
    <w:rsid w:val="008A5A9A"/>
    <w:rsid w:val="008A5AE2"/>
    <w:rsid w:val="008A5B07"/>
    <w:rsid w:val="008A5BAD"/>
    <w:rsid w:val="008A5CB2"/>
    <w:rsid w:val="008A5D71"/>
    <w:rsid w:val="008A5E01"/>
    <w:rsid w:val="008A5E4F"/>
    <w:rsid w:val="008A5EEF"/>
    <w:rsid w:val="008A6100"/>
    <w:rsid w:val="008A612F"/>
    <w:rsid w:val="008A6275"/>
    <w:rsid w:val="008A656F"/>
    <w:rsid w:val="008A65FA"/>
    <w:rsid w:val="008A6698"/>
    <w:rsid w:val="008A66D4"/>
    <w:rsid w:val="008A6A2D"/>
    <w:rsid w:val="008A6A91"/>
    <w:rsid w:val="008A6B28"/>
    <w:rsid w:val="008A6D88"/>
    <w:rsid w:val="008A6DCE"/>
    <w:rsid w:val="008A6E69"/>
    <w:rsid w:val="008A6ED6"/>
    <w:rsid w:val="008A70A2"/>
    <w:rsid w:val="008A7213"/>
    <w:rsid w:val="008A725F"/>
    <w:rsid w:val="008A733B"/>
    <w:rsid w:val="008A7434"/>
    <w:rsid w:val="008A74D1"/>
    <w:rsid w:val="008A74EA"/>
    <w:rsid w:val="008A7533"/>
    <w:rsid w:val="008A754A"/>
    <w:rsid w:val="008A7582"/>
    <w:rsid w:val="008A75DE"/>
    <w:rsid w:val="008A764A"/>
    <w:rsid w:val="008A76A6"/>
    <w:rsid w:val="008A77A0"/>
    <w:rsid w:val="008A794D"/>
    <w:rsid w:val="008A7993"/>
    <w:rsid w:val="008A7B0F"/>
    <w:rsid w:val="008A7B76"/>
    <w:rsid w:val="008A7BAA"/>
    <w:rsid w:val="008A7CA4"/>
    <w:rsid w:val="008A7DE1"/>
    <w:rsid w:val="008A7E1A"/>
    <w:rsid w:val="008A7EAB"/>
    <w:rsid w:val="008B00ED"/>
    <w:rsid w:val="008B015A"/>
    <w:rsid w:val="008B028E"/>
    <w:rsid w:val="008B039A"/>
    <w:rsid w:val="008B03B1"/>
    <w:rsid w:val="008B0556"/>
    <w:rsid w:val="008B05CE"/>
    <w:rsid w:val="008B0697"/>
    <w:rsid w:val="008B0873"/>
    <w:rsid w:val="008B08B6"/>
    <w:rsid w:val="008B09B6"/>
    <w:rsid w:val="008B0A51"/>
    <w:rsid w:val="008B0AFC"/>
    <w:rsid w:val="008B0FB3"/>
    <w:rsid w:val="008B1033"/>
    <w:rsid w:val="008B121C"/>
    <w:rsid w:val="008B12E0"/>
    <w:rsid w:val="008B1424"/>
    <w:rsid w:val="008B1499"/>
    <w:rsid w:val="008B14CE"/>
    <w:rsid w:val="008B16C9"/>
    <w:rsid w:val="008B183D"/>
    <w:rsid w:val="008B18B9"/>
    <w:rsid w:val="008B195B"/>
    <w:rsid w:val="008B1A09"/>
    <w:rsid w:val="008B1AC0"/>
    <w:rsid w:val="008B1C18"/>
    <w:rsid w:val="008B1D1F"/>
    <w:rsid w:val="008B1DA6"/>
    <w:rsid w:val="008B1DB3"/>
    <w:rsid w:val="008B2055"/>
    <w:rsid w:val="008B2200"/>
    <w:rsid w:val="008B237E"/>
    <w:rsid w:val="008B2395"/>
    <w:rsid w:val="008B23A0"/>
    <w:rsid w:val="008B247D"/>
    <w:rsid w:val="008B24FF"/>
    <w:rsid w:val="008B2546"/>
    <w:rsid w:val="008B2591"/>
    <w:rsid w:val="008B2811"/>
    <w:rsid w:val="008B292A"/>
    <w:rsid w:val="008B29B1"/>
    <w:rsid w:val="008B2A3D"/>
    <w:rsid w:val="008B2A91"/>
    <w:rsid w:val="008B2C1A"/>
    <w:rsid w:val="008B2F19"/>
    <w:rsid w:val="008B3049"/>
    <w:rsid w:val="008B3072"/>
    <w:rsid w:val="008B323B"/>
    <w:rsid w:val="008B3449"/>
    <w:rsid w:val="008B3488"/>
    <w:rsid w:val="008B36EA"/>
    <w:rsid w:val="008B3732"/>
    <w:rsid w:val="008B373A"/>
    <w:rsid w:val="008B37E0"/>
    <w:rsid w:val="008B38FB"/>
    <w:rsid w:val="008B394F"/>
    <w:rsid w:val="008B3B9E"/>
    <w:rsid w:val="008B3C43"/>
    <w:rsid w:val="008B3C71"/>
    <w:rsid w:val="008B3DB8"/>
    <w:rsid w:val="008B3E6B"/>
    <w:rsid w:val="008B3EAC"/>
    <w:rsid w:val="008B3EC6"/>
    <w:rsid w:val="008B408B"/>
    <w:rsid w:val="008B4132"/>
    <w:rsid w:val="008B4293"/>
    <w:rsid w:val="008B43AC"/>
    <w:rsid w:val="008B43D9"/>
    <w:rsid w:val="008B46C3"/>
    <w:rsid w:val="008B4779"/>
    <w:rsid w:val="008B490E"/>
    <w:rsid w:val="008B4C81"/>
    <w:rsid w:val="008B4CE0"/>
    <w:rsid w:val="008B4F90"/>
    <w:rsid w:val="008B5014"/>
    <w:rsid w:val="008B5189"/>
    <w:rsid w:val="008B51C9"/>
    <w:rsid w:val="008B5497"/>
    <w:rsid w:val="008B5766"/>
    <w:rsid w:val="008B58F2"/>
    <w:rsid w:val="008B5A51"/>
    <w:rsid w:val="008B5ABB"/>
    <w:rsid w:val="008B5B78"/>
    <w:rsid w:val="008B5C66"/>
    <w:rsid w:val="008B6197"/>
    <w:rsid w:val="008B62FA"/>
    <w:rsid w:val="008B63FB"/>
    <w:rsid w:val="008B63FC"/>
    <w:rsid w:val="008B6595"/>
    <w:rsid w:val="008B687F"/>
    <w:rsid w:val="008B6AC0"/>
    <w:rsid w:val="008B6EF2"/>
    <w:rsid w:val="008B6F62"/>
    <w:rsid w:val="008B70DE"/>
    <w:rsid w:val="008B70FD"/>
    <w:rsid w:val="008B71C1"/>
    <w:rsid w:val="008B735F"/>
    <w:rsid w:val="008B76CD"/>
    <w:rsid w:val="008B77F5"/>
    <w:rsid w:val="008B7922"/>
    <w:rsid w:val="008B79D4"/>
    <w:rsid w:val="008B7A13"/>
    <w:rsid w:val="008B7B7B"/>
    <w:rsid w:val="008B7BC5"/>
    <w:rsid w:val="008B7BFD"/>
    <w:rsid w:val="008B7C3F"/>
    <w:rsid w:val="008B7D64"/>
    <w:rsid w:val="008B7D71"/>
    <w:rsid w:val="008B7D79"/>
    <w:rsid w:val="008C0027"/>
    <w:rsid w:val="008C0032"/>
    <w:rsid w:val="008C00C4"/>
    <w:rsid w:val="008C0218"/>
    <w:rsid w:val="008C0482"/>
    <w:rsid w:val="008C063E"/>
    <w:rsid w:val="008C0688"/>
    <w:rsid w:val="008C0791"/>
    <w:rsid w:val="008C0879"/>
    <w:rsid w:val="008C0953"/>
    <w:rsid w:val="008C0BA9"/>
    <w:rsid w:val="008C0CC7"/>
    <w:rsid w:val="008C0E6B"/>
    <w:rsid w:val="008C0F07"/>
    <w:rsid w:val="008C0F4D"/>
    <w:rsid w:val="008C0F7D"/>
    <w:rsid w:val="008C1037"/>
    <w:rsid w:val="008C1236"/>
    <w:rsid w:val="008C1257"/>
    <w:rsid w:val="008C12C7"/>
    <w:rsid w:val="008C1305"/>
    <w:rsid w:val="008C137D"/>
    <w:rsid w:val="008C13D0"/>
    <w:rsid w:val="008C1427"/>
    <w:rsid w:val="008C143A"/>
    <w:rsid w:val="008C1449"/>
    <w:rsid w:val="008C14E2"/>
    <w:rsid w:val="008C1504"/>
    <w:rsid w:val="008C17C1"/>
    <w:rsid w:val="008C186B"/>
    <w:rsid w:val="008C191D"/>
    <w:rsid w:val="008C193D"/>
    <w:rsid w:val="008C1A35"/>
    <w:rsid w:val="008C1AA4"/>
    <w:rsid w:val="008C1AEA"/>
    <w:rsid w:val="008C1B4E"/>
    <w:rsid w:val="008C1BC8"/>
    <w:rsid w:val="008C1D57"/>
    <w:rsid w:val="008C1FA6"/>
    <w:rsid w:val="008C2114"/>
    <w:rsid w:val="008C2153"/>
    <w:rsid w:val="008C22D9"/>
    <w:rsid w:val="008C22E6"/>
    <w:rsid w:val="008C23DA"/>
    <w:rsid w:val="008C2427"/>
    <w:rsid w:val="008C2482"/>
    <w:rsid w:val="008C2527"/>
    <w:rsid w:val="008C25CC"/>
    <w:rsid w:val="008C2628"/>
    <w:rsid w:val="008C2738"/>
    <w:rsid w:val="008C273C"/>
    <w:rsid w:val="008C2AAE"/>
    <w:rsid w:val="008C2B7D"/>
    <w:rsid w:val="008C2D76"/>
    <w:rsid w:val="008C2D8B"/>
    <w:rsid w:val="008C2F89"/>
    <w:rsid w:val="008C2FD0"/>
    <w:rsid w:val="008C300A"/>
    <w:rsid w:val="008C300E"/>
    <w:rsid w:val="008C3067"/>
    <w:rsid w:val="008C327F"/>
    <w:rsid w:val="008C32D7"/>
    <w:rsid w:val="008C345F"/>
    <w:rsid w:val="008C34F6"/>
    <w:rsid w:val="008C3647"/>
    <w:rsid w:val="008C38D3"/>
    <w:rsid w:val="008C3A21"/>
    <w:rsid w:val="008C3ABA"/>
    <w:rsid w:val="008C3B4B"/>
    <w:rsid w:val="008C3B6F"/>
    <w:rsid w:val="008C3BCC"/>
    <w:rsid w:val="008C3C4D"/>
    <w:rsid w:val="008C3DBA"/>
    <w:rsid w:val="008C3E10"/>
    <w:rsid w:val="008C3F10"/>
    <w:rsid w:val="008C4190"/>
    <w:rsid w:val="008C4313"/>
    <w:rsid w:val="008C43BB"/>
    <w:rsid w:val="008C45FA"/>
    <w:rsid w:val="008C46AA"/>
    <w:rsid w:val="008C495C"/>
    <w:rsid w:val="008C4A05"/>
    <w:rsid w:val="008C4E0B"/>
    <w:rsid w:val="008C4E30"/>
    <w:rsid w:val="008C4F0B"/>
    <w:rsid w:val="008C4FF7"/>
    <w:rsid w:val="008C502A"/>
    <w:rsid w:val="008C51E2"/>
    <w:rsid w:val="008C524F"/>
    <w:rsid w:val="008C52A0"/>
    <w:rsid w:val="008C548C"/>
    <w:rsid w:val="008C596C"/>
    <w:rsid w:val="008C5B69"/>
    <w:rsid w:val="008C5C03"/>
    <w:rsid w:val="008C5C38"/>
    <w:rsid w:val="008C5DD2"/>
    <w:rsid w:val="008C5E5C"/>
    <w:rsid w:val="008C5E70"/>
    <w:rsid w:val="008C5F4B"/>
    <w:rsid w:val="008C60E6"/>
    <w:rsid w:val="008C623B"/>
    <w:rsid w:val="008C631E"/>
    <w:rsid w:val="008C63B8"/>
    <w:rsid w:val="008C6479"/>
    <w:rsid w:val="008C6527"/>
    <w:rsid w:val="008C65A8"/>
    <w:rsid w:val="008C6637"/>
    <w:rsid w:val="008C664A"/>
    <w:rsid w:val="008C669C"/>
    <w:rsid w:val="008C6723"/>
    <w:rsid w:val="008C678A"/>
    <w:rsid w:val="008C6902"/>
    <w:rsid w:val="008C6A04"/>
    <w:rsid w:val="008C6B63"/>
    <w:rsid w:val="008C6BB1"/>
    <w:rsid w:val="008C6C41"/>
    <w:rsid w:val="008C6F5A"/>
    <w:rsid w:val="008C6F8C"/>
    <w:rsid w:val="008C6FA4"/>
    <w:rsid w:val="008C6FE2"/>
    <w:rsid w:val="008C7260"/>
    <w:rsid w:val="008C74AA"/>
    <w:rsid w:val="008C75E1"/>
    <w:rsid w:val="008C7766"/>
    <w:rsid w:val="008C77A9"/>
    <w:rsid w:val="008C77CB"/>
    <w:rsid w:val="008C78D7"/>
    <w:rsid w:val="008C7967"/>
    <w:rsid w:val="008C7B5D"/>
    <w:rsid w:val="008C7BBC"/>
    <w:rsid w:val="008C7C14"/>
    <w:rsid w:val="008C7C17"/>
    <w:rsid w:val="008C7CB8"/>
    <w:rsid w:val="008C7CC7"/>
    <w:rsid w:val="008C7F94"/>
    <w:rsid w:val="008C7FBC"/>
    <w:rsid w:val="008D0389"/>
    <w:rsid w:val="008D0402"/>
    <w:rsid w:val="008D05D9"/>
    <w:rsid w:val="008D05EC"/>
    <w:rsid w:val="008D0715"/>
    <w:rsid w:val="008D09B7"/>
    <w:rsid w:val="008D09BD"/>
    <w:rsid w:val="008D0A1E"/>
    <w:rsid w:val="008D0B95"/>
    <w:rsid w:val="008D0C54"/>
    <w:rsid w:val="008D0C7D"/>
    <w:rsid w:val="008D0D45"/>
    <w:rsid w:val="008D0DA4"/>
    <w:rsid w:val="008D0DD3"/>
    <w:rsid w:val="008D0F5A"/>
    <w:rsid w:val="008D0FE1"/>
    <w:rsid w:val="008D1077"/>
    <w:rsid w:val="008D1265"/>
    <w:rsid w:val="008D12AC"/>
    <w:rsid w:val="008D13B8"/>
    <w:rsid w:val="008D13E5"/>
    <w:rsid w:val="008D1416"/>
    <w:rsid w:val="008D1642"/>
    <w:rsid w:val="008D1705"/>
    <w:rsid w:val="008D189B"/>
    <w:rsid w:val="008D1AFD"/>
    <w:rsid w:val="008D1C26"/>
    <w:rsid w:val="008D1C72"/>
    <w:rsid w:val="008D1DEB"/>
    <w:rsid w:val="008D1E21"/>
    <w:rsid w:val="008D1EA3"/>
    <w:rsid w:val="008D20CF"/>
    <w:rsid w:val="008D2220"/>
    <w:rsid w:val="008D24CE"/>
    <w:rsid w:val="008D25B1"/>
    <w:rsid w:val="008D2B3F"/>
    <w:rsid w:val="008D2E4D"/>
    <w:rsid w:val="008D2EC2"/>
    <w:rsid w:val="008D2ED0"/>
    <w:rsid w:val="008D2F6E"/>
    <w:rsid w:val="008D3173"/>
    <w:rsid w:val="008D31B3"/>
    <w:rsid w:val="008D339F"/>
    <w:rsid w:val="008D3574"/>
    <w:rsid w:val="008D3947"/>
    <w:rsid w:val="008D3979"/>
    <w:rsid w:val="008D3ABA"/>
    <w:rsid w:val="008D3AE0"/>
    <w:rsid w:val="008D3B33"/>
    <w:rsid w:val="008D3D3D"/>
    <w:rsid w:val="008D3D69"/>
    <w:rsid w:val="008D3DD8"/>
    <w:rsid w:val="008D3E6E"/>
    <w:rsid w:val="008D4321"/>
    <w:rsid w:val="008D44B2"/>
    <w:rsid w:val="008D459A"/>
    <w:rsid w:val="008D47A3"/>
    <w:rsid w:val="008D494B"/>
    <w:rsid w:val="008D4B3C"/>
    <w:rsid w:val="008D4BA4"/>
    <w:rsid w:val="008D4D16"/>
    <w:rsid w:val="008D4F7C"/>
    <w:rsid w:val="008D512B"/>
    <w:rsid w:val="008D5220"/>
    <w:rsid w:val="008D525A"/>
    <w:rsid w:val="008D53B0"/>
    <w:rsid w:val="008D54AC"/>
    <w:rsid w:val="008D5A0B"/>
    <w:rsid w:val="008D5C86"/>
    <w:rsid w:val="008D5EA1"/>
    <w:rsid w:val="008D6127"/>
    <w:rsid w:val="008D64FD"/>
    <w:rsid w:val="008D6870"/>
    <w:rsid w:val="008D6900"/>
    <w:rsid w:val="008D69C4"/>
    <w:rsid w:val="008D69E7"/>
    <w:rsid w:val="008D6AFB"/>
    <w:rsid w:val="008D6B74"/>
    <w:rsid w:val="008D6B93"/>
    <w:rsid w:val="008D6BBA"/>
    <w:rsid w:val="008D6D55"/>
    <w:rsid w:val="008D6E3C"/>
    <w:rsid w:val="008D6E59"/>
    <w:rsid w:val="008D6F71"/>
    <w:rsid w:val="008D7415"/>
    <w:rsid w:val="008D7561"/>
    <w:rsid w:val="008D75D3"/>
    <w:rsid w:val="008D7802"/>
    <w:rsid w:val="008D7876"/>
    <w:rsid w:val="008D78E7"/>
    <w:rsid w:val="008D78EB"/>
    <w:rsid w:val="008D7A27"/>
    <w:rsid w:val="008D7A51"/>
    <w:rsid w:val="008D7AD2"/>
    <w:rsid w:val="008D7B2C"/>
    <w:rsid w:val="008D7C14"/>
    <w:rsid w:val="008D7C80"/>
    <w:rsid w:val="008D7CA2"/>
    <w:rsid w:val="008D7CDD"/>
    <w:rsid w:val="008D7D48"/>
    <w:rsid w:val="008D7EAD"/>
    <w:rsid w:val="008D7F38"/>
    <w:rsid w:val="008D7F95"/>
    <w:rsid w:val="008E0024"/>
    <w:rsid w:val="008E003D"/>
    <w:rsid w:val="008E00F2"/>
    <w:rsid w:val="008E0113"/>
    <w:rsid w:val="008E011B"/>
    <w:rsid w:val="008E0159"/>
    <w:rsid w:val="008E02A7"/>
    <w:rsid w:val="008E0396"/>
    <w:rsid w:val="008E0551"/>
    <w:rsid w:val="008E0705"/>
    <w:rsid w:val="008E087F"/>
    <w:rsid w:val="008E0998"/>
    <w:rsid w:val="008E09C7"/>
    <w:rsid w:val="008E0AD9"/>
    <w:rsid w:val="008E0AF8"/>
    <w:rsid w:val="008E0B12"/>
    <w:rsid w:val="008E0D13"/>
    <w:rsid w:val="008E0D91"/>
    <w:rsid w:val="008E0DB8"/>
    <w:rsid w:val="008E0FD3"/>
    <w:rsid w:val="008E0FFF"/>
    <w:rsid w:val="008E127A"/>
    <w:rsid w:val="008E1347"/>
    <w:rsid w:val="008E13A2"/>
    <w:rsid w:val="008E14C9"/>
    <w:rsid w:val="008E14D2"/>
    <w:rsid w:val="008E1557"/>
    <w:rsid w:val="008E15FE"/>
    <w:rsid w:val="008E175C"/>
    <w:rsid w:val="008E1785"/>
    <w:rsid w:val="008E1943"/>
    <w:rsid w:val="008E19D0"/>
    <w:rsid w:val="008E19E5"/>
    <w:rsid w:val="008E1B76"/>
    <w:rsid w:val="008E1BE6"/>
    <w:rsid w:val="008E1CFB"/>
    <w:rsid w:val="008E20BD"/>
    <w:rsid w:val="008E2437"/>
    <w:rsid w:val="008E2460"/>
    <w:rsid w:val="008E2635"/>
    <w:rsid w:val="008E26F5"/>
    <w:rsid w:val="008E2A31"/>
    <w:rsid w:val="008E2BC9"/>
    <w:rsid w:val="008E2C5D"/>
    <w:rsid w:val="008E2DA4"/>
    <w:rsid w:val="008E2E18"/>
    <w:rsid w:val="008E2F25"/>
    <w:rsid w:val="008E2FEB"/>
    <w:rsid w:val="008E3026"/>
    <w:rsid w:val="008E3072"/>
    <w:rsid w:val="008E326C"/>
    <w:rsid w:val="008E33C5"/>
    <w:rsid w:val="008E3443"/>
    <w:rsid w:val="008E3564"/>
    <w:rsid w:val="008E3632"/>
    <w:rsid w:val="008E3700"/>
    <w:rsid w:val="008E389C"/>
    <w:rsid w:val="008E39A9"/>
    <w:rsid w:val="008E3A0D"/>
    <w:rsid w:val="008E3BE8"/>
    <w:rsid w:val="008E3DC0"/>
    <w:rsid w:val="008E3F29"/>
    <w:rsid w:val="008E3F6F"/>
    <w:rsid w:val="008E4097"/>
    <w:rsid w:val="008E43A8"/>
    <w:rsid w:val="008E43B2"/>
    <w:rsid w:val="008E443D"/>
    <w:rsid w:val="008E4484"/>
    <w:rsid w:val="008E455A"/>
    <w:rsid w:val="008E466A"/>
    <w:rsid w:val="008E4DE3"/>
    <w:rsid w:val="008E4EA3"/>
    <w:rsid w:val="008E4ED2"/>
    <w:rsid w:val="008E4F4F"/>
    <w:rsid w:val="008E5069"/>
    <w:rsid w:val="008E50BA"/>
    <w:rsid w:val="008E5131"/>
    <w:rsid w:val="008E5400"/>
    <w:rsid w:val="008E5624"/>
    <w:rsid w:val="008E5AA3"/>
    <w:rsid w:val="008E5AF9"/>
    <w:rsid w:val="008E5CF6"/>
    <w:rsid w:val="008E5DE6"/>
    <w:rsid w:val="008E5E44"/>
    <w:rsid w:val="008E5FBE"/>
    <w:rsid w:val="008E626A"/>
    <w:rsid w:val="008E6292"/>
    <w:rsid w:val="008E63D2"/>
    <w:rsid w:val="008E63E2"/>
    <w:rsid w:val="008E649F"/>
    <w:rsid w:val="008E655D"/>
    <w:rsid w:val="008E65FA"/>
    <w:rsid w:val="008E6604"/>
    <w:rsid w:val="008E665C"/>
    <w:rsid w:val="008E66D5"/>
    <w:rsid w:val="008E67DD"/>
    <w:rsid w:val="008E68C0"/>
    <w:rsid w:val="008E6B8D"/>
    <w:rsid w:val="008E6C0E"/>
    <w:rsid w:val="008E6E61"/>
    <w:rsid w:val="008E7074"/>
    <w:rsid w:val="008E7133"/>
    <w:rsid w:val="008E71F1"/>
    <w:rsid w:val="008E7200"/>
    <w:rsid w:val="008E7571"/>
    <w:rsid w:val="008E7817"/>
    <w:rsid w:val="008E7898"/>
    <w:rsid w:val="008E79BD"/>
    <w:rsid w:val="008E7B49"/>
    <w:rsid w:val="008E7BFF"/>
    <w:rsid w:val="008F0073"/>
    <w:rsid w:val="008F03B4"/>
    <w:rsid w:val="008F03B5"/>
    <w:rsid w:val="008F0700"/>
    <w:rsid w:val="008F0746"/>
    <w:rsid w:val="008F0868"/>
    <w:rsid w:val="008F08DB"/>
    <w:rsid w:val="008F08DE"/>
    <w:rsid w:val="008F09C2"/>
    <w:rsid w:val="008F0A9D"/>
    <w:rsid w:val="008F0BEC"/>
    <w:rsid w:val="008F0DE0"/>
    <w:rsid w:val="008F0ED1"/>
    <w:rsid w:val="008F1288"/>
    <w:rsid w:val="008F13C7"/>
    <w:rsid w:val="008F156B"/>
    <w:rsid w:val="008F1588"/>
    <w:rsid w:val="008F15D0"/>
    <w:rsid w:val="008F16FA"/>
    <w:rsid w:val="008F17A7"/>
    <w:rsid w:val="008F1819"/>
    <w:rsid w:val="008F1933"/>
    <w:rsid w:val="008F1B57"/>
    <w:rsid w:val="008F1B60"/>
    <w:rsid w:val="008F1C0A"/>
    <w:rsid w:val="008F1DFD"/>
    <w:rsid w:val="008F1F11"/>
    <w:rsid w:val="008F1F12"/>
    <w:rsid w:val="008F208A"/>
    <w:rsid w:val="008F2106"/>
    <w:rsid w:val="008F212D"/>
    <w:rsid w:val="008F22A3"/>
    <w:rsid w:val="008F22DB"/>
    <w:rsid w:val="008F23C4"/>
    <w:rsid w:val="008F2606"/>
    <w:rsid w:val="008F2787"/>
    <w:rsid w:val="008F2797"/>
    <w:rsid w:val="008F27DB"/>
    <w:rsid w:val="008F27F8"/>
    <w:rsid w:val="008F283A"/>
    <w:rsid w:val="008F2911"/>
    <w:rsid w:val="008F2A91"/>
    <w:rsid w:val="008F2B6D"/>
    <w:rsid w:val="008F2B70"/>
    <w:rsid w:val="008F2BA6"/>
    <w:rsid w:val="008F2BD1"/>
    <w:rsid w:val="008F2CC5"/>
    <w:rsid w:val="008F2D8F"/>
    <w:rsid w:val="008F2E59"/>
    <w:rsid w:val="008F2EB7"/>
    <w:rsid w:val="008F3067"/>
    <w:rsid w:val="008F338A"/>
    <w:rsid w:val="008F36A4"/>
    <w:rsid w:val="008F36C5"/>
    <w:rsid w:val="008F3709"/>
    <w:rsid w:val="008F3795"/>
    <w:rsid w:val="008F3826"/>
    <w:rsid w:val="008F3B21"/>
    <w:rsid w:val="008F3C0E"/>
    <w:rsid w:val="008F3D08"/>
    <w:rsid w:val="008F3E4E"/>
    <w:rsid w:val="008F3FA9"/>
    <w:rsid w:val="008F403C"/>
    <w:rsid w:val="008F417E"/>
    <w:rsid w:val="008F420C"/>
    <w:rsid w:val="008F4463"/>
    <w:rsid w:val="008F484D"/>
    <w:rsid w:val="008F48BA"/>
    <w:rsid w:val="008F493A"/>
    <w:rsid w:val="008F4984"/>
    <w:rsid w:val="008F4E1A"/>
    <w:rsid w:val="008F4E59"/>
    <w:rsid w:val="008F5113"/>
    <w:rsid w:val="008F51B3"/>
    <w:rsid w:val="008F52D6"/>
    <w:rsid w:val="008F5376"/>
    <w:rsid w:val="008F5391"/>
    <w:rsid w:val="008F54DA"/>
    <w:rsid w:val="008F55AB"/>
    <w:rsid w:val="008F5C32"/>
    <w:rsid w:val="008F5D6A"/>
    <w:rsid w:val="008F5DA6"/>
    <w:rsid w:val="008F5DFF"/>
    <w:rsid w:val="008F5F34"/>
    <w:rsid w:val="008F5F7E"/>
    <w:rsid w:val="008F5F84"/>
    <w:rsid w:val="008F5FBA"/>
    <w:rsid w:val="008F5FC9"/>
    <w:rsid w:val="008F5FCB"/>
    <w:rsid w:val="008F6018"/>
    <w:rsid w:val="008F601A"/>
    <w:rsid w:val="008F607C"/>
    <w:rsid w:val="008F614E"/>
    <w:rsid w:val="008F61EE"/>
    <w:rsid w:val="008F6415"/>
    <w:rsid w:val="008F6484"/>
    <w:rsid w:val="008F67AF"/>
    <w:rsid w:val="008F6809"/>
    <w:rsid w:val="008F6C60"/>
    <w:rsid w:val="008F6E48"/>
    <w:rsid w:val="008F6ECE"/>
    <w:rsid w:val="008F6EE8"/>
    <w:rsid w:val="008F6EF5"/>
    <w:rsid w:val="008F706A"/>
    <w:rsid w:val="008F7331"/>
    <w:rsid w:val="008F748C"/>
    <w:rsid w:val="008F750B"/>
    <w:rsid w:val="008F7543"/>
    <w:rsid w:val="008F758A"/>
    <w:rsid w:val="008F7660"/>
    <w:rsid w:val="008F7789"/>
    <w:rsid w:val="008F7818"/>
    <w:rsid w:val="008F7893"/>
    <w:rsid w:val="008F78BF"/>
    <w:rsid w:val="008F7B60"/>
    <w:rsid w:val="008F7E22"/>
    <w:rsid w:val="008F7EA2"/>
    <w:rsid w:val="008F7F28"/>
    <w:rsid w:val="008F7F2E"/>
    <w:rsid w:val="009002EE"/>
    <w:rsid w:val="0090034A"/>
    <w:rsid w:val="009003F1"/>
    <w:rsid w:val="00900472"/>
    <w:rsid w:val="0090065B"/>
    <w:rsid w:val="009006DA"/>
    <w:rsid w:val="009007CE"/>
    <w:rsid w:val="00900845"/>
    <w:rsid w:val="009009FA"/>
    <w:rsid w:val="00900A2E"/>
    <w:rsid w:val="00900C8B"/>
    <w:rsid w:val="00900D94"/>
    <w:rsid w:val="00900EED"/>
    <w:rsid w:val="00900F6F"/>
    <w:rsid w:val="00900F8D"/>
    <w:rsid w:val="00901009"/>
    <w:rsid w:val="00901115"/>
    <w:rsid w:val="009012CF"/>
    <w:rsid w:val="0090141D"/>
    <w:rsid w:val="009014BA"/>
    <w:rsid w:val="00901897"/>
    <w:rsid w:val="009018DC"/>
    <w:rsid w:val="00901956"/>
    <w:rsid w:val="00901988"/>
    <w:rsid w:val="009019E1"/>
    <w:rsid w:val="00901AB1"/>
    <w:rsid w:val="00901BBB"/>
    <w:rsid w:val="00901C0E"/>
    <w:rsid w:val="00901C52"/>
    <w:rsid w:val="00901DF9"/>
    <w:rsid w:val="00901EA0"/>
    <w:rsid w:val="00901F4F"/>
    <w:rsid w:val="00901F65"/>
    <w:rsid w:val="00902076"/>
    <w:rsid w:val="009021B6"/>
    <w:rsid w:val="00902247"/>
    <w:rsid w:val="00902380"/>
    <w:rsid w:val="0090243B"/>
    <w:rsid w:val="00902453"/>
    <w:rsid w:val="00902472"/>
    <w:rsid w:val="009025F5"/>
    <w:rsid w:val="009027FA"/>
    <w:rsid w:val="00902EA6"/>
    <w:rsid w:val="00903011"/>
    <w:rsid w:val="0090320F"/>
    <w:rsid w:val="00903268"/>
    <w:rsid w:val="0090338F"/>
    <w:rsid w:val="009033B5"/>
    <w:rsid w:val="00903498"/>
    <w:rsid w:val="00903675"/>
    <w:rsid w:val="009037F7"/>
    <w:rsid w:val="0090391D"/>
    <w:rsid w:val="00903A36"/>
    <w:rsid w:val="00903A4B"/>
    <w:rsid w:val="00903AD5"/>
    <w:rsid w:val="00903B1D"/>
    <w:rsid w:val="00903BF2"/>
    <w:rsid w:val="00903F87"/>
    <w:rsid w:val="00903FCD"/>
    <w:rsid w:val="00904103"/>
    <w:rsid w:val="00904688"/>
    <w:rsid w:val="009047F9"/>
    <w:rsid w:val="009048A2"/>
    <w:rsid w:val="00904B14"/>
    <w:rsid w:val="00904C52"/>
    <w:rsid w:val="00904C73"/>
    <w:rsid w:val="00904D7F"/>
    <w:rsid w:val="00904E97"/>
    <w:rsid w:val="00904F12"/>
    <w:rsid w:val="00905047"/>
    <w:rsid w:val="00905182"/>
    <w:rsid w:val="0090527B"/>
    <w:rsid w:val="0090539C"/>
    <w:rsid w:val="0090551F"/>
    <w:rsid w:val="009056E9"/>
    <w:rsid w:val="00905876"/>
    <w:rsid w:val="009059BC"/>
    <w:rsid w:val="00905BFF"/>
    <w:rsid w:val="00905C24"/>
    <w:rsid w:val="00905CD9"/>
    <w:rsid w:val="00905F9D"/>
    <w:rsid w:val="009062F5"/>
    <w:rsid w:val="0090651E"/>
    <w:rsid w:val="00906538"/>
    <w:rsid w:val="00906550"/>
    <w:rsid w:val="00906746"/>
    <w:rsid w:val="0090678F"/>
    <w:rsid w:val="0090686D"/>
    <w:rsid w:val="00906A9C"/>
    <w:rsid w:val="00906B2A"/>
    <w:rsid w:val="00906BFD"/>
    <w:rsid w:val="00906DB5"/>
    <w:rsid w:val="00907215"/>
    <w:rsid w:val="009075C1"/>
    <w:rsid w:val="00907A18"/>
    <w:rsid w:val="00907A5E"/>
    <w:rsid w:val="00907BC3"/>
    <w:rsid w:val="00907E6D"/>
    <w:rsid w:val="00907EC3"/>
    <w:rsid w:val="00907F1E"/>
    <w:rsid w:val="00907FE0"/>
    <w:rsid w:val="0091038A"/>
    <w:rsid w:val="009104E4"/>
    <w:rsid w:val="0091065E"/>
    <w:rsid w:val="009106CC"/>
    <w:rsid w:val="009106E1"/>
    <w:rsid w:val="009107B8"/>
    <w:rsid w:val="00910840"/>
    <w:rsid w:val="00910E6B"/>
    <w:rsid w:val="00910ECD"/>
    <w:rsid w:val="00910F77"/>
    <w:rsid w:val="00910F93"/>
    <w:rsid w:val="00910FEC"/>
    <w:rsid w:val="00911027"/>
    <w:rsid w:val="00911174"/>
    <w:rsid w:val="0091121D"/>
    <w:rsid w:val="009112C7"/>
    <w:rsid w:val="00911439"/>
    <w:rsid w:val="00911494"/>
    <w:rsid w:val="009114BE"/>
    <w:rsid w:val="009114C1"/>
    <w:rsid w:val="0091152C"/>
    <w:rsid w:val="009116FE"/>
    <w:rsid w:val="00911904"/>
    <w:rsid w:val="009119B2"/>
    <w:rsid w:val="009119C4"/>
    <w:rsid w:val="00911A69"/>
    <w:rsid w:val="00911B53"/>
    <w:rsid w:val="00911B6C"/>
    <w:rsid w:val="00911EC8"/>
    <w:rsid w:val="00911FBC"/>
    <w:rsid w:val="0091223A"/>
    <w:rsid w:val="00912257"/>
    <w:rsid w:val="0091225D"/>
    <w:rsid w:val="00912345"/>
    <w:rsid w:val="0091253D"/>
    <w:rsid w:val="009125D4"/>
    <w:rsid w:val="00912628"/>
    <w:rsid w:val="009129AA"/>
    <w:rsid w:val="00912AB8"/>
    <w:rsid w:val="00912B42"/>
    <w:rsid w:val="00912B71"/>
    <w:rsid w:val="00912E42"/>
    <w:rsid w:val="00912F4A"/>
    <w:rsid w:val="00913070"/>
    <w:rsid w:val="009130AC"/>
    <w:rsid w:val="00913213"/>
    <w:rsid w:val="00913472"/>
    <w:rsid w:val="009134B6"/>
    <w:rsid w:val="009135C1"/>
    <w:rsid w:val="009137D2"/>
    <w:rsid w:val="009137FA"/>
    <w:rsid w:val="00913938"/>
    <w:rsid w:val="00913BDB"/>
    <w:rsid w:val="00913CFF"/>
    <w:rsid w:val="00913E73"/>
    <w:rsid w:val="009141B0"/>
    <w:rsid w:val="00914232"/>
    <w:rsid w:val="009142BC"/>
    <w:rsid w:val="00914327"/>
    <w:rsid w:val="009143BC"/>
    <w:rsid w:val="0091451A"/>
    <w:rsid w:val="009145C8"/>
    <w:rsid w:val="009145E4"/>
    <w:rsid w:val="009145EF"/>
    <w:rsid w:val="0091462A"/>
    <w:rsid w:val="00914638"/>
    <w:rsid w:val="00914A4A"/>
    <w:rsid w:val="00914A63"/>
    <w:rsid w:val="00914A6A"/>
    <w:rsid w:val="00914CDD"/>
    <w:rsid w:val="00915092"/>
    <w:rsid w:val="00915203"/>
    <w:rsid w:val="009153E5"/>
    <w:rsid w:val="00915443"/>
    <w:rsid w:val="00915571"/>
    <w:rsid w:val="00915575"/>
    <w:rsid w:val="00915823"/>
    <w:rsid w:val="0091583F"/>
    <w:rsid w:val="00915856"/>
    <w:rsid w:val="0091589E"/>
    <w:rsid w:val="00915AF7"/>
    <w:rsid w:val="00915DA5"/>
    <w:rsid w:val="00916042"/>
    <w:rsid w:val="009161B1"/>
    <w:rsid w:val="009161C4"/>
    <w:rsid w:val="009162C5"/>
    <w:rsid w:val="009163AD"/>
    <w:rsid w:val="00916610"/>
    <w:rsid w:val="00916709"/>
    <w:rsid w:val="009169E9"/>
    <w:rsid w:val="00916B45"/>
    <w:rsid w:val="00916C1B"/>
    <w:rsid w:val="00916D43"/>
    <w:rsid w:val="00916DEC"/>
    <w:rsid w:val="00916F25"/>
    <w:rsid w:val="00916F4F"/>
    <w:rsid w:val="00917068"/>
    <w:rsid w:val="009170CE"/>
    <w:rsid w:val="009170F1"/>
    <w:rsid w:val="009172FE"/>
    <w:rsid w:val="009173F8"/>
    <w:rsid w:val="0091753A"/>
    <w:rsid w:val="0091773E"/>
    <w:rsid w:val="0091782A"/>
    <w:rsid w:val="00917A91"/>
    <w:rsid w:val="00917B2D"/>
    <w:rsid w:val="00917F1D"/>
    <w:rsid w:val="00920024"/>
    <w:rsid w:val="009203EE"/>
    <w:rsid w:val="009204F2"/>
    <w:rsid w:val="0092058E"/>
    <w:rsid w:val="009205D1"/>
    <w:rsid w:val="0092096E"/>
    <w:rsid w:val="009209DA"/>
    <w:rsid w:val="00920A60"/>
    <w:rsid w:val="00920AF4"/>
    <w:rsid w:val="00920C6D"/>
    <w:rsid w:val="00920CC7"/>
    <w:rsid w:val="00920DDF"/>
    <w:rsid w:val="00920EE3"/>
    <w:rsid w:val="00920F10"/>
    <w:rsid w:val="00920F1F"/>
    <w:rsid w:val="0092103E"/>
    <w:rsid w:val="00921055"/>
    <w:rsid w:val="00921096"/>
    <w:rsid w:val="009210CC"/>
    <w:rsid w:val="0092115A"/>
    <w:rsid w:val="0092123F"/>
    <w:rsid w:val="009213A6"/>
    <w:rsid w:val="0092141B"/>
    <w:rsid w:val="009216BA"/>
    <w:rsid w:val="00921713"/>
    <w:rsid w:val="0092177D"/>
    <w:rsid w:val="00921935"/>
    <w:rsid w:val="00921B49"/>
    <w:rsid w:val="00921D8A"/>
    <w:rsid w:val="00921ED8"/>
    <w:rsid w:val="00921EE6"/>
    <w:rsid w:val="00921F69"/>
    <w:rsid w:val="00921F80"/>
    <w:rsid w:val="00922092"/>
    <w:rsid w:val="00922111"/>
    <w:rsid w:val="0092218E"/>
    <w:rsid w:val="009222AD"/>
    <w:rsid w:val="00922316"/>
    <w:rsid w:val="009223CC"/>
    <w:rsid w:val="00922583"/>
    <w:rsid w:val="009225A7"/>
    <w:rsid w:val="009227B9"/>
    <w:rsid w:val="00922825"/>
    <w:rsid w:val="0092282C"/>
    <w:rsid w:val="00922A0D"/>
    <w:rsid w:val="00922A49"/>
    <w:rsid w:val="00922B05"/>
    <w:rsid w:val="00922B7C"/>
    <w:rsid w:val="00922B83"/>
    <w:rsid w:val="00922E41"/>
    <w:rsid w:val="00922E74"/>
    <w:rsid w:val="00922FC9"/>
    <w:rsid w:val="009233AE"/>
    <w:rsid w:val="009234B0"/>
    <w:rsid w:val="0092373B"/>
    <w:rsid w:val="0092390A"/>
    <w:rsid w:val="0092397E"/>
    <w:rsid w:val="00923A13"/>
    <w:rsid w:val="00923A57"/>
    <w:rsid w:val="00923AFB"/>
    <w:rsid w:val="00923B73"/>
    <w:rsid w:val="00923C11"/>
    <w:rsid w:val="00923C9A"/>
    <w:rsid w:val="00923CFF"/>
    <w:rsid w:val="00923D15"/>
    <w:rsid w:val="00923D4B"/>
    <w:rsid w:val="00923ECC"/>
    <w:rsid w:val="00923F07"/>
    <w:rsid w:val="00923FFE"/>
    <w:rsid w:val="009240E7"/>
    <w:rsid w:val="009241A7"/>
    <w:rsid w:val="00924296"/>
    <w:rsid w:val="00924318"/>
    <w:rsid w:val="009243C1"/>
    <w:rsid w:val="00924572"/>
    <w:rsid w:val="009245FF"/>
    <w:rsid w:val="00924627"/>
    <w:rsid w:val="00924655"/>
    <w:rsid w:val="00924804"/>
    <w:rsid w:val="00924843"/>
    <w:rsid w:val="009248CF"/>
    <w:rsid w:val="0092492B"/>
    <w:rsid w:val="00924BCC"/>
    <w:rsid w:val="00924E1C"/>
    <w:rsid w:val="00924E44"/>
    <w:rsid w:val="00924F05"/>
    <w:rsid w:val="00924F2E"/>
    <w:rsid w:val="00925000"/>
    <w:rsid w:val="0092511B"/>
    <w:rsid w:val="009251E2"/>
    <w:rsid w:val="0092523A"/>
    <w:rsid w:val="0092536D"/>
    <w:rsid w:val="00925414"/>
    <w:rsid w:val="00925441"/>
    <w:rsid w:val="0092545B"/>
    <w:rsid w:val="00925640"/>
    <w:rsid w:val="009256B2"/>
    <w:rsid w:val="00925706"/>
    <w:rsid w:val="00925746"/>
    <w:rsid w:val="0092582D"/>
    <w:rsid w:val="00925A42"/>
    <w:rsid w:val="00925AA5"/>
    <w:rsid w:val="00925C3F"/>
    <w:rsid w:val="00925E2D"/>
    <w:rsid w:val="00925EED"/>
    <w:rsid w:val="0092622E"/>
    <w:rsid w:val="00926312"/>
    <w:rsid w:val="00926423"/>
    <w:rsid w:val="00926833"/>
    <w:rsid w:val="009269AF"/>
    <w:rsid w:val="00926C95"/>
    <w:rsid w:val="00926D55"/>
    <w:rsid w:val="00926E45"/>
    <w:rsid w:val="00926FA1"/>
    <w:rsid w:val="00927011"/>
    <w:rsid w:val="009270F0"/>
    <w:rsid w:val="00927462"/>
    <w:rsid w:val="00927534"/>
    <w:rsid w:val="00927563"/>
    <w:rsid w:val="009276F7"/>
    <w:rsid w:val="0092789D"/>
    <w:rsid w:val="00927A08"/>
    <w:rsid w:val="00927AAE"/>
    <w:rsid w:val="00927BF0"/>
    <w:rsid w:val="00927EBD"/>
    <w:rsid w:val="00930213"/>
    <w:rsid w:val="00930251"/>
    <w:rsid w:val="00930265"/>
    <w:rsid w:val="009303C7"/>
    <w:rsid w:val="00930658"/>
    <w:rsid w:val="009307A2"/>
    <w:rsid w:val="00930887"/>
    <w:rsid w:val="009308E7"/>
    <w:rsid w:val="009308EF"/>
    <w:rsid w:val="009309D8"/>
    <w:rsid w:val="009309FE"/>
    <w:rsid w:val="00930A31"/>
    <w:rsid w:val="00930A59"/>
    <w:rsid w:val="00930B1C"/>
    <w:rsid w:val="00930B69"/>
    <w:rsid w:val="00930BDF"/>
    <w:rsid w:val="00930D28"/>
    <w:rsid w:val="00930DF4"/>
    <w:rsid w:val="00930EF0"/>
    <w:rsid w:val="00930F4A"/>
    <w:rsid w:val="009310B0"/>
    <w:rsid w:val="009311D8"/>
    <w:rsid w:val="009311DE"/>
    <w:rsid w:val="0093122C"/>
    <w:rsid w:val="00931246"/>
    <w:rsid w:val="009312E8"/>
    <w:rsid w:val="00931510"/>
    <w:rsid w:val="009317F5"/>
    <w:rsid w:val="00931814"/>
    <w:rsid w:val="00931AD1"/>
    <w:rsid w:val="00931B49"/>
    <w:rsid w:val="0093203F"/>
    <w:rsid w:val="009321C8"/>
    <w:rsid w:val="009322A1"/>
    <w:rsid w:val="009324D6"/>
    <w:rsid w:val="00932652"/>
    <w:rsid w:val="00932751"/>
    <w:rsid w:val="009328E3"/>
    <w:rsid w:val="00932A35"/>
    <w:rsid w:val="00932B41"/>
    <w:rsid w:val="00932C46"/>
    <w:rsid w:val="00932DE7"/>
    <w:rsid w:val="00932F2A"/>
    <w:rsid w:val="00932F9A"/>
    <w:rsid w:val="00932FB9"/>
    <w:rsid w:val="00932FE3"/>
    <w:rsid w:val="0093331A"/>
    <w:rsid w:val="00933381"/>
    <w:rsid w:val="009333D1"/>
    <w:rsid w:val="0093340B"/>
    <w:rsid w:val="00933490"/>
    <w:rsid w:val="009335E3"/>
    <w:rsid w:val="00933645"/>
    <w:rsid w:val="00933699"/>
    <w:rsid w:val="00933752"/>
    <w:rsid w:val="00933849"/>
    <w:rsid w:val="009339A5"/>
    <w:rsid w:val="00933B6F"/>
    <w:rsid w:val="00933BE4"/>
    <w:rsid w:val="00933C23"/>
    <w:rsid w:val="00933D59"/>
    <w:rsid w:val="009345B6"/>
    <w:rsid w:val="0093470C"/>
    <w:rsid w:val="00934765"/>
    <w:rsid w:val="009347FB"/>
    <w:rsid w:val="0093486E"/>
    <w:rsid w:val="0093497A"/>
    <w:rsid w:val="00934A1D"/>
    <w:rsid w:val="00934A2D"/>
    <w:rsid w:val="00934A82"/>
    <w:rsid w:val="00934AB2"/>
    <w:rsid w:val="00934B54"/>
    <w:rsid w:val="00934B82"/>
    <w:rsid w:val="00934C31"/>
    <w:rsid w:val="00934CE3"/>
    <w:rsid w:val="00934ED2"/>
    <w:rsid w:val="00934F6D"/>
    <w:rsid w:val="00934FC3"/>
    <w:rsid w:val="00935200"/>
    <w:rsid w:val="0093541F"/>
    <w:rsid w:val="00935429"/>
    <w:rsid w:val="00935622"/>
    <w:rsid w:val="00935666"/>
    <w:rsid w:val="009357BA"/>
    <w:rsid w:val="0093599E"/>
    <w:rsid w:val="00935AC6"/>
    <w:rsid w:val="009361F6"/>
    <w:rsid w:val="0093632F"/>
    <w:rsid w:val="00936399"/>
    <w:rsid w:val="009363DD"/>
    <w:rsid w:val="009363E1"/>
    <w:rsid w:val="00936656"/>
    <w:rsid w:val="009366C0"/>
    <w:rsid w:val="00936ED4"/>
    <w:rsid w:val="00936F33"/>
    <w:rsid w:val="00936F61"/>
    <w:rsid w:val="0093705F"/>
    <w:rsid w:val="009372D8"/>
    <w:rsid w:val="009374F6"/>
    <w:rsid w:val="0093752D"/>
    <w:rsid w:val="00937620"/>
    <w:rsid w:val="00937734"/>
    <w:rsid w:val="009378D0"/>
    <w:rsid w:val="00937AF4"/>
    <w:rsid w:val="009400AD"/>
    <w:rsid w:val="0094019D"/>
    <w:rsid w:val="00940229"/>
    <w:rsid w:val="009404A6"/>
    <w:rsid w:val="0094064D"/>
    <w:rsid w:val="009408BA"/>
    <w:rsid w:val="00940A86"/>
    <w:rsid w:val="00940AAC"/>
    <w:rsid w:val="00940AEC"/>
    <w:rsid w:val="00941153"/>
    <w:rsid w:val="00941193"/>
    <w:rsid w:val="009412D8"/>
    <w:rsid w:val="009413E0"/>
    <w:rsid w:val="009414A0"/>
    <w:rsid w:val="009414B0"/>
    <w:rsid w:val="00941531"/>
    <w:rsid w:val="00941546"/>
    <w:rsid w:val="0094158E"/>
    <w:rsid w:val="00941620"/>
    <w:rsid w:val="00941824"/>
    <w:rsid w:val="0094193F"/>
    <w:rsid w:val="00941AD8"/>
    <w:rsid w:val="00941B7B"/>
    <w:rsid w:val="00941DAF"/>
    <w:rsid w:val="00941E86"/>
    <w:rsid w:val="00941EC8"/>
    <w:rsid w:val="00941F5A"/>
    <w:rsid w:val="00941F67"/>
    <w:rsid w:val="00942021"/>
    <w:rsid w:val="00942098"/>
    <w:rsid w:val="00942113"/>
    <w:rsid w:val="009421E2"/>
    <w:rsid w:val="00942208"/>
    <w:rsid w:val="009423E6"/>
    <w:rsid w:val="009426F9"/>
    <w:rsid w:val="00942754"/>
    <w:rsid w:val="009429E4"/>
    <w:rsid w:val="00942A0C"/>
    <w:rsid w:val="00942A1A"/>
    <w:rsid w:val="00942C11"/>
    <w:rsid w:val="00942D60"/>
    <w:rsid w:val="00942DEE"/>
    <w:rsid w:val="00943006"/>
    <w:rsid w:val="00943085"/>
    <w:rsid w:val="009431C4"/>
    <w:rsid w:val="0094325B"/>
    <w:rsid w:val="00943273"/>
    <w:rsid w:val="00943422"/>
    <w:rsid w:val="0094344E"/>
    <w:rsid w:val="00943482"/>
    <w:rsid w:val="00943608"/>
    <w:rsid w:val="00943653"/>
    <w:rsid w:val="00943AF4"/>
    <w:rsid w:val="00943D19"/>
    <w:rsid w:val="00943E9A"/>
    <w:rsid w:val="00943EC0"/>
    <w:rsid w:val="00943FB2"/>
    <w:rsid w:val="00944098"/>
    <w:rsid w:val="00944099"/>
    <w:rsid w:val="00944108"/>
    <w:rsid w:val="00944230"/>
    <w:rsid w:val="009443B7"/>
    <w:rsid w:val="00944405"/>
    <w:rsid w:val="0094480C"/>
    <w:rsid w:val="009449BE"/>
    <w:rsid w:val="00944A29"/>
    <w:rsid w:val="00944AA2"/>
    <w:rsid w:val="00944B63"/>
    <w:rsid w:val="00944B9A"/>
    <w:rsid w:val="00944D13"/>
    <w:rsid w:val="00944D19"/>
    <w:rsid w:val="00944D32"/>
    <w:rsid w:val="00944D4F"/>
    <w:rsid w:val="00944E59"/>
    <w:rsid w:val="00944EAC"/>
    <w:rsid w:val="00944F2F"/>
    <w:rsid w:val="00944F71"/>
    <w:rsid w:val="00944FFD"/>
    <w:rsid w:val="009450E9"/>
    <w:rsid w:val="00945493"/>
    <w:rsid w:val="009455BE"/>
    <w:rsid w:val="009456E1"/>
    <w:rsid w:val="009457C8"/>
    <w:rsid w:val="009458D2"/>
    <w:rsid w:val="00945997"/>
    <w:rsid w:val="00945C17"/>
    <w:rsid w:val="00945D1E"/>
    <w:rsid w:val="00946094"/>
    <w:rsid w:val="0094626B"/>
    <w:rsid w:val="00946395"/>
    <w:rsid w:val="009463E2"/>
    <w:rsid w:val="0094644E"/>
    <w:rsid w:val="00946541"/>
    <w:rsid w:val="009467CF"/>
    <w:rsid w:val="009468DB"/>
    <w:rsid w:val="00946B01"/>
    <w:rsid w:val="00946B88"/>
    <w:rsid w:val="00946C7F"/>
    <w:rsid w:val="00946CED"/>
    <w:rsid w:val="00946DAD"/>
    <w:rsid w:val="00946DB7"/>
    <w:rsid w:val="00946E69"/>
    <w:rsid w:val="00946EB8"/>
    <w:rsid w:val="00946F1B"/>
    <w:rsid w:val="00946F1D"/>
    <w:rsid w:val="0094706C"/>
    <w:rsid w:val="009470BE"/>
    <w:rsid w:val="009471D3"/>
    <w:rsid w:val="009473EA"/>
    <w:rsid w:val="00947421"/>
    <w:rsid w:val="009474A8"/>
    <w:rsid w:val="009475B6"/>
    <w:rsid w:val="0094762B"/>
    <w:rsid w:val="00947853"/>
    <w:rsid w:val="0094797C"/>
    <w:rsid w:val="00947A3E"/>
    <w:rsid w:val="00947A89"/>
    <w:rsid w:val="00947B16"/>
    <w:rsid w:val="00947B85"/>
    <w:rsid w:val="00947E90"/>
    <w:rsid w:val="00947FC4"/>
    <w:rsid w:val="00950052"/>
    <w:rsid w:val="00950126"/>
    <w:rsid w:val="0095015C"/>
    <w:rsid w:val="0095015E"/>
    <w:rsid w:val="00950475"/>
    <w:rsid w:val="00950608"/>
    <w:rsid w:val="0095061B"/>
    <w:rsid w:val="0095075A"/>
    <w:rsid w:val="0095079E"/>
    <w:rsid w:val="00950899"/>
    <w:rsid w:val="00950918"/>
    <w:rsid w:val="00950946"/>
    <w:rsid w:val="00950D77"/>
    <w:rsid w:val="00950D93"/>
    <w:rsid w:val="00950F7B"/>
    <w:rsid w:val="0095122B"/>
    <w:rsid w:val="00951366"/>
    <w:rsid w:val="009513B0"/>
    <w:rsid w:val="009513CF"/>
    <w:rsid w:val="009513E1"/>
    <w:rsid w:val="00951460"/>
    <w:rsid w:val="009514D4"/>
    <w:rsid w:val="0095154F"/>
    <w:rsid w:val="0095167C"/>
    <w:rsid w:val="009516C9"/>
    <w:rsid w:val="0095188D"/>
    <w:rsid w:val="009519AE"/>
    <w:rsid w:val="00951A45"/>
    <w:rsid w:val="00951AE6"/>
    <w:rsid w:val="00951B1E"/>
    <w:rsid w:val="00951BB3"/>
    <w:rsid w:val="00951D4D"/>
    <w:rsid w:val="00951DE8"/>
    <w:rsid w:val="00951E08"/>
    <w:rsid w:val="00951F17"/>
    <w:rsid w:val="00951FC2"/>
    <w:rsid w:val="0095203E"/>
    <w:rsid w:val="00952228"/>
    <w:rsid w:val="0095237B"/>
    <w:rsid w:val="0095244A"/>
    <w:rsid w:val="00952507"/>
    <w:rsid w:val="00952513"/>
    <w:rsid w:val="009525B4"/>
    <w:rsid w:val="009526DE"/>
    <w:rsid w:val="0095287E"/>
    <w:rsid w:val="0095298A"/>
    <w:rsid w:val="009529D8"/>
    <w:rsid w:val="00952EE5"/>
    <w:rsid w:val="00952FEC"/>
    <w:rsid w:val="00953283"/>
    <w:rsid w:val="00953332"/>
    <w:rsid w:val="00953370"/>
    <w:rsid w:val="009533F6"/>
    <w:rsid w:val="009535DA"/>
    <w:rsid w:val="00953750"/>
    <w:rsid w:val="009537A7"/>
    <w:rsid w:val="0095396E"/>
    <w:rsid w:val="00953A1A"/>
    <w:rsid w:val="00953A54"/>
    <w:rsid w:val="00953A6D"/>
    <w:rsid w:val="00953B39"/>
    <w:rsid w:val="00953BA1"/>
    <w:rsid w:val="00953CF9"/>
    <w:rsid w:val="00953E8A"/>
    <w:rsid w:val="00953E98"/>
    <w:rsid w:val="00953EBE"/>
    <w:rsid w:val="00953F34"/>
    <w:rsid w:val="00953F4A"/>
    <w:rsid w:val="009540DF"/>
    <w:rsid w:val="00954223"/>
    <w:rsid w:val="00954247"/>
    <w:rsid w:val="00954261"/>
    <w:rsid w:val="0095434C"/>
    <w:rsid w:val="009543F5"/>
    <w:rsid w:val="00954462"/>
    <w:rsid w:val="009544BA"/>
    <w:rsid w:val="0095458F"/>
    <w:rsid w:val="009546CD"/>
    <w:rsid w:val="009547EC"/>
    <w:rsid w:val="00954A97"/>
    <w:rsid w:val="00954ABD"/>
    <w:rsid w:val="00954AC4"/>
    <w:rsid w:val="00954C64"/>
    <w:rsid w:val="00954D2F"/>
    <w:rsid w:val="00954D75"/>
    <w:rsid w:val="00954E64"/>
    <w:rsid w:val="00954EA9"/>
    <w:rsid w:val="00954F1C"/>
    <w:rsid w:val="0095508E"/>
    <w:rsid w:val="009550B3"/>
    <w:rsid w:val="009550FC"/>
    <w:rsid w:val="0095513C"/>
    <w:rsid w:val="009554A4"/>
    <w:rsid w:val="0095558F"/>
    <w:rsid w:val="009556E4"/>
    <w:rsid w:val="009557C6"/>
    <w:rsid w:val="00955864"/>
    <w:rsid w:val="0095586B"/>
    <w:rsid w:val="0095591F"/>
    <w:rsid w:val="009559FE"/>
    <w:rsid w:val="00955B83"/>
    <w:rsid w:val="00955BA6"/>
    <w:rsid w:val="00955CBF"/>
    <w:rsid w:val="00955D02"/>
    <w:rsid w:val="00955EFD"/>
    <w:rsid w:val="009560C8"/>
    <w:rsid w:val="0095613D"/>
    <w:rsid w:val="00956279"/>
    <w:rsid w:val="00956288"/>
    <w:rsid w:val="00956394"/>
    <w:rsid w:val="00956408"/>
    <w:rsid w:val="00956567"/>
    <w:rsid w:val="009565E2"/>
    <w:rsid w:val="00956662"/>
    <w:rsid w:val="009566BF"/>
    <w:rsid w:val="009567BB"/>
    <w:rsid w:val="00956918"/>
    <w:rsid w:val="00956941"/>
    <w:rsid w:val="009569EF"/>
    <w:rsid w:val="00956A13"/>
    <w:rsid w:val="00956B3E"/>
    <w:rsid w:val="00956B9E"/>
    <w:rsid w:val="00956F3F"/>
    <w:rsid w:val="00956FAA"/>
    <w:rsid w:val="009570B7"/>
    <w:rsid w:val="00957201"/>
    <w:rsid w:val="0095731A"/>
    <w:rsid w:val="00957329"/>
    <w:rsid w:val="00957524"/>
    <w:rsid w:val="00957979"/>
    <w:rsid w:val="009579EC"/>
    <w:rsid w:val="00957B3F"/>
    <w:rsid w:val="00957C73"/>
    <w:rsid w:val="00957C76"/>
    <w:rsid w:val="00957D1D"/>
    <w:rsid w:val="00957DB0"/>
    <w:rsid w:val="00957DEB"/>
    <w:rsid w:val="00957E6B"/>
    <w:rsid w:val="00957F54"/>
    <w:rsid w:val="00957FB9"/>
    <w:rsid w:val="00957FCF"/>
    <w:rsid w:val="00957FE1"/>
    <w:rsid w:val="009600CF"/>
    <w:rsid w:val="0096018F"/>
    <w:rsid w:val="0096043D"/>
    <w:rsid w:val="009604DE"/>
    <w:rsid w:val="0096055C"/>
    <w:rsid w:val="00960653"/>
    <w:rsid w:val="009607CC"/>
    <w:rsid w:val="009607DE"/>
    <w:rsid w:val="009608D8"/>
    <w:rsid w:val="00960980"/>
    <w:rsid w:val="009609E7"/>
    <w:rsid w:val="00960A47"/>
    <w:rsid w:val="00960ACA"/>
    <w:rsid w:val="00960DE1"/>
    <w:rsid w:val="00960E5C"/>
    <w:rsid w:val="00960EB2"/>
    <w:rsid w:val="00960EFA"/>
    <w:rsid w:val="00960F02"/>
    <w:rsid w:val="00960FA9"/>
    <w:rsid w:val="00960FC6"/>
    <w:rsid w:val="00961085"/>
    <w:rsid w:val="009610C3"/>
    <w:rsid w:val="009611A5"/>
    <w:rsid w:val="00961249"/>
    <w:rsid w:val="00961330"/>
    <w:rsid w:val="009613D6"/>
    <w:rsid w:val="00961448"/>
    <w:rsid w:val="00961559"/>
    <w:rsid w:val="00961561"/>
    <w:rsid w:val="0096158F"/>
    <w:rsid w:val="009615BF"/>
    <w:rsid w:val="009615DA"/>
    <w:rsid w:val="00961727"/>
    <w:rsid w:val="009619D0"/>
    <w:rsid w:val="00961BB9"/>
    <w:rsid w:val="00961F80"/>
    <w:rsid w:val="00962005"/>
    <w:rsid w:val="0096202D"/>
    <w:rsid w:val="00962202"/>
    <w:rsid w:val="0096226F"/>
    <w:rsid w:val="009622DF"/>
    <w:rsid w:val="009623FE"/>
    <w:rsid w:val="009625BB"/>
    <w:rsid w:val="00962612"/>
    <w:rsid w:val="00962644"/>
    <w:rsid w:val="0096285D"/>
    <w:rsid w:val="00962891"/>
    <w:rsid w:val="0096295F"/>
    <w:rsid w:val="00962A6B"/>
    <w:rsid w:val="00962C42"/>
    <w:rsid w:val="00962C8D"/>
    <w:rsid w:val="00962CEF"/>
    <w:rsid w:val="00962E41"/>
    <w:rsid w:val="00962E7C"/>
    <w:rsid w:val="009630E8"/>
    <w:rsid w:val="00963247"/>
    <w:rsid w:val="009632D1"/>
    <w:rsid w:val="00963349"/>
    <w:rsid w:val="00963481"/>
    <w:rsid w:val="00963653"/>
    <w:rsid w:val="0096367A"/>
    <w:rsid w:val="0096368D"/>
    <w:rsid w:val="00963743"/>
    <w:rsid w:val="00963787"/>
    <w:rsid w:val="009637B0"/>
    <w:rsid w:val="00963806"/>
    <w:rsid w:val="00963A05"/>
    <w:rsid w:val="00963A41"/>
    <w:rsid w:val="00963BB5"/>
    <w:rsid w:val="00963D12"/>
    <w:rsid w:val="00963E8D"/>
    <w:rsid w:val="009640C7"/>
    <w:rsid w:val="009641AA"/>
    <w:rsid w:val="00964201"/>
    <w:rsid w:val="0096421C"/>
    <w:rsid w:val="009642FC"/>
    <w:rsid w:val="0096438D"/>
    <w:rsid w:val="009643C0"/>
    <w:rsid w:val="009643C2"/>
    <w:rsid w:val="00964B2B"/>
    <w:rsid w:val="00964FA9"/>
    <w:rsid w:val="009650D2"/>
    <w:rsid w:val="00965102"/>
    <w:rsid w:val="009651AA"/>
    <w:rsid w:val="009651F0"/>
    <w:rsid w:val="0096527F"/>
    <w:rsid w:val="009654F7"/>
    <w:rsid w:val="00965725"/>
    <w:rsid w:val="00965897"/>
    <w:rsid w:val="00965966"/>
    <w:rsid w:val="00965A3B"/>
    <w:rsid w:val="00965ADA"/>
    <w:rsid w:val="00965B61"/>
    <w:rsid w:val="00965D04"/>
    <w:rsid w:val="00965DF0"/>
    <w:rsid w:val="00965F80"/>
    <w:rsid w:val="00966232"/>
    <w:rsid w:val="0096650D"/>
    <w:rsid w:val="00966591"/>
    <w:rsid w:val="0096669F"/>
    <w:rsid w:val="00966794"/>
    <w:rsid w:val="00966840"/>
    <w:rsid w:val="00966D05"/>
    <w:rsid w:val="00966DBA"/>
    <w:rsid w:val="00966E65"/>
    <w:rsid w:val="00966F47"/>
    <w:rsid w:val="0096701A"/>
    <w:rsid w:val="00967146"/>
    <w:rsid w:val="0096726C"/>
    <w:rsid w:val="009673B0"/>
    <w:rsid w:val="00967481"/>
    <w:rsid w:val="009674B7"/>
    <w:rsid w:val="00967687"/>
    <w:rsid w:val="00967A44"/>
    <w:rsid w:val="00967AC3"/>
    <w:rsid w:val="00967B11"/>
    <w:rsid w:val="00967E3B"/>
    <w:rsid w:val="00967F08"/>
    <w:rsid w:val="009700EF"/>
    <w:rsid w:val="009701D1"/>
    <w:rsid w:val="009702C2"/>
    <w:rsid w:val="0097033D"/>
    <w:rsid w:val="00970588"/>
    <w:rsid w:val="00970A37"/>
    <w:rsid w:val="00970B24"/>
    <w:rsid w:val="00970ED6"/>
    <w:rsid w:val="00971148"/>
    <w:rsid w:val="0097124A"/>
    <w:rsid w:val="009712A8"/>
    <w:rsid w:val="0097132E"/>
    <w:rsid w:val="0097133A"/>
    <w:rsid w:val="0097134D"/>
    <w:rsid w:val="00971366"/>
    <w:rsid w:val="00971421"/>
    <w:rsid w:val="00971588"/>
    <w:rsid w:val="00971598"/>
    <w:rsid w:val="009715AA"/>
    <w:rsid w:val="009717D2"/>
    <w:rsid w:val="00971896"/>
    <w:rsid w:val="00971AC5"/>
    <w:rsid w:val="00971B03"/>
    <w:rsid w:val="00971BF3"/>
    <w:rsid w:val="00971DF9"/>
    <w:rsid w:val="00971E04"/>
    <w:rsid w:val="00971E2E"/>
    <w:rsid w:val="00971F78"/>
    <w:rsid w:val="00971FDB"/>
    <w:rsid w:val="00972001"/>
    <w:rsid w:val="00972009"/>
    <w:rsid w:val="009720B1"/>
    <w:rsid w:val="0097223B"/>
    <w:rsid w:val="0097250A"/>
    <w:rsid w:val="00972725"/>
    <w:rsid w:val="009727F3"/>
    <w:rsid w:val="00972813"/>
    <w:rsid w:val="00972876"/>
    <w:rsid w:val="0097298D"/>
    <w:rsid w:val="00972A9E"/>
    <w:rsid w:val="00972B0E"/>
    <w:rsid w:val="00972BB9"/>
    <w:rsid w:val="00972CD0"/>
    <w:rsid w:val="00973058"/>
    <w:rsid w:val="0097312D"/>
    <w:rsid w:val="00973228"/>
    <w:rsid w:val="0097325C"/>
    <w:rsid w:val="009732A0"/>
    <w:rsid w:val="009732EC"/>
    <w:rsid w:val="00973317"/>
    <w:rsid w:val="0097339F"/>
    <w:rsid w:val="00973538"/>
    <w:rsid w:val="0097355C"/>
    <w:rsid w:val="0097379E"/>
    <w:rsid w:val="009737F6"/>
    <w:rsid w:val="009738DB"/>
    <w:rsid w:val="0097392B"/>
    <w:rsid w:val="00973C8E"/>
    <w:rsid w:val="00973DC4"/>
    <w:rsid w:val="00973F7D"/>
    <w:rsid w:val="00973FEB"/>
    <w:rsid w:val="00974087"/>
    <w:rsid w:val="009740EF"/>
    <w:rsid w:val="00974381"/>
    <w:rsid w:val="009744AE"/>
    <w:rsid w:val="00974510"/>
    <w:rsid w:val="009747FF"/>
    <w:rsid w:val="0097484F"/>
    <w:rsid w:val="00974896"/>
    <w:rsid w:val="00974932"/>
    <w:rsid w:val="00974AE5"/>
    <w:rsid w:val="00974C40"/>
    <w:rsid w:val="00974E37"/>
    <w:rsid w:val="00974F94"/>
    <w:rsid w:val="00975074"/>
    <w:rsid w:val="0097538F"/>
    <w:rsid w:val="00975507"/>
    <w:rsid w:val="009756AC"/>
    <w:rsid w:val="00975A16"/>
    <w:rsid w:val="00975B5B"/>
    <w:rsid w:val="00975BEF"/>
    <w:rsid w:val="00975EE8"/>
    <w:rsid w:val="00976095"/>
    <w:rsid w:val="00976589"/>
    <w:rsid w:val="009766EB"/>
    <w:rsid w:val="009768C2"/>
    <w:rsid w:val="00976905"/>
    <w:rsid w:val="0097696C"/>
    <w:rsid w:val="009769D4"/>
    <w:rsid w:val="00976B79"/>
    <w:rsid w:val="00976BA5"/>
    <w:rsid w:val="00976C44"/>
    <w:rsid w:val="00976F13"/>
    <w:rsid w:val="00976F83"/>
    <w:rsid w:val="00976F98"/>
    <w:rsid w:val="0097706C"/>
    <w:rsid w:val="00977159"/>
    <w:rsid w:val="0097733E"/>
    <w:rsid w:val="0097743F"/>
    <w:rsid w:val="009776DB"/>
    <w:rsid w:val="00977826"/>
    <w:rsid w:val="0097787C"/>
    <w:rsid w:val="00977AD8"/>
    <w:rsid w:val="00977CF2"/>
    <w:rsid w:val="00977D83"/>
    <w:rsid w:val="00977E55"/>
    <w:rsid w:val="00977E7B"/>
    <w:rsid w:val="00977F35"/>
    <w:rsid w:val="00977F68"/>
    <w:rsid w:val="009800F5"/>
    <w:rsid w:val="00980332"/>
    <w:rsid w:val="00980457"/>
    <w:rsid w:val="0098060A"/>
    <w:rsid w:val="0098063C"/>
    <w:rsid w:val="00980728"/>
    <w:rsid w:val="009807C5"/>
    <w:rsid w:val="009809E0"/>
    <w:rsid w:val="009809FF"/>
    <w:rsid w:val="00980B40"/>
    <w:rsid w:val="00980D58"/>
    <w:rsid w:val="00980E26"/>
    <w:rsid w:val="00980E88"/>
    <w:rsid w:val="00980EC4"/>
    <w:rsid w:val="00980FB8"/>
    <w:rsid w:val="00981145"/>
    <w:rsid w:val="009812E2"/>
    <w:rsid w:val="00981377"/>
    <w:rsid w:val="009813A1"/>
    <w:rsid w:val="009813CB"/>
    <w:rsid w:val="00981466"/>
    <w:rsid w:val="00981497"/>
    <w:rsid w:val="0098159E"/>
    <w:rsid w:val="00981722"/>
    <w:rsid w:val="0098186C"/>
    <w:rsid w:val="009818AC"/>
    <w:rsid w:val="00981AAA"/>
    <w:rsid w:val="00981C43"/>
    <w:rsid w:val="00981C76"/>
    <w:rsid w:val="00981C98"/>
    <w:rsid w:val="00981F3D"/>
    <w:rsid w:val="00981F40"/>
    <w:rsid w:val="00982058"/>
    <w:rsid w:val="009820AC"/>
    <w:rsid w:val="00982128"/>
    <w:rsid w:val="009821CE"/>
    <w:rsid w:val="009824B1"/>
    <w:rsid w:val="009824CE"/>
    <w:rsid w:val="0098280D"/>
    <w:rsid w:val="00982942"/>
    <w:rsid w:val="0098295D"/>
    <w:rsid w:val="00982A2B"/>
    <w:rsid w:val="00982A99"/>
    <w:rsid w:val="00982B82"/>
    <w:rsid w:val="00982E13"/>
    <w:rsid w:val="00983412"/>
    <w:rsid w:val="00983429"/>
    <w:rsid w:val="00983501"/>
    <w:rsid w:val="009835FF"/>
    <w:rsid w:val="00983618"/>
    <w:rsid w:val="0098397E"/>
    <w:rsid w:val="00983A0A"/>
    <w:rsid w:val="00983ADD"/>
    <w:rsid w:val="00983B4C"/>
    <w:rsid w:val="00983CB0"/>
    <w:rsid w:val="00983E6C"/>
    <w:rsid w:val="00983F61"/>
    <w:rsid w:val="009841A4"/>
    <w:rsid w:val="009841AE"/>
    <w:rsid w:val="00984225"/>
    <w:rsid w:val="009842D0"/>
    <w:rsid w:val="00984448"/>
    <w:rsid w:val="00984481"/>
    <w:rsid w:val="0098450C"/>
    <w:rsid w:val="00984543"/>
    <w:rsid w:val="00984571"/>
    <w:rsid w:val="009846BF"/>
    <w:rsid w:val="009847C1"/>
    <w:rsid w:val="00984951"/>
    <w:rsid w:val="00984A07"/>
    <w:rsid w:val="00984B03"/>
    <w:rsid w:val="00984B30"/>
    <w:rsid w:val="009850E2"/>
    <w:rsid w:val="009851A3"/>
    <w:rsid w:val="00985228"/>
    <w:rsid w:val="00985285"/>
    <w:rsid w:val="009852CF"/>
    <w:rsid w:val="009854CA"/>
    <w:rsid w:val="00985541"/>
    <w:rsid w:val="0098565F"/>
    <w:rsid w:val="0098572D"/>
    <w:rsid w:val="00985855"/>
    <w:rsid w:val="0098587F"/>
    <w:rsid w:val="00985AA7"/>
    <w:rsid w:val="00985C55"/>
    <w:rsid w:val="00985CD6"/>
    <w:rsid w:val="00986192"/>
    <w:rsid w:val="009861EF"/>
    <w:rsid w:val="009861FE"/>
    <w:rsid w:val="0098627F"/>
    <w:rsid w:val="0098629C"/>
    <w:rsid w:val="00986310"/>
    <w:rsid w:val="00986404"/>
    <w:rsid w:val="0098646D"/>
    <w:rsid w:val="009865D6"/>
    <w:rsid w:val="009867DF"/>
    <w:rsid w:val="00986A17"/>
    <w:rsid w:val="00986ACE"/>
    <w:rsid w:val="00987011"/>
    <w:rsid w:val="009871C3"/>
    <w:rsid w:val="00987226"/>
    <w:rsid w:val="00987355"/>
    <w:rsid w:val="00987362"/>
    <w:rsid w:val="00987540"/>
    <w:rsid w:val="00987664"/>
    <w:rsid w:val="00987720"/>
    <w:rsid w:val="00987758"/>
    <w:rsid w:val="009877E2"/>
    <w:rsid w:val="00987818"/>
    <w:rsid w:val="00987877"/>
    <w:rsid w:val="009878ED"/>
    <w:rsid w:val="0098798C"/>
    <w:rsid w:val="009879F6"/>
    <w:rsid w:val="00987A3A"/>
    <w:rsid w:val="00987A3C"/>
    <w:rsid w:val="00987A87"/>
    <w:rsid w:val="00987B21"/>
    <w:rsid w:val="00987BD2"/>
    <w:rsid w:val="00987BDB"/>
    <w:rsid w:val="00987DA9"/>
    <w:rsid w:val="00987DB9"/>
    <w:rsid w:val="00987E9C"/>
    <w:rsid w:val="00990007"/>
    <w:rsid w:val="0099025D"/>
    <w:rsid w:val="00990370"/>
    <w:rsid w:val="00990420"/>
    <w:rsid w:val="00990438"/>
    <w:rsid w:val="00990816"/>
    <w:rsid w:val="009909CD"/>
    <w:rsid w:val="00990A07"/>
    <w:rsid w:val="00990B40"/>
    <w:rsid w:val="00990DCA"/>
    <w:rsid w:val="00990FE5"/>
    <w:rsid w:val="00991062"/>
    <w:rsid w:val="00991124"/>
    <w:rsid w:val="00991670"/>
    <w:rsid w:val="00991707"/>
    <w:rsid w:val="009917A4"/>
    <w:rsid w:val="009917E9"/>
    <w:rsid w:val="009918B5"/>
    <w:rsid w:val="0099199A"/>
    <w:rsid w:val="009919B0"/>
    <w:rsid w:val="009919FE"/>
    <w:rsid w:val="00991B4C"/>
    <w:rsid w:val="00991C93"/>
    <w:rsid w:val="00991EAD"/>
    <w:rsid w:val="00991F3C"/>
    <w:rsid w:val="00991F9E"/>
    <w:rsid w:val="009920F8"/>
    <w:rsid w:val="00992389"/>
    <w:rsid w:val="00992445"/>
    <w:rsid w:val="0099250A"/>
    <w:rsid w:val="00992581"/>
    <w:rsid w:val="009925C5"/>
    <w:rsid w:val="009927E5"/>
    <w:rsid w:val="00992D1C"/>
    <w:rsid w:val="00992D49"/>
    <w:rsid w:val="00992E9C"/>
    <w:rsid w:val="00993085"/>
    <w:rsid w:val="009930F5"/>
    <w:rsid w:val="00993203"/>
    <w:rsid w:val="0099323E"/>
    <w:rsid w:val="00993382"/>
    <w:rsid w:val="009934AA"/>
    <w:rsid w:val="009934E8"/>
    <w:rsid w:val="0099381D"/>
    <w:rsid w:val="00993896"/>
    <w:rsid w:val="009939E8"/>
    <w:rsid w:val="00993A2A"/>
    <w:rsid w:val="00993B2E"/>
    <w:rsid w:val="00993D18"/>
    <w:rsid w:val="00993E19"/>
    <w:rsid w:val="00993E27"/>
    <w:rsid w:val="009940CC"/>
    <w:rsid w:val="009940FB"/>
    <w:rsid w:val="00994239"/>
    <w:rsid w:val="00994277"/>
    <w:rsid w:val="009942A8"/>
    <w:rsid w:val="0099436B"/>
    <w:rsid w:val="009943F2"/>
    <w:rsid w:val="00994572"/>
    <w:rsid w:val="00994667"/>
    <w:rsid w:val="009946A9"/>
    <w:rsid w:val="00994770"/>
    <w:rsid w:val="00994816"/>
    <w:rsid w:val="0099482F"/>
    <w:rsid w:val="0099483A"/>
    <w:rsid w:val="009948A4"/>
    <w:rsid w:val="009948E1"/>
    <w:rsid w:val="00994A3D"/>
    <w:rsid w:val="00994A6D"/>
    <w:rsid w:val="00994AF9"/>
    <w:rsid w:val="00994BDF"/>
    <w:rsid w:val="00994C74"/>
    <w:rsid w:val="00994CB7"/>
    <w:rsid w:val="00994CFF"/>
    <w:rsid w:val="00994D39"/>
    <w:rsid w:val="00994D41"/>
    <w:rsid w:val="00994E32"/>
    <w:rsid w:val="0099507E"/>
    <w:rsid w:val="00995305"/>
    <w:rsid w:val="00995607"/>
    <w:rsid w:val="00995852"/>
    <w:rsid w:val="0099586D"/>
    <w:rsid w:val="00995874"/>
    <w:rsid w:val="0099588A"/>
    <w:rsid w:val="009959A9"/>
    <w:rsid w:val="00995B01"/>
    <w:rsid w:val="00995B68"/>
    <w:rsid w:val="00995BCC"/>
    <w:rsid w:val="00995BF4"/>
    <w:rsid w:val="00995DA9"/>
    <w:rsid w:val="00995F53"/>
    <w:rsid w:val="0099601C"/>
    <w:rsid w:val="00996085"/>
    <w:rsid w:val="009960DA"/>
    <w:rsid w:val="00996167"/>
    <w:rsid w:val="009961A6"/>
    <w:rsid w:val="009962F1"/>
    <w:rsid w:val="0099658A"/>
    <w:rsid w:val="00996798"/>
    <w:rsid w:val="0099679E"/>
    <w:rsid w:val="0099690E"/>
    <w:rsid w:val="009969A3"/>
    <w:rsid w:val="009969A4"/>
    <w:rsid w:val="00996A44"/>
    <w:rsid w:val="00996CCF"/>
    <w:rsid w:val="00996E8F"/>
    <w:rsid w:val="00996EF7"/>
    <w:rsid w:val="00996F14"/>
    <w:rsid w:val="00996F44"/>
    <w:rsid w:val="009970C2"/>
    <w:rsid w:val="009972A9"/>
    <w:rsid w:val="009975DC"/>
    <w:rsid w:val="0099761F"/>
    <w:rsid w:val="009976B3"/>
    <w:rsid w:val="00997727"/>
    <w:rsid w:val="009977B9"/>
    <w:rsid w:val="009977E1"/>
    <w:rsid w:val="00997807"/>
    <w:rsid w:val="00997CF3"/>
    <w:rsid w:val="00997EAB"/>
    <w:rsid w:val="009A0003"/>
    <w:rsid w:val="009A0017"/>
    <w:rsid w:val="009A0083"/>
    <w:rsid w:val="009A01C1"/>
    <w:rsid w:val="009A01F1"/>
    <w:rsid w:val="009A0281"/>
    <w:rsid w:val="009A0558"/>
    <w:rsid w:val="009A05C7"/>
    <w:rsid w:val="009A0667"/>
    <w:rsid w:val="009A08A7"/>
    <w:rsid w:val="009A0B7D"/>
    <w:rsid w:val="009A0C90"/>
    <w:rsid w:val="009A0D89"/>
    <w:rsid w:val="009A0E89"/>
    <w:rsid w:val="009A0E9D"/>
    <w:rsid w:val="009A1079"/>
    <w:rsid w:val="009A1252"/>
    <w:rsid w:val="009A155B"/>
    <w:rsid w:val="009A15C3"/>
    <w:rsid w:val="009A1605"/>
    <w:rsid w:val="009A1687"/>
    <w:rsid w:val="009A17E8"/>
    <w:rsid w:val="009A1885"/>
    <w:rsid w:val="009A1992"/>
    <w:rsid w:val="009A1B54"/>
    <w:rsid w:val="009A1E81"/>
    <w:rsid w:val="009A1F7E"/>
    <w:rsid w:val="009A1F85"/>
    <w:rsid w:val="009A2018"/>
    <w:rsid w:val="009A2080"/>
    <w:rsid w:val="009A2275"/>
    <w:rsid w:val="009A2387"/>
    <w:rsid w:val="009A24A6"/>
    <w:rsid w:val="009A26A4"/>
    <w:rsid w:val="009A2711"/>
    <w:rsid w:val="009A295B"/>
    <w:rsid w:val="009A2B32"/>
    <w:rsid w:val="009A2C8E"/>
    <w:rsid w:val="009A2F0B"/>
    <w:rsid w:val="009A2F8D"/>
    <w:rsid w:val="009A2FF4"/>
    <w:rsid w:val="009A3143"/>
    <w:rsid w:val="009A3188"/>
    <w:rsid w:val="009A31AD"/>
    <w:rsid w:val="009A347C"/>
    <w:rsid w:val="009A3505"/>
    <w:rsid w:val="009A37D2"/>
    <w:rsid w:val="009A37F7"/>
    <w:rsid w:val="009A3A80"/>
    <w:rsid w:val="009A3BE6"/>
    <w:rsid w:val="009A3D89"/>
    <w:rsid w:val="009A3F7B"/>
    <w:rsid w:val="009A40B6"/>
    <w:rsid w:val="009A4216"/>
    <w:rsid w:val="009A4255"/>
    <w:rsid w:val="009A42E1"/>
    <w:rsid w:val="009A4301"/>
    <w:rsid w:val="009A437B"/>
    <w:rsid w:val="009A448B"/>
    <w:rsid w:val="009A44BF"/>
    <w:rsid w:val="009A44EA"/>
    <w:rsid w:val="009A44FE"/>
    <w:rsid w:val="009A45C8"/>
    <w:rsid w:val="009A4806"/>
    <w:rsid w:val="009A4818"/>
    <w:rsid w:val="009A4955"/>
    <w:rsid w:val="009A4977"/>
    <w:rsid w:val="009A49D7"/>
    <w:rsid w:val="009A4A26"/>
    <w:rsid w:val="009A4A4A"/>
    <w:rsid w:val="009A4AC3"/>
    <w:rsid w:val="009A4EF0"/>
    <w:rsid w:val="009A507B"/>
    <w:rsid w:val="009A5134"/>
    <w:rsid w:val="009A5221"/>
    <w:rsid w:val="009A5395"/>
    <w:rsid w:val="009A54D4"/>
    <w:rsid w:val="009A555D"/>
    <w:rsid w:val="009A581F"/>
    <w:rsid w:val="009A58A7"/>
    <w:rsid w:val="009A5B4B"/>
    <w:rsid w:val="009A5C22"/>
    <w:rsid w:val="009A5D64"/>
    <w:rsid w:val="009A5DCE"/>
    <w:rsid w:val="009A5E4D"/>
    <w:rsid w:val="009A5EF5"/>
    <w:rsid w:val="009A5F23"/>
    <w:rsid w:val="009A5FCB"/>
    <w:rsid w:val="009A60B2"/>
    <w:rsid w:val="009A610A"/>
    <w:rsid w:val="009A6147"/>
    <w:rsid w:val="009A64E7"/>
    <w:rsid w:val="009A658F"/>
    <w:rsid w:val="009A668A"/>
    <w:rsid w:val="009A6785"/>
    <w:rsid w:val="009A6AB3"/>
    <w:rsid w:val="009A6DCE"/>
    <w:rsid w:val="009A6DD1"/>
    <w:rsid w:val="009A6F0E"/>
    <w:rsid w:val="009A6F3B"/>
    <w:rsid w:val="009A7031"/>
    <w:rsid w:val="009A726A"/>
    <w:rsid w:val="009A72C2"/>
    <w:rsid w:val="009A7546"/>
    <w:rsid w:val="009A7573"/>
    <w:rsid w:val="009A75A1"/>
    <w:rsid w:val="009A7603"/>
    <w:rsid w:val="009A79E2"/>
    <w:rsid w:val="009A7A87"/>
    <w:rsid w:val="009A7BD7"/>
    <w:rsid w:val="009A7E63"/>
    <w:rsid w:val="009B014F"/>
    <w:rsid w:val="009B015B"/>
    <w:rsid w:val="009B01A8"/>
    <w:rsid w:val="009B01B7"/>
    <w:rsid w:val="009B039C"/>
    <w:rsid w:val="009B0424"/>
    <w:rsid w:val="009B0482"/>
    <w:rsid w:val="009B0668"/>
    <w:rsid w:val="009B0AAF"/>
    <w:rsid w:val="009B0DF8"/>
    <w:rsid w:val="009B0E72"/>
    <w:rsid w:val="009B0FFD"/>
    <w:rsid w:val="009B1032"/>
    <w:rsid w:val="009B126A"/>
    <w:rsid w:val="009B12D7"/>
    <w:rsid w:val="009B189B"/>
    <w:rsid w:val="009B18BF"/>
    <w:rsid w:val="009B1945"/>
    <w:rsid w:val="009B19AC"/>
    <w:rsid w:val="009B1A65"/>
    <w:rsid w:val="009B1ACD"/>
    <w:rsid w:val="009B1B13"/>
    <w:rsid w:val="009B1C1F"/>
    <w:rsid w:val="009B1C50"/>
    <w:rsid w:val="009B1C73"/>
    <w:rsid w:val="009B1C81"/>
    <w:rsid w:val="009B1DBF"/>
    <w:rsid w:val="009B1E3E"/>
    <w:rsid w:val="009B1FBC"/>
    <w:rsid w:val="009B2035"/>
    <w:rsid w:val="009B2246"/>
    <w:rsid w:val="009B2690"/>
    <w:rsid w:val="009B2738"/>
    <w:rsid w:val="009B286A"/>
    <w:rsid w:val="009B2876"/>
    <w:rsid w:val="009B296B"/>
    <w:rsid w:val="009B296F"/>
    <w:rsid w:val="009B29ED"/>
    <w:rsid w:val="009B2A64"/>
    <w:rsid w:val="009B2CB4"/>
    <w:rsid w:val="009B2D11"/>
    <w:rsid w:val="009B2E2D"/>
    <w:rsid w:val="009B2ED8"/>
    <w:rsid w:val="009B3094"/>
    <w:rsid w:val="009B31DF"/>
    <w:rsid w:val="009B3290"/>
    <w:rsid w:val="009B331A"/>
    <w:rsid w:val="009B38AA"/>
    <w:rsid w:val="009B38C6"/>
    <w:rsid w:val="009B38CC"/>
    <w:rsid w:val="009B3922"/>
    <w:rsid w:val="009B3D10"/>
    <w:rsid w:val="009B3DBF"/>
    <w:rsid w:val="009B439E"/>
    <w:rsid w:val="009B45AB"/>
    <w:rsid w:val="009B46C7"/>
    <w:rsid w:val="009B4818"/>
    <w:rsid w:val="009B4867"/>
    <w:rsid w:val="009B489B"/>
    <w:rsid w:val="009B48CE"/>
    <w:rsid w:val="009B49BF"/>
    <w:rsid w:val="009B4C70"/>
    <w:rsid w:val="009B4D0F"/>
    <w:rsid w:val="009B4E59"/>
    <w:rsid w:val="009B4F09"/>
    <w:rsid w:val="009B4FCD"/>
    <w:rsid w:val="009B5060"/>
    <w:rsid w:val="009B523E"/>
    <w:rsid w:val="009B53EA"/>
    <w:rsid w:val="009B5829"/>
    <w:rsid w:val="009B58DB"/>
    <w:rsid w:val="009B58E0"/>
    <w:rsid w:val="009B5933"/>
    <w:rsid w:val="009B5CBD"/>
    <w:rsid w:val="009B5D00"/>
    <w:rsid w:val="009B5D0E"/>
    <w:rsid w:val="009B5D43"/>
    <w:rsid w:val="009B5D7E"/>
    <w:rsid w:val="009B5DF3"/>
    <w:rsid w:val="009B5EDF"/>
    <w:rsid w:val="009B600F"/>
    <w:rsid w:val="009B6085"/>
    <w:rsid w:val="009B62DB"/>
    <w:rsid w:val="009B6510"/>
    <w:rsid w:val="009B6518"/>
    <w:rsid w:val="009B6561"/>
    <w:rsid w:val="009B66FE"/>
    <w:rsid w:val="009B67C6"/>
    <w:rsid w:val="009B6921"/>
    <w:rsid w:val="009B6CD4"/>
    <w:rsid w:val="009B6D19"/>
    <w:rsid w:val="009B6DD0"/>
    <w:rsid w:val="009B6E21"/>
    <w:rsid w:val="009B6ED3"/>
    <w:rsid w:val="009B7058"/>
    <w:rsid w:val="009B70A0"/>
    <w:rsid w:val="009B70F5"/>
    <w:rsid w:val="009B7166"/>
    <w:rsid w:val="009B716A"/>
    <w:rsid w:val="009B7383"/>
    <w:rsid w:val="009B742E"/>
    <w:rsid w:val="009B7494"/>
    <w:rsid w:val="009B76DE"/>
    <w:rsid w:val="009B79AE"/>
    <w:rsid w:val="009B7A21"/>
    <w:rsid w:val="009B7B35"/>
    <w:rsid w:val="009B7BEF"/>
    <w:rsid w:val="009B7BF7"/>
    <w:rsid w:val="009B7CA0"/>
    <w:rsid w:val="009B7CD3"/>
    <w:rsid w:val="009B7F44"/>
    <w:rsid w:val="009B7F5B"/>
    <w:rsid w:val="009B7F86"/>
    <w:rsid w:val="009C0073"/>
    <w:rsid w:val="009C011C"/>
    <w:rsid w:val="009C017F"/>
    <w:rsid w:val="009C02CA"/>
    <w:rsid w:val="009C04A4"/>
    <w:rsid w:val="009C04AE"/>
    <w:rsid w:val="009C076B"/>
    <w:rsid w:val="009C0834"/>
    <w:rsid w:val="009C0B86"/>
    <w:rsid w:val="009C0B8D"/>
    <w:rsid w:val="009C0BF6"/>
    <w:rsid w:val="009C0E31"/>
    <w:rsid w:val="009C0EBB"/>
    <w:rsid w:val="009C0F0D"/>
    <w:rsid w:val="009C0F51"/>
    <w:rsid w:val="009C0FE5"/>
    <w:rsid w:val="009C10B0"/>
    <w:rsid w:val="009C10F5"/>
    <w:rsid w:val="009C1205"/>
    <w:rsid w:val="009C145B"/>
    <w:rsid w:val="009C145E"/>
    <w:rsid w:val="009C147C"/>
    <w:rsid w:val="009C15DD"/>
    <w:rsid w:val="009C1656"/>
    <w:rsid w:val="009C1729"/>
    <w:rsid w:val="009C188B"/>
    <w:rsid w:val="009C18F0"/>
    <w:rsid w:val="009C1A3D"/>
    <w:rsid w:val="009C1A78"/>
    <w:rsid w:val="009C1DEC"/>
    <w:rsid w:val="009C1F60"/>
    <w:rsid w:val="009C2160"/>
    <w:rsid w:val="009C2234"/>
    <w:rsid w:val="009C22B3"/>
    <w:rsid w:val="009C2315"/>
    <w:rsid w:val="009C2376"/>
    <w:rsid w:val="009C237F"/>
    <w:rsid w:val="009C2414"/>
    <w:rsid w:val="009C2527"/>
    <w:rsid w:val="009C2957"/>
    <w:rsid w:val="009C2A0B"/>
    <w:rsid w:val="009C2ADC"/>
    <w:rsid w:val="009C2EE1"/>
    <w:rsid w:val="009C2F49"/>
    <w:rsid w:val="009C313C"/>
    <w:rsid w:val="009C3235"/>
    <w:rsid w:val="009C33F7"/>
    <w:rsid w:val="009C34AC"/>
    <w:rsid w:val="009C353A"/>
    <w:rsid w:val="009C37DC"/>
    <w:rsid w:val="009C3BD1"/>
    <w:rsid w:val="009C3D06"/>
    <w:rsid w:val="009C3D83"/>
    <w:rsid w:val="009C3EFE"/>
    <w:rsid w:val="009C3F1E"/>
    <w:rsid w:val="009C418E"/>
    <w:rsid w:val="009C4237"/>
    <w:rsid w:val="009C4450"/>
    <w:rsid w:val="009C44A5"/>
    <w:rsid w:val="009C4597"/>
    <w:rsid w:val="009C487F"/>
    <w:rsid w:val="009C48E1"/>
    <w:rsid w:val="009C4A7A"/>
    <w:rsid w:val="009C4B3E"/>
    <w:rsid w:val="009C4B80"/>
    <w:rsid w:val="009C4BE3"/>
    <w:rsid w:val="009C4D92"/>
    <w:rsid w:val="009C4DF4"/>
    <w:rsid w:val="009C4E85"/>
    <w:rsid w:val="009C4EA8"/>
    <w:rsid w:val="009C518F"/>
    <w:rsid w:val="009C52FA"/>
    <w:rsid w:val="009C54DB"/>
    <w:rsid w:val="009C561A"/>
    <w:rsid w:val="009C569F"/>
    <w:rsid w:val="009C57DC"/>
    <w:rsid w:val="009C580A"/>
    <w:rsid w:val="009C581E"/>
    <w:rsid w:val="009C5915"/>
    <w:rsid w:val="009C59B6"/>
    <w:rsid w:val="009C5AB3"/>
    <w:rsid w:val="009C5AFB"/>
    <w:rsid w:val="009C5BF0"/>
    <w:rsid w:val="009C5D87"/>
    <w:rsid w:val="009C5E10"/>
    <w:rsid w:val="009C5E88"/>
    <w:rsid w:val="009C5FDA"/>
    <w:rsid w:val="009C608F"/>
    <w:rsid w:val="009C62BE"/>
    <w:rsid w:val="009C6422"/>
    <w:rsid w:val="009C6900"/>
    <w:rsid w:val="009C691A"/>
    <w:rsid w:val="009C6966"/>
    <w:rsid w:val="009C6AD4"/>
    <w:rsid w:val="009C6B32"/>
    <w:rsid w:val="009C6BDE"/>
    <w:rsid w:val="009C6CCE"/>
    <w:rsid w:val="009C6E09"/>
    <w:rsid w:val="009C6E49"/>
    <w:rsid w:val="009C70E2"/>
    <w:rsid w:val="009C7176"/>
    <w:rsid w:val="009C71C0"/>
    <w:rsid w:val="009C72E0"/>
    <w:rsid w:val="009C7376"/>
    <w:rsid w:val="009C7445"/>
    <w:rsid w:val="009C7577"/>
    <w:rsid w:val="009C76B2"/>
    <w:rsid w:val="009C77AF"/>
    <w:rsid w:val="009C77F4"/>
    <w:rsid w:val="009C78AB"/>
    <w:rsid w:val="009C7921"/>
    <w:rsid w:val="009C7922"/>
    <w:rsid w:val="009C7BE4"/>
    <w:rsid w:val="009C7DE0"/>
    <w:rsid w:val="009C7F43"/>
    <w:rsid w:val="009D00EC"/>
    <w:rsid w:val="009D01D4"/>
    <w:rsid w:val="009D0232"/>
    <w:rsid w:val="009D02BE"/>
    <w:rsid w:val="009D040F"/>
    <w:rsid w:val="009D0460"/>
    <w:rsid w:val="009D047B"/>
    <w:rsid w:val="009D0487"/>
    <w:rsid w:val="009D0656"/>
    <w:rsid w:val="009D07C9"/>
    <w:rsid w:val="009D0927"/>
    <w:rsid w:val="009D0AF8"/>
    <w:rsid w:val="009D0C3C"/>
    <w:rsid w:val="009D0C46"/>
    <w:rsid w:val="009D0CBF"/>
    <w:rsid w:val="009D0F5D"/>
    <w:rsid w:val="009D1067"/>
    <w:rsid w:val="009D1081"/>
    <w:rsid w:val="009D1221"/>
    <w:rsid w:val="009D12D9"/>
    <w:rsid w:val="009D1323"/>
    <w:rsid w:val="009D13EB"/>
    <w:rsid w:val="009D1425"/>
    <w:rsid w:val="009D145B"/>
    <w:rsid w:val="009D1553"/>
    <w:rsid w:val="009D17C6"/>
    <w:rsid w:val="009D181A"/>
    <w:rsid w:val="009D1877"/>
    <w:rsid w:val="009D19CD"/>
    <w:rsid w:val="009D1B10"/>
    <w:rsid w:val="009D1B69"/>
    <w:rsid w:val="009D1BFC"/>
    <w:rsid w:val="009D1CCA"/>
    <w:rsid w:val="009D1D34"/>
    <w:rsid w:val="009D1E00"/>
    <w:rsid w:val="009D1F87"/>
    <w:rsid w:val="009D21EE"/>
    <w:rsid w:val="009D22AA"/>
    <w:rsid w:val="009D253C"/>
    <w:rsid w:val="009D28F5"/>
    <w:rsid w:val="009D2AB6"/>
    <w:rsid w:val="009D2B06"/>
    <w:rsid w:val="009D2D9F"/>
    <w:rsid w:val="009D2EE2"/>
    <w:rsid w:val="009D2F89"/>
    <w:rsid w:val="009D2F98"/>
    <w:rsid w:val="009D3083"/>
    <w:rsid w:val="009D30D1"/>
    <w:rsid w:val="009D3135"/>
    <w:rsid w:val="009D313E"/>
    <w:rsid w:val="009D340A"/>
    <w:rsid w:val="009D35CF"/>
    <w:rsid w:val="009D3862"/>
    <w:rsid w:val="009D3928"/>
    <w:rsid w:val="009D3975"/>
    <w:rsid w:val="009D39BA"/>
    <w:rsid w:val="009D3AAF"/>
    <w:rsid w:val="009D3AB6"/>
    <w:rsid w:val="009D3E1D"/>
    <w:rsid w:val="009D3FD5"/>
    <w:rsid w:val="009D401E"/>
    <w:rsid w:val="009D42F2"/>
    <w:rsid w:val="009D43FA"/>
    <w:rsid w:val="009D4434"/>
    <w:rsid w:val="009D450A"/>
    <w:rsid w:val="009D4675"/>
    <w:rsid w:val="009D476D"/>
    <w:rsid w:val="009D47CD"/>
    <w:rsid w:val="009D4852"/>
    <w:rsid w:val="009D4912"/>
    <w:rsid w:val="009D4989"/>
    <w:rsid w:val="009D4A94"/>
    <w:rsid w:val="009D4ABE"/>
    <w:rsid w:val="009D4ACB"/>
    <w:rsid w:val="009D4B10"/>
    <w:rsid w:val="009D4E07"/>
    <w:rsid w:val="009D4E33"/>
    <w:rsid w:val="009D4ECB"/>
    <w:rsid w:val="009D4F12"/>
    <w:rsid w:val="009D50D9"/>
    <w:rsid w:val="009D50FE"/>
    <w:rsid w:val="009D5123"/>
    <w:rsid w:val="009D514A"/>
    <w:rsid w:val="009D53E3"/>
    <w:rsid w:val="009D5484"/>
    <w:rsid w:val="009D553F"/>
    <w:rsid w:val="009D580F"/>
    <w:rsid w:val="009D5CDA"/>
    <w:rsid w:val="009D5D6E"/>
    <w:rsid w:val="009D5EF4"/>
    <w:rsid w:val="009D5FE4"/>
    <w:rsid w:val="009D608B"/>
    <w:rsid w:val="009D61CC"/>
    <w:rsid w:val="009D6241"/>
    <w:rsid w:val="009D6273"/>
    <w:rsid w:val="009D6297"/>
    <w:rsid w:val="009D645B"/>
    <w:rsid w:val="009D6605"/>
    <w:rsid w:val="009D6685"/>
    <w:rsid w:val="009D66F9"/>
    <w:rsid w:val="009D6A98"/>
    <w:rsid w:val="009D6B0E"/>
    <w:rsid w:val="009D6B83"/>
    <w:rsid w:val="009D6C15"/>
    <w:rsid w:val="009D6C6E"/>
    <w:rsid w:val="009D6F0F"/>
    <w:rsid w:val="009D6F55"/>
    <w:rsid w:val="009D701B"/>
    <w:rsid w:val="009D70B9"/>
    <w:rsid w:val="009D70EB"/>
    <w:rsid w:val="009D7161"/>
    <w:rsid w:val="009D7163"/>
    <w:rsid w:val="009D71FB"/>
    <w:rsid w:val="009D72C4"/>
    <w:rsid w:val="009D74C3"/>
    <w:rsid w:val="009D752F"/>
    <w:rsid w:val="009D77C6"/>
    <w:rsid w:val="009D7A2A"/>
    <w:rsid w:val="009D7B7B"/>
    <w:rsid w:val="009D7B89"/>
    <w:rsid w:val="009D7C2B"/>
    <w:rsid w:val="009E027A"/>
    <w:rsid w:val="009E04C4"/>
    <w:rsid w:val="009E0595"/>
    <w:rsid w:val="009E07BD"/>
    <w:rsid w:val="009E07C5"/>
    <w:rsid w:val="009E0845"/>
    <w:rsid w:val="009E087E"/>
    <w:rsid w:val="009E09DF"/>
    <w:rsid w:val="009E0B8A"/>
    <w:rsid w:val="009E0BC9"/>
    <w:rsid w:val="009E0BF3"/>
    <w:rsid w:val="009E0F3D"/>
    <w:rsid w:val="009E0FAB"/>
    <w:rsid w:val="009E1106"/>
    <w:rsid w:val="009E120A"/>
    <w:rsid w:val="009E14D3"/>
    <w:rsid w:val="009E14E8"/>
    <w:rsid w:val="009E1526"/>
    <w:rsid w:val="009E1640"/>
    <w:rsid w:val="009E1655"/>
    <w:rsid w:val="009E166F"/>
    <w:rsid w:val="009E170A"/>
    <w:rsid w:val="009E184A"/>
    <w:rsid w:val="009E18F0"/>
    <w:rsid w:val="009E18F8"/>
    <w:rsid w:val="009E19A3"/>
    <w:rsid w:val="009E1AE0"/>
    <w:rsid w:val="009E1AEC"/>
    <w:rsid w:val="009E1BD2"/>
    <w:rsid w:val="009E1C68"/>
    <w:rsid w:val="009E237C"/>
    <w:rsid w:val="009E23A8"/>
    <w:rsid w:val="009E23F7"/>
    <w:rsid w:val="009E2407"/>
    <w:rsid w:val="009E2633"/>
    <w:rsid w:val="009E2661"/>
    <w:rsid w:val="009E26E3"/>
    <w:rsid w:val="009E2892"/>
    <w:rsid w:val="009E2946"/>
    <w:rsid w:val="009E29F1"/>
    <w:rsid w:val="009E3050"/>
    <w:rsid w:val="009E305A"/>
    <w:rsid w:val="009E3494"/>
    <w:rsid w:val="009E3509"/>
    <w:rsid w:val="009E3600"/>
    <w:rsid w:val="009E3710"/>
    <w:rsid w:val="009E3767"/>
    <w:rsid w:val="009E39B7"/>
    <w:rsid w:val="009E3A09"/>
    <w:rsid w:val="009E4262"/>
    <w:rsid w:val="009E43F4"/>
    <w:rsid w:val="009E4458"/>
    <w:rsid w:val="009E4580"/>
    <w:rsid w:val="009E4794"/>
    <w:rsid w:val="009E4796"/>
    <w:rsid w:val="009E48FC"/>
    <w:rsid w:val="009E49DA"/>
    <w:rsid w:val="009E4B48"/>
    <w:rsid w:val="009E4B9B"/>
    <w:rsid w:val="009E4BD6"/>
    <w:rsid w:val="009E4F4D"/>
    <w:rsid w:val="009E4F59"/>
    <w:rsid w:val="009E5321"/>
    <w:rsid w:val="009E5371"/>
    <w:rsid w:val="009E55D5"/>
    <w:rsid w:val="009E55E2"/>
    <w:rsid w:val="009E55FE"/>
    <w:rsid w:val="009E588A"/>
    <w:rsid w:val="009E5A57"/>
    <w:rsid w:val="009E5AA9"/>
    <w:rsid w:val="009E5B85"/>
    <w:rsid w:val="009E5CAB"/>
    <w:rsid w:val="009E5CE7"/>
    <w:rsid w:val="009E5F49"/>
    <w:rsid w:val="009E6063"/>
    <w:rsid w:val="009E607C"/>
    <w:rsid w:val="009E60EC"/>
    <w:rsid w:val="009E6414"/>
    <w:rsid w:val="009E6456"/>
    <w:rsid w:val="009E64CA"/>
    <w:rsid w:val="009E651F"/>
    <w:rsid w:val="009E6553"/>
    <w:rsid w:val="009E65D3"/>
    <w:rsid w:val="009E65F9"/>
    <w:rsid w:val="009E67DA"/>
    <w:rsid w:val="009E6880"/>
    <w:rsid w:val="009E69E7"/>
    <w:rsid w:val="009E6D7D"/>
    <w:rsid w:val="009E6DA3"/>
    <w:rsid w:val="009E6DF8"/>
    <w:rsid w:val="009E6DFD"/>
    <w:rsid w:val="009E6F36"/>
    <w:rsid w:val="009E7071"/>
    <w:rsid w:val="009E709A"/>
    <w:rsid w:val="009E70A3"/>
    <w:rsid w:val="009E73D1"/>
    <w:rsid w:val="009E7470"/>
    <w:rsid w:val="009E7614"/>
    <w:rsid w:val="009E773D"/>
    <w:rsid w:val="009E77D9"/>
    <w:rsid w:val="009E79EE"/>
    <w:rsid w:val="009E7A22"/>
    <w:rsid w:val="009E7A95"/>
    <w:rsid w:val="009E7BD8"/>
    <w:rsid w:val="009E7C8E"/>
    <w:rsid w:val="009E7C99"/>
    <w:rsid w:val="009E7D48"/>
    <w:rsid w:val="009E7EEB"/>
    <w:rsid w:val="009E7FD8"/>
    <w:rsid w:val="009F011E"/>
    <w:rsid w:val="009F0440"/>
    <w:rsid w:val="009F04D1"/>
    <w:rsid w:val="009F055D"/>
    <w:rsid w:val="009F061D"/>
    <w:rsid w:val="009F06CE"/>
    <w:rsid w:val="009F079D"/>
    <w:rsid w:val="009F07CA"/>
    <w:rsid w:val="009F07D2"/>
    <w:rsid w:val="009F085C"/>
    <w:rsid w:val="009F08C8"/>
    <w:rsid w:val="009F099B"/>
    <w:rsid w:val="009F0D36"/>
    <w:rsid w:val="009F0DA3"/>
    <w:rsid w:val="009F0DC6"/>
    <w:rsid w:val="009F0DDD"/>
    <w:rsid w:val="009F0EDC"/>
    <w:rsid w:val="009F0FC0"/>
    <w:rsid w:val="009F10A7"/>
    <w:rsid w:val="009F126B"/>
    <w:rsid w:val="009F1331"/>
    <w:rsid w:val="009F13DF"/>
    <w:rsid w:val="009F145B"/>
    <w:rsid w:val="009F14ED"/>
    <w:rsid w:val="009F14F3"/>
    <w:rsid w:val="009F1508"/>
    <w:rsid w:val="009F1517"/>
    <w:rsid w:val="009F1547"/>
    <w:rsid w:val="009F1736"/>
    <w:rsid w:val="009F18A8"/>
    <w:rsid w:val="009F1906"/>
    <w:rsid w:val="009F197D"/>
    <w:rsid w:val="009F198F"/>
    <w:rsid w:val="009F1A3F"/>
    <w:rsid w:val="009F1AB9"/>
    <w:rsid w:val="009F1C44"/>
    <w:rsid w:val="009F1CE3"/>
    <w:rsid w:val="009F1DBB"/>
    <w:rsid w:val="009F1E15"/>
    <w:rsid w:val="009F1E93"/>
    <w:rsid w:val="009F20F8"/>
    <w:rsid w:val="009F2254"/>
    <w:rsid w:val="009F22A0"/>
    <w:rsid w:val="009F2760"/>
    <w:rsid w:val="009F2B42"/>
    <w:rsid w:val="009F2B84"/>
    <w:rsid w:val="009F2BC4"/>
    <w:rsid w:val="009F2BF5"/>
    <w:rsid w:val="009F2C71"/>
    <w:rsid w:val="009F2C83"/>
    <w:rsid w:val="009F2C8F"/>
    <w:rsid w:val="009F2D9A"/>
    <w:rsid w:val="009F2ED7"/>
    <w:rsid w:val="009F2F2B"/>
    <w:rsid w:val="009F2FA8"/>
    <w:rsid w:val="009F31E7"/>
    <w:rsid w:val="009F341C"/>
    <w:rsid w:val="009F36E8"/>
    <w:rsid w:val="009F37FC"/>
    <w:rsid w:val="009F3862"/>
    <w:rsid w:val="009F38EB"/>
    <w:rsid w:val="009F3A1B"/>
    <w:rsid w:val="009F3ADB"/>
    <w:rsid w:val="009F3B94"/>
    <w:rsid w:val="009F3D57"/>
    <w:rsid w:val="009F3D82"/>
    <w:rsid w:val="009F3E08"/>
    <w:rsid w:val="009F3E8E"/>
    <w:rsid w:val="009F3FBD"/>
    <w:rsid w:val="009F41D6"/>
    <w:rsid w:val="009F4215"/>
    <w:rsid w:val="009F427E"/>
    <w:rsid w:val="009F42D7"/>
    <w:rsid w:val="009F42F1"/>
    <w:rsid w:val="009F4448"/>
    <w:rsid w:val="009F44BA"/>
    <w:rsid w:val="009F457D"/>
    <w:rsid w:val="009F46EE"/>
    <w:rsid w:val="009F49FB"/>
    <w:rsid w:val="009F4C00"/>
    <w:rsid w:val="009F4CD8"/>
    <w:rsid w:val="009F4D77"/>
    <w:rsid w:val="009F4E26"/>
    <w:rsid w:val="009F4E76"/>
    <w:rsid w:val="009F4F2B"/>
    <w:rsid w:val="009F5059"/>
    <w:rsid w:val="009F50C7"/>
    <w:rsid w:val="009F50F7"/>
    <w:rsid w:val="009F5135"/>
    <w:rsid w:val="009F51CE"/>
    <w:rsid w:val="009F5524"/>
    <w:rsid w:val="009F56BF"/>
    <w:rsid w:val="009F57CE"/>
    <w:rsid w:val="009F57D2"/>
    <w:rsid w:val="009F5864"/>
    <w:rsid w:val="009F5B01"/>
    <w:rsid w:val="009F5BE9"/>
    <w:rsid w:val="009F652D"/>
    <w:rsid w:val="009F65C7"/>
    <w:rsid w:val="009F65F3"/>
    <w:rsid w:val="009F66F7"/>
    <w:rsid w:val="009F67D9"/>
    <w:rsid w:val="009F6A09"/>
    <w:rsid w:val="009F6B30"/>
    <w:rsid w:val="009F6BFE"/>
    <w:rsid w:val="009F6C41"/>
    <w:rsid w:val="009F6C83"/>
    <w:rsid w:val="009F6F56"/>
    <w:rsid w:val="009F712E"/>
    <w:rsid w:val="009F72A9"/>
    <w:rsid w:val="009F72B9"/>
    <w:rsid w:val="009F7487"/>
    <w:rsid w:val="009F7703"/>
    <w:rsid w:val="009F788B"/>
    <w:rsid w:val="009F7921"/>
    <w:rsid w:val="009F7A71"/>
    <w:rsid w:val="009F7CBC"/>
    <w:rsid w:val="00A00089"/>
    <w:rsid w:val="00A00096"/>
    <w:rsid w:val="00A001B4"/>
    <w:rsid w:val="00A0021C"/>
    <w:rsid w:val="00A00242"/>
    <w:rsid w:val="00A00396"/>
    <w:rsid w:val="00A003BB"/>
    <w:rsid w:val="00A00542"/>
    <w:rsid w:val="00A005FF"/>
    <w:rsid w:val="00A006AA"/>
    <w:rsid w:val="00A00728"/>
    <w:rsid w:val="00A0078F"/>
    <w:rsid w:val="00A008D1"/>
    <w:rsid w:val="00A00A6D"/>
    <w:rsid w:val="00A00ADC"/>
    <w:rsid w:val="00A00BB1"/>
    <w:rsid w:val="00A00D98"/>
    <w:rsid w:val="00A00DED"/>
    <w:rsid w:val="00A00F49"/>
    <w:rsid w:val="00A00F89"/>
    <w:rsid w:val="00A01137"/>
    <w:rsid w:val="00A01182"/>
    <w:rsid w:val="00A0123B"/>
    <w:rsid w:val="00A0138B"/>
    <w:rsid w:val="00A013FC"/>
    <w:rsid w:val="00A014F5"/>
    <w:rsid w:val="00A0150A"/>
    <w:rsid w:val="00A017D2"/>
    <w:rsid w:val="00A018EA"/>
    <w:rsid w:val="00A01A7C"/>
    <w:rsid w:val="00A01C0C"/>
    <w:rsid w:val="00A01C53"/>
    <w:rsid w:val="00A01C6A"/>
    <w:rsid w:val="00A01C81"/>
    <w:rsid w:val="00A01F76"/>
    <w:rsid w:val="00A01FAB"/>
    <w:rsid w:val="00A021D3"/>
    <w:rsid w:val="00A02240"/>
    <w:rsid w:val="00A02329"/>
    <w:rsid w:val="00A0261F"/>
    <w:rsid w:val="00A0267A"/>
    <w:rsid w:val="00A026D5"/>
    <w:rsid w:val="00A026F5"/>
    <w:rsid w:val="00A02708"/>
    <w:rsid w:val="00A0274D"/>
    <w:rsid w:val="00A02822"/>
    <w:rsid w:val="00A02824"/>
    <w:rsid w:val="00A0292D"/>
    <w:rsid w:val="00A02A1D"/>
    <w:rsid w:val="00A02CD3"/>
    <w:rsid w:val="00A02D3D"/>
    <w:rsid w:val="00A02DC1"/>
    <w:rsid w:val="00A036B5"/>
    <w:rsid w:val="00A036C1"/>
    <w:rsid w:val="00A03789"/>
    <w:rsid w:val="00A03957"/>
    <w:rsid w:val="00A039A9"/>
    <w:rsid w:val="00A039F4"/>
    <w:rsid w:val="00A039F8"/>
    <w:rsid w:val="00A03A6C"/>
    <w:rsid w:val="00A03AA1"/>
    <w:rsid w:val="00A03AC0"/>
    <w:rsid w:val="00A03B63"/>
    <w:rsid w:val="00A04132"/>
    <w:rsid w:val="00A042B7"/>
    <w:rsid w:val="00A04313"/>
    <w:rsid w:val="00A043B5"/>
    <w:rsid w:val="00A043D3"/>
    <w:rsid w:val="00A0441D"/>
    <w:rsid w:val="00A0443B"/>
    <w:rsid w:val="00A046F0"/>
    <w:rsid w:val="00A04903"/>
    <w:rsid w:val="00A0493E"/>
    <w:rsid w:val="00A04941"/>
    <w:rsid w:val="00A04B99"/>
    <w:rsid w:val="00A04C26"/>
    <w:rsid w:val="00A04C4A"/>
    <w:rsid w:val="00A05056"/>
    <w:rsid w:val="00A050FB"/>
    <w:rsid w:val="00A05154"/>
    <w:rsid w:val="00A05289"/>
    <w:rsid w:val="00A053B9"/>
    <w:rsid w:val="00A05422"/>
    <w:rsid w:val="00A05885"/>
    <w:rsid w:val="00A05909"/>
    <w:rsid w:val="00A05976"/>
    <w:rsid w:val="00A05B01"/>
    <w:rsid w:val="00A05CCE"/>
    <w:rsid w:val="00A05EAD"/>
    <w:rsid w:val="00A06084"/>
    <w:rsid w:val="00A061F0"/>
    <w:rsid w:val="00A06356"/>
    <w:rsid w:val="00A06404"/>
    <w:rsid w:val="00A06535"/>
    <w:rsid w:val="00A06625"/>
    <w:rsid w:val="00A067DB"/>
    <w:rsid w:val="00A06A05"/>
    <w:rsid w:val="00A06B4E"/>
    <w:rsid w:val="00A06B9B"/>
    <w:rsid w:val="00A06C7C"/>
    <w:rsid w:val="00A06D53"/>
    <w:rsid w:val="00A06D56"/>
    <w:rsid w:val="00A06EB3"/>
    <w:rsid w:val="00A07174"/>
    <w:rsid w:val="00A071AF"/>
    <w:rsid w:val="00A071C2"/>
    <w:rsid w:val="00A074BA"/>
    <w:rsid w:val="00A07921"/>
    <w:rsid w:val="00A079C9"/>
    <w:rsid w:val="00A07CCD"/>
    <w:rsid w:val="00A07D7F"/>
    <w:rsid w:val="00A07DD0"/>
    <w:rsid w:val="00A07F8C"/>
    <w:rsid w:val="00A10035"/>
    <w:rsid w:val="00A10290"/>
    <w:rsid w:val="00A102DF"/>
    <w:rsid w:val="00A103AE"/>
    <w:rsid w:val="00A104A5"/>
    <w:rsid w:val="00A10504"/>
    <w:rsid w:val="00A109EF"/>
    <w:rsid w:val="00A10A59"/>
    <w:rsid w:val="00A10C5B"/>
    <w:rsid w:val="00A10DAE"/>
    <w:rsid w:val="00A1104C"/>
    <w:rsid w:val="00A11123"/>
    <w:rsid w:val="00A111A9"/>
    <w:rsid w:val="00A112C8"/>
    <w:rsid w:val="00A11A5E"/>
    <w:rsid w:val="00A11B83"/>
    <w:rsid w:val="00A11C77"/>
    <w:rsid w:val="00A11DC7"/>
    <w:rsid w:val="00A11E39"/>
    <w:rsid w:val="00A120AE"/>
    <w:rsid w:val="00A1210F"/>
    <w:rsid w:val="00A12172"/>
    <w:rsid w:val="00A121A7"/>
    <w:rsid w:val="00A121DF"/>
    <w:rsid w:val="00A12217"/>
    <w:rsid w:val="00A12269"/>
    <w:rsid w:val="00A12542"/>
    <w:rsid w:val="00A12553"/>
    <w:rsid w:val="00A1259B"/>
    <w:rsid w:val="00A126CC"/>
    <w:rsid w:val="00A127DC"/>
    <w:rsid w:val="00A1285B"/>
    <w:rsid w:val="00A1286D"/>
    <w:rsid w:val="00A12B69"/>
    <w:rsid w:val="00A13064"/>
    <w:rsid w:val="00A130BA"/>
    <w:rsid w:val="00A1321F"/>
    <w:rsid w:val="00A13275"/>
    <w:rsid w:val="00A13285"/>
    <w:rsid w:val="00A1336A"/>
    <w:rsid w:val="00A135AA"/>
    <w:rsid w:val="00A135DD"/>
    <w:rsid w:val="00A13740"/>
    <w:rsid w:val="00A13A4C"/>
    <w:rsid w:val="00A13A5C"/>
    <w:rsid w:val="00A13C82"/>
    <w:rsid w:val="00A13C9F"/>
    <w:rsid w:val="00A13D24"/>
    <w:rsid w:val="00A13F62"/>
    <w:rsid w:val="00A1408C"/>
    <w:rsid w:val="00A145A3"/>
    <w:rsid w:val="00A145C5"/>
    <w:rsid w:val="00A1465A"/>
    <w:rsid w:val="00A14808"/>
    <w:rsid w:val="00A1498F"/>
    <w:rsid w:val="00A149D8"/>
    <w:rsid w:val="00A14C77"/>
    <w:rsid w:val="00A14FD9"/>
    <w:rsid w:val="00A1504E"/>
    <w:rsid w:val="00A15095"/>
    <w:rsid w:val="00A152A2"/>
    <w:rsid w:val="00A153A7"/>
    <w:rsid w:val="00A15616"/>
    <w:rsid w:val="00A156D2"/>
    <w:rsid w:val="00A15857"/>
    <w:rsid w:val="00A158E4"/>
    <w:rsid w:val="00A15B1A"/>
    <w:rsid w:val="00A15C76"/>
    <w:rsid w:val="00A15DBD"/>
    <w:rsid w:val="00A1606E"/>
    <w:rsid w:val="00A16079"/>
    <w:rsid w:val="00A16111"/>
    <w:rsid w:val="00A161AD"/>
    <w:rsid w:val="00A16314"/>
    <w:rsid w:val="00A16316"/>
    <w:rsid w:val="00A163DA"/>
    <w:rsid w:val="00A1652C"/>
    <w:rsid w:val="00A1655F"/>
    <w:rsid w:val="00A165C3"/>
    <w:rsid w:val="00A16728"/>
    <w:rsid w:val="00A16787"/>
    <w:rsid w:val="00A1688E"/>
    <w:rsid w:val="00A168AA"/>
    <w:rsid w:val="00A168AE"/>
    <w:rsid w:val="00A16A6C"/>
    <w:rsid w:val="00A16B26"/>
    <w:rsid w:val="00A16C14"/>
    <w:rsid w:val="00A16E03"/>
    <w:rsid w:val="00A16F43"/>
    <w:rsid w:val="00A1715C"/>
    <w:rsid w:val="00A1741B"/>
    <w:rsid w:val="00A174E5"/>
    <w:rsid w:val="00A17565"/>
    <w:rsid w:val="00A175AA"/>
    <w:rsid w:val="00A17692"/>
    <w:rsid w:val="00A178E1"/>
    <w:rsid w:val="00A17942"/>
    <w:rsid w:val="00A17B1A"/>
    <w:rsid w:val="00A17E65"/>
    <w:rsid w:val="00A20000"/>
    <w:rsid w:val="00A2002B"/>
    <w:rsid w:val="00A200AD"/>
    <w:rsid w:val="00A2013D"/>
    <w:rsid w:val="00A20222"/>
    <w:rsid w:val="00A2022C"/>
    <w:rsid w:val="00A204EC"/>
    <w:rsid w:val="00A2058E"/>
    <w:rsid w:val="00A206FB"/>
    <w:rsid w:val="00A20707"/>
    <w:rsid w:val="00A2070C"/>
    <w:rsid w:val="00A20820"/>
    <w:rsid w:val="00A2092C"/>
    <w:rsid w:val="00A20F74"/>
    <w:rsid w:val="00A2102E"/>
    <w:rsid w:val="00A21274"/>
    <w:rsid w:val="00A21281"/>
    <w:rsid w:val="00A21351"/>
    <w:rsid w:val="00A21485"/>
    <w:rsid w:val="00A21523"/>
    <w:rsid w:val="00A2175F"/>
    <w:rsid w:val="00A21822"/>
    <w:rsid w:val="00A21952"/>
    <w:rsid w:val="00A21992"/>
    <w:rsid w:val="00A21AD2"/>
    <w:rsid w:val="00A21B2B"/>
    <w:rsid w:val="00A21C00"/>
    <w:rsid w:val="00A21DE2"/>
    <w:rsid w:val="00A21FCF"/>
    <w:rsid w:val="00A2203D"/>
    <w:rsid w:val="00A22151"/>
    <w:rsid w:val="00A22214"/>
    <w:rsid w:val="00A22219"/>
    <w:rsid w:val="00A2227E"/>
    <w:rsid w:val="00A22519"/>
    <w:rsid w:val="00A225D5"/>
    <w:rsid w:val="00A22603"/>
    <w:rsid w:val="00A2285A"/>
    <w:rsid w:val="00A22A6C"/>
    <w:rsid w:val="00A22BD7"/>
    <w:rsid w:val="00A22CF0"/>
    <w:rsid w:val="00A2305E"/>
    <w:rsid w:val="00A230A7"/>
    <w:rsid w:val="00A231AD"/>
    <w:rsid w:val="00A23254"/>
    <w:rsid w:val="00A23299"/>
    <w:rsid w:val="00A23397"/>
    <w:rsid w:val="00A23505"/>
    <w:rsid w:val="00A23668"/>
    <w:rsid w:val="00A2370F"/>
    <w:rsid w:val="00A2378A"/>
    <w:rsid w:val="00A23806"/>
    <w:rsid w:val="00A238DB"/>
    <w:rsid w:val="00A239BE"/>
    <w:rsid w:val="00A23C5F"/>
    <w:rsid w:val="00A23C9C"/>
    <w:rsid w:val="00A23EA8"/>
    <w:rsid w:val="00A23F44"/>
    <w:rsid w:val="00A2401C"/>
    <w:rsid w:val="00A24185"/>
    <w:rsid w:val="00A24204"/>
    <w:rsid w:val="00A24400"/>
    <w:rsid w:val="00A24465"/>
    <w:rsid w:val="00A245B8"/>
    <w:rsid w:val="00A2464F"/>
    <w:rsid w:val="00A24855"/>
    <w:rsid w:val="00A248AF"/>
    <w:rsid w:val="00A24A70"/>
    <w:rsid w:val="00A24E5A"/>
    <w:rsid w:val="00A24F09"/>
    <w:rsid w:val="00A25026"/>
    <w:rsid w:val="00A250E3"/>
    <w:rsid w:val="00A2531B"/>
    <w:rsid w:val="00A253F5"/>
    <w:rsid w:val="00A25574"/>
    <w:rsid w:val="00A2560D"/>
    <w:rsid w:val="00A25624"/>
    <w:rsid w:val="00A257EB"/>
    <w:rsid w:val="00A2591E"/>
    <w:rsid w:val="00A25A15"/>
    <w:rsid w:val="00A25A81"/>
    <w:rsid w:val="00A25C4C"/>
    <w:rsid w:val="00A25C92"/>
    <w:rsid w:val="00A25CA2"/>
    <w:rsid w:val="00A25FC3"/>
    <w:rsid w:val="00A26071"/>
    <w:rsid w:val="00A260CD"/>
    <w:rsid w:val="00A2616F"/>
    <w:rsid w:val="00A26193"/>
    <w:rsid w:val="00A26226"/>
    <w:rsid w:val="00A2625A"/>
    <w:rsid w:val="00A2640E"/>
    <w:rsid w:val="00A265DC"/>
    <w:rsid w:val="00A26633"/>
    <w:rsid w:val="00A266B0"/>
    <w:rsid w:val="00A266CB"/>
    <w:rsid w:val="00A267A5"/>
    <w:rsid w:val="00A269AC"/>
    <w:rsid w:val="00A26B02"/>
    <w:rsid w:val="00A26B2A"/>
    <w:rsid w:val="00A26CE9"/>
    <w:rsid w:val="00A26CFB"/>
    <w:rsid w:val="00A26D78"/>
    <w:rsid w:val="00A26D9C"/>
    <w:rsid w:val="00A26F8C"/>
    <w:rsid w:val="00A26FBC"/>
    <w:rsid w:val="00A27054"/>
    <w:rsid w:val="00A271C0"/>
    <w:rsid w:val="00A2720F"/>
    <w:rsid w:val="00A27373"/>
    <w:rsid w:val="00A27473"/>
    <w:rsid w:val="00A275F1"/>
    <w:rsid w:val="00A278B0"/>
    <w:rsid w:val="00A27974"/>
    <w:rsid w:val="00A279E3"/>
    <w:rsid w:val="00A27A60"/>
    <w:rsid w:val="00A27CDC"/>
    <w:rsid w:val="00A27D7C"/>
    <w:rsid w:val="00A27F12"/>
    <w:rsid w:val="00A27F2C"/>
    <w:rsid w:val="00A27FEA"/>
    <w:rsid w:val="00A3002E"/>
    <w:rsid w:val="00A30041"/>
    <w:rsid w:val="00A3005E"/>
    <w:rsid w:val="00A30307"/>
    <w:rsid w:val="00A303E4"/>
    <w:rsid w:val="00A30436"/>
    <w:rsid w:val="00A304B6"/>
    <w:rsid w:val="00A304B7"/>
    <w:rsid w:val="00A30502"/>
    <w:rsid w:val="00A30544"/>
    <w:rsid w:val="00A3055B"/>
    <w:rsid w:val="00A30611"/>
    <w:rsid w:val="00A30680"/>
    <w:rsid w:val="00A30838"/>
    <w:rsid w:val="00A3091E"/>
    <w:rsid w:val="00A30957"/>
    <w:rsid w:val="00A30AC0"/>
    <w:rsid w:val="00A30C87"/>
    <w:rsid w:val="00A3122F"/>
    <w:rsid w:val="00A312C7"/>
    <w:rsid w:val="00A313A5"/>
    <w:rsid w:val="00A313E7"/>
    <w:rsid w:val="00A3145F"/>
    <w:rsid w:val="00A31495"/>
    <w:rsid w:val="00A315B2"/>
    <w:rsid w:val="00A317D8"/>
    <w:rsid w:val="00A31BDE"/>
    <w:rsid w:val="00A31C09"/>
    <w:rsid w:val="00A31C1E"/>
    <w:rsid w:val="00A31CB5"/>
    <w:rsid w:val="00A31DDF"/>
    <w:rsid w:val="00A31DE9"/>
    <w:rsid w:val="00A32031"/>
    <w:rsid w:val="00A32161"/>
    <w:rsid w:val="00A323D2"/>
    <w:rsid w:val="00A32724"/>
    <w:rsid w:val="00A32911"/>
    <w:rsid w:val="00A32ED6"/>
    <w:rsid w:val="00A32F0B"/>
    <w:rsid w:val="00A330AD"/>
    <w:rsid w:val="00A3332B"/>
    <w:rsid w:val="00A33451"/>
    <w:rsid w:val="00A33564"/>
    <w:rsid w:val="00A33706"/>
    <w:rsid w:val="00A33738"/>
    <w:rsid w:val="00A33750"/>
    <w:rsid w:val="00A337CF"/>
    <w:rsid w:val="00A33A32"/>
    <w:rsid w:val="00A33BFF"/>
    <w:rsid w:val="00A33EBF"/>
    <w:rsid w:val="00A33F07"/>
    <w:rsid w:val="00A33FD7"/>
    <w:rsid w:val="00A340E9"/>
    <w:rsid w:val="00A342C4"/>
    <w:rsid w:val="00A342DC"/>
    <w:rsid w:val="00A34353"/>
    <w:rsid w:val="00A344C7"/>
    <w:rsid w:val="00A348B3"/>
    <w:rsid w:val="00A349E4"/>
    <w:rsid w:val="00A34BAF"/>
    <w:rsid w:val="00A34CE2"/>
    <w:rsid w:val="00A34DFF"/>
    <w:rsid w:val="00A34E7B"/>
    <w:rsid w:val="00A3504D"/>
    <w:rsid w:val="00A351F3"/>
    <w:rsid w:val="00A3528C"/>
    <w:rsid w:val="00A35345"/>
    <w:rsid w:val="00A35349"/>
    <w:rsid w:val="00A354A7"/>
    <w:rsid w:val="00A3552A"/>
    <w:rsid w:val="00A3566A"/>
    <w:rsid w:val="00A35695"/>
    <w:rsid w:val="00A357AC"/>
    <w:rsid w:val="00A359C6"/>
    <w:rsid w:val="00A359CC"/>
    <w:rsid w:val="00A35B55"/>
    <w:rsid w:val="00A35B6D"/>
    <w:rsid w:val="00A35B94"/>
    <w:rsid w:val="00A35BE7"/>
    <w:rsid w:val="00A35C0E"/>
    <w:rsid w:val="00A35DC4"/>
    <w:rsid w:val="00A35E10"/>
    <w:rsid w:val="00A35E51"/>
    <w:rsid w:val="00A35E8D"/>
    <w:rsid w:val="00A35EE6"/>
    <w:rsid w:val="00A36102"/>
    <w:rsid w:val="00A3615F"/>
    <w:rsid w:val="00A3683E"/>
    <w:rsid w:val="00A36929"/>
    <w:rsid w:val="00A3694D"/>
    <w:rsid w:val="00A369CC"/>
    <w:rsid w:val="00A36A25"/>
    <w:rsid w:val="00A36D64"/>
    <w:rsid w:val="00A36E0F"/>
    <w:rsid w:val="00A36E4B"/>
    <w:rsid w:val="00A37209"/>
    <w:rsid w:val="00A37259"/>
    <w:rsid w:val="00A37304"/>
    <w:rsid w:val="00A3735C"/>
    <w:rsid w:val="00A3749B"/>
    <w:rsid w:val="00A375FD"/>
    <w:rsid w:val="00A3782E"/>
    <w:rsid w:val="00A3785A"/>
    <w:rsid w:val="00A37890"/>
    <w:rsid w:val="00A378B6"/>
    <w:rsid w:val="00A37B69"/>
    <w:rsid w:val="00A37CB8"/>
    <w:rsid w:val="00A37D0D"/>
    <w:rsid w:val="00A37E8F"/>
    <w:rsid w:val="00A40109"/>
    <w:rsid w:val="00A40225"/>
    <w:rsid w:val="00A40262"/>
    <w:rsid w:val="00A40481"/>
    <w:rsid w:val="00A4061D"/>
    <w:rsid w:val="00A40703"/>
    <w:rsid w:val="00A408D5"/>
    <w:rsid w:val="00A40906"/>
    <w:rsid w:val="00A409BC"/>
    <w:rsid w:val="00A40A3A"/>
    <w:rsid w:val="00A40AB1"/>
    <w:rsid w:val="00A40B4B"/>
    <w:rsid w:val="00A40BFF"/>
    <w:rsid w:val="00A40C7E"/>
    <w:rsid w:val="00A40FE6"/>
    <w:rsid w:val="00A4115F"/>
    <w:rsid w:val="00A411EA"/>
    <w:rsid w:val="00A4129A"/>
    <w:rsid w:val="00A412CF"/>
    <w:rsid w:val="00A413E9"/>
    <w:rsid w:val="00A414B9"/>
    <w:rsid w:val="00A416B8"/>
    <w:rsid w:val="00A416FE"/>
    <w:rsid w:val="00A4172D"/>
    <w:rsid w:val="00A4172F"/>
    <w:rsid w:val="00A41B3E"/>
    <w:rsid w:val="00A41BFB"/>
    <w:rsid w:val="00A41C43"/>
    <w:rsid w:val="00A41CAB"/>
    <w:rsid w:val="00A41CC0"/>
    <w:rsid w:val="00A41DE7"/>
    <w:rsid w:val="00A41E27"/>
    <w:rsid w:val="00A41EC9"/>
    <w:rsid w:val="00A41F81"/>
    <w:rsid w:val="00A42063"/>
    <w:rsid w:val="00A4228C"/>
    <w:rsid w:val="00A42452"/>
    <w:rsid w:val="00A42650"/>
    <w:rsid w:val="00A427D2"/>
    <w:rsid w:val="00A42845"/>
    <w:rsid w:val="00A42A64"/>
    <w:rsid w:val="00A42AA3"/>
    <w:rsid w:val="00A42C6E"/>
    <w:rsid w:val="00A42D29"/>
    <w:rsid w:val="00A42E3B"/>
    <w:rsid w:val="00A42ECD"/>
    <w:rsid w:val="00A42FAE"/>
    <w:rsid w:val="00A430FD"/>
    <w:rsid w:val="00A43291"/>
    <w:rsid w:val="00A432F4"/>
    <w:rsid w:val="00A43418"/>
    <w:rsid w:val="00A43427"/>
    <w:rsid w:val="00A43463"/>
    <w:rsid w:val="00A43479"/>
    <w:rsid w:val="00A4349B"/>
    <w:rsid w:val="00A43730"/>
    <w:rsid w:val="00A4391A"/>
    <w:rsid w:val="00A43966"/>
    <w:rsid w:val="00A43A32"/>
    <w:rsid w:val="00A43C21"/>
    <w:rsid w:val="00A43C66"/>
    <w:rsid w:val="00A43F60"/>
    <w:rsid w:val="00A44168"/>
    <w:rsid w:val="00A4419B"/>
    <w:rsid w:val="00A44258"/>
    <w:rsid w:val="00A44260"/>
    <w:rsid w:val="00A444BC"/>
    <w:rsid w:val="00A444EC"/>
    <w:rsid w:val="00A44977"/>
    <w:rsid w:val="00A449AF"/>
    <w:rsid w:val="00A44A2B"/>
    <w:rsid w:val="00A44A70"/>
    <w:rsid w:val="00A44AD0"/>
    <w:rsid w:val="00A44D47"/>
    <w:rsid w:val="00A44DAF"/>
    <w:rsid w:val="00A44F10"/>
    <w:rsid w:val="00A45247"/>
    <w:rsid w:val="00A45331"/>
    <w:rsid w:val="00A4538C"/>
    <w:rsid w:val="00A457C3"/>
    <w:rsid w:val="00A4591E"/>
    <w:rsid w:val="00A45A0C"/>
    <w:rsid w:val="00A45DCF"/>
    <w:rsid w:val="00A4606A"/>
    <w:rsid w:val="00A461B2"/>
    <w:rsid w:val="00A461BB"/>
    <w:rsid w:val="00A4620C"/>
    <w:rsid w:val="00A463C2"/>
    <w:rsid w:val="00A46403"/>
    <w:rsid w:val="00A46534"/>
    <w:rsid w:val="00A46638"/>
    <w:rsid w:val="00A466BA"/>
    <w:rsid w:val="00A466BC"/>
    <w:rsid w:val="00A46A10"/>
    <w:rsid w:val="00A46A5D"/>
    <w:rsid w:val="00A46EFB"/>
    <w:rsid w:val="00A4724E"/>
    <w:rsid w:val="00A47292"/>
    <w:rsid w:val="00A47415"/>
    <w:rsid w:val="00A47981"/>
    <w:rsid w:val="00A47AD5"/>
    <w:rsid w:val="00A47B70"/>
    <w:rsid w:val="00A47BF7"/>
    <w:rsid w:val="00A47C35"/>
    <w:rsid w:val="00A47D3F"/>
    <w:rsid w:val="00A47E43"/>
    <w:rsid w:val="00A47EBF"/>
    <w:rsid w:val="00A47F51"/>
    <w:rsid w:val="00A47FAE"/>
    <w:rsid w:val="00A50080"/>
    <w:rsid w:val="00A500C1"/>
    <w:rsid w:val="00A500D7"/>
    <w:rsid w:val="00A50354"/>
    <w:rsid w:val="00A503EE"/>
    <w:rsid w:val="00A505D5"/>
    <w:rsid w:val="00A5069F"/>
    <w:rsid w:val="00A50703"/>
    <w:rsid w:val="00A50901"/>
    <w:rsid w:val="00A50969"/>
    <w:rsid w:val="00A50B78"/>
    <w:rsid w:val="00A50D15"/>
    <w:rsid w:val="00A50D4F"/>
    <w:rsid w:val="00A50E1F"/>
    <w:rsid w:val="00A510C0"/>
    <w:rsid w:val="00A511AC"/>
    <w:rsid w:val="00A512E6"/>
    <w:rsid w:val="00A51505"/>
    <w:rsid w:val="00A51526"/>
    <w:rsid w:val="00A516BB"/>
    <w:rsid w:val="00A516FA"/>
    <w:rsid w:val="00A51746"/>
    <w:rsid w:val="00A517F0"/>
    <w:rsid w:val="00A5181B"/>
    <w:rsid w:val="00A51894"/>
    <w:rsid w:val="00A51905"/>
    <w:rsid w:val="00A51A0A"/>
    <w:rsid w:val="00A51ADA"/>
    <w:rsid w:val="00A51B65"/>
    <w:rsid w:val="00A51BC2"/>
    <w:rsid w:val="00A51BED"/>
    <w:rsid w:val="00A51CF2"/>
    <w:rsid w:val="00A51E00"/>
    <w:rsid w:val="00A51E7D"/>
    <w:rsid w:val="00A52002"/>
    <w:rsid w:val="00A52077"/>
    <w:rsid w:val="00A5217D"/>
    <w:rsid w:val="00A52409"/>
    <w:rsid w:val="00A52744"/>
    <w:rsid w:val="00A5274C"/>
    <w:rsid w:val="00A528B2"/>
    <w:rsid w:val="00A52945"/>
    <w:rsid w:val="00A529AC"/>
    <w:rsid w:val="00A52AD2"/>
    <w:rsid w:val="00A52AE2"/>
    <w:rsid w:val="00A52BCF"/>
    <w:rsid w:val="00A52C29"/>
    <w:rsid w:val="00A52C50"/>
    <w:rsid w:val="00A52FB8"/>
    <w:rsid w:val="00A53017"/>
    <w:rsid w:val="00A534A5"/>
    <w:rsid w:val="00A53651"/>
    <w:rsid w:val="00A5367E"/>
    <w:rsid w:val="00A537CC"/>
    <w:rsid w:val="00A5398A"/>
    <w:rsid w:val="00A53A59"/>
    <w:rsid w:val="00A53B11"/>
    <w:rsid w:val="00A53B5F"/>
    <w:rsid w:val="00A53CCD"/>
    <w:rsid w:val="00A53D83"/>
    <w:rsid w:val="00A53DAF"/>
    <w:rsid w:val="00A53DE3"/>
    <w:rsid w:val="00A53E02"/>
    <w:rsid w:val="00A53E8E"/>
    <w:rsid w:val="00A53F72"/>
    <w:rsid w:val="00A54025"/>
    <w:rsid w:val="00A54237"/>
    <w:rsid w:val="00A5441A"/>
    <w:rsid w:val="00A544E2"/>
    <w:rsid w:val="00A545AE"/>
    <w:rsid w:val="00A5469B"/>
    <w:rsid w:val="00A54715"/>
    <w:rsid w:val="00A547AA"/>
    <w:rsid w:val="00A548F5"/>
    <w:rsid w:val="00A54951"/>
    <w:rsid w:val="00A54AED"/>
    <w:rsid w:val="00A54B8A"/>
    <w:rsid w:val="00A54C45"/>
    <w:rsid w:val="00A54C5D"/>
    <w:rsid w:val="00A54C9E"/>
    <w:rsid w:val="00A54D21"/>
    <w:rsid w:val="00A54E55"/>
    <w:rsid w:val="00A54EED"/>
    <w:rsid w:val="00A54F7B"/>
    <w:rsid w:val="00A54FD3"/>
    <w:rsid w:val="00A55117"/>
    <w:rsid w:val="00A5538A"/>
    <w:rsid w:val="00A553CB"/>
    <w:rsid w:val="00A5541C"/>
    <w:rsid w:val="00A55436"/>
    <w:rsid w:val="00A55452"/>
    <w:rsid w:val="00A5550C"/>
    <w:rsid w:val="00A55861"/>
    <w:rsid w:val="00A55B11"/>
    <w:rsid w:val="00A55C2F"/>
    <w:rsid w:val="00A55D34"/>
    <w:rsid w:val="00A55D69"/>
    <w:rsid w:val="00A55F28"/>
    <w:rsid w:val="00A55F7D"/>
    <w:rsid w:val="00A5617D"/>
    <w:rsid w:val="00A564D9"/>
    <w:rsid w:val="00A565AF"/>
    <w:rsid w:val="00A56611"/>
    <w:rsid w:val="00A5667E"/>
    <w:rsid w:val="00A567BE"/>
    <w:rsid w:val="00A569C5"/>
    <w:rsid w:val="00A56C07"/>
    <w:rsid w:val="00A56CC3"/>
    <w:rsid w:val="00A56CD4"/>
    <w:rsid w:val="00A56CFB"/>
    <w:rsid w:val="00A56DF6"/>
    <w:rsid w:val="00A56E60"/>
    <w:rsid w:val="00A56F6C"/>
    <w:rsid w:val="00A5704D"/>
    <w:rsid w:val="00A570DC"/>
    <w:rsid w:val="00A57165"/>
    <w:rsid w:val="00A571FE"/>
    <w:rsid w:val="00A5745E"/>
    <w:rsid w:val="00A574E9"/>
    <w:rsid w:val="00A5757D"/>
    <w:rsid w:val="00A57602"/>
    <w:rsid w:val="00A57639"/>
    <w:rsid w:val="00A57700"/>
    <w:rsid w:val="00A577D7"/>
    <w:rsid w:val="00A5797B"/>
    <w:rsid w:val="00A57C61"/>
    <w:rsid w:val="00A57C92"/>
    <w:rsid w:val="00A57C99"/>
    <w:rsid w:val="00A57CD0"/>
    <w:rsid w:val="00A57D6A"/>
    <w:rsid w:val="00A57D90"/>
    <w:rsid w:val="00A57DE9"/>
    <w:rsid w:val="00A600F9"/>
    <w:rsid w:val="00A601F3"/>
    <w:rsid w:val="00A6046A"/>
    <w:rsid w:val="00A6054D"/>
    <w:rsid w:val="00A605A5"/>
    <w:rsid w:val="00A606BC"/>
    <w:rsid w:val="00A6070B"/>
    <w:rsid w:val="00A60781"/>
    <w:rsid w:val="00A608E7"/>
    <w:rsid w:val="00A609F5"/>
    <w:rsid w:val="00A60BC0"/>
    <w:rsid w:val="00A60BDC"/>
    <w:rsid w:val="00A60E1E"/>
    <w:rsid w:val="00A60EA3"/>
    <w:rsid w:val="00A60FDB"/>
    <w:rsid w:val="00A6100B"/>
    <w:rsid w:val="00A61133"/>
    <w:rsid w:val="00A6152B"/>
    <w:rsid w:val="00A61653"/>
    <w:rsid w:val="00A61915"/>
    <w:rsid w:val="00A61997"/>
    <w:rsid w:val="00A61AA9"/>
    <w:rsid w:val="00A61AE9"/>
    <w:rsid w:val="00A61BAB"/>
    <w:rsid w:val="00A61C7B"/>
    <w:rsid w:val="00A61CBC"/>
    <w:rsid w:val="00A6211C"/>
    <w:rsid w:val="00A62208"/>
    <w:rsid w:val="00A62252"/>
    <w:rsid w:val="00A62335"/>
    <w:rsid w:val="00A6240B"/>
    <w:rsid w:val="00A62419"/>
    <w:rsid w:val="00A62456"/>
    <w:rsid w:val="00A62595"/>
    <w:rsid w:val="00A62638"/>
    <w:rsid w:val="00A6289C"/>
    <w:rsid w:val="00A62AE8"/>
    <w:rsid w:val="00A62C0B"/>
    <w:rsid w:val="00A62C12"/>
    <w:rsid w:val="00A62E42"/>
    <w:rsid w:val="00A62F5A"/>
    <w:rsid w:val="00A62FC0"/>
    <w:rsid w:val="00A63004"/>
    <w:rsid w:val="00A6310E"/>
    <w:rsid w:val="00A6325A"/>
    <w:rsid w:val="00A63416"/>
    <w:rsid w:val="00A6345B"/>
    <w:rsid w:val="00A63478"/>
    <w:rsid w:val="00A6351E"/>
    <w:rsid w:val="00A63591"/>
    <w:rsid w:val="00A635DE"/>
    <w:rsid w:val="00A636EA"/>
    <w:rsid w:val="00A63A67"/>
    <w:rsid w:val="00A63AE8"/>
    <w:rsid w:val="00A63B5B"/>
    <w:rsid w:val="00A63B83"/>
    <w:rsid w:val="00A63E35"/>
    <w:rsid w:val="00A63E65"/>
    <w:rsid w:val="00A640A6"/>
    <w:rsid w:val="00A64241"/>
    <w:rsid w:val="00A64277"/>
    <w:rsid w:val="00A6443D"/>
    <w:rsid w:val="00A6466E"/>
    <w:rsid w:val="00A64790"/>
    <w:rsid w:val="00A6483F"/>
    <w:rsid w:val="00A64A71"/>
    <w:rsid w:val="00A64AA9"/>
    <w:rsid w:val="00A64AEA"/>
    <w:rsid w:val="00A64B2C"/>
    <w:rsid w:val="00A64DB3"/>
    <w:rsid w:val="00A65088"/>
    <w:rsid w:val="00A6518D"/>
    <w:rsid w:val="00A6529D"/>
    <w:rsid w:val="00A652B8"/>
    <w:rsid w:val="00A65367"/>
    <w:rsid w:val="00A653CE"/>
    <w:rsid w:val="00A6542B"/>
    <w:rsid w:val="00A6581C"/>
    <w:rsid w:val="00A65847"/>
    <w:rsid w:val="00A65898"/>
    <w:rsid w:val="00A65932"/>
    <w:rsid w:val="00A65A84"/>
    <w:rsid w:val="00A65C59"/>
    <w:rsid w:val="00A65C75"/>
    <w:rsid w:val="00A65DB2"/>
    <w:rsid w:val="00A65E58"/>
    <w:rsid w:val="00A65F1C"/>
    <w:rsid w:val="00A660C5"/>
    <w:rsid w:val="00A660D7"/>
    <w:rsid w:val="00A66113"/>
    <w:rsid w:val="00A662F4"/>
    <w:rsid w:val="00A66312"/>
    <w:rsid w:val="00A6644B"/>
    <w:rsid w:val="00A66457"/>
    <w:rsid w:val="00A664E5"/>
    <w:rsid w:val="00A6670C"/>
    <w:rsid w:val="00A6673C"/>
    <w:rsid w:val="00A667C6"/>
    <w:rsid w:val="00A66835"/>
    <w:rsid w:val="00A668E5"/>
    <w:rsid w:val="00A66980"/>
    <w:rsid w:val="00A66A28"/>
    <w:rsid w:val="00A66D39"/>
    <w:rsid w:val="00A66DE9"/>
    <w:rsid w:val="00A66F0C"/>
    <w:rsid w:val="00A6701D"/>
    <w:rsid w:val="00A67164"/>
    <w:rsid w:val="00A672BA"/>
    <w:rsid w:val="00A67611"/>
    <w:rsid w:val="00A676E5"/>
    <w:rsid w:val="00A67895"/>
    <w:rsid w:val="00A67919"/>
    <w:rsid w:val="00A67A3C"/>
    <w:rsid w:val="00A67B01"/>
    <w:rsid w:val="00A67BD4"/>
    <w:rsid w:val="00A67C3F"/>
    <w:rsid w:val="00A67D36"/>
    <w:rsid w:val="00A701AC"/>
    <w:rsid w:val="00A701BA"/>
    <w:rsid w:val="00A70509"/>
    <w:rsid w:val="00A70513"/>
    <w:rsid w:val="00A70578"/>
    <w:rsid w:val="00A705E7"/>
    <w:rsid w:val="00A70659"/>
    <w:rsid w:val="00A7075F"/>
    <w:rsid w:val="00A70876"/>
    <w:rsid w:val="00A7088B"/>
    <w:rsid w:val="00A70A40"/>
    <w:rsid w:val="00A70AEC"/>
    <w:rsid w:val="00A70DF6"/>
    <w:rsid w:val="00A70FAF"/>
    <w:rsid w:val="00A71044"/>
    <w:rsid w:val="00A710E2"/>
    <w:rsid w:val="00A711EF"/>
    <w:rsid w:val="00A71429"/>
    <w:rsid w:val="00A717EB"/>
    <w:rsid w:val="00A71A0E"/>
    <w:rsid w:val="00A71A69"/>
    <w:rsid w:val="00A71C4E"/>
    <w:rsid w:val="00A71C92"/>
    <w:rsid w:val="00A71CCA"/>
    <w:rsid w:val="00A71D61"/>
    <w:rsid w:val="00A71D76"/>
    <w:rsid w:val="00A71E07"/>
    <w:rsid w:val="00A71E1C"/>
    <w:rsid w:val="00A71EC1"/>
    <w:rsid w:val="00A71FF2"/>
    <w:rsid w:val="00A72186"/>
    <w:rsid w:val="00A722FA"/>
    <w:rsid w:val="00A726EF"/>
    <w:rsid w:val="00A72732"/>
    <w:rsid w:val="00A7277C"/>
    <w:rsid w:val="00A727A4"/>
    <w:rsid w:val="00A727B6"/>
    <w:rsid w:val="00A727C5"/>
    <w:rsid w:val="00A727DA"/>
    <w:rsid w:val="00A727F4"/>
    <w:rsid w:val="00A72884"/>
    <w:rsid w:val="00A72A23"/>
    <w:rsid w:val="00A72AEE"/>
    <w:rsid w:val="00A72B0A"/>
    <w:rsid w:val="00A72B57"/>
    <w:rsid w:val="00A72CF3"/>
    <w:rsid w:val="00A72DCA"/>
    <w:rsid w:val="00A72EE6"/>
    <w:rsid w:val="00A72FAE"/>
    <w:rsid w:val="00A73008"/>
    <w:rsid w:val="00A732CD"/>
    <w:rsid w:val="00A73369"/>
    <w:rsid w:val="00A7353A"/>
    <w:rsid w:val="00A7368D"/>
    <w:rsid w:val="00A736D9"/>
    <w:rsid w:val="00A7387D"/>
    <w:rsid w:val="00A7388D"/>
    <w:rsid w:val="00A739BA"/>
    <w:rsid w:val="00A73C05"/>
    <w:rsid w:val="00A73CBE"/>
    <w:rsid w:val="00A73D36"/>
    <w:rsid w:val="00A73D8B"/>
    <w:rsid w:val="00A73DB5"/>
    <w:rsid w:val="00A73F3A"/>
    <w:rsid w:val="00A74045"/>
    <w:rsid w:val="00A74163"/>
    <w:rsid w:val="00A741AA"/>
    <w:rsid w:val="00A74230"/>
    <w:rsid w:val="00A742E4"/>
    <w:rsid w:val="00A74329"/>
    <w:rsid w:val="00A743D9"/>
    <w:rsid w:val="00A74545"/>
    <w:rsid w:val="00A7467B"/>
    <w:rsid w:val="00A747F3"/>
    <w:rsid w:val="00A74971"/>
    <w:rsid w:val="00A74C5A"/>
    <w:rsid w:val="00A74E99"/>
    <w:rsid w:val="00A750AC"/>
    <w:rsid w:val="00A751CA"/>
    <w:rsid w:val="00A75369"/>
    <w:rsid w:val="00A753BC"/>
    <w:rsid w:val="00A753CA"/>
    <w:rsid w:val="00A75433"/>
    <w:rsid w:val="00A7558B"/>
    <w:rsid w:val="00A755B3"/>
    <w:rsid w:val="00A7578F"/>
    <w:rsid w:val="00A75A87"/>
    <w:rsid w:val="00A75B07"/>
    <w:rsid w:val="00A75C0E"/>
    <w:rsid w:val="00A75DEE"/>
    <w:rsid w:val="00A75E57"/>
    <w:rsid w:val="00A75EC4"/>
    <w:rsid w:val="00A7617F"/>
    <w:rsid w:val="00A76255"/>
    <w:rsid w:val="00A76432"/>
    <w:rsid w:val="00A76718"/>
    <w:rsid w:val="00A7674F"/>
    <w:rsid w:val="00A7679D"/>
    <w:rsid w:val="00A76CDC"/>
    <w:rsid w:val="00A76F83"/>
    <w:rsid w:val="00A770F7"/>
    <w:rsid w:val="00A7732B"/>
    <w:rsid w:val="00A77365"/>
    <w:rsid w:val="00A77468"/>
    <w:rsid w:val="00A77529"/>
    <w:rsid w:val="00A775DB"/>
    <w:rsid w:val="00A77756"/>
    <w:rsid w:val="00A7796C"/>
    <w:rsid w:val="00A77A49"/>
    <w:rsid w:val="00A77ADF"/>
    <w:rsid w:val="00A77C7F"/>
    <w:rsid w:val="00A77C91"/>
    <w:rsid w:val="00A77DFD"/>
    <w:rsid w:val="00A80218"/>
    <w:rsid w:val="00A802CC"/>
    <w:rsid w:val="00A80301"/>
    <w:rsid w:val="00A803BF"/>
    <w:rsid w:val="00A8053B"/>
    <w:rsid w:val="00A80757"/>
    <w:rsid w:val="00A80782"/>
    <w:rsid w:val="00A807D5"/>
    <w:rsid w:val="00A807E4"/>
    <w:rsid w:val="00A80818"/>
    <w:rsid w:val="00A80974"/>
    <w:rsid w:val="00A80998"/>
    <w:rsid w:val="00A80A13"/>
    <w:rsid w:val="00A80A2B"/>
    <w:rsid w:val="00A80C6F"/>
    <w:rsid w:val="00A80D57"/>
    <w:rsid w:val="00A80D6C"/>
    <w:rsid w:val="00A80E02"/>
    <w:rsid w:val="00A80E83"/>
    <w:rsid w:val="00A80EB0"/>
    <w:rsid w:val="00A8109B"/>
    <w:rsid w:val="00A811EC"/>
    <w:rsid w:val="00A813B0"/>
    <w:rsid w:val="00A813BF"/>
    <w:rsid w:val="00A81466"/>
    <w:rsid w:val="00A81593"/>
    <w:rsid w:val="00A8161A"/>
    <w:rsid w:val="00A8165B"/>
    <w:rsid w:val="00A816A9"/>
    <w:rsid w:val="00A81845"/>
    <w:rsid w:val="00A8190F"/>
    <w:rsid w:val="00A819BC"/>
    <w:rsid w:val="00A81B64"/>
    <w:rsid w:val="00A81BE0"/>
    <w:rsid w:val="00A81CEB"/>
    <w:rsid w:val="00A81EFB"/>
    <w:rsid w:val="00A81F9D"/>
    <w:rsid w:val="00A81FC2"/>
    <w:rsid w:val="00A82062"/>
    <w:rsid w:val="00A82240"/>
    <w:rsid w:val="00A822B8"/>
    <w:rsid w:val="00A82415"/>
    <w:rsid w:val="00A82508"/>
    <w:rsid w:val="00A82531"/>
    <w:rsid w:val="00A8256C"/>
    <w:rsid w:val="00A82642"/>
    <w:rsid w:val="00A82691"/>
    <w:rsid w:val="00A826CE"/>
    <w:rsid w:val="00A82836"/>
    <w:rsid w:val="00A82891"/>
    <w:rsid w:val="00A82972"/>
    <w:rsid w:val="00A829CA"/>
    <w:rsid w:val="00A82B47"/>
    <w:rsid w:val="00A82BF8"/>
    <w:rsid w:val="00A82CD2"/>
    <w:rsid w:val="00A82E9D"/>
    <w:rsid w:val="00A8334E"/>
    <w:rsid w:val="00A833CA"/>
    <w:rsid w:val="00A834EB"/>
    <w:rsid w:val="00A8363E"/>
    <w:rsid w:val="00A83660"/>
    <w:rsid w:val="00A83713"/>
    <w:rsid w:val="00A83948"/>
    <w:rsid w:val="00A839F9"/>
    <w:rsid w:val="00A83A09"/>
    <w:rsid w:val="00A83A5E"/>
    <w:rsid w:val="00A83C69"/>
    <w:rsid w:val="00A83DCE"/>
    <w:rsid w:val="00A83DF0"/>
    <w:rsid w:val="00A83E5D"/>
    <w:rsid w:val="00A83FD5"/>
    <w:rsid w:val="00A843B2"/>
    <w:rsid w:val="00A847B4"/>
    <w:rsid w:val="00A84826"/>
    <w:rsid w:val="00A84841"/>
    <w:rsid w:val="00A84860"/>
    <w:rsid w:val="00A84B45"/>
    <w:rsid w:val="00A84BBD"/>
    <w:rsid w:val="00A84BF0"/>
    <w:rsid w:val="00A84C65"/>
    <w:rsid w:val="00A84D1B"/>
    <w:rsid w:val="00A84DB7"/>
    <w:rsid w:val="00A84F17"/>
    <w:rsid w:val="00A85008"/>
    <w:rsid w:val="00A8528D"/>
    <w:rsid w:val="00A8535E"/>
    <w:rsid w:val="00A8569D"/>
    <w:rsid w:val="00A856BD"/>
    <w:rsid w:val="00A858BC"/>
    <w:rsid w:val="00A8593A"/>
    <w:rsid w:val="00A85941"/>
    <w:rsid w:val="00A85A47"/>
    <w:rsid w:val="00A85AAE"/>
    <w:rsid w:val="00A85BB1"/>
    <w:rsid w:val="00A85F68"/>
    <w:rsid w:val="00A85F86"/>
    <w:rsid w:val="00A85F94"/>
    <w:rsid w:val="00A865D6"/>
    <w:rsid w:val="00A866AC"/>
    <w:rsid w:val="00A866F0"/>
    <w:rsid w:val="00A86A06"/>
    <w:rsid w:val="00A86AC9"/>
    <w:rsid w:val="00A86AD2"/>
    <w:rsid w:val="00A86B09"/>
    <w:rsid w:val="00A86B3E"/>
    <w:rsid w:val="00A86D29"/>
    <w:rsid w:val="00A86EFE"/>
    <w:rsid w:val="00A86F77"/>
    <w:rsid w:val="00A870D9"/>
    <w:rsid w:val="00A871AB"/>
    <w:rsid w:val="00A871CE"/>
    <w:rsid w:val="00A87276"/>
    <w:rsid w:val="00A873CD"/>
    <w:rsid w:val="00A8749E"/>
    <w:rsid w:val="00A87794"/>
    <w:rsid w:val="00A878E2"/>
    <w:rsid w:val="00A879A2"/>
    <w:rsid w:val="00A879B2"/>
    <w:rsid w:val="00A87BE9"/>
    <w:rsid w:val="00A87BFB"/>
    <w:rsid w:val="00A87E00"/>
    <w:rsid w:val="00A87E10"/>
    <w:rsid w:val="00A87E1C"/>
    <w:rsid w:val="00A87ED9"/>
    <w:rsid w:val="00A87FC4"/>
    <w:rsid w:val="00A90036"/>
    <w:rsid w:val="00A90086"/>
    <w:rsid w:val="00A901C3"/>
    <w:rsid w:val="00A903C2"/>
    <w:rsid w:val="00A904D2"/>
    <w:rsid w:val="00A9059F"/>
    <w:rsid w:val="00A905AE"/>
    <w:rsid w:val="00A90725"/>
    <w:rsid w:val="00A9076C"/>
    <w:rsid w:val="00A90928"/>
    <w:rsid w:val="00A90A05"/>
    <w:rsid w:val="00A90E78"/>
    <w:rsid w:val="00A912ED"/>
    <w:rsid w:val="00A91342"/>
    <w:rsid w:val="00A91573"/>
    <w:rsid w:val="00A915C0"/>
    <w:rsid w:val="00A9161C"/>
    <w:rsid w:val="00A91844"/>
    <w:rsid w:val="00A918A4"/>
    <w:rsid w:val="00A91C4F"/>
    <w:rsid w:val="00A91C8E"/>
    <w:rsid w:val="00A91D3A"/>
    <w:rsid w:val="00A91DCB"/>
    <w:rsid w:val="00A91E33"/>
    <w:rsid w:val="00A91E69"/>
    <w:rsid w:val="00A91E8D"/>
    <w:rsid w:val="00A9224A"/>
    <w:rsid w:val="00A92358"/>
    <w:rsid w:val="00A925D5"/>
    <w:rsid w:val="00A92758"/>
    <w:rsid w:val="00A927B1"/>
    <w:rsid w:val="00A927BC"/>
    <w:rsid w:val="00A9280B"/>
    <w:rsid w:val="00A9287D"/>
    <w:rsid w:val="00A92949"/>
    <w:rsid w:val="00A929AE"/>
    <w:rsid w:val="00A92AF4"/>
    <w:rsid w:val="00A92B06"/>
    <w:rsid w:val="00A92B41"/>
    <w:rsid w:val="00A92F25"/>
    <w:rsid w:val="00A93165"/>
    <w:rsid w:val="00A9323E"/>
    <w:rsid w:val="00A9333D"/>
    <w:rsid w:val="00A933AA"/>
    <w:rsid w:val="00A933F8"/>
    <w:rsid w:val="00A9342F"/>
    <w:rsid w:val="00A93505"/>
    <w:rsid w:val="00A9374E"/>
    <w:rsid w:val="00A93832"/>
    <w:rsid w:val="00A938B6"/>
    <w:rsid w:val="00A93A41"/>
    <w:rsid w:val="00A93D31"/>
    <w:rsid w:val="00A93DCA"/>
    <w:rsid w:val="00A94168"/>
    <w:rsid w:val="00A94474"/>
    <w:rsid w:val="00A94588"/>
    <w:rsid w:val="00A946AB"/>
    <w:rsid w:val="00A94A88"/>
    <w:rsid w:val="00A94A8B"/>
    <w:rsid w:val="00A94AAC"/>
    <w:rsid w:val="00A94AE9"/>
    <w:rsid w:val="00A94C69"/>
    <w:rsid w:val="00A94E07"/>
    <w:rsid w:val="00A94F7C"/>
    <w:rsid w:val="00A94F91"/>
    <w:rsid w:val="00A95222"/>
    <w:rsid w:val="00A952AB"/>
    <w:rsid w:val="00A95315"/>
    <w:rsid w:val="00A9555F"/>
    <w:rsid w:val="00A959DD"/>
    <w:rsid w:val="00A95A36"/>
    <w:rsid w:val="00A95AFA"/>
    <w:rsid w:val="00A95EBF"/>
    <w:rsid w:val="00A95F83"/>
    <w:rsid w:val="00A95FF0"/>
    <w:rsid w:val="00A9606B"/>
    <w:rsid w:val="00A96095"/>
    <w:rsid w:val="00A960DF"/>
    <w:rsid w:val="00A9637F"/>
    <w:rsid w:val="00A9668E"/>
    <w:rsid w:val="00A967AA"/>
    <w:rsid w:val="00A969EC"/>
    <w:rsid w:val="00A96A46"/>
    <w:rsid w:val="00A96A6C"/>
    <w:rsid w:val="00A96AAE"/>
    <w:rsid w:val="00A96AF2"/>
    <w:rsid w:val="00A96D91"/>
    <w:rsid w:val="00A96E28"/>
    <w:rsid w:val="00A96F12"/>
    <w:rsid w:val="00A96FD8"/>
    <w:rsid w:val="00A9715B"/>
    <w:rsid w:val="00A97164"/>
    <w:rsid w:val="00A971CF"/>
    <w:rsid w:val="00A9723D"/>
    <w:rsid w:val="00A972A9"/>
    <w:rsid w:val="00A972F1"/>
    <w:rsid w:val="00A97374"/>
    <w:rsid w:val="00A973B6"/>
    <w:rsid w:val="00A974DD"/>
    <w:rsid w:val="00A9799B"/>
    <w:rsid w:val="00A97A19"/>
    <w:rsid w:val="00A97A5E"/>
    <w:rsid w:val="00A97A78"/>
    <w:rsid w:val="00A97B66"/>
    <w:rsid w:val="00A97E7A"/>
    <w:rsid w:val="00AA0027"/>
    <w:rsid w:val="00AA0035"/>
    <w:rsid w:val="00AA0079"/>
    <w:rsid w:val="00AA0084"/>
    <w:rsid w:val="00AA00D5"/>
    <w:rsid w:val="00AA00EC"/>
    <w:rsid w:val="00AA0290"/>
    <w:rsid w:val="00AA036E"/>
    <w:rsid w:val="00AA0450"/>
    <w:rsid w:val="00AA047E"/>
    <w:rsid w:val="00AA04E0"/>
    <w:rsid w:val="00AA05AC"/>
    <w:rsid w:val="00AA073C"/>
    <w:rsid w:val="00AA0802"/>
    <w:rsid w:val="00AA08E7"/>
    <w:rsid w:val="00AA0B90"/>
    <w:rsid w:val="00AA0C0F"/>
    <w:rsid w:val="00AA0CDC"/>
    <w:rsid w:val="00AA0DAF"/>
    <w:rsid w:val="00AA0E22"/>
    <w:rsid w:val="00AA0EE6"/>
    <w:rsid w:val="00AA0F57"/>
    <w:rsid w:val="00AA0FB2"/>
    <w:rsid w:val="00AA1030"/>
    <w:rsid w:val="00AA11CA"/>
    <w:rsid w:val="00AA12D4"/>
    <w:rsid w:val="00AA12E4"/>
    <w:rsid w:val="00AA1362"/>
    <w:rsid w:val="00AA165B"/>
    <w:rsid w:val="00AA1777"/>
    <w:rsid w:val="00AA17D2"/>
    <w:rsid w:val="00AA180C"/>
    <w:rsid w:val="00AA1872"/>
    <w:rsid w:val="00AA1E9A"/>
    <w:rsid w:val="00AA1EDA"/>
    <w:rsid w:val="00AA213A"/>
    <w:rsid w:val="00AA22CB"/>
    <w:rsid w:val="00AA2330"/>
    <w:rsid w:val="00AA2644"/>
    <w:rsid w:val="00AA2736"/>
    <w:rsid w:val="00AA282E"/>
    <w:rsid w:val="00AA2866"/>
    <w:rsid w:val="00AA2893"/>
    <w:rsid w:val="00AA2905"/>
    <w:rsid w:val="00AA29FD"/>
    <w:rsid w:val="00AA2C82"/>
    <w:rsid w:val="00AA2D60"/>
    <w:rsid w:val="00AA2ECB"/>
    <w:rsid w:val="00AA2ECF"/>
    <w:rsid w:val="00AA2F58"/>
    <w:rsid w:val="00AA2F73"/>
    <w:rsid w:val="00AA3002"/>
    <w:rsid w:val="00AA3390"/>
    <w:rsid w:val="00AA33DA"/>
    <w:rsid w:val="00AA3444"/>
    <w:rsid w:val="00AA3594"/>
    <w:rsid w:val="00AA36EB"/>
    <w:rsid w:val="00AA379A"/>
    <w:rsid w:val="00AA37CB"/>
    <w:rsid w:val="00AA392F"/>
    <w:rsid w:val="00AA3A5B"/>
    <w:rsid w:val="00AA3A69"/>
    <w:rsid w:val="00AA3C46"/>
    <w:rsid w:val="00AA3DDD"/>
    <w:rsid w:val="00AA3E36"/>
    <w:rsid w:val="00AA3E8C"/>
    <w:rsid w:val="00AA3F27"/>
    <w:rsid w:val="00AA406C"/>
    <w:rsid w:val="00AA411E"/>
    <w:rsid w:val="00AA4216"/>
    <w:rsid w:val="00AA4361"/>
    <w:rsid w:val="00AA4533"/>
    <w:rsid w:val="00AA456E"/>
    <w:rsid w:val="00AA4603"/>
    <w:rsid w:val="00AA48FA"/>
    <w:rsid w:val="00AA49C4"/>
    <w:rsid w:val="00AA49F1"/>
    <w:rsid w:val="00AA49FF"/>
    <w:rsid w:val="00AA4BAE"/>
    <w:rsid w:val="00AA4C06"/>
    <w:rsid w:val="00AA4C72"/>
    <w:rsid w:val="00AA4D69"/>
    <w:rsid w:val="00AA4D88"/>
    <w:rsid w:val="00AA4E16"/>
    <w:rsid w:val="00AA4E8F"/>
    <w:rsid w:val="00AA4EE2"/>
    <w:rsid w:val="00AA4F03"/>
    <w:rsid w:val="00AA5091"/>
    <w:rsid w:val="00AA50E7"/>
    <w:rsid w:val="00AA51E6"/>
    <w:rsid w:val="00AA52C9"/>
    <w:rsid w:val="00AA551D"/>
    <w:rsid w:val="00AA55D1"/>
    <w:rsid w:val="00AA5670"/>
    <w:rsid w:val="00AA5889"/>
    <w:rsid w:val="00AA5916"/>
    <w:rsid w:val="00AA59CE"/>
    <w:rsid w:val="00AA5B95"/>
    <w:rsid w:val="00AA5C88"/>
    <w:rsid w:val="00AA5E08"/>
    <w:rsid w:val="00AA5F59"/>
    <w:rsid w:val="00AA6088"/>
    <w:rsid w:val="00AA60B0"/>
    <w:rsid w:val="00AA616F"/>
    <w:rsid w:val="00AA61B2"/>
    <w:rsid w:val="00AA6386"/>
    <w:rsid w:val="00AA6463"/>
    <w:rsid w:val="00AA6759"/>
    <w:rsid w:val="00AA6B9A"/>
    <w:rsid w:val="00AA6E2F"/>
    <w:rsid w:val="00AA6F21"/>
    <w:rsid w:val="00AA708F"/>
    <w:rsid w:val="00AA714D"/>
    <w:rsid w:val="00AA737F"/>
    <w:rsid w:val="00AA7408"/>
    <w:rsid w:val="00AA7589"/>
    <w:rsid w:val="00AA76DB"/>
    <w:rsid w:val="00AA7748"/>
    <w:rsid w:val="00AA778F"/>
    <w:rsid w:val="00AA7CD4"/>
    <w:rsid w:val="00AA7E1F"/>
    <w:rsid w:val="00AA7E2D"/>
    <w:rsid w:val="00AA7EF0"/>
    <w:rsid w:val="00AA7F7C"/>
    <w:rsid w:val="00AB011A"/>
    <w:rsid w:val="00AB0160"/>
    <w:rsid w:val="00AB024B"/>
    <w:rsid w:val="00AB03C6"/>
    <w:rsid w:val="00AB08EE"/>
    <w:rsid w:val="00AB0B86"/>
    <w:rsid w:val="00AB0C7C"/>
    <w:rsid w:val="00AB0F0A"/>
    <w:rsid w:val="00AB103B"/>
    <w:rsid w:val="00AB10C2"/>
    <w:rsid w:val="00AB10CD"/>
    <w:rsid w:val="00AB1206"/>
    <w:rsid w:val="00AB1355"/>
    <w:rsid w:val="00AB14DD"/>
    <w:rsid w:val="00AB15E6"/>
    <w:rsid w:val="00AB1618"/>
    <w:rsid w:val="00AB1657"/>
    <w:rsid w:val="00AB1700"/>
    <w:rsid w:val="00AB1A65"/>
    <w:rsid w:val="00AB1C67"/>
    <w:rsid w:val="00AB20E4"/>
    <w:rsid w:val="00AB2253"/>
    <w:rsid w:val="00AB2540"/>
    <w:rsid w:val="00AB25D8"/>
    <w:rsid w:val="00AB2615"/>
    <w:rsid w:val="00AB27D5"/>
    <w:rsid w:val="00AB2830"/>
    <w:rsid w:val="00AB284C"/>
    <w:rsid w:val="00AB296D"/>
    <w:rsid w:val="00AB2A6B"/>
    <w:rsid w:val="00AB2C79"/>
    <w:rsid w:val="00AB2CDF"/>
    <w:rsid w:val="00AB32ED"/>
    <w:rsid w:val="00AB3309"/>
    <w:rsid w:val="00AB338C"/>
    <w:rsid w:val="00AB347E"/>
    <w:rsid w:val="00AB3484"/>
    <w:rsid w:val="00AB348F"/>
    <w:rsid w:val="00AB353A"/>
    <w:rsid w:val="00AB3667"/>
    <w:rsid w:val="00AB37AD"/>
    <w:rsid w:val="00AB37B8"/>
    <w:rsid w:val="00AB3888"/>
    <w:rsid w:val="00AB3BE0"/>
    <w:rsid w:val="00AB3C3D"/>
    <w:rsid w:val="00AB3FAA"/>
    <w:rsid w:val="00AB402A"/>
    <w:rsid w:val="00AB40B1"/>
    <w:rsid w:val="00AB40DE"/>
    <w:rsid w:val="00AB4281"/>
    <w:rsid w:val="00AB4408"/>
    <w:rsid w:val="00AB441D"/>
    <w:rsid w:val="00AB44D2"/>
    <w:rsid w:val="00AB46A2"/>
    <w:rsid w:val="00AB4702"/>
    <w:rsid w:val="00AB4744"/>
    <w:rsid w:val="00AB48B9"/>
    <w:rsid w:val="00AB4A2A"/>
    <w:rsid w:val="00AB4AC2"/>
    <w:rsid w:val="00AB4BFD"/>
    <w:rsid w:val="00AB4CD6"/>
    <w:rsid w:val="00AB4D5E"/>
    <w:rsid w:val="00AB5041"/>
    <w:rsid w:val="00AB50FB"/>
    <w:rsid w:val="00AB513C"/>
    <w:rsid w:val="00AB51AA"/>
    <w:rsid w:val="00AB5512"/>
    <w:rsid w:val="00AB55C8"/>
    <w:rsid w:val="00AB562B"/>
    <w:rsid w:val="00AB565A"/>
    <w:rsid w:val="00AB565B"/>
    <w:rsid w:val="00AB567E"/>
    <w:rsid w:val="00AB570D"/>
    <w:rsid w:val="00AB5964"/>
    <w:rsid w:val="00AB59E5"/>
    <w:rsid w:val="00AB5A00"/>
    <w:rsid w:val="00AB5A2A"/>
    <w:rsid w:val="00AB5B6B"/>
    <w:rsid w:val="00AB5EC2"/>
    <w:rsid w:val="00AB5F58"/>
    <w:rsid w:val="00AB61A9"/>
    <w:rsid w:val="00AB62D6"/>
    <w:rsid w:val="00AB63B2"/>
    <w:rsid w:val="00AB63F4"/>
    <w:rsid w:val="00AB6791"/>
    <w:rsid w:val="00AB6853"/>
    <w:rsid w:val="00AB6A90"/>
    <w:rsid w:val="00AB6A92"/>
    <w:rsid w:val="00AB6B5A"/>
    <w:rsid w:val="00AB6BED"/>
    <w:rsid w:val="00AB6E2A"/>
    <w:rsid w:val="00AB6E2D"/>
    <w:rsid w:val="00AB6FED"/>
    <w:rsid w:val="00AB7021"/>
    <w:rsid w:val="00AB710D"/>
    <w:rsid w:val="00AB741D"/>
    <w:rsid w:val="00AB7603"/>
    <w:rsid w:val="00AB7636"/>
    <w:rsid w:val="00AB779C"/>
    <w:rsid w:val="00AB783E"/>
    <w:rsid w:val="00AB796C"/>
    <w:rsid w:val="00AB79A8"/>
    <w:rsid w:val="00AB7A4D"/>
    <w:rsid w:val="00AB7C3C"/>
    <w:rsid w:val="00AB7E4A"/>
    <w:rsid w:val="00AC0040"/>
    <w:rsid w:val="00AC00E6"/>
    <w:rsid w:val="00AC0396"/>
    <w:rsid w:val="00AC03B9"/>
    <w:rsid w:val="00AC0773"/>
    <w:rsid w:val="00AC07B6"/>
    <w:rsid w:val="00AC082E"/>
    <w:rsid w:val="00AC08DB"/>
    <w:rsid w:val="00AC0924"/>
    <w:rsid w:val="00AC0B9E"/>
    <w:rsid w:val="00AC0FF1"/>
    <w:rsid w:val="00AC1017"/>
    <w:rsid w:val="00AC12FF"/>
    <w:rsid w:val="00AC1529"/>
    <w:rsid w:val="00AC1733"/>
    <w:rsid w:val="00AC1775"/>
    <w:rsid w:val="00AC1778"/>
    <w:rsid w:val="00AC188E"/>
    <w:rsid w:val="00AC1B28"/>
    <w:rsid w:val="00AC1C3C"/>
    <w:rsid w:val="00AC1D0D"/>
    <w:rsid w:val="00AC1D6D"/>
    <w:rsid w:val="00AC1DFE"/>
    <w:rsid w:val="00AC20DD"/>
    <w:rsid w:val="00AC22C4"/>
    <w:rsid w:val="00AC2319"/>
    <w:rsid w:val="00AC2347"/>
    <w:rsid w:val="00AC2361"/>
    <w:rsid w:val="00AC2443"/>
    <w:rsid w:val="00AC27F7"/>
    <w:rsid w:val="00AC2817"/>
    <w:rsid w:val="00AC2A84"/>
    <w:rsid w:val="00AC2A8D"/>
    <w:rsid w:val="00AC2AEE"/>
    <w:rsid w:val="00AC2C03"/>
    <w:rsid w:val="00AC2C38"/>
    <w:rsid w:val="00AC2C52"/>
    <w:rsid w:val="00AC2C82"/>
    <w:rsid w:val="00AC2DC4"/>
    <w:rsid w:val="00AC2DF9"/>
    <w:rsid w:val="00AC2E35"/>
    <w:rsid w:val="00AC3050"/>
    <w:rsid w:val="00AC3115"/>
    <w:rsid w:val="00AC3194"/>
    <w:rsid w:val="00AC322A"/>
    <w:rsid w:val="00AC33EB"/>
    <w:rsid w:val="00AC3516"/>
    <w:rsid w:val="00AC3580"/>
    <w:rsid w:val="00AC37E9"/>
    <w:rsid w:val="00AC3809"/>
    <w:rsid w:val="00AC3849"/>
    <w:rsid w:val="00AC3A69"/>
    <w:rsid w:val="00AC3A8E"/>
    <w:rsid w:val="00AC3E3A"/>
    <w:rsid w:val="00AC3EF9"/>
    <w:rsid w:val="00AC3FC8"/>
    <w:rsid w:val="00AC3FEE"/>
    <w:rsid w:val="00AC41D8"/>
    <w:rsid w:val="00AC43EA"/>
    <w:rsid w:val="00AC45EE"/>
    <w:rsid w:val="00AC4B10"/>
    <w:rsid w:val="00AC4B1B"/>
    <w:rsid w:val="00AC4CE3"/>
    <w:rsid w:val="00AC4D52"/>
    <w:rsid w:val="00AC4EC3"/>
    <w:rsid w:val="00AC4EF0"/>
    <w:rsid w:val="00AC5023"/>
    <w:rsid w:val="00AC5203"/>
    <w:rsid w:val="00AC52E6"/>
    <w:rsid w:val="00AC53CA"/>
    <w:rsid w:val="00AC5405"/>
    <w:rsid w:val="00AC54FE"/>
    <w:rsid w:val="00AC565A"/>
    <w:rsid w:val="00AC57CB"/>
    <w:rsid w:val="00AC57E7"/>
    <w:rsid w:val="00AC57FF"/>
    <w:rsid w:val="00AC596C"/>
    <w:rsid w:val="00AC5A24"/>
    <w:rsid w:val="00AC5A43"/>
    <w:rsid w:val="00AC5BDA"/>
    <w:rsid w:val="00AC5BE4"/>
    <w:rsid w:val="00AC5DCD"/>
    <w:rsid w:val="00AC619A"/>
    <w:rsid w:val="00AC61B7"/>
    <w:rsid w:val="00AC61CD"/>
    <w:rsid w:val="00AC661A"/>
    <w:rsid w:val="00AC680E"/>
    <w:rsid w:val="00AC68B5"/>
    <w:rsid w:val="00AC68BE"/>
    <w:rsid w:val="00AC6ACC"/>
    <w:rsid w:val="00AC6B80"/>
    <w:rsid w:val="00AC6BA1"/>
    <w:rsid w:val="00AC6BBB"/>
    <w:rsid w:val="00AC6C04"/>
    <w:rsid w:val="00AC6C4F"/>
    <w:rsid w:val="00AC6DF7"/>
    <w:rsid w:val="00AC70F8"/>
    <w:rsid w:val="00AC713E"/>
    <w:rsid w:val="00AC7235"/>
    <w:rsid w:val="00AC72D3"/>
    <w:rsid w:val="00AC7675"/>
    <w:rsid w:val="00AC7679"/>
    <w:rsid w:val="00AC76AE"/>
    <w:rsid w:val="00AC7705"/>
    <w:rsid w:val="00AC774C"/>
    <w:rsid w:val="00AC7840"/>
    <w:rsid w:val="00AC78B0"/>
    <w:rsid w:val="00AC7916"/>
    <w:rsid w:val="00AC79A8"/>
    <w:rsid w:val="00AC79B8"/>
    <w:rsid w:val="00AC7A83"/>
    <w:rsid w:val="00AC7B96"/>
    <w:rsid w:val="00AC7C97"/>
    <w:rsid w:val="00AC7CC9"/>
    <w:rsid w:val="00AD0201"/>
    <w:rsid w:val="00AD043B"/>
    <w:rsid w:val="00AD04F8"/>
    <w:rsid w:val="00AD050B"/>
    <w:rsid w:val="00AD07BD"/>
    <w:rsid w:val="00AD0874"/>
    <w:rsid w:val="00AD0A4E"/>
    <w:rsid w:val="00AD0E2A"/>
    <w:rsid w:val="00AD0EB8"/>
    <w:rsid w:val="00AD0F8E"/>
    <w:rsid w:val="00AD1000"/>
    <w:rsid w:val="00AD1172"/>
    <w:rsid w:val="00AD136A"/>
    <w:rsid w:val="00AD143C"/>
    <w:rsid w:val="00AD1480"/>
    <w:rsid w:val="00AD14E6"/>
    <w:rsid w:val="00AD1510"/>
    <w:rsid w:val="00AD154E"/>
    <w:rsid w:val="00AD1772"/>
    <w:rsid w:val="00AD189D"/>
    <w:rsid w:val="00AD1A05"/>
    <w:rsid w:val="00AD1BB8"/>
    <w:rsid w:val="00AD232C"/>
    <w:rsid w:val="00AD23DC"/>
    <w:rsid w:val="00AD2464"/>
    <w:rsid w:val="00AD25E2"/>
    <w:rsid w:val="00AD284D"/>
    <w:rsid w:val="00AD2A29"/>
    <w:rsid w:val="00AD2BBF"/>
    <w:rsid w:val="00AD2DF2"/>
    <w:rsid w:val="00AD2ED2"/>
    <w:rsid w:val="00AD31A1"/>
    <w:rsid w:val="00AD31C9"/>
    <w:rsid w:val="00AD329A"/>
    <w:rsid w:val="00AD3323"/>
    <w:rsid w:val="00AD3349"/>
    <w:rsid w:val="00AD34DD"/>
    <w:rsid w:val="00AD34F4"/>
    <w:rsid w:val="00AD362D"/>
    <w:rsid w:val="00AD36C7"/>
    <w:rsid w:val="00AD3810"/>
    <w:rsid w:val="00AD3925"/>
    <w:rsid w:val="00AD3A9E"/>
    <w:rsid w:val="00AD3B49"/>
    <w:rsid w:val="00AD3CE8"/>
    <w:rsid w:val="00AD3D16"/>
    <w:rsid w:val="00AD419B"/>
    <w:rsid w:val="00AD42AE"/>
    <w:rsid w:val="00AD431F"/>
    <w:rsid w:val="00AD4323"/>
    <w:rsid w:val="00AD4399"/>
    <w:rsid w:val="00AD4489"/>
    <w:rsid w:val="00AD4C4D"/>
    <w:rsid w:val="00AD4CBE"/>
    <w:rsid w:val="00AD5049"/>
    <w:rsid w:val="00AD50CA"/>
    <w:rsid w:val="00AD5484"/>
    <w:rsid w:val="00AD54EB"/>
    <w:rsid w:val="00AD5701"/>
    <w:rsid w:val="00AD572B"/>
    <w:rsid w:val="00AD5AA1"/>
    <w:rsid w:val="00AD5AF1"/>
    <w:rsid w:val="00AD5E34"/>
    <w:rsid w:val="00AD5F01"/>
    <w:rsid w:val="00AD5FB7"/>
    <w:rsid w:val="00AD6231"/>
    <w:rsid w:val="00AD6403"/>
    <w:rsid w:val="00AD6405"/>
    <w:rsid w:val="00AD6653"/>
    <w:rsid w:val="00AD66C9"/>
    <w:rsid w:val="00AD66DF"/>
    <w:rsid w:val="00AD6842"/>
    <w:rsid w:val="00AD690E"/>
    <w:rsid w:val="00AD6A63"/>
    <w:rsid w:val="00AD6B1E"/>
    <w:rsid w:val="00AD6B30"/>
    <w:rsid w:val="00AD6EB2"/>
    <w:rsid w:val="00AD6EB5"/>
    <w:rsid w:val="00AD7236"/>
    <w:rsid w:val="00AD72FF"/>
    <w:rsid w:val="00AD7677"/>
    <w:rsid w:val="00AD76E9"/>
    <w:rsid w:val="00AD7722"/>
    <w:rsid w:val="00AD79A7"/>
    <w:rsid w:val="00AD79BD"/>
    <w:rsid w:val="00AD7AD1"/>
    <w:rsid w:val="00AD7D0F"/>
    <w:rsid w:val="00AD7D34"/>
    <w:rsid w:val="00AD7FAA"/>
    <w:rsid w:val="00AE0133"/>
    <w:rsid w:val="00AE0291"/>
    <w:rsid w:val="00AE02A3"/>
    <w:rsid w:val="00AE036C"/>
    <w:rsid w:val="00AE03F1"/>
    <w:rsid w:val="00AE0582"/>
    <w:rsid w:val="00AE0650"/>
    <w:rsid w:val="00AE09F2"/>
    <w:rsid w:val="00AE0A16"/>
    <w:rsid w:val="00AE0A70"/>
    <w:rsid w:val="00AE0CE5"/>
    <w:rsid w:val="00AE0F43"/>
    <w:rsid w:val="00AE0F55"/>
    <w:rsid w:val="00AE101C"/>
    <w:rsid w:val="00AE10E2"/>
    <w:rsid w:val="00AE1142"/>
    <w:rsid w:val="00AE11B1"/>
    <w:rsid w:val="00AE142E"/>
    <w:rsid w:val="00AE1568"/>
    <w:rsid w:val="00AE181F"/>
    <w:rsid w:val="00AE18D4"/>
    <w:rsid w:val="00AE1B20"/>
    <w:rsid w:val="00AE1B5C"/>
    <w:rsid w:val="00AE1C5B"/>
    <w:rsid w:val="00AE1DED"/>
    <w:rsid w:val="00AE1E9E"/>
    <w:rsid w:val="00AE2367"/>
    <w:rsid w:val="00AE23A1"/>
    <w:rsid w:val="00AE2422"/>
    <w:rsid w:val="00AE253D"/>
    <w:rsid w:val="00AE25C0"/>
    <w:rsid w:val="00AE277D"/>
    <w:rsid w:val="00AE2862"/>
    <w:rsid w:val="00AE28FD"/>
    <w:rsid w:val="00AE29E2"/>
    <w:rsid w:val="00AE29F0"/>
    <w:rsid w:val="00AE29FA"/>
    <w:rsid w:val="00AE2A22"/>
    <w:rsid w:val="00AE2C03"/>
    <w:rsid w:val="00AE2DE5"/>
    <w:rsid w:val="00AE2F1A"/>
    <w:rsid w:val="00AE2F90"/>
    <w:rsid w:val="00AE2FFC"/>
    <w:rsid w:val="00AE3004"/>
    <w:rsid w:val="00AE30F6"/>
    <w:rsid w:val="00AE31D5"/>
    <w:rsid w:val="00AE3479"/>
    <w:rsid w:val="00AE349E"/>
    <w:rsid w:val="00AE3801"/>
    <w:rsid w:val="00AE3841"/>
    <w:rsid w:val="00AE38C9"/>
    <w:rsid w:val="00AE394F"/>
    <w:rsid w:val="00AE399D"/>
    <w:rsid w:val="00AE3AF6"/>
    <w:rsid w:val="00AE3B7C"/>
    <w:rsid w:val="00AE3C7F"/>
    <w:rsid w:val="00AE3CA4"/>
    <w:rsid w:val="00AE3E3D"/>
    <w:rsid w:val="00AE3FC0"/>
    <w:rsid w:val="00AE4106"/>
    <w:rsid w:val="00AE42C3"/>
    <w:rsid w:val="00AE431D"/>
    <w:rsid w:val="00AE434A"/>
    <w:rsid w:val="00AE437A"/>
    <w:rsid w:val="00AE446D"/>
    <w:rsid w:val="00AE4494"/>
    <w:rsid w:val="00AE45FF"/>
    <w:rsid w:val="00AE471E"/>
    <w:rsid w:val="00AE47D7"/>
    <w:rsid w:val="00AE4861"/>
    <w:rsid w:val="00AE4896"/>
    <w:rsid w:val="00AE4A70"/>
    <w:rsid w:val="00AE4B54"/>
    <w:rsid w:val="00AE4D0F"/>
    <w:rsid w:val="00AE4DFD"/>
    <w:rsid w:val="00AE4E0B"/>
    <w:rsid w:val="00AE5113"/>
    <w:rsid w:val="00AE51C9"/>
    <w:rsid w:val="00AE5277"/>
    <w:rsid w:val="00AE527B"/>
    <w:rsid w:val="00AE52E2"/>
    <w:rsid w:val="00AE5740"/>
    <w:rsid w:val="00AE595C"/>
    <w:rsid w:val="00AE5A3B"/>
    <w:rsid w:val="00AE5B77"/>
    <w:rsid w:val="00AE5BD1"/>
    <w:rsid w:val="00AE5C2B"/>
    <w:rsid w:val="00AE5CB5"/>
    <w:rsid w:val="00AE5D54"/>
    <w:rsid w:val="00AE5D62"/>
    <w:rsid w:val="00AE5E42"/>
    <w:rsid w:val="00AE5EF6"/>
    <w:rsid w:val="00AE5FA7"/>
    <w:rsid w:val="00AE6228"/>
    <w:rsid w:val="00AE6588"/>
    <w:rsid w:val="00AE66BF"/>
    <w:rsid w:val="00AE66F4"/>
    <w:rsid w:val="00AE66F8"/>
    <w:rsid w:val="00AE673E"/>
    <w:rsid w:val="00AE6784"/>
    <w:rsid w:val="00AE6A6D"/>
    <w:rsid w:val="00AE6C7D"/>
    <w:rsid w:val="00AE6D74"/>
    <w:rsid w:val="00AE6E7E"/>
    <w:rsid w:val="00AE709A"/>
    <w:rsid w:val="00AE70FA"/>
    <w:rsid w:val="00AE712A"/>
    <w:rsid w:val="00AE7291"/>
    <w:rsid w:val="00AE752D"/>
    <w:rsid w:val="00AE7531"/>
    <w:rsid w:val="00AE75C0"/>
    <w:rsid w:val="00AE780D"/>
    <w:rsid w:val="00AE7B3A"/>
    <w:rsid w:val="00AE7E85"/>
    <w:rsid w:val="00AE7FA2"/>
    <w:rsid w:val="00AE7FA9"/>
    <w:rsid w:val="00AF0003"/>
    <w:rsid w:val="00AF00EC"/>
    <w:rsid w:val="00AF0132"/>
    <w:rsid w:val="00AF0277"/>
    <w:rsid w:val="00AF02A9"/>
    <w:rsid w:val="00AF034C"/>
    <w:rsid w:val="00AF03D9"/>
    <w:rsid w:val="00AF0409"/>
    <w:rsid w:val="00AF04DE"/>
    <w:rsid w:val="00AF0735"/>
    <w:rsid w:val="00AF08BF"/>
    <w:rsid w:val="00AF0946"/>
    <w:rsid w:val="00AF09B0"/>
    <w:rsid w:val="00AF09CD"/>
    <w:rsid w:val="00AF0AC1"/>
    <w:rsid w:val="00AF0E0B"/>
    <w:rsid w:val="00AF10C5"/>
    <w:rsid w:val="00AF114C"/>
    <w:rsid w:val="00AF136B"/>
    <w:rsid w:val="00AF14F6"/>
    <w:rsid w:val="00AF15E1"/>
    <w:rsid w:val="00AF15EC"/>
    <w:rsid w:val="00AF160D"/>
    <w:rsid w:val="00AF1652"/>
    <w:rsid w:val="00AF1693"/>
    <w:rsid w:val="00AF16AD"/>
    <w:rsid w:val="00AF172C"/>
    <w:rsid w:val="00AF17BA"/>
    <w:rsid w:val="00AF1889"/>
    <w:rsid w:val="00AF1A2A"/>
    <w:rsid w:val="00AF1A6F"/>
    <w:rsid w:val="00AF1DEA"/>
    <w:rsid w:val="00AF1E12"/>
    <w:rsid w:val="00AF1E15"/>
    <w:rsid w:val="00AF2041"/>
    <w:rsid w:val="00AF20D5"/>
    <w:rsid w:val="00AF225C"/>
    <w:rsid w:val="00AF2275"/>
    <w:rsid w:val="00AF2502"/>
    <w:rsid w:val="00AF2683"/>
    <w:rsid w:val="00AF2834"/>
    <w:rsid w:val="00AF28A0"/>
    <w:rsid w:val="00AF28FA"/>
    <w:rsid w:val="00AF2AB1"/>
    <w:rsid w:val="00AF2CE4"/>
    <w:rsid w:val="00AF2D96"/>
    <w:rsid w:val="00AF2DAF"/>
    <w:rsid w:val="00AF2F34"/>
    <w:rsid w:val="00AF3165"/>
    <w:rsid w:val="00AF37F2"/>
    <w:rsid w:val="00AF385E"/>
    <w:rsid w:val="00AF3AE9"/>
    <w:rsid w:val="00AF3BA5"/>
    <w:rsid w:val="00AF3DF4"/>
    <w:rsid w:val="00AF3E4C"/>
    <w:rsid w:val="00AF3F27"/>
    <w:rsid w:val="00AF3FE5"/>
    <w:rsid w:val="00AF3FE6"/>
    <w:rsid w:val="00AF40CB"/>
    <w:rsid w:val="00AF40D2"/>
    <w:rsid w:val="00AF4233"/>
    <w:rsid w:val="00AF43CA"/>
    <w:rsid w:val="00AF4452"/>
    <w:rsid w:val="00AF4518"/>
    <w:rsid w:val="00AF46DF"/>
    <w:rsid w:val="00AF4817"/>
    <w:rsid w:val="00AF49DF"/>
    <w:rsid w:val="00AF4A97"/>
    <w:rsid w:val="00AF4B03"/>
    <w:rsid w:val="00AF4B04"/>
    <w:rsid w:val="00AF4B5F"/>
    <w:rsid w:val="00AF4EF5"/>
    <w:rsid w:val="00AF4F00"/>
    <w:rsid w:val="00AF501B"/>
    <w:rsid w:val="00AF5151"/>
    <w:rsid w:val="00AF5190"/>
    <w:rsid w:val="00AF5362"/>
    <w:rsid w:val="00AF5400"/>
    <w:rsid w:val="00AF5433"/>
    <w:rsid w:val="00AF563C"/>
    <w:rsid w:val="00AF57F4"/>
    <w:rsid w:val="00AF58D7"/>
    <w:rsid w:val="00AF595D"/>
    <w:rsid w:val="00AF59A4"/>
    <w:rsid w:val="00AF59B7"/>
    <w:rsid w:val="00AF5AB6"/>
    <w:rsid w:val="00AF5B61"/>
    <w:rsid w:val="00AF5C83"/>
    <w:rsid w:val="00AF5D8F"/>
    <w:rsid w:val="00AF5D98"/>
    <w:rsid w:val="00AF5DBC"/>
    <w:rsid w:val="00AF5E8C"/>
    <w:rsid w:val="00AF5ECD"/>
    <w:rsid w:val="00AF5FD0"/>
    <w:rsid w:val="00AF6407"/>
    <w:rsid w:val="00AF6699"/>
    <w:rsid w:val="00AF6758"/>
    <w:rsid w:val="00AF69E0"/>
    <w:rsid w:val="00AF6A3D"/>
    <w:rsid w:val="00AF6AD1"/>
    <w:rsid w:val="00AF6D3C"/>
    <w:rsid w:val="00AF6DF7"/>
    <w:rsid w:val="00AF6EFE"/>
    <w:rsid w:val="00AF721C"/>
    <w:rsid w:val="00AF7382"/>
    <w:rsid w:val="00AF754C"/>
    <w:rsid w:val="00AF761F"/>
    <w:rsid w:val="00AF7687"/>
    <w:rsid w:val="00AF7760"/>
    <w:rsid w:val="00AF77C3"/>
    <w:rsid w:val="00AF780D"/>
    <w:rsid w:val="00AF7820"/>
    <w:rsid w:val="00AF787A"/>
    <w:rsid w:val="00AF7880"/>
    <w:rsid w:val="00AF799D"/>
    <w:rsid w:val="00AF79CC"/>
    <w:rsid w:val="00AF7A38"/>
    <w:rsid w:val="00AF7A77"/>
    <w:rsid w:val="00AF7A97"/>
    <w:rsid w:val="00AF7AC9"/>
    <w:rsid w:val="00AF7BA3"/>
    <w:rsid w:val="00AF7BAF"/>
    <w:rsid w:val="00AF7CF6"/>
    <w:rsid w:val="00AF7DC9"/>
    <w:rsid w:val="00AF7EA1"/>
    <w:rsid w:val="00B0005A"/>
    <w:rsid w:val="00B00130"/>
    <w:rsid w:val="00B00243"/>
    <w:rsid w:val="00B003AC"/>
    <w:rsid w:val="00B00555"/>
    <w:rsid w:val="00B00595"/>
    <w:rsid w:val="00B00678"/>
    <w:rsid w:val="00B006E2"/>
    <w:rsid w:val="00B0070B"/>
    <w:rsid w:val="00B0078A"/>
    <w:rsid w:val="00B008C7"/>
    <w:rsid w:val="00B00A0B"/>
    <w:rsid w:val="00B00A97"/>
    <w:rsid w:val="00B00ABC"/>
    <w:rsid w:val="00B00BB1"/>
    <w:rsid w:val="00B00CC0"/>
    <w:rsid w:val="00B00D46"/>
    <w:rsid w:val="00B00D8B"/>
    <w:rsid w:val="00B00E97"/>
    <w:rsid w:val="00B00EFA"/>
    <w:rsid w:val="00B011CA"/>
    <w:rsid w:val="00B01544"/>
    <w:rsid w:val="00B0158D"/>
    <w:rsid w:val="00B01622"/>
    <w:rsid w:val="00B01851"/>
    <w:rsid w:val="00B018C4"/>
    <w:rsid w:val="00B0194A"/>
    <w:rsid w:val="00B01B24"/>
    <w:rsid w:val="00B01F6A"/>
    <w:rsid w:val="00B022D6"/>
    <w:rsid w:val="00B02401"/>
    <w:rsid w:val="00B02499"/>
    <w:rsid w:val="00B02530"/>
    <w:rsid w:val="00B02717"/>
    <w:rsid w:val="00B028A8"/>
    <w:rsid w:val="00B02926"/>
    <w:rsid w:val="00B0295B"/>
    <w:rsid w:val="00B029A8"/>
    <w:rsid w:val="00B02B15"/>
    <w:rsid w:val="00B02C5D"/>
    <w:rsid w:val="00B02C95"/>
    <w:rsid w:val="00B02CCC"/>
    <w:rsid w:val="00B02E15"/>
    <w:rsid w:val="00B02EA3"/>
    <w:rsid w:val="00B034DA"/>
    <w:rsid w:val="00B0358B"/>
    <w:rsid w:val="00B037AB"/>
    <w:rsid w:val="00B03887"/>
    <w:rsid w:val="00B0396D"/>
    <w:rsid w:val="00B03BD0"/>
    <w:rsid w:val="00B03D6E"/>
    <w:rsid w:val="00B03D78"/>
    <w:rsid w:val="00B03D88"/>
    <w:rsid w:val="00B03E73"/>
    <w:rsid w:val="00B03FA2"/>
    <w:rsid w:val="00B040DA"/>
    <w:rsid w:val="00B04200"/>
    <w:rsid w:val="00B04B2A"/>
    <w:rsid w:val="00B04D51"/>
    <w:rsid w:val="00B04E0D"/>
    <w:rsid w:val="00B04F0B"/>
    <w:rsid w:val="00B04FC8"/>
    <w:rsid w:val="00B04FCE"/>
    <w:rsid w:val="00B050E8"/>
    <w:rsid w:val="00B05112"/>
    <w:rsid w:val="00B0535A"/>
    <w:rsid w:val="00B05607"/>
    <w:rsid w:val="00B0564D"/>
    <w:rsid w:val="00B05666"/>
    <w:rsid w:val="00B057E7"/>
    <w:rsid w:val="00B0581B"/>
    <w:rsid w:val="00B058D7"/>
    <w:rsid w:val="00B05AA2"/>
    <w:rsid w:val="00B05B4B"/>
    <w:rsid w:val="00B05D79"/>
    <w:rsid w:val="00B05DBC"/>
    <w:rsid w:val="00B05EE8"/>
    <w:rsid w:val="00B05FC4"/>
    <w:rsid w:val="00B0605A"/>
    <w:rsid w:val="00B06214"/>
    <w:rsid w:val="00B06722"/>
    <w:rsid w:val="00B0684F"/>
    <w:rsid w:val="00B06891"/>
    <w:rsid w:val="00B0693C"/>
    <w:rsid w:val="00B06B1B"/>
    <w:rsid w:val="00B06C9B"/>
    <w:rsid w:val="00B06CE4"/>
    <w:rsid w:val="00B06E00"/>
    <w:rsid w:val="00B06F41"/>
    <w:rsid w:val="00B070F5"/>
    <w:rsid w:val="00B07117"/>
    <w:rsid w:val="00B0727A"/>
    <w:rsid w:val="00B07282"/>
    <w:rsid w:val="00B072C6"/>
    <w:rsid w:val="00B072E3"/>
    <w:rsid w:val="00B073BC"/>
    <w:rsid w:val="00B07460"/>
    <w:rsid w:val="00B07520"/>
    <w:rsid w:val="00B07525"/>
    <w:rsid w:val="00B0792E"/>
    <w:rsid w:val="00B07A0A"/>
    <w:rsid w:val="00B07F8A"/>
    <w:rsid w:val="00B10062"/>
    <w:rsid w:val="00B1006B"/>
    <w:rsid w:val="00B10095"/>
    <w:rsid w:val="00B10235"/>
    <w:rsid w:val="00B10562"/>
    <w:rsid w:val="00B106B6"/>
    <w:rsid w:val="00B1075C"/>
    <w:rsid w:val="00B10768"/>
    <w:rsid w:val="00B107BC"/>
    <w:rsid w:val="00B109F9"/>
    <w:rsid w:val="00B10BDB"/>
    <w:rsid w:val="00B10E5F"/>
    <w:rsid w:val="00B10F08"/>
    <w:rsid w:val="00B1120D"/>
    <w:rsid w:val="00B113BC"/>
    <w:rsid w:val="00B1166E"/>
    <w:rsid w:val="00B116E6"/>
    <w:rsid w:val="00B1174B"/>
    <w:rsid w:val="00B117E8"/>
    <w:rsid w:val="00B11922"/>
    <w:rsid w:val="00B11A53"/>
    <w:rsid w:val="00B11A73"/>
    <w:rsid w:val="00B11AF9"/>
    <w:rsid w:val="00B11C43"/>
    <w:rsid w:val="00B11CAE"/>
    <w:rsid w:val="00B11CF2"/>
    <w:rsid w:val="00B11E14"/>
    <w:rsid w:val="00B11E6B"/>
    <w:rsid w:val="00B11EDE"/>
    <w:rsid w:val="00B11F28"/>
    <w:rsid w:val="00B11F37"/>
    <w:rsid w:val="00B11F59"/>
    <w:rsid w:val="00B1218D"/>
    <w:rsid w:val="00B12309"/>
    <w:rsid w:val="00B1238E"/>
    <w:rsid w:val="00B123A3"/>
    <w:rsid w:val="00B1260E"/>
    <w:rsid w:val="00B1294B"/>
    <w:rsid w:val="00B12AA3"/>
    <w:rsid w:val="00B12BF8"/>
    <w:rsid w:val="00B12C03"/>
    <w:rsid w:val="00B12D96"/>
    <w:rsid w:val="00B12D9C"/>
    <w:rsid w:val="00B12DB6"/>
    <w:rsid w:val="00B12ED7"/>
    <w:rsid w:val="00B1300E"/>
    <w:rsid w:val="00B130AE"/>
    <w:rsid w:val="00B131AF"/>
    <w:rsid w:val="00B1327E"/>
    <w:rsid w:val="00B133B3"/>
    <w:rsid w:val="00B1345A"/>
    <w:rsid w:val="00B1368E"/>
    <w:rsid w:val="00B1369F"/>
    <w:rsid w:val="00B13717"/>
    <w:rsid w:val="00B137DF"/>
    <w:rsid w:val="00B13818"/>
    <w:rsid w:val="00B13824"/>
    <w:rsid w:val="00B138EF"/>
    <w:rsid w:val="00B13A5C"/>
    <w:rsid w:val="00B13AFC"/>
    <w:rsid w:val="00B13B7A"/>
    <w:rsid w:val="00B13C98"/>
    <w:rsid w:val="00B13CC4"/>
    <w:rsid w:val="00B13CCD"/>
    <w:rsid w:val="00B13D3D"/>
    <w:rsid w:val="00B13E26"/>
    <w:rsid w:val="00B13E3E"/>
    <w:rsid w:val="00B13F7B"/>
    <w:rsid w:val="00B13FC0"/>
    <w:rsid w:val="00B14207"/>
    <w:rsid w:val="00B14230"/>
    <w:rsid w:val="00B144B0"/>
    <w:rsid w:val="00B14522"/>
    <w:rsid w:val="00B14560"/>
    <w:rsid w:val="00B14643"/>
    <w:rsid w:val="00B147C4"/>
    <w:rsid w:val="00B14987"/>
    <w:rsid w:val="00B149FC"/>
    <w:rsid w:val="00B14B44"/>
    <w:rsid w:val="00B14C52"/>
    <w:rsid w:val="00B14C88"/>
    <w:rsid w:val="00B14CD0"/>
    <w:rsid w:val="00B14E49"/>
    <w:rsid w:val="00B14F6C"/>
    <w:rsid w:val="00B14F7E"/>
    <w:rsid w:val="00B1510E"/>
    <w:rsid w:val="00B1517E"/>
    <w:rsid w:val="00B153E4"/>
    <w:rsid w:val="00B15447"/>
    <w:rsid w:val="00B1548D"/>
    <w:rsid w:val="00B154A5"/>
    <w:rsid w:val="00B155B8"/>
    <w:rsid w:val="00B1569B"/>
    <w:rsid w:val="00B15714"/>
    <w:rsid w:val="00B158D5"/>
    <w:rsid w:val="00B159C7"/>
    <w:rsid w:val="00B15A9B"/>
    <w:rsid w:val="00B15B1E"/>
    <w:rsid w:val="00B15C15"/>
    <w:rsid w:val="00B15C23"/>
    <w:rsid w:val="00B15D2A"/>
    <w:rsid w:val="00B15E97"/>
    <w:rsid w:val="00B160E7"/>
    <w:rsid w:val="00B16195"/>
    <w:rsid w:val="00B16233"/>
    <w:rsid w:val="00B16289"/>
    <w:rsid w:val="00B1633B"/>
    <w:rsid w:val="00B163F1"/>
    <w:rsid w:val="00B16525"/>
    <w:rsid w:val="00B16768"/>
    <w:rsid w:val="00B167F7"/>
    <w:rsid w:val="00B167F9"/>
    <w:rsid w:val="00B16A29"/>
    <w:rsid w:val="00B16B89"/>
    <w:rsid w:val="00B16EC6"/>
    <w:rsid w:val="00B16F71"/>
    <w:rsid w:val="00B16FA3"/>
    <w:rsid w:val="00B16FC3"/>
    <w:rsid w:val="00B16FFA"/>
    <w:rsid w:val="00B16FFF"/>
    <w:rsid w:val="00B1714E"/>
    <w:rsid w:val="00B1715C"/>
    <w:rsid w:val="00B17223"/>
    <w:rsid w:val="00B1735D"/>
    <w:rsid w:val="00B17694"/>
    <w:rsid w:val="00B17753"/>
    <w:rsid w:val="00B17874"/>
    <w:rsid w:val="00B17E58"/>
    <w:rsid w:val="00B17E69"/>
    <w:rsid w:val="00B2018B"/>
    <w:rsid w:val="00B20237"/>
    <w:rsid w:val="00B20281"/>
    <w:rsid w:val="00B20397"/>
    <w:rsid w:val="00B204A6"/>
    <w:rsid w:val="00B204BD"/>
    <w:rsid w:val="00B20569"/>
    <w:rsid w:val="00B2059D"/>
    <w:rsid w:val="00B20763"/>
    <w:rsid w:val="00B209BE"/>
    <w:rsid w:val="00B209C8"/>
    <w:rsid w:val="00B20B9C"/>
    <w:rsid w:val="00B20BE2"/>
    <w:rsid w:val="00B20C60"/>
    <w:rsid w:val="00B20CB8"/>
    <w:rsid w:val="00B20EDB"/>
    <w:rsid w:val="00B21116"/>
    <w:rsid w:val="00B211A4"/>
    <w:rsid w:val="00B213FB"/>
    <w:rsid w:val="00B21497"/>
    <w:rsid w:val="00B21531"/>
    <w:rsid w:val="00B2158D"/>
    <w:rsid w:val="00B2170B"/>
    <w:rsid w:val="00B217A9"/>
    <w:rsid w:val="00B217B3"/>
    <w:rsid w:val="00B218C0"/>
    <w:rsid w:val="00B22004"/>
    <w:rsid w:val="00B221C5"/>
    <w:rsid w:val="00B22245"/>
    <w:rsid w:val="00B222C4"/>
    <w:rsid w:val="00B224BF"/>
    <w:rsid w:val="00B225EE"/>
    <w:rsid w:val="00B2260C"/>
    <w:rsid w:val="00B22625"/>
    <w:rsid w:val="00B2273C"/>
    <w:rsid w:val="00B22887"/>
    <w:rsid w:val="00B228AB"/>
    <w:rsid w:val="00B22940"/>
    <w:rsid w:val="00B22CA7"/>
    <w:rsid w:val="00B22CCB"/>
    <w:rsid w:val="00B22D78"/>
    <w:rsid w:val="00B22D7B"/>
    <w:rsid w:val="00B22E68"/>
    <w:rsid w:val="00B23167"/>
    <w:rsid w:val="00B2318E"/>
    <w:rsid w:val="00B2334D"/>
    <w:rsid w:val="00B23385"/>
    <w:rsid w:val="00B23650"/>
    <w:rsid w:val="00B236E6"/>
    <w:rsid w:val="00B23761"/>
    <w:rsid w:val="00B237EB"/>
    <w:rsid w:val="00B23827"/>
    <w:rsid w:val="00B238DE"/>
    <w:rsid w:val="00B23A1C"/>
    <w:rsid w:val="00B23B16"/>
    <w:rsid w:val="00B23B83"/>
    <w:rsid w:val="00B23E02"/>
    <w:rsid w:val="00B23FA1"/>
    <w:rsid w:val="00B241C1"/>
    <w:rsid w:val="00B2421B"/>
    <w:rsid w:val="00B242BF"/>
    <w:rsid w:val="00B243B8"/>
    <w:rsid w:val="00B2440B"/>
    <w:rsid w:val="00B244AE"/>
    <w:rsid w:val="00B24676"/>
    <w:rsid w:val="00B247C4"/>
    <w:rsid w:val="00B24C86"/>
    <w:rsid w:val="00B24CA2"/>
    <w:rsid w:val="00B24CC4"/>
    <w:rsid w:val="00B24CDD"/>
    <w:rsid w:val="00B24DCD"/>
    <w:rsid w:val="00B24E32"/>
    <w:rsid w:val="00B24F41"/>
    <w:rsid w:val="00B24FDB"/>
    <w:rsid w:val="00B255AC"/>
    <w:rsid w:val="00B25760"/>
    <w:rsid w:val="00B2580E"/>
    <w:rsid w:val="00B259B6"/>
    <w:rsid w:val="00B25BFD"/>
    <w:rsid w:val="00B25C8A"/>
    <w:rsid w:val="00B25C8F"/>
    <w:rsid w:val="00B25EC9"/>
    <w:rsid w:val="00B25FF6"/>
    <w:rsid w:val="00B26013"/>
    <w:rsid w:val="00B260AA"/>
    <w:rsid w:val="00B260AB"/>
    <w:rsid w:val="00B26161"/>
    <w:rsid w:val="00B2623C"/>
    <w:rsid w:val="00B263FE"/>
    <w:rsid w:val="00B26536"/>
    <w:rsid w:val="00B2657D"/>
    <w:rsid w:val="00B26603"/>
    <w:rsid w:val="00B268F9"/>
    <w:rsid w:val="00B2691A"/>
    <w:rsid w:val="00B26994"/>
    <w:rsid w:val="00B26B5F"/>
    <w:rsid w:val="00B26C95"/>
    <w:rsid w:val="00B26CA0"/>
    <w:rsid w:val="00B26D94"/>
    <w:rsid w:val="00B26DF6"/>
    <w:rsid w:val="00B26EB3"/>
    <w:rsid w:val="00B26F59"/>
    <w:rsid w:val="00B271D1"/>
    <w:rsid w:val="00B27497"/>
    <w:rsid w:val="00B275EB"/>
    <w:rsid w:val="00B278B2"/>
    <w:rsid w:val="00B278F2"/>
    <w:rsid w:val="00B279B2"/>
    <w:rsid w:val="00B27A09"/>
    <w:rsid w:val="00B27A86"/>
    <w:rsid w:val="00B27B8C"/>
    <w:rsid w:val="00B27E0D"/>
    <w:rsid w:val="00B27E32"/>
    <w:rsid w:val="00B27F0A"/>
    <w:rsid w:val="00B300B3"/>
    <w:rsid w:val="00B3026E"/>
    <w:rsid w:val="00B3041B"/>
    <w:rsid w:val="00B305F5"/>
    <w:rsid w:val="00B30713"/>
    <w:rsid w:val="00B307B5"/>
    <w:rsid w:val="00B30816"/>
    <w:rsid w:val="00B30827"/>
    <w:rsid w:val="00B30B0C"/>
    <w:rsid w:val="00B31173"/>
    <w:rsid w:val="00B31230"/>
    <w:rsid w:val="00B3149D"/>
    <w:rsid w:val="00B314A6"/>
    <w:rsid w:val="00B31552"/>
    <w:rsid w:val="00B31625"/>
    <w:rsid w:val="00B316F1"/>
    <w:rsid w:val="00B316F4"/>
    <w:rsid w:val="00B3177B"/>
    <w:rsid w:val="00B317BF"/>
    <w:rsid w:val="00B3180A"/>
    <w:rsid w:val="00B3181F"/>
    <w:rsid w:val="00B3197E"/>
    <w:rsid w:val="00B31B83"/>
    <w:rsid w:val="00B31CE0"/>
    <w:rsid w:val="00B31D2E"/>
    <w:rsid w:val="00B31D92"/>
    <w:rsid w:val="00B31E58"/>
    <w:rsid w:val="00B31E6E"/>
    <w:rsid w:val="00B31F1A"/>
    <w:rsid w:val="00B31FB5"/>
    <w:rsid w:val="00B3219B"/>
    <w:rsid w:val="00B322AC"/>
    <w:rsid w:val="00B323A5"/>
    <w:rsid w:val="00B325AB"/>
    <w:rsid w:val="00B326F0"/>
    <w:rsid w:val="00B327B9"/>
    <w:rsid w:val="00B328B3"/>
    <w:rsid w:val="00B32A7A"/>
    <w:rsid w:val="00B32C47"/>
    <w:rsid w:val="00B32E61"/>
    <w:rsid w:val="00B32E6C"/>
    <w:rsid w:val="00B32E8A"/>
    <w:rsid w:val="00B33185"/>
    <w:rsid w:val="00B33282"/>
    <w:rsid w:val="00B335E7"/>
    <w:rsid w:val="00B336B5"/>
    <w:rsid w:val="00B33752"/>
    <w:rsid w:val="00B33A2B"/>
    <w:rsid w:val="00B33B68"/>
    <w:rsid w:val="00B33C8B"/>
    <w:rsid w:val="00B33E30"/>
    <w:rsid w:val="00B33E51"/>
    <w:rsid w:val="00B33F10"/>
    <w:rsid w:val="00B33F55"/>
    <w:rsid w:val="00B33FD3"/>
    <w:rsid w:val="00B34042"/>
    <w:rsid w:val="00B34052"/>
    <w:rsid w:val="00B340EB"/>
    <w:rsid w:val="00B3414C"/>
    <w:rsid w:val="00B34180"/>
    <w:rsid w:val="00B341AD"/>
    <w:rsid w:val="00B34285"/>
    <w:rsid w:val="00B343A9"/>
    <w:rsid w:val="00B344A2"/>
    <w:rsid w:val="00B346AE"/>
    <w:rsid w:val="00B3477F"/>
    <w:rsid w:val="00B3495F"/>
    <w:rsid w:val="00B34B11"/>
    <w:rsid w:val="00B34B2B"/>
    <w:rsid w:val="00B34BA6"/>
    <w:rsid w:val="00B34BFE"/>
    <w:rsid w:val="00B34E3B"/>
    <w:rsid w:val="00B34E92"/>
    <w:rsid w:val="00B34EE3"/>
    <w:rsid w:val="00B34EFE"/>
    <w:rsid w:val="00B3522E"/>
    <w:rsid w:val="00B35244"/>
    <w:rsid w:val="00B352DE"/>
    <w:rsid w:val="00B354DC"/>
    <w:rsid w:val="00B3558F"/>
    <w:rsid w:val="00B35614"/>
    <w:rsid w:val="00B3570A"/>
    <w:rsid w:val="00B357FB"/>
    <w:rsid w:val="00B35816"/>
    <w:rsid w:val="00B3583B"/>
    <w:rsid w:val="00B35908"/>
    <w:rsid w:val="00B359BD"/>
    <w:rsid w:val="00B35AB3"/>
    <w:rsid w:val="00B35B3C"/>
    <w:rsid w:val="00B35BBB"/>
    <w:rsid w:val="00B35CEA"/>
    <w:rsid w:val="00B35D57"/>
    <w:rsid w:val="00B35EE9"/>
    <w:rsid w:val="00B35F8A"/>
    <w:rsid w:val="00B360F6"/>
    <w:rsid w:val="00B36148"/>
    <w:rsid w:val="00B3623A"/>
    <w:rsid w:val="00B36267"/>
    <w:rsid w:val="00B362AB"/>
    <w:rsid w:val="00B3653B"/>
    <w:rsid w:val="00B365F0"/>
    <w:rsid w:val="00B36621"/>
    <w:rsid w:val="00B36648"/>
    <w:rsid w:val="00B36670"/>
    <w:rsid w:val="00B36984"/>
    <w:rsid w:val="00B36A89"/>
    <w:rsid w:val="00B36CAB"/>
    <w:rsid w:val="00B36DC0"/>
    <w:rsid w:val="00B36DCF"/>
    <w:rsid w:val="00B37006"/>
    <w:rsid w:val="00B370AA"/>
    <w:rsid w:val="00B37372"/>
    <w:rsid w:val="00B37433"/>
    <w:rsid w:val="00B375F1"/>
    <w:rsid w:val="00B3776F"/>
    <w:rsid w:val="00B3780B"/>
    <w:rsid w:val="00B3782E"/>
    <w:rsid w:val="00B3787C"/>
    <w:rsid w:val="00B37936"/>
    <w:rsid w:val="00B379DC"/>
    <w:rsid w:val="00B379F1"/>
    <w:rsid w:val="00B37A07"/>
    <w:rsid w:val="00B37A3F"/>
    <w:rsid w:val="00B37B4D"/>
    <w:rsid w:val="00B37C0A"/>
    <w:rsid w:val="00B37DE8"/>
    <w:rsid w:val="00B40134"/>
    <w:rsid w:val="00B40447"/>
    <w:rsid w:val="00B407F2"/>
    <w:rsid w:val="00B40A22"/>
    <w:rsid w:val="00B40B52"/>
    <w:rsid w:val="00B40C4C"/>
    <w:rsid w:val="00B40D1C"/>
    <w:rsid w:val="00B40D55"/>
    <w:rsid w:val="00B40EC1"/>
    <w:rsid w:val="00B40ECA"/>
    <w:rsid w:val="00B40EE1"/>
    <w:rsid w:val="00B40F5D"/>
    <w:rsid w:val="00B40FAB"/>
    <w:rsid w:val="00B41154"/>
    <w:rsid w:val="00B411F1"/>
    <w:rsid w:val="00B4120A"/>
    <w:rsid w:val="00B4122D"/>
    <w:rsid w:val="00B41365"/>
    <w:rsid w:val="00B41391"/>
    <w:rsid w:val="00B41508"/>
    <w:rsid w:val="00B41542"/>
    <w:rsid w:val="00B416EE"/>
    <w:rsid w:val="00B417FB"/>
    <w:rsid w:val="00B41938"/>
    <w:rsid w:val="00B41A4D"/>
    <w:rsid w:val="00B41AC5"/>
    <w:rsid w:val="00B41B1D"/>
    <w:rsid w:val="00B41CBF"/>
    <w:rsid w:val="00B41D3E"/>
    <w:rsid w:val="00B41D67"/>
    <w:rsid w:val="00B41E18"/>
    <w:rsid w:val="00B41FFA"/>
    <w:rsid w:val="00B4203B"/>
    <w:rsid w:val="00B42043"/>
    <w:rsid w:val="00B42198"/>
    <w:rsid w:val="00B423B2"/>
    <w:rsid w:val="00B4247D"/>
    <w:rsid w:val="00B424CC"/>
    <w:rsid w:val="00B424FD"/>
    <w:rsid w:val="00B42536"/>
    <w:rsid w:val="00B425A8"/>
    <w:rsid w:val="00B42762"/>
    <w:rsid w:val="00B4280B"/>
    <w:rsid w:val="00B4295A"/>
    <w:rsid w:val="00B429EF"/>
    <w:rsid w:val="00B42A43"/>
    <w:rsid w:val="00B42B11"/>
    <w:rsid w:val="00B42DA1"/>
    <w:rsid w:val="00B42EE9"/>
    <w:rsid w:val="00B42EF4"/>
    <w:rsid w:val="00B431A1"/>
    <w:rsid w:val="00B431A3"/>
    <w:rsid w:val="00B4335A"/>
    <w:rsid w:val="00B434D7"/>
    <w:rsid w:val="00B43521"/>
    <w:rsid w:val="00B4357C"/>
    <w:rsid w:val="00B43620"/>
    <w:rsid w:val="00B43688"/>
    <w:rsid w:val="00B436FE"/>
    <w:rsid w:val="00B43732"/>
    <w:rsid w:val="00B439F1"/>
    <w:rsid w:val="00B43BCF"/>
    <w:rsid w:val="00B43BDA"/>
    <w:rsid w:val="00B43BE5"/>
    <w:rsid w:val="00B43BF0"/>
    <w:rsid w:val="00B43C8A"/>
    <w:rsid w:val="00B43CAF"/>
    <w:rsid w:val="00B43EC0"/>
    <w:rsid w:val="00B43F3C"/>
    <w:rsid w:val="00B44058"/>
    <w:rsid w:val="00B441D1"/>
    <w:rsid w:val="00B4422A"/>
    <w:rsid w:val="00B4436F"/>
    <w:rsid w:val="00B443E2"/>
    <w:rsid w:val="00B443ED"/>
    <w:rsid w:val="00B4442E"/>
    <w:rsid w:val="00B44470"/>
    <w:rsid w:val="00B4456A"/>
    <w:rsid w:val="00B44823"/>
    <w:rsid w:val="00B44887"/>
    <w:rsid w:val="00B44B07"/>
    <w:rsid w:val="00B44EF9"/>
    <w:rsid w:val="00B44F05"/>
    <w:rsid w:val="00B44F76"/>
    <w:rsid w:val="00B44FB2"/>
    <w:rsid w:val="00B45029"/>
    <w:rsid w:val="00B45177"/>
    <w:rsid w:val="00B45265"/>
    <w:rsid w:val="00B45273"/>
    <w:rsid w:val="00B4529A"/>
    <w:rsid w:val="00B4536E"/>
    <w:rsid w:val="00B4546C"/>
    <w:rsid w:val="00B4565B"/>
    <w:rsid w:val="00B456A2"/>
    <w:rsid w:val="00B458BA"/>
    <w:rsid w:val="00B45A7B"/>
    <w:rsid w:val="00B45CC4"/>
    <w:rsid w:val="00B46092"/>
    <w:rsid w:val="00B46263"/>
    <w:rsid w:val="00B462ED"/>
    <w:rsid w:val="00B46313"/>
    <w:rsid w:val="00B46418"/>
    <w:rsid w:val="00B46531"/>
    <w:rsid w:val="00B4653E"/>
    <w:rsid w:val="00B46582"/>
    <w:rsid w:val="00B46641"/>
    <w:rsid w:val="00B46665"/>
    <w:rsid w:val="00B46962"/>
    <w:rsid w:val="00B46B45"/>
    <w:rsid w:val="00B46BE4"/>
    <w:rsid w:val="00B46C01"/>
    <w:rsid w:val="00B46C36"/>
    <w:rsid w:val="00B46CE9"/>
    <w:rsid w:val="00B46DCC"/>
    <w:rsid w:val="00B46DE9"/>
    <w:rsid w:val="00B46F98"/>
    <w:rsid w:val="00B4701A"/>
    <w:rsid w:val="00B4707A"/>
    <w:rsid w:val="00B4718C"/>
    <w:rsid w:val="00B47194"/>
    <w:rsid w:val="00B471C7"/>
    <w:rsid w:val="00B472CB"/>
    <w:rsid w:val="00B473C7"/>
    <w:rsid w:val="00B473EB"/>
    <w:rsid w:val="00B4759D"/>
    <w:rsid w:val="00B47692"/>
    <w:rsid w:val="00B47701"/>
    <w:rsid w:val="00B47A83"/>
    <w:rsid w:val="00B47CA7"/>
    <w:rsid w:val="00B47FA0"/>
    <w:rsid w:val="00B47FC3"/>
    <w:rsid w:val="00B47FE0"/>
    <w:rsid w:val="00B47FED"/>
    <w:rsid w:val="00B501B7"/>
    <w:rsid w:val="00B501C8"/>
    <w:rsid w:val="00B50253"/>
    <w:rsid w:val="00B50428"/>
    <w:rsid w:val="00B50505"/>
    <w:rsid w:val="00B50508"/>
    <w:rsid w:val="00B50530"/>
    <w:rsid w:val="00B5069C"/>
    <w:rsid w:val="00B506EF"/>
    <w:rsid w:val="00B50729"/>
    <w:rsid w:val="00B50ABA"/>
    <w:rsid w:val="00B50B6F"/>
    <w:rsid w:val="00B50D99"/>
    <w:rsid w:val="00B50F51"/>
    <w:rsid w:val="00B50F85"/>
    <w:rsid w:val="00B51042"/>
    <w:rsid w:val="00B510D7"/>
    <w:rsid w:val="00B5127B"/>
    <w:rsid w:val="00B51338"/>
    <w:rsid w:val="00B51347"/>
    <w:rsid w:val="00B51356"/>
    <w:rsid w:val="00B5154A"/>
    <w:rsid w:val="00B515B7"/>
    <w:rsid w:val="00B516AC"/>
    <w:rsid w:val="00B5184A"/>
    <w:rsid w:val="00B51973"/>
    <w:rsid w:val="00B51982"/>
    <w:rsid w:val="00B51994"/>
    <w:rsid w:val="00B51A17"/>
    <w:rsid w:val="00B51D06"/>
    <w:rsid w:val="00B51EA7"/>
    <w:rsid w:val="00B51EEB"/>
    <w:rsid w:val="00B51FA4"/>
    <w:rsid w:val="00B5201B"/>
    <w:rsid w:val="00B520D5"/>
    <w:rsid w:val="00B5226F"/>
    <w:rsid w:val="00B52474"/>
    <w:rsid w:val="00B5247B"/>
    <w:rsid w:val="00B5250A"/>
    <w:rsid w:val="00B52593"/>
    <w:rsid w:val="00B52680"/>
    <w:rsid w:val="00B52785"/>
    <w:rsid w:val="00B529E4"/>
    <w:rsid w:val="00B52A05"/>
    <w:rsid w:val="00B52A4B"/>
    <w:rsid w:val="00B52B73"/>
    <w:rsid w:val="00B52EC1"/>
    <w:rsid w:val="00B52FA9"/>
    <w:rsid w:val="00B530DD"/>
    <w:rsid w:val="00B531CB"/>
    <w:rsid w:val="00B531D2"/>
    <w:rsid w:val="00B532C9"/>
    <w:rsid w:val="00B53383"/>
    <w:rsid w:val="00B5355C"/>
    <w:rsid w:val="00B535AF"/>
    <w:rsid w:val="00B535C6"/>
    <w:rsid w:val="00B53619"/>
    <w:rsid w:val="00B536BC"/>
    <w:rsid w:val="00B53975"/>
    <w:rsid w:val="00B53992"/>
    <w:rsid w:val="00B53B86"/>
    <w:rsid w:val="00B53B8B"/>
    <w:rsid w:val="00B53CFB"/>
    <w:rsid w:val="00B53ED2"/>
    <w:rsid w:val="00B54073"/>
    <w:rsid w:val="00B54079"/>
    <w:rsid w:val="00B54377"/>
    <w:rsid w:val="00B54691"/>
    <w:rsid w:val="00B54876"/>
    <w:rsid w:val="00B548C0"/>
    <w:rsid w:val="00B54AFE"/>
    <w:rsid w:val="00B54B0C"/>
    <w:rsid w:val="00B54C3E"/>
    <w:rsid w:val="00B54C56"/>
    <w:rsid w:val="00B54DFD"/>
    <w:rsid w:val="00B55027"/>
    <w:rsid w:val="00B5515F"/>
    <w:rsid w:val="00B551BA"/>
    <w:rsid w:val="00B551E6"/>
    <w:rsid w:val="00B5548D"/>
    <w:rsid w:val="00B554FB"/>
    <w:rsid w:val="00B55587"/>
    <w:rsid w:val="00B55853"/>
    <w:rsid w:val="00B55871"/>
    <w:rsid w:val="00B559A8"/>
    <w:rsid w:val="00B55C97"/>
    <w:rsid w:val="00B55F92"/>
    <w:rsid w:val="00B562EB"/>
    <w:rsid w:val="00B56449"/>
    <w:rsid w:val="00B56462"/>
    <w:rsid w:val="00B564E5"/>
    <w:rsid w:val="00B566B1"/>
    <w:rsid w:val="00B5671B"/>
    <w:rsid w:val="00B567E1"/>
    <w:rsid w:val="00B5681E"/>
    <w:rsid w:val="00B56A34"/>
    <w:rsid w:val="00B56B0D"/>
    <w:rsid w:val="00B56D03"/>
    <w:rsid w:val="00B56D63"/>
    <w:rsid w:val="00B56E49"/>
    <w:rsid w:val="00B56F06"/>
    <w:rsid w:val="00B56FC2"/>
    <w:rsid w:val="00B570F4"/>
    <w:rsid w:val="00B57112"/>
    <w:rsid w:val="00B5723A"/>
    <w:rsid w:val="00B57273"/>
    <w:rsid w:val="00B57364"/>
    <w:rsid w:val="00B5782C"/>
    <w:rsid w:val="00B57883"/>
    <w:rsid w:val="00B5788B"/>
    <w:rsid w:val="00B5790A"/>
    <w:rsid w:val="00B57972"/>
    <w:rsid w:val="00B57A3D"/>
    <w:rsid w:val="00B57BCC"/>
    <w:rsid w:val="00B57BD9"/>
    <w:rsid w:val="00B57BF8"/>
    <w:rsid w:val="00B57D42"/>
    <w:rsid w:val="00B57E36"/>
    <w:rsid w:val="00B6024E"/>
    <w:rsid w:val="00B602A6"/>
    <w:rsid w:val="00B60431"/>
    <w:rsid w:val="00B60550"/>
    <w:rsid w:val="00B60627"/>
    <w:rsid w:val="00B60746"/>
    <w:rsid w:val="00B60BF9"/>
    <w:rsid w:val="00B60D40"/>
    <w:rsid w:val="00B60F6B"/>
    <w:rsid w:val="00B60F8B"/>
    <w:rsid w:val="00B61364"/>
    <w:rsid w:val="00B613C1"/>
    <w:rsid w:val="00B613D6"/>
    <w:rsid w:val="00B613F7"/>
    <w:rsid w:val="00B61407"/>
    <w:rsid w:val="00B614F5"/>
    <w:rsid w:val="00B61554"/>
    <w:rsid w:val="00B615CF"/>
    <w:rsid w:val="00B61695"/>
    <w:rsid w:val="00B616BE"/>
    <w:rsid w:val="00B6187B"/>
    <w:rsid w:val="00B6194A"/>
    <w:rsid w:val="00B619BB"/>
    <w:rsid w:val="00B61A0E"/>
    <w:rsid w:val="00B61B0B"/>
    <w:rsid w:val="00B61B3F"/>
    <w:rsid w:val="00B61B6D"/>
    <w:rsid w:val="00B61C6F"/>
    <w:rsid w:val="00B6203B"/>
    <w:rsid w:val="00B62162"/>
    <w:rsid w:val="00B6222F"/>
    <w:rsid w:val="00B62377"/>
    <w:rsid w:val="00B623D1"/>
    <w:rsid w:val="00B626DC"/>
    <w:rsid w:val="00B62803"/>
    <w:rsid w:val="00B628E2"/>
    <w:rsid w:val="00B62A36"/>
    <w:rsid w:val="00B62F0C"/>
    <w:rsid w:val="00B62F12"/>
    <w:rsid w:val="00B62FEB"/>
    <w:rsid w:val="00B62FEC"/>
    <w:rsid w:val="00B63068"/>
    <w:rsid w:val="00B63187"/>
    <w:rsid w:val="00B63220"/>
    <w:rsid w:val="00B63490"/>
    <w:rsid w:val="00B635A1"/>
    <w:rsid w:val="00B635DC"/>
    <w:rsid w:val="00B636D8"/>
    <w:rsid w:val="00B63AE8"/>
    <w:rsid w:val="00B63C51"/>
    <w:rsid w:val="00B63D3C"/>
    <w:rsid w:val="00B63D6B"/>
    <w:rsid w:val="00B63D7D"/>
    <w:rsid w:val="00B63F17"/>
    <w:rsid w:val="00B64101"/>
    <w:rsid w:val="00B6418D"/>
    <w:rsid w:val="00B643CC"/>
    <w:rsid w:val="00B64427"/>
    <w:rsid w:val="00B644CF"/>
    <w:rsid w:val="00B645BC"/>
    <w:rsid w:val="00B645F7"/>
    <w:rsid w:val="00B64613"/>
    <w:rsid w:val="00B6473C"/>
    <w:rsid w:val="00B6481F"/>
    <w:rsid w:val="00B648D4"/>
    <w:rsid w:val="00B6491B"/>
    <w:rsid w:val="00B64977"/>
    <w:rsid w:val="00B64AB7"/>
    <w:rsid w:val="00B64BE5"/>
    <w:rsid w:val="00B64E3C"/>
    <w:rsid w:val="00B64E5B"/>
    <w:rsid w:val="00B64EAE"/>
    <w:rsid w:val="00B64FBC"/>
    <w:rsid w:val="00B6500E"/>
    <w:rsid w:val="00B65026"/>
    <w:rsid w:val="00B65146"/>
    <w:rsid w:val="00B6518E"/>
    <w:rsid w:val="00B6536F"/>
    <w:rsid w:val="00B65387"/>
    <w:rsid w:val="00B653A5"/>
    <w:rsid w:val="00B655D6"/>
    <w:rsid w:val="00B6568F"/>
    <w:rsid w:val="00B65702"/>
    <w:rsid w:val="00B65B36"/>
    <w:rsid w:val="00B65B8D"/>
    <w:rsid w:val="00B65B93"/>
    <w:rsid w:val="00B65C4D"/>
    <w:rsid w:val="00B65C50"/>
    <w:rsid w:val="00B65D05"/>
    <w:rsid w:val="00B65D2A"/>
    <w:rsid w:val="00B65D6C"/>
    <w:rsid w:val="00B65E4F"/>
    <w:rsid w:val="00B65F84"/>
    <w:rsid w:val="00B66152"/>
    <w:rsid w:val="00B66333"/>
    <w:rsid w:val="00B6635F"/>
    <w:rsid w:val="00B663CA"/>
    <w:rsid w:val="00B66875"/>
    <w:rsid w:val="00B66898"/>
    <w:rsid w:val="00B66996"/>
    <w:rsid w:val="00B669A7"/>
    <w:rsid w:val="00B669AA"/>
    <w:rsid w:val="00B669C8"/>
    <w:rsid w:val="00B669DB"/>
    <w:rsid w:val="00B66A08"/>
    <w:rsid w:val="00B66AEE"/>
    <w:rsid w:val="00B66C13"/>
    <w:rsid w:val="00B66D17"/>
    <w:rsid w:val="00B66D54"/>
    <w:rsid w:val="00B66E01"/>
    <w:rsid w:val="00B6737C"/>
    <w:rsid w:val="00B67469"/>
    <w:rsid w:val="00B6764E"/>
    <w:rsid w:val="00B6771A"/>
    <w:rsid w:val="00B677DD"/>
    <w:rsid w:val="00B67996"/>
    <w:rsid w:val="00B679E0"/>
    <w:rsid w:val="00B67A6C"/>
    <w:rsid w:val="00B67AA8"/>
    <w:rsid w:val="00B67DD9"/>
    <w:rsid w:val="00B67FA2"/>
    <w:rsid w:val="00B70183"/>
    <w:rsid w:val="00B7043E"/>
    <w:rsid w:val="00B70454"/>
    <w:rsid w:val="00B7045D"/>
    <w:rsid w:val="00B70474"/>
    <w:rsid w:val="00B704CD"/>
    <w:rsid w:val="00B7055F"/>
    <w:rsid w:val="00B70571"/>
    <w:rsid w:val="00B7067B"/>
    <w:rsid w:val="00B706C7"/>
    <w:rsid w:val="00B70749"/>
    <w:rsid w:val="00B707FE"/>
    <w:rsid w:val="00B708B2"/>
    <w:rsid w:val="00B70951"/>
    <w:rsid w:val="00B709FE"/>
    <w:rsid w:val="00B70A77"/>
    <w:rsid w:val="00B70B9B"/>
    <w:rsid w:val="00B70D9C"/>
    <w:rsid w:val="00B70E52"/>
    <w:rsid w:val="00B70FDF"/>
    <w:rsid w:val="00B71116"/>
    <w:rsid w:val="00B71171"/>
    <w:rsid w:val="00B71325"/>
    <w:rsid w:val="00B7136C"/>
    <w:rsid w:val="00B71623"/>
    <w:rsid w:val="00B716D6"/>
    <w:rsid w:val="00B716E0"/>
    <w:rsid w:val="00B71A6C"/>
    <w:rsid w:val="00B71DD7"/>
    <w:rsid w:val="00B71DF2"/>
    <w:rsid w:val="00B71FFD"/>
    <w:rsid w:val="00B722EB"/>
    <w:rsid w:val="00B72378"/>
    <w:rsid w:val="00B723D6"/>
    <w:rsid w:val="00B724FB"/>
    <w:rsid w:val="00B7253D"/>
    <w:rsid w:val="00B727A3"/>
    <w:rsid w:val="00B727BD"/>
    <w:rsid w:val="00B72A27"/>
    <w:rsid w:val="00B72A29"/>
    <w:rsid w:val="00B72B40"/>
    <w:rsid w:val="00B72BE6"/>
    <w:rsid w:val="00B72C07"/>
    <w:rsid w:val="00B72C09"/>
    <w:rsid w:val="00B73042"/>
    <w:rsid w:val="00B7308E"/>
    <w:rsid w:val="00B7312C"/>
    <w:rsid w:val="00B73698"/>
    <w:rsid w:val="00B736E6"/>
    <w:rsid w:val="00B738AC"/>
    <w:rsid w:val="00B738C3"/>
    <w:rsid w:val="00B73A46"/>
    <w:rsid w:val="00B73BA4"/>
    <w:rsid w:val="00B73BD2"/>
    <w:rsid w:val="00B73C4D"/>
    <w:rsid w:val="00B73D20"/>
    <w:rsid w:val="00B73E57"/>
    <w:rsid w:val="00B7402C"/>
    <w:rsid w:val="00B7411D"/>
    <w:rsid w:val="00B74122"/>
    <w:rsid w:val="00B74291"/>
    <w:rsid w:val="00B742AC"/>
    <w:rsid w:val="00B74321"/>
    <w:rsid w:val="00B74335"/>
    <w:rsid w:val="00B74749"/>
    <w:rsid w:val="00B74796"/>
    <w:rsid w:val="00B747E2"/>
    <w:rsid w:val="00B74831"/>
    <w:rsid w:val="00B748FD"/>
    <w:rsid w:val="00B749FE"/>
    <w:rsid w:val="00B74B63"/>
    <w:rsid w:val="00B74BA7"/>
    <w:rsid w:val="00B74C7B"/>
    <w:rsid w:val="00B74CD6"/>
    <w:rsid w:val="00B74E42"/>
    <w:rsid w:val="00B74E4B"/>
    <w:rsid w:val="00B74EB0"/>
    <w:rsid w:val="00B74FDB"/>
    <w:rsid w:val="00B75044"/>
    <w:rsid w:val="00B7505C"/>
    <w:rsid w:val="00B75097"/>
    <w:rsid w:val="00B751D0"/>
    <w:rsid w:val="00B754CA"/>
    <w:rsid w:val="00B75583"/>
    <w:rsid w:val="00B75760"/>
    <w:rsid w:val="00B75764"/>
    <w:rsid w:val="00B75821"/>
    <w:rsid w:val="00B7582F"/>
    <w:rsid w:val="00B75A7B"/>
    <w:rsid w:val="00B75AD4"/>
    <w:rsid w:val="00B75CAD"/>
    <w:rsid w:val="00B75D02"/>
    <w:rsid w:val="00B75DB6"/>
    <w:rsid w:val="00B75E54"/>
    <w:rsid w:val="00B75F8F"/>
    <w:rsid w:val="00B760F7"/>
    <w:rsid w:val="00B760FA"/>
    <w:rsid w:val="00B76283"/>
    <w:rsid w:val="00B766C1"/>
    <w:rsid w:val="00B76756"/>
    <w:rsid w:val="00B76811"/>
    <w:rsid w:val="00B7692A"/>
    <w:rsid w:val="00B7699F"/>
    <w:rsid w:val="00B76BDA"/>
    <w:rsid w:val="00B76CF0"/>
    <w:rsid w:val="00B76CFC"/>
    <w:rsid w:val="00B76D1F"/>
    <w:rsid w:val="00B76EA2"/>
    <w:rsid w:val="00B76FF9"/>
    <w:rsid w:val="00B770FF"/>
    <w:rsid w:val="00B77191"/>
    <w:rsid w:val="00B771F2"/>
    <w:rsid w:val="00B77208"/>
    <w:rsid w:val="00B77272"/>
    <w:rsid w:val="00B774AB"/>
    <w:rsid w:val="00B775B1"/>
    <w:rsid w:val="00B7773A"/>
    <w:rsid w:val="00B77766"/>
    <w:rsid w:val="00B77771"/>
    <w:rsid w:val="00B7798D"/>
    <w:rsid w:val="00B77B16"/>
    <w:rsid w:val="00B77DD5"/>
    <w:rsid w:val="00B77E09"/>
    <w:rsid w:val="00B77F81"/>
    <w:rsid w:val="00B77FEB"/>
    <w:rsid w:val="00B8004A"/>
    <w:rsid w:val="00B800D1"/>
    <w:rsid w:val="00B801F1"/>
    <w:rsid w:val="00B8038C"/>
    <w:rsid w:val="00B8078D"/>
    <w:rsid w:val="00B8096F"/>
    <w:rsid w:val="00B80B23"/>
    <w:rsid w:val="00B80D3C"/>
    <w:rsid w:val="00B80DF1"/>
    <w:rsid w:val="00B80EAC"/>
    <w:rsid w:val="00B8109B"/>
    <w:rsid w:val="00B811D9"/>
    <w:rsid w:val="00B818DB"/>
    <w:rsid w:val="00B81906"/>
    <w:rsid w:val="00B81C58"/>
    <w:rsid w:val="00B81E35"/>
    <w:rsid w:val="00B821A5"/>
    <w:rsid w:val="00B82207"/>
    <w:rsid w:val="00B822AA"/>
    <w:rsid w:val="00B82306"/>
    <w:rsid w:val="00B82391"/>
    <w:rsid w:val="00B82393"/>
    <w:rsid w:val="00B82422"/>
    <w:rsid w:val="00B82553"/>
    <w:rsid w:val="00B82742"/>
    <w:rsid w:val="00B828B2"/>
    <w:rsid w:val="00B828D6"/>
    <w:rsid w:val="00B82D16"/>
    <w:rsid w:val="00B82D70"/>
    <w:rsid w:val="00B82EF9"/>
    <w:rsid w:val="00B8303F"/>
    <w:rsid w:val="00B831F2"/>
    <w:rsid w:val="00B8323A"/>
    <w:rsid w:val="00B83421"/>
    <w:rsid w:val="00B83513"/>
    <w:rsid w:val="00B836C7"/>
    <w:rsid w:val="00B838F0"/>
    <w:rsid w:val="00B8397A"/>
    <w:rsid w:val="00B8397C"/>
    <w:rsid w:val="00B83A9F"/>
    <w:rsid w:val="00B83B01"/>
    <w:rsid w:val="00B83C53"/>
    <w:rsid w:val="00B83C76"/>
    <w:rsid w:val="00B83C9D"/>
    <w:rsid w:val="00B83DD8"/>
    <w:rsid w:val="00B83F6F"/>
    <w:rsid w:val="00B84016"/>
    <w:rsid w:val="00B8401A"/>
    <w:rsid w:val="00B840B0"/>
    <w:rsid w:val="00B840E0"/>
    <w:rsid w:val="00B84168"/>
    <w:rsid w:val="00B84182"/>
    <w:rsid w:val="00B8419A"/>
    <w:rsid w:val="00B842D1"/>
    <w:rsid w:val="00B84373"/>
    <w:rsid w:val="00B843B8"/>
    <w:rsid w:val="00B843D8"/>
    <w:rsid w:val="00B844CB"/>
    <w:rsid w:val="00B845FE"/>
    <w:rsid w:val="00B84694"/>
    <w:rsid w:val="00B84A60"/>
    <w:rsid w:val="00B84B48"/>
    <w:rsid w:val="00B84B88"/>
    <w:rsid w:val="00B84BC1"/>
    <w:rsid w:val="00B84CDE"/>
    <w:rsid w:val="00B84E3C"/>
    <w:rsid w:val="00B84EBA"/>
    <w:rsid w:val="00B84F28"/>
    <w:rsid w:val="00B851B0"/>
    <w:rsid w:val="00B8539F"/>
    <w:rsid w:val="00B855E1"/>
    <w:rsid w:val="00B855F2"/>
    <w:rsid w:val="00B85650"/>
    <w:rsid w:val="00B856EF"/>
    <w:rsid w:val="00B8575F"/>
    <w:rsid w:val="00B85836"/>
    <w:rsid w:val="00B85884"/>
    <w:rsid w:val="00B85B2B"/>
    <w:rsid w:val="00B85C2C"/>
    <w:rsid w:val="00B85CF5"/>
    <w:rsid w:val="00B85DB2"/>
    <w:rsid w:val="00B85DB4"/>
    <w:rsid w:val="00B85EB0"/>
    <w:rsid w:val="00B85F15"/>
    <w:rsid w:val="00B85F47"/>
    <w:rsid w:val="00B85F6A"/>
    <w:rsid w:val="00B85FFC"/>
    <w:rsid w:val="00B860A2"/>
    <w:rsid w:val="00B8616C"/>
    <w:rsid w:val="00B86233"/>
    <w:rsid w:val="00B86449"/>
    <w:rsid w:val="00B8648C"/>
    <w:rsid w:val="00B86678"/>
    <w:rsid w:val="00B867DB"/>
    <w:rsid w:val="00B8687D"/>
    <w:rsid w:val="00B86923"/>
    <w:rsid w:val="00B8698E"/>
    <w:rsid w:val="00B869CC"/>
    <w:rsid w:val="00B86A0E"/>
    <w:rsid w:val="00B86A3D"/>
    <w:rsid w:val="00B86B44"/>
    <w:rsid w:val="00B87010"/>
    <w:rsid w:val="00B873C5"/>
    <w:rsid w:val="00B875B0"/>
    <w:rsid w:val="00B87927"/>
    <w:rsid w:val="00B8797D"/>
    <w:rsid w:val="00B87990"/>
    <w:rsid w:val="00B87CF5"/>
    <w:rsid w:val="00B87CF7"/>
    <w:rsid w:val="00B87F79"/>
    <w:rsid w:val="00B87FE1"/>
    <w:rsid w:val="00B9000E"/>
    <w:rsid w:val="00B90188"/>
    <w:rsid w:val="00B9018D"/>
    <w:rsid w:val="00B90218"/>
    <w:rsid w:val="00B9039E"/>
    <w:rsid w:val="00B90534"/>
    <w:rsid w:val="00B905D4"/>
    <w:rsid w:val="00B90A6D"/>
    <w:rsid w:val="00B90B02"/>
    <w:rsid w:val="00B90B09"/>
    <w:rsid w:val="00B90DF5"/>
    <w:rsid w:val="00B9103C"/>
    <w:rsid w:val="00B91056"/>
    <w:rsid w:val="00B910B3"/>
    <w:rsid w:val="00B910EF"/>
    <w:rsid w:val="00B91586"/>
    <w:rsid w:val="00B915DE"/>
    <w:rsid w:val="00B9161D"/>
    <w:rsid w:val="00B917FB"/>
    <w:rsid w:val="00B91A5E"/>
    <w:rsid w:val="00B91A88"/>
    <w:rsid w:val="00B91C5A"/>
    <w:rsid w:val="00B91CC0"/>
    <w:rsid w:val="00B91D68"/>
    <w:rsid w:val="00B91E5F"/>
    <w:rsid w:val="00B91F37"/>
    <w:rsid w:val="00B92053"/>
    <w:rsid w:val="00B92112"/>
    <w:rsid w:val="00B92208"/>
    <w:rsid w:val="00B92342"/>
    <w:rsid w:val="00B9251D"/>
    <w:rsid w:val="00B925BE"/>
    <w:rsid w:val="00B925F7"/>
    <w:rsid w:val="00B925FA"/>
    <w:rsid w:val="00B92619"/>
    <w:rsid w:val="00B92942"/>
    <w:rsid w:val="00B92A00"/>
    <w:rsid w:val="00B92A5B"/>
    <w:rsid w:val="00B92A9E"/>
    <w:rsid w:val="00B92B4F"/>
    <w:rsid w:val="00B92B5E"/>
    <w:rsid w:val="00B92C34"/>
    <w:rsid w:val="00B92D59"/>
    <w:rsid w:val="00B92E8F"/>
    <w:rsid w:val="00B930A3"/>
    <w:rsid w:val="00B933CD"/>
    <w:rsid w:val="00B933D1"/>
    <w:rsid w:val="00B933FD"/>
    <w:rsid w:val="00B9340D"/>
    <w:rsid w:val="00B934BE"/>
    <w:rsid w:val="00B9358A"/>
    <w:rsid w:val="00B9364A"/>
    <w:rsid w:val="00B937DC"/>
    <w:rsid w:val="00B93A01"/>
    <w:rsid w:val="00B93B06"/>
    <w:rsid w:val="00B93C97"/>
    <w:rsid w:val="00B93C9B"/>
    <w:rsid w:val="00B93CA1"/>
    <w:rsid w:val="00B93D12"/>
    <w:rsid w:val="00B93EFE"/>
    <w:rsid w:val="00B93F55"/>
    <w:rsid w:val="00B93FD0"/>
    <w:rsid w:val="00B94222"/>
    <w:rsid w:val="00B9422B"/>
    <w:rsid w:val="00B94502"/>
    <w:rsid w:val="00B94750"/>
    <w:rsid w:val="00B9478D"/>
    <w:rsid w:val="00B947FD"/>
    <w:rsid w:val="00B94B63"/>
    <w:rsid w:val="00B94B7B"/>
    <w:rsid w:val="00B94B9A"/>
    <w:rsid w:val="00B94E42"/>
    <w:rsid w:val="00B94ED4"/>
    <w:rsid w:val="00B94F3B"/>
    <w:rsid w:val="00B94F42"/>
    <w:rsid w:val="00B94FBB"/>
    <w:rsid w:val="00B9508F"/>
    <w:rsid w:val="00B951C7"/>
    <w:rsid w:val="00B95263"/>
    <w:rsid w:val="00B953B1"/>
    <w:rsid w:val="00B95424"/>
    <w:rsid w:val="00B95437"/>
    <w:rsid w:val="00B95697"/>
    <w:rsid w:val="00B9593B"/>
    <w:rsid w:val="00B95A55"/>
    <w:rsid w:val="00B95B76"/>
    <w:rsid w:val="00B95C38"/>
    <w:rsid w:val="00B95C3D"/>
    <w:rsid w:val="00B95D77"/>
    <w:rsid w:val="00B95F30"/>
    <w:rsid w:val="00B95F42"/>
    <w:rsid w:val="00B960B3"/>
    <w:rsid w:val="00B9631C"/>
    <w:rsid w:val="00B96392"/>
    <w:rsid w:val="00B963E5"/>
    <w:rsid w:val="00B963F8"/>
    <w:rsid w:val="00B9644C"/>
    <w:rsid w:val="00B966C3"/>
    <w:rsid w:val="00B96896"/>
    <w:rsid w:val="00B9693A"/>
    <w:rsid w:val="00B969C9"/>
    <w:rsid w:val="00B969DC"/>
    <w:rsid w:val="00B969FA"/>
    <w:rsid w:val="00B96BF2"/>
    <w:rsid w:val="00B96F9C"/>
    <w:rsid w:val="00B96FD5"/>
    <w:rsid w:val="00B9703C"/>
    <w:rsid w:val="00B971FD"/>
    <w:rsid w:val="00B97305"/>
    <w:rsid w:val="00B97332"/>
    <w:rsid w:val="00B9758F"/>
    <w:rsid w:val="00B9763D"/>
    <w:rsid w:val="00B97659"/>
    <w:rsid w:val="00B97720"/>
    <w:rsid w:val="00B97859"/>
    <w:rsid w:val="00B97DB3"/>
    <w:rsid w:val="00BA013E"/>
    <w:rsid w:val="00BA0140"/>
    <w:rsid w:val="00BA01EF"/>
    <w:rsid w:val="00BA0424"/>
    <w:rsid w:val="00BA04F1"/>
    <w:rsid w:val="00BA050B"/>
    <w:rsid w:val="00BA0539"/>
    <w:rsid w:val="00BA0743"/>
    <w:rsid w:val="00BA07EA"/>
    <w:rsid w:val="00BA08A5"/>
    <w:rsid w:val="00BA09AA"/>
    <w:rsid w:val="00BA0A83"/>
    <w:rsid w:val="00BA0AC3"/>
    <w:rsid w:val="00BA0C4E"/>
    <w:rsid w:val="00BA0FCD"/>
    <w:rsid w:val="00BA1078"/>
    <w:rsid w:val="00BA1123"/>
    <w:rsid w:val="00BA1159"/>
    <w:rsid w:val="00BA135C"/>
    <w:rsid w:val="00BA1507"/>
    <w:rsid w:val="00BA15E3"/>
    <w:rsid w:val="00BA1697"/>
    <w:rsid w:val="00BA1828"/>
    <w:rsid w:val="00BA19BA"/>
    <w:rsid w:val="00BA1F41"/>
    <w:rsid w:val="00BA1F49"/>
    <w:rsid w:val="00BA2046"/>
    <w:rsid w:val="00BA2127"/>
    <w:rsid w:val="00BA2226"/>
    <w:rsid w:val="00BA233E"/>
    <w:rsid w:val="00BA248A"/>
    <w:rsid w:val="00BA2783"/>
    <w:rsid w:val="00BA2830"/>
    <w:rsid w:val="00BA288F"/>
    <w:rsid w:val="00BA2A9A"/>
    <w:rsid w:val="00BA2B0D"/>
    <w:rsid w:val="00BA2B9A"/>
    <w:rsid w:val="00BA2BBE"/>
    <w:rsid w:val="00BA2C58"/>
    <w:rsid w:val="00BA2DBC"/>
    <w:rsid w:val="00BA2F83"/>
    <w:rsid w:val="00BA318D"/>
    <w:rsid w:val="00BA362B"/>
    <w:rsid w:val="00BA3661"/>
    <w:rsid w:val="00BA37CA"/>
    <w:rsid w:val="00BA3A57"/>
    <w:rsid w:val="00BA3AC5"/>
    <w:rsid w:val="00BA3B4F"/>
    <w:rsid w:val="00BA3CE5"/>
    <w:rsid w:val="00BA3E2F"/>
    <w:rsid w:val="00BA4A7B"/>
    <w:rsid w:val="00BA4AC6"/>
    <w:rsid w:val="00BA5652"/>
    <w:rsid w:val="00BA5907"/>
    <w:rsid w:val="00BA5A32"/>
    <w:rsid w:val="00BA5B19"/>
    <w:rsid w:val="00BA5C12"/>
    <w:rsid w:val="00BA5E41"/>
    <w:rsid w:val="00BA5FC1"/>
    <w:rsid w:val="00BA5FE0"/>
    <w:rsid w:val="00BA63A9"/>
    <w:rsid w:val="00BA6524"/>
    <w:rsid w:val="00BA6608"/>
    <w:rsid w:val="00BA6675"/>
    <w:rsid w:val="00BA67D0"/>
    <w:rsid w:val="00BA680D"/>
    <w:rsid w:val="00BA6ACA"/>
    <w:rsid w:val="00BA6C78"/>
    <w:rsid w:val="00BA6CEC"/>
    <w:rsid w:val="00BA6F08"/>
    <w:rsid w:val="00BA70D4"/>
    <w:rsid w:val="00BA73E2"/>
    <w:rsid w:val="00BA740A"/>
    <w:rsid w:val="00BA74F7"/>
    <w:rsid w:val="00BA752A"/>
    <w:rsid w:val="00BA7701"/>
    <w:rsid w:val="00BA7833"/>
    <w:rsid w:val="00BA7889"/>
    <w:rsid w:val="00BA78EC"/>
    <w:rsid w:val="00BA796C"/>
    <w:rsid w:val="00BA7BCC"/>
    <w:rsid w:val="00BA7EE9"/>
    <w:rsid w:val="00BA7F29"/>
    <w:rsid w:val="00BA7F56"/>
    <w:rsid w:val="00BB0081"/>
    <w:rsid w:val="00BB0300"/>
    <w:rsid w:val="00BB0444"/>
    <w:rsid w:val="00BB09AB"/>
    <w:rsid w:val="00BB0BFC"/>
    <w:rsid w:val="00BB0D3C"/>
    <w:rsid w:val="00BB0EF6"/>
    <w:rsid w:val="00BB0F27"/>
    <w:rsid w:val="00BB0FE1"/>
    <w:rsid w:val="00BB0FF7"/>
    <w:rsid w:val="00BB10C5"/>
    <w:rsid w:val="00BB117D"/>
    <w:rsid w:val="00BB1211"/>
    <w:rsid w:val="00BB12F2"/>
    <w:rsid w:val="00BB13D5"/>
    <w:rsid w:val="00BB1644"/>
    <w:rsid w:val="00BB166E"/>
    <w:rsid w:val="00BB171E"/>
    <w:rsid w:val="00BB1BDE"/>
    <w:rsid w:val="00BB1C36"/>
    <w:rsid w:val="00BB1CC4"/>
    <w:rsid w:val="00BB1E52"/>
    <w:rsid w:val="00BB212E"/>
    <w:rsid w:val="00BB230A"/>
    <w:rsid w:val="00BB233A"/>
    <w:rsid w:val="00BB27A9"/>
    <w:rsid w:val="00BB27E3"/>
    <w:rsid w:val="00BB28C0"/>
    <w:rsid w:val="00BB2905"/>
    <w:rsid w:val="00BB2C57"/>
    <w:rsid w:val="00BB2C7E"/>
    <w:rsid w:val="00BB3065"/>
    <w:rsid w:val="00BB3297"/>
    <w:rsid w:val="00BB3298"/>
    <w:rsid w:val="00BB35C9"/>
    <w:rsid w:val="00BB3678"/>
    <w:rsid w:val="00BB3A49"/>
    <w:rsid w:val="00BB3EBC"/>
    <w:rsid w:val="00BB3FB7"/>
    <w:rsid w:val="00BB40E3"/>
    <w:rsid w:val="00BB4240"/>
    <w:rsid w:val="00BB42A2"/>
    <w:rsid w:val="00BB42C9"/>
    <w:rsid w:val="00BB449C"/>
    <w:rsid w:val="00BB45B2"/>
    <w:rsid w:val="00BB4750"/>
    <w:rsid w:val="00BB488C"/>
    <w:rsid w:val="00BB48AA"/>
    <w:rsid w:val="00BB48C3"/>
    <w:rsid w:val="00BB4965"/>
    <w:rsid w:val="00BB49B3"/>
    <w:rsid w:val="00BB4AEE"/>
    <w:rsid w:val="00BB4CD8"/>
    <w:rsid w:val="00BB4DDF"/>
    <w:rsid w:val="00BB50AE"/>
    <w:rsid w:val="00BB51E9"/>
    <w:rsid w:val="00BB51FF"/>
    <w:rsid w:val="00BB5202"/>
    <w:rsid w:val="00BB53E5"/>
    <w:rsid w:val="00BB5434"/>
    <w:rsid w:val="00BB54F1"/>
    <w:rsid w:val="00BB552F"/>
    <w:rsid w:val="00BB5636"/>
    <w:rsid w:val="00BB5652"/>
    <w:rsid w:val="00BB5881"/>
    <w:rsid w:val="00BB5A6F"/>
    <w:rsid w:val="00BB5C53"/>
    <w:rsid w:val="00BB5C97"/>
    <w:rsid w:val="00BB5FDC"/>
    <w:rsid w:val="00BB6270"/>
    <w:rsid w:val="00BB631C"/>
    <w:rsid w:val="00BB6332"/>
    <w:rsid w:val="00BB633D"/>
    <w:rsid w:val="00BB6460"/>
    <w:rsid w:val="00BB64AD"/>
    <w:rsid w:val="00BB64E1"/>
    <w:rsid w:val="00BB64EC"/>
    <w:rsid w:val="00BB6968"/>
    <w:rsid w:val="00BB6979"/>
    <w:rsid w:val="00BB6D03"/>
    <w:rsid w:val="00BB6F38"/>
    <w:rsid w:val="00BB6FC7"/>
    <w:rsid w:val="00BB702E"/>
    <w:rsid w:val="00BB719F"/>
    <w:rsid w:val="00BB722C"/>
    <w:rsid w:val="00BB72F2"/>
    <w:rsid w:val="00BB7347"/>
    <w:rsid w:val="00BB75B0"/>
    <w:rsid w:val="00BB7677"/>
    <w:rsid w:val="00BB776F"/>
    <w:rsid w:val="00BB77AB"/>
    <w:rsid w:val="00BB783C"/>
    <w:rsid w:val="00BB78E4"/>
    <w:rsid w:val="00BB7A1E"/>
    <w:rsid w:val="00BB7EAF"/>
    <w:rsid w:val="00BB7EEF"/>
    <w:rsid w:val="00BB7F33"/>
    <w:rsid w:val="00BB7FCE"/>
    <w:rsid w:val="00BC0564"/>
    <w:rsid w:val="00BC06E5"/>
    <w:rsid w:val="00BC082A"/>
    <w:rsid w:val="00BC094E"/>
    <w:rsid w:val="00BC098B"/>
    <w:rsid w:val="00BC0A7E"/>
    <w:rsid w:val="00BC0BB4"/>
    <w:rsid w:val="00BC0F87"/>
    <w:rsid w:val="00BC0F97"/>
    <w:rsid w:val="00BC108D"/>
    <w:rsid w:val="00BC1137"/>
    <w:rsid w:val="00BC126D"/>
    <w:rsid w:val="00BC136E"/>
    <w:rsid w:val="00BC14FA"/>
    <w:rsid w:val="00BC1605"/>
    <w:rsid w:val="00BC16BC"/>
    <w:rsid w:val="00BC17BE"/>
    <w:rsid w:val="00BC195F"/>
    <w:rsid w:val="00BC1971"/>
    <w:rsid w:val="00BC19EA"/>
    <w:rsid w:val="00BC1A91"/>
    <w:rsid w:val="00BC1E55"/>
    <w:rsid w:val="00BC202D"/>
    <w:rsid w:val="00BC21ED"/>
    <w:rsid w:val="00BC226C"/>
    <w:rsid w:val="00BC22D2"/>
    <w:rsid w:val="00BC23A3"/>
    <w:rsid w:val="00BC23BB"/>
    <w:rsid w:val="00BC249D"/>
    <w:rsid w:val="00BC2598"/>
    <w:rsid w:val="00BC25E8"/>
    <w:rsid w:val="00BC26FA"/>
    <w:rsid w:val="00BC2751"/>
    <w:rsid w:val="00BC27D3"/>
    <w:rsid w:val="00BC2879"/>
    <w:rsid w:val="00BC2914"/>
    <w:rsid w:val="00BC2A86"/>
    <w:rsid w:val="00BC2C9E"/>
    <w:rsid w:val="00BC2D53"/>
    <w:rsid w:val="00BC2ED2"/>
    <w:rsid w:val="00BC2EEC"/>
    <w:rsid w:val="00BC30B8"/>
    <w:rsid w:val="00BC328B"/>
    <w:rsid w:val="00BC3401"/>
    <w:rsid w:val="00BC3546"/>
    <w:rsid w:val="00BC36F4"/>
    <w:rsid w:val="00BC3AAE"/>
    <w:rsid w:val="00BC3B25"/>
    <w:rsid w:val="00BC3D64"/>
    <w:rsid w:val="00BC3D96"/>
    <w:rsid w:val="00BC3DB7"/>
    <w:rsid w:val="00BC3FE6"/>
    <w:rsid w:val="00BC4295"/>
    <w:rsid w:val="00BC4313"/>
    <w:rsid w:val="00BC4714"/>
    <w:rsid w:val="00BC47D7"/>
    <w:rsid w:val="00BC483C"/>
    <w:rsid w:val="00BC48A4"/>
    <w:rsid w:val="00BC4A6D"/>
    <w:rsid w:val="00BC4AC4"/>
    <w:rsid w:val="00BC4F2A"/>
    <w:rsid w:val="00BC5133"/>
    <w:rsid w:val="00BC516F"/>
    <w:rsid w:val="00BC5235"/>
    <w:rsid w:val="00BC52A8"/>
    <w:rsid w:val="00BC5378"/>
    <w:rsid w:val="00BC5420"/>
    <w:rsid w:val="00BC543F"/>
    <w:rsid w:val="00BC5466"/>
    <w:rsid w:val="00BC568B"/>
    <w:rsid w:val="00BC5719"/>
    <w:rsid w:val="00BC5B77"/>
    <w:rsid w:val="00BC5CCE"/>
    <w:rsid w:val="00BC5D07"/>
    <w:rsid w:val="00BC5F15"/>
    <w:rsid w:val="00BC5F75"/>
    <w:rsid w:val="00BC609D"/>
    <w:rsid w:val="00BC6112"/>
    <w:rsid w:val="00BC622F"/>
    <w:rsid w:val="00BC625D"/>
    <w:rsid w:val="00BC62D1"/>
    <w:rsid w:val="00BC687B"/>
    <w:rsid w:val="00BC6994"/>
    <w:rsid w:val="00BC6A46"/>
    <w:rsid w:val="00BC6A73"/>
    <w:rsid w:val="00BC6C35"/>
    <w:rsid w:val="00BC6C56"/>
    <w:rsid w:val="00BC6E36"/>
    <w:rsid w:val="00BC6FF4"/>
    <w:rsid w:val="00BC71C4"/>
    <w:rsid w:val="00BC71C7"/>
    <w:rsid w:val="00BC71D9"/>
    <w:rsid w:val="00BC727C"/>
    <w:rsid w:val="00BC72BF"/>
    <w:rsid w:val="00BC73F1"/>
    <w:rsid w:val="00BC7461"/>
    <w:rsid w:val="00BC7587"/>
    <w:rsid w:val="00BC75B8"/>
    <w:rsid w:val="00BC761A"/>
    <w:rsid w:val="00BC765F"/>
    <w:rsid w:val="00BC7A04"/>
    <w:rsid w:val="00BC7AC9"/>
    <w:rsid w:val="00BC7B8A"/>
    <w:rsid w:val="00BC7D40"/>
    <w:rsid w:val="00BC7F05"/>
    <w:rsid w:val="00BD02C0"/>
    <w:rsid w:val="00BD03B0"/>
    <w:rsid w:val="00BD045A"/>
    <w:rsid w:val="00BD04F5"/>
    <w:rsid w:val="00BD05B5"/>
    <w:rsid w:val="00BD07DB"/>
    <w:rsid w:val="00BD0970"/>
    <w:rsid w:val="00BD09B3"/>
    <w:rsid w:val="00BD0B95"/>
    <w:rsid w:val="00BD0B96"/>
    <w:rsid w:val="00BD0BB3"/>
    <w:rsid w:val="00BD0D4F"/>
    <w:rsid w:val="00BD0E4B"/>
    <w:rsid w:val="00BD1375"/>
    <w:rsid w:val="00BD13C3"/>
    <w:rsid w:val="00BD14E9"/>
    <w:rsid w:val="00BD1607"/>
    <w:rsid w:val="00BD179F"/>
    <w:rsid w:val="00BD184D"/>
    <w:rsid w:val="00BD185B"/>
    <w:rsid w:val="00BD1D7B"/>
    <w:rsid w:val="00BD1FB9"/>
    <w:rsid w:val="00BD20DA"/>
    <w:rsid w:val="00BD2234"/>
    <w:rsid w:val="00BD246B"/>
    <w:rsid w:val="00BD2515"/>
    <w:rsid w:val="00BD262E"/>
    <w:rsid w:val="00BD271F"/>
    <w:rsid w:val="00BD2797"/>
    <w:rsid w:val="00BD27DB"/>
    <w:rsid w:val="00BD2816"/>
    <w:rsid w:val="00BD28CD"/>
    <w:rsid w:val="00BD28F9"/>
    <w:rsid w:val="00BD2ADB"/>
    <w:rsid w:val="00BD2BD9"/>
    <w:rsid w:val="00BD30FF"/>
    <w:rsid w:val="00BD32B1"/>
    <w:rsid w:val="00BD3300"/>
    <w:rsid w:val="00BD3317"/>
    <w:rsid w:val="00BD35B9"/>
    <w:rsid w:val="00BD36AD"/>
    <w:rsid w:val="00BD3743"/>
    <w:rsid w:val="00BD37A2"/>
    <w:rsid w:val="00BD3827"/>
    <w:rsid w:val="00BD38B9"/>
    <w:rsid w:val="00BD38E8"/>
    <w:rsid w:val="00BD39FB"/>
    <w:rsid w:val="00BD3A82"/>
    <w:rsid w:val="00BD3BB9"/>
    <w:rsid w:val="00BD3D02"/>
    <w:rsid w:val="00BD4041"/>
    <w:rsid w:val="00BD4163"/>
    <w:rsid w:val="00BD4257"/>
    <w:rsid w:val="00BD42F1"/>
    <w:rsid w:val="00BD431C"/>
    <w:rsid w:val="00BD434C"/>
    <w:rsid w:val="00BD43B4"/>
    <w:rsid w:val="00BD4405"/>
    <w:rsid w:val="00BD44E8"/>
    <w:rsid w:val="00BD4524"/>
    <w:rsid w:val="00BD4738"/>
    <w:rsid w:val="00BD4896"/>
    <w:rsid w:val="00BD48CA"/>
    <w:rsid w:val="00BD49BD"/>
    <w:rsid w:val="00BD4AB4"/>
    <w:rsid w:val="00BD4BFD"/>
    <w:rsid w:val="00BD4C15"/>
    <w:rsid w:val="00BD4C97"/>
    <w:rsid w:val="00BD4EE0"/>
    <w:rsid w:val="00BD4FE6"/>
    <w:rsid w:val="00BD5434"/>
    <w:rsid w:val="00BD55DF"/>
    <w:rsid w:val="00BD561E"/>
    <w:rsid w:val="00BD5650"/>
    <w:rsid w:val="00BD57B3"/>
    <w:rsid w:val="00BD580A"/>
    <w:rsid w:val="00BD5B07"/>
    <w:rsid w:val="00BD5C29"/>
    <w:rsid w:val="00BD5CBA"/>
    <w:rsid w:val="00BD5CE3"/>
    <w:rsid w:val="00BD5D2C"/>
    <w:rsid w:val="00BD5D7E"/>
    <w:rsid w:val="00BD5DC8"/>
    <w:rsid w:val="00BD5E7A"/>
    <w:rsid w:val="00BD5F0D"/>
    <w:rsid w:val="00BD5F1A"/>
    <w:rsid w:val="00BD6083"/>
    <w:rsid w:val="00BD609A"/>
    <w:rsid w:val="00BD60F7"/>
    <w:rsid w:val="00BD619B"/>
    <w:rsid w:val="00BD61A8"/>
    <w:rsid w:val="00BD6475"/>
    <w:rsid w:val="00BD64F3"/>
    <w:rsid w:val="00BD662A"/>
    <w:rsid w:val="00BD665F"/>
    <w:rsid w:val="00BD66E0"/>
    <w:rsid w:val="00BD66E3"/>
    <w:rsid w:val="00BD6712"/>
    <w:rsid w:val="00BD684E"/>
    <w:rsid w:val="00BD6A1E"/>
    <w:rsid w:val="00BD6ABC"/>
    <w:rsid w:val="00BD6AFE"/>
    <w:rsid w:val="00BD6D86"/>
    <w:rsid w:val="00BD6DD7"/>
    <w:rsid w:val="00BD7192"/>
    <w:rsid w:val="00BD7269"/>
    <w:rsid w:val="00BD75BA"/>
    <w:rsid w:val="00BD76A7"/>
    <w:rsid w:val="00BD792F"/>
    <w:rsid w:val="00BD7950"/>
    <w:rsid w:val="00BD79A5"/>
    <w:rsid w:val="00BD79F5"/>
    <w:rsid w:val="00BD7E3A"/>
    <w:rsid w:val="00BD7ECB"/>
    <w:rsid w:val="00BE0144"/>
    <w:rsid w:val="00BE0367"/>
    <w:rsid w:val="00BE047E"/>
    <w:rsid w:val="00BE0683"/>
    <w:rsid w:val="00BE070F"/>
    <w:rsid w:val="00BE0D4A"/>
    <w:rsid w:val="00BE0D6E"/>
    <w:rsid w:val="00BE0E57"/>
    <w:rsid w:val="00BE0FA5"/>
    <w:rsid w:val="00BE13A4"/>
    <w:rsid w:val="00BE14AD"/>
    <w:rsid w:val="00BE165B"/>
    <w:rsid w:val="00BE177F"/>
    <w:rsid w:val="00BE19D8"/>
    <w:rsid w:val="00BE1B31"/>
    <w:rsid w:val="00BE1E80"/>
    <w:rsid w:val="00BE1FD4"/>
    <w:rsid w:val="00BE217F"/>
    <w:rsid w:val="00BE22D4"/>
    <w:rsid w:val="00BE23A3"/>
    <w:rsid w:val="00BE2427"/>
    <w:rsid w:val="00BE25C3"/>
    <w:rsid w:val="00BE2667"/>
    <w:rsid w:val="00BE26B5"/>
    <w:rsid w:val="00BE281A"/>
    <w:rsid w:val="00BE28AA"/>
    <w:rsid w:val="00BE292B"/>
    <w:rsid w:val="00BE294D"/>
    <w:rsid w:val="00BE2956"/>
    <w:rsid w:val="00BE2BD9"/>
    <w:rsid w:val="00BE2C0F"/>
    <w:rsid w:val="00BE2C4D"/>
    <w:rsid w:val="00BE2C76"/>
    <w:rsid w:val="00BE2D7A"/>
    <w:rsid w:val="00BE2DC2"/>
    <w:rsid w:val="00BE2F75"/>
    <w:rsid w:val="00BE2FB5"/>
    <w:rsid w:val="00BE2FE9"/>
    <w:rsid w:val="00BE3156"/>
    <w:rsid w:val="00BE3196"/>
    <w:rsid w:val="00BE3214"/>
    <w:rsid w:val="00BE33F5"/>
    <w:rsid w:val="00BE3540"/>
    <w:rsid w:val="00BE38B6"/>
    <w:rsid w:val="00BE3966"/>
    <w:rsid w:val="00BE3982"/>
    <w:rsid w:val="00BE39A2"/>
    <w:rsid w:val="00BE3C68"/>
    <w:rsid w:val="00BE3CB3"/>
    <w:rsid w:val="00BE3D52"/>
    <w:rsid w:val="00BE3DE0"/>
    <w:rsid w:val="00BE4085"/>
    <w:rsid w:val="00BE40DF"/>
    <w:rsid w:val="00BE4105"/>
    <w:rsid w:val="00BE4182"/>
    <w:rsid w:val="00BE449A"/>
    <w:rsid w:val="00BE45D6"/>
    <w:rsid w:val="00BE4644"/>
    <w:rsid w:val="00BE46C9"/>
    <w:rsid w:val="00BE4B38"/>
    <w:rsid w:val="00BE4DEB"/>
    <w:rsid w:val="00BE4DF9"/>
    <w:rsid w:val="00BE4E52"/>
    <w:rsid w:val="00BE4F25"/>
    <w:rsid w:val="00BE4FD8"/>
    <w:rsid w:val="00BE509D"/>
    <w:rsid w:val="00BE50D9"/>
    <w:rsid w:val="00BE50F0"/>
    <w:rsid w:val="00BE51E8"/>
    <w:rsid w:val="00BE5208"/>
    <w:rsid w:val="00BE52BA"/>
    <w:rsid w:val="00BE53E3"/>
    <w:rsid w:val="00BE548E"/>
    <w:rsid w:val="00BE559D"/>
    <w:rsid w:val="00BE55B7"/>
    <w:rsid w:val="00BE575A"/>
    <w:rsid w:val="00BE58E4"/>
    <w:rsid w:val="00BE5999"/>
    <w:rsid w:val="00BE59B3"/>
    <w:rsid w:val="00BE59E0"/>
    <w:rsid w:val="00BE5AA1"/>
    <w:rsid w:val="00BE5B73"/>
    <w:rsid w:val="00BE5C65"/>
    <w:rsid w:val="00BE5D2A"/>
    <w:rsid w:val="00BE5DE3"/>
    <w:rsid w:val="00BE5E79"/>
    <w:rsid w:val="00BE5F6C"/>
    <w:rsid w:val="00BE5F82"/>
    <w:rsid w:val="00BE602C"/>
    <w:rsid w:val="00BE6384"/>
    <w:rsid w:val="00BE64A7"/>
    <w:rsid w:val="00BE6574"/>
    <w:rsid w:val="00BE65B8"/>
    <w:rsid w:val="00BE66C4"/>
    <w:rsid w:val="00BE66EB"/>
    <w:rsid w:val="00BE6791"/>
    <w:rsid w:val="00BE6827"/>
    <w:rsid w:val="00BE68E2"/>
    <w:rsid w:val="00BE6D14"/>
    <w:rsid w:val="00BE70BE"/>
    <w:rsid w:val="00BE71EC"/>
    <w:rsid w:val="00BE7532"/>
    <w:rsid w:val="00BE7596"/>
    <w:rsid w:val="00BE773B"/>
    <w:rsid w:val="00BE77E7"/>
    <w:rsid w:val="00BE78E7"/>
    <w:rsid w:val="00BE7A41"/>
    <w:rsid w:val="00BE7C2E"/>
    <w:rsid w:val="00BE7D4D"/>
    <w:rsid w:val="00BE7FCF"/>
    <w:rsid w:val="00BF0044"/>
    <w:rsid w:val="00BF01BE"/>
    <w:rsid w:val="00BF0452"/>
    <w:rsid w:val="00BF048B"/>
    <w:rsid w:val="00BF07B6"/>
    <w:rsid w:val="00BF082B"/>
    <w:rsid w:val="00BF0BEE"/>
    <w:rsid w:val="00BF0C11"/>
    <w:rsid w:val="00BF0D02"/>
    <w:rsid w:val="00BF0DFF"/>
    <w:rsid w:val="00BF0E38"/>
    <w:rsid w:val="00BF107D"/>
    <w:rsid w:val="00BF121F"/>
    <w:rsid w:val="00BF131E"/>
    <w:rsid w:val="00BF144D"/>
    <w:rsid w:val="00BF14CD"/>
    <w:rsid w:val="00BF172B"/>
    <w:rsid w:val="00BF180F"/>
    <w:rsid w:val="00BF1902"/>
    <w:rsid w:val="00BF193F"/>
    <w:rsid w:val="00BF1ABF"/>
    <w:rsid w:val="00BF1B42"/>
    <w:rsid w:val="00BF1D06"/>
    <w:rsid w:val="00BF2274"/>
    <w:rsid w:val="00BF22B2"/>
    <w:rsid w:val="00BF232F"/>
    <w:rsid w:val="00BF2472"/>
    <w:rsid w:val="00BF2576"/>
    <w:rsid w:val="00BF2599"/>
    <w:rsid w:val="00BF268F"/>
    <w:rsid w:val="00BF286E"/>
    <w:rsid w:val="00BF2AB0"/>
    <w:rsid w:val="00BF2C4B"/>
    <w:rsid w:val="00BF2E04"/>
    <w:rsid w:val="00BF2E8F"/>
    <w:rsid w:val="00BF3072"/>
    <w:rsid w:val="00BF31EA"/>
    <w:rsid w:val="00BF33D2"/>
    <w:rsid w:val="00BF33DF"/>
    <w:rsid w:val="00BF345F"/>
    <w:rsid w:val="00BF36F2"/>
    <w:rsid w:val="00BF37BC"/>
    <w:rsid w:val="00BF3AD0"/>
    <w:rsid w:val="00BF3BF6"/>
    <w:rsid w:val="00BF3CAF"/>
    <w:rsid w:val="00BF3D0E"/>
    <w:rsid w:val="00BF3FEC"/>
    <w:rsid w:val="00BF406F"/>
    <w:rsid w:val="00BF4281"/>
    <w:rsid w:val="00BF4671"/>
    <w:rsid w:val="00BF46A1"/>
    <w:rsid w:val="00BF47AD"/>
    <w:rsid w:val="00BF499D"/>
    <w:rsid w:val="00BF49F5"/>
    <w:rsid w:val="00BF4CB4"/>
    <w:rsid w:val="00BF4EFE"/>
    <w:rsid w:val="00BF4FDC"/>
    <w:rsid w:val="00BF51B9"/>
    <w:rsid w:val="00BF5321"/>
    <w:rsid w:val="00BF5472"/>
    <w:rsid w:val="00BF550A"/>
    <w:rsid w:val="00BF5730"/>
    <w:rsid w:val="00BF596E"/>
    <w:rsid w:val="00BF5A47"/>
    <w:rsid w:val="00BF5A6C"/>
    <w:rsid w:val="00BF5ABB"/>
    <w:rsid w:val="00BF5C2D"/>
    <w:rsid w:val="00BF5CBF"/>
    <w:rsid w:val="00BF5E88"/>
    <w:rsid w:val="00BF5F35"/>
    <w:rsid w:val="00BF5FBF"/>
    <w:rsid w:val="00BF5FFF"/>
    <w:rsid w:val="00BF60B7"/>
    <w:rsid w:val="00BF61C5"/>
    <w:rsid w:val="00BF6322"/>
    <w:rsid w:val="00BF63F9"/>
    <w:rsid w:val="00BF64B0"/>
    <w:rsid w:val="00BF6544"/>
    <w:rsid w:val="00BF6582"/>
    <w:rsid w:val="00BF65B7"/>
    <w:rsid w:val="00BF68F1"/>
    <w:rsid w:val="00BF6951"/>
    <w:rsid w:val="00BF6957"/>
    <w:rsid w:val="00BF6C29"/>
    <w:rsid w:val="00BF6C8F"/>
    <w:rsid w:val="00BF6FDC"/>
    <w:rsid w:val="00BF6FDE"/>
    <w:rsid w:val="00BF7197"/>
    <w:rsid w:val="00BF7323"/>
    <w:rsid w:val="00BF748F"/>
    <w:rsid w:val="00BF74EC"/>
    <w:rsid w:val="00BF7FCB"/>
    <w:rsid w:val="00C000E6"/>
    <w:rsid w:val="00C00321"/>
    <w:rsid w:val="00C004C4"/>
    <w:rsid w:val="00C004FE"/>
    <w:rsid w:val="00C006B8"/>
    <w:rsid w:val="00C008CE"/>
    <w:rsid w:val="00C0093A"/>
    <w:rsid w:val="00C00A1D"/>
    <w:rsid w:val="00C00A4F"/>
    <w:rsid w:val="00C00D03"/>
    <w:rsid w:val="00C00F4A"/>
    <w:rsid w:val="00C0106D"/>
    <w:rsid w:val="00C012BB"/>
    <w:rsid w:val="00C012CB"/>
    <w:rsid w:val="00C01334"/>
    <w:rsid w:val="00C0139C"/>
    <w:rsid w:val="00C013DA"/>
    <w:rsid w:val="00C013ED"/>
    <w:rsid w:val="00C01423"/>
    <w:rsid w:val="00C015CB"/>
    <w:rsid w:val="00C0182C"/>
    <w:rsid w:val="00C019B0"/>
    <w:rsid w:val="00C01B24"/>
    <w:rsid w:val="00C01DBD"/>
    <w:rsid w:val="00C01E12"/>
    <w:rsid w:val="00C01E86"/>
    <w:rsid w:val="00C022B2"/>
    <w:rsid w:val="00C023DD"/>
    <w:rsid w:val="00C023F9"/>
    <w:rsid w:val="00C02404"/>
    <w:rsid w:val="00C024F1"/>
    <w:rsid w:val="00C02509"/>
    <w:rsid w:val="00C02541"/>
    <w:rsid w:val="00C02662"/>
    <w:rsid w:val="00C02689"/>
    <w:rsid w:val="00C027D7"/>
    <w:rsid w:val="00C028B1"/>
    <w:rsid w:val="00C028E3"/>
    <w:rsid w:val="00C02A48"/>
    <w:rsid w:val="00C02ACA"/>
    <w:rsid w:val="00C02B0B"/>
    <w:rsid w:val="00C02C96"/>
    <w:rsid w:val="00C02CDC"/>
    <w:rsid w:val="00C02CED"/>
    <w:rsid w:val="00C02D3B"/>
    <w:rsid w:val="00C02D43"/>
    <w:rsid w:val="00C02E45"/>
    <w:rsid w:val="00C030CA"/>
    <w:rsid w:val="00C030DD"/>
    <w:rsid w:val="00C03150"/>
    <w:rsid w:val="00C03219"/>
    <w:rsid w:val="00C03569"/>
    <w:rsid w:val="00C03588"/>
    <w:rsid w:val="00C036E7"/>
    <w:rsid w:val="00C036EA"/>
    <w:rsid w:val="00C03774"/>
    <w:rsid w:val="00C039CB"/>
    <w:rsid w:val="00C03B8A"/>
    <w:rsid w:val="00C03CE7"/>
    <w:rsid w:val="00C03F67"/>
    <w:rsid w:val="00C04020"/>
    <w:rsid w:val="00C0403E"/>
    <w:rsid w:val="00C040E2"/>
    <w:rsid w:val="00C0416D"/>
    <w:rsid w:val="00C046A7"/>
    <w:rsid w:val="00C04753"/>
    <w:rsid w:val="00C04877"/>
    <w:rsid w:val="00C04A3E"/>
    <w:rsid w:val="00C04AF0"/>
    <w:rsid w:val="00C04B72"/>
    <w:rsid w:val="00C04C41"/>
    <w:rsid w:val="00C04CB3"/>
    <w:rsid w:val="00C04E4C"/>
    <w:rsid w:val="00C04E7F"/>
    <w:rsid w:val="00C04FAB"/>
    <w:rsid w:val="00C04FF4"/>
    <w:rsid w:val="00C05096"/>
    <w:rsid w:val="00C0519A"/>
    <w:rsid w:val="00C0530D"/>
    <w:rsid w:val="00C055DC"/>
    <w:rsid w:val="00C0563D"/>
    <w:rsid w:val="00C05792"/>
    <w:rsid w:val="00C0587B"/>
    <w:rsid w:val="00C05940"/>
    <w:rsid w:val="00C059B6"/>
    <w:rsid w:val="00C05ADA"/>
    <w:rsid w:val="00C05B35"/>
    <w:rsid w:val="00C06131"/>
    <w:rsid w:val="00C061A9"/>
    <w:rsid w:val="00C061C6"/>
    <w:rsid w:val="00C063A3"/>
    <w:rsid w:val="00C063F4"/>
    <w:rsid w:val="00C0642F"/>
    <w:rsid w:val="00C0646A"/>
    <w:rsid w:val="00C06563"/>
    <w:rsid w:val="00C06567"/>
    <w:rsid w:val="00C0658B"/>
    <w:rsid w:val="00C06681"/>
    <w:rsid w:val="00C066D5"/>
    <w:rsid w:val="00C068F3"/>
    <w:rsid w:val="00C06C32"/>
    <w:rsid w:val="00C06E58"/>
    <w:rsid w:val="00C07157"/>
    <w:rsid w:val="00C07170"/>
    <w:rsid w:val="00C07352"/>
    <w:rsid w:val="00C07361"/>
    <w:rsid w:val="00C0767B"/>
    <w:rsid w:val="00C078AC"/>
    <w:rsid w:val="00C07AA2"/>
    <w:rsid w:val="00C07D73"/>
    <w:rsid w:val="00C07DD9"/>
    <w:rsid w:val="00C07E9E"/>
    <w:rsid w:val="00C07F03"/>
    <w:rsid w:val="00C10094"/>
    <w:rsid w:val="00C100CD"/>
    <w:rsid w:val="00C1034F"/>
    <w:rsid w:val="00C1037D"/>
    <w:rsid w:val="00C10442"/>
    <w:rsid w:val="00C104C7"/>
    <w:rsid w:val="00C105CB"/>
    <w:rsid w:val="00C1075E"/>
    <w:rsid w:val="00C107C0"/>
    <w:rsid w:val="00C10847"/>
    <w:rsid w:val="00C109AD"/>
    <w:rsid w:val="00C10C4B"/>
    <w:rsid w:val="00C10D2F"/>
    <w:rsid w:val="00C10E3C"/>
    <w:rsid w:val="00C10EDF"/>
    <w:rsid w:val="00C10EF5"/>
    <w:rsid w:val="00C110F3"/>
    <w:rsid w:val="00C112EC"/>
    <w:rsid w:val="00C113D0"/>
    <w:rsid w:val="00C1171B"/>
    <w:rsid w:val="00C117AA"/>
    <w:rsid w:val="00C11800"/>
    <w:rsid w:val="00C1190D"/>
    <w:rsid w:val="00C11AFF"/>
    <w:rsid w:val="00C11BB0"/>
    <w:rsid w:val="00C1204F"/>
    <w:rsid w:val="00C12334"/>
    <w:rsid w:val="00C12406"/>
    <w:rsid w:val="00C12499"/>
    <w:rsid w:val="00C1271B"/>
    <w:rsid w:val="00C127C9"/>
    <w:rsid w:val="00C129A5"/>
    <w:rsid w:val="00C12BCC"/>
    <w:rsid w:val="00C12F4E"/>
    <w:rsid w:val="00C134CD"/>
    <w:rsid w:val="00C137D6"/>
    <w:rsid w:val="00C13941"/>
    <w:rsid w:val="00C13993"/>
    <w:rsid w:val="00C13AC1"/>
    <w:rsid w:val="00C13BA9"/>
    <w:rsid w:val="00C13F25"/>
    <w:rsid w:val="00C13F9C"/>
    <w:rsid w:val="00C13FA7"/>
    <w:rsid w:val="00C141FB"/>
    <w:rsid w:val="00C144CE"/>
    <w:rsid w:val="00C144EC"/>
    <w:rsid w:val="00C14707"/>
    <w:rsid w:val="00C1487E"/>
    <w:rsid w:val="00C14B6C"/>
    <w:rsid w:val="00C150A5"/>
    <w:rsid w:val="00C150C0"/>
    <w:rsid w:val="00C1513C"/>
    <w:rsid w:val="00C15174"/>
    <w:rsid w:val="00C1520B"/>
    <w:rsid w:val="00C15282"/>
    <w:rsid w:val="00C152FC"/>
    <w:rsid w:val="00C153B1"/>
    <w:rsid w:val="00C1544B"/>
    <w:rsid w:val="00C1552B"/>
    <w:rsid w:val="00C15609"/>
    <w:rsid w:val="00C15719"/>
    <w:rsid w:val="00C1575B"/>
    <w:rsid w:val="00C157D1"/>
    <w:rsid w:val="00C1588C"/>
    <w:rsid w:val="00C15959"/>
    <w:rsid w:val="00C159C5"/>
    <w:rsid w:val="00C159F5"/>
    <w:rsid w:val="00C15BBF"/>
    <w:rsid w:val="00C15C0E"/>
    <w:rsid w:val="00C15C10"/>
    <w:rsid w:val="00C15E96"/>
    <w:rsid w:val="00C15F05"/>
    <w:rsid w:val="00C15F71"/>
    <w:rsid w:val="00C16066"/>
    <w:rsid w:val="00C1607E"/>
    <w:rsid w:val="00C160E0"/>
    <w:rsid w:val="00C16184"/>
    <w:rsid w:val="00C16337"/>
    <w:rsid w:val="00C163EE"/>
    <w:rsid w:val="00C16471"/>
    <w:rsid w:val="00C165FB"/>
    <w:rsid w:val="00C1687F"/>
    <w:rsid w:val="00C16BFC"/>
    <w:rsid w:val="00C16D4E"/>
    <w:rsid w:val="00C16FED"/>
    <w:rsid w:val="00C1704F"/>
    <w:rsid w:val="00C17169"/>
    <w:rsid w:val="00C172B1"/>
    <w:rsid w:val="00C17353"/>
    <w:rsid w:val="00C173BF"/>
    <w:rsid w:val="00C17415"/>
    <w:rsid w:val="00C17441"/>
    <w:rsid w:val="00C1745D"/>
    <w:rsid w:val="00C17498"/>
    <w:rsid w:val="00C1750F"/>
    <w:rsid w:val="00C17550"/>
    <w:rsid w:val="00C176F9"/>
    <w:rsid w:val="00C17864"/>
    <w:rsid w:val="00C178AB"/>
    <w:rsid w:val="00C1797E"/>
    <w:rsid w:val="00C17A08"/>
    <w:rsid w:val="00C17B25"/>
    <w:rsid w:val="00C17CED"/>
    <w:rsid w:val="00C17D71"/>
    <w:rsid w:val="00C17FC3"/>
    <w:rsid w:val="00C20128"/>
    <w:rsid w:val="00C20207"/>
    <w:rsid w:val="00C20233"/>
    <w:rsid w:val="00C20268"/>
    <w:rsid w:val="00C20376"/>
    <w:rsid w:val="00C2042A"/>
    <w:rsid w:val="00C20496"/>
    <w:rsid w:val="00C205A4"/>
    <w:rsid w:val="00C205C0"/>
    <w:rsid w:val="00C205FD"/>
    <w:rsid w:val="00C20638"/>
    <w:rsid w:val="00C20711"/>
    <w:rsid w:val="00C20783"/>
    <w:rsid w:val="00C207AB"/>
    <w:rsid w:val="00C208A9"/>
    <w:rsid w:val="00C208C2"/>
    <w:rsid w:val="00C208E0"/>
    <w:rsid w:val="00C20949"/>
    <w:rsid w:val="00C20C1D"/>
    <w:rsid w:val="00C20C7F"/>
    <w:rsid w:val="00C20E43"/>
    <w:rsid w:val="00C2102B"/>
    <w:rsid w:val="00C210C0"/>
    <w:rsid w:val="00C2111D"/>
    <w:rsid w:val="00C21206"/>
    <w:rsid w:val="00C2143E"/>
    <w:rsid w:val="00C214B0"/>
    <w:rsid w:val="00C2174F"/>
    <w:rsid w:val="00C2175D"/>
    <w:rsid w:val="00C21779"/>
    <w:rsid w:val="00C2185D"/>
    <w:rsid w:val="00C21A4F"/>
    <w:rsid w:val="00C21AC0"/>
    <w:rsid w:val="00C21B20"/>
    <w:rsid w:val="00C21BA8"/>
    <w:rsid w:val="00C21C89"/>
    <w:rsid w:val="00C22063"/>
    <w:rsid w:val="00C22223"/>
    <w:rsid w:val="00C223E1"/>
    <w:rsid w:val="00C2244B"/>
    <w:rsid w:val="00C22568"/>
    <w:rsid w:val="00C225F9"/>
    <w:rsid w:val="00C22BD0"/>
    <w:rsid w:val="00C22CB5"/>
    <w:rsid w:val="00C22CED"/>
    <w:rsid w:val="00C22D6A"/>
    <w:rsid w:val="00C22E26"/>
    <w:rsid w:val="00C22FE7"/>
    <w:rsid w:val="00C22FE9"/>
    <w:rsid w:val="00C230EB"/>
    <w:rsid w:val="00C23142"/>
    <w:rsid w:val="00C2338A"/>
    <w:rsid w:val="00C233A8"/>
    <w:rsid w:val="00C23512"/>
    <w:rsid w:val="00C236BF"/>
    <w:rsid w:val="00C23768"/>
    <w:rsid w:val="00C23786"/>
    <w:rsid w:val="00C237D7"/>
    <w:rsid w:val="00C23861"/>
    <w:rsid w:val="00C239D9"/>
    <w:rsid w:val="00C23A0A"/>
    <w:rsid w:val="00C23ABF"/>
    <w:rsid w:val="00C23CB0"/>
    <w:rsid w:val="00C23CC8"/>
    <w:rsid w:val="00C23D1F"/>
    <w:rsid w:val="00C23D44"/>
    <w:rsid w:val="00C2406D"/>
    <w:rsid w:val="00C241B0"/>
    <w:rsid w:val="00C24252"/>
    <w:rsid w:val="00C242B6"/>
    <w:rsid w:val="00C243AB"/>
    <w:rsid w:val="00C24493"/>
    <w:rsid w:val="00C245A5"/>
    <w:rsid w:val="00C245A6"/>
    <w:rsid w:val="00C2464D"/>
    <w:rsid w:val="00C24708"/>
    <w:rsid w:val="00C247FA"/>
    <w:rsid w:val="00C24896"/>
    <w:rsid w:val="00C248B6"/>
    <w:rsid w:val="00C248FC"/>
    <w:rsid w:val="00C249CD"/>
    <w:rsid w:val="00C24A4E"/>
    <w:rsid w:val="00C24A9F"/>
    <w:rsid w:val="00C24AEE"/>
    <w:rsid w:val="00C24BC9"/>
    <w:rsid w:val="00C24D47"/>
    <w:rsid w:val="00C24D6E"/>
    <w:rsid w:val="00C24DDC"/>
    <w:rsid w:val="00C24E55"/>
    <w:rsid w:val="00C24E82"/>
    <w:rsid w:val="00C24E91"/>
    <w:rsid w:val="00C24F0C"/>
    <w:rsid w:val="00C24F90"/>
    <w:rsid w:val="00C24F9E"/>
    <w:rsid w:val="00C24FFE"/>
    <w:rsid w:val="00C2513D"/>
    <w:rsid w:val="00C251DE"/>
    <w:rsid w:val="00C25A7A"/>
    <w:rsid w:val="00C25B75"/>
    <w:rsid w:val="00C25BB8"/>
    <w:rsid w:val="00C25EF6"/>
    <w:rsid w:val="00C25FBB"/>
    <w:rsid w:val="00C25FDF"/>
    <w:rsid w:val="00C26152"/>
    <w:rsid w:val="00C2618B"/>
    <w:rsid w:val="00C261D9"/>
    <w:rsid w:val="00C261E6"/>
    <w:rsid w:val="00C26426"/>
    <w:rsid w:val="00C2646B"/>
    <w:rsid w:val="00C26950"/>
    <w:rsid w:val="00C2698F"/>
    <w:rsid w:val="00C26AEF"/>
    <w:rsid w:val="00C26B1E"/>
    <w:rsid w:val="00C26CE5"/>
    <w:rsid w:val="00C26D2C"/>
    <w:rsid w:val="00C26D3E"/>
    <w:rsid w:val="00C27043"/>
    <w:rsid w:val="00C27160"/>
    <w:rsid w:val="00C27197"/>
    <w:rsid w:val="00C271EB"/>
    <w:rsid w:val="00C27245"/>
    <w:rsid w:val="00C272DB"/>
    <w:rsid w:val="00C272EB"/>
    <w:rsid w:val="00C273A1"/>
    <w:rsid w:val="00C273D3"/>
    <w:rsid w:val="00C27427"/>
    <w:rsid w:val="00C2760D"/>
    <w:rsid w:val="00C2768D"/>
    <w:rsid w:val="00C27992"/>
    <w:rsid w:val="00C27A2C"/>
    <w:rsid w:val="00C27C31"/>
    <w:rsid w:val="00C27CBD"/>
    <w:rsid w:val="00C27D35"/>
    <w:rsid w:val="00C27D3F"/>
    <w:rsid w:val="00C27DA4"/>
    <w:rsid w:val="00C27F4D"/>
    <w:rsid w:val="00C27F70"/>
    <w:rsid w:val="00C30179"/>
    <w:rsid w:val="00C30234"/>
    <w:rsid w:val="00C30297"/>
    <w:rsid w:val="00C302C8"/>
    <w:rsid w:val="00C304C3"/>
    <w:rsid w:val="00C3050A"/>
    <w:rsid w:val="00C3054B"/>
    <w:rsid w:val="00C30751"/>
    <w:rsid w:val="00C30834"/>
    <w:rsid w:val="00C3084C"/>
    <w:rsid w:val="00C30A48"/>
    <w:rsid w:val="00C30B45"/>
    <w:rsid w:val="00C30C38"/>
    <w:rsid w:val="00C30EEC"/>
    <w:rsid w:val="00C30F7B"/>
    <w:rsid w:val="00C31311"/>
    <w:rsid w:val="00C31440"/>
    <w:rsid w:val="00C31470"/>
    <w:rsid w:val="00C3148E"/>
    <w:rsid w:val="00C3189F"/>
    <w:rsid w:val="00C318A4"/>
    <w:rsid w:val="00C31976"/>
    <w:rsid w:val="00C319AD"/>
    <w:rsid w:val="00C31B13"/>
    <w:rsid w:val="00C31CE1"/>
    <w:rsid w:val="00C31E90"/>
    <w:rsid w:val="00C31F7D"/>
    <w:rsid w:val="00C32139"/>
    <w:rsid w:val="00C326A5"/>
    <w:rsid w:val="00C3284D"/>
    <w:rsid w:val="00C3287E"/>
    <w:rsid w:val="00C32888"/>
    <w:rsid w:val="00C331DB"/>
    <w:rsid w:val="00C333AA"/>
    <w:rsid w:val="00C3348C"/>
    <w:rsid w:val="00C33532"/>
    <w:rsid w:val="00C335A9"/>
    <w:rsid w:val="00C335DB"/>
    <w:rsid w:val="00C3363A"/>
    <w:rsid w:val="00C3365C"/>
    <w:rsid w:val="00C3369F"/>
    <w:rsid w:val="00C336F6"/>
    <w:rsid w:val="00C336F7"/>
    <w:rsid w:val="00C33A99"/>
    <w:rsid w:val="00C33C33"/>
    <w:rsid w:val="00C33CDD"/>
    <w:rsid w:val="00C33DDB"/>
    <w:rsid w:val="00C33E73"/>
    <w:rsid w:val="00C34051"/>
    <w:rsid w:val="00C3424A"/>
    <w:rsid w:val="00C342A4"/>
    <w:rsid w:val="00C342F2"/>
    <w:rsid w:val="00C343EE"/>
    <w:rsid w:val="00C34577"/>
    <w:rsid w:val="00C345A7"/>
    <w:rsid w:val="00C345C2"/>
    <w:rsid w:val="00C345C8"/>
    <w:rsid w:val="00C34697"/>
    <w:rsid w:val="00C348B0"/>
    <w:rsid w:val="00C34C86"/>
    <w:rsid w:val="00C34C90"/>
    <w:rsid w:val="00C34CB7"/>
    <w:rsid w:val="00C34D50"/>
    <w:rsid w:val="00C34ECD"/>
    <w:rsid w:val="00C34F01"/>
    <w:rsid w:val="00C350B2"/>
    <w:rsid w:val="00C35180"/>
    <w:rsid w:val="00C35208"/>
    <w:rsid w:val="00C3520A"/>
    <w:rsid w:val="00C35295"/>
    <w:rsid w:val="00C352FF"/>
    <w:rsid w:val="00C3539F"/>
    <w:rsid w:val="00C3541E"/>
    <w:rsid w:val="00C354F0"/>
    <w:rsid w:val="00C3552C"/>
    <w:rsid w:val="00C35559"/>
    <w:rsid w:val="00C358F3"/>
    <w:rsid w:val="00C35CF1"/>
    <w:rsid w:val="00C35D39"/>
    <w:rsid w:val="00C35DC9"/>
    <w:rsid w:val="00C35DD7"/>
    <w:rsid w:val="00C35EE3"/>
    <w:rsid w:val="00C35EEA"/>
    <w:rsid w:val="00C3605F"/>
    <w:rsid w:val="00C360F9"/>
    <w:rsid w:val="00C361BC"/>
    <w:rsid w:val="00C36738"/>
    <w:rsid w:val="00C36764"/>
    <w:rsid w:val="00C3683F"/>
    <w:rsid w:val="00C368DB"/>
    <w:rsid w:val="00C3690E"/>
    <w:rsid w:val="00C36B54"/>
    <w:rsid w:val="00C36EE2"/>
    <w:rsid w:val="00C36EED"/>
    <w:rsid w:val="00C37032"/>
    <w:rsid w:val="00C370DE"/>
    <w:rsid w:val="00C372E8"/>
    <w:rsid w:val="00C37554"/>
    <w:rsid w:val="00C377BF"/>
    <w:rsid w:val="00C377DF"/>
    <w:rsid w:val="00C378F0"/>
    <w:rsid w:val="00C3791F"/>
    <w:rsid w:val="00C3799F"/>
    <w:rsid w:val="00C37B47"/>
    <w:rsid w:val="00C37BC9"/>
    <w:rsid w:val="00C37C76"/>
    <w:rsid w:val="00C37D9C"/>
    <w:rsid w:val="00C37E74"/>
    <w:rsid w:val="00C37F2D"/>
    <w:rsid w:val="00C37F30"/>
    <w:rsid w:val="00C40033"/>
    <w:rsid w:val="00C400C9"/>
    <w:rsid w:val="00C4013E"/>
    <w:rsid w:val="00C40224"/>
    <w:rsid w:val="00C40275"/>
    <w:rsid w:val="00C40451"/>
    <w:rsid w:val="00C4046E"/>
    <w:rsid w:val="00C4050F"/>
    <w:rsid w:val="00C40A14"/>
    <w:rsid w:val="00C40B50"/>
    <w:rsid w:val="00C40B60"/>
    <w:rsid w:val="00C40BAE"/>
    <w:rsid w:val="00C40C4D"/>
    <w:rsid w:val="00C40D02"/>
    <w:rsid w:val="00C40D55"/>
    <w:rsid w:val="00C411BC"/>
    <w:rsid w:val="00C4136C"/>
    <w:rsid w:val="00C41407"/>
    <w:rsid w:val="00C414B3"/>
    <w:rsid w:val="00C41549"/>
    <w:rsid w:val="00C41656"/>
    <w:rsid w:val="00C416DB"/>
    <w:rsid w:val="00C4184C"/>
    <w:rsid w:val="00C41859"/>
    <w:rsid w:val="00C41924"/>
    <w:rsid w:val="00C41A15"/>
    <w:rsid w:val="00C41ACA"/>
    <w:rsid w:val="00C41AE2"/>
    <w:rsid w:val="00C41B33"/>
    <w:rsid w:val="00C41CC9"/>
    <w:rsid w:val="00C41D18"/>
    <w:rsid w:val="00C4234A"/>
    <w:rsid w:val="00C4237F"/>
    <w:rsid w:val="00C423D3"/>
    <w:rsid w:val="00C427F2"/>
    <w:rsid w:val="00C42895"/>
    <w:rsid w:val="00C428A9"/>
    <w:rsid w:val="00C42914"/>
    <w:rsid w:val="00C429CD"/>
    <w:rsid w:val="00C429D5"/>
    <w:rsid w:val="00C42A2D"/>
    <w:rsid w:val="00C42AD6"/>
    <w:rsid w:val="00C42B42"/>
    <w:rsid w:val="00C42DAF"/>
    <w:rsid w:val="00C42FB1"/>
    <w:rsid w:val="00C43094"/>
    <w:rsid w:val="00C43307"/>
    <w:rsid w:val="00C4342E"/>
    <w:rsid w:val="00C43447"/>
    <w:rsid w:val="00C43810"/>
    <w:rsid w:val="00C4386B"/>
    <w:rsid w:val="00C43956"/>
    <w:rsid w:val="00C439BF"/>
    <w:rsid w:val="00C439E0"/>
    <w:rsid w:val="00C43BF3"/>
    <w:rsid w:val="00C43C68"/>
    <w:rsid w:val="00C43C83"/>
    <w:rsid w:val="00C43CE3"/>
    <w:rsid w:val="00C43CE9"/>
    <w:rsid w:val="00C43D01"/>
    <w:rsid w:val="00C43D6F"/>
    <w:rsid w:val="00C43DB5"/>
    <w:rsid w:val="00C43ECE"/>
    <w:rsid w:val="00C43EEC"/>
    <w:rsid w:val="00C43F2A"/>
    <w:rsid w:val="00C43F5F"/>
    <w:rsid w:val="00C4408C"/>
    <w:rsid w:val="00C4422B"/>
    <w:rsid w:val="00C44244"/>
    <w:rsid w:val="00C443DB"/>
    <w:rsid w:val="00C4449C"/>
    <w:rsid w:val="00C44511"/>
    <w:rsid w:val="00C446F3"/>
    <w:rsid w:val="00C44809"/>
    <w:rsid w:val="00C4498B"/>
    <w:rsid w:val="00C44A29"/>
    <w:rsid w:val="00C44A5B"/>
    <w:rsid w:val="00C44E4A"/>
    <w:rsid w:val="00C4507B"/>
    <w:rsid w:val="00C4513B"/>
    <w:rsid w:val="00C45258"/>
    <w:rsid w:val="00C453E7"/>
    <w:rsid w:val="00C455C7"/>
    <w:rsid w:val="00C455CA"/>
    <w:rsid w:val="00C455FE"/>
    <w:rsid w:val="00C45613"/>
    <w:rsid w:val="00C456FF"/>
    <w:rsid w:val="00C45737"/>
    <w:rsid w:val="00C457CE"/>
    <w:rsid w:val="00C459D3"/>
    <w:rsid w:val="00C45B62"/>
    <w:rsid w:val="00C45BFF"/>
    <w:rsid w:val="00C45C92"/>
    <w:rsid w:val="00C45D1F"/>
    <w:rsid w:val="00C45D97"/>
    <w:rsid w:val="00C45F10"/>
    <w:rsid w:val="00C45FFB"/>
    <w:rsid w:val="00C46077"/>
    <w:rsid w:val="00C460A1"/>
    <w:rsid w:val="00C4619A"/>
    <w:rsid w:val="00C464AC"/>
    <w:rsid w:val="00C46508"/>
    <w:rsid w:val="00C46536"/>
    <w:rsid w:val="00C465B7"/>
    <w:rsid w:val="00C46787"/>
    <w:rsid w:val="00C46881"/>
    <w:rsid w:val="00C469A6"/>
    <w:rsid w:val="00C469DF"/>
    <w:rsid w:val="00C46BF0"/>
    <w:rsid w:val="00C46C79"/>
    <w:rsid w:val="00C46CE6"/>
    <w:rsid w:val="00C46D69"/>
    <w:rsid w:val="00C46EB0"/>
    <w:rsid w:val="00C46F42"/>
    <w:rsid w:val="00C46F7E"/>
    <w:rsid w:val="00C46F93"/>
    <w:rsid w:val="00C47066"/>
    <w:rsid w:val="00C4714D"/>
    <w:rsid w:val="00C471E7"/>
    <w:rsid w:val="00C471EF"/>
    <w:rsid w:val="00C4729F"/>
    <w:rsid w:val="00C473FC"/>
    <w:rsid w:val="00C47665"/>
    <w:rsid w:val="00C476B9"/>
    <w:rsid w:val="00C476DA"/>
    <w:rsid w:val="00C4783E"/>
    <w:rsid w:val="00C479B0"/>
    <w:rsid w:val="00C479E1"/>
    <w:rsid w:val="00C479EF"/>
    <w:rsid w:val="00C47A21"/>
    <w:rsid w:val="00C47A6E"/>
    <w:rsid w:val="00C47D17"/>
    <w:rsid w:val="00C47D43"/>
    <w:rsid w:val="00C47D84"/>
    <w:rsid w:val="00C47FD2"/>
    <w:rsid w:val="00C5001D"/>
    <w:rsid w:val="00C500BC"/>
    <w:rsid w:val="00C501A7"/>
    <w:rsid w:val="00C50302"/>
    <w:rsid w:val="00C5034E"/>
    <w:rsid w:val="00C5061A"/>
    <w:rsid w:val="00C50845"/>
    <w:rsid w:val="00C508CA"/>
    <w:rsid w:val="00C508CD"/>
    <w:rsid w:val="00C50B72"/>
    <w:rsid w:val="00C50F74"/>
    <w:rsid w:val="00C51196"/>
    <w:rsid w:val="00C511B0"/>
    <w:rsid w:val="00C513B7"/>
    <w:rsid w:val="00C513EC"/>
    <w:rsid w:val="00C514C7"/>
    <w:rsid w:val="00C51669"/>
    <w:rsid w:val="00C5169E"/>
    <w:rsid w:val="00C51715"/>
    <w:rsid w:val="00C518BB"/>
    <w:rsid w:val="00C51B2C"/>
    <w:rsid w:val="00C51BD6"/>
    <w:rsid w:val="00C51BE9"/>
    <w:rsid w:val="00C51CFE"/>
    <w:rsid w:val="00C51E28"/>
    <w:rsid w:val="00C51F4A"/>
    <w:rsid w:val="00C5206C"/>
    <w:rsid w:val="00C520B3"/>
    <w:rsid w:val="00C520B9"/>
    <w:rsid w:val="00C521A4"/>
    <w:rsid w:val="00C52517"/>
    <w:rsid w:val="00C525D8"/>
    <w:rsid w:val="00C52642"/>
    <w:rsid w:val="00C5282E"/>
    <w:rsid w:val="00C5285B"/>
    <w:rsid w:val="00C52B18"/>
    <w:rsid w:val="00C52D09"/>
    <w:rsid w:val="00C52D44"/>
    <w:rsid w:val="00C52EFF"/>
    <w:rsid w:val="00C53220"/>
    <w:rsid w:val="00C53289"/>
    <w:rsid w:val="00C53363"/>
    <w:rsid w:val="00C5341D"/>
    <w:rsid w:val="00C53561"/>
    <w:rsid w:val="00C535AE"/>
    <w:rsid w:val="00C535CE"/>
    <w:rsid w:val="00C539AE"/>
    <w:rsid w:val="00C539CB"/>
    <w:rsid w:val="00C53AE8"/>
    <w:rsid w:val="00C53D21"/>
    <w:rsid w:val="00C53F6A"/>
    <w:rsid w:val="00C53F8D"/>
    <w:rsid w:val="00C53F90"/>
    <w:rsid w:val="00C54042"/>
    <w:rsid w:val="00C540B5"/>
    <w:rsid w:val="00C540C5"/>
    <w:rsid w:val="00C540CE"/>
    <w:rsid w:val="00C54149"/>
    <w:rsid w:val="00C5420E"/>
    <w:rsid w:val="00C54315"/>
    <w:rsid w:val="00C545E7"/>
    <w:rsid w:val="00C546E4"/>
    <w:rsid w:val="00C5476E"/>
    <w:rsid w:val="00C549C9"/>
    <w:rsid w:val="00C54C3F"/>
    <w:rsid w:val="00C54C63"/>
    <w:rsid w:val="00C54D94"/>
    <w:rsid w:val="00C54E4E"/>
    <w:rsid w:val="00C54E5B"/>
    <w:rsid w:val="00C54E67"/>
    <w:rsid w:val="00C5503B"/>
    <w:rsid w:val="00C550BF"/>
    <w:rsid w:val="00C55248"/>
    <w:rsid w:val="00C5532E"/>
    <w:rsid w:val="00C553E6"/>
    <w:rsid w:val="00C55430"/>
    <w:rsid w:val="00C5579C"/>
    <w:rsid w:val="00C557EC"/>
    <w:rsid w:val="00C55C19"/>
    <w:rsid w:val="00C55F02"/>
    <w:rsid w:val="00C55FFA"/>
    <w:rsid w:val="00C560C5"/>
    <w:rsid w:val="00C562F7"/>
    <w:rsid w:val="00C56440"/>
    <w:rsid w:val="00C566EA"/>
    <w:rsid w:val="00C5678E"/>
    <w:rsid w:val="00C5679E"/>
    <w:rsid w:val="00C567CB"/>
    <w:rsid w:val="00C5685E"/>
    <w:rsid w:val="00C56A69"/>
    <w:rsid w:val="00C56A7C"/>
    <w:rsid w:val="00C56B03"/>
    <w:rsid w:val="00C56CC6"/>
    <w:rsid w:val="00C56E9D"/>
    <w:rsid w:val="00C56EA2"/>
    <w:rsid w:val="00C56F94"/>
    <w:rsid w:val="00C572CD"/>
    <w:rsid w:val="00C57306"/>
    <w:rsid w:val="00C57332"/>
    <w:rsid w:val="00C57398"/>
    <w:rsid w:val="00C5761B"/>
    <w:rsid w:val="00C5765E"/>
    <w:rsid w:val="00C5785B"/>
    <w:rsid w:val="00C57890"/>
    <w:rsid w:val="00C57976"/>
    <w:rsid w:val="00C57A58"/>
    <w:rsid w:val="00C57C5D"/>
    <w:rsid w:val="00C57D27"/>
    <w:rsid w:val="00C57E16"/>
    <w:rsid w:val="00C57E34"/>
    <w:rsid w:val="00C57F63"/>
    <w:rsid w:val="00C600AF"/>
    <w:rsid w:val="00C602BE"/>
    <w:rsid w:val="00C602E2"/>
    <w:rsid w:val="00C60459"/>
    <w:rsid w:val="00C604B8"/>
    <w:rsid w:val="00C6055A"/>
    <w:rsid w:val="00C60578"/>
    <w:rsid w:val="00C605EC"/>
    <w:rsid w:val="00C60666"/>
    <w:rsid w:val="00C6070E"/>
    <w:rsid w:val="00C609FF"/>
    <w:rsid w:val="00C60ACE"/>
    <w:rsid w:val="00C60C9D"/>
    <w:rsid w:val="00C60D43"/>
    <w:rsid w:val="00C60D93"/>
    <w:rsid w:val="00C60DA0"/>
    <w:rsid w:val="00C60FED"/>
    <w:rsid w:val="00C61073"/>
    <w:rsid w:val="00C611DF"/>
    <w:rsid w:val="00C6121B"/>
    <w:rsid w:val="00C612AF"/>
    <w:rsid w:val="00C6135D"/>
    <w:rsid w:val="00C61503"/>
    <w:rsid w:val="00C61ABC"/>
    <w:rsid w:val="00C61CC5"/>
    <w:rsid w:val="00C61CD9"/>
    <w:rsid w:val="00C61CEB"/>
    <w:rsid w:val="00C61D15"/>
    <w:rsid w:val="00C61EED"/>
    <w:rsid w:val="00C61F2A"/>
    <w:rsid w:val="00C6210F"/>
    <w:rsid w:val="00C6217E"/>
    <w:rsid w:val="00C621CB"/>
    <w:rsid w:val="00C622AF"/>
    <w:rsid w:val="00C62330"/>
    <w:rsid w:val="00C62368"/>
    <w:rsid w:val="00C62405"/>
    <w:rsid w:val="00C62414"/>
    <w:rsid w:val="00C624AC"/>
    <w:rsid w:val="00C624BE"/>
    <w:rsid w:val="00C6275D"/>
    <w:rsid w:val="00C627BF"/>
    <w:rsid w:val="00C629F0"/>
    <w:rsid w:val="00C63121"/>
    <w:rsid w:val="00C63262"/>
    <w:rsid w:val="00C63278"/>
    <w:rsid w:val="00C6332D"/>
    <w:rsid w:val="00C634C0"/>
    <w:rsid w:val="00C635A6"/>
    <w:rsid w:val="00C63750"/>
    <w:rsid w:val="00C637A9"/>
    <w:rsid w:val="00C637C0"/>
    <w:rsid w:val="00C638AE"/>
    <w:rsid w:val="00C63931"/>
    <w:rsid w:val="00C63ABF"/>
    <w:rsid w:val="00C63B60"/>
    <w:rsid w:val="00C63C0E"/>
    <w:rsid w:val="00C63C7E"/>
    <w:rsid w:val="00C63F8E"/>
    <w:rsid w:val="00C640BA"/>
    <w:rsid w:val="00C640D1"/>
    <w:rsid w:val="00C6448F"/>
    <w:rsid w:val="00C644A5"/>
    <w:rsid w:val="00C644B2"/>
    <w:rsid w:val="00C6456D"/>
    <w:rsid w:val="00C646E8"/>
    <w:rsid w:val="00C647B9"/>
    <w:rsid w:val="00C64A89"/>
    <w:rsid w:val="00C64A9D"/>
    <w:rsid w:val="00C64AF0"/>
    <w:rsid w:val="00C64B1A"/>
    <w:rsid w:val="00C64C05"/>
    <w:rsid w:val="00C64CB6"/>
    <w:rsid w:val="00C64CB9"/>
    <w:rsid w:val="00C64DF3"/>
    <w:rsid w:val="00C64E28"/>
    <w:rsid w:val="00C64E36"/>
    <w:rsid w:val="00C64E6C"/>
    <w:rsid w:val="00C64F60"/>
    <w:rsid w:val="00C650D6"/>
    <w:rsid w:val="00C6514E"/>
    <w:rsid w:val="00C652F3"/>
    <w:rsid w:val="00C65369"/>
    <w:rsid w:val="00C6576F"/>
    <w:rsid w:val="00C659A6"/>
    <w:rsid w:val="00C659E4"/>
    <w:rsid w:val="00C65A2E"/>
    <w:rsid w:val="00C65A6D"/>
    <w:rsid w:val="00C65CFD"/>
    <w:rsid w:val="00C65DA8"/>
    <w:rsid w:val="00C65EDD"/>
    <w:rsid w:val="00C65FD7"/>
    <w:rsid w:val="00C65FE6"/>
    <w:rsid w:val="00C6602A"/>
    <w:rsid w:val="00C66052"/>
    <w:rsid w:val="00C660A8"/>
    <w:rsid w:val="00C662B1"/>
    <w:rsid w:val="00C66322"/>
    <w:rsid w:val="00C663AB"/>
    <w:rsid w:val="00C66432"/>
    <w:rsid w:val="00C6678E"/>
    <w:rsid w:val="00C667C8"/>
    <w:rsid w:val="00C669EA"/>
    <w:rsid w:val="00C66A9D"/>
    <w:rsid w:val="00C66BA7"/>
    <w:rsid w:val="00C66C7D"/>
    <w:rsid w:val="00C66D0C"/>
    <w:rsid w:val="00C66DCB"/>
    <w:rsid w:val="00C671B2"/>
    <w:rsid w:val="00C671CB"/>
    <w:rsid w:val="00C6721D"/>
    <w:rsid w:val="00C6722E"/>
    <w:rsid w:val="00C6730C"/>
    <w:rsid w:val="00C67315"/>
    <w:rsid w:val="00C673C7"/>
    <w:rsid w:val="00C6745C"/>
    <w:rsid w:val="00C674A5"/>
    <w:rsid w:val="00C674E1"/>
    <w:rsid w:val="00C67529"/>
    <w:rsid w:val="00C67577"/>
    <w:rsid w:val="00C67838"/>
    <w:rsid w:val="00C679BE"/>
    <w:rsid w:val="00C67C2C"/>
    <w:rsid w:val="00C67D6C"/>
    <w:rsid w:val="00C7007D"/>
    <w:rsid w:val="00C705AC"/>
    <w:rsid w:val="00C705EE"/>
    <w:rsid w:val="00C70676"/>
    <w:rsid w:val="00C7082C"/>
    <w:rsid w:val="00C70931"/>
    <w:rsid w:val="00C709FE"/>
    <w:rsid w:val="00C70B89"/>
    <w:rsid w:val="00C70BBB"/>
    <w:rsid w:val="00C70C02"/>
    <w:rsid w:val="00C70CA3"/>
    <w:rsid w:val="00C70F2D"/>
    <w:rsid w:val="00C71017"/>
    <w:rsid w:val="00C71023"/>
    <w:rsid w:val="00C7102A"/>
    <w:rsid w:val="00C7106E"/>
    <w:rsid w:val="00C710D7"/>
    <w:rsid w:val="00C710F7"/>
    <w:rsid w:val="00C7113A"/>
    <w:rsid w:val="00C711F1"/>
    <w:rsid w:val="00C7131C"/>
    <w:rsid w:val="00C713CC"/>
    <w:rsid w:val="00C713EE"/>
    <w:rsid w:val="00C71420"/>
    <w:rsid w:val="00C71426"/>
    <w:rsid w:val="00C71476"/>
    <w:rsid w:val="00C7156A"/>
    <w:rsid w:val="00C71806"/>
    <w:rsid w:val="00C719A7"/>
    <w:rsid w:val="00C719B8"/>
    <w:rsid w:val="00C719BC"/>
    <w:rsid w:val="00C71B01"/>
    <w:rsid w:val="00C71E64"/>
    <w:rsid w:val="00C71EA8"/>
    <w:rsid w:val="00C71ED3"/>
    <w:rsid w:val="00C71F0F"/>
    <w:rsid w:val="00C720BF"/>
    <w:rsid w:val="00C72196"/>
    <w:rsid w:val="00C72364"/>
    <w:rsid w:val="00C72365"/>
    <w:rsid w:val="00C7292C"/>
    <w:rsid w:val="00C729B2"/>
    <w:rsid w:val="00C729DD"/>
    <w:rsid w:val="00C72B4B"/>
    <w:rsid w:val="00C72B60"/>
    <w:rsid w:val="00C72D90"/>
    <w:rsid w:val="00C72E1A"/>
    <w:rsid w:val="00C72E56"/>
    <w:rsid w:val="00C73027"/>
    <w:rsid w:val="00C730E8"/>
    <w:rsid w:val="00C7310E"/>
    <w:rsid w:val="00C7329D"/>
    <w:rsid w:val="00C732ED"/>
    <w:rsid w:val="00C7336D"/>
    <w:rsid w:val="00C735E8"/>
    <w:rsid w:val="00C736A6"/>
    <w:rsid w:val="00C7375C"/>
    <w:rsid w:val="00C73788"/>
    <w:rsid w:val="00C73792"/>
    <w:rsid w:val="00C738F5"/>
    <w:rsid w:val="00C739A2"/>
    <w:rsid w:val="00C73BE6"/>
    <w:rsid w:val="00C73CFE"/>
    <w:rsid w:val="00C73DEE"/>
    <w:rsid w:val="00C74160"/>
    <w:rsid w:val="00C7424F"/>
    <w:rsid w:val="00C7454B"/>
    <w:rsid w:val="00C7464B"/>
    <w:rsid w:val="00C747E1"/>
    <w:rsid w:val="00C747FA"/>
    <w:rsid w:val="00C74897"/>
    <w:rsid w:val="00C749A7"/>
    <w:rsid w:val="00C74C66"/>
    <w:rsid w:val="00C74D7D"/>
    <w:rsid w:val="00C74EEE"/>
    <w:rsid w:val="00C7502A"/>
    <w:rsid w:val="00C7502C"/>
    <w:rsid w:val="00C7503D"/>
    <w:rsid w:val="00C75046"/>
    <w:rsid w:val="00C75215"/>
    <w:rsid w:val="00C7524A"/>
    <w:rsid w:val="00C7548C"/>
    <w:rsid w:val="00C754F7"/>
    <w:rsid w:val="00C75658"/>
    <w:rsid w:val="00C756E5"/>
    <w:rsid w:val="00C757D5"/>
    <w:rsid w:val="00C75824"/>
    <w:rsid w:val="00C759B7"/>
    <w:rsid w:val="00C75A4B"/>
    <w:rsid w:val="00C75A60"/>
    <w:rsid w:val="00C75C22"/>
    <w:rsid w:val="00C75CC9"/>
    <w:rsid w:val="00C75E79"/>
    <w:rsid w:val="00C75F74"/>
    <w:rsid w:val="00C75F83"/>
    <w:rsid w:val="00C75FDF"/>
    <w:rsid w:val="00C7600C"/>
    <w:rsid w:val="00C7605B"/>
    <w:rsid w:val="00C7609E"/>
    <w:rsid w:val="00C762CD"/>
    <w:rsid w:val="00C765F0"/>
    <w:rsid w:val="00C76874"/>
    <w:rsid w:val="00C76B52"/>
    <w:rsid w:val="00C76C1C"/>
    <w:rsid w:val="00C76C6C"/>
    <w:rsid w:val="00C76DA0"/>
    <w:rsid w:val="00C76DC5"/>
    <w:rsid w:val="00C76F3E"/>
    <w:rsid w:val="00C77013"/>
    <w:rsid w:val="00C77017"/>
    <w:rsid w:val="00C7704E"/>
    <w:rsid w:val="00C772FF"/>
    <w:rsid w:val="00C77422"/>
    <w:rsid w:val="00C777B3"/>
    <w:rsid w:val="00C77857"/>
    <w:rsid w:val="00C778F9"/>
    <w:rsid w:val="00C779BB"/>
    <w:rsid w:val="00C77C3B"/>
    <w:rsid w:val="00C77DD1"/>
    <w:rsid w:val="00C77EB5"/>
    <w:rsid w:val="00C77EBD"/>
    <w:rsid w:val="00C77ED7"/>
    <w:rsid w:val="00C77FE4"/>
    <w:rsid w:val="00C8028D"/>
    <w:rsid w:val="00C803AF"/>
    <w:rsid w:val="00C803E1"/>
    <w:rsid w:val="00C804C2"/>
    <w:rsid w:val="00C805A6"/>
    <w:rsid w:val="00C80628"/>
    <w:rsid w:val="00C808A1"/>
    <w:rsid w:val="00C808DD"/>
    <w:rsid w:val="00C80A02"/>
    <w:rsid w:val="00C80B74"/>
    <w:rsid w:val="00C80CF3"/>
    <w:rsid w:val="00C80E46"/>
    <w:rsid w:val="00C81146"/>
    <w:rsid w:val="00C813B8"/>
    <w:rsid w:val="00C815AA"/>
    <w:rsid w:val="00C816F4"/>
    <w:rsid w:val="00C81746"/>
    <w:rsid w:val="00C818E7"/>
    <w:rsid w:val="00C819F4"/>
    <w:rsid w:val="00C81B0A"/>
    <w:rsid w:val="00C81BFD"/>
    <w:rsid w:val="00C81C7D"/>
    <w:rsid w:val="00C81CA8"/>
    <w:rsid w:val="00C81E2D"/>
    <w:rsid w:val="00C81E3C"/>
    <w:rsid w:val="00C821B8"/>
    <w:rsid w:val="00C82303"/>
    <w:rsid w:val="00C8238A"/>
    <w:rsid w:val="00C8243D"/>
    <w:rsid w:val="00C8263A"/>
    <w:rsid w:val="00C82922"/>
    <w:rsid w:val="00C82954"/>
    <w:rsid w:val="00C82ACA"/>
    <w:rsid w:val="00C82CA6"/>
    <w:rsid w:val="00C82DDD"/>
    <w:rsid w:val="00C83167"/>
    <w:rsid w:val="00C831DC"/>
    <w:rsid w:val="00C831F7"/>
    <w:rsid w:val="00C8324C"/>
    <w:rsid w:val="00C83275"/>
    <w:rsid w:val="00C83382"/>
    <w:rsid w:val="00C834C6"/>
    <w:rsid w:val="00C83715"/>
    <w:rsid w:val="00C8377D"/>
    <w:rsid w:val="00C8391A"/>
    <w:rsid w:val="00C83AA8"/>
    <w:rsid w:val="00C83AC5"/>
    <w:rsid w:val="00C83D81"/>
    <w:rsid w:val="00C83FFD"/>
    <w:rsid w:val="00C841E0"/>
    <w:rsid w:val="00C841E3"/>
    <w:rsid w:val="00C845A2"/>
    <w:rsid w:val="00C846DB"/>
    <w:rsid w:val="00C849CB"/>
    <w:rsid w:val="00C84AF6"/>
    <w:rsid w:val="00C84B7A"/>
    <w:rsid w:val="00C84DFC"/>
    <w:rsid w:val="00C84F11"/>
    <w:rsid w:val="00C84F42"/>
    <w:rsid w:val="00C8529E"/>
    <w:rsid w:val="00C85314"/>
    <w:rsid w:val="00C85592"/>
    <w:rsid w:val="00C855F3"/>
    <w:rsid w:val="00C856EA"/>
    <w:rsid w:val="00C85832"/>
    <w:rsid w:val="00C85971"/>
    <w:rsid w:val="00C859F9"/>
    <w:rsid w:val="00C85BA3"/>
    <w:rsid w:val="00C85E65"/>
    <w:rsid w:val="00C85FFD"/>
    <w:rsid w:val="00C8604B"/>
    <w:rsid w:val="00C861AE"/>
    <w:rsid w:val="00C863AD"/>
    <w:rsid w:val="00C86552"/>
    <w:rsid w:val="00C86606"/>
    <w:rsid w:val="00C866BC"/>
    <w:rsid w:val="00C869D2"/>
    <w:rsid w:val="00C86A9C"/>
    <w:rsid w:val="00C86AAA"/>
    <w:rsid w:val="00C86C0D"/>
    <w:rsid w:val="00C86E72"/>
    <w:rsid w:val="00C86EA0"/>
    <w:rsid w:val="00C86EB1"/>
    <w:rsid w:val="00C8707B"/>
    <w:rsid w:val="00C871D4"/>
    <w:rsid w:val="00C871E4"/>
    <w:rsid w:val="00C87495"/>
    <w:rsid w:val="00C87541"/>
    <w:rsid w:val="00C875B6"/>
    <w:rsid w:val="00C87690"/>
    <w:rsid w:val="00C876D4"/>
    <w:rsid w:val="00C87813"/>
    <w:rsid w:val="00C879DA"/>
    <w:rsid w:val="00C87AFC"/>
    <w:rsid w:val="00C87E2E"/>
    <w:rsid w:val="00C87E51"/>
    <w:rsid w:val="00C87F64"/>
    <w:rsid w:val="00C90082"/>
    <w:rsid w:val="00C9018C"/>
    <w:rsid w:val="00C901BA"/>
    <w:rsid w:val="00C901F4"/>
    <w:rsid w:val="00C90262"/>
    <w:rsid w:val="00C90363"/>
    <w:rsid w:val="00C90369"/>
    <w:rsid w:val="00C90443"/>
    <w:rsid w:val="00C905E7"/>
    <w:rsid w:val="00C90745"/>
    <w:rsid w:val="00C90897"/>
    <w:rsid w:val="00C908C2"/>
    <w:rsid w:val="00C908DA"/>
    <w:rsid w:val="00C90B39"/>
    <w:rsid w:val="00C90CE6"/>
    <w:rsid w:val="00C90D05"/>
    <w:rsid w:val="00C90D41"/>
    <w:rsid w:val="00C90DA8"/>
    <w:rsid w:val="00C90DB3"/>
    <w:rsid w:val="00C90F30"/>
    <w:rsid w:val="00C90F4A"/>
    <w:rsid w:val="00C91002"/>
    <w:rsid w:val="00C9129F"/>
    <w:rsid w:val="00C9130A"/>
    <w:rsid w:val="00C91500"/>
    <w:rsid w:val="00C91657"/>
    <w:rsid w:val="00C91691"/>
    <w:rsid w:val="00C91732"/>
    <w:rsid w:val="00C917DB"/>
    <w:rsid w:val="00C91A23"/>
    <w:rsid w:val="00C91A2E"/>
    <w:rsid w:val="00C91A59"/>
    <w:rsid w:val="00C91AF8"/>
    <w:rsid w:val="00C91B4B"/>
    <w:rsid w:val="00C91C12"/>
    <w:rsid w:val="00C91C61"/>
    <w:rsid w:val="00C91DC5"/>
    <w:rsid w:val="00C91E3A"/>
    <w:rsid w:val="00C920E0"/>
    <w:rsid w:val="00C92231"/>
    <w:rsid w:val="00C922EA"/>
    <w:rsid w:val="00C92305"/>
    <w:rsid w:val="00C923CC"/>
    <w:rsid w:val="00C924D6"/>
    <w:rsid w:val="00C92559"/>
    <w:rsid w:val="00C92775"/>
    <w:rsid w:val="00C92AF9"/>
    <w:rsid w:val="00C92B2B"/>
    <w:rsid w:val="00C92B30"/>
    <w:rsid w:val="00C92BCE"/>
    <w:rsid w:val="00C92CF5"/>
    <w:rsid w:val="00C92DBA"/>
    <w:rsid w:val="00C92F13"/>
    <w:rsid w:val="00C93063"/>
    <w:rsid w:val="00C930F9"/>
    <w:rsid w:val="00C93139"/>
    <w:rsid w:val="00C931C6"/>
    <w:rsid w:val="00C93231"/>
    <w:rsid w:val="00C93259"/>
    <w:rsid w:val="00C93310"/>
    <w:rsid w:val="00C93414"/>
    <w:rsid w:val="00C9343C"/>
    <w:rsid w:val="00C935DF"/>
    <w:rsid w:val="00C936E8"/>
    <w:rsid w:val="00C937D4"/>
    <w:rsid w:val="00C93A49"/>
    <w:rsid w:val="00C93BE5"/>
    <w:rsid w:val="00C93CBE"/>
    <w:rsid w:val="00C93D4E"/>
    <w:rsid w:val="00C93E2E"/>
    <w:rsid w:val="00C93EF6"/>
    <w:rsid w:val="00C93FFD"/>
    <w:rsid w:val="00C94006"/>
    <w:rsid w:val="00C940DE"/>
    <w:rsid w:val="00C9425E"/>
    <w:rsid w:val="00C9437A"/>
    <w:rsid w:val="00C945A8"/>
    <w:rsid w:val="00C9462B"/>
    <w:rsid w:val="00C946FE"/>
    <w:rsid w:val="00C94939"/>
    <w:rsid w:val="00C94CB8"/>
    <w:rsid w:val="00C94FEF"/>
    <w:rsid w:val="00C9507E"/>
    <w:rsid w:val="00C950FA"/>
    <w:rsid w:val="00C95487"/>
    <w:rsid w:val="00C95580"/>
    <w:rsid w:val="00C9561D"/>
    <w:rsid w:val="00C95904"/>
    <w:rsid w:val="00C95A47"/>
    <w:rsid w:val="00C95CE9"/>
    <w:rsid w:val="00C95D07"/>
    <w:rsid w:val="00C95F76"/>
    <w:rsid w:val="00C96121"/>
    <w:rsid w:val="00C961CD"/>
    <w:rsid w:val="00C96270"/>
    <w:rsid w:val="00C962B9"/>
    <w:rsid w:val="00C9644C"/>
    <w:rsid w:val="00C964AE"/>
    <w:rsid w:val="00C96772"/>
    <w:rsid w:val="00C9681E"/>
    <w:rsid w:val="00C9691D"/>
    <w:rsid w:val="00C969B7"/>
    <w:rsid w:val="00C96EA1"/>
    <w:rsid w:val="00C96EB0"/>
    <w:rsid w:val="00C97196"/>
    <w:rsid w:val="00C97212"/>
    <w:rsid w:val="00C9726D"/>
    <w:rsid w:val="00C9748C"/>
    <w:rsid w:val="00C974FD"/>
    <w:rsid w:val="00C97917"/>
    <w:rsid w:val="00C97A02"/>
    <w:rsid w:val="00C97B91"/>
    <w:rsid w:val="00C97D16"/>
    <w:rsid w:val="00C97D6B"/>
    <w:rsid w:val="00C97FBE"/>
    <w:rsid w:val="00CA005C"/>
    <w:rsid w:val="00CA03CE"/>
    <w:rsid w:val="00CA0480"/>
    <w:rsid w:val="00CA04E2"/>
    <w:rsid w:val="00CA0857"/>
    <w:rsid w:val="00CA0870"/>
    <w:rsid w:val="00CA0A8A"/>
    <w:rsid w:val="00CA0B8B"/>
    <w:rsid w:val="00CA0BF5"/>
    <w:rsid w:val="00CA0DA3"/>
    <w:rsid w:val="00CA0F70"/>
    <w:rsid w:val="00CA0FDA"/>
    <w:rsid w:val="00CA1097"/>
    <w:rsid w:val="00CA10B3"/>
    <w:rsid w:val="00CA12C5"/>
    <w:rsid w:val="00CA12CD"/>
    <w:rsid w:val="00CA146B"/>
    <w:rsid w:val="00CA14A7"/>
    <w:rsid w:val="00CA1879"/>
    <w:rsid w:val="00CA195F"/>
    <w:rsid w:val="00CA1DA1"/>
    <w:rsid w:val="00CA1DCB"/>
    <w:rsid w:val="00CA1E34"/>
    <w:rsid w:val="00CA2053"/>
    <w:rsid w:val="00CA2117"/>
    <w:rsid w:val="00CA222D"/>
    <w:rsid w:val="00CA239C"/>
    <w:rsid w:val="00CA23C5"/>
    <w:rsid w:val="00CA26B4"/>
    <w:rsid w:val="00CA28D3"/>
    <w:rsid w:val="00CA2A64"/>
    <w:rsid w:val="00CA2B65"/>
    <w:rsid w:val="00CA2D8E"/>
    <w:rsid w:val="00CA2EA9"/>
    <w:rsid w:val="00CA30C0"/>
    <w:rsid w:val="00CA3152"/>
    <w:rsid w:val="00CA3195"/>
    <w:rsid w:val="00CA3285"/>
    <w:rsid w:val="00CA32AC"/>
    <w:rsid w:val="00CA331A"/>
    <w:rsid w:val="00CA33C6"/>
    <w:rsid w:val="00CA3516"/>
    <w:rsid w:val="00CA364A"/>
    <w:rsid w:val="00CA366D"/>
    <w:rsid w:val="00CA3671"/>
    <w:rsid w:val="00CA37A7"/>
    <w:rsid w:val="00CA3971"/>
    <w:rsid w:val="00CA39E5"/>
    <w:rsid w:val="00CA3B02"/>
    <w:rsid w:val="00CA3BAA"/>
    <w:rsid w:val="00CA3C2D"/>
    <w:rsid w:val="00CA3C7C"/>
    <w:rsid w:val="00CA3CF3"/>
    <w:rsid w:val="00CA3F26"/>
    <w:rsid w:val="00CA4074"/>
    <w:rsid w:val="00CA4085"/>
    <w:rsid w:val="00CA41DE"/>
    <w:rsid w:val="00CA4396"/>
    <w:rsid w:val="00CA43DD"/>
    <w:rsid w:val="00CA4474"/>
    <w:rsid w:val="00CA4504"/>
    <w:rsid w:val="00CA455F"/>
    <w:rsid w:val="00CA4667"/>
    <w:rsid w:val="00CA46D6"/>
    <w:rsid w:val="00CA46EE"/>
    <w:rsid w:val="00CA493D"/>
    <w:rsid w:val="00CA49A7"/>
    <w:rsid w:val="00CA4A94"/>
    <w:rsid w:val="00CA4B4E"/>
    <w:rsid w:val="00CA4B66"/>
    <w:rsid w:val="00CA4B80"/>
    <w:rsid w:val="00CA4BC0"/>
    <w:rsid w:val="00CA4C01"/>
    <w:rsid w:val="00CA4C3B"/>
    <w:rsid w:val="00CA4D3F"/>
    <w:rsid w:val="00CA4DD6"/>
    <w:rsid w:val="00CA4E4F"/>
    <w:rsid w:val="00CA50A1"/>
    <w:rsid w:val="00CA51BC"/>
    <w:rsid w:val="00CA53DE"/>
    <w:rsid w:val="00CA54AF"/>
    <w:rsid w:val="00CA550E"/>
    <w:rsid w:val="00CA579F"/>
    <w:rsid w:val="00CA588B"/>
    <w:rsid w:val="00CA58AA"/>
    <w:rsid w:val="00CA58FF"/>
    <w:rsid w:val="00CA5943"/>
    <w:rsid w:val="00CA59A7"/>
    <w:rsid w:val="00CA5D60"/>
    <w:rsid w:val="00CA5E2F"/>
    <w:rsid w:val="00CA5F20"/>
    <w:rsid w:val="00CA5F42"/>
    <w:rsid w:val="00CA6081"/>
    <w:rsid w:val="00CA6117"/>
    <w:rsid w:val="00CA61C4"/>
    <w:rsid w:val="00CA629D"/>
    <w:rsid w:val="00CA6425"/>
    <w:rsid w:val="00CA663F"/>
    <w:rsid w:val="00CA6BCD"/>
    <w:rsid w:val="00CA6BDA"/>
    <w:rsid w:val="00CA6CE1"/>
    <w:rsid w:val="00CA6EAF"/>
    <w:rsid w:val="00CA6F7F"/>
    <w:rsid w:val="00CA71B1"/>
    <w:rsid w:val="00CA7341"/>
    <w:rsid w:val="00CA73BD"/>
    <w:rsid w:val="00CA749F"/>
    <w:rsid w:val="00CA7502"/>
    <w:rsid w:val="00CA754D"/>
    <w:rsid w:val="00CA7645"/>
    <w:rsid w:val="00CA7765"/>
    <w:rsid w:val="00CA778D"/>
    <w:rsid w:val="00CA7838"/>
    <w:rsid w:val="00CA7839"/>
    <w:rsid w:val="00CA7868"/>
    <w:rsid w:val="00CA7A45"/>
    <w:rsid w:val="00CA7A5E"/>
    <w:rsid w:val="00CA7BBA"/>
    <w:rsid w:val="00CA7C48"/>
    <w:rsid w:val="00CA7F1A"/>
    <w:rsid w:val="00CB01CF"/>
    <w:rsid w:val="00CB027D"/>
    <w:rsid w:val="00CB05D2"/>
    <w:rsid w:val="00CB07F1"/>
    <w:rsid w:val="00CB083F"/>
    <w:rsid w:val="00CB09C9"/>
    <w:rsid w:val="00CB0AEE"/>
    <w:rsid w:val="00CB0CEA"/>
    <w:rsid w:val="00CB0D6C"/>
    <w:rsid w:val="00CB0DD8"/>
    <w:rsid w:val="00CB0FE4"/>
    <w:rsid w:val="00CB108D"/>
    <w:rsid w:val="00CB109D"/>
    <w:rsid w:val="00CB1183"/>
    <w:rsid w:val="00CB13B8"/>
    <w:rsid w:val="00CB13EE"/>
    <w:rsid w:val="00CB154E"/>
    <w:rsid w:val="00CB168A"/>
    <w:rsid w:val="00CB17C7"/>
    <w:rsid w:val="00CB18E7"/>
    <w:rsid w:val="00CB194D"/>
    <w:rsid w:val="00CB1A6B"/>
    <w:rsid w:val="00CB1A94"/>
    <w:rsid w:val="00CB1B31"/>
    <w:rsid w:val="00CB1BC5"/>
    <w:rsid w:val="00CB1D35"/>
    <w:rsid w:val="00CB1DFE"/>
    <w:rsid w:val="00CB1E1D"/>
    <w:rsid w:val="00CB1EBD"/>
    <w:rsid w:val="00CB20F6"/>
    <w:rsid w:val="00CB22BD"/>
    <w:rsid w:val="00CB2311"/>
    <w:rsid w:val="00CB23ED"/>
    <w:rsid w:val="00CB2618"/>
    <w:rsid w:val="00CB28FA"/>
    <w:rsid w:val="00CB2A16"/>
    <w:rsid w:val="00CB2AEC"/>
    <w:rsid w:val="00CB2D4F"/>
    <w:rsid w:val="00CB2FDE"/>
    <w:rsid w:val="00CB310C"/>
    <w:rsid w:val="00CB31D0"/>
    <w:rsid w:val="00CB31D1"/>
    <w:rsid w:val="00CB32D9"/>
    <w:rsid w:val="00CB3315"/>
    <w:rsid w:val="00CB33E9"/>
    <w:rsid w:val="00CB359C"/>
    <w:rsid w:val="00CB3B23"/>
    <w:rsid w:val="00CB3E39"/>
    <w:rsid w:val="00CB3F39"/>
    <w:rsid w:val="00CB4190"/>
    <w:rsid w:val="00CB43A9"/>
    <w:rsid w:val="00CB4541"/>
    <w:rsid w:val="00CB463B"/>
    <w:rsid w:val="00CB4773"/>
    <w:rsid w:val="00CB484F"/>
    <w:rsid w:val="00CB48C7"/>
    <w:rsid w:val="00CB4993"/>
    <w:rsid w:val="00CB4ADF"/>
    <w:rsid w:val="00CB4B31"/>
    <w:rsid w:val="00CB4B3D"/>
    <w:rsid w:val="00CB4B9C"/>
    <w:rsid w:val="00CB4CAA"/>
    <w:rsid w:val="00CB5170"/>
    <w:rsid w:val="00CB52F3"/>
    <w:rsid w:val="00CB564B"/>
    <w:rsid w:val="00CB564D"/>
    <w:rsid w:val="00CB5671"/>
    <w:rsid w:val="00CB56DB"/>
    <w:rsid w:val="00CB574E"/>
    <w:rsid w:val="00CB5911"/>
    <w:rsid w:val="00CB5AF5"/>
    <w:rsid w:val="00CB5E44"/>
    <w:rsid w:val="00CB6140"/>
    <w:rsid w:val="00CB6190"/>
    <w:rsid w:val="00CB6352"/>
    <w:rsid w:val="00CB6368"/>
    <w:rsid w:val="00CB63D1"/>
    <w:rsid w:val="00CB64B7"/>
    <w:rsid w:val="00CB6513"/>
    <w:rsid w:val="00CB6769"/>
    <w:rsid w:val="00CB67E9"/>
    <w:rsid w:val="00CB688B"/>
    <w:rsid w:val="00CB6906"/>
    <w:rsid w:val="00CB6920"/>
    <w:rsid w:val="00CB69A7"/>
    <w:rsid w:val="00CB6C5C"/>
    <w:rsid w:val="00CB6C72"/>
    <w:rsid w:val="00CB6CC1"/>
    <w:rsid w:val="00CB6CD2"/>
    <w:rsid w:val="00CB6D2C"/>
    <w:rsid w:val="00CB6E2E"/>
    <w:rsid w:val="00CB6FD3"/>
    <w:rsid w:val="00CB7071"/>
    <w:rsid w:val="00CB7224"/>
    <w:rsid w:val="00CB75D3"/>
    <w:rsid w:val="00CB764C"/>
    <w:rsid w:val="00CB7680"/>
    <w:rsid w:val="00CB7726"/>
    <w:rsid w:val="00CB7811"/>
    <w:rsid w:val="00CB7880"/>
    <w:rsid w:val="00CB78E4"/>
    <w:rsid w:val="00CB7972"/>
    <w:rsid w:val="00CB79EE"/>
    <w:rsid w:val="00CB7CE9"/>
    <w:rsid w:val="00CB7E5A"/>
    <w:rsid w:val="00CB7F22"/>
    <w:rsid w:val="00CB7FA2"/>
    <w:rsid w:val="00CB7FAF"/>
    <w:rsid w:val="00CB7FF3"/>
    <w:rsid w:val="00CC0220"/>
    <w:rsid w:val="00CC0377"/>
    <w:rsid w:val="00CC03EC"/>
    <w:rsid w:val="00CC04DA"/>
    <w:rsid w:val="00CC0638"/>
    <w:rsid w:val="00CC0679"/>
    <w:rsid w:val="00CC0752"/>
    <w:rsid w:val="00CC07F0"/>
    <w:rsid w:val="00CC0814"/>
    <w:rsid w:val="00CC0A72"/>
    <w:rsid w:val="00CC0A74"/>
    <w:rsid w:val="00CC0B33"/>
    <w:rsid w:val="00CC0D27"/>
    <w:rsid w:val="00CC0D54"/>
    <w:rsid w:val="00CC12B7"/>
    <w:rsid w:val="00CC130A"/>
    <w:rsid w:val="00CC130B"/>
    <w:rsid w:val="00CC1312"/>
    <w:rsid w:val="00CC18B9"/>
    <w:rsid w:val="00CC1A39"/>
    <w:rsid w:val="00CC1D3D"/>
    <w:rsid w:val="00CC1D84"/>
    <w:rsid w:val="00CC1D93"/>
    <w:rsid w:val="00CC1FF5"/>
    <w:rsid w:val="00CC2017"/>
    <w:rsid w:val="00CC217E"/>
    <w:rsid w:val="00CC21FA"/>
    <w:rsid w:val="00CC235B"/>
    <w:rsid w:val="00CC237D"/>
    <w:rsid w:val="00CC2409"/>
    <w:rsid w:val="00CC241C"/>
    <w:rsid w:val="00CC2433"/>
    <w:rsid w:val="00CC2482"/>
    <w:rsid w:val="00CC2516"/>
    <w:rsid w:val="00CC272B"/>
    <w:rsid w:val="00CC2759"/>
    <w:rsid w:val="00CC2789"/>
    <w:rsid w:val="00CC293B"/>
    <w:rsid w:val="00CC29B6"/>
    <w:rsid w:val="00CC2A13"/>
    <w:rsid w:val="00CC2A4F"/>
    <w:rsid w:val="00CC2E9F"/>
    <w:rsid w:val="00CC304C"/>
    <w:rsid w:val="00CC3400"/>
    <w:rsid w:val="00CC3857"/>
    <w:rsid w:val="00CC387F"/>
    <w:rsid w:val="00CC38B4"/>
    <w:rsid w:val="00CC38CF"/>
    <w:rsid w:val="00CC39B7"/>
    <w:rsid w:val="00CC3A00"/>
    <w:rsid w:val="00CC3C76"/>
    <w:rsid w:val="00CC3D35"/>
    <w:rsid w:val="00CC4036"/>
    <w:rsid w:val="00CC409F"/>
    <w:rsid w:val="00CC412D"/>
    <w:rsid w:val="00CC420E"/>
    <w:rsid w:val="00CC430D"/>
    <w:rsid w:val="00CC4369"/>
    <w:rsid w:val="00CC43E9"/>
    <w:rsid w:val="00CC4444"/>
    <w:rsid w:val="00CC4532"/>
    <w:rsid w:val="00CC4614"/>
    <w:rsid w:val="00CC463D"/>
    <w:rsid w:val="00CC4755"/>
    <w:rsid w:val="00CC47D8"/>
    <w:rsid w:val="00CC4A10"/>
    <w:rsid w:val="00CC4AF0"/>
    <w:rsid w:val="00CC4D0E"/>
    <w:rsid w:val="00CC4E3F"/>
    <w:rsid w:val="00CC4FEA"/>
    <w:rsid w:val="00CC500D"/>
    <w:rsid w:val="00CC50B9"/>
    <w:rsid w:val="00CC50D5"/>
    <w:rsid w:val="00CC510B"/>
    <w:rsid w:val="00CC51AB"/>
    <w:rsid w:val="00CC559D"/>
    <w:rsid w:val="00CC56AC"/>
    <w:rsid w:val="00CC5926"/>
    <w:rsid w:val="00CC5BCB"/>
    <w:rsid w:val="00CC5BE4"/>
    <w:rsid w:val="00CC5C67"/>
    <w:rsid w:val="00CC5EDA"/>
    <w:rsid w:val="00CC5FB8"/>
    <w:rsid w:val="00CC5FE1"/>
    <w:rsid w:val="00CC6000"/>
    <w:rsid w:val="00CC6164"/>
    <w:rsid w:val="00CC61DC"/>
    <w:rsid w:val="00CC64AE"/>
    <w:rsid w:val="00CC6573"/>
    <w:rsid w:val="00CC66B3"/>
    <w:rsid w:val="00CC6837"/>
    <w:rsid w:val="00CC697C"/>
    <w:rsid w:val="00CC6AF7"/>
    <w:rsid w:val="00CC6E21"/>
    <w:rsid w:val="00CC6FBB"/>
    <w:rsid w:val="00CC7153"/>
    <w:rsid w:val="00CC7269"/>
    <w:rsid w:val="00CC727E"/>
    <w:rsid w:val="00CC73C4"/>
    <w:rsid w:val="00CC73F4"/>
    <w:rsid w:val="00CC7423"/>
    <w:rsid w:val="00CC7676"/>
    <w:rsid w:val="00CC7706"/>
    <w:rsid w:val="00CC7879"/>
    <w:rsid w:val="00CC788F"/>
    <w:rsid w:val="00CC7A33"/>
    <w:rsid w:val="00CC7AAB"/>
    <w:rsid w:val="00CC7ACF"/>
    <w:rsid w:val="00CC7C06"/>
    <w:rsid w:val="00CD005C"/>
    <w:rsid w:val="00CD012F"/>
    <w:rsid w:val="00CD015F"/>
    <w:rsid w:val="00CD039C"/>
    <w:rsid w:val="00CD04A7"/>
    <w:rsid w:val="00CD04EB"/>
    <w:rsid w:val="00CD052E"/>
    <w:rsid w:val="00CD0685"/>
    <w:rsid w:val="00CD0982"/>
    <w:rsid w:val="00CD0A90"/>
    <w:rsid w:val="00CD0B03"/>
    <w:rsid w:val="00CD0C14"/>
    <w:rsid w:val="00CD0DE4"/>
    <w:rsid w:val="00CD0FC0"/>
    <w:rsid w:val="00CD126A"/>
    <w:rsid w:val="00CD128F"/>
    <w:rsid w:val="00CD151A"/>
    <w:rsid w:val="00CD169A"/>
    <w:rsid w:val="00CD1741"/>
    <w:rsid w:val="00CD198C"/>
    <w:rsid w:val="00CD19C9"/>
    <w:rsid w:val="00CD1A40"/>
    <w:rsid w:val="00CD1A5F"/>
    <w:rsid w:val="00CD1A60"/>
    <w:rsid w:val="00CD1C2C"/>
    <w:rsid w:val="00CD1F7F"/>
    <w:rsid w:val="00CD2114"/>
    <w:rsid w:val="00CD2130"/>
    <w:rsid w:val="00CD2A41"/>
    <w:rsid w:val="00CD2AF0"/>
    <w:rsid w:val="00CD2B3B"/>
    <w:rsid w:val="00CD2B9E"/>
    <w:rsid w:val="00CD2E12"/>
    <w:rsid w:val="00CD2E98"/>
    <w:rsid w:val="00CD2EE8"/>
    <w:rsid w:val="00CD2F4C"/>
    <w:rsid w:val="00CD2F5D"/>
    <w:rsid w:val="00CD316B"/>
    <w:rsid w:val="00CD3215"/>
    <w:rsid w:val="00CD3520"/>
    <w:rsid w:val="00CD3816"/>
    <w:rsid w:val="00CD38C3"/>
    <w:rsid w:val="00CD395F"/>
    <w:rsid w:val="00CD39D2"/>
    <w:rsid w:val="00CD3A3E"/>
    <w:rsid w:val="00CD3A78"/>
    <w:rsid w:val="00CD3AE9"/>
    <w:rsid w:val="00CD40CA"/>
    <w:rsid w:val="00CD436F"/>
    <w:rsid w:val="00CD442F"/>
    <w:rsid w:val="00CD44DB"/>
    <w:rsid w:val="00CD4554"/>
    <w:rsid w:val="00CD4642"/>
    <w:rsid w:val="00CD46E4"/>
    <w:rsid w:val="00CD48B7"/>
    <w:rsid w:val="00CD497E"/>
    <w:rsid w:val="00CD4B3C"/>
    <w:rsid w:val="00CD4C06"/>
    <w:rsid w:val="00CD4C49"/>
    <w:rsid w:val="00CD4E25"/>
    <w:rsid w:val="00CD4EC6"/>
    <w:rsid w:val="00CD4F1C"/>
    <w:rsid w:val="00CD4F1E"/>
    <w:rsid w:val="00CD51BB"/>
    <w:rsid w:val="00CD52BE"/>
    <w:rsid w:val="00CD52F3"/>
    <w:rsid w:val="00CD53F4"/>
    <w:rsid w:val="00CD5474"/>
    <w:rsid w:val="00CD5588"/>
    <w:rsid w:val="00CD5625"/>
    <w:rsid w:val="00CD56AB"/>
    <w:rsid w:val="00CD56DA"/>
    <w:rsid w:val="00CD57B7"/>
    <w:rsid w:val="00CD592B"/>
    <w:rsid w:val="00CD5ABC"/>
    <w:rsid w:val="00CD5B5C"/>
    <w:rsid w:val="00CD5D3E"/>
    <w:rsid w:val="00CD5D64"/>
    <w:rsid w:val="00CD5DDB"/>
    <w:rsid w:val="00CD5E92"/>
    <w:rsid w:val="00CD5EE0"/>
    <w:rsid w:val="00CD5FE6"/>
    <w:rsid w:val="00CD6152"/>
    <w:rsid w:val="00CD61D6"/>
    <w:rsid w:val="00CD628B"/>
    <w:rsid w:val="00CD63AC"/>
    <w:rsid w:val="00CD645F"/>
    <w:rsid w:val="00CD6463"/>
    <w:rsid w:val="00CD654B"/>
    <w:rsid w:val="00CD6560"/>
    <w:rsid w:val="00CD6773"/>
    <w:rsid w:val="00CD6799"/>
    <w:rsid w:val="00CD68C1"/>
    <w:rsid w:val="00CD68D3"/>
    <w:rsid w:val="00CD695A"/>
    <w:rsid w:val="00CD6980"/>
    <w:rsid w:val="00CD698B"/>
    <w:rsid w:val="00CD6A15"/>
    <w:rsid w:val="00CD6A81"/>
    <w:rsid w:val="00CD6BD4"/>
    <w:rsid w:val="00CD6E97"/>
    <w:rsid w:val="00CD700C"/>
    <w:rsid w:val="00CD74EB"/>
    <w:rsid w:val="00CD752B"/>
    <w:rsid w:val="00CD75AA"/>
    <w:rsid w:val="00CD7C3E"/>
    <w:rsid w:val="00CD7D4D"/>
    <w:rsid w:val="00CD7E29"/>
    <w:rsid w:val="00CD7E4C"/>
    <w:rsid w:val="00CD7FCC"/>
    <w:rsid w:val="00CD7FD1"/>
    <w:rsid w:val="00CE0001"/>
    <w:rsid w:val="00CE0124"/>
    <w:rsid w:val="00CE01A0"/>
    <w:rsid w:val="00CE01BA"/>
    <w:rsid w:val="00CE02EB"/>
    <w:rsid w:val="00CE040C"/>
    <w:rsid w:val="00CE0515"/>
    <w:rsid w:val="00CE053F"/>
    <w:rsid w:val="00CE06FD"/>
    <w:rsid w:val="00CE075A"/>
    <w:rsid w:val="00CE07BC"/>
    <w:rsid w:val="00CE080C"/>
    <w:rsid w:val="00CE081E"/>
    <w:rsid w:val="00CE0899"/>
    <w:rsid w:val="00CE08F2"/>
    <w:rsid w:val="00CE09FB"/>
    <w:rsid w:val="00CE0A1A"/>
    <w:rsid w:val="00CE0CE8"/>
    <w:rsid w:val="00CE0D19"/>
    <w:rsid w:val="00CE0EF9"/>
    <w:rsid w:val="00CE1265"/>
    <w:rsid w:val="00CE12C3"/>
    <w:rsid w:val="00CE1501"/>
    <w:rsid w:val="00CE15B8"/>
    <w:rsid w:val="00CE1726"/>
    <w:rsid w:val="00CE1858"/>
    <w:rsid w:val="00CE18DD"/>
    <w:rsid w:val="00CE1907"/>
    <w:rsid w:val="00CE1955"/>
    <w:rsid w:val="00CE1C6A"/>
    <w:rsid w:val="00CE1CD7"/>
    <w:rsid w:val="00CE1DBB"/>
    <w:rsid w:val="00CE1F18"/>
    <w:rsid w:val="00CE1F34"/>
    <w:rsid w:val="00CE203D"/>
    <w:rsid w:val="00CE21F1"/>
    <w:rsid w:val="00CE223E"/>
    <w:rsid w:val="00CE2244"/>
    <w:rsid w:val="00CE246B"/>
    <w:rsid w:val="00CE24DB"/>
    <w:rsid w:val="00CE29AD"/>
    <w:rsid w:val="00CE2C4B"/>
    <w:rsid w:val="00CE2D56"/>
    <w:rsid w:val="00CE2D62"/>
    <w:rsid w:val="00CE2D82"/>
    <w:rsid w:val="00CE2E0D"/>
    <w:rsid w:val="00CE3030"/>
    <w:rsid w:val="00CE309C"/>
    <w:rsid w:val="00CE31C1"/>
    <w:rsid w:val="00CE31F1"/>
    <w:rsid w:val="00CE3402"/>
    <w:rsid w:val="00CE34F1"/>
    <w:rsid w:val="00CE3500"/>
    <w:rsid w:val="00CE3830"/>
    <w:rsid w:val="00CE3A28"/>
    <w:rsid w:val="00CE3B9A"/>
    <w:rsid w:val="00CE3D01"/>
    <w:rsid w:val="00CE3E06"/>
    <w:rsid w:val="00CE3F57"/>
    <w:rsid w:val="00CE3FD0"/>
    <w:rsid w:val="00CE40E7"/>
    <w:rsid w:val="00CE41D3"/>
    <w:rsid w:val="00CE424F"/>
    <w:rsid w:val="00CE438D"/>
    <w:rsid w:val="00CE43FE"/>
    <w:rsid w:val="00CE4697"/>
    <w:rsid w:val="00CE483E"/>
    <w:rsid w:val="00CE4896"/>
    <w:rsid w:val="00CE49CD"/>
    <w:rsid w:val="00CE4EB5"/>
    <w:rsid w:val="00CE4ED3"/>
    <w:rsid w:val="00CE4FB9"/>
    <w:rsid w:val="00CE5133"/>
    <w:rsid w:val="00CE53ED"/>
    <w:rsid w:val="00CE540E"/>
    <w:rsid w:val="00CE54DB"/>
    <w:rsid w:val="00CE5647"/>
    <w:rsid w:val="00CE56CC"/>
    <w:rsid w:val="00CE575F"/>
    <w:rsid w:val="00CE57D7"/>
    <w:rsid w:val="00CE583C"/>
    <w:rsid w:val="00CE5842"/>
    <w:rsid w:val="00CE593D"/>
    <w:rsid w:val="00CE59FF"/>
    <w:rsid w:val="00CE5ACA"/>
    <w:rsid w:val="00CE5B00"/>
    <w:rsid w:val="00CE5B0C"/>
    <w:rsid w:val="00CE5B59"/>
    <w:rsid w:val="00CE5CBA"/>
    <w:rsid w:val="00CE60CD"/>
    <w:rsid w:val="00CE6116"/>
    <w:rsid w:val="00CE6137"/>
    <w:rsid w:val="00CE6183"/>
    <w:rsid w:val="00CE61FD"/>
    <w:rsid w:val="00CE628E"/>
    <w:rsid w:val="00CE63E9"/>
    <w:rsid w:val="00CE63F3"/>
    <w:rsid w:val="00CE6447"/>
    <w:rsid w:val="00CE6498"/>
    <w:rsid w:val="00CE64F9"/>
    <w:rsid w:val="00CE65C9"/>
    <w:rsid w:val="00CE680A"/>
    <w:rsid w:val="00CE6928"/>
    <w:rsid w:val="00CE69FB"/>
    <w:rsid w:val="00CE6AB3"/>
    <w:rsid w:val="00CE6CCF"/>
    <w:rsid w:val="00CE6D22"/>
    <w:rsid w:val="00CE6E7B"/>
    <w:rsid w:val="00CE6EF2"/>
    <w:rsid w:val="00CE6F05"/>
    <w:rsid w:val="00CE6F3B"/>
    <w:rsid w:val="00CE71A7"/>
    <w:rsid w:val="00CE725A"/>
    <w:rsid w:val="00CE75EF"/>
    <w:rsid w:val="00CE7622"/>
    <w:rsid w:val="00CE77ED"/>
    <w:rsid w:val="00CE7946"/>
    <w:rsid w:val="00CE799E"/>
    <w:rsid w:val="00CE7B2D"/>
    <w:rsid w:val="00CE7B90"/>
    <w:rsid w:val="00CE7EED"/>
    <w:rsid w:val="00CF0357"/>
    <w:rsid w:val="00CF074F"/>
    <w:rsid w:val="00CF0960"/>
    <w:rsid w:val="00CF0A05"/>
    <w:rsid w:val="00CF0A41"/>
    <w:rsid w:val="00CF0AD2"/>
    <w:rsid w:val="00CF0C6A"/>
    <w:rsid w:val="00CF0DE0"/>
    <w:rsid w:val="00CF0E36"/>
    <w:rsid w:val="00CF10FF"/>
    <w:rsid w:val="00CF1404"/>
    <w:rsid w:val="00CF1497"/>
    <w:rsid w:val="00CF1538"/>
    <w:rsid w:val="00CF15D2"/>
    <w:rsid w:val="00CF1658"/>
    <w:rsid w:val="00CF16C4"/>
    <w:rsid w:val="00CF16F9"/>
    <w:rsid w:val="00CF1959"/>
    <w:rsid w:val="00CF19A9"/>
    <w:rsid w:val="00CF1A23"/>
    <w:rsid w:val="00CF1A47"/>
    <w:rsid w:val="00CF1B43"/>
    <w:rsid w:val="00CF1C47"/>
    <w:rsid w:val="00CF1C71"/>
    <w:rsid w:val="00CF1C7C"/>
    <w:rsid w:val="00CF1D05"/>
    <w:rsid w:val="00CF1E7B"/>
    <w:rsid w:val="00CF2007"/>
    <w:rsid w:val="00CF21F7"/>
    <w:rsid w:val="00CF21FF"/>
    <w:rsid w:val="00CF2346"/>
    <w:rsid w:val="00CF247C"/>
    <w:rsid w:val="00CF2813"/>
    <w:rsid w:val="00CF2963"/>
    <w:rsid w:val="00CF2B6E"/>
    <w:rsid w:val="00CF2E3F"/>
    <w:rsid w:val="00CF2E51"/>
    <w:rsid w:val="00CF307D"/>
    <w:rsid w:val="00CF313C"/>
    <w:rsid w:val="00CF313F"/>
    <w:rsid w:val="00CF32B1"/>
    <w:rsid w:val="00CF33D2"/>
    <w:rsid w:val="00CF3508"/>
    <w:rsid w:val="00CF350C"/>
    <w:rsid w:val="00CF3540"/>
    <w:rsid w:val="00CF3862"/>
    <w:rsid w:val="00CF393E"/>
    <w:rsid w:val="00CF39E3"/>
    <w:rsid w:val="00CF3A45"/>
    <w:rsid w:val="00CF3A8E"/>
    <w:rsid w:val="00CF3B94"/>
    <w:rsid w:val="00CF3C49"/>
    <w:rsid w:val="00CF3D53"/>
    <w:rsid w:val="00CF3D71"/>
    <w:rsid w:val="00CF411F"/>
    <w:rsid w:val="00CF4156"/>
    <w:rsid w:val="00CF4181"/>
    <w:rsid w:val="00CF41D0"/>
    <w:rsid w:val="00CF42FF"/>
    <w:rsid w:val="00CF43B1"/>
    <w:rsid w:val="00CF45FE"/>
    <w:rsid w:val="00CF4790"/>
    <w:rsid w:val="00CF4900"/>
    <w:rsid w:val="00CF4998"/>
    <w:rsid w:val="00CF4A3B"/>
    <w:rsid w:val="00CF4B32"/>
    <w:rsid w:val="00CF4BCF"/>
    <w:rsid w:val="00CF4D57"/>
    <w:rsid w:val="00CF4D70"/>
    <w:rsid w:val="00CF4ED3"/>
    <w:rsid w:val="00CF4F63"/>
    <w:rsid w:val="00CF500D"/>
    <w:rsid w:val="00CF5063"/>
    <w:rsid w:val="00CF5099"/>
    <w:rsid w:val="00CF536F"/>
    <w:rsid w:val="00CF5558"/>
    <w:rsid w:val="00CF55DC"/>
    <w:rsid w:val="00CF56D7"/>
    <w:rsid w:val="00CF571B"/>
    <w:rsid w:val="00CF574C"/>
    <w:rsid w:val="00CF57A7"/>
    <w:rsid w:val="00CF57DE"/>
    <w:rsid w:val="00CF5859"/>
    <w:rsid w:val="00CF5867"/>
    <w:rsid w:val="00CF5918"/>
    <w:rsid w:val="00CF5A13"/>
    <w:rsid w:val="00CF5AAE"/>
    <w:rsid w:val="00CF5B17"/>
    <w:rsid w:val="00CF5C2F"/>
    <w:rsid w:val="00CF5D94"/>
    <w:rsid w:val="00CF5F5A"/>
    <w:rsid w:val="00CF5FFF"/>
    <w:rsid w:val="00CF60B9"/>
    <w:rsid w:val="00CF6164"/>
    <w:rsid w:val="00CF61FE"/>
    <w:rsid w:val="00CF62C3"/>
    <w:rsid w:val="00CF6323"/>
    <w:rsid w:val="00CF6574"/>
    <w:rsid w:val="00CF6742"/>
    <w:rsid w:val="00CF67AB"/>
    <w:rsid w:val="00CF67FA"/>
    <w:rsid w:val="00CF68C3"/>
    <w:rsid w:val="00CF6B30"/>
    <w:rsid w:val="00CF6B7B"/>
    <w:rsid w:val="00CF6B8D"/>
    <w:rsid w:val="00CF6E7E"/>
    <w:rsid w:val="00CF6E93"/>
    <w:rsid w:val="00CF6EF7"/>
    <w:rsid w:val="00CF6F5B"/>
    <w:rsid w:val="00CF70E4"/>
    <w:rsid w:val="00CF725C"/>
    <w:rsid w:val="00CF7270"/>
    <w:rsid w:val="00CF73D5"/>
    <w:rsid w:val="00CF7631"/>
    <w:rsid w:val="00CF7674"/>
    <w:rsid w:val="00CF769D"/>
    <w:rsid w:val="00CF77FD"/>
    <w:rsid w:val="00CF79F0"/>
    <w:rsid w:val="00CF7A44"/>
    <w:rsid w:val="00CF7DE6"/>
    <w:rsid w:val="00CF7E87"/>
    <w:rsid w:val="00D000CA"/>
    <w:rsid w:val="00D0021B"/>
    <w:rsid w:val="00D002CD"/>
    <w:rsid w:val="00D00322"/>
    <w:rsid w:val="00D00464"/>
    <w:rsid w:val="00D00523"/>
    <w:rsid w:val="00D00666"/>
    <w:rsid w:val="00D0078A"/>
    <w:rsid w:val="00D007E0"/>
    <w:rsid w:val="00D00E40"/>
    <w:rsid w:val="00D00E74"/>
    <w:rsid w:val="00D00F36"/>
    <w:rsid w:val="00D010BA"/>
    <w:rsid w:val="00D01272"/>
    <w:rsid w:val="00D0129F"/>
    <w:rsid w:val="00D01329"/>
    <w:rsid w:val="00D0148A"/>
    <w:rsid w:val="00D01499"/>
    <w:rsid w:val="00D01629"/>
    <w:rsid w:val="00D01662"/>
    <w:rsid w:val="00D0177B"/>
    <w:rsid w:val="00D017A8"/>
    <w:rsid w:val="00D0180A"/>
    <w:rsid w:val="00D019F2"/>
    <w:rsid w:val="00D01A3E"/>
    <w:rsid w:val="00D01A41"/>
    <w:rsid w:val="00D01ABD"/>
    <w:rsid w:val="00D01BF7"/>
    <w:rsid w:val="00D01C88"/>
    <w:rsid w:val="00D01CAC"/>
    <w:rsid w:val="00D01E6E"/>
    <w:rsid w:val="00D01EF5"/>
    <w:rsid w:val="00D01EF6"/>
    <w:rsid w:val="00D02087"/>
    <w:rsid w:val="00D0212E"/>
    <w:rsid w:val="00D021E1"/>
    <w:rsid w:val="00D025B4"/>
    <w:rsid w:val="00D02611"/>
    <w:rsid w:val="00D027AF"/>
    <w:rsid w:val="00D0293D"/>
    <w:rsid w:val="00D02948"/>
    <w:rsid w:val="00D029AF"/>
    <w:rsid w:val="00D02A4E"/>
    <w:rsid w:val="00D02AB3"/>
    <w:rsid w:val="00D02D84"/>
    <w:rsid w:val="00D02D86"/>
    <w:rsid w:val="00D02E34"/>
    <w:rsid w:val="00D02E37"/>
    <w:rsid w:val="00D02F5E"/>
    <w:rsid w:val="00D0336A"/>
    <w:rsid w:val="00D0336C"/>
    <w:rsid w:val="00D03376"/>
    <w:rsid w:val="00D033E1"/>
    <w:rsid w:val="00D0342C"/>
    <w:rsid w:val="00D034C1"/>
    <w:rsid w:val="00D03524"/>
    <w:rsid w:val="00D0353B"/>
    <w:rsid w:val="00D035D6"/>
    <w:rsid w:val="00D03623"/>
    <w:rsid w:val="00D036F9"/>
    <w:rsid w:val="00D03762"/>
    <w:rsid w:val="00D037A8"/>
    <w:rsid w:val="00D038A9"/>
    <w:rsid w:val="00D03CB8"/>
    <w:rsid w:val="00D03EBF"/>
    <w:rsid w:val="00D03F82"/>
    <w:rsid w:val="00D03FFC"/>
    <w:rsid w:val="00D041D8"/>
    <w:rsid w:val="00D044EB"/>
    <w:rsid w:val="00D04519"/>
    <w:rsid w:val="00D04533"/>
    <w:rsid w:val="00D049B8"/>
    <w:rsid w:val="00D049FA"/>
    <w:rsid w:val="00D04A14"/>
    <w:rsid w:val="00D04A77"/>
    <w:rsid w:val="00D04A81"/>
    <w:rsid w:val="00D04AF3"/>
    <w:rsid w:val="00D04BC9"/>
    <w:rsid w:val="00D04C1C"/>
    <w:rsid w:val="00D04C96"/>
    <w:rsid w:val="00D04CC7"/>
    <w:rsid w:val="00D04D07"/>
    <w:rsid w:val="00D04FDF"/>
    <w:rsid w:val="00D05117"/>
    <w:rsid w:val="00D0538B"/>
    <w:rsid w:val="00D05459"/>
    <w:rsid w:val="00D0549E"/>
    <w:rsid w:val="00D054A1"/>
    <w:rsid w:val="00D05550"/>
    <w:rsid w:val="00D055EE"/>
    <w:rsid w:val="00D05631"/>
    <w:rsid w:val="00D0568E"/>
    <w:rsid w:val="00D05C82"/>
    <w:rsid w:val="00D05DC0"/>
    <w:rsid w:val="00D05E8F"/>
    <w:rsid w:val="00D06099"/>
    <w:rsid w:val="00D061CC"/>
    <w:rsid w:val="00D061E4"/>
    <w:rsid w:val="00D065BC"/>
    <w:rsid w:val="00D0667D"/>
    <w:rsid w:val="00D067B5"/>
    <w:rsid w:val="00D06838"/>
    <w:rsid w:val="00D06868"/>
    <w:rsid w:val="00D0689F"/>
    <w:rsid w:val="00D069A0"/>
    <w:rsid w:val="00D06B41"/>
    <w:rsid w:val="00D06C7C"/>
    <w:rsid w:val="00D06C93"/>
    <w:rsid w:val="00D06D81"/>
    <w:rsid w:val="00D06DAA"/>
    <w:rsid w:val="00D07026"/>
    <w:rsid w:val="00D071EB"/>
    <w:rsid w:val="00D075FC"/>
    <w:rsid w:val="00D07709"/>
    <w:rsid w:val="00D078DB"/>
    <w:rsid w:val="00D07976"/>
    <w:rsid w:val="00D07A6D"/>
    <w:rsid w:val="00D07ABB"/>
    <w:rsid w:val="00D07C56"/>
    <w:rsid w:val="00D07CE1"/>
    <w:rsid w:val="00D07F2D"/>
    <w:rsid w:val="00D07FA1"/>
    <w:rsid w:val="00D100C2"/>
    <w:rsid w:val="00D10112"/>
    <w:rsid w:val="00D10120"/>
    <w:rsid w:val="00D1024C"/>
    <w:rsid w:val="00D10292"/>
    <w:rsid w:val="00D10452"/>
    <w:rsid w:val="00D10C26"/>
    <w:rsid w:val="00D10F50"/>
    <w:rsid w:val="00D1109C"/>
    <w:rsid w:val="00D110D8"/>
    <w:rsid w:val="00D110FF"/>
    <w:rsid w:val="00D1110F"/>
    <w:rsid w:val="00D11173"/>
    <w:rsid w:val="00D11419"/>
    <w:rsid w:val="00D114F7"/>
    <w:rsid w:val="00D11735"/>
    <w:rsid w:val="00D1184A"/>
    <w:rsid w:val="00D119FA"/>
    <w:rsid w:val="00D11C82"/>
    <w:rsid w:val="00D11D03"/>
    <w:rsid w:val="00D11E55"/>
    <w:rsid w:val="00D11F92"/>
    <w:rsid w:val="00D12192"/>
    <w:rsid w:val="00D122AF"/>
    <w:rsid w:val="00D122CC"/>
    <w:rsid w:val="00D1243A"/>
    <w:rsid w:val="00D12468"/>
    <w:rsid w:val="00D125B3"/>
    <w:rsid w:val="00D12863"/>
    <w:rsid w:val="00D12881"/>
    <w:rsid w:val="00D128D2"/>
    <w:rsid w:val="00D12970"/>
    <w:rsid w:val="00D12B27"/>
    <w:rsid w:val="00D12B32"/>
    <w:rsid w:val="00D12C2F"/>
    <w:rsid w:val="00D12CE0"/>
    <w:rsid w:val="00D12D34"/>
    <w:rsid w:val="00D12DA5"/>
    <w:rsid w:val="00D12E3E"/>
    <w:rsid w:val="00D1300F"/>
    <w:rsid w:val="00D1313C"/>
    <w:rsid w:val="00D1313F"/>
    <w:rsid w:val="00D13325"/>
    <w:rsid w:val="00D13357"/>
    <w:rsid w:val="00D13577"/>
    <w:rsid w:val="00D136FE"/>
    <w:rsid w:val="00D137A6"/>
    <w:rsid w:val="00D13813"/>
    <w:rsid w:val="00D139B5"/>
    <w:rsid w:val="00D13A14"/>
    <w:rsid w:val="00D13A1B"/>
    <w:rsid w:val="00D13C3B"/>
    <w:rsid w:val="00D13C9B"/>
    <w:rsid w:val="00D13CF1"/>
    <w:rsid w:val="00D13E03"/>
    <w:rsid w:val="00D13E7A"/>
    <w:rsid w:val="00D13E9C"/>
    <w:rsid w:val="00D13F40"/>
    <w:rsid w:val="00D13FE2"/>
    <w:rsid w:val="00D14027"/>
    <w:rsid w:val="00D1431A"/>
    <w:rsid w:val="00D1436E"/>
    <w:rsid w:val="00D14416"/>
    <w:rsid w:val="00D144AB"/>
    <w:rsid w:val="00D144FB"/>
    <w:rsid w:val="00D14529"/>
    <w:rsid w:val="00D1454B"/>
    <w:rsid w:val="00D145F5"/>
    <w:rsid w:val="00D146CB"/>
    <w:rsid w:val="00D147A7"/>
    <w:rsid w:val="00D147C5"/>
    <w:rsid w:val="00D14967"/>
    <w:rsid w:val="00D149D1"/>
    <w:rsid w:val="00D14ABA"/>
    <w:rsid w:val="00D14B9E"/>
    <w:rsid w:val="00D14BF0"/>
    <w:rsid w:val="00D14E68"/>
    <w:rsid w:val="00D14F88"/>
    <w:rsid w:val="00D1506F"/>
    <w:rsid w:val="00D150A5"/>
    <w:rsid w:val="00D15190"/>
    <w:rsid w:val="00D153D8"/>
    <w:rsid w:val="00D153EF"/>
    <w:rsid w:val="00D15548"/>
    <w:rsid w:val="00D15685"/>
    <w:rsid w:val="00D158B6"/>
    <w:rsid w:val="00D15ADA"/>
    <w:rsid w:val="00D15BB6"/>
    <w:rsid w:val="00D15BED"/>
    <w:rsid w:val="00D15CB2"/>
    <w:rsid w:val="00D15DB4"/>
    <w:rsid w:val="00D15DC8"/>
    <w:rsid w:val="00D15EE5"/>
    <w:rsid w:val="00D16624"/>
    <w:rsid w:val="00D16A4F"/>
    <w:rsid w:val="00D16B7E"/>
    <w:rsid w:val="00D16BDD"/>
    <w:rsid w:val="00D16CA6"/>
    <w:rsid w:val="00D16D2F"/>
    <w:rsid w:val="00D16D3A"/>
    <w:rsid w:val="00D16E51"/>
    <w:rsid w:val="00D16F76"/>
    <w:rsid w:val="00D17069"/>
    <w:rsid w:val="00D1718D"/>
    <w:rsid w:val="00D171E4"/>
    <w:rsid w:val="00D17247"/>
    <w:rsid w:val="00D1731E"/>
    <w:rsid w:val="00D173DB"/>
    <w:rsid w:val="00D17474"/>
    <w:rsid w:val="00D17546"/>
    <w:rsid w:val="00D1770F"/>
    <w:rsid w:val="00D1783D"/>
    <w:rsid w:val="00D17941"/>
    <w:rsid w:val="00D17AD1"/>
    <w:rsid w:val="00D17AE9"/>
    <w:rsid w:val="00D17CC2"/>
    <w:rsid w:val="00D17D96"/>
    <w:rsid w:val="00D17F94"/>
    <w:rsid w:val="00D17FE0"/>
    <w:rsid w:val="00D200A7"/>
    <w:rsid w:val="00D200AA"/>
    <w:rsid w:val="00D2029A"/>
    <w:rsid w:val="00D202CC"/>
    <w:rsid w:val="00D204B7"/>
    <w:rsid w:val="00D20512"/>
    <w:rsid w:val="00D205F0"/>
    <w:rsid w:val="00D206A6"/>
    <w:rsid w:val="00D2071A"/>
    <w:rsid w:val="00D20792"/>
    <w:rsid w:val="00D207C1"/>
    <w:rsid w:val="00D2094C"/>
    <w:rsid w:val="00D20B6C"/>
    <w:rsid w:val="00D20BB9"/>
    <w:rsid w:val="00D20CA1"/>
    <w:rsid w:val="00D20E8A"/>
    <w:rsid w:val="00D20ECC"/>
    <w:rsid w:val="00D20F24"/>
    <w:rsid w:val="00D20F85"/>
    <w:rsid w:val="00D20FF5"/>
    <w:rsid w:val="00D21161"/>
    <w:rsid w:val="00D21186"/>
    <w:rsid w:val="00D2133E"/>
    <w:rsid w:val="00D21368"/>
    <w:rsid w:val="00D213D0"/>
    <w:rsid w:val="00D21442"/>
    <w:rsid w:val="00D21472"/>
    <w:rsid w:val="00D21542"/>
    <w:rsid w:val="00D215C2"/>
    <w:rsid w:val="00D216FB"/>
    <w:rsid w:val="00D21832"/>
    <w:rsid w:val="00D21A30"/>
    <w:rsid w:val="00D21B1F"/>
    <w:rsid w:val="00D21B5F"/>
    <w:rsid w:val="00D21C86"/>
    <w:rsid w:val="00D21E6D"/>
    <w:rsid w:val="00D21F57"/>
    <w:rsid w:val="00D2231E"/>
    <w:rsid w:val="00D2249A"/>
    <w:rsid w:val="00D226C1"/>
    <w:rsid w:val="00D227DF"/>
    <w:rsid w:val="00D22918"/>
    <w:rsid w:val="00D22972"/>
    <w:rsid w:val="00D22C1A"/>
    <w:rsid w:val="00D22E1B"/>
    <w:rsid w:val="00D22E84"/>
    <w:rsid w:val="00D22F39"/>
    <w:rsid w:val="00D22F45"/>
    <w:rsid w:val="00D23345"/>
    <w:rsid w:val="00D233FA"/>
    <w:rsid w:val="00D23463"/>
    <w:rsid w:val="00D23503"/>
    <w:rsid w:val="00D237C8"/>
    <w:rsid w:val="00D237E1"/>
    <w:rsid w:val="00D2383C"/>
    <w:rsid w:val="00D2391C"/>
    <w:rsid w:val="00D239B2"/>
    <w:rsid w:val="00D23AC5"/>
    <w:rsid w:val="00D23BCF"/>
    <w:rsid w:val="00D23C13"/>
    <w:rsid w:val="00D23E55"/>
    <w:rsid w:val="00D23E73"/>
    <w:rsid w:val="00D23F60"/>
    <w:rsid w:val="00D241DF"/>
    <w:rsid w:val="00D2469B"/>
    <w:rsid w:val="00D246AA"/>
    <w:rsid w:val="00D24745"/>
    <w:rsid w:val="00D24A45"/>
    <w:rsid w:val="00D24A8D"/>
    <w:rsid w:val="00D24AA2"/>
    <w:rsid w:val="00D24B14"/>
    <w:rsid w:val="00D24B94"/>
    <w:rsid w:val="00D24C9F"/>
    <w:rsid w:val="00D24DCC"/>
    <w:rsid w:val="00D24E45"/>
    <w:rsid w:val="00D24E53"/>
    <w:rsid w:val="00D24F1E"/>
    <w:rsid w:val="00D24FDE"/>
    <w:rsid w:val="00D25024"/>
    <w:rsid w:val="00D25077"/>
    <w:rsid w:val="00D250BE"/>
    <w:rsid w:val="00D25126"/>
    <w:rsid w:val="00D25294"/>
    <w:rsid w:val="00D252BC"/>
    <w:rsid w:val="00D252E9"/>
    <w:rsid w:val="00D25362"/>
    <w:rsid w:val="00D253B3"/>
    <w:rsid w:val="00D254DD"/>
    <w:rsid w:val="00D25639"/>
    <w:rsid w:val="00D256D6"/>
    <w:rsid w:val="00D257FF"/>
    <w:rsid w:val="00D2581E"/>
    <w:rsid w:val="00D25A27"/>
    <w:rsid w:val="00D25CC7"/>
    <w:rsid w:val="00D25CFB"/>
    <w:rsid w:val="00D25E75"/>
    <w:rsid w:val="00D25F38"/>
    <w:rsid w:val="00D25FCD"/>
    <w:rsid w:val="00D260E8"/>
    <w:rsid w:val="00D26250"/>
    <w:rsid w:val="00D2637D"/>
    <w:rsid w:val="00D263CE"/>
    <w:rsid w:val="00D26404"/>
    <w:rsid w:val="00D265D1"/>
    <w:rsid w:val="00D26633"/>
    <w:rsid w:val="00D26672"/>
    <w:rsid w:val="00D26710"/>
    <w:rsid w:val="00D26795"/>
    <w:rsid w:val="00D268BD"/>
    <w:rsid w:val="00D2690B"/>
    <w:rsid w:val="00D26ACB"/>
    <w:rsid w:val="00D26AF3"/>
    <w:rsid w:val="00D26EEE"/>
    <w:rsid w:val="00D26F67"/>
    <w:rsid w:val="00D26F91"/>
    <w:rsid w:val="00D270ED"/>
    <w:rsid w:val="00D2713A"/>
    <w:rsid w:val="00D271D1"/>
    <w:rsid w:val="00D27215"/>
    <w:rsid w:val="00D2739D"/>
    <w:rsid w:val="00D273F5"/>
    <w:rsid w:val="00D27434"/>
    <w:rsid w:val="00D27495"/>
    <w:rsid w:val="00D27559"/>
    <w:rsid w:val="00D27653"/>
    <w:rsid w:val="00D277B5"/>
    <w:rsid w:val="00D277D7"/>
    <w:rsid w:val="00D27A3B"/>
    <w:rsid w:val="00D27A87"/>
    <w:rsid w:val="00D27BA2"/>
    <w:rsid w:val="00D27C9D"/>
    <w:rsid w:val="00D27F5D"/>
    <w:rsid w:val="00D302EB"/>
    <w:rsid w:val="00D3042A"/>
    <w:rsid w:val="00D304B6"/>
    <w:rsid w:val="00D307B3"/>
    <w:rsid w:val="00D307D6"/>
    <w:rsid w:val="00D30902"/>
    <w:rsid w:val="00D30929"/>
    <w:rsid w:val="00D30B01"/>
    <w:rsid w:val="00D30BDE"/>
    <w:rsid w:val="00D30C28"/>
    <w:rsid w:val="00D30CA6"/>
    <w:rsid w:val="00D30CA8"/>
    <w:rsid w:val="00D30D06"/>
    <w:rsid w:val="00D30E80"/>
    <w:rsid w:val="00D30F51"/>
    <w:rsid w:val="00D31035"/>
    <w:rsid w:val="00D310AC"/>
    <w:rsid w:val="00D310D3"/>
    <w:rsid w:val="00D31541"/>
    <w:rsid w:val="00D3154F"/>
    <w:rsid w:val="00D317A4"/>
    <w:rsid w:val="00D3184A"/>
    <w:rsid w:val="00D318B2"/>
    <w:rsid w:val="00D31969"/>
    <w:rsid w:val="00D31AFA"/>
    <w:rsid w:val="00D31C0A"/>
    <w:rsid w:val="00D31CA7"/>
    <w:rsid w:val="00D31CC7"/>
    <w:rsid w:val="00D31D31"/>
    <w:rsid w:val="00D31EA6"/>
    <w:rsid w:val="00D3228D"/>
    <w:rsid w:val="00D3231C"/>
    <w:rsid w:val="00D324CB"/>
    <w:rsid w:val="00D3252F"/>
    <w:rsid w:val="00D3268A"/>
    <w:rsid w:val="00D3268D"/>
    <w:rsid w:val="00D326AD"/>
    <w:rsid w:val="00D3298F"/>
    <w:rsid w:val="00D3299B"/>
    <w:rsid w:val="00D32A59"/>
    <w:rsid w:val="00D32CBE"/>
    <w:rsid w:val="00D32D76"/>
    <w:rsid w:val="00D32EB7"/>
    <w:rsid w:val="00D33127"/>
    <w:rsid w:val="00D331B1"/>
    <w:rsid w:val="00D332DD"/>
    <w:rsid w:val="00D33319"/>
    <w:rsid w:val="00D33425"/>
    <w:rsid w:val="00D335BF"/>
    <w:rsid w:val="00D335CF"/>
    <w:rsid w:val="00D33618"/>
    <w:rsid w:val="00D336F3"/>
    <w:rsid w:val="00D336FC"/>
    <w:rsid w:val="00D33707"/>
    <w:rsid w:val="00D337A1"/>
    <w:rsid w:val="00D338A4"/>
    <w:rsid w:val="00D33914"/>
    <w:rsid w:val="00D33BF4"/>
    <w:rsid w:val="00D33EF4"/>
    <w:rsid w:val="00D34044"/>
    <w:rsid w:val="00D3415E"/>
    <w:rsid w:val="00D3423E"/>
    <w:rsid w:val="00D3447D"/>
    <w:rsid w:val="00D3453C"/>
    <w:rsid w:val="00D3475E"/>
    <w:rsid w:val="00D3478D"/>
    <w:rsid w:val="00D34A60"/>
    <w:rsid w:val="00D34B0E"/>
    <w:rsid w:val="00D34BD3"/>
    <w:rsid w:val="00D34C21"/>
    <w:rsid w:val="00D34D24"/>
    <w:rsid w:val="00D34DCA"/>
    <w:rsid w:val="00D34DFF"/>
    <w:rsid w:val="00D34EE0"/>
    <w:rsid w:val="00D34FD8"/>
    <w:rsid w:val="00D350C8"/>
    <w:rsid w:val="00D35147"/>
    <w:rsid w:val="00D3549D"/>
    <w:rsid w:val="00D35550"/>
    <w:rsid w:val="00D355F0"/>
    <w:rsid w:val="00D355F1"/>
    <w:rsid w:val="00D35829"/>
    <w:rsid w:val="00D358B4"/>
    <w:rsid w:val="00D35A20"/>
    <w:rsid w:val="00D35A26"/>
    <w:rsid w:val="00D35AAC"/>
    <w:rsid w:val="00D35B79"/>
    <w:rsid w:val="00D35C58"/>
    <w:rsid w:val="00D35E50"/>
    <w:rsid w:val="00D35F96"/>
    <w:rsid w:val="00D3601C"/>
    <w:rsid w:val="00D36311"/>
    <w:rsid w:val="00D36402"/>
    <w:rsid w:val="00D36616"/>
    <w:rsid w:val="00D36707"/>
    <w:rsid w:val="00D3671A"/>
    <w:rsid w:val="00D368BD"/>
    <w:rsid w:val="00D36930"/>
    <w:rsid w:val="00D369B8"/>
    <w:rsid w:val="00D36A27"/>
    <w:rsid w:val="00D36E6D"/>
    <w:rsid w:val="00D36EBD"/>
    <w:rsid w:val="00D36FD7"/>
    <w:rsid w:val="00D37027"/>
    <w:rsid w:val="00D37083"/>
    <w:rsid w:val="00D3708C"/>
    <w:rsid w:val="00D37124"/>
    <w:rsid w:val="00D37274"/>
    <w:rsid w:val="00D37565"/>
    <w:rsid w:val="00D376D7"/>
    <w:rsid w:val="00D37839"/>
    <w:rsid w:val="00D37A44"/>
    <w:rsid w:val="00D37D51"/>
    <w:rsid w:val="00D37D6A"/>
    <w:rsid w:val="00D37E9C"/>
    <w:rsid w:val="00D37EF6"/>
    <w:rsid w:val="00D37F6E"/>
    <w:rsid w:val="00D40071"/>
    <w:rsid w:val="00D402F9"/>
    <w:rsid w:val="00D403E6"/>
    <w:rsid w:val="00D40418"/>
    <w:rsid w:val="00D4085A"/>
    <w:rsid w:val="00D4088A"/>
    <w:rsid w:val="00D40A80"/>
    <w:rsid w:val="00D40A99"/>
    <w:rsid w:val="00D40ADC"/>
    <w:rsid w:val="00D40CB0"/>
    <w:rsid w:val="00D41228"/>
    <w:rsid w:val="00D41362"/>
    <w:rsid w:val="00D415FC"/>
    <w:rsid w:val="00D41657"/>
    <w:rsid w:val="00D4177D"/>
    <w:rsid w:val="00D4179F"/>
    <w:rsid w:val="00D41828"/>
    <w:rsid w:val="00D4182F"/>
    <w:rsid w:val="00D41895"/>
    <w:rsid w:val="00D41903"/>
    <w:rsid w:val="00D41913"/>
    <w:rsid w:val="00D41972"/>
    <w:rsid w:val="00D4199A"/>
    <w:rsid w:val="00D41B2F"/>
    <w:rsid w:val="00D41B79"/>
    <w:rsid w:val="00D41CB5"/>
    <w:rsid w:val="00D41D8E"/>
    <w:rsid w:val="00D41E2A"/>
    <w:rsid w:val="00D41E52"/>
    <w:rsid w:val="00D41EEC"/>
    <w:rsid w:val="00D41F44"/>
    <w:rsid w:val="00D41F5A"/>
    <w:rsid w:val="00D41F8C"/>
    <w:rsid w:val="00D41F91"/>
    <w:rsid w:val="00D42416"/>
    <w:rsid w:val="00D425AC"/>
    <w:rsid w:val="00D42696"/>
    <w:rsid w:val="00D426C8"/>
    <w:rsid w:val="00D428E5"/>
    <w:rsid w:val="00D42B0B"/>
    <w:rsid w:val="00D42B8A"/>
    <w:rsid w:val="00D42C4C"/>
    <w:rsid w:val="00D42D6F"/>
    <w:rsid w:val="00D42F7A"/>
    <w:rsid w:val="00D43215"/>
    <w:rsid w:val="00D43305"/>
    <w:rsid w:val="00D4332B"/>
    <w:rsid w:val="00D4395F"/>
    <w:rsid w:val="00D439A6"/>
    <w:rsid w:val="00D43B39"/>
    <w:rsid w:val="00D43F20"/>
    <w:rsid w:val="00D43F58"/>
    <w:rsid w:val="00D4413A"/>
    <w:rsid w:val="00D442A5"/>
    <w:rsid w:val="00D44496"/>
    <w:rsid w:val="00D44662"/>
    <w:rsid w:val="00D44676"/>
    <w:rsid w:val="00D4476D"/>
    <w:rsid w:val="00D44A82"/>
    <w:rsid w:val="00D44CB7"/>
    <w:rsid w:val="00D44CDF"/>
    <w:rsid w:val="00D44CE8"/>
    <w:rsid w:val="00D44ED3"/>
    <w:rsid w:val="00D44EDC"/>
    <w:rsid w:val="00D44F9B"/>
    <w:rsid w:val="00D453BE"/>
    <w:rsid w:val="00D454F3"/>
    <w:rsid w:val="00D455D3"/>
    <w:rsid w:val="00D45632"/>
    <w:rsid w:val="00D45724"/>
    <w:rsid w:val="00D457F0"/>
    <w:rsid w:val="00D45846"/>
    <w:rsid w:val="00D458A8"/>
    <w:rsid w:val="00D45AF8"/>
    <w:rsid w:val="00D45C31"/>
    <w:rsid w:val="00D45CE9"/>
    <w:rsid w:val="00D45DB5"/>
    <w:rsid w:val="00D4606F"/>
    <w:rsid w:val="00D460CA"/>
    <w:rsid w:val="00D463B4"/>
    <w:rsid w:val="00D4642D"/>
    <w:rsid w:val="00D46634"/>
    <w:rsid w:val="00D466F7"/>
    <w:rsid w:val="00D46BB5"/>
    <w:rsid w:val="00D46BDA"/>
    <w:rsid w:val="00D46E25"/>
    <w:rsid w:val="00D46E99"/>
    <w:rsid w:val="00D474B2"/>
    <w:rsid w:val="00D474C0"/>
    <w:rsid w:val="00D47544"/>
    <w:rsid w:val="00D47715"/>
    <w:rsid w:val="00D47749"/>
    <w:rsid w:val="00D47975"/>
    <w:rsid w:val="00D479AA"/>
    <w:rsid w:val="00D47A5D"/>
    <w:rsid w:val="00D47B36"/>
    <w:rsid w:val="00D47B98"/>
    <w:rsid w:val="00D47C1D"/>
    <w:rsid w:val="00D47C8D"/>
    <w:rsid w:val="00D47DF2"/>
    <w:rsid w:val="00D47F31"/>
    <w:rsid w:val="00D5011E"/>
    <w:rsid w:val="00D5046F"/>
    <w:rsid w:val="00D50476"/>
    <w:rsid w:val="00D50525"/>
    <w:rsid w:val="00D505E9"/>
    <w:rsid w:val="00D50609"/>
    <w:rsid w:val="00D50861"/>
    <w:rsid w:val="00D508B2"/>
    <w:rsid w:val="00D50940"/>
    <w:rsid w:val="00D50A00"/>
    <w:rsid w:val="00D50B5E"/>
    <w:rsid w:val="00D50F36"/>
    <w:rsid w:val="00D5101F"/>
    <w:rsid w:val="00D5114F"/>
    <w:rsid w:val="00D516EB"/>
    <w:rsid w:val="00D51930"/>
    <w:rsid w:val="00D51A52"/>
    <w:rsid w:val="00D51B46"/>
    <w:rsid w:val="00D51C05"/>
    <w:rsid w:val="00D51C58"/>
    <w:rsid w:val="00D51D5A"/>
    <w:rsid w:val="00D51E6A"/>
    <w:rsid w:val="00D5203E"/>
    <w:rsid w:val="00D521B0"/>
    <w:rsid w:val="00D52226"/>
    <w:rsid w:val="00D522C2"/>
    <w:rsid w:val="00D523EE"/>
    <w:rsid w:val="00D52467"/>
    <w:rsid w:val="00D5247C"/>
    <w:rsid w:val="00D52562"/>
    <w:rsid w:val="00D52657"/>
    <w:rsid w:val="00D52702"/>
    <w:rsid w:val="00D5272D"/>
    <w:rsid w:val="00D528C9"/>
    <w:rsid w:val="00D52996"/>
    <w:rsid w:val="00D529EA"/>
    <w:rsid w:val="00D529EF"/>
    <w:rsid w:val="00D52CF6"/>
    <w:rsid w:val="00D52DB8"/>
    <w:rsid w:val="00D52FD1"/>
    <w:rsid w:val="00D53022"/>
    <w:rsid w:val="00D53094"/>
    <w:rsid w:val="00D530ED"/>
    <w:rsid w:val="00D53140"/>
    <w:rsid w:val="00D5320D"/>
    <w:rsid w:val="00D53376"/>
    <w:rsid w:val="00D535CF"/>
    <w:rsid w:val="00D53638"/>
    <w:rsid w:val="00D5367D"/>
    <w:rsid w:val="00D536CE"/>
    <w:rsid w:val="00D537DF"/>
    <w:rsid w:val="00D53805"/>
    <w:rsid w:val="00D53B51"/>
    <w:rsid w:val="00D53C00"/>
    <w:rsid w:val="00D53DB5"/>
    <w:rsid w:val="00D53F0C"/>
    <w:rsid w:val="00D53F65"/>
    <w:rsid w:val="00D53FFA"/>
    <w:rsid w:val="00D5413F"/>
    <w:rsid w:val="00D5447E"/>
    <w:rsid w:val="00D5453D"/>
    <w:rsid w:val="00D545E4"/>
    <w:rsid w:val="00D54820"/>
    <w:rsid w:val="00D5488D"/>
    <w:rsid w:val="00D54BDB"/>
    <w:rsid w:val="00D54CC5"/>
    <w:rsid w:val="00D54F8A"/>
    <w:rsid w:val="00D55037"/>
    <w:rsid w:val="00D55048"/>
    <w:rsid w:val="00D552F7"/>
    <w:rsid w:val="00D55375"/>
    <w:rsid w:val="00D55489"/>
    <w:rsid w:val="00D5559B"/>
    <w:rsid w:val="00D55A78"/>
    <w:rsid w:val="00D55C9B"/>
    <w:rsid w:val="00D55CC4"/>
    <w:rsid w:val="00D55D52"/>
    <w:rsid w:val="00D55D68"/>
    <w:rsid w:val="00D55DB7"/>
    <w:rsid w:val="00D55DBA"/>
    <w:rsid w:val="00D55E8E"/>
    <w:rsid w:val="00D5603D"/>
    <w:rsid w:val="00D561D2"/>
    <w:rsid w:val="00D561DD"/>
    <w:rsid w:val="00D5654D"/>
    <w:rsid w:val="00D565E0"/>
    <w:rsid w:val="00D5686D"/>
    <w:rsid w:val="00D568FA"/>
    <w:rsid w:val="00D56DB6"/>
    <w:rsid w:val="00D56F15"/>
    <w:rsid w:val="00D56F43"/>
    <w:rsid w:val="00D56FB6"/>
    <w:rsid w:val="00D56FEE"/>
    <w:rsid w:val="00D57002"/>
    <w:rsid w:val="00D57022"/>
    <w:rsid w:val="00D57088"/>
    <w:rsid w:val="00D57090"/>
    <w:rsid w:val="00D57096"/>
    <w:rsid w:val="00D571DB"/>
    <w:rsid w:val="00D571DC"/>
    <w:rsid w:val="00D576A5"/>
    <w:rsid w:val="00D57813"/>
    <w:rsid w:val="00D57817"/>
    <w:rsid w:val="00D57845"/>
    <w:rsid w:val="00D57866"/>
    <w:rsid w:val="00D57974"/>
    <w:rsid w:val="00D57A8D"/>
    <w:rsid w:val="00D57CBE"/>
    <w:rsid w:val="00D57D4A"/>
    <w:rsid w:val="00D57D88"/>
    <w:rsid w:val="00D60003"/>
    <w:rsid w:val="00D60216"/>
    <w:rsid w:val="00D603E6"/>
    <w:rsid w:val="00D6047A"/>
    <w:rsid w:val="00D605BB"/>
    <w:rsid w:val="00D60985"/>
    <w:rsid w:val="00D609CE"/>
    <w:rsid w:val="00D60B57"/>
    <w:rsid w:val="00D60BD4"/>
    <w:rsid w:val="00D60CE4"/>
    <w:rsid w:val="00D60D12"/>
    <w:rsid w:val="00D60EC9"/>
    <w:rsid w:val="00D60F15"/>
    <w:rsid w:val="00D6107B"/>
    <w:rsid w:val="00D610CE"/>
    <w:rsid w:val="00D610E0"/>
    <w:rsid w:val="00D610FD"/>
    <w:rsid w:val="00D61158"/>
    <w:rsid w:val="00D61194"/>
    <w:rsid w:val="00D6127B"/>
    <w:rsid w:val="00D6129B"/>
    <w:rsid w:val="00D61497"/>
    <w:rsid w:val="00D61507"/>
    <w:rsid w:val="00D615E3"/>
    <w:rsid w:val="00D615E7"/>
    <w:rsid w:val="00D615EA"/>
    <w:rsid w:val="00D61634"/>
    <w:rsid w:val="00D6185D"/>
    <w:rsid w:val="00D618C4"/>
    <w:rsid w:val="00D619C1"/>
    <w:rsid w:val="00D61B79"/>
    <w:rsid w:val="00D61FA4"/>
    <w:rsid w:val="00D61FE5"/>
    <w:rsid w:val="00D620E4"/>
    <w:rsid w:val="00D622F1"/>
    <w:rsid w:val="00D623D5"/>
    <w:rsid w:val="00D62431"/>
    <w:rsid w:val="00D62603"/>
    <w:rsid w:val="00D62613"/>
    <w:rsid w:val="00D62669"/>
    <w:rsid w:val="00D6285B"/>
    <w:rsid w:val="00D628B2"/>
    <w:rsid w:val="00D6291F"/>
    <w:rsid w:val="00D62A05"/>
    <w:rsid w:val="00D62B7F"/>
    <w:rsid w:val="00D62C20"/>
    <w:rsid w:val="00D62CB9"/>
    <w:rsid w:val="00D62CE2"/>
    <w:rsid w:val="00D62D34"/>
    <w:rsid w:val="00D62DE0"/>
    <w:rsid w:val="00D62E0C"/>
    <w:rsid w:val="00D62ED6"/>
    <w:rsid w:val="00D62F56"/>
    <w:rsid w:val="00D6301D"/>
    <w:rsid w:val="00D6309C"/>
    <w:rsid w:val="00D6326D"/>
    <w:rsid w:val="00D632BA"/>
    <w:rsid w:val="00D633AC"/>
    <w:rsid w:val="00D63516"/>
    <w:rsid w:val="00D63567"/>
    <w:rsid w:val="00D635D3"/>
    <w:rsid w:val="00D635FD"/>
    <w:rsid w:val="00D63633"/>
    <w:rsid w:val="00D6373E"/>
    <w:rsid w:val="00D63863"/>
    <w:rsid w:val="00D638D2"/>
    <w:rsid w:val="00D6397C"/>
    <w:rsid w:val="00D63984"/>
    <w:rsid w:val="00D63B05"/>
    <w:rsid w:val="00D63D29"/>
    <w:rsid w:val="00D63DD1"/>
    <w:rsid w:val="00D63DDF"/>
    <w:rsid w:val="00D63E07"/>
    <w:rsid w:val="00D644B8"/>
    <w:rsid w:val="00D64711"/>
    <w:rsid w:val="00D6498E"/>
    <w:rsid w:val="00D64A20"/>
    <w:rsid w:val="00D64AE5"/>
    <w:rsid w:val="00D64B61"/>
    <w:rsid w:val="00D64B82"/>
    <w:rsid w:val="00D64BF4"/>
    <w:rsid w:val="00D64C6F"/>
    <w:rsid w:val="00D64E03"/>
    <w:rsid w:val="00D64E43"/>
    <w:rsid w:val="00D64EB2"/>
    <w:rsid w:val="00D64F5E"/>
    <w:rsid w:val="00D650B1"/>
    <w:rsid w:val="00D65252"/>
    <w:rsid w:val="00D653EE"/>
    <w:rsid w:val="00D65481"/>
    <w:rsid w:val="00D65531"/>
    <w:rsid w:val="00D655D6"/>
    <w:rsid w:val="00D65708"/>
    <w:rsid w:val="00D65736"/>
    <w:rsid w:val="00D657A3"/>
    <w:rsid w:val="00D658A2"/>
    <w:rsid w:val="00D6594E"/>
    <w:rsid w:val="00D659DC"/>
    <w:rsid w:val="00D65A48"/>
    <w:rsid w:val="00D65BE2"/>
    <w:rsid w:val="00D65CA3"/>
    <w:rsid w:val="00D65E23"/>
    <w:rsid w:val="00D65E35"/>
    <w:rsid w:val="00D65E46"/>
    <w:rsid w:val="00D65ECB"/>
    <w:rsid w:val="00D65EE6"/>
    <w:rsid w:val="00D65F81"/>
    <w:rsid w:val="00D6624D"/>
    <w:rsid w:val="00D66293"/>
    <w:rsid w:val="00D6649C"/>
    <w:rsid w:val="00D6652B"/>
    <w:rsid w:val="00D666B6"/>
    <w:rsid w:val="00D667A4"/>
    <w:rsid w:val="00D668F5"/>
    <w:rsid w:val="00D66942"/>
    <w:rsid w:val="00D66AD3"/>
    <w:rsid w:val="00D66BD0"/>
    <w:rsid w:val="00D66D75"/>
    <w:rsid w:val="00D66D82"/>
    <w:rsid w:val="00D66F9C"/>
    <w:rsid w:val="00D67026"/>
    <w:rsid w:val="00D67103"/>
    <w:rsid w:val="00D671A1"/>
    <w:rsid w:val="00D67504"/>
    <w:rsid w:val="00D67612"/>
    <w:rsid w:val="00D677C6"/>
    <w:rsid w:val="00D67820"/>
    <w:rsid w:val="00D678FC"/>
    <w:rsid w:val="00D67933"/>
    <w:rsid w:val="00D67C13"/>
    <w:rsid w:val="00D67C23"/>
    <w:rsid w:val="00D67D49"/>
    <w:rsid w:val="00D67D6B"/>
    <w:rsid w:val="00D67FD7"/>
    <w:rsid w:val="00D7006B"/>
    <w:rsid w:val="00D70248"/>
    <w:rsid w:val="00D7024C"/>
    <w:rsid w:val="00D702B1"/>
    <w:rsid w:val="00D702FA"/>
    <w:rsid w:val="00D70535"/>
    <w:rsid w:val="00D70667"/>
    <w:rsid w:val="00D706CF"/>
    <w:rsid w:val="00D706E9"/>
    <w:rsid w:val="00D707BC"/>
    <w:rsid w:val="00D7089E"/>
    <w:rsid w:val="00D708D0"/>
    <w:rsid w:val="00D70927"/>
    <w:rsid w:val="00D7094E"/>
    <w:rsid w:val="00D70D14"/>
    <w:rsid w:val="00D70E61"/>
    <w:rsid w:val="00D70FC4"/>
    <w:rsid w:val="00D71062"/>
    <w:rsid w:val="00D7130B"/>
    <w:rsid w:val="00D71498"/>
    <w:rsid w:val="00D7175C"/>
    <w:rsid w:val="00D717E2"/>
    <w:rsid w:val="00D718EC"/>
    <w:rsid w:val="00D719A1"/>
    <w:rsid w:val="00D71A84"/>
    <w:rsid w:val="00D71AE2"/>
    <w:rsid w:val="00D71BD2"/>
    <w:rsid w:val="00D71C01"/>
    <w:rsid w:val="00D71D72"/>
    <w:rsid w:val="00D71EFE"/>
    <w:rsid w:val="00D720CE"/>
    <w:rsid w:val="00D7210D"/>
    <w:rsid w:val="00D7220D"/>
    <w:rsid w:val="00D722A0"/>
    <w:rsid w:val="00D72648"/>
    <w:rsid w:val="00D7266F"/>
    <w:rsid w:val="00D726E0"/>
    <w:rsid w:val="00D727D5"/>
    <w:rsid w:val="00D729B7"/>
    <w:rsid w:val="00D72B2C"/>
    <w:rsid w:val="00D72BD7"/>
    <w:rsid w:val="00D72BED"/>
    <w:rsid w:val="00D72C93"/>
    <w:rsid w:val="00D72DF0"/>
    <w:rsid w:val="00D72E10"/>
    <w:rsid w:val="00D7328F"/>
    <w:rsid w:val="00D733AF"/>
    <w:rsid w:val="00D73594"/>
    <w:rsid w:val="00D7367A"/>
    <w:rsid w:val="00D73A32"/>
    <w:rsid w:val="00D73AB2"/>
    <w:rsid w:val="00D73B41"/>
    <w:rsid w:val="00D73B5B"/>
    <w:rsid w:val="00D73BAC"/>
    <w:rsid w:val="00D73C10"/>
    <w:rsid w:val="00D73C1C"/>
    <w:rsid w:val="00D73C87"/>
    <w:rsid w:val="00D73C92"/>
    <w:rsid w:val="00D73D6D"/>
    <w:rsid w:val="00D73D86"/>
    <w:rsid w:val="00D73DDC"/>
    <w:rsid w:val="00D73FB2"/>
    <w:rsid w:val="00D74141"/>
    <w:rsid w:val="00D742E7"/>
    <w:rsid w:val="00D742E8"/>
    <w:rsid w:val="00D7476D"/>
    <w:rsid w:val="00D748B3"/>
    <w:rsid w:val="00D748BC"/>
    <w:rsid w:val="00D748CB"/>
    <w:rsid w:val="00D74A54"/>
    <w:rsid w:val="00D74A86"/>
    <w:rsid w:val="00D74B25"/>
    <w:rsid w:val="00D74B38"/>
    <w:rsid w:val="00D74B6F"/>
    <w:rsid w:val="00D74BB2"/>
    <w:rsid w:val="00D74D7C"/>
    <w:rsid w:val="00D74DAF"/>
    <w:rsid w:val="00D74DEE"/>
    <w:rsid w:val="00D74F13"/>
    <w:rsid w:val="00D74FA3"/>
    <w:rsid w:val="00D75004"/>
    <w:rsid w:val="00D75031"/>
    <w:rsid w:val="00D7520F"/>
    <w:rsid w:val="00D7524A"/>
    <w:rsid w:val="00D7528F"/>
    <w:rsid w:val="00D752A2"/>
    <w:rsid w:val="00D752F9"/>
    <w:rsid w:val="00D75377"/>
    <w:rsid w:val="00D753F7"/>
    <w:rsid w:val="00D7557F"/>
    <w:rsid w:val="00D7560A"/>
    <w:rsid w:val="00D758D2"/>
    <w:rsid w:val="00D75931"/>
    <w:rsid w:val="00D75D3B"/>
    <w:rsid w:val="00D75F82"/>
    <w:rsid w:val="00D761C3"/>
    <w:rsid w:val="00D762C0"/>
    <w:rsid w:val="00D762F2"/>
    <w:rsid w:val="00D7657A"/>
    <w:rsid w:val="00D766C5"/>
    <w:rsid w:val="00D767CD"/>
    <w:rsid w:val="00D7696E"/>
    <w:rsid w:val="00D76B2C"/>
    <w:rsid w:val="00D76BF4"/>
    <w:rsid w:val="00D76CAF"/>
    <w:rsid w:val="00D76CE2"/>
    <w:rsid w:val="00D76DF2"/>
    <w:rsid w:val="00D76E06"/>
    <w:rsid w:val="00D76EA1"/>
    <w:rsid w:val="00D76F61"/>
    <w:rsid w:val="00D770B0"/>
    <w:rsid w:val="00D7711C"/>
    <w:rsid w:val="00D77159"/>
    <w:rsid w:val="00D771FE"/>
    <w:rsid w:val="00D77281"/>
    <w:rsid w:val="00D77369"/>
    <w:rsid w:val="00D773BC"/>
    <w:rsid w:val="00D773ED"/>
    <w:rsid w:val="00D77759"/>
    <w:rsid w:val="00D77886"/>
    <w:rsid w:val="00D77906"/>
    <w:rsid w:val="00D77A32"/>
    <w:rsid w:val="00D77C33"/>
    <w:rsid w:val="00D77D98"/>
    <w:rsid w:val="00D77F1C"/>
    <w:rsid w:val="00D77FA2"/>
    <w:rsid w:val="00D800AF"/>
    <w:rsid w:val="00D8040F"/>
    <w:rsid w:val="00D80428"/>
    <w:rsid w:val="00D80429"/>
    <w:rsid w:val="00D80466"/>
    <w:rsid w:val="00D8052D"/>
    <w:rsid w:val="00D806F3"/>
    <w:rsid w:val="00D80ABB"/>
    <w:rsid w:val="00D80D99"/>
    <w:rsid w:val="00D80E8A"/>
    <w:rsid w:val="00D80EB2"/>
    <w:rsid w:val="00D80EEF"/>
    <w:rsid w:val="00D81361"/>
    <w:rsid w:val="00D813A9"/>
    <w:rsid w:val="00D815E9"/>
    <w:rsid w:val="00D816D0"/>
    <w:rsid w:val="00D816EF"/>
    <w:rsid w:val="00D8173A"/>
    <w:rsid w:val="00D81761"/>
    <w:rsid w:val="00D819B4"/>
    <w:rsid w:val="00D819B7"/>
    <w:rsid w:val="00D819CD"/>
    <w:rsid w:val="00D819F8"/>
    <w:rsid w:val="00D81CC7"/>
    <w:rsid w:val="00D81E43"/>
    <w:rsid w:val="00D820DA"/>
    <w:rsid w:val="00D82155"/>
    <w:rsid w:val="00D8216B"/>
    <w:rsid w:val="00D823AD"/>
    <w:rsid w:val="00D823D2"/>
    <w:rsid w:val="00D823EC"/>
    <w:rsid w:val="00D823F1"/>
    <w:rsid w:val="00D824B3"/>
    <w:rsid w:val="00D82659"/>
    <w:rsid w:val="00D8278E"/>
    <w:rsid w:val="00D82BC4"/>
    <w:rsid w:val="00D82D05"/>
    <w:rsid w:val="00D82D19"/>
    <w:rsid w:val="00D82F9A"/>
    <w:rsid w:val="00D8332E"/>
    <w:rsid w:val="00D83378"/>
    <w:rsid w:val="00D835F8"/>
    <w:rsid w:val="00D838F4"/>
    <w:rsid w:val="00D83925"/>
    <w:rsid w:val="00D8394E"/>
    <w:rsid w:val="00D83A16"/>
    <w:rsid w:val="00D83BD5"/>
    <w:rsid w:val="00D83BD9"/>
    <w:rsid w:val="00D83DE6"/>
    <w:rsid w:val="00D83DE9"/>
    <w:rsid w:val="00D83E5B"/>
    <w:rsid w:val="00D83EC7"/>
    <w:rsid w:val="00D84075"/>
    <w:rsid w:val="00D84102"/>
    <w:rsid w:val="00D841BA"/>
    <w:rsid w:val="00D841BF"/>
    <w:rsid w:val="00D84366"/>
    <w:rsid w:val="00D84447"/>
    <w:rsid w:val="00D844E1"/>
    <w:rsid w:val="00D848E5"/>
    <w:rsid w:val="00D84A34"/>
    <w:rsid w:val="00D84A6D"/>
    <w:rsid w:val="00D84ABC"/>
    <w:rsid w:val="00D84BA5"/>
    <w:rsid w:val="00D84C4A"/>
    <w:rsid w:val="00D84CA8"/>
    <w:rsid w:val="00D84E44"/>
    <w:rsid w:val="00D850A1"/>
    <w:rsid w:val="00D8525D"/>
    <w:rsid w:val="00D85432"/>
    <w:rsid w:val="00D85546"/>
    <w:rsid w:val="00D855DD"/>
    <w:rsid w:val="00D85627"/>
    <w:rsid w:val="00D8562B"/>
    <w:rsid w:val="00D856AA"/>
    <w:rsid w:val="00D8589E"/>
    <w:rsid w:val="00D85940"/>
    <w:rsid w:val="00D859C6"/>
    <w:rsid w:val="00D859F4"/>
    <w:rsid w:val="00D85A25"/>
    <w:rsid w:val="00D85A39"/>
    <w:rsid w:val="00D85C09"/>
    <w:rsid w:val="00D85C52"/>
    <w:rsid w:val="00D85E23"/>
    <w:rsid w:val="00D85FFF"/>
    <w:rsid w:val="00D860A8"/>
    <w:rsid w:val="00D860DC"/>
    <w:rsid w:val="00D860E9"/>
    <w:rsid w:val="00D8613B"/>
    <w:rsid w:val="00D861D0"/>
    <w:rsid w:val="00D861D8"/>
    <w:rsid w:val="00D863E5"/>
    <w:rsid w:val="00D8645A"/>
    <w:rsid w:val="00D8646E"/>
    <w:rsid w:val="00D86480"/>
    <w:rsid w:val="00D86488"/>
    <w:rsid w:val="00D864BC"/>
    <w:rsid w:val="00D86545"/>
    <w:rsid w:val="00D865B6"/>
    <w:rsid w:val="00D866BB"/>
    <w:rsid w:val="00D866CF"/>
    <w:rsid w:val="00D8679A"/>
    <w:rsid w:val="00D8682F"/>
    <w:rsid w:val="00D868B2"/>
    <w:rsid w:val="00D86B4D"/>
    <w:rsid w:val="00D86C32"/>
    <w:rsid w:val="00D86FDB"/>
    <w:rsid w:val="00D8700E"/>
    <w:rsid w:val="00D87115"/>
    <w:rsid w:val="00D87173"/>
    <w:rsid w:val="00D8719E"/>
    <w:rsid w:val="00D87263"/>
    <w:rsid w:val="00D8739A"/>
    <w:rsid w:val="00D8748C"/>
    <w:rsid w:val="00D8799B"/>
    <w:rsid w:val="00D87A7C"/>
    <w:rsid w:val="00D87D39"/>
    <w:rsid w:val="00D90262"/>
    <w:rsid w:val="00D902B9"/>
    <w:rsid w:val="00D9044C"/>
    <w:rsid w:val="00D905ED"/>
    <w:rsid w:val="00D906B2"/>
    <w:rsid w:val="00D90A03"/>
    <w:rsid w:val="00D90A78"/>
    <w:rsid w:val="00D90BA6"/>
    <w:rsid w:val="00D90C57"/>
    <w:rsid w:val="00D90D9C"/>
    <w:rsid w:val="00D90E9D"/>
    <w:rsid w:val="00D90F7F"/>
    <w:rsid w:val="00D91164"/>
    <w:rsid w:val="00D91287"/>
    <w:rsid w:val="00D91520"/>
    <w:rsid w:val="00D91616"/>
    <w:rsid w:val="00D917FE"/>
    <w:rsid w:val="00D919BC"/>
    <w:rsid w:val="00D91A68"/>
    <w:rsid w:val="00D91AEF"/>
    <w:rsid w:val="00D91B28"/>
    <w:rsid w:val="00D91B7F"/>
    <w:rsid w:val="00D91CA3"/>
    <w:rsid w:val="00D91D68"/>
    <w:rsid w:val="00D91D7D"/>
    <w:rsid w:val="00D91FC3"/>
    <w:rsid w:val="00D92082"/>
    <w:rsid w:val="00D9216E"/>
    <w:rsid w:val="00D92186"/>
    <w:rsid w:val="00D9229B"/>
    <w:rsid w:val="00D923D0"/>
    <w:rsid w:val="00D9250A"/>
    <w:rsid w:val="00D9269A"/>
    <w:rsid w:val="00D926EF"/>
    <w:rsid w:val="00D928D6"/>
    <w:rsid w:val="00D929A3"/>
    <w:rsid w:val="00D929E1"/>
    <w:rsid w:val="00D929FB"/>
    <w:rsid w:val="00D92A64"/>
    <w:rsid w:val="00D92B2E"/>
    <w:rsid w:val="00D92B2F"/>
    <w:rsid w:val="00D92C51"/>
    <w:rsid w:val="00D92D7D"/>
    <w:rsid w:val="00D92F6E"/>
    <w:rsid w:val="00D930C0"/>
    <w:rsid w:val="00D9322C"/>
    <w:rsid w:val="00D93434"/>
    <w:rsid w:val="00D934E7"/>
    <w:rsid w:val="00D934EE"/>
    <w:rsid w:val="00D93543"/>
    <w:rsid w:val="00D93593"/>
    <w:rsid w:val="00D9362D"/>
    <w:rsid w:val="00D9365D"/>
    <w:rsid w:val="00D9371E"/>
    <w:rsid w:val="00D93828"/>
    <w:rsid w:val="00D938AC"/>
    <w:rsid w:val="00D938D2"/>
    <w:rsid w:val="00D93963"/>
    <w:rsid w:val="00D93968"/>
    <w:rsid w:val="00D939A6"/>
    <w:rsid w:val="00D939E3"/>
    <w:rsid w:val="00D93A53"/>
    <w:rsid w:val="00D93D45"/>
    <w:rsid w:val="00D93D52"/>
    <w:rsid w:val="00D93F1F"/>
    <w:rsid w:val="00D93F3A"/>
    <w:rsid w:val="00D940A7"/>
    <w:rsid w:val="00D946E8"/>
    <w:rsid w:val="00D947E2"/>
    <w:rsid w:val="00D94927"/>
    <w:rsid w:val="00D94B45"/>
    <w:rsid w:val="00D94BFB"/>
    <w:rsid w:val="00D94CC5"/>
    <w:rsid w:val="00D94D34"/>
    <w:rsid w:val="00D94E79"/>
    <w:rsid w:val="00D94E7F"/>
    <w:rsid w:val="00D94EF0"/>
    <w:rsid w:val="00D9502C"/>
    <w:rsid w:val="00D950C2"/>
    <w:rsid w:val="00D950D9"/>
    <w:rsid w:val="00D95143"/>
    <w:rsid w:val="00D9515B"/>
    <w:rsid w:val="00D95181"/>
    <w:rsid w:val="00D95278"/>
    <w:rsid w:val="00D9567A"/>
    <w:rsid w:val="00D95724"/>
    <w:rsid w:val="00D95861"/>
    <w:rsid w:val="00D958DA"/>
    <w:rsid w:val="00D958E5"/>
    <w:rsid w:val="00D95CBE"/>
    <w:rsid w:val="00D95DD4"/>
    <w:rsid w:val="00D95E51"/>
    <w:rsid w:val="00D95FB9"/>
    <w:rsid w:val="00D962D3"/>
    <w:rsid w:val="00D962F7"/>
    <w:rsid w:val="00D96381"/>
    <w:rsid w:val="00D964DF"/>
    <w:rsid w:val="00D96541"/>
    <w:rsid w:val="00D96551"/>
    <w:rsid w:val="00D965B8"/>
    <w:rsid w:val="00D96658"/>
    <w:rsid w:val="00D9665C"/>
    <w:rsid w:val="00D966D2"/>
    <w:rsid w:val="00D96737"/>
    <w:rsid w:val="00D9681A"/>
    <w:rsid w:val="00D96BEC"/>
    <w:rsid w:val="00D96DC7"/>
    <w:rsid w:val="00D96DE8"/>
    <w:rsid w:val="00D96F60"/>
    <w:rsid w:val="00D97086"/>
    <w:rsid w:val="00D9758F"/>
    <w:rsid w:val="00D976DC"/>
    <w:rsid w:val="00D9774A"/>
    <w:rsid w:val="00D978B3"/>
    <w:rsid w:val="00D97958"/>
    <w:rsid w:val="00D97EAF"/>
    <w:rsid w:val="00D97F64"/>
    <w:rsid w:val="00D97F87"/>
    <w:rsid w:val="00D97FB1"/>
    <w:rsid w:val="00D9BBA0"/>
    <w:rsid w:val="00DA003F"/>
    <w:rsid w:val="00DA01A7"/>
    <w:rsid w:val="00DA023E"/>
    <w:rsid w:val="00DA025B"/>
    <w:rsid w:val="00DA0270"/>
    <w:rsid w:val="00DA0390"/>
    <w:rsid w:val="00DA0673"/>
    <w:rsid w:val="00DA0900"/>
    <w:rsid w:val="00DA09F0"/>
    <w:rsid w:val="00DA0A55"/>
    <w:rsid w:val="00DA0A89"/>
    <w:rsid w:val="00DA0CBF"/>
    <w:rsid w:val="00DA0D2A"/>
    <w:rsid w:val="00DA100E"/>
    <w:rsid w:val="00DA1047"/>
    <w:rsid w:val="00DA1091"/>
    <w:rsid w:val="00DA1427"/>
    <w:rsid w:val="00DA1431"/>
    <w:rsid w:val="00DA158B"/>
    <w:rsid w:val="00DA1660"/>
    <w:rsid w:val="00DA172C"/>
    <w:rsid w:val="00DA1807"/>
    <w:rsid w:val="00DA18EA"/>
    <w:rsid w:val="00DA18F8"/>
    <w:rsid w:val="00DA1A2A"/>
    <w:rsid w:val="00DA1BB5"/>
    <w:rsid w:val="00DA1F3F"/>
    <w:rsid w:val="00DA1FE6"/>
    <w:rsid w:val="00DA211A"/>
    <w:rsid w:val="00DA21B8"/>
    <w:rsid w:val="00DA2292"/>
    <w:rsid w:val="00DA235A"/>
    <w:rsid w:val="00DA244D"/>
    <w:rsid w:val="00DA249E"/>
    <w:rsid w:val="00DA2694"/>
    <w:rsid w:val="00DA26B5"/>
    <w:rsid w:val="00DA272C"/>
    <w:rsid w:val="00DA2768"/>
    <w:rsid w:val="00DA2AF1"/>
    <w:rsid w:val="00DA2BAC"/>
    <w:rsid w:val="00DA2CFF"/>
    <w:rsid w:val="00DA2D47"/>
    <w:rsid w:val="00DA2D67"/>
    <w:rsid w:val="00DA2F5A"/>
    <w:rsid w:val="00DA3146"/>
    <w:rsid w:val="00DA31A5"/>
    <w:rsid w:val="00DA3248"/>
    <w:rsid w:val="00DA328C"/>
    <w:rsid w:val="00DA32FC"/>
    <w:rsid w:val="00DA33EE"/>
    <w:rsid w:val="00DA3479"/>
    <w:rsid w:val="00DA348B"/>
    <w:rsid w:val="00DA369E"/>
    <w:rsid w:val="00DA38D9"/>
    <w:rsid w:val="00DA3A8E"/>
    <w:rsid w:val="00DA3BB3"/>
    <w:rsid w:val="00DA3D28"/>
    <w:rsid w:val="00DA3EB8"/>
    <w:rsid w:val="00DA3F44"/>
    <w:rsid w:val="00DA4032"/>
    <w:rsid w:val="00DA411F"/>
    <w:rsid w:val="00DA42AD"/>
    <w:rsid w:val="00DA42AF"/>
    <w:rsid w:val="00DA4309"/>
    <w:rsid w:val="00DA442E"/>
    <w:rsid w:val="00DA4440"/>
    <w:rsid w:val="00DA44CB"/>
    <w:rsid w:val="00DA46F9"/>
    <w:rsid w:val="00DA4847"/>
    <w:rsid w:val="00DA4B0A"/>
    <w:rsid w:val="00DA4C1E"/>
    <w:rsid w:val="00DA4DE4"/>
    <w:rsid w:val="00DA4DFD"/>
    <w:rsid w:val="00DA4E65"/>
    <w:rsid w:val="00DA4E7B"/>
    <w:rsid w:val="00DA4F1F"/>
    <w:rsid w:val="00DA4F76"/>
    <w:rsid w:val="00DA5034"/>
    <w:rsid w:val="00DA50B3"/>
    <w:rsid w:val="00DA5206"/>
    <w:rsid w:val="00DA548F"/>
    <w:rsid w:val="00DA5878"/>
    <w:rsid w:val="00DA588B"/>
    <w:rsid w:val="00DA58A4"/>
    <w:rsid w:val="00DA595E"/>
    <w:rsid w:val="00DA5B99"/>
    <w:rsid w:val="00DA5BC8"/>
    <w:rsid w:val="00DA5C14"/>
    <w:rsid w:val="00DA5C2D"/>
    <w:rsid w:val="00DA5C57"/>
    <w:rsid w:val="00DA5CB1"/>
    <w:rsid w:val="00DA5F7F"/>
    <w:rsid w:val="00DA5FBB"/>
    <w:rsid w:val="00DA6146"/>
    <w:rsid w:val="00DA62F6"/>
    <w:rsid w:val="00DA652A"/>
    <w:rsid w:val="00DA65BB"/>
    <w:rsid w:val="00DA6776"/>
    <w:rsid w:val="00DA67BC"/>
    <w:rsid w:val="00DA686B"/>
    <w:rsid w:val="00DA68F1"/>
    <w:rsid w:val="00DA6A6F"/>
    <w:rsid w:val="00DA702E"/>
    <w:rsid w:val="00DA7051"/>
    <w:rsid w:val="00DA711D"/>
    <w:rsid w:val="00DA723F"/>
    <w:rsid w:val="00DA72B8"/>
    <w:rsid w:val="00DA75B8"/>
    <w:rsid w:val="00DA7793"/>
    <w:rsid w:val="00DA7972"/>
    <w:rsid w:val="00DA7A14"/>
    <w:rsid w:val="00DA7A61"/>
    <w:rsid w:val="00DA7A65"/>
    <w:rsid w:val="00DA7B30"/>
    <w:rsid w:val="00DA7D76"/>
    <w:rsid w:val="00DA7E94"/>
    <w:rsid w:val="00DB00DB"/>
    <w:rsid w:val="00DB0113"/>
    <w:rsid w:val="00DB0306"/>
    <w:rsid w:val="00DB061E"/>
    <w:rsid w:val="00DB076F"/>
    <w:rsid w:val="00DB08B5"/>
    <w:rsid w:val="00DB08E7"/>
    <w:rsid w:val="00DB090B"/>
    <w:rsid w:val="00DB096E"/>
    <w:rsid w:val="00DB0D0C"/>
    <w:rsid w:val="00DB0F7E"/>
    <w:rsid w:val="00DB1037"/>
    <w:rsid w:val="00DB1038"/>
    <w:rsid w:val="00DB128B"/>
    <w:rsid w:val="00DB12ED"/>
    <w:rsid w:val="00DB13B7"/>
    <w:rsid w:val="00DB141E"/>
    <w:rsid w:val="00DB17F1"/>
    <w:rsid w:val="00DB188E"/>
    <w:rsid w:val="00DB1B4A"/>
    <w:rsid w:val="00DB1DAC"/>
    <w:rsid w:val="00DB1E03"/>
    <w:rsid w:val="00DB1F31"/>
    <w:rsid w:val="00DB1FDC"/>
    <w:rsid w:val="00DB2059"/>
    <w:rsid w:val="00DB20EF"/>
    <w:rsid w:val="00DB2242"/>
    <w:rsid w:val="00DB22D6"/>
    <w:rsid w:val="00DB247A"/>
    <w:rsid w:val="00DB2509"/>
    <w:rsid w:val="00DB250A"/>
    <w:rsid w:val="00DB26F7"/>
    <w:rsid w:val="00DB2704"/>
    <w:rsid w:val="00DB28E7"/>
    <w:rsid w:val="00DB2A99"/>
    <w:rsid w:val="00DB2AAE"/>
    <w:rsid w:val="00DB2C63"/>
    <w:rsid w:val="00DB2C79"/>
    <w:rsid w:val="00DB2E7E"/>
    <w:rsid w:val="00DB2F2A"/>
    <w:rsid w:val="00DB30CF"/>
    <w:rsid w:val="00DB313E"/>
    <w:rsid w:val="00DB3565"/>
    <w:rsid w:val="00DB3572"/>
    <w:rsid w:val="00DB366A"/>
    <w:rsid w:val="00DB3680"/>
    <w:rsid w:val="00DB376D"/>
    <w:rsid w:val="00DB39B4"/>
    <w:rsid w:val="00DB3A2D"/>
    <w:rsid w:val="00DB3C6A"/>
    <w:rsid w:val="00DB3C91"/>
    <w:rsid w:val="00DB3E20"/>
    <w:rsid w:val="00DB3E87"/>
    <w:rsid w:val="00DB3E9E"/>
    <w:rsid w:val="00DB3FE8"/>
    <w:rsid w:val="00DB40A1"/>
    <w:rsid w:val="00DB43D8"/>
    <w:rsid w:val="00DB4443"/>
    <w:rsid w:val="00DB4692"/>
    <w:rsid w:val="00DB48C6"/>
    <w:rsid w:val="00DB49F8"/>
    <w:rsid w:val="00DB49FE"/>
    <w:rsid w:val="00DB4BEC"/>
    <w:rsid w:val="00DB4CF8"/>
    <w:rsid w:val="00DB4E9B"/>
    <w:rsid w:val="00DB501D"/>
    <w:rsid w:val="00DB510C"/>
    <w:rsid w:val="00DB51AB"/>
    <w:rsid w:val="00DB5201"/>
    <w:rsid w:val="00DB5351"/>
    <w:rsid w:val="00DB53BE"/>
    <w:rsid w:val="00DB545C"/>
    <w:rsid w:val="00DB54E5"/>
    <w:rsid w:val="00DB551A"/>
    <w:rsid w:val="00DB5532"/>
    <w:rsid w:val="00DB5537"/>
    <w:rsid w:val="00DB568A"/>
    <w:rsid w:val="00DB577A"/>
    <w:rsid w:val="00DB5AA4"/>
    <w:rsid w:val="00DB5C5A"/>
    <w:rsid w:val="00DB5F0C"/>
    <w:rsid w:val="00DB5F8F"/>
    <w:rsid w:val="00DB5FDB"/>
    <w:rsid w:val="00DB6031"/>
    <w:rsid w:val="00DB6246"/>
    <w:rsid w:val="00DB63C0"/>
    <w:rsid w:val="00DB641C"/>
    <w:rsid w:val="00DB64CA"/>
    <w:rsid w:val="00DB6554"/>
    <w:rsid w:val="00DB662B"/>
    <w:rsid w:val="00DB6643"/>
    <w:rsid w:val="00DB66E8"/>
    <w:rsid w:val="00DB6A60"/>
    <w:rsid w:val="00DB6A7F"/>
    <w:rsid w:val="00DB6B48"/>
    <w:rsid w:val="00DB6CC4"/>
    <w:rsid w:val="00DB6D2F"/>
    <w:rsid w:val="00DB6ED0"/>
    <w:rsid w:val="00DB6F0E"/>
    <w:rsid w:val="00DB6F3F"/>
    <w:rsid w:val="00DB70F5"/>
    <w:rsid w:val="00DB710A"/>
    <w:rsid w:val="00DB714B"/>
    <w:rsid w:val="00DB724F"/>
    <w:rsid w:val="00DB75B6"/>
    <w:rsid w:val="00DB763E"/>
    <w:rsid w:val="00DB764E"/>
    <w:rsid w:val="00DB7715"/>
    <w:rsid w:val="00DB789C"/>
    <w:rsid w:val="00DB78C4"/>
    <w:rsid w:val="00DB7AD9"/>
    <w:rsid w:val="00DB7B00"/>
    <w:rsid w:val="00DB7B20"/>
    <w:rsid w:val="00DB7B6F"/>
    <w:rsid w:val="00DB7C75"/>
    <w:rsid w:val="00DB7CC1"/>
    <w:rsid w:val="00DB7F00"/>
    <w:rsid w:val="00DB7F09"/>
    <w:rsid w:val="00DB7FA4"/>
    <w:rsid w:val="00DC0020"/>
    <w:rsid w:val="00DC00E8"/>
    <w:rsid w:val="00DC00F5"/>
    <w:rsid w:val="00DC0152"/>
    <w:rsid w:val="00DC06D1"/>
    <w:rsid w:val="00DC07A4"/>
    <w:rsid w:val="00DC08E4"/>
    <w:rsid w:val="00DC0909"/>
    <w:rsid w:val="00DC0940"/>
    <w:rsid w:val="00DC0B73"/>
    <w:rsid w:val="00DC0D2C"/>
    <w:rsid w:val="00DC0D8F"/>
    <w:rsid w:val="00DC0F00"/>
    <w:rsid w:val="00DC0FD9"/>
    <w:rsid w:val="00DC100D"/>
    <w:rsid w:val="00DC114C"/>
    <w:rsid w:val="00DC1186"/>
    <w:rsid w:val="00DC11AA"/>
    <w:rsid w:val="00DC1420"/>
    <w:rsid w:val="00DC1435"/>
    <w:rsid w:val="00DC143D"/>
    <w:rsid w:val="00DC1756"/>
    <w:rsid w:val="00DC18C4"/>
    <w:rsid w:val="00DC19A7"/>
    <w:rsid w:val="00DC1D67"/>
    <w:rsid w:val="00DC1E22"/>
    <w:rsid w:val="00DC1E42"/>
    <w:rsid w:val="00DC1F12"/>
    <w:rsid w:val="00DC2217"/>
    <w:rsid w:val="00DC2387"/>
    <w:rsid w:val="00DC23DD"/>
    <w:rsid w:val="00DC244C"/>
    <w:rsid w:val="00DC248B"/>
    <w:rsid w:val="00DC2601"/>
    <w:rsid w:val="00DC26E4"/>
    <w:rsid w:val="00DC274E"/>
    <w:rsid w:val="00DC291C"/>
    <w:rsid w:val="00DC2A5C"/>
    <w:rsid w:val="00DC2CD3"/>
    <w:rsid w:val="00DC2DE4"/>
    <w:rsid w:val="00DC32E9"/>
    <w:rsid w:val="00DC347C"/>
    <w:rsid w:val="00DC3524"/>
    <w:rsid w:val="00DC3557"/>
    <w:rsid w:val="00DC35AC"/>
    <w:rsid w:val="00DC377C"/>
    <w:rsid w:val="00DC37A3"/>
    <w:rsid w:val="00DC37F1"/>
    <w:rsid w:val="00DC38A9"/>
    <w:rsid w:val="00DC39C4"/>
    <w:rsid w:val="00DC39EB"/>
    <w:rsid w:val="00DC3AC6"/>
    <w:rsid w:val="00DC3C20"/>
    <w:rsid w:val="00DC3C8E"/>
    <w:rsid w:val="00DC3D55"/>
    <w:rsid w:val="00DC3DD0"/>
    <w:rsid w:val="00DC3DDC"/>
    <w:rsid w:val="00DC3EEB"/>
    <w:rsid w:val="00DC40CC"/>
    <w:rsid w:val="00DC41CF"/>
    <w:rsid w:val="00DC42AA"/>
    <w:rsid w:val="00DC4388"/>
    <w:rsid w:val="00DC43C1"/>
    <w:rsid w:val="00DC4404"/>
    <w:rsid w:val="00DC44CB"/>
    <w:rsid w:val="00DC49A1"/>
    <w:rsid w:val="00DC4A8B"/>
    <w:rsid w:val="00DC4BB6"/>
    <w:rsid w:val="00DC4C17"/>
    <w:rsid w:val="00DC4CA1"/>
    <w:rsid w:val="00DC4D87"/>
    <w:rsid w:val="00DC4FD4"/>
    <w:rsid w:val="00DC50E0"/>
    <w:rsid w:val="00DC518C"/>
    <w:rsid w:val="00DC5200"/>
    <w:rsid w:val="00DC57DF"/>
    <w:rsid w:val="00DC598A"/>
    <w:rsid w:val="00DC5A3F"/>
    <w:rsid w:val="00DC5A94"/>
    <w:rsid w:val="00DC5AAE"/>
    <w:rsid w:val="00DC5D8F"/>
    <w:rsid w:val="00DC5F7A"/>
    <w:rsid w:val="00DC614D"/>
    <w:rsid w:val="00DC6191"/>
    <w:rsid w:val="00DC6283"/>
    <w:rsid w:val="00DC63EC"/>
    <w:rsid w:val="00DC64AC"/>
    <w:rsid w:val="00DC666F"/>
    <w:rsid w:val="00DC677C"/>
    <w:rsid w:val="00DC67C6"/>
    <w:rsid w:val="00DC68AE"/>
    <w:rsid w:val="00DC68CB"/>
    <w:rsid w:val="00DC68FC"/>
    <w:rsid w:val="00DC6A55"/>
    <w:rsid w:val="00DC6C89"/>
    <w:rsid w:val="00DC6D99"/>
    <w:rsid w:val="00DC6DF5"/>
    <w:rsid w:val="00DC6EE3"/>
    <w:rsid w:val="00DC71F1"/>
    <w:rsid w:val="00DC72D3"/>
    <w:rsid w:val="00DC7638"/>
    <w:rsid w:val="00DC7708"/>
    <w:rsid w:val="00DC778F"/>
    <w:rsid w:val="00DC784E"/>
    <w:rsid w:val="00DC78E2"/>
    <w:rsid w:val="00DC78F5"/>
    <w:rsid w:val="00DC799C"/>
    <w:rsid w:val="00DC7CE2"/>
    <w:rsid w:val="00DC7DE0"/>
    <w:rsid w:val="00DC7E0A"/>
    <w:rsid w:val="00DC7E26"/>
    <w:rsid w:val="00DC7E6E"/>
    <w:rsid w:val="00DD0009"/>
    <w:rsid w:val="00DD01E7"/>
    <w:rsid w:val="00DD0445"/>
    <w:rsid w:val="00DD047D"/>
    <w:rsid w:val="00DD05C7"/>
    <w:rsid w:val="00DD061D"/>
    <w:rsid w:val="00DD0B5B"/>
    <w:rsid w:val="00DD0CE4"/>
    <w:rsid w:val="00DD0D01"/>
    <w:rsid w:val="00DD0D6B"/>
    <w:rsid w:val="00DD0EEF"/>
    <w:rsid w:val="00DD0EF4"/>
    <w:rsid w:val="00DD0F01"/>
    <w:rsid w:val="00DD1077"/>
    <w:rsid w:val="00DD1111"/>
    <w:rsid w:val="00DD119A"/>
    <w:rsid w:val="00DD1243"/>
    <w:rsid w:val="00DD12EF"/>
    <w:rsid w:val="00DD132F"/>
    <w:rsid w:val="00DD175D"/>
    <w:rsid w:val="00DD1765"/>
    <w:rsid w:val="00DD196F"/>
    <w:rsid w:val="00DD1AF5"/>
    <w:rsid w:val="00DD1BC4"/>
    <w:rsid w:val="00DD1C72"/>
    <w:rsid w:val="00DD1CD6"/>
    <w:rsid w:val="00DD1D42"/>
    <w:rsid w:val="00DD1DE8"/>
    <w:rsid w:val="00DD22C3"/>
    <w:rsid w:val="00DD22FC"/>
    <w:rsid w:val="00DD23A4"/>
    <w:rsid w:val="00DD23F3"/>
    <w:rsid w:val="00DD240C"/>
    <w:rsid w:val="00DD245A"/>
    <w:rsid w:val="00DD2817"/>
    <w:rsid w:val="00DD2906"/>
    <w:rsid w:val="00DD2A61"/>
    <w:rsid w:val="00DD2A6A"/>
    <w:rsid w:val="00DD2A9B"/>
    <w:rsid w:val="00DD2B4A"/>
    <w:rsid w:val="00DD2D3E"/>
    <w:rsid w:val="00DD2E0B"/>
    <w:rsid w:val="00DD2FDC"/>
    <w:rsid w:val="00DD3003"/>
    <w:rsid w:val="00DD30D5"/>
    <w:rsid w:val="00DD30EB"/>
    <w:rsid w:val="00DD312B"/>
    <w:rsid w:val="00DD3410"/>
    <w:rsid w:val="00DD34AA"/>
    <w:rsid w:val="00DD3661"/>
    <w:rsid w:val="00DD3709"/>
    <w:rsid w:val="00DD370F"/>
    <w:rsid w:val="00DD3781"/>
    <w:rsid w:val="00DD382E"/>
    <w:rsid w:val="00DD3AC7"/>
    <w:rsid w:val="00DD3C2F"/>
    <w:rsid w:val="00DD3DA0"/>
    <w:rsid w:val="00DD3E81"/>
    <w:rsid w:val="00DD3F12"/>
    <w:rsid w:val="00DD4030"/>
    <w:rsid w:val="00DD4068"/>
    <w:rsid w:val="00DD42AE"/>
    <w:rsid w:val="00DD445E"/>
    <w:rsid w:val="00DD45BF"/>
    <w:rsid w:val="00DD478E"/>
    <w:rsid w:val="00DD47B0"/>
    <w:rsid w:val="00DD487C"/>
    <w:rsid w:val="00DD4A55"/>
    <w:rsid w:val="00DD4A92"/>
    <w:rsid w:val="00DD4ABB"/>
    <w:rsid w:val="00DD4E47"/>
    <w:rsid w:val="00DD4E61"/>
    <w:rsid w:val="00DD4FC5"/>
    <w:rsid w:val="00DD5039"/>
    <w:rsid w:val="00DD50C0"/>
    <w:rsid w:val="00DD51F4"/>
    <w:rsid w:val="00DD55EC"/>
    <w:rsid w:val="00DD5604"/>
    <w:rsid w:val="00DD568F"/>
    <w:rsid w:val="00DD5736"/>
    <w:rsid w:val="00DD5747"/>
    <w:rsid w:val="00DD59A3"/>
    <w:rsid w:val="00DD5A6F"/>
    <w:rsid w:val="00DD5C87"/>
    <w:rsid w:val="00DD5FA3"/>
    <w:rsid w:val="00DD60FC"/>
    <w:rsid w:val="00DD6812"/>
    <w:rsid w:val="00DD693B"/>
    <w:rsid w:val="00DD6984"/>
    <w:rsid w:val="00DD6A15"/>
    <w:rsid w:val="00DD6BCC"/>
    <w:rsid w:val="00DD6C45"/>
    <w:rsid w:val="00DD6CEC"/>
    <w:rsid w:val="00DD6EB5"/>
    <w:rsid w:val="00DD70F2"/>
    <w:rsid w:val="00DD72BF"/>
    <w:rsid w:val="00DD731C"/>
    <w:rsid w:val="00DD73A4"/>
    <w:rsid w:val="00DD73F2"/>
    <w:rsid w:val="00DD74B6"/>
    <w:rsid w:val="00DD74E3"/>
    <w:rsid w:val="00DD754C"/>
    <w:rsid w:val="00DD76F2"/>
    <w:rsid w:val="00DD77B1"/>
    <w:rsid w:val="00DD79C1"/>
    <w:rsid w:val="00DD7B5C"/>
    <w:rsid w:val="00DD7C51"/>
    <w:rsid w:val="00DD7CAE"/>
    <w:rsid w:val="00DE02BD"/>
    <w:rsid w:val="00DE0338"/>
    <w:rsid w:val="00DE0358"/>
    <w:rsid w:val="00DE03DB"/>
    <w:rsid w:val="00DE05B9"/>
    <w:rsid w:val="00DE093E"/>
    <w:rsid w:val="00DE0D15"/>
    <w:rsid w:val="00DE0FE6"/>
    <w:rsid w:val="00DE120B"/>
    <w:rsid w:val="00DE1248"/>
    <w:rsid w:val="00DE14C5"/>
    <w:rsid w:val="00DE14F5"/>
    <w:rsid w:val="00DE174B"/>
    <w:rsid w:val="00DE18BF"/>
    <w:rsid w:val="00DE1A33"/>
    <w:rsid w:val="00DE20FC"/>
    <w:rsid w:val="00DE2167"/>
    <w:rsid w:val="00DE23C4"/>
    <w:rsid w:val="00DE24AE"/>
    <w:rsid w:val="00DE2650"/>
    <w:rsid w:val="00DE269A"/>
    <w:rsid w:val="00DE274A"/>
    <w:rsid w:val="00DE279B"/>
    <w:rsid w:val="00DE2910"/>
    <w:rsid w:val="00DE2A5E"/>
    <w:rsid w:val="00DE2B0F"/>
    <w:rsid w:val="00DE2B17"/>
    <w:rsid w:val="00DE2BB0"/>
    <w:rsid w:val="00DE2BE1"/>
    <w:rsid w:val="00DE2C59"/>
    <w:rsid w:val="00DE2F3B"/>
    <w:rsid w:val="00DE2F5B"/>
    <w:rsid w:val="00DE2FD4"/>
    <w:rsid w:val="00DE3139"/>
    <w:rsid w:val="00DE3308"/>
    <w:rsid w:val="00DE333F"/>
    <w:rsid w:val="00DE34FB"/>
    <w:rsid w:val="00DE3580"/>
    <w:rsid w:val="00DE35E5"/>
    <w:rsid w:val="00DE36C7"/>
    <w:rsid w:val="00DE377D"/>
    <w:rsid w:val="00DE3808"/>
    <w:rsid w:val="00DE3A72"/>
    <w:rsid w:val="00DE3AA7"/>
    <w:rsid w:val="00DE3B0F"/>
    <w:rsid w:val="00DE3B66"/>
    <w:rsid w:val="00DE3BEC"/>
    <w:rsid w:val="00DE3C53"/>
    <w:rsid w:val="00DE3C6E"/>
    <w:rsid w:val="00DE3EAD"/>
    <w:rsid w:val="00DE4134"/>
    <w:rsid w:val="00DE433C"/>
    <w:rsid w:val="00DE4535"/>
    <w:rsid w:val="00DE4543"/>
    <w:rsid w:val="00DE45AD"/>
    <w:rsid w:val="00DE48ED"/>
    <w:rsid w:val="00DE49E7"/>
    <w:rsid w:val="00DE4A92"/>
    <w:rsid w:val="00DE4ABB"/>
    <w:rsid w:val="00DE4B15"/>
    <w:rsid w:val="00DE4C4A"/>
    <w:rsid w:val="00DE4D85"/>
    <w:rsid w:val="00DE52A1"/>
    <w:rsid w:val="00DE53A0"/>
    <w:rsid w:val="00DE54AE"/>
    <w:rsid w:val="00DE56DC"/>
    <w:rsid w:val="00DE57BB"/>
    <w:rsid w:val="00DE5A80"/>
    <w:rsid w:val="00DE5BDF"/>
    <w:rsid w:val="00DE5C9B"/>
    <w:rsid w:val="00DE5CA3"/>
    <w:rsid w:val="00DE5CF1"/>
    <w:rsid w:val="00DE5E34"/>
    <w:rsid w:val="00DE5E6D"/>
    <w:rsid w:val="00DE5F85"/>
    <w:rsid w:val="00DE5F8D"/>
    <w:rsid w:val="00DE5FB6"/>
    <w:rsid w:val="00DE60E5"/>
    <w:rsid w:val="00DE637F"/>
    <w:rsid w:val="00DE6401"/>
    <w:rsid w:val="00DE64A5"/>
    <w:rsid w:val="00DE64A9"/>
    <w:rsid w:val="00DE6630"/>
    <w:rsid w:val="00DE69D3"/>
    <w:rsid w:val="00DE6AC6"/>
    <w:rsid w:val="00DE6B40"/>
    <w:rsid w:val="00DE6BDF"/>
    <w:rsid w:val="00DE6BF1"/>
    <w:rsid w:val="00DE6D7D"/>
    <w:rsid w:val="00DE6F2C"/>
    <w:rsid w:val="00DE6FB8"/>
    <w:rsid w:val="00DE7037"/>
    <w:rsid w:val="00DE70FD"/>
    <w:rsid w:val="00DE723A"/>
    <w:rsid w:val="00DE730E"/>
    <w:rsid w:val="00DE74E8"/>
    <w:rsid w:val="00DE74FB"/>
    <w:rsid w:val="00DE7723"/>
    <w:rsid w:val="00DE785F"/>
    <w:rsid w:val="00DE788A"/>
    <w:rsid w:val="00DE7BA3"/>
    <w:rsid w:val="00DE7BB8"/>
    <w:rsid w:val="00DE7ED1"/>
    <w:rsid w:val="00DF014C"/>
    <w:rsid w:val="00DF0358"/>
    <w:rsid w:val="00DF03C1"/>
    <w:rsid w:val="00DF0699"/>
    <w:rsid w:val="00DF078D"/>
    <w:rsid w:val="00DF0822"/>
    <w:rsid w:val="00DF08B1"/>
    <w:rsid w:val="00DF0991"/>
    <w:rsid w:val="00DF09CA"/>
    <w:rsid w:val="00DF0B18"/>
    <w:rsid w:val="00DF0C4E"/>
    <w:rsid w:val="00DF0CAB"/>
    <w:rsid w:val="00DF0F32"/>
    <w:rsid w:val="00DF0F4C"/>
    <w:rsid w:val="00DF109E"/>
    <w:rsid w:val="00DF10B0"/>
    <w:rsid w:val="00DF1104"/>
    <w:rsid w:val="00DF12C5"/>
    <w:rsid w:val="00DF135B"/>
    <w:rsid w:val="00DF1408"/>
    <w:rsid w:val="00DF1483"/>
    <w:rsid w:val="00DF14A9"/>
    <w:rsid w:val="00DF14C5"/>
    <w:rsid w:val="00DF15B1"/>
    <w:rsid w:val="00DF16F2"/>
    <w:rsid w:val="00DF17DE"/>
    <w:rsid w:val="00DF1830"/>
    <w:rsid w:val="00DF1AA8"/>
    <w:rsid w:val="00DF1CB9"/>
    <w:rsid w:val="00DF1D8F"/>
    <w:rsid w:val="00DF1E10"/>
    <w:rsid w:val="00DF1ED4"/>
    <w:rsid w:val="00DF1EE6"/>
    <w:rsid w:val="00DF1F66"/>
    <w:rsid w:val="00DF1FBE"/>
    <w:rsid w:val="00DF20B6"/>
    <w:rsid w:val="00DF2290"/>
    <w:rsid w:val="00DF2563"/>
    <w:rsid w:val="00DF25C1"/>
    <w:rsid w:val="00DF25EC"/>
    <w:rsid w:val="00DF26F4"/>
    <w:rsid w:val="00DF29A0"/>
    <w:rsid w:val="00DF2AA7"/>
    <w:rsid w:val="00DF2C01"/>
    <w:rsid w:val="00DF2C77"/>
    <w:rsid w:val="00DF2DAF"/>
    <w:rsid w:val="00DF2DC1"/>
    <w:rsid w:val="00DF2DC5"/>
    <w:rsid w:val="00DF2E6E"/>
    <w:rsid w:val="00DF2F28"/>
    <w:rsid w:val="00DF2F7D"/>
    <w:rsid w:val="00DF3016"/>
    <w:rsid w:val="00DF3317"/>
    <w:rsid w:val="00DF3447"/>
    <w:rsid w:val="00DF347E"/>
    <w:rsid w:val="00DF35BA"/>
    <w:rsid w:val="00DF35F1"/>
    <w:rsid w:val="00DF381E"/>
    <w:rsid w:val="00DF386B"/>
    <w:rsid w:val="00DF38B3"/>
    <w:rsid w:val="00DF39F8"/>
    <w:rsid w:val="00DF3B93"/>
    <w:rsid w:val="00DF3D06"/>
    <w:rsid w:val="00DF3D8D"/>
    <w:rsid w:val="00DF3E9B"/>
    <w:rsid w:val="00DF3EE8"/>
    <w:rsid w:val="00DF415C"/>
    <w:rsid w:val="00DF4262"/>
    <w:rsid w:val="00DF4372"/>
    <w:rsid w:val="00DF4463"/>
    <w:rsid w:val="00DF44D2"/>
    <w:rsid w:val="00DF4796"/>
    <w:rsid w:val="00DF482C"/>
    <w:rsid w:val="00DF485B"/>
    <w:rsid w:val="00DF48CF"/>
    <w:rsid w:val="00DF4976"/>
    <w:rsid w:val="00DF498F"/>
    <w:rsid w:val="00DF4A40"/>
    <w:rsid w:val="00DF4A4A"/>
    <w:rsid w:val="00DF4D7F"/>
    <w:rsid w:val="00DF4D96"/>
    <w:rsid w:val="00DF51E2"/>
    <w:rsid w:val="00DF5478"/>
    <w:rsid w:val="00DF5635"/>
    <w:rsid w:val="00DF5715"/>
    <w:rsid w:val="00DF5781"/>
    <w:rsid w:val="00DF579F"/>
    <w:rsid w:val="00DF57A2"/>
    <w:rsid w:val="00DF57BC"/>
    <w:rsid w:val="00DF5960"/>
    <w:rsid w:val="00DF5AD8"/>
    <w:rsid w:val="00DF5B7D"/>
    <w:rsid w:val="00DF5C15"/>
    <w:rsid w:val="00DF5DE4"/>
    <w:rsid w:val="00DF5E33"/>
    <w:rsid w:val="00DF5F32"/>
    <w:rsid w:val="00DF6131"/>
    <w:rsid w:val="00DF6200"/>
    <w:rsid w:val="00DF62BE"/>
    <w:rsid w:val="00DF6470"/>
    <w:rsid w:val="00DF65D0"/>
    <w:rsid w:val="00DF6623"/>
    <w:rsid w:val="00DF66AB"/>
    <w:rsid w:val="00DF6702"/>
    <w:rsid w:val="00DF6773"/>
    <w:rsid w:val="00DF6793"/>
    <w:rsid w:val="00DF68F4"/>
    <w:rsid w:val="00DF696D"/>
    <w:rsid w:val="00DF6A37"/>
    <w:rsid w:val="00DF6C2B"/>
    <w:rsid w:val="00DF6C90"/>
    <w:rsid w:val="00DF6E11"/>
    <w:rsid w:val="00DF6F05"/>
    <w:rsid w:val="00DF7058"/>
    <w:rsid w:val="00DF7077"/>
    <w:rsid w:val="00DF714E"/>
    <w:rsid w:val="00DF7187"/>
    <w:rsid w:val="00DF719B"/>
    <w:rsid w:val="00DF74CF"/>
    <w:rsid w:val="00DF75AD"/>
    <w:rsid w:val="00DF771D"/>
    <w:rsid w:val="00DF7778"/>
    <w:rsid w:val="00DF77D0"/>
    <w:rsid w:val="00DF77E0"/>
    <w:rsid w:val="00DF7886"/>
    <w:rsid w:val="00DF797A"/>
    <w:rsid w:val="00DF79F3"/>
    <w:rsid w:val="00DF7AC9"/>
    <w:rsid w:val="00DF7B8B"/>
    <w:rsid w:val="00DF7BC9"/>
    <w:rsid w:val="00DF7D48"/>
    <w:rsid w:val="00DF7D61"/>
    <w:rsid w:val="00DF7E26"/>
    <w:rsid w:val="00DF7EB2"/>
    <w:rsid w:val="00E00042"/>
    <w:rsid w:val="00E00224"/>
    <w:rsid w:val="00E0049C"/>
    <w:rsid w:val="00E00ED0"/>
    <w:rsid w:val="00E00F7C"/>
    <w:rsid w:val="00E01125"/>
    <w:rsid w:val="00E01157"/>
    <w:rsid w:val="00E01385"/>
    <w:rsid w:val="00E014EE"/>
    <w:rsid w:val="00E01533"/>
    <w:rsid w:val="00E0165F"/>
    <w:rsid w:val="00E016D6"/>
    <w:rsid w:val="00E01A3A"/>
    <w:rsid w:val="00E01A4C"/>
    <w:rsid w:val="00E01AC1"/>
    <w:rsid w:val="00E01ADD"/>
    <w:rsid w:val="00E01AFA"/>
    <w:rsid w:val="00E01C2C"/>
    <w:rsid w:val="00E01CE6"/>
    <w:rsid w:val="00E01E12"/>
    <w:rsid w:val="00E01E7A"/>
    <w:rsid w:val="00E01EAD"/>
    <w:rsid w:val="00E01FCC"/>
    <w:rsid w:val="00E0272B"/>
    <w:rsid w:val="00E02779"/>
    <w:rsid w:val="00E027CE"/>
    <w:rsid w:val="00E028CE"/>
    <w:rsid w:val="00E029A0"/>
    <w:rsid w:val="00E02A01"/>
    <w:rsid w:val="00E02AA8"/>
    <w:rsid w:val="00E02DCE"/>
    <w:rsid w:val="00E02F09"/>
    <w:rsid w:val="00E02FDC"/>
    <w:rsid w:val="00E030AA"/>
    <w:rsid w:val="00E036F6"/>
    <w:rsid w:val="00E03765"/>
    <w:rsid w:val="00E03800"/>
    <w:rsid w:val="00E03880"/>
    <w:rsid w:val="00E03A2B"/>
    <w:rsid w:val="00E03B1E"/>
    <w:rsid w:val="00E03B2C"/>
    <w:rsid w:val="00E03EBE"/>
    <w:rsid w:val="00E03F66"/>
    <w:rsid w:val="00E03FAC"/>
    <w:rsid w:val="00E03FC8"/>
    <w:rsid w:val="00E03FD8"/>
    <w:rsid w:val="00E04054"/>
    <w:rsid w:val="00E040C1"/>
    <w:rsid w:val="00E040F0"/>
    <w:rsid w:val="00E0426E"/>
    <w:rsid w:val="00E043F9"/>
    <w:rsid w:val="00E04675"/>
    <w:rsid w:val="00E047EE"/>
    <w:rsid w:val="00E04938"/>
    <w:rsid w:val="00E04985"/>
    <w:rsid w:val="00E049E0"/>
    <w:rsid w:val="00E04CE0"/>
    <w:rsid w:val="00E04D2B"/>
    <w:rsid w:val="00E04DC7"/>
    <w:rsid w:val="00E04EFE"/>
    <w:rsid w:val="00E04F5E"/>
    <w:rsid w:val="00E05100"/>
    <w:rsid w:val="00E051E6"/>
    <w:rsid w:val="00E0533B"/>
    <w:rsid w:val="00E055C2"/>
    <w:rsid w:val="00E055F5"/>
    <w:rsid w:val="00E05768"/>
    <w:rsid w:val="00E05A6E"/>
    <w:rsid w:val="00E05AE5"/>
    <w:rsid w:val="00E05AE8"/>
    <w:rsid w:val="00E05C76"/>
    <w:rsid w:val="00E05D8D"/>
    <w:rsid w:val="00E05E69"/>
    <w:rsid w:val="00E05F68"/>
    <w:rsid w:val="00E05F75"/>
    <w:rsid w:val="00E05F7B"/>
    <w:rsid w:val="00E0600F"/>
    <w:rsid w:val="00E06017"/>
    <w:rsid w:val="00E06152"/>
    <w:rsid w:val="00E06268"/>
    <w:rsid w:val="00E062D8"/>
    <w:rsid w:val="00E062EF"/>
    <w:rsid w:val="00E0632D"/>
    <w:rsid w:val="00E0638E"/>
    <w:rsid w:val="00E0649A"/>
    <w:rsid w:val="00E064BF"/>
    <w:rsid w:val="00E0662D"/>
    <w:rsid w:val="00E068BB"/>
    <w:rsid w:val="00E069D6"/>
    <w:rsid w:val="00E06A17"/>
    <w:rsid w:val="00E06BBF"/>
    <w:rsid w:val="00E0717C"/>
    <w:rsid w:val="00E07353"/>
    <w:rsid w:val="00E0735F"/>
    <w:rsid w:val="00E075A1"/>
    <w:rsid w:val="00E07762"/>
    <w:rsid w:val="00E077BE"/>
    <w:rsid w:val="00E077F2"/>
    <w:rsid w:val="00E07864"/>
    <w:rsid w:val="00E0799D"/>
    <w:rsid w:val="00E079B0"/>
    <w:rsid w:val="00E07A3E"/>
    <w:rsid w:val="00E07A71"/>
    <w:rsid w:val="00E07E17"/>
    <w:rsid w:val="00E07F2E"/>
    <w:rsid w:val="00E07F5B"/>
    <w:rsid w:val="00E10289"/>
    <w:rsid w:val="00E10571"/>
    <w:rsid w:val="00E10608"/>
    <w:rsid w:val="00E106B2"/>
    <w:rsid w:val="00E10797"/>
    <w:rsid w:val="00E107AC"/>
    <w:rsid w:val="00E108EA"/>
    <w:rsid w:val="00E10D39"/>
    <w:rsid w:val="00E10EB9"/>
    <w:rsid w:val="00E10F52"/>
    <w:rsid w:val="00E10FFF"/>
    <w:rsid w:val="00E112CC"/>
    <w:rsid w:val="00E1136B"/>
    <w:rsid w:val="00E11516"/>
    <w:rsid w:val="00E115B3"/>
    <w:rsid w:val="00E11619"/>
    <w:rsid w:val="00E11735"/>
    <w:rsid w:val="00E119D4"/>
    <w:rsid w:val="00E11A21"/>
    <w:rsid w:val="00E11B39"/>
    <w:rsid w:val="00E11B55"/>
    <w:rsid w:val="00E11BBF"/>
    <w:rsid w:val="00E11C11"/>
    <w:rsid w:val="00E11C8B"/>
    <w:rsid w:val="00E11D08"/>
    <w:rsid w:val="00E11EA7"/>
    <w:rsid w:val="00E11FE4"/>
    <w:rsid w:val="00E11FFC"/>
    <w:rsid w:val="00E1242F"/>
    <w:rsid w:val="00E1243B"/>
    <w:rsid w:val="00E124E1"/>
    <w:rsid w:val="00E1270B"/>
    <w:rsid w:val="00E1278C"/>
    <w:rsid w:val="00E12854"/>
    <w:rsid w:val="00E1288F"/>
    <w:rsid w:val="00E1298E"/>
    <w:rsid w:val="00E129F1"/>
    <w:rsid w:val="00E12DC7"/>
    <w:rsid w:val="00E12DFB"/>
    <w:rsid w:val="00E12FB0"/>
    <w:rsid w:val="00E13138"/>
    <w:rsid w:val="00E13172"/>
    <w:rsid w:val="00E13222"/>
    <w:rsid w:val="00E133C7"/>
    <w:rsid w:val="00E133E1"/>
    <w:rsid w:val="00E134C9"/>
    <w:rsid w:val="00E13584"/>
    <w:rsid w:val="00E135C2"/>
    <w:rsid w:val="00E1362B"/>
    <w:rsid w:val="00E1364F"/>
    <w:rsid w:val="00E13662"/>
    <w:rsid w:val="00E1366C"/>
    <w:rsid w:val="00E13870"/>
    <w:rsid w:val="00E13885"/>
    <w:rsid w:val="00E138FC"/>
    <w:rsid w:val="00E13AE6"/>
    <w:rsid w:val="00E13CD8"/>
    <w:rsid w:val="00E13CD9"/>
    <w:rsid w:val="00E13CF5"/>
    <w:rsid w:val="00E13DC1"/>
    <w:rsid w:val="00E13E0C"/>
    <w:rsid w:val="00E13E90"/>
    <w:rsid w:val="00E14250"/>
    <w:rsid w:val="00E143A1"/>
    <w:rsid w:val="00E143F4"/>
    <w:rsid w:val="00E14508"/>
    <w:rsid w:val="00E14608"/>
    <w:rsid w:val="00E1460C"/>
    <w:rsid w:val="00E14676"/>
    <w:rsid w:val="00E1472C"/>
    <w:rsid w:val="00E14768"/>
    <w:rsid w:val="00E147D5"/>
    <w:rsid w:val="00E149AF"/>
    <w:rsid w:val="00E14B18"/>
    <w:rsid w:val="00E14B33"/>
    <w:rsid w:val="00E14B41"/>
    <w:rsid w:val="00E14CCE"/>
    <w:rsid w:val="00E14D75"/>
    <w:rsid w:val="00E14EB4"/>
    <w:rsid w:val="00E1506B"/>
    <w:rsid w:val="00E1518F"/>
    <w:rsid w:val="00E1534C"/>
    <w:rsid w:val="00E15434"/>
    <w:rsid w:val="00E15568"/>
    <w:rsid w:val="00E15640"/>
    <w:rsid w:val="00E1567D"/>
    <w:rsid w:val="00E157F9"/>
    <w:rsid w:val="00E1596E"/>
    <w:rsid w:val="00E15A82"/>
    <w:rsid w:val="00E15C20"/>
    <w:rsid w:val="00E15D91"/>
    <w:rsid w:val="00E15DDC"/>
    <w:rsid w:val="00E15EA3"/>
    <w:rsid w:val="00E161C9"/>
    <w:rsid w:val="00E165EF"/>
    <w:rsid w:val="00E16643"/>
    <w:rsid w:val="00E16754"/>
    <w:rsid w:val="00E168EA"/>
    <w:rsid w:val="00E169EC"/>
    <w:rsid w:val="00E16A59"/>
    <w:rsid w:val="00E16B3B"/>
    <w:rsid w:val="00E16C2B"/>
    <w:rsid w:val="00E16C6A"/>
    <w:rsid w:val="00E16CB0"/>
    <w:rsid w:val="00E16D96"/>
    <w:rsid w:val="00E16E91"/>
    <w:rsid w:val="00E16E98"/>
    <w:rsid w:val="00E17060"/>
    <w:rsid w:val="00E171E2"/>
    <w:rsid w:val="00E1734D"/>
    <w:rsid w:val="00E17455"/>
    <w:rsid w:val="00E175C1"/>
    <w:rsid w:val="00E17721"/>
    <w:rsid w:val="00E1775E"/>
    <w:rsid w:val="00E17772"/>
    <w:rsid w:val="00E177FE"/>
    <w:rsid w:val="00E17932"/>
    <w:rsid w:val="00E17A68"/>
    <w:rsid w:val="00E17A8A"/>
    <w:rsid w:val="00E17B09"/>
    <w:rsid w:val="00E17BEE"/>
    <w:rsid w:val="00E17C8D"/>
    <w:rsid w:val="00E17E22"/>
    <w:rsid w:val="00E17E53"/>
    <w:rsid w:val="00E20071"/>
    <w:rsid w:val="00E203C1"/>
    <w:rsid w:val="00E2040D"/>
    <w:rsid w:val="00E2053E"/>
    <w:rsid w:val="00E20776"/>
    <w:rsid w:val="00E20A5E"/>
    <w:rsid w:val="00E20ABE"/>
    <w:rsid w:val="00E20B06"/>
    <w:rsid w:val="00E20B57"/>
    <w:rsid w:val="00E20D8F"/>
    <w:rsid w:val="00E20E4B"/>
    <w:rsid w:val="00E20F5E"/>
    <w:rsid w:val="00E21010"/>
    <w:rsid w:val="00E213C8"/>
    <w:rsid w:val="00E21452"/>
    <w:rsid w:val="00E21529"/>
    <w:rsid w:val="00E2152F"/>
    <w:rsid w:val="00E21761"/>
    <w:rsid w:val="00E217CE"/>
    <w:rsid w:val="00E2185A"/>
    <w:rsid w:val="00E21947"/>
    <w:rsid w:val="00E21959"/>
    <w:rsid w:val="00E219BA"/>
    <w:rsid w:val="00E219F6"/>
    <w:rsid w:val="00E21BDE"/>
    <w:rsid w:val="00E21C98"/>
    <w:rsid w:val="00E21D4C"/>
    <w:rsid w:val="00E21DA6"/>
    <w:rsid w:val="00E21DC9"/>
    <w:rsid w:val="00E22092"/>
    <w:rsid w:val="00E2209D"/>
    <w:rsid w:val="00E220D8"/>
    <w:rsid w:val="00E221B5"/>
    <w:rsid w:val="00E2229D"/>
    <w:rsid w:val="00E222B1"/>
    <w:rsid w:val="00E223F8"/>
    <w:rsid w:val="00E22487"/>
    <w:rsid w:val="00E22854"/>
    <w:rsid w:val="00E22A98"/>
    <w:rsid w:val="00E22AA4"/>
    <w:rsid w:val="00E22AE5"/>
    <w:rsid w:val="00E22B01"/>
    <w:rsid w:val="00E22B48"/>
    <w:rsid w:val="00E22B85"/>
    <w:rsid w:val="00E22BF7"/>
    <w:rsid w:val="00E22CE9"/>
    <w:rsid w:val="00E22D51"/>
    <w:rsid w:val="00E22D6F"/>
    <w:rsid w:val="00E2304D"/>
    <w:rsid w:val="00E23107"/>
    <w:rsid w:val="00E233BA"/>
    <w:rsid w:val="00E2363D"/>
    <w:rsid w:val="00E23707"/>
    <w:rsid w:val="00E23798"/>
    <w:rsid w:val="00E2380B"/>
    <w:rsid w:val="00E23911"/>
    <w:rsid w:val="00E239B4"/>
    <w:rsid w:val="00E23A14"/>
    <w:rsid w:val="00E23A73"/>
    <w:rsid w:val="00E23B83"/>
    <w:rsid w:val="00E23CF7"/>
    <w:rsid w:val="00E23D41"/>
    <w:rsid w:val="00E23D86"/>
    <w:rsid w:val="00E23EDE"/>
    <w:rsid w:val="00E2410D"/>
    <w:rsid w:val="00E2438C"/>
    <w:rsid w:val="00E24433"/>
    <w:rsid w:val="00E244BF"/>
    <w:rsid w:val="00E245CE"/>
    <w:rsid w:val="00E245FC"/>
    <w:rsid w:val="00E247C1"/>
    <w:rsid w:val="00E24928"/>
    <w:rsid w:val="00E24966"/>
    <w:rsid w:val="00E24A34"/>
    <w:rsid w:val="00E24D09"/>
    <w:rsid w:val="00E24D18"/>
    <w:rsid w:val="00E24D62"/>
    <w:rsid w:val="00E24F1E"/>
    <w:rsid w:val="00E25152"/>
    <w:rsid w:val="00E251AD"/>
    <w:rsid w:val="00E251DB"/>
    <w:rsid w:val="00E2531D"/>
    <w:rsid w:val="00E2533D"/>
    <w:rsid w:val="00E253CA"/>
    <w:rsid w:val="00E254AA"/>
    <w:rsid w:val="00E254D1"/>
    <w:rsid w:val="00E256A3"/>
    <w:rsid w:val="00E256EA"/>
    <w:rsid w:val="00E25966"/>
    <w:rsid w:val="00E25BB7"/>
    <w:rsid w:val="00E25BBA"/>
    <w:rsid w:val="00E25C37"/>
    <w:rsid w:val="00E25C5F"/>
    <w:rsid w:val="00E25D5B"/>
    <w:rsid w:val="00E25DA2"/>
    <w:rsid w:val="00E25DB3"/>
    <w:rsid w:val="00E25E36"/>
    <w:rsid w:val="00E25F70"/>
    <w:rsid w:val="00E2610E"/>
    <w:rsid w:val="00E26139"/>
    <w:rsid w:val="00E2620A"/>
    <w:rsid w:val="00E2629D"/>
    <w:rsid w:val="00E26388"/>
    <w:rsid w:val="00E263A8"/>
    <w:rsid w:val="00E2645A"/>
    <w:rsid w:val="00E26563"/>
    <w:rsid w:val="00E266E2"/>
    <w:rsid w:val="00E2672D"/>
    <w:rsid w:val="00E26AD8"/>
    <w:rsid w:val="00E26DED"/>
    <w:rsid w:val="00E26E63"/>
    <w:rsid w:val="00E27141"/>
    <w:rsid w:val="00E27187"/>
    <w:rsid w:val="00E27287"/>
    <w:rsid w:val="00E27476"/>
    <w:rsid w:val="00E27501"/>
    <w:rsid w:val="00E2756E"/>
    <w:rsid w:val="00E27577"/>
    <w:rsid w:val="00E276D0"/>
    <w:rsid w:val="00E27717"/>
    <w:rsid w:val="00E2778A"/>
    <w:rsid w:val="00E27792"/>
    <w:rsid w:val="00E277A4"/>
    <w:rsid w:val="00E27813"/>
    <w:rsid w:val="00E27826"/>
    <w:rsid w:val="00E2799A"/>
    <w:rsid w:val="00E27AEF"/>
    <w:rsid w:val="00E27AF3"/>
    <w:rsid w:val="00E27BDD"/>
    <w:rsid w:val="00E27D32"/>
    <w:rsid w:val="00E3006C"/>
    <w:rsid w:val="00E30196"/>
    <w:rsid w:val="00E30339"/>
    <w:rsid w:val="00E307C4"/>
    <w:rsid w:val="00E307FC"/>
    <w:rsid w:val="00E308C9"/>
    <w:rsid w:val="00E30967"/>
    <w:rsid w:val="00E30B58"/>
    <w:rsid w:val="00E30EBF"/>
    <w:rsid w:val="00E30ED4"/>
    <w:rsid w:val="00E30FC4"/>
    <w:rsid w:val="00E30FC8"/>
    <w:rsid w:val="00E31073"/>
    <w:rsid w:val="00E312C6"/>
    <w:rsid w:val="00E313BC"/>
    <w:rsid w:val="00E313EA"/>
    <w:rsid w:val="00E3141E"/>
    <w:rsid w:val="00E31530"/>
    <w:rsid w:val="00E3159C"/>
    <w:rsid w:val="00E31754"/>
    <w:rsid w:val="00E317A1"/>
    <w:rsid w:val="00E317E6"/>
    <w:rsid w:val="00E318F6"/>
    <w:rsid w:val="00E3194A"/>
    <w:rsid w:val="00E31C42"/>
    <w:rsid w:val="00E31C7B"/>
    <w:rsid w:val="00E31DF5"/>
    <w:rsid w:val="00E32015"/>
    <w:rsid w:val="00E321AF"/>
    <w:rsid w:val="00E3222D"/>
    <w:rsid w:val="00E32367"/>
    <w:rsid w:val="00E323C6"/>
    <w:rsid w:val="00E32489"/>
    <w:rsid w:val="00E327E3"/>
    <w:rsid w:val="00E3282B"/>
    <w:rsid w:val="00E328A7"/>
    <w:rsid w:val="00E328AD"/>
    <w:rsid w:val="00E32AAB"/>
    <w:rsid w:val="00E32BB0"/>
    <w:rsid w:val="00E32E6E"/>
    <w:rsid w:val="00E32E9C"/>
    <w:rsid w:val="00E32EFF"/>
    <w:rsid w:val="00E3305E"/>
    <w:rsid w:val="00E33143"/>
    <w:rsid w:val="00E3341A"/>
    <w:rsid w:val="00E33680"/>
    <w:rsid w:val="00E3382D"/>
    <w:rsid w:val="00E3388B"/>
    <w:rsid w:val="00E3388E"/>
    <w:rsid w:val="00E33892"/>
    <w:rsid w:val="00E3391D"/>
    <w:rsid w:val="00E33A64"/>
    <w:rsid w:val="00E33B77"/>
    <w:rsid w:val="00E33D66"/>
    <w:rsid w:val="00E33F02"/>
    <w:rsid w:val="00E33F5D"/>
    <w:rsid w:val="00E33FDF"/>
    <w:rsid w:val="00E3402D"/>
    <w:rsid w:val="00E3417F"/>
    <w:rsid w:val="00E341A7"/>
    <w:rsid w:val="00E3448D"/>
    <w:rsid w:val="00E344B0"/>
    <w:rsid w:val="00E344FB"/>
    <w:rsid w:val="00E34508"/>
    <w:rsid w:val="00E3454B"/>
    <w:rsid w:val="00E345B8"/>
    <w:rsid w:val="00E345F7"/>
    <w:rsid w:val="00E34707"/>
    <w:rsid w:val="00E3482A"/>
    <w:rsid w:val="00E34BA6"/>
    <w:rsid w:val="00E34C31"/>
    <w:rsid w:val="00E34E56"/>
    <w:rsid w:val="00E34ED7"/>
    <w:rsid w:val="00E34F1D"/>
    <w:rsid w:val="00E350B9"/>
    <w:rsid w:val="00E35116"/>
    <w:rsid w:val="00E352F8"/>
    <w:rsid w:val="00E35469"/>
    <w:rsid w:val="00E3546C"/>
    <w:rsid w:val="00E356B1"/>
    <w:rsid w:val="00E356C7"/>
    <w:rsid w:val="00E3573C"/>
    <w:rsid w:val="00E35773"/>
    <w:rsid w:val="00E35999"/>
    <w:rsid w:val="00E35A24"/>
    <w:rsid w:val="00E35BEF"/>
    <w:rsid w:val="00E35C5C"/>
    <w:rsid w:val="00E35CD8"/>
    <w:rsid w:val="00E35E9A"/>
    <w:rsid w:val="00E35ECB"/>
    <w:rsid w:val="00E35FA1"/>
    <w:rsid w:val="00E3647D"/>
    <w:rsid w:val="00E364A1"/>
    <w:rsid w:val="00E364F8"/>
    <w:rsid w:val="00E3655E"/>
    <w:rsid w:val="00E36787"/>
    <w:rsid w:val="00E36846"/>
    <w:rsid w:val="00E36960"/>
    <w:rsid w:val="00E36A52"/>
    <w:rsid w:val="00E36B82"/>
    <w:rsid w:val="00E36CE3"/>
    <w:rsid w:val="00E36E5B"/>
    <w:rsid w:val="00E36EE5"/>
    <w:rsid w:val="00E36F10"/>
    <w:rsid w:val="00E36F99"/>
    <w:rsid w:val="00E3709C"/>
    <w:rsid w:val="00E37172"/>
    <w:rsid w:val="00E37287"/>
    <w:rsid w:val="00E37439"/>
    <w:rsid w:val="00E37449"/>
    <w:rsid w:val="00E37649"/>
    <w:rsid w:val="00E37842"/>
    <w:rsid w:val="00E37910"/>
    <w:rsid w:val="00E3799F"/>
    <w:rsid w:val="00E37A94"/>
    <w:rsid w:val="00E37B1F"/>
    <w:rsid w:val="00E40082"/>
    <w:rsid w:val="00E40117"/>
    <w:rsid w:val="00E40168"/>
    <w:rsid w:val="00E403C2"/>
    <w:rsid w:val="00E40421"/>
    <w:rsid w:val="00E40789"/>
    <w:rsid w:val="00E4094F"/>
    <w:rsid w:val="00E409CB"/>
    <w:rsid w:val="00E40A1F"/>
    <w:rsid w:val="00E40B6A"/>
    <w:rsid w:val="00E40BD6"/>
    <w:rsid w:val="00E40C3A"/>
    <w:rsid w:val="00E40C5A"/>
    <w:rsid w:val="00E40D8F"/>
    <w:rsid w:val="00E40DC1"/>
    <w:rsid w:val="00E40DEF"/>
    <w:rsid w:val="00E40E2B"/>
    <w:rsid w:val="00E40EAC"/>
    <w:rsid w:val="00E4108C"/>
    <w:rsid w:val="00E41117"/>
    <w:rsid w:val="00E41120"/>
    <w:rsid w:val="00E414EF"/>
    <w:rsid w:val="00E4159B"/>
    <w:rsid w:val="00E415A1"/>
    <w:rsid w:val="00E417E0"/>
    <w:rsid w:val="00E4184C"/>
    <w:rsid w:val="00E41A15"/>
    <w:rsid w:val="00E41B76"/>
    <w:rsid w:val="00E41ED0"/>
    <w:rsid w:val="00E42107"/>
    <w:rsid w:val="00E42143"/>
    <w:rsid w:val="00E421D9"/>
    <w:rsid w:val="00E4235C"/>
    <w:rsid w:val="00E42369"/>
    <w:rsid w:val="00E4245D"/>
    <w:rsid w:val="00E42627"/>
    <w:rsid w:val="00E426CD"/>
    <w:rsid w:val="00E42821"/>
    <w:rsid w:val="00E4284A"/>
    <w:rsid w:val="00E42B8F"/>
    <w:rsid w:val="00E42C9A"/>
    <w:rsid w:val="00E42D45"/>
    <w:rsid w:val="00E42E18"/>
    <w:rsid w:val="00E42FFB"/>
    <w:rsid w:val="00E43121"/>
    <w:rsid w:val="00E4319F"/>
    <w:rsid w:val="00E431F4"/>
    <w:rsid w:val="00E432EF"/>
    <w:rsid w:val="00E4337C"/>
    <w:rsid w:val="00E43457"/>
    <w:rsid w:val="00E43488"/>
    <w:rsid w:val="00E435D0"/>
    <w:rsid w:val="00E436A1"/>
    <w:rsid w:val="00E438D5"/>
    <w:rsid w:val="00E43BF7"/>
    <w:rsid w:val="00E43D6C"/>
    <w:rsid w:val="00E43FA5"/>
    <w:rsid w:val="00E4405E"/>
    <w:rsid w:val="00E44082"/>
    <w:rsid w:val="00E441A5"/>
    <w:rsid w:val="00E44203"/>
    <w:rsid w:val="00E442A4"/>
    <w:rsid w:val="00E44309"/>
    <w:rsid w:val="00E44339"/>
    <w:rsid w:val="00E443F6"/>
    <w:rsid w:val="00E44410"/>
    <w:rsid w:val="00E4442D"/>
    <w:rsid w:val="00E44520"/>
    <w:rsid w:val="00E4454D"/>
    <w:rsid w:val="00E4468D"/>
    <w:rsid w:val="00E446B1"/>
    <w:rsid w:val="00E44827"/>
    <w:rsid w:val="00E44896"/>
    <w:rsid w:val="00E44928"/>
    <w:rsid w:val="00E4498E"/>
    <w:rsid w:val="00E449DA"/>
    <w:rsid w:val="00E449F4"/>
    <w:rsid w:val="00E44A30"/>
    <w:rsid w:val="00E44B36"/>
    <w:rsid w:val="00E44D56"/>
    <w:rsid w:val="00E44E5A"/>
    <w:rsid w:val="00E44E69"/>
    <w:rsid w:val="00E44FFC"/>
    <w:rsid w:val="00E450A2"/>
    <w:rsid w:val="00E451FC"/>
    <w:rsid w:val="00E452B4"/>
    <w:rsid w:val="00E452B7"/>
    <w:rsid w:val="00E452CE"/>
    <w:rsid w:val="00E454E0"/>
    <w:rsid w:val="00E455DF"/>
    <w:rsid w:val="00E45601"/>
    <w:rsid w:val="00E45748"/>
    <w:rsid w:val="00E45760"/>
    <w:rsid w:val="00E459DD"/>
    <w:rsid w:val="00E45B10"/>
    <w:rsid w:val="00E45B45"/>
    <w:rsid w:val="00E45E78"/>
    <w:rsid w:val="00E4606F"/>
    <w:rsid w:val="00E4607A"/>
    <w:rsid w:val="00E46134"/>
    <w:rsid w:val="00E46211"/>
    <w:rsid w:val="00E4621D"/>
    <w:rsid w:val="00E46269"/>
    <w:rsid w:val="00E464A8"/>
    <w:rsid w:val="00E4661B"/>
    <w:rsid w:val="00E4668E"/>
    <w:rsid w:val="00E4670C"/>
    <w:rsid w:val="00E467E9"/>
    <w:rsid w:val="00E4680C"/>
    <w:rsid w:val="00E46814"/>
    <w:rsid w:val="00E4683E"/>
    <w:rsid w:val="00E4697F"/>
    <w:rsid w:val="00E46A0B"/>
    <w:rsid w:val="00E46B52"/>
    <w:rsid w:val="00E46E67"/>
    <w:rsid w:val="00E47095"/>
    <w:rsid w:val="00E47110"/>
    <w:rsid w:val="00E47113"/>
    <w:rsid w:val="00E471B3"/>
    <w:rsid w:val="00E4721E"/>
    <w:rsid w:val="00E47416"/>
    <w:rsid w:val="00E4786C"/>
    <w:rsid w:val="00E47967"/>
    <w:rsid w:val="00E47BEE"/>
    <w:rsid w:val="00E47CAF"/>
    <w:rsid w:val="00E47CE7"/>
    <w:rsid w:val="00E47DF4"/>
    <w:rsid w:val="00E47E44"/>
    <w:rsid w:val="00E47FBF"/>
    <w:rsid w:val="00E5001D"/>
    <w:rsid w:val="00E50207"/>
    <w:rsid w:val="00E5029E"/>
    <w:rsid w:val="00E50350"/>
    <w:rsid w:val="00E504B6"/>
    <w:rsid w:val="00E5054E"/>
    <w:rsid w:val="00E50644"/>
    <w:rsid w:val="00E506BA"/>
    <w:rsid w:val="00E507AA"/>
    <w:rsid w:val="00E50B82"/>
    <w:rsid w:val="00E50BF1"/>
    <w:rsid w:val="00E50C56"/>
    <w:rsid w:val="00E50E20"/>
    <w:rsid w:val="00E50E7C"/>
    <w:rsid w:val="00E5101C"/>
    <w:rsid w:val="00E51038"/>
    <w:rsid w:val="00E51076"/>
    <w:rsid w:val="00E510E2"/>
    <w:rsid w:val="00E51139"/>
    <w:rsid w:val="00E512B8"/>
    <w:rsid w:val="00E513A8"/>
    <w:rsid w:val="00E514E2"/>
    <w:rsid w:val="00E51545"/>
    <w:rsid w:val="00E51626"/>
    <w:rsid w:val="00E5167C"/>
    <w:rsid w:val="00E51A11"/>
    <w:rsid w:val="00E51A1B"/>
    <w:rsid w:val="00E51A37"/>
    <w:rsid w:val="00E51AB4"/>
    <w:rsid w:val="00E51B36"/>
    <w:rsid w:val="00E51C89"/>
    <w:rsid w:val="00E51D54"/>
    <w:rsid w:val="00E51F99"/>
    <w:rsid w:val="00E521A9"/>
    <w:rsid w:val="00E5263C"/>
    <w:rsid w:val="00E53138"/>
    <w:rsid w:val="00E53200"/>
    <w:rsid w:val="00E53283"/>
    <w:rsid w:val="00E532A1"/>
    <w:rsid w:val="00E53373"/>
    <w:rsid w:val="00E533C2"/>
    <w:rsid w:val="00E533D4"/>
    <w:rsid w:val="00E534C6"/>
    <w:rsid w:val="00E535CF"/>
    <w:rsid w:val="00E5366F"/>
    <w:rsid w:val="00E5387D"/>
    <w:rsid w:val="00E53D28"/>
    <w:rsid w:val="00E53DF6"/>
    <w:rsid w:val="00E53E2B"/>
    <w:rsid w:val="00E53E51"/>
    <w:rsid w:val="00E53E73"/>
    <w:rsid w:val="00E53EAF"/>
    <w:rsid w:val="00E53EF9"/>
    <w:rsid w:val="00E53F74"/>
    <w:rsid w:val="00E53FE6"/>
    <w:rsid w:val="00E5415B"/>
    <w:rsid w:val="00E541EE"/>
    <w:rsid w:val="00E541FA"/>
    <w:rsid w:val="00E54376"/>
    <w:rsid w:val="00E5452C"/>
    <w:rsid w:val="00E546C9"/>
    <w:rsid w:val="00E54AB5"/>
    <w:rsid w:val="00E54AFB"/>
    <w:rsid w:val="00E54BF6"/>
    <w:rsid w:val="00E54C34"/>
    <w:rsid w:val="00E54F8B"/>
    <w:rsid w:val="00E54F8F"/>
    <w:rsid w:val="00E55216"/>
    <w:rsid w:val="00E55326"/>
    <w:rsid w:val="00E5543D"/>
    <w:rsid w:val="00E5553A"/>
    <w:rsid w:val="00E5559F"/>
    <w:rsid w:val="00E556DD"/>
    <w:rsid w:val="00E55959"/>
    <w:rsid w:val="00E559BE"/>
    <w:rsid w:val="00E55EA1"/>
    <w:rsid w:val="00E55F4C"/>
    <w:rsid w:val="00E56015"/>
    <w:rsid w:val="00E560C4"/>
    <w:rsid w:val="00E56223"/>
    <w:rsid w:val="00E562CB"/>
    <w:rsid w:val="00E5631F"/>
    <w:rsid w:val="00E563E3"/>
    <w:rsid w:val="00E569D8"/>
    <w:rsid w:val="00E56AA6"/>
    <w:rsid w:val="00E56C56"/>
    <w:rsid w:val="00E56E68"/>
    <w:rsid w:val="00E56EF0"/>
    <w:rsid w:val="00E57073"/>
    <w:rsid w:val="00E57078"/>
    <w:rsid w:val="00E57094"/>
    <w:rsid w:val="00E5715A"/>
    <w:rsid w:val="00E574BB"/>
    <w:rsid w:val="00E574F5"/>
    <w:rsid w:val="00E5764C"/>
    <w:rsid w:val="00E57A48"/>
    <w:rsid w:val="00E57A7E"/>
    <w:rsid w:val="00E57AA9"/>
    <w:rsid w:val="00E60023"/>
    <w:rsid w:val="00E6028B"/>
    <w:rsid w:val="00E60440"/>
    <w:rsid w:val="00E605B3"/>
    <w:rsid w:val="00E60744"/>
    <w:rsid w:val="00E60838"/>
    <w:rsid w:val="00E60AAB"/>
    <w:rsid w:val="00E60AB0"/>
    <w:rsid w:val="00E60ABD"/>
    <w:rsid w:val="00E60AE6"/>
    <w:rsid w:val="00E60B78"/>
    <w:rsid w:val="00E60C11"/>
    <w:rsid w:val="00E60C47"/>
    <w:rsid w:val="00E60C5F"/>
    <w:rsid w:val="00E60C98"/>
    <w:rsid w:val="00E60DCE"/>
    <w:rsid w:val="00E60DFA"/>
    <w:rsid w:val="00E60EB5"/>
    <w:rsid w:val="00E60F90"/>
    <w:rsid w:val="00E60FBE"/>
    <w:rsid w:val="00E6111E"/>
    <w:rsid w:val="00E611DA"/>
    <w:rsid w:val="00E61337"/>
    <w:rsid w:val="00E61456"/>
    <w:rsid w:val="00E61491"/>
    <w:rsid w:val="00E61687"/>
    <w:rsid w:val="00E61D38"/>
    <w:rsid w:val="00E61F85"/>
    <w:rsid w:val="00E61FE4"/>
    <w:rsid w:val="00E62343"/>
    <w:rsid w:val="00E62348"/>
    <w:rsid w:val="00E62A92"/>
    <w:rsid w:val="00E62C77"/>
    <w:rsid w:val="00E62CD4"/>
    <w:rsid w:val="00E62DE7"/>
    <w:rsid w:val="00E62E1D"/>
    <w:rsid w:val="00E62F9E"/>
    <w:rsid w:val="00E62FD0"/>
    <w:rsid w:val="00E63044"/>
    <w:rsid w:val="00E6307B"/>
    <w:rsid w:val="00E63150"/>
    <w:rsid w:val="00E633AE"/>
    <w:rsid w:val="00E63412"/>
    <w:rsid w:val="00E634E2"/>
    <w:rsid w:val="00E6387B"/>
    <w:rsid w:val="00E63A8E"/>
    <w:rsid w:val="00E63ADE"/>
    <w:rsid w:val="00E63C19"/>
    <w:rsid w:val="00E63CBD"/>
    <w:rsid w:val="00E63F55"/>
    <w:rsid w:val="00E6479B"/>
    <w:rsid w:val="00E648FD"/>
    <w:rsid w:val="00E64A44"/>
    <w:rsid w:val="00E64C3D"/>
    <w:rsid w:val="00E64DE3"/>
    <w:rsid w:val="00E64FBA"/>
    <w:rsid w:val="00E650D8"/>
    <w:rsid w:val="00E65127"/>
    <w:rsid w:val="00E6519C"/>
    <w:rsid w:val="00E65361"/>
    <w:rsid w:val="00E653A8"/>
    <w:rsid w:val="00E6551C"/>
    <w:rsid w:val="00E6551E"/>
    <w:rsid w:val="00E655B9"/>
    <w:rsid w:val="00E6562E"/>
    <w:rsid w:val="00E656C7"/>
    <w:rsid w:val="00E656F7"/>
    <w:rsid w:val="00E658E1"/>
    <w:rsid w:val="00E6595C"/>
    <w:rsid w:val="00E65A82"/>
    <w:rsid w:val="00E65C91"/>
    <w:rsid w:val="00E65D24"/>
    <w:rsid w:val="00E65E92"/>
    <w:rsid w:val="00E65E93"/>
    <w:rsid w:val="00E65E9F"/>
    <w:rsid w:val="00E66046"/>
    <w:rsid w:val="00E661B9"/>
    <w:rsid w:val="00E662B4"/>
    <w:rsid w:val="00E66350"/>
    <w:rsid w:val="00E66518"/>
    <w:rsid w:val="00E6654E"/>
    <w:rsid w:val="00E665AC"/>
    <w:rsid w:val="00E6660B"/>
    <w:rsid w:val="00E666EE"/>
    <w:rsid w:val="00E667C0"/>
    <w:rsid w:val="00E66899"/>
    <w:rsid w:val="00E66B57"/>
    <w:rsid w:val="00E66F42"/>
    <w:rsid w:val="00E66FF1"/>
    <w:rsid w:val="00E670A1"/>
    <w:rsid w:val="00E670B4"/>
    <w:rsid w:val="00E67325"/>
    <w:rsid w:val="00E673FD"/>
    <w:rsid w:val="00E6777D"/>
    <w:rsid w:val="00E677EF"/>
    <w:rsid w:val="00E67860"/>
    <w:rsid w:val="00E678BE"/>
    <w:rsid w:val="00E67A6B"/>
    <w:rsid w:val="00E67A88"/>
    <w:rsid w:val="00E67AD8"/>
    <w:rsid w:val="00E67C05"/>
    <w:rsid w:val="00E67C21"/>
    <w:rsid w:val="00E67C49"/>
    <w:rsid w:val="00E67CA0"/>
    <w:rsid w:val="00E67E30"/>
    <w:rsid w:val="00E67E67"/>
    <w:rsid w:val="00E67EEA"/>
    <w:rsid w:val="00E67F09"/>
    <w:rsid w:val="00E67F99"/>
    <w:rsid w:val="00E67FBE"/>
    <w:rsid w:val="00E70098"/>
    <w:rsid w:val="00E7014E"/>
    <w:rsid w:val="00E701FD"/>
    <w:rsid w:val="00E702C6"/>
    <w:rsid w:val="00E703E1"/>
    <w:rsid w:val="00E704B2"/>
    <w:rsid w:val="00E704F9"/>
    <w:rsid w:val="00E7057E"/>
    <w:rsid w:val="00E706BD"/>
    <w:rsid w:val="00E70762"/>
    <w:rsid w:val="00E707E9"/>
    <w:rsid w:val="00E709C4"/>
    <w:rsid w:val="00E70A41"/>
    <w:rsid w:val="00E70AFB"/>
    <w:rsid w:val="00E70D5B"/>
    <w:rsid w:val="00E70D92"/>
    <w:rsid w:val="00E70DD1"/>
    <w:rsid w:val="00E7100E"/>
    <w:rsid w:val="00E711D7"/>
    <w:rsid w:val="00E71254"/>
    <w:rsid w:val="00E71314"/>
    <w:rsid w:val="00E7133B"/>
    <w:rsid w:val="00E71408"/>
    <w:rsid w:val="00E71488"/>
    <w:rsid w:val="00E71641"/>
    <w:rsid w:val="00E71734"/>
    <w:rsid w:val="00E7178A"/>
    <w:rsid w:val="00E71793"/>
    <w:rsid w:val="00E71A5C"/>
    <w:rsid w:val="00E71D3B"/>
    <w:rsid w:val="00E71EB6"/>
    <w:rsid w:val="00E71F7A"/>
    <w:rsid w:val="00E7236B"/>
    <w:rsid w:val="00E726F5"/>
    <w:rsid w:val="00E7278B"/>
    <w:rsid w:val="00E727C8"/>
    <w:rsid w:val="00E729EB"/>
    <w:rsid w:val="00E729FF"/>
    <w:rsid w:val="00E72AAF"/>
    <w:rsid w:val="00E72CAE"/>
    <w:rsid w:val="00E72D76"/>
    <w:rsid w:val="00E72FC1"/>
    <w:rsid w:val="00E731FB"/>
    <w:rsid w:val="00E735D2"/>
    <w:rsid w:val="00E73691"/>
    <w:rsid w:val="00E7378C"/>
    <w:rsid w:val="00E73821"/>
    <w:rsid w:val="00E73AA6"/>
    <w:rsid w:val="00E73CB1"/>
    <w:rsid w:val="00E73CEB"/>
    <w:rsid w:val="00E73E00"/>
    <w:rsid w:val="00E73E8E"/>
    <w:rsid w:val="00E73ED1"/>
    <w:rsid w:val="00E73EED"/>
    <w:rsid w:val="00E74017"/>
    <w:rsid w:val="00E74389"/>
    <w:rsid w:val="00E74584"/>
    <w:rsid w:val="00E7475D"/>
    <w:rsid w:val="00E748C5"/>
    <w:rsid w:val="00E74929"/>
    <w:rsid w:val="00E74A97"/>
    <w:rsid w:val="00E74C4D"/>
    <w:rsid w:val="00E74D05"/>
    <w:rsid w:val="00E74DCC"/>
    <w:rsid w:val="00E7523E"/>
    <w:rsid w:val="00E7529D"/>
    <w:rsid w:val="00E752C8"/>
    <w:rsid w:val="00E752E3"/>
    <w:rsid w:val="00E75360"/>
    <w:rsid w:val="00E75455"/>
    <w:rsid w:val="00E754FC"/>
    <w:rsid w:val="00E7568D"/>
    <w:rsid w:val="00E756A7"/>
    <w:rsid w:val="00E75761"/>
    <w:rsid w:val="00E757B0"/>
    <w:rsid w:val="00E75840"/>
    <w:rsid w:val="00E759CD"/>
    <w:rsid w:val="00E75D4A"/>
    <w:rsid w:val="00E75E02"/>
    <w:rsid w:val="00E76128"/>
    <w:rsid w:val="00E76141"/>
    <w:rsid w:val="00E76184"/>
    <w:rsid w:val="00E761C6"/>
    <w:rsid w:val="00E766A2"/>
    <w:rsid w:val="00E766B7"/>
    <w:rsid w:val="00E76985"/>
    <w:rsid w:val="00E76997"/>
    <w:rsid w:val="00E76A31"/>
    <w:rsid w:val="00E76F53"/>
    <w:rsid w:val="00E77317"/>
    <w:rsid w:val="00E7745C"/>
    <w:rsid w:val="00E7762B"/>
    <w:rsid w:val="00E77706"/>
    <w:rsid w:val="00E777C6"/>
    <w:rsid w:val="00E77A46"/>
    <w:rsid w:val="00E77B24"/>
    <w:rsid w:val="00E77BE6"/>
    <w:rsid w:val="00E77D2F"/>
    <w:rsid w:val="00E77E37"/>
    <w:rsid w:val="00E77F9D"/>
    <w:rsid w:val="00E77FA2"/>
    <w:rsid w:val="00E8003A"/>
    <w:rsid w:val="00E80179"/>
    <w:rsid w:val="00E802C5"/>
    <w:rsid w:val="00E802F3"/>
    <w:rsid w:val="00E804FD"/>
    <w:rsid w:val="00E8065E"/>
    <w:rsid w:val="00E806AC"/>
    <w:rsid w:val="00E807A0"/>
    <w:rsid w:val="00E807D5"/>
    <w:rsid w:val="00E80881"/>
    <w:rsid w:val="00E80A69"/>
    <w:rsid w:val="00E80ADC"/>
    <w:rsid w:val="00E80C48"/>
    <w:rsid w:val="00E80DAC"/>
    <w:rsid w:val="00E80E0C"/>
    <w:rsid w:val="00E80E35"/>
    <w:rsid w:val="00E8124B"/>
    <w:rsid w:val="00E812A1"/>
    <w:rsid w:val="00E812A8"/>
    <w:rsid w:val="00E814DF"/>
    <w:rsid w:val="00E8153C"/>
    <w:rsid w:val="00E81683"/>
    <w:rsid w:val="00E81804"/>
    <w:rsid w:val="00E81832"/>
    <w:rsid w:val="00E81A40"/>
    <w:rsid w:val="00E81A78"/>
    <w:rsid w:val="00E81BFE"/>
    <w:rsid w:val="00E81C55"/>
    <w:rsid w:val="00E81D98"/>
    <w:rsid w:val="00E81DC9"/>
    <w:rsid w:val="00E81EF9"/>
    <w:rsid w:val="00E81F98"/>
    <w:rsid w:val="00E8204D"/>
    <w:rsid w:val="00E8224C"/>
    <w:rsid w:val="00E822AF"/>
    <w:rsid w:val="00E8244F"/>
    <w:rsid w:val="00E8266A"/>
    <w:rsid w:val="00E8269F"/>
    <w:rsid w:val="00E826A3"/>
    <w:rsid w:val="00E826D4"/>
    <w:rsid w:val="00E827B2"/>
    <w:rsid w:val="00E827BD"/>
    <w:rsid w:val="00E82CD5"/>
    <w:rsid w:val="00E82CF7"/>
    <w:rsid w:val="00E82E5D"/>
    <w:rsid w:val="00E82F4F"/>
    <w:rsid w:val="00E8311A"/>
    <w:rsid w:val="00E8319B"/>
    <w:rsid w:val="00E8320C"/>
    <w:rsid w:val="00E8321C"/>
    <w:rsid w:val="00E83401"/>
    <w:rsid w:val="00E83447"/>
    <w:rsid w:val="00E83651"/>
    <w:rsid w:val="00E836BE"/>
    <w:rsid w:val="00E8384F"/>
    <w:rsid w:val="00E8396F"/>
    <w:rsid w:val="00E839CE"/>
    <w:rsid w:val="00E83A16"/>
    <w:rsid w:val="00E83AF7"/>
    <w:rsid w:val="00E83B20"/>
    <w:rsid w:val="00E83BB9"/>
    <w:rsid w:val="00E83C74"/>
    <w:rsid w:val="00E84292"/>
    <w:rsid w:val="00E843BA"/>
    <w:rsid w:val="00E843D6"/>
    <w:rsid w:val="00E845C0"/>
    <w:rsid w:val="00E8461A"/>
    <w:rsid w:val="00E848B7"/>
    <w:rsid w:val="00E84A45"/>
    <w:rsid w:val="00E84A4E"/>
    <w:rsid w:val="00E84B2D"/>
    <w:rsid w:val="00E84B9B"/>
    <w:rsid w:val="00E84BF5"/>
    <w:rsid w:val="00E84D3F"/>
    <w:rsid w:val="00E84DB0"/>
    <w:rsid w:val="00E84F70"/>
    <w:rsid w:val="00E85078"/>
    <w:rsid w:val="00E850C2"/>
    <w:rsid w:val="00E8526C"/>
    <w:rsid w:val="00E852F0"/>
    <w:rsid w:val="00E8542E"/>
    <w:rsid w:val="00E856D7"/>
    <w:rsid w:val="00E8576A"/>
    <w:rsid w:val="00E8587F"/>
    <w:rsid w:val="00E859B8"/>
    <w:rsid w:val="00E85ACD"/>
    <w:rsid w:val="00E85AFD"/>
    <w:rsid w:val="00E85C5C"/>
    <w:rsid w:val="00E85C82"/>
    <w:rsid w:val="00E85C96"/>
    <w:rsid w:val="00E85D8E"/>
    <w:rsid w:val="00E85DA0"/>
    <w:rsid w:val="00E85E45"/>
    <w:rsid w:val="00E85F05"/>
    <w:rsid w:val="00E85FA7"/>
    <w:rsid w:val="00E85FD0"/>
    <w:rsid w:val="00E860E7"/>
    <w:rsid w:val="00E86238"/>
    <w:rsid w:val="00E862D1"/>
    <w:rsid w:val="00E864CC"/>
    <w:rsid w:val="00E868CC"/>
    <w:rsid w:val="00E86B61"/>
    <w:rsid w:val="00E86D0E"/>
    <w:rsid w:val="00E86D5C"/>
    <w:rsid w:val="00E86E12"/>
    <w:rsid w:val="00E86F6D"/>
    <w:rsid w:val="00E87149"/>
    <w:rsid w:val="00E872B9"/>
    <w:rsid w:val="00E873A4"/>
    <w:rsid w:val="00E87626"/>
    <w:rsid w:val="00E8762A"/>
    <w:rsid w:val="00E87796"/>
    <w:rsid w:val="00E87868"/>
    <w:rsid w:val="00E878B2"/>
    <w:rsid w:val="00E878ED"/>
    <w:rsid w:val="00E87939"/>
    <w:rsid w:val="00E87968"/>
    <w:rsid w:val="00E879C9"/>
    <w:rsid w:val="00E87A78"/>
    <w:rsid w:val="00E87C27"/>
    <w:rsid w:val="00E87DB7"/>
    <w:rsid w:val="00E87EEE"/>
    <w:rsid w:val="00E87FD8"/>
    <w:rsid w:val="00E90072"/>
    <w:rsid w:val="00E9008C"/>
    <w:rsid w:val="00E900C3"/>
    <w:rsid w:val="00E90105"/>
    <w:rsid w:val="00E90139"/>
    <w:rsid w:val="00E90143"/>
    <w:rsid w:val="00E902B0"/>
    <w:rsid w:val="00E902E8"/>
    <w:rsid w:val="00E903A8"/>
    <w:rsid w:val="00E904E5"/>
    <w:rsid w:val="00E90916"/>
    <w:rsid w:val="00E90941"/>
    <w:rsid w:val="00E90B53"/>
    <w:rsid w:val="00E90BD5"/>
    <w:rsid w:val="00E90DE8"/>
    <w:rsid w:val="00E90E63"/>
    <w:rsid w:val="00E90F18"/>
    <w:rsid w:val="00E90FBF"/>
    <w:rsid w:val="00E9139A"/>
    <w:rsid w:val="00E91832"/>
    <w:rsid w:val="00E91A14"/>
    <w:rsid w:val="00E91A59"/>
    <w:rsid w:val="00E91B20"/>
    <w:rsid w:val="00E91B93"/>
    <w:rsid w:val="00E91BC4"/>
    <w:rsid w:val="00E91C61"/>
    <w:rsid w:val="00E91D55"/>
    <w:rsid w:val="00E91F20"/>
    <w:rsid w:val="00E92347"/>
    <w:rsid w:val="00E924B3"/>
    <w:rsid w:val="00E924F4"/>
    <w:rsid w:val="00E925F4"/>
    <w:rsid w:val="00E927A4"/>
    <w:rsid w:val="00E927DD"/>
    <w:rsid w:val="00E92923"/>
    <w:rsid w:val="00E92A1B"/>
    <w:rsid w:val="00E92C6D"/>
    <w:rsid w:val="00E92C9B"/>
    <w:rsid w:val="00E93140"/>
    <w:rsid w:val="00E9319D"/>
    <w:rsid w:val="00E931A9"/>
    <w:rsid w:val="00E933A7"/>
    <w:rsid w:val="00E933FA"/>
    <w:rsid w:val="00E935E6"/>
    <w:rsid w:val="00E935EE"/>
    <w:rsid w:val="00E9363E"/>
    <w:rsid w:val="00E93683"/>
    <w:rsid w:val="00E93766"/>
    <w:rsid w:val="00E93877"/>
    <w:rsid w:val="00E93990"/>
    <w:rsid w:val="00E93A34"/>
    <w:rsid w:val="00E93AE5"/>
    <w:rsid w:val="00E93C16"/>
    <w:rsid w:val="00E93CA9"/>
    <w:rsid w:val="00E93E0B"/>
    <w:rsid w:val="00E93E6F"/>
    <w:rsid w:val="00E93F63"/>
    <w:rsid w:val="00E941ED"/>
    <w:rsid w:val="00E94255"/>
    <w:rsid w:val="00E942F3"/>
    <w:rsid w:val="00E94304"/>
    <w:rsid w:val="00E943A8"/>
    <w:rsid w:val="00E94413"/>
    <w:rsid w:val="00E94462"/>
    <w:rsid w:val="00E94469"/>
    <w:rsid w:val="00E94493"/>
    <w:rsid w:val="00E94626"/>
    <w:rsid w:val="00E949E8"/>
    <w:rsid w:val="00E949FD"/>
    <w:rsid w:val="00E94A6C"/>
    <w:rsid w:val="00E94DD8"/>
    <w:rsid w:val="00E94EAF"/>
    <w:rsid w:val="00E952B5"/>
    <w:rsid w:val="00E952B9"/>
    <w:rsid w:val="00E954FE"/>
    <w:rsid w:val="00E955B9"/>
    <w:rsid w:val="00E9563A"/>
    <w:rsid w:val="00E95703"/>
    <w:rsid w:val="00E95764"/>
    <w:rsid w:val="00E95951"/>
    <w:rsid w:val="00E959C7"/>
    <w:rsid w:val="00E95A63"/>
    <w:rsid w:val="00E95B44"/>
    <w:rsid w:val="00E95C46"/>
    <w:rsid w:val="00E95CC6"/>
    <w:rsid w:val="00E961C7"/>
    <w:rsid w:val="00E963B7"/>
    <w:rsid w:val="00E9646A"/>
    <w:rsid w:val="00E965C2"/>
    <w:rsid w:val="00E965FB"/>
    <w:rsid w:val="00E96BD5"/>
    <w:rsid w:val="00E96FBD"/>
    <w:rsid w:val="00E970A0"/>
    <w:rsid w:val="00E97115"/>
    <w:rsid w:val="00E971B9"/>
    <w:rsid w:val="00E973FD"/>
    <w:rsid w:val="00E97627"/>
    <w:rsid w:val="00E976AD"/>
    <w:rsid w:val="00E97813"/>
    <w:rsid w:val="00E97974"/>
    <w:rsid w:val="00E9797A"/>
    <w:rsid w:val="00E979C6"/>
    <w:rsid w:val="00E97BC5"/>
    <w:rsid w:val="00EA00FC"/>
    <w:rsid w:val="00EA02F2"/>
    <w:rsid w:val="00EA068E"/>
    <w:rsid w:val="00EA0777"/>
    <w:rsid w:val="00EA07E2"/>
    <w:rsid w:val="00EA07F4"/>
    <w:rsid w:val="00EA081A"/>
    <w:rsid w:val="00EA0B1F"/>
    <w:rsid w:val="00EA0B9F"/>
    <w:rsid w:val="00EA0BB3"/>
    <w:rsid w:val="00EA0CAE"/>
    <w:rsid w:val="00EA0E67"/>
    <w:rsid w:val="00EA0E69"/>
    <w:rsid w:val="00EA0F2F"/>
    <w:rsid w:val="00EA0F5F"/>
    <w:rsid w:val="00EA0FD9"/>
    <w:rsid w:val="00EA1231"/>
    <w:rsid w:val="00EA126F"/>
    <w:rsid w:val="00EA12E6"/>
    <w:rsid w:val="00EA1309"/>
    <w:rsid w:val="00EA1349"/>
    <w:rsid w:val="00EA14E5"/>
    <w:rsid w:val="00EA184F"/>
    <w:rsid w:val="00EA1919"/>
    <w:rsid w:val="00EA1A1E"/>
    <w:rsid w:val="00EA1AB9"/>
    <w:rsid w:val="00EA1AE8"/>
    <w:rsid w:val="00EA1BCD"/>
    <w:rsid w:val="00EA1BF2"/>
    <w:rsid w:val="00EA1F6A"/>
    <w:rsid w:val="00EA1FBE"/>
    <w:rsid w:val="00EA20B4"/>
    <w:rsid w:val="00EA21EE"/>
    <w:rsid w:val="00EA2203"/>
    <w:rsid w:val="00EA22C8"/>
    <w:rsid w:val="00EA233E"/>
    <w:rsid w:val="00EA23EE"/>
    <w:rsid w:val="00EA2432"/>
    <w:rsid w:val="00EA2591"/>
    <w:rsid w:val="00EA266C"/>
    <w:rsid w:val="00EA28F8"/>
    <w:rsid w:val="00EA292F"/>
    <w:rsid w:val="00EA29D4"/>
    <w:rsid w:val="00EA2D3F"/>
    <w:rsid w:val="00EA2E5A"/>
    <w:rsid w:val="00EA2E5D"/>
    <w:rsid w:val="00EA310A"/>
    <w:rsid w:val="00EA31B8"/>
    <w:rsid w:val="00EA31BC"/>
    <w:rsid w:val="00EA32C5"/>
    <w:rsid w:val="00EA32E9"/>
    <w:rsid w:val="00EA3620"/>
    <w:rsid w:val="00EA3648"/>
    <w:rsid w:val="00EA367B"/>
    <w:rsid w:val="00EA369F"/>
    <w:rsid w:val="00EA3724"/>
    <w:rsid w:val="00EA37AE"/>
    <w:rsid w:val="00EA392C"/>
    <w:rsid w:val="00EA3C85"/>
    <w:rsid w:val="00EA3F8C"/>
    <w:rsid w:val="00EA4087"/>
    <w:rsid w:val="00EA40DB"/>
    <w:rsid w:val="00EA410B"/>
    <w:rsid w:val="00EA4132"/>
    <w:rsid w:val="00EA41A6"/>
    <w:rsid w:val="00EA430C"/>
    <w:rsid w:val="00EA43B9"/>
    <w:rsid w:val="00EA4489"/>
    <w:rsid w:val="00EA45B8"/>
    <w:rsid w:val="00EA466D"/>
    <w:rsid w:val="00EA468A"/>
    <w:rsid w:val="00EA4809"/>
    <w:rsid w:val="00EA49E8"/>
    <w:rsid w:val="00EA4B7B"/>
    <w:rsid w:val="00EA4C9A"/>
    <w:rsid w:val="00EA4D0A"/>
    <w:rsid w:val="00EA4E91"/>
    <w:rsid w:val="00EA5034"/>
    <w:rsid w:val="00EA5370"/>
    <w:rsid w:val="00EA5541"/>
    <w:rsid w:val="00EA559F"/>
    <w:rsid w:val="00EA5744"/>
    <w:rsid w:val="00EA595A"/>
    <w:rsid w:val="00EA59A8"/>
    <w:rsid w:val="00EA5A57"/>
    <w:rsid w:val="00EA5A6B"/>
    <w:rsid w:val="00EA5B71"/>
    <w:rsid w:val="00EA5DC1"/>
    <w:rsid w:val="00EA5E6C"/>
    <w:rsid w:val="00EA6001"/>
    <w:rsid w:val="00EA60B9"/>
    <w:rsid w:val="00EA615A"/>
    <w:rsid w:val="00EA618E"/>
    <w:rsid w:val="00EA61CC"/>
    <w:rsid w:val="00EA6333"/>
    <w:rsid w:val="00EA6343"/>
    <w:rsid w:val="00EA644A"/>
    <w:rsid w:val="00EA669A"/>
    <w:rsid w:val="00EA670A"/>
    <w:rsid w:val="00EA67EC"/>
    <w:rsid w:val="00EA6846"/>
    <w:rsid w:val="00EA68F8"/>
    <w:rsid w:val="00EA6953"/>
    <w:rsid w:val="00EA69B5"/>
    <w:rsid w:val="00EA6ABD"/>
    <w:rsid w:val="00EA6B6A"/>
    <w:rsid w:val="00EA6BC4"/>
    <w:rsid w:val="00EA6CF1"/>
    <w:rsid w:val="00EA6CF4"/>
    <w:rsid w:val="00EA70EE"/>
    <w:rsid w:val="00EA72D6"/>
    <w:rsid w:val="00EA7323"/>
    <w:rsid w:val="00EA73A6"/>
    <w:rsid w:val="00EA73AF"/>
    <w:rsid w:val="00EA770F"/>
    <w:rsid w:val="00EA78A0"/>
    <w:rsid w:val="00EA78EF"/>
    <w:rsid w:val="00EA79C2"/>
    <w:rsid w:val="00EA79F1"/>
    <w:rsid w:val="00EA7A2A"/>
    <w:rsid w:val="00EA7A7A"/>
    <w:rsid w:val="00EA7AD8"/>
    <w:rsid w:val="00EA7BAB"/>
    <w:rsid w:val="00EA7C11"/>
    <w:rsid w:val="00EA7D8D"/>
    <w:rsid w:val="00EA7E1B"/>
    <w:rsid w:val="00EA7FBC"/>
    <w:rsid w:val="00EB0146"/>
    <w:rsid w:val="00EB017D"/>
    <w:rsid w:val="00EB0239"/>
    <w:rsid w:val="00EB0270"/>
    <w:rsid w:val="00EB02FF"/>
    <w:rsid w:val="00EB030F"/>
    <w:rsid w:val="00EB0405"/>
    <w:rsid w:val="00EB06DC"/>
    <w:rsid w:val="00EB07FF"/>
    <w:rsid w:val="00EB0B03"/>
    <w:rsid w:val="00EB0C28"/>
    <w:rsid w:val="00EB11E1"/>
    <w:rsid w:val="00EB12C6"/>
    <w:rsid w:val="00EB136B"/>
    <w:rsid w:val="00EB156A"/>
    <w:rsid w:val="00EB1599"/>
    <w:rsid w:val="00EB15F1"/>
    <w:rsid w:val="00EB16EA"/>
    <w:rsid w:val="00EB183F"/>
    <w:rsid w:val="00EB1871"/>
    <w:rsid w:val="00EB18BB"/>
    <w:rsid w:val="00EB1B26"/>
    <w:rsid w:val="00EB1C22"/>
    <w:rsid w:val="00EB1D3A"/>
    <w:rsid w:val="00EB1D56"/>
    <w:rsid w:val="00EB1F1C"/>
    <w:rsid w:val="00EB209F"/>
    <w:rsid w:val="00EB20C7"/>
    <w:rsid w:val="00EB243B"/>
    <w:rsid w:val="00EB24F1"/>
    <w:rsid w:val="00EB26CB"/>
    <w:rsid w:val="00EB2723"/>
    <w:rsid w:val="00EB2A2B"/>
    <w:rsid w:val="00EB2B43"/>
    <w:rsid w:val="00EB2B69"/>
    <w:rsid w:val="00EB2BF5"/>
    <w:rsid w:val="00EB2CA3"/>
    <w:rsid w:val="00EB2D49"/>
    <w:rsid w:val="00EB2EC5"/>
    <w:rsid w:val="00EB2F57"/>
    <w:rsid w:val="00EB319A"/>
    <w:rsid w:val="00EB31A1"/>
    <w:rsid w:val="00EB31F0"/>
    <w:rsid w:val="00EB32A9"/>
    <w:rsid w:val="00EB3340"/>
    <w:rsid w:val="00EB3356"/>
    <w:rsid w:val="00EB34AF"/>
    <w:rsid w:val="00EB34E9"/>
    <w:rsid w:val="00EB37C3"/>
    <w:rsid w:val="00EB39F2"/>
    <w:rsid w:val="00EB3A96"/>
    <w:rsid w:val="00EB3AA4"/>
    <w:rsid w:val="00EB3B57"/>
    <w:rsid w:val="00EB3B5C"/>
    <w:rsid w:val="00EB3CDF"/>
    <w:rsid w:val="00EB4052"/>
    <w:rsid w:val="00EB410C"/>
    <w:rsid w:val="00EB4113"/>
    <w:rsid w:val="00EB425B"/>
    <w:rsid w:val="00EB4394"/>
    <w:rsid w:val="00EB43CA"/>
    <w:rsid w:val="00EB44D3"/>
    <w:rsid w:val="00EB45CD"/>
    <w:rsid w:val="00EB4764"/>
    <w:rsid w:val="00EB49E2"/>
    <w:rsid w:val="00EB4DCE"/>
    <w:rsid w:val="00EB4EB9"/>
    <w:rsid w:val="00EB4EDC"/>
    <w:rsid w:val="00EB515F"/>
    <w:rsid w:val="00EB5209"/>
    <w:rsid w:val="00EB5290"/>
    <w:rsid w:val="00EB534B"/>
    <w:rsid w:val="00EB5471"/>
    <w:rsid w:val="00EB54C5"/>
    <w:rsid w:val="00EB5576"/>
    <w:rsid w:val="00EB55C2"/>
    <w:rsid w:val="00EB5651"/>
    <w:rsid w:val="00EB5714"/>
    <w:rsid w:val="00EB580C"/>
    <w:rsid w:val="00EB5914"/>
    <w:rsid w:val="00EB5935"/>
    <w:rsid w:val="00EB5A9B"/>
    <w:rsid w:val="00EB5CD2"/>
    <w:rsid w:val="00EB5E97"/>
    <w:rsid w:val="00EB5F20"/>
    <w:rsid w:val="00EB62F4"/>
    <w:rsid w:val="00EB6580"/>
    <w:rsid w:val="00EB66BD"/>
    <w:rsid w:val="00EB6786"/>
    <w:rsid w:val="00EB679E"/>
    <w:rsid w:val="00EB68C4"/>
    <w:rsid w:val="00EB68EC"/>
    <w:rsid w:val="00EB693C"/>
    <w:rsid w:val="00EB6945"/>
    <w:rsid w:val="00EB6BC3"/>
    <w:rsid w:val="00EB6DE1"/>
    <w:rsid w:val="00EB6E6F"/>
    <w:rsid w:val="00EB6EE6"/>
    <w:rsid w:val="00EB6F04"/>
    <w:rsid w:val="00EB7068"/>
    <w:rsid w:val="00EB708C"/>
    <w:rsid w:val="00EB7279"/>
    <w:rsid w:val="00EB738D"/>
    <w:rsid w:val="00EB742E"/>
    <w:rsid w:val="00EB758C"/>
    <w:rsid w:val="00EB798D"/>
    <w:rsid w:val="00EB79E6"/>
    <w:rsid w:val="00EB7CFB"/>
    <w:rsid w:val="00EB7F71"/>
    <w:rsid w:val="00EC000B"/>
    <w:rsid w:val="00EC023C"/>
    <w:rsid w:val="00EC0300"/>
    <w:rsid w:val="00EC044E"/>
    <w:rsid w:val="00EC0545"/>
    <w:rsid w:val="00EC05E8"/>
    <w:rsid w:val="00EC06AE"/>
    <w:rsid w:val="00EC08B4"/>
    <w:rsid w:val="00EC09CF"/>
    <w:rsid w:val="00EC0A9D"/>
    <w:rsid w:val="00EC0BFD"/>
    <w:rsid w:val="00EC0D0B"/>
    <w:rsid w:val="00EC0D5E"/>
    <w:rsid w:val="00EC0DC8"/>
    <w:rsid w:val="00EC0F7B"/>
    <w:rsid w:val="00EC0F84"/>
    <w:rsid w:val="00EC1058"/>
    <w:rsid w:val="00EC113B"/>
    <w:rsid w:val="00EC1196"/>
    <w:rsid w:val="00EC14CC"/>
    <w:rsid w:val="00EC15C1"/>
    <w:rsid w:val="00EC15E6"/>
    <w:rsid w:val="00EC16F4"/>
    <w:rsid w:val="00EC1A9C"/>
    <w:rsid w:val="00EC1B72"/>
    <w:rsid w:val="00EC1CBD"/>
    <w:rsid w:val="00EC1E36"/>
    <w:rsid w:val="00EC21E8"/>
    <w:rsid w:val="00EC225B"/>
    <w:rsid w:val="00EC228F"/>
    <w:rsid w:val="00EC24F6"/>
    <w:rsid w:val="00EC2622"/>
    <w:rsid w:val="00EC263A"/>
    <w:rsid w:val="00EC2699"/>
    <w:rsid w:val="00EC2826"/>
    <w:rsid w:val="00EC28CE"/>
    <w:rsid w:val="00EC299E"/>
    <w:rsid w:val="00EC2AE9"/>
    <w:rsid w:val="00EC2BEE"/>
    <w:rsid w:val="00EC2DC2"/>
    <w:rsid w:val="00EC2EB6"/>
    <w:rsid w:val="00EC2EF9"/>
    <w:rsid w:val="00EC3080"/>
    <w:rsid w:val="00EC31BD"/>
    <w:rsid w:val="00EC31F8"/>
    <w:rsid w:val="00EC320C"/>
    <w:rsid w:val="00EC3250"/>
    <w:rsid w:val="00EC32F7"/>
    <w:rsid w:val="00EC33C2"/>
    <w:rsid w:val="00EC33C8"/>
    <w:rsid w:val="00EC33F7"/>
    <w:rsid w:val="00EC363B"/>
    <w:rsid w:val="00EC36A9"/>
    <w:rsid w:val="00EC3807"/>
    <w:rsid w:val="00EC3860"/>
    <w:rsid w:val="00EC39FF"/>
    <w:rsid w:val="00EC3B57"/>
    <w:rsid w:val="00EC3C33"/>
    <w:rsid w:val="00EC3C55"/>
    <w:rsid w:val="00EC3DDC"/>
    <w:rsid w:val="00EC3E29"/>
    <w:rsid w:val="00EC3E51"/>
    <w:rsid w:val="00EC3EB8"/>
    <w:rsid w:val="00EC3ED0"/>
    <w:rsid w:val="00EC3FE6"/>
    <w:rsid w:val="00EC4356"/>
    <w:rsid w:val="00EC4404"/>
    <w:rsid w:val="00EC44ED"/>
    <w:rsid w:val="00EC45A9"/>
    <w:rsid w:val="00EC463D"/>
    <w:rsid w:val="00EC4657"/>
    <w:rsid w:val="00EC4707"/>
    <w:rsid w:val="00EC47B6"/>
    <w:rsid w:val="00EC49AF"/>
    <w:rsid w:val="00EC4A4C"/>
    <w:rsid w:val="00EC4AC3"/>
    <w:rsid w:val="00EC4AEB"/>
    <w:rsid w:val="00EC4B57"/>
    <w:rsid w:val="00EC4D18"/>
    <w:rsid w:val="00EC4D3F"/>
    <w:rsid w:val="00EC4DEC"/>
    <w:rsid w:val="00EC50BF"/>
    <w:rsid w:val="00EC50E9"/>
    <w:rsid w:val="00EC51E0"/>
    <w:rsid w:val="00EC534E"/>
    <w:rsid w:val="00EC5353"/>
    <w:rsid w:val="00EC5368"/>
    <w:rsid w:val="00EC536F"/>
    <w:rsid w:val="00EC5480"/>
    <w:rsid w:val="00EC550E"/>
    <w:rsid w:val="00EC57A4"/>
    <w:rsid w:val="00EC591A"/>
    <w:rsid w:val="00EC5D70"/>
    <w:rsid w:val="00EC5F49"/>
    <w:rsid w:val="00EC6073"/>
    <w:rsid w:val="00EC628A"/>
    <w:rsid w:val="00EC631D"/>
    <w:rsid w:val="00EC6590"/>
    <w:rsid w:val="00EC65F2"/>
    <w:rsid w:val="00EC6715"/>
    <w:rsid w:val="00EC6729"/>
    <w:rsid w:val="00EC6832"/>
    <w:rsid w:val="00EC68AF"/>
    <w:rsid w:val="00EC6AE7"/>
    <w:rsid w:val="00EC6B05"/>
    <w:rsid w:val="00EC6B16"/>
    <w:rsid w:val="00EC6B62"/>
    <w:rsid w:val="00EC6B6F"/>
    <w:rsid w:val="00EC6B77"/>
    <w:rsid w:val="00EC6C26"/>
    <w:rsid w:val="00EC70E2"/>
    <w:rsid w:val="00EC7270"/>
    <w:rsid w:val="00EC7794"/>
    <w:rsid w:val="00EC78FB"/>
    <w:rsid w:val="00EC7A92"/>
    <w:rsid w:val="00EC7ABF"/>
    <w:rsid w:val="00EC7B1E"/>
    <w:rsid w:val="00EC7CC7"/>
    <w:rsid w:val="00EC7CD6"/>
    <w:rsid w:val="00EC7D7E"/>
    <w:rsid w:val="00EC7DA0"/>
    <w:rsid w:val="00EC7E0F"/>
    <w:rsid w:val="00EC7E26"/>
    <w:rsid w:val="00ED0091"/>
    <w:rsid w:val="00ED01E3"/>
    <w:rsid w:val="00ED026A"/>
    <w:rsid w:val="00ED0367"/>
    <w:rsid w:val="00ED037A"/>
    <w:rsid w:val="00ED0675"/>
    <w:rsid w:val="00ED06D1"/>
    <w:rsid w:val="00ED07EF"/>
    <w:rsid w:val="00ED0839"/>
    <w:rsid w:val="00ED0893"/>
    <w:rsid w:val="00ED08A7"/>
    <w:rsid w:val="00ED09B2"/>
    <w:rsid w:val="00ED0A30"/>
    <w:rsid w:val="00ED0B1A"/>
    <w:rsid w:val="00ED0B5A"/>
    <w:rsid w:val="00ED0B70"/>
    <w:rsid w:val="00ED0B7B"/>
    <w:rsid w:val="00ED0E2B"/>
    <w:rsid w:val="00ED11F4"/>
    <w:rsid w:val="00ED1224"/>
    <w:rsid w:val="00ED1423"/>
    <w:rsid w:val="00ED14E5"/>
    <w:rsid w:val="00ED14FB"/>
    <w:rsid w:val="00ED1564"/>
    <w:rsid w:val="00ED189A"/>
    <w:rsid w:val="00ED18AD"/>
    <w:rsid w:val="00ED194C"/>
    <w:rsid w:val="00ED19F2"/>
    <w:rsid w:val="00ED1B34"/>
    <w:rsid w:val="00ED1BA3"/>
    <w:rsid w:val="00ED1DF4"/>
    <w:rsid w:val="00ED201D"/>
    <w:rsid w:val="00ED2259"/>
    <w:rsid w:val="00ED2623"/>
    <w:rsid w:val="00ED27F4"/>
    <w:rsid w:val="00ED28A3"/>
    <w:rsid w:val="00ED28EC"/>
    <w:rsid w:val="00ED290C"/>
    <w:rsid w:val="00ED29E5"/>
    <w:rsid w:val="00ED2E9E"/>
    <w:rsid w:val="00ED2EF5"/>
    <w:rsid w:val="00ED3376"/>
    <w:rsid w:val="00ED3435"/>
    <w:rsid w:val="00ED3553"/>
    <w:rsid w:val="00ED355D"/>
    <w:rsid w:val="00ED361D"/>
    <w:rsid w:val="00ED3853"/>
    <w:rsid w:val="00ED3855"/>
    <w:rsid w:val="00ED388D"/>
    <w:rsid w:val="00ED3AD3"/>
    <w:rsid w:val="00ED3AF7"/>
    <w:rsid w:val="00ED3B1B"/>
    <w:rsid w:val="00ED3B53"/>
    <w:rsid w:val="00ED3B83"/>
    <w:rsid w:val="00ED3CDB"/>
    <w:rsid w:val="00ED4067"/>
    <w:rsid w:val="00ED40B9"/>
    <w:rsid w:val="00ED4188"/>
    <w:rsid w:val="00ED41EB"/>
    <w:rsid w:val="00ED4363"/>
    <w:rsid w:val="00ED43D2"/>
    <w:rsid w:val="00ED443B"/>
    <w:rsid w:val="00ED44E4"/>
    <w:rsid w:val="00ED44E7"/>
    <w:rsid w:val="00ED4570"/>
    <w:rsid w:val="00ED4572"/>
    <w:rsid w:val="00ED49EA"/>
    <w:rsid w:val="00ED4CB6"/>
    <w:rsid w:val="00ED4CFB"/>
    <w:rsid w:val="00ED4E8A"/>
    <w:rsid w:val="00ED4F59"/>
    <w:rsid w:val="00ED5031"/>
    <w:rsid w:val="00ED504C"/>
    <w:rsid w:val="00ED52BC"/>
    <w:rsid w:val="00ED56D2"/>
    <w:rsid w:val="00ED5735"/>
    <w:rsid w:val="00ED5760"/>
    <w:rsid w:val="00ED57BF"/>
    <w:rsid w:val="00ED5AF4"/>
    <w:rsid w:val="00ED5BCB"/>
    <w:rsid w:val="00ED5C19"/>
    <w:rsid w:val="00ED5EC0"/>
    <w:rsid w:val="00ED5F56"/>
    <w:rsid w:val="00ED5F84"/>
    <w:rsid w:val="00ED6125"/>
    <w:rsid w:val="00ED61D6"/>
    <w:rsid w:val="00ED6313"/>
    <w:rsid w:val="00ED6638"/>
    <w:rsid w:val="00ED66F1"/>
    <w:rsid w:val="00ED6889"/>
    <w:rsid w:val="00ED6902"/>
    <w:rsid w:val="00ED6C18"/>
    <w:rsid w:val="00ED6F0B"/>
    <w:rsid w:val="00ED702C"/>
    <w:rsid w:val="00ED70C8"/>
    <w:rsid w:val="00ED7118"/>
    <w:rsid w:val="00ED714B"/>
    <w:rsid w:val="00ED7175"/>
    <w:rsid w:val="00ED7206"/>
    <w:rsid w:val="00ED721E"/>
    <w:rsid w:val="00ED72C7"/>
    <w:rsid w:val="00ED73C0"/>
    <w:rsid w:val="00ED7487"/>
    <w:rsid w:val="00ED7509"/>
    <w:rsid w:val="00ED7545"/>
    <w:rsid w:val="00ED7558"/>
    <w:rsid w:val="00ED7603"/>
    <w:rsid w:val="00ED797F"/>
    <w:rsid w:val="00ED7A00"/>
    <w:rsid w:val="00ED7BD2"/>
    <w:rsid w:val="00ED7C23"/>
    <w:rsid w:val="00ED7C28"/>
    <w:rsid w:val="00ED7D2D"/>
    <w:rsid w:val="00ED7E05"/>
    <w:rsid w:val="00ED7EB9"/>
    <w:rsid w:val="00ED7F09"/>
    <w:rsid w:val="00EE00A2"/>
    <w:rsid w:val="00EE010E"/>
    <w:rsid w:val="00EE0352"/>
    <w:rsid w:val="00EE045E"/>
    <w:rsid w:val="00EE04DD"/>
    <w:rsid w:val="00EE08C2"/>
    <w:rsid w:val="00EE08F1"/>
    <w:rsid w:val="00EE09F8"/>
    <w:rsid w:val="00EE0A07"/>
    <w:rsid w:val="00EE0A95"/>
    <w:rsid w:val="00EE0B2D"/>
    <w:rsid w:val="00EE0C6D"/>
    <w:rsid w:val="00EE0C7D"/>
    <w:rsid w:val="00EE0C88"/>
    <w:rsid w:val="00EE0CED"/>
    <w:rsid w:val="00EE0D2E"/>
    <w:rsid w:val="00EE0D8D"/>
    <w:rsid w:val="00EE0DEC"/>
    <w:rsid w:val="00EE0DF5"/>
    <w:rsid w:val="00EE0F9C"/>
    <w:rsid w:val="00EE10C8"/>
    <w:rsid w:val="00EE122E"/>
    <w:rsid w:val="00EE1259"/>
    <w:rsid w:val="00EE1477"/>
    <w:rsid w:val="00EE14DB"/>
    <w:rsid w:val="00EE14F2"/>
    <w:rsid w:val="00EE1670"/>
    <w:rsid w:val="00EE177A"/>
    <w:rsid w:val="00EE17B1"/>
    <w:rsid w:val="00EE1821"/>
    <w:rsid w:val="00EE186B"/>
    <w:rsid w:val="00EE191D"/>
    <w:rsid w:val="00EE19CF"/>
    <w:rsid w:val="00EE1C7D"/>
    <w:rsid w:val="00EE1D01"/>
    <w:rsid w:val="00EE1EC3"/>
    <w:rsid w:val="00EE2302"/>
    <w:rsid w:val="00EE23A7"/>
    <w:rsid w:val="00EE24F1"/>
    <w:rsid w:val="00EE252B"/>
    <w:rsid w:val="00EE269B"/>
    <w:rsid w:val="00EE2963"/>
    <w:rsid w:val="00EE2974"/>
    <w:rsid w:val="00EE2A04"/>
    <w:rsid w:val="00EE2C18"/>
    <w:rsid w:val="00EE2D09"/>
    <w:rsid w:val="00EE3092"/>
    <w:rsid w:val="00EE30D3"/>
    <w:rsid w:val="00EE323D"/>
    <w:rsid w:val="00EE32F8"/>
    <w:rsid w:val="00EE3350"/>
    <w:rsid w:val="00EE34FF"/>
    <w:rsid w:val="00EE355C"/>
    <w:rsid w:val="00EE3889"/>
    <w:rsid w:val="00EE3900"/>
    <w:rsid w:val="00EE39D4"/>
    <w:rsid w:val="00EE3B72"/>
    <w:rsid w:val="00EE3BB3"/>
    <w:rsid w:val="00EE3C5F"/>
    <w:rsid w:val="00EE3CFE"/>
    <w:rsid w:val="00EE4248"/>
    <w:rsid w:val="00EE4347"/>
    <w:rsid w:val="00EE4398"/>
    <w:rsid w:val="00EE43AB"/>
    <w:rsid w:val="00EE44AE"/>
    <w:rsid w:val="00EE450A"/>
    <w:rsid w:val="00EE451F"/>
    <w:rsid w:val="00EE4837"/>
    <w:rsid w:val="00EE4B11"/>
    <w:rsid w:val="00EE4B93"/>
    <w:rsid w:val="00EE4CA8"/>
    <w:rsid w:val="00EE4CDA"/>
    <w:rsid w:val="00EE4D49"/>
    <w:rsid w:val="00EE4ECA"/>
    <w:rsid w:val="00EE4F06"/>
    <w:rsid w:val="00EE4F7D"/>
    <w:rsid w:val="00EE4FE6"/>
    <w:rsid w:val="00EE5075"/>
    <w:rsid w:val="00EE50CC"/>
    <w:rsid w:val="00EE522C"/>
    <w:rsid w:val="00EE532D"/>
    <w:rsid w:val="00EE53CF"/>
    <w:rsid w:val="00EE54AF"/>
    <w:rsid w:val="00EE5694"/>
    <w:rsid w:val="00EE580E"/>
    <w:rsid w:val="00EE5991"/>
    <w:rsid w:val="00EE59B5"/>
    <w:rsid w:val="00EE5AE4"/>
    <w:rsid w:val="00EE5B27"/>
    <w:rsid w:val="00EE5BCF"/>
    <w:rsid w:val="00EE5D4B"/>
    <w:rsid w:val="00EE5D50"/>
    <w:rsid w:val="00EE5F22"/>
    <w:rsid w:val="00EE5F23"/>
    <w:rsid w:val="00EE5FB7"/>
    <w:rsid w:val="00EE635A"/>
    <w:rsid w:val="00EE641B"/>
    <w:rsid w:val="00EE677F"/>
    <w:rsid w:val="00EE684D"/>
    <w:rsid w:val="00EE69D3"/>
    <w:rsid w:val="00EE6CA0"/>
    <w:rsid w:val="00EE6D4A"/>
    <w:rsid w:val="00EE6E05"/>
    <w:rsid w:val="00EE6EA0"/>
    <w:rsid w:val="00EE6EA7"/>
    <w:rsid w:val="00EE6ED8"/>
    <w:rsid w:val="00EE6F13"/>
    <w:rsid w:val="00EE6F41"/>
    <w:rsid w:val="00EE6FD1"/>
    <w:rsid w:val="00EE7235"/>
    <w:rsid w:val="00EE72A0"/>
    <w:rsid w:val="00EE72C9"/>
    <w:rsid w:val="00EE7588"/>
    <w:rsid w:val="00EE769B"/>
    <w:rsid w:val="00EE7734"/>
    <w:rsid w:val="00EE7789"/>
    <w:rsid w:val="00EE7A63"/>
    <w:rsid w:val="00EE7AEC"/>
    <w:rsid w:val="00EE7B0C"/>
    <w:rsid w:val="00EE7C0F"/>
    <w:rsid w:val="00EE7C3D"/>
    <w:rsid w:val="00EE7C5E"/>
    <w:rsid w:val="00EE7E58"/>
    <w:rsid w:val="00EE7FCA"/>
    <w:rsid w:val="00EF004A"/>
    <w:rsid w:val="00EF007F"/>
    <w:rsid w:val="00EF019D"/>
    <w:rsid w:val="00EF0321"/>
    <w:rsid w:val="00EF033B"/>
    <w:rsid w:val="00EF0451"/>
    <w:rsid w:val="00EF051F"/>
    <w:rsid w:val="00EF0678"/>
    <w:rsid w:val="00EF06CC"/>
    <w:rsid w:val="00EF08F2"/>
    <w:rsid w:val="00EF0917"/>
    <w:rsid w:val="00EF0D3B"/>
    <w:rsid w:val="00EF0D93"/>
    <w:rsid w:val="00EF10D5"/>
    <w:rsid w:val="00EF1120"/>
    <w:rsid w:val="00EF118A"/>
    <w:rsid w:val="00EF122F"/>
    <w:rsid w:val="00EF129D"/>
    <w:rsid w:val="00EF13F7"/>
    <w:rsid w:val="00EF13FC"/>
    <w:rsid w:val="00EF1509"/>
    <w:rsid w:val="00EF16AD"/>
    <w:rsid w:val="00EF1777"/>
    <w:rsid w:val="00EF17B5"/>
    <w:rsid w:val="00EF17F5"/>
    <w:rsid w:val="00EF1900"/>
    <w:rsid w:val="00EF197F"/>
    <w:rsid w:val="00EF1B30"/>
    <w:rsid w:val="00EF1BE2"/>
    <w:rsid w:val="00EF1BF0"/>
    <w:rsid w:val="00EF1C48"/>
    <w:rsid w:val="00EF1F12"/>
    <w:rsid w:val="00EF1F6F"/>
    <w:rsid w:val="00EF2039"/>
    <w:rsid w:val="00EF203E"/>
    <w:rsid w:val="00EF2110"/>
    <w:rsid w:val="00EF226B"/>
    <w:rsid w:val="00EF2352"/>
    <w:rsid w:val="00EF24A4"/>
    <w:rsid w:val="00EF25CD"/>
    <w:rsid w:val="00EF25E9"/>
    <w:rsid w:val="00EF2737"/>
    <w:rsid w:val="00EF285E"/>
    <w:rsid w:val="00EF2CE9"/>
    <w:rsid w:val="00EF2D3C"/>
    <w:rsid w:val="00EF2DBF"/>
    <w:rsid w:val="00EF2F54"/>
    <w:rsid w:val="00EF2FBF"/>
    <w:rsid w:val="00EF3019"/>
    <w:rsid w:val="00EF31EA"/>
    <w:rsid w:val="00EF32FE"/>
    <w:rsid w:val="00EF345A"/>
    <w:rsid w:val="00EF34C7"/>
    <w:rsid w:val="00EF3621"/>
    <w:rsid w:val="00EF3762"/>
    <w:rsid w:val="00EF38B2"/>
    <w:rsid w:val="00EF39D2"/>
    <w:rsid w:val="00EF3ABE"/>
    <w:rsid w:val="00EF3B18"/>
    <w:rsid w:val="00EF3C8D"/>
    <w:rsid w:val="00EF3D25"/>
    <w:rsid w:val="00EF3E09"/>
    <w:rsid w:val="00EF401C"/>
    <w:rsid w:val="00EF401D"/>
    <w:rsid w:val="00EF4357"/>
    <w:rsid w:val="00EF4417"/>
    <w:rsid w:val="00EF4426"/>
    <w:rsid w:val="00EF4590"/>
    <w:rsid w:val="00EF45B4"/>
    <w:rsid w:val="00EF4678"/>
    <w:rsid w:val="00EF484D"/>
    <w:rsid w:val="00EF48C0"/>
    <w:rsid w:val="00EF4AA5"/>
    <w:rsid w:val="00EF4B54"/>
    <w:rsid w:val="00EF4C53"/>
    <w:rsid w:val="00EF4D06"/>
    <w:rsid w:val="00EF4D1B"/>
    <w:rsid w:val="00EF4D4B"/>
    <w:rsid w:val="00EF4DC6"/>
    <w:rsid w:val="00EF4E0D"/>
    <w:rsid w:val="00EF5020"/>
    <w:rsid w:val="00EF50A1"/>
    <w:rsid w:val="00EF519D"/>
    <w:rsid w:val="00EF53B5"/>
    <w:rsid w:val="00EF5464"/>
    <w:rsid w:val="00EF54B2"/>
    <w:rsid w:val="00EF557B"/>
    <w:rsid w:val="00EF55EB"/>
    <w:rsid w:val="00EF55FF"/>
    <w:rsid w:val="00EF57D8"/>
    <w:rsid w:val="00EF5A98"/>
    <w:rsid w:val="00EF5EC1"/>
    <w:rsid w:val="00EF5F00"/>
    <w:rsid w:val="00EF5FA0"/>
    <w:rsid w:val="00EF5FC7"/>
    <w:rsid w:val="00EF6089"/>
    <w:rsid w:val="00EF6091"/>
    <w:rsid w:val="00EF619B"/>
    <w:rsid w:val="00EF6255"/>
    <w:rsid w:val="00EF6319"/>
    <w:rsid w:val="00EF65ED"/>
    <w:rsid w:val="00EF6CD4"/>
    <w:rsid w:val="00EF6E8F"/>
    <w:rsid w:val="00EF6EA5"/>
    <w:rsid w:val="00EF6FF2"/>
    <w:rsid w:val="00EF71ED"/>
    <w:rsid w:val="00EF72BD"/>
    <w:rsid w:val="00EF72C5"/>
    <w:rsid w:val="00EF72F5"/>
    <w:rsid w:val="00EF7411"/>
    <w:rsid w:val="00EF745A"/>
    <w:rsid w:val="00EF7462"/>
    <w:rsid w:val="00EF7805"/>
    <w:rsid w:val="00EF7859"/>
    <w:rsid w:val="00EF787F"/>
    <w:rsid w:val="00EF7899"/>
    <w:rsid w:val="00EF78B0"/>
    <w:rsid w:val="00EF79C3"/>
    <w:rsid w:val="00EF7B44"/>
    <w:rsid w:val="00F00150"/>
    <w:rsid w:val="00F00167"/>
    <w:rsid w:val="00F0032D"/>
    <w:rsid w:val="00F00446"/>
    <w:rsid w:val="00F00730"/>
    <w:rsid w:val="00F00757"/>
    <w:rsid w:val="00F0082D"/>
    <w:rsid w:val="00F008A0"/>
    <w:rsid w:val="00F008A2"/>
    <w:rsid w:val="00F00B24"/>
    <w:rsid w:val="00F01315"/>
    <w:rsid w:val="00F013BD"/>
    <w:rsid w:val="00F0144F"/>
    <w:rsid w:val="00F014E6"/>
    <w:rsid w:val="00F016B9"/>
    <w:rsid w:val="00F01797"/>
    <w:rsid w:val="00F01991"/>
    <w:rsid w:val="00F019C5"/>
    <w:rsid w:val="00F019F2"/>
    <w:rsid w:val="00F01A61"/>
    <w:rsid w:val="00F01ED7"/>
    <w:rsid w:val="00F01F96"/>
    <w:rsid w:val="00F02166"/>
    <w:rsid w:val="00F02197"/>
    <w:rsid w:val="00F021F4"/>
    <w:rsid w:val="00F02426"/>
    <w:rsid w:val="00F0242F"/>
    <w:rsid w:val="00F024B2"/>
    <w:rsid w:val="00F02632"/>
    <w:rsid w:val="00F02CEB"/>
    <w:rsid w:val="00F02E46"/>
    <w:rsid w:val="00F02FF7"/>
    <w:rsid w:val="00F0309A"/>
    <w:rsid w:val="00F030A5"/>
    <w:rsid w:val="00F0319A"/>
    <w:rsid w:val="00F034D6"/>
    <w:rsid w:val="00F0371A"/>
    <w:rsid w:val="00F03807"/>
    <w:rsid w:val="00F0386B"/>
    <w:rsid w:val="00F039B5"/>
    <w:rsid w:val="00F03A91"/>
    <w:rsid w:val="00F03D43"/>
    <w:rsid w:val="00F03DBA"/>
    <w:rsid w:val="00F03DD7"/>
    <w:rsid w:val="00F03EAE"/>
    <w:rsid w:val="00F03F1E"/>
    <w:rsid w:val="00F04025"/>
    <w:rsid w:val="00F04125"/>
    <w:rsid w:val="00F04127"/>
    <w:rsid w:val="00F041F5"/>
    <w:rsid w:val="00F042AF"/>
    <w:rsid w:val="00F0490F"/>
    <w:rsid w:val="00F04D2B"/>
    <w:rsid w:val="00F04E42"/>
    <w:rsid w:val="00F04EDA"/>
    <w:rsid w:val="00F0505D"/>
    <w:rsid w:val="00F05172"/>
    <w:rsid w:val="00F052D0"/>
    <w:rsid w:val="00F055F1"/>
    <w:rsid w:val="00F056C0"/>
    <w:rsid w:val="00F05788"/>
    <w:rsid w:val="00F05872"/>
    <w:rsid w:val="00F05B72"/>
    <w:rsid w:val="00F05C60"/>
    <w:rsid w:val="00F05C63"/>
    <w:rsid w:val="00F05CF8"/>
    <w:rsid w:val="00F05EE4"/>
    <w:rsid w:val="00F06015"/>
    <w:rsid w:val="00F06114"/>
    <w:rsid w:val="00F0614F"/>
    <w:rsid w:val="00F06151"/>
    <w:rsid w:val="00F0638B"/>
    <w:rsid w:val="00F06562"/>
    <w:rsid w:val="00F065AC"/>
    <w:rsid w:val="00F067FA"/>
    <w:rsid w:val="00F06814"/>
    <w:rsid w:val="00F0687A"/>
    <w:rsid w:val="00F06940"/>
    <w:rsid w:val="00F06A7E"/>
    <w:rsid w:val="00F06A84"/>
    <w:rsid w:val="00F06B02"/>
    <w:rsid w:val="00F06D7A"/>
    <w:rsid w:val="00F07015"/>
    <w:rsid w:val="00F070B2"/>
    <w:rsid w:val="00F070FC"/>
    <w:rsid w:val="00F0711F"/>
    <w:rsid w:val="00F07154"/>
    <w:rsid w:val="00F07155"/>
    <w:rsid w:val="00F07279"/>
    <w:rsid w:val="00F073E3"/>
    <w:rsid w:val="00F07432"/>
    <w:rsid w:val="00F074E8"/>
    <w:rsid w:val="00F074F4"/>
    <w:rsid w:val="00F0753D"/>
    <w:rsid w:val="00F07596"/>
    <w:rsid w:val="00F075E5"/>
    <w:rsid w:val="00F0763F"/>
    <w:rsid w:val="00F07764"/>
    <w:rsid w:val="00F07869"/>
    <w:rsid w:val="00F07890"/>
    <w:rsid w:val="00F078EE"/>
    <w:rsid w:val="00F079B1"/>
    <w:rsid w:val="00F07C82"/>
    <w:rsid w:val="00F07C90"/>
    <w:rsid w:val="00F07D27"/>
    <w:rsid w:val="00F07DA8"/>
    <w:rsid w:val="00F100A0"/>
    <w:rsid w:val="00F10168"/>
    <w:rsid w:val="00F1066B"/>
    <w:rsid w:val="00F109AD"/>
    <w:rsid w:val="00F10A0B"/>
    <w:rsid w:val="00F10A42"/>
    <w:rsid w:val="00F10D72"/>
    <w:rsid w:val="00F10E1D"/>
    <w:rsid w:val="00F10EF3"/>
    <w:rsid w:val="00F1106E"/>
    <w:rsid w:val="00F111F2"/>
    <w:rsid w:val="00F113B4"/>
    <w:rsid w:val="00F1147B"/>
    <w:rsid w:val="00F114DD"/>
    <w:rsid w:val="00F11502"/>
    <w:rsid w:val="00F11520"/>
    <w:rsid w:val="00F11575"/>
    <w:rsid w:val="00F11578"/>
    <w:rsid w:val="00F11656"/>
    <w:rsid w:val="00F117DB"/>
    <w:rsid w:val="00F119BD"/>
    <w:rsid w:val="00F119EC"/>
    <w:rsid w:val="00F11C0B"/>
    <w:rsid w:val="00F11C50"/>
    <w:rsid w:val="00F11D54"/>
    <w:rsid w:val="00F11DA5"/>
    <w:rsid w:val="00F11F7E"/>
    <w:rsid w:val="00F120A6"/>
    <w:rsid w:val="00F1213C"/>
    <w:rsid w:val="00F1228C"/>
    <w:rsid w:val="00F12491"/>
    <w:rsid w:val="00F124DF"/>
    <w:rsid w:val="00F1261B"/>
    <w:rsid w:val="00F12695"/>
    <w:rsid w:val="00F126DB"/>
    <w:rsid w:val="00F1295D"/>
    <w:rsid w:val="00F129FB"/>
    <w:rsid w:val="00F12D06"/>
    <w:rsid w:val="00F12DB9"/>
    <w:rsid w:val="00F12E31"/>
    <w:rsid w:val="00F12F23"/>
    <w:rsid w:val="00F12FB8"/>
    <w:rsid w:val="00F13192"/>
    <w:rsid w:val="00F13207"/>
    <w:rsid w:val="00F13242"/>
    <w:rsid w:val="00F13283"/>
    <w:rsid w:val="00F13566"/>
    <w:rsid w:val="00F13619"/>
    <w:rsid w:val="00F13854"/>
    <w:rsid w:val="00F1393F"/>
    <w:rsid w:val="00F139EB"/>
    <w:rsid w:val="00F13B37"/>
    <w:rsid w:val="00F13B6E"/>
    <w:rsid w:val="00F13C3C"/>
    <w:rsid w:val="00F13ECE"/>
    <w:rsid w:val="00F1408F"/>
    <w:rsid w:val="00F140E0"/>
    <w:rsid w:val="00F140F2"/>
    <w:rsid w:val="00F142FD"/>
    <w:rsid w:val="00F14328"/>
    <w:rsid w:val="00F14383"/>
    <w:rsid w:val="00F14424"/>
    <w:rsid w:val="00F14517"/>
    <w:rsid w:val="00F14742"/>
    <w:rsid w:val="00F149F6"/>
    <w:rsid w:val="00F14A81"/>
    <w:rsid w:val="00F14AA7"/>
    <w:rsid w:val="00F14B0B"/>
    <w:rsid w:val="00F14B9A"/>
    <w:rsid w:val="00F14E12"/>
    <w:rsid w:val="00F14ED4"/>
    <w:rsid w:val="00F14FC6"/>
    <w:rsid w:val="00F15040"/>
    <w:rsid w:val="00F152AB"/>
    <w:rsid w:val="00F1531F"/>
    <w:rsid w:val="00F15330"/>
    <w:rsid w:val="00F153CF"/>
    <w:rsid w:val="00F15588"/>
    <w:rsid w:val="00F157D7"/>
    <w:rsid w:val="00F15864"/>
    <w:rsid w:val="00F158AA"/>
    <w:rsid w:val="00F15D0D"/>
    <w:rsid w:val="00F15DC3"/>
    <w:rsid w:val="00F15F26"/>
    <w:rsid w:val="00F15FB9"/>
    <w:rsid w:val="00F15FC7"/>
    <w:rsid w:val="00F15FD7"/>
    <w:rsid w:val="00F160A1"/>
    <w:rsid w:val="00F16233"/>
    <w:rsid w:val="00F16273"/>
    <w:rsid w:val="00F16458"/>
    <w:rsid w:val="00F165AC"/>
    <w:rsid w:val="00F165EC"/>
    <w:rsid w:val="00F16610"/>
    <w:rsid w:val="00F166DB"/>
    <w:rsid w:val="00F1693A"/>
    <w:rsid w:val="00F16AA3"/>
    <w:rsid w:val="00F16D68"/>
    <w:rsid w:val="00F16DB0"/>
    <w:rsid w:val="00F16ED2"/>
    <w:rsid w:val="00F16F55"/>
    <w:rsid w:val="00F17044"/>
    <w:rsid w:val="00F1706C"/>
    <w:rsid w:val="00F170CE"/>
    <w:rsid w:val="00F17302"/>
    <w:rsid w:val="00F1733B"/>
    <w:rsid w:val="00F17602"/>
    <w:rsid w:val="00F176B9"/>
    <w:rsid w:val="00F17BBA"/>
    <w:rsid w:val="00F17F57"/>
    <w:rsid w:val="00F20096"/>
    <w:rsid w:val="00F200A1"/>
    <w:rsid w:val="00F2019F"/>
    <w:rsid w:val="00F20469"/>
    <w:rsid w:val="00F204C8"/>
    <w:rsid w:val="00F204F6"/>
    <w:rsid w:val="00F20618"/>
    <w:rsid w:val="00F209F0"/>
    <w:rsid w:val="00F20B98"/>
    <w:rsid w:val="00F20C2D"/>
    <w:rsid w:val="00F20CDA"/>
    <w:rsid w:val="00F20E5F"/>
    <w:rsid w:val="00F20F58"/>
    <w:rsid w:val="00F215F4"/>
    <w:rsid w:val="00F21626"/>
    <w:rsid w:val="00F21D79"/>
    <w:rsid w:val="00F21E54"/>
    <w:rsid w:val="00F21ECE"/>
    <w:rsid w:val="00F21FEC"/>
    <w:rsid w:val="00F2214E"/>
    <w:rsid w:val="00F228C6"/>
    <w:rsid w:val="00F22A8C"/>
    <w:rsid w:val="00F22AD9"/>
    <w:rsid w:val="00F22CBA"/>
    <w:rsid w:val="00F22D6E"/>
    <w:rsid w:val="00F22D87"/>
    <w:rsid w:val="00F22E3F"/>
    <w:rsid w:val="00F22E89"/>
    <w:rsid w:val="00F22EE8"/>
    <w:rsid w:val="00F22F6F"/>
    <w:rsid w:val="00F23006"/>
    <w:rsid w:val="00F2308A"/>
    <w:rsid w:val="00F2309E"/>
    <w:rsid w:val="00F230D9"/>
    <w:rsid w:val="00F2310E"/>
    <w:rsid w:val="00F2318C"/>
    <w:rsid w:val="00F2329D"/>
    <w:rsid w:val="00F232D2"/>
    <w:rsid w:val="00F23356"/>
    <w:rsid w:val="00F23390"/>
    <w:rsid w:val="00F233BA"/>
    <w:rsid w:val="00F23437"/>
    <w:rsid w:val="00F23460"/>
    <w:rsid w:val="00F236A6"/>
    <w:rsid w:val="00F237AF"/>
    <w:rsid w:val="00F2396C"/>
    <w:rsid w:val="00F23B0D"/>
    <w:rsid w:val="00F23EEC"/>
    <w:rsid w:val="00F23FFE"/>
    <w:rsid w:val="00F24186"/>
    <w:rsid w:val="00F24277"/>
    <w:rsid w:val="00F242C7"/>
    <w:rsid w:val="00F2439A"/>
    <w:rsid w:val="00F245D9"/>
    <w:rsid w:val="00F24602"/>
    <w:rsid w:val="00F247A4"/>
    <w:rsid w:val="00F24843"/>
    <w:rsid w:val="00F248F0"/>
    <w:rsid w:val="00F24A07"/>
    <w:rsid w:val="00F24A58"/>
    <w:rsid w:val="00F24A73"/>
    <w:rsid w:val="00F24AC5"/>
    <w:rsid w:val="00F24AFC"/>
    <w:rsid w:val="00F24B86"/>
    <w:rsid w:val="00F25168"/>
    <w:rsid w:val="00F25221"/>
    <w:rsid w:val="00F25288"/>
    <w:rsid w:val="00F253FB"/>
    <w:rsid w:val="00F2544B"/>
    <w:rsid w:val="00F25536"/>
    <w:rsid w:val="00F25603"/>
    <w:rsid w:val="00F257AC"/>
    <w:rsid w:val="00F259B8"/>
    <w:rsid w:val="00F25B63"/>
    <w:rsid w:val="00F25BAA"/>
    <w:rsid w:val="00F25BBF"/>
    <w:rsid w:val="00F25C66"/>
    <w:rsid w:val="00F25C69"/>
    <w:rsid w:val="00F25E08"/>
    <w:rsid w:val="00F2606F"/>
    <w:rsid w:val="00F260DD"/>
    <w:rsid w:val="00F261E5"/>
    <w:rsid w:val="00F26435"/>
    <w:rsid w:val="00F26460"/>
    <w:rsid w:val="00F2650B"/>
    <w:rsid w:val="00F266E6"/>
    <w:rsid w:val="00F2674A"/>
    <w:rsid w:val="00F26B1B"/>
    <w:rsid w:val="00F26CB8"/>
    <w:rsid w:val="00F26DFD"/>
    <w:rsid w:val="00F26E0B"/>
    <w:rsid w:val="00F271F6"/>
    <w:rsid w:val="00F27238"/>
    <w:rsid w:val="00F274A8"/>
    <w:rsid w:val="00F27897"/>
    <w:rsid w:val="00F2789C"/>
    <w:rsid w:val="00F27A93"/>
    <w:rsid w:val="00F27CA7"/>
    <w:rsid w:val="00F27D9B"/>
    <w:rsid w:val="00F27F37"/>
    <w:rsid w:val="00F30095"/>
    <w:rsid w:val="00F30146"/>
    <w:rsid w:val="00F30148"/>
    <w:rsid w:val="00F3029D"/>
    <w:rsid w:val="00F3048E"/>
    <w:rsid w:val="00F3073D"/>
    <w:rsid w:val="00F30760"/>
    <w:rsid w:val="00F309DC"/>
    <w:rsid w:val="00F30A80"/>
    <w:rsid w:val="00F30BA0"/>
    <w:rsid w:val="00F30C61"/>
    <w:rsid w:val="00F30D0C"/>
    <w:rsid w:val="00F30D9C"/>
    <w:rsid w:val="00F30E7A"/>
    <w:rsid w:val="00F30FD6"/>
    <w:rsid w:val="00F30FE4"/>
    <w:rsid w:val="00F310C7"/>
    <w:rsid w:val="00F3163F"/>
    <w:rsid w:val="00F3164B"/>
    <w:rsid w:val="00F316AB"/>
    <w:rsid w:val="00F31874"/>
    <w:rsid w:val="00F319F9"/>
    <w:rsid w:val="00F31B8F"/>
    <w:rsid w:val="00F31D35"/>
    <w:rsid w:val="00F31D9B"/>
    <w:rsid w:val="00F31FBB"/>
    <w:rsid w:val="00F31FD1"/>
    <w:rsid w:val="00F32011"/>
    <w:rsid w:val="00F32192"/>
    <w:rsid w:val="00F3220A"/>
    <w:rsid w:val="00F323DD"/>
    <w:rsid w:val="00F32440"/>
    <w:rsid w:val="00F324B9"/>
    <w:rsid w:val="00F324C5"/>
    <w:rsid w:val="00F327B4"/>
    <w:rsid w:val="00F32A9E"/>
    <w:rsid w:val="00F32BD9"/>
    <w:rsid w:val="00F32DC1"/>
    <w:rsid w:val="00F32E9F"/>
    <w:rsid w:val="00F32EE1"/>
    <w:rsid w:val="00F33070"/>
    <w:rsid w:val="00F33074"/>
    <w:rsid w:val="00F33215"/>
    <w:rsid w:val="00F332D9"/>
    <w:rsid w:val="00F33620"/>
    <w:rsid w:val="00F33AD5"/>
    <w:rsid w:val="00F33B73"/>
    <w:rsid w:val="00F33DEC"/>
    <w:rsid w:val="00F33E0D"/>
    <w:rsid w:val="00F33F15"/>
    <w:rsid w:val="00F33F80"/>
    <w:rsid w:val="00F3404B"/>
    <w:rsid w:val="00F3421A"/>
    <w:rsid w:val="00F34276"/>
    <w:rsid w:val="00F342A6"/>
    <w:rsid w:val="00F34532"/>
    <w:rsid w:val="00F347A4"/>
    <w:rsid w:val="00F347E7"/>
    <w:rsid w:val="00F348EB"/>
    <w:rsid w:val="00F3494A"/>
    <w:rsid w:val="00F349F3"/>
    <w:rsid w:val="00F34AC1"/>
    <w:rsid w:val="00F34B35"/>
    <w:rsid w:val="00F34BD8"/>
    <w:rsid w:val="00F34C3D"/>
    <w:rsid w:val="00F34C6C"/>
    <w:rsid w:val="00F34CA3"/>
    <w:rsid w:val="00F34D67"/>
    <w:rsid w:val="00F34D97"/>
    <w:rsid w:val="00F35145"/>
    <w:rsid w:val="00F352DF"/>
    <w:rsid w:val="00F35304"/>
    <w:rsid w:val="00F35360"/>
    <w:rsid w:val="00F354C6"/>
    <w:rsid w:val="00F35546"/>
    <w:rsid w:val="00F35579"/>
    <w:rsid w:val="00F35622"/>
    <w:rsid w:val="00F35623"/>
    <w:rsid w:val="00F35635"/>
    <w:rsid w:val="00F35650"/>
    <w:rsid w:val="00F3570B"/>
    <w:rsid w:val="00F357F8"/>
    <w:rsid w:val="00F35820"/>
    <w:rsid w:val="00F35922"/>
    <w:rsid w:val="00F35937"/>
    <w:rsid w:val="00F35DDA"/>
    <w:rsid w:val="00F35DDD"/>
    <w:rsid w:val="00F36023"/>
    <w:rsid w:val="00F36225"/>
    <w:rsid w:val="00F364C0"/>
    <w:rsid w:val="00F368EB"/>
    <w:rsid w:val="00F369FC"/>
    <w:rsid w:val="00F36C04"/>
    <w:rsid w:val="00F36F58"/>
    <w:rsid w:val="00F37002"/>
    <w:rsid w:val="00F3706C"/>
    <w:rsid w:val="00F370A8"/>
    <w:rsid w:val="00F3711A"/>
    <w:rsid w:val="00F371C5"/>
    <w:rsid w:val="00F3744B"/>
    <w:rsid w:val="00F375BC"/>
    <w:rsid w:val="00F3774C"/>
    <w:rsid w:val="00F3777D"/>
    <w:rsid w:val="00F377F0"/>
    <w:rsid w:val="00F37870"/>
    <w:rsid w:val="00F3787F"/>
    <w:rsid w:val="00F37984"/>
    <w:rsid w:val="00F379B7"/>
    <w:rsid w:val="00F37AC8"/>
    <w:rsid w:val="00F37D74"/>
    <w:rsid w:val="00F37DA7"/>
    <w:rsid w:val="00F37EAE"/>
    <w:rsid w:val="00F4005A"/>
    <w:rsid w:val="00F4006E"/>
    <w:rsid w:val="00F4010D"/>
    <w:rsid w:val="00F401FA"/>
    <w:rsid w:val="00F40320"/>
    <w:rsid w:val="00F40482"/>
    <w:rsid w:val="00F40534"/>
    <w:rsid w:val="00F40549"/>
    <w:rsid w:val="00F40658"/>
    <w:rsid w:val="00F40704"/>
    <w:rsid w:val="00F40B3A"/>
    <w:rsid w:val="00F40BCC"/>
    <w:rsid w:val="00F40C39"/>
    <w:rsid w:val="00F40C8A"/>
    <w:rsid w:val="00F40CEB"/>
    <w:rsid w:val="00F40D25"/>
    <w:rsid w:val="00F40E86"/>
    <w:rsid w:val="00F410D3"/>
    <w:rsid w:val="00F413D4"/>
    <w:rsid w:val="00F413E3"/>
    <w:rsid w:val="00F41635"/>
    <w:rsid w:val="00F41661"/>
    <w:rsid w:val="00F416B9"/>
    <w:rsid w:val="00F418D7"/>
    <w:rsid w:val="00F41AC0"/>
    <w:rsid w:val="00F41B8A"/>
    <w:rsid w:val="00F41C8A"/>
    <w:rsid w:val="00F41CF7"/>
    <w:rsid w:val="00F41D1E"/>
    <w:rsid w:val="00F41DB1"/>
    <w:rsid w:val="00F42193"/>
    <w:rsid w:val="00F421D5"/>
    <w:rsid w:val="00F42279"/>
    <w:rsid w:val="00F422E6"/>
    <w:rsid w:val="00F4245E"/>
    <w:rsid w:val="00F42655"/>
    <w:rsid w:val="00F42680"/>
    <w:rsid w:val="00F42791"/>
    <w:rsid w:val="00F427EF"/>
    <w:rsid w:val="00F4283F"/>
    <w:rsid w:val="00F42890"/>
    <w:rsid w:val="00F428BC"/>
    <w:rsid w:val="00F42C52"/>
    <w:rsid w:val="00F42DDD"/>
    <w:rsid w:val="00F43064"/>
    <w:rsid w:val="00F4316E"/>
    <w:rsid w:val="00F43180"/>
    <w:rsid w:val="00F433C1"/>
    <w:rsid w:val="00F4345D"/>
    <w:rsid w:val="00F434E9"/>
    <w:rsid w:val="00F43503"/>
    <w:rsid w:val="00F43669"/>
    <w:rsid w:val="00F436F3"/>
    <w:rsid w:val="00F437AC"/>
    <w:rsid w:val="00F43892"/>
    <w:rsid w:val="00F43954"/>
    <w:rsid w:val="00F43A95"/>
    <w:rsid w:val="00F43C13"/>
    <w:rsid w:val="00F43C41"/>
    <w:rsid w:val="00F43C9B"/>
    <w:rsid w:val="00F43CF3"/>
    <w:rsid w:val="00F43D08"/>
    <w:rsid w:val="00F43D7F"/>
    <w:rsid w:val="00F43E39"/>
    <w:rsid w:val="00F43E61"/>
    <w:rsid w:val="00F43E6A"/>
    <w:rsid w:val="00F43EE8"/>
    <w:rsid w:val="00F43F88"/>
    <w:rsid w:val="00F443BC"/>
    <w:rsid w:val="00F4457D"/>
    <w:rsid w:val="00F4458C"/>
    <w:rsid w:val="00F445D5"/>
    <w:rsid w:val="00F44830"/>
    <w:rsid w:val="00F448C4"/>
    <w:rsid w:val="00F44A79"/>
    <w:rsid w:val="00F44BA9"/>
    <w:rsid w:val="00F44C74"/>
    <w:rsid w:val="00F44DFB"/>
    <w:rsid w:val="00F44E79"/>
    <w:rsid w:val="00F44E9E"/>
    <w:rsid w:val="00F451D6"/>
    <w:rsid w:val="00F4559B"/>
    <w:rsid w:val="00F4572D"/>
    <w:rsid w:val="00F45B80"/>
    <w:rsid w:val="00F45C1E"/>
    <w:rsid w:val="00F45CAE"/>
    <w:rsid w:val="00F45D2B"/>
    <w:rsid w:val="00F45DCA"/>
    <w:rsid w:val="00F45E00"/>
    <w:rsid w:val="00F4637C"/>
    <w:rsid w:val="00F46499"/>
    <w:rsid w:val="00F4660A"/>
    <w:rsid w:val="00F4684D"/>
    <w:rsid w:val="00F46BAB"/>
    <w:rsid w:val="00F46C9A"/>
    <w:rsid w:val="00F46E0D"/>
    <w:rsid w:val="00F46EBA"/>
    <w:rsid w:val="00F46EDB"/>
    <w:rsid w:val="00F4713F"/>
    <w:rsid w:val="00F47256"/>
    <w:rsid w:val="00F4738F"/>
    <w:rsid w:val="00F4744F"/>
    <w:rsid w:val="00F47458"/>
    <w:rsid w:val="00F474A1"/>
    <w:rsid w:val="00F474FB"/>
    <w:rsid w:val="00F47561"/>
    <w:rsid w:val="00F478D1"/>
    <w:rsid w:val="00F47B86"/>
    <w:rsid w:val="00F47D79"/>
    <w:rsid w:val="00F47DC0"/>
    <w:rsid w:val="00F47ED4"/>
    <w:rsid w:val="00F47F62"/>
    <w:rsid w:val="00F500A8"/>
    <w:rsid w:val="00F5028C"/>
    <w:rsid w:val="00F502C7"/>
    <w:rsid w:val="00F5048D"/>
    <w:rsid w:val="00F504CE"/>
    <w:rsid w:val="00F50588"/>
    <w:rsid w:val="00F50918"/>
    <w:rsid w:val="00F5095B"/>
    <w:rsid w:val="00F50C29"/>
    <w:rsid w:val="00F50D8C"/>
    <w:rsid w:val="00F50EED"/>
    <w:rsid w:val="00F50F24"/>
    <w:rsid w:val="00F512D7"/>
    <w:rsid w:val="00F513DB"/>
    <w:rsid w:val="00F51754"/>
    <w:rsid w:val="00F5180F"/>
    <w:rsid w:val="00F51868"/>
    <w:rsid w:val="00F51A54"/>
    <w:rsid w:val="00F51BD7"/>
    <w:rsid w:val="00F51CBB"/>
    <w:rsid w:val="00F51DED"/>
    <w:rsid w:val="00F51DF8"/>
    <w:rsid w:val="00F51E0D"/>
    <w:rsid w:val="00F51EEB"/>
    <w:rsid w:val="00F520C8"/>
    <w:rsid w:val="00F52100"/>
    <w:rsid w:val="00F52132"/>
    <w:rsid w:val="00F523D7"/>
    <w:rsid w:val="00F52684"/>
    <w:rsid w:val="00F527C5"/>
    <w:rsid w:val="00F5280C"/>
    <w:rsid w:val="00F5284A"/>
    <w:rsid w:val="00F52906"/>
    <w:rsid w:val="00F52ED8"/>
    <w:rsid w:val="00F53022"/>
    <w:rsid w:val="00F53082"/>
    <w:rsid w:val="00F53163"/>
    <w:rsid w:val="00F5324E"/>
    <w:rsid w:val="00F53457"/>
    <w:rsid w:val="00F53462"/>
    <w:rsid w:val="00F53561"/>
    <w:rsid w:val="00F537A4"/>
    <w:rsid w:val="00F537F3"/>
    <w:rsid w:val="00F53A00"/>
    <w:rsid w:val="00F53A3A"/>
    <w:rsid w:val="00F53A93"/>
    <w:rsid w:val="00F53C77"/>
    <w:rsid w:val="00F53C79"/>
    <w:rsid w:val="00F53D00"/>
    <w:rsid w:val="00F53D3A"/>
    <w:rsid w:val="00F53DB1"/>
    <w:rsid w:val="00F53E30"/>
    <w:rsid w:val="00F53E4D"/>
    <w:rsid w:val="00F53E98"/>
    <w:rsid w:val="00F53EA6"/>
    <w:rsid w:val="00F53EDA"/>
    <w:rsid w:val="00F53F4E"/>
    <w:rsid w:val="00F53F86"/>
    <w:rsid w:val="00F540AD"/>
    <w:rsid w:val="00F54143"/>
    <w:rsid w:val="00F5415D"/>
    <w:rsid w:val="00F5425A"/>
    <w:rsid w:val="00F5463A"/>
    <w:rsid w:val="00F5467E"/>
    <w:rsid w:val="00F5469A"/>
    <w:rsid w:val="00F546FD"/>
    <w:rsid w:val="00F54726"/>
    <w:rsid w:val="00F549F8"/>
    <w:rsid w:val="00F54ABB"/>
    <w:rsid w:val="00F54C15"/>
    <w:rsid w:val="00F54F88"/>
    <w:rsid w:val="00F55074"/>
    <w:rsid w:val="00F55152"/>
    <w:rsid w:val="00F5526A"/>
    <w:rsid w:val="00F5538D"/>
    <w:rsid w:val="00F553D5"/>
    <w:rsid w:val="00F5544B"/>
    <w:rsid w:val="00F55695"/>
    <w:rsid w:val="00F55A11"/>
    <w:rsid w:val="00F55BC0"/>
    <w:rsid w:val="00F55CE1"/>
    <w:rsid w:val="00F55D7B"/>
    <w:rsid w:val="00F55E0C"/>
    <w:rsid w:val="00F55F83"/>
    <w:rsid w:val="00F56161"/>
    <w:rsid w:val="00F56224"/>
    <w:rsid w:val="00F56262"/>
    <w:rsid w:val="00F562AB"/>
    <w:rsid w:val="00F5662C"/>
    <w:rsid w:val="00F56654"/>
    <w:rsid w:val="00F566A4"/>
    <w:rsid w:val="00F5698A"/>
    <w:rsid w:val="00F56A77"/>
    <w:rsid w:val="00F56BCD"/>
    <w:rsid w:val="00F56BD6"/>
    <w:rsid w:val="00F56CA1"/>
    <w:rsid w:val="00F56CE7"/>
    <w:rsid w:val="00F56CF1"/>
    <w:rsid w:val="00F56DA6"/>
    <w:rsid w:val="00F56EA8"/>
    <w:rsid w:val="00F56FA3"/>
    <w:rsid w:val="00F5704B"/>
    <w:rsid w:val="00F571F8"/>
    <w:rsid w:val="00F573DD"/>
    <w:rsid w:val="00F5750E"/>
    <w:rsid w:val="00F57647"/>
    <w:rsid w:val="00F57709"/>
    <w:rsid w:val="00F577BC"/>
    <w:rsid w:val="00F5782F"/>
    <w:rsid w:val="00F57849"/>
    <w:rsid w:val="00F578A7"/>
    <w:rsid w:val="00F5791C"/>
    <w:rsid w:val="00F57B5F"/>
    <w:rsid w:val="00F57BC9"/>
    <w:rsid w:val="00F57D35"/>
    <w:rsid w:val="00F6006A"/>
    <w:rsid w:val="00F60401"/>
    <w:rsid w:val="00F605CB"/>
    <w:rsid w:val="00F605E4"/>
    <w:rsid w:val="00F60700"/>
    <w:rsid w:val="00F607A6"/>
    <w:rsid w:val="00F607FE"/>
    <w:rsid w:val="00F608D0"/>
    <w:rsid w:val="00F60A11"/>
    <w:rsid w:val="00F60A92"/>
    <w:rsid w:val="00F60C5A"/>
    <w:rsid w:val="00F60D0F"/>
    <w:rsid w:val="00F60DA2"/>
    <w:rsid w:val="00F60DBB"/>
    <w:rsid w:val="00F60DEF"/>
    <w:rsid w:val="00F60ED8"/>
    <w:rsid w:val="00F6117B"/>
    <w:rsid w:val="00F6118E"/>
    <w:rsid w:val="00F61261"/>
    <w:rsid w:val="00F6129A"/>
    <w:rsid w:val="00F61415"/>
    <w:rsid w:val="00F6157D"/>
    <w:rsid w:val="00F615A7"/>
    <w:rsid w:val="00F615C4"/>
    <w:rsid w:val="00F616DB"/>
    <w:rsid w:val="00F6174B"/>
    <w:rsid w:val="00F61813"/>
    <w:rsid w:val="00F6198F"/>
    <w:rsid w:val="00F619E6"/>
    <w:rsid w:val="00F61A15"/>
    <w:rsid w:val="00F61D6A"/>
    <w:rsid w:val="00F61DBD"/>
    <w:rsid w:val="00F61F70"/>
    <w:rsid w:val="00F6214D"/>
    <w:rsid w:val="00F6243D"/>
    <w:rsid w:val="00F626C6"/>
    <w:rsid w:val="00F626CF"/>
    <w:rsid w:val="00F6286D"/>
    <w:rsid w:val="00F628B5"/>
    <w:rsid w:val="00F62996"/>
    <w:rsid w:val="00F6299C"/>
    <w:rsid w:val="00F62B4C"/>
    <w:rsid w:val="00F62BC7"/>
    <w:rsid w:val="00F62CB6"/>
    <w:rsid w:val="00F633CF"/>
    <w:rsid w:val="00F63641"/>
    <w:rsid w:val="00F63967"/>
    <w:rsid w:val="00F63A05"/>
    <w:rsid w:val="00F63ADA"/>
    <w:rsid w:val="00F63D6B"/>
    <w:rsid w:val="00F63DAE"/>
    <w:rsid w:val="00F63E70"/>
    <w:rsid w:val="00F63E98"/>
    <w:rsid w:val="00F6405F"/>
    <w:rsid w:val="00F640F9"/>
    <w:rsid w:val="00F6429F"/>
    <w:rsid w:val="00F642B4"/>
    <w:rsid w:val="00F642C2"/>
    <w:rsid w:val="00F644B1"/>
    <w:rsid w:val="00F6472C"/>
    <w:rsid w:val="00F6486A"/>
    <w:rsid w:val="00F64D19"/>
    <w:rsid w:val="00F64E00"/>
    <w:rsid w:val="00F64EA7"/>
    <w:rsid w:val="00F64EDA"/>
    <w:rsid w:val="00F64FC9"/>
    <w:rsid w:val="00F65123"/>
    <w:rsid w:val="00F6514D"/>
    <w:rsid w:val="00F6515B"/>
    <w:rsid w:val="00F651BA"/>
    <w:rsid w:val="00F655D3"/>
    <w:rsid w:val="00F656A2"/>
    <w:rsid w:val="00F656C2"/>
    <w:rsid w:val="00F65778"/>
    <w:rsid w:val="00F6581A"/>
    <w:rsid w:val="00F65A5A"/>
    <w:rsid w:val="00F65C46"/>
    <w:rsid w:val="00F65C65"/>
    <w:rsid w:val="00F65E89"/>
    <w:rsid w:val="00F65F6E"/>
    <w:rsid w:val="00F65FF9"/>
    <w:rsid w:val="00F6605E"/>
    <w:rsid w:val="00F660E3"/>
    <w:rsid w:val="00F66173"/>
    <w:rsid w:val="00F661C6"/>
    <w:rsid w:val="00F6621F"/>
    <w:rsid w:val="00F663DC"/>
    <w:rsid w:val="00F66401"/>
    <w:rsid w:val="00F66485"/>
    <w:rsid w:val="00F66491"/>
    <w:rsid w:val="00F66570"/>
    <w:rsid w:val="00F66584"/>
    <w:rsid w:val="00F66633"/>
    <w:rsid w:val="00F66693"/>
    <w:rsid w:val="00F666C9"/>
    <w:rsid w:val="00F66742"/>
    <w:rsid w:val="00F66895"/>
    <w:rsid w:val="00F66954"/>
    <w:rsid w:val="00F66B9F"/>
    <w:rsid w:val="00F66BF7"/>
    <w:rsid w:val="00F66C3B"/>
    <w:rsid w:val="00F66D5E"/>
    <w:rsid w:val="00F67305"/>
    <w:rsid w:val="00F673D4"/>
    <w:rsid w:val="00F6779B"/>
    <w:rsid w:val="00F67AE5"/>
    <w:rsid w:val="00F67BDD"/>
    <w:rsid w:val="00F67F83"/>
    <w:rsid w:val="00F70160"/>
    <w:rsid w:val="00F7035B"/>
    <w:rsid w:val="00F70363"/>
    <w:rsid w:val="00F70380"/>
    <w:rsid w:val="00F7043D"/>
    <w:rsid w:val="00F705C6"/>
    <w:rsid w:val="00F705E3"/>
    <w:rsid w:val="00F7077E"/>
    <w:rsid w:val="00F70888"/>
    <w:rsid w:val="00F708F8"/>
    <w:rsid w:val="00F70DB8"/>
    <w:rsid w:val="00F70E15"/>
    <w:rsid w:val="00F70FFF"/>
    <w:rsid w:val="00F71041"/>
    <w:rsid w:val="00F71085"/>
    <w:rsid w:val="00F71099"/>
    <w:rsid w:val="00F7122E"/>
    <w:rsid w:val="00F71580"/>
    <w:rsid w:val="00F71826"/>
    <w:rsid w:val="00F71867"/>
    <w:rsid w:val="00F718BE"/>
    <w:rsid w:val="00F719FD"/>
    <w:rsid w:val="00F71A0E"/>
    <w:rsid w:val="00F71AEA"/>
    <w:rsid w:val="00F71EBD"/>
    <w:rsid w:val="00F71FDB"/>
    <w:rsid w:val="00F71FFC"/>
    <w:rsid w:val="00F720A1"/>
    <w:rsid w:val="00F7210E"/>
    <w:rsid w:val="00F721A3"/>
    <w:rsid w:val="00F722F9"/>
    <w:rsid w:val="00F72341"/>
    <w:rsid w:val="00F7238F"/>
    <w:rsid w:val="00F724C4"/>
    <w:rsid w:val="00F7251F"/>
    <w:rsid w:val="00F72667"/>
    <w:rsid w:val="00F72841"/>
    <w:rsid w:val="00F72A10"/>
    <w:rsid w:val="00F72AD5"/>
    <w:rsid w:val="00F72BAC"/>
    <w:rsid w:val="00F72C1E"/>
    <w:rsid w:val="00F72C9B"/>
    <w:rsid w:val="00F72D43"/>
    <w:rsid w:val="00F72ECA"/>
    <w:rsid w:val="00F72FB9"/>
    <w:rsid w:val="00F7303F"/>
    <w:rsid w:val="00F730F5"/>
    <w:rsid w:val="00F731D7"/>
    <w:rsid w:val="00F73382"/>
    <w:rsid w:val="00F736B0"/>
    <w:rsid w:val="00F73822"/>
    <w:rsid w:val="00F73B1A"/>
    <w:rsid w:val="00F73B88"/>
    <w:rsid w:val="00F73C70"/>
    <w:rsid w:val="00F73D00"/>
    <w:rsid w:val="00F73D41"/>
    <w:rsid w:val="00F73D5C"/>
    <w:rsid w:val="00F73E45"/>
    <w:rsid w:val="00F73FA7"/>
    <w:rsid w:val="00F74023"/>
    <w:rsid w:val="00F7426A"/>
    <w:rsid w:val="00F74345"/>
    <w:rsid w:val="00F74500"/>
    <w:rsid w:val="00F74529"/>
    <w:rsid w:val="00F74839"/>
    <w:rsid w:val="00F749C7"/>
    <w:rsid w:val="00F74B96"/>
    <w:rsid w:val="00F74CA5"/>
    <w:rsid w:val="00F74CFD"/>
    <w:rsid w:val="00F74E39"/>
    <w:rsid w:val="00F74E85"/>
    <w:rsid w:val="00F75376"/>
    <w:rsid w:val="00F7553D"/>
    <w:rsid w:val="00F7574E"/>
    <w:rsid w:val="00F7578F"/>
    <w:rsid w:val="00F757F7"/>
    <w:rsid w:val="00F75814"/>
    <w:rsid w:val="00F7589B"/>
    <w:rsid w:val="00F758D2"/>
    <w:rsid w:val="00F75A6B"/>
    <w:rsid w:val="00F75AB2"/>
    <w:rsid w:val="00F75AE2"/>
    <w:rsid w:val="00F75B43"/>
    <w:rsid w:val="00F75B65"/>
    <w:rsid w:val="00F75C1B"/>
    <w:rsid w:val="00F75D4E"/>
    <w:rsid w:val="00F75F4F"/>
    <w:rsid w:val="00F761C5"/>
    <w:rsid w:val="00F76653"/>
    <w:rsid w:val="00F76675"/>
    <w:rsid w:val="00F7670B"/>
    <w:rsid w:val="00F76805"/>
    <w:rsid w:val="00F7688C"/>
    <w:rsid w:val="00F7689A"/>
    <w:rsid w:val="00F768CB"/>
    <w:rsid w:val="00F769CB"/>
    <w:rsid w:val="00F76A84"/>
    <w:rsid w:val="00F76B7D"/>
    <w:rsid w:val="00F76CB5"/>
    <w:rsid w:val="00F77120"/>
    <w:rsid w:val="00F77212"/>
    <w:rsid w:val="00F77238"/>
    <w:rsid w:val="00F7734E"/>
    <w:rsid w:val="00F7745B"/>
    <w:rsid w:val="00F77472"/>
    <w:rsid w:val="00F77482"/>
    <w:rsid w:val="00F7755E"/>
    <w:rsid w:val="00F777F2"/>
    <w:rsid w:val="00F77849"/>
    <w:rsid w:val="00F77A37"/>
    <w:rsid w:val="00F77CA5"/>
    <w:rsid w:val="00F77E69"/>
    <w:rsid w:val="00F77EC1"/>
    <w:rsid w:val="00F77EE5"/>
    <w:rsid w:val="00F77F41"/>
    <w:rsid w:val="00F77FEC"/>
    <w:rsid w:val="00F80035"/>
    <w:rsid w:val="00F80443"/>
    <w:rsid w:val="00F8047F"/>
    <w:rsid w:val="00F806C4"/>
    <w:rsid w:val="00F8071A"/>
    <w:rsid w:val="00F80795"/>
    <w:rsid w:val="00F8086D"/>
    <w:rsid w:val="00F808D5"/>
    <w:rsid w:val="00F80A3C"/>
    <w:rsid w:val="00F80AEB"/>
    <w:rsid w:val="00F80C37"/>
    <w:rsid w:val="00F80D97"/>
    <w:rsid w:val="00F80E87"/>
    <w:rsid w:val="00F80F82"/>
    <w:rsid w:val="00F80F91"/>
    <w:rsid w:val="00F81070"/>
    <w:rsid w:val="00F810AF"/>
    <w:rsid w:val="00F810D6"/>
    <w:rsid w:val="00F810DC"/>
    <w:rsid w:val="00F81176"/>
    <w:rsid w:val="00F815D4"/>
    <w:rsid w:val="00F81606"/>
    <w:rsid w:val="00F81652"/>
    <w:rsid w:val="00F8168F"/>
    <w:rsid w:val="00F816DE"/>
    <w:rsid w:val="00F817F8"/>
    <w:rsid w:val="00F8187B"/>
    <w:rsid w:val="00F818E2"/>
    <w:rsid w:val="00F81A21"/>
    <w:rsid w:val="00F81A8F"/>
    <w:rsid w:val="00F81BA4"/>
    <w:rsid w:val="00F81BCD"/>
    <w:rsid w:val="00F81C66"/>
    <w:rsid w:val="00F8213A"/>
    <w:rsid w:val="00F82148"/>
    <w:rsid w:val="00F821ED"/>
    <w:rsid w:val="00F823E6"/>
    <w:rsid w:val="00F82637"/>
    <w:rsid w:val="00F82645"/>
    <w:rsid w:val="00F82871"/>
    <w:rsid w:val="00F82928"/>
    <w:rsid w:val="00F82B7C"/>
    <w:rsid w:val="00F82B84"/>
    <w:rsid w:val="00F82CE7"/>
    <w:rsid w:val="00F82D7B"/>
    <w:rsid w:val="00F82DB8"/>
    <w:rsid w:val="00F82DC5"/>
    <w:rsid w:val="00F82EDC"/>
    <w:rsid w:val="00F82F97"/>
    <w:rsid w:val="00F8301C"/>
    <w:rsid w:val="00F8302B"/>
    <w:rsid w:val="00F83146"/>
    <w:rsid w:val="00F83168"/>
    <w:rsid w:val="00F8357D"/>
    <w:rsid w:val="00F83581"/>
    <w:rsid w:val="00F83837"/>
    <w:rsid w:val="00F83851"/>
    <w:rsid w:val="00F838B5"/>
    <w:rsid w:val="00F83A2A"/>
    <w:rsid w:val="00F83BCA"/>
    <w:rsid w:val="00F83CAD"/>
    <w:rsid w:val="00F83F45"/>
    <w:rsid w:val="00F83F9F"/>
    <w:rsid w:val="00F84388"/>
    <w:rsid w:val="00F8438C"/>
    <w:rsid w:val="00F8448B"/>
    <w:rsid w:val="00F84766"/>
    <w:rsid w:val="00F84A49"/>
    <w:rsid w:val="00F84C0D"/>
    <w:rsid w:val="00F85168"/>
    <w:rsid w:val="00F85195"/>
    <w:rsid w:val="00F8543A"/>
    <w:rsid w:val="00F8558D"/>
    <w:rsid w:val="00F855C1"/>
    <w:rsid w:val="00F855CA"/>
    <w:rsid w:val="00F85617"/>
    <w:rsid w:val="00F85820"/>
    <w:rsid w:val="00F858A1"/>
    <w:rsid w:val="00F8598C"/>
    <w:rsid w:val="00F85BF4"/>
    <w:rsid w:val="00F85C72"/>
    <w:rsid w:val="00F85E19"/>
    <w:rsid w:val="00F85F0D"/>
    <w:rsid w:val="00F85F73"/>
    <w:rsid w:val="00F85FEA"/>
    <w:rsid w:val="00F8644E"/>
    <w:rsid w:val="00F864EA"/>
    <w:rsid w:val="00F864F2"/>
    <w:rsid w:val="00F8657F"/>
    <w:rsid w:val="00F865E0"/>
    <w:rsid w:val="00F866FF"/>
    <w:rsid w:val="00F86BCC"/>
    <w:rsid w:val="00F86C31"/>
    <w:rsid w:val="00F86CBA"/>
    <w:rsid w:val="00F86D45"/>
    <w:rsid w:val="00F86DEB"/>
    <w:rsid w:val="00F86EDD"/>
    <w:rsid w:val="00F8709F"/>
    <w:rsid w:val="00F871C4"/>
    <w:rsid w:val="00F87411"/>
    <w:rsid w:val="00F8778A"/>
    <w:rsid w:val="00F877DC"/>
    <w:rsid w:val="00F878BA"/>
    <w:rsid w:val="00F87960"/>
    <w:rsid w:val="00F87994"/>
    <w:rsid w:val="00F87A1A"/>
    <w:rsid w:val="00F87A98"/>
    <w:rsid w:val="00F87B89"/>
    <w:rsid w:val="00F87D69"/>
    <w:rsid w:val="00F87F90"/>
    <w:rsid w:val="00F900AF"/>
    <w:rsid w:val="00F9024A"/>
    <w:rsid w:val="00F9024C"/>
    <w:rsid w:val="00F9045D"/>
    <w:rsid w:val="00F905C0"/>
    <w:rsid w:val="00F90856"/>
    <w:rsid w:val="00F90897"/>
    <w:rsid w:val="00F90A0F"/>
    <w:rsid w:val="00F90AE3"/>
    <w:rsid w:val="00F90BF4"/>
    <w:rsid w:val="00F90C15"/>
    <w:rsid w:val="00F90CEC"/>
    <w:rsid w:val="00F90D0A"/>
    <w:rsid w:val="00F90D4D"/>
    <w:rsid w:val="00F90E67"/>
    <w:rsid w:val="00F90ED9"/>
    <w:rsid w:val="00F90EE2"/>
    <w:rsid w:val="00F91105"/>
    <w:rsid w:val="00F912E3"/>
    <w:rsid w:val="00F91309"/>
    <w:rsid w:val="00F913A4"/>
    <w:rsid w:val="00F913BB"/>
    <w:rsid w:val="00F9142D"/>
    <w:rsid w:val="00F9155E"/>
    <w:rsid w:val="00F9173E"/>
    <w:rsid w:val="00F917CA"/>
    <w:rsid w:val="00F918A7"/>
    <w:rsid w:val="00F9190B"/>
    <w:rsid w:val="00F91937"/>
    <w:rsid w:val="00F919A4"/>
    <w:rsid w:val="00F919E8"/>
    <w:rsid w:val="00F91BA6"/>
    <w:rsid w:val="00F91BF7"/>
    <w:rsid w:val="00F91CCC"/>
    <w:rsid w:val="00F92063"/>
    <w:rsid w:val="00F92279"/>
    <w:rsid w:val="00F9232A"/>
    <w:rsid w:val="00F92382"/>
    <w:rsid w:val="00F92406"/>
    <w:rsid w:val="00F92407"/>
    <w:rsid w:val="00F92668"/>
    <w:rsid w:val="00F92FC0"/>
    <w:rsid w:val="00F933A6"/>
    <w:rsid w:val="00F934CB"/>
    <w:rsid w:val="00F9371D"/>
    <w:rsid w:val="00F9371E"/>
    <w:rsid w:val="00F939F1"/>
    <w:rsid w:val="00F93B01"/>
    <w:rsid w:val="00F93F0B"/>
    <w:rsid w:val="00F94020"/>
    <w:rsid w:val="00F94039"/>
    <w:rsid w:val="00F940FC"/>
    <w:rsid w:val="00F942D7"/>
    <w:rsid w:val="00F94311"/>
    <w:rsid w:val="00F9434E"/>
    <w:rsid w:val="00F94503"/>
    <w:rsid w:val="00F9450D"/>
    <w:rsid w:val="00F94589"/>
    <w:rsid w:val="00F9498E"/>
    <w:rsid w:val="00F94A03"/>
    <w:rsid w:val="00F94A45"/>
    <w:rsid w:val="00F94CAD"/>
    <w:rsid w:val="00F94D0F"/>
    <w:rsid w:val="00F94E4A"/>
    <w:rsid w:val="00F9511E"/>
    <w:rsid w:val="00F9518A"/>
    <w:rsid w:val="00F951C7"/>
    <w:rsid w:val="00F9526B"/>
    <w:rsid w:val="00F95358"/>
    <w:rsid w:val="00F95538"/>
    <w:rsid w:val="00F95630"/>
    <w:rsid w:val="00F95644"/>
    <w:rsid w:val="00F95709"/>
    <w:rsid w:val="00F95C80"/>
    <w:rsid w:val="00F95CD0"/>
    <w:rsid w:val="00F95D18"/>
    <w:rsid w:val="00F95D35"/>
    <w:rsid w:val="00F96058"/>
    <w:rsid w:val="00F96082"/>
    <w:rsid w:val="00F960F6"/>
    <w:rsid w:val="00F96159"/>
    <w:rsid w:val="00F96231"/>
    <w:rsid w:val="00F96262"/>
    <w:rsid w:val="00F963AA"/>
    <w:rsid w:val="00F96613"/>
    <w:rsid w:val="00F96645"/>
    <w:rsid w:val="00F96659"/>
    <w:rsid w:val="00F96703"/>
    <w:rsid w:val="00F96734"/>
    <w:rsid w:val="00F968BA"/>
    <w:rsid w:val="00F969BD"/>
    <w:rsid w:val="00F96A62"/>
    <w:rsid w:val="00F96DCE"/>
    <w:rsid w:val="00F96EBC"/>
    <w:rsid w:val="00F96FBB"/>
    <w:rsid w:val="00F972C7"/>
    <w:rsid w:val="00F9741E"/>
    <w:rsid w:val="00F97425"/>
    <w:rsid w:val="00F975F3"/>
    <w:rsid w:val="00F97635"/>
    <w:rsid w:val="00F976CE"/>
    <w:rsid w:val="00F9797C"/>
    <w:rsid w:val="00F97986"/>
    <w:rsid w:val="00F97A86"/>
    <w:rsid w:val="00F97CCF"/>
    <w:rsid w:val="00F97E31"/>
    <w:rsid w:val="00F97F78"/>
    <w:rsid w:val="00FA00A6"/>
    <w:rsid w:val="00FA0328"/>
    <w:rsid w:val="00FA0426"/>
    <w:rsid w:val="00FA0479"/>
    <w:rsid w:val="00FA0663"/>
    <w:rsid w:val="00FA08B0"/>
    <w:rsid w:val="00FA0903"/>
    <w:rsid w:val="00FA0907"/>
    <w:rsid w:val="00FA0B8B"/>
    <w:rsid w:val="00FA0C9A"/>
    <w:rsid w:val="00FA0CF5"/>
    <w:rsid w:val="00FA0D07"/>
    <w:rsid w:val="00FA0E52"/>
    <w:rsid w:val="00FA0F28"/>
    <w:rsid w:val="00FA0FE9"/>
    <w:rsid w:val="00FA0FEE"/>
    <w:rsid w:val="00FA1009"/>
    <w:rsid w:val="00FA1065"/>
    <w:rsid w:val="00FA1084"/>
    <w:rsid w:val="00FA10E7"/>
    <w:rsid w:val="00FA1223"/>
    <w:rsid w:val="00FA1274"/>
    <w:rsid w:val="00FA1325"/>
    <w:rsid w:val="00FA13F7"/>
    <w:rsid w:val="00FA159F"/>
    <w:rsid w:val="00FA163E"/>
    <w:rsid w:val="00FA1641"/>
    <w:rsid w:val="00FA165F"/>
    <w:rsid w:val="00FA1675"/>
    <w:rsid w:val="00FA1841"/>
    <w:rsid w:val="00FA18E2"/>
    <w:rsid w:val="00FA1D2D"/>
    <w:rsid w:val="00FA1F1C"/>
    <w:rsid w:val="00FA219B"/>
    <w:rsid w:val="00FA2282"/>
    <w:rsid w:val="00FA2289"/>
    <w:rsid w:val="00FA22EB"/>
    <w:rsid w:val="00FA23AC"/>
    <w:rsid w:val="00FA2412"/>
    <w:rsid w:val="00FA2504"/>
    <w:rsid w:val="00FA25B6"/>
    <w:rsid w:val="00FA2939"/>
    <w:rsid w:val="00FA296C"/>
    <w:rsid w:val="00FA2A5F"/>
    <w:rsid w:val="00FA2B72"/>
    <w:rsid w:val="00FA2BD1"/>
    <w:rsid w:val="00FA2BF5"/>
    <w:rsid w:val="00FA2C65"/>
    <w:rsid w:val="00FA2E87"/>
    <w:rsid w:val="00FA2EA3"/>
    <w:rsid w:val="00FA2F6E"/>
    <w:rsid w:val="00FA30B3"/>
    <w:rsid w:val="00FA30C7"/>
    <w:rsid w:val="00FA3146"/>
    <w:rsid w:val="00FA3392"/>
    <w:rsid w:val="00FA3506"/>
    <w:rsid w:val="00FA35D7"/>
    <w:rsid w:val="00FA3690"/>
    <w:rsid w:val="00FA38CB"/>
    <w:rsid w:val="00FA3932"/>
    <w:rsid w:val="00FA393A"/>
    <w:rsid w:val="00FA39CA"/>
    <w:rsid w:val="00FA3A24"/>
    <w:rsid w:val="00FA3BB0"/>
    <w:rsid w:val="00FA3BF4"/>
    <w:rsid w:val="00FA3D51"/>
    <w:rsid w:val="00FA3D74"/>
    <w:rsid w:val="00FA3DD5"/>
    <w:rsid w:val="00FA3DF8"/>
    <w:rsid w:val="00FA3FCA"/>
    <w:rsid w:val="00FA4089"/>
    <w:rsid w:val="00FA425B"/>
    <w:rsid w:val="00FA42EE"/>
    <w:rsid w:val="00FA4303"/>
    <w:rsid w:val="00FA4421"/>
    <w:rsid w:val="00FA44F0"/>
    <w:rsid w:val="00FA46A4"/>
    <w:rsid w:val="00FA46B8"/>
    <w:rsid w:val="00FA4737"/>
    <w:rsid w:val="00FA478F"/>
    <w:rsid w:val="00FA486A"/>
    <w:rsid w:val="00FA487C"/>
    <w:rsid w:val="00FA492E"/>
    <w:rsid w:val="00FA4A18"/>
    <w:rsid w:val="00FA4A6E"/>
    <w:rsid w:val="00FA4AEF"/>
    <w:rsid w:val="00FA4CB6"/>
    <w:rsid w:val="00FA4CF2"/>
    <w:rsid w:val="00FA4DA0"/>
    <w:rsid w:val="00FA4E91"/>
    <w:rsid w:val="00FA5036"/>
    <w:rsid w:val="00FA5283"/>
    <w:rsid w:val="00FA5359"/>
    <w:rsid w:val="00FA53CC"/>
    <w:rsid w:val="00FA53D4"/>
    <w:rsid w:val="00FA5447"/>
    <w:rsid w:val="00FA5679"/>
    <w:rsid w:val="00FA57D5"/>
    <w:rsid w:val="00FA58C5"/>
    <w:rsid w:val="00FA595E"/>
    <w:rsid w:val="00FA5CA6"/>
    <w:rsid w:val="00FA5DF6"/>
    <w:rsid w:val="00FA5EF2"/>
    <w:rsid w:val="00FA5F92"/>
    <w:rsid w:val="00FA6099"/>
    <w:rsid w:val="00FA62ED"/>
    <w:rsid w:val="00FA63E1"/>
    <w:rsid w:val="00FA647A"/>
    <w:rsid w:val="00FA657E"/>
    <w:rsid w:val="00FA65B4"/>
    <w:rsid w:val="00FA65DF"/>
    <w:rsid w:val="00FA669E"/>
    <w:rsid w:val="00FA6838"/>
    <w:rsid w:val="00FA692D"/>
    <w:rsid w:val="00FA6962"/>
    <w:rsid w:val="00FA6BD7"/>
    <w:rsid w:val="00FA6CEE"/>
    <w:rsid w:val="00FA6D57"/>
    <w:rsid w:val="00FA70DE"/>
    <w:rsid w:val="00FA71D0"/>
    <w:rsid w:val="00FA7351"/>
    <w:rsid w:val="00FA7374"/>
    <w:rsid w:val="00FA73C6"/>
    <w:rsid w:val="00FA741B"/>
    <w:rsid w:val="00FA751B"/>
    <w:rsid w:val="00FA759A"/>
    <w:rsid w:val="00FA75FB"/>
    <w:rsid w:val="00FA778A"/>
    <w:rsid w:val="00FA7807"/>
    <w:rsid w:val="00FA799D"/>
    <w:rsid w:val="00FA7ECC"/>
    <w:rsid w:val="00FA7EE9"/>
    <w:rsid w:val="00FA7FF2"/>
    <w:rsid w:val="00FB009F"/>
    <w:rsid w:val="00FB01C1"/>
    <w:rsid w:val="00FB02D6"/>
    <w:rsid w:val="00FB033C"/>
    <w:rsid w:val="00FB03C4"/>
    <w:rsid w:val="00FB04CC"/>
    <w:rsid w:val="00FB05E6"/>
    <w:rsid w:val="00FB0B8A"/>
    <w:rsid w:val="00FB0BC4"/>
    <w:rsid w:val="00FB0C5F"/>
    <w:rsid w:val="00FB0E5C"/>
    <w:rsid w:val="00FB0EBD"/>
    <w:rsid w:val="00FB1038"/>
    <w:rsid w:val="00FB103A"/>
    <w:rsid w:val="00FB10C5"/>
    <w:rsid w:val="00FB1136"/>
    <w:rsid w:val="00FB11FE"/>
    <w:rsid w:val="00FB1252"/>
    <w:rsid w:val="00FB12C4"/>
    <w:rsid w:val="00FB1343"/>
    <w:rsid w:val="00FB1387"/>
    <w:rsid w:val="00FB1461"/>
    <w:rsid w:val="00FB14E4"/>
    <w:rsid w:val="00FB16B5"/>
    <w:rsid w:val="00FB1864"/>
    <w:rsid w:val="00FB18C0"/>
    <w:rsid w:val="00FB1992"/>
    <w:rsid w:val="00FB1A9D"/>
    <w:rsid w:val="00FB1C2B"/>
    <w:rsid w:val="00FB1CB0"/>
    <w:rsid w:val="00FB1DE4"/>
    <w:rsid w:val="00FB1F10"/>
    <w:rsid w:val="00FB210E"/>
    <w:rsid w:val="00FB22B6"/>
    <w:rsid w:val="00FB2364"/>
    <w:rsid w:val="00FB24DE"/>
    <w:rsid w:val="00FB24FF"/>
    <w:rsid w:val="00FB2598"/>
    <w:rsid w:val="00FB25EA"/>
    <w:rsid w:val="00FB2640"/>
    <w:rsid w:val="00FB2B28"/>
    <w:rsid w:val="00FB2B54"/>
    <w:rsid w:val="00FB2F21"/>
    <w:rsid w:val="00FB2F5B"/>
    <w:rsid w:val="00FB2F6F"/>
    <w:rsid w:val="00FB3228"/>
    <w:rsid w:val="00FB3500"/>
    <w:rsid w:val="00FB3682"/>
    <w:rsid w:val="00FB379D"/>
    <w:rsid w:val="00FB37ED"/>
    <w:rsid w:val="00FB3A34"/>
    <w:rsid w:val="00FB3B66"/>
    <w:rsid w:val="00FB3BD3"/>
    <w:rsid w:val="00FB3C3E"/>
    <w:rsid w:val="00FB3C9E"/>
    <w:rsid w:val="00FB3FAA"/>
    <w:rsid w:val="00FB40B7"/>
    <w:rsid w:val="00FB423C"/>
    <w:rsid w:val="00FB42FE"/>
    <w:rsid w:val="00FB4370"/>
    <w:rsid w:val="00FB4385"/>
    <w:rsid w:val="00FB4409"/>
    <w:rsid w:val="00FB4702"/>
    <w:rsid w:val="00FB48A8"/>
    <w:rsid w:val="00FB48DA"/>
    <w:rsid w:val="00FB4CA5"/>
    <w:rsid w:val="00FB4E7E"/>
    <w:rsid w:val="00FB5167"/>
    <w:rsid w:val="00FB519E"/>
    <w:rsid w:val="00FB540D"/>
    <w:rsid w:val="00FB5638"/>
    <w:rsid w:val="00FB56CA"/>
    <w:rsid w:val="00FB580B"/>
    <w:rsid w:val="00FB5C53"/>
    <w:rsid w:val="00FB5D50"/>
    <w:rsid w:val="00FB5E2F"/>
    <w:rsid w:val="00FB5EB4"/>
    <w:rsid w:val="00FB5F20"/>
    <w:rsid w:val="00FB5F3D"/>
    <w:rsid w:val="00FB600A"/>
    <w:rsid w:val="00FB619C"/>
    <w:rsid w:val="00FB64AA"/>
    <w:rsid w:val="00FB6657"/>
    <w:rsid w:val="00FB669E"/>
    <w:rsid w:val="00FB6888"/>
    <w:rsid w:val="00FB6AFE"/>
    <w:rsid w:val="00FB6B4D"/>
    <w:rsid w:val="00FB6B82"/>
    <w:rsid w:val="00FB6FCA"/>
    <w:rsid w:val="00FB6FF6"/>
    <w:rsid w:val="00FB72DD"/>
    <w:rsid w:val="00FB730E"/>
    <w:rsid w:val="00FB7440"/>
    <w:rsid w:val="00FB7638"/>
    <w:rsid w:val="00FB7678"/>
    <w:rsid w:val="00FB7730"/>
    <w:rsid w:val="00FB78FA"/>
    <w:rsid w:val="00FB796E"/>
    <w:rsid w:val="00FB79D3"/>
    <w:rsid w:val="00FB7BDF"/>
    <w:rsid w:val="00FB7CD0"/>
    <w:rsid w:val="00FB7D88"/>
    <w:rsid w:val="00FB7D8B"/>
    <w:rsid w:val="00FB7E41"/>
    <w:rsid w:val="00FB7E54"/>
    <w:rsid w:val="00FB7F7B"/>
    <w:rsid w:val="00FC002C"/>
    <w:rsid w:val="00FC00AD"/>
    <w:rsid w:val="00FC0224"/>
    <w:rsid w:val="00FC028C"/>
    <w:rsid w:val="00FC03CC"/>
    <w:rsid w:val="00FC0521"/>
    <w:rsid w:val="00FC07E2"/>
    <w:rsid w:val="00FC08C2"/>
    <w:rsid w:val="00FC08FC"/>
    <w:rsid w:val="00FC09DE"/>
    <w:rsid w:val="00FC0A08"/>
    <w:rsid w:val="00FC0ABF"/>
    <w:rsid w:val="00FC0C72"/>
    <w:rsid w:val="00FC0CAE"/>
    <w:rsid w:val="00FC0E0D"/>
    <w:rsid w:val="00FC0EA5"/>
    <w:rsid w:val="00FC0EFE"/>
    <w:rsid w:val="00FC1125"/>
    <w:rsid w:val="00FC119C"/>
    <w:rsid w:val="00FC1275"/>
    <w:rsid w:val="00FC12F2"/>
    <w:rsid w:val="00FC1414"/>
    <w:rsid w:val="00FC15C1"/>
    <w:rsid w:val="00FC15CC"/>
    <w:rsid w:val="00FC199E"/>
    <w:rsid w:val="00FC19C0"/>
    <w:rsid w:val="00FC19E4"/>
    <w:rsid w:val="00FC1ADC"/>
    <w:rsid w:val="00FC1B24"/>
    <w:rsid w:val="00FC1BFE"/>
    <w:rsid w:val="00FC1CB7"/>
    <w:rsid w:val="00FC1F8A"/>
    <w:rsid w:val="00FC221B"/>
    <w:rsid w:val="00FC2494"/>
    <w:rsid w:val="00FC28A9"/>
    <w:rsid w:val="00FC28AA"/>
    <w:rsid w:val="00FC2963"/>
    <w:rsid w:val="00FC29D8"/>
    <w:rsid w:val="00FC29DC"/>
    <w:rsid w:val="00FC2A30"/>
    <w:rsid w:val="00FC2AE2"/>
    <w:rsid w:val="00FC2B60"/>
    <w:rsid w:val="00FC2C37"/>
    <w:rsid w:val="00FC2C62"/>
    <w:rsid w:val="00FC2DAA"/>
    <w:rsid w:val="00FC2E70"/>
    <w:rsid w:val="00FC2E87"/>
    <w:rsid w:val="00FC2FEF"/>
    <w:rsid w:val="00FC3147"/>
    <w:rsid w:val="00FC31C7"/>
    <w:rsid w:val="00FC33AD"/>
    <w:rsid w:val="00FC35A1"/>
    <w:rsid w:val="00FC37E9"/>
    <w:rsid w:val="00FC384A"/>
    <w:rsid w:val="00FC39B3"/>
    <w:rsid w:val="00FC3BAC"/>
    <w:rsid w:val="00FC4398"/>
    <w:rsid w:val="00FC4573"/>
    <w:rsid w:val="00FC4631"/>
    <w:rsid w:val="00FC4675"/>
    <w:rsid w:val="00FC4769"/>
    <w:rsid w:val="00FC485D"/>
    <w:rsid w:val="00FC4986"/>
    <w:rsid w:val="00FC4995"/>
    <w:rsid w:val="00FC4A8D"/>
    <w:rsid w:val="00FC4A98"/>
    <w:rsid w:val="00FC4A9B"/>
    <w:rsid w:val="00FC4B87"/>
    <w:rsid w:val="00FC4CE6"/>
    <w:rsid w:val="00FC4DCF"/>
    <w:rsid w:val="00FC4F6B"/>
    <w:rsid w:val="00FC4FC8"/>
    <w:rsid w:val="00FC50C9"/>
    <w:rsid w:val="00FC50E2"/>
    <w:rsid w:val="00FC5314"/>
    <w:rsid w:val="00FC556A"/>
    <w:rsid w:val="00FC55B0"/>
    <w:rsid w:val="00FC55DA"/>
    <w:rsid w:val="00FC5698"/>
    <w:rsid w:val="00FC5808"/>
    <w:rsid w:val="00FC584F"/>
    <w:rsid w:val="00FC58D0"/>
    <w:rsid w:val="00FC591B"/>
    <w:rsid w:val="00FC5AB2"/>
    <w:rsid w:val="00FC5ACB"/>
    <w:rsid w:val="00FC5BB9"/>
    <w:rsid w:val="00FC5C39"/>
    <w:rsid w:val="00FC5DCA"/>
    <w:rsid w:val="00FC5F02"/>
    <w:rsid w:val="00FC5F92"/>
    <w:rsid w:val="00FC6114"/>
    <w:rsid w:val="00FC624D"/>
    <w:rsid w:val="00FC632E"/>
    <w:rsid w:val="00FC642D"/>
    <w:rsid w:val="00FC643E"/>
    <w:rsid w:val="00FC644C"/>
    <w:rsid w:val="00FC65B6"/>
    <w:rsid w:val="00FC6609"/>
    <w:rsid w:val="00FC6699"/>
    <w:rsid w:val="00FC66A4"/>
    <w:rsid w:val="00FC683D"/>
    <w:rsid w:val="00FC6A21"/>
    <w:rsid w:val="00FC6ADA"/>
    <w:rsid w:val="00FC6B1C"/>
    <w:rsid w:val="00FC6B59"/>
    <w:rsid w:val="00FC6D02"/>
    <w:rsid w:val="00FC6E4A"/>
    <w:rsid w:val="00FC70B9"/>
    <w:rsid w:val="00FC70C9"/>
    <w:rsid w:val="00FC70DC"/>
    <w:rsid w:val="00FC71DA"/>
    <w:rsid w:val="00FC71ED"/>
    <w:rsid w:val="00FC73E4"/>
    <w:rsid w:val="00FC75CB"/>
    <w:rsid w:val="00FC76FD"/>
    <w:rsid w:val="00FC7799"/>
    <w:rsid w:val="00FC7C7E"/>
    <w:rsid w:val="00FC7CAC"/>
    <w:rsid w:val="00FC7D83"/>
    <w:rsid w:val="00FC7DC4"/>
    <w:rsid w:val="00FD0014"/>
    <w:rsid w:val="00FD00CA"/>
    <w:rsid w:val="00FD0101"/>
    <w:rsid w:val="00FD02BD"/>
    <w:rsid w:val="00FD07F2"/>
    <w:rsid w:val="00FD0A30"/>
    <w:rsid w:val="00FD0CF0"/>
    <w:rsid w:val="00FD0D8D"/>
    <w:rsid w:val="00FD0E2D"/>
    <w:rsid w:val="00FD0E40"/>
    <w:rsid w:val="00FD0E7E"/>
    <w:rsid w:val="00FD0EED"/>
    <w:rsid w:val="00FD103D"/>
    <w:rsid w:val="00FD1366"/>
    <w:rsid w:val="00FD1678"/>
    <w:rsid w:val="00FD1681"/>
    <w:rsid w:val="00FD1682"/>
    <w:rsid w:val="00FD16A9"/>
    <w:rsid w:val="00FD16C2"/>
    <w:rsid w:val="00FD1747"/>
    <w:rsid w:val="00FD1A44"/>
    <w:rsid w:val="00FD1A45"/>
    <w:rsid w:val="00FD1A9F"/>
    <w:rsid w:val="00FD1AB8"/>
    <w:rsid w:val="00FD1B49"/>
    <w:rsid w:val="00FD1BCA"/>
    <w:rsid w:val="00FD1C30"/>
    <w:rsid w:val="00FD1C45"/>
    <w:rsid w:val="00FD1CD3"/>
    <w:rsid w:val="00FD1EB3"/>
    <w:rsid w:val="00FD1F4B"/>
    <w:rsid w:val="00FD1FF5"/>
    <w:rsid w:val="00FD20CD"/>
    <w:rsid w:val="00FD20E6"/>
    <w:rsid w:val="00FD20F9"/>
    <w:rsid w:val="00FD21AE"/>
    <w:rsid w:val="00FD21D8"/>
    <w:rsid w:val="00FD2228"/>
    <w:rsid w:val="00FD23FF"/>
    <w:rsid w:val="00FD244C"/>
    <w:rsid w:val="00FD2700"/>
    <w:rsid w:val="00FD2823"/>
    <w:rsid w:val="00FD2962"/>
    <w:rsid w:val="00FD2997"/>
    <w:rsid w:val="00FD2A46"/>
    <w:rsid w:val="00FD2CB4"/>
    <w:rsid w:val="00FD309E"/>
    <w:rsid w:val="00FD30FC"/>
    <w:rsid w:val="00FD3390"/>
    <w:rsid w:val="00FD340C"/>
    <w:rsid w:val="00FD345C"/>
    <w:rsid w:val="00FD3597"/>
    <w:rsid w:val="00FD377D"/>
    <w:rsid w:val="00FD37CB"/>
    <w:rsid w:val="00FD3807"/>
    <w:rsid w:val="00FD3892"/>
    <w:rsid w:val="00FD39D7"/>
    <w:rsid w:val="00FD3A9B"/>
    <w:rsid w:val="00FD3E46"/>
    <w:rsid w:val="00FD437F"/>
    <w:rsid w:val="00FD4399"/>
    <w:rsid w:val="00FD45CC"/>
    <w:rsid w:val="00FD4626"/>
    <w:rsid w:val="00FD46B7"/>
    <w:rsid w:val="00FD472A"/>
    <w:rsid w:val="00FD49A9"/>
    <w:rsid w:val="00FD49F1"/>
    <w:rsid w:val="00FD4BB3"/>
    <w:rsid w:val="00FD4D15"/>
    <w:rsid w:val="00FD4D52"/>
    <w:rsid w:val="00FD4E3F"/>
    <w:rsid w:val="00FD4F8B"/>
    <w:rsid w:val="00FD4FB6"/>
    <w:rsid w:val="00FD5065"/>
    <w:rsid w:val="00FD5071"/>
    <w:rsid w:val="00FD52CC"/>
    <w:rsid w:val="00FD52D4"/>
    <w:rsid w:val="00FD5480"/>
    <w:rsid w:val="00FD5667"/>
    <w:rsid w:val="00FD59CA"/>
    <w:rsid w:val="00FD5A11"/>
    <w:rsid w:val="00FD5A2C"/>
    <w:rsid w:val="00FD5BBB"/>
    <w:rsid w:val="00FD5BD0"/>
    <w:rsid w:val="00FD5D0C"/>
    <w:rsid w:val="00FD6204"/>
    <w:rsid w:val="00FD62BF"/>
    <w:rsid w:val="00FD65E8"/>
    <w:rsid w:val="00FD6653"/>
    <w:rsid w:val="00FD66E0"/>
    <w:rsid w:val="00FD66F2"/>
    <w:rsid w:val="00FD66F5"/>
    <w:rsid w:val="00FD6A18"/>
    <w:rsid w:val="00FD6B14"/>
    <w:rsid w:val="00FD6B20"/>
    <w:rsid w:val="00FD6B29"/>
    <w:rsid w:val="00FD6BFB"/>
    <w:rsid w:val="00FD6C9E"/>
    <w:rsid w:val="00FD6DC1"/>
    <w:rsid w:val="00FD6E92"/>
    <w:rsid w:val="00FD6F2E"/>
    <w:rsid w:val="00FD7064"/>
    <w:rsid w:val="00FD709C"/>
    <w:rsid w:val="00FD7324"/>
    <w:rsid w:val="00FD7492"/>
    <w:rsid w:val="00FD7511"/>
    <w:rsid w:val="00FD7560"/>
    <w:rsid w:val="00FD7584"/>
    <w:rsid w:val="00FD75E7"/>
    <w:rsid w:val="00FD76CF"/>
    <w:rsid w:val="00FD7747"/>
    <w:rsid w:val="00FD7776"/>
    <w:rsid w:val="00FD78DF"/>
    <w:rsid w:val="00FD793E"/>
    <w:rsid w:val="00FD7956"/>
    <w:rsid w:val="00FD79C8"/>
    <w:rsid w:val="00FD7A40"/>
    <w:rsid w:val="00FD7B2D"/>
    <w:rsid w:val="00FD7B2E"/>
    <w:rsid w:val="00FD7CE9"/>
    <w:rsid w:val="00FD7D63"/>
    <w:rsid w:val="00FD7F1F"/>
    <w:rsid w:val="00FD7F26"/>
    <w:rsid w:val="00FD7F4C"/>
    <w:rsid w:val="00FE013A"/>
    <w:rsid w:val="00FE0364"/>
    <w:rsid w:val="00FE03C7"/>
    <w:rsid w:val="00FE0416"/>
    <w:rsid w:val="00FE09E4"/>
    <w:rsid w:val="00FE0AD5"/>
    <w:rsid w:val="00FE0B6B"/>
    <w:rsid w:val="00FE0BB3"/>
    <w:rsid w:val="00FE0BC7"/>
    <w:rsid w:val="00FE0C0D"/>
    <w:rsid w:val="00FE0DD1"/>
    <w:rsid w:val="00FE0ED0"/>
    <w:rsid w:val="00FE0F1A"/>
    <w:rsid w:val="00FE125B"/>
    <w:rsid w:val="00FE1278"/>
    <w:rsid w:val="00FE1393"/>
    <w:rsid w:val="00FE1423"/>
    <w:rsid w:val="00FE1473"/>
    <w:rsid w:val="00FE1516"/>
    <w:rsid w:val="00FE171A"/>
    <w:rsid w:val="00FE185D"/>
    <w:rsid w:val="00FE1876"/>
    <w:rsid w:val="00FE1AA9"/>
    <w:rsid w:val="00FE1B34"/>
    <w:rsid w:val="00FE1BA4"/>
    <w:rsid w:val="00FE1C0C"/>
    <w:rsid w:val="00FE1D3D"/>
    <w:rsid w:val="00FE1E60"/>
    <w:rsid w:val="00FE2064"/>
    <w:rsid w:val="00FE20A3"/>
    <w:rsid w:val="00FE2543"/>
    <w:rsid w:val="00FE2561"/>
    <w:rsid w:val="00FE26AC"/>
    <w:rsid w:val="00FE279F"/>
    <w:rsid w:val="00FE2823"/>
    <w:rsid w:val="00FE28DA"/>
    <w:rsid w:val="00FE2918"/>
    <w:rsid w:val="00FE2A01"/>
    <w:rsid w:val="00FE2C20"/>
    <w:rsid w:val="00FE2D1A"/>
    <w:rsid w:val="00FE2D56"/>
    <w:rsid w:val="00FE2F77"/>
    <w:rsid w:val="00FE3459"/>
    <w:rsid w:val="00FE367A"/>
    <w:rsid w:val="00FE36AD"/>
    <w:rsid w:val="00FE3735"/>
    <w:rsid w:val="00FE3842"/>
    <w:rsid w:val="00FE38D5"/>
    <w:rsid w:val="00FE397F"/>
    <w:rsid w:val="00FE3AE4"/>
    <w:rsid w:val="00FE3B36"/>
    <w:rsid w:val="00FE3CF3"/>
    <w:rsid w:val="00FE3E26"/>
    <w:rsid w:val="00FE3E6A"/>
    <w:rsid w:val="00FE3FAE"/>
    <w:rsid w:val="00FE40E0"/>
    <w:rsid w:val="00FE4300"/>
    <w:rsid w:val="00FE4339"/>
    <w:rsid w:val="00FE4352"/>
    <w:rsid w:val="00FE4395"/>
    <w:rsid w:val="00FE4405"/>
    <w:rsid w:val="00FE44DB"/>
    <w:rsid w:val="00FE4531"/>
    <w:rsid w:val="00FE4846"/>
    <w:rsid w:val="00FE4AB9"/>
    <w:rsid w:val="00FE4AE7"/>
    <w:rsid w:val="00FE4B42"/>
    <w:rsid w:val="00FE4D61"/>
    <w:rsid w:val="00FE4E4B"/>
    <w:rsid w:val="00FE4EB6"/>
    <w:rsid w:val="00FE4F15"/>
    <w:rsid w:val="00FE4F2D"/>
    <w:rsid w:val="00FE4FEF"/>
    <w:rsid w:val="00FE501D"/>
    <w:rsid w:val="00FE5208"/>
    <w:rsid w:val="00FE52C9"/>
    <w:rsid w:val="00FE547E"/>
    <w:rsid w:val="00FE5596"/>
    <w:rsid w:val="00FE56B8"/>
    <w:rsid w:val="00FE5764"/>
    <w:rsid w:val="00FE5A26"/>
    <w:rsid w:val="00FE5B4B"/>
    <w:rsid w:val="00FE5B74"/>
    <w:rsid w:val="00FE5E13"/>
    <w:rsid w:val="00FE5F3C"/>
    <w:rsid w:val="00FE620F"/>
    <w:rsid w:val="00FE63FC"/>
    <w:rsid w:val="00FE652D"/>
    <w:rsid w:val="00FE656E"/>
    <w:rsid w:val="00FE6655"/>
    <w:rsid w:val="00FE66EA"/>
    <w:rsid w:val="00FE67E9"/>
    <w:rsid w:val="00FE680B"/>
    <w:rsid w:val="00FE68D8"/>
    <w:rsid w:val="00FE6A62"/>
    <w:rsid w:val="00FE6B88"/>
    <w:rsid w:val="00FE6FC4"/>
    <w:rsid w:val="00FE7142"/>
    <w:rsid w:val="00FE7365"/>
    <w:rsid w:val="00FE7387"/>
    <w:rsid w:val="00FE749B"/>
    <w:rsid w:val="00FE758A"/>
    <w:rsid w:val="00FE75DC"/>
    <w:rsid w:val="00FE76AD"/>
    <w:rsid w:val="00FE77D0"/>
    <w:rsid w:val="00FE79D6"/>
    <w:rsid w:val="00FE7BB3"/>
    <w:rsid w:val="00FE7BCC"/>
    <w:rsid w:val="00FE7BEB"/>
    <w:rsid w:val="00FE7DCB"/>
    <w:rsid w:val="00FE7E99"/>
    <w:rsid w:val="00FE7EED"/>
    <w:rsid w:val="00FE7FC3"/>
    <w:rsid w:val="00FF015E"/>
    <w:rsid w:val="00FF01D8"/>
    <w:rsid w:val="00FF04B2"/>
    <w:rsid w:val="00FF0518"/>
    <w:rsid w:val="00FF0577"/>
    <w:rsid w:val="00FF068B"/>
    <w:rsid w:val="00FF07F0"/>
    <w:rsid w:val="00FF08D0"/>
    <w:rsid w:val="00FF0977"/>
    <w:rsid w:val="00FF0C58"/>
    <w:rsid w:val="00FF0DCF"/>
    <w:rsid w:val="00FF0E29"/>
    <w:rsid w:val="00FF0EF0"/>
    <w:rsid w:val="00FF0F59"/>
    <w:rsid w:val="00FF12B0"/>
    <w:rsid w:val="00FF13D1"/>
    <w:rsid w:val="00FF15FD"/>
    <w:rsid w:val="00FF1647"/>
    <w:rsid w:val="00FF17B4"/>
    <w:rsid w:val="00FF184F"/>
    <w:rsid w:val="00FF19AC"/>
    <w:rsid w:val="00FF1B35"/>
    <w:rsid w:val="00FF1BCF"/>
    <w:rsid w:val="00FF1CD7"/>
    <w:rsid w:val="00FF1CFC"/>
    <w:rsid w:val="00FF1E89"/>
    <w:rsid w:val="00FF21FB"/>
    <w:rsid w:val="00FF229A"/>
    <w:rsid w:val="00FF22C4"/>
    <w:rsid w:val="00FF22DE"/>
    <w:rsid w:val="00FF24A1"/>
    <w:rsid w:val="00FF26A4"/>
    <w:rsid w:val="00FF27E0"/>
    <w:rsid w:val="00FF297D"/>
    <w:rsid w:val="00FF29A6"/>
    <w:rsid w:val="00FF2B2B"/>
    <w:rsid w:val="00FF2BC5"/>
    <w:rsid w:val="00FF2C5B"/>
    <w:rsid w:val="00FF2D89"/>
    <w:rsid w:val="00FF2D8D"/>
    <w:rsid w:val="00FF2DF8"/>
    <w:rsid w:val="00FF2E0F"/>
    <w:rsid w:val="00FF300B"/>
    <w:rsid w:val="00FF304F"/>
    <w:rsid w:val="00FF30EC"/>
    <w:rsid w:val="00FF3402"/>
    <w:rsid w:val="00FF3436"/>
    <w:rsid w:val="00FF356A"/>
    <w:rsid w:val="00FF357A"/>
    <w:rsid w:val="00FF38B8"/>
    <w:rsid w:val="00FF3B7C"/>
    <w:rsid w:val="00FF3CC7"/>
    <w:rsid w:val="00FF3D68"/>
    <w:rsid w:val="00FF3E09"/>
    <w:rsid w:val="00FF3F8E"/>
    <w:rsid w:val="00FF40F5"/>
    <w:rsid w:val="00FF418A"/>
    <w:rsid w:val="00FF424B"/>
    <w:rsid w:val="00FF44A2"/>
    <w:rsid w:val="00FF44CF"/>
    <w:rsid w:val="00FF4535"/>
    <w:rsid w:val="00FF4542"/>
    <w:rsid w:val="00FF4560"/>
    <w:rsid w:val="00FF4575"/>
    <w:rsid w:val="00FF46AA"/>
    <w:rsid w:val="00FF473A"/>
    <w:rsid w:val="00FF4A2D"/>
    <w:rsid w:val="00FF4ABD"/>
    <w:rsid w:val="00FF4AE3"/>
    <w:rsid w:val="00FF4B39"/>
    <w:rsid w:val="00FF4B91"/>
    <w:rsid w:val="00FF4B9D"/>
    <w:rsid w:val="00FF4BA9"/>
    <w:rsid w:val="00FF4C82"/>
    <w:rsid w:val="00FF4C92"/>
    <w:rsid w:val="00FF4D34"/>
    <w:rsid w:val="00FF4E31"/>
    <w:rsid w:val="00FF4E96"/>
    <w:rsid w:val="00FF4F82"/>
    <w:rsid w:val="00FF4FBB"/>
    <w:rsid w:val="00FF5008"/>
    <w:rsid w:val="00FF501E"/>
    <w:rsid w:val="00FF5069"/>
    <w:rsid w:val="00FF508F"/>
    <w:rsid w:val="00FF50D2"/>
    <w:rsid w:val="00FF50DF"/>
    <w:rsid w:val="00FF5231"/>
    <w:rsid w:val="00FF5326"/>
    <w:rsid w:val="00FF5655"/>
    <w:rsid w:val="00FF568D"/>
    <w:rsid w:val="00FF5691"/>
    <w:rsid w:val="00FF5849"/>
    <w:rsid w:val="00FF58D8"/>
    <w:rsid w:val="00FF58DA"/>
    <w:rsid w:val="00FF592F"/>
    <w:rsid w:val="00FF5A75"/>
    <w:rsid w:val="00FF5BD8"/>
    <w:rsid w:val="00FF5C53"/>
    <w:rsid w:val="00FF5D05"/>
    <w:rsid w:val="00FF5EC7"/>
    <w:rsid w:val="00FF5F20"/>
    <w:rsid w:val="00FF5FD8"/>
    <w:rsid w:val="00FF6074"/>
    <w:rsid w:val="00FF6183"/>
    <w:rsid w:val="00FF6472"/>
    <w:rsid w:val="00FF6514"/>
    <w:rsid w:val="00FF65E1"/>
    <w:rsid w:val="00FF6613"/>
    <w:rsid w:val="00FF66D9"/>
    <w:rsid w:val="00FF6772"/>
    <w:rsid w:val="00FF683D"/>
    <w:rsid w:val="00FF6947"/>
    <w:rsid w:val="00FF6A5B"/>
    <w:rsid w:val="00FF6AF8"/>
    <w:rsid w:val="00FF6BA7"/>
    <w:rsid w:val="00FF6BFE"/>
    <w:rsid w:val="00FF6D9E"/>
    <w:rsid w:val="00FF6EB2"/>
    <w:rsid w:val="00FF6F86"/>
    <w:rsid w:val="00FF7161"/>
    <w:rsid w:val="00FF720E"/>
    <w:rsid w:val="00FF7302"/>
    <w:rsid w:val="00FF7401"/>
    <w:rsid w:val="00FF7416"/>
    <w:rsid w:val="00FF74DD"/>
    <w:rsid w:val="00FF7605"/>
    <w:rsid w:val="00FF7711"/>
    <w:rsid w:val="00FF77A9"/>
    <w:rsid w:val="00FF7851"/>
    <w:rsid w:val="00FF7873"/>
    <w:rsid w:val="00FF7929"/>
    <w:rsid w:val="00FF7B9A"/>
    <w:rsid w:val="00FF7C59"/>
    <w:rsid w:val="00FF7CDB"/>
    <w:rsid w:val="00FF7D12"/>
    <w:rsid w:val="00FF7F69"/>
    <w:rsid w:val="0100F3F4"/>
    <w:rsid w:val="0117E4A3"/>
    <w:rsid w:val="0171ACD6"/>
    <w:rsid w:val="018CDE67"/>
    <w:rsid w:val="018FCB08"/>
    <w:rsid w:val="01B5F1C2"/>
    <w:rsid w:val="022659C3"/>
    <w:rsid w:val="0228EC0C"/>
    <w:rsid w:val="02A8A918"/>
    <w:rsid w:val="02B66AA9"/>
    <w:rsid w:val="02D749AF"/>
    <w:rsid w:val="02E0BE2A"/>
    <w:rsid w:val="02F169A7"/>
    <w:rsid w:val="030D89D6"/>
    <w:rsid w:val="03176235"/>
    <w:rsid w:val="031FBEFA"/>
    <w:rsid w:val="0323F53F"/>
    <w:rsid w:val="0364DDC3"/>
    <w:rsid w:val="03A7B501"/>
    <w:rsid w:val="03CFC652"/>
    <w:rsid w:val="047CEB7B"/>
    <w:rsid w:val="0481ADE0"/>
    <w:rsid w:val="049FC11F"/>
    <w:rsid w:val="04FDEBB2"/>
    <w:rsid w:val="051616E0"/>
    <w:rsid w:val="0537D578"/>
    <w:rsid w:val="05657F4E"/>
    <w:rsid w:val="057C5FAA"/>
    <w:rsid w:val="059756DC"/>
    <w:rsid w:val="05B8BC86"/>
    <w:rsid w:val="05C0DCF6"/>
    <w:rsid w:val="05E2D8E0"/>
    <w:rsid w:val="05F01EE7"/>
    <w:rsid w:val="0637E975"/>
    <w:rsid w:val="0638077B"/>
    <w:rsid w:val="06A6FC86"/>
    <w:rsid w:val="06C1EF02"/>
    <w:rsid w:val="06C56EAE"/>
    <w:rsid w:val="06C7E7D4"/>
    <w:rsid w:val="06D60FFD"/>
    <w:rsid w:val="06E5B26A"/>
    <w:rsid w:val="06FEE0E6"/>
    <w:rsid w:val="072A2C18"/>
    <w:rsid w:val="0768D223"/>
    <w:rsid w:val="076AFDB0"/>
    <w:rsid w:val="0785F5DF"/>
    <w:rsid w:val="080EEFFE"/>
    <w:rsid w:val="0847D266"/>
    <w:rsid w:val="084AC2A9"/>
    <w:rsid w:val="08662F02"/>
    <w:rsid w:val="087129CE"/>
    <w:rsid w:val="087DEE8A"/>
    <w:rsid w:val="088CF544"/>
    <w:rsid w:val="08A548BE"/>
    <w:rsid w:val="08F33667"/>
    <w:rsid w:val="08FF6978"/>
    <w:rsid w:val="09572762"/>
    <w:rsid w:val="095D0E35"/>
    <w:rsid w:val="09E98C4C"/>
    <w:rsid w:val="0A23C8CA"/>
    <w:rsid w:val="0A545A5C"/>
    <w:rsid w:val="0A86C237"/>
    <w:rsid w:val="0A914D46"/>
    <w:rsid w:val="0AAFB636"/>
    <w:rsid w:val="0ABEF44F"/>
    <w:rsid w:val="0AC975FB"/>
    <w:rsid w:val="0ACFAD74"/>
    <w:rsid w:val="0AD39F7D"/>
    <w:rsid w:val="0AD8C9A7"/>
    <w:rsid w:val="0AE14669"/>
    <w:rsid w:val="0AEBF364"/>
    <w:rsid w:val="0AF6FE4C"/>
    <w:rsid w:val="0B192476"/>
    <w:rsid w:val="0B8E365C"/>
    <w:rsid w:val="0BAA73F3"/>
    <w:rsid w:val="0BD0541E"/>
    <w:rsid w:val="0BD1A9DD"/>
    <w:rsid w:val="0BFF3668"/>
    <w:rsid w:val="0C11194F"/>
    <w:rsid w:val="0C51AD7B"/>
    <w:rsid w:val="0C7FE203"/>
    <w:rsid w:val="0C88FD69"/>
    <w:rsid w:val="0CA60D1C"/>
    <w:rsid w:val="0CAD820E"/>
    <w:rsid w:val="0CB3E247"/>
    <w:rsid w:val="0CD259D6"/>
    <w:rsid w:val="0CF8749E"/>
    <w:rsid w:val="0D1020BF"/>
    <w:rsid w:val="0D1B6803"/>
    <w:rsid w:val="0D1C1BDD"/>
    <w:rsid w:val="0D3A0EC7"/>
    <w:rsid w:val="0D65F660"/>
    <w:rsid w:val="0D96B07A"/>
    <w:rsid w:val="0DAB78DD"/>
    <w:rsid w:val="0DB2FF87"/>
    <w:rsid w:val="0DC8418F"/>
    <w:rsid w:val="0E2D3832"/>
    <w:rsid w:val="0E37C732"/>
    <w:rsid w:val="0E6B4A59"/>
    <w:rsid w:val="0E982D38"/>
    <w:rsid w:val="0EB104B7"/>
    <w:rsid w:val="0F0E95FB"/>
    <w:rsid w:val="0F286CC9"/>
    <w:rsid w:val="0F3DDB97"/>
    <w:rsid w:val="0F76D65E"/>
    <w:rsid w:val="0F80DEC5"/>
    <w:rsid w:val="0FA50E74"/>
    <w:rsid w:val="0FAC0187"/>
    <w:rsid w:val="0FD995F4"/>
    <w:rsid w:val="0FDF10EE"/>
    <w:rsid w:val="0FF37D98"/>
    <w:rsid w:val="1082A011"/>
    <w:rsid w:val="1098706A"/>
    <w:rsid w:val="10B1F9E6"/>
    <w:rsid w:val="10CEF8BD"/>
    <w:rsid w:val="10D8AC94"/>
    <w:rsid w:val="10FF7873"/>
    <w:rsid w:val="11348795"/>
    <w:rsid w:val="11E61C07"/>
    <w:rsid w:val="11F6070C"/>
    <w:rsid w:val="126B03B4"/>
    <w:rsid w:val="1281365A"/>
    <w:rsid w:val="128A7291"/>
    <w:rsid w:val="12B41614"/>
    <w:rsid w:val="12CA2FE1"/>
    <w:rsid w:val="12F2D046"/>
    <w:rsid w:val="12FC316D"/>
    <w:rsid w:val="13050E29"/>
    <w:rsid w:val="13384576"/>
    <w:rsid w:val="136A3CF0"/>
    <w:rsid w:val="1378B2BE"/>
    <w:rsid w:val="13A5BE5E"/>
    <w:rsid w:val="13F9A892"/>
    <w:rsid w:val="141A9AE6"/>
    <w:rsid w:val="141ABA8B"/>
    <w:rsid w:val="14547F58"/>
    <w:rsid w:val="14627ABC"/>
    <w:rsid w:val="148696EA"/>
    <w:rsid w:val="14A92810"/>
    <w:rsid w:val="14A95A33"/>
    <w:rsid w:val="14CD9D51"/>
    <w:rsid w:val="14F4FF86"/>
    <w:rsid w:val="150F76E4"/>
    <w:rsid w:val="15145618"/>
    <w:rsid w:val="151C2101"/>
    <w:rsid w:val="15235441"/>
    <w:rsid w:val="15414ECE"/>
    <w:rsid w:val="1557B4EE"/>
    <w:rsid w:val="15615ED3"/>
    <w:rsid w:val="157DB81F"/>
    <w:rsid w:val="15CC0E41"/>
    <w:rsid w:val="15DC3E55"/>
    <w:rsid w:val="15F5CF6B"/>
    <w:rsid w:val="1640C30E"/>
    <w:rsid w:val="164C309F"/>
    <w:rsid w:val="164F1A71"/>
    <w:rsid w:val="1661267A"/>
    <w:rsid w:val="1662243F"/>
    <w:rsid w:val="16634A38"/>
    <w:rsid w:val="16720385"/>
    <w:rsid w:val="16B7E2E8"/>
    <w:rsid w:val="16BC92AB"/>
    <w:rsid w:val="16E66863"/>
    <w:rsid w:val="16ED592A"/>
    <w:rsid w:val="171DB791"/>
    <w:rsid w:val="174B226C"/>
    <w:rsid w:val="177CC8AF"/>
    <w:rsid w:val="17873243"/>
    <w:rsid w:val="17A9A5EB"/>
    <w:rsid w:val="180D3262"/>
    <w:rsid w:val="181FB8C4"/>
    <w:rsid w:val="1836195A"/>
    <w:rsid w:val="183D1419"/>
    <w:rsid w:val="18517326"/>
    <w:rsid w:val="187E504E"/>
    <w:rsid w:val="187F9BAD"/>
    <w:rsid w:val="18E83AC9"/>
    <w:rsid w:val="18F07061"/>
    <w:rsid w:val="18FAFB0B"/>
    <w:rsid w:val="1915D068"/>
    <w:rsid w:val="1928F139"/>
    <w:rsid w:val="19593302"/>
    <w:rsid w:val="19984BF9"/>
    <w:rsid w:val="19B10772"/>
    <w:rsid w:val="19F947E5"/>
    <w:rsid w:val="1A43DDBC"/>
    <w:rsid w:val="1A525E87"/>
    <w:rsid w:val="1ADD1B22"/>
    <w:rsid w:val="1B411C83"/>
    <w:rsid w:val="1B57B554"/>
    <w:rsid w:val="1B871A29"/>
    <w:rsid w:val="1BD01049"/>
    <w:rsid w:val="1BF33EA7"/>
    <w:rsid w:val="1BF65012"/>
    <w:rsid w:val="1BF77DCC"/>
    <w:rsid w:val="1C11AA17"/>
    <w:rsid w:val="1C242711"/>
    <w:rsid w:val="1C32741A"/>
    <w:rsid w:val="1C5672AA"/>
    <w:rsid w:val="1C58FE4A"/>
    <w:rsid w:val="1C88532E"/>
    <w:rsid w:val="1C9E0BBE"/>
    <w:rsid w:val="1CC83CF1"/>
    <w:rsid w:val="1CF2BB6C"/>
    <w:rsid w:val="1D063BDE"/>
    <w:rsid w:val="1D07B195"/>
    <w:rsid w:val="1D0CEF8D"/>
    <w:rsid w:val="1D19E3C8"/>
    <w:rsid w:val="1D29A07C"/>
    <w:rsid w:val="1D67C2AC"/>
    <w:rsid w:val="1D7731E9"/>
    <w:rsid w:val="1D7A01B8"/>
    <w:rsid w:val="1DAD3D0F"/>
    <w:rsid w:val="1DFD7D39"/>
    <w:rsid w:val="1E030BCF"/>
    <w:rsid w:val="1E050D13"/>
    <w:rsid w:val="1E077CA3"/>
    <w:rsid w:val="1E16E184"/>
    <w:rsid w:val="1E1B9C49"/>
    <w:rsid w:val="1EE1E8AB"/>
    <w:rsid w:val="1F2959AD"/>
    <w:rsid w:val="1F6EFCB8"/>
    <w:rsid w:val="1F810C58"/>
    <w:rsid w:val="1F8C15ED"/>
    <w:rsid w:val="1FD85D0E"/>
    <w:rsid w:val="1FFBC629"/>
    <w:rsid w:val="2018BC68"/>
    <w:rsid w:val="202952D6"/>
    <w:rsid w:val="2076DD18"/>
    <w:rsid w:val="207EDD8D"/>
    <w:rsid w:val="209F4F6A"/>
    <w:rsid w:val="20A4D932"/>
    <w:rsid w:val="2119FB0E"/>
    <w:rsid w:val="21409BD6"/>
    <w:rsid w:val="214FD768"/>
    <w:rsid w:val="21947EB6"/>
    <w:rsid w:val="2195E3F5"/>
    <w:rsid w:val="21A0A796"/>
    <w:rsid w:val="21A92021"/>
    <w:rsid w:val="21C37E36"/>
    <w:rsid w:val="22133D30"/>
    <w:rsid w:val="2229E3ED"/>
    <w:rsid w:val="22483986"/>
    <w:rsid w:val="2277AC87"/>
    <w:rsid w:val="228A2F79"/>
    <w:rsid w:val="2294DE8B"/>
    <w:rsid w:val="229BE7EE"/>
    <w:rsid w:val="22A4D2E8"/>
    <w:rsid w:val="22A87602"/>
    <w:rsid w:val="22C290BF"/>
    <w:rsid w:val="22F15DE3"/>
    <w:rsid w:val="22F5FA16"/>
    <w:rsid w:val="23118E39"/>
    <w:rsid w:val="231A991C"/>
    <w:rsid w:val="231E0325"/>
    <w:rsid w:val="23369305"/>
    <w:rsid w:val="235E91B4"/>
    <w:rsid w:val="236EA10B"/>
    <w:rsid w:val="23841865"/>
    <w:rsid w:val="23B02460"/>
    <w:rsid w:val="23C6671E"/>
    <w:rsid w:val="23FD4B94"/>
    <w:rsid w:val="247DA798"/>
    <w:rsid w:val="247E15EE"/>
    <w:rsid w:val="24C16C73"/>
    <w:rsid w:val="24C6F479"/>
    <w:rsid w:val="24CCEA6B"/>
    <w:rsid w:val="24DEAF35"/>
    <w:rsid w:val="24F8E315"/>
    <w:rsid w:val="2506E307"/>
    <w:rsid w:val="252A5D0C"/>
    <w:rsid w:val="259A4D98"/>
    <w:rsid w:val="25A3559A"/>
    <w:rsid w:val="25AAE1D4"/>
    <w:rsid w:val="25CA1B7B"/>
    <w:rsid w:val="25EACC3A"/>
    <w:rsid w:val="2604FFFC"/>
    <w:rsid w:val="26089486"/>
    <w:rsid w:val="260EA7CE"/>
    <w:rsid w:val="26885E67"/>
    <w:rsid w:val="26897289"/>
    <w:rsid w:val="26D8ECBA"/>
    <w:rsid w:val="26F59C5D"/>
    <w:rsid w:val="26F73855"/>
    <w:rsid w:val="2718FF1B"/>
    <w:rsid w:val="27534CED"/>
    <w:rsid w:val="27AE72A3"/>
    <w:rsid w:val="27B37ECE"/>
    <w:rsid w:val="27EBAEAF"/>
    <w:rsid w:val="281195DE"/>
    <w:rsid w:val="281C3F7D"/>
    <w:rsid w:val="284D0139"/>
    <w:rsid w:val="28B9C466"/>
    <w:rsid w:val="28D17C41"/>
    <w:rsid w:val="292C5D31"/>
    <w:rsid w:val="2932241E"/>
    <w:rsid w:val="294EC147"/>
    <w:rsid w:val="2966DB3D"/>
    <w:rsid w:val="2973B6D5"/>
    <w:rsid w:val="29752748"/>
    <w:rsid w:val="29839D50"/>
    <w:rsid w:val="29C9931B"/>
    <w:rsid w:val="29FF8832"/>
    <w:rsid w:val="2A0E9DB9"/>
    <w:rsid w:val="2A0F55A2"/>
    <w:rsid w:val="2A15061C"/>
    <w:rsid w:val="2A308BB5"/>
    <w:rsid w:val="2A788DAC"/>
    <w:rsid w:val="2AED52B5"/>
    <w:rsid w:val="2B15BD06"/>
    <w:rsid w:val="2B2FA8A0"/>
    <w:rsid w:val="2B408D31"/>
    <w:rsid w:val="2B7D47A1"/>
    <w:rsid w:val="2B83663B"/>
    <w:rsid w:val="2B99024C"/>
    <w:rsid w:val="2BC85067"/>
    <w:rsid w:val="2BC8BD68"/>
    <w:rsid w:val="2BE56E0C"/>
    <w:rsid w:val="2BF77891"/>
    <w:rsid w:val="2C30A3BB"/>
    <w:rsid w:val="2C436E37"/>
    <w:rsid w:val="2C5CB8E9"/>
    <w:rsid w:val="2C83BBDC"/>
    <w:rsid w:val="2CB7266C"/>
    <w:rsid w:val="2D2A98CA"/>
    <w:rsid w:val="2D8AB113"/>
    <w:rsid w:val="2DA48DCF"/>
    <w:rsid w:val="2DC3F1C6"/>
    <w:rsid w:val="2DC8A754"/>
    <w:rsid w:val="2DCA837A"/>
    <w:rsid w:val="2DFED70A"/>
    <w:rsid w:val="2E23D9CF"/>
    <w:rsid w:val="2E458640"/>
    <w:rsid w:val="2E484ACC"/>
    <w:rsid w:val="2EB04CD6"/>
    <w:rsid w:val="2EC10AEA"/>
    <w:rsid w:val="2EC672F6"/>
    <w:rsid w:val="2ECC3374"/>
    <w:rsid w:val="2EDB6CAB"/>
    <w:rsid w:val="2F7BE596"/>
    <w:rsid w:val="2F86345F"/>
    <w:rsid w:val="2F9CD694"/>
    <w:rsid w:val="2FBEEEDF"/>
    <w:rsid w:val="2FFC30C0"/>
    <w:rsid w:val="303A1D26"/>
    <w:rsid w:val="3041C3EE"/>
    <w:rsid w:val="30426316"/>
    <w:rsid w:val="308B474A"/>
    <w:rsid w:val="30A87826"/>
    <w:rsid w:val="30B6BF24"/>
    <w:rsid w:val="30BED29B"/>
    <w:rsid w:val="30C03A23"/>
    <w:rsid w:val="30D8AF41"/>
    <w:rsid w:val="30FAF310"/>
    <w:rsid w:val="316E650C"/>
    <w:rsid w:val="317B0903"/>
    <w:rsid w:val="31D9AAD7"/>
    <w:rsid w:val="31DC3F11"/>
    <w:rsid w:val="31DEB8A7"/>
    <w:rsid w:val="31E78AFC"/>
    <w:rsid w:val="31EF065E"/>
    <w:rsid w:val="32345B07"/>
    <w:rsid w:val="3249A293"/>
    <w:rsid w:val="3257F162"/>
    <w:rsid w:val="32712A88"/>
    <w:rsid w:val="3272D751"/>
    <w:rsid w:val="3289D1A5"/>
    <w:rsid w:val="328CB0D6"/>
    <w:rsid w:val="32C41961"/>
    <w:rsid w:val="32D0B668"/>
    <w:rsid w:val="32F1B121"/>
    <w:rsid w:val="33003D10"/>
    <w:rsid w:val="330796A9"/>
    <w:rsid w:val="330B9B2C"/>
    <w:rsid w:val="339EB555"/>
    <w:rsid w:val="33A9FC29"/>
    <w:rsid w:val="33AAFC06"/>
    <w:rsid w:val="33C26C75"/>
    <w:rsid w:val="33D8022A"/>
    <w:rsid w:val="33E08719"/>
    <w:rsid w:val="33FCEE66"/>
    <w:rsid w:val="33FE4E3D"/>
    <w:rsid w:val="342ADF50"/>
    <w:rsid w:val="342DC2D4"/>
    <w:rsid w:val="3430561E"/>
    <w:rsid w:val="346CF1B2"/>
    <w:rsid w:val="34AB3261"/>
    <w:rsid w:val="34D1B823"/>
    <w:rsid w:val="34DD00A2"/>
    <w:rsid w:val="34F5254E"/>
    <w:rsid w:val="35126F92"/>
    <w:rsid w:val="351D49D5"/>
    <w:rsid w:val="354B5240"/>
    <w:rsid w:val="3556AAE0"/>
    <w:rsid w:val="35666411"/>
    <w:rsid w:val="3568EF6C"/>
    <w:rsid w:val="3569760F"/>
    <w:rsid w:val="358EEAF8"/>
    <w:rsid w:val="3598A47B"/>
    <w:rsid w:val="35A1319B"/>
    <w:rsid w:val="35D07B08"/>
    <w:rsid w:val="35FC88DB"/>
    <w:rsid w:val="3627D3DB"/>
    <w:rsid w:val="362B086F"/>
    <w:rsid w:val="3675491F"/>
    <w:rsid w:val="368718B3"/>
    <w:rsid w:val="368FBC30"/>
    <w:rsid w:val="36940837"/>
    <w:rsid w:val="37126155"/>
    <w:rsid w:val="37196E8D"/>
    <w:rsid w:val="37802104"/>
    <w:rsid w:val="37830BFF"/>
    <w:rsid w:val="37D7A398"/>
    <w:rsid w:val="37D9F96C"/>
    <w:rsid w:val="37E01761"/>
    <w:rsid w:val="37E26B77"/>
    <w:rsid w:val="37E8E618"/>
    <w:rsid w:val="37ED4091"/>
    <w:rsid w:val="37F3487E"/>
    <w:rsid w:val="37F912CA"/>
    <w:rsid w:val="3808D0AC"/>
    <w:rsid w:val="384E6488"/>
    <w:rsid w:val="3860D1CE"/>
    <w:rsid w:val="3896A93C"/>
    <w:rsid w:val="38CA4A44"/>
    <w:rsid w:val="38F160B1"/>
    <w:rsid w:val="39210EEF"/>
    <w:rsid w:val="39275051"/>
    <w:rsid w:val="394EB7EE"/>
    <w:rsid w:val="39509A3F"/>
    <w:rsid w:val="39942F43"/>
    <w:rsid w:val="39A2F56A"/>
    <w:rsid w:val="39C1D9D1"/>
    <w:rsid w:val="39D04820"/>
    <w:rsid w:val="39F23FAA"/>
    <w:rsid w:val="3A1A84A1"/>
    <w:rsid w:val="3A320036"/>
    <w:rsid w:val="3A394DCE"/>
    <w:rsid w:val="3A4F99A9"/>
    <w:rsid w:val="3A507416"/>
    <w:rsid w:val="3AA16160"/>
    <w:rsid w:val="3AB782CD"/>
    <w:rsid w:val="3AC2E43B"/>
    <w:rsid w:val="3AEF69CA"/>
    <w:rsid w:val="3B1FE9D6"/>
    <w:rsid w:val="3B66C8AF"/>
    <w:rsid w:val="3B74B95D"/>
    <w:rsid w:val="3B7E77B0"/>
    <w:rsid w:val="3BBC27A2"/>
    <w:rsid w:val="3BCECF18"/>
    <w:rsid w:val="3BF5F65A"/>
    <w:rsid w:val="3C029BF6"/>
    <w:rsid w:val="3C15D348"/>
    <w:rsid w:val="3C197FCC"/>
    <w:rsid w:val="3C217010"/>
    <w:rsid w:val="3C4DB382"/>
    <w:rsid w:val="3C7936FA"/>
    <w:rsid w:val="3C7EEDBF"/>
    <w:rsid w:val="3C80F3CD"/>
    <w:rsid w:val="3CB59D5F"/>
    <w:rsid w:val="3CBFBCE2"/>
    <w:rsid w:val="3D81B5BA"/>
    <w:rsid w:val="3D981F6E"/>
    <w:rsid w:val="3D9A8D94"/>
    <w:rsid w:val="3DC0CEB1"/>
    <w:rsid w:val="3DFAC753"/>
    <w:rsid w:val="3E006B13"/>
    <w:rsid w:val="3E0C0FE0"/>
    <w:rsid w:val="3E313027"/>
    <w:rsid w:val="3E58D0B3"/>
    <w:rsid w:val="3E628DB4"/>
    <w:rsid w:val="3E6FB5FD"/>
    <w:rsid w:val="3EB25E56"/>
    <w:rsid w:val="3EF3BE4F"/>
    <w:rsid w:val="3EF7E833"/>
    <w:rsid w:val="3F6D5F29"/>
    <w:rsid w:val="3F994A42"/>
    <w:rsid w:val="401DBA52"/>
    <w:rsid w:val="401FDB0B"/>
    <w:rsid w:val="404F466B"/>
    <w:rsid w:val="40ABDDB3"/>
    <w:rsid w:val="4110A815"/>
    <w:rsid w:val="41404CC6"/>
    <w:rsid w:val="414B85B2"/>
    <w:rsid w:val="41969F61"/>
    <w:rsid w:val="4202CA12"/>
    <w:rsid w:val="4236A1C4"/>
    <w:rsid w:val="4241E06F"/>
    <w:rsid w:val="426EFE4D"/>
    <w:rsid w:val="427B6D5E"/>
    <w:rsid w:val="427C2DEA"/>
    <w:rsid w:val="42B30C74"/>
    <w:rsid w:val="42D6DAC8"/>
    <w:rsid w:val="42EC00F3"/>
    <w:rsid w:val="4308C946"/>
    <w:rsid w:val="430FB6AF"/>
    <w:rsid w:val="4366D6A8"/>
    <w:rsid w:val="4369D5BB"/>
    <w:rsid w:val="4391DAC7"/>
    <w:rsid w:val="439F3A57"/>
    <w:rsid w:val="43A8D83F"/>
    <w:rsid w:val="43AC8D6C"/>
    <w:rsid w:val="43D84AB2"/>
    <w:rsid w:val="4428C6C9"/>
    <w:rsid w:val="44605B41"/>
    <w:rsid w:val="44B4ED3A"/>
    <w:rsid w:val="44D8F5DD"/>
    <w:rsid w:val="44D9F471"/>
    <w:rsid w:val="4558F8AB"/>
    <w:rsid w:val="4568556E"/>
    <w:rsid w:val="458F9B36"/>
    <w:rsid w:val="459416B8"/>
    <w:rsid w:val="45A5D380"/>
    <w:rsid w:val="45A9A721"/>
    <w:rsid w:val="45AF5101"/>
    <w:rsid w:val="45B69D11"/>
    <w:rsid w:val="45DC9603"/>
    <w:rsid w:val="45F1336B"/>
    <w:rsid w:val="462A7379"/>
    <w:rsid w:val="466842BE"/>
    <w:rsid w:val="466DFBFF"/>
    <w:rsid w:val="467F888C"/>
    <w:rsid w:val="468227B5"/>
    <w:rsid w:val="46B2592E"/>
    <w:rsid w:val="46D115A5"/>
    <w:rsid w:val="470091A0"/>
    <w:rsid w:val="471AF9B6"/>
    <w:rsid w:val="4733E274"/>
    <w:rsid w:val="47455D09"/>
    <w:rsid w:val="47879949"/>
    <w:rsid w:val="478F3719"/>
    <w:rsid w:val="47C02627"/>
    <w:rsid w:val="47DE96F2"/>
    <w:rsid w:val="48407CD5"/>
    <w:rsid w:val="485E6DB6"/>
    <w:rsid w:val="48810EF4"/>
    <w:rsid w:val="4883EF4A"/>
    <w:rsid w:val="4895493B"/>
    <w:rsid w:val="48AE3295"/>
    <w:rsid w:val="48D19815"/>
    <w:rsid w:val="49376124"/>
    <w:rsid w:val="496B308A"/>
    <w:rsid w:val="498BE0D6"/>
    <w:rsid w:val="49E39433"/>
    <w:rsid w:val="49E88BC5"/>
    <w:rsid w:val="4A012673"/>
    <w:rsid w:val="4A12E898"/>
    <w:rsid w:val="4A1AA646"/>
    <w:rsid w:val="4A2766CA"/>
    <w:rsid w:val="4A82366C"/>
    <w:rsid w:val="4AAD2EF3"/>
    <w:rsid w:val="4AC6A345"/>
    <w:rsid w:val="4B863140"/>
    <w:rsid w:val="4B8915A2"/>
    <w:rsid w:val="4B91744C"/>
    <w:rsid w:val="4BB86A85"/>
    <w:rsid w:val="4C04C9F5"/>
    <w:rsid w:val="4C08FF08"/>
    <w:rsid w:val="4C130576"/>
    <w:rsid w:val="4C1AA279"/>
    <w:rsid w:val="4C22F5DC"/>
    <w:rsid w:val="4CA17E73"/>
    <w:rsid w:val="4CDFDC2D"/>
    <w:rsid w:val="4D2BEA8C"/>
    <w:rsid w:val="4D4C200F"/>
    <w:rsid w:val="4D614B32"/>
    <w:rsid w:val="4D67AF86"/>
    <w:rsid w:val="4D97986D"/>
    <w:rsid w:val="4DB34E26"/>
    <w:rsid w:val="4DF225B0"/>
    <w:rsid w:val="4DFD92B0"/>
    <w:rsid w:val="4E1B9F62"/>
    <w:rsid w:val="4E26452F"/>
    <w:rsid w:val="4E27B364"/>
    <w:rsid w:val="4E2E14A3"/>
    <w:rsid w:val="4E74FE96"/>
    <w:rsid w:val="4ED25C5C"/>
    <w:rsid w:val="4ED8FF89"/>
    <w:rsid w:val="4EF435D3"/>
    <w:rsid w:val="4EFD2889"/>
    <w:rsid w:val="4F7BF7C0"/>
    <w:rsid w:val="4F95F716"/>
    <w:rsid w:val="4FC4814D"/>
    <w:rsid w:val="4FDEA4E8"/>
    <w:rsid w:val="4FE00100"/>
    <w:rsid w:val="5003869B"/>
    <w:rsid w:val="5008C092"/>
    <w:rsid w:val="500BD594"/>
    <w:rsid w:val="50761FAA"/>
    <w:rsid w:val="50B9CFB7"/>
    <w:rsid w:val="50CC0FAD"/>
    <w:rsid w:val="5138E817"/>
    <w:rsid w:val="514047F6"/>
    <w:rsid w:val="5146100D"/>
    <w:rsid w:val="518C2722"/>
    <w:rsid w:val="51C217D5"/>
    <w:rsid w:val="523AA940"/>
    <w:rsid w:val="525515EF"/>
    <w:rsid w:val="5265A41E"/>
    <w:rsid w:val="527EFA72"/>
    <w:rsid w:val="52A357DE"/>
    <w:rsid w:val="52C7F545"/>
    <w:rsid w:val="52D52883"/>
    <w:rsid w:val="53311A1D"/>
    <w:rsid w:val="535D50B8"/>
    <w:rsid w:val="53DA5947"/>
    <w:rsid w:val="53E36535"/>
    <w:rsid w:val="53F01D7E"/>
    <w:rsid w:val="547BAD05"/>
    <w:rsid w:val="54A271F8"/>
    <w:rsid w:val="55230F15"/>
    <w:rsid w:val="5578CA45"/>
    <w:rsid w:val="559298DC"/>
    <w:rsid w:val="55964D09"/>
    <w:rsid w:val="55A1444D"/>
    <w:rsid w:val="55A5CDC5"/>
    <w:rsid w:val="55A79657"/>
    <w:rsid w:val="55B76110"/>
    <w:rsid w:val="55E6EFC5"/>
    <w:rsid w:val="55F43B56"/>
    <w:rsid w:val="56114373"/>
    <w:rsid w:val="565F1AA5"/>
    <w:rsid w:val="567864EB"/>
    <w:rsid w:val="567CD6AA"/>
    <w:rsid w:val="56A34281"/>
    <w:rsid w:val="56ACEA51"/>
    <w:rsid w:val="56D2394D"/>
    <w:rsid w:val="56D86E3E"/>
    <w:rsid w:val="56DC116C"/>
    <w:rsid w:val="572FF743"/>
    <w:rsid w:val="576C5E03"/>
    <w:rsid w:val="578EA986"/>
    <w:rsid w:val="57F095C3"/>
    <w:rsid w:val="580693AF"/>
    <w:rsid w:val="5822AAB8"/>
    <w:rsid w:val="583E6F58"/>
    <w:rsid w:val="585B07F1"/>
    <w:rsid w:val="588AB711"/>
    <w:rsid w:val="588FCF87"/>
    <w:rsid w:val="58B91C28"/>
    <w:rsid w:val="58C09A79"/>
    <w:rsid w:val="58C69A8A"/>
    <w:rsid w:val="58D54DA1"/>
    <w:rsid w:val="58EA380C"/>
    <w:rsid w:val="58EDCD49"/>
    <w:rsid w:val="5907DFDF"/>
    <w:rsid w:val="593CE42D"/>
    <w:rsid w:val="595C93FE"/>
    <w:rsid w:val="5969DC42"/>
    <w:rsid w:val="59DC3DF8"/>
    <w:rsid w:val="59E4B43B"/>
    <w:rsid w:val="5A0E36D2"/>
    <w:rsid w:val="5A50CA72"/>
    <w:rsid w:val="5A58033D"/>
    <w:rsid w:val="5A779B43"/>
    <w:rsid w:val="5ABA8FD8"/>
    <w:rsid w:val="5B21EB84"/>
    <w:rsid w:val="5B6DD003"/>
    <w:rsid w:val="5B7336DB"/>
    <w:rsid w:val="5B95CA98"/>
    <w:rsid w:val="5B9797FD"/>
    <w:rsid w:val="5BAAB257"/>
    <w:rsid w:val="5BADCE1C"/>
    <w:rsid w:val="5BD686BE"/>
    <w:rsid w:val="5CA42B30"/>
    <w:rsid w:val="5CD4A5CC"/>
    <w:rsid w:val="5CD62E22"/>
    <w:rsid w:val="5CEB5AE6"/>
    <w:rsid w:val="5CF3EC26"/>
    <w:rsid w:val="5D1393BD"/>
    <w:rsid w:val="5D24A4F5"/>
    <w:rsid w:val="5D87C1EF"/>
    <w:rsid w:val="5DAFC2D4"/>
    <w:rsid w:val="5E072150"/>
    <w:rsid w:val="5E485B6F"/>
    <w:rsid w:val="5E69C5AB"/>
    <w:rsid w:val="5E6F7B34"/>
    <w:rsid w:val="5E79D27F"/>
    <w:rsid w:val="5E9383B2"/>
    <w:rsid w:val="5E95CA77"/>
    <w:rsid w:val="5EAEF1B8"/>
    <w:rsid w:val="5EC80918"/>
    <w:rsid w:val="5ED9CC2A"/>
    <w:rsid w:val="5F2A2616"/>
    <w:rsid w:val="5F4E6413"/>
    <w:rsid w:val="5F67CF2C"/>
    <w:rsid w:val="5F7997E3"/>
    <w:rsid w:val="5F84FCA1"/>
    <w:rsid w:val="5FE32DF3"/>
    <w:rsid w:val="5FF0765A"/>
    <w:rsid w:val="601B79B3"/>
    <w:rsid w:val="60225F58"/>
    <w:rsid w:val="602CE636"/>
    <w:rsid w:val="6036FB29"/>
    <w:rsid w:val="604797BB"/>
    <w:rsid w:val="607B24BA"/>
    <w:rsid w:val="609C37F2"/>
    <w:rsid w:val="60CA6763"/>
    <w:rsid w:val="60FE4105"/>
    <w:rsid w:val="6132F7C3"/>
    <w:rsid w:val="6169A956"/>
    <w:rsid w:val="619DAC4A"/>
    <w:rsid w:val="61A80C57"/>
    <w:rsid w:val="61F20570"/>
    <w:rsid w:val="6292FB5F"/>
    <w:rsid w:val="62B04F16"/>
    <w:rsid w:val="62B37A76"/>
    <w:rsid w:val="62B6B91F"/>
    <w:rsid w:val="62C902CB"/>
    <w:rsid w:val="62EE7440"/>
    <w:rsid w:val="6330126D"/>
    <w:rsid w:val="63D0023A"/>
    <w:rsid w:val="63FF7FF9"/>
    <w:rsid w:val="6423CF1D"/>
    <w:rsid w:val="64C36A57"/>
    <w:rsid w:val="6502C536"/>
    <w:rsid w:val="652FCE84"/>
    <w:rsid w:val="653D7243"/>
    <w:rsid w:val="6561A7B8"/>
    <w:rsid w:val="6573E58C"/>
    <w:rsid w:val="657D59C7"/>
    <w:rsid w:val="6580F76F"/>
    <w:rsid w:val="6590BB8D"/>
    <w:rsid w:val="65A2BDE0"/>
    <w:rsid w:val="65BD7F69"/>
    <w:rsid w:val="65C271A3"/>
    <w:rsid w:val="65D480E6"/>
    <w:rsid w:val="65EE8B8E"/>
    <w:rsid w:val="65F1D4A5"/>
    <w:rsid w:val="66137A0E"/>
    <w:rsid w:val="66399EEB"/>
    <w:rsid w:val="664D306F"/>
    <w:rsid w:val="665FD5EE"/>
    <w:rsid w:val="66A5BB0D"/>
    <w:rsid w:val="66B49373"/>
    <w:rsid w:val="66B8FB96"/>
    <w:rsid w:val="66E29F19"/>
    <w:rsid w:val="66ED403F"/>
    <w:rsid w:val="672CE410"/>
    <w:rsid w:val="675EB58B"/>
    <w:rsid w:val="6771BB9F"/>
    <w:rsid w:val="67724F69"/>
    <w:rsid w:val="67889AC6"/>
    <w:rsid w:val="678D6E2F"/>
    <w:rsid w:val="67B99EC9"/>
    <w:rsid w:val="67D84B39"/>
    <w:rsid w:val="67F4CD61"/>
    <w:rsid w:val="6805CC67"/>
    <w:rsid w:val="680ABB31"/>
    <w:rsid w:val="680ED4E5"/>
    <w:rsid w:val="68CF6A9D"/>
    <w:rsid w:val="692F6260"/>
    <w:rsid w:val="6931D4BA"/>
    <w:rsid w:val="6979E0F2"/>
    <w:rsid w:val="697C48FC"/>
    <w:rsid w:val="69802778"/>
    <w:rsid w:val="69B91EE2"/>
    <w:rsid w:val="69F57AAC"/>
    <w:rsid w:val="6A12E526"/>
    <w:rsid w:val="6A6357CF"/>
    <w:rsid w:val="6A7A34DD"/>
    <w:rsid w:val="6A7C38F9"/>
    <w:rsid w:val="6A96541E"/>
    <w:rsid w:val="6ADAB8C8"/>
    <w:rsid w:val="6B44DB43"/>
    <w:rsid w:val="6B5229E5"/>
    <w:rsid w:val="6B578509"/>
    <w:rsid w:val="6BAE6CC0"/>
    <w:rsid w:val="6BB417F2"/>
    <w:rsid w:val="6BF49FAF"/>
    <w:rsid w:val="6BFFE926"/>
    <w:rsid w:val="6C432B79"/>
    <w:rsid w:val="6C4CA150"/>
    <w:rsid w:val="6C69E4B3"/>
    <w:rsid w:val="6C84E622"/>
    <w:rsid w:val="6CACC669"/>
    <w:rsid w:val="6CD2A77E"/>
    <w:rsid w:val="6D10FBB6"/>
    <w:rsid w:val="6D4B22B8"/>
    <w:rsid w:val="6E417D00"/>
    <w:rsid w:val="6E8878E9"/>
    <w:rsid w:val="6EA15EA4"/>
    <w:rsid w:val="6EA57C64"/>
    <w:rsid w:val="6ED0BF11"/>
    <w:rsid w:val="6EECE9AE"/>
    <w:rsid w:val="6F312043"/>
    <w:rsid w:val="6F3EFD0D"/>
    <w:rsid w:val="6F72A199"/>
    <w:rsid w:val="6F9513B4"/>
    <w:rsid w:val="6FB4571E"/>
    <w:rsid w:val="6FC23828"/>
    <w:rsid w:val="7017EE44"/>
    <w:rsid w:val="70275924"/>
    <w:rsid w:val="703512BE"/>
    <w:rsid w:val="7057113B"/>
    <w:rsid w:val="70D8388F"/>
    <w:rsid w:val="70DAAC46"/>
    <w:rsid w:val="70FB56EB"/>
    <w:rsid w:val="71157BB5"/>
    <w:rsid w:val="71252B65"/>
    <w:rsid w:val="715259BE"/>
    <w:rsid w:val="715EA24D"/>
    <w:rsid w:val="71AA32C3"/>
    <w:rsid w:val="71B26130"/>
    <w:rsid w:val="71EC3029"/>
    <w:rsid w:val="721DFF8A"/>
    <w:rsid w:val="7290918C"/>
    <w:rsid w:val="7305871F"/>
    <w:rsid w:val="7311CE7F"/>
    <w:rsid w:val="7317EFA0"/>
    <w:rsid w:val="7338D8CE"/>
    <w:rsid w:val="733B5548"/>
    <w:rsid w:val="7348386F"/>
    <w:rsid w:val="734EC4CE"/>
    <w:rsid w:val="7359087D"/>
    <w:rsid w:val="735FDDC9"/>
    <w:rsid w:val="73835C33"/>
    <w:rsid w:val="73842528"/>
    <w:rsid w:val="7384DD8D"/>
    <w:rsid w:val="73897DC8"/>
    <w:rsid w:val="73A82EB3"/>
    <w:rsid w:val="73E7FBDE"/>
    <w:rsid w:val="73EABAF1"/>
    <w:rsid w:val="7416EFCE"/>
    <w:rsid w:val="742E0F7D"/>
    <w:rsid w:val="743399AD"/>
    <w:rsid w:val="7451479B"/>
    <w:rsid w:val="747391FD"/>
    <w:rsid w:val="74747D33"/>
    <w:rsid w:val="7480F2AD"/>
    <w:rsid w:val="74A24634"/>
    <w:rsid w:val="74BE6872"/>
    <w:rsid w:val="75316797"/>
    <w:rsid w:val="759BBFE7"/>
    <w:rsid w:val="75CFCC7A"/>
    <w:rsid w:val="75DA6D52"/>
    <w:rsid w:val="75EB6F6E"/>
    <w:rsid w:val="76269AC5"/>
    <w:rsid w:val="765BCD6C"/>
    <w:rsid w:val="7693D2EC"/>
    <w:rsid w:val="7751D3AD"/>
    <w:rsid w:val="77CF30D5"/>
    <w:rsid w:val="77D1EEF4"/>
    <w:rsid w:val="77E244CA"/>
    <w:rsid w:val="77FC7354"/>
    <w:rsid w:val="7834DFE5"/>
    <w:rsid w:val="783608DB"/>
    <w:rsid w:val="7854B364"/>
    <w:rsid w:val="7881BFA8"/>
    <w:rsid w:val="78F62397"/>
    <w:rsid w:val="79028F28"/>
    <w:rsid w:val="7908ED9C"/>
    <w:rsid w:val="793A2645"/>
    <w:rsid w:val="7957C310"/>
    <w:rsid w:val="799058CC"/>
    <w:rsid w:val="799765FF"/>
    <w:rsid w:val="79B6E2D7"/>
    <w:rsid w:val="7A088AFD"/>
    <w:rsid w:val="7A0A2129"/>
    <w:rsid w:val="7A3E1053"/>
    <w:rsid w:val="7A64BCB9"/>
    <w:rsid w:val="7A771215"/>
    <w:rsid w:val="7B4347C0"/>
    <w:rsid w:val="7B459DDF"/>
    <w:rsid w:val="7B4819CE"/>
    <w:rsid w:val="7B526E0A"/>
    <w:rsid w:val="7B55F57F"/>
    <w:rsid w:val="7B5C00C8"/>
    <w:rsid w:val="7B6A9DEE"/>
    <w:rsid w:val="7B805A6A"/>
    <w:rsid w:val="7B952989"/>
    <w:rsid w:val="7BBE31F1"/>
    <w:rsid w:val="7BCBFD1B"/>
    <w:rsid w:val="7BF2005F"/>
    <w:rsid w:val="7BF60812"/>
    <w:rsid w:val="7C778D03"/>
    <w:rsid w:val="7C7AB24E"/>
    <w:rsid w:val="7C7E56C6"/>
    <w:rsid w:val="7CBE250E"/>
    <w:rsid w:val="7CE696B0"/>
    <w:rsid w:val="7CE8641B"/>
    <w:rsid w:val="7CF90039"/>
    <w:rsid w:val="7CF921CC"/>
    <w:rsid w:val="7D333147"/>
    <w:rsid w:val="7D4DCC0E"/>
    <w:rsid w:val="7D4FE162"/>
    <w:rsid w:val="7D7047B9"/>
    <w:rsid w:val="7D7A2397"/>
    <w:rsid w:val="7D7B9BB1"/>
    <w:rsid w:val="7DCC02CE"/>
    <w:rsid w:val="7DE4BE36"/>
    <w:rsid w:val="7E0CA8E2"/>
    <w:rsid w:val="7E120996"/>
    <w:rsid w:val="7E20533D"/>
    <w:rsid w:val="7E6781A5"/>
    <w:rsid w:val="7E86805E"/>
    <w:rsid w:val="7EC482C8"/>
    <w:rsid w:val="7ED31B96"/>
    <w:rsid w:val="7ED92DFF"/>
    <w:rsid w:val="7F06C5A7"/>
    <w:rsid w:val="7F29D15A"/>
    <w:rsid w:val="7F3F18C6"/>
    <w:rsid w:val="7F4A9500"/>
    <w:rsid w:val="7F571089"/>
    <w:rsid w:val="7F59F6DC"/>
    <w:rsid w:val="7F85F8E0"/>
    <w:rsid w:val="7F9E7781"/>
    <w:rsid w:val="7FF5D7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0F0E9"/>
  <w15:docId w15:val="{3F36FF43-1E83-4952-93A5-A1CEEB24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04"/>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numPr>
        <w:numId w:val="32"/>
      </w:numPr>
      <w:spacing w:before="0" w:after="0"/>
      <w:jc w:val="center"/>
    </w:pPr>
    <w:rPr>
      <w:color w:val="004A7F"/>
      <w:sz w:val="20"/>
    </w:rPr>
  </w:style>
  <w:style w:type="paragraph" w:customStyle="1" w:styleId="AlphaParagraph">
    <w:name w:val="Alpha Paragraph"/>
    <w:basedOn w:val="Normal"/>
    <w:qFormat/>
    <w:rsid w:val="008043EA"/>
    <w:pPr>
      <w:numPr>
        <w:ilvl w:val="1"/>
        <w:numId w:val="7"/>
      </w:numPr>
      <w:tabs>
        <w:tab w:val="num" w:pos="1134"/>
      </w:tabs>
      <w:spacing w:before="0"/>
      <w:ind w:left="1134" w:hanging="1134"/>
    </w:pPr>
  </w:style>
  <w:style w:type="table" w:styleId="TableGridLight">
    <w:name w:val="Grid Table Light"/>
    <w:basedOn w:val="TableNormal"/>
    <w:uiPriority w:val="40"/>
    <w:rsid w:val="00313D74"/>
    <w:pPr>
      <w:tabs>
        <w:tab w:val="num" w:pos="1440"/>
      </w:tabs>
      <w:spacing w:after="0" w:line="240" w:lineRule="auto"/>
      <w:ind w:left="1440" w:hanging="72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numPr>
        <w:ilvl w:val="2"/>
        <w:numId w:val="32"/>
      </w:numPr>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level 1,Bullet + line,BodyNum"/>
    <w:basedOn w:val="Normal"/>
    <w:link w:val="BulletChar"/>
    <w:qFormat/>
    <w:rsid w:val="008043EA"/>
    <w:pPr>
      <w:numPr>
        <w:numId w:val="31"/>
      </w:numPr>
      <w:tabs>
        <w:tab w:val="left" w:pos="720"/>
      </w:tabs>
      <w:spacing w:after="0" w:line="276" w:lineRule="auto"/>
    </w:pPr>
  </w:style>
  <w:style w:type="paragraph" w:customStyle="1" w:styleId="ChartandTableFootnoteAlpha">
    <w:name w:val="Chart and Table Footnote Alpha"/>
    <w:rsid w:val="008043EA"/>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3"/>
      </w:numPr>
      <w:spacing w:before="0"/>
    </w:pPr>
  </w:style>
  <w:style w:type="paragraph" w:customStyle="1" w:styleId="DoubleDot">
    <w:name w:val="Double Dot"/>
    <w:basedOn w:val="Normal"/>
    <w:link w:val="DoubleDotChar"/>
    <w:qFormat/>
    <w:rsid w:val="008043EA"/>
    <w:pPr>
      <w:numPr>
        <w:ilvl w:val="2"/>
        <w:numId w:val="1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37"/>
      </w:numPr>
      <w:tabs>
        <w:tab w:val="num" w:pos="851"/>
      </w:tabs>
      <w:spacing w:before="0"/>
    </w:pPr>
  </w:style>
  <w:style w:type="paragraph" w:customStyle="1" w:styleId="OneLevelNumberedParagraph">
    <w:name w:val="One Level Numbered Paragraph"/>
    <w:basedOn w:val="Normal"/>
    <w:rsid w:val="008043EA"/>
    <w:pPr>
      <w:numPr>
        <w:numId w:val="34"/>
      </w:numPr>
      <w:tabs>
        <w:tab w:val="num" w:pos="360"/>
      </w:tabs>
      <w:spacing w:before="0"/>
    </w:pPr>
  </w:style>
  <w:style w:type="paragraph" w:customStyle="1" w:styleId="OutlineNumbered2">
    <w:name w:val="Outline Numbered 2"/>
    <w:basedOn w:val="Normal"/>
    <w:rsid w:val="008043EA"/>
    <w:pPr>
      <w:numPr>
        <w:ilvl w:val="1"/>
        <w:numId w:val="37"/>
      </w:numPr>
      <w:tabs>
        <w:tab w:val="num" w:pos="1134"/>
      </w:tabs>
      <w:spacing w:before="0"/>
    </w:pPr>
  </w:style>
  <w:style w:type="paragraph" w:customStyle="1" w:styleId="OutlineNumbered3">
    <w:name w:val="Outline Numbered 3"/>
    <w:basedOn w:val="Normal"/>
    <w:rsid w:val="008043EA"/>
    <w:pPr>
      <w:numPr>
        <w:ilvl w:val="2"/>
        <w:numId w:val="37"/>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5"/>
      </w:numPr>
    </w:pPr>
  </w:style>
  <w:style w:type="numbering" w:customStyle="1" w:styleId="BulletedList">
    <w:name w:val="Bulleted List"/>
    <w:uiPriority w:val="99"/>
    <w:rsid w:val="008043EA"/>
    <w:pPr>
      <w:numPr>
        <w:numId w:val="3"/>
      </w:numPr>
    </w:pPr>
  </w:style>
  <w:style w:type="numbering" w:customStyle="1" w:styleId="BoxBulletedList">
    <w:name w:val="Box Bulleted List"/>
    <w:uiPriority w:val="99"/>
    <w:rsid w:val="008043EA"/>
    <w:pPr>
      <w:numPr>
        <w:numId w:val="34"/>
      </w:numPr>
    </w:pPr>
  </w:style>
  <w:style w:type="numbering" w:customStyle="1" w:styleId="OneLevelList">
    <w:name w:val="OneLevelList"/>
    <w:uiPriority w:val="99"/>
    <w:rsid w:val="008043EA"/>
    <w:pPr>
      <w:numPr>
        <w:numId w:val="4"/>
      </w:numPr>
    </w:pPr>
  </w:style>
  <w:style w:type="numbering" w:customStyle="1" w:styleId="ChartandTableFootnoteAlphaList">
    <w:name w:val="ChartandTableFootnoteAlphaList"/>
    <w:uiPriority w:val="99"/>
    <w:rsid w:val="008043EA"/>
    <w:pPr>
      <w:numPr>
        <w:numId w:val="6"/>
      </w:numPr>
    </w:pPr>
  </w:style>
  <w:style w:type="paragraph" w:customStyle="1" w:styleId="Heading1Numbered">
    <w:name w:val="Heading 1 Numbered"/>
    <w:basedOn w:val="Heading1"/>
    <w:next w:val="Normal"/>
    <w:rsid w:val="008043EA"/>
    <w:pPr>
      <w:tabs>
        <w:tab w:val="num" w:pos="284"/>
        <w:tab w:val="num" w:pos="851"/>
      </w:tabs>
      <w:ind w:left="851" w:hanging="851"/>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tabs>
        <w:tab w:val="num" w:pos="1134"/>
      </w:tabs>
      <w:ind w:left="1134" w:hanging="1134"/>
    </w:pPr>
  </w:style>
  <w:style w:type="paragraph" w:customStyle="1" w:styleId="Heading3Numbered">
    <w:name w:val="Heading 3 Numbered"/>
    <w:basedOn w:val="Heading3"/>
    <w:rsid w:val="008043EA"/>
    <w:pPr>
      <w:tabs>
        <w:tab w:val="num" w:pos="1418"/>
      </w:tabs>
      <w:ind w:left="1418" w:hanging="1418"/>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rsid w:val="00EE323D"/>
    <w:rPr>
      <w:sz w:val="18"/>
      <w:vertAlign w:val="superscript"/>
    </w:rPr>
  </w:style>
  <w:style w:type="paragraph" w:styleId="FootnoteText">
    <w:name w:val="footnote text"/>
    <w:basedOn w:val="Normal"/>
    <w:link w:val="FootnoteTextChar"/>
    <w:qFormat/>
    <w:rsid w:val="008043EA"/>
    <w:pPr>
      <w:spacing w:before="0" w:after="0"/>
      <w:ind w:left="397" w:hanging="397"/>
    </w:pPr>
    <w:rPr>
      <w:sz w:val="20"/>
    </w:rPr>
  </w:style>
  <w:style w:type="character" w:customStyle="1" w:styleId="FootnoteTextChar">
    <w:name w:val="Footnote Text Char"/>
    <w:basedOn w:val="DefaultParagraphFont"/>
    <w:link w:val="FootnoteText"/>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b + line Char Char,b Char Char,b1 Char,b + line Char,Body Char,level 1 Char,Bulleted Para Char,Bullets Char,Number Char,F5 List Paragraph Char,Dot pt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aliases w:val="NFP GP Bulleted List,List Paragraph1,Recommendation"/>
    <w:basedOn w:val="Normal"/>
    <w:link w:val="ListParagraphChar"/>
    <w:uiPriority w:val="34"/>
    <w:qFormat/>
    <w:rsid w:val="00FB2B54"/>
    <w:pPr>
      <w:ind w:left="720"/>
      <w:contextualSpacing/>
    </w:pPr>
  </w:style>
  <w:style w:type="character" w:styleId="CommentReference">
    <w:name w:val="annotation reference"/>
    <w:basedOn w:val="DefaultParagraphFont"/>
    <w:uiPriority w:val="99"/>
    <w:unhideWhenUsed/>
    <w:rsid w:val="00FB2B54"/>
    <w:rPr>
      <w:sz w:val="16"/>
      <w:szCs w:val="16"/>
    </w:rPr>
  </w:style>
  <w:style w:type="paragraph" w:styleId="CommentText">
    <w:name w:val="annotation text"/>
    <w:basedOn w:val="Normal"/>
    <w:link w:val="CommentTextChar"/>
    <w:uiPriority w:val="99"/>
    <w:unhideWhenUsed/>
    <w:rsid w:val="00FB2B54"/>
    <w:rPr>
      <w:sz w:val="20"/>
    </w:rPr>
  </w:style>
  <w:style w:type="character" w:customStyle="1" w:styleId="CommentTextChar">
    <w:name w:val="Comment Text Char"/>
    <w:basedOn w:val="DefaultParagraphFont"/>
    <w:link w:val="CommentText"/>
    <w:uiPriority w:val="99"/>
    <w:rsid w:val="00FB2B54"/>
    <w:rPr>
      <w:rFonts w:ascii="Calibri Light" w:eastAsia="Times New Roman" w:hAnsi="Calibri Light" w:cs="Times New Roman"/>
      <w:sz w:val="20"/>
      <w:szCs w:val="20"/>
      <w:lang w:eastAsia="en-AU"/>
    </w:rPr>
  </w:style>
  <w:style w:type="character" w:customStyle="1" w:styleId="ListParagraphChar">
    <w:name w:val="List Paragraph Char"/>
    <w:aliases w:val="NFP GP Bulleted List Char,List Paragraph1 Char,Recommendation Char"/>
    <w:basedOn w:val="DefaultParagraphFont"/>
    <w:link w:val="ListParagraph"/>
    <w:uiPriority w:val="34"/>
    <w:rsid w:val="00FB2B54"/>
    <w:rPr>
      <w:rFonts w:ascii="Calibri Light" w:eastAsia="Times New Roman" w:hAnsi="Calibri Light" w:cs="Times New Roman"/>
      <w:szCs w:val="20"/>
      <w:lang w:eastAsia="en-AU"/>
    </w:rPr>
  </w:style>
  <w:style w:type="paragraph" w:customStyle="1" w:styleId="BoxBullet0">
    <w:name w:val="Box Bullet"/>
    <w:basedOn w:val="Normal"/>
    <w:rsid w:val="00883F8B"/>
    <w:pPr>
      <w:tabs>
        <w:tab w:val="num" w:pos="283"/>
      </w:tabs>
      <w:spacing w:before="0" w:after="220"/>
      <w:ind w:left="283" w:hanging="283"/>
    </w:pPr>
    <w:rPr>
      <w:rFonts w:ascii="Calibri" w:eastAsiaTheme="minorHAnsi" w:hAnsi="Calibri" w:cstheme="minorBidi"/>
      <w:color w:val="000000" w:themeColor="text1"/>
      <w:szCs w:val="22"/>
      <w:lang w:eastAsia="en-US"/>
    </w:rPr>
  </w:style>
  <w:style w:type="paragraph" w:styleId="NoSpacing">
    <w:name w:val="No Spacing"/>
    <w:link w:val="NoSpacingChar"/>
    <w:uiPriority w:val="1"/>
    <w:qFormat/>
    <w:rsid w:val="00883F8B"/>
    <w:pPr>
      <w:spacing w:after="0" w:line="240" w:lineRule="auto"/>
    </w:pPr>
  </w:style>
  <w:style w:type="character" w:customStyle="1" w:styleId="NoSpacingChar">
    <w:name w:val="No Spacing Char"/>
    <w:basedOn w:val="DefaultParagraphFont"/>
    <w:link w:val="NoSpacing"/>
    <w:uiPriority w:val="1"/>
    <w:rsid w:val="00883F8B"/>
  </w:style>
  <w:style w:type="character" w:customStyle="1" w:styleId="OutlineNumbered1Char">
    <w:name w:val="Outline Numbered 1 Char"/>
    <w:basedOn w:val="DefaultParagraphFont"/>
    <w:link w:val="OutlineNumbered1"/>
    <w:rsid w:val="00883F8B"/>
    <w:rPr>
      <w:rFonts w:ascii="Calibri Light" w:eastAsia="Times New Roman" w:hAnsi="Calibri Light" w:cs="Times New Roman"/>
      <w:szCs w:val="20"/>
      <w:lang w:eastAsia="en-AU"/>
    </w:rPr>
  </w:style>
  <w:style w:type="paragraph" w:customStyle="1" w:styleId="Default">
    <w:name w:val="Default"/>
    <w:rsid w:val="00883F8B"/>
    <w:pPr>
      <w:autoSpaceDE w:val="0"/>
      <w:autoSpaceDN w:val="0"/>
      <w:adjustRightInd w:val="0"/>
      <w:spacing w:after="0" w:line="240" w:lineRule="auto"/>
    </w:pPr>
    <w:rPr>
      <w:rFonts w:ascii="Century Gothic" w:hAnsi="Century Gothic" w:cs="Century Gothic"/>
      <w:color w:val="000000"/>
      <w:sz w:val="24"/>
      <w:szCs w:val="24"/>
    </w:rPr>
  </w:style>
  <w:style w:type="numbering" w:customStyle="1" w:styleId="AlphaParagraphList">
    <w:name w:val="Alpha Paragraph List"/>
    <w:uiPriority w:val="99"/>
    <w:rsid w:val="00394D7B"/>
    <w:pPr>
      <w:numPr>
        <w:numId w:val="1"/>
      </w:numPr>
    </w:pPr>
  </w:style>
  <w:style w:type="paragraph" w:customStyle="1" w:styleId="AppendixHeadingNotNumbered">
    <w:name w:val="Appendix Heading Not Numbered"/>
    <w:basedOn w:val="Normal"/>
    <w:rsid w:val="00394D7B"/>
    <w:pPr>
      <w:keepNext/>
      <w:numPr>
        <w:numId w:val="18"/>
      </w:numPr>
      <w:spacing w:before="480" w:after="320"/>
    </w:pPr>
    <w:rPr>
      <w:rFonts w:ascii="Arial" w:eastAsiaTheme="minorHAnsi" w:hAnsi="Arial" w:cstheme="minorBidi"/>
      <w:b/>
      <w:smallCaps/>
      <w:color w:val="003157"/>
      <w:sz w:val="32"/>
      <w:szCs w:val="28"/>
      <w:lang w:eastAsia="en-US"/>
    </w:rPr>
  </w:style>
  <w:style w:type="paragraph" w:customStyle="1" w:styleId="AppendixHeadingLevel2">
    <w:name w:val="Appendix Heading Level 2"/>
    <w:basedOn w:val="AppendixHeadingNotNumbered"/>
    <w:next w:val="Normal"/>
    <w:rsid w:val="00394D7B"/>
    <w:pPr>
      <w:numPr>
        <w:ilvl w:val="1"/>
      </w:numPr>
    </w:pPr>
  </w:style>
  <w:style w:type="paragraph" w:customStyle="1" w:styleId="AppendixHeadingLevel3">
    <w:name w:val="Appendix Heading Level 3"/>
    <w:basedOn w:val="Heading3"/>
    <w:next w:val="Normal"/>
    <w:rsid w:val="00394D7B"/>
    <w:pPr>
      <w:widowControl w:val="0"/>
      <w:numPr>
        <w:ilvl w:val="2"/>
        <w:numId w:val="18"/>
      </w:numPr>
      <w:tabs>
        <w:tab w:val="left" w:pos="0"/>
      </w:tabs>
      <w:adjustRightInd w:val="0"/>
      <w:spacing w:before="120" w:after="240" w:line="240" w:lineRule="auto"/>
      <w:textAlignment w:val="baseline"/>
    </w:pPr>
    <w:rPr>
      <w:rFonts w:ascii="Arial" w:hAnsi="Arial" w:cs="Times New Roman"/>
      <w:color w:val="003157"/>
      <w:kern w:val="0"/>
      <w:sz w:val="32"/>
      <w:szCs w:val="32"/>
      <w:lang w:val="en-US"/>
    </w:rPr>
  </w:style>
  <w:style w:type="paragraph" w:customStyle="1" w:styleId="AppendixHeadingLevel4">
    <w:name w:val="Appendix Heading Level 4"/>
    <w:basedOn w:val="Heading4"/>
    <w:next w:val="Normal"/>
    <w:rsid w:val="00394D7B"/>
    <w:pPr>
      <w:numPr>
        <w:ilvl w:val="3"/>
        <w:numId w:val="18"/>
      </w:numPr>
      <w:tabs>
        <w:tab w:val="left" w:pos="680"/>
      </w:tabs>
      <w:spacing w:before="120" w:after="120" w:line="240" w:lineRule="auto"/>
    </w:pPr>
    <w:rPr>
      <w:rFonts w:ascii="Calibri" w:eastAsiaTheme="minorHAnsi" w:hAnsi="Calibri" w:cs="Calibri"/>
      <w:b/>
      <w:i/>
      <w:color w:val="003157"/>
      <w:kern w:val="0"/>
      <w:sz w:val="22"/>
      <w:szCs w:val="22"/>
      <w:lang w:eastAsia="en-US"/>
    </w:rPr>
  </w:style>
  <w:style w:type="paragraph" w:styleId="NormalWeb">
    <w:name w:val="Normal (Web)"/>
    <w:basedOn w:val="Normal"/>
    <w:uiPriority w:val="99"/>
    <w:unhideWhenUsed/>
    <w:rsid w:val="00394D7B"/>
    <w:pPr>
      <w:spacing w:before="100" w:beforeAutospacing="1" w:after="100" w:afterAutospacing="1"/>
    </w:pPr>
    <w:rPr>
      <w:rFonts w:ascii="Times New Roman" w:hAnsi="Times New Roman"/>
      <w:sz w:val="24"/>
      <w:szCs w:val="24"/>
    </w:rPr>
  </w:style>
  <w:style w:type="table" w:styleId="ListTable3-Accent2">
    <w:name w:val="List Table 3 Accent 2"/>
    <w:basedOn w:val="TableNormal"/>
    <w:uiPriority w:val="48"/>
    <w:rsid w:val="005861F3"/>
    <w:pPr>
      <w:spacing w:after="0" w:line="240" w:lineRule="auto"/>
    </w:pPr>
    <w:tblPr>
      <w:tblStyleRowBandSize w:val="1"/>
      <w:tblStyleColBandSize w:val="1"/>
      <w:tblBorders>
        <w:top w:val="single" w:sz="4" w:space="0" w:color="4D7861" w:themeColor="accent2"/>
        <w:left w:val="single" w:sz="4" w:space="0" w:color="4D7861" w:themeColor="accent2"/>
        <w:bottom w:val="single" w:sz="4" w:space="0" w:color="4D7861" w:themeColor="accent2"/>
        <w:right w:val="single" w:sz="4" w:space="0" w:color="4D7861" w:themeColor="accent2"/>
      </w:tblBorders>
    </w:tblPr>
    <w:tblStylePr w:type="firstRow">
      <w:rPr>
        <w:b/>
        <w:bCs/>
        <w:color w:val="FFFFFF" w:themeColor="background1"/>
      </w:rPr>
      <w:tblPr/>
      <w:tcPr>
        <w:shd w:val="clear" w:color="auto" w:fill="4D7861" w:themeFill="accent2"/>
      </w:tcPr>
    </w:tblStylePr>
    <w:tblStylePr w:type="lastRow">
      <w:rPr>
        <w:b/>
        <w:bCs/>
      </w:rPr>
      <w:tblPr/>
      <w:tcPr>
        <w:tcBorders>
          <w:top w:val="double" w:sz="4" w:space="0" w:color="4D786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861" w:themeColor="accent2"/>
          <w:right w:val="single" w:sz="4" w:space="0" w:color="4D7861" w:themeColor="accent2"/>
        </w:tcBorders>
      </w:tcPr>
    </w:tblStylePr>
    <w:tblStylePr w:type="band1Horz">
      <w:tblPr/>
      <w:tcPr>
        <w:tcBorders>
          <w:top w:val="single" w:sz="4" w:space="0" w:color="4D7861" w:themeColor="accent2"/>
          <w:bottom w:val="single" w:sz="4" w:space="0" w:color="4D786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861" w:themeColor="accent2"/>
          <w:left w:val="nil"/>
        </w:tcBorders>
      </w:tcPr>
    </w:tblStylePr>
    <w:tblStylePr w:type="swCell">
      <w:tblPr/>
      <w:tcPr>
        <w:tcBorders>
          <w:top w:val="double" w:sz="4" w:space="0" w:color="4D7861" w:themeColor="accent2"/>
          <w:right w:val="nil"/>
        </w:tcBorders>
      </w:tcPr>
    </w:tblStylePr>
  </w:style>
  <w:style w:type="paragraph" w:customStyle="1" w:styleId="paragraph">
    <w:name w:val="paragraph"/>
    <w:aliases w:val="a"/>
    <w:basedOn w:val="Normal"/>
    <w:link w:val="paragraphChar"/>
    <w:rsid w:val="004B554D"/>
    <w:pPr>
      <w:tabs>
        <w:tab w:val="right" w:pos="1531"/>
      </w:tabs>
      <w:spacing w:before="40" w:after="0"/>
      <w:ind w:left="1644" w:hanging="1644"/>
    </w:pPr>
    <w:rPr>
      <w:rFonts w:ascii="Times New Roman" w:hAnsi="Times New Roman"/>
    </w:rPr>
  </w:style>
  <w:style w:type="character" w:customStyle="1" w:styleId="paragraphChar">
    <w:name w:val="paragraph Char"/>
    <w:aliases w:val="a Char"/>
    <w:basedOn w:val="DefaultParagraphFont"/>
    <w:link w:val="paragraph"/>
    <w:locked/>
    <w:rsid w:val="004B554D"/>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394390"/>
    <w:rPr>
      <w:b/>
      <w:bCs/>
    </w:rPr>
  </w:style>
  <w:style w:type="character" w:customStyle="1" w:styleId="CommentSubjectChar">
    <w:name w:val="Comment Subject Char"/>
    <w:basedOn w:val="CommentTextChar"/>
    <w:link w:val="CommentSubject"/>
    <w:uiPriority w:val="99"/>
    <w:semiHidden/>
    <w:rsid w:val="00394390"/>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82322E"/>
    <w:rPr>
      <w:color w:val="2B579A"/>
      <w:shd w:val="clear" w:color="auto" w:fill="E1DFDD"/>
    </w:rPr>
  </w:style>
  <w:style w:type="paragraph" w:styleId="EndnoteText">
    <w:name w:val="endnote text"/>
    <w:basedOn w:val="Normal"/>
    <w:link w:val="EndnoteTextChar"/>
    <w:uiPriority w:val="99"/>
    <w:semiHidden/>
    <w:unhideWhenUsed/>
    <w:rsid w:val="00370F43"/>
    <w:pPr>
      <w:spacing w:before="0" w:after="0"/>
    </w:pPr>
    <w:rPr>
      <w:sz w:val="20"/>
    </w:rPr>
  </w:style>
  <w:style w:type="character" w:customStyle="1" w:styleId="EndnoteTextChar">
    <w:name w:val="Endnote Text Char"/>
    <w:basedOn w:val="DefaultParagraphFont"/>
    <w:link w:val="EndnoteText"/>
    <w:uiPriority w:val="99"/>
    <w:semiHidden/>
    <w:rsid w:val="00370F43"/>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370F43"/>
    <w:rPr>
      <w:vertAlign w:val="superscript"/>
    </w:rPr>
  </w:style>
  <w:style w:type="character" w:customStyle="1" w:styleId="normaltextrun">
    <w:name w:val="normaltextrun"/>
    <w:basedOn w:val="DefaultParagraphFont"/>
    <w:rsid w:val="00C83AC5"/>
  </w:style>
  <w:style w:type="paragraph" w:customStyle="1" w:styleId="BoxDash0">
    <w:name w:val="Box Dash"/>
    <w:basedOn w:val="Normal"/>
    <w:rsid w:val="00C377BF"/>
    <w:pPr>
      <w:tabs>
        <w:tab w:val="num" w:pos="567"/>
      </w:tabs>
      <w:spacing w:before="0" w:after="220"/>
      <w:ind w:left="567" w:hanging="284"/>
    </w:pPr>
    <w:rPr>
      <w:rFonts w:ascii="Calibri" w:eastAsiaTheme="minorHAnsi" w:hAnsi="Calibri" w:cstheme="minorBidi"/>
      <w:color w:val="000000" w:themeColor="text1"/>
      <w:szCs w:val="22"/>
      <w:lang w:eastAsia="en-US"/>
    </w:rPr>
  </w:style>
  <w:style w:type="paragraph" w:customStyle="1" w:styleId="BoxDoubleDot0">
    <w:name w:val="Box Double Dot"/>
    <w:basedOn w:val="Normal"/>
    <w:rsid w:val="00C377BF"/>
    <w:pPr>
      <w:tabs>
        <w:tab w:val="num" w:pos="850"/>
      </w:tabs>
      <w:spacing w:before="0" w:after="220"/>
      <w:ind w:left="850" w:hanging="283"/>
    </w:pPr>
    <w:rPr>
      <w:rFonts w:ascii="Calibri" w:eastAsiaTheme="minorHAnsi" w:hAnsi="Calibri" w:cstheme="minorBidi"/>
      <w:color w:val="000000" w:themeColor="text1"/>
      <w:szCs w:val="22"/>
      <w:lang w:eastAsia="en-US"/>
    </w:rPr>
  </w:style>
  <w:style w:type="paragraph" w:styleId="NormalIndent">
    <w:name w:val="Normal Indent"/>
    <w:basedOn w:val="Normal"/>
    <w:rsid w:val="002C39EF"/>
    <w:pPr>
      <w:spacing w:before="0" w:after="220"/>
      <w:ind w:left="567"/>
    </w:pPr>
    <w:rPr>
      <w:rFonts w:ascii="Calibri" w:eastAsiaTheme="minorHAnsi" w:hAnsi="Calibri" w:cs="Calibri"/>
      <w:color w:val="000000" w:themeColor="text1"/>
      <w:szCs w:val="22"/>
      <w:lang w:eastAsia="en-US"/>
    </w:rPr>
  </w:style>
  <w:style w:type="character" w:styleId="FollowedHyperlink">
    <w:name w:val="FollowedHyperlink"/>
    <w:basedOn w:val="DefaultParagraphFont"/>
    <w:uiPriority w:val="99"/>
    <w:semiHidden/>
    <w:unhideWhenUsed/>
    <w:rsid w:val="009C70E2"/>
    <w:rPr>
      <w:color w:val="844D9E" w:themeColor="followedHyperlink"/>
      <w:u w:val="single"/>
    </w:rPr>
  </w:style>
  <w:style w:type="paragraph" w:styleId="ListBullet4">
    <w:name w:val="List Bullet 4"/>
    <w:basedOn w:val="Normal"/>
    <w:uiPriority w:val="99"/>
    <w:unhideWhenUsed/>
    <w:rsid w:val="005F4C6B"/>
    <w:pPr>
      <w:numPr>
        <w:numId w:val="2"/>
      </w:numPr>
      <w:spacing w:before="0" w:after="220"/>
      <w:contextualSpacing/>
    </w:pPr>
    <w:rPr>
      <w:rFonts w:ascii="Calibri" w:eastAsiaTheme="minorHAnsi" w:hAnsi="Calibri" w:cstheme="minorBidi"/>
      <w:color w:val="000000" w:themeColor="text1"/>
      <w:szCs w:val="22"/>
      <w:lang w:eastAsia="en-US"/>
    </w:rPr>
  </w:style>
  <w:style w:type="table" w:customStyle="1" w:styleId="TableGrid1">
    <w:name w:val="Table Grid1"/>
    <w:basedOn w:val="TableNormal"/>
    <w:next w:val="TableGrid"/>
    <w:uiPriority w:val="39"/>
    <w:rsid w:val="00581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DefaultParagraphFont"/>
    <w:rsid w:val="00857B92"/>
  </w:style>
  <w:style w:type="numbering" w:customStyle="1" w:styleId="AlphaParagraphList1">
    <w:name w:val="Alpha Paragraph List1"/>
    <w:uiPriority w:val="99"/>
    <w:rsid w:val="00857B92"/>
    <w:pPr>
      <w:numPr>
        <w:numId w:val="39"/>
      </w:numPr>
    </w:pPr>
  </w:style>
  <w:style w:type="paragraph" w:styleId="Revision">
    <w:name w:val="Revision"/>
    <w:hidden/>
    <w:uiPriority w:val="99"/>
    <w:semiHidden/>
    <w:rsid w:val="00857B92"/>
    <w:pPr>
      <w:spacing w:after="0" w:line="240" w:lineRule="auto"/>
    </w:pPr>
    <w:rPr>
      <w:rFonts w:ascii="Calibri Light" w:eastAsia="Times New Roman" w:hAnsi="Calibri Light" w:cs="Times New Roman"/>
      <w:szCs w:val="20"/>
      <w:lang w:eastAsia="en-AU"/>
    </w:rPr>
  </w:style>
  <w:style w:type="table" w:customStyle="1" w:styleId="TableGridLight1">
    <w:name w:val="Table Grid Light1"/>
    <w:basedOn w:val="TableNormal"/>
    <w:next w:val="TableGridLight"/>
    <w:uiPriority w:val="40"/>
    <w:rsid w:val="003D60EA"/>
    <w:pPr>
      <w:spacing w:after="0" w:line="240" w:lineRule="auto"/>
    </w:pPr>
    <w:rPr>
      <w:rFonts w:ascii="Times New Roman" w:eastAsia="Times New Roman" w:hAnsi="Times New Roman" w:cs="Times New Roman"/>
      <w:sz w:val="20"/>
      <w:szCs w:val="20"/>
      <w:lang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OutlineNumbered4">
    <w:name w:val="Outline Numbered 4"/>
    <w:basedOn w:val="Normal"/>
    <w:rsid w:val="00E83651"/>
    <w:pPr>
      <w:tabs>
        <w:tab w:val="num" w:pos="851"/>
      </w:tabs>
      <w:spacing w:line="276" w:lineRule="auto"/>
      <w:ind w:left="851" w:hanging="851"/>
    </w:pPr>
    <w:rPr>
      <w:rFonts w:ascii="Calibri" w:hAnsi="Calibri"/>
      <w:color w:val="000000"/>
    </w:rPr>
  </w:style>
  <w:style w:type="paragraph" w:customStyle="1" w:styleId="OutlineNumbered5">
    <w:name w:val="Outline Numbered 5"/>
    <w:basedOn w:val="Normal"/>
    <w:rsid w:val="00E83651"/>
    <w:pPr>
      <w:tabs>
        <w:tab w:val="num" w:pos="1008"/>
      </w:tabs>
      <w:spacing w:line="276" w:lineRule="auto"/>
      <w:ind w:left="1008" w:hanging="1008"/>
    </w:pPr>
    <w:rPr>
      <w:rFonts w:ascii="Calibri" w:hAnsi="Calibri"/>
      <w:color w:val="000000"/>
    </w:rPr>
  </w:style>
  <w:style w:type="character" w:styleId="Emphasis">
    <w:name w:val="Emphasis"/>
    <w:basedOn w:val="DefaultParagraphFont"/>
    <w:uiPriority w:val="20"/>
    <w:qFormat/>
    <w:rsid w:val="000430A5"/>
    <w:rPr>
      <w:i/>
      <w:iCs/>
    </w:rPr>
  </w:style>
  <w:style w:type="table" w:customStyle="1" w:styleId="TableGridLight2">
    <w:name w:val="Table Grid Light2"/>
    <w:basedOn w:val="TableNormal"/>
    <w:next w:val="TableGridLight"/>
    <w:uiPriority w:val="40"/>
    <w:rsid w:val="00F070B2"/>
    <w:pPr>
      <w:spacing w:after="0" w:line="240" w:lineRule="auto"/>
    </w:pPr>
    <w:rPr>
      <w:rFonts w:ascii="Times New Roman" w:eastAsia="Times New Roman" w:hAnsi="Times New Roma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280">
      <w:bodyDiv w:val="1"/>
      <w:marLeft w:val="0"/>
      <w:marRight w:val="0"/>
      <w:marTop w:val="0"/>
      <w:marBottom w:val="0"/>
      <w:divBdr>
        <w:top w:val="none" w:sz="0" w:space="0" w:color="auto"/>
        <w:left w:val="none" w:sz="0" w:space="0" w:color="auto"/>
        <w:bottom w:val="none" w:sz="0" w:space="0" w:color="auto"/>
        <w:right w:val="none" w:sz="0" w:space="0" w:color="auto"/>
      </w:divBdr>
    </w:div>
    <w:div w:id="167259825">
      <w:bodyDiv w:val="1"/>
      <w:marLeft w:val="0"/>
      <w:marRight w:val="0"/>
      <w:marTop w:val="0"/>
      <w:marBottom w:val="0"/>
      <w:divBdr>
        <w:top w:val="none" w:sz="0" w:space="0" w:color="auto"/>
        <w:left w:val="none" w:sz="0" w:space="0" w:color="auto"/>
        <w:bottom w:val="none" w:sz="0" w:space="0" w:color="auto"/>
        <w:right w:val="none" w:sz="0" w:space="0" w:color="auto"/>
      </w:divBdr>
    </w:div>
    <w:div w:id="218978254">
      <w:bodyDiv w:val="1"/>
      <w:marLeft w:val="0"/>
      <w:marRight w:val="0"/>
      <w:marTop w:val="0"/>
      <w:marBottom w:val="0"/>
      <w:divBdr>
        <w:top w:val="none" w:sz="0" w:space="0" w:color="auto"/>
        <w:left w:val="none" w:sz="0" w:space="0" w:color="auto"/>
        <w:bottom w:val="none" w:sz="0" w:space="0" w:color="auto"/>
        <w:right w:val="none" w:sz="0" w:space="0" w:color="auto"/>
      </w:divBdr>
    </w:div>
    <w:div w:id="252400090">
      <w:bodyDiv w:val="1"/>
      <w:marLeft w:val="0"/>
      <w:marRight w:val="0"/>
      <w:marTop w:val="0"/>
      <w:marBottom w:val="0"/>
      <w:divBdr>
        <w:top w:val="none" w:sz="0" w:space="0" w:color="auto"/>
        <w:left w:val="none" w:sz="0" w:space="0" w:color="auto"/>
        <w:bottom w:val="none" w:sz="0" w:space="0" w:color="auto"/>
        <w:right w:val="none" w:sz="0" w:space="0" w:color="auto"/>
      </w:divBdr>
    </w:div>
    <w:div w:id="268775377">
      <w:bodyDiv w:val="1"/>
      <w:marLeft w:val="0"/>
      <w:marRight w:val="0"/>
      <w:marTop w:val="0"/>
      <w:marBottom w:val="0"/>
      <w:divBdr>
        <w:top w:val="none" w:sz="0" w:space="0" w:color="auto"/>
        <w:left w:val="none" w:sz="0" w:space="0" w:color="auto"/>
        <w:bottom w:val="none" w:sz="0" w:space="0" w:color="auto"/>
        <w:right w:val="none" w:sz="0" w:space="0" w:color="auto"/>
      </w:divBdr>
    </w:div>
    <w:div w:id="446630007">
      <w:bodyDiv w:val="1"/>
      <w:marLeft w:val="0"/>
      <w:marRight w:val="0"/>
      <w:marTop w:val="0"/>
      <w:marBottom w:val="0"/>
      <w:divBdr>
        <w:top w:val="none" w:sz="0" w:space="0" w:color="auto"/>
        <w:left w:val="none" w:sz="0" w:space="0" w:color="auto"/>
        <w:bottom w:val="none" w:sz="0" w:space="0" w:color="auto"/>
        <w:right w:val="none" w:sz="0" w:space="0" w:color="auto"/>
      </w:divBdr>
    </w:div>
    <w:div w:id="522016677">
      <w:bodyDiv w:val="1"/>
      <w:marLeft w:val="0"/>
      <w:marRight w:val="0"/>
      <w:marTop w:val="0"/>
      <w:marBottom w:val="0"/>
      <w:divBdr>
        <w:top w:val="none" w:sz="0" w:space="0" w:color="auto"/>
        <w:left w:val="none" w:sz="0" w:space="0" w:color="auto"/>
        <w:bottom w:val="none" w:sz="0" w:space="0" w:color="auto"/>
        <w:right w:val="none" w:sz="0" w:space="0" w:color="auto"/>
      </w:divBdr>
    </w:div>
    <w:div w:id="602690495">
      <w:bodyDiv w:val="1"/>
      <w:marLeft w:val="0"/>
      <w:marRight w:val="0"/>
      <w:marTop w:val="0"/>
      <w:marBottom w:val="0"/>
      <w:divBdr>
        <w:top w:val="none" w:sz="0" w:space="0" w:color="auto"/>
        <w:left w:val="none" w:sz="0" w:space="0" w:color="auto"/>
        <w:bottom w:val="none" w:sz="0" w:space="0" w:color="auto"/>
        <w:right w:val="none" w:sz="0" w:space="0" w:color="auto"/>
      </w:divBdr>
    </w:div>
    <w:div w:id="970555052">
      <w:bodyDiv w:val="1"/>
      <w:marLeft w:val="0"/>
      <w:marRight w:val="0"/>
      <w:marTop w:val="0"/>
      <w:marBottom w:val="0"/>
      <w:divBdr>
        <w:top w:val="none" w:sz="0" w:space="0" w:color="auto"/>
        <w:left w:val="none" w:sz="0" w:space="0" w:color="auto"/>
        <w:bottom w:val="none" w:sz="0" w:space="0" w:color="auto"/>
        <w:right w:val="none" w:sz="0" w:space="0" w:color="auto"/>
      </w:divBdr>
    </w:div>
    <w:div w:id="1000741447">
      <w:bodyDiv w:val="1"/>
      <w:marLeft w:val="0"/>
      <w:marRight w:val="0"/>
      <w:marTop w:val="0"/>
      <w:marBottom w:val="0"/>
      <w:divBdr>
        <w:top w:val="none" w:sz="0" w:space="0" w:color="auto"/>
        <w:left w:val="none" w:sz="0" w:space="0" w:color="auto"/>
        <w:bottom w:val="none" w:sz="0" w:space="0" w:color="auto"/>
        <w:right w:val="none" w:sz="0" w:space="0" w:color="auto"/>
      </w:divBdr>
    </w:div>
    <w:div w:id="1135370022">
      <w:bodyDiv w:val="1"/>
      <w:marLeft w:val="0"/>
      <w:marRight w:val="0"/>
      <w:marTop w:val="0"/>
      <w:marBottom w:val="0"/>
      <w:divBdr>
        <w:top w:val="none" w:sz="0" w:space="0" w:color="auto"/>
        <w:left w:val="none" w:sz="0" w:space="0" w:color="auto"/>
        <w:bottom w:val="none" w:sz="0" w:space="0" w:color="auto"/>
        <w:right w:val="none" w:sz="0" w:space="0" w:color="auto"/>
      </w:divBdr>
    </w:div>
    <w:div w:id="1394349194">
      <w:bodyDiv w:val="1"/>
      <w:marLeft w:val="0"/>
      <w:marRight w:val="0"/>
      <w:marTop w:val="0"/>
      <w:marBottom w:val="0"/>
      <w:divBdr>
        <w:top w:val="none" w:sz="0" w:space="0" w:color="auto"/>
        <w:left w:val="none" w:sz="0" w:space="0" w:color="auto"/>
        <w:bottom w:val="none" w:sz="0" w:space="0" w:color="auto"/>
        <w:right w:val="none" w:sz="0" w:space="0" w:color="auto"/>
      </w:divBdr>
    </w:div>
    <w:div w:id="1415055978">
      <w:bodyDiv w:val="1"/>
      <w:marLeft w:val="0"/>
      <w:marRight w:val="0"/>
      <w:marTop w:val="0"/>
      <w:marBottom w:val="0"/>
      <w:divBdr>
        <w:top w:val="none" w:sz="0" w:space="0" w:color="auto"/>
        <w:left w:val="none" w:sz="0" w:space="0" w:color="auto"/>
        <w:bottom w:val="none" w:sz="0" w:space="0" w:color="auto"/>
        <w:right w:val="none" w:sz="0" w:space="0" w:color="auto"/>
      </w:divBdr>
    </w:div>
    <w:div w:id="1477264977">
      <w:bodyDiv w:val="1"/>
      <w:marLeft w:val="0"/>
      <w:marRight w:val="0"/>
      <w:marTop w:val="0"/>
      <w:marBottom w:val="0"/>
      <w:divBdr>
        <w:top w:val="none" w:sz="0" w:space="0" w:color="auto"/>
        <w:left w:val="none" w:sz="0" w:space="0" w:color="auto"/>
        <w:bottom w:val="none" w:sz="0" w:space="0" w:color="auto"/>
        <w:right w:val="none" w:sz="0" w:space="0" w:color="auto"/>
      </w:divBdr>
    </w:div>
    <w:div w:id="1499542767">
      <w:bodyDiv w:val="1"/>
      <w:marLeft w:val="0"/>
      <w:marRight w:val="0"/>
      <w:marTop w:val="0"/>
      <w:marBottom w:val="0"/>
      <w:divBdr>
        <w:top w:val="none" w:sz="0" w:space="0" w:color="auto"/>
        <w:left w:val="none" w:sz="0" w:space="0" w:color="auto"/>
        <w:bottom w:val="none" w:sz="0" w:space="0" w:color="auto"/>
        <w:right w:val="none" w:sz="0" w:space="0" w:color="auto"/>
      </w:divBdr>
    </w:div>
    <w:div w:id="1556158179">
      <w:bodyDiv w:val="1"/>
      <w:marLeft w:val="0"/>
      <w:marRight w:val="0"/>
      <w:marTop w:val="0"/>
      <w:marBottom w:val="0"/>
      <w:divBdr>
        <w:top w:val="none" w:sz="0" w:space="0" w:color="auto"/>
        <w:left w:val="none" w:sz="0" w:space="0" w:color="auto"/>
        <w:bottom w:val="none" w:sz="0" w:space="0" w:color="auto"/>
        <w:right w:val="none" w:sz="0" w:space="0" w:color="auto"/>
      </w:divBdr>
    </w:div>
    <w:div w:id="1630167062">
      <w:bodyDiv w:val="1"/>
      <w:marLeft w:val="0"/>
      <w:marRight w:val="0"/>
      <w:marTop w:val="0"/>
      <w:marBottom w:val="0"/>
      <w:divBdr>
        <w:top w:val="none" w:sz="0" w:space="0" w:color="auto"/>
        <w:left w:val="none" w:sz="0" w:space="0" w:color="auto"/>
        <w:bottom w:val="none" w:sz="0" w:space="0" w:color="auto"/>
        <w:right w:val="none" w:sz="0" w:space="0" w:color="auto"/>
      </w:divBdr>
    </w:div>
    <w:div w:id="1770348168">
      <w:bodyDiv w:val="1"/>
      <w:marLeft w:val="0"/>
      <w:marRight w:val="0"/>
      <w:marTop w:val="0"/>
      <w:marBottom w:val="0"/>
      <w:divBdr>
        <w:top w:val="none" w:sz="0" w:space="0" w:color="auto"/>
        <w:left w:val="none" w:sz="0" w:space="0" w:color="auto"/>
        <w:bottom w:val="none" w:sz="0" w:space="0" w:color="auto"/>
        <w:right w:val="none" w:sz="0" w:space="0" w:color="auto"/>
      </w:divBdr>
    </w:div>
    <w:div w:id="1799882947">
      <w:bodyDiv w:val="1"/>
      <w:marLeft w:val="0"/>
      <w:marRight w:val="0"/>
      <w:marTop w:val="0"/>
      <w:marBottom w:val="0"/>
      <w:divBdr>
        <w:top w:val="none" w:sz="0" w:space="0" w:color="auto"/>
        <w:left w:val="none" w:sz="0" w:space="0" w:color="auto"/>
        <w:bottom w:val="none" w:sz="0" w:space="0" w:color="auto"/>
        <w:right w:val="none" w:sz="0" w:space="0" w:color="auto"/>
      </w:divBdr>
    </w:div>
    <w:div w:id="1885557882">
      <w:bodyDiv w:val="1"/>
      <w:marLeft w:val="0"/>
      <w:marRight w:val="0"/>
      <w:marTop w:val="0"/>
      <w:marBottom w:val="0"/>
      <w:divBdr>
        <w:top w:val="none" w:sz="0" w:space="0" w:color="auto"/>
        <w:left w:val="none" w:sz="0" w:space="0" w:color="auto"/>
        <w:bottom w:val="none" w:sz="0" w:space="0" w:color="auto"/>
        <w:right w:val="none" w:sz="0" w:space="0" w:color="auto"/>
      </w:divBdr>
    </w:div>
    <w:div w:id="2024354814">
      <w:bodyDiv w:val="1"/>
      <w:marLeft w:val="0"/>
      <w:marRight w:val="0"/>
      <w:marTop w:val="0"/>
      <w:marBottom w:val="0"/>
      <w:divBdr>
        <w:top w:val="none" w:sz="0" w:space="0" w:color="auto"/>
        <w:left w:val="none" w:sz="0" w:space="0" w:color="auto"/>
        <w:bottom w:val="none" w:sz="0" w:space="0" w:color="auto"/>
        <w:right w:val="none" w:sz="0" w:space="0" w:color="auto"/>
      </w:divBdr>
    </w:div>
    <w:div w:id="203981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creativecommons.org/licenses/by/3.0/au/legalcode"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pmc.gov.au/government/commonwealth-coat-arm"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reativecommons.org/licenses/by/3.0/au/deed.en"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creativecommons.org/licenses/by/3.0/au/deed.e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edia@treasury.gov.au" TargetMode="External"/><Relationship Id="rId27" Type="http://schemas.openxmlformats.org/officeDocument/2006/relationships/customXml" Target="ink/ink1.xml"/><Relationship Id="rId30" Type="http://schemas.openxmlformats.org/officeDocument/2006/relationships/footer" Target="footer7.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finance.gov.au/publications/resource-management-guides/australian-government-cost-recovery-guidelines-rmg-304" TargetMode="External"/><Relationship Id="rId2" Type="http://schemas.openxmlformats.org/officeDocument/2006/relationships/hyperlink" Target="https://www.legislation.gov.au/Details/F2018L00965/Explanatory%20Statement/Text" TargetMode="External"/><Relationship Id="rId1" Type="http://schemas.openxmlformats.org/officeDocument/2006/relationships/hyperlink" Target="https://archive.budget.gov.au/2021-22/myefo/download/myefo-2021-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documenttasks/documenttasks1.xml><?xml version="1.0" encoding="utf-8"?>
<t:Tasks xmlns:t="http://schemas.microsoft.com/office/tasks/2019/documenttasks" xmlns:oel="http://schemas.microsoft.com/office/2019/extlst">
  <t:Task id="{7EEB3F76-AFB7-4D1A-9CF7-B77948DFCA1A}">
    <t:Anchor>
      <t:Comment id="647121120"/>
    </t:Anchor>
    <t:History>
      <t:Event id="{F1BD1431-0D20-4E56-87D8-386D0B470B46}" time="2022-08-01T02:58:17.583Z">
        <t:Attribution userId="S::christine.richmond@treasury.gov.au::f96a7195-ba20-4dc0-b701-f41f79f09e92" userProvider="AD" userName="Richmond, Christine"/>
        <t:Anchor>
          <t:Comment id="917138533"/>
        </t:Anchor>
        <t:Create/>
      </t:Event>
      <t:Event id="{50BB7227-5C81-4FD8-82FC-1A158AFA4FCD}" time="2022-08-01T02:58:17.583Z">
        <t:Attribution userId="S::christine.richmond@treasury.gov.au::f96a7195-ba20-4dc0-b701-f41f79f09e92" userProvider="AD" userName="Richmond, Christine"/>
        <t:Anchor>
          <t:Comment id="917138533"/>
        </t:Anchor>
        <t:Assign userId="S::Alesha.Bhan@TREASURY.GOV.AU::75a89d12-6f3a-445d-9a12-6322a61094dd" userProvider="AD" userName="Bhan, Alesha"/>
      </t:Event>
      <t:Event id="{D79275E0-F797-4890-95F0-AC4D0B75D77D}" time="2022-08-01T02:58:17.583Z">
        <t:Attribution userId="S::christine.richmond@treasury.gov.au::f96a7195-ba20-4dc0-b701-f41f79f09e92" userProvider="AD" userName="Richmond, Christine"/>
        <t:Anchor>
          <t:Comment id="917138533"/>
        </t:Anchor>
        <t:SetTitle title="@Bhan, Alesha Thanks Alesha, action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2B3DF202549C19F6F54A8E269BD61"/>
        <w:category>
          <w:name w:val="General"/>
          <w:gallery w:val="placeholder"/>
        </w:category>
        <w:types>
          <w:type w:val="bbPlcHdr"/>
        </w:types>
        <w:behaviors>
          <w:behavior w:val="content"/>
        </w:behaviors>
        <w:guid w:val="{2106CF4B-50A4-477E-822D-BD283E6F5F64}"/>
      </w:docPartPr>
      <w:docPartBody>
        <w:p w:rsidR="00087D50" w:rsidRDefault="005B4A61">
          <w:pPr>
            <w:pStyle w:val="BAC2B3DF202549C19F6F54A8E269BD61"/>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61"/>
    <w:rsid w:val="00006E1C"/>
    <w:rsid w:val="00031D11"/>
    <w:rsid w:val="00056560"/>
    <w:rsid w:val="00084F17"/>
    <w:rsid w:val="00087D50"/>
    <w:rsid w:val="00107112"/>
    <w:rsid w:val="00124741"/>
    <w:rsid w:val="001566CD"/>
    <w:rsid w:val="00174C27"/>
    <w:rsid w:val="001A58D5"/>
    <w:rsid w:val="0026736E"/>
    <w:rsid w:val="002A528A"/>
    <w:rsid w:val="002A61AF"/>
    <w:rsid w:val="002B09D9"/>
    <w:rsid w:val="002D3494"/>
    <w:rsid w:val="002F682D"/>
    <w:rsid w:val="002F7D17"/>
    <w:rsid w:val="0035214B"/>
    <w:rsid w:val="00363B87"/>
    <w:rsid w:val="00390C05"/>
    <w:rsid w:val="003A15A9"/>
    <w:rsid w:val="003A4CE5"/>
    <w:rsid w:val="003D57DF"/>
    <w:rsid w:val="003F6148"/>
    <w:rsid w:val="00402F6A"/>
    <w:rsid w:val="00452661"/>
    <w:rsid w:val="004D2906"/>
    <w:rsid w:val="004D487E"/>
    <w:rsid w:val="004E3782"/>
    <w:rsid w:val="005053DF"/>
    <w:rsid w:val="00510AA8"/>
    <w:rsid w:val="00527D80"/>
    <w:rsid w:val="00536FC1"/>
    <w:rsid w:val="00541F5C"/>
    <w:rsid w:val="00564E2B"/>
    <w:rsid w:val="00591595"/>
    <w:rsid w:val="005B4A61"/>
    <w:rsid w:val="005C6F37"/>
    <w:rsid w:val="00652F5C"/>
    <w:rsid w:val="00691A9F"/>
    <w:rsid w:val="00695F43"/>
    <w:rsid w:val="00721DE3"/>
    <w:rsid w:val="007268FC"/>
    <w:rsid w:val="007F2B58"/>
    <w:rsid w:val="0082097C"/>
    <w:rsid w:val="008251F8"/>
    <w:rsid w:val="0084002F"/>
    <w:rsid w:val="008530FE"/>
    <w:rsid w:val="00925859"/>
    <w:rsid w:val="00931621"/>
    <w:rsid w:val="00943242"/>
    <w:rsid w:val="00955793"/>
    <w:rsid w:val="009610AC"/>
    <w:rsid w:val="009A51C6"/>
    <w:rsid w:val="009D4953"/>
    <w:rsid w:val="009D5B92"/>
    <w:rsid w:val="009E228C"/>
    <w:rsid w:val="009F25AF"/>
    <w:rsid w:val="00A03152"/>
    <w:rsid w:val="00A20338"/>
    <w:rsid w:val="00A268BC"/>
    <w:rsid w:val="00A47947"/>
    <w:rsid w:val="00A902FF"/>
    <w:rsid w:val="00AB5C97"/>
    <w:rsid w:val="00AC4FEF"/>
    <w:rsid w:val="00AD127D"/>
    <w:rsid w:val="00AF7DB0"/>
    <w:rsid w:val="00B96FE6"/>
    <w:rsid w:val="00C27C14"/>
    <w:rsid w:val="00C405BA"/>
    <w:rsid w:val="00CC2922"/>
    <w:rsid w:val="00D245DE"/>
    <w:rsid w:val="00D70E61"/>
    <w:rsid w:val="00DB3B91"/>
    <w:rsid w:val="00DC34D5"/>
    <w:rsid w:val="00E73916"/>
    <w:rsid w:val="00E862AA"/>
    <w:rsid w:val="00EA4705"/>
    <w:rsid w:val="00F811FE"/>
    <w:rsid w:val="00F9262C"/>
    <w:rsid w:val="00F92901"/>
    <w:rsid w:val="00FD66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C2B3DF202549C19F6F54A8E269BD61">
    <w:name w:val="BAC2B3DF202549C19F6F54A8E269B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27T06:00:55.49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48f371a4a874164b16a8c4aab488f5c xmlns="1f8041ad-64ca-41de-bfc0-ba1fe0a8cc07">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gfba5f33532c49208d2320ce38cc3c2b xmlns="1f8041ad-64ca-41de-bfc0-ba1fe0a8cc07">
      <Terms xmlns="http://schemas.microsoft.com/office/infopath/2007/PartnerControls">
        <TermInfo xmlns="http://schemas.microsoft.com/office/infopath/2007/PartnerControls">
          <TermName xmlns="http://schemas.microsoft.com/office/infopath/2007/PartnerControls">IFM Review</TermName>
          <TermId xmlns="http://schemas.microsoft.com/office/infopath/2007/PartnerControls">c37579ac-b23e-4bce-aa56-83e707812929</TermId>
        </TermInfo>
      </Terms>
    </gfba5f33532c49208d2320ce38cc3c2b>
    <kfc39f3e4e2747ae990d3c8bb74a5a64 xmlns="1f8041ad-64ca-41de-bfc0-ba1fe0a8cc07">
      <Terms xmlns="http://schemas.microsoft.com/office/infopath/2007/PartnerControls">
        <TermInfo xmlns="http://schemas.microsoft.com/office/infopath/2007/PartnerControls">
          <TermName xmlns="http://schemas.microsoft.com/office/infopath/2007/PartnerControls">Paper (Consultation or Discussion or Issues)</TermName>
          <TermId xmlns="http://schemas.microsoft.com/office/infopath/2007/PartnerControls">ed639160-ffef-47c5-861c-2e9391a33d9a</TermId>
        </TermInfo>
      </Terms>
    </kfc39f3e4e2747ae990d3c8bb74a5a64>
    <e4fe7dcdd1c0411bbf19a4de3665191f xmlns="1f8041ad-64ca-41de-bfc0-ba1fe0a8cc07">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TaxCatchAll xmlns="1f8041ad-64ca-41de-bfc0-ba1fe0a8cc07">
      <Value>55</Value>
      <Value>17</Value>
      <Value>52</Value>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8A3C7C6FFA2A4AA818F16641D3E1BD" ma:contentTypeVersion="53" ma:contentTypeDescription="Create a new document." ma:contentTypeScope="" ma:versionID="41d6e46904ea86d215cad50659745c2a">
  <xsd:schema xmlns:xsd="http://www.w3.org/2001/XMLSchema" xmlns:xs="http://www.w3.org/2001/XMLSchema" xmlns:p="http://schemas.microsoft.com/office/2006/metadata/properties" xmlns:ns2="1f8041ad-64ca-41de-bfc0-ba1fe0a8cc07" xmlns:ns3="85c77ee2-2d40-4926-9f67-89c948c9f7fa" targetNamespace="http://schemas.microsoft.com/office/2006/metadata/properties" ma:root="true" ma:fieldsID="5373170a4b86832030a5332cc8ab4328" ns2:_="" ns3:_="">
    <xsd:import namespace="1f8041ad-64ca-41de-bfc0-ba1fe0a8cc07"/>
    <xsd:import namespace="85c77ee2-2d40-4926-9f67-89c948c9f7fa"/>
    <xsd:element name="properties">
      <xsd:complexType>
        <xsd:sequence>
          <xsd:element name="documentManagement">
            <xsd:complexType>
              <xsd:all>
                <xsd:element ref="ns2:TaxCatchAll" minOccurs="0"/>
                <xsd:element ref="ns2:kfc39f3e4e2747ae990d3c8bb74a5a64" minOccurs="0"/>
                <xsd:element ref="ns2:a48f371a4a874164b16a8c4aab488f5c" minOccurs="0"/>
                <xsd:element ref="ns2:e4fe7dcdd1c0411bbf19a4de3665191f" minOccurs="0"/>
                <xsd:element ref="ns2:gfba5f33532c49208d2320ce38cc3c2b"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041ad-64ca-41de-bfc0-ba1fe0a8cc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b767f41-7608-4137-bb24-dba55d997f3f}" ma:internalName="TaxCatchAll" ma:showField="CatchAllData" ma:web="1f8041ad-64ca-41de-bfc0-ba1fe0a8cc07">
      <xsd:complexType>
        <xsd:complexContent>
          <xsd:extension base="dms:MultiChoiceLookup">
            <xsd:sequence>
              <xsd:element name="Value" type="dms:Lookup" maxOccurs="unbounded" minOccurs="0" nillable="true"/>
            </xsd:sequence>
          </xsd:extension>
        </xsd:complexContent>
      </xsd:complexType>
    </xsd:element>
    <xsd:element name="kfc39f3e4e2747ae990d3c8bb74a5a64" ma:index="9" ma:taxonomy="true" ma:internalName="kfc39f3e4e2747ae990d3c8bb74a5a64" ma:taxonomyFieldName="eDocumentType" ma:displayName="Document Type" ma:readOnly="false" ma:fieldId="{4fc39f3e-4e27-47ae-990d-3c8bb74a5a64}" ma:sspId="218240cd-c75f-40bd-87f4-262ac964b25b" ma:termSetId="b38273d8-f349-4175-b1b0-ee67dc19adcc" ma:anchorId="00000000-0000-0000-0000-000000000000" ma:open="false" ma:isKeyword="false">
      <xsd:complexType>
        <xsd:sequence>
          <xsd:element ref="pc:Terms" minOccurs="0" maxOccurs="1"/>
        </xsd:sequence>
      </xsd:complexType>
    </xsd:element>
    <xsd:element name="a48f371a4a874164b16a8c4aab488f5c" ma:index="11"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3" ma:taxonomy="true" ma:internalName="e4fe7dcdd1c0411bbf19a4de3665191f" ma:taxonomyFieldName="eActivity" ma:displayName="Activity" ma:readOnly="false" ma:fieldId="{e4fe7dcd-d1c0-411b-bf19-a4de3665191f}" ma:sspId="218240cd-c75f-40bd-87f4-262ac964b25b" ma:termSetId="9305b40a-f8f0-4ebf-9b7d-191d7aeb3104"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 ma:fieldId="{0fba5f33-532c-4920-8d23-20ce38cc3c2b}" ma:taxonomyMulti="true" ma:sspId="218240cd-c75f-40bd-87f4-262ac964b25b" ma:termSetId="0584b66e-a988-4e7c-8ad6-c29e6cbda699"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c77ee2-2d40-4926-9f67-89c948c9f7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071F8-6ECE-4A09-90A5-5FCF9CEB04CC}">
  <ds:schemaRefs>
    <ds:schemaRef ds:uri="http://purl.org/dc/elements/1.1/"/>
    <ds:schemaRef ds:uri="http://purl.org/dc/terms/"/>
    <ds:schemaRef ds:uri="http://purl.org/dc/dcmitype/"/>
    <ds:schemaRef ds:uri="http://schemas.microsoft.com/office/2006/metadata/properties"/>
    <ds:schemaRef ds:uri="85c77ee2-2d40-4926-9f67-89c948c9f7fa"/>
    <ds:schemaRef ds:uri="http://schemas.microsoft.com/office/2006/documentManagement/types"/>
    <ds:schemaRef ds:uri="http://schemas.openxmlformats.org/package/2006/metadata/core-properties"/>
    <ds:schemaRef ds:uri="http://schemas.microsoft.com/office/infopath/2007/PartnerControls"/>
    <ds:schemaRef ds:uri="1f8041ad-64ca-41de-bfc0-ba1fe0a8cc07"/>
    <ds:schemaRef ds:uri="http://www.w3.org/XML/1998/namespace"/>
  </ds:schemaRefs>
</ds:datastoreItem>
</file>

<file path=customXml/itemProps2.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3.xml><?xml version="1.0" encoding="utf-8"?>
<ds:datastoreItem xmlns:ds="http://schemas.openxmlformats.org/officeDocument/2006/customXml" ds:itemID="{C476081C-22AA-4E90-9951-986B4E9D19B4}">
  <ds:schemaRefs>
    <ds:schemaRef ds:uri="http://schemas.microsoft.com/sharepoint/v3/contenttype/forms"/>
  </ds:schemaRefs>
</ds:datastoreItem>
</file>

<file path=customXml/itemProps4.xml><?xml version="1.0" encoding="utf-8"?>
<ds:datastoreItem xmlns:ds="http://schemas.openxmlformats.org/officeDocument/2006/customXml" ds:itemID="{26F6AB7F-14AA-42C6-8137-44FB1A3BA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041ad-64ca-41de-bfc0-ba1fe0a8cc07"/>
    <ds:schemaRef ds:uri="85c77ee2-2d40-4926-9f67-89c948c9f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2</TotalTime>
  <Pages>43</Pages>
  <Words>21340</Words>
  <Characters>119222</Characters>
  <Application>Microsoft Office Word</Application>
  <DocSecurity>0</DocSecurity>
  <Lines>2257</Lines>
  <Paragraphs>999</Paragraphs>
  <ScaleCrop>false</ScaleCrop>
  <HeadingPairs>
    <vt:vector size="2" baseType="variant">
      <vt:variant>
        <vt:lpstr>Title</vt:lpstr>
      </vt:variant>
      <vt:variant>
        <vt:i4>1</vt:i4>
      </vt:variant>
    </vt:vector>
  </HeadingPairs>
  <TitlesOfParts>
    <vt:vector size="1" baseType="lpstr">
      <vt:lpstr>Australian Securities and Investments Commission Industry Funding Model Review - Discussion Paper</vt:lpstr>
    </vt:vector>
  </TitlesOfParts>
  <Company>Australian Government - The Treasury</Company>
  <LinksUpToDate>false</LinksUpToDate>
  <CharactersWithSpaces>140036</CharactersWithSpaces>
  <SharedDoc>false</SharedDoc>
  <HLinks>
    <vt:vector size="444" baseType="variant">
      <vt:variant>
        <vt:i4>1376304</vt:i4>
      </vt:variant>
      <vt:variant>
        <vt:i4>389</vt:i4>
      </vt:variant>
      <vt:variant>
        <vt:i4>0</vt:i4>
      </vt:variant>
      <vt:variant>
        <vt:i4>5</vt:i4>
      </vt:variant>
      <vt:variant>
        <vt:lpwstr/>
      </vt:variant>
      <vt:variant>
        <vt:lpwstr>_Toc114214458</vt:lpwstr>
      </vt:variant>
      <vt:variant>
        <vt:i4>1376304</vt:i4>
      </vt:variant>
      <vt:variant>
        <vt:i4>383</vt:i4>
      </vt:variant>
      <vt:variant>
        <vt:i4>0</vt:i4>
      </vt:variant>
      <vt:variant>
        <vt:i4>5</vt:i4>
      </vt:variant>
      <vt:variant>
        <vt:lpwstr/>
      </vt:variant>
      <vt:variant>
        <vt:lpwstr>_Toc114214457</vt:lpwstr>
      </vt:variant>
      <vt:variant>
        <vt:i4>1376304</vt:i4>
      </vt:variant>
      <vt:variant>
        <vt:i4>377</vt:i4>
      </vt:variant>
      <vt:variant>
        <vt:i4>0</vt:i4>
      </vt:variant>
      <vt:variant>
        <vt:i4>5</vt:i4>
      </vt:variant>
      <vt:variant>
        <vt:lpwstr/>
      </vt:variant>
      <vt:variant>
        <vt:lpwstr>_Toc114214456</vt:lpwstr>
      </vt:variant>
      <vt:variant>
        <vt:i4>1376304</vt:i4>
      </vt:variant>
      <vt:variant>
        <vt:i4>371</vt:i4>
      </vt:variant>
      <vt:variant>
        <vt:i4>0</vt:i4>
      </vt:variant>
      <vt:variant>
        <vt:i4>5</vt:i4>
      </vt:variant>
      <vt:variant>
        <vt:lpwstr/>
      </vt:variant>
      <vt:variant>
        <vt:lpwstr>_Toc114214455</vt:lpwstr>
      </vt:variant>
      <vt:variant>
        <vt:i4>1376304</vt:i4>
      </vt:variant>
      <vt:variant>
        <vt:i4>365</vt:i4>
      </vt:variant>
      <vt:variant>
        <vt:i4>0</vt:i4>
      </vt:variant>
      <vt:variant>
        <vt:i4>5</vt:i4>
      </vt:variant>
      <vt:variant>
        <vt:lpwstr/>
      </vt:variant>
      <vt:variant>
        <vt:lpwstr>_Toc114214454</vt:lpwstr>
      </vt:variant>
      <vt:variant>
        <vt:i4>1376304</vt:i4>
      </vt:variant>
      <vt:variant>
        <vt:i4>359</vt:i4>
      </vt:variant>
      <vt:variant>
        <vt:i4>0</vt:i4>
      </vt:variant>
      <vt:variant>
        <vt:i4>5</vt:i4>
      </vt:variant>
      <vt:variant>
        <vt:lpwstr/>
      </vt:variant>
      <vt:variant>
        <vt:lpwstr>_Toc114214453</vt:lpwstr>
      </vt:variant>
      <vt:variant>
        <vt:i4>1376304</vt:i4>
      </vt:variant>
      <vt:variant>
        <vt:i4>353</vt:i4>
      </vt:variant>
      <vt:variant>
        <vt:i4>0</vt:i4>
      </vt:variant>
      <vt:variant>
        <vt:i4>5</vt:i4>
      </vt:variant>
      <vt:variant>
        <vt:lpwstr/>
      </vt:variant>
      <vt:variant>
        <vt:lpwstr>_Toc114214452</vt:lpwstr>
      </vt:variant>
      <vt:variant>
        <vt:i4>1376304</vt:i4>
      </vt:variant>
      <vt:variant>
        <vt:i4>347</vt:i4>
      </vt:variant>
      <vt:variant>
        <vt:i4>0</vt:i4>
      </vt:variant>
      <vt:variant>
        <vt:i4>5</vt:i4>
      </vt:variant>
      <vt:variant>
        <vt:lpwstr/>
      </vt:variant>
      <vt:variant>
        <vt:lpwstr>_Toc114214451</vt:lpwstr>
      </vt:variant>
      <vt:variant>
        <vt:i4>1376304</vt:i4>
      </vt:variant>
      <vt:variant>
        <vt:i4>341</vt:i4>
      </vt:variant>
      <vt:variant>
        <vt:i4>0</vt:i4>
      </vt:variant>
      <vt:variant>
        <vt:i4>5</vt:i4>
      </vt:variant>
      <vt:variant>
        <vt:lpwstr/>
      </vt:variant>
      <vt:variant>
        <vt:lpwstr>_Toc114214450</vt:lpwstr>
      </vt:variant>
      <vt:variant>
        <vt:i4>1310768</vt:i4>
      </vt:variant>
      <vt:variant>
        <vt:i4>335</vt:i4>
      </vt:variant>
      <vt:variant>
        <vt:i4>0</vt:i4>
      </vt:variant>
      <vt:variant>
        <vt:i4>5</vt:i4>
      </vt:variant>
      <vt:variant>
        <vt:lpwstr/>
      </vt:variant>
      <vt:variant>
        <vt:lpwstr>_Toc114214449</vt:lpwstr>
      </vt:variant>
      <vt:variant>
        <vt:i4>1310768</vt:i4>
      </vt:variant>
      <vt:variant>
        <vt:i4>329</vt:i4>
      </vt:variant>
      <vt:variant>
        <vt:i4>0</vt:i4>
      </vt:variant>
      <vt:variant>
        <vt:i4>5</vt:i4>
      </vt:variant>
      <vt:variant>
        <vt:lpwstr/>
      </vt:variant>
      <vt:variant>
        <vt:lpwstr>_Toc114214448</vt:lpwstr>
      </vt:variant>
      <vt:variant>
        <vt:i4>1310768</vt:i4>
      </vt:variant>
      <vt:variant>
        <vt:i4>323</vt:i4>
      </vt:variant>
      <vt:variant>
        <vt:i4>0</vt:i4>
      </vt:variant>
      <vt:variant>
        <vt:i4>5</vt:i4>
      </vt:variant>
      <vt:variant>
        <vt:lpwstr/>
      </vt:variant>
      <vt:variant>
        <vt:lpwstr>_Toc114214447</vt:lpwstr>
      </vt:variant>
      <vt:variant>
        <vt:i4>1310768</vt:i4>
      </vt:variant>
      <vt:variant>
        <vt:i4>317</vt:i4>
      </vt:variant>
      <vt:variant>
        <vt:i4>0</vt:i4>
      </vt:variant>
      <vt:variant>
        <vt:i4>5</vt:i4>
      </vt:variant>
      <vt:variant>
        <vt:lpwstr/>
      </vt:variant>
      <vt:variant>
        <vt:lpwstr>_Toc114214446</vt:lpwstr>
      </vt:variant>
      <vt:variant>
        <vt:i4>1310768</vt:i4>
      </vt:variant>
      <vt:variant>
        <vt:i4>311</vt:i4>
      </vt:variant>
      <vt:variant>
        <vt:i4>0</vt:i4>
      </vt:variant>
      <vt:variant>
        <vt:i4>5</vt:i4>
      </vt:variant>
      <vt:variant>
        <vt:lpwstr/>
      </vt:variant>
      <vt:variant>
        <vt:lpwstr>_Toc114214445</vt:lpwstr>
      </vt:variant>
      <vt:variant>
        <vt:i4>1310768</vt:i4>
      </vt:variant>
      <vt:variant>
        <vt:i4>305</vt:i4>
      </vt:variant>
      <vt:variant>
        <vt:i4>0</vt:i4>
      </vt:variant>
      <vt:variant>
        <vt:i4>5</vt:i4>
      </vt:variant>
      <vt:variant>
        <vt:lpwstr/>
      </vt:variant>
      <vt:variant>
        <vt:lpwstr>_Toc114214444</vt:lpwstr>
      </vt:variant>
      <vt:variant>
        <vt:i4>1310768</vt:i4>
      </vt:variant>
      <vt:variant>
        <vt:i4>299</vt:i4>
      </vt:variant>
      <vt:variant>
        <vt:i4>0</vt:i4>
      </vt:variant>
      <vt:variant>
        <vt:i4>5</vt:i4>
      </vt:variant>
      <vt:variant>
        <vt:lpwstr/>
      </vt:variant>
      <vt:variant>
        <vt:lpwstr>_Toc114214443</vt:lpwstr>
      </vt:variant>
      <vt:variant>
        <vt:i4>1310768</vt:i4>
      </vt:variant>
      <vt:variant>
        <vt:i4>293</vt:i4>
      </vt:variant>
      <vt:variant>
        <vt:i4>0</vt:i4>
      </vt:variant>
      <vt:variant>
        <vt:i4>5</vt:i4>
      </vt:variant>
      <vt:variant>
        <vt:lpwstr/>
      </vt:variant>
      <vt:variant>
        <vt:lpwstr>_Toc114214442</vt:lpwstr>
      </vt:variant>
      <vt:variant>
        <vt:i4>1310768</vt:i4>
      </vt:variant>
      <vt:variant>
        <vt:i4>287</vt:i4>
      </vt:variant>
      <vt:variant>
        <vt:i4>0</vt:i4>
      </vt:variant>
      <vt:variant>
        <vt:i4>5</vt:i4>
      </vt:variant>
      <vt:variant>
        <vt:lpwstr/>
      </vt:variant>
      <vt:variant>
        <vt:lpwstr>_Toc114214441</vt:lpwstr>
      </vt:variant>
      <vt:variant>
        <vt:i4>1310768</vt:i4>
      </vt:variant>
      <vt:variant>
        <vt:i4>281</vt:i4>
      </vt:variant>
      <vt:variant>
        <vt:i4>0</vt:i4>
      </vt:variant>
      <vt:variant>
        <vt:i4>5</vt:i4>
      </vt:variant>
      <vt:variant>
        <vt:lpwstr/>
      </vt:variant>
      <vt:variant>
        <vt:lpwstr>_Toc114214440</vt:lpwstr>
      </vt:variant>
      <vt:variant>
        <vt:i4>1245232</vt:i4>
      </vt:variant>
      <vt:variant>
        <vt:i4>275</vt:i4>
      </vt:variant>
      <vt:variant>
        <vt:i4>0</vt:i4>
      </vt:variant>
      <vt:variant>
        <vt:i4>5</vt:i4>
      </vt:variant>
      <vt:variant>
        <vt:lpwstr/>
      </vt:variant>
      <vt:variant>
        <vt:lpwstr>_Toc114214439</vt:lpwstr>
      </vt:variant>
      <vt:variant>
        <vt:i4>1245232</vt:i4>
      </vt:variant>
      <vt:variant>
        <vt:i4>269</vt:i4>
      </vt:variant>
      <vt:variant>
        <vt:i4>0</vt:i4>
      </vt:variant>
      <vt:variant>
        <vt:i4>5</vt:i4>
      </vt:variant>
      <vt:variant>
        <vt:lpwstr/>
      </vt:variant>
      <vt:variant>
        <vt:lpwstr>_Toc114214438</vt:lpwstr>
      </vt:variant>
      <vt:variant>
        <vt:i4>1245232</vt:i4>
      </vt:variant>
      <vt:variant>
        <vt:i4>263</vt:i4>
      </vt:variant>
      <vt:variant>
        <vt:i4>0</vt:i4>
      </vt:variant>
      <vt:variant>
        <vt:i4>5</vt:i4>
      </vt:variant>
      <vt:variant>
        <vt:lpwstr/>
      </vt:variant>
      <vt:variant>
        <vt:lpwstr>_Toc114214437</vt:lpwstr>
      </vt:variant>
      <vt:variant>
        <vt:i4>1245232</vt:i4>
      </vt:variant>
      <vt:variant>
        <vt:i4>257</vt:i4>
      </vt:variant>
      <vt:variant>
        <vt:i4>0</vt:i4>
      </vt:variant>
      <vt:variant>
        <vt:i4>5</vt:i4>
      </vt:variant>
      <vt:variant>
        <vt:lpwstr/>
      </vt:variant>
      <vt:variant>
        <vt:lpwstr>_Toc114214436</vt:lpwstr>
      </vt:variant>
      <vt:variant>
        <vt:i4>1245232</vt:i4>
      </vt:variant>
      <vt:variant>
        <vt:i4>251</vt:i4>
      </vt:variant>
      <vt:variant>
        <vt:i4>0</vt:i4>
      </vt:variant>
      <vt:variant>
        <vt:i4>5</vt:i4>
      </vt:variant>
      <vt:variant>
        <vt:lpwstr/>
      </vt:variant>
      <vt:variant>
        <vt:lpwstr>_Toc114214435</vt:lpwstr>
      </vt:variant>
      <vt:variant>
        <vt:i4>1245232</vt:i4>
      </vt:variant>
      <vt:variant>
        <vt:i4>245</vt:i4>
      </vt:variant>
      <vt:variant>
        <vt:i4>0</vt:i4>
      </vt:variant>
      <vt:variant>
        <vt:i4>5</vt:i4>
      </vt:variant>
      <vt:variant>
        <vt:lpwstr/>
      </vt:variant>
      <vt:variant>
        <vt:lpwstr>_Toc114214434</vt:lpwstr>
      </vt:variant>
      <vt:variant>
        <vt:i4>1245232</vt:i4>
      </vt:variant>
      <vt:variant>
        <vt:i4>239</vt:i4>
      </vt:variant>
      <vt:variant>
        <vt:i4>0</vt:i4>
      </vt:variant>
      <vt:variant>
        <vt:i4>5</vt:i4>
      </vt:variant>
      <vt:variant>
        <vt:lpwstr/>
      </vt:variant>
      <vt:variant>
        <vt:lpwstr>_Toc114214433</vt:lpwstr>
      </vt:variant>
      <vt:variant>
        <vt:i4>1245232</vt:i4>
      </vt:variant>
      <vt:variant>
        <vt:i4>233</vt:i4>
      </vt:variant>
      <vt:variant>
        <vt:i4>0</vt:i4>
      </vt:variant>
      <vt:variant>
        <vt:i4>5</vt:i4>
      </vt:variant>
      <vt:variant>
        <vt:lpwstr/>
      </vt:variant>
      <vt:variant>
        <vt:lpwstr>_Toc114214432</vt:lpwstr>
      </vt:variant>
      <vt:variant>
        <vt:i4>1245232</vt:i4>
      </vt:variant>
      <vt:variant>
        <vt:i4>227</vt:i4>
      </vt:variant>
      <vt:variant>
        <vt:i4>0</vt:i4>
      </vt:variant>
      <vt:variant>
        <vt:i4>5</vt:i4>
      </vt:variant>
      <vt:variant>
        <vt:lpwstr/>
      </vt:variant>
      <vt:variant>
        <vt:lpwstr>_Toc114214431</vt:lpwstr>
      </vt:variant>
      <vt:variant>
        <vt:i4>1245232</vt:i4>
      </vt:variant>
      <vt:variant>
        <vt:i4>221</vt:i4>
      </vt:variant>
      <vt:variant>
        <vt:i4>0</vt:i4>
      </vt:variant>
      <vt:variant>
        <vt:i4>5</vt:i4>
      </vt:variant>
      <vt:variant>
        <vt:lpwstr/>
      </vt:variant>
      <vt:variant>
        <vt:lpwstr>_Toc114214430</vt:lpwstr>
      </vt:variant>
      <vt:variant>
        <vt:i4>1179696</vt:i4>
      </vt:variant>
      <vt:variant>
        <vt:i4>215</vt:i4>
      </vt:variant>
      <vt:variant>
        <vt:i4>0</vt:i4>
      </vt:variant>
      <vt:variant>
        <vt:i4>5</vt:i4>
      </vt:variant>
      <vt:variant>
        <vt:lpwstr/>
      </vt:variant>
      <vt:variant>
        <vt:lpwstr>_Toc114214429</vt:lpwstr>
      </vt:variant>
      <vt:variant>
        <vt:i4>1179696</vt:i4>
      </vt:variant>
      <vt:variant>
        <vt:i4>209</vt:i4>
      </vt:variant>
      <vt:variant>
        <vt:i4>0</vt:i4>
      </vt:variant>
      <vt:variant>
        <vt:i4>5</vt:i4>
      </vt:variant>
      <vt:variant>
        <vt:lpwstr/>
      </vt:variant>
      <vt:variant>
        <vt:lpwstr>_Toc114214428</vt:lpwstr>
      </vt:variant>
      <vt:variant>
        <vt:i4>1179696</vt:i4>
      </vt:variant>
      <vt:variant>
        <vt:i4>203</vt:i4>
      </vt:variant>
      <vt:variant>
        <vt:i4>0</vt:i4>
      </vt:variant>
      <vt:variant>
        <vt:i4>5</vt:i4>
      </vt:variant>
      <vt:variant>
        <vt:lpwstr/>
      </vt:variant>
      <vt:variant>
        <vt:lpwstr>_Toc114214427</vt:lpwstr>
      </vt:variant>
      <vt:variant>
        <vt:i4>1179696</vt:i4>
      </vt:variant>
      <vt:variant>
        <vt:i4>197</vt:i4>
      </vt:variant>
      <vt:variant>
        <vt:i4>0</vt:i4>
      </vt:variant>
      <vt:variant>
        <vt:i4>5</vt:i4>
      </vt:variant>
      <vt:variant>
        <vt:lpwstr/>
      </vt:variant>
      <vt:variant>
        <vt:lpwstr>_Toc114214426</vt:lpwstr>
      </vt:variant>
      <vt:variant>
        <vt:i4>1179696</vt:i4>
      </vt:variant>
      <vt:variant>
        <vt:i4>191</vt:i4>
      </vt:variant>
      <vt:variant>
        <vt:i4>0</vt:i4>
      </vt:variant>
      <vt:variant>
        <vt:i4>5</vt:i4>
      </vt:variant>
      <vt:variant>
        <vt:lpwstr/>
      </vt:variant>
      <vt:variant>
        <vt:lpwstr>_Toc114214425</vt:lpwstr>
      </vt:variant>
      <vt:variant>
        <vt:i4>1179696</vt:i4>
      </vt:variant>
      <vt:variant>
        <vt:i4>185</vt:i4>
      </vt:variant>
      <vt:variant>
        <vt:i4>0</vt:i4>
      </vt:variant>
      <vt:variant>
        <vt:i4>5</vt:i4>
      </vt:variant>
      <vt:variant>
        <vt:lpwstr/>
      </vt:variant>
      <vt:variant>
        <vt:lpwstr>_Toc114214424</vt:lpwstr>
      </vt:variant>
      <vt:variant>
        <vt:i4>1179696</vt:i4>
      </vt:variant>
      <vt:variant>
        <vt:i4>179</vt:i4>
      </vt:variant>
      <vt:variant>
        <vt:i4>0</vt:i4>
      </vt:variant>
      <vt:variant>
        <vt:i4>5</vt:i4>
      </vt:variant>
      <vt:variant>
        <vt:lpwstr/>
      </vt:variant>
      <vt:variant>
        <vt:lpwstr>_Toc114214423</vt:lpwstr>
      </vt:variant>
      <vt:variant>
        <vt:i4>1179696</vt:i4>
      </vt:variant>
      <vt:variant>
        <vt:i4>173</vt:i4>
      </vt:variant>
      <vt:variant>
        <vt:i4>0</vt:i4>
      </vt:variant>
      <vt:variant>
        <vt:i4>5</vt:i4>
      </vt:variant>
      <vt:variant>
        <vt:lpwstr/>
      </vt:variant>
      <vt:variant>
        <vt:lpwstr>_Toc114214422</vt:lpwstr>
      </vt:variant>
      <vt:variant>
        <vt:i4>1179696</vt:i4>
      </vt:variant>
      <vt:variant>
        <vt:i4>167</vt:i4>
      </vt:variant>
      <vt:variant>
        <vt:i4>0</vt:i4>
      </vt:variant>
      <vt:variant>
        <vt:i4>5</vt:i4>
      </vt:variant>
      <vt:variant>
        <vt:lpwstr/>
      </vt:variant>
      <vt:variant>
        <vt:lpwstr>_Toc114214421</vt:lpwstr>
      </vt:variant>
      <vt:variant>
        <vt:i4>1179696</vt:i4>
      </vt:variant>
      <vt:variant>
        <vt:i4>161</vt:i4>
      </vt:variant>
      <vt:variant>
        <vt:i4>0</vt:i4>
      </vt:variant>
      <vt:variant>
        <vt:i4>5</vt:i4>
      </vt:variant>
      <vt:variant>
        <vt:lpwstr/>
      </vt:variant>
      <vt:variant>
        <vt:lpwstr>_Toc114214420</vt:lpwstr>
      </vt:variant>
      <vt:variant>
        <vt:i4>1114160</vt:i4>
      </vt:variant>
      <vt:variant>
        <vt:i4>155</vt:i4>
      </vt:variant>
      <vt:variant>
        <vt:i4>0</vt:i4>
      </vt:variant>
      <vt:variant>
        <vt:i4>5</vt:i4>
      </vt:variant>
      <vt:variant>
        <vt:lpwstr/>
      </vt:variant>
      <vt:variant>
        <vt:lpwstr>_Toc114214419</vt:lpwstr>
      </vt:variant>
      <vt:variant>
        <vt:i4>1114160</vt:i4>
      </vt:variant>
      <vt:variant>
        <vt:i4>149</vt:i4>
      </vt:variant>
      <vt:variant>
        <vt:i4>0</vt:i4>
      </vt:variant>
      <vt:variant>
        <vt:i4>5</vt:i4>
      </vt:variant>
      <vt:variant>
        <vt:lpwstr/>
      </vt:variant>
      <vt:variant>
        <vt:lpwstr>_Toc114214418</vt:lpwstr>
      </vt:variant>
      <vt:variant>
        <vt:i4>1114160</vt:i4>
      </vt:variant>
      <vt:variant>
        <vt:i4>143</vt:i4>
      </vt:variant>
      <vt:variant>
        <vt:i4>0</vt:i4>
      </vt:variant>
      <vt:variant>
        <vt:i4>5</vt:i4>
      </vt:variant>
      <vt:variant>
        <vt:lpwstr/>
      </vt:variant>
      <vt:variant>
        <vt:lpwstr>_Toc114214417</vt:lpwstr>
      </vt:variant>
      <vt:variant>
        <vt:i4>1114160</vt:i4>
      </vt:variant>
      <vt:variant>
        <vt:i4>137</vt:i4>
      </vt:variant>
      <vt:variant>
        <vt:i4>0</vt:i4>
      </vt:variant>
      <vt:variant>
        <vt:i4>5</vt:i4>
      </vt:variant>
      <vt:variant>
        <vt:lpwstr/>
      </vt:variant>
      <vt:variant>
        <vt:lpwstr>_Toc114214416</vt:lpwstr>
      </vt:variant>
      <vt:variant>
        <vt:i4>1114160</vt:i4>
      </vt:variant>
      <vt:variant>
        <vt:i4>131</vt:i4>
      </vt:variant>
      <vt:variant>
        <vt:i4>0</vt:i4>
      </vt:variant>
      <vt:variant>
        <vt:i4>5</vt:i4>
      </vt:variant>
      <vt:variant>
        <vt:lpwstr/>
      </vt:variant>
      <vt:variant>
        <vt:lpwstr>_Toc114214415</vt:lpwstr>
      </vt:variant>
      <vt:variant>
        <vt:i4>1114160</vt:i4>
      </vt:variant>
      <vt:variant>
        <vt:i4>125</vt:i4>
      </vt:variant>
      <vt:variant>
        <vt:i4>0</vt:i4>
      </vt:variant>
      <vt:variant>
        <vt:i4>5</vt:i4>
      </vt:variant>
      <vt:variant>
        <vt:lpwstr/>
      </vt:variant>
      <vt:variant>
        <vt:lpwstr>_Toc114214414</vt:lpwstr>
      </vt:variant>
      <vt:variant>
        <vt:i4>1114160</vt:i4>
      </vt:variant>
      <vt:variant>
        <vt:i4>119</vt:i4>
      </vt:variant>
      <vt:variant>
        <vt:i4>0</vt:i4>
      </vt:variant>
      <vt:variant>
        <vt:i4>5</vt:i4>
      </vt:variant>
      <vt:variant>
        <vt:lpwstr/>
      </vt:variant>
      <vt:variant>
        <vt:lpwstr>_Toc114214413</vt:lpwstr>
      </vt:variant>
      <vt:variant>
        <vt:i4>1114160</vt:i4>
      </vt:variant>
      <vt:variant>
        <vt:i4>113</vt:i4>
      </vt:variant>
      <vt:variant>
        <vt:i4>0</vt:i4>
      </vt:variant>
      <vt:variant>
        <vt:i4>5</vt:i4>
      </vt:variant>
      <vt:variant>
        <vt:lpwstr/>
      </vt:variant>
      <vt:variant>
        <vt:lpwstr>_Toc114214412</vt:lpwstr>
      </vt:variant>
      <vt:variant>
        <vt:i4>1114160</vt:i4>
      </vt:variant>
      <vt:variant>
        <vt:i4>107</vt:i4>
      </vt:variant>
      <vt:variant>
        <vt:i4>0</vt:i4>
      </vt:variant>
      <vt:variant>
        <vt:i4>5</vt:i4>
      </vt:variant>
      <vt:variant>
        <vt:lpwstr/>
      </vt:variant>
      <vt:variant>
        <vt:lpwstr>_Toc114214411</vt:lpwstr>
      </vt:variant>
      <vt:variant>
        <vt:i4>1114160</vt:i4>
      </vt:variant>
      <vt:variant>
        <vt:i4>101</vt:i4>
      </vt:variant>
      <vt:variant>
        <vt:i4>0</vt:i4>
      </vt:variant>
      <vt:variant>
        <vt:i4>5</vt:i4>
      </vt:variant>
      <vt:variant>
        <vt:lpwstr/>
      </vt:variant>
      <vt:variant>
        <vt:lpwstr>_Toc114214410</vt:lpwstr>
      </vt:variant>
      <vt:variant>
        <vt:i4>1048624</vt:i4>
      </vt:variant>
      <vt:variant>
        <vt:i4>95</vt:i4>
      </vt:variant>
      <vt:variant>
        <vt:i4>0</vt:i4>
      </vt:variant>
      <vt:variant>
        <vt:i4>5</vt:i4>
      </vt:variant>
      <vt:variant>
        <vt:lpwstr/>
      </vt:variant>
      <vt:variant>
        <vt:lpwstr>_Toc114214409</vt:lpwstr>
      </vt:variant>
      <vt:variant>
        <vt:i4>1048624</vt:i4>
      </vt:variant>
      <vt:variant>
        <vt:i4>89</vt:i4>
      </vt:variant>
      <vt:variant>
        <vt:i4>0</vt:i4>
      </vt:variant>
      <vt:variant>
        <vt:i4>5</vt:i4>
      </vt:variant>
      <vt:variant>
        <vt:lpwstr/>
      </vt:variant>
      <vt:variant>
        <vt:lpwstr>_Toc114214408</vt:lpwstr>
      </vt:variant>
      <vt:variant>
        <vt:i4>1048624</vt:i4>
      </vt:variant>
      <vt:variant>
        <vt:i4>83</vt:i4>
      </vt:variant>
      <vt:variant>
        <vt:i4>0</vt:i4>
      </vt:variant>
      <vt:variant>
        <vt:i4>5</vt:i4>
      </vt:variant>
      <vt:variant>
        <vt:lpwstr/>
      </vt:variant>
      <vt:variant>
        <vt:lpwstr>_Toc114214407</vt:lpwstr>
      </vt:variant>
      <vt:variant>
        <vt:i4>1048624</vt:i4>
      </vt:variant>
      <vt:variant>
        <vt:i4>77</vt:i4>
      </vt:variant>
      <vt:variant>
        <vt:i4>0</vt:i4>
      </vt:variant>
      <vt:variant>
        <vt:i4>5</vt:i4>
      </vt:variant>
      <vt:variant>
        <vt:lpwstr/>
      </vt:variant>
      <vt:variant>
        <vt:lpwstr>_Toc114214406</vt:lpwstr>
      </vt:variant>
      <vt:variant>
        <vt:i4>1048624</vt:i4>
      </vt:variant>
      <vt:variant>
        <vt:i4>71</vt:i4>
      </vt:variant>
      <vt:variant>
        <vt:i4>0</vt:i4>
      </vt:variant>
      <vt:variant>
        <vt:i4>5</vt:i4>
      </vt:variant>
      <vt:variant>
        <vt:lpwstr/>
      </vt:variant>
      <vt:variant>
        <vt:lpwstr>_Toc114214405</vt:lpwstr>
      </vt:variant>
      <vt:variant>
        <vt:i4>1048624</vt:i4>
      </vt:variant>
      <vt:variant>
        <vt:i4>65</vt:i4>
      </vt:variant>
      <vt:variant>
        <vt:i4>0</vt:i4>
      </vt:variant>
      <vt:variant>
        <vt:i4>5</vt:i4>
      </vt:variant>
      <vt:variant>
        <vt:lpwstr/>
      </vt:variant>
      <vt:variant>
        <vt:lpwstr>_Toc114214404</vt:lpwstr>
      </vt:variant>
      <vt:variant>
        <vt:i4>1048624</vt:i4>
      </vt:variant>
      <vt:variant>
        <vt:i4>59</vt:i4>
      </vt:variant>
      <vt:variant>
        <vt:i4>0</vt:i4>
      </vt:variant>
      <vt:variant>
        <vt:i4>5</vt:i4>
      </vt:variant>
      <vt:variant>
        <vt:lpwstr/>
      </vt:variant>
      <vt:variant>
        <vt:lpwstr>_Toc114214403</vt:lpwstr>
      </vt:variant>
      <vt:variant>
        <vt:i4>1048624</vt:i4>
      </vt:variant>
      <vt:variant>
        <vt:i4>53</vt:i4>
      </vt:variant>
      <vt:variant>
        <vt:i4>0</vt:i4>
      </vt:variant>
      <vt:variant>
        <vt:i4>5</vt:i4>
      </vt:variant>
      <vt:variant>
        <vt:lpwstr/>
      </vt:variant>
      <vt:variant>
        <vt:lpwstr>_Toc114214402</vt:lpwstr>
      </vt:variant>
      <vt:variant>
        <vt:i4>1048624</vt:i4>
      </vt:variant>
      <vt:variant>
        <vt:i4>47</vt:i4>
      </vt:variant>
      <vt:variant>
        <vt:i4>0</vt:i4>
      </vt:variant>
      <vt:variant>
        <vt:i4>5</vt:i4>
      </vt:variant>
      <vt:variant>
        <vt:lpwstr/>
      </vt:variant>
      <vt:variant>
        <vt:lpwstr>_Toc114214401</vt:lpwstr>
      </vt:variant>
      <vt:variant>
        <vt:i4>1048624</vt:i4>
      </vt:variant>
      <vt:variant>
        <vt:i4>41</vt:i4>
      </vt:variant>
      <vt:variant>
        <vt:i4>0</vt:i4>
      </vt:variant>
      <vt:variant>
        <vt:i4>5</vt:i4>
      </vt:variant>
      <vt:variant>
        <vt:lpwstr/>
      </vt:variant>
      <vt:variant>
        <vt:lpwstr>_Toc114214400</vt:lpwstr>
      </vt:variant>
      <vt:variant>
        <vt:i4>1638455</vt:i4>
      </vt:variant>
      <vt:variant>
        <vt:i4>35</vt:i4>
      </vt:variant>
      <vt:variant>
        <vt:i4>0</vt:i4>
      </vt:variant>
      <vt:variant>
        <vt:i4>5</vt:i4>
      </vt:variant>
      <vt:variant>
        <vt:lpwstr/>
      </vt:variant>
      <vt:variant>
        <vt:lpwstr>_Toc114214399</vt:lpwstr>
      </vt:variant>
      <vt:variant>
        <vt:i4>1638455</vt:i4>
      </vt:variant>
      <vt:variant>
        <vt:i4>29</vt:i4>
      </vt:variant>
      <vt:variant>
        <vt:i4>0</vt:i4>
      </vt:variant>
      <vt:variant>
        <vt:i4>5</vt:i4>
      </vt:variant>
      <vt:variant>
        <vt:lpwstr/>
      </vt:variant>
      <vt:variant>
        <vt:lpwstr>_Toc114214398</vt:lpwstr>
      </vt:variant>
      <vt:variant>
        <vt:i4>1638455</vt:i4>
      </vt:variant>
      <vt:variant>
        <vt:i4>23</vt:i4>
      </vt:variant>
      <vt:variant>
        <vt:i4>0</vt:i4>
      </vt:variant>
      <vt:variant>
        <vt:i4>5</vt:i4>
      </vt:variant>
      <vt:variant>
        <vt:lpwstr/>
      </vt:variant>
      <vt:variant>
        <vt:lpwstr>_Toc114214397</vt:lpwstr>
      </vt:variant>
      <vt:variant>
        <vt:i4>1638455</vt:i4>
      </vt:variant>
      <vt:variant>
        <vt:i4>17</vt:i4>
      </vt:variant>
      <vt:variant>
        <vt:i4>0</vt:i4>
      </vt:variant>
      <vt:variant>
        <vt:i4>5</vt:i4>
      </vt:variant>
      <vt:variant>
        <vt:lpwstr/>
      </vt:variant>
      <vt:variant>
        <vt:lpwstr>_Toc114214396</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1704011</vt:i4>
      </vt:variant>
      <vt:variant>
        <vt:i4>6</vt:i4>
      </vt:variant>
      <vt:variant>
        <vt:i4>0</vt:i4>
      </vt:variant>
      <vt:variant>
        <vt:i4>5</vt:i4>
      </vt:variant>
      <vt:variant>
        <vt:lpwstr>https://www.finance.gov.au/publications/resource-management-guides/australian-government-cost-recovery-guidelines-rmg-304</vt:lpwstr>
      </vt:variant>
      <vt:variant>
        <vt:lpwstr/>
      </vt:variant>
      <vt:variant>
        <vt:i4>1572885</vt:i4>
      </vt:variant>
      <vt:variant>
        <vt:i4>3</vt:i4>
      </vt:variant>
      <vt:variant>
        <vt:i4>0</vt:i4>
      </vt:variant>
      <vt:variant>
        <vt:i4>5</vt:i4>
      </vt:variant>
      <vt:variant>
        <vt:lpwstr>https://www.legislation.gov.au/Details/F2018L00965/Explanatory Statement/Text</vt:lpwstr>
      </vt:variant>
      <vt:variant>
        <vt:lpwstr/>
      </vt:variant>
      <vt:variant>
        <vt:i4>2228277</vt:i4>
      </vt:variant>
      <vt:variant>
        <vt:i4>0</vt:i4>
      </vt:variant>
      <vt:variant>
        <vt:i4>0</vt:i4>
      </vt:variant>
      <vt:variant>
        <vt:i4>5</vt:i4>
      </vt:variant>
      <vt:variant>
        <vt:lpwstr>https://archive.budget.gov.au/2021-22/myefo/download/myefo-2021-22.pdf</vt:lpwstr>
      </vt:variant>
      <vt:variant>
        <vt:lpwstr/>
      </vt:variant>
      <vt:variant>
        <vt:i4>2883608</vt:i4>
      </vt:variant>
      <vt:variant>
        <vt:i4>6</vt:i4>
      </vt:variant>
      <vt:variant>
        <vt:i4>0</vt:i4>
      </vt:variant>
      <vt:variant>
        <vt:i4>5</vt:i4>
      </vt:variant>
      <vt:variant>
        <vt:lpwstr>mailto:Alesha.Bhan@TREASURY.GOV.AU</vt:lpwstr>
      </vt:variant>
      <vt:variant>
        <vt:lpwstr/>
      </vt:variant>
      <vt:variant>
        <vt:i4>2883608</vt:i4>
      </vt:variant>
      <vt:variant>
        <vt:i4>3</vt:i4>
      </vt:variant>
      <vt:variant>
        <vt:i4>0</vt:i4>
      </vt:variant>
      <vt:variant>
        <vt:i4>5</vt:i4>
      </vt:variant>
      <vt:variant>
        <vt:lpwstr>mailto:Alesha.Bhan@TREASURY.GOV.AU</vt:lpwstr>
      </vt:variant>
      <vt:variant>
        <vt:lpwstr/>
      </vt:variant>
      <vt:variant>
        <vt:i4>2883608</vt:i4>
      </vt:variant>
      <vt:variant>
        <vt:i4>0</vt:i4>
      </vt:variant>
      <vt:variant>
        <vt:i4>0</vt:i4>
      </vt:variant>
      <vt:variant>
        <vt:i4>5</vt:i4>
      </vt:variant>
      <vt:variant>
        <vt:lpwstr>mailto:Alesha.Bhan@TREASURY.GOV.AU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Securities and Investments Commission Industry Funding Model Review - Discussion Paper</dc:title>
  <dc:subject/>
  <dc:creator>Treasury</dc:creator>
  <cp:keywords/>
  <dc:description/>
  <cp:lastModifiedBy>Hill, Christine</cp:lastModifiedBy>
  <cp:revision>3</cp:revision>
  <cp:lastPrinted>2022-09-20T05:52:00Z</cp:lastPrinted>
  <dcterms:created xsi:type="dcterms:W3CDTF">2022-09-28T04:09:00Z</dcterms:created>
  <dcterms:modified xsi:type="dcterms:W3CDTF">2022-09-28T04:37:00Z</dcterms:modified>
  <cp:category/>
</cp:coreProperties>
</file>