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59059" w14:textId="590A9847" w:rsidR="00E24AA1" w:rsidRDefault="00EA4556"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p>
    <w:p w14:paraId="036F8BF0" w14:textId="77777777" w:rsidR="00E24AA1" w:rsidRDefault="00E24AA1" w:rsidP="00E24AA1">
      <w:pPr>
        <w:pStyle w:val="Baseparagraphcentred"/>
      </w:pPr>
    </w:p>
    <w:p w14:paraId="6958355A" w14:textId="77777777" w:rsidR="00E24AA1" w:rsidRDefault="00E24AA1" w:rsidP="00E24AA1">
      <w:pPr>
        <w:pStyle w:val="Baseparagraphcentred"/>
      </w:pPr>
      <w:r>
        <w:t>THE PARLIAMENT OF THE COMMONWEALTH OF AUSTRALIA</w:t>
      </w:r>
    </w:p>
    <w:p w14:paraId="78039C40" w14:textId="77777777" w:rsidR="00E24AA1" w:rsidRDefault="00E24AA1" w:rsidP="00E24AA1">
      <w:pPr>
        <w:pStyle w:val="Baseparagraphcentred"/>
      </w:pPr>
    </w:p>
    <w:p w14:paraId="3D8E4C4B" w14:textId="77777777" w:rsidR="00E24AA1" w:rsidRDefault="00E24AA1" w:rsidP="00E24AA1">
      <w:pPr>
        <w:pStyle w:val="Baseparagraphcentred"/>
      </w:pPr>
    </w:p>
    <w:p w14:paraId="1711BBA1" w14:textId="77777777" w:rsidR="00E24AA1" w:rsidRDefault="00E24AA1" w:rsidP="00E24AA1">
      <w:pPr>
        <w:pStyle w:val="Baseparagraphcentred"/>
      </w:pPr>
    </w:p>
    <w:p w14:paraId="1E57D5EC" w14:textId="6159FD34" w:rsidR="00E24AA1" w:rsidRDefault="00F67C4B" w:rsidP="00E24AA1">
      <w:pPr>
        <w:pStyle w:val="Baseparagraphcentred"/>
      </w:pPr>
      <w:r>
        <w:t>HOUSE OF REPRESENTATIVES</w:t>
      </w:r>
    </w:p>
    <w:p w14:paraId="2AB68EAF" w14:textId="77777777" w:rsidR="00E24AA1" w:rsidRDefault="00E24AA1" w:rsidP="00E24AA1">
      <w:pPr>
        <w:pStyle w:val="Baseparagraphcentred"/>
      </w:pPr>
    </w:p>
    <w:p w14:paraId="388CA225" w14:textId="77777777" w:rsidR="00E24AA1" w:rsidRDefault="00E24AA1" w:rsidP="00E24AA1">
      <w:pPr>
        <w:pStyle w:val="Baseparagraphcentred"/>
      </w:pPr>
    </w:p>
    <w:p w14:paraId="063545BA" w14:textId="77777777" w:rsidR="00E24AA1" w:rsidRDefault="00E24AA1" w:rsidP="00E24AA1">
      <w:pPr>
        <w:pStyle w:val="Baseparagraphcentred"/>
        <w:pBdr>
          <w:bottom w:val="single" w:sz="4" w:space="1" w:color="auto"/>
        </w:pBdr>
      </w:pPr>
    </w:p>
    <w:p w14:paraId="44C0B3B5" w14:textId="4E109948" w:rsidR="00E24AA1" w:rsidRPr="00E24AA1" w:rsidRDefault="002D5986" w:rsidP="00E24AA1">
      <w:pPr>
        <w:pStyle w:val="BillName"/>
      </w:pPr>
      <w:bookmarkStart w:id="6" w:name="BillName"/>
      <w:bookmarkEnd w:id="6"/>
      <w:r>
        <w:t>treasury laws amendment Bill 2022: fbt record keeping</w:t>
      </w:r>
    </w:p>
    <w:p w14:paraId="2FBAF701" w14:textId="77777777" w:rsidR="00E24AA1" w:rsidRDefault="00E24AA1" w:rsidP="00E24AA1">
      <w:pPr>
        <w:pStyle w:val="Baseparagraphcentred"/>
        <w:pBdr>
          <w:top w:val="single" w:sz="4" w:space="1" w:color="auto"/>
        </w:pBdr>
      </w:pPr>
    </w:p>
    <w:p w14:paraId="32A2A972" w14:textId="77777777" w:rsidR="00E24AA1" w:rsidRDefault="00E24AA1" w:rsidP="00E24AA1">
      <w:pPr>
        <w:pStyle w:val="Baseparagraphcentred"/>
      </w:pPr>
    </w:p>
    <w:p w14:paraId="254B4A37" w14:textId="77777777" w:rsidR="00E24AA1" w:rsidRDefault="00E24AA1" w:rsidP="00E24AA1">
      <w:pPr>
        <w:pStyle w:val="Baseparagraphcentred"/>
      </w:pPr>
    </w:p>
    <w:p w14:paraId="546AE49D" w14:textId="77777777" w:rsidR="00E24AA1" w:rsidRDefault="00E24AA1" w:rsidP="00E24AA1">
      <w:pPr>
        <w:pStyle w:val="Baseparagraphcentred"/>
      </w:pPr>
    </w:p>
    <w:p w14:paraId="485B2961" w14:textId="77777777" w:rsidR="00285DF0" w:rsidRDefault="00285DF0" w:rsidP="00E24AA1">
      <w:pPr>
        <w:pStyle w:val="Baseparagraphcentred"/>
      </w:pPr>
      <w:r>
        <w:t>EXPOSURE DRAFT EXPLANATORY MATERIALS</w:t>
      </w:r>
    </w:p>
    <w:p w14:paraId="2E19ADB3" w14:textId="37796D19" w:rsidR="00E24AA1" w:rsidRDefault="00E24AA1" w:rsidP="00E24AA1">
      <w:pPr>
        <w:pStyle w:val="Baseparagraphcentred"/>
      </w:pPr>
    </w:p>
    <w:p w14:paraId="2A298352" w14:textId="77777777" w:rsidR="00E24AA1" w:rsidRDefault="00E24AA1" w:rsidP="00E24AA1">
      <w:pPr>
        <w:pStyle w:val="Baseparagraphcentred"/>
      </w:pPr>
    </w:p>
    <w:p w14:paraId="159FABB8" w14:textId="77777777" w:rsidR="00E24AA1" w:rsidRDefault="00E24AA1" w:rsidP="00E24AA1">
      <w:pPr>
        <w:pStyle w:val="ParaCentredNoSpacing"/>
      </w:pPr>
    </w:p>
    <w:p w14:paraId="298B7DE6" w14:textId="77777777" w:rsidR="00E24AA1" w:rsidRPr="00967273" w:rsidRDefault="00E24AA1" w:rsidP="00E24AA1">
      <w:pPr>
        <w:pStyle w:val="Normalparatextnonumbers"/>
        <w:jc w:val="center"/>
        <w:rPr>
          <w:rFonts w:cs="Calibri"/>
          <w:color w:val="000000" w:themeColor="text1"/>
        </w:rPr>
      </w:pPr>
    </w:p>
    <w:p w14:paraId="5A7A5065" w14:textId="77777777" w:rsidR="00873094" w:rsidRDefault="00873094" w:rsidP="00873094">
      <w:pPr>
        <w:pStyle w:val="Normalparatextnonumbers"/>
      </w:pPr>
    </w:p>
    <w:p w14:paraId="216B08B6" w14:textId="77777777" w:rsidR="00E24AA1" w:rsidRPr="00020288" w:rsidRDefault="00E24AA1" w:rsidP="00873094">
      <w:pPr>
        <w:pStyle w:val="Normalparatextnonumbers"/>
      </w:pPr>
    </w:p>
    <w:p w14:paraId="2239F5AD" w14:textId="77777777" w:rsidR="00873094" w:rsidRPr="00020288" w:rsidRDefault="00873094" w:rsidP="00873094">
      <w:pPr>
        <w:pStyle w:val="TOC1"/>
        <w:sectPr w:rsidR="00873094" w:rsidRPr="00020288" w:rsidSect="00000BFC">
          <w:headerReference w:type="first" r:id="rId8"/>
          <w:footerReference w:type="first" r:id="rId9"/>
          <w:type w:val="oddPage"/>
          <w:pgSz w:w="9979" w:h="14175" w:code="138"/>
          <w:pgMar w:top="567" w:right="1134" w:bottom="567" w:left="1134" w:header="709" w:footer="709" w:gutter="0"/>
          <w:cols w:space="708"/>
          <w:titlePg/>
          <w:docGrid w:linePitch="360"/>
        </w:sectPr>
      </w:pPr>
    </w:p>
    <w:p w14:paraId="2492B33C"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038E0747" w14:textId="22B7E2EB" w:rsidR="00285DF0" w:rsidRDefault="00873094" w:rsidP="00285DF0">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285DF0">
        <w:rPr>
          <w:noProof/>
        </w:rPr>
        <w:t>Glossary</w:t>
      </w:r>
      <w:r w:rsidR="00285DF0">
        <w:rPr>
          <w:noProof/>
        </w:rPr>
        <w:tab/>
      </w:r>
      <w:r w:rsidR="00285DF0">
        <w:rPr>
          <w:noProof/>
        </w:rPr>
        <w:fldChar w:fldCharType="begin"/>
      </w:r>
      <w:r w:rsidR="00285DF0">
        <w:rPr>
          <w:noProof/>
        </w:rPr>
        <w:instrText xml:space="preserve"> PAGEREF _Toc98770241 \h </w:instrText>
      </w:r>
      <w:r w:rsidR="00285DF0">
        <w:rPr>
          <w:noProof/>
        </w:rPr>
      </w:r>
      <w:r w:rsidR="00285DF0">
        <w:rPr>
          <w:noProof/>
        </w:rPr>
        <w:fldChar w:fldCharType="separate"/>
      </w:r>
      <w:r w:rsidR="00681D73">
        <w:rPr>
          <w:noProof/>
        </w:rPr>
        <w:t>iii</w:t>
      </w:r>
      <w:r w:rsidR="00285DF0">
        <w:rPr>
          <w:noProof/>
        </w:rPr>
        <w:fldChar w:fldCharType="end"/>
      </w:r>
    </w:p>
    <w:p w14:paraId="7AB9F2AD" w14:textId="3ED0195C" w:rsidR="00285DF0" w:rsidRDefault="00285DF0" w:rsidP="00285DF0">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384D02">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Fringe benefits tax record keeping</w:t>
      </w:r>
      <w:r>
        <w:rPr>
          <w:noProof/>
        </w:rPr>
        <w:tab/>
      </w:r>
      <w:r>
        <w:rPr>
          <w:noProof/>
        </w:rPr>
        <w:fldChar w:fldCharType="begin"/>
      </w:r>
      <w:r>
        <w:rPr>
          <w:noProof/>
        </w:rPr>
        <w:instrText xml:space="preserve"> PAGEREF _Toc98770242 \h </w:instrText>
      </w:r>
      <w:r>
        <w:rPr>
          <w:noProof/>
        </w:rPr>
      </w:r>
      <w:r>
        <w:rPr>
          <w:noProof/>
        </w:rPr>
        <w:fldChar w:fldCharType="separate"/>
      </w:r>
      <w:r w:rsidR="00681D73">
        <w:rPr>
          <w:noProof/>
        </w:rPr>
        <w:t>5</w:t>
      </w:r>
      <w:r>
        <w:rPr>
          <w:noProof/>
        </w:rPr>
        <w:fldChar w:fldCharType="end"/>
      </w:r>
    </w:p>
    <w:p w14:paraId="21E276D7" w14:textId="4A9FD1EA" w:rsidR="00873094" w:rsidRPr="00020288" w:rsidRDefault="00873094" w:rsidP="00BC2E4A">
      <w:pPr>
        <w:pStyle w:val="TOC1"/>
      </w:pPr>
      <w:r w:rsidRPr="00BC2E4A">
        <w:fldChar w:fldCharType="end"/>
      </w:r>
    </w:p>
    <w:p w14:paraId="38ACECE8" w14:textId="77777777" w:rsidR="00873094" w:rsidRPr="00020288" w:rsidRDefault="00873094" w:rsidP="00873094"/>
    <w:p w14:paraId="5D09437E" w14:textId="77777777" w:rsidR="00873094" w:rsidRPr="00020288" w:rsidRDefault="00873094" w:rsidP="00873094"/>
    <w:p w14:paraId="476F0FFD" w14:textId="77777777" w:rsidR="00873094" w:rsidRPr="00020288" w:rsidRDefault="00873094" w:rsidP="00873094">
      <w:pPr>
        <w:sectPr w:rsidR="00873094" w:rsidRPr="00020288" w:rsidSect="00000BFC">
          <w:headerReference w:type="even" r:id="rId10"/>
          <w:headerReference w:type="default" r:id="rId11"/>
          <w:headerReference w:type="first" r:id="rId12"/>
          <w:footerReference w:type="first" r:id="rId13"/>
          <w:type w:val="oddPage"/>
          <w:pgSz w:w="9979" w:h="14175" w:code="9"/>
          <w:pgMar w:top="567" w:right="1134" w:bottom="567" w:left="1134" w:header="709" w:footer="709" w:gutter="0"/>
          <w:pgNumType w:start="1"/>
          <w:cols w:space="708"/>
          <w:titlePg/>
          <w:docGrid w:linePitch="360"/>
        </w:sectPr>
      </w:pPr>
    </w:p>
    <w:p w14:paraId="0AC5473D" w14:textId="77777777" w:rsidR="00873094" w:rsidRPr="00020288" w:rsidRDefault="00873094" w:rsidP="00873094">
      <w:pPr>
        <w:pStyle w:val="Heading1"/>
      </w:pPr>
      <w:bookmarkStart w:id="19" w:name="_Toc82021619"/>
      <w:bookmarkStart w:id="20" w:name="_Toc82067318"/>
      <w:bookmarkStart w:id="21" w:name="_Toc82072959"/>
      <w:bookmarkStart w:id="22" w:name="_Toc82073275"/>
      <w:bookmarkStart w:id="23" w:name="_Toc82073912"/>
      <w:bookmarkStart w:id="24" w:name="_Toc82074016"/>
      <w:bookmarkStart w:id="25" w:name="_Toc98770241"/>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D4A98F8"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2E9656A1" w14:textId="77777777" w:rsidTr="002425D9">
        <w:tc>
          <w:tcPr>
            <w:tcW w:w="3776" w:type="dxa"/>
            <w:shd w:val="clear" w:color="auto" w:fill="auto"/>
          </w:tcPr>
          <w:p w14:paraId="41DB4992"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14A239F6" w14:textId="77777777" w:rsidR="00873094" w:rsidRPr="002E7A73" w:rsidRDefault="00873094" w:rsidP="00B7393A">
            <w:pPr>
              <w:pStyle w:val="Tableheaderrowtext"/>
            </w:pPr>
            <w:r w:rsidRPr="002E7A73">
              <w:t>Definition</w:t>
            </w:r>
          </w:p>
        </w:tc>
      </w:tr>
      <w:tr w:rsidR="000851AE" w:rsidRPr="00020288" w14:paraId="4E6D58DD" w14:textId="77777777" w:rsidTr="002425D9">
        <w:tc>
          <w:tcPr>
            <w:tcW w:w="3776" w:type="dxa"/>
          </w:tcPr>
          <w:p w14:paraId="26E94E85" w14:textId="06EC7D16" w:rsidR="000851AE" w:rsidRDefault="000851AE" w:rsidP="000851AE">
            <w:pPr>
              <w:pStyle w:val="Tabletext"/>
              <w:rPr>
                <w:lang w:val="en-US"/>
              </w:rPr>
            </w:pPr>
            <w:r>
              <w:rPr>
                <w:lang w:val="en-US"/>
              </w:rPr>
              <w:t>ATO</w:t>
            </w:r>
          </w:p>
        </w:tc>
        <w:tc>
          <w:tcPr>
            <w:tcW w:w="3874" w:type="dxa"/>
          </w:tcPr>
          <w:p w14:paraId="5F760A13" w14:textId="39876C37" w:rsidR="000851AE" w:rsidDel="000851AE" w:rsidRDefault="000851AE" w:rsidP="000851AE">
            <w:pPr>
              <w:pStyle w:val="Tabletext"/>
              <w:rPr>
                <w:lang w:val="en-US"/>
              </w:rPr>
            </w:pPr>
            <w:r>
              <w:rPr>
                <w:lang w:val="en-US"/>
              </w:rPr>
              <w:t>Australian Taxation Office</w:t>
            </w:r>
          </w:p>
        </w:tc>
      </w:tr>
      <w:tr w:rsidR="000851AE" w:rsidRPr="00020288" w14:paraId="0C57CB70" w14:textId="77777777" w:rsidTr="002425D9">
        <w:tc>
          <w:tcPr>
            <w:tcW w:w="3776" w:type="dxa"/>
          </w:tcPr>
          <w:p w14:paraId="7DBB0882" w14:textId="40962C05" w:rsidR="000851AE" w:rsidRDefault="000851AE" w:rsidP="000851AE">
            <w:pPr>
              <w:pStyle w:val="Tabletext"/>
              <w:rPr>
                <w:lang w:val="en-US"/>
              </w:rPr>
            </w:pPr>
            <w:r>
              <w:rPr>
                <w:lang w:val="en-US"/>
              </w:rPr>
              <w:t>Commissioner</w:t>
            </w:r>
          </w:p>
        </w:tc>
        <w:tc>
          <w:tcPr>
            <w:tcW w:w="3874" w:type="dxa"/>
          </w:tcPr>
          <w:p w14:paraId="0B425F89" w14:textId="5C238E89" w:rsidR="000851AE" w:rsidDel="000851AE" w:rsidRDefault="000851AE" w:rsidP="000851AE">
            <w:pPr>
              <w:pStyle w:val="Tabletext"/>
              <w:rPr>
                <w:lang w:val="en-US"/>
              </w:rPr>
            </w:pPr>
            <w:r>
              <w:rPr>
                <w:lang w:val="en-US"/>
              </w:rPr>
              <w:t>Commissioner of Taxation</w:t>
            </w:r>
          </w:p>
        </w:tc>
      </w:tr>
      <w:tr w:rsidR="000851AE" w:rsidRPr="00020288" w14:paraId="6C9F7CEF" w14:textId="77777777" w:rsidTr="002425D9">
        <w:tc>
          <w:tcPr>
            <w:tcW w:w="3776" w:type="dxa"/>
          </w:tcPr>
          <w:p w14:paraId="52D9AEB2" w14:textId="704D4FF1" w:rsidR="000851AE" w:rsidRPr="00020288" w:rsidRDefault="000851AE" w:rsidP="000851AE">
            <w:pPr>
              <w:pStyle w:val="Tabletext"/>
            </w:pPr>
            <w:r>
              <w:rPr>
                <w:lang w:val="en-US"/>
              </w:rPr>
              <w:t>FBT</w:t>
            </w:r>
          </w:p>
        </w:tc>
        <w:tc>
          <w:tcPr>
            <w:tcW w:w="3874" w:type="dxa"/>
          </w:tcPr>
          <w:p w14:paraId="040FC905" w14:textId="105CC8BC" w:rsidR="000851AE" w:rsidRPr="00020288" w:rsidRDefault="000851AE" w:rsidP="000851AE">
            <w:pPr>
              <w:pStyle w:val="Tabletext"/>
            </w:pPr>
            <w:r>
              <w:rPr>
                <w:lang w:val="en-US"/>
              </w:rPr>
              <w:t>fringe benefits tax</w:t>
            </w:r>
          </w:p>
        </w:tc>
      </w:tr>
      <w:tr w:rsidR="000851AE" w:rsidRPr="00020288" w14:paraId="019199A4" w14:textId="77777777" w:rsidTr="002425D9">
        <w:tc>
          <w:tcPr>
            <w:tcW w:w="3776" w:type="dxa"/>
          </w:tcPr>
          <w:p w14:paraId="3D88DEE6" w14:textId="73617B61" w:rsidR="000851AE" w:rsidRPr="00020288" w:rsidRDefault="000851AE" w:rsidP="000851AE">
            <w:pPr>
              <w:pStyle w:val="Tabletext"/>
            </w:pPr>
            <w:r>
              <w:rPr>
                <w:lang w:val="en-US"/>
              </w:rPr>
              <w:t>FBTAA 1986</w:t>
            </w:r>
          </w:p>
        </w:tc>
        <w:tc>
          <w:tcPr>
            <w:tcW w:w="3874" w:type="dxa"/>
          </w:tcPr>
          <w:p w14:paraId="46DC03FB" w14:textId="7DC737C3" w:rsidR="000851AE" w:rsidRPr="00020288" w:rsidRDefault="000851AE" w:rsidP="000851AE">
            <w:pPr>
              <w:pStyle w:val="Tabletext"/>
            </w:pPr>
            <w:r w:rsidRPr="0049009F">
              <w:rPr>
                <w:i/>
                <w:iCs/>
                <w:lang w:val="en-US"/>
              </w:rPr>
              <w:t>Fringe Benefits</w:t>
            </w:r>
            <w:r>
              <w:rPr>
                <w:i/>
                <w:iCs/>
                <w:lang w:val="en-US"/>
              </w:rPr>
              <w:t xml:space="preserve"> Tax</w:t>
            </w:r>
            <w:r w:rsidRPr="0049009F">
              <w:rPr>
                <w:i/>
                <w:iCs/>
                <w:lang w:val="en-US"/>
              </w:rPr>
              <w:t xml:space="preserve"> Assessment Act 1986</w:t>
            </w:r>
          </w:p>
        </w:tc>
      </w:tr>
    </w:tbl>
    <w:p w14:paraId="304CA8CA" w14:textId="77777777" w:rsidR="00873094" w:rsidRPr="00020288" w:rsidRDefault="00873094" w:rsidP="00873094"/>
    <w:p w14:paraId="07F41DDC" w14:textId="77777777" w:rsidR="00873094" w:rsidRPr="00020288" w:rsidRDefault="00873094" w:rsidP="00873094">
      <w:pPr>
        <w:pStyle w:val="Heading1"/>
        <w:sectPr w:rsidR="00873094" w:rsidRPr="00020288" w:rsidSect="00000BFC">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2A61BD99" w14:textId="78321A72" w:rsidR="00873094" w:rsidRPr="0073326A" w:rsidRDefault="00F67C4B" w:rsidP="00777A92">
      <w:pPr>
        <w:pStyle w:val="Chapterheading"/>
      </w:pPr>
      <w:bookmarkStart w:id="40" w:name="GeneralOutline"/>
      <w:bookmarkStart w:id="41" w:name="_Toc98770242"/>
      <w:bookmarkEnd w:id="26"/>
      <w:bookmarkEnd w:id="27"/>
      <w:bookmarkEnd w:id="28"/>
      <w:bookmarkEnd w:id="30"/>
      <w:bookmarkEnd w:id="31"/>
      <w:bookmarkEnd w:id="32"/>
      <w:bookmarkEnd w:id="33"/>
      <w:bookmarkEnd w:id="34"/>
      <w:bookmarkEnd w:id="35"/>
      <w:bookmarkEnd w:id="36"/>
      <w:bookmarkEnd w:id="37"/>
      <w:bookmarkEnd w:id="38"/>
      <w:bookmarkEnd w:id="39"/>
      <w:bookmarkEnd w:id="40"/>
      <w:r>
        <w:t>Fringe benefits tax record keeping</w:t>
      </w:r>
      <w:bookmarkEnd w:id="41"/>
    </w:p>
    <w:p w14:paraId="02B36928" w14:textId="23D41FE7" w:rsidR="00873094" w:rsidRDefault="00F0543E" w:rsidP="00F0543E">
      <w:pPr>
        <w:pStyle w:val="TOCHeading"/>
      </w:pPr>
      <w:bookmarkStart w:id="42" w:name="Chapter1"/>
      <w:r>
        <w:t xml:space="preserve">Table of Contents: </w:t>
      </w:r>
    </w:p>
    <w:p w14:paraId="01A9FBF4" w14:textId="263D0F4A" w:rsidR="00285DF0" w:rsidRDefault="00F0543E">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285DF0">
        <w:t>Outline of chapter</w:t>
      </w:r>
      <w:r w:rsidR="00285DF0">
        <w:rPr>
          <w:webHidden/>
        </w:rPr>
        <w:tab/>
      </w:r>
      <w:r w:rsidR="00285DF0">
        <w:rPr>
          <w:webHidden/>
        </w:rPr>
        <w:fldChar w:fldCharType="begin"/>
      </w:r>
      <w:r w:rsidR="00285DF0">
        <w:rPr>
          <w:webHidden/>
        </w:rPr>
        <w:instrText xml:space="preserve"> PAGEREF _Toc98770243 \h </w:instrText>
      </w:r>
      <w:r w:rsidR="00285DF0">
        <w:rPr>
          <w:webHidden/>
        </w:rPr>
      </w:r>
      <w:r w:rsidR="00285DF0">
        <w:rPr>
          <w:webHidden/>
        </w:rPr>
        <w:fldChar w:fldCharType="separate"/>
      </w:r>
      <w:r w:rsidR="00681D73">
        <w:rPr>
          <w:webHidden/>
        </w:rPr>
        <w:t>5</w:t>
      </w:r>
      <w:r w:rsidR="00285DF0">
        <w:rPr>
          <w:webHidden/>
        </w:rPr>
        <w:fldChar w:fldCharType="end"/>
      </w:r>
    </w:p>
    <w:p w14:paraId="71336F38" w14:textId="4B1CC647" w:rsidR="00285DF0" w:rsidRDefault="00285DF0">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_Toc98770244 \h </w:instrText>
      </w:r>
      <w:r>
        <w:rPr>
          <w:webHidden/>
        </w:rPr>
      </w:r>
      <w:r>
        <w:rPr>
          <w:webHidden/>
        </w:rPr>
        <w:fldChar w:fldCharType="separate"/>
      </w:r>
      <w:r w:rsidR="00681D73">
        <w:rPr>
          <w:webHidden/>
        </w:rPr>
        <w:t>5</w:t>
      </w:r>
      <w:r>
        <w:rPr>
          <w:webHidden/>
        </w:rPr>
        <w:fldChar w:fldCharType="end"/>
      </w:r>
    </w:p>
    <w:p w14:paraId="5D3E9E4C" w14:textId="5EF00F51" w:rsidR="00285DF0" w:rsidRDefault="00285DF0">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_Toc98770245 \h </w:instrText>
      </w:r>
      <w:r>
        <w:rPr>
          <w:webHidden/>
        </w:rPr>
      </w:r>
      <w:r>
        <w:rPr>
          <w:webHidden/>
        </w:rPr>
        <w:fldChar w:fldCharType="separate"/>
      </w:r>
      <w:r w:rsidR="00681D73">
        <w:rPr>
          <w:webHidden/>
        </w:rPr>
        <w:t>6</w:t>
      </w:r>
      <w:r>
        <w:rPr>
          <w:webHidden/>
        </w:rPr>
        <w:fldChar w:fldCharType="end"/>
      </w:r>
    </w:p>
    <w:p w14:paraId="464B9EA7" w14:textId="239D4075" w:rsidR="00285DF0" w:rsidRDefault="00285DF0">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_Toc98770246 \h </w:instrText>
      </w:r>
      <w:r>
        <w:rPr>
          <w:webHidden/>
        </w:rPr>
      </w:r>
      <w:r>
        <w:rPr>
          <w:webHidden/>
        </w:rPr>
        <w:fldChar w:fldCharType="separate"/>
      </w:r>
      <w:r w:rsidR="00681D73">
        <w:rPr>
          <w:webHidden/>
        </w:rPr>
        <w:t>7</w:t>
      </w:r>
      <w:r>
        <w:rPr>
          <w:webHidden/>
        </w:rPr>
        <w:fldChar w:fldCharType="end"/>
      </w:r>
    </w:p>
    <w:p w14:paraId="5E124CB9" w14:textId="43A97B32" w:rsidR="00285DF0" w:rsidRDefault="00285DF0">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_Toc98770247 \h </w:instrText>
      </w:r>
      <w:r>
        <w:rPr>
          <w:webHidden/>
        </w:rPr>
      </w:r>
      <w:r>
        <w:rPr>
          <w:webHidden/>
        </w:rPr>
        <w:fldChar w:fldCharType="separate"/>
      </w:r>
      <w:r w:rsidR="00681D73">
        <w:rPr>
          <w:webHidden/>
        </w:rPr>
        <w:t>7</w:t>
      </w:r>
      <w:r>
        <w:rPr>
          <w:webHidden/>
        </w:rPr>
        <w:fldChar w:fldCharType="end"/>
      </w:r>
    </w:p>
    <w:p w14:paraId="1BD8B178" w14:textId="7F165029" w:rsidR="00F0543E" w:rsidRPr="00F0543E" w:rsidRDefault="00F0543E" w:rsidP="00F0543E">
      <w:r>
        <w:fldChar w:fldCharType="end"/>
      </w:r>
    </w:p>
    <w:p w14:paraId="37D5DD74" w14:textId="77777777" w:rsidR="00873094" w:rsidRPr="00020288" w:rsidRDefault="00873094" w:rsidP="00873094"/>
    <w:p w14:paraId="48BAC23C" w14:textId="77777777" w:rsidR="00873094" w:rsidRPr="00020288" w:rsidRDefault="00873094" w:rsidP="005D0844">
      <w:pPr>
        <w:pStyle w:val="Heading2"/>
      </w:pPr>
      <w:bookmarkStart w:id="43" w:name="_Toc98770243"/>
      <w:r w:rsidRPr="00020288">
        <w:t xml:space="preserve">Outline </w:t>
      </w:r>
      <w:r w:rsidRPr="005D0844">
        <w:t>of</w:t>
      </w:r>
      <w:r w:rsidRPr="00020288">
        <w:t xml:space="preserve"> chapter</w:t>
      </w:r>
      <w:bookmarkEnd w:id="43"/>
    </w:p>
    <w:p w14:paraId="470D3D96" w14:textId="7B76B923" w:rsidR="00F67C4B" w:rsidRDefault="00690FF7" w:rsidP="00F67C4B">
      <w:pPr>
        <w:pStyle w:val="Normalparatextwithnumbers"/>
      </w:pPr>
      <w:r w:rsidRPr="00734196">
        <w:t xml:space="preserve">Schedule </w:t>
      </w:r>
      <w:r w:rsidR="00734196" w:rsidRPr="00734196">
        <w:t>1</w:t>
      </w:r>
      <w:r w:rsidRPr="00734196">
        <w:t xml:space="preserve"> amends</w:t>
      </w:r>
      <w:r>
        <w:t xml:space="preserve"> the FBTAA 1986 to reduce compliance costs for employers finalising their FBT returns by empowering the Commissioner to allow them, where it is appropriate to do so, to rely on adequate alternative records instead of obtaining statutory evidentiary documents, such as prescribed employee declarations.</w:t>
      </w:r>
    </w:p>
    <w:p w14:paraId="3FBA4ECA" w14:textId="59F46D03" w:rsidR="00873094" w:rsidRPr="000E521B" w:rsidRDefault="00F67C4B" w:rsidP="00F67C4B">
      <w:pPr>
        <w:pStyle w:val="Normalparatextwithnumbers"/>
      </w:pPr>
      <w:r>
        <w:t xml:space="preserve">The </w:t>
      </w:r>
      <w:r w:rsidR="00690FF7">
        <w:t xml:space="preserve">Schedule </w:t>
      </w:r>
      <w:r>
        <w:t xml:space="preserve">reduces and simplifies FBT record keeping requirements for employers while producing similar compliance outcomes with lower compliance costs, consistent with the Government’s commitment to remove ‘red tape’ for business. </w:t>
      </w:r>
    </w:p>
    <w:p w14:paraId="5B9681B3" w14:textId="77777777" w:rsidR="00873094" w:rsidRPr="00020288" w:rsidRDefault="00873094" w:rsidP="005D0844">
      <w:pPr>
        <w:pStyle w:val="Heading2"/>
      </w:pPr>
      <w:bookmarkStart w:id="44" w:name="_Toc98770244"/>
      <w:r w:rsidRPr="00020288">
        <w:t xml:space="preserve">Context of </w:t>
      </w:r>
      <w:r w:rsidRPr="005D0844">
        <w:t>amendments</w:t>
      </w:r>
      <w:bookmarkEnd w:id="44"/>
    </w:p>
    <w:p w14:paraId="6F2B6B0B" w14:textId="5662E0A7" w:rsidR="00F67C4B" w:rsidRDefault="00F67C4B" w:rsidP="00F67C4B">
      <w:pPr>
        <w:pStyle w:val="Normalparatextwithnumbers"/>
      </w:pPr>
      <w:r w:rsidRPr="0094484F">
        <w:t>FBT is a tax paid by employers on certain benefits they provide to their employees or associates of their employees (for example, their employees’ family). Employers are required to pay tax on these fringe benefits</w:t>
      </w:r>
      <w:r w:rsidR="00C11A96">
        <w:t>. FBT is separate to income tax and is calculated on the taxable value of the fringe benefit</w:t>
      </w:r>
      <w:r>
        <w:t xml:space="preserve">. </w:t>
      </w:r>
      <w:r w:rsidRPr="0094484F">
        <w:t>The</w:t>
      </w:r>
      <w:r>
        <w:t> </w:t>
      </w:r>
      <w:r w:rsidRPr="0094484F">
        <w:t>rules for FBT are set out in the</w:t>
      </w:r>
      <w:r>
        <w:t xml:space="preserve"> FBTAA 1986</w:t>
      </w:r>
      <w:r w:rsidRPr="0094484F">
        <w:t xml:space="preserve">, which is administered by the Commissioner. </w:t>
      </w:r>
    </w:p>
    <w:p w14:paraId="6FB66E32" w14:textId="2FEE6FA0" w:rsidR="00F67C4B" w:rsidRDefault="00F67C4B" w:rsidP="00F67C4B">
      <w:pPr>
        <w:pStyle w:val="Normalparatextwithnumbers"/>
      </w:pPr>
      <w:r>
        <w:t>E</w:t>
      </w:r>
      <w:r w:rsidRPr="005D02F2">
        <w:t xml:space="preserve">mployers </w:t>
      </w:r>
      <w:r>
        <w:t xml:space="preserve">are required </w:t>
      </w:r>
      <w:r w:rsidRPr="005D02F2">
        <w:t>to self-assess their FBT liability and lodge an FBT</w:t>
      </w:r>
      <w:r w:rsidR="00DB5797">
        <w:t> </w:t>
      </w:r>
      <w:r w:rsidRPr="005D02F2">
        <w:t xml:space="preserve">return </w:t>
      </w:r>
      <w:r>
        <w:t>following</w:t>
      </w:r>
      <w:r w:rsidRPr="005D02F2">
        <w:t xml:space="preserve"> the end of the FBT year</w:t>
      </w:r>
      <w:r>
        <w:t>, where there is a fringe benefits taxable amount for the year</w:t>
      </w:r>
      <w:r w:rsidRPr="005D02F2">
        <w:t>.</w:t>
      </w:r>
      <w:r>
        <w:t xml:space="preserve"> As part of this process, em</w:t>
      </w:r>
      <w:r w:rsidRPr="00496B5C">
        <w:t xml:space="preserve">ployers </w:t>
      </w:r>
      <w:r>
        <w:t>must</w:t>
      </w:r>
      <w:r w:rsidRPr="00496B5C">
        <w:t xml:space="preserve"> keep and preserve</w:t>
      </w:r>
      <w:r>
        <w:t xml:space="preserve"> </w:t>
      </w:r>
      <w:r w:rsidRPr="00496B5C">
        <w:t>all records for the fringe benefits they provide</w:t>
      </w:r>
      <w:r>
        <w:t xml:space="preserve"> for five years </w:t>
      </w:r>
      <w:r w:rsidR="00ED1101">
        <w:t>from the date they are prepared, obtained or the transactions completed</w:t>
      </w:r>
      <w:r>
        <w:t xml:space="preserve">. During this period the ATO may request </w:t>
      </w:r>
      <w:r w:rsidR="003219F4">
        <w:t xml:space="preserve">an </w:t>
      </w:r>
      <w:r>
        <w:t>employer</w:t>
      </w:r>
      <w:r w:rsidR="003219F4">
        <w:t>’</w:t>
      </w:r>
      <w:r>
        <w:t>s records</w:t>
      </w:r>
      <w:r w:rsidRPr="00496B5C">
        <w:t xml:space="preserve"> </w:t>
      </w:r>
      <w:r>
        <w:t>for</w:t>
      </w:r>
      <w:r w:rsidRPr="00496B5C">
        <w:t xml:space="preserve"> compliance </w:t>
      </w:r>
      <w:r>
        <w:t xml:space="preserve">purposes. </w:t>
      </w:r>
    </w:p>
    <w:p w14:paraId="37FA879F" w14:textId="45DE687E" w:rsidR="00873094" w:rsidRDefault="00F67C4B" w:rsidP="00F67C4B">
      <w:pPr>
        <w:pStyle w:val="Normalparatextwithnumbers"/>
      </w:pPr>
      <w:r w:rsidRPr="000343A8">
        <w:t>Part III of the</w:t>
      </w:r>
      <w:r>
        <w:t xml:space="preserve"> FBTAA 1986</w:t>
      </w:r>
      <w:r w:rsidRPr="000343A8">
        <w:t xml:space="preserve"> contains numerous provisions requiring employees to provide</w:t>
      </w:r>
      <w:r>
        <w:t xml:space="preserve"> information to employers about fringe benefits received, </w:t>
      </w:r>
      <w:r w:rsidR="009A2909">
        <w:t xml:space="preserve">and employers to prepare declarations </w:t>
      </w:r>
      <w:r>
        <w:t xml:space="preserve">‘in a form approved by the Commissioner.’ The ATO website contains </w:t>
      </w:r>
      <w:r w:rsidRPr="000343A8">
        <w:t>20</w:t>
      </w:r>
      <w:r w:rsidR="006075C9">
        <w:t> </w:t>
      </w:r>
      <w:r w:rsidRPr="000343A8">
        <w:t>different approved employee declarations</w:t>
      </w:r>
      <w:r>
        <w:t xml:space="preserve"> tailored to various fringe benefits, </w:t>
      </w:r>
      <w:r w:rsidRPr="000343A8">
        <w:t>two</w:t>
      </w:r>
      <w:r>
        <w:t> </w:t>
      </w:r>
      <w:r w:rsidRPr="000343A8">
        <w:t>FBT employer declarations and a travel diary requirement</w:t>
      </w:r>
      <w:r>
        <w:t xml:space="preserve">, to be used as statutory evidentiary documents for this purpose. </w:t>
      </w:r>
    </w:p>
    <w:p w14:paraId="5EA81B1C" w14:textId="77777777" w:rsidR="00F67C4B" w:rsidRDefault="00F67C4B" w:rsidP="00F67C4B">
      <w:pPr>
        <w:pStyle w:val="Normalparatextwithnumbers"/>
      </w:pPr>
      <w:r>
        <w:t>The requirement for certain records to be in an approved form to comply with FBT record keeping obligations forces employers, and in some cases employees, to create records which duplicate existing records captured through other record keeping processes, including in the employer’s own corporate records.</w:t>
      </w:r>
    </w:p>
    <w:p w14:paraId="7224E353" w14:textId="613D2E25" w:rsidR="00F67C4B" w:rsidRDefault="00F67C4B" w:rsidP="00F67C4B">
      <w:pPr>
        <w:pStyle w:val="Normalparatextwithnumbers"/>
      </w:pPr>
      <w:r>
        <w:t xml:space="preserve">Providing employers with an option to rely on existing or other alternative records, as </w:t>
      </w:r>
      <w:r w:rsidR="004D39DC">
        <w:t xml:space="preserve">determined </w:t>
      </w:r>
      <w:r>
        <w:t xml:space="preserve">by the Commissioner, without the need to </w:t>
      </w:r>
      <w:r w:rsidR="00CA62AE">
        <w:t xml:space="preserve">prepare employer declarations or </w:t>
      </w:r>
      <w:r>
        <w:t xml:space="preserve">obtain declarations from employees in the approved form, reduces and simplifies the employer’s record keeping compliance burden without compromising the ATO’s ability to ensure an employer’s compliance with the FBT laws. </w:t>
      </w:r>
      <w:r w:rsidRPr="008C5AEC">
        <w:t xml:space="preserve">It also encourages businesses </w:t>
      </w:r>
      <w:r>
        <w:t xml:space="preserve">which </w:t>
      </w:r>
      <w:r w:rsidRPr="008C5AEC">
        <w:t xml:space="preserve">initially </w:t>
      </w:r>
      <w:r>
        <w:t xml:space="preserve">may be </w:t>
      </w:r>
      <w:r w:rsidRPr="008C5AEC">
        <w:t>unable to rely on adequate alternative records to establish and maintain robust corporate records for this purpose.</w:t>
      </w:r>
    </w:p>
    <w:p w14:paraId="7D977616" w14:textId="69C7E07A" w:rsidR="00F67C4B" w:rsidRPr="00020288" w:rsidRDefault="00F67C4B" w:rsidP="00F67C4B">
      <w:pPr>
        <w:pStyle w:val="Normalparatextwithnumbers"/>
      </w:pPr>
      <w:r>
        <w:t>The</w:t>
      </w:r>
      <w:r w:rsidRPr="001960AC">
        <w:t xml:space="preserve"> kind of alternative documents or records which reasonably satisfy the employer’s record keeping obligations for various </w:t>
      </w:r>
      <w:r w:rsidR="00995D22">
        <w:t xml:space="preserve">types </w:t>
      </w:r>
      <w:r w:rsidRPr="001960AC">
        <w:t>of fringe benefits</w:t>
      </w:r>
      <w:r>
        <w:t xml:space="preserve"> will be </w:t>
      </w:r>
      <w:r w:rsidR="004D39DC">
        <w:t xml:space="preserve">determined </w:t>
      </w:r>
      <w:r>
        <w:t xml:space="preserve">by the Commissioner </w:t>
      </w:r>
      <w:r w:rsidR="004D39DC">
        <w:t xml:space="preserve">by way of </w:t>
      </w:r>
      <w:r>
        <w:t>legislative instrument.</w:t>
      </w:r>
    </w:p>
    <w:p w14:paraId="553DF1DF" w14:textId="77777777" w:rsidR="00873094" w:rsidRPr="00020288" w:rsidRDefault="00873094" w:rsidP="005D0844">
      <w:pPr>
        <w:pStyle w:val="Heading2"/>
      </w:pPr>
      <w:bookmarkStart w:id="45" w:name="_Toc98770245"/>
      <w:r w:rsidRPr="00020288">
        <w:t xml:space="preserve">Summary of </w:t>
      </w:r>
      <w:r w:rsidRPr="005D0844">
        <w:t>new</w:t>
      </w:r>
      <w:r w:rsidRPr="00020288">
        <w:t xml:space="preserve"> law</w:t>
      </w:r>
      <w:bookmarkEnd w:id="45"/>
    </w:p>
    <w:p w14:paraId="2640218C" w14:textId="206E0741" w:rsidR="00F67C4B" w:rsidRDefault="00F67C4B" w:rsidP="00F67C4B">
      <w:pPr>
        <w:pStyle w:val="Normalparatextwithnumbers"/>
      </w:pPr>
      <w:r w:rsidRPr="00734196">
        <w:t xml:space="preserve">Schedule </w:t>
      </w:r>
      <w:r w:rsidR="00734196" w:rsidRPr="00734196">
        <w:t>1</w:t>
      </w:r>
      <w:r w:rsidRPr="00734196">
        <w:t xml:space="preserve"> amends</w:t>
      </w:r>
      <w:r>
        <w:t xml:space="preserve"> Part </w:t>
      </w:r>
      <w:r w:rsidR="00734196">
        <w:t>10</w:t>
      </w:r>
      <w:r>
        <w:t xml:space="preserve"> of the FBTAA 1986 by:</w:t>
      </w:r>
    </w:p>
    <w:p w14:paraId="0553CB42" w14:textId="1F04B50B" w:rsidR="00F67C4B" w:rsidRDefault="00F67C4B" w:rsidP="00F67C4B">
      <w:pPr>
        <w:pStyle w:val="Dotpoint1"/>
      </w:pPr>
      <w:r>
        <w:t xml:space="preserve">giving the Commissioner power to make legislative instruments </w:t>
      </w:r>
      <w:r w:rsidR="00CF5358">
        <w:t xml:space="preserve">determining </w:t>
      </w:r>
      <w:r>
        <w:t>the kinds of adequate alternative records which may be kept and retained by employers in lieu of a statutory evidentiary document</w:t>
      </w:r>
      <w:r w:rsidR="008C3BE8">
        <w:t>s</w:t>
      </w:r>
      <w:r>
        <w:t xml:space="preserve"> for </w:t>
      </w:r>
      <w:r w:rsidR="00CF5358">
        <w:t xml:space="preserve">specified </w:t>
      </w:r>
      <w:r>
        <w:t>fringe benefits, for FBT record keeping purposes; and</w:t>
      </w:r>
    </w:p>
    <w:p w14:paraId="4474C856" w14:textId="375AA316" w:rsidR="00873094" w:rsidRPr="00020288" w:rsidRDefault="00F67C4B" w:rsidP="00F67C4B">
      <w:pPr>
        <w:pStyle w:val="Dotpoint1"/>
      </w:pPr>
      <w:r>
        <w:t xml:space="preserve">providing that employers are taken to have kept and retained a statutory evidentiary document for a </w:t>
      </w:r>
      <w:r w:rsidR="00CF5358">
        <w:t xml:space="preserve">specified </w:t>
      </w:r>
      <w:r>
        <w:t>fringe benefit for FBT record keeping purposes</w:t>
      </w:r>
      <w:r w:rsidRPr="006B30FB">
        <w:t xml:space="preserve"> </w:t>
      </w:r>
      <w:r>
        <w:t xml:space="preserve">if they keep and retain </w:t>
      </w:r>
      <w:r w:rsidR="00CF5358">
        <w:t xml:space="preserve">those </w:t>
      </w:r>
      <w:r>
        <w:t xml:space="preserve">adequate alternative records </w:t>
      </w:r>
      <w:r w:rsidR="00CF5358">
        <w:t xml:space="preserve">determined </w:t>
      </w:r>
      <w:r>
        <w:t xml:space="preserve">by the Commissioner, for the </w:t>
      </w:r>
      <w:r w:rsidR="00CF5358">
        <w:t xml:space="preserve">specified </w:t>
      </w:r>
      <w:r>
        <w:t xml:space="preserve">fringe benefit. </w:t>
      </w:r>
    </w:p>
    <w:p w14:paraId="62FC9CAE" w14:textId="77777777" w:rsidR="00873094" w:rsidRPr="00020288" w:rsidRDefault="00873094" w:rsidP="00F67C4B">
      <w:pPr>
        <w:pStyle w:val="Heading2"/>
      </w:pPr>
      <w:bookmarkStart w:id="46" w:name="_Toc98770246"/>
      <w:r w:rsidRPr="00AF50CE">
        <w:t>Comparison</w:t>
      </w:r>
      <w:r w:rsidRPr="00020288">
        <w:t xml:space="preserve"> of key features of new law and current law</w:t>
      </w:r>
      <w:bookmarkEnd w:id="46"/>
    </w:p>
    <w:p w14:paraId="3CA00BA5" w14:textId="77777777" w:rsidR="00873094" w:rsidRPr="002D3B91" w:rsidRDefault="00873094" w:rsidP="00F67C4B">
      <w:pPr>
        <w:pStyle w:val="TableHeading"/>
        <w:keepLines/>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08FDA853" w14:textId="77777777" w:rsidTr="002425D9">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62EB836B" w14:textId="77777777" w:rsidR="00873094" w:rsidRPr="00A61FE9" w:rsidRDefault="00873094" w:rsidP="00F67C4B">
            <w:pPr>
              <w:pStyle w:val="Tableheaderrowtext"/>
              <w:keepLines/>
              <w:numPr>
                <w:ilvl w:val="3"/>
                <w:numId w:val="2"/>
              </w:numPr>
              <w:ind w:left="1701" w:hanging="1701"/>
            </w:pPr>
            <w:r w:rsidRPr="00A61FE9">
              <w:t>New law</w:t>
            </w:r>
          </w:p>
        </w:tc>
        <w:tc>
          <w:tcPr>
            <w:tcW w:w="3874" w:type="dxa"/>
          </w:tcPr>
          <w:p w14:paraId="001D8ED8" w14:textId="77777777" w:rsidR="00873094" w:rsidRPr="00A61FE9" w:rsidRDefault="00873094" w:rsidP="00F67C4B">
            <w:pPr>
              <w:pStyle w:val="Tableheaderrowtext"/>
              <w:keepLines/>
              <w:numPr>
                <w:ilvl w:val="3"/>
                <w:numId w:val="2"/>
              </w:numPr>
              <w:ind w:left="1701" w:hanging="1701"/>
            </w:pPr>
            <w:r w:rsidRPr="00A61FE9">
              <w:t>Current law</w:t>
            </w:r>
          </w:p>
        </w:tc>
      </w:tr>
      <w:tr w:rsidR="00F67C4B" w:rsidRPr="00020288" w14:paraId="0571AF88" w14:textId="77777777" w:rsidTr="002425D9">
        <w:tc>
          <w:tcPr>
            <w:tcW w:w="3776" w:type="dxa"/>
          </w:tcPr>
          <w:p w14:paraId="3B0C80D0" w14:textId="77777777" w:rsidR="00F67C4B" w:rsidRDefault="00F67C4B" w:rsidP="00F67C4B">
            <w:pPr>
              <w:pStyle w:val="tabletext0"/>
              <w:keepNext/>
              <w:keepLines/>
              <w:rPr>
                <w:lang w:val="en-US" w:eastAsia="en-US"/>
              </w:rPr>
            </w:pPr>
            <w:r>
              <w:rPr>
                <w:lang w:val="en-US" w:eastAsia="en-US"/>
              </w:rPr>
              <w:t xml:space="preserve">Employers have the option, for each fringe benefit, to: </w:t>
            </w:r>
          </w:p>
          <w:p w14:paraId="69B68AB8" w14:textId="315EB1A1" w:rsidR="00F67C4B" w:rsidRPr="006402E0" w:rsidRDefault="00F67C4B" w:rsidP="00F67C4B">
            <w:pPr>
              <w:pStyle w:val="Tabledotpoint1"/>
              <w:keepNext/>
              <w:keepLines/>
              <w:rPr>
                <w:lang w:val="en-US"/>
              </w:rPr>
            </w:pPr>
            <w:r w:rsidRPr="006402E0">
              <w:rPr>
                <w:lang w:val="en-US"/>
              </w:rPr>
              <w:t xml:space="preserve">rely on adequate alternative records (as </w:t>
            </w:r>
            <w:r w:rsidR="004429CB">
              <w:rPr>
                <w:lang w:val="en-US"/>
              </w:rPr>
              <w:t>determined</w:t>
            </w:r>
            <w:r w:rsidR="004429CB" w:rsidRPr="006402E0">
              <w:rPr>
                <w:lang w:val="en-US"/>
              </w:rPr>
              <w:t xml:space="preserve"> </w:t>
            </w:r>
            <w:r w:rsidRPr="006402E0">
              <w:rPr>
                <w:lang w:val="en-US"/>
              </w:rPr>
              <w:t>by the Commissioner) which contain the information required for FBT record keeping purposes</w:t>
            </w:r>
            <w:r>
              <w:rPr>
                <w:lang w:val="en-US"/>
              </w:rPr>
              <w:t>; or</w:t>
            </w:r>
          </w:p>
          <w:p w14:paraId="062F1FF2" w14:textId="3F6C60FB" w:rsidR="00F67C4B" w:rsidRPr="00020288" w:rsidRDefault="004429CB" w:rsidP="00F67C4B">
            <w:pPr>
              <w:pStyle w:val="Tabledotpoint1"/>
              <w:keepNext/>
              <w:keepLines/>
            </w:pPr>
            <w:r>
              <w:rPr>
                <w:lang w:val="en-US"/>
              </w:rPr>
              <w:t>keep and retain the</w:t>
            </w:r>
            <w:r w:rsidR="00F67C4B">
              <w:rPr>
                <w:lang w:val="en-US"/>
              </w:rPr>
              <w:t xml:space="preserve"> designated statutory evidentiary document</w:t>
            </w:r>
            <w:r>
              <w:rPr>
                <w:lang w:val="en-US"/>
              </w:rPr>
              <w:t>s</w:t>
            </w:r>
            <w:r w:rsidR="00F67C4B">
              <w:rPr>
                <w:lang w:val="en-US"/>
              </w:rPr>
              <w:t xml:space="preserve"> in the approved form </w:t>
            </w:r>
            <w:r w:rsidR="00F67C4B" w:rsidRPr="006402E0">
              <w:rPr>
                <w:lang w:val="en-US"/>
              </w:rPr>
              <w:t>for FBT record keeping purposes</w:t>
            </w:r>
            <w:r w:rsidR="00F67C4B">
              <w:rPr>
                <w:lang w:val="en-US"/>
              </w:rPr>
              <w:t>.</w:t>
            </w:r>
          </w:p>
        </w:tc>
        <w:tc>
          <w:tcPr>
            <w:tcW w:w="3874" w:type="dxa"/>
          </w:tcPr>
          <w:p w14:paraId="58E933B6" w14:textId="674C86A3" w:rsidR="00F67C4B" w:rsidRPr="00020288" w:rsidRDefault="00F67C4B" w:rsidP="00F67C4B">
            <w:pPr>
              <w:pStyle w:val="Tabletext"/>
              <w:keepNext/>
              <w:keepLines/>
            </w:pPr>
            <w:r>
              <w:rPr>
                <w:lang w:val="en-US" w:eastAsia="en-US"/>
              </w:rPr>
              <w:t xml:space="preserve">Employers must </w:t>
            </w:r>
            <w:r w:rsidR="004429CB">
              <w:rPr>
                <w:lang w:val="en-US" w:eastAsia="en-US"/>
              </w:rPr>
              <w:t xml:space="preserve">keep and retain </w:t>
            </w:r>
            <w:r>
              <w:rPr>
                <w:lang w:val="en-US" w:eastAsia="en-US"/>
              </w:rPr>
              <w:t>the designated statutory evidentiary document</w:t>
            </w:r>
            <w:r w:rsidR="004429CB">
              <w:rPr>
                <w:lang w:val="en-US" w:eastAsia="en-US"/>
              </w:rPr>
              <w:t>s</w:t>
            </w:r>
            <w:r>
              <w:rPr>
                <w:lang w:val="en-US" w:eastAsia="en-US"/>
              </w:rPr>
              <w:t xml:space="preserve"> in the approved form for each fringe benefit, for FBT record keeping purposes.</w:t>
            </w:r>
          </w:p>
        </w:tc>
      </w:tr>
    </w:tbl>
    <w:p w14:paraId="7FF279B0" w14:textId="77777777" w:rsidR="00873094" w:rsidRPr="00020288" w:rsidRDefault="00873094" w:rsidP="00873094">
      <w:pPr>
        <w:pStyle w:val="Heading2"/>
        <w:numPr>
          <w:ilvl w:val="1"/>
          <w:numId w:val="2"/>
        </w:numPr>
        <w:tabs>
          <w:tab w:val="num" w:pos="567"/>
        </w:tabs>
        <w:ind w:left="567" w:hanging="567"/>
      </w:pPr>
      <w:bookmarkStart w:id="47" w:name="_Toc98770247"/>
      <w:r w:rsidRPr="00020288">
        <w:t>Detailed explanation of new law</w:t>
      </w:r>
      <w:bookmarkEnd w:id="47"/>
    </w:p>
    <w:p w14:paraId="382BD608" w14:textId="67EBCCB8" w:rsidR="00F67C4B" w:rsidRDefault="00F67C4B" w:rsidP="00F67C4B">
      <w:pPr>
        <w:pStyle w:val="Normalparatextwithnumbers"/>
      </w:pPr>
      <w:r w:rsidRPr="002D5986">
        <w:t xml:space="preserve">Schedule </w:t>
      </w:r>
      <w:r w:rsidR="002D5986" w:rsidRPr="002D5986">
        <w:t>1</w:t>
      </w:r>
      <w:r w:rsidRPr="002D5986">
        <w:t xml:space="preserve"> provides</w:t>
      </w:r>
      <w:r>
        <w:t xml:space="preserve"> the Commissioner with the power to make determinations, by legislative instrument, specifying the kind of alternative documents or records which reasonably satisfy the employer’s record keeping obligations for the various </w:t>
      </w:r>
      <w:r w:rsidR="003F162F">
        <w:t xml:space="preserve">types </w:t>
      </w:r>
      <w:r>
        <w:t xml:space="preserve">of fringe benefits. </w:t>
      </w:r>
      <w:r w:rsidR="00AE674E">
        <w:br/>
      </w:r>
      <w:r w:rsidR="0006556E" w:rsidRPr="0040706C">
        <w:rPr>
          <w:rStyle w:val="References"/>
        </w:rPr>
        <w:t xml:space="preserve">[Schedule </w:t>
      </w:r>
      <w:r w:rsidR="002D5986">
        <w:rPr>
          <w:rStyle w:val="References"/>
        </w:rPr>
        <w:t>1</w:t>
      </w:r>
      <w:r w:rsidR="0006556E" w:rsidRPr="009B5845">
        <w:rPr>
          <w:rStyle w:val="References"/>
        </w:rPr>
        <w:t xml:space="preserve">, item </w:t>
      </w:r>
      <w:r w:rsidR="0006556E">
        <w:rPr>
          <w:rStyle w:val="References"/>
        </w:rPr>
        <w:t>1</w:t>
      </w:r>
      <w:r w:rsidR="0006556E" w:rsidRPr="009B5845">
        <w:rPr>
          <w:rStyle w:val="References"/>
        </w:rPr>
        <w:t xml:space="preserve">, </w:t>
      </w:r>
      <w:r w:rsidR="0006556E">
        <w:rPr>
          <w:rStyle w:val="References"/>
        </w:rPr>
        <w:t xml:space="preserve">section 123AA of </w:t>
      </w:r>
      <w:r w:rsidR="00354AFB">
        <w:rPr>
          <w:rStyle w:val="References"/>
        </w:rPr>
        <w:t>t</w:t>
      </w:r>
      <w:r w:rsidR="0006556E">
        <w:rPr>
          <w:rStyle w:val="References"/>
        </w:rPr>
        <w:t>he FBTAA 1986</w:t>
      </w:r>
      <w:r w:rsidR="0006556E" w:rsidRPr="009B5845">
        <w:rPr>
          <w:rStyle w:val="References"/>
        </w:rPr>
        <w:t xml:space="preserve">] </w:t>
      </w:r>
    </w:p>
    <w:p w14:paraId="57D0D708" w14:textId="0A447F76" w:rsidR="00F80938" w:rsidRDefault="00F80938" w:rsidP="00F20405">
      <w:pPr>
        <w:pStyle w:val="Normalparatextwithnumbers"/>
      </w:pPr>
      <w:r>
        <w:t>Alternat</w:t>
      </w:r>
      <w:r w:rsidR="00A8452E">
        <w:t>ive</w:t>
      </w:r>
      <w:r>
        <w:t xml:space="preserve"> documents or records will be other documents or records made or held by an employer that both meet the information requirements stipulated in the FBTAA 1986 and provide the Commissioner with the ability to enforce compliance with the FBTAA 1986.</w:t>
      </w:r>
    </w:p>
    <w:p w14:paraId="5465F6C7" w14:textId="03CD83A5" w:rsidR="00861D14" w:rsidRDefault="00861D14" w:rsidP="00F20405">
      <w:pPr>
        <w:pStyle w:val="Normalparatextwithnumbers"/>
      </w:pPr>
      <w:r>
        <w:t>It is appropriate to delegate power to the Commissioner to make legislative instruments for this purpose due to the technical nature of the instruments, which are tailored to cover a range of fringe benefits of varying complexity and different statutory evidentiary documents applicable for each fringe benefit. Enabling the Commissioner to determine, by way of legislative instrument, the kind of alternative documents or records which can be utilised for this purpose provides an efficient and flexible mechanism to enable employers to identify the kind of records that will meet their record keeping obligations. This gives employers certainty, s</w:t>
      </w:r>
      <w:r w:rsidRPr="00EF52EF">
        <w:t>upport</w:t>
      </w:r>
      <w:r>
        <w:t>s</w:t>
      </w:r>
      <w:r w:rsidRPr="00EF52EF">
        <w:t xml:space="preserve"> the</w:t>
      </w:r>
      <w:r>
        <w:t xml:space="preserve"> purpose of the amendment to reduce FBT record keeping obligations for employers and supports the </w:t>
      </w:r>
      <w:r w:rsidRPr="00EF52EF">
        <w:t xml:space="preserve">operation of the </w:t>
      </w:r>
      <w:r>
        <w:t>FBT</w:t>
      </w:r>
      <w:r w:rsidRPr="00EF52EF">
        <w:t xml:space="preserve"> </w:t>
      </w:r>
      <w:r w:rsidR="00CA62AE">
        <w:t xml:space="preserve">regime </w:t>
      </w:r>
      <w:r>
        <w:t>generally.</w:t>
      </w:r>
    </w:p>
    <w:p w14:paraId="66B912F9" w14:textId="77777777" w:rsidR="00861D14" w:rsidRDefault="00861D14" w:rsidP="00861D14">
      <w:pPr>
        <w:pStyle w:val="Normalparatextwithnumbers"/>
      </w:pPr>
      <w:r>
        <w:t xml:space="preserve">Instruments made under section 123AA of the FBTAA 1986 are disallowable under section 42 of the </w:t>
      </w:r>
      <w:r w:rsidRPr="00215F26">
        <w:rPr>
          <w:i/>
          <w:iCs/>
        </w:rPr>
        <w:t>Legislation Act 2003</w:t>
      </w:r>
      <w:r>
        <w:t>.</w:t>
      </w:r>
    </w:p>
    <w:p w14:paraId="14C8A23E" w14:textId="55F3B96C" w:rsidR="009B5845" w:rsidRPr="005D636E" w:rsidRDefault="00213FFF" w:rsidP="009B5845">
      <w:pPr>
        <w:pStyle w:val="Normalparatextwithnumbers"/>
        <w:rPr>
          <w:rStyle w:val="References"/>
          <w:b w:val="0"/>
          <w:bCs w:val="0"/>
          <w:i w:val="0"/>
          <w:iCs w:val="0"/>
        </w:rPr>
      </w:pPr>
      <w:r>
        <w:t xml:space="preserve">The </w:t>
      </w:r>
      <w:r w:rsidR="00230180">
        <w:t xml:space="preserve">content of determinations made by the </w:t>
      </w:r>
      <w:r>
        <w:t>Commissione</w:t>
      </w:r>
      <w:r w:rsidR="00230180">
        <w:t>r</w:t>
      </w:r>
      <w:r>
        <w:t xml:space="preserve"> gives employers the ability to identify the kind of alternative documents or records they could use, including their own records if available, which would reasonably satisfy their FBT record keeping obligations. To achieve this, </w:t>
      </w:r>
      <w:r w:rsidR="009B5845">
        <w:t>the Commissioner</w:t>
      </w:r>
      <w:r w:rsidR="008B095E">
        <w:t xml:space="preserve"> </w:t>
      </w:r>
      <w:r w:rsidR="005D636E">
        <w:t xml:space="preserve">will determine </w:t>
      </w:r>
      <w:r w:rsidR="009B5845">
        <w:t xml:space="preserve">the </w:t>
      </w:r>
      <w:r>
        <w:t xml:space="preserve">years of tax, the classes of persons and the </w:t>
      </w:r>
      <w:r w:rsidR="00230180">
        <w:t xml:space="preserve">classes of </w:t>
      </w:r>
      <w:r>
        <w:t xml:space="preserve">statutory evidentiary documents applying to the relevant fringe benefit, and the </w:t>
      </w:r>
      <w:r w:rsidR="009B5845">
        <w:t xml:space="preserve">kind of alternative documents or records an employer may use </w:t>
      </w:r>
      <w:r w:rsidR="009C4970">
        <w:t>to satisfy their record keeping obligations</w:t>
      </w:r>
      <w:r w:rsidR="009B5845">
        <w:t>.</w:t>
      </w:r>
      <w:r w:rsidR="00230180">
        <w:t xml:space="preserve"> Specifying different classes of persons and statutory documents in determinations enables the Commissioner to tailor</w:t>
      </w:r>
      <w:r w:rsidR="005D636E">
        <w:t xml:space="preserve"> determination</w:t>
      </w:r>
      <w:r w:rsidR="00F02D2A">
        <w:t>s</w:t>
      </w:r>
      <w:r w:rsidR="005D636E">
        <w:t xml:space="preserve"> to </w:t>
      </w:r>
      <w:r w:rsidR="00F02D2A">
        <w:t>various</w:t>
      </w:r>
      <w:r w:rsidR="005D636E">
        <w:t xml:space="preserve"> </w:t>
      </w:r>
      <w:r w:rsidR="009C4970">
        <w:t>types</w:t>
      </w:r>
      <w:r w:rsidR="005D636E">
        <w:t xml:space="preserve"> of fringe benefits</w:t>
      </w:r>
      <w:r w:rsidR="00E47312">
        <w:t xml:space="preserve"> and employers based on the different circumstances and compliance risks associated with employers in different parts of the economy</w:t>
      </w:r>
      <w:r w:rsidR="005D636E">
        <w:t xml:space="preserve">. </w:t>
      </w:r>
      <w:r w:rsidR="00230180">
        <w:t xml:space="preserve"> </w:t>
      </w:r>
      <w:r w:rsidR="009B5845">
        <w:br/>
      </w:r>
      <w:r w:rsidR="009B5845" w:rsidRPr="00262BA3">
        <w:rPr>
          <w:rStyle w:val="References"/>
        </w:rPr>
        <w:t xml:space="preserve">[Schedule </w:t>
      </w:r>
      <w:r w:rsidR="002D5986">
        <w:rPr>
          <w:rStyle w:val="References"/>
        </w:rPr>
        <w:t>1</w:t>
      </w:r>
      <w:r w:rsidR="009B5845" w:rsidRPr="00262BA3">
        <w:rPr>
          <w:rStyle w:val="References"/>
        </w:rPr>
        <w:t xml:space="preserve">, item </w:t>
      </w:r>
      <w:r w:rsidR="009B5845">
        <w:rPr>
          <w:rStyle w:val="References"/>
        </w:rPr>
        <w:t>1</w:t>
      </w:r>
      <w:r w:rsidR="009B5845" w:rsidRPr="00262BA3">
        <w:rPr>
          <w:rStyle w:val="References"/>
        </w:rPr>
        <w:t xml:space="preserve">, </w:t>
      </w:r>
      <w:r>
        <w:rPr>
          <w:rStyle w:val="References"/>
        </w:rPr>
        <w:t>paragraph</w:t>
      </w:r>
      <w:r w:rsidR="009B5845">
        <w:rPr>
          <w:rStyle w:val="References"/>
        </w:rPr>
        <w:t xml:space="preserve"> 123AA(2)</w:t>
      </w:r>
      <w:r>
        <w:rPr>
          <w:rStyle w:val="References"/>
        </w:rPr>
        <w:t>(a) to (d)</w:t>
      </w:r>
      <w:r w:rsidR="009B5845">
        <w:rPr>
          <w:rStyle w:val="References"/>
        </w:rPr>
        <w:t xml:space="preserve"> </w:t>
      </w:r>
      <w:r w:rsidR="009B5845" w:rsidRPr="00262BA3">
        <w:rPr>
          <w:rStyle w:val="References"/>
        </w:rPr>
        <w:t xml:space="preserve">of </w:t>
      </w:r>
      <w:r w:rsidR="009B5845">
        <w:rPr>
          <w:rStyle w:val="References"/>
        </w:rPr>
        <w:t>the FBTAA 1986</w:t>
      </w:r>
      <w:r w:rsidR="009B5845" w:rsidRPr="000C6C31">
        <w:rPr>
          <w:rStyle w:val="References"/>
        </w:rPr>
        <w:t xml:space="preserve">] </w:t>
      </w:r>
    </w:p>
    <w:p w14:paraId="6918331F" w14:textId="56B9738A" w:rsidR="005D636E" w:rsidRDefault="005D636E" w:rsidP="005D636E">
      <w:pPr>
        <w:pStyle w:val="Normalparatextwithnumbers"/>
      </w:pPr>
      <w:r>
        <w:t>While the option to use alternative records will generally reduce the record keeping burden for employers, it is not envisaged that the Commissioner will specify alternative record keeping options for all available fringe benefits</w:t>
      </w:r>
      <w:r w:rsidR="00095BD5">
        <w:t xml:space="preserve"> or all situations where fringe benefits may be provided</w:t>
      </w:r>
      <w:r>
        <w:t xml:space="preserve">. It is anticipated that for </w:t>
      </w:r>
      <w:r w:rsidR="00BA1A81">
        <w:t>records that are exhaustively defined within the legislation,</w:t>
      </w:r>
      <w:r>
        <w:t xml:space="preserve"> such as log books and odometer records, employers will continue to meet their record keeping obligations </w:t>
      </w:r>
      <w:r w:rsidR="00BA1A81">
        <w:t>under the current requirements</w:t>
      </w:r>
      <w:r>
        <w:t xml:space="preserve">. </w:t>
      </w:r>
    </w:p>
    <w:p w14:paraId="606E1B61" w14:textId="1A938856" w:rsidR="005D636E" w:rsidRDefault="005D636E" w:rsidP="005D636E">
      <w:pPr>
        <w:pStyle w:val="Normalparatextwithnumbers"/>
      </w:pPr>
      <w:r w:rsidRPr="0058400E">
        <w:t xml:space="preserve">Due to the wide range </w:t>
      </w:r>
      <w:r>
        <w:t xml:space="preserve">and varying complexity </w:t>
      </w:r>
      <w:r w:rsidRPr="0058400E">
        <w:t xml:space="preserve">of </w:t>
      </w:r>
      <w:r>
        <w:t xml:space="preserve">available </w:t>
      </w:r>
      <w:r w:rsidRPr="0058400E">
        <w:t>fringe benefit</w:t>
      </w:r>
      <w:r>
        <w:t xml:space="preserve">s and the circumstances to which they apply, employers may choose to continue to use the approved form or use adequate alternative records or use a combination of these options </w:t>
      </w:r>
      <w:r w:rsidR="000A0BB1">
        <w:t>for each benefit provided to an employee</w:t>
      </w:r>
      <w:r>
        <w:t xml:space="preserve">, to meet record keeping requirements. </w:t>
      </w:r>
    </w:p>
    <w:p w14:paraId="00E8FA56" w14:textId="165726E1" w:rsidR="00AC5993" w:rsidRDefault="0006556E" w:rsidP="000C7C29">
      <w:pPr>
        <w:pStyle w:val="Normalparatextwithnumbers"/>
      </w:pPr>
      <w:r>
        <w:t>A</w:t>
      </w:r>
      <w:r w:rsidR="00AC5993">
        <w:t xml:space="preserve"> </w:t>
      </w:r>
      <w:r w:rsidR="00F67C4B">
        <w:t>person who is an employer</w:t>
      </w:r>
      <w:r w:rsidR="007C733F">
        <w:t xml:space="preserve"> </w:t>
      </w:r>
      <w:r w:rsidR="00F67C4B">
        <w:t xml:space="preserve">is taken to keep and retain a statutory evidentiary document if, at a certain time, the person keeps and retains alternative documents or records of a kind specified in a determination made by the Commissioner. </w:t>
      </w:r>
      <w:r w:rsidR="005E0F20">
        <w:t xml:space="preserve">This allows employers to rely on their own record keeping processes </w:t>
      </w:r>
      <w:r w:rsidR="0068392B">
        <w:t xml:space="preserve">and systems </w:t>
      </w:r>
      <w:r w:rsidR="005E0F20">
        <w:t>rather than duplicating existing records to fulfil the</w:t>
      </w:r>
      <w:r w:rsidR="007F2F61">
        <w:t xml:space="preserve">ir </w:t>
      </w:r>
      <w:r w:rsidR="005E0F20">
        <w:t>FBT record keeping obligations, as long as the</w:t>
      </w:r>
      <w:r w:rsidR="007F2F61">
        <w:t>ir</w:t>
      </w:r>
      <w:r w:rsidR="005E0F20">
        <w:t xml:space="preserve"> existing records meet the requirements determined by the Commissioner</w:t>
      </w:r>
      <w:r w:rsidR="00373BA2">
        <w:t xml:space="preserve"> and provide the same information otherwise obtained in statutory evidence document</w:t>
      </w:r>
      <w:r w:rsidR="005E0F20">
        <w:t xml:space="preserve">. </w:t>
      </w:r>
      <w:r w:rsidR="000C7C29">
        <w:t>D</w:t>
      </w:r>
      <w:r w:rsidR="007C733F">
        <w:t>etermination</w:t>
      </w:r>
      <w:r w:rsidR="000C7C29">
        <w:t>s</w:t>
      </w:r>
      <w:r w:rsidR="007C733F">
        <w:t xml:space="preserve"> </w:t>
      </w:r>
      <w:r w:rsidR="000C7C29">
        <w:t xml:space="preserve">made by the Commissioner are </w:t>
      </w:r>
      <w:r w:rsidR="007C733F">
        <w:t xml:space="preserve">intended to apply to a variety of </w:t>
      </w:r>
      <w:r w:rsidR="007C733F" w:rsidRPr="00E425D1">
        <w:t>circumstances</w:t>
      </w:r>
      <w:r w:rsidR="007C733F">
        <w:t xml:space="preserve"> in which adequate alternative records are kept and retained by the employer for record keeping purposes. These circumstances include</w:t>
      </w:r>
      <w:r w:rsidR="007C733F" w:rsidRPr="00E425D1">
        <w:t xml:space="preserve"> </w:t>
      </w:r>
      <w:r w:rsidR="007C733F">
        <w:t xml:space="preserve">where the employer or associate holds existing adequate alternative records of a kind that can be taken to be a statutory evidentiary document, and </w:t>
      </w:r>
      <w:r w:rsidR="007C733F" w:rsidRPr="00E425D1">
        <w:t xml:space="preserve">where the recipient of the fringe benefit </w:t>
      </w:r>
      <w:r w:rsidR="007C733F">
        <w:t>gives</w:t>
      </w:r>
      <w:r w:rsidR="007C733F" w:rsidRPr="00E425D1">
        <w:t xml:space="preserve"> the employer</w:t>
      </w:r>
      <w:r w:rsidR="007C733F">
        <w:t xml:space="preserve"> a document of a kind that can be taken to be a statutory evidentiary document.</w:t>
      </w:r>
      <w:r>
        <w:br/>
      </w:r>
      <w:r w:rsidRPr="009B5845">
        <w:rPr>
          <w:rStyle w:val="References"/>
        </w:rPr>
        <w:t xml:space="preserve">[Schedule </w:t>
      </w:r>
      <w:r w:rsidR="002D5986">
        <w:rPr>
          <w:rStyle w:val="References"/>
        </w:rPr>
        <w:t>1</w:t>
      </w:r>
      <w:r w:rsidRPr="009B5845">
        <w:rPr>
          <w:rStyle w:val="References"/>
        </w:rPr>
        <w:t>, item</w:t>
      </w:r>
      <w:r>
        <w:rPr>
          <w:rStyle w:val="References"/>
        </w:rPr>
        <w:t xml:space="preserve"> 1</w:t>
      </w:r>
      <w:r w:rsidRPr="009B5845">
        <w:rPr>
          <w:rStyle w:val="References"/>
        </w:rPr>
        <w:t xml:space="preserve">, </w:t>
      </w:r>
      <w:r>
        <w:rPr>
          <w:rStyle w:val="References"/>
        </w:rPr>
        <w:t>subsection 123</w:t>
      </w:r>
      <w:proofErr w:type="gramStart"/>
      <w:r>
        <w:rPr>
          <w:rStyle w:val="References"/>
        </w:rPr>
        <w:t>AA(</w:t>
      </w:r>
      <w:proofErr w:type="gramEnd"/>
      <w:r>
        <w:rPr>
          <w:rStyle w:val="References"/>
        </w:rPr>
        <w:t>1) of the FBTAA 1986</w:t>
      </w:r>
      <w:r w:rsidRPr="003878F3">
        <w:rPr>
          <w:rStyle w:val="References"/>
        </w:rPr>
        <w:t>]</w:t>
      </w:r>
    </w:p>
    <w:p w14:paraId="277D472A" w14:textId="6980DE95" w:rsidR="00F67C4B" w:rsidRDefault="005D6022" w:rsidP="00F67C4B">
      <w:pPr>
        <w:pStyle w:val="Normalparatextwithnumbers"/>
      </w:pPr>
      <w:r>
        <w:t>T</w:t>
      </w:r>
      <w:r w:rsidR="00F67C4B">
        <w:t>he Commissioner’s determination applies to alternative records when the determination is in force and specifies the year</w:t>
      </w:r>
      <w:r w:rsidR="0016045B">
        <w:t>s</w:t>
      </w:r>
      <w:r w:rsidR="00F67C4B">
        <w:t xml:space="preserve"> of tax, the class</w:t>
      </w:r>
      <w:r w:rsidR="0016045B">
        <w:t>es</w:t>
      </w:r>
      <w:r w:rsidR="00F67C4B">
        <w:t xml:space="preserve"> of statutory evidentiary documents, the class</w:t>
      </w:r>
      <w:r w:rsidR="0016045B">
        <w:t>es</w:t>
      </w:r>
      <w:r w:rsidR="00F67C4B">
        <w:t xml:space="preserve"> of </w:t>
      </w:r>
      <w:r w:rsidR="0016045B">
        <w:t xml:space="preserve">employer </w:t>
      </w:r>
      <w:r w:rsidR="00F67C4B">
        <w:t>to which the determination applies, and the kind of alternative document</w:t>
      </w:r>
      <w:r w:rsidR="0016045B">
        <w:t>s</w:t>
      </w:r>
      <w:r w:rsidR="00F67C4B">
        <w:t xml:space="preserve"> specified in the determination. </w:t>
      </w:r>
      <w:r>
        <w:br/>
      </w:r>
      <w:r w:rsidRPr="009B5845">
        <w:rPr>
          <w:rStyle w:val="References"/>
        </w:rPr>
        <w:t xml:space="preserve">[Schedule </w:t>
      </w:r>
      <w:r w:rsidR="002D5986">
        <w:rPr>
          <w:rStyle w:val="References"/>
        </w:rPr>
        <w:t>1</w:t>
      </w:r>
      <w:r w:rsidRPr="009B5845">
        <w:rPr>
          <w:rStyle w:val="References"/>
        </w:rPr>
        <w:t>, item</w:t>
      </w:r>
      <w:r>
        <w:rPr>
          <w:rStyle w:val="References"/>
        </w:rPr>
        <w:t xml:space="preserve"> 1</w:t>
      </w:r>
      <w:r w:rsidRPr="009B5845">
        <w:rPr>
          <w:rStyle w:val="References"/>
        </w:rPr>
        <w:t xml:space="preserve">, </w:t>
      </w:r>
      <w:r w:rsidRPr="005D6022">
        <w:rPr>
          <w:rStyle w:val="References"/>
        </w:rPr>
        <w:t>paragraphs 123AA(1)(a) to (e) of the FBTAA 1986</w:t>
      </w:r>
      <w:r w:rsidRPr="003878F3">
        <w:rPr>
          <w:rStyle w:val="References"/>
        </w:rPr>
        <w:t xml:space="preserve">] </w:t>
      </w:r>
    </w:p>
    <w:p w14:paraId="3B263BFC" w14:textId="3984E694" w:rsidR="00F67C4B" w:rsidRDefault="00C90669" w:rsidP="00F67C4B">
      <w:pPr>
        <w:pStyle w:val="Normalparatextwithnumbers"/>
      </w:pPr>
      <w:r>
        <w:t>It is anticipated that</w:t>
      </w:r>
      <w:r w:rsidR="00BE0E34">
        <w:t xml:space="preserve"> </w:t>
      </w:r>
      <w:r>
        <w:t>t</w:t>
      </w:r>
      <w:r w:rsidR="00F67C4B">
        <w:t xml:space="preserve">here may be a wide variety of arrangements under which a certain fringe benefit is provided and for which statutory evidentiary documents must be kept and retained by the employer. </w:t>
      </w:r>
      <w:r w:rsidR="00BE0E34">
        <w:t xml:space="preserve">Consequently, </w:t>
      </w:r>
      <w:r w:rsidR="00F67C4B">
        <w:t xml:space="preserve">the Commissioner may </w:t>
      </w:r>
      <w:r w:rsidR="00BE0E34">
        <w:t>make determination</w:t>
      </w:r>
      <w:r w:rsidR="002E113F">
        <w:t>s</w:t>
      </w:r>
      <w:r w:rsidR="00BE0E34">
        <w:t xml:space="preserve"> </w:t>
      </w:r>
      <w:r w:rsidR="00D33DA7">
        <w:t>applying to</w:t>
      </w:r>
      <w:r w:rsidR="00745C62">
        <w:t xml:space="preserve"> certain fringe benefits</w:t>
      </w:r>
      <w:r w:rsidR="00D33DA7">
        <w:t xml:space="preserve"> </w:t>
      </w:r>
      <w:r w:rsidR="00F67C4B">
        <w:t>specify</w:t>
      </w:r>
      <w:r w:rsidR="00D33DA7">
        <w:t>ing</w:t>
      </w:r>
      <w:r w:rsidR="00F67C4B">
        <w:t xml:space="preserve"> that</w:t>
      </w:r>
      <w:r w:rsidR="00D33DA7">
        <w:t xml:space="preserve"> in relation to certain classes of persons and certain statutory evidentiary documents,</w:t>
      </w:r>
      <w:r w:rsidR="00F67C4B">
        <w:t xml:space="preserve"> different sets of alternative records may be taken to be statutory evidentiary documents. The Commissioner may also make further determinations specifying additional records which can be taken to be statutory evidentiary documents in relation to that fringe benefit. </w:t>
      </w:r>
      <w:r w:rsidR="00FA5B5C">
        <w:br/>
      </w:r>
      <w:r w:rsidR="00FA5B5C" w:rsidRPr="00481269">
        <w:rPr>
          <w:rStyle w:val="References"/>
        </w:rPr>
        <w:t xml:space="preserve">[Schedule </w:t>
      </w:r>
      <w:r w:rsidR="00FA5B5C">
        <w:rPr>
          <w:rStyle w:val="References"/>
        </w:rPr>
        <w:t>1</w:t>
      </w:r>
      <w:r w:rsidR="00FA5B5C" w:rsidRPr="00481269">
        <w:rPr>
          <w:rStyle w:val="References"/>
        </w:rPr>
        <w:t>, item</w:t>
      </w:r>
      <w:r w:rsidR="00FA5B5C">
        <w:rPr>
          <w:rStyle w:val="References"/>
        </w:rPr>
        <w:t xml:space="preserve"> 1</w:t>
      </w:r>
      <w:r w:rsidR="00FA5B5C" w:rsidRPr="00481269">
        <w:rPr>
          <w:rStyle w:val="References"/>
        </w:rPr>
        <w:t xml:space="preserve">, </w:t>
      </w:r>
      <w:r w:rsidR="00FA5B5C">
        <w:rPr>
          <w:rStyle w:val="References"/>
        </w:rPr>
        <w:t>paragraphs 123AA(1)(c) and 123AA(1)(d) of the FBTAA 1986</w:t>
      </w:r>
      <w:r w:rsidR="00FA5B5C" w:rsidRPr="00102C45">
        <w:rPr>
          <w:rStyle w:val="References"/>
        </w:rPr>
        <w:t xml:space="preserve">] </w:t>
      </w:r>
    </w:p>
    <w:p w14:paraId="44D81394" w14:textId="06E43144" w:rsidR="00F67C4B" w:rsidRDefault="00F67C4B" w:rsidP="00DC32A5">
      <w:pPr>
        <w:pStyle w:val="Normalparatextwithnumbers"/>
      </w:pPr>
      <w:r>
        <w:t>Where alternative records are kept and held by a third party in relation to a fringe benefit, and the person or associate has access to those records, the Commissioner may determine whether the person or associate is taken to keep and retain those alternative records</w:t>
      </w:r>
      <w:r w:rsidR="00481269">
        <w:t>.</w:t>
      </w:r>
      <w:r w:rsidR="00481269">
        <w:br/>
      </w:r>
      <w:r w:rsidR="00481269" w:rsidRPr="00102C45">
        <w:rPr>
          <w:rStyle w:val="References"/>
        </w:rPr>
        <w:t xml:space="preserve">[Schedule </w:t>
      </w:r>
      <w:r w:rsidR="00481269">
        <w:rPr>
          <w:rStyle w:val="References"/>
        </w:rPr>
        <w:t>1</w:t>
      </w:r>
      <w:r w:rsidR="00481269" w:rsidRPr="00102C45">
        <w:rPr>
          <w:rStyle w:val="References"/>
        </w:rPr>
        <w:t>, item</w:t>
      </w:r>
      <w:r w:rsidR="00481269">
        <w:rPr>
          <w:rStyle w:val="References"/>
        </w:rPr>
        <w:t xml:space="preserve"> 1,</w:t>
      </w:r>
      <w:r w:rsidR="00DC32A5">
        <w:rPr>
          <w:rStyle w:val="References"/>
        </w:rPr>
        <w:t xml:space="preserve"> paragraph 123AA(1)(e) of the FBTAA 1986</w:t>
      </w:r>
      <w:r w:rsidR="00481269" w:rsidRPr="00C274F7">
        <w:rPr>
          <w:rStyle w:val="References"/>
        </w:rPr>
        <w:t xml:space="preserve">] </w:t>
      </w:r>
    </w:p>
    <w:p w14:paraId="0E49E501" w14:textId="708216E1" w:rsidR="00F67C4B" w:rsidRDefault="0059712D" w:rsidP="00F67C4B">
      <w:pPr>
        <w:pStyle w:val="Normalparatextwithnumbers"/>
      </w:pPr>
      <w:r>
        <w:t>A</w:t>
      </w:r>
      <w:r w:rsidR="00F67C4B">
        <w:t xml:space="preserve"> determination made by the Commissioner may only specify kinds of documents or records if the Commissioner is reasonably satisfied that such documents or records are an adequate alternative to the statutory evidentiary documents for the applicable fringe benefit. If the Commissioner is not reasonably satisfied that adequate alternative records are available for certain fringe benefits, employers are expected to continue utilising the approved form to ensure they retain statutory evidentiary documents that meet their record keeping obligations. </w:t>
      </w:r>
      <w:r w:rsidR="0082351C">
        <w:br/>
      </w:r>
      <w:r w:rsidR="0082351C" w:rsidRPr="00E166D4">
        <w:rPr>
          <w:rStyle w:val="References"/>
        </w:rPr>
        <w:t xml:space="preserve">[Schedule </w:t>
      </w:r>
      <w:r w:rsidR="0082351C">
        <w:rPr>
          <w:rStyle w:val="References"/>
        </w:rPr>
        <w:t>1,</w:t>
      </w:r>
      <w:r w:rsidR="0082351C" w:rsidRPr="00E166D4">
        <w:rPr>
          <w:rStyle w:val="References"/>
        </w:rPr>
        <w:t xml:space="preserve"> item</w:t>
      </w:r>
      <w:r w:rsidR="0082351C">
        <w:rPr>
          <w:rStyle w:val="References"/>
        </w:rPr>
        <w:t xml:space="preserve"> 1</w:t>
      </w:r>
      <w:r w:rsidR="0082351C" w:rsidRPr="00E166D4">
        <w:rPr>
          <w:rStyle w:val="References"/>
        </w:rPr>
        <w:t>,</w:t>
      </w:r>
      <w:r w:rsidR="0082351C">
        <w:rPr>
          <w:rStyle w:val="References"/>
        </w:rPr>
        <w:t xml:space="preserve"> subsection 123A(3) of the FBTAA 1986</w:t>
      </w:r>
      <w:r w:rsidR="0082351C" w:rsidRPr="00E166D4">
        <w:rPr>
          <w:rStyle w:val="References"/>
        </w:rPr>
        <w:t xml:space="preserve">] </w:t>
      </w:r>
      <w:bookmarkEnd w:id="5"/>
      <w:bookmarkEnd w:id="42"/>
    </w:p>
    <w:sectPr w:rsidR="00F67C4B" w:rsidSect="00000BFC">
      <w:headerReference w:type="even" r:id="rId18"/>
      <w:headerReference w:type="default" r:id="rId19"/>
      <w:headerReference w:type="first" r:id="rId20"/>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90502" w14:textId="77777777" w:rsidR="006A163D" w:rsidRDefault="006A163D">
      <w:pPr>
        <w:spacing w:before="0" w:after="0"/>
      </w:pPr>
      <w:r>
        <w:separator/>
      </w:r>
    </w:p>
  </w:endnote>
  <w:endnote w:type="continuationSeparator" w:id="0">
    <w:p w14:paraId="5295A696" w14:textId="77777777" w:rsidR="006A163D" w:rsidRDefault="006A16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7F79" w14:textId="77777777" w:rsidR="00481269" w:rsidRDefault="00481269"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2485" w14:textId="77777777" w:rsidR="00481269" w:rsidRPr="004D61CF" w:rsidRDefault="00481269"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D269" w14:textId="77777777" w:rsidR="00481269" w:rsidRPr="00091474" w:rsidRDefault="00481269"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8EBEA" w14:textId="77777777" w:rsidR="006A163D" w:rsidRDefault="006A163D">
      <w:pPr>
        <w:spacing w:before="0" w:after="0"/>
      </w:pPr>
      <w:r>
        <w:separator/>
      </w:r>
    </w:p>
  </w:footnote>
  <w:footnote w:type="continuationSeparator" w:id="0">
    <w:p w14:paraId="6FDD8FCE" w14:textId="77777777" w:rsidR="006A163D" w:rsidRDefault="006A16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18D2E147" w14:textId="77777777" w:rsidR="00481269" w:rsidRDefault="00871D4B">
        <w:pPr>
          <w:pStyle w:val="Header"/>
        </w:pPr>
        <w:r>
          <w:rPr>
            <w:noProof/>
          </w:rPr>
          <w:pict w14:anchorId="4BB8B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52C8" w14:textId="77777777" w:rsidR="00481269" w:rsidRDefault="00481269"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2FFF" w14:textId="77777777" w:rsidR="00481269" w:rsidRPr="009106AC" w:rsidRDefault="00481269"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4807" w14:textId="7F0A5646" w:rsidR="00481269" w:rsidRPr="0070093E" w:rsidRDefault="00481269"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681D73">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DCE4" w14:textId="77777777" w:rsidR="00481269" w:rsidRDefault="004812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93FD2" w14:textId="7268A612" w:rsidR="00481269" w:rsidRPr="00816825" w:rsidRDefault="006A163D" w:rsidP="002425D9">
    <w:pPr>
      <w:pStyle w:val="leftheader"/>
    </w:pPr>
    <w:fldSimple w:instr=" STYLEREF  &quot;Heading 1&quot;  \* MERGEFORMAT ">
      <w:r w:rsidR="00871D4B" w:rsidRPr="00871D4B">
        <w:rPr>
          <w:noProof/>
          <w:lang w:val="en-US"/>
        </w:rPr>
        <w:t>Glossary</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02C8" w14:textId="77777777" w:rsidR="00481269" w:rsidRPr="00091474" w:rsidRDefault="00481269"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1E6B" w14:textId="77777777" w:rsidR="00481269" w:rsidRDefault="0048126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6234" w14:textId="537FB5F5" w:rsidR="00481269" w:rsidRPr="00285DF0" w:rsidRDefault="00871D4B" w:rsidP="00285DF0">
    <w:pPr>
      <w:pStyle w:val="leftheader"/>
    </w:pPr>
    <w:r>
      <w:fldChar w:fldCharType="begin"/>
    </w:r>
    <w:r>
      <w:instrText xml:space="preserve"> STYLEREF "Chapter heading" \* MERGEFORMAT </w:instrText>
    </w:r>
    <w:r>
      <w:fldChar w:fldCharType="separate"/>
    </w:r>
    <w:r>
      <w:rPr>
        <w:noProof/>
      </w:rPr>
      <w:t>Fringe benefits tax record keeping</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2BB9" w14:textId="42121D31" w:rsidR="00481269" w:rsidRPr="00A74B1A" w:rsidRDefault="006A163D" w:rsidP="00A74B1A">
    <w:pPr>
      <w:pStyle w:val="rightheader"/>
    </w:pPr>
    <w:fldSimple w:instr=" STYLEREF &quot;Bill Name&quot; \* MERGEFORMAT ">
      <w:r w:rsidR="00871D4B">
        <w:rPr>
          <w:noProof/>
        </w:rPr>
        <w:t>treasury laws amendment Bill 2022: fbt record keeping</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4333689"/>
    <w:multiLevelType w:val="multilevel"/>
    <w:tmpl w:val="9B14EFA4"/>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0"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2"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DF6494"/>
    <w:multiLevelType w:val="multilevel"/>
    <w:tmpl w:val="A316FE50"/>
    <w:numStyleLink w:val="ChapterList"/>
  </w:abstractNum>
  <w:abstractNum w:abstractNumId="14"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7"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6"/>
  </w:num>
  <w:num w:numId="7">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7"/>
  </w:num>
  <w:num w:numId="9">
    <w:abstractNumId w:val="17"/>
  </w:num>
  <w:num w:numId="10">
    <w:abstractNumId w:val="10"/>
  </w:num>
  <w:num w:numId="11">
    <w:abstractNumId w:val="9"/>
  </w:num>
  <w:num w:numId="12">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5"/>
  </w:num>
  <w:num w:numId="14">
    <w:abstractNumId w:val="12"/>
  </w:num>
  <w:num w:numId="15">
    <w:abstractNumId w:val="14"/>
  </w:num>
  <w:num w:numId="16">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7"/>
  </w:num>
  <w:num w:numId="18">
    <w:abstractNumId w:val="4"/>
  </w:num>
  <w:num w:numId="19">
    <w:abstractNumId w:val="11"/>
  </w:num>
  <w:num w:numId="20">
    <w:abstractNumId w:val="16"/>
  </w:num>
  <w:num w:numId="21">
    <w:abstractNumId w:val="15"/>
  </w:num>
  <w:num w:numId="22">
    <w:abstractNumId w:val="3"/>
  </w:num>
  <w:num w:numId="23">
    <w:abstractNumId w:val="1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8"/>
  </w:num>
  <w:num w:numId="25">
    <w:abstractNumId w:val="1"/>
  </w:num>
  <w:num w:numId="26">
    <w:abstractNumId w:val="0"/>
  </w:num>
  <w:num w:numId="27">
    <w:abstractNumId w:val="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4B"/>
    <w:rsid w:val="00000BFC"/>
    <w:rsid w:val="000042DE"/>
    <w:rsid w:val="00012415"/>
    <w:rsid w:val="00016836"/>
    <w:rsid w:val="00017B8A"/>
    <w:rsid w:val="00021DAA"/>
    <w:rsid w:val="00040058"/>
    <w:rsid w:val="00047FF2"/>
    <w:rsid w:val="00053974"/>
    <w:rsid w:val="0006556E"/>
    <w:rsid w:val="000851AE"/>
    <w:rsid w:val="00087F47"/>
    <w:rsid w:val="00087FE9"/>
    <w:rsid w:val="00090A2C"/>
    <w:rsid w:val="00092FC3"/>
    <w:rsid w:val="00095BD5"/>
    <w:rsid w:val="000A0BB1"/>
    <w:rsid w:val="000A22BE"/>
    <w:rsid w:val="000A3230"/>
    <w:rsid w:val="000B7D6E"/>
    <w:rsid w:val="000C7C29"/>
    <w:rsid w:val="000D3FE7"/>
    <w:rsid w:val="000D4CC3"/>
    <w:rsid w:val="000E4D39"/>
    <w:rsid w:val="000E521B"/>
    <w:rsid w:val="000F0909"/>
    <w:rsid w:val="000F2ACC"/>
    <w:rsid w:val="000F4160"/>
    <w:rsid w:val="00102C45"/>
    <w:rsid w:val="00105E85"/>
    <w:rsid w:val="00106FDC"/>
    <w:rsid w:val="00113133"/>
    <w:rsid w:val="00115509"/>
    <w:rsid w:val="001227A2"/>
    <w:rsid w:val="001245EB"/>
    <w:rsid w:val="00133C52"/>
    <w:rsid w:val="00141701"/>
    <w:rsid w:val="00157FCF"/>
    <w:rsid w:val="0016045B"/>
    <w:rsid w:val="00163457"/>
    <w:rsid w:val="00170C78"/>
    <w:rsid w:val="00177A9F"/>
    <w:rsid w:val="00195D1C"/>
    <w:rsid w:val="001963E7"/>
    <w:rsid w:val="001B07FA"/>
    <w:rsid w:val="001B1306"/>
    <w:rsid w:val="001B20A8"/>
    <w:rsid w:val="001C5CBF"/>
    <w:rsid w:val="001D1E64"/>
    <w:rsid w:val="001E01BF"/>
    <w:rsid w:val="001F1123"/>
    <w:rsid w:val="00201D0E"/>
    <w:rsid w:val="00213FFF"/>
    <w:rsid w:val="00230180"/>
    <w:rsid w:val="00230C17"/>
    <w:rsid w:val="0023409D"/>
    <w:rsid w:val="002425D9"/>
    <w:rsid w:val="00242B2A"/>
    <w:rsid w:val="0024784F"/>
    <w:rsid w:val="00250844"/>
    <w:rsid w:val="00260B8B"/>
    <w:rsid w:val="00262BA3"/>
    <w:rsid w:val="002704BC"/>
    <w:rsid w:val="00274D5C"/>
    <w:rsid w:val="00276753"/>
    <w:rsid w:val="00280FA9"/>
    <w:rsid w:val="002847E7"/>
    <w:rsid w:val="00285DF0"/>
    <w:rsid w:val="002872AB"/>
    <w:rsid w:val="002935AC"/>
    <w:rsid w:val="00297081"/>
    <w:rsid w:val="002A2137"/>
    <w:rsid w:val="002A41F4"/>
    <w:rsid w:val="002A52E5"/>
    <w:rsid w:val="002B0B67"/>
    <w:rsid w:val="002B13DC"/>
    <w:rsid w:val="002B1D9E"/>
    <w:rsid w:val="002B623C"/>
    <w:rsid w:val="002B6F60"/>
    <w:rsid w:val="002C78D6"/>
    <w:rsid w:val="002D080A"/>
    <w:rsid w:val="002D20FB"/>
    <w:rsid w:val="002D5986"/>
    <w:rsid w:val="002E113F"/>
    <w:rsid w:val="002E1997"/>
    <w:rsid w:val="002F1CB0"/>
    <w:rsid w:val="002F4B60"/>
    <w:rsid w:val="00302DE2"/>
    <w:rsid w:val="00315D81"/>
    <w:rsid w:val="003219F4"/>
    <w:rsid w:val="00351274"/>
    <w:rsid w:val="00351D4D"/>
    <w:rsid w:val="00354AFB"/>
    <w:rsid w:val="003555C2"/>
    <w:rsid w:val="003556BF"/>
    <w:rsid w:val="00363B0E"/>
    <w:rsid w:val="0036790F"/>
    <w:rsid w:val="0037192D"/>
    <w:rsid w:val="00373BA2"/>
    <w:rsid w:val="00387402"/>
    <w:rsid w:val="003878F3"/>
    <w:rsid w:val="0039391C"/>
    <w:rsid w:val="003953F1"/>
    <w:rsid w:val="003958FC"/>
    <w:rsid w:val="003971ED"/>
    <w:rsid w:val="003A0372"/>
    <w:rsid w:val="003D0BF4"/>
    <w:rsid w:val="003E76F6"/>
    <w:rsid w:val="003F162F"/>
    <w:rsid w:val="003F1AD7"/>
    <w:rsid w:val="004022DB"/>
    <w:rsid w:val="0040706C"/>
    <w:rsid w:val="00414017"/>
    <w:rsid w:val="00427EDF"/>
    <w:rsid w:val="00430A32"/>
    <w:rsid w:val="004429CB"/>
    <w:rsid w:val="00455B42"/>
    <w:rsid w:val="004603EF"/>
    <w:rsid w:val="00465B84"/>
    <w:rsid w:val="00467A60"/>
    <w:rsid w:val="00473BA3"/>
    <w:rsid w:val="0047593B"/>
    <w:rsid w:val="00477C04"/>
    <w:rsid w:val="00481269"/>
    <w:rsid w:val="0048310D"/>
    <w:rsid w:val="00485FD0"/>
    <w:rsid w:val="00491DED"/>
    <w:rsid w:val="00492729"/>
    <w:rsid w:val="00495754"/>
    <w:rsid w:val="00496C21"/>
    <w:rsid w:val="00496C98"/>
    <w:rsid w:val="004971E2"/>
    <w:rsid w:val="004B1C70"/>
    <w:rsid w:val="004B1F33"/>
    <w:rsid w:val="004C5A95"/>
    <w:rsid w:val="004D091E"/>
    <w:rsid w:val="004D39DC"/>
    <w:rsid w:val="004F23C3"/>
    <w:rsid w:val="004F7C15"/>
    <w:rsid w:val="00505347"/>
    <w:rsid w:val="005066F5"/>
    <w:rsid w:val="00517D6E"/>
    <w:rsid w:val="00531C67"/>
    <w:rsid w:val="005356CB"/>
    <w:rsid w:val="005506BD"/>
    <w:rsid w:val="005515C0"/>
    <w:rsid w:val="005517C3"/>
    <w:rsid w:val="00564703"/>
    <w:rsid w:val="0056675C"/>
    <w:rsid w:val="00587264"/>
    <w:rsid w:val="0059200B"/>
    <w:rsid w:val="0059712D"/>
    <w:rsid w:val="005A3AA3"/>
    <w:rsid w:val="005C2BD1"/>
    <w:rsid w:val="005D0844"/>
    <w:rsid w:val="005D169F"/>
    <w:rsid w:val="005D341D"/>
    <w:rsid w:val="005D5F12"/>
    <w:rsid w:val="005D6022"/>
    <w:rsid w:val="005D636E"/>
    <w:rsid w:val="005D75B7"/>
    <w:rsid w:val="005E0F20"/>
    <w:rsid w:val="005E1542"/>
    <w:rsid w:val="006042C2"/>
    <w:rsid w:val="006075C9"/>
    <w:rsid w:val="00620F42"/>
    <w:rsid w:val="00622763"/>
    <w:rsid w:val="006235C8"/>
    <w:rsid w:val="00624905"/>
    <w:rsid w:val="00630725"/>
    <w:rsid w:val="00642420"/>
    <w:rsid w:val="006479AC"/>
    <w:rsid w:val="00665A5C"/>
    <w:rsid w:val="0067011B"/>
    <w:rsid w:val="00672619"/>
    <w:rsid w:val="00681D73"/>
    <w:rsid w:val="00683847"/>
    <w:rsid w:val="0068392B"/>
    <w:rsid w:val="00690FF7"/>
    <w:rsid w:val="006A163D"/>
    <w:rsid w:val="006A2BC6"/>
    <w:rsid w:val="006A425D"/>
    <w:rsid w:val="006A4A97"/>
    <w:rsid w:val="006C192F"/>
    <w:rsid w:val="006C40A4"/>
    <w:rsid w:val="006E0237"/>
    <w:rsid w:val="006E699E"/>
    <w:rsid w:val="006F4407"/>
    <w:rsid w:val="006F6E64"/>
    <w:rsid w:val="007145E8"/>
    <w:rsid w:val="00720D3C"/>
    <w:rsid w:val="007316F6"/>
    <w:rsid w:val="00731BE4"/>
    <w:rsid w:val="0073326A"/>
    <w:rsid w:val="00734196"/>
    <w:rsid w:val="00734238"/>
    <w:rsid w:val="00740228"/>
    <w:rsid w:val="007426A8"/>
    <w:rsid w:val="00745C62"/>
    <w:rsid w:val="007479A1"/>
    <w:rsid w:val="00750A85"/>
    <w:rsid w:val="00752137"/>
    <w:rsid w:val="00752190"/>
    <w:rsid w:val="00763484"/>
    <w:rsid w:val="00766AE2"/>
    <w:rsid w:val="00766B37"/>
    <w:rsid w:val="007670EC"/>
    <w:rsid w:val="0077206A"/>
    <w:rsid w:val="00777A92"/>
    <w:rsid w:val="007850A3"/>
    <w:rsid w:val="00790A97"/>
    <w:rsid w:val="007A2DBD"/>
    <w:rsid w:val="007B1509"/>
    <w:rsid w:val="007B6304"/>
    <w:rsid w:val="007B74EF"/>
    <w:rsid w:val="007C1F94"/>
    <w:rsid w:val="007C217E"/>
    <w:rsid w:val="007C6371"/>
    <w:rsid w:val="007C733F"/>
    <w:rsid w:val="007D0737"/>
    <w:rsid w:val="007D496B"/>
    <w:rsid w:val="007E1ED8"/>
    <w:rsid w:val="007E5741"/>
    <w:rsid w:val="007E62B0"/>
    <w:rsid w:val="007F2F61"/>
    <w:rsid w:val="007F3B53"/>
    <w:rsid w:val="008022FE"/>
    <w:rsid w:val="00806DC6"/>
    <w:rsid w:val="008111C7"/>
    <w:rsid w:val="00811EDE"/>
    <w:rsid w:val="008132B7"/>
    <w:rsid w:val="0082284C"/>
    <w:rsid w:val="0082351C"/>
    <w:rsid w:val="00830CF1"/>
    <w:rsid w:val="00840882"/>
    <w:rsid w:val="00861D14"/>
    <w:rsid w:val="00870071"/>
    <w:rsid w:val="00871D4B"/>
    <w:rsid w:val="00873094"/>
    <w:rsid w:val="00883A1C"/>
    <w:rsid w:val="00894A05"/>
    <w:rsid w:val="008A3491"/>
    <w:rsid w:val="008A5A27"/>
    <w:rsid w:val="008B095E"/>
    <w:rsid w:val="008C3BE8"/>
    <w:rsid w:val="008C5717"/>
    <w:rsid w:val="008C5C70"/>
    <w:rsid w:val="008E3DC9"/>
    <w:rsid w:val="008F268F"/>
    <w:rsid w:val="00907EB9"/>
    <w:rsid w:val="009275EE"/>
    <w:rsid w:val="00945DEC"/>
    <w:rsid w:val="00966650"/>
    <w:rsid w:val="009673E0"/>
    <w:rsid w:val="009747C3"/>
    <w:rsid w:val="00983D88"/>
    <w:rsid w:val="00995D22"/>
    <w:rsid w:val="009A2909"/>
    <w:rsid w:val="009B5845"/>
    <w:rsid w:val="009C2DFA"/>
    <w:rsid w:val="009C4970"/>
    <w:rsid w:val="009D095E"/>
    <w:rsid w:val="009D3C72"/>
    <w:rsid w:val="009F3215"/>
    <w:rsid w:val="009F3FA5"/>
    <w:rsid w:val="00A04BF2"/>
    <w:rsid w:val="00A07C8D"/>
    <w:rsid w:val="00A13BEA"/>
    <w:rsid w:val="00A14DFF"/>
    <w:rsid w:val="00A15603"/>
    <w:rsid w:val="00A26C75"/>
    <w:rsid w:val="00A325B5"/>
    <w:rsid w:val="00A42F95"/>
    <w:rsid w:val="00A444AF"/>
    <w:rsid w:val="00A50270"/>
    <w:rsid w:val="00A604FC"/>
    <w:rsid w:val="00A63A51"/>
    <w:rsid w:val="00A70B6B"/>
    <w:rsid w:val="00A70F09"/>
    <w:rsid w:val="00A7111A"/>
    <w:rsid w:val="00A74B1A"/>
    <w:rsid w:val="00A8452E"/>
    <w:rsid w:val="00A855B9"/>
    <w:rsid w:val="00A85CDE"/>
    <w:rsid w:val="00A86A40"/>
    <w:rsid w:val="00A926D3"/>
    <w:rsid w:val="00A9588A"/>
    <w:rsid w:val="00AA2654"/>
    <w:rsid w:val="00AC3AD8"/>
    <w:rsid w:val="00AC5993"/>
    <w:rsid w:val="00AE0629"/>
    <w:rsid w:val="00AE674E"/>
    <w:rsid w:val="00AF50CE"/>
    <w:rsid w:val="00AF7CC4"/>
    <w:rsid w:val="00B06C7A"/>
    <w:rsid w:val="00B255C5"/>
    <w:rsid w:val="00B36649"/>
    <w:rsid w:val="00B529EC"/>
    <w:rsid w:val="00B61486"/>
    <w:rsid w:val="00B61EF2"/>
    <w:rsid w:val="00B65CF9"/>
    <w:rsid w:val="00B7393A"/>
    <w:rsid w:val="00B75DE1"/>
    <w:rsid w:val="00B77D03"/>
    <w:rsid w:val="00B8187E"/>
    <w:rsid w:val="00B86E4F"/>
    <w:rsid w:val="00B96479"/>
    <w:rsid w:val="00BA1A81"/>
    <w:rsid w:val="00BA54C2"/>
    <w:rsid w:val="00BB133C"/>
    <w:rsid w:val="00BC2E4A"/>
    <w:rsid w:val="00BC3F1E"/>
    <w:rsid w:val="00BD0751"/>
    <w:rsid w:val="00BD38FF"/>
    <w:rsid w:val="00BD56ED"/>
    <w:rsid w:val="00BE0E34"/>
    <w:rsid w:val="00BE23B2"/>
    <w:rsid w:val="00BE5BC9"/>
    <w:rsid w:val="00BF2B36"/>
    <w:rsid w:val="00BF575A"/>
    <w:rsid w:val="00C11A96"/>
    <w:rsid w:val="00C2087B"/>
    <w:rsid w:val="00C23BBE"/>
    <w:rsid w:val="00C2649F"/>
    <w:rsid w:val="00C274F7"/>
    <w:rsid w:val="00C42141"/>
    <w:rsid w:val="00C50D67"/>
    <w:rsid w:val="00C5492C"/>
    <w:rsid w:val="00C57052"/>
    <w:rsid w:val="00C7496F"/>
    <w:rsid w:val="00C90669"/>
    <w:rsid w:val="00CA4E07"/>
    <w:rsid w:val="00CA62AE"/>
    <w:rsid w:val="00CB3CB6"/>
    <w:rsid w:val="00CB4F57"/>
    <w:rsid w:val="00CC0025"/>
    <w:rsid w:val="00CE153B"/>
    <w:rsid w:val="00CE2639"/>
    <w:rsid w:val="00CE5B6B"/>
    <w:rsid w:val="00CF16E1"/>
    <w:rsid w:val="00CF5358"/>
    <w:rsid w:val="00CF6524"/>
    <w:rsid w:val="00D02601"/>
    <w:rsid w:val="00D04933"/>
    <w:rsid w:val="00D21B7A"/>
    <w:rsid w:val="00D33AF3"/>
    <w:rsid w:val="00D33DA7"/>
    <w:rsid w:val="00D34E72"/>
    <w:rsid w:val="00D366DF"/>
    <w:rsid w:val="00D4061A"/>
    <w:rsid w:val="00D4083B"/>
    <w:rsid w:val="00D62D5A"/>
    <w:rsid w:val="00D7166A"/>
    <w:rsid w:val="00D71A86"/>
    <w:rsid w:val="00D750C3"/>
    <w:rsid w:val="00D85918"/>
    <w:rsid w:val="00D85956"/>
    <w:rsid w:val="00D85D04"/>
    <w:rsid w:val="00D875AD"/>
    <w:rsid w:val="00D92B1E"/>
    <w:rsid w:val="00D92D54"/>
    <w:rsid w:val="00DA3496"/>
    <w:rsid w:val="00DB0A95"/>
    <w:rsid w:val="00DB5797"/>
    <w:rsid w:val="00DC32A5"/>
    <w:rsid w:val="00DC656B"/>
    <w:rsid w:val="00DD6655"/>
    <w:rsid w:val="00DD6CB7"/>
    <w:rsid w:val="00DE4785"/>
    <w:rsid w:val="00DE6EBD"/>
    <w:rsid w:val="00DF5D0C"/>
    <w:rsid w:val="00DF647C"/>
    <w:rsid w:val="00E020D6"/>
    <w:rsid w:val="00E073DA"/>
    <w:rsid w:val="00E1141F"/>
    <w:rsid w:val="00E1142A"/>
    <w:rsid w:val="00E166D4"/>
    <w:rsid w:val="00E17D90"/>
    <w:rsid w:val="00E2336E"/>
    <w:rsid w:val="00E24AA1"/>
    <w:rsid w:val="00E26B56"/>
    <w:rsid w:val="00E27D54"/>
    <w:rsid w:val="00E326A8"/>
    <w:rsid w:val="00E47312"/>
    <w:rsid w:val="00E50554"/>
    <w:rsid w:val="00E50C1B"/>
    <w:rsid w:val="00E515E3"/>
    <w:rsid w:val="00E53D6E"/>
    <w:rsid w:val="00E57971"/>
    <w:rsid w:val="00E72862"/>
    <w:rsid w:val="00E7751B"/>
    <w:rsid w:val="00E82A43"/>
    <w:rsid w:val="00E92E7C"/>
    <w:rsid w:val="00E93DEB"/>
    <w:rsid w:val="00E95EB2"/>
    <w:rsid w:val="00EA4556"/>
    <w:rsid w:val="00EC0117"/>
    <w:rsid w:val="00ED1101"/>
    <w:rsid w:val="00ED5E39"/>
    <w:rsid w:val="00EF6DB8"/>
    <w:rsid w:val="00F02D2A"/>
    <w:rsid w:val="00F04C67"/>
    <w:rsid w:val="00F0543E"/>
    <w:rsid w:val="00F16C15"/>
    <w:rsid w:val="00F20405"/>
    <w:rsid w:val="00F209F8"/>
    <w:rsid w:val="00F22F58"/>
    <w:rsid w:val="00F254C2"/>
    <w:rsid w:val="00F30872"/>
    <w:rsid w:val="00F426D8"/>
    <w:rsid w:val="00F554CF"/>
    <w:rsid w:val="00F558BD"/>
    <w:rsid w:val="00F5791A"/>
    <w:rsid w:val="00F62519"/>
    <w:rsid w:val="00F64429"/>
    <w:rsid w:val="00F67C4B"/>
    <w:rsid w:val="00F71310"/>
    <w:rsid w:val="00F72AEE"/>
    <w:rsid w:val="00F76029"/>
    <w:rsid w:val="00F772C6"/>
    <w:rsid w:val="00F80938"/>
    <w:rsid w:val="00F9617A"/>
    <w:rsid w:val="00FA5B5C"/>
    <w:rsid w:val="00FA7A74"/>
    <w:rsid w:val="00FB3200"/>
    <w:rsid w:val="00FE23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7A5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paragraph" w:styleId="Heading7">
    <w:name w:val="heading 7"/>
    <w:basedOn w:val="Normal"/>
    <w:next w:val="Normal"/>
    <w:link w:val="Heading7Char"/>
    <w:qFormat/>
    <w:rsid w:val="00F0543E"/>
    <w:pPr>
      <w:keepNext/>
      <w:keepLines/>
      <w:spacing w:before="40" w:after="0" w:line="259" w:lineRule="auto"/>
      <w:ind w:left="2520" w:hanging="360"/>
      <w:outlineLvl w:val="6"/>
    </w:pPr>
    <w:rPr>
      <w:rFonts w:asciiTheme="majorHAnsi" w:eastAsiaTheme="majorEastAsia" w:hAnsiTheme="majorHAnsi" w:cstheme="majorBidi"/>
      <w:i/>
      <w:iCs/>
      <w:color w:val="1F3763" w:themeColor="accent1" w:themeShade="7F"/>
      <w:sz w:val="3276"/>
      <w:szCs w:val="3276"/>
      <w:lang w:eastAsia="en-AU"/>
    </w:rPr>
  </w:style>
  <w:style w:type="paragraph" w:styleId="Heading8">
    <w:name w:val="heading 8"/>
    <w:basedOn w:val="Normal"/>
    <w:next w:val="Normal"/>
    <w:link w:val="Heading8Char"/>
    <w:qFormat/>
    <w:rsid w:val="00F0543E"/>
    <w:pPr>
      <w:keepNext/>
      <w:keepLines/>
      <w:spacing w:before="40" w:after="0" w:line="259" w:lineRule="auto"/>
      <w:ind w:left="2880" w:hanging="360"/>
      <w:outlineLvl w:val="7"/>
    </w:pPr>
    <w:rPr>
      <w:rFonts w:asciiTheme="majorHAnsi" w:eastAsiaTheme="majorEastAsia" w:hAnsiTheme="majorHAnsi" w:cstheme="majorBidi"/>
      <w:color w:val="272727" w:themeColor="text1" w:themeTint="D8"/>
      <w:sz w:val="21"/>
      <w:szCs w:val="21"/>
      <w:lang w:eastAsia="en-AU"/>
    </w:rPr>
  </w:style>
  <w:style w:type="paragraph" w:styleId="Heading9">
    <w:name w:val="heading 9"/>
    <w:basedOn w:val="Normal"/>
    <w:next w:val="Normal"/>
    <w:link w:val="Heading9Char"/>
    <w:qFormat/>
    <w:rsid w:val="00F0543E"/>
    <w:pPr>
      <w:keepNext/>
      <w:keepLines/>
      <w:spacing w:before="40" w:after="0" w:line="259" w:lineRule="auto"/>
      <w:ind w:left="3240" w:hanging="360"/>
      <w:outlineLvl w:val="8"/>
    </w:pPr>
    <w:rPr>
      <w:rFonts w:asciiTheme="majorHAnsi" w:eastAsiaTheme="majorEastAsia" w:hAnsiTheme="majorHAnsi" w:cstheme="majorBidi"/>
      <w:i/>
      <w:iCs/>
      <w:color w:val="272727" w:themeColor="text1" w:themeTint="D8"/>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rsid w:val="00492729"/>
    <w:pPr>
      <w:numPr>
        <w:ilvl w:val="3"/>
      </w:numPr>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customStyle="1" w:styleId="base-text-paragraphnonumbers">
    <w:name w:val="base-text-paragraph no numbers"/>
    <w:basedOn w:val="Normal"/>
    <w:qFormat/>
    <w:rsid w:val="00F67C4B"/>
    <w:pPr>
      <w:ind w:left="1134"/>
    </w:pPr>
    <w:rPr>
      <w:rFonts w:eastAsia="Times New Roman" w:cs="Times New Roman"/>
      <w:szCs w:val="20"/>
      <w:lang w:eastAsia="en-AU"/>
    </w:rPr>
  </w:style>
  <w:style w:type="paragraph" w:customStyle="1" w:styleId="base-text-paragraph">
    <w:name w:val="base-text-paragraph"/>
    <w:basedOn w:val="Normal"/>
    <w:link w:val="base-text-paragraphChar"/>
    <w:qFormat/>
    <w:rsid w:val="00F67C4B"/>
    <w:pPr>
      <w:tabs>
        <w:tab w:val="num" w:pos="1985"/>
      </w:tabs>
      <w:ind w:left="1134"/>
    </w:pPr>
    <w:rPr>
      <w:rFonts w:eastAsia="Times New Roman" w:cs="Times New Roman"/>
      <w:szCs w:val="20"/>
      <w:lang w:eastAsia="en-AU"/>
    </w:rPr>
  </w:style>
  <w:style w:type="character" w:customStyle="1" w:styleId="base-text-paragraphChar">
    <w:name w:val="base-text-paragraph Char"/>
    <w:basedOn w:val="DefaultParagraphFont"/>
    <w:link w:val="base-text-paragraph"/>
    <w:rsid w:val="00F67C4B"/>
    <w:rPr>
      <w:rFonts w:ascii="Times New Roman" w:eastAsia="Times New Roman" w:hAnsi="Times New Roman" w:cs="Times New Roman"/>
      <w:szCs w:val="20"/>
      <w:lang w:eastAsia="en-AU"/>
    </w:rPr>
  </w:style>
  <w:style w:type="paragraph" w:customStyle="1" w:styleId="ChapterHeading0">
    <w:name w:val="Chapter Heading"/>
    <w:next w:val="Heading2"/>
    <w:rsid w:val="00F67C4B"/>
    <w:pPr>
      <w:pBdr>
        <w:top w:val="single" w:sz="4" w:space="1" w:color="auto"/>
        <w:bottom w:val="single" w:sz="4" w:space="1" w:color="auto"/>
      </w:pBdr>
      <w:tabs>
        <w:tab w:val="num" w:pos="1134"/>
      </w:tabs>
      <w:spacing w:before="240" w:after="360" w:line="260" w:lineRule="atLeast"/>
    </w:pPr>
    <w:rPr>
      <w:rFonts w:ascii="Helvetica" w:eastAsia="Times New Roman" w:hAnsi="Helvetica" w:cs="Times New Roman"/>
      <w:b/>
      <w:i/>
      <w:sz w:val="38"/>
      <w:szCs w:val="20"/>
      <w:lang w:eastAsia="en-AU"/>
    </w:rPr>
  </w:style>
  <w:style w:type="numbering" w:customStyle="1" w:styleId="ChapterList">
    <w:name w:val="ChapterList"/>
    <w:uiPriority w:val="99"/>
    <w:rsid w:val="00F67C4B"/>
    <w:pPr>
      <w:numPr>
        <w:numId w:val="24"/>
      </w:numPr>
    </w:pPr>
  </w:style>
  <w:style w:type="paragraph" w:customStyle="1" w:styleId="Diagram">
    <w:name w:val="Diagram"/>
    <w:basedOn w:val="Normal"/>
    <w:next w:val="base-text-paragraphnonumbers"/>
    <w:rsid w:val="00F67C4B"/>
    <w:pPr>
      <w:keepNext/>
      <w:spacing w:before="0" w:after="0"/>
      <w:ind w:left="1134"/>
    </w:pPr>
    <w:rPr>
      <w:rFonts w:eastAsia="Times New Roman" w:cs="Times New Roman"/>
      <w:b/>
      <w:szCs w:val="20"/>
      <w:lang w:eastAsia="en-AU"/>
    </w:rPr>
  </w:style>
  <w:style w:type="paragraph" w:customStyle="1" w:styleId="TableHeadingoutsidetable">
    <w:name w:val="Table Heading (outside table)"/>
    <w:basedOn w:val="Heading4"/>
    <w:rsid w:val="00F67C4B"/>
    <w:pPr>
      <w:keepLines w:val="0"/>
      <w:numPr>
        <w:ilvl w:val="0"/>
        <w:numId w:val="0"/>
      </w:numPr>
      <w:tabs>
        <w:tab w:val="num" w:pos="360"/>
      </w:tabs>
      <w:spacing w:before="120" w:after="200"/>
      <w:ind w:left="1134"/>
    </w:pPr>
    <w:rPr>
      <w:rFonts w:ascii="Times New Roman" w:eastAsia="Times New Roman" w:hAnsi="Times New Roman" w:cs="Times New Roman"/>
      <w:sz w:val="22"/>
      <w:szCs w:val="20"/>
      <w:lang w:eastAsia="en-AU"/>
    </w:rPr>
  </w:style>
  <w:style w:type="paragraph" w:customStyle="1" w:styleId="Bullet">
    <w:name w:val="Bullet"/>
    <w:basedOn w:val="Normal"/>
    <w:link w:val="BulletChar"/>
    <w:rsid w:val="00F67C4B"/>
    <w:pPr>
      <w:tabs>
        <w:tab w:val="num" w:pos="520"/>
      </w:tabs>
      <w:ind w:left="520" w:hanging="520"/>
    </w:pPr>
    <w:rPr>
      <w:rFonts w:eastAsia="Times New Roman" w:cs="Times New Roman"/>
      <w:szCs w:val="20"/>
      <w:lang w:eastAsia="en-AU"/>
    </w:rPr>
  </w:style>
  <w:style w:type="character" w:customStyle="1" w:styleId="BulletChar">
    <w:name w:val="Bullet Char"/>
    <w:basedOn w:val="base-text-paragraphChar"/>
    <w:link w:val="Bullet"/>
    <w:rsid w:val="00F67C4B"/>
    <w:rPr>
      <w:rFonts w:ascii="Times New Roman" w:eastAsia="Times New Roman" w:hAnsi="Times New Roman" w:cs="Times New Roman"/>
      <w:szCs w:val="20"/>
      <w:lang w:eastAsia="en-AU"/>
    </w:rPr>
  </w:style>
  <w:style w:type="paragraph" w:customStyle="1" w:styleId="DoubleDot">
    <w:name w:val="Double Dot"/>
    <w:basedOn w:val="Normal"/>
    <w:rsid w:val="00F67C4B"/>
    <w:pPr>
      <w:tabs>
        <w:tab w:val="num" w:pos="1560"/>
      </w:tabs>
      <w:ind w:left="1560" w:hanging="520"/>
    </w:pPr>
    <w:rPr>
      <w:rFonts w:eastAsia="Times New Roman" w:cs="Times New Roman"/>
      <w:szCs w:val="20"/>
      <w:lang w:eastAsia="en-AU"/>
    </w:rPr>
  </w:style>
  <w:style w:type="paragraph" w:customStyle="1" w:styleId="exampleindent0">
    <w:name w:val="example indent"/>
    <w:basedOn w:val="Exampletext"/>
    <w:rsid w:val="00F67C4B"/>
    <w:pPr>
      <w:spacing w:before="120" w:after="120"/>
      <w:ind w:left="2268" w:right="0"/>
    </w:pPr>
    <w:rPr>
      <w:rFonts w:eastAsia="Times New Roman" w:cs="Times New Roman"/>
      <w:iCs w:val="0"/>
      <w:color w:val="auto"/>
      <w:sz w:val="20"/>
      <w:szCs w:val="20"/>
      <w:lang w:eastAsia="en-AU"/>
    </w:rPr>
  </w:style>
  <w:style w:type="paragraph" w:customStyle="1" w:styleId="tabletext0">
    <w:name w:val="table text"/>
    <w:basedOn w:val="Normal"/>
    <w:rsid w:val="00F67C4B"/>
    <w:pPr>
      <w:spacing w:before="40" w:after="40"/>
    </w:pPr>
    <w:rPr>
      <w:rFonts w:eastAsia="Times New Roman" w:cs="Times New Roman"/>
      <w:sz w:val="20"/>
      <w:szCs w:val="20"/>
      <w:lang w:eastAsia="en-AU"/>
    </w:rPr>
  </w:style>
  <w:style w:type="character" w:styleId="CommentReference">
    <w:name w:val="annotation reference"/>
    <w:basedOn w:val="DefaultParagraphFont"/>
    <w:uiPriority w:val="99"/>
    <w:semiHidden/>
    <w:unhideWhenUsed/>
    <w:rsid w:val="00F67C4B"/>
    <w:rPr>
      <w:sz w:val="16"/>
      <w:szCs w:val="16"/>
    </w:rPr>
  </w:style>
  <w:style w:type="paragraph" w:styleId="CommentText">
    <w:name w:val="annotation text"/>
    <w:basedOn w:val="Normal"/>
    <w:link w:val="CommentTextChar"/>
    <w:uiPriority w:val="99"/>
    <w:unhideWhenUsed/>
    <w:rsid w:val="00F67C4B"/>
    <w:rPr>
      <w:rFonts w:eastAsia="Times New Roman" w:cs="Times New Roman"/>
      <w:sz w:val="20"/>
      <w:szCs w:val="20"/>
      <w:lang w:eastAsia="en-AU"/>
    </w:rPr>
  </w:style>
  <w:style w:type="character" w:customStyle="1" w:styleId="CommentTextChar">
    <w:name w:val="Comment Text Char"/>
    <w:basedOn w:val="DefaultParagraphFont"/>
    <w:link w:val="CommentText"/>
    <w:uiPriority w:val="99"/>
    <w:rsid w:val="00F67C4B"/>
    <w:rPr>
      <w:rFonts w:ascii="Times New Roman" w:eastAsia="Times New Roman" w:hAnsi="Times New Roman" w:cs="Times New Roman"/>
      <w:sz w:val="20"/>
      <w:szCs w:val="20"/>
      <w:lang w:eastAsia="en-AU"/>
    </w:rPr>
  </w:style>
  <w:style w:type="paragraph" w:styleId="ListBullet4">
    <w:name w:val="List Bullet 4"/>
    <w:basedOn w:val="Normal"/>
    <w:semiHidden/>
    <w:rsid w:val="00F67C4B"/>
    <w:pPr>
      <w:numPr>
        <w:numId w:val="26"/>
      </w:numPr>
    </w:pPr>
    <w:rPr>
      <w:rFonts w:eastAsia="Times New Roman" w:cs="Times New Roman"/>
      <w:szCs w:val="20"/>
      <w:lang w:eastAsia="en-AU"/>
    </w:rPr>
  </w:style>
  <w:style w:type="character" w:customStyle="1" w:styleId="Heading7Char">
    <w:name w:val="Heading 7 Char"/>
    <w:basedOn w:val="DefaultParagraphFont"/>
    <w:link w:val="Heading7"/>
    <w:rsid w:val="00F0543E"/>
    <w:rPr>
      <w:rFonts w:asciiTheme="majorHAnsi" w:eastAsiaTheme="majorEastAsia" w:hAnsiTheme="majorHAnsi" w:cstheme="majorBidi"/>
      <w:i/>
      <w:iCs/>
      <w:color w:val="1F3763" w:themeColor="accent1" w:themeShade="7F"/>
      <w:sz w:val="3276"/>
      <w:szCs w:val="3276"/>
      <w:lang w:eastAsia="en-AU"/>
    </w:rPr>
  </w:style>
  <w:style w:type="character" w:customStyle="1" w:styleId="Heading8Char">
    <w:name w:val="Heading 8 Char"/>
    <w:basedOn w:val="DefaultParagraphFont"/>
    <w:link w:val="Heading8"/>
    <w:rsid w:val="00F0543E"/>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rsid w:val="00F0543E"/>
    <w:rPr>
      <w:rFonts w:asciiTheme="majorHAnsi" w:eastAsiaTheme="majorEastAsia" w:hAnsiTheme="majorHAnsi" w:cstheme="majorBidi"/>
      <w:i/>
      <w:iCs/>
      <w:color w:val="272727" w:themeColor="text1" w:themeTint="D8"/>
      <w:sz w:val="21"/>
      <w:szCs w:val="21"/>
      <w:lang w:eastAsia="en-AU"/>
    </w:rPr>
  </w:style>
  <w:style w:type="paragraph" w:styleId="TOC4">
    <w:name w:val="toc 4"/>
    <w:basedOn w:val="Normal"/>
    <w:next w:val="Normal"/>
    <w:autoRedefine/>
    <w:uiPriority w:val="39"/>
    <w:semiHidden/>
    <w:unhideWhenUsed/>
    <w:rsid w:val="00F0543E"/>
    <w:pPr>
      <w:spacing w:after="100"/>
      <w:ind w:left="660"/>
    </w:pPr>
  </w:style>
  <w:style w:type="paragraph" w:styleId="TOC5">
    <w:name w:val="toc 5"/>
    <w:basedOn w:val="Normal"/>
    <w:next w:val="Normal"/>
    <w:autoRedefine/>
    <w:uiPriority w:val="39"/>
    <w:semiHidden/>
    <w:unhideWhenUsed/>
    <w:rsid w:val="00F0543E"/>
    <w:pPr>
      <w:spacing w:after="100"/>
      <w:ind w:left="880"/>
    </w:pPr>
  </w:style>
  <w:style w:type="paragraph" w:styleId="TOC6">
    <w:name w:val="toc 6"/>
    <w:basedOn w:val="Normal"/>
    <w:next w:val="Normal"/>
    <w:autoRedefine/>
    <w:uiPriority w:val="39"/>
    <w:semiHidden/>
    <w:unhideWhenUsed/>
    <w:rsid w:val="00F0543E"/>
    <w:pPr>
      <w:spacing w:after="100"/>
      <w:ind w:left="1100"/>
    </w:pPr>
  </w:style>
  <w:style w:type="paragraph" w:styleId="TOC7">
    <w:name w:val="toc 7"/>
    <w:basedOn w:val="Normal"/>
    <w:next w:val="Normal"/>
    <w:autoRedefine/>
    <w:uiPriority w:val="39"/>
    <w:semiHidden/>
    <w:unhideWhenUsed/>
    <w:rsid w:val="00F0543E"/>
    <w:pPr>
      <w:spacing w:after="100"/>
      <w:ind w:left="1320"/>
    </w:pPr>
  </w:style>
  <w:style w:type="paragraph" w:styleId="TOC8">
    <w:name w:val="toc 8"/>
    <w:basedOn w:val="Normal"/>
    <w:next w:val="Normal"/>
    <w:autoRedefine/>
    <w:uiPriority w:val="39"/>
    <w:semiHidden/>
    <w:unhideWhenUsed/>
    <w:rsid w:val="00F0543E"/>
    <w:pPr>
      <w:spacing w:after="100"/>
      <w:ind w:left="1540"/>
    </w:pPr>
  </w:style>
  <w:style w:type="paragraph" w:styleId="TOC9">
    <w:name w:val="toc 9"/>
    <w:basedOn w:val="Normal"/>
    <w:next w:val="Normal"/>
    <w:autoRedefine/>
    <w:uiPriority w:val="39"/>
    <w:semiHidden/>
    <w:unhideWhenUsed/>
    <w:rsid w:val="00F0543E"/>
    <w:pPr>
      <w:spacing w:after="100"/>
      <w:ind w:left="1760"/>
    </w:pPr>
  </w:style>
  <w:style w:type="paragraph" w:styleId="CommentSubject">
    <w:name w:val="annotation subject"/>
    <w:basedOn w:val="CommentText"/>
    <w:next w:val="CommentText"/>
    <w:link w:val="CommentSubjectChar"/>
    <w:uiPriority w:val="99"/>
    <w:semiHidden/>
    <w:unhideWhenUsed/>
    <w:rsid w:val="00F0543E"/>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F0543E"/>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331248">
      <w:bodyDiv w:val="1"/>
      <w:marLeft w:val="0"/>
      <w:marRight w:val="0"/>
      <w:marTop w:val="0"/>
      <w:marBottom w:val="0"/>
      <w:divBdr>
        <w:top w:val="none" w:sz="0" w:space="0" w:color="auto"/>
        <w:left w:val="none" w:sz="0" w:space="0" w:color="auto"/>
        <w:bottom w:val="none" w:sz="0" w:space="0" w:color="auto"/>
        <w:right w:val="none" w:sz="0" w:space="0" w:color="auto"/>
      </w:divBdr>
    </w:div>
    <w:div w:id="320238792">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 Exposure draft - Treasury Laws Amendment (Measures for Consultation) Bill 2022: FBT record keeping</dc:title>
  <dc:subject/>
  <dc:creator/>
  <cp:keywords/>
  <dc:description/>
  <cp:lastModifiedBy/>
  <cp:revision>1</cp:revision>
  <dcterms:created xsi:type="dcterms:W3CDTF">2022-09-09T06:41:00Z</dcterms:created>
  <dcterms:modified xsi:type="dcterms:W3CDTF">2022-09-09T06:42:00Z</dcterms:modified>
</cp:coreProperties>
</file>