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11193406"/>
    <w:p w14:paraId="6EDAFD51" w14:textId="77777777" w:rsidR="000A53F9" w:rsidRPr="009C4B0C" w:rsidRDefault="000A53F9" w:rsidP="000A53F9">
      <w:r w:rsidRPr="009C4B0C">
        <w:object w:dxaOrig="2146" w:dyaOrig="1561" w14:anchorId="6AC82B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5pt;height:82.5pt" o:ole="" fillcolor="window">
            <v:imagedata r:id="rId13" o:title=""/>
          </v:shape>
          <o:OLEObject Type="Embed" ProgID="Word.Picture.8" ShapeID="_x0000_i1025" DrawAspect="Content" ObjectID="_1724744664" r:id="rId14"/>
        </w:object>
      </w:r>
    </w:p>
    <w:p w14:paraId="1EE62A2C" w14:textId="77777777" w:rsidR="00BB7660" w:rsidRDefault="00BB7660" w:rsidP="00BB7660"/>
    <w:p w14:paraId="7EEC8B49" w14:textId="77777777" w:rsidR="00BB7660" w:rsidRDefault="00BB7660" w:rsidP="00BB7660"/>
    <w:bookmarkEnd w:id="0"/>
    <w:p w14:paraId="53A85D4A" w14:textId="77777777" w:rsidR="00BB7660" w:rsidRDefault="00BB7660" w:rsidP="00BB7660"/>
    <w:p w14:paraId="7D0FBDC4" w14:textId="77777777" w:rsidR="0048364F" w:rsidRPr="00B77DD6" w:rsidRDefault="00BB7660" w:rsidP="0048364F">
      <w:pPr>
        <w:pStyle w:val="ShortT"/>
      </w:pPr>
      <w:r>
        <w:t>Competition and Consumer (</w:t>
      </w:r>
      <w:r w:rsidRPr="00E57497">
        <w:t>Consumer Data Right</w:t>
      </w:r>
      <w:r>
        <w:t xml:space="preserve">) </w:t>
      </w:r>
      <w:r w:rsidRPr="00E57497">
        <w:t xml:space="preserve">Rules </w:t>
      </w:r>
      <w:r w:rsidRPr="00693A57">
        <w:t>2020</w:t>
      </w:r>
      <w:r>
        <w:t xml:space="preserve"> with proposed amendments</w:t>
      </w:r>
    </w:p>
    <w:p w14:paraId="5FEFF8E5" w14:textId="77777777" w:rsidR="000A53F9" w:rsidRPr="009C4B0C" w:rsidRDefault="000A53F9" w:rsidP="000A53F9">
      <w:pPr>
        <w:pStyle w:val="MadeunderText"/>
      </w:pPr>
      <w:bookmarkStart w:id="1" w:name="_Hlk111193428"/>
      <w:r>
        <w:t xml:space="preserve">(to be </w:t>
      </w:r>
      <w:r w:rsidRPr="009C4B0C">
        <w:t>made under section 56BA of the</w:t>
      </w:r>
      <w:r>
        <w:t xml:space="preserve"> </w:t>
      </w:r>
      <w:r w:rsidRPr="009C4B0C">
        <w:t>Competition and Consumer Act 2010</w:t>
      </w:r>
      <w:r>
        <w:t>)</w:t>
      </w:r>
    </w:p>
    <w:bookmarkEnd w:id="1"/>
    <w:p w14:paraId="142C4A3A" w14:textId="77777777" w:rsidR="000A53F9" w:rsidRDefault="000A53F9" w:rsidP="00BB7660">
      <w:pPr>
        <w:rPr>
          <w:sz w:val="36"/>
          <w:szCs w:val="36"/>
          <w:lang w:eastAsia="en-AU"/>
        </w:rPr>
      </w:pPr>
    </w:p>
    <w:p w14:paraId="02284F2B" w14:textId="77777777" w:rsidR="000867EF" w:rsidRPr="000867EF" w:rsidRDefault="00500212" w:rsidP="00500212">
      <w:pPr>
        <w:rPr>
          <w:sz w:val="36"/>
          <w:szCs w:val="36"/>
          <w:lang w:eastAsia="en-AU"/>
        </w:rPr>
      </w:pPr>
      <w:r>
        <w:rPr>
          <w:sz w:val="36"/>
          <w:szCs w:val="36"/>
          <w:lang w:eastAsia="en-AU"/>
        </w:rPr>
        <w:t xml:space="preserve">Marked up version.  </w:t>
      </w:r>
      <w:r w:rsidR="00931F55">
        <w:rPr>
          <w:sz w:val="36"/>
          <w:szCs w:val="36"/>
          <w:lang w:eastAsia="en-AU"/>
        </w:rPr>
        <w:t xml:space="preserve">It shows the </w:t>
      </w:r>
      <w:r>
        <w:rPr>
          <w:sz w:val="36"/>
          <w:szCs w:val="36"/>
          <w:lang w:eastAsia="en-AU"/>
        </w:rPr>
        <w:t>text of the current rules with proposed additions in blue text, and deletions in blue strikeout text</w:t>
      </w:r>
      <w:r w:rsidR="00931F55">
        <w:rPr>
          <w:sz w:val="36"/>
          <w:szCs w:val="36"/>
          <w:lang w:eastAsia="en-AU"/>
        </w:rPr>
        <w:t>.</w:t>
      </w:r>
    </w:p>
    <w:p w14:paraId="5F71CBA8" w14:textId="77777777" w:rsidR="007C4199" w:rsidRDefault="007C4199" w:rsidP="00BB7660">
      <w:pPr>
        <w:rPr>
          <w:sz w:val="36"/>
          <w:szCs w:val="36"/>
          <w:lang w:eastAsia="en-AU"/>
        </w:rPr>
      </w:pPr>
    </w:p>
    <w:p w14:paraId="2B9EDE3A" w14:textId="77777777" w:rsidR="00017724" w:rsidRPr="00B77DD6" w:rsidRDefault="00017724" w:rsidP="00742731"/>
    <w:p w14:paraId="08C01AA9" w14:textId="77777777" w:rsidR="00017724" w:rsidRPr="00B77DD6" w:rsidRDefault="00017724" w:rsidP="00742731"/>
    <w:p w14:paraId="4CCB72BA" w14:textId="77777777" w:rsidR="00017724" w:rsidRPr="00B77DD6" w:rsidRDefault="00017724" w:rsidP="00742731"/>
    <w:p w14:paraId="33FD1F4A" w14:textId="77777777" w:rsidR="0048364F" w:rsidRPr="00724F8F" w:rsidRDefault="0048364F" w:rsidP="0048364F">
      <w:pPr>
        <w:pStyle w:val="Header"/>
        <w:tabs>
          <w:tab w:val="clear" w:pos="4150"/>
          <w:tab w:val="clear" w:pos="8307"/>
        </w:tabs>
      </w:pPr>
      <w:r w:rsidRPr="00724F8F">
        <w:rPr>
          <w:rStyle w:val="CharAmSchNo"/>
        </w:rPr>
        <w:t xml:space="preserve"> </w:t>
      </w:r>
      <w:r w:rsidRPr="00724F8F">
        <w:rPr>
          <w:rStyle w:val="CharAmSchText"/>
        </w:rPr>
        <w:t xml:space="preserve"> </w:t>
      </w:r>
    </w:p>
    <w:p w14:paraId="10A62BEF" w14:textId="77777777" w:rsidR="0048364F" w:rsidRPr="00724F8F" w:rsidRDefault="0048364F" w:rsidP="0048364F">
      <w:pPr>
        <w:pStyle w:val="Header"/>
        <w:tabs>
          <w:tab w:val="clear" w:pos="4150"/>
          <w:tab w:val="clear" w:pos="8307"/>
        </w:tabs>
      </w:pPr>
      <w:r w:rsidRPr="00724F8F">
        <w:rPr>
          <w:rStyle w:val="CharAmPartNo"/>
        </w:rPr>
        <w:t xml:space="preserve"> </w:t>
      </w:r>
      <w:r w:rsidRPr="00724F8F">
        <w:rPr>
          <w:rStyle w:val="CharAmPartText"/>
        </w:rPr>
        <w:t xml:space="preserve"> </w:t>
      </w:r>
    </w:p>
    <w:p w14:paraId="51F01F54" w14:textId="77777777" w:rsidR="00634F01" w:rsidRDefault="00634F01" w:rsidP="0048364F"/>
    <w:p w14:paraId="03EEB981" w14:textId="77777777" w:rsidR="00634F01" w:rsidRPr="00634F01" w:rsidRDefault="00634F01" w:rsidP="00634F01"/>
    <w:p w14:paraId="784F311F" w14:textId="77777777" w:rsidR="00634F01" w:rsidRPr="000867EF" w:rsidRDefault="00634F01" w:rsidP="00634F01">
      <w:pPr>
        <w:rPr>
          <w:color w:val="7030A0"/>
        </w:rPr>
      </w:pPr>
    </w:p>
    <w:p w14:paraId="111C795C" w14:textId="77777777" w:rsidR="00634F01" w:rsidRDefault="00634F01" w:rsidP="00634F01">
      <w:pPr>
        <w:tabs>
          <w:tab w:val="left" w:pos="5385"/>
        </w:tabs>
      </w:pPr>
      <w:r>
        <w:tab/>
      </w:r>
    </w:p>
    <w:p w14:paraId="6D4108B4" w14:textId="77777777" w:rsidR="0048364F" w:rsidRPr="00634F01" w:rsidRDefault="00634F01" w:rsidP="00634F01">
      <w:pPr>
        <w:tabs>
          <w:tab w:val="left" w:pos="5385"/>
        </w:tabs>
        <w:sectPr w:rsidR="0048364F" w:rsidRPr="00634F01" w:rsidSect="00CA1065">
          <w:headerReference w:type="even" r:id="rId15"/>
          <w:headerReference w:type="default" r:id="rId16"/>
          <w:footerReference w:type="even" r:id="rId17"/>
          <w:headerReference w:type="first" r:id="rId18"/>
          <w:footerReference w:type="first" r:id="rId19"/>
          <w:pgSz w:w="11907" w:h="16839"/>
          <w:pgMar w:top="1440" w:right="1797" w:bottom="1440" w:left="1797" w:header="720" w:footer="709" w:gutter="0"/>
          <w:cols w:space="708"/>
          <w:titlePg/>
          <w:docGrid w:linePitch="360"/>
        </w:sectPr>
      </w:pPr>
      <w:r>
        <w:tab/>
      </w:r>
    </w:p>
    <w:p w14:paraId="72F7C125" w14:textId="77777777" w:rsidR="00220A0C" w:rsidRPr="00B77DD6" w:rsidRDefault="0048364F" w:rsidP="0048364F">
      <w:pPr>
        <w:outlineLvl w:val="0"/>
        <w:rPr>
          <w:sz w:val="36"/>
        </w:rPr>
      </w:pPr>
      <w:r w:rsidRPr="00B77DD6">
        <w:rPr>
          <w:sz w:val="36"/>
        </w:rPr>
        <w:lastRenderedPageBreak/>
        <w:t>Contents</w:t>
      </w:r>
    </w:p>
    <w:bookmarkStart w:id="2" w:name="_Hlk110858085"/>
    <w:p w14:paraId="25B9AE0A" w14:textId="77777777" w:rsidR="00195095" w:rsidRDefault="00BB7660">
      <w:pPr>
        <w:pStyle w:val="TOC2"/>
        <w:rPr>
          <w:rFonts w:asciiTheme="minorHAnsi" w:eastAsiaTheme="minorEastAsia" w:hAnsiTheme="minorHAnsi" w:cstheme="minorBidi"/>
          <w:b w:val="0"/>
          <w:noProof/>
          <w:kern w:val="0"/>
          <w:sz w:val="22"/>
          <w:szCs w:val="22"/>
        </w:rPr>
      </w:pPr>
      <w:r>
        <w:rPr>
          <w:b w:val="0"/>
        </w:rPr>
        <w:fldChar w:fldCharType="begin"/>
      </w:r>
      <w:r w:rsidRPr="00796ADB">
        <w:instrText xml:space="preserve"> TOC \o "1-9" </w:instrText>
      </w:r>
      <w:r>
        <w:rPr>
          <w:b w:val="0"/>
        </w:rPr>
        <w:fldChar w:fldCharType="separate"/>
      </w:r>
      <w:r w:rsidR="00195095">
        <w:rPr>
          <w:noProof/>
        </w:rPr>
        <w:t>Part 1—Preliminary</w:t>
      </w:r>
      <w:r w:rsidR="00195095">
        <w:rPr>
          <w:noProof/>
        </w:rPr>
        <w:tab/>
      </w:r>
      <w:r w:rsidR="00195095">
        <w:rPr>
          <w:noProof/>
        </w:rPr>
        <w:fldChar w:fldCharType="begin"/>
      </w:r>
      <w:r w:rsidR="00195095">
        <w:rPr>
          <w:noProof/>
        </w:rPr>
        <w:instrText xml:space="preserve"> PAGEREF _Toc111131958 \h </w:instrText>
      </w:r>
      <w:r w:rsidR="00195095">
        <w:rPr>
          <w:noProof/>
        </w:rPr>
      </w:r>
      <w:r w:rsidR="00195095">
        <w:rPr>
          <w:noProof/>
        </w:rPr>
        <w:fldChar w:fldCharType="separate"/>
      </w:r>
      <w:r w:rsidR="00857D8F">
        <w:rPr>
          <w:noProof/>
        </w:rPr>
        <w:t>11</w:t>
      </w:r>
      <w:r w:rsidR="00195095">
        <w:rPr>
          <w:noProof/>
        </w:rPr>
        <w:fldChar w:fldCharType="end"/>
      </w:r>
    </w:p>
    <w:p w14:paraId="5F568A60" w14:textId="77777777" w:rsidR="00195095" w:rsidRDefault="00195095">
      <w:pPr>
        <w:pStyle w:val="TOC3"/>
        <w:rPr>
          <w:rFonts w:asciiTheme="minorHAnsi" w:eastAsiaTheme="minorEastAsia" w:hAnsiTheme="minorHAnsi" w:cstheme="minorBidi"/>
          <w:b w:val="0"/>
          <w:noProof/>
          <w:kern w:val="0"/>
          <w:szCs w:val="22"/>
        </w:rPr>
      </w:pPr>
      <w:r>
        <w:rPr>
          <w:noProof/>
        </w:rPr>
        <w:t>Division 1.1—Preliminary</w:t>
      </w:r>
      <w:r>
        <w:rPr>
          <w:noProof/>
        </w:rPr>
        <w:tab/>
      </w:r>
      <w:r>
        <w:rPr>
          <w:noProof/>
        </w:rPr>
        <w:fldChar w:fldCharType="begin"/>
      </w:r>
      <w:r>
        <w:rPr>
          <w:noProof/>
        </w:rPr>
        <w:instrText xml:space="preserve"> PAGEREF _Toc111131959 \h </w:instrText>
      </w:r>
      <w:r>
        <w:rPr>
          <w:noProof/>
        </w:rPr>
      </w:r>
      <w:r>
        <w:rPr>
          <w:noProof/>
        </w:rPr>
        <w:fldChar w:fldCharType="separate"/>
      </w:r>
      <w:r w:rsidR="00857D8F">
        <w:rPr>
          <w:noProof/>
        </w:rPr>
        <w:t>11</w:t>
      </w:r>
      <w:r>
        <w:rPr>
          <w:noProof/>
        </w:rPr>
        <w:fldChar w:fldCharType="end"/>
      </w:r>
    </w:p>
    <w:p w14:paraId="16076F6D" w14:textId="77777777" w:rsidR="00195095" w:rsidRDefault="00195095">
      <w:pPr>
        <w:pStyle w:val="TOC5"/>
        <w:rPr>
          <w:rFonts w:asciiTheme="minorHAnsi" w:eastAsiaTheme="minorEastAsia" w:hAnsiTheme="minorHAnsi" w:cstheme="minorBidi"/>
          <w:noProof/>
          <w:kern w:val="0"/>
          <w:sz w:val="22"/>
          <w:szCs w:val="22"/>
        </w:rPr>
      </w:pPr>
      <w:r>
        <w:rPr>
          <w:noProof/>
        </w:rPr>
        <w:t>1.1  Name</w:t>
      </w:r>
      <w:r>
        <w:rPr>
          <w:noProof/>
        </w:rPr>
        <w:tab/>
      </w:r>
      <w:r>
        <w:rPr>
          <w:noProof/>
        </w:rPr>
        <w:fldChar w:fldCharType="begin"/>
      </w:r>
      <w:r>
        <w:rPr>
          <w:noProof/>
        </w:rPr>
        <w:instrText xml:space="preserve"> PAGEREF _Toc111131960 \h </w:instrText>
      </w:r>
      <w:r>
        <w:rPr>
          <w:noProof/>
        </w:rPr>
      </w:r>
      <w:r>
        <w:rPr>
          <w:noProof/>
        </w:rPr>
        <w:fldChar w:fldCharType="separate"/>
      </w:r>
      <w:r w:rsidR="00857D8F">
        <w:rPr>
          <w:noProof/>
        </w:rPr>
        <w:t>11</w:t>
      </w:r>
      <w:r>
        <w:rPr>
          <w:noProof/>
        </w:rPr>
        <w:fldChar w:fldCharType="end"/>
      </w:r>
    </w:p>
    <w:p w14:paraId="364A6750" w14:textId="77777777" w:rsidR="00195095" w:rsidRDefault="00195095">
      <w:pPr>
        <w:pStyle w:val="TOC5"/>
        <w:rPr>
          <w:rFonts w:asciiTheme="minorHAnsi" w:eastAsiaTheme="minorEastAsia" w:hAnsiTheme="minorHAnsi" w:cstheme="minorBidi"/>
          <w:noProof/>
          <w:kern w:val="0"/>
          <w:sz w:val="22"/>
          <w:szCs w:val="22"/>
        </w:rPr>
      </w:pPr>
      <w:r>
        <w:rPr>
          <w:noProof/>
        </w:rPr>
        <w:t>1.3  Authority</w:t>
      </w:r>
      <w:r>
        <w:rPr>
          <w:noProof/>
        </w:rPr>
        <w:tab/>
      </w:r>
      <w:r>
        <w:rPr>
          <w:noProof/>
        </w:rPr>
        <w:fldChar w:fldCharType="begin"/>
      </w:r>
      <w:r>
        <w:rPr>
          <w:noProof/>
        </w:rPr>
        <w:instrText xml:space="preserve"> PAGEREF _Toc111131961 \h </w:instrText>
      </w:r>
      <w:r>
        <w:rPr>
          <w:noProof/>
        </w:rPr>
      </w:r>
      <w:r>
        <w:rPr>
          <w:noProof/>
        </w:rPr>
        <w:fldChar w:fldCharType="separate"/>
      </w:r>
      <w:r w:rsidR="00857D8F">
        <w:rPr>
          <w:noProof/>
        </w:rPr>
        <w:t>11</w:t>
      </w:r>
      <w:r>
        <w:rPr>
          <w:noProof/>
        </w:rPr>
        <w:fldChar w:fldCharType="end"/>
      </w:r>
    </w:p>
    <w:p w14:paraId="5F6A432C" w14:textId="77777777" w:rsidR="00195095" w:rsidRDefault="00195095">
      <w:pPr>
        <w:pStyle w:val="TOC3"/>
        <w:rPr>
          <w:rFonts w:asciiTheme="minorHAnsi" w:eastAsiaTheme="minorEastAsia" w:hAnsiTheme="minorHAnsi" w:cstheme="minorBidi"/>
          <w:b w:val="0"/>
          <w:noProof/>
          <w:kern w:val="0"/>
          <w:szCs w:val="22"/>
        </w:rPr>
      </w:pPr>
      <w:r>
        <w:rPr>
          <w:noProof/>
        </w:rPr>
        <w:t>Division 1.2—Simplified outline and overview of these rules</w:t>
      </w:r>
      <w:r>
        <w:rPr>
          <w:noProof/>
        </w:rPr>
        <w:tab/>
      </w:r>
      <w:r>
        <w:rPr>
          <w:noProof/>
        </w:rPr>
        <w:fldChar w:fldCharType="begin"/>
      </w:r>
      <w:r>
        <w:rPr>
          <w:noProof/>
        </w:rPr>
        <w:instrText xml:space="preserve"> PAGEREF _Toc111131962 \h </w:instrText>
      </w:r>
      <w:r>
        <w:rPr>
          <w:noProof/>
        </w:rPr>
      </w:r>
      <w:r>
        <w:rPr>
          <w:noProof/>
        </w:rPr>
        <w:fldChar w:fldCharType="separate"/>
      </w:r>
      <w:r w:rsidR="00857D8F">
        <w:rPr>
          <w:noProof/>
        </w:rPr>
        <w:t>11</w:t>
      </w:r>
      <w:r>
        <w:rPr>
          <w:noProof/>
        </w:rPr>
        <w:fldChar w:fldCharType="end"/>
      </w:r>
    </w:p>
    <w:p w14:paraId="0A9FEA65" w14:textId="77777777" w:rsidR="00195095" w:rsidRDefault="00195095">
      <w:pPr>
        <w:pStyle w:val="TOC5"/>
        <w:rPr>
          <w:rFonts w:asciiTheme="minorHAnsi" w:eastAsiaTheme="minorEastAsia" w:hAnsiTheme="minorHAnsi" w:cstheme="minorBidi"/>
          <w:noProof/>
          <w:kern w:val="0"/>
          <w:sz w:val="22"/>
          <w:szCs w:val="22"/>
        </w:rPr>
      </w:pPr>
      <w:r>
        <w:rPr>
          <w:noProof/>
        </w:rPr>
        <w:t>1.4  Simplified outline of these rules</w:t>
      </w:r>
      <w:r>
        <w:rPr>
          <w:noProof/>
        </w:rPr>
        <w:tab/>
      </w:r>
      <w:r>
        <w:rPr>
          <w:noProof/>
        </w:rPr>
        <w:fldChar w:fldCharType="begin"/>
      </w:r>
      <w:r>
        <w:rPr>
          <w:noProof/>
        </w:rPr>
        <w:instrText xml:space="preserve"> PAGEREF _Toc111131963 \h </w:instrText>
      </w:r>
      <w:r>
        <w:rPr>
          <w:noProof/>
        </w:rPr>
      </w:r>
      <w:r>
        <w:rPr>
          <w:noProof/>
        </w:rPr>
        <w:fldChar w:fldCharType="separate"/>
      </w:r>
      <w:r w:rsidR="00857D8F">
        <w:rPr>
          <w:noProof/>
        </w:rPr>
        <w:t>11</w:t>
      </w:r>
      <w:r>
        <w:rPr>
          <w:noProof/>
        </w:rPr>
        <w:fldChar w:fldCharType="end"/>
      </w:r>
    </w:p>
    <w:p w14:paraId="33EFDE63"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themeColor="text1"/>
        </w:rPr>
        <w:t>1.5  What these rules are about</w:t>
      </w:r>
      <w:r>
        <w:rPr>
          <w:noProof/>
        </w:rPr>
        <w:tab/>
      </w:r>
      <w:r>
        <w:rPr>
          <w:noProof/>
        </w:rPr>
        <w:fldChar w:fldCharType="begin"/>
      </w:r>
      <w:r>
        <w:rPr>
          <w:noProof/>
        </w:rPr>
        <w:instrText xml:space="preserve"> PAGEREF _Toc111131964 \h </w:instrText>
      </w:r>
      <w:r>
        <w:rPr>
          <w:noProof/>
        </w:rPr>
      </w:r>
      <w:r>
        <w:rPr>
          <w:noProof/>
        </w:rPr>
        <w:fldChar w:fldCharType="separate"/>
      </w:r>
      <w:r w:rsidR="00857D8F">
        <w:rPr>
          <w:noProof/>
        </w:rPr>
        <w:t>12</w:t>
      </w:r>
      <w:r>
        <w:rPr>
          <w:noProof/>
        </w:rPr>
        <w:fldChar w:fldCharType="end"/>
      </w:r>
    </w:p>
    <w:p w14:paraId="14335090" w14:textId="77777777" w:rsidR="00195095" w:rsidRDefault="00195095">
      <w:pPr>
        <w:pStyle w:val="TOC5"/>
        <w:rPr>
          <w:rFonts w:asciiTheme="minorHAnsi" w:eastAsiaTheme="minorEastAsia" w:hAnsiTheme="minorHAnsi" w:cstheme="minorBidi"/>
          <w:noProof/>
          <w:kern w:val="0"/>
          <w:sz w:val="22"/>
          <w:szCs w:val="22"/>
        </w:rPr>
      </w:pPr>
      <w:r>
        <w:rPr>
          <w:noProof/>
        </w:rPr>
        <w:t>1.6  Overview of these rules</w:t>
      </w:r>
      <w:r>
        <w:rPr>
          <w:noProof/>
        </w:rPr>
        <w:tab/>
      </w:r>
      <w:r>
        <w:rPr>
          <w:noProof/>
        </w:rPr>
        <w:fldChar w:fldCharType="begin"/>
      </w:r>
      <w:r>
        <w:rPr>
          <w:noProof/>
        </w:rPr>
        <w:instrText xml:space="preserve"> PAGEREF _Toc111131965 \h </w:instrText>
      </w:r>
      <w:r>
        <w:rPr>
          <w:noProof/>
        </w:rPr>
      </w:r>
      <w:r>
        <w:rPr>
          <w:noProof/>
        </w:rPr>
        <w:fldChar w:fldCharType="separate"/>
      </w:r>
      <w:r w:rsidR="00857D8F">
        <w:rPr>
          <w:noProof/>
        </w:rPr>
        <w:t>13</w:t>
      </w:r>
      <w:r>
        <w:rPr>
          <w:noProof/>
        </w:rPr>
        <w:fldChar w:fldCharType="end"/>
      </w:r>
    </w:p>
    <w:p w14:paraId="0FA65A90" w14:textId="77777777" w:rsidR="00195095" w:rsidRDefault="00195095">
      <w:pPr>
        <w:pStyle w:val="TOC3"/>
        <w:rPr>
          <w:rFonts w:asciiTheme="minorHAnsi" w:eastAsiaTheme="minorEastAsia" w:hAnsiTheme="minorHAnsi" w:cstheme="minorBidi"/>
          <w:b w:val="0"/>
          <w:noProof/>
          <w:kern w:val="0"/>
          <w:szCs w:val="22"/>
        </w:rPr>
      </w:pPr>
      <w:r>
        <w:rPr>
          <w:noProof/>
        </w:rPr>
        <w:t>Division 1.3—Interpretation</w:t>
      </w:r>
      <w:r>
        <w:rPr>
          <w:noProof/>
        </w:rPr>
        <w:tab/>
      </w:r>
      <w:r>
        <w:rPr>
          <w:noProof/>
        </w:rPr>
        <w:fldChar w:fldCharType="begin"/>
      </w:r>
      <w:r>
        <w:rPr>
          <w:noProof/>
        </w:rPr>
        <w:instrText xml:space="preserve"> PAGEREF _Toc111131966 \h </w:instrText>
      </w:r>
      <w:r>
        <w:rPr>
          <w:noProof/>
        </w:rPr>
      </w:r>
      <w:r>
        <w:rPr>
          <w:noProof/>
        </w:rPr>
        <w:fldChar w:fldCharType="separate"/>
      </w:r>
      <w:r w:rsidR="00857D8F">
        <w:rPr>
          <w:noProof/>
        </w:rPr>
        <w:t>15</w:t>
      </w:r>
      <w:r>
        <w:rPr>
          <w:noProof/>
        </w:rPr>
        <w:fldChar w:fldCharType="end"/>
      </w:r>
    </w:p>
    <w:p w14:paraId="7BED0D44" w14:textId="77777777" w:rsidR="00195095" w:rsidRDefault="00195095">
      <w:pPr>
        <w:pStyle w:val="TOC5"/>
        <w:rPr>
          <w:rFonts w:asciiTheme="minorHAnsi" w:eastAsiaTheme="minorEastAsia" w:hAnsiTheme="minorHAnsi" w:cstheme="minorBidi"/>
          <w:noProof/>
          <w:kern w:val="0"/>
          <w:sz w:val="22"/>
          <w:szCs w:val="22"/>
        </w:rPr>
      </w:pPr>
      <w:r>
        <w:rPr>
          <w:noProof/>
        </w:rPr>
        <w:t>1.7  Definitions</w:t>
      </w:r>
      <w:r>
        <w:rPr>
          <w:noProof/>
        </w:rPr>
        <w:tab/>
      </w:r>
      <w:r>
        <w:rPr>
          <w:noProof/>
        </w:rPr>
        <w:fldChar w:fldCharType="begin"/>
      </w:r>
      <w:r>
        <w:rPr>
          <w:noProof/>
        </w:rPr>
        <w:instrText xml:space="preserve"> PAGEREF _Toc111131967 \h </w:instrText>
      </w:r>
      <w:r>
        <w:rPr>
          <w:noProof/>
        </w:rPr>
      </w:r>
      <w:r>
        <w:rPr>
          <w:noProof/>
        </w:rPr>
        <w:fldChar w:fldCharType="separate"/>
      </w:r>
      <w:r w:rsidR="00857D8F">
        <w:rPr>
          <w:noProof/>
        </w:rPr>
        <w:t>15</w:t>
      </w:r>
      <w:r>
        <w:rPr>
          <w:noProof/>
        </w:rPr>
        <w:fldChar w:fldCharType="end"/>
      </w:r>
    </w:p>
    <w:p w14:paraId="5022EA6E"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1.8  Data minimisation principle</w:t>
      </w:r>
      <w:r>
        <w:rPr>
          <w:noProof/>
        </w:rPr>
        <w:tab/>
      </w:r>
      <w:r>
        <w:rPr>
          <w:noProof/>
        </w:rPr>
        <w:fldChar w:fldCharType="begin"/>
      </w:r>
      <w:r>
        <w:rPr>
          <w:noProof/>
        </w:rPr>
        <w:instrText xml:space="preserve"> PAGEREF _Toc111131968 \h </w:instrText>
      </w:r>
      <w:r>
        <w:rPr>
          <w:noProof/>
        </w:rPr>
      </w:r>
      <w:r>
        <w:rPr>
          <w:noProof/>
        </w:rPr>
        <w:fldChar w:fldCharType="separate"/>
      </w:r>
      <w:r w:rsidR="00857D8F">
        <w:rPr>
          <w:noProof/>
        </w:rPr>
        <w:t>24</w:t>
      </w:r>
      <w:r>
        <w:rPr>
          <w:noProof/>
        </w:rPr>
        <w:fldChar w:fldCharType="end"/>
      </w:r>
    </w:p>
    <w:p w14:paraId="66885A32"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rPr>
        <w:t>1.8  Data minimisation principle</w:t>
      </w:r>
      <w:r>
        <w:rPr>
          <w:noProof/>
        </w:rPr>
        <w:tab/>
      </w:r>
      <w:r>
        <w:rPr>
          <w:noProof/>
        </w:rPr>
        <w:fldChar w:fldCharType="begin"/>
      </w:r>
      <w:r>
        <w:rPr>
          <w:noProof/>
        </w:rPr>
        <w:instrText xml:space="preserve"> PAGEREF _Toc111131969 \h </w:instrText>
      </w:r>
      <w:r>
        <w:rPr>
          <w:noProof/>
        </w:rPr>
      </w:r>
      <w:r>
        <w:rPr>
          <w:noProof/>
        </w:rPr>
        <w:fldChar w:fldCharType="separate"/>
      </w:r>
      <w:r w:rsidR="00857D8F">
        <w:rPr>
          <w:noProof/>
        </w:rPr>
        <w:t>25</w:t>
      </w:r>
      <w:r>
        <w:rPr>
          <w:noProof/>
        </w:rPr>
        <w:fldChar w:fldCharType="end"/>
      </w:r>
    </w:p>
    <w:p w14:paraId="17F92102" w14:textId="77777777" w:rsidR="00195095" w:rsidRDefault="00195095">
      <w:pPr>
        <w:pStyle w:val="TOC5"/>
        <w:rPr>
          <w:rFonts w:asciiTheme="minorHAnsi" w:eastAsiaTheme="minorEastAsia" w:hAnsiTheme="minorHAnsi" w:cstheme="minorBidi"/>
          <w:noProof/>
          <w:kern w:val="0"/>
          <w:sz w:val="22"/>
          <w:szCs w:val="22"/>
        </w:rPr>
      </w:pPr>
      <w:r>
        <w:rPr>
          <w:noProof/>
        </w:rPr>
        <w:t>1.9  Fit and proper person criteria</w:t>
      </w:r>
      <w:r>
        <w:rPr>
          <w:noProof/>
        </w:rPr>
        <w:tab/>
      </w:r>
      <w:r>
        <w:rPr>
          <w:noProof/>
        </w:rPr>
        <w:fldChar w:fldCharType="begin"/>
      </w:r>
      <w:r>
        <w:rPr>
          <w:noProof/>
        </w:rPr>
        <w:instrText xml:space="preserve"> PAGEREF _Toc111131970 \h </w:instrText>
      </w:r>
      <w:r>
        <w:rPr>
          <w:noProof/>
        </w:rPr>
      </w:r>
      <w:r>
        <w:rPr>
          <w:noProof/>
        </w:rPr>
        <w:fldChar w:fldCharType="separate"/>
      </w:r>
      <w:r w:rsidR="00857D8F">
        <w:rPr>
          <w:noProof/>
        </w:rPr>
        <w:t>25</w:t>
      </w:r>
      <w:r>
        <w:rPr>
          <w:noProof/>
        </w:rPr>
        <w:fldChar w:fldCharType="end"/>
      </w:r>
    </w:p>
    <w:p w14:paraId="4B741255"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shd w:val="clear" w:color="auto" w:fill="FFFFFF"/>
        </w:rPr>
        <w:t xml:space="preserve">1.10  Meaning of </w:t>
      </w:r>
      <w:r w:rsidRPr="00F95A48">
        <w:rPr>
          <w:i/>
          <w:noProof/>
          <w:color w:val="0000FF"/>
          <w:shd w:val="clear" w:color="auto" w:fill="FFFFFF"/>
        </w:rPr>
        <w:t>direct OSP</w:t>
      </w:r>
      <w:r w:rsidRPr="00F95A48">
        <w:rPr>
          <w:noProof/>
          <w:color w:val="0000FF"/>
        </w:rPr>
        <w:t xml:space="preserve">, </w:t>
      </w:r>
      <w:r w:rsidRPr="00F95A48">
        <w:rPr>
          <w:i/>
          <w:noProof/>
          <w:color w:val="0000FF"/>
          <w:shd w:val="clear" w:color="auto" w:fill="FFFFFF"/>
        </w:rPr>
        <w:t xml:space="preserve">indirect OSP </w:t>
      </w:r>
      <w:r w:rsidRPr="00F95A48">
        <w:rPr>
          <w:noProof/>
          <w:color w:val="0000FF"/>
          <w:shd w:val="clear" w:color="auto" w:fill="FFFFFF"/>
        </w:rPr>
        <w:t xml:space="preserve">and related </w:t>
      </w:r>
      <w:r w:rsidRPr="00F95A48">
        <w:rPr>
          <w:noProof/>
          <w:color w:val="0000FF"/>
        </w:rPr>
        <w:t>terms</w:t>
      </w:r>
      <w:r>
        <w:rPr>
          <w:noProof/>
        </w:rPr>
        <w:tab/>
      </w:r>
      <w:r>
        <w:rPr>
          <w:noProof/>
        </w:rPr>
        <w:fldChar w:fldCharType="begin"/>
      </w:r>
      <w:r>
        <w:rPr>
          <w:noProof/>
        </w:rPr>
        <w:instrText xml:space="preserve"> PAGEREF _Toc111131971 \h </w:instrText>
      </w:r>
      <w:r>
        <w:rPr>
          <w:noProof/>
        </w:rPr>
      </w:r>
      <w:r>
        <w:rPr>
          <w:noProof/>
        </w:rPr>
        <w:fldChar w:fldCharType="separate"/>
      </w:r>
      <w:r w:rsidR="00857D8F">
        <w:rPr>
          <w:noProof/>
        </w:rPr>
        <w:t>26</w:t>
      </w:r>
      <w:r>
        <w:rPr>
          <w:noProof/>
        </w:rPr>
        <w:fldChar w:fldCharType="end"/>
      </w:r>
    </w:p>
    <w:p w14:paraId="3EF02118"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shd w:val="clear" w:color="auto" w:fill="FFFFFF"/>
        </w:rPr>
        <w:t xml:space="preserve">1.10  Meaning of </w:t>
      </w:r>
      <w:r w:rsidRPr="00F95A48">
        <w:rPr>
          <w:i/>
          <w:strike/>
          <w:noProof/>
          <w:color w:val="0000FF"/>
          <w:shd w:val="clear" w:color="auto" w:fill="FFFFFF"/>
        </w:rPr>
        <w:t xml:space="preserve">outsourced service provider </w:t>
      </w:r>
      <w:r w:rsidRPr="00F95A48">
        <w:rPr>
          <w:strike/>
          <w:noProof/>
          <w:color w:val="0000FF"/>
          <w:shd w:val="clear" w:color="auto" w:fill="FFFFFF"/>
        </w:rPr>
        <w:t xml:space="preserve">and related </w:t>
      </w:r>
      <w:r w:rsidRPr="00F95A48">
        <w:rPr>
          <w:strike/>
          <w:noProof/>
          <w:color w:val="0000FF"/>
        </w:rPr>
        <w:t>terms</w:t>
      </w:r>
      <w:r>
        <w:rPr>
          <w:noProof/>
        </w:rPr>
        <w:tab/>
      </w:r>
      <w:r>
        <w:rPr>
          <w:noProof/>
        </w:rPr>
        <w:fldChar w:fldCharType="begin"/>
      </w:r>
      <w:r>
        <w:rPr>
          <w:noProof/>
        </w:rPr>
        <w:instrText xml:space="preserve"> PAGEREF _Toc111131972 \h </w:instrText>
      </w:r>
      <w:r>
        <w:rPr>
          <w:noProof/>
        </w:rPr>
      </w:r>
      <w:r>
        <w:rPr>
          <w:noProof/>
        </w:rPr>
        <w:fldChar w:fldCharType="separate"/>
      </w:r>
      <w:r w:rsidR="00857D8F">
        <w:rPr>
          <w:noProof/>
        </w:rPr>
        <w:t>28</w:t>
      </w:r>
      <w:r>
        <w:rPr>
          <w:noProof/>
        </w:rPr>
        <w:fldChar w:fldCharType="end"/>
      </w:r>
    </w:p>
    <w:p w14:paraId="1D3263DF"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shd w:val="clear" w:color="auto" w:fill="FFFFFF"/>
        </w:rPr>
        <w:t xml:space="preserve">1.10AA  Meaning of </w:t>
      </w:r>
      <w:r w:rsidRPr="00F95A48">
        <w:rPr>
          <w:i/>
          <w:noProof/>
          <w:color w:val="0000FF"/>
          <w:shd w:val="clear" w:color="auto" w:fill="FFFFFF"/>
        </w:rPr>
        <w:t xml:space="preserve">CDR representative </w:t>
      </w:r>
      <w:r w:rsidRPr="00F95A48">
        <w:rPr>
          <w:noProof/>
          <w:color w:val="0000FF"/>
          <w:shd w:val="clear" w:color="auto" w:fill="FFFFFF"/>
        </w:rPr>
        <w:t>and related terms</w:t>
      </w:r>
      <w:r>
        <w:rPr>
          <w:noProof/>
        </w:rPr>
        <w:tab/>
      </w:r>
      <w:r>
        <w:rPr>
          <w:noProof/>
        </w:rPr>
        <w:fldChar w:fldCharType="begin"/>
      </w:r>
      <w:r>
        <w:rPr>
          <w:noProof/>
        </w:rPr>
        <w:instrText xml:space="preserve"> PAGEREF _Toc111131973 \h </w:instrText>
      </w:r>
      <w:r>
        <w:rPr>
          <w:noProof/>
        </w:rPr>
      </w:r>
      <w:r>
        <w:rPr>
          <w:noProof/>
        </w:rPr>
        <w:fldChar w:fldCharType="separate"/>
      </w:r>
      <w:r w:rsidR="00857D8F">
        <w:rPr>
          <w:noProof/>
        </w:rPr>
        <w:t>29</w:t>
      </w:r>
      <w:r>
        <w:rPr>
          <w:noProof/>
        </w:rPr>
        <w:fldChar w:fldCharType="end"/>
      </w:r>
    </w:p>
    <w:p w14:paraId="312E26CC" w14:textId="77777777" w:rsidR="00195095" w:rsidRDefault="00195095">
      <w:pPr>
        <w:pStyle w:val="TOC5"/>
        <w:rPr>
          <w:rFonts w:asciiTheme="minorHAnsi" w:eastAsiaTheme="minorEastAsia" w:hAnsiTheme="minorHAnsi" w:cstheme="minorBidi"/>
          <w:noProof/>
          <w:kern w:val="0"/>
          <w:sz w:val="22"/>
          <w:szCs w:val="22"/>
        </w:rPr>
      </w:pPr>
      <w:r>
        <w:rPr>
          <w:noProof/>
        </w:rPr>
        <w:t>1.10A  Types of consents</w:t>
      </w:r>
      <w:r>
        <w:rPr>
          <w:noProof/>
        </w:rPr>
        <w:tab/>
      </w:r>
      <w:r>
        <w:rPr>
          <w:noProof/>
        </w:rPr>
        <w:fldChar w:fldCharType="begin"/>
      </w:r>
      <w:r>
        <w:rPr>
          <w:noProof/>
        </w:rPr>
        <w:instrText xml:space="preserve"> PAGEREF _Toc111131974 \h </w:instrText>
      </w:r>
      <w:r>
        <w:rPr>
          <w:noProof/>
        </w:rPr>
      </w:r>
      <w:r>
        <w:rPr>
          <w:noProof/>
        </w:rPr>
        <w:fldChar w:fldCharType="separate"/>
      </w:r>
      <w:r w:rsidR="00857D8F">
        <w:rPr>
          <w:noProof/>
        </w:rPr>
        <w:t>33</w:t>
      </w:r>
      <w:r>
        <w:rPr>
          <w:noProof/>
        </w:rPr>
        <w:fldChar w:fldCharType="end"/>
      </w:r>
    </w:p>
    <w:p w14:paraId="52933035" w14:textId="77777777" w:rsidR="00195095" w:rsidRDefault="00195095">
      <w:pPr>
        <w:pStyle w:val="TOC5"/>
        <w:rPr>
          <w:rFonts w:asciiTheme="minorHAnsi" w:eastAsiaTheme="minorEastAsia" w:hAnsiTheme="minorHAnsi" w:cstheme="minorBidi"/>
          <w:noProof/>
          <w:kern w:val="0"/>
          <w:sz w:val="22"/>
          <w:szCs w:val="22"/>
        </w:rPr>
      </w:pPr>
      <w:r>
        <w:rPr>
          <w:noProof/>
        </w:rPr>
        <w:t xml:space="preserve">1.10B  Meaning of </w:t>
      </w:r>
      <w:r w:rsidRPr="00F95A48">
        <w:rPr>
          <w:i/>
          <w:noProof/>
        </w:rPr>
        <w:t>eligible</w:t>
      </w:r>
      <w:r>
        <w:rPr>
          <w:noProof/>
        </w:rPr>
        <w:tab/>
      </w:r>
      <w:r>
        <w:rPr>
          <w:noProof/>
        </w:rPr>
        <w:fldChar w:fldCharType="begin"/>
      </w:r>
      <w:r>
        <w:rPr>
          <w:noProof/>
        </w:rPr>
        <w:instrText xml:space="preserve"> PAGEREF _Toc111131975 \h </w:instrText>
      </w:r>
      <w:r>
        <w:rPr>
          <w:noProof/>
        </w:rPr>
      </w:r>
      <w:r>
        <w:rPr>
          <w:noProof/>
        </w:rPr>
        <w:fldChar w:fldCharType="separate"/>
      </w:r>
      <w:r w:rsidR="00857D8F">
        <w:rPr>
          <w:noProof/>
        </w:rPr>
        <w:t>35</w:t>
      </w:r>
      <w:r>
        <w:rPr>
          <w:noProof/>
        </w:rPr>
        <w:fldChar w:fldCharType="end"/>
      </w:r>
    </w:p>
    <w:p w14:paraId="73AD41C2" w14:textId="77777777" w:rsidR="00195095" w:rsidRDefault="00195095">
      <w:pPr>
        <w:pStyle w:val="TOC5"/>
        <w:rPr>
          <w:rFonts w:asciiTheme="minorHAnsi" w:eastAsiaTheme="minorEastAsia" w:hAnsiTheme="minorHAnsi" w:cstheme="minorBidi"/>
          <w:noProof/>
          <w:kern w:val="0"/>
          <w:sz w:val="22"/>
          <w:szCs w:val="22"/>
        </w:rPr>
      </w:pPr>
      <w:r>
        <w:rPr>
          <w:noProof/>
        </w:rPr>
        <w:t>1.10C  Trusted advisers</w:t>
      </w:r>
      <w:r>
        <w:rPr>
          <w:noProof/>
        </w:rPr>
        <w:tab/>
      </w:r>
      <w:r>
        <w:rPr>
          <w:noProof/>
        </w:rPr>
        <w:fldChar w:fldCharType="begin"/>
      </w:r>
      <w:r>
        <w:rPr>
          <w:noProof/>
        </w:rPr>
        <w:instrText xml:space="preserve"> PAGEREF _Toc111131976 \h </w:instrText>
      </w:r>
      <w:r>
        <w:rPr>
          <w:noProof/>
        </w:rPr>
      </w:r>
      <w:r>
        <w:rPr>
          <w:noProof/>
        </w:rPr>
        <w:fldChar w:fldCharType="separate"/>
      </w:r>
      <w:r w:rsidR="00857D8F">
        <w:rPr>
          <w:noProof/>
        </w:rPr>
        <w:t>35</w:t>
      </w:r>
      <w:r>
        <w:rPr>
          <w:noProof/>
        </w:rPr>
        <w:fldChar w:fldCharType="end"/>
      </w:r>
    </w:p>
    <w:p w14:paraId="58C0ADE1" w14:textId="77777777" w:rsidR="00195095" w:rsidRDefault="00195095">
      <w:pPr>
        <w:pStyle w:val="TOC5"/>
        <w:rPr>
          <w:rFonts w:asciiTheme="minorHAnsi" w:eastAsiaTheme="minorEastAsia" w:hAnsiTheme="minorHAnsi" w:cstheme="minorBidi"/>
          <w:noProof/>
          <w:kern w:val="0"/>
          <w:sz w:val="22"/>
          <w:szCs w:val="22"/>
        </w:rPr>
      </w:pPr>
      <w:r>
        <w:rPr>
          <w:noProof/>
        </w:rPr>
        <w:t xml:space="preserve">1.10D  Meaning of </w:t>
      </w:r>
      <w:r w:rsidRPr="00F95A48">
        <w:rPr>
          <w:i/>
          <w:noProof/>
        </w:rPr>
        <w:t>sponsorship arrangement</w:t>
      </w:r>
      <w:r w:rsidRPr="00F95A48">
        <w:rPr>
          <w:iCs/>
          <w:noProof/>
        </w:rPr>
        <w:t>,</w:t>
      </w:r>
      <w:r w:rsidRPr="00F95A48">
        <w:rPr>
          <w:bCs/>
          <w:iCs/>
          <w:noProof/>
        </w:rPr>
        <w:t xml:space="preserve"> </w:t>
      </w:r>
      <w:r w:rsidRPr="00F95A48">
        <w:rPr>
          <w:i/>
          <w:noProof/>
        </w:rPr>
        <w:t>sponsor</w:t>
      </w:r>
      <w:r w:rsidRPr="00F95A48">
        <w:rPr>
          <w:noProof/>
        </w:rPr>
        <w:t xml:space="preserve"> and </w:t>
      </w:r>
      <w:r w:rsidRPr="00F95A48">
        <w:rPr>
          <w:i/>
          <w:noProof/>
        </w:rPr>
        <w:t>affiliate</w:t>
      </w:r>
      <w:r>
        <w:rPr>
          <w:noProof/>
        </w:rPr>
        <w:tab/>
      </w:r>
      <w:r>
        <w:rPr>
          <w:noProof/>
        </w:rPr>
        <w:fldChar w:fldCharType="begin"/>
      </w:r>
      <w:r>
        <w:rPr>
          <w:noProof/>
        </w:rPr>
        <w:instrText xml:space="preserve"> PAGEREF _Toc111131977 \h </w:instrText>
      </w:r>
      <w:r>
        <w:rPr>
          <w:noProof/>
        </w:rPr>
      </w:r>
      <w:r>
        <w:rPr>
          <w:noProof/>
        </w:rPr>
        <w:fldChar w:fldCharType="separate"/>
      </w:r>
      <w:r w:rsidR="00857D8F">
        <w:rPr>
          <w:noProof/>
        </w:rPr>
        <w:t>36</w:t>
      </w:r>
      <w:r>
        <w:rPr>
          <w:noProof/>
        </w:rPr>
        <w:fldChar w:fldCharType="end"/>
      </w:r>
    </w:p>
    <w:p w14:paraId="72DB7B0F"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 xml:space="preserve">1.10E  Meaning of </w:t>
      </w:r>
      <w:r w:rsidRPr="00F95A48">
        <w:rPr>
          <w:i/>
          <w:noProof/>
          <w:color w:val="0000FF"/>
        </w:rPr>
        <w:t>trial product</w:t>
      </w:r>
      <w:r>
        <w:rPr>
          <w:noProof/>
        </w:rPr>
        <w:tab/>
      </w:r>
      <w:r>
        <w:rPr>
          <w:noProof/>
        </w:rPr>
        <w:fldChar w:fldCharType="begin"/>
      </w:r>
      <w:r>
        <w:rPr>
          <w:noProof/>
        </w:rPr>
        <w:instrText xml:space="preserve"> PAGEREF _Toc111131978 \h </w:instrText>
      </w:r>
      <w:r>
        <w:rPr>
          <w:noProof/>
        </w:rPr>
      </w:r>
      <w:r>
        <w:rPr>
          <w:noProof/>
        </w:rPr>
        <w:fldChar w:fldCharType="separate"/>
      </w:r>
      <w:r w:rsidR="00857D8F">
        <w:rPr>
          <w:noProof/>
        </w:rPr>
        <w:t>37</w:t>
      </w:r>
      <w:r>
        <w:rPr>
          <w:noProof/>
        </w:rPr>
        <w:fldChar w:fldCharType="end"/>
      </w:r>
    </w:p>
    <w:p w14:paraId="690CE4FC" w14:textId="77777777" w:rsidR="00195095" w:rsidRDefault="00195095">
      <w:pPr>
        <w:pStyle w:val="TOC3"/>
        <w:rPr>
          <w:rFonts w:asciiTheme="minorHAnsi" w:eastAsiaTheme="minorEastAsia" w:hAnsiTheme="minorHAnsi" w:cstheme="minorBidi"/>
          <w:b w:val="0"/>
          <w:noProof/>
          <w:kern w:val="0"/>
          <w:szCs w:val="22"/>
        </w:rPr>
      </w:pPr>
      <w:r>
        <w:rPr>
          <w:noProof/>
        </w:rPr>
        <w:t>Division 1.4—</w:t>
      </w:r>
      <w:r w:rsidRPr="00F95A48">
        <w:rPr>
          <w:noProof/>
          <w:color w:val="000000"/>
        </w:rPr>
        <w:t>General provisions relating to data holders and to accredited persons</w:t>
      </w:r>
      <w:r>
        <w:rPr>
          <w:noProof/>
        </w:rPr>
        <w:tab/>
      </w:r>
      <w:r>
        <w:rPr>
          <w:noProof/>
        </w:rPr>
        <w:fldChar w:fldCharType="begin"/>
      </w:r>
      <w:r>
        <w:rPr>
          <w:noProof/>
        </w:rPr>
        <w:instrText xml:space="preserve"> PAGEREF _Toc111131979 \h </w:instrText>
      </w:r>
      <w:r>
        <w:rPr>
          <w:noProof/>
        </w:rPr>
      </w:r>
      <w:r>
        <w:rPr>
          <w:noProof/>
        </w:rPr>
        <w:fldChar w:fldCharType="separate"/>
      </w:r>
      <w:r w:rsidR="00857D8F">
        <w:rPr>
          <w:noProof/>
        </w:rPr>
        <w:t>38</w:t>
      </w:r>
      <w:r>
        <w:rPr>
          <w:noProof/>
        </w:rPr>
        <w:fldChar w:fldCharType="end"/>
      </w:r>
    </w:p>
    <w:p w14:paraId="2EB97F2D"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1.4.1—Preliminary</w:t>
      </w:r>
      <w:r>
        <w:rPr>
          <w:noProof/>
        </w:rPr>
        <w:tab/>
      </w:r>
      <w:r>
        <w:rPr>
          <w:noProof/>
        </w:rPr>
        <w:fldChar w:fldCharType="begin"/>
      </w:r>
      <w:r>
        <w:rPr>
          <w:noProof/>
        </w:rPr>
        <w:instrText xml:space="preserve"> PAGEREF _Toc111131980 \h </w:instrText>
      </w:r>
      <w:r>
        <w:rPr>
          <w:noProof/>
        </w:rPr>
      </w:r>
      <w:r>
        <w:rPr>
          <w:noProof/>
        </w:rPr>
        <w:fldChar w:fldCharType="separate"/>
      </w:r>
      <w:r w:rsidR="00857D8F">
        <w:rPr>
          <w:noProof/>
        </w:rPr>
        <w:t>38</w:t>
      </w:r>
      <w:r>
        <w:rPr>
          <w:noProof/>
        </w:rPr>
        <w:fldChar w:fldCharType="end"/>
      </w:r>
    </w:p>
    <w:p w14:paraId="1D509CD8" w14:textId="77777777" w:rsidR="00195095" w:rsidRDefault="00195095">
      <w:pPr>
        <w:pStyle w:val="TOC5"/>
        <w:rPr>
          <w:rFonts w:asciiTheme="minorHAnsi" w:eastAsiaTheme="minorEastAsia" w:hAnsiTheme="minorHAnsi" w:cstheme="minorBidi"/>
          <w:noProof/>
          <w:kern w:val="0"/>
          <w:sz w:val="22"/>
          <w:szCs w:val="22"/>
        </w:rPr>
      </w:pPr>
      <w:r>
        <w:rPr>
          <w:noProof/>
        </w:rPr>
        <w:t>1.11  Simplified outline of Division</w:t>
      </w:r>
      <w:r>
        <w:rPr>
          <w:noProof/>
        </w:rPr>
        <w:tab/>
      </w:r>
      <w:r>
        <w:rPr>
          <w:noProof/>
        </w:rPr>
        <w:fldChar w:fldCharType="begin"/>
      </w:r>
      <w:r>
        <w:rPr>
          <w:noProof/>
        </w:rPr>
        <w:instrText xml:space="preserve"> PAGEREF _Toc111131981 \h </w:instrText>
      </w:r>
      <w:r>
        <w:rPr>
          <w:noProof/>
        </w:rPr>
      </w:r>
      <w:r>
        <w:rPr>
          <w:noProof/>
        </w:rPr>
        <w:fldChar w:fldCharType="separate"/>
      </w:r>
      <w:r w:rsidR="00857D8F">
        <w:rPr>
          <w:noProof/>
        </w:rPr>
        <w:t>38</w:t>
      </w:r>
      <w:r>
        <w:rPr>
          <w:noProof/>
        </w:rPr>
        <w:fldChar w:fldCharType="end"/>
      </w:r>
    </w:p>
    <w:p w14:paraId="389DC67D"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1.4.2—Services for making requests under these rules</w:t>
      </w:r>
      <w:r>
        <w:rPr>
          <w:noProof/>
        </w:rPr>
        <w:tab/>
      </w:r>
      <w:r>
        <w:rPr>
          <w:noProof/>
        </w:rPr>
        <w:fldChar w:fldCharType="begin"/>
      </w:r>
      <w:r>
        <w:rPr>
          <w:noProof/>
        </w:rPr>
        <w:instrText xml:space="preserve"> PAGEREF _Toc111131982 \h </w:instrText>
      </w:r>
      <w:r>
        <w:rPr>
          <w:noProof/>
        </w:rPr>
      </w:r>
      <w:r>
        <w:rPr>
          <w:noProof/>
        </w:rPr>
        <w:fldChar w:fldCharType="separate"/>
      </w:r>
      <w:r w:rsidR="00857D8F">
        <w:rPr>
          <w:noProof/>
        </w:rPr>
        <w:t>39</w:t>
      </w:r>
      <w:r>
        <w:rPr>
          <w:noProof/>
        </w:rPr>
        <w:fldChar w:fldCharType="end"/>
      </w:r>
    </w:p>
    <w:p w14:paraId="17D46FD8" w14:textId="77777777" w:rsidR="00195095" w:rsidRDefault="00195095">
      <w:pPr>
        <w:pStyle w:val="TOC5"/>
        <w:rPr>
          <w:rFonts w:asciiTheme="minorHAnsi" w:eastAsiaTheme="minorEastAsia" w:hAnsiTheme="minorHAnsi" w:cstheme="minorBidi"/>
          <w:noProof/>
          <w:kern w:val="0"/>
          <w:sz w:val="22"/>
          <w:szCs w:val="22"/>
        </w:rPr>
      </w:pPr>
      <w:r>
        <w:rPr>
          <w:noProof/>
        </w:rPr>
        <w:t>1.12  Product data request service</w:t>
      </w:r>
      <w:r>
        <w:rPr>
          <w:noProof/>
        </w:rPr>
        <w:tab/>
      </w:r>
      <w:r>
        <w:rPr>
          <w:noProof/>
        </w:rPr>
        <w:fldChar w:fldCharType="begin"/>
      </w:r>
      <w:r>
        <w:rPr>
          <w:noProof/>
        </w:rPr>
        <w:instrText xml:space="preserve"> PAGEREF _Toc111131983 \h </w:instrText>
      </w:r>
      <w:r>
        <w:rPr>
          <w:noProof/>
        </w:rPr>
      </w:r>
      <w:r>
        <w:rPr>
          <w:noProof/>
        </w:rPr>
        <w:fldChar w:fldCharType="separate"/>
      </w:r>
      <w:r w:rsidR="00857D8F">
        <w:rPr>
          <w:noProof/>
        </w:rPr>
        <w:t>39</w:t>
      </w:r>
      <w:r>
        <w:rPr>
          <w:noProof/>
        </w:rPr>
        <w:fldChar w:fldCharType="end"/>
      </w:r>
    </w:p>
    <w:p w14:paraId="4BD3816B" w14:textId="77777777" w:rsidR="00195095" w:rsidRDefault="00195095">
      <w:pPr>
        <w:pStyle w:val="TOC5"/>
        <w:rPr>
          <w:rFonts w:asciiTheme="minorHAnsi" w:eastAsiaTheme="minorEastAsia" w:hAnsiTheme="minorHAnsi" w:cstheme="minorBidi"/>
          <w:noProof/>
          <w:kern w:val="0"/>
          <w:sz w:val="22"/>
          <w:szCs w:val="22"/>
        </w:rPr>
      </w:pPr>
      <w:r>
        <w:rPr>
          <w:noProof/>
        </w:rPr>
        <w:t>1.13  Consumer data request service</w:t>
      </w:r>
      <w:r>
        <w:rPr>
          <w:noProof/>
        </w:rPr>
        <w:tab/>
      </w:r>
      <w:r>
        <w:rPr>
          <w:noProof/>
        </w:rPr>
        <w:fldChar w:fldCharType="begin"/>
      </w:r>
      <w:r>
        <w:rPr>
          <w:noProof/>
        </w:rPr>
        <w:instrText xml:space="preserve"> PAGEREF _Toc111131984 \h </w:instrText>
      </w:r>
      <w:r>
        <w:rPr>
          <w:noProof/>
        </w:rPr>
      </w:r>
      <w:r>
        <w:rPr>
          <w:noProof/>
        </w:rPr>
        <w:fldChar w:fldCharType="separate"/>
      </w:r>
      <w:r w:rsidR="00857D8F">
        <w:rPr>
          <w:noProof/>
        </w:rPr>
        <w:t>39</w:t>
      </w:r>
      <w:r>
        <w:rPr>
          <w:noProof/>
        </w:rPr>
        <w:fldChar w:fldCharType="end"/>
      </w:r>
    </w:p>
    <w:p w14:paraId="0C18B872"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1.4.3—Services for managing consumer data requests made by accredited persons</w:t>
      </w:r>
      <w:r>
        <w:rPr>
          <w:noProof/>
        </w:rPr>
        <w:tab/>
      </w:r>
      <w:r>
        <w:rPr>
          <w:noProof/>
        </w:rPr>
        <w:fldChar w:fldCharType="begin"/>
      </w:r>
      <w:r>
        <w:rPr>
          <w:noProof/>
        </w:rPr>
        <w:instrText xml:space="preserve"> PAGEREF _Toc111131985 \h </w:instrText>
      </w:r>
      <w:r>
        <w:rPr>
          <w:noProof/>
        </w:rPr>
      </w:r>
      <w:r>
        <w:rPr>
          <w:noProof/>
        </w:rPr>
        <w:fldChar w:fldCharType="separate"/>
      </w:r>
      <w:r w:rsidR="00857D8F">
        <w:rPr>
          <w:noProof/>
        </w:rPr>
        <w:t>41</w:t>
      </w:r>
      <w:r>
        <w:rPr>
          <w:noProof/>
        </w:rPr>
        <w:fldChar w:fldCharType="end"/>
      </w:r>
    </w:p>
    <w:p w14:paraId="2B68A756" w14:textId="77777777" w:rsidR="00195095" w:rsidRDefault="00195095">
      <w:pPr>
        <w:pStyle w:val="TOC5"/>
        <w:rPr>
          <w:rFonts w:asciiTheme="minorHAnsi" w:eastAsiaTheme="minorEastAsia" w:hAnsiTheme="minorHAnsi" w:cstheme="minorBidi"/>
          <w:noProof/>
          <w:kern w:val="0"/>
          <w:sz w:val="22"/>
          <w:szCs w:val="22"/>
        </w:rPr>
      </w:pPr>
      <w:r>
        <w:rPr>
          <w:noProof/>
        </w:rPr>
        <w:t>1.14  Consumer dashboard—accredited person</w:t>
      </w:r>
      <w:r>
        <w:rPr>
          <w:noProof/>
        </w:rPr>
        <w:tab/>
      </w:r>
      <w:r>
        <w:rPr>
          <w:noProof/>
        </w:rPr>
        <w:fldChar w:fldCharType="begin"/>
      </w:r>
      <w:r>
        <w:rPr>
          <w:noProof/>
        </w:rPr>
        <w:instrText xml:space="preserve"> PAGEREF _Toc111131986 \h </w:instrText>
      </w:r>
      <w:r>
        <w:rPr>
          <w:noProof/>
        </w:rPr>
      </w:r>
      <w:r>
        <w:rPr>
          <w:noProof/>
        </w:rPr>
        <w:fldChar w:fldCharType="separate"/>
      </w:r>
      <w:r w:rsidR="00857D8F">
        <w:rPr>
          <w:noProof/>
        </w:rPr>
        <w:t>41</w:t>
      </w:r>
      <w:r>
        <w:rPr>
          <w:noProof/>
        </w:rPr>
        <w:fldChar w:fldCharType="end"/>
      </w:r>
    </w:p>
    <w:p w14:paraId="68E85160" w14:textId="77777777" w:rsidR="00195095" w:rsidRDefault="00195095">
      <w:pPr>
        <w:pStyle w:val="TOC5"/>
        <w:rPr>
          <w:rFonts w:asciiTheme="minorHAnsi" w:eastAsiaTheme="minorEastAsia" w:hAnsiTheme="minorHAnsi" w:cstheme="minorBidi"/>
          <w:noProof/>
          <w:kern w:val="0"/>
          <w:sz w:val="22"/>
          <w:szCs w:val="22"/>
        </w:rPr>
      </w:pPr>
      <w:r>
        <w:rPr>
          <w:noProof/>
        </w:rPr>
        <w:t>1.15  Consumer dashboard—data holder</w:t>
      </w:r>
      <w:r>
        <w:rPr>
          <w:noProof/>
        </w:rPr>
        <w:tab/>
      </w:r>
      <w:r>
        <w:rPr>
          <w:noProof/>
        </w:rPr>
        <w:fldChar w:fldCharType="begin"/>
      </w:r>
      <w:r>
        <w:rPr>
          <w:noProof/>
        </w:rPr>
        <w:instrText xml:space="preserve"> PAGEREF _Toc111131987 \h </w:instrText>
      </w:r>
      <w:r>
        <w:rPr>
          <w:noProof/>
        </w:rPr>
      </w:r>
      <w:r>
        <w:rPr>
          <w:noProof/>
        </w:rPr>
        <w:fldChar w:fldCharType="separate"/>
      </w:r>
      <w:r w:rsidR="00857D8F">
        <w:rPr>
          <w:noProof/>
        </w:rPr>
        <w:t>42</w:t>
      </w:r>
      <w:r>
        <w:rPr>
          <w:noProof/>
        </w:rPr>
        <w:fldChar w:fldCharType="end"/>
      </w:r>
    </w:p>
    <w:p w14:paraId="3386C67D"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1.4.4—Other obligations of accredited persons</w:t>
      </w:r>
      <w:r>
        <w:rPr>
          <w:noProof/>
        </w:rPr>
        <w:tab/>
      </w:r>
      <w:r>
        <w:rPr>
          <w:noProof/>
        </w:rPr>
        <w:fldChar w:fldCharType="begin"/>
      </w:r>
      <w:r>
        <w:rPr>
          <w:noProof/>
        </w:rPr>
        <w:instrText xml:space="preserve"> PAGEREF _Toc111131988 \h </w:instrText>
      </w:r>
      <w:r>
        <w:rPr>
          <w:noProof/>
        </w:rPr>
      </w:r>
      <w:r>
        <w:rPr>
          <w:noProof/>
        </w:rPr>
        <w:fldChar w:fldCharType="separate"/>
      </w:r>
      <w:r w:rsidR="00857D8F">
        <w:rPr>
          <w:noProof/>
        </w:rPr>
        <w:t>45</w:t>
      </w:r>
      <w:r>
        <w:rPr>
          <w:noProof/>
        </w:rPr>
        <w:fldChar w:fldCharType="end"/>
      </w:r>
    </w:p>
    <w:p w14:paraId="5479717E"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1.16  Obligations relating to outsourcing arrangements</w:t>
      </w:r>
      <w:r>
        <w:rPr>
          <w:noProof/>
        </w:rPr>
        <w:tab/>
      </w:r>
      <w:r>
        <w:rPr>
          <w:noProof/>
        </w:rPr>
        <w:fldChar w:fldCharType="begin"/>
      </w:r>
      <w:r>
        <w:rPr>
          <w:noProof/>
        </w:rPr>
        <w:instrText xml:space="preserve"> PAGEREF _Toc111131989 \h </w:instrText>
      </w:r>
      <w:r>
        <w:rPr>
          <w:noProof/>
        </w:rPr>
      </w:r>
      <w:r>
        <w:rPr>
          <w:noProof/>
        </w:rPr>
        <w:fldChar w:fldCharType="separate"/>
      </w:r>
      <w:r w:rsidR="00857D8F">
        <w:rPr>
          <w:noProof/>
        </w:rPr>
        <w:t>45</w:t>
      </w:r>
      <w:r>
        <w:rPr>
          <w:noProof/>
        </w:rPr>
        <w:fldChar w:fldCharType="end"/>
      </w:r>
    </w:p>
    <w:p w14:paraId="5203BE92"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1.16A  Obligations relating to CDR representative arrangements</w:t>
      </w:r>
      <w:r>
        <w:rPr>
          <w:noProof/>
        </w:rPr>
        <w:tab/>
      </w:r>
      <w:r>
        <w:rPr>
          <w:noProof/>
        </w:rPr>
        <w:fldChar w:fldCharType="begin"/>
      </w:r>
      <w:r>
        <w:rPr>
          <w:noProof/>
        </w:rPr>
        <w:instrText xml:space="preserve"> PAGEREF _Toc111131990 \h </w:instrText>
      </w:r>
      <w:r>
        <w:rPr>
          <w:noProof/>
        </w:rPr>
      </w:r>
      <w:r>
        <w:rPr>
          <w:noProof/>
        </w:rPr>
        <w:fldChar w:fldCharType="separate"/>
      </w:r>
      <w:r w:rsidR="00857D8F">
        <w:rPr>
          <w:noProof/>
        </w:rPr>
        <w:t>45</w:t>
      </w:r>
      <w:r>
        <w:rPr>
          <w:noProof/>
        </w:rPr>
        <w:fldChar w:fldCharType="end"/>
      </w:r>
    </w:p>
    <w:p w14:paraId="74B2D209"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rPr>
        <w:t>1.16  Obligations relating to CDR outsourcing arrangements</w:t>
      </w:r>
      <w:r>
        <w:rPr>
          <w:noProof/>
        </w:rPr>
        <w:tab/>
      </w:r>
      <w:r>
        <w:rPr>
          <w:noProof/>
        </w:rPr>
        <w:fldChar w:fldCharType="begin"/>
      </w:r>
      <w:r>
        <w:rPr>
          <w:noProof/>
        </w:rPr>
        <w:instrText xml:space="preserve"> PAGEREF _Toc111131991 \h </w:instrText>
      </w:r>
      <w:r>
        <w:rPr>
          <w:noProof/>
        </w:rPr>
      </w:r>
      <w:r>
        <w:rPr>
          <w:noProof/>
        </w:rPr>
        <w:fldChar w:fldCharType="separate"/>
      </w:r>
      <w:r w:rsidR="00857D8F">
        <w:rPr>
          <w:noProof/>
        </w:rPr>
        <w:t>46</w:t>
      </w:r>
      <w:r>
        <w:rPr>
          <w:noProof/>
        </w:rPr>
        <w:fldChar w:fldCharType="end"/>
      </w:r>
    </w:p>
    <w:p w14:paraId="0B308BCC"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rPr>
        <w:t>1.16A  Obligations relating to CDR representative arrangements</w:t>
      </w:r>
      <w:r>
        <w:rPr>
          <w:noProof/>
        </w:rPr>
        <w:tab/>
      </w:r>
      <w:r>
        <w:rPr>
          <w:noProof/>
        </w:rPr>
        <w:fldChar w:fldCharType="begin"/>
      </w:r>
      <w:r>
        <w:rPr>
          <w:noProof/>
        </w:rPr>
        <w:instrText xml:space="preserve"> PAGEREF _Toc111131992 \h </w:instrText>
      </w:r>
      <w:r>
        <w:rPr>
          <w:noProof/>
        </w:rPr>
      </w:r>
      <w:r>
        <w:rPr>
          <w:noProof/>
        </w:rPr>
        <w:fldChar w:fldCharType="separate"/>
      </w:r>
      <w:r w:rsidR="00857D8F">
        <w:rPr>
          <w:noProof/>
        </w:rPr>
        <w:t>46</w:t>
      </w:r>
      <w:r>
        <w:rPr>
          <w:noProof/>
        </w:rPr>
        <w:fldChar w:fldCharType="end"/>
      </w:r>
    </w:p>
    <w:p w14:paraId="606FD392"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1.4.5—D</w:t>
      </w:r>
      <w:r w:rsidRPr="00F95A48">
        <w:rPr>
          <w:noProof/>
          <w:color w:val="000000" w:themeColor="text1"/>
        </w:rPr>
        <w:t>eletion and d</w:t>
      </w:r>
      <w:r>
        <w:rPr>
          <w:noProof/>
        </w:rPr>
        <w:t>e</w:t>
      </w:r>
      <w:r>
        <w:rPr>
          <w:noProof/>
        </w:rPr>
        <w:noBreakHyphen/>
        <w:t>identification of CDR data</w:t>
      </w:r>
      <w:r>
        <w:rPr>
          <w:noProof/>
        </w:rPr>
        <w:tab/>
      </w:r>
      <w:r>
        <w:rPr>
          <w:noProof/>
        </w:rPr>
        <w:fldChar w:fldCharType="begin"/>
      </w:r>
      <w:r>
        <w:rPr>
          <w:noProof/>
        </w:rPr>
        <w:instrText xml:space="preserve"> PAGEREF _Toc111131993 \h </w:instrText>
      </w:r>
      <w:r>
        <w:rPr>
          <w:noProof/>
        </w:rPr>
      </w:r>
      <w:r>
        <w:rPr>
          <w:noProof/>
        </w:rPr>
        <w:fldChar w:fldCharType="separate"/>
      </w:r>
      <w:r w:rsidR="00857D8F">
        <w:rPr>
          <w:noProof/>
        </w:rPr>
        <w:t>47</w:t>
      </w:r>
      <w:r>
        <w:rPr>
          <w:noProof/>
        </w:rPr>
        <w:fldChar w:fldCharType="end"/>
      </w:r>
    </w:p>
    <w:p w14:paraId="3D14664D" w14:textId="77777777" w:rsidR="00195095" w:rsidRDefault="00195095">
      <w:pPr>
        <w:pStyle w:val="TOC5"/>
        <w:rPr>
          <w:rFonts w:asciiTheme="minorHAnsi" w:eastAsiaTheme="minorEastAsia" w:hAnsiTheme="minorHAnsi" w:cstheme="minorBidi"/>
          <w:noProof/>
          <w:kern w:val="0"/>
          <w:sz w:val="22"/>
          <w:szCs w:val="22"/>
        </w:rPr>
      </w:pPr>
      <w:r>
        <w:rPr>
          <w:noProof/>
        </w:rPr>
        <w:t xml:space="preserve">1.17  CDR </w:t>
      </w:r>
      <w:r w:rsidRPr="00F95A48">
        <w:rPr>
          <w:noProof/>
          <w:color w:val="000000" w:themeColor="text1"/>
        </w:rPr>
        <w:t xml:space="preserve">data </w:t>
      </w:r>
      <w:r>
        <w:rPr>
          <w:noProof/>
        </w:rPr>
        <w:t>de</w:t>
      </w:r>
      <w:r>
        <w:rPr>
          <w:noProof/>
        </w:rPr>
        <w:noBreakHyphen/>
        <w:t>identification process</w:t>
      </w:r>
      <w:r>
        <w:rPr>
          <w:noProof/>
        </w:rPr>
        <w:tab/>
      </w:r>
      <w:r>
        <w:rPr>
          <w:noProof/>
        </w:rPr>
        <w:fldChar w:fldCharType="begin"/>
      </w:r>
      <w:r>
        <w:rPr>
          <w:noProof/>
        </w:rPr>
        <w:instrText xml:space="preserve"> PAGEREF _Toc111131994 \h </w:instrText>
      </w:r>
      <w:r>
        <w:rPr>
          <w:noProof/>
        </w:rPr>
      </w:r>
      <w:r>
        <w:rPr>
          <w:noProof/>
        </w:rPr>
        <w:fldChar w:fldCharType="separate"/>
      </w:r>
      <w:r w:rsidR="00857D8F">
        <w:rPr>
          <w:noProof/>
        </w:rPr>
        <w:t>47</w:t>
      </w:r>
      <w:r>
        <w:rPr>
          <w:noProof/>
        </w:rPr>
        <w:fldChar w:fldCharType="end"/>
      </w:r>
    </w:p>
    <w:p w14:paraId="52A55EC7" w14:textId="77777777" w:rsidR="00195095" w:rsidRDefault="00195095">
      <w:pPr>
        <w:pStyle w:val="TOC5"/>
        <w:rPr>
          <w:rFonts w:asciiTheme="minorHAnsi" w:eastAsiaTheme="minorEastAsia" w:hAnsiTheme="minorHAnsi" w:cstheme="minorBidi"/>
          <w:noProof/>
          <w:kern w:val="0"/>
          <w:sz w:val="22"/>
          <w:szCs w:val="22"/>
        </w:rPr>
      </w:pPr>
      <w:r>
        <w:rPr>
          <w:noProof/>
        </w:rPr>
        <w:t>1.17A  Identification of otherwise redundant data that is not to be deleted</w:t>
      </w:r>
      <w:r>
        <w:rPr>
          <w:noProof/>
        </w:rPr>
        <w:tab/>
      </w:r>
      <w:r>
        <w:rPr>
          <w:noProof/>
        </w:rPr>
        <w:fldChar w:fldCharType="begin"/>
      </w:r>
      <w:r>
        <w:rPr>
          <w:noProof/>
        </w:rPr>
        <w:instrText xml:space="preserve"> PAGEREF _Toc111131995 \h </w:instrText>
      </w:r>
      <w:r>
        <w:rPr>
          <w:noProof/>
        </w:rPr>
      </w:r>
      <w:r>
        <w:rPr>
          <w:noProof/>
        </w:rPr>
        <w:fldChar w:fldCharType="separate"/>
      </w:r>
      <w:r w:rsidR="00857D8F">
        <w:rPr>
          <w:noProof/>
        </w:rPr>
        <w:t>48</w:t>
      </w:r>
      <w:r>
        <w:rPr>
          <w:noProof/>
        </w:rPr>
        <w:fldChar w:fldCharType="end"/>
      </w:r>
    </w:p>
    <w:p w14:paraId="2D31EB16"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themeColor="text1"/>
        </w:rPr>
        <w:t>1.18  CDR data deletion process</w:t>
      </w:r>
      <w:r>
        <w:rPr>
          <w:noProof/>
        </w:rPr>
        <w:tab/>
      </w:r>
      <w:r>
        <w:rPr>
          <w:noProof/>
        </w:rPr>
        <w:fldChar w:fldCharType="begin"/>
      </w:r>
      <w:r>
        <w:rPr>
          <w:noProof/>
        </w:rPr>
        <w:instrText xml:space="preserve"> PAGEREF _Toc111131996 \h </w:instrText>
      </w:r>
      <w:r>
        <w:rPr>
          <w:noProof/>
        </w:rPr>
      </w:r>
      <w:r>
        <w:rPr>
          <w:noProof/>
        </w:rPr>
        <w:fldChar w:fldCharType="separate"/>
      </w:r>
      <w:r w:rsidR="00857D8F">
        <w:rPr>
          <w:noProof/>
        </w:rPr>
        <w:t>48</w:t>
      </w:r>
      <w:r>
        <w:rPr>
          <w:noProof/>
        </w:rPr>
        <w:fldChar w:fldCharType="end"/>
      </w:r>
    </w:p>
    <w:p w14:paraId="6F1468F5" w14:textId="77777777" w:rsidR="00195095" w:rsidRDefault="00195095">
      <w:pPr>
        <w:pStyle w:val="TOC3"/>
        <w:rPr>
          <w:rFonts w:asciiTheme="minorHAnsi" w:eastAsiaTheme="minorEastAsia" w:hAnsiTheme="minorHAnsi" w:cstheme="minorBidi"/>
          <w:b w:val="0"/>
          <w:noProof/>
          <w:kern w:val="0"/>
          <w:szCs w:val="22"/>
        </w:rPr>
      </w:pPr>
      <w:r>
        <w:rPr>
          <w:noProof/>
        </w:rPr>
        <w:t>Division 1.5—Application of rules in relation to SR data</w:t>
      </w:r>
      <w:r>
        <w:rPr>
          <w:noProof/>
        </w:rPr>
        <w:tab/>
      </w:r>
      <w:r>
        <w:rPr>
          <w:noProof/>
        </w:rPr>
        <w:fldChar w:fldCharType="begin"/>
      </w:r>
      <w:r>
        <w:rPr>
          <w:noProof/>
        </w:rPr>
        <w:instrText xml:space="preserve"> PAGEREF _Toc111131997 \h </w:instrText>
      </w:r>
      <w:r>
        <w:rPr>
          <w:noProof/>
        </w:rPr>
      </w:r>
      <w:r>
        <w:rPr>
          <w:noProof/>
        </w:rPr>
        <w:fldChar w:fldCharType="separate"/>
      </w:r>
      <w:r w:rsidR="00857D8F">
        <w:rPr>
          <w:noProof/>
        </w:rPr>
        <w:t>48</w:t>
      </w:r>
      <w:r>
        <w:rPr>
          <w:noProof/>
        </w:rPr>
        <w:fldChar w:fldCharType="end"/>
      </w:r>
    </w:p>
    <w:p w14:paraId="7D0B6128" w14:textId="77777777" w:rsidR="00195095" w:rsidRDefault="00195095">
      <w:pPr>
        <w:pStyle w:val="TOC5"/>
        <w:rPr>
          <w:rFonts w:asciiTheme="minorHAnsi" w:eastAsiaTheme="minorEastAsia" w:hAnsiTheme="minorHAnsi" w:cstheme="minorBidi"/>
          <w:noProof/>
          <w:kern w:val="0"/>
          <w:sz w:val="22"/>
          <w:szCs w:val="22"/>
        </w:rPr>
      </w:pPr>
      <w:r>
        <w:rPr>
          <w:noProof/>
        </w:rPr>
        <w:t>1.19  Eligible CDR consumers in relation to secondary data holders</w:t>
      </w:r>
      <w:r>
        <w:rPr>
          <w:noProof/>
        </w:rPr>
        <w:tab/>
      </w:r>
      <w:r>
        <w:rPr>
          <w:noProof/>
        </w:rPr>
        <w:fldChar w:fldCharType="begin"/>
      </w:r>
      <w:r>
        <w:rPr>
          <w:noProof/>
        </w:rPr>
        <w:instrText xml:space="preserve"> PAGEREF _Toc111131998 \h </w:instrText>
      </w:r>
      <w:r>
        <w:rPr>
          <w:noProof/>
        </w:rPr>
      </w:r>
      <w:r>
        <w:rPr>
          <w:noProof/>
        </w:rPr>
        <w:fldChar w:fldCharType="separate"/>
      </w:r>
      <w:r w:rsidR="00857D8F">
        <w:rPr>
          <w:noProof/>
        </w:rPr>
        <w:t>49</w:t>
      </w:r>
      <w:r>
        <w:rPr>
          <w:noProof/>
        </w:rPr>
        <w:fldChar w:fldCharType="end"/>
      </w:r>
    </w:p>
    <w:p w14:paraId="389B39F0" w14:textId="77777777" w:rsidR="00195095" w:rsidRDefault="00195095">
      <w:pPr>
        <w:pStyle w:val="TOC5"/>
        <w:rPr>
          <w:rFonts w:asciiTheme="minorHAnsi" w:eastAsiaTheme="minorEastAsia" w:hAnsiTheme="minorHAnsi" w:cstheme="minorBidi"/>
          <w:noProof/>
          <w:kern w:val="0"/>
          <w:sz w:val="22"/>
          <w:szCs w:val="22"/>
        </w:rPr>
      </w:pPr>
      <w:r>
        <w:rPr>
          <w:noProof/>
        </w:rPr>
        <w:t>1.20  Consumer data request service—primary data holders and secondary data holders</w:t>
      </w:r>
      <w:r>
        <w:rPr>
          <w:noProof/>
        </w:rPr>
        <w:tab/>
      </w:r>
      <w:r>
        <w:rPr>
          <w:noProof/>
        </w:rPr>
        <w:fldChar w:fldCharType="begin"/>
      </w:r>
      <w:r>
        <w:rPr>
          <w:noProof/>
        </w:rPr>
        <w:instrText xml:space="preserve"> PAGEREF _Toc111131999 \h </w:instrText>
      </w:r>
      <w:r>
        <w:rPr>
          <w:noProof/>
        </w:rPr>
      </w:r>
      <w:r>
        <w:rPr>
          <w:noProof/>
        </w:rPr>
        <w:fldChar w:fldCharType="separate"/>
      </w:r>
      <w:r w:rsidR="00857D8F">
        <w:rPr>
          <w:noProof/>
        </w:rPr>
        <w:t>49</w:t>
      </w:r>
      <w:r>
        <w:rPr>
          <w:noProof/>
        </w:rPr>
        <w:fldChar w:fldCharType="end"/>
      </w:r>
    </w:p>
    <w:p w14:paraId="360A7026" w14:textId="77777777" w:rsidR="00195095" w:rsidRDefault="00195095">
      <w:pPr>
        <w:pStyle w:val="TOC5"/>
        <w:rPr>
          <w:rFonts w:asciiTheme="minorHAnsi" w:eastAsiaTheme="minorEastAsia" w:hAnsiTheme="minorHAnsi" w:cstheme="minorBidi"/>
          <w:noProof/>
          <w:kern w:val="0"/>
          <w:sz w:val="22"/>
          <w:szCs w:val="22"/>
        </w:rPr>
      </w:pPr>
      <w:r>
        <w:rPr>
          <w:noProof/>
        </w:rPr>
        <w:t>1.21  Consumer dashboard—SR data request</w:t>
      </w:r>
      <w:r>
        <w:rPr>
          <w:noProof/>
        </w:rPr>
        <w:tab/>
      </w:r>
      <w:r>
        <w:rPr>
          <w:noProof/>
        </w:rPr>
        <w:fldChar w:fldCharType="begin"/>
      </w:r>
      <w:r>
        <w:rPr>
          <w:noProof/>
        </w:rPr>
        <w:instrText xml:space="preserve"> PAGEREF _Toc111132000 \h </w:instrText>
      </w:r>
      <w:r>
        <w:rPr>
          <w:noProof/>
        </w:rPr>
      </w:r>
      <w:r>
        <w:rPr>
          <w:noProof/>
        </w:rPr>
        <w:fldChar w:fldCharType="separate"/>
      </w:r>
      <w:r w:rsidR="00857D8F">
        <w:rPr>
          <w:noProof/>
        </w:rPr>
        <w:t>49</w:t>
      </w:r>
      <w:r>
        <w:rPr>
          <w:noProof/>
        </w:rPr>
        <w:fldChar w:fldCharType="end"/>
      </w:r>
    </w:p>
    <w:p w14:paraId="497D31FA" w14:textId="77777777" w:rsidR="00195095" w:rsidRDefault="00195095">
      <w:pPr>
        <w:pStyle w:val="TOC5"/>
        <w:rPr>
          <w:rFonts w:asciiTheme="minorHAnsi" w:eastAsiaTheme="minorEastAsia" w:hAnsiTheme="minorHAnsi" w:cstheme="minorBidi"/>
          <w:noProof/>
          <w:kern w:val="0"/>
          <w:sz w:val="22"/>
          <w:szCs w:val="22"/>
        </w:rPr>
      </w:pPr>
      <w:r>
        <w:rPr>
          <w:noProof/>
        </w:rPr>
        <w:t>1.22  SR data request by a CDR consumer</w:t>
      </w:r>
      <w:r>
        <w:rPr>
          <w:noProof/>
        </w:rPr>
        <w:tab/>
      </w:r>
      <w:r>
        <w:rPr>
          <w:noProof/>
        </w:rPr>
        <w:fldChar w:fldCharType="begin"/>
      </w:r>
      <w:r>
        <w:rPr>
          <w:noProof/>
        </w:rPr>
        <w:instrText xml:space="preserve"> PAGEREF _Toc111132001 \h </w:instrText>
      </w:r>
      <w:r>
        <w:rPr>
          <w:noProof/>
        </w:rPr>
      </w:r>
      <w:r>
        <w:rPr>
          <w:noProof/>
        </w:rPr>
        <w:fldChar w:fldCharType="separate"/>
      </w:r>
      <w:r w:rsidR="00857D8F">
        <w:rPr>
          <w:noProof/>
        </w:rPr>
        <w:t>49</w:t>
      </w:r>
      <w:r>
        <w:rPr>
          <w:noProof/>
        </w:rPr>
        <w:fldChar w:fldCharType="end"/>
      </w:r>
    </w:p>
    <w:p w14:paraId="62F32B4B" w14:textId="77777777" w:rsidR="00195095" w:rsidRDefault="00195095">
      <w:pPr>
        <w:pStyle w:val="TOC5"/>
        <w:rPr>
          <w:rFonts w:asciiTheme="minorHAnsi" w:eastAsiaTheme="minorEastAsia" w:hAnsiTheme="minorHAnsi" w:cstheme="minorBidi"/>
          <w:noProof/>
          <w:kern w:val="0"/>
          <w:sz w:val="22"/>
          <w:szCs w:val="22"/>
        </w:rPr>
      </w:pPr>
      <w:r>
        <w:rPr>
          <w:noProof/>
        </w:rPr>
        <w:lastRenderedPageBreak/>
        <w:t>1.23  SR data request by an accredited person</w:t>
      </w:r>
      <w:r>
        <w:rPr>
          <w:noProof/>
        </w:rPr>
        <w:tab/>
      </w:r>
      <w:r>
        <w:rPr>
          <w:noProof/>
        </w:rPr>
        <w:fldChar w:fldCharType="begin"/>
      </w:r>
      <w:r>
        <w:rPr>
          <w:noProof/>
        </w:rPr>
        <w:instrText xml:space="preserve"> PAGEREF _Toc111132002 \h </w:instrText>
      </w:r>
      <w:r>
        <w:rPr>
          <w:noProof/>
        </w:rPr>
      </w:r>
      <w:r>
        <w:rPr>
          <w:noProof/>
        </w:rPr>
        <w:fldChar w:fldCharType="separate"/>
      </w:r>
      <w:r w:rsidR="00857D8F">
        <w:rPr>
          <w:noProof/>
        </w:rPr>
        <w:t>50</w:t>
      </w:r>
      <w:r>
        <w:rPr>
          <w:noProof/>
        </w:rPr>
        <w:fldChar w:fldCharType="end"/>
      </w:r>
    </w:p>
    <w:p w14:paraId="25D0D688" w14:textId="77777777" w:rsidR="00195095" w:rsidRDefault="00195095">
      <w:pPr>
        <w:pStyle w:val="TOC5"/>
        <w:rPr>
          <w:rFonts w:asciiTheme="minorHAnsi" w:eastAsiaTheme="minorEastAsia" w:hAnsiTheme="minorHAnsi" w:cstheme="minorBidi"/>
          <w:noProof/>
          <w:kern w:val="0"/>
          <w:sz w:val="22"/>
          <w:szCs w:val="22"/>
        </w:rPr>
      </w:pPr>
      <w:r>
        <w:rPr>
          <w:noProof/>
        </w:rPr>
        <w:t>1.24  SR data disclosed to primary data holder not to be used for other purposes</w:t>
      </w:r>
      <w:r>
        <w:rPr>
          <w:noProof/>
        </w:rPr>
        <w:tab/>
      </w:r>
      <w:r>
        <w:rPr>
          <w:noProof/>
        </w:rPr>
        <w:fldChar w:fldCharType="begin"/>
      </w:r>
      <w:r>
        <w:rPr>
          <w:noProof/>
        </w:rPr>
        <w:instrText xml:space="preserve"> PAGEREF _Toc111132003 \h </w:instrText>
      </w:r>
      <w:r>
        <w:rPr>
          <w:noProof/>
        </w:rPr>
      </w:r>
      <w:r>
        <w:rPr>
          <w:noProof/>
        </w:rPr>
        <w:fldChar w:fldCharType="separate"/>
      </w:r>
      <w:r w:rsidR="00857D8F">
        <w:rPr>
          <w:noProof/>
        </w:rPr>
        <w:t>51</w:t>
      </w:r>
      <w:r>
        <w:rPr>
          <w:noProof/>
        </w:rPr>
        <w:fldChar w:fldCharType="end"/>
      </w:r>
    </w:p>
    <w:p w14:paraId="57C2E3AA" w14:textId="77777777" w:rsidR="00195095" w:rsidRDefault="00195095">
      <w:pPr>
        <w:pStyle w:val="TOC5"/>
        <w:rPr>
          <w:rFonts w:asciiTheme="minorHAnsi" w:eastAsiaTheme="minorEastAsia" w:hAnsiTheme="minorHAnsi" w:cstheme="minorBidi"/>
          <w:noProof/>
          <w:kern w:val="0"/>
          <w:sz w:val="22"/>
          <w:szCs w:val="22"/>
        </w:rPr>
      </w:pPr>
      <w:r>
        <w:rPr>
          <w:noProof/>
        </w:rPr>
        <w:t>1.25  Dealing with unsolicited SR data</w:t>
      </w:r>
      <w:r>
        <w:rPr>
          <w:noProof/>
        </w:rPr>
        <w:tab/>
      </w:r>
      <w:r>
        <w:rPr>
          <w:noProof/>
        </w:rPr>
        <w:fldChar w:fldCharType="begin"/>
      </w:r>
      <w:r>
        <w:rPr>
          <w:noProof/>
        </w:rPr>
        <w:instrText xml:space="preserve"> PAGEREF _Toc111132004 \h </w:instrText>
      </w:r>
      <w:r>
        <w:rPr>
          <w:noProof/>
        </w:rPr>
      </w:r>
      <w:r>
        <w:rPr>
          <w:noProof/>
        </w:rPr>
        <w:fldChar w:fldCharType="separate"/>
      </w:r>
      <w:r w:rsidR="00857D8F">
        <w:rPr>
          <w:noProof/>
        </w:rPr>
        <w:t>51</w:t>
      </w:r>
      <w:r>
        <w:rPr>
          <w:noProof/>
        </w:rPr>
        <w:fldChar w:fldCharType="end"/>
      </w:r>
    </w:p>
    <w:p w14:paraId="6AA4DCCD" w14:textId="77777777" w:rsidR="00195095" w:rsidRDefault="00195095">
      <w:pPr>
        <w:pStyle w:val="TOC5"/>
        <w:rPr>
          <w:rFonts w:asciiTheme="minorHAnsi" w:eastAsiaTheme="minorEastAsia" w:hAnsiTheme="minorHAnsi" w:cstheme="minorBidi"/>
          <w:noProof/>
          <w:kern w:val="0"/>
          <w:sz w:val="22"/>
          <w:szCs w:val="22"/>
        </w:rPr>
      </w:pPr>
      <w:r>
        <w:rPr>
          <w:noProof/>
        </w:rPr>
        <w:t>1.26  Dispute resolution—primary data holders and secondary data holders</w:t>
      </w:r>
      <w:r>
        <w:rPr>
          <w:noProof/>
        </w:rPr>
        <w:tab/>
      </w:r>
      <w:r>
        <w:rPr>
          <w:noProof/>
        </w:rPr>
        <w:fldChar w:fldCharType="begin"/>
      </w:r>
      <w:r>
        <w:rPr>
          <w:noProof/>
        </w:rPr>
        <w:instrText xml:space="preserve"> PAGEREF _Toc111132005 \h </w:instrText>
      </w:r>
      <w:r>
        <w:rPr>
          <w:noProof/>
        </w:rPr>
      </w:r>
      <w:r>
        <w:rPr>
          <w:noProof/>
        </w:rPr>
        <w:fldChar w:fldCharType="separate"/>
      </w:r>
      <w:r w:rsidR="00857D8F">
        <w:rPr>
          <w:noProof/>
        </w:rPr>
        <w:t>52</w:t>
      </w:r>
      <w:r>
        <w:rPr>
          <w:noProof/>
        </w:rPr>
        <w:fldChar w:fldCharType="end"/>
      </w:r>
    </w:p>
    <w:p w14:paraId="51B7A1D4" w14:textId="77777777" w:rsidR="00195095" w:rsidRDefault="00195095">
      <w:pPr>
        <w:pStyle w:val="TOC5"/>
        <w:rPr>
          <w:rFonts w:asciiTheme="minorHAnsi" w:eastAsiaTheme="minorEastAsia" w:hAnsiTheme="minorHAnsi" w:cstheme="minorBidi"/>
          <w:noProof/>
          <w:kern w:val="0"/>
          <w:sz w:val="22"/>
          <w:szCs w:val="22"/>
        </w:rPr>
      </w:pPr>
      <w:r>
        <w:rPr>
          <w:noProof/>
        </w:rPr>
        <w:t>1.26  Dispute resolution—primary data holders and secondary data holders</w:t>
      </w:r>
      <w:r>
        <w:rPr>
          <w:noProof/>
        </w:rPr>
        <w:tab/>
      </w:r>
      <w:r>
        <w:rPr>
          <w:noProof/>
        </w:rPr>
        <w:fldChar w:fldCharType="begin"/>
      </w:r>
      <w:r>
        <w:rPr>
          <w:noProof/>
        </w:rPr>
        <w:instrText xml:space="preserve"> PAGEREF _Toc111132006 \h </w:instrText>
      </w:r>
      <w:r>
        <w:rPr>
          <w:noProof/>
        </w:rPr>
      </w:r>
      <w:r>
        <w:rPr>
          <w:noProof/>
        </w:rPr>
        <w:fldChar w:fldCharType="separate"/>
      </w:r>
      <w:r w:rsidR="00857D8F">
        <w:rPr>
          <w:noProof/>
        </w:rPr>
        <w:t>52</w:t>
      </w:r>
      <w:r>
        <w:rPr>
          <w:noProof/>
        </w:rPr>
        <w:fldChar w:fldCharType="end"/>
      </w:r>
    </w:p>
    <w:p w14:paraId="0CC81770" w14:textId="77777777" w:rsidR="00195095" w:rsidRDefault="00195095">
      <w:pPr>
        <w:pStyle w:val="TOC2"/>
        <w:rPr>
          <w:rFonts w:asciiTheme="minorHAnsi" w:eastAsiaTheme="minorEastAsia" w:hAnsiTheme="minorHAnsi" w:cstheme="minorBidi"/>
          <w:b w:val="0"/>
          <w:noProof/>
          <w:kern w:val="0"/>
          <w:sz w:val="22"/>
          <w:szCs w:val="22"/>
        </w:rPr>
      </w:pPr>
      <w:r>
        <w:rPr>
          <w:noProof/>
        </w:rPr>
        <w:t>Part 2—Product data requests</w:t>
      </w:r>
      <w:r>
        <w:rPr>
          <w:noProof/>
        </w:rPr>
        <w:tab/>
      </w:r>
      <w:r>
        <w:rPr>
          <w:noProof/>
        </w:rPr>
        <w:fldChar w:fldCharType="begin"/>
      </w:r>
      <w:r>
        <w:rPr>
          <w:noProof/>
        </w:rPr>
        <w:instrText xml:space="preserve"> PAGEREF _Toc111132007 \h </w:instrText>
      </w:r>
      <w:r>
        <w:rPr>
          <w:noProof/>
        </w:rPr>
      </w:r>
      <w:r>
        <w:rPr>
          <w:noProof/>
        </w:rPr>
        <w:fldChar w:fldCharType="separate"/>
      </w:r>
      <w:r w:rsidR="00857D8F">
        <w:rPr>
          <w:noProof/>
        </w:rPr>
        <w:t>53</w:t>
      </w:r>
      <w:r>
        <w:rPr>
          <w:noProof/>
        </w:rPr>
        <w:fldChar w:fldCharType="end"/>
      </w:r>
    </w:p>
    <w:p w14:paraId="7337D9DC" w14:textId="77777777" w:rsidR="00195095" w:rsidRDefault="00195095">
      <w:pPr>
        <w:pStyle w:val="TOC5"/>
        <w:rPr>
          <w:rFonts w:asciiTheme="minorHAnsi" w:eastAsiaTheme="minorEastAsia" w:hAnsiTheme="minorHAnsi" w:cstheme="minorBidi"/>
          <w:noProof/>
          <w:kern w:val="0"/>
          <w:sz w:val="22"/>
          <w:szCs w:val="22"/>
        </w:rPr>
      </w:pPr>
      <w:r>
        <w:rPr>
          <w:noProof/>
        </w:rPr>
        <w:t>2.1  Simplified outline of this Part</w:t>
      </w:r>
      <w:r>
        <w:rPr>
          <w:noProof/>
        </w:rPr>
        <w:tab/>
      </w:r>
      <w:r>
        <w:rPr>
          <w:noProof/>
        </w:rPr>
        <w:fldChar w:fldCharType="begin"/>
      </w:r>
      <w:r>
        <w:rPr>
          <w:noProof/>
        </w:rPr>
        <w:instrText xml:space="preserve"> PAGEREF _Toc111132008 \h </w:instrText>
      </w:r>
      <w:r>
        <w:rPr>
          <w:noProof/>
        </w:rPr>
      </w:r>
      <w:r>
        <w:rPr>
          <w:noProof/>
        </w:rPr>
        <w:fldChar w:fldCharType="separate"/>
      </w:r>
      <w:r w:rsidR="00857D8F">
        <w:rPr>
          <w:noProof/>
        </w:rPr>
        <w:t>53</w:t>
      </w:r>
      <w:r>
        <w:rPr>
          <w:noProof/>
        </w:rPr>
        <w:fldChar w:fldCharType="end"/>
      </w:r>
    </w:p>
    <w:p w14:paraId="40ADB346" w14:textId="77777777" w:rsidR="00195095" w:rsidRDefault="00195095">
      <w:pPr>
        <w:pStyle w:val="TOC5"/>
        <w:rPr>
          <w:rFonts w:asciiTheme="minorHAnsi" w:eastAsiaTheme="minorEastAsia" w:hAnsiTheme="minorHAnsi" w:cstheme="minorBidi"/>
          <w:noProof/>
          <w:kern w:val="0"/>
          <w:sz w:val="22"/>
          <w:szCs w:val="22"/>
        </w:rPr>
      </w:pPr>
      <w:r>
        <w:rPr>
          <w:noProof/>
        </w:rPr>
        <w:t>2.2  Making product data requests—flowchart</w:t>
      </w:r>
      <w:r>
        <w:rPr>
          <w:noProof/>
        </w:rPr>
        <w:tab/>
      </w:r>
      <w:r>
        <w:rPr>
          <w:noProof/>
        </w:rPr>
        <w:fldChar w:fldCharType="begin"/>
      </w:r>
      <w:r>
        <w:rPr>
          <w:noProof/>
        </w:rPr>
        <w:instrText xml:space="preserve"> PAGEREF _Toc111132009 \h </w:instrText>
      </w:r>
      <w:r>
        <w:rPr>
          <w:noProof/>
        </w:rPr>
      </w:r>
      <w:r>
        <w:rPr>
          <w:noProof/>
        </w:rPr>
        <w:fldChar w:fldCharType="separate"/>
      </w:r>
      <w:r w:rsidR="00857D8F">
        <w:rPr>
          <w:noProof/>
        </w:rPr>
        <w:t>53</w:t>
      </w:r>
      <w:r>
        <w:rPr>
          <w:noProof/>
        </w:rPr>
        <w:fldChar w:fldCharType="end"/>
      </w:r>
    </w:p>
    <w:p w14:paraId="62C36310" w14:textId="77777777" w:rsidR="00195095" w:rsidRDefault="00195095">
      <w:pPr>
        <w:pStyle w:val="TOC5"/>
        <w:rPr>
          <w:rFonts w:asciiTheme="minorHAnsi" w:eastAsiaTheme="minorEastAsia" w:hAnsiTheme="minorHAnsi" w:cstheme="minorBidi"/>
          <w:noProof/>
          <w:kern w:val="0"/>
          <w:sz w:val="22"/>
          <w:szCs w:val="22"/>
        </w:rPr>
      </w:pPr>
      <w:r>
        <w:rPr>
          <w:noProof/>
        </w:rPr>
        <w:t>2.3  Product data requests</w:t>
      </w:r>
      <w:r>
        <w:rPr>
          <w:noProof/>
        </w:rPr>
        <w:tab/>
      </w:r>
      <w:r>
        <w:rPr>
          <w:noProof/>
        </w:rPr>
        <w:fldChar w:fldCharType="begin"/>
      </w:r>
      <w:r>
        <w:rPr>
          <w:noProof/>
        </w:rPr>
        <w:instrText xml:space="preserve"> PAGEREF _Toc111132010 \h </w:instrText>
      </w:r>
      <w:r>
        <w:rPr>
          <w:noProof/>
        </w:rPr>
      </w:r>
      <w:r>
        <w:rPr>
          <w:noProof/>
        </w:rPr>
        <w:fldChar w:fldCharType="separate"/>
      </w:r>
      <w:r w:rsidR="00857D8F">
        <w:rPr>
          <w:noProof/>
        </w:rPr>
        <w:t>54</w:t>
      </w:r>
      <w:r>
        <w:rPr>
          <w:noProof/>
        </w:rPr>
        <w:fldChar w:fldCharType="end"/>
      </w:r>
    </w:p>
    <w:p w14:paraId="7CBC4675" w14:textId="77777777" w:rsidR="00195095" w:rsidRDefault="00195095">
      <w:pPr>
        <w:pStyle w:val="TOC5"/>
        <w:rPr>
          <w:rFonts w:asciiTheme="minorHAnsi" w:eastAsiaTheme="minorEastAsia" w:hAnsiTheme="minorHAnsi" w:cstheme="minorBidi"/>
          <w:noProof/>
          <w:kern w:val="0"/>
          <w:sz w:val="22"/>
          <w:szCs w:val="22"/>
        </w:rPr>
      </w:pPr>
      <w:r>
        <w:rPr>
          <w:noProof/>
        </w:rPr>
        <w:t xml:space="preserve">2.4  Disclosing </w:t>
      </w:r>
      <w:r w:rsidRPr="00F95A48">
        <w:rPr>
          <w:noProof/>
          <w:color w:val="000000"/>
        </w:rPr>
        <w:t xml:space="preserve">product </w:t>
      </w:r>
      <w:r>
        <w:rPr>
          <w:noProof/>
        </w:rPr>
        <w:t>data in response to p</w:t>
      </w:r>
      <w:r w:rsidRPr="00F95A48">
        <w:rPr>
          <w:noProof/>
          <w:color w:val="000000"/>
        </w:rPr>
        <w:t>roduct data</w:t>
      </w:r>
      <w:r>
        <w:rPr>
          <w:noProof/>
        </w:rPr>
        <w:t xml:space="preserve"> request</w:t>
      </w:r>
      <w:r>
        <w:rPr>
          <w:noProof/>
        </w:rPr>
        <w:tab/>
      </w:r>
      <w:r>
        <w:rPr>
          <w:noProof/>
        </w:rPr>
        <w:fldChar w:fldCharType="begin"/>
      </w:r>
      <w:r>
        <w:rPr>
          <w:noProof/>
        </w:rPr>
        <w:instrText xml:space="preserve"> PAGEREF _Toc111132011 \h </w:instrText>
      </w:r>
      <w:r>
        <w:rPr>
          <w:noProof/>
        </w:rPr>
      </w:r>
      <w:r>
        <w:rPr>
          <w:noProof/>
        </w:rPr>
        <w:fldChar w:fldCharType="separate"/>
      </w:r>
      <w:r w:rsidR="00857D8F">
        <w:rPr>
          <w:noProof/>
        </w:rPr>
        <w:t>54</w:t>
      </w:r>
      <w:r>
        <w:rPr>
          <w:noProof/>
        </w:rPr>
        <w:fldChar w:fldCharType="end"/>
      </w:r>
    </w:p>
    <w:p w14:paraId="5DE7FB0D" w14:textId="77777777" w:rsidR="00195095" w:rsidRDefault="00195095">
      <w:pPr>
        <w:pStyle w:val="TOC5"/>
        <w:rPr>
          <w:rFonts w:asciiTheme="minorHAnsi" w:eastAsiaTheme="minorEastAsia" w:hAnsiTheme="minorHAnsi" w:cstheme="minorBidi"/>
          <w:noProof/>
          <w:kern w:val="0"/>
          <w:sz w:val="22"/>
          <w:szCs w:val="22"/>
        </w:rPr>
      </w:pPr>
      <w:r>
        <w:rPr>
          <w:noProof/>
        </w:rPr>
        <w:t>2.5  Refusal to disclose required product data in response to product data request</w:t>
      </w:r>
      <w:r>
        <w:rPr>
          <w:noProof/>
        </w:rPr>
        <w:tab/>
      </w:r>
      <w:r>
        <w:rPr>
          <w:noProof/>
        </w:rPr>
        <w:fldChar w:fldCharType="begin"/>
      </w:r>
      <w:r>
        <w:rPr>
          <w:noProof/>
        </w:rPr>
        <w:instrText xml:space="preserve"> PAGEREF _Toc111132012 \h </w:instrText>
      </w:r>
      <w:r>
        <w:rPr>
          <w:noProof/>
        </w:rPr>
      </w:r>
      <w:r>
        <w:rPr>
          <w:noProof/>
        </w:rPr>
        <w:fldChar w:fldCharType="separate"/>
      </w:r>
      <w:r w:rsidR="00857D8F">
        <w:rPr>
          <w:noProof/>
        </w:rPr>
        <w:t>55</w:t>
      </w:r>
      <w:r>
        <w:rPr>
          <w:noProof/>
        </w:rPr>
        <w:fldChar w:fldCharType="end"/>
      </w:r>
    </w:p>
    <w:p w14:paraId="27970800" w14:textId="77777777" w:rsidR="00195095" w:rsidRDefault="00195095">
      <w:pPr>
        <w:pStyle w:val="TOC5"/>
        <w:rPr>
          <w:rFonts w:asciiTheme="minorHAnsi" w:eastAsiaTheme="minorEastAsia" w:hAnsiTheme="minorHAnsi" w:cstheme="minorBidi"/>
          <w:noProof/>
          <w:kern w:val="0"/>
          <w:sz w:val="22"/>
          <w:szCs w:val="22"/>
        </w:rPr>
      </w:pPr>
      <w:r>
        <w:rPr>
          <w:noProof/>
        </w:rPr>
        <w:t>2.6  Use of data disclosed pursuant to product data request</w:t>
      </w:r>
      <w:r>
        <w:rPr>
          <w:noProof/>
        </w:rPr>
        <w:tab/>
      </w:r>
      <w:r>
        <w:rPr>
          <w:noProof/>
        </w:rPr>
        <w:fldChar w:fldCharType="begin"/>
      </w:r>
      <w:r>
        <w:rPr>
          <w:noProof/>
        </w:rPr>
        <w:instrText xml:space="preserve"> PAGEREF _Toc111132013 \h </w:instrText>
      </w:r>
      <w:r>
        <w:rPr>
          <w:noProof/>
        </w:rPr>
      </w:r>
      <w:r>
        <w:rPr>
          <w:noProof/>
        </w:rPr>
        <w:fldChar w:fldCharType="separate"/>
      </w:r>
      <w:r w:rsidR="00857D8F">
        <w:rPr>
          <w:noProof/>
        </w:rPr>
        <w:t>56</w:t>
      </w:r>
      <w:r>
        <w:rPr>
          <w:noProof/>
        </w:rPr>
        <w:fldChar w:fldCharType="end"/>
      </w:r>
    </w:p>
    <w:p w14:paraId="681ABF84" w14:textId="77777777" w:rsidR="00195095" w:rsidRDefault="00195095">
      <w:pPr>
        <w:pStyle w:val="TOC2"/>
        <w:rPr>
          <w:rFonts w:asciiTheme="minorHAnsi" w:eastAsiaTheme="minorEastAsia" w:hAnsiTheme="minorHAnsi" w:cstheme="minorBidi"/>
          <w:b w:val="0"/>
          <w:noProof/>
          <w:kern w:val="0"/>
          <w:sz w:val="22"/>
          <w:szCs w:val="22"/>
        </w:rPr>
      </w:pPr>
      <w:r>
        <w:rPr>
          <w:noProof/>
        </w:rPr>
        <w:t xml:space="preserve">Part 3—Consumer data </w:t>
      </w:r>
      <w:r w:rsidRPr="00F95A48">
        <w:rPr>
          <w:noProof/>
          <w:color w:val="000000"/>
        </w:rPr>
        <w:t xml:space="preserve">requests made by </w:t>
      </w:r>
      <w:r>
        <w:rPr>
          <w:noProof/>
        </w:rPr>
        <w:t>eligible CDR consumers</w:t>
      </w:r>
      <w:r>
        <w:rPr>
          <w:noProof/>
        </w:rPr>
        <w:tab/>
      </w:r>
      <w:r>
        <w:rPr>
          <w:noProof/>
        </w:rPr>
        <w:fldChar w:fldCharType="begin"/>
      </w:r>
      <w:r>
        <w:rPr>
          <w:noProof/>
        </w:rPr>
        <w:instrText xml:space="preserve"> PAGEREF _Toc111132014 \h </w:instrText>
      </w:r>
      <w:r>
        <w:rPr>
          <w:noProof/>
        </w:rPr>
      </w:r>
      <w:r>
        <w:rPr>
          <w:noProof/>
        </w:rPr>
        <w:fldChar w:fldCharType="separate"/>
      </w:r>
      <w:r w:rsidR="00857D8F">
        <w:rPr>
          <w:noProof/>
        </w:rPr>
        <w:t>57</w:t>
      </w:r>
      <w:r>
        <w:rPr>
          <w:noProof/>
        </w:rPr>
        <w:fldChar w:fldCharType="end"/>
      </w:r>
    </w:p>
    <w:p w14:paraId="65320AC9" w14:textId="77777777" w:rsidR="00195095" w:rsidRDefault="00195095">
      <w:pPr>
        <w:pStyle w:val="TOC3"/>
        <w:rPr>
          <w:rFonts w:asciiTheme="minorHAnsi" w:eastAsiaTheme="minorEastAsia" w:hAnsiTheme="minorHAnsi" w:cstheme="minorBidi"/>
          <w:b w:val="0"/>
          <w:noProof/>
          <w:kern w:val="0"/>
          <w:szCs w:val="22"/>
        </w:rPr>
      </w:pPr>
      <w:r>
        <w:rPr>
          <w:noProof/>
        </w:rPr>
        <w:t>Division 3.1—Preliminary</w:t>
      </w:r>
      <w:r>
        <w:rPr>
          <w:noProof/>
        </w:rPr>
        <w:tab/>
      </w:r>
      <w:r>
        <w:rPr>
          <w:noProof/>
        </w:rPr>
        <w:fldChar w:fldCharType="begin"/>
      </w:r>
      <w:r>
        <w:rPr>
          <w:noProof/>
        </w:rPr>
        <w:instrText xml:space="preserve"> PAGEREF _Toc111132015 \h </w:instrText>
      </w:r>
      <w:r>
        <w:rPr>
          <w:noProof/>
        </w:rPr>
      </w:r>
      <w:r>
        <w:rPr>
          <w:noProof/>
        </w:rPr>
        <w:fldChar w:fldCharType="separate"/>
      </w:r>
      <w:r w:rsidR="00857D8F">
        <w:rPr>
          <w:noProof/>
        </w:rPr>
        <w:t>57</w:t>
      </w:r>
      <w:r>
        <w:rPr>
          <w:noProof/>
        </w:rPr>
        <w:fldChar w:fldCharType="end"/>
      </w:r>
    </w:p>
    <w:p w14:paraId="4BD4A712" w14:textId="77777777" w:rsidR="00195095" w:rsidRDefault="00195095">
      <w:pPr>
        <w:pStyle w:val="TOC5"/>
        <w:rPr>
          <w:rFonts w:asciiTheme="minorHAnsi" w:eastAsiaTheme="minorEastAsia" w:hAnsiTheme="minorHAnsi" w:cstheme="minorBidi"/>
          <w:noProof/>
          <w:kern w:val="0"/>
          <w:sz w:val="22"/>
          <w:szCs w:val="22"/>
        </w:rPr>
      </w:pPr>
      <w:r>
        <w:rPr>
          <w:noProof/>
        </w:rPr>
        <w:t>3.1  Simplified outline of this Part</w:t>
      </w:r>
      <w:r>
        <w:rPr>
          <w:noProof/>
        </w:rPr>
        <w:tab/>
      </w:r>
      <w:r>
        <w:rPr>
          <w:noProof/>
        </w:rPr>
        <w:fldChar w:fldCharType="begin"/>
      </w:r>
      <w:r>
        <w:rPr>
          <w:noProof/>
        </w:rPr>
        <w:instrText xml:space="preserve"> PAGEREF _Toc111132016 \h </w:instrText>
      </w:r>
      <w:r>
        <w:rPr>
          <w:noProof/>
        </w:rPr>
      </w:r>
      <w:r>
        <w:rPr>
          <w:noProof/>
        </w:rPr>
        <w:fldChar w:fldCharType="separate"/>
      </w:r>
      <w:r w:rsidR="00857D8F">
        <w:rPr>
          <w:noProof/>
        </w:rPr>
        <w:t>57</w:t>
      </w:r>
      <w:r>
        <w:rPr>
          <w:noProof/>
        </w:rPr>
        <w:fldChar w:fldCharType="end"/>
      </w:r>
    </w:p>
    <w:p w14:paraId="381A4684" w14:textId="77777777" w:rsidR="00195095" w:rsidRDefault="00195095">
      <w:pPr>
        <w:pStyle w:val="TOC5"/>
        <w:rPr>
          <w:rFonts w:asciiTheme="minorHAnsi" w:eastAsiaTheme="minorEastAsia" w:hAnsiTheme="minorHAnsi" w:cstheme="minorBidi"/>
          <w:noProof/>
          <w:kern w:val="0"/>
          <w:sz w:val="22"/>
          <w:szCs w:val="22"/>
        </w:rPr>
      </w:pPr>
      <w:r>
        <w:rPr>
          <w:noProof/>
        </w:rPr>
        <w:t>3.2  How an eligible CDR consumer makes a consumer data request—flowchart</w:t>
      </w:r>
      <w:r>
        <w:rPr>
          <w:noProof/>
        </w:rPr>
        <w:tab/>
      </w:r>
      <w:r>
        <w:rPr>
          <w:noProof/>
        </w:rPr>
        <w:fldChar w:fldCharType="begin"/>
      </w:r>
      <w:r>
        <w:rPr>
          <w:noProof/>
        </w:rPr>
        <w:instrText xml:space="preserve"> PAGEREF _Toc111132017 \h </w:instrText>
      </w:r>
      <w:r>
        <w:rPr>
          <w:noProof/>
        </w:rPr>
      </w:r>
      <w:r>
        <w:rPr>
          <w:noProof/>
        </w:rPr>
        <w:fldChar w:fldCharType="separate"/>
      </w:r>
      <w:r w:rsidR="00857D8F">
        <w:rPr>
          <w:noProof/>
        </w:rPr>
        <w:t>58</w:t>
      </w:r>
      <w:r>
        <w:rPr>
          <w:noProof/>
        </w:rPr>
        <w:fldChar w:fldCharType="end"/>
      </w:r>
    </w:p>
    <w:p w14:paraId="630FFBC9" w14:textId="77777777" w:rsidR="00195095" w:rsidRDefault="00195095">
      <w:pPr>
        <w:pStyle w:val="TOC3"/>
        <w:rPr>
          <w:rFonts w:asciiTheme="minorHAnsi" w:eastAsiaTheme="minorEastAsia" w:hAnsiTheme="minorHAnsi" w:cstheme="minorBidi"/>
          <w:b w:val="0"/>
          <w:noProof/>
          <w:kern w:val="0"/>
          <w:szCs w:val="22"/>
        </w:rPr>
      </w:pPr>
      <w:r>
        <w:rPr>
          <w:noProof/>
        </w:rPr>
        <w:t>Division 3.2—Consumer data requests made by CDR consumers</w:t>
      </w:r>
      <w:r>
        <w:rPr>
          <w:noProof/>
        </w:rPr>
        <w:tab/>
      </w:r>
      <w:r>
        <w:rPr>
          <w:noProof/>
        </w:rPr>
        <w:fldChar w:fldCharType="begin"/>
      </w:r>
      <w:r>
        <w:rPr>
          <w:noProof/>
        </w:rPr>
        <w:instrText xml:space="preserve"> PAGEREF _Toc111132018 \h </w:instrText>
      </w:r>
      <w:r>
        <w:rPr>
          <w:noProof/>
        </w:rPr>
      </w:r>
      <w:r>
        <w:rPr>
          <w:noProof/>
        </w:rPr>
        <w:fldChar w:fldCharType="separate"/>
      </w:r>
      <w:r w:rsidR="00857D8F">
        <w:rPr>
          <w:noProof/>
        </w:rPr>
        <w:t>59</w:t>
      </w:r>
      <w:r>
        <w:rPr>
          <w:noProof/>
        </w:rPr>
        <w:fldChar w:fldCharType="end"/>
      </w:r>
    </w:p>
    <w:p w14:paraId="773B32F2"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3.3  Consumer data requests made</w:t>
      </w:r>
      <w:r>
        <w:rPr>
          <w:noProof/>
        </w:rPr>
        <w:t xml:space="preserve"> by CDR consumers</w:t>
      </w:r>
      <w:r>
        <w:rPr>
          <w:noProof/>
        </w:rPr>
        <w:tab/>
      </w:r>
      <w:r>
        <w:rPr>
          <w:noProof/>
        </w:rPr>
        <w:fldChar w:fldCharType="begin"/>
      </w:r>
      <w:r>
        <w:rPr>
          <w:noProof/>
        </w:rPr>
        <w:instrText xml:space="preserve"> PAGEREF _Toc111132019 \h </w:instrText>
      </w:r>
      <w:r>
        <w:rPr>
          <w:noProof/>
        </w:rPr>
      </w:r>
      <w:r>
        <w:rPr>
          <w:noProof/>
        </w:rPr>
        <w:fldChar w:fldCharType="separate"/>
      </w:r>
      <w:r w:rsidR="00857D8F">
        <w:rPr>
          <w:noProof/>
        </w:rPr>
        <w:t>59</w:t>
      </w:r>
      <w:r>
        <w:rPr>
          <w:noProof/>
        </w:rPr>
        <w:fldChar w:fldCharType="end"/>
      </w:r>
    </w:p>
    <w:p w14:paraId="351E6174" w14:textId="77777777" w:rsidR="00195095" w:rsidRDefault="00195095">
      <w:pPr>
        <w:pStyle w:val="TOC5"/>
        <w:rPr>
          <w:rFonts w:asciiTheme="minorHAnsi" w:eastAsiaTheme="minorEastAsia" w:hAnsiTheme="minorHAnsi" w:cstheme="minorBidi"/>
          <w:noProof/>
          <w:kern w:val="0"/>
          <w:sz w:val="22"/>
          <w:szCs w:val="22"/>
        </w:rPr>
      </w:pPr>
      <w:r>
        <w:rPr>
          <w:noProof/>
        </w:rPr>
        <w:t xml:space="preserve">3.4  Disclosing consumer data in response to a valid </w:t>
      </w:r>
      <w:r w:rsidRPr="00F95A48">
        <w:rPr>
          <w:noProof/>
          <w:color w:val="000000"/>
        </w:rPr>
        <w:t xml:space="preserve">consumer data </w:t>
      </w:r>
      <w:r>
        <w:rPr>
          <w:noProof/>
        </w:rPr>
        <w:t>request</w:t>
      </w:r>
      <w:r>
        <w:rPr>
          <w:noProof/>
        </w:rPr>
        <w:tab/>
      </w:r>
      <w:r>
        <w:rPr>
          <w:noProof/>
        </w:rPr>
        <w:fldChar w:fldCharType="begin"/>
      </w:r>
      <w:r>
        <w:rPr>
          <w:noProof/>
        </w:rPr>
        <w:instrText xml:space="preserve"> PAGEREF _Toc111132020 \h </w:instrText>
      </w:r>
      <w:r>
        <w:rPr>
          <w:noProof/>
        </w:rPr>
      </w:r>
      <w:r>
        <w:rPr>
          <w:noProof/>
        </w:rPr>
        <w:fldChar w:fldCharType="separate"/>
      </w:r>
      <w:r w:rsidR="00857D8F">
        <w:rPr>
          <w:noProof/>
        </w:rPr>
        <w:t>59</w:t>
      </w:r>
      <w:r>
        <w:rPr>
          <w:noProof/>
        </w:rPr>
        <w:fldChar w:fldCharType="end"/>
      </w:r>
    </w:p>
    <w:p w14:paraId="698D7C93" w14:textId="77777777" w:rsidR="00195095" w:rsidRDefault="00195095">
      <w:pPr>
        <w:pStyle w:val="TOC5"/>
        <w:rPr>
          <w:rFonts w:asciiTheme="minorHAnsi" w:eastAsiaTheme="minorEastAsia" w:hAnsiTheme="minorHAnsi" w:cstheme="minorBidi"/>
          <w:noProof/>
          <w:kern w:val="0"/>
          <w:sz w:val="22"/>
          <w:szCs w:val="22"/>
        </w:rPr>
      </w:pPr>
      <w:r>
        <w:rPr>
          <w:noProof/>
        </w:rPr>
        <w:t>3.5  Refusal to disclose required consumer data in response to consumer data request</w:t>
      </w:r>
      <w:r>
        <w:rPr>
          <w:noProof/>
        </w:rPr>
        <w:tab/>
      </w:r>
      <w:r>
        <w:rPr>
          <w:noProof/>
        </w:rPr>
        <w:fldChar w:fldCharType="begin"/>
      </w:r>
      <w:r>
        <w:rPr>
          <w:noProof/>
        </w:rPr>
        <w:instrText xml:space="preserve"> PAGEREF _Toc111132021 \h </w:instrText>
      </w:r>
      <w:r>
        <w:rPr>
          <w:noProof/>
        </w:rPr>
      </w:r>
      <w:r>
        <w:rPr>
          <w:noProof/>
        </w:rPr>
        <w:fldChar w:fldCharType="separate"/>
      </w:r>
      <w:r w:rsidR="00857D8F">
        <w:rPr>
          <w:noProof/>
        </w:rPr>
        <w:t>60</w:t>
      </w:r>
      <w:r>
        <w:rPr>
          <w:noProof/>
        </w:rPr>
        <w:fldChar w:fldCharType="end"/>
      </w:r>
    </w:p>
    <w:p w14:paraId="73F100A5" w14:textId="77777777" w:rsidR="00195095" w:rsidRDefault="00195095">
      <w:pPr>
        <w:pStyle w:val="TOC2"/>
        <w:rPr>
          <w:rFonts w:asciiTheme="minorHAnsi" w:eastAsiaTheme="minorEastAsia" w:hAnsiTheme="minorHAnsi" w:cstheme="minorBidi"/>
          <w:b w:val="0"/>
          <w:noProof/>
          <w:kern w:val="0"/>
          <w:sz w:val="22"/>
          <w:szCs w:val="22"/>
        </w:rPr>
      </w:pPr>
      <w:r>
        <w:rPr>
          <w:noProof/>
        </w:rPr>
        <w:t>Part 4—</w:t>
      </w:r>
      <w:r w:rsidRPr="00F95A48">
        <w:rPr>
          <w:noProof/>
          <w:color w:val="000000"/>
        </w:rPr>
        <w:t>Consumer data requests made by accredited persons</w:t>
      </w:r>
      <w:r>
        <w:rPr>
          <w:noProof/>
        </w:rPr>
        <w:tab/>
      </w:r>
      <w:r>
        <w:rPr>
          <w:noProof/>
        </w:rPr>
        <w:fldChar w:fldCharType="begin"/>
      </w:r>
      <w:r>
        <w:rPr>
          <w:noProof/>
        </w:rPr>
        <w:instrText xml:space="preserve"> PAGEREF _Toc111132022 \h </w:instrText>
      </w:r>
      <w:r>
        <w:rPr>
          <w:noProof/>
        </w:rPr>
      </w:r>
      <w:r>
        <w:rPr>
          <w:noProof/>
        </w:rPr>
        <w:fldChar w:fldCharType="separate"/>
      </w:r>
      <w:r w:rsidR="00857D8F">
        <w:rPr>
          <w:noProof/>
        </w:rPr>
        <w:t>61</w:t>
      </w:r>
      <w:r>
        <w:rPr>
          <w:noProof/>
        </w:rPr>
        <w:fldChar w:fldCharType="end"/>
      </w:r>
    </w:p>
    <w:p w14:paraId="7FB2B3B2" w14:textId="77777777" w:rsidR="00195095" w:rsidRDefault="00195095">
      <w:pPr>
        <w:pStyle w:val="TOC3"/>
        <w:rPr>
          <w:rFonts w:asciiTheme="minorHAnsi" w:eastAsiaTheme="minorEastAsia" w:hAnsiTheme="minorHAnsi" w:cstheme="minorBidi"/>
          <w:b w:val="0"/>
          <w:noProof/>
          <w:kern w:val="0"/>
          <w:szCs w:val="22"/>
        </w:rPr>
      </w:pPr>
      <w:r>
        <w:rPr>
          <w:noProof/>
        </w:rPr>
        <w:t>Division 4.1—Preliminary</w:t>
      </w:r>
      <w:r>
        <w:rPr>
          <w:noProof/>
        </w:rPr>
        <w:tab/>
      </w:r>
      <w:r>
        <w:rPr>
          <w:noProof/>
        </w:rPr>
        <w:fldChar w:fldCharType="begin"/>
      </w:r>
      <w:r>
        <w:rPr>
          <w:noProof/>
        </w:rPr>
        <w:instrText xml:space="preserve"> PAGEREF _Toc111132023 \h </w:instrText>
      </w:r>
      <w:r>
        <w:rPr>
          <w:noProof/>
        </w:rPr>
      </w:r>
      <w:r>
        <w:rPr>
          <w:noProof/>
        </w:rPr>
        <w:fldChar w:fldCharType="separate"/>
      </w:r>
      <w:r w:rsidR="00857D8F">
        <w:rPr>
          <w:noProof/>
        </w:rPr>
        <w:t>61</w:t>
      </w:r>
      <w:r>
        <w:rPr>
          <w:noProof/>
        </w:rPr>
        <w:fldChar w:fldCharType="end"/>
      </w:r>
    </w:p>
    <w:p w14:paraId="05A4BA50" w14:textId="77777777" w:rsidR="00195095" w:rsidRDefault="00195095">
      <w:pPr>
        <w:pStyle w:val="TOC5"/>
        <w:rPr>
          <w:rFonts w:asciiTheme="minorHAnsi" w:eastAsiaTheme="minorEastAsia" w:hAnsiTheme="minorHAnsi" w:cstheme="minorBidi"/>
          <w:noProof/>
          <w:kern w:val="0"/>
          <w:sz w:val="22"/>
          <w:szCs w:val="22"/>
        </w:rPr>
      </w:pPr>
      <w:r>
        <w:rPr>
          <w:noProof/>
        </w:rPr>
        <w:t>4.1  Simplified outline of this Part</w:t>
      </w:r>
      <w:r>
        <w:rPr>
          <w:noProof/>
        </w:rPr>
        <w:tab/>
      </w:r>
      <w:r>
        <w:rPr>
          <w:noProof/>
        </w:rPr>
        <w:fldChar w:fldCharType="begin"/>
      </w:r>
      <w:r>
        <w:rPr>
          <w:noProof/>
        </w:rPr>
        <w:instrText xml:space="preserve"> PAGEREF _Toc111132024 \h </w:instrText>
      </w:r>
      <w:r>
        <w:rPr>
          <w:noProof/>
        </w:rPr>
      </w:r>
      <w:r>
        <w:rPr>
          <w:noProof/>
        </w:rPr>
        <w:fldChar w:fldCharType="separate"/>
      </w:r>
      <w:r w:rsidR="00857D8F">
        <w:rPr>
          <w:noProof/>
        </w:rPr>
        <w:t>61</w:t>
      </w:r>
      <w:r>
        <w:rPr>
          <w:noProof/>
        </w:rPr>
        <w:fldChar w:fldCharType="end"/>
      </w:r>
    </w:p>
    <w:p w14:paraId="1B8C5247" w14:textId="77777777" w:rsidR="00195095" w:rsidRDefault="00195095">
      <w:pPr>
        <w:pStyle w:val="TOC3"/>
        <w:rPr>
          <w:rFonts w:asciiTheme="minorHAnsi" w:eastAsiaTheme="minorEastAsia" w:hAnsiTheme="minorHAnsi" w:cstheme="minorBidi"/>
          <w:b w:val="0"/>
          <w:noProof/>
          <w:kern w:val="0"/>
          <w:szCs w:val="22"/>
        </w:rPr>
      </w:pPr>
      <w:r>
        <w:rPr>
          <w:noProof/>
        </w:rPr>
        <w:t>Division 4.2—Consumer data requests made by accredited persons to CDR participants</w:t>
      </w:r>
      <w:r>
        <w:rPr>
          <w:noProof/>
        </w:rPr>
        <w:tab/>
      </w:r>
      <w:r>
        <w:rPr>
          <w:noProof/>
        </w:rPr>
        <w:fldChar w:fldCharType="begin"/>
      </w:r>
      <w:r>
        <w:rPr>
          <w:noProof/>
        </w:rPr>
        <w:instrText xml:space="preserve"> PAGEREF _Toc111132025 \h </w:instrText>
      </w:r>
      <w:r>
        <w:rPr>
          <w:noProof/>
        </w:rPr>
      </w:r>
      <w:r>
        <w:rPr>
          <w:noProof/>
        </w:rPr>
        <w:fldChar w:fldCharType="separate"/>
      </w:r>
      <w:r w:rsidR="00857D8F">
        <w:rPr>
          <w:noProof/>
        </w:rPr>
        <w:t>63</w:t>
      </w:r>
      <w:r>
        <w:rPr>
          <w:noProof/>
        </w:rPr>
        <w:fldChar w:fldCharType="end"/>
      </w:r>
    </w:p>
    <w:p w14:paraId="713D1EA5"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4.2.1—Preliminary</w:t>
      </w:r>
      <w:r>
        <w:rPr>
          <w:noProof/>
        </w:rPr>
        <w:tab/>
      </w:r>
      <w:r>
        <w:rPr>
          <w:noProof/>
        </w:rPr>
        <w:fldChar w:fldCharType="begin"/>
      </w:r>
      <w:r>
        <w:rPr>
          <w:noProof/>
        </w:rPr>
        <w:instrText xml:space="preserve"> PAGEREF _Toc111132026 \h </w:instrText>
      </w:r>
      <w:r>
        <w:rPr>
          <w:noProof/>
        </w:rPr>
      </w:r>
      <w:r>
        <w:rPr>
          <w:noProof/>
        </w:rPr>
        <w:fldChar w:fldCharType="separate"/>
      </w:r>
      <w:r w:rsidR="00857D8F">
        <w:rPr>
          <w:noProof/>
        </w:rPr>
        <w:t>63</w:t>
      </w:r>
      <w:r>
        <w:rPr>
          <w:noProof/>
        </w:rPr>
        <w:fldChar w:fldCharType="end"/>
      </w:r>
    </w:p>
    <w:p w14:paraId="50CD8A44" w14:textId="77777777" w:rsidR="00195095" w:rsidRDefault="00195095">
      <w:pPr>
        <w:pStyle w:val="TOC5"/>
        <w:rPr>
          <w:rFonts w:asciiTheme="minorHAnsi" w:eastAsiaTheme="minorEastAsia" w:hAnsiTheme="minorHAnsi" w:cstheme="minorBidi"/>
          <w:noProof/>
          <w:kern w:val="0"/>
          <w:sz w:val="22"/>
          <w:szCs w:val="22"/>
        </w:rPr>
      </w:pPr>
      <w:r>
        <w:rPr>
          <w:noProof/>
        </w:rPr>
        <w:t>4.2  Consumer data requests made by accredited persons to CDR participants—flowchart</w:t>
      </w:r>
      <w:r>
        <w:rPr>
          <w:noProof/>
        </w:rPr>
        <w:tab/>
      </w:r>
      <w:r>
        <w:rPr>
          <w:noProof/>
        </w:rPr>
        <w:fldChar w:fldCharType="begin"/>
      </w:r>
      <w:r>
        <w:rPr>
          <w:noProof/>
        </w:rPr>
        <w:instrText xml:space="preserve"> PAGEREF _Toc111132027 \h </w:instrText>
      </w:r>
      <w:r>
        <w:rPr>
          <w:noProof/>
        </w:rPr>
      </w:r>
      <w:r>
        <w:rPr>
          <w:noProof/>
        </w:rPr>
        <w:fldChar w:fldCharType="separate"/>
      </w:r>
      <w:r w:rsidR="00857D8F">
        <w:rPr>
          <w:noProof/>
        </w:rPr>
        <w:t>63</w:t>
      </w:r>
      <w:r>
        <w:rPr>
          <w:noProof/>
        </w:rPr>
        <w:fldChar w:fldCharType="end"/>
      </w:r>
    </w:p>
    <w:p w14:paraId="783E22F3"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4.2.2—Requests to seek to collect CDR data from CDR participants</w:t>
      </w:r>
      <w:r>
        <w:rPr>
          <w:noProof/>
        </w:rPr>
        <w:tab/>
      </w:r>
      <w:r>
        <w:rPr>
          <w:noProof/>
        </w:rPr>
        <w:fldChar w:fldCharType="begin"/>
      </w:r>
      <w:r>
        <w:rPr>
          <w:noProof/>
        </w:rPr>
        <w:instrText xml:space="preserve"> PAGEREF _Toc111132028 \h </w:instrText>
      </w:r>
      <w:r>
        <w:rPr>
          <w:noProof/>
        </w:rPr>
      </w:r>
      <w:r>
        <w:rPr>
          <w:noProof/>
        </w:rPr>
        <w:fldChar w:fldCharType="separate"/>
      </w:r>
      <w:r w:rsidR="00857D8F">
        <w:rPr>
          <w:noProof/>
        </w:rPr>
        <w:t>65</w:t>
      </w:r>
      <w:r>
        <w:rPr>
          <w:noProof/>
        </w:rPr>
        <w:fldChar w:fldCharType="end"/>
      </w:r>
    </w:p>
    <w:p w14:paraId="02CFB2BA" w14:textId="77777777" w:rsidR="00195095" w:rsidRDefault="00195095">
      <w:pPr>
        <w:pStyle w:val="TOC5"/>
        <w:rPr>
          <w:rFonts w:asciiTheme="minorHAnsi" w:eastAsiaTheme="minorEastAsia" w:hAnsiTheme="minorHAnsi" w:cstheme="minorBidi"/>
          <w:noProof/>
          <w:kern w:val="0"/>
          <w:sz w:val="22"/>
          <w:szCs w:val="22"/>
        </w:rPr>
      </w:pPr>
      <w:r>
        <w:rPr>
          <w:noProof/>
        </w:rPr>
        <w:t>4.3  Request for accredited person to seek to collect CDR data</w:t>
      </w:r>
      <w:r>
        <w:rPr>
          <w:noProof/>
        </w:rPr>
        <w:tab/>
      </w:r>
      <w:r>
        <w:rPr>
          <w:noProof/>
        </w:rPr>
        <w:fldChar w:fldCharType="begin"/>
      </w:r>
      <w:r>
        <w:rPr>
          <w:noProof/>
        </w:rPr>
        <w:instrText xml:space="preserve"> PAGEREF _Toc111132029 \h </w:instrText>
      </w:r>
      <w:r>
        <w:rPr>
          <w:noProof/>
        </w:rPr>
      </w:r>
      <w:r>
        <w:rPr>
          <w:noProof/>
        </w:rPr>
        <w:fldChar w:fldCharType="separate"/>
      </w:r>
      <w:r w:rsidR="00857D8F">
        <w:rPr>
          <w:noProof/>
        </w:rPr>
        <w:t>65</w:t>
      </w:r>
      <w:r>
        <w:rPr>
          <w:noProof/>
        </w:rPr>
        <w:fldChar w:fldCharType="end"/>
      </w:r>
    </w:p>
    <w:p w14:paraId="75083327" w14:textId="77777777" w:rsidR="00195095" w:rsidRDefault="00195095">
      <w:pPr>
        <w:pStyle w:val="TOC5"/>
        <w:rPr>
          <w:rFonts w:asciiTheme="minorHAnsi" w:eastAsiaTheme="minorEastAsia" w:hAnsiTheme="minorHAnsi" w:cstheme="minorBidi"/>
          <w:noProof/>
          <w:kern w:val="0"/>
          <w:sz w:val="22"/>
          <w:szCs w:val="22"/>
        </w:rPr>
      </w:pPr>
      <w:r>
        <w:rPr>
          <w:noProof/>
        </w:rPr>
        <w:t>4.3A  Request for CDR principal to seek to collect CDR data on behalf of CDR representative</w:t>
      </w:r>
      <w:r>
        <w:rPr>
          <w:noProof/>
        </w:rPr>
        <w:tab/>
      </w:r>
      <w:r>
        <w:rPr>
          <w:noProof/>
        </w:rPr>
        <w:fldChar w:fldCharType="begin"/>
      </w:r>
      <w:r>
        <w:rPr>
          <w:noProof/>
        </w:rPr>
        <w:instrText xml:space="preserve"> PAGEREF _Toc111132030 \h </w:instrText>
      </w:r>
      <w:r>
        <w:rPr>
          <w:noProof/>
        </w:rPr>
      </w:r>
      <w:r>
        <w:rPr>
          <w:noProof/>
        </w:rPr>
        <w:fldChar w:fldCharType="separate"/>
      </w:r>
      <w:r w:rsidR="00857D8F">
        <w:rPr>
          <w:noProof/>
        </w:rPr>
        <w:t>66</w:t>
      </w:r>
      <w:r>
        <w:rPr>
          <w:noProof/>
        </w:rPr>
        <w:fldChar w:fldCharType="end"/>
      </w:r>
    </w:p>
    <w:p w14:paraId="569F581B" w14:textId="77777777" w:rsidR="00195095" w:rsidRDefault="00195095">
      <w:pPr>
        <w:pStyle w:val="TOC5"/>
        <w:rPr>
          <w:rFonts w:asciiTheme="minorHAnsi" w:eastAsiaTheme="minorEastAsia" w:hAnsiTheme="minorHAnsi" w:cstheme="minorBidi"/>
          <w:noProof/>
          <w:kern w:val="0"/>
          <w:sz w:val="22"/>
          <w:szCs w:val="22"/>
        </w:rPr>
      </w:pPr>
      <w:r>
        <w:rPr>
          <w:noProof/>
        </w:rPr>
        <w:t>4.3B  Consumer data requests by accredited persons to CDR representatives</w:t>
      </w:r>
      <w:r>
        <w:rPr>
          <w:noProof/>
        </w:rPr>
        <w:tab/>
      </w:r>
      <w:r>
        <w:rPr>
          <w:noProof/>
        </w:rPr>
        <w:fldChar w:fldCharType="begin"/>
      </w:r>
      <w:r>
        <w:rPr>
          <w:noProof/>
        </w:rPr>
        <w:instrText xml:space="preserve"> PAGEREF _Toc111132031 \h </w:instrText>
      </w:r>
      <w:r>
        <w:rPr>
          <w:noProof/>
        </w:rPr>
      </w:r>
      <w:r>
        <w:rPr>
          <w:noProof/>
        </w:rPr>
        <w:fldChar w:fldCharType="separate"/>
      </w:r>
      <w:r w:rsidR="00857D8F">
        <w:rPr>
          <w:noProof/>
        </w:rPr>
        <w:t>67</w:t>
      </w:r>
      <w:r>
        <w:rPr>
          <w:noProof/>
        </w:rPr>
        <w:fldChar w:fldCharType="end"/>
      </w:r>
    </w:p>
    <w:p w14:paraId="3A03D4CF"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rPr>
        <w:t>4.3C  Modifications of Division 4.3 in relation to CDR representative</w:t>
      </w:r>
      <w:r>
        <w:rPr>
          <w:noProof/>
        </w:rPr>
        <w:tab/>
      </w:r>
      <w:r>
        <w:rPr>
          <w:noProof/>
        </w:rPr>
        <w:fldChar w:fldCharType="begin"/>
      </w:r>
      <w:r>
        <w:rPr>
          <w:noProof/>
        </w:rPr>
        <w:instrText xml:space="preserve"> PAGEREF _Toc111132032 \h </w:instrText>
      </w:r>
      <w:r>
        <w:rPr>
          <w:noProof/>
        </w:rPr>
      </w:r>
      <w:r>
        <w:rPr>
          <w:noProof/>
        </w:rPr>
        <w:fldChar w:fldCharType="separate"/>
      </w:r>
      <w:r w:rsidR="00857D8F">
        <w:rPr>
          <w:noProof/>
        </w:rPr>
        <w:t>68</w:t>
      </w:r>
      <w:r>
        <w:rPr>
          <w:noProof/>
        </w:rPr>
        <w:fldChar w:fldCharType="end"/>
      </w:r>
    </w:p>
    <w:p w14:paraId="4007CA3D"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4.2.3—Consumer data requests by accredited persons to data holders</w:t>
      </w:r>
      <w:r>
        <w:rPr>
          <w:noProof/>
        </w:rPr>
        <w:tab/>
      </w:r>
      <w:r>
        <w:rPr>
          <w:noProof/>
        </w:rPr>
        <w:fldChar w:fldCharType="begin"/>
      </w:r>
      <w:r>
        <w:rPr>
          <w:noProof/>
        </w:rPr>
        <w:instrText xml:space="preserve"> PAGEREF _Toc111132033 \h </w:instrText>
      </w:r>
      <w:r>
        <w:rPr>
          <w:noProof/>
        </w:rPr>
      </w:r>
      <w:r>
        <w:rPr>
          <w:noProof/>
        </w:rPr>
        <w:fldChar w:fldCharType="separate"/>
      </w:r>
      <w:r w:rsidR="00857D8F">
        <w:rPr>
          <w:noProof/>
        </w:rPr>
        <w:t>69</w:t>
      </w:r>
      <w:r>
        <w:rPr>
          <w:noProof/>
        </w:rPr>
        <w:fldChar w:fldCharType="end"/>
      </w:r>
    </w:p>
    <w:p w14:paraId="05E6531E" w14:textId="77777777" w:rsidR="00195095" w:rsidRDefault="00195095">
      <w:pPr>
        <w:pStyle w:val="TOC5"/>
        <w:rPr>
          <w:rFonts w:asciiTheme="minorHAnsi" w:eastAsiaTheme="minorEastAsia" w:hAnsiTheme="minorHAnsi" w:cstheme="minorBidi"/>
          <w:noProof/>
          <w:kern w:val="0"/>
          <w:sz w:val="22"/>
          <w:szCs w:val="22"/>
        </w:rPr>
      </w:pPr>
      <w:r>
        <w:rPr>
          <w:noProof/>
        </w:rPr>
        <w:t>4.4  Consumer data request by accredited person to data holder</w:t>
      </w:r>
      <w:r>
        <w:rPr>
          <w:noProof/>
        </w:rPr>
        <w:tab/>
      </w:r>
      <w:r>
        <w:rPr>
          <w:noProof/>
        </w:rPr>
        <w:fldChar w:fldCharType="begin"/>
      </w:r>
      <w:r>
        <w:rPr>
          <w:noProof/>
        </w:rPr>
        <w:instrText xml:space="preserve"> PAGEREF _Toc111132034 \h </w:instrText>
      </w:r>
      <w:r>
        <w:rPr>
          <w:noProof/>
        </w:rPr>
      </w:r>
      <w:r>
        <w:rPr>
          <w:noProof/>
        </w:rPr>
        <w:fldChar w:fldCharType="separate"/>
      </w:r>
      <w:r w:rsidR="00857D8F">
        <w:rPr>
          <w:noProof/>
        </w:rPr>
        <w:t>69</w:t>
      </w:r>
      <w:r>
        <w:rPr>
          <w:noProof/>
        </w:rPr>
        <w:fldChar w:fldCharType="end"/>
      </w:r>
    </w:p>
    <w:p w14:paraId="700F47EA" w14:textId="77777777" w:rsidR="00195095" w:rsidRDefault="00195095">
      <w:pPr>
        <w:pStyle w:val="TOC5"/>
        <w:rPr>
          <w:rFonts w:asciiTheme="minorHAnsi" w:eastAsiaTheme="minorEastAsia" w:hAnsiTheme="minorHAnsi" w:cstheme="minorBidi"/>
          <w:noProof/>
          <w:kern w:val="0"/>
          <w:sz w:val="22"/>
          <w:szCs w:val="22"/>
        </w:rPr>
      </w:pPr>
      <w:r>
        <w:rPr>
          <w:noProof/>
        </w:rPr>
        <w:t>4.5  Data holder must ask eligible CDR consumer to authorise disclosure</w:t>
      </w:r>
      <w:r>
        <w:rPr>
          <w:noProof/>
        </w:rPr>
        <w:tab/>
      </w:r>
      <w:r>
        <w:rPr>
          <w:noProof/>
        </w:rPr>
        <w:fldChar w:fldCharType="begin"/>
      </w:r>
      <w:r>
        <w:rPr>
          <w:noProof/>
        </w:rPr>
        <w:instrText xml:space="preserve"> PAGEREF _Toc111132035 \h </w:instrText>
      </w:r>
      <w:r>
        <w:rPr>
          <w:noProof/>
        </w:rPr>
      </w:r>
      <w:r>
        <w:rPr>
          <w:noProof/>
        </w:rPr>
        <w:fldChar w:fldCharType="separate"/>
      </w:r>
      <w:r w:rsidR="00857D8F">
        <w:rPr>
          <w:noProof/>
        </w:rPr>
        <w:t>70</w:t>
      </w:r>
      <w:r>
        <w:rPr>
          <w:noProof/>
        </w:rPr>
        <w:fldChar w:fldCharType="end"/>
      </w:r>
    </w:p>
    <w:p w14:paraId="1546C7AF" w14:textId="77777777" w:rsidR="00195095" w:rsidRDefault="00195095">
      <w:pPr>
        <w:pStyle w:val="TOC5"/>
        <w:rPr>
          <w:rFonts w:asciiTheme="minorHAnsi" w:eastAsiaTheme="minorEastAsia" w:hAnsiTheme="minorHAnsi" w:cstheme="minorBidi"/>
          <w:noProof/>
          <w:kern w:val="0"/>
          <w:sz w:val="22"/>
          <w:szCs w:val="22"/>
        </w:rPr>
      </w:pPr>
      <w:r>
        <w:rPr>
          <w:noProof/>
        </w:rPr>
        <w:t>4.6  Disclosing consumer data in response to a consumer data request</w:t>
      </w:r>
      <w:r>
        <w:rPr>
          <w:noProof/>
        </w:rPr>
        <w:tab/>
      </w:r>
      <w:r>
        <w:rPr>
          <w:noProof/>
        </w:rPr>
        <w:fldChar w:fldCharType="begin"/>
      </w:r>
      <w:r>
        <w:rPr>
          <w:noProof/>
        </w:rPr>
        <w:instrText xml:space="preserve"> PAGEREF _Toc111132036 \h </w:instrText>
      </w:r>
      <w:r>
        <w:rPr>
          <w:noProof/>
        </w:rPr>
      </w:r>
      <w:r>
        <w:rPr>
          <w:noProof/>
        </w:rPr>
        <w:fldChar w:fldCharType="separate"/>
      </w:r>
      <w:r w:rsidR="00857D8F">
        <w:rPr>
          <w:noProof/>
        </w:rPr>
        <w:t>71</w:t>
      </w:r>
      <w:r>
        <w:rPr>
          <w:noProof/>
        </w:rPr>
        <w:fldChar w:fldCharType="end"/>
      </w:r>
    </w:p>
    <w:p w14:paraId="576738CC" w14:textId="77777777" w:rsidR="00195095" w:rsidRDefault="00195095">
      <w:pPr>
        <w:pStyle w:val="TOC5"/>
        <w:rPr>
          <w:rFonts w:asciiTheme="minorHAnsi" w:eastAsiaTheme="minorEastAsia" w:hAnsiTheme="minorHAnsi" w:cstheme="minorBidi"/>
          <w:noProof/>
          <w:kern w:val="0"/>
          <w:sz w:val="22"/>
          <w:szCs w:val="22"/>
        </w:rPr>
      </w:pPr>
      <w:r>
        <w:rPr>
          <w:noProof/>
        </w:rPr>
        <w:t>4.6A  Disclosure of CDR data relating to account not permitted if not approved by account holder</w:t>
      </w:r>
      <w:r>
        <w:rPr>
          <w:noProof/>
        </w:rPr>
        <w:tab/>
      </w:r>
      <w:r>
        <w:rPr>
          <w:noProof/>
        </w:rPr>
        <w:fldChar w:fldCharType="begin"/>
      </w:r>
      <w:r>
        <w:rPr>
          <w:noProof/>
        </w:rPr>
        <w:instrText xml:space="preserve"> PAGEREF _Toc111132037 \h </w:instrText>
      </w:r>
      <w:r>
        <w:rPr>
          <w:noProof/>
        </w:rPr>
      </w:r>
      <w:r>
        <w:rPr>
          <w:noProof/>
        </w:rPr>
        <w:fldChar w:fldCharType="separate"/>
      </w:r>
      <w:r w:rsidR="00857D8F">
        <w:rPr>
          <w:noProof/>
        </w:rPr>
        <w:t>72</w:t>
      </w:r>
      <w:r>
        <w:rPr>
          <w:noProof/>
        </w:rPr>
        <w:fldChar w:fldCharType="end"/>
      </w:r>
    </w:p>
    <w:p w14:paraId="2DFADB1A" w14:textId="77777777" w:rsidR="00195095" w:rsidRDefault="00195095">
      <w:pPr>
        <w:pStyle w:val="TOC5"/>
        <w:rPr>
          <w:rFonts w:asciiTheme="minorHAnsi" w:eastAsiaTheme="minorEastAsia" w:hAnsiTheme="minorHAnsi" w:cstheme="minorBidi"/>
          <w:noProof/>
          <w:kern w:val="0"/>
          <w:sz w:val="22"/>
          <w:szCs w:val="22"/>
        </w:rPr>
      </w:pPr>
      <w:r>
        <w:rPr>
          <w:noProof/>
        </w:rPr>
        <w:t>4.7  Refusal to disclose required consumer data in response to consumer data request</w:t>
      </w:r>
      <w:r>
        <w:rPr>
          <w:noProof/>
        </w:rPr>
        <w:tab/>
      </w:r>
      <w:r>
        <w:rPr>
          <w:noProof/>
        </w:rPr>
        <w:fldChar w:fldCharType="begin"/>
      </w:r>
      <w:r>
        <w:rPr>
          <w:noProof/>
        </w:rPr>
        <w:instrText xml:space="preserve"> PAGEREF _Toc111132038 \h </w:instrText>
      </w:r>
      <w:r>
        <w:rPr>
          <w:noProof/>
        </w:rPr>
      </w:r>
      <w:r>
        <w:rPr>
          <w:noProof/>
        </w:rPr>
        <w:fldChar w:fldCharType="separate"/>
      </w:r>
      <w:r w:rsidR="00857D8F">
        <w:rPr>
          <w:noProof/>
        </w:rPr>
        <w:t>72</w:t>
      </w:r>
      <w:r>
        <w:rPr>
          <w:noProof/>
        </w:rPr>
        <w:fldChar w:fldCharType="end"/>
      </w:r>
    </w:p>
    <w:p w14:paraId="0BB44AFE"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4.2.4—Consumer data requests by accredited persons to accredited data recipients</w:t>
      </w:r>
      <w:r>
        <w:rPr>
          <w:noProof/>
        </w:rPr>
        <w:tab/>
      </w:r>
      <w:r>
        <w:rPr>
          <w:noProof/>
        </w:rPr>
        <w:fldChar w:fldCharType="begin"/>
      </w:r>
      <w:r>
        <w:rPr>
          <w:noProof/>
        </w:rPr>
        <w:instrText xml:space="preserve"> PAGEREF _Toc111132039 \h </w:instrText>
      </w:r>
      <w:r>
        <w:rPr>
          <w:noProof/>
        </w:rPr>
      </w:r>
      <w:r>
        <w:rPr>
          <w:noProof/>
        </w:rPr>
        <w:fldChar w:fldCharType="separate"/>
      </w:r>
      <w:r w:rsidR="00857D8F">
        <w:rPr>
          <w:noProof/>
        </w:rPr>
        <w:t>73</w:t>
      </w:r>
      <w:r>
        <w:rPr>
          <w:noProof/>
        </w:rPr>
        <w:fldChar w:fldCharType="end"/>
      </w:r>
    </w:p>
    <w:p w14:paraId="1EAD9DE2" w14:textId="77777777" w:rsidR="00195095" w:rsidRDefault="00195095">
      <w:pPr>
        <w:pStyle w:val="TOC5"/>
        <w:rPr>
          <w:rFonts w:asciiTheme="minorHAnsi" w:eastAsiaTheme="minorEastAsia" w:hAnsiTheme="minorHAnsi" w:cstheme="minorBidi"/>
          <w:noProof/>
          <w:kern w:val="0"/>
          <w:sz w:val="22"/>
          <w:szCs w:val="22"/>
        </w:rPr>
      </w:pPr>
      <w:r>
        <w:rPr>
          <w:noProof/>
        </w:rPr>
        <w:t>4.7A  Consumer data request by accredited person to accredited data recipient</w:t>
      </w:r>
      <w:r>
        <w:rPr>
          <w:noProof/>
        </w:rPr>
        <w:tab/>
      </w:r>
      <w:r>
        <w:rPr>
          <w:noProof/>
        </w:rPr>
        <w:fldChar w:fldCharType="begin"/>
      </w:r>
      <w:r>
        <w:rPr>
          <w:noProof/>
        </w:rPr>
        <w:instrText xml:space="preserve"> PAGEREF _Toc111132040 \h </w:instrText>
      </w:r>
      <w:r>
        <w:rPr>
          <w:noProof/>
        </w:rPr>
      </w:r>
      <w:r>
        <w:rPr>
          <w:noProof/>
        </w:rPr>
        <w:fldChar w:fldCharType="separate"/>
      </w:r>
      <w:r w:rsidR="00857D8F">
        <w:rPr>
          <w:noProof/>
        </w:rPr>
        <w:t>73</w:t>
      </w:r>
      <w:r>
        <w:rPr>
          <w:noProof/>
        </w:rPr>
        <w:fldChar w:fldCharType="end"/>
      </w:r>
    </w:p>
    <w:p w14:paraId="058EB601" w14:textId="77777777" w:rsidR="00195095" w:rsidRDefault="00195095">
      <w:pPr>
        <w:pStyle w:val="TOC5"/>
        <w:rPr>
          <w:rFonts w:asciiTheme="minorHAnsi" w:eastAsiaTheme="minorEastAsia" w:hAnsiTheme="minorHAnsi" w:cstheme="minorBidi"/>
          <w:noProof/>
          <w:kern w:val="0"/>
          <w:sz w:val="22"/>
          <w:szCs w:val="22"/>
        </w:rPr>
      </w:pPr>
      <w:r>
        <w:rPr>
          <w:noProof/>
        </w:rPr>
        <w:t>4.7B  Accredited data recipient may ask eligible CDR consumer for AP disclosure consent</w:t>
      </w:r>
      <w:r>
        <w:rPr>
          <w:noProof/>
        </w:rPr>
        <w:tab/>
      </w:r>
      <w:r>
        <w:rPr>
          <w:noProof/>
        </w:rPr>
        <w:fldChar w:fldCharType="begin"/>
      </w:r>
      <w:r>
        <w:rPr>
          <w:noProof/>
        </w:rPr>
        <w:instrText xml:space="preserve"> PAGEREF _Toc111132041 \h </w:instrText>
      </w:r>
      <w:r>
        <w:rPr>
          <w:noProof/>
        </w:rPr>
      </w:r>
      <w:r>
        <w:rPr>
          <w:noProof/>
        </w:rPr>
        <w:fldChar w:fldCharType="separate"/>
      </w:r>
      <w:r w:rsidR="00857D8F">
        <w:rPr>
          <w:noProof/>
        </w:rPr>
        <w:t>73</w:t>
      </w:r>
      <w:r>
        <w:rPr>
          <w:noProof/>
        </w:rPr>
        <w:fldChar w:fldCharType="end"/>
      </w:r>
    </w:p>
    <w:p w14:paraId="4EE9021B" w14:textId="77777777" w:rsidR="00195095" w:rsidRDefault="00195095">
      <w:pPr>
        <w:pStyle w:val="TOC3"/>
        <w:rPr>
          <w:rFonts w:asciiTheme="minorHAnsi" w:eastAsiaTheme="minorEastAsia" w:hAnsiTheme="minorHAnsi" w:cstheme="minorBidi"/>
          <w:b w:val="0"/>
          <w:noProof/>
          <w:kern w:val="0"/>
          <w:szCs w:val="22"/>
        </w:rPr>
      </w:pPr>
      <w:r>
        <w:rPr>
          <w:noProof/>
        </w:rPr>
        <w:t>Division 4.3—Giving and amending consents</w:t>
      </w:r>
      <w:r w:rsidRPr="00F95A48">
        <w:rPr>
          <w:noProof/>
          <w:color w:val="0000FF"/>
        </w:rPr>
        <w:t>—accredited persons</w:t>
      </w:r>
      <w:r>
        <w:rPr>
          <w:noProof/>
        </w:rPr>
        <w:tab/>
      </w:r>
      <w:r>
        <w:rPr>
          <w:noProof/>
        </w:rPr>
        <w:fldChar w:fldCharType="begin"/>
      </w:r>
      <w:r>
        <w:rPr>
          <w:noProof/>
        </w:rPr>
        <w:instrText xml:space="preserve"> PAGEREF _Toc111132042 \h </w:instrText>
      </w:r>
      <w:r>
        <w:rPr>
          <w:noProof/>
        </w:rPr>
      </w:r>
      <w:r>
        <w:rPr>
          <w:noProof/>
        </w:rPr>
        <w:fldChar w:fldCharType="separate"/>
      </w:r>
      <w:r w:rsidR="00857D8F">
        <w:rPr>
          <w:noProof/>
        </w:rPr>
        <w:t>74</w:t>
      </w:r>
      <w:r>
        <w:rPr>
          <w:noProof/>
        </w:rPr>
        <w:fldChar w:fldCharType="end"/>
      </w:r>
    </w:p>
    <w:p w14:paraId="5C02930F"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4.3.1—Preliminary</w:t>
      </w:r>
      <w:r>
        <w:rPr>
          <w:noProof/>
        </w:rPr>
        <w:tab/>
      </w:r>
      <w:r>
        <w:rPr>
          <w:noProof/>
        </w:rPr>
        <w:fldChar w:fldCharType="begin"/>
      </w:r>
      <w:r>
        <w:rPr>
          <w:noProof/>
        </w:rPr>
        <w:instrText xml:space="preserve"> PAGEREF _Toc111132043 \h </w:instrText>
      </w:r>
      <w:r>
        <w:rPr>
          <w:noProof/>
        </w:rPr>
      </w:r>
      <w:r>
        <w:rPr>
          <w:noProof/>
        </w:rPr>
        <w:fldChar w:fldCharType="separate"/>
      </w:r>
      <w:r w:rsidR="00857D8F">
        <w:rPr>
          <w:noProof/>
        </w:rPr>
        <w:t>74</w:t>
      </w:r>
      <w:r>
        <w:rPr>
          <w:noProof/>
        </w:rPr>
        <w:fldChar w:fldCharType="end"/>
      </w:r>
    </w:p>
    <w:p w14:paraId="69D08AB3"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lastRenderedPageBreak/>
        <w:t>4.8  Purpose of Division</w:t>
      </w:r>
      <w:r>
        <w:rPr>
          <w:noProof/>
        </w:rPr>
        <w:tab/>
      </w:r>
      <w:r>
        <w:rPr>
          <w:noProof/>
        </w:rPr>
        <w:fldChar w:fldCharType="begin"/>
      </w:r>
      <w:r>
        <w:rPr>
          <w:noProof/>
        </w:rPr>
        <w:instrText xml:space="preserve"> PAGEREF _Toc111132044 \h </w:instrText>
      </w:r>
      <w:r>
        <w:rPr>
          <w:noProof/>
        </w:rPr>
      </w:r>
      <w:r>
        <w:rPr>
          <w:noProof/>
        </w:rPr>
        <w:fldChar w:fldCharType="separate"/>
      </w:r>
      <w:r w:rsidR="00857D8F">
        <w:rPr>
          <w:noProof/>
        </w:rPr>
        <w:t>74</w:t>
      </w:r>
      <w:r>
        <w:rPr>
          <w:noProof/>
        </w:rPr>
        <w:fldChar w:fldCharType="end"/>
      </w:r>
    </w:p>
    <w:p w14:paraId="0065F695"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rPr>
        <w:t>4.8  Purpose of Division</w:t>
      </w:r>
      <w:r>
        <w:rPr>
          <w:noProof/>
        </w:rPr>
        <w:tab/>
      </w:r>
      <w:r>
        <w:rPr>
          <w:noProof/>
        </w:rPr>
        <w:fldChar w:fldCharType="begin"/>
      </w:r>
      <w:r>
        <w:rPr>
          <w:noProof/>
        </w:rPr>
        <w:instrText xml:space="preserve"> PAGEREF _Toc111132045 \h </w:instrText>
      </w:r>
      <w:r>
        <w:rPr>
          <w:noProof/>
        </w:rPr>
      </w:r>
      <w:r>
        <w:rPr>
          <w:noProof/>
        </w:rPr>
        <w:fldChar w:fldCharType="separate"/>
      </w:r>
      <w:r w:rsidR="00857D8F">
        <w:rPr>
          <w:noProof/>
        </w:rPr>
        <w:t>74</w:t>
      </w:r>
      <w:r>
        <w:rPr>
          <w:noProof/>
        </w:rPr>
        <w:fldChar w:fldCharType="end"/>
      </w:r>
    </w:p>
    <w:p w14:paraId="62B167C7" w14:textId="77777777" w:rsidR="00195095" w:rsidRDefault="00195095">
      <w:pPr>
        <w:pStyle w:val="TOC5"/>
        <w:rPr>
          <w:rFonts w:asciiTheme="minorHAnsi" w:eastAsiaTheme="minorEastAsia" w:hAnsiTheme="minorHAnsi" w:cstheme="minorBidi"/>
          <w:noProof/>
          <w:kern w:val="0"/>
          <w:sz w:val="22"/>
          <w:szCs w:val="22"/>
        </w:rPr>
      </w:pPr>
      <w:r>
        <w:rPr>
          <w:noProof/>
        </w:rPr>
        <w:t>4.9  Object</w:t>
      </w:r>
      <w:r>
        <w:rPr>
          <w:noProof/>
        </w:rPr>
        <w:tab/>
      </w:r>
      <w:r>
        <w:rPr>
          <w:noProof/>
        </w:rPr>
        <w:fldChar w:fldCharType="begin"/>
      </w:r>
      <w:r>
        <w:rPr>
          <w:noProof/>
        </w:rPr>
        <w:instrText xml:space="preserve"> PAGEREF _Toc111132046 \h </w:instrText>
      </w:r>
      <w:r>
        <w:rPr>
          <w:noProof/>
        </w:rPr>
      </w:r>
      <w:r>
        <w:rPr>
          <w:noProof/>
        </w:rPr>
        <w:fldChar w:fldCharType="separate"/>
      </w:r>
      <w:r w:rsidR="00857D8F">
        <w:rPr>
          <w:noProof/>
        </w:rPr>
        <w:t>74</w:t>
      </w:r>
      <w:r>
        <w:rPr>
          <w:noProof/>
        </w:rPr>
        <w:fldChar w:fldCharType="end"/>
      </w:r>
    </w:p>
    <w:p w14:paraId="4AE7193B"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4.3.2—Giving consents</w:t>
      </w:r>
      <w:r>
        <w:rPr>
          <w:noProof/>
        </w:rPr>
        <w:tab/>
      </w:r>
      <w:r>
        <w:rPr>
          <w:noProof/>
        </w:rPr>
        <w:fldChar w:fldCharType="begin"/>
      </w:r>
      <w:r>
        <w:rPr>
          <w:noProof/>
        </w:rPr>
        <w:instrText xml:space="preserve"> PAGEREF _Toc111132047 \h </w:instrText>
      </w:r>
      <w:r>
        <w:rPr>
          <w:noProof/>
        </w:rPr>
      </w:r>
      <w:r>
        <w:rPr>
          <w:noProof/>
        </w:rPr>
        <w:fldChar w:fldCharType="separate"/>
      </w:r>
      <w:r w:rsidR="00857D8F">
        <w:rPr>
          <w:noProof/>
        </w:rPr>
        <w:t>74</w:t>
      </w:r>
      <w:r>
        <w:rPr>
          <w:noProof/>
        </w:rPr>
        <w:fldChar w:fldCharType="end"/>
      </w:r>
    </w:p>
    <w:p w14:paraId="1EBFCFCA" w14:textId="77777777" w:rsidR="00195095" w:rsidRDefault="00195095">
      <w:pPr>
        <w:pStyle w:val="TOC5"/>
        <w:rPr>
          <w:rFonts w:asciiTheme="minorHAnsi" w:eastAsiaTheme="minorEastAsia" w:hAnsiTheme="minorHAnsi" w:cstheme="minorBidi"/>
          <w:noProof/>
          <w:kern w:val="0"/>
          <w:sz w:val="22"/>
          <w:szCs w:val="22"/>
        </w:rPr>
      </w:pPr>
      <w:r>
        <w:rPr>
          <w:noProof/>
        </w:rPr>
        <w:t>4.10  Requirements relating to accredited person’s processes for seeking consent</w:t>
      </w:r>
      <w:r>
        <w:rPr>
          <w:noProof/>
        </w:rPr>
        <w:tab/>
      </w:r>
      <w:r>
        <w:rPr>
          <w:noProof/>
        </w:rPr>
        <w:fldChar w:fldCharType="begin"/>
      </w:r>
      <w:r>
        <w:rPr>
          <w:noProof/>
        </w:rPr>
        <w:instrText xml:space="preserve"> PAGEREF _Toc111132048 \h </w:instrText>
      </w:r>
      <w:r>
        <w:rPr>
          <w:noProof/>
        </w:rPr>
      </w:r>
      <w:r>
        <w:rPr>
          <w:noProof/>
        </w:rPr>
        <w:fldChar w:fldCharType="separate"/>
      </w:r>
      <w:r w:rsidR="00857D8F">
        <w:rPr>
          <w:noProof/>
        </w:rPr>
        <w:t>74</w:t>
      </w:r>
      <w:r>
        <w:rPr>
          <w:noProof/>
        </w:rPr>
        <w:fldChar w:fldCharType="end"/>
      </w:r>
    </w:p>
    <w:p w14:paraId="3F934CAD" w14:textId="77777777" w:rsidR="00195095" w:rsidRDefault="00195095">
      <w:pPr>
        <w:pStyle w:val="TOC5"/>
        <w:rPr>
          <w:rFonts w:asciiTheme="minorHAnsi" w:eastAsiaTheme="minorEastAsia" w:hAnsiTheme="minorHAnsi" w:cstheme="minorBidi"/>
          <w:noProof/>
          <w:kern w:val="0"/>
          <w:sz w:val="22"/>
          <w:szCs w:val="22"/>
        </w:rPr>
      </w:pPr>
      <w:r>
        <w:rPr>
          <w:noProof/>
        </w:rPr>
        <w:t>4.11  Asking CDR consumer to give consent</w:t>
      </w:r>
      <w:r>
        <w:rPr>
          <w:noProof/>
        </w:rPr>
        <w:tab/>
      </w:r>
      <w:r>
        <w:rPr>
          <w:noProof/>
        </w:rPr>
        <w:fldChar w:fldCharType="begin"/>
      </w:r>
      <w:r>
        <w:rPr>
          <w:noProof/>
        </w:rPr>
        <w:instrText xml:space="preserve"> PAGEREF _Toc111132049 \h </w:instrText>
      </w:r>
      <w:r>
        <w:rPr>
          <w:noProof/>
        </w:rPr>
      </w:r>
      <w:r>
        <w:rPr>
          <w:noProof/>
        </w:rPr>
        <w:fldChar w:fldCharType="separate"/>
      </w:r>
      <w:r w:rsidR="00857D8F">
        <w:rPr>
          <w:noProof/>
        </w:rPr>
        <w:t>75</w:t>
      </w:r>
      <w:r>
        <w:rPr>
          <w:noProof/>
        </w:rPr>
        <w:fldChar w:fldCharType="end"/>
      </w:r>
    </w:p>
    <w:p w14:paraId="10F16FF4" w14:textId="77777777" w:rsidR="00195095" w:rsidRDefault="00195095">
      <w:pPr>
        <w:pStyle w:val="TOC5"/>
        <w:rPr>
          <w:rFonts w:asciiTheme="minorHAnsi" w:eastAsiaTheme="minorEastAsia" w:hAnsiTheme="minorHAnsi" w:cstheme="minorBidi"/>
          <w:noProof/>
          <w:kern w:val="0"/>
          <w:sz w:val="22"/>
          <w:szCs w:val="22"/>
        </w:rPr>
      </w:pPr>
      <w:r>
        <w:rPr>
          <w:noProof/>
        </w:rPr>
        <w:t>4.12  Restrictions on seeking consent</w:t>
      </w:r>
      <w:r>
        <w:rPr>
          <w:noProof/>
        </w:rPr>
        <w:tab/>
      </w:r>
      <w:r>
        <w:rPr>
          <w:noProof/>
        </w:rPr>
        <w:fldChar w:fldCharType="begin"/>
      </w:r>
      <w:r>
        <w:rPr>
          <w:noProof/>
        </w:rPr>
        <w:instrText xml:space="preserve"> PAGEREF _Toc111132050 \h </w:instrText>
      </w:r>
      <w:r>
        <w:rPr>
          <w:noProof/>
        </w:rPr>
      </w:r>
      <w:r>
        <w:rPr>
          <w:noProof/>
        </w:rPr>
        <w:fldChar w:fldCharType="separate"/>
      </w:r>
      <w:r w:rsidR="00857D8F">
        <w:rPr>
          <w:noProof/>
        </w:rPr>
        <w:t>77</w:t>
      </w:r>
      <w:r>
        <w:rPr>
          <w:noProof/>
        </w:rPr>
        <w:fldChar w:fldCharType="end"/>
      </w:r>
    </w:p>
    <w:p w14:paraId="196094B9"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4.3.2A—Amending consents</w:t>
      </w:r>
      <w:r>
        <w:rPr>
          <w:noProof/>
        </w:rPr>
        <w:tab/>
      </w:r>
      <w:r>
        <w:rPr>
          <w:noProof/>
        </w:rPr>
        <w:fldChar w:fldCharType="begin"/>
      </w:r>
      <w:r>
        <w:rPr>
          <w:noProof/>
        </w:rPr>
        <w:instrText xml:space="preserve"> PAGEREF _Toc111132051 \h </w:instrText>
      </w:r>
      <w:r>
        <w:rPr>
          <w:noProof/>
        </w:rPr>
      </w:r>
      <w:r>
        <w:rPr>
          <w:noProof/>
        </w:rPr>
        <w:fldChar w:fldCharType="separate"/>
      </w:r>
      <w:r w:rsidR="00857D8F">
        <w:rPr>
          <w:noProof/>
        </w:rPr>
        <w:t>78</w:t>
      </w:r>
      <w:r>
        <w:rPr>
          <w:noProof/>
        </w:rPr>
        <w:fldChar w:fldCharType="end"/>
      </w:r>
    </w:p>
    <w:p w14:paraId="29362FB6" w14:textId="77777777" w:rsidR="00195095" w:rsidRDefault="00195095">
      <w:pPr>
        <w:pStyle w:val="TOC5"/>
        <w:rPr>
          <w:rFonts w:asciiTheme="minorHAnsi" w:eastAsiaTheme="minorEastAsia" w:hAnsiTheme="minorHAnsi" w:cstheme="minorBidi"/>
          <w:noProof/>
          <w:kern w:val="0"/>
          <w:sz w:val="22"/>
          <w:szCs w:val="22"/>
        </w:rPr>
      </w:pPr>
      <w:r>
        <w:rPr>
          <w:noProof/>
        </w:rPr>
        <w:t>4.12A  Amendment of consent</w:t>
      </w:r>
      <w:r>
        <w:rPr>
          <w:noProof/>
        </w:rPr>
        <w:tab/>
      </w:r>
      <w:r>
        <w:rPr>
          <w:noProof/>
        </w:rPr>
        <w:fldChar w:fldCharType="begin"/>
      </w:r>
      <w:r>
        <w:rPr>
          <w:noProof/>
        </w:rPr>
        <w:instrText xml:space="preserve"> PAGEREF _Toc111132052 \h </w:instrText>
      </w:r>
      <w:r>
        <w:rPr>
          <w:noProof/>
        </w:rPr>
      </w:r>
      <w:r>
        <w:rPr>
          <w:noProof/>
        </w:rPr>
        <w:fldChar w:fldCharType="separate"/>
      </w:r>
      <w:r w:rsidR="00857D8F">
        <w:rPr>
          <w:noProof/>
        </w:rPr>
        <w:t>78</w:t>
      </w:r>
      <w:r>
        <w:rPr>
          <w:noProof/>
        </w:rPr>
        <w:fldChar w:fldCharType="end"/>
      </w:r>
    </w:p>
    <w:p w14:paraId="1ED11CEE" w14:textId="77777777" w:rsidR="00195095" w:rsidRDefault="00195095">
      <w:pPr>
        <w:pStyle w:val="TOC5"/>
        <w:rPr>
          <w:rFonts w:asciiTheme="minorHAnsi" w:eastAsiaTheme="minorEastAsia" w:hAnsiTheme="minorHAnsi" w:cstheme="minorBidi"/>
          <w:noProof/>
          <w:kern w:val="0"/>
          <w:sz w:val="22"/>
          <w:szCs w:val="22"/>
        </w:rPr>
      </w:pPr>
      <w:r>
        <w:rPr>
          <w:noProof/>
        </w:rPr>
        <w:t>4.12B  Inviting CDR consumer to amend consent</w:t>
      </w:r>
      <w:r>
        <w:rPr>
          <w:noProof/>
        </w:rPr>
        <w:tab/>
      </w:r>
      <w:r>
        <w:rPr>
          <w:noProof/>
        </w:rPr>
        <w:fldChar w:fldCharType="begin"/>
      </w:r>
      <w:r>
        <w:rPr>
          <w:noProof/>
        </w:rPr>
        <w:instrText xml:space="preserve"> PAGEREF _Toc111132053 \h </w:instrText>
      </w:r>
      <w:r>
        <w:rPr>
          <w:noProof/>
        </w:rPr>
      </w:r>
      <w:r>
        <w:rPr>
          <w:noProof/>
        </w:rPr>
        <w:fldChar w:fldCharType="separate"/>
      </w:r>
      <w:r w:rsidR="00857D8F">
        <w:rPr>
          <w:noProof/>
        </w:rPr>
        <w:t>78</w:t>
      </w:r>
      <w:r>
        <w:rPr>
          <w:noProof/>
        </w:rPr>
        <w:fldChar w:fldCharType="end"/>
      </w:r>
    </w:p>
    <w:p w14:paraId="574F98B2" w14:textId="77777777" w:rsidR="00195095" w:rsidRDefault="00195095">
      <w:pPr>
        <w:pStyle w:val="TOC5"/>
        <w:rPr>
          <w:rFonts w:asciiTheme="minorHAnsi" w:eastAsiaTheme="minorEastAsia" w:hAnsiTheme="minorHAnsi" w:cstheme="minorBidi"/>
          <w:noProof/>
          <w:kern w:val="0"/>
          <w:sz w:val="22"/>
          <w:szCs w:val="22"/>
        </w:rPr>
      </w:pPr>
      <w:r>
        <w:rPr>
          <w:noProof/>
        </w:rPr>
        <w:t>4.12C  Process for amending consents</w:t>
      </w:r>
      <w:r>
        <w:rPr>
          <w:noProof/>
        </w:rPr>
        <w:tab/>
      </w:r>
      <w:r>
        <w:rPr>
          <w:noProof/>
        </w:rPr>
        <w:fldChar w:fldCharType="begin"/>
      </w:r>
      <w:r>
        <w:rPr>
          <w:noProof/>
        </w:rPr>
        <w:instrText xml:space="preserve"> PAGEREF _Toc111132054 \h </w:instrText>
      </w:r>
      <w:r>
        <w:rPr>
          <w:noProof/>
        </w:rPr>
      </w:r>
      <w:r>
        <w:rPr>
          <w:noProof/>
        </w:rPr>
        <w:fldChar w:fldCharType="separate"/>
      </w:r>
      <w:r w:rsidR="00857D8F">
        <w:rPr>
          <w:noProof/>
        </w:rPr>
        <w:t>78</w:t>
      </w:r>
      <w:r>
        <w:rPr>
          <w:noProof/>
        </w:rPr>
        <w:fldChar w:fldCharType="end"/>
      </w:r>
    </w:p>
    <w:p w14:paraId="23A1D462"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4.3.2B—Withdrawing consents</w:t>
      </w:r>
      <w:r>
        <w:rPr>
          <w:noProof/>
        </w:rPr>
        <w:tab/>
      </w:r>
      <w:r>
        <w:rPr>
          <w:noProof/>
        </w:rPr>
        <w:fldChar w:fldCharType="begin"/>
      </w:r>
      <w:r>
        <w:rPr>
          <w:noProof/>
        </w:rPr>
        <w:instrText xml:space="preserve"> PAGEREF _Toc111132055 \h </w:instrText>
      </w:r>
      <w:r>
        <w:rPr>
          <w:noProof/>
        </w:rPr>
      </w:r>
      <w:r>
        <w:rPr>
          <w:noProof/>
        </w:rPr>
        <w:fldChar w:fldCharType="separate"/>
      </w:r>
      <w:r w:rsidR="00857D8F">
        <w:rPr>
          <w:noProof/>
        </w:rPr>
        <w:t>79</w:t>
      </w:r>
      <w:r>
        <w:rPr>
          <w:noProof/>
        </w:rPr>
        <w:fldChar w:fldCharType="end"/>
      </w:r>
    </w:p>
    <w:p w14:paraId="125D86C6" w14:textId="77777777" w:rsidR="00195095" w:rsidRDefault="00195095">
      <w:pPr>
        <w:pStyle w:val="TOC5"/>
        <w:rPr>
          <w:rFonts w:asciiTheme="minorHAnsi" w:eastAsiaTheme="minorEastAsia" w:hAnsiTheme="minorHAnsi" w:cstheme="minorBidi"/>
          <w:noProof/>
          <w:kern w:val="0"/>
          <w:sz w:val="22"/>
          <w:szCs w:val="22"/>
        </w:rPr>
      </w:pPr>
      <w:r>
        <w:rPr>
          <w:noProof/>
        </w:rPr>
        <w:t>4.13  Withdrawal of consents</w:t>
      </w:r>
      <w:r w:rsidRPr="00F95A48">
        <w:rPr>
          <w:strike/>
          <w:noProof/>
          <w:color w:val="0000FF"/>
        </w:rPr>
        <w:t>, and notifications</w:t>
      </w:r>
      <w:r>
        <w:rPr>
          <w:noProof/>
        </w:rPr>
        <w:tab/>
      </w:r>
      <w:r>
        <w:rPr>
          <w:noProof/>
        </w:rPr>
        <w:fldChar w:fldCharType="begin"/>
      </w:r>
      <w:r>
        <w:rPr>
          <w:noProof/>
        </w:rPr>
        <w:instrText xml:space="preserve"> PAGEREF _Toc111132056 \h </w:instrText>
      </w:r>
      <w:r>
        <w:rPr>
          <w:noProof/>
        </w:rPr>
      </w:r>
      <w:r>
        <w:rPr>
          <w:noProof/>
        </w:rPr>
        <w:fldChar w:fldCharType="separate"/>
      </w:r>
      <w:r w:rsidR="00857D8F">
        <w:rPr>
          <w:noProof/>
        </w:rPr>
        <w:t>79</w:t>
      </w:r>
      <w:r>
        <w:rPr>
          <w:noProof/>
        </w:rPr>
        <w:fldChar w:fldCharType="end"/>
      </w:r>
    </w:p>
    <w:p w14:paraId="2908253C"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4.3.2C—Duration of consent</w:t>
      </w:r>
      <w:r>
        <w:rPr>
          <w:noProof/>
        </w:rPr>
        <w:tab/>
      </w:r>
      <w:r>
        <w:rPr>
          <w:noProof/>
        </w:rPr>
        <w:fldChar w:fldCharType="begin"/>
      </w:r>
      <w:r>
        <w:rPr>
          <w:noProof/>
        </w:rPr>
        <w:instrText xml:space="preserve"> PAGEREF _Toc111132057 \h </w:instrText>
      </w:r>
      <w:r>
        <w:rPr>
          <w:noProof/>
        </w:rPr>
      </w:r>
      <w:r>
        <w:rPr>
          <w:noProof/>
        </w:rPr>
        <w:fldChar w:fldCharType="separate"/>
      </w:r>
      <w:r w:rsidR="00857D8F">
        <w:rPr>
          <w:noProof/>
        </w:rPr>
        <w:t>79</w:t>
      </w:r>
      <w:r>
        <w:rPr>
          <w:noProof/>
        </w:rPr>
        <w:fldChar w:fldCharType="end"/>
      </w:r>
    </w:p>
    <w:p w14:paraId="38893754" w14:textId="77777777" w:rsidR="00195095" w:rsidRDefault="00195095">
      <w:pPr>
        <w:pStyle w:val="TOC5"/>
        <w:rPr>
          <w:rFonts w:asciiTheme="minorHAnsi" w:eastAsiaTheme="minorEastAsia" w:hAnsiTheme="minorHAnsi" w:cstheme="minorBidi"/>
          <w:noProof/>
          <w:kern w:val="0"/>
          <w:sz w:val="22"/>
          <w:szCs w:val="22"/>
        </w:rPr>
      </w:pPr>
      <w:r>
        <w:rPr>
          <w:noProof/>
        </w:rPr>
        <w:t>4.14  Duration of consent</w:t>
      </w:r>
      <w:r>
        <w:rPr>
          <w:noProof/>
        </w:rPr>
        <w:tab/>
      </w:r>
      <w:r>
        <w:rPr>
          <w:noProof/>
        </w:rPr>
        <w:fldChar w:fldCharType="begin"/>
      </w:r>
      <w:r>
        <w:rPr>
          <w:noProof/>
        </w:rPr>
        <w:instrText xml:space="preserve"> PAGEREF _Toc111132058 \h </w:instrText>
      </w:r>
      <w:r>
        <w:rPr>
          <w:noProof/>
        </w:rPr>
      </w:r>
      <w:r>
        <w:rPr>
          <w:noProof/>
        </w:rPr>
        <w:fldChar w:fldCharType="separate"/>
      </w:r>
      <w:r w:rsidR="00857D8F">
        <w:rPr>
          <w:noProof/>
        </w:rPr>
        <w:t>79</w:t>
      </w:r>
      <w:r>
        <w:rPr>
          <w:noProof/>
        </w:rPr>
        <w:fldChar w:fldCharType="end"/>
      </w:r>
    </w:p>
    <w:p w14:paraId="031C64C4"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4.3.3—Information relating to de</w:t>
      </w:r>
      <w:r>
        <w:rPr>
          <w:noProof/>
        </w:rPr>
        <w:noBreakHyphen/>
        <w:t>identification of CDR data</w:t>
      </w:r>
      <w:r>
        <w:rPr>
          <w:noProof/>
        </w:rPr>
        <w:tab/>
      </w:r>
      <w:r>
        <w:rPr>
          <w:noProof/>
        </w:rPr>
        <w:fldChar w:fldCharType="begin"/>
      </w:r>
      <w:r>
        <w:rPr>
          <w:noProof/>
        </w:rPr>
        <w:instrText xml:space="preserve"> PAGEREF _Toc111132059 \h </w:instrText>
      </w:r>
      <w:r>
        <w:rPr>
          <w:noProof/>
        </w:rPr>
      </w:r>
      <w:r>
        <w:rPr>
          <w:noProof/>
        </w:rPr>
        <w:fldChar w:fldCharType="separate"/>
      </w:r>
      <w:r w:rsidR="00857D8F">
        <w:rPr>
          <w:noProof/>
        </w:rPr>
        <w:t>81</w:t>
      </w:r>
      <w:r>
        <w:rPr>
          <w:noProof/>
        </w:rPr>
        <w:fldChar w:fldCharType="end"/>
      </w:r>
    </w:p>
    <w:p w14:paraId="73525F1C" w14:textId="77777777" w:rsidR="00195095" w:rsidRDefault="00195095">
      <w:pPr>
        <w:pStyle w:val="TOC5"/>
        <w:rPr>
          <w:rFonts w:asciiTheme="minorHAnsi" w:eastAsiaTheme="minorEastAsia" w:hAnsiTheme="minorHAnsi" w:cstheme="minorBidi"/>
          <w:noProof/>
          <w:kern w:val="0"/>
          <w:sz w:val="22"/>
          <w:szCs w:val="22"/>
        </w:rPr>
      </w:pPr>
      <w:r>
        <w:rPr>
          <w:noProof/>
        </w:rPr>
        <w:t>4.15  Additional information relating to de</w:t>
      </w:r>
      <w:r>
        <w:rPr>
          <w:noProof/>
        </w:rPr>
        <w:noBreakHyphen/>
        <w:t>identification of CDR data</w:t>
      </w:r>
      <w:r>
        <w:rPr>
          <w:noProof/>
        </w:rPr>
        <w:tab/>
      </w:r>
      <w:r>
        <w:rPr>
          <w:noProof/>
        </w:rPr>
        <w:fldChar w:fldCharType="begin"/>
      </w:r>
      <w:r>
        <w:rPr>
          <w:noProof/>
        </w:rPr>
        <w:instrText xml:space="preserve"> PAGEREF _Toc111132060 \h </w:instrText>
      </w:r>
      <w:r>
        <w:rPr>
          <w:noProof/>
        </w:rPr>
      </w:r>
      <w:r>
        <w:rPr>
          <w:noProof/>
        </w:rPr>
        <w:fldChar w:fldCharType="separate"/>
      </w:r>
      <w:r w:rsidR="00857D8F">
        <w:rPr>
          <w:noProof/>
        </w:rPr>
        <w:t>81</w:t>
      </w:r>
      <w:r>
        <w:rPr>
          <w:noProof/>
        </w:rPr>
        <w:fldChar w:fldCharType="end"/>
      </w:r>
    </w:p>
    <w:p w14:paraId="3A179FF3"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4.3.4—Election to delete redundant data</w:t>
      </w:r>
      <w:r>
        <w:rPr>
          <w:noProof/>
        </w:rPr>
        <w:tab/>
      </w:r>
      <w:r>
        <w:rPr>
          <w:noProof/>
        </w:rPr>
        <w:fldChar w:fldCharType="begin"/>
      </w:r>
      <w:r>
        <w:rPr>
          <w:noProof/>
        </w:rPr>
        <w:instrText xml:space="preserve"> PAGEREF _Toc111132061 \h </w:instrText>
      </w:r>
      <w:r>
        <w:rPr>
          <w:noProof/>
        </w:rPr>
      </w:r>
      <w:r>
        <w:rPr>
          <w:noProof/>
        </w:rPr>
        <w:fldChar w:fldCharType="separate"/>
      </w:r>
      <w:r w:rsidR="00857D8F">
        <w:rPr>
          <w:noProof/>
        </w:rPr>
        <w:t>81</w:t>
      </w:r>
      <w:r>
        <w:rPr>
          <w:noProof/>
        </w:rPr>
        <w:fldChar w:fldCharType="end"/>
      </w:r>
    </w:p>
    <w:p w14:paraId="375FF18A" w14:textId="77777777" w:rsidR="00195095" w:rsidRDefault="00195095">
      <w:pPr>
        <w:pStyle w:val="TOC5"/>
        <w:rPr>
          <w:rFonts w:asciiTheme="minorHAnsi" w:eastAsiaTheme="minorEastAsia" w:hAnsiTheme="minorHAnsi" w:cstheme="minorBidi"/>
          <w:noProof/>
          <w:kern w:val="0"/>
          <w:sz w:val="22"/>
          <w:szCs w:val="22"/>
        </w:rPr>
      </w:pPr>
      <w:r>
        <w:rPr>
          <w:noProof/>
        </w:rPr>
        <w:t>4.16  Election to delete redundant data</w:t>
      </w:r>
      <w:r>
        <w:rPr>
          <w:noProof/>
        </w:rPr>
        <w:tab/>
      </w:r>
      <w:r>
        <w:rPr>
          <w:noProof/>
        </w:rPr>
        <w:fldChar w:fldCharType="begin"/>
      </w:r>
      <w:r>
        <w:rPr>
          <w:noProof/>
        </w:rPr>
        <w:instrText xml:space="preserve"> PAGEREF _Toc111132062 \h </w:instrText>
      </w:r>
      <w:r>
        <w:rPr>
          <w:noProof/>
        </w:rPr>
      </w:r>
      <w:r>
        <w:rPr>
          <w:noProof/>
        </w:rPr>
        <w:fldChar w:fldCharType="separate"/>
      </w:r>
      <w:r w:rsidR="00857D8F">
        <w:rPr>
          <w:noProof/>
        </w:rPr>
        <w:t>81</w:t>
      </w:r>
      <w:r>
        <w:rPr>
          <w:noProof/>
        </w:rPr>
        <w:fldChar w:fldCharType="end"/>
      </w:r>
    </w:p>
    <w:p w14:paraId="76C200D0" w14:textId="77777777" w:rsidR="00195095" w:rsidRDefault="00195095">
      <w:pPr>
        <w:pStyle w:val="TOC5"/>
        <w:rPr>
          <w:rFonts w:asciiTheme="minorHAnsi" w:eastAsiaTheme="minorEastAsia" w:hAnsiTheme="minorHAnsi" w:cstheme="minorBidi"/>
          <w:noProof/>
          <w:kern w:val="0"/>
          <w:sz w:val="22"/>
          <w:szCs w:val="22"/>
        </w:rPr>
      </w:pPr>
      <w:r>
        <w:rPr>
          <w:noProof/>
        </w:rPr>
        <w:t>4.17  Information relating to redundant data</w:t>
      </w:r>
      <w:r>
        <w:rPr>
          <w:noProof/>
        </w:rPr>
        <w:tab/>
      </w:r>
      <w:r>
        <w:rPr>
          <w:noProof/>
        </w:rPr>
        <w:fldChar w:fldCharType="begin"/>
      </w:r>
      <w:r>
        <w:rPr>
          <w:noProof/>
        </w:rPr>
        <w:instrText xml:space="preserve"> PAGEREF _Toc111132063 \h </w:instrText>
      </w:r>
      <w:r>
        <w:rPr>
          <w:noProof/>
        </w:rPr>
      </w:r>
      <w:r>
        <w:rPr>
          <w:noProof/>
        </w:rPr>
        <w:fldChar w:fldCharType="separate"/>
      </w:r>
      <w:r w:rsidR="00857D8F">
        <w:rPr>
          <w:noProof/>
        </w:rPr>
        <w:t>82</w:t>
      </w:r>
      <w:r>
        <w:rPr>
          <w:noProof/>
        </w:rPr>
        <w:fldChar w:fldCharType="end"/>
      </w:r>
    </w:p>
    <w:p w14:paraId="0BA628EC"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4.3.5—Notification requirements</w:t>
      </w:r>
      <w:r>
        <w:rPr>
          <w:noProof/>
        </w:rPr>
        <w:tab/>
      </w:r>
      <w:r>
        <w:rPr>
          <w:noProof/>
        </w:rPr>
        <w:fldChar w:fldCharType="begin"/>
      </w:r>
      <w:r>
        <w:rPr>
          <w:noProof/>
        </w:rPr>
        <w:instrText xml:space="preserve"> PAGEREF _Toc111132064 \h </w:instrText>
      </w:r>
      <w:r>
        <w:rPr>
          <w:noProof/>
        </w:rPr>
      </w:r>
      <w:r>
        <w:rPr>
          <w:noProof/>
        </w:rPr>
        <w:fldChar w:fldCharType="separate"/>
      </w:r>
      <w:r w:rsidR="00857D8F">
        <w:rPr>
          <w:noProof/>
        </w:rPr>
        <w:t>83</w:t>
      </w:r>
      <w:r>
        <w:rPr>
          <w:noProof/>
        </w:rPr>
        <w:fldChar w:fldCharType="end"/>
      </w:r>
    </w:p>
    <w:p w14:paraId="007C94DE" w14:textId="77777777" w:rsidR="00195095" w:rsidRDefault="00195095">
      <w:pPr>
        <w:pStyle w:val="TOC5"/>
        <w:rPr>
          <w:rFonts w:asciiTheme="minorHAnsi" w:eastAsiaTheme="minorEastAsia" w:hAnsiTheme="minorHAnsi" w:cstheme="minorBidi"/>
          <w:noProof/>
          <w:kern w:val="0"/>
          <w:sz w:val="22"/>
          <w:szCs w:val="22"/>
        </w:rPr>
      </w:pPr>
      <w:r>
        <w:rPr>
          <w:noProof/>
        </w:rPr>
        <w:t>4.18  CDR receipts</w:t>
      </w:r>
      <w:r>
        <w:rPr>
          <w:noProof/>
        </w:rPr>
        <w:tab/>
      </w:r>
      <w:r>
        <w:rPr>
          <w:noProof/>
        </w:rPr>
        <w:fldChar w:fldCharType="begin"/>
      </w:r>
      <w:r>
        <w:rPr>
          <w:noProof/>
        </w:rPr>
        <w:instrText xml:space="preserve"> PAGEREF _Toc111132065 \h </w:instrText>
      </w:r>
      <w:r>
        <w:rPr>
          <w:noProof/>
        </w:rPr>
      </w:r>
      <w:r>
        <w:rPr>
          <w:noProof/>
        </w:rPr>
        <w:fldChar w:fldCharType="separate"/>
      </w:r>
      <w:r w:rsidR="00857D8F">
        <w:rPr>
          <w:noProof/>
        </w:rPr>
        <w:t>83</w:t>
      </w:r>
      <w:r>
        <w:rPr>
          <w:noProof/>
        </w:rPr>
        <w:fldChar w:fldCharType="end"/>
      </w:r>
    </w:p>
    <w:p w14:paraId="4667C5CA"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4.18AA  Notification of data holder or accredited data recipient if collection consent expires</w:t>
      </w:r>
      <w:r>
        <w:rPr>
          <w:noProof/>
        </w:rPr>
        <w:tab/>
      </w:r>
      <w:r>
        <w:rPr>
          <w:noProof/>
        </w:rPr>
        <w:fldChar w:fldCharType="begin"/>
      </w:r>
      <w:r>
        <w:rPr>
          <w:noProof/>
        </w:rPr>
        <w:instrText xml:space="preserve"> PAGEREF _Toc111132066 \h </w:instrText>
      </w:r>
      <w:r>
        <w:rPr>
          <w:noProof/>
        </w:rPr>
      </w:r>
      <w:r>
        <w:rPr>
          <w:noProof/>
        </w:rPr>
        <w:fldChar w:fldCharType="separate"/>
      </w:r>
      <w:r w:rsidR="00857D8F">
        <w:rPr>
          <w:noProof/>
        </w:rPr>
        <w:t>83</w:t>
      </w:r>
      <w:r>
        <w:rPr>
          <w:noProof/>
        </w:rPr>
        <w:fldChar w:fldCharType="end"/>
      </w:r>
    </w:p>
    <w:p w14:paraId="161BB89E" w14:textId="77777777" w:rsidR="00195095" w:rsidRDefault="00195095">
      <w:pPr>
        <w:pStyle w:val="TOC5"/>
        <w:rPr>
          <w:rFonts w:asciiTheme="minorHAnsi" w:eastAsiaTheme="minorEastAsia" w:hAnsiTheme="minorHAnsi" w:cstheme="minorBidi"/>
          <w:noProof/>
          <w:kern w:val="0"/>
          <w:sz w:val="22"/>
          <w:szCs w:val="22"/>
        </w:rPr>
      </w:pPr>
      <w:r>
        <w:rPr>
          <w:noProof/>
        </w:rPr>
        <w:t xml:space="preserve">4.18A  Notification </w:t>
      </w:r>
      <w:r w:rsidRPr="00F95A48">
        <w:rPr>
          <w:noProof/>
          <w:color w:val="0000FF"/>
        </w:rPr>
        <w:t xml:space="preserve">of consumer </w:t>
      </w:r>
      <w:r>
        <w:rPr>
          <w:noProof/>
        </w:rPr>
        <w:t>if collection consent expires</w:t>
      </w:r>
      <w:r>
        <w:rPr>
          <w:noProof/>
        </w:rPr>
        <w:tab/>
      </w:r>
      <w:r>
        <w:rPr>
          <w:noProof/>
        </w:rPr>
        <w:fldChar w:fldCharType="begin"/>
      </w:r>
      <w:r>
        <w:rPr>
          <w:noProof/>
        </w:rPr>
        <w:instrText xml:space="preserve"> PAGEREF _Toc111132067 \h </w:instrText>
      </w:r>
      <w:r>
        <w:rPr>
          <w:noProof/>
        </w:rPr>
      </w:r>
      <w:r>
        <w:rPr>
          <w:noProof/>
        </w:rPr>
        <w:fldChar w:fldCharType="separate"/>
      </w:r>
      <w:r w:rsidR="00857D8F">
        <w:rPr>
          <w:noProof/>
        </w:rPr>
        <w:t>84</w:t>
      </w:r>
      <w:r>
        <w:rPr>
          <w:noProof/>
        </w:rPr>
        <w:fldChar w:fldCharType="end"/>
      </w:r>
    </w:p>
    <w:p w14:paraId="4086495C"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4.18B  Notification if collection consent or AP disclosure consent expires</w:t>
      </w:r>
      <w:r>
        <w:rPr>
          <w:noProof/>
        </w:rPr>
        <w:tab/>
      </w:r>
      <w:r>
        <w:rPr>
          <w:noProof/>
        </w:rPr>
        <w:fldChar w:fldCharType="begin"/>
      </w:r>
      <w:r>
        <w:rPr>
          <w:noProof/>
        </w:rPr>
        <w:instrText xml:space="preserve"> PAGEREF _Toc111132068 \h </w:instrText>
      </w:r>
      <w:r>
        <w:rPr>
          <w:noProof/>
        </w:rPr>
      </w:r>
      <w:r>
        <w:rPr>
          <w:noProof/>
        </w:rPr>
        <w:fldChar w:fldCharType="separate"/>
      </w:r>
      <w:r w:rsidR="00857D8F">
        <w:rPr>
          <w:noProof/>
        </w:rPr>
        <w:t>84</w:t>
      </w:r>
      <w:r>
        <w:rPr>
          <w:noProof/>
        </w:rPr>
        <w:fldChar w:fldCharType="end"/>
      </w:r>
    </w:p>
    <w:p w14:paraId="7AB91E98"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rPr>
        <w:t>4.18B  Notification if collection consent or AP disclosure consent expires</w:t>
      </w:r>
      <w:r>
        <w:rPr>
          <w:noProof/>
        </w:rPr>
        <w:tab/>
      </w:r>
      <w:r>
        <w:rPr>
          <w:noProof/>
        </w:rPr>
        <w:fldChar w:fldCharType="begin"/>
      </w:r>
      <w:r>
        <w:rPr>
          <w:noProof/>
        </w:rPr>
        <w:instrText xml:space="preserve"> PAGEREF _Toc111132069 \h </w:instrText>
      </w:r>
      <w:r>
        <w:rPr>
          <w:noProof/>
        </w:rPr>
      </w:r>
      <w:r>
        <w:rPr>
          <w:noProof/>
        </w:rPr>
        <w:fldChar w:fldCharType="separate"/>
      </w:r>
      <w:r w:rsidR="00857D8F">
        <w:rPr>
          <w:noProof/>
        </w:rPr>
        <w:t>85</w:t>
      </w:r>
      <w:r>
        <w:rPr>
          <w:noProof/>
        </w:rPr>
        <w:fldChar w:fldCharType="end"/>
      </w:r>
    </w:p>
    <w:p w14:paraId="2AD794B2" w14:textId="77777777" w:rsidR="00195095" w:rsidRDefault="00195095">
      <w:pPr>
        <w:pStyle w:val="TOC5"/>
        <w:rPr>
          <w:rFonts w:asciiTheme="minorHAnsi" w:eastAsiaTheme="minorEastAsia" w:hAnsiTheme="minorHAnsi" w:cstheme="minorBidi"/>
          <w:noProof/>
          <w:kern w:val="0"/>
          <w:sz w:val="22"/>
          <w:szCs w:val="22"/>
        </w:rPr>
      </w:pPr>
      <w:r>
        <w:rPr>
          <w:noProof/>
        </w:rPr>
        <w:t>4.18C  Notification if collection consent is amended</w:t>
      </w:r>
      <w:r>
        <w:rPr>
          <w:noProof/>
        </w:rPr>
        <w:tab/>
      </w:r>
      <w:r>
        <w:rPr>
          <w:noProof/>
        </w:rPr>
        <w:fldChar w:fldCharType="begin"/>
      </w:r>
      <w:r>
        <w:rPr>
          <w:noProof/>
        </w:rPr>
        <w:instrText xml:space="preserve"> PAGEREF _Toc111132070 \h </w:instrText>
      </w:r>
      <w:r>
        <w:rPr>
          <w:noProof/>
        </w:rPr>
      </w:r>
      <w:r>
        <w:rPr>
          <w:noProof/>
        </w:rPr>
        <w:fldChar w:fldCharType="separate"/>
      </w:r>
      <w:r w:rsidR="00857D8F">
        <w:rPr>
          <w:noProof/>
        </w:rPr>
        <w:t>85</w:t>
      </w:r>
      <w:r>
        <w:rPr>
          <w:noProof/>
        </w:rPr>
        <w:fldChar w:fldCharType="end"/>
      </w:r>
    </w:p>
    <w:p w14:paraId="2B7044A9" w14:textId="77777777" w:rsidR="00195095" w:rsidRDefault="00195095">
      <w:pPr>
        <w:pStyle w:val="TOC5"/>
        <w:rPr>
          <w:rFonts w:asciiTheme="minorHAnsi" w:eastAsiaTheme="minorEastAsia" w:hAnsiTheme="minorHAnsi" w:cstheme="minorBidi"/>
          <w:noProof/>
          <w:kern w:val="0"/>
          <w:sz w:val="22"/>
          <w:szCs w:val="22"/>
        </w:rPr>
      </w:pPr>
      <w:r>
        <w:rPr>
          <w:noProof/>
        </w:rPr>
        <w:t>4.19  Updating consumer dashboard</w:t>
      </w:r>
      <w:r>
        <w:rPr>
          <w:noProof/>
        </w:rPr>
        <w:tab/>
      </w:r>
      <w:r>
        <w:rPr>
          <w:noProof/>
        </w:rPr>
        <w:fldChar w:fldCharType="begin"/>
      </w:r>
      <w:r>
        <w:rPr>
          <w:noProof/>
        </w:rPr>
        <w:instrText xml:space="preserve"> PAGEREF _Toc111132071 \h </w:instrText>
      </w:r>
      <w:r>
        <w:rPr>
          <w:noProof/>
        </w:rPr>
      </w:r>
      <w:r>
        <w:rPr>
          <w:noProof/>
        </w:rPr>
        <w:fldChar w:fldCharType="separate"/>
      </w:r>
      <w:r w:rsidR="00857D8F">
        <w:rPr>
          <w:noProof/>
        </w:rPr>
        <w:t>85</w:t>
      </w:r>
      <w:r>
        <w:rPr>
          <w:noProof/>
        </w:rPr>
        <w:fldChar w:fldCharType="end"/>
      </w:r>
    </w:p>
    <w:p w14:paraId="0D06D2A0" w14:textId="77777777" w:rsidR="00195095" w:rsidRDefault="00195095">
      <w:pPr>
        <w:pStyle w:val="TOC5"/>
        <w:rPr>
          <w:rFonts w:asciiTheme="minorHAnsi" w:eastAsiaTheme="minorEastAsia" w:hAnsiTheme="minorHAnsi" w:cstheme="minorBidi"/>
          <w:noProof/>
          <w:kern w:val="0"/>
          <w:sz w:val="22"/>
          <w:szCs w:val="22"/>
        </w:rPr>
      </w:pPr>
      <w:r>
        <w:rPr>
          <w:noProof/>
        </w:rPr>
        <w:t>4.20  Ongoing notification requirement—collection consents and use consents</w:t>
      </w:r>
      <w:r>
        <w:rPr>
          <w:noProof/>
        </w:rPr>
        <w:tab/>
      </w:r>
      <w:r>
        <w:rPr>
          <w:noProof/>
        </w:rPr>
        <w:fldChar w:fldCharType="begin"/>
      </w:r>
      <w:r>
        <w:rPr>
          <w:noProof/>
        </w:rPr>
        <w:instrText xml:space="preserve"> PAGEREF _Toc111132072 \h </w:instrText>
      </w:r>
      <w:r>
        <w:rPr>
          <w:noProof/>
        </w:rPr>
      </w:r>
      <w:r>
        <w:rPr>
          <w:noProof/>
        </w:rPr>
        <w:fldChar w:fldCharType="separate"/>
      </w:r>
      <w:r w:rsidR="00857D8F">
        <w:rPr>
          <w:noProof/>
        </w:rPr>
        <w:t>86</w:t>
      </w:r>
      <w:r>
        <w:rPr>
          <w:noProof/>
        </w:rPr>
        <w:fldChar w:fldCharType="end"/>
      </w:r>
    </w:p>
    <w:p w14:paraId="59CB05B0" w14:textId="77777777" w:rsidR="00195095" w:rsidRDefault="00195095">
      <w:pPr>
        <w:pStyle w:val="TOC5"/>
        <w:rPr>
          <w:rFonts w:asciiTheme="minorHAnsi" w:eastAsiaTheme="minorEastAsia" w:hAnsiTheme="minorHAnsi" w:cstheme="minorBidi"/>
          <w:noProof/>
          <w:kern w:val="0"/>
          <w:sz w:val="22"/>
          <w:szCs w:val="22"/>
        </w:rPr>
      </w:pPr>
      <w:r>
        <w:rPr>
          <w:noProof/>
        </w:rPr>
        <w:t>4.20A  Application of Subdivision to sponsor and affiliate</w:t>
      </w:r>
      <w:r>
        <w:rPr>
          <w:noProof/>
        </w:rPr>
        <w:tab/>
      </w:r>
      <w:r>
        <w:rPr>
          <w:noProof/>
        </w:rPr>
        <w:fldChar w:fldCharType="begin"/>
      </w:r>
      <w:r>
        <w:rPr>
          <w:noProof/>
        </w:rPr>
        <w:instrText xml:space="preserve"> PAGEREF _Toc111132073 \h </w:instrText>
      </w:r>
      <w:r>
        <w:rPr>
          <w:noProof/>
        </w:rPr>
      </w:r>
      <w:r>
        <w:rPr>
          <w:noProof/>
        </w:rPr>
        <w:fldChar w:fldCharType="separate"/>
      </w:r>
      <w:r w:rsidR="00857D8F">
        <w:rPr>
          <w:noProof/>
        </w:rPr>
        <w:t>86</w:t>
      </w:r>
      <w:r>
        <w:rPr>
          <w:noProof/>
        </w:rPr>
        <w:fldChar w:fldCharType="end"/>
      </w:r>
    </w:p>
    <w:p w14:paraId="5CA6084D" w14:textId="77777777" w:rsidR="00195095" w:rsidRDefault="00195095">
      <w:pPr>
        <w:pStyle w:val="TOC3"/>
        <w:rPr>
          <w:rFonts w:asciiTheme="minorHAnsi" w:eastAsiaTheme="minorEastAsia" w:hAnsiTheme="minorHAnsi" w:cstheme="minorBidi"/>
          <w:b w:val="0"/>
          <w:noProof/>
          <w:kern w:val="0"/>
          <w:szCs w:val="22"/>
        </w:rPr>
      </w:pPr>
      <w:r w:rsidRPr="00F95A48">
        <w:rPr>
          <w:noProof/>
          <w:color w:val="0000FF"/>
        </w:rPr>
        <w:t>Division 4.3A—Giving and amending consents—CDR representatives</w:t>
      </w:r>
      <w:r>
        <w:rPr>
          <w:noProof/>
        </w:rPr>
        <w:tab/>
      </w:r>
      <w:r>
        <w:rPr>
          <w:noProof/>
        </w:rPr>
        <w:fldChar w:fldCharType="begin"/>
      </w:r>
      <w:r>
        <w:rPr>
          <w:noProof/>
        </w:rPr>
        <w:instrText xml:space="preserve"> PAGEREF _Toc111132074 \h </w:instrText>
      </w:r>
      <w:r>
        <w:rPr>
          <w:noProof/>
        </w:rPr>
      </w:r>
      <w:r>
        <w:rPr>
          <w:noProof/>
        </w:rPr>
        <w:fldChar w:fldCharType="separate"/>
      </w:r>
      <w:r w:rsidR="00857D8F">
        <w:rPr>
          <w:noProof/>
        </w:rPr>
        <w:t>86</w:t>
      </w:r>
      <w:r>
        <w:rPr>
          <w:noProof/>
        </w:rPr>
        <w:fldChar w:fldCharType="end"/>
      </w:r>
    </w:p>
    <w:p w14:paraId="68996A3B"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4.3A.1—Preliminary</w:t>
      </w:r>
      <w:r>
        <w:rPr>
          <w:noProof/>
        </w:rPr>
        <w:tab/>
      </w:r>
      <w:r>
        <w:rPr>
          <w:noProof/>
        </w:rPr>
        <w:fldChar w:fldCharType="begin"/>
      </w:r>
      <w:r>
        <w:rPr>
          <w:noProof/>
        </w:rPr>
        <w:instrText xml:space="preserve"> PAGEREF _Toc111132075 \h </w:instrText>
      </w:r>
      <w:r>
        <w:rPr>
          <w:noProof/>
        </w:rPr>
      </w:r>
      <w:r>
        <w:rPr>
          <w:noProof/>
        </w:rPr>
        <w:fldChar w:fldCharType="separate"/>
      </w:r>
      <w:r w:rsidR="00857D8F">
        <w:rPr>
          <w:noProof/>
        </w:rPr>
        <w:t>86</w:t>
      </w:r>
      <w:r>
        <w:rPr>
          <w:noProof/>
        </w:rPr>
        <w:fldChar w:fldCharType="end"/>
      </w:r>
    </w:p>
    <w:p w14:paraId="608D47BA"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4.20B  Purpose of Division</w:t>
      </w:r>
      <w:r>
        <w:rPr>
          <w:noProof/>
        </w:rPr>
        <w:tab/>
      </w:r>
      <w:r>
        <w:rPr>
          <w:noProof/>
        </w:rPr>
        <w:fldChar w:fldCharType="begin"/>
      </w:r>
      <w:r>
        <w:rPr>
          <w:noProof/>
        </w:rPr>
        <w:instrText xml:space="preserve"> PAGEREF _Toc111132076 \h </w:instrText>
      </w:r>
      <w:r>
        <w:rPr>
          <w:noProof/>
        </w:rPr>
      </w:r>
      <w:r>
        <w:rPr>
          <w:noProof/>
        </w:rPr>
        <w:fldChar w:fldCharType="separate"/>
      </w:r>
      <w:r w:rsidR="00857D8F">
        <w:rPr>
          <w:noProof/>
        </w:rPr>
        <w:t>86</w:t>
      </w:r>
      <w:r>
        <w:rPr>
          <w:noProof/>
        </w:rPr>
        <w:fldChar w:fldCharType="end"/>
      </w:r>
    </w:p>
    <w:p w14:paraId="270592CC"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4.20C  Object</w:t>
      </w:r>
      <w:r>
        <w:rPr>
          <w:noProof/>
        </w:rPr>
        <w:tab/>
      </w:r>
      <w:r>
        <w:rPr>
          <w:noProof/>
        </w:rPr>
        <w:fldChar w:fldCharType="begin"/>
      </w:r>
      <w:r>
        <w:rPr>
          <w:noProof/>
        </w:rPr>
        <w:instrText xml:space="preserve"> PAGEREF _Toc111132077 \h </w:instrText>
      </w:r>
      <w:r>
        <w:rPr>
          <w:noProof/>
        </w:rPr>
      </w:r>
      <w:r>
        <w:rPr>
          <w:noProof/>
        </w:rPr>
        <w:fldChar w:fldCharType="separate"/>
      </w:r>
      <w:r w:rsidR="00857D8F">
        <w:rPr>
          <w:noProof/>
        </w:rPr>
        <w:t>86</w:t>
      </w:r>
      <w:r>
        <w:rPr>
          <w:noProof/>
        </w:rPr>
        <w:fldChar w:fldCharType="end"/>
      </w:r>
    </w:p>
    <w:p w14:paraId="1BDD68FD"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4.3A.2—Giving consents</w:t>
      </w:r>
      <w:r>
        <w:rPr>
          <w:noProof/>
        </w:rPr>
        <w:tab/>
      </w:r>
      <w:r>
        <w:rPr>
          <w:noProof/>
        </w:rPr>
        <w:fldChar w:fldCharType="begin"/>
      </w:r>
      <w:r>
        <w:rPr>
          <w:noProof/>
        </w:rPr>
        <w:instrText xml:space="preserve"> PAGEREF _Toc111132078 \h </w:instrText>
      </w:r>
      <w:r>
        <w:rPr>
          <w:noProof/>
        </w:rPr>
      </w:r>
      <w:r>
        <w:rPr>
          <w:noProof/>
        </w:rPr>
        <w:fldChar w:fldCharType="separate"/>
      </w:r>
      <w:r w:rsidR="00857D8F">
        <w:rPr>
          <w:noProof/>
        </w:rPr>
        <w:t>87</w:t>
      </w:r>
      <w:r>
        <w:rPr>
          <w:noProof/>
        </w:rPr>
        <w:fldChar w:fldCharType="end"/>
      </w:r>
    </w:p>
    <w:p w14:paraId="18117353"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4.20D  Requirements relating to CDR representative’s processes for seeking consent</w:t>
      </w:r>
      <w:r>
        <w:rPr>
          <w:noProof/>
        </w:rPr>
        <w:tab/>
      </w:r>
      <w:r>
        <w:rPr>
          <w:noProof/>
        </w:rPr>
        <w:fldChar w:fldCharType="begin"/>
      </w:r>
      <w:r>
        <w:rPr>
          <w:noProof/>
        </w:rPr>
        <w:instrText xml:space="preserve"> PAGEREF _Toc111132079 \h </w:instrText>
      </w:r>
      <w:r>
        <w:rPr>
          <w:noProof/>
        </w:rPr>
      </w:r>
      <w:r>
        <w:rPr>
          <w:noProof/>
        </w:rPr>
        <w:fldChar w:fldCharType="separate"/>
      </w:r>
      <w:r w:rsidR="00857D8F">
        <w:rPr>
          <w:noProof/>
        </w:rPr>
        <w:t>87</w:t>
      </w:r>
      <w:r>
        <w:rPr>
          <w:noProof/>
        </w:rPr>
        <w:fldChar w:fldCharType="end"/>
      </w:r>
    </w:p>
    <w:p w14:paraId="70820094"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4.20E  Asking CDR consumer to give consent</w:t>
      </w:r>
      <w:r>
        <w:rPr>
          <w:noProof/>
        </w:rPr>
        <w:tab/>
      </w:r>
      <w:r>
        <w:rPr>
          <w:noProof/>
        </w:rPr>
        <w:fldChar w:fldCharType="begin"/>
      </w:r>
      <w:r>
        <w:rPr>
          <w:noProof/>
        </w:rPr>
        <w:instrText xml:space="preserve"> PAGEREF _Toc111132080 \h </w:instrText>
      </w:r>
      <w:r>
        <w:rPr>
          <w:noProof/>
        </w:rPr>
      </w:r>
      <w:r>
        <w:rPr>
          <w:noProof/>
        </w:rPr>
        <w:fldChar w:fldCharType="separate"/>
      </w:r>
      <w:r w:rsidR="00857D8F">
        <w:rPr>
          <w:noProof/>
        </w:rPr>
        <w:t>87</w:t>
      </w:r>
      <w:r>
        <w:rPr>
          <w:noProof/>
        </w:rPr>
        <w:fldChar w:fldCharType="end"/>
      </w:r>
    </w:p>
    <w:p w14:paraId="465D2E45"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4.20F</w:t>
      </w:r>
      <w:r w:rsidRPr="00F95A48">
        <w:rPr>
          <w:noProof/>
          <w:color w:val="800000"/>
        </w:rPr>
        <w:t xml:space="preserve">  </w:t>
      </w:r>
      <w:r w:rsidRPr="00F95A48">
        <w:rPr>
          <w:noProof/>
          <w:color w:val="0000FF"/>
        </w:rPr>
        <w:t>Restrictions on seeking consent</w:t>
      </w:r>
      <w:r>
        <w:rPr>
          <w:noProof/>
        </w:rPr>
        <w:tab/>
      </w:r>
      <w:r>
        <w:rPr>
          <w:noProof/>
        </w:rPr>
        <w:fldChar w:fldCharType="begin"/>
      </w:r>
      <w:r>
        <w:rPr>
          <w:noProof/>
        </w:rPr>
        <w:instrText xml:space="preserve"> PAGEREF _Toc111132081 \h </w:instrText>
      </w:r>
      <w:r>
        <w:rPr>
          <w:noProof/>
        </w:rPr>
      </w:r>
      <w:r>
        <w:rPr>
          <w:noProof/>
        </w:rPr>
        <w:fldChar w:fldCharType="separate"/>
      </w:r>
      <w:r w:rsidR="00857D8F">
        <w:rPr>
          <w:noProof/>
        </w:rPr>
        <w:t>89</w:t>
      </w:r>
      <w:r>
        <w:rPr>
          <w:noProof/>
        </w:rPr>
        <w:fldChar w:fldCharType="end"/>
      </w:r>
    </w:p>
    <w:p w14:paraId="7FC4D452"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4.3A.3—Amending consents</w:t>
      </w:r>
      <w:r>
        <w:rPr>
          <w:noProof/>
        </w:rPr>
        <w:tab/>
      </w:r>
      <w:r>
        <w:rPr>
          <w:noProof/>
        </w:rPr>
        <w:fldChar w:fldCharType="begin"/>
      </w:r>
      <w:r>
        <w:rPr>
          <w:noProof/>
        </w:rPr>
        <w:instrText xml:space="preserve"> PAGEREF _Toc111132082 \h </w:instrText>
      </w:r>
      <w:r>
        <w:rPr>
          <w:noProof/>
        </w:rPr>
      </w:r>
      <w:r>
        <w:rPr>
          <w:noProof/>
        </w:rPr>
        <w:fldChar w:fldCharType="separate"/>
      </w:r>
      <w:r w:rsidR="00857D8F">
        <w:rPr>
          <w:noProof/>
        </w:rPr>
        <w:t>90</w:t>
      </w:r>
      <w:r>
        <w:rPr>
          <w:noProof/>
        </w:rPr>
        <w:fldChar w:fldCharType="end"/>
      </w:r>
    </w:p>
    <w:p w14:paraId="3D124407"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4.20G  Amendment of consent</w:t>
      </w:r>
      <w:r>
        <w:rPr>
          <w:noProof/>
        </w:rPr>
        <w:tab/>
      </w:r>
      <w:r>
        <w:rPr>
          <w:noProof/>
        </w:rPr>
        <w:fldChar w:fldCharType="begin"/>
      </w:r>
      <w:r>
        <w:rPr>
          <w:noProof/>
        </w:rPr>
        <w:instrText xml:space="preserve"> PAGEREF _Toc111132083 \h </w:instrText>
      </w:r>
      <w:r>
        <w:rPr>
          <w:noProof/>
        </w:rPr>
      </w:r>
      <w:r>
        <w:rPr>
          <w:noProof/>
        </w:rPr>
        <w:fldChar w:fldCharType="separate"/>
      </w:r>
      <w:r w:rsidR="00857D8F">
        <w:rPr>
          <w:noProof/>
        </w:rPr>
        <w:t>90</w:t>
      </w:r>
      <w:r>
        <w:rPr>
          <w:noProof/>
        </w:rPr>
        <w:fldChar w:fldCharType="end"/>
      </w:r>
    </w:p>
    <w:p w14:paraId="00C88C4D"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4.20H  Inviting CDR consumer to amend consent</w:t>
      </w:r>
      <w:r>
        <w:rPr>
          <w:noProof/>
        </w:rPr>
        <w:tab/>
      </w:r>
      <w:r>
        <w:rPr>
          <w:noProof/>
        </w:rPr>
        <w:fldChar w:fldCharType="begin"/>
      </w:r>
      <w:r>
        <w:rPr>
          <w:noProof/>
        </w:rPr>
        <w:instrText xml:space="preserve"> PAGEREF _Toc111132084 \h </w:instrText>
      </w:r>
      <w:r>
        <w:rPr>
          <w:noProof/>
        </w:rPr>
      </w:r>
      <w:r>
        <w:rPr>
          <w:noProof/>
        </w:rPr>
        <w:fldChar w:fldCharType="separate"/>
      </w:r>
      <w:r w:rsidR="00857D8F">
        <w:rPr>
          <w:noProof/>
        </w:rPr>
        <w:t>90</w:t>
      </w:r>
      <w:r>
        <w:rPr>
          <w:noProof/>
        </w:rPr>
        <w:fldChar w:fldCharType="end"/>
      </w:r>
    </w:p>
    <w:p w14:paraId="28BB0B97"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4.20I  Process for amending consent</w:t>
      </w:r>
      <w:r>
        <w:rPr>
          <w:noProof/>
        </w:rPr>
        <w:tab/>
      </w:r>
      <w:r>
        <w:rPr>
          <w:noProof/>
        </w:rPr>
        <w:fldChar w:fldCharType="begin"/>
      </w:r>
      <w:r>
        <w:rPr>
          <w:noProof/>
        </w:rPr>
        <w:instrText xml:space="preserve"> PAGEREF _Toc111132085 \h </w:instrText>
      </w:r>
      <w:r>
        <w:rPr>
          <w:noProof/>
        </w:rPr>
      </w:r>
      <w:r>
        <w:rPr>
          <w:noProof/>
        </w:rPr>
        <w:fldChar w:fldCharType="separate"/>
      </w:r>
      <w:r w:rsidR="00857D8F">
        <w:rPr>
          <w:noProof/>
        </w:rPr>
        <w:t>91</w:t>
      </w:r>
      <w:r>
        <w:rPr>
          <w:noProof/>
        </w:rPr>
        <w:fldChar w:fldCharType="end"/>
      </w:r>
    </w:p>
    <w:p w14:paraId="2AB85A61"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4.3A.4—Withdrawing consents</w:t>
      </w:r>
      <w:r>
        <w:rPr>
          <w:noProof/>
        </w:rPr>
        <w:tab/>
      </w:r>
      <w:r>
        <w:rPr>
          <w:noProof/>
        </w:rPr>
        <w:fldChar w:fldCharType="begin"/>
      </w:r>
      <w:r>
        <w:rPr>
          <w:noProof/>
        </w:rPr>
        <w:instrText xml:space="preserve"> PAGEREF _Toc111132086 \h </w:instrText>
      </w:r>
      <w:r>
        <w:rPr>
          <w:noProof/>
        </w:rPr>
      </w:r>
      <w:r>
        <w:rPr>
          <w:noProof/>
        </w:rPr>
        <w:fldChar w:fldCharType="separate"/>
      </w:r>
      <w:r w:rsidR="00857D8F">
        <w:rPr>
          <w:noProof/>
        </w:rPr>
        <w:t>91</w:t>
      </w:r>
      <w:r>
        <w:rPr>
          <w:noProof/>
        </w:rPr>
        <w:fldChar w:fldCharType="end"/>
      </w:r>
    </w:p>
    <w:p w14:paraId="7D6FF4E4"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4.20J  Withdrawal of consents</w:t>
      </w:r>
      <w:r>
        <w:rPr>
          <w:noProof/>
        </w:rPr>
        <w:tab/>
      </w:r>
      <w:r>
        <w:rPr>
          <w:noProof/>
        </w:rPr>
        <w:fldChar w:fldCharType="begin"/>
      </w:r>
      <w:r>
        <w:rPr>
          <w:noProof/>
        </w:rPr>
        <w:instrText xml:space="preserve"> PAGEREF _Toc111132087 \h </w:instrText>
      </w:r>
      <w:r>
        <w:rPr>
          <w:noProof/>
        </w:rPr>
      </w:r>
      <w:r>
        <w:rPr>
          <w:noProof/>
        </w:rPr>
        <w:fldChar w:fldCharType="separate"/>
      </w:r>
      <w:r w:rsidR="00857D8F">
        <w:rPr>
          <w:noProof/>
        </w:rPr>
        <w:t>91</w:t>
      </w:r>
      <w:r>
        <w:rPr>
          <w:noProof/>
        </w:rPr>
        <w:fldChar w:fldCharType="end"/>
      </w:r>
    </w:p>
    <w:p w14:paraId="4B12D97C"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4.3A.5—Duration of consent</w:t>
      </w:r>
      <w:r>
        <w:rPr>
          <w:noProof/>
        </w:rPr>
        <w:tab/>
      </w:r>
      <w:r>
        <w:rPr>
          <w:noProof/>
        </w:rPr>
        <w:fldChar w:fldCharType="begin"/>
      </w:r>
      <w:r>
        <w:rPr>
          <w:noProof/>
        </w:rPr>
        <w:instrText xml:space="preserve"> PAGEREF _Toc111132088 \h </w:instrText>
      </w:r>
      <w:r>
        <w:rPr>
          <w:noProof/>
        </w:rPr>
      </w:r>
      <w:r>
        <w:rPr>
          <w:noProof/>
        </w:rPr>
        <w:fldChar w:fldCharType="separate"/>
      </w:r>
      <w:r w:rsidR="00857D8F">
        <w:rPr>
          <w:noProof/>
        </w:rPr>
        <w:t>92</w:t>
      </w:r>
      <w:r>
        <w:rPr>
          <w:noProof/>
        </w:rPr>
        <w:fldChar w:fldCharType="end"/>
      </w:r>
    </w:p>
    <w:p w14:paraId="2D2E35A7"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4.20K  Duration of consent</w:t>
      </w:r>
      <w:r>
        <w:rPr>
          <w:noProof/>
        </w:rPr>
        <w:tab/>
      </w:r>
      <w:r>
        <w:rPr>
          <w:noProof/>
        </w:rPr>
        <w:fldChar w:fldCharType="begin"/>
      </w:r>
      <w:r>
        <w:rPr>
          <w:noProof/>
        </w:rPr>
        <w:instrText xml:space="preserve"> PAGEREF _Toc111132089 \h </w:instrText>
      </w:r>
      <w:r>
        <w:rPr>
          <w:noProof/>
        </w:rPr>
      </w:r>
      <w:r>
        <w:rPr>
          <w:noProof/>
        </w:rPr>
        <w:fldChar w:fldCharType="separate"/>
      </w:r>
      <w:r w:rsidR="00857D8F">
        <w:rPr>
          <w:noProof/>
        </w:rPr>
        <w:t>92</w:t>
      </w:r>
      <w:r>
        <w:rPr>
          <w:noProof/>
        </w:rPr>
        <w:fldChar w:fldCharType="end"/>
      </w:r>
    </w:p>
    <w:p w14:paraId="60CD05B5"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4.3A.6—Information relating to de</w:t>
      </w:r>
      <w:r w:rsidRPr="00F95A48">
        <w:rPr>
          <w:noProof/>
          <w:color w:val="0000FF"/>
        </w:rPr>
        <w:noBreakHyphen/>
        <w:t>identification of CDR data</w:t>
      </w:r>
      <w:r>
        <w:rPr>
          <w:noProof/>
        </w:rPr>
        <w:tab/>
      </w:r>
      <w:r>
        <w:rPr>
          <w:noProof/>
        </w:rPr>
        <w:fldChar w:fldCharType="begin"/>
      </w:r>
      <w:r>
        <w:rPr>
          <w:noProof/>
        </w:rPr>
        <w:instrText xml:space="preserve"> PAGEREF _Toc111132090 \h </w:instrText>
      </w:r>
      <w:r>
        <w:rPr>
          <w:noProof/>
        </w:rPr>
      </w:r>
      <w:r>
        <w:rPr>
          <w:noProof/>
        </w:rPr>
        <w:fldChar w:fldCharType="separate"/>
      </w:r>
      <w:r w:rsidR="00857D8F">
        <w:rPr>
          <w:noProof/>
        </w:rPr>
        <w:t>93</w:t>
      </w:r>
      <w:r>
        <w:rPr>
          <w:noProof/>
        </w:rPr>
        <w:fldChar w:fldCharType="end"/>
      </w:r>
    </w:p>
    <w:p w14:paraId="3460D9E1"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lastRenderedPageBreak/>
        <w:t>4.20L  Additional information relating to de</w:t>
      </w:r>
      <w:r w:rsidRPr="00F95A48">
        <w:rPr>
          <w:noProof/>
          <w:color w:val="0000FF"/>
        </w:rPr>
        <w:noBreakHyphen/>
        <w:t>identification of CDR data</w:t>
      </w:r>
      <w:r>
        <w:rPr>
          <w:noProof/>
        </w:rPr>
        <w:tab/>
      </w:r>
      <w:r>
        <w:rPr>
          <w:noProof/>
        </w:rPr>
        <w:fldChar w:fldCharType="begin"/>
      </w:r>
      <w:r>
        <w:rPr>
          <w:noProof/>
        </w:rPr>
        <w:instrText xml:space="preserve"> PAGEREF _Toc111132091 \h </w:instrText>
      </w:r>
      <w:r>
        <w:rPr>
          <w:noProof/>
        </w:rPr>
      </w:r>
      <w:r>
        <w:rPr>
          <w:noProof/>
        </w:rPr>
        <w:fldChar w:fldCharType="separate"/>
      </w:r>
      <w:r w:rsidR="00857D8F">
        <w:rPr>
          <w:noProof/>
        </w:rPr>
        <w:t>93</w:t>
      </w:r>
      <w:r>
        <w:rPr>
          <w:noProof/>
        </w:rPr>
        <w:fldChar w:fldCharType="end"/>
      </w:r>
    </w:p>
    <w:p w14:paraId="02936083"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4.3A.7—Election to delete redundant data</w:t>
      </w:r>
      <w:r>
        <w:rPr>
          <w:noProof/>
        </w:rPr>
        <w:tab/>
      </w:r>
      <w:r>
        <w:rPr>
          <w:noProof/>
        </w:rPr>
        <w:fldChar w:fldCharType="begin"/>
      </w:r>
      <w:r>
        <w:rPr>
          <w:noProof/>
        </w:rPr>
        <w:instrText xml:space="preserve"> PAGEREF _Toc111132092 \h </w:instrText>
      </w:r>
      <w:r>
        <w:rPr>
          <w:noProof/>
        </w:rPr>
      </w:r>
      <w:r>
        <w:rPr>
          <w:noProof/>
        </w:rPr>
        <w:fldChar w:fldCharType="separate"/>
      </w:r>
      <w:r w:rsidR="00857D8F">
        <w:rPr>
          <w:noProof/>
        </w:rPr>
        <w:t>93</w:t>
      </w:r>
      <w:r>
        <w:rPr>
          <w:noProof/>
        </w:rPr>
        <w:fldChar w:fldCharType="end"/>
      </w:r>
    </w:p>
    <w:p w14:paraId="6AEA37E9"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4.20M  Election to delete redundant data</w:t>
      </w:r>
      <w:r>
        <w:rPr>
          <w:noProof/>
        </w:rPr>
        <w:tab/>
      </w:r>
      <w:r>
        <w:rPr>
          <w:noProof/>
        </w:rPr>
        <w:fldChar w:fldCharType="begin"/>
      </w:r>
      <w:r>
        <w:rPr>
          <w:noProof/>
        </w:rPr>
        <w:instrText xml:space="preserve"> PAGEREF _Toc111132093 \h </w:instrText>
      </w:r>
      <w:r>
        <w:rPr>
          <w:noProof/>
        </w:rPr>
      </w:r>
      <w:r>
        <w:rPr>
          <w:noProof/>
        </w:rPr>
        <w:fldChar w:fldCharType="separate"/>
      </w:r>
      <w:r w:rsidR="00857D8F">
        <w:rPr>
          <w:noProof/>
        </w:rPr>
        <w:t>93</w:t>
      </w:r>
      <w:r>
        <w:rPr>
          <w:noProof/>
        </w:rPr>
        <w:fldChar w:fldCharType="end"/>
      </w:r>
    </w:p>
    <w:p w14:paraId="366FD9F0"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4.20N  Information relating to redundant data</w:t>
      </w:r>
      <w:r>
        <w:rPr>
          <w:noProof/>
        </w:rPr>
        <w:tab/>
      </w:r>
      <w:r>
        <w:rPr>
          <w:noProof/>
        </w:rPr>
        <w:fldChar w:fldCharType="begin"/>
      </w:r>
      <w:r>
        <w:rPr>
          <w:noProof/>
        </w:rPr>
        <w:instrText xml:space="preserve"> PAGEREF _Toc111132094 \h </w:instrText>
      </w:r>
      <w:r>
        <w:rPr>
          <w:noProof/>
        </w:rPr>
      </w:r>
      <w:r>
        <w:rPr>
          <w:noProof/>
        </w:rPr>
        <w:fldChar w:fldCharType="separate"/>
      </w:r>
      <w:r w:rsidR="00857D8F">
        <w:rPr>
          <w:noProof/>
        </w:rPr>
        <w:t>94</w:t>
      </w:r>
      <w:r>
        <w:rPr>
          <w:noProof/>
        </w:rPr>
        <w:fldChar w:fldCharType="end"/>
      </w:r>
    </w:p>
    <w:p w14:paraId="7C089324"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FF"/>
        </w:rPr>
        <w:t>Subdivision 4.3A.8—Notification requirements</w:t>
      </w:r>
      <w:r>
        <w:rPr>
          <w:noProof/>
        </w:rPr>
        <w:tab/>
      </w:r>
      <w:r>
        <w:rPr>
          <w:noProof/>
        </w:rPr>
        <w:fldChar w:fldCharType="begin"/>
      </w:r>
      <w:r>
        <w:rPr>
          <w:noProof/>
        </w:rPr>
        <w:instrText xml:space="preserve"> PAGEREF _Toc111132095 \h </w:instrText>
      </w:r>
      <w:r>
        <w:rPr>
          <w:noProof/>
        </w:rPr>
      </w:r>
      <w:r>
        <w:rPr>
          <w:noProof/>
        </w:rPr>
        <w:fldChar w:fldCharType="separate"/>
      </w:r>
      <w:r w:rsidR="00857D8F">
        <w:rPr>
          <w:noProof/>
        </w:rPr>
        <w:t>94</w:t>
      </w:r>
      <w:r>
        <w:rPr>
          <w:noProof/>
        </w:rPr>
        <w:fldChar w:fldCharType="end"/>
      </w:r>
    </w:p>
    <w:p w14:paraId="7001CCCD"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4.20O  CDR receipts</w:t>
      </w:r>
      <w:r>
        <w:rPr>
          <w:noProof/>
        </w:rPr>
        <w:tab/>
      </w:r>
      <w:r>
        <w:rPr>
          <w:noProof/>
        </w:rPr>
        <w:fldChar w:fldCharType="begin"/>
      </w:r>
      <w:r>
        <w:rPr>
          <w:noProof/>
        </w:rPr>
        <w:instrText xml:space="preserve"> PAGEREF _Toc111132096 \h </w:instrText>
      </w:r>
      <w:r>
        <w:rPr>
          <w:noProof/>
        </w:rPr>
      </w:r>
      <w:r>
        <w:rPr>
          <w:noProof/>
        </w:rPr>
        <w:fldChar w:fldCharType="separate"/>
      </w:r>
      <w:r w:rsidR="00857D8F">
        <w:rPr>
          <w:noProof/>
        </w:rPr>
        <w:t>94</w:t>
      </w:r>
      <w:r>
        <w:rPr>
          <w:noProof/>
        </w:rPr>
        <w:fldChar w:fldCharType="end"/>
      </w:r>
    </w:p>
    <w:p w14:paraId="101AD713"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4.20P  Notification</w:t>
      </w:r>
      <w:r>
        <w:rPr>
          <w:noProof/>
        </w:rPr>
        <w:t xml:space="preserve"> </w:t>
      </w:r>
      <w:r w:rsidRPr="00F95A48">
        <w:rPr>
          <w:noProof/>
          <w:color w:val="0000FF"/>
        </w:rPr>
        <w:t>of data holder or accredited data recipient if collection consent expires</w:t>
      </w:r>
      <w:r>
        <w:rPr>
          <w:noProof/>
        </w:rPr>
        <w:tab/>
      </w:r>
      <w:r>
        <w:rPr>
          <w:noProof/>
        </w:rPr>
        <w:fldChar w:fldCharType="begin"/>
      </w:r>
      <w:r>
        <w:rPr>
          <w:noProof/>
        </w:rPr>
        <w:instrText xml:space="preserve"> PAGEREF _Toc111132097 \h </w:instrText>
      </w:r>
      <w:r>
        <w:rPr>
          <w:noProof/>
        </w:rPr>
      </w:r>
      <w:r>
        <w:rPr>
          <w:noProof/>
        </w:rPr>
        <w:fldChar w:fldCharType="separate"/>
      </w:r>
      <w:r w:rsidR="00857D8F">
        <w:rPr>
          <w:noProof/>
        </w:rPr>
        <w:t>95</w:t>
      </w:r>
      <w:r>
        <w:rPr>
          <w:noProof/>
        </w:rPr>
        <w:fldChar w:fldCharType="end"/>
      </w:r>
    </w:p>
    <w:p w14:paraId="70B9BE74"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4.20Q  Notification of consumer if collection consent expires</w:t>
      </w:r>
      <w:r>
        <w:rPr>
          <w:noProof/>
        </w:rPr>
        <w:tab/>
      </w:r>
      <w:r>
        <w:rPr>
          <w:noProof/>
        </w:rPr>
        <w:fldChar w:fldCharType="begin"/>
      </w:r>
      <w:r>
        <w:rPr>
          <w:noProof/>
        </w:rPr>
        <w:instrText xml:space="preserve"> PAGEREF _Toc111132098 \h </w:instrText>
      </w:r>
      <w:r>
        <w:rPr>
          <w:noProof/>
        </w:rPr>
      </w:r>
      <w:r>
        <w:rPr>
          <w:noProof/>
        </w:rPr>
        <w:fldChar w:fldCharType="separate"/>
      </w:r>
      <w:r w:rsidR="00857D8F">
        <w:rPr>
          <w:noProof/>
        </w:rPr>
        <w:t>96</w:t>
      </w:r>
      <w:r>
        <w:rPr>
          <w:noProof/>
        </w:rPr>
        <w:fldChar w:fldCharType="end"/>
      </w:r>
    </w:p>
    <w:p w14:paraId="20CC5E14"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4.20R  Notification if collection consent or AP disclosure consent expires</w:t>
      </w:r>
      <w:r>
        <w:rPr>
          <w:noProof/>
        </w:rPr>
        <w:tab/>
      </w:r>
      <w:r>
        <w:rPr>
          <w:noProof/>
        </w:rPr>
        <w:fldChar w:fldCharType="begin"/>
      </w:r>
      <w:r>
        <w:rPr>
          <w:noProof/>
        </w:rPr>
        <w:instrText xml:space="preserve"> PAGEREF _Toc111132099 \h </w:instrText>
      </w:r>
      <w:r>
        <w:rPr>
          <w:noProof/>
        </w:rPr>
      </w:r>
      <w:r>
        <w:rPr>
          <w:noProof/>
        </w:rPr>
        <w:fldChar w:fldCharType="separate"/>
      </w:r>
      <w:r w:rsidR="00857D8F">
        <w:rPr>
          <w:noProof/>
        </w:rPr>
        <w:t>96</w:t>
      </w:r>
      <w:r>
        <w:rPr>
          <w:noProof/>
        </w:rPr>
        <w:fldChar w:fldCharType="end"/>
      </w:r>
    </w:p>
    <w:p w14:paraId="5B41FB82"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4.20S  Notification if collection consent is amended</w:t>
      </w:r>
      <w:r>
        <w:rPr>
          <w:noProof/>
        </w:rPr>
        <w:tab/>
      </w:r>
      <w:r>
        <w:rPr>
          <w:noProof/>
        </w:rPr>
        <w:fldChar w:fldCharType="begin"/>
      </w:r>
      <w:r>
        <w:rPr>
          <w:noProof/>
        </w:rPr>
        <w:instrText xml:space="preserve"> PAGEREF _Toc111132100 \h </w:instrText>
      </w:r>
      <w:r>
        <w:rPr>
          <w:noProof/>
        </w:rPr>
      </w:r>
      <w:r>
        <w:rPr>
          <w:noProof/>
        </w:rPr>
        <w:fldChar w:fldCharType="separate"/>
      </w:r>
      <w:r w:rsidR="00857D8F">
        <w:rPr>
          <w:noProof/>
        </w:rPr>
        <w:t>97</w:t>
      </w:r>
      <w:r>
        <w:rPr>
          <w:noProof/>
        </w:rPr>
        <w:fldChar w:fldCharType="end"/>
      </w:r>
    </w:p>
    <w:p w14:paraId="0D5A86B1"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4.20T  Updating consumer dashboard</w:t>
      </w:r>
      <w:r>
        <w:rPr>
          <w:noProof/>
        </w:rPr>
        <w:tab/>
      </w:r>
      <w:r>
        <w:rPr>
          <w:noProof/>
        </w:rPr>
        <w:fldChar w:fldCharType="begin"/>
      </w:r>
      <w:r>
        <w:rPr>
          <w:noProof/>
        </w:rPr>
        <w:instrText xml:space="preserve"> PAGEREF _Toc111132101 \h </w:instrText>
      </w:r>
      <w:r>
        <w:rPr>
          <w:noProof/>
        </w:rPr>
      </w:r>
      <w:r>
        <w:rPr>
          <w:noProof/>
        </w:rPr>
        <w:fldChar w:fldCharType="separate"/>
      </w:r>
      <w:r w:rsidR="00857D8F">
        <w:rPr>
          <w:noProof/>
        </w:rPr>
        <w:t>97</w:t>
      </w:r>
      <w:r>
        <w:rPr>
          <w:noProof/>
        </w:rPr>
        <w:fldChar w:fldCharType="end"/>
      </w:r>
    </w:p>
    <w:p w14:paraId="64EDED52"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4.20U  Ongoing notification requirement—collection consents and use consents</w:t>
      </w:r>
      <w:r>
        <w:rPr>
          <w:noProof/>
        </w:rPr>
        <w:tab/>
      </w:r>
      <w:r>
        <w:rPr>
          <w:noProof/>
        </w:rPr>
        <w:fldChar w:fldCharType="begin"/>
      </w:r>
      <w:r>
        <w:rPr>
          <w:noProof/>
        </w:rPr>
        <w:instrText xml:space="preserve"> PAGEREF _Toc111132102 \h </w:instrText>
      </w:r>
      <w:r>
        <w:rPr>
          <w:noProof/>
        </w:rPr>
      </w:r>
      <w:r>
        <w:rPr>
          <w:noProof/>
        </w:rPr>
        <w:fldChar w:fldCharType="separate"/>
      </w:r>
      <w:r w:rsidR="00857D8F">
        <w:rPr>
          <w:noProof/>
        </w:rPr>
        <w:t>97</w:t>
      </w:r>
      <w:r>
        <w:rPr>
          <w:noProof/>
        </w:rPr>
        <w:fldChar w:fldCharType="end"/>
      </w:r>
    </w:p>
    <w:p w14:paraId="16B64566" w14:textId="77777777" w:rsidR="00195095" w:rsidRDefault="00195095">
      <w:pPr>
        <w:pStyle w:val="TOC3"/>
        <w:rPr>
          <w:rFonts w:asciiTheme="minorHAnsi" w:eastAsiaTheme="minorEastAsia" w:hAnsiTheme="minorHAnsi" w:cstheme="minorBidi"/>
          <w:b w:val="0"/>
          <w:noProof/>
          <w:kern w:val="0"/>
          <w:szCs w:val="22"/>
        </w:rPr>
      </w:pPr>
      <w:r>
        <w:rPr>
          <w:noProof/>
        </w:rPr>
        <w:t>Division 4.4—Authorisations to disclose CDR data</w:t>
      </w:r>
      <w:r>
        <w:rPr>
          <w:noProof/>
        </w:rPr>
        <w:tab/>
      </w:r>
      <w:r>
        <w:rPr>
          <w:noProof/>
        </w:rPr>
        <w:fldChar w:fldCharType="begin"/>
      </w:r>
      <w:r>
        <w:rPr>
          <w:noProof/>
        </w:rPr>
        <w:instrText xml:space="preserve"> PAGEREF _Toc111132103 \h </w:instrText>
      </w:r>
      <w:r>
        <w:rPr>
          <w:noProof/>
        </w:rPr>
      </w:r>
      <w:r>
        <w:rPr>
          <w:noProof/>
        </w:rPr>
        <w:fldChar w:fldCharType="separate"/>
      </w:r>
      <w:r w:rsidR="00857D8F">
        <w:rPr>
          <w:noProof/>
        </w:rPr>
        <w:t>98</w:t>
      </w:r>
      <w:r>
        <w:rPr>
          <w:noProof/>
        </w:rPr>
        <w:fldChar w:fldCharType="end"/>
      </w:r>
    </w:p>
    <w:p w14:paraId="69910F07" w14:textId="77777777" w:rsidR="00195095" w:rsidRDefault="00195095">
      <w:pPr>
        <w:pStyle w:val="TOC5"/>
        <w:rPr>
          <w:rFonts w:asciiTheme="minorHAnsi" w:eastAsiaTheme="minorEastAsia" w:hAnsiTheme="minorHAnsi" w:cstheme="minorBidi"/>
          <w:noProof/>
          <w:kern w:val="0"/>
          <w:sz w:val="22"/>
          <w:szCs w:val="22"/>
        </w:rPr>
      </w:pPr>
      <w:r>
        <w:rPr>
          <w:noProof/>
        </w:rPr>
        <w:t>4.21  Purpose of Division</w:t>
      </w:r>
      <w:r>
        <w:rPr>
          <w:noProof/>
        </w:rPr>
        <w:tab/>
      </w:r>
      <w:r>
        <w:rPr>
          <w:noProof/>
        </w:rPr>
        <w:fldChar w:fldCharType="begin"/>
      </w:r>
      <w:r>
        <w:rPr>
          <w:noProof/>
        </w:rPr>
        <w:instrText xml:space="preserve"> PAGEREF _Toc111132104 \h </w:instrText>
      </w:r>
      <w:r>
        <w:rPr>
          <w:noProof/>
        </w:rPr>
      </w:r>
      <w:r>
        <w:rPr>
          <w:noProof/>
        </w:rPr>
        <w:fldChar w:fldCharType="separate"/>
      </w:r>
      <w:r w:rsidR="00857D8F">
        <w:rPr>
          <w:noProof/>
        </w:rPr>
        <w:t>98</w:t>
      </w:r>
      <w:r>
        <w:rPr>
          <w:noProof/>
        </w:rPr>
        <w:fldChar w:fldCharType="end"/>
      </w:r>
    </w:p>
    <w:p w14:paraId="7CFA697D" w14:textId="77777777" w:rsidR="00195095" w:rsidRDefault="00195095">
      <w:pPr>
        <w:pStyle w:val="TOC5"/>
        <w:rPr>
          <w:rFonts w:asciiTheme="minorHAnsi" w:eastAsiaTheme="minorEastAsia" w:hAnsiTheme="minorHAnsi" w:cstheme="minorBidi"/>
          <w:noProof/>
          <w:kern w:val="0"/>
          <w:sz w:val="22"/>
          <w:szCs w:val="22"/>
        </w:rPr>
      </w:pPr>
      <w:r>
        <w:rPr>
          <w:noProof/>
        </w:rPr>
        <w:t>4.22  Requirements relating to data holder’s processes for seeking authorisation</w:t>
      </w:r>
      <w:r>
        <w:rPr>
          <w:noProof/>
        </w:rPr>
        <w:tab/>
      </w:r>
      <w:r>
        <w:rPr>
          <w:noProof/>
        </w:rPr>
        <w:fldChar w:fldCharType="begin"/>
      </w:r>
      <w:r>
        <w:rPr>
          <w:noProof/>
        </w:rPr>
        <w:instrText xml:space="preserve"> PAGEREF _Toc111132105 \h </w:instrText>
      </w:r>
      <w:r>
        <w:rPr>
          <w:noProof/>
        </w:rPr>
      </w:r>
      <w:r>
        <w:rPr>
          <w:noProof/>
        </w:rPr>
        <w:fldChar w:fldCharType="separate"/>
      </w:r>
      <w:r w:rsidR="00857D8F">
        <w:rPr>
          <w:noProof/>
        </w:rPr>
        <w:t>98</w:t>
      </w:r>
      <w:r>
        <w:rPr>
          <w:noProof/>
        </w:rPr>
        <w:fldChar w:fldCharType="end"/>
      </w:r>
    </w:p>
    <w:p w14:paraId="2DADDA78" w14:textId="77777777" w:rsidR="00195095" w:rsidRDefault="00195095">
      <w:pPr>
        <w:pStyle w:val="TOC5"/>
        <w:rPr>
          <w:rFonts w:asciiTheme="minorHAnsi" w:eastAsiaTheme="minorEastAsia" w:hAnsiTheme="minorHAnsi" w:cstheme="minorBidi"/>
          <w:noProof/>
          <w:kern w:val="0"/>
          <w:sz w:val="22"/>
          <w:szCs w:val="22"/>
        </w:rPr>
      </w:pPr>
      <w:r>
        <w:rPr>
          <w:noProof/>
        </w:rPr>
        <w:t>4.22A  Inviting CDR consumer to amend a current authorisation</w:t>
      </w:r>
      <w:r>
        <w:rPr>
          <w:noProof/>
        </w:rPr>
        <w:tab/>
      </w:r>
      <w:r>
        <w:rPr>
          <w:noProof/>
        </w:rPr>
        <w:fldChar w:fldCharType="begin"/>
      </w:r>
      <w:r>
        <w:rPr>
          <w:noProof/>
        </w:rPr>
        <w:instrText xml:space="preserve"> PAGEREF _Toc111132106 \h </w:instrText>
      </w:r>
      <w:r>
        <w:rPr>
          <w:noProof/>
        </w:rPr>
      </w:r>
      <w:r>
        <w:rPr>
          <w:noProof/>
        </w:rPr>
        <w:fldChar w:fldCharType="separate"/>
      </w:r>
      <w:r w:rsidR="00857D8F">
        <w:rPr>
          <w:noProof/>
        </w:rPr>
        <w:t>98</w:t>
      </w:r>
      <w:r>
        <w:rPr>
          <w:noProof/>
        </w:rPr>
        <w:fldChar w:fldCharType="end"/>
      </w:r>
    </w:p>
    <w:p w14:paraId="01A30364" w14:textId="77777777" w:rsidR="00195095" w:rsidRDefault="00195095">
      <w:pPr>
        <w:pStyle w:val="TOC5"/>
        <w:rPr>
          <w:rFonts w:asciiTheme="minorHAnsi" w:eastAsiaTheme="minorEastAsia" w:hAnsiTheme="minorHAnsi" w:cstheme="minorBidi"/>
          <w:noProof/>
          <w:kern w:val="0"/>
          <w:sz w:val="22"/>
          <w:szCs w:val="22"/>
        </w:rPr>
      </w:pPr>
      <w:r>
        <w:rPr>
          <w:noProof/>
        </w:rPr>
        <w:t>4.23  Asking CDR consumer to give authorisation to disclose CDR data or inviting CDR consumer to amend a current authorisation</w:t>
      </w:r>
      <w:r>
        <w:rPr>
          <w:noProof/>
        </w:rPr>
        <w:tab/>
      </w:r>
      <w:r>
        <w:rPr>
          <w:noProof/>
        </w:rPr>
        <w:fldChar w:fldCharType="begin"/>
      </w:r>
      <w:r>
        <w:rPr>
          <w:noProof/>
        </w:rPr>
        <w:instrText xml:space="preserve"> PAGEREF _Toc111132107 \h </w:instrText>
      </w:r>
      <w:r>
        <w:rPr>
          <w:noProof/>
        </w:rPr>
      </w:r>
      <w:r>
        <w:rPr>
          <w:noProof/>
        </w:rPr>
        <w:fldChar w:fldCharType="separate"/>
      </w:r>
      <w:r w:rsidR="00857D8F">
        <w:rPr>
          <w:noProof/>
        </w:rPr>
        <w:t>98</w:t>
      </w:r>
      <w:r>
        <w:rPr>
          <w:noProof/>
        </w:rPr>
        <w:fldChar w:fldCharType="end"/>
      </w:r>
    </w:p>
    <w:p w14:paraId="65C5C5FA" w14:textId="77777777" w:rsidR="00195095" w:rsidRDefault="00195095">
      <w:pPr>
        <w:pStyle w:val="TOC5"/>
        <w:rPr>
          <w:rFonts w:asciiTheme="minorHAnsi" w:eastAsiaTheme="minorEastAsia" w:hAnsiTheme="minorHAnsi" w:cstheme="minorBidi"/>
          <w:noProof/>
          <w:kern w:val="0"/>
          <w:sz w:val="22"/>
          <w:szCs w:val="22"/>
        </w:rPr>
      </w:pPr>
      <w:r>
        <w:rPr>
          <w:noProof/>
        </w:rPr>
        <w:t>4.24  Restrictions when asking CDR consumer to authorise disclosure of CDR data</w:t>
      </w:r>
      <w:r>
        <w:rPr>
          <w:noProof/>
        </w:rPr>
        <w:tab/>
      </w:r>
      <w:r>
        <w:rPr>
          <w:noProof/>
        </w:rPr>
        <w:fldChar w:fldCharType="begin"/>
      </w:r>
      <w:r>
        <w:rPr>
          <w:noProof/>
        </w:rPr>
        <w:instrText xml:space="preserve"> PAGEREF _Toc111132108 \h </w:instrText>
      </w:r>
      <w:r>
        <w:rPr>
          <w:noProof/>
        </w:rPr>
      </w:r>
      <w:r>
        <w:rPr>
          <w:noProof/>
        </w:rPr>
        <w:fldChar w:fldCharType="separate"/>
      </w:r>
      <w:r w:rsidR="00857D8F">
        <w:rPr>
          <w:noProof/>
        </w:rPr>
        <w:t>99</w:t>
      </w:r>
      <w:r>
        <w:rPr>
          <w:noProof/>
        </w:rPr>
        <w:fldChar w:fldCharType="end"/>
      </w:r>
    </w:p>
    <w:p w14:paraId="6F48FFEE" w14:textId="77777777" w:rsidR="00195095" w:rsidRDefault="00195095">
      <w:pPr>
        <w:pStyle w:val="TOC5"/>
        <w:rPr>
          <w:rFonts w:asciiTheme="minorHAnsi" w:eastAsiaTheme="minorEastAsia" w:hAnsiTheme="minorHAnsi" w:cstheme="minorBidi"/>
          <w:noProof/>
          <w:kern w:val="0"/>
          <w:sz w:val="22"/>
          <w:szCs w:val="22"/>
        </w:rPr>
      </w:pPr>
      <w:r>
        <w:rPr>
          <w:noProof/>
        </w:rPr>
        <w:t>4.25  Withdrawal of authorisation to disclose CDR data</w:t>
      </w:r>
      <w:r w:rsidRPr="00F95A48">
        <w:rPr>
          <w:strike/>
          <w:noProof/>
          <w:color w:val="0000FF"/>
        </w:rPr>
        <w:t xml:space="preserve"> and notification</w:t>
      </w:r>
      <w:r>
        <w:rPr>
          <w:noProof/>
        </w:rPr>
        <w:tab/>
      </w:r>
      <w:r>
        <w:rPr>
          <w:noProof/>
        </w:rPr>
        <w:fldChar w:fldCharType="begin"/>
      </w:r>
      <w:r>
        <w:rPr>
          <w:noProof/>
        </w:rPr>
        <w:instrText xml:space="preserve"> PAGEREF _Toc111132109 \h </w:instrText>
      </w:r>
      <w:r>
        <w:rPr>
          <w:noProof/>
        </w:rPr>
      </w:r>
      <w:r>
        <w:rPr>
          <w:noProof/>
        </w:rPr>
        <w:fldChar w:fldCharType="separate"/>
      </w:r>
      <w:r w:rsidR="00857D8F">
        <w:rPr>
          <w:noProof/>
        </w:rPr>
        <w:t>99</w:t>
      </w:r>
      <w:r>
        <w:rPr>
          <w:noProof/>
        </w:rPr>
        <w:fldChar w:fldCharType="end"/>
      </w:r>
    </w:p>
    <w:p w14:paraId="5E8F3948" w14:textId="77777777" w:rsidR="00195095" w:rsidRDefault="00195095">
      <w:pPr>
        <w:pStyle w:val="TOC5"/>
        <w:rPr>
          <w:rFonts w:asciiTheme="minorHAnsi" w:eastAsiaTheme="minorEastAsia" w:hAnsiTheme="minorHAnsi" w:cstheme="minorBidi"/>
          <w:noProof/>
          <w:kern w:val="0"/>
          <w:sz w:val="22"/>
          <w:szCs w:val="22"/>
        </w:rPr>
      </w:pPr>
      <w:r>
        <w:rPr>
          <w:noProof/>
        </w:rPr>
        <w:t>4.26  Duration of authorisation to disclose CDR data</w:t>
      </w:r>
      <w:r>
        <w:rPr>
          <w:noProof/>
        </w:rPr>
        <w:tab/>
      </w:r>
      <w:r>
        <w:rPr>
          <w:noProof/>
        </w:rPr>
        <w:fldChar w:fldCharType="begin"/>
      </w:r>
      <w:r>
        <w:rPr>
          <w:noProof/>
        </w:rPr>
        <w:instrText xml:space="preserve"> PAGEREF _Toc111132110 \h </w:instrText>
      </w:r>
      <w:r>
        <w:rPr>
          <w:noProof/>
        </w:rPr>
      </w:r>
      <w:r>
        <w:rPr>
          <w:noProof/>
        </w:rPr>
        <w:fldChar w:fldCharType="separate"/>
      </w:r>
      <w:r w:rsidR="00857D8F">
        <w:rPr>
          <w:noProof/>
        </w:rPr>
        <w:t>100</w:t>
      </w:r>
      <w:r>
        <w:rPr>
          <w:noProof/>
        </w:rPr>
        <w:fldChar w:fldCharType="end"/>
      </w:r>
    </w:p>
    <w:p w14:paraId="379567AF"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4.26A  Notifications of expired authorisations</w:t>
      </w:r>
      <w:r>
        <w:rPr>
          <w:noProof/>
        </w:rPr>
        <w:tab/>
      </w:r>
      <w:r>
        <w:rPr>
          <w:noProof/>
        </w:rPr>
        <w:fldChar w:fldCharType="begin"/>
      </w:r>
      <w:r>
        <w:rPr>
          <w:noProof/>
        </w:rPr>
        <w:instrText xml:space="preserve"> PAGEREF _Toc111132111 \h </w:instrText>
      </w:r>
      <w:r>
        <w:rPr>
          <w:noProof/>
        </w:rPr>
      </w:r>
      <w:r>
        <w:rPr>
          <w:noProof/>
        </w:rPr>
        <w:fldChar w:fldCharType="separate"/>
      </w:r>
      <w:r w:rsidR="00857D8F">
        <w:rPr>
          <w:noProof/>
        </w:rPr>
        <w:t>100</w:t>
      </w:r>
      <w:r>
        <w:rPr>
          <w:noProof/>
        </w:rPr>
        <w:fldChar w:fldCharType="end"/>
      </w:r>
    </w:p>
    <w:p w14:paraId="79B766F5" w14:textId="77777777" w:rsidR="00195095" w:rsidRDefault="00195095">
      <w:pPr>
        <w:pStyle w:val="TOC5"/>
        <w:rPr>
          <w:rFonts w:asciiTheme="minorHAnsi" w:eastAsiaTheme="minorEastAsia" w:hAnsiTheme="minorHAnsi" w:cstheme="minorBidi"/>
          <w:noProof/>
          <w:kern w:val="0"/>
          <w:sz w:val="22"/>
          <w:szCs w:val="22"/>
        </w:rPr>
      </w:pPr>
      <w:r>
        <w:rPr>
          <w:noProof/>
        </w:rPr>
        <w:t>4.27  Updating consumer dashboard</w:t>
      </w:r>
      <w:r>
        <w:rPr>
          <w:noProof/>
        </w:rPr>
        <w:tab/>
      </w:r>
      <w:r>
        <w:rPr>
          <w:noProof/>
        </w:rPr>
        <w:fldChar w:fldCharType="begin"/>
      </w:r>
      <w:r>
        <w:rPr>
          <w:noProof/>
        </w:rPr>
        <w:instrText xml:space="preserve"> PAGEREF _Toc111132112 \h </w:instrText>
      </w:r>
      <w:r>
        <w:rPr>
          <w:noProof/>
        </w:rPr>
      </w:r>
      <w:r>
        <w:rPr>
          <w:noProof/>
        </w:rPr>
        <w:fldChar w:fldCharType="separate"/>
      </w:r>
      <w:r w:rsidR="00857D8F">
        <w:rPr>
          <w:noProof/>
        </w:rPr>
        <w:t>101</w:t>
      </w:r>
      <w:r>
        <w:rPr>
          <w:noProof/>
        </w:rPr>
        <w:fldChar w:fldCharType="end"/>
      </w:r>
    </w:p>
    <w:p w14:paraId="0BF5C2AA" w14:textId="77777777" w:rsidR="00195095" w:rsidRDefault="00195095">
      <w:pPr>
        <w:pStyle w:val="TOC5"/>
        <w:rPr>
          <w:rFonts w:asciiTheme="minorHAnsi" w:eastAsiaTheme="minorEastAsia" w:hAnsiTheme="minorHAnsi" w:cstheme="minorBidi"/>
          <w:noProof/>
          <w:kern w:val="0"/>
          <w:sz w:val="22"/>
          <w:szCs w:val="22"/>
        </w:rPr>
      </w:pPr>
      <w:r>
        <w:rPr>
          <w:noProof/>
        </w:rPr>
        <w:t>4.28  Notification requirements for consumer data requests on behalf of secondary users</w:t>
      </w:r>
      <w:r>
        <w:rPr>
          <w:noProof/>
        </w:rPr>
        <w:tab/>
      </w:r>
      <w:r>
        <w:rPr>
          <w:noProof/>
        </w:rPr>
        <w:fldChar w:fldCharType="begin"/>
      </w:r>
      <w:r>
        <w:rPr>
          <w:noProof/>
        </w:rPr>
        <w:instrText xml:space="preserve"> PAGEREF _Toc111132113 \h </w:instrText>
      </w:r>
      <w:r>
        <w:rPr>
          <w:noProof/>
        </w:rPr>
      </w:r>
      <w:r>
        <w:rPr>
          <w:noProof/>
        </w:rPr>
        <w:fldChar w:fldCharType="separate"/>
      </w:r>
      <w:r w:rsidR="00857D8F">
        <w:rPr>
          <w:noProof/>
        </w:rPr>
        <w:t>101</w:t>
      </w:r>
      <w:r>
        <w:rPr>
          <w:noProof/>
        </w:rPr>
        <w:fldChar w:fldCharType="end"/>
      </w:r>
    </w:p>
    <w:p w14:paraId="6E399865" w14:textId="77777777" w:rsidR="00195095" w:rsidRDefault="00195095">
      <w:pPr>
        <w:pStyle w:val="TOC2"/>
        <w:rPr>
          <w:rFonts w:asciiTheme="minorHAnsi" w:eastAsiaTheme="minorEastAsia" w:hAnsiTheme="minorHAnsi" w:cstheme="minorBidi"/>
          <w:b w:val="0"/>
          <w:noProof/>
          <w:kern w:val="0"/>
          <w:sz w:val="22"/>
          <w:szCs w:val="22"/>
        </w:rPr>
      </w:pPr>
      <w:r>
        <w:rPr>
          <w:noProof/>
        </w:rPr>
        <w:t>Part 4A—Joint accounts</w:t>
      </w:r>
      <w:r>
        <w:rPr>
          <w:noProof/>
        </w:rPr>
        <w:tab/>
      </w:r>
      <w:r>
        <w:rPr>
          <w:noProof/>
        </w:rPr>
        <w:fldChar w:fldCharType="begin"/>
      </w:r>
      <w:r>
        <w:rPr>
          <w:noProof/>
        </w:rPr>
        <w:instrText xml:space="preserve"> PAGEREF _Toc111132114 \h </w:instrText>
      </w:r>
      <w:r>
        <w:rPr>
          <w:noProof/>
        </w:rPr>
      </w:r>
      <w:r>
        <w:rPr>
          <w:noProof/>
        </w:rPr>
        <w:fldChar w:fldCharType="separate"/>
      </w:r>
      <w:r w:rsidR="00857D8F">
        <w:rPr>
          <w:noProof/>
        </w:rPr>
        <w:t>101</w:t>
      </w:r>
      <w:r>
        <w:rPr>
          <w:noProof/>
        </w:rPr>
        <w:fldChar w:fldCharType="end"/>
      </w:r>
    </w:p>
    <w:p w14:paraId="32985414" w14:textId="77777777" w:rsidR="00195095" w:rsidRDefault="00195095">
      <w:pPr>
        <w:pStyle w:val="TOC3"/>
        <w:rPr>
          <w:rFonts w:asciiTheme="minorHAnsi" w:eastAsiaTheme="minorEastAsia" w:hAnsiTheme="minorHAnsi" w:cstheme="minorBidi"/>
          <w:b w:val="0"/>
          <w:noProof/>
          <w:kern w:val="0"/>
          <w:szCs w:val="22"/>
        </w:rPr>
      </w:pPr>
      <w:r>
        <w:rPr>
          <w:noProof/>
        </w:rPr>
        <w:t>Division  4A.1—Preliminary</w:t>
      </w:r>
      <w:r>
        <w:rPr>
          <w:noProof/>
        </w:rPr>
        <w:tab/>
      </w:r>
      <w:r>
        <w:rPr>
          <w:noProof/>
        </w:rPr>
        <w:fldChar w:fldCharType="begin"/>
      </w:r>
      <w:r>
        <w:rPr>
          <w:noProof/>
        </w:rPr>
        <w:instrText xml:space="preserve"> PAGEREF _Toc111132115 \h </w:instrText>
      </w:r>
      <w:r>
        <w:rPr>
          <w:noProof/>
        </w:rPr>
      </w:r>
      <w:r>
        <w:rPr>
          <w:noProof/>
        </w:rPr>
        <w:fldChar w:fldCharType="separate"/>
      </w:r>
      <w:r w:rsidR="00857D8F">
        <w:rPr>
          <w:noProof/>
        </w:rPr>
        <w:t>101</w:t>
      </w:r>
      <w:r>
        <w:rPr>
          <w:noProof/>
        </w:rPr>
        <w:fldChar w:fldCharType="end"/>
      </w:r>
    </w:p>
    <w:p w14:paraId="18DE40A2" w14:textId="77777777" w:rsidR="00195095" w:rsidRDefault="00195095">
      <w:pPr>
        <w:pStyle w:val="TOC5"/>
        <w:rPr>
          <w:rFonts w:asciiTheme="minorHAnsi" w:eastAsiaTheme="minorEastAsia" w:hAnsiTheme="minorHAnsi" w:cstheme="minorBidi"/>
          <w:noProof/>
          <w:kern w:val="0"/>
          <w:sz w:val="22"/>
          <w:szCs w:val="22"/>
        </w:rPr>
      </w:pPr>
      <w:r>
        <w:rPr>
          <w:noProof/>
        </w:rPr>
        <w:t>4A.1  Purpose of Part</w:t>
      </w:r>
      <w:r>
        <w:rPr>
          <w:noProof/>
        </w:rPr>
        <w:tab/>
      </w:r>
      <w:r>
        <w:rPr>
          <w:noProof/>
        </w:rPr>
        <w:fldChar w:fldCharType="begin"/>
      </w:r>
      <w:r>
        <w:rPr>
          <w:noProof/>
        </w:rPr>
        <w:instrText xml:space="preserve"> PAGEREF _Toc111132116 \h </w:instrText>
      </w:r>
      <w:r>
        <w:rPr>
          <w:noProof/>
        </w:rPr>
      </w:r>
      <w:r>
        <w:rPr>
          <w:noProof/>
        </w:rPr>
        <w:fldChar w:fldCharType="separate"/>
      </w:r>
      <w:r w:rsidR="00857D8F">
        <w:rPr>
          <w:noProof/>
        </w:rPr>
        <w:t>101</w:t>
      </w:r>
      <w:r>
        <w:rPr>
          <w:noProof/>
        </w:rPr>
        <w:fldChar w:fldCharType="end"/>
      </w:r>
    </w:p>
    <w:p w14:paraId="216257A0"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4A.2  Simplified outline of this Part</w:t>
      </w:r>
      <w:r>
        <w:rPr>
          <w:noProof/>
        </w:rPr>
        <w:tab/>
      </w:r>
      <w:r>
        <w:rPr>
          <w:noProof/>
        </w:rPr>
        <w:fldChar w:fldCharType="begin"/>
      </w:r>
      <w:r>
        <w:rPr>
          <w:noProof/>
        </w:rPr>
        <w:instrText xml:space="preserve"> PAGEREF _Toc111132117 \h </w:instrText>
      </w:r>
      <w:r>
        <w:rPr>
          <w:noProof/>
        </w:rPr>
      </w:r>
      <w:r>
        <w:rPr>
          <w:noProof/>
        </w:rPr>
        <w:fldChar w:fldCharType="separate"/>
      </w:r>
      <w:r w:rsidR="00857D8F">
        <w:rPr>
          <w:noProof/>
        </w:rPr>
        <w:t>101</w:t>
      </w:r>
      <w:r>
        <w:rPr>
          <w:noProof/>
        </w:rPr>
        <w:fldChar w:fldCharType="end"/>
      </w:r>
    </w:p>
    <w:p w14:paraId="54C8679F"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4A.3  Interpretation</w:t>
      </w:r>
      <w:r>
        <w:rPr>
          <w:noProof/>
        </w:rPr>
        <w:tab/>
      </w:r>
      <w:r>
        <w:rPr>
          <w:noProof/>
        </w:rPr>
        <w:fldChar w:fldCharType="begin"/>
      </w:r>
      <w:r>
        <w:rPr>
          <w:noProof/>
        </w:rPr>
        <w:instrText xml:space="preserve"> PAGEREF _Toc111132118 \h </w:instrText>
      </w:r>
      <w:r>
        <w:rPr>
          <w:noProof/>
        </w:rPr>
      </w:r>
      <w:r>
        <w:rPr>
          <w:noProof/>
        </w:rPr>
        <w:fldChar w:fldCharType="separate"/>
      </w:r>
      <w:r w:rsidR="00857D8F">
        <w:rPr>
          <w:noProof/>
        </w:rPr>
        <w:t>102</w:t>
      </w:r>
      <w:r>
        <w:rPr>
          <w:noProof/>
        </w:rPr>
        <w:fldChar w:fldCharType="end"/>
      </w:r>
    </w:p>
    <w:p w14:paraId="273C1814" w14:textId="77777777" w:rsidR="00195095" w:rsidRDefault="00195095">
      <w:pPr>
        <w:pStyle w:val="TOC3"/>
        <w:rPr>
          <w:rFonts w:asciiTheme="minorHAnsi" w:eastAsiaTheme="minorEastAsia" w:hAnsiTheme="minorHAnsi" w:cstheme="minorBidi"/>
          <w:b w:val="0"/>
          <w:noProof/>
          <w:kern w:val="0"/>
          <w:szCs w:val="22"/>
        </w:rPr>
      </w:pPr>
      <w:r w:rsidRPr="00F95A48">
        <w:rPr>
          <w:noProof/>
          <w:lang w:val="en-US"/>
        </w:rPr>
        <w:t>Division 4A.2—Disclosure options</w:t>
      </w:r>
      <w:r>
        <w:rPr>
          <w:noProof/>
        </w:rPr>
        <w:tab/>
      </w:r>
      <w:r>
        <w:rPr>
          <w:noProof/>
        </w:rPr>
        <w:fldChar w:fldCharType="begin"/>
      </w:r>
      <w:r>
        <w:rPr>
          <w:noProof/>
        </w:rPr>
        <w:instrText xml:space="preserve"> PAGEREF _Toc111132119 \h </w:instrText>
      </w:r>
      <w:r>
        <w:rPr>
          <w:noProof/>
        </w:rPr>
      </w:r>
      <w:r>
        <w:rPr>
          <w:noProof/>
        </w:rPr>
        <w:fldChar w:fldCharType="separate"/>
      </w:r>
      <w:r w:rsidR="00857D8F">
        <w:rPr>
          <w:noProof/>
        </w:rPr>
        <w:t>103</w:t>
      </w:r>
      <w:r>
        <w:rPr>
          <w:noProof/>
        </w:rPr>
        <w:fldChar w:fldCharType="end"/>
      </w:r>
    </w:p>
    <w:p w14:paraId="47747E86"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4A.4  Simplified outline of this Division</w:t>
      </w:r>
      <w:r>
        <w:rPr>
          <w:noProof/>
        </w:rPr>
        <w:tab/>
      </w:r>
      <w:r>
        <w:rPr>
          <w:noProof/>
        </w:rPr>
        <w:fldChar w:fldCharType="begin"/>
      </w:r>
      <w:r>
        <w:rPr>
          <w:noProof/>
        </w:rPr>
        <w:instrText xml:space="preserve"> PAGEREF _Toc111132120 \h </w:instrText>
      </w:r>
      <w:r>
        <w:rPr>
          <w:noProof/>
        </w:rPr>
      </w:r>
      <w:r>
        <w:rPr>
          <w:noProof/>
        </w:rPr>
        <w:fldChar w:fldCharType="separate"/>
      </w:r>
      <w:r w:rsidR="00857D8F">
        <w:rPr>
          <w:noProof/>
        </w:rPr>
        <w:t>103</w:t>
      </w:r>
      <w:r>
        <w:rPr>
          <w:noProof/>
        </w:rPr>
        <w:fldChar w:fldCharType="end"/>
      </w:r>
    </w:p>
    <w:p w14:paraId="5B26AA8D"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4A.5  Disclosure options for joint accounts</w:t>
      </w:r>
      <w:r>
        <w:rPr>
          <w:noProof/>
        </w:rPr>
        <w:tab/>
      </w:r>
      <w:r>
        <w:rPr>
          <w:noProof/>
        </w:rPr>
        <w:fldChar w:fldCharType="begin"/>
      </w:r>
      <w:r>
        <w:rPr>
          <w:noProof/>
        </w:rPr>
        <w:instrText xml:space="preserve"> PAGEREF _Toc111132121 \h </w:instrText>
      </w:r>
      <w:r>
        <w:rPr>
          <w:noProof/>
        </w:rPr>
      </w:r>
      <w:r>
        <w:rPr>
          <w:noProof/>
        </w:rPr>
        <w:fldChar w:fldCharType="separate"/>
      </w:r>
      <w:r w:rsidR="00857D8F">
        <w:rPr>
          <w:noProof/>
        </w:rPr>
        <w:t>103</w:t>
      </w:r>
      <w:r>
        <w:rPr>
          <w:noProof/>
        </w:rPr>
        <w:fldChar w:fldCharType="end"/>
      </w:r>
    </w:p>
    <w:p w14:paraId="7569D530"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4A.6  Obligation to provide disclosure option management service</w:t>
      </w:r>
      <w:r>
        <w:rPr>
          <w:noProof/>
        </w:rPr>
        <w:tab/>
      </w:r>
      <w:r>
        <w:rPr>
          <w:noProof/>
        </w:rPr>
        <w:fldChar w:fldCharType="begin"/>
      </w:r>
      <w:r>
        <w:rPr>
          <w:noProof/>
        </w:rPr>
        <w:instrText xml:space="preserve"> PAGEREF _Toc111132122 \h </w:instrText>
      </w:r>
      <w:r>
        <w:rPr>
          <w:noProof/>
        </w:rPr>
      </w:r>
      <w:r>
        <w:rPr>
          <w:noProof/>
        </w:rPr>
        <w:fldChar w:fldCharType="separate"/>
      </w:r>
      <w:r w:rsidR="00857D8F">
        <w:rPr>
          <w:noProof/>
        </w:rPr>
        <w:t>104</w:t>
      </w:r>
      <w:r>
        <w:rPr>
          <w:noProof/>
        </w:rPr>
        <w:fldChar w:fldCharType="end"/>
      </w:r>
    </w:p>
    <w:p w14:paraId="782476D7"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 xml:space="preserve">4A.7 </w:t>
      </w:r>
      <w:r>
        <w:rPr>
          <w:noProof/>
        </w:rPr>
        <w:t xml:space="preserve"> Changing to a more restrictive disclosure option</w:t>
      </w:r>
      <w:r>
        <w:rPr>
          <w:noProof/>
        </w:rPr>
        <w:tab/>
      </w:r>
      <w:r>
        <w:rPr>
          <w:noProof/>
        </w:rPr>
        <w:fldChar w:fldCharType="begin"/>
      </w:r>
      <w:r>
        <w:rPr>
          <w:noProof/>
        </w:rPr>
        <w:instrText xml:space="preserve"> PAGEREF _Toc111132123 \h </w:instrText>
      </w:r>
      <w:r>
        <w:rPr>
          <w:noProof/>
        </w:rPr>
      </w:r>
      <w:r>
        <w:rPr>
          <w:noProof/>
        </w:rPr>
        <w:fldChar w:fldCharType="separate"/>
      </w:r>
      <w:r w:rsidR="00857D8F">
        <w:rPr>
          <w:noProof/>
        </w:rPr>
        <w:t>105</w:t>
      </w:r>
      <w:r>
        <w:rPr>
          <w:noProof/>
        </w:rPr>
        <w:fldChar w:fldCharType="end"/>
      </w:r>
    </w:p>
    <w:p w14:paraId="29EFFF3B"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 xml:space="preserve">4A.8 </w:t>
      </w:r>
      <w:r>
        <w:rPr>
          <w:noProof/>
        </w:rPr>
        <w:t xml:space="preserve"> Obtaining agreement on change to a less restrictive disclosure option</w:t>
      </w:r>
      <w:r>
        <w:rPr>
          <w:noProof/>
        </w:rPr>
        <w:tab/>
      </w:r>
      <w:r>
        <w:rPr>
          <w:noProof/>
        </w:rPr>
        <w:fldChar w:fldCharType="begin"/>
      </w:r>
      <w:r>
        <w:rPr>
          <w:noProof/>
        </w:rPr>
        <w:instrText xml:space="preserve"> PAGEREF _Toc111132124 \h </w:instrText>
      </w:r>
      <w:r>
        <w:rPr>
          <w:noProof/>
        </w:rPr>
      </w:r>
      <w:r>
        <w:rPr>
          <w:noProof/>
        </w:rPr>
        <w:fldChar w:fldCharType="separate"/>
      </w:r>
      <w:r w:rsidR="00857D8F">
        <w:rPr>
          <w:noProof/>
        </w:rPr>
        <w:t>105</w:t>
      </w:r>
      <w:r>
        <w:rPr>
          <w:noProof/>
        </w:rPr>
        <w:fldChar w:fldCharType="end"/>
      </w:r>
    </w:p>
    <w:p w14:paraId="771F4E46" w14:textId="77777777" w:rsidR="00195095" w:rsidRDefault="00195095">
      <w:pPr>
        <w:pStyle w:val="TOC3"/>
        <w:rPr>
          <w:rFonts w:asciiTheme="minorHAnsi" w:eastAsiaTheme="minorEastAsia" w:hAnsiTheme="minorHAnsi" w:cstheme="minorBidi"/>
          <w:b w:val="0"/>
          <w:noProof/>
          <w:kern w:val="0"/>
          <w:szCs w:val="22"/>
        </w:rPr>
      </w:pPr>
      <w:r>
        <w:rPr>
          <w:noProof/>
        </w:rPr>
        <w:t>Division 4A.3—Consumer data requests that relate to joint accounts</w:t>
      </w:r>
      <w:r>
        <w:rPr>
          <w:noProof/>
        </w:rPr>
        <w:tab/>
      </w:r>
      <w:r>
        <w:rPr>
          <w:noProof/>
        </w:rPr>
        <w:fldChar w:fldCharType="begin"/>
      </w:r>
      <w:r>
        <w:rPr>
          <w:noProof/>
        </w:rPr>
        <w:instrText xml:space="preserve"> PAGEREF _Toc111132125 \h </w:instrText>
      </w:r>
      <w:r>
        <w:rPr>
          <w:noProof/>
        </w:rPr>
      </w:r>
      <w:r>
        <w:rPr>
          <w:noProof/>
        </w:rPr>
        <w:fldChar w:fldCharType="separate"/>
      </w:r>
      <w:r w:rsidR="00857D8F">
        <w:rPr>
          <w:noProof/>
        </w:rPr>
        <w:t>106</w:t>
      </w:r>
      <w:r>
        <w:rPr>
          <w:noProof/>
        </w:rPr>
        <w:fldChar w:fldCharType="end"/>
      </w:r>
    </w:p>
    <w:p w14:paraId="070ADD74"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4A.3.1—Preliminary</w:t>
      </w:r>
      <w:r>
        <w:rPr>
          <w:noProof/>
        </w:rPr>
        <w:tab/>
      </w:r>
      <w:r>
        <w:rPr>
          <w:noProof/>
        </w:rPr>
        <w:fldChar w:fldCharType="begin"/>
      </w:r>
      <w:r>
        <w:rPr>
          <w:noProof/>
        </w:rPr>
        <w:instrText xml:space="preserve"> PAGEREF _Toc111132126 \h </w:instrText>
      </w:r>
      <w:r>
        <w:rPr>
          <w:noProof/>
        </w:rPr>
      </w:r>
      <w:r>
        <w:rPr>
          <w:noProof/>
        </w:rPr>
        <w:fldChar w:fldCharType="separate"/>
      </w:r>
      <w:r w:rsidR="00857D8F">
        <w:rPr>
          <w:noProof/>
        </w:rPr>
        <w:t>106</w:t>
      </w:r>
      <w:r>
        <w:rPr>
          <w:noProof/>
        </w:rPr>
        <w:fldChar w:fldCharType="end"/>
      </w:r>
    </w:p>
    <w:p w14:paraId="46DE4EBB"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4A.9  Application of Division</w:t>
      </w:r>
      <w:r>
        <w:rPr>
          <w:noProof/>
        </w:rPr>
        <w:tab/>
      </w:r>
      <w:r>
        <w:rPr>
          <w:noProof/>
        </w:rPr>
        <w:fldChar w:fldCharType="begin"/>
      </w:r>
      <w:r>
        <w:rPr>
          <w:noProof/>
        </w:rPr>
        <w:instrText xml:space="preserve"> PAGEREF _Toc111132127 \h </w:instrText>
      </w:r>
      <w:r>
        <w:rPr>
          <w:noProof/>
        </w:rPr>
      </w:r>
      <w:r>
        <w:rPr>
          <w:noProof/>
        </w:rPr>
        <w:fldChar w:fldCharType="separate"/>
      </w:r>
      <w:r w:rsidR="00857D8F">
        <w:rPr>
          <w:noProof/>
        </w:rPr>
        <w:t>106</w:t>
      </w:r>
      <w:r>
        <w:rPr>
          <w:noProof/>
        </w:rPr>
        <w:fldChar w:fldCharType="end"/>
      </w:r>
    </w:p>
    <w:p w14:paraId="597F407C"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lang w:val="en-US"/>
        </w:rPr>
        <w:t>Subdivision  4A.3.2</w:t>
      </w:r>
      <w:r>
        <w:rPr>
          <w:noProof/>
        </w:rPr>
        <w:t>—</w:t>
      </w:r>
      <w:r w:rsidRPr="00F95A48">
        <w:rPr>
          <w:noProof/>
          <w:lang w:val="en-US"/>
        </w:rPr>
        <w:t xml:space="preserve">How </w:t>
      </w:r>
      <w:r>
        <w:rPr>
          <w:noProof/>
        </w:rPr>
        <w:t>consumer data requests to data holders under Part 4 that relate to joint accounts are handled</w:t>
      </w:r>
      <w:r>
        <w:rPr>
          <w:noProof/>
        </w:rPr>
        <w:tab/>
      </w:r>
      <w:r>
        <w:rPr>
          <w:noProof/>
        </w:rPr>
        <w:fldChar w:fldCharType="begin"/>
      </w:r>
      <w:r>
        <w:rPr>
          <w:noProof/>
        </w:rPr>
        <w:instrText xml:space="preserve"> PAGEREF _Toc111132128 \h </w:instrText>
      </w:r>
      <w:r>
        <w:rPr>
          <w:noProof/>
        </w:rPr>
      </w:r>
      <w:r>
        <w:rPr>
          <w:noProof/>
        </w:rPr>
        <w:fldChar w:fldCharType="separate"/>
      </w:r>
      <w:r w:rsidR="00857D8F">
        <w:rPr>
          <w:noProof/>
        </w:rPr>
        <w:t>107</w:t>
      </w:r>
      <w:r>
        <w:rPr>
          <w:noProof/>
        </w:rPr>
        <w:fldChar w:fldCharType="end"/>
      </w:r>
    </w:p>
    <w:p w14:paraId="01D9CC1D" w14:textId="77777777" w:rsidR="00195095" w:rsidRDefault="00195095">
      <w:pPr>
        <w:pStyle w:val="TOC5"/>
        <w:rPr>
          <w:rFonts w:asciiTheme="minorHAnsi" w:eastAsiaTheme="minorEastAsia" w:hAnsiTheme="minorHAnsi" w:cstheme="minorBidi"/>
          <w:noProof/>
          <w:kern w:val="0"/>
          <w:sz w:val="22"/>
          <w:szCs w:val="22"/>
        </w:rPr>
      </w:pPr>
      <w:r>
        <w:rPr>
          <w:noProof/>
        </w:rPr>
        <w:t>4A.10  How data holder is to deal with a consumer data request</w:t>
      </w:r>
      <w:r>
        <w:rPr>
          <w:noProof/>
        </w:rPr>
        <w:tab/>
      </w:r>
      <w:r>
        <w:rPr>
          <w:noProof/>
        </w:rPr>
        <w:fldChar w:fldCharType="begin"/>
      </w:r>
      <w:r>
        <w:rPr>
          <w:noProof/>
        </w:rPr>
        <w:instrText xml:space="preserve"> PAGEREF _Toc111132129 \h </w:instrText>
      </w:r>
      <w:r>
        <w:rPr>
          <w:noProof/>
        </w:rPr>
      </w:r>
      <w:r>
        <w:rPr>
          <w:noProof/>
        </w:rPr>
        <w:fldChar w:fldCharType="separate"/>
      </w:r>
      <w:r w:rsidR="00857D8F">
        <w:rPr>
          <w:noProof/>
        </w:rPr>
        <w:t>107</w:t>
      </w:r>
      <w:r>
        <w:rPr>
          <w:noProof/>
        </w:rPr>
        <w:fldChar w:fldCharType="end"/>
      </w:r>
    </w:p>
    <w:p w14:paraId="1B7819B4"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 xml:space="preserve">4A.11  </w:t>
      </w:r>
      <w:r>
        <w:rPr>
          <w:noProof/>
        </w:rPr>
        <w:t>Asking relevant account holders for approval to disclose joint account data</w:t>
      </w:r>
      <w:r>
        <w:rPr>
          <w:noProof/>
        </w:rPr>
        <w:tab/>
      </w:r>
      <w:r>
        <w:rPr>
          <w:noProof/>
        </w:rPr>
        <w:fldChar w:fldCharType="begin"/>
      </w:r>
      <w:r>
        <w:rPr>
          <w:noProof/>
        </w:rPr>
        <w:instrText xml:space="preserve"> PAGEREF _Toc111132130 \h </w:instrText>
      </w:r>
      <w:r>
        <w:rPr>
          <w:noProof/>
        </w:rPr>
      </w:r>
      <w:r>
        <w:rPr>
          <w:noProof/>
        </w:rPr>
        <w:fldChar w:fldCharType="separate"/>
      </w:r>
      <w:r w:rsidR="00857D8F">
        <w:rPr>
          <w:noProof/>
        </w:rPr>
        <w:t>107</w:t>
      </w:r>
      <w:r>
        <w:rPr>
          <w:noProof/>
        </w:rPr>
        <w:fldChar w:fldCharType="end"/>
      </w:r>
    </w:p>
    <w:p w14:paraId="697EC577" w14:textId="77777777" w:rsidR="00195095" w:rsidRDefault="00195095">
      <w:pPr>
        <w:pStyle w:val="TOC5"/>
        <w:rPr>
          <w:rFonts w:asciiTheme="minorHAnsi" w:eastAsiaTheme="minorEastAsia" w:hAnsiTheme="minorHAnsi" w:cstheme="minorBidi"/>
          <w:noProof/>
          <w:kern w:val="0"/>
          <w:sz w:val="22"/>
          <w:szCs w:val="22"/>
        </w:rPr>
      </w:pPr>
      <w:r w:rsidRPr="00F95A48">
        <w:rPr>
          <w:noProof/>
          <w:lang w:val="en-US"/>
        </w:rPr>
        <w:t xml:space="preserve">4A.12  </w:t>
      </w:r>
      <w:r>
        <w:rPr>
          <w:noProof/>
        </w:rPr>
        <w:t>Continuation and removal of approvals</w:t>
      </w:r>
      <w:r>
        <w:rPr>
          <w:noProof/>
        </w:rPr>
        <w:tab/>
      </w:r>
      <w:r>
        <w:rPr>
          <w:noProof/>
        </w:rPr>
        <w:fldChar w:fldCharType="begin"/>
      </w:r>
      <w:r>
        <w:rPr>
          <w:noProof/>
        </w:rPr>
        <w:instrText xml:space="preserve"> PAGEREF _Toc111132131 \h </w:instrText>
      </w:r>
      <w:r>
        <w:rPr>
          <w:noProof/>
        </w:rPr>
      </w:r>
      <w:r>
        <w:rPr>
          <w:noProof/>
        </w:rPr>
        <w:fldChar w:fldCharType="separate"/>
      </w:r>
      <w:r w:rsidR="00857D8F">
        <w:rPr>
          <w:noProof/>
        </w:rPr>
        <w:t>108</w:t>
      </w:r>
      <w:r>
        <w:rPr>
          <w:noProof/>
        </w:rPr>
        <w:fldChar w:fldCharType="end"/>
      </w:r>
    </w:p>
    <w:p w14:paraId="3F6A441E" w14:textId="77777777" w:rsidR="00195095" w:rsidRDefault="00195095">
      <w:pPr>
        <w:pStyle w:val="TOC5"/>
        <w:rPr>
          <w:rFonts w:asciiTheme="minorHAnsi" w:eastAsiaTheme="minorEastAsia" w:hAnsiTheme="minorHAnsi" w:cstheme="minorBidi"/>
          <w:noProof/>
          <w:kern w:val="0"/>
          <w:sz w:val="22"/>
          <w:szCs w:val="22"/>
        </w:rPr>
      </w:pPr>
      <w:r>
        <w:rPr>
          <w:noProof/>
        </w:rPr>
        <w:t>4A.13  Consumer dashboard for joint account holders</w:t>
      </w:r>
      <w:r>
        <w:rPr>
          <w:noProof/>
        </w:rPr>
        <w:tab/>
      </w:r>
      <w:r>
        <w:rPr>
          <w:noProof/>
        </w:rPr>
        <w:fldChar w:fldCharType="begin"/>
      </w:r>
      <w:r>
        <w:rPr>
          <w:noProof/>
        </w:rPr>
        <w:instrText xml:space="preserve"> PAGEREF _Toc111132132 \h </w:instrText>
      </w:r>
      <w:r>
        <w:rPr>
          <w:noProof/>
        </w:rPr>
      </w:r>
      <w:r>
        <w:rPr>
          <w:noProof/>
        </w:rPr>
        <w:fldChar w:fldCharType="separate"/>
      </w:r>
      <w:r w:rsidR="00857D8F">
        <w:rPr>
          <w:noProof/>
        </w:rPr>
        <w:t>108</w:t>
      </w:r>
      <w:r>
        <w:rPr>
          <w:noProof/>
        </w:rPr>
        <w:fldChar w:fldCharType="end"/>
      </w:r>
    </w:p>
    <w:p w14:paraId="6AC3FD3A" w14:textId="77777777" w:rsidR="00195095" w:rsidRDefault="00195095">
      <w:pPr>
        <w:pStyle w:val="TOC5"/>
        <w:rPr>
          <w:rFonts w:asciiTheme="minorHAnsi" w:eastAsiaTheme="minorEastAsia" w:hAnsiTheme="minorHAnsi" w:cstheme="minorBidi"/>
          <w:noProof/>
          <w:kern w:val="0"/>
          <w:sz w:val="22"/>
          <w:szCs w:val="22"/>
        </w:rPr>
      </w:pPr>
      <w:r>
        <w:rPr>
          <w:noProof/>
        </w:rPr>
        <w:t>4A.14  Notification requirements for consumer data requests on joint accounts</w:t>
      </w:r>
      <w:r>
        <w:rPr>
          <w:noProof/>
        </w:rPr>
        <w:tab/>
      </w:r>
      <w:r>
        <w:rPr>
          <w:noProof/>
        </w:rPr>
        <w:fldChar w:fldCharType="begin"/>
      </w:r>
      <w:r>
        <w:rPr>
          <w:noProof/>
        </w:rPr>
        <w:instrText xml:space="preserve"> PAGEREF _Toc111132133 \h </w:instrText>
      </w:r>
      <w:r>
        <w:rPr>
          <w:noProof/>
        </w:rPr>
      </w:r>
      <w:r>
        <w:rPr>
          <w:noProof/>
        </w:rPr>
        <w:fldChar w:fldCharType="separate"/>
      </w:r>
      <w:r w:rsidR="00857D8F">
        <w:rPr>
          <w:noProof/>
        </w:rPr>
        <w:t>109</w:t>
      </w:r>
      <w:r>
        <w:rPr>
          <w:noProof/>
        </w:rPr>
        <w:fldChar w:fldCharType="end"/>
      </w:r>
    </w:p>
    <w:p w14:paraId="7BD67B19" w14:textId="77777777" w:rsidR="00195095" w:rsidRDefault="00195095">
      <w:pPr>
        <w:pStyle w:val="TOC5"/>
        <w:rPr>
          <w:rFonts w:asciiTheme="minorHAnsi" w:eastAsiaTheme="minorEastAsia" w:hAnsiTheme="minorHAnsi" w:cstheme="minorBidi"/>
          <w:noProof/>
          <w:kern w:val="0"/>
          <w:sz w:val="22"/>
          <w:szCs w:val="22"/>
        </w:rPr>
      </w:pPr>
      <w:r>
        <w:rPr>
          <w:noProof/>
        </w:rPr>
        <w:t>4A.15  Avoidance of harm</w:t>
      </w:r>
      <w:r>
        <w:rPr>
          <w:noProof/>
        </w:rPr>
        <w:tab/>
      </w:r>
      <w:r>
        <w:rPr>
          <w:noProof/>
        </w:rPr>
        <w:fldChar w:fldCharType="begin"/>
      </w:r>
      <w:r>
        <w:rPr>
          <w:noProof/>
        </w:rPr>
        <w:instrText xml:space="preserve"> PAGEREF _Toc111132134 \h </w:instrText>
      </w:r>
      <w:r>
        <w:rPr>
          <w:noProof/>
        </w:rPr>
      </w:r>
      <w:r>
        <w:rPr>
          <w:noProof/>
        </w:rPr>
        <w:fldChar w:fldCharType="separate"/>
      </w:r>
      <w:r w:rsidR="00857D8F">
        <w:rPr>
          <w:noProof/>
        </w:rPr>
        <w:t>110</w:t>
      </w:r>
      <w:r>
        <w:rPr>
          <w:noProof/>
        </w:rPr>
        <w:fldChar w:fldCharType="end"/>
      </w:r>
    </w:p>
    <w:p w14:paraId="6E3D76E6" w14:textId="77777777" w:rsidR="00195095" w:rsidRDefault="00195095">
      <w:pPr>
        <w:pStyle w:val="TOC2"/>
        <w:rPr>
          <w:rFonts w:asciiTheme="minorHAnsi" w:eastAsiaTheme="minorEastAsia" w:hAnsiTheme="minorHAnsi" w:cstheme="minorBidi"/>
          <w:b w:val="0"/>
          <w:noProof/>
          <w:kern w:val="0"/>
          <w:sz w:val="22"/>
          <w:szCs w:val="22"/>
        </w:rPr>
      </w:pPr>
      <w:r>
        <w:rPr>
          <w:noProof/>
        </w:rPr>
        <w:lastRenderedPageBreak/>
        <w:t>Part 5—Rules relating to accreditation etc.</w:t>
      </w:r>
      <w:r>
        <w:rPr>
          <w:noProof/>
        </w:rPr>
        <w:tab/>
      </w:r>
      <w:r>
        <w:rPr>
          <w:noProof/>
        </w:rPr>
        <w:fldChar w:fldCharType="begin"/>
      </w:r>
      <w:r>
        <w:rPr>
          <w:noProof/>
        </w:rPr>
        <w:instrText xml:space="preserve"> PAGEREF _Toc111132135 \h </w:instrText>
      </w:r>
      <w:r>
        <w:rPr>
          <w:noProof/>
        </w:rPr>
      </w:r>
      <w:r>
        <w:rPr>
          <w:noProof/>
        </w:rPr>
        <w:fldChar w:fldCharType="separate"/>
      </w:r>
      <w:r w:rsidR="00857D8F">
        <w:rPr>
          <w:noProof/>
        </w:rPr>
        <w:t>110</w:t>
      </w:r>
      <w:r>
        <w:rPr>
          <w:noProof/>
        </w:rPr>
        <w:fldChar w:fldCharType="end"/>
      </w:r>
    </w:p>
    <w:p w14:paraId="47074978" w14:textId="77777777" w:rsidR="00195095" w:rsidRDefault="00195095">
      <w:pPr>
        <w:pStyle w:val="TOC3"/>
        <w:rPr>
          <w:rFonts w:asciiTheme="minorHAnsi" w:eastAsiaTheme="minorEastAsia" w:hAnsiTheme="minorHAnsi" w:cstheme="minorBidi"/>
          <w:b w:val="0"/>
          <w:noProof/>
          <w:kern w:val="0"/>
          <w:szCs w:val="22"/>
        </w:rPr>
      </w:pPr>
      <w:r w:rsidRPr="00F95A48">
        <w:rPr>
          <w:noProof/>
          <w:color w:val="000000"/>
        </w:rPr>
        <w:t>Division 5.1—Preliminary</w:t>
      </w:r>
      <w:r>
        <w:rPr>
          <w:noProof/>
        </w:rPr>
        <w:tab/>
      </w:r>
      <w:r>
        <w:rPr>
          <w:noProof/>
        </w:rPr>
        <w:fldChar w:fldCharType="begin"/>
      </w:r>
      <w:r>
        <w:rPr>
          <w:noProof/>
        </w:rPr>
        <w:instrText xml:space="preserve"> PAGEREF _Toc111132136 \h </w:instrText>
      </w:r>
      <w:r>
        <w:rPr>
          <w:noProof/>
        </w:rPr>
      </w:r>
      <w:r>
        <w:rPr>
          <w:noProof/>
        </w:rPr>
        <w:fldChar w:fldCharType="separate"/>
      </w:r>
      <w:r w:rsidR="00857D8F">
        <w:rPr>
          <w:noProof/>
        </w:rPr>
        <w:t>110</w:t>
      </w:r>
      <w:r>
        <w:rPr>
          <w:noProof/>
        </w:rPr>
        <w:fldChar w:fldCharType="end"/>
      </w:r>
    </w:p>
    <w:p w14:paraId="7D9A5A6E"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5.1  Simplified outline of this Part</w:t>
      </w:r>
      <w:r>
        <w:rPr>
          <w:noProof/>
        </w:rPr>
        <w:tab/>
      </w:r>
      <w:r>
        <w:rPr>
          <w:noProof/>
        </w:rPr>
        <w:fldChar w:fldCharType="begin"/>
      </w:r>
      <w:r>
        <w:rPr>
          <w:noProof/>
        </w:rPr>
        <w:instrText xml:space="preserve"> PAGEREF _Toc111132137 \h </w:instrText>
      </w:r>
      <w:r>
        <w:rPr>
          <w:noProof/>
        </w:rPr>
      </w:r>
      <w:r>
        <w:rPr>
          <w:noProof/>
        </w:rPr>
        <w:fldChar w:fldCharType="separate"/>
      </w:r>
      <w:r w:rsidR="00857D8F">
        <w:rPr>
          <w:noProof/>
        </w:rPr>
        <w:t>110</w:t>
      </w:r>
      <w:r>
        <w:rPr>
          <w:noProof/>
        </w:rPr>
        <w:fldChar w:fldCharType="end"/>
      </w:r>
    </w:p>
    <w:p w14:paraId="258C25FF" w14:textId="77777777" w:rsidR="00195095" w:rsidRDefault="00195095">
      <w:pPr>
        <w:pStyle w:val="TOC3"/>
        <w:rPr>
          <w:rFonts w:asciiTheme="minorHAnsi" w:eastAsiaTheme="minorEastAsia" w:hAnsiTheme="minorHAnsi" w:cstheme="minorBidi"/>
          <w:b w:val="0"/>
          <w:noProof/>
          <w:kern w:val="0"/>
          <w:szCs w:val="22"/>
        </w:rPr>
      </w:pPr>
      <w:r>
        <w:rPr>
          <w:noProof/>
        </w:rPr>
        <w:t>Division 5.2—Rules relating to accreditation process</w:t>
      </w:r>
      <w:r>
        <w:rPr>
          <w:noProof/>
        </w:rPr>
        <w:tab/>
      </w:r>
      <w:r>
        <w:rPr>
          <w:noProof/>
        </w:rPr>
        <w:fldChar w:fldCharType="begin"/>
      </w:r>
      <w:r>
        <w:rPr>
          <w:noProof/>
        </w:rPr>
        <w:instrText xml:space="preserve"> PAGEREF _Toc111132138 \h </w:instrText>
      </w:r>
      <w:r>
        <w:rPr>
          <w:noProof/>
        </w:rPr>
      </w:r>
      <w:r>
        <w:rPr>
          <w:noProof/>
        </w:rPr>
        <w:fldChar w:fldCharType="separate"/>
      </w:r>
      <w:r w:rsidR="00857D8F">
        <w:rPr>
          <w:noProof/>
        </w:rPr>
        <w:t>111</w:t>
      </w:r>
      <w:r>
        <w:rPr>
          <w:noProof/>
        </w:rPr>
        <w:fldChar w:fldCharType="end"/>
      </w:r>
    </w:p>
    <w:p w14:paraId="0C9A812E"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5.2.1A—Levels of accreditation</w:t>
      </w:r>
      <w:r>
        <w:rPr>
          <w:noProof/>
        </w:rPr>
        <w:tab/>
      </w:r>
      <w:r>
        <w:rPr>
          <w:noProof/>
        </w:rPr>
        <w:fldChar w:fldCharType="begin"/>
      </w:r>
      <w:r>
        <w:rPr>
          <w:noProof/>
        </w:rPr>
        <w:instrText xml:space="preserve"> PAGEREF _Toc111132139 \h </w:instrText>
      </w:r>
      <w:r>
        <w:rPr>
          <w:noProof/>
        </w:rPr>
      </w:r>
      <w:r>
        <w:rPr>
          <w:noProof/>
        </w:rPr>
        <w:fldChar w:fldCharType="separate"/>
      </w:r>
      <w:r w:rsidR="00857D8F">
        <w:rPr>
          <w:noProof/>
        </w:rPr>
        <w:t>111</w:t>
      </w:r>
      <w:r>
        <w:rPr>
          <w:noProof/>
        </w:rPr>
        <w:fldChar w:fldCharType="end"/>
      </w:r>
    </w:p>
    <w:p w14:paraId="1E5A7783" w14:textId="77777777" w:rsidR="00195095" w:rsidRDefault="00195095">
      <w:pPr>
        <w:pStyle w:val="TOC5"/>
        <w:rPr>
          <w:rFonts w:asciiTheme="minorHAnsi" w:eastAsiaTheme="minorEastAsia" w:hAnsiTheme="minorHAnsi" w:cstheme="minorBidi"/>
          <w:noProof/>
          <w:kern w:val="0"/>
          <w:sz w:val="22"/>
          <w:szCs w:val="22"/>
        </w:rPr>
      </w:pPr>
      <w:r>
        <w:rPr>
          <w:noProof/>
        </w:rPr>
        <w:t>5.1A  Levels of accreditation</w:t>
      </w:r>
      <w:r>
        <w:rPr>
          <w:noProof/>
        </w:rPr>
        <w:tab/>
      </w:r>
      <w:r>
        <w:rPr>
          <w:noProof/>
        </w:rPr>
        <w:fldChar w:fldCharType="begin"/>
      </w:r>
      <w:r>
        <w:rPr>
          <w:noProof/>
        </w:rPr>
        <w:instrText xml:space="preserve"> PAGEREF _Toc111132140 \h </w:instrText>
      </w:r>
      <w:r>
        <w:rPr>
          <w:noProof/>
        </w:rPr>
      </w:r>
      <w:r>
        <w:rPr>
          <w:noProof/>
        </w:rPr>
        <w:fldChar w:fldCharType="separate"/>
      </w:r>
      <w:r w:rsidR="00857D8F">
        <w:rPr>
          <w:noProof/>
        </w:rPr>
        <w:t>111</w:t>
      </w:r>
      <w:r>
        <w:rPr>
          <w:noProof/>
        </w:rPr>
        <w:fldChar w:fldCharType="end"/>
      </w:r>
    </w:p>
    <w:p w14:paraId="0FA7A01A" w14:textId="77777777" w:rsidR="00195095" w:rsidRDefault="00195095">
      <w:pPr>
        <w:pStyle w:val="TOC5"/>
        <w:rPr>
          <w:rFonts w:asciiTheme="minorHAnsi" w:eastAsiaTheme="minorEastAsia" w:hAnsiTheme="minorHAnsi" w:cstheme="minorBidi"/>
          <w:noProof/>
          <w:kern w:val="0"/>
          <w:sz w:val="22"/>
          <w:szCs w:val="22"/>
        </w:rPr>
      </w:pPr>
      <w:r>
        <w:rPr>
          <w:noProof/>
        </w:rPr>
        <w:t>5.1B  Sponsored accreditation</w:t>
      </w:r>
      <w:r>
        <w:rPr>
          <w:noProof/>
        </w:rPr>
        <w:tab/>
      </w:r>
      <w:r>
        <w:rPr>
          <w:noProof/>
        </w:rPr>
        <w:fldChar w:fldCharType="begin"/>
      </w:r>
      <w:r>
        <w:rPr>
          <w:noProof/>
        </w:rPr>
        <w:instrText xml:space="preserve"> PAGEREF _Toc111132141 \h </w:instrText>
      </w:r>
      <w:r>
        <w:rPr>
          <w:noProof/>
        </w:rPr>
      </w:r>
      <w:r>
        <w:rPr>
          <w:noProof/>
        </w:rPr>
        <w:fldChar w:fldCharType="separate"/>
      </w:r>
      <w:r w:rsidR="00857D8F">
        <w:rPr>
          <w:noProof/>
        </w:rPr>
        <w:t>111</w:t>
      </w:r>
      <w:r>
        <w:rPr>
          <w:noProof/>
        </w:rPr>
        <w:fldChar w:fldCharType="end"/>
      </w:r>
    </w:p>
    <w:p w14:paraId="2CB5D22C"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5.2.1—Applying to be accredited person</w:t>
      </w:r>
      <w:r>
        <w:rPr>
          <w:noProof/>
        </w:rPr>
        <w:tab/>
      </w:r>
      <w:r>
        <w:rPr>
          <w:noProof/>
        </w:rPr>
        <w:fldChar w:fldCharType="begin"/>
      </w:r>
      <w:r>
        <w:rPr>
          <w:noProof/>
        </w:rPr>
        <w:instrText xml:space="preserve"> PAGEREF _Toc111132142 \h </w:instrText>
      </w:r>
      <w:r>
        <w:rPr>
          <w:noProof/>
        </w:rPr>
      </w:r>
      <w:r>
        <w:rPr>
          <w:noProof/>
        </w:rPr>
        <w:fldChar w:fldCharType="separate"/>
      </w:r>
      <w:r w:rsidR="00857D8F">
        <w:rPr>
          <w:noProof/>
        </w:rPr>
        <w:t>112</w:t>
      </w:r>
      <w:r>
        <w:rPr>
          <w:noProof/>
        </w:rPr>
        <w:fldChar w:fldCharType="end"/>
      </w:r>
    </w:p>
    <w:p w14:paraId="564CBBD3" w14:textId="77777777" w:rsidR="00195095" w:rsidRDefault="00195095">
      <w:pPr>
        <w:pStyle w:val="TOC5"/>
        <w:rPr>
          <w:rFonts w:asciiTheme="minorHAnsi" w:eastAsiaTheme="minorEastAsia" w:hAnsiTheme="minorHAnsi" w:cstheme="minorBidi"/>
          <w:noProof/>
          <w:kern w:val="0"/>
          <w:sz w:val="22"/>
          <w:szCs w:val="22"/>
        </w:rPr>
      </w:pPr>
      <w:r>
        <w:rPr>
          <w:noProof/>
        </w:rPr>
        <w:t>5.2  Applying to be an accredited person</w:t>
      </w:r>
      <w:r>
        <w:rPr>
          <w:noProof/>
        </w:rPr>
        <w:tab/>
      </w:r>
      <w:r>
        <w:rPr>
          <w:noProof/>
        </w:rPr>
        <w:fldChar w:fldCharType="begin"/>
      </w:r>
      <w:r>
        <w:rPr>
          <w:noProof/>
        </w:rPr>
        <w:instrText xml:space="preserve"> PAGEREF _Toc111132143 \h </w:instrText>
      </w:r>
      <w:r>
        <w:rPr>
          <w:noProof/>
        </w:rPr>
      </w:r>
      <w:r>
        <w:rPr>
          <w:noProof/>
        </w:rPr>
        <w:fldChar w:fldCharType="separate"/>
      </w:r>
      <w:r w:rsidR="00857D8F">
        <w:rPr>
          <w:noProof/>
        </w:rPr>
        <w:t>112</w:t>
      </w:r>
      <w:r>
        <w:rPr>
          <w:noProof/>
        </w:rPr>
        <w:fldChar w:fldCharType="end"/>
      </w:r>
    </w:p>
    <w:p w14:paraId="58CE5F53"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5.2.2—Consideration of application to be accredited person</w:t>
      </w:r>
      <w:r>
        <w:rPr>
          <w:noProof/>
        </w:rPr>
        <w:tab/>
      </w:r>
      <w:r>
        <w:rPr>
          <w:noProof/>
        </w:rPr>
        <w:fldChar w:fldCharType="begin"/>
      </w:r>
      <w:r>
        <w:rPr>
          <w:noProof/>
        </w:rPr>
        <w:instrText xml:space="preserve"> PAGEREF _Toc111132144 \h </w:instrText>
      </w:r>
      <w:r>
        <w:rPr>
          <w:noProof/>
        </w:rPr>
      </w:r>
      <w:r>
        <w:rPr>
          <w:noProof/>
        </w:rPr>
        <w:fldChar w:fldCharType="separate"/>
      </w:r>
      <w:r w:rsidR="00857D8F">
        <w:rPr>
          <w:noProof/>
        </w:rPr>
        <w:t>113</w:t>
      </w:r>
      <w:r>
        <w:rPr>
          <w:noProof/>
        </w:rPr>
        <w:fldChar w:fldCharType="end"/>
      </w:r>
    </w:p>
    <w:p w14:paraId="002BCC8C" w14:textId="77777777" w:rsidR="00195095" w:rsidRDefault="00195095">
      <w:pPr>
        <w:pStyle w:val="TOC5"/>
        <w:rPr>
          <w:rFonts w:asciiTheme="minorHAnsi" w:eastAsiaTheme="minorEastAsia" w:hAnsiTheme="minorHAnsi" w:cstheme="minorBidi"/>
          <w:noProof/>
          <w:kern w:val="0"/>
          <w:sz w:val="22"/>
          <w:szCs w:val="22"/>
        </w:rPr>
      </w:pPr>
      <w:r>
        <w:rPr>
          <w:noProof/>
        </w:rPr>
        <w:t>5.3  Data Recipient Accreditor may request further information</w:t>
      </w:r>
      <w:r>
        <w:rPr>
          <w:noProof/>
        </w:rPr>
        <w:tab/>
      </w:r>
      <w:r>
        <w:rPr>
          <w:noProof/>
        </w:rPr>
        <w:fldChar w:fldCharType="begin"/>
      </w:r>
      <w:r>
        <w:rPr>
          <w:noProof/>
        </w:rPr>
        <w:instrText xml:space="preserve"> PAGEREF _Toc111132145 \h </w:instrText>
      </w:r>
      <w:r>
        <w:rPr>
          <w:noProof/>
        </w:rPr>
      </w:r>
      <w:r>
        <w:rPr>
          <w:noProof/>
        </w:rPr>
        <w:fldChar w:fldCharType="separate"/>
      </w:r>
      <w:r w:rsidR="00857D8F">
        <w:rPr>
          <w:noProof/>
        </w:rPr>
        <w:t>113</w:t>
      </w:r>
      <w:r>
        <w:rPr>
          <w:noProof/>
        </w:rPr>
        <w:fldChar w:fldCharType="end"/>
      </w:r>
    </w:p>
    <w:p w14:paraId="2B52BEB9" w14:textId="77777777" w:rsidR="00195095" w:rsidRDefault="00195095">
      <w:pPr>
        <w:pStyle w:val="TOC5"/>
        <w:rPr>
          <w:rFonts w:asciiTheme="minorHAnsi" w:eastAsiaTheme="minorEastAsia" w:hAnsiTheme="minorHAnsi" w:cstheme="minorBidi"/>
          <w:noProof/>
          <w:kern w:val="0"/>
          <w:sz w:val="22"/>
          <w:szCs w:val="22"/>
        </w:rPr>
      </w:pPr>
      <w:r>
        <w:rPr>
          <w:noProof/>
        </w:rPr>
        <w:t>5.4  Data Recipient Accreditor may consult</w:t>
      </w:r>
      <w:r>
        <w:rPr>
          <w:noProof/>
        </w:rPr>
        <w:tab/>
      </w:r>
      <w:r>
        <w:rPr>
          <w:noProof/>
        </w:rPr>
        <w:fldChar w:fldCharType="begin"/>
      </w:r>
      <w:r>
        <w:rPr>
          <w:noProof/>
        </w:rPr>
        <w:instrText xml:space="preserve"> PAGEREF _Toc111132146 \h </w:instrText>
      </w:r>
      <w:r>
        <w:rPr>
          <w:noProof/>
        </w:rPr>
      </w:r>
      <w:r>
        <w:rPr>
          <w:noProof/>
        </w:rPr>
        <w:fldChar w:fldCharType="separate"/>
      </w:r>
      <w:r w:rsidR="00857D8F">
        <w:rPr>
          <w:noProof/>
        </w:rPr>
        <w:t>113</w:t>
      </w:r>
      <w:r>
        <w:rPr>
          <w:noProof/>
        </w:rPr>
        <w:fldChar w:fldCharType="end"/>
      </w:r>
    </w:p>
    <w:p w14:paraId="206B8AF7" w14:textId="77777777" w:rsidR="00195095" w:rsidRDefault="00195095">
      <w:pPr>
        <w:pStyle w:val="TOC5"/>
        <w:rPr>
          <w:rFonts w:asciiTheme="minorHAnsi" w:eastAsiaTheme="minorEastAsia" w:hAnsiTheme="minorHAnsi" w:cstheme="minorBidi"/>
          <w:noProof/>
          <w:kern w:val="0"/>
          <w:sz w:val="22"/>
          <w:szCs w:val="22"/>
        </w:rPr>
      </w:pPr>
      <w:r>
        <w:rPr>
          <w:noProof/>
        </w:rPr>
        <w:t>5.5  Criteria for accreditation</w:t>
      </w:r>
      <w:r>
        <w:rPr>
          <w:noProof/>
        </w:rPr>
        <w:tab/>
      </w:r>
      <w:r>
        <w:rPr>
          <w:noProof/>
        </w:rPr>
        <w:fldChar w:fldCharType="begin"/>
      </w:r>
      <w:r>
        <w:rPr>
          <w:noProof/>
        </w:rPr>
        <w:instrText xml:space="preserve"> PAGEREF _Toc111132147 \h </w:instrText>
      </w:r>
      <w:r>
        <w:rPr>
          <w:noProof/>
        </w:rPr>
      </w:r>
      <w:r>
        <w:rPr>
          <w:noProof/>
        </w:rPr>
        <w:fldChar w:fldCharType="separate"/>
      </w:r>
      <w:r w:rsidR="00857D8F">
        <w:rPr>
          <w:noProof/>
        </w:rPr>
        <w:t>113</w:t>
      </w:r>
      <w:r>
        <w:rPr>
          <w:noProof/>
        </w:rPr>
        <w:fldChar w:fldCharType="end"/>
      </w:r>
    </w:p>
    <w:p w14:paraId="58BED9BB"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themeColor="text1"/>
        </w:rPr>
        <w:t>5.6  Accreditation decision―accreditation number</w:t>
      </w:r>
      <w:r>
        <w:rPr>
          <w:noProof/>
        </w:rPr>
        <w:tab/>
      </w:r>
      <w:r>
        <w:rPr>
          <w:noProof/>
        </w:rPr>
        <w:fldChar w:fldCharType="begin"/>
      </w:r>
      <w:r>
        <w:rPr>
          <w:noProof/>
        </w:rPr>
        <w:instrText xml:space="preserve"> PAGEREF _Toc111132148 \h </w:instrText>
      </w:r>
      <w:r>
        <w:rPr>
          <w:noProof/>
        </w:rPr>
      </w:r>
      <w:r>
        <w:rPr>
          <w:noProof/>
        </w:rPr>
        <w:fldChar w:fldCharType="separate"/>
      </w:r>
      <w:r w:rsidR="00857D8F">
        <w:rPr>
          <w:noProof/>
        </w:rPr>
        <w:t>114</w:t>
      </w:r>
      <w:r>
        <w:rPr>
          <w:noProof/>
        </w:rPr>
        <w:fldChar w:fldCharType="end"/>
      </w:r>
    </w:p>
    <w:p w14:paraId="2CB3B706"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themeColor="text1"/>
        </w:rPr>
        <w:t>5.7  Accreditation decision—notifying accreditation applicant</w:t>
      </w:r>
      <w:r>
        <w:rPr>
          <w:noProof/>
        </w:rPr>
        <w:tab/>
      </w:r>
      <w:r>
        <w:rPr>
          <w:noProof/>
        </w:rPr>
        <w:fldChar w:fldCharType="begin"/>
      </w:r>
      <w:r>
        <w:rPr>
          <w:noProof/>
        </w:rPr>
        <w:instrText xml:space="preserve"> PAGEREF _Toc111132149 \h </w:instrText>
      </w:r>
      <w:r>
        <w:rPr>
          <w:noProof/>
        </w:rPr>
      </w:r>
      <w:r>
        <w:rPr>
          <w:noProof/>
        </w:rPr>
        <w:fldChar w:fldCharType="separate"/>
      </w:r>
      <w:r w:rsidR="00857D8F">
        <w:rPr>
          <w:noProof/>
        </w:rPr>
        <w:t>114</w:t>
      </w:r>
      <w:r>
        <w:rPr>
          <w:noProof/>
        </w:rPr>
        <w:fldChar w:fldCharType="end"/>
      </w:r>
    </w:p>
    <w:p w14:paraId="05811DBA" w14:textId="77777777" w:rsidR="00195095" w:rsidRDefault="00195095">
      <w:pPr>
        <w:pStyle w:val="TOC5"/>
        <w:rPr>
          <w:rFonts w:asciiTheme="minorHAnsi" w:eastAsiaTheme="minorEastAsia" w:hAnsiTheme="minorHAnsi" w:cstheme="minorBidi"/>
          <w:noProof/>
          <w:kern w:val="0"/>
          <w:sz w:val="22"/>
          <w:szCs w:val="22"/>
        </w:rPr>
      </w:pPr>
      <w:r>
        <w:rPr>
          <w:noProof/>
        </w:rPr>
        <w:t>5.8  When accreditation takes effect</w:t>
      </w:r>
      <w:r>
        <w:rPr>
          <w:noProof/>
        </w:rPr>
        <w:tab/>
      </w:r>
      <w:r>
        <w:rPr>
          <w:noProof/>
        </w:rPr>
        <w:fldChar w:fldCharType="begin"/>
      </w:r>
      <w:r>
        <w:rPr>
          <w:noProof/>
        </w:rPr>
        <w:instrText xml:space="preserve"> PAGEREF _Toc111132150 \h </w:instrText>
      </w:r>
      <w:r>
        <w:rPr>
          <w:noProof/>
        </w:rPr>
      </w:r>
      <w:r>
        <w:rPr>
          <w:noProof/>
        </w:rPr>
        <w:fldChar w:fldCharType="separate"/>
      </w:r>
      <w:r w:rsidR="00857D8F">
        <w:rPr>
          <w:noProof/>
        </w:rPr>
        <w:t>114</w:t>
      </w:r>
      <w:r>
        <w:rPr>
          <w:noProof/>
        </w:rPr>
        <w:fldChar w:fldCharType="end"/>
      </w:r>
    </w:p>
    <w:p w14:paraId="455E130E" w14:textId="77777777" w:rsidR="00195095" w:rsidRDefault="00195095">
      <w:pPr>
        <w:pStyle w:val="TOC5"/>
        <w:rPr>
          <w:rFonts w:asciiTheme="minorHAnsi" w:eastAsiaTheme="minorEastAsia" w:hAnsiTheme="minorHAnsi" w:cstheme="minorBidi"/>
          <w:noProof/>
          <w:kern w:val="0"/>
          <w:sz w:val="22"/>
          <w:szCs w:val="22"/>
        </w:rPr>
      </w:pPr>
      <w:r>
        <w:rPr>
          <w:noProof/>
        </w:rPr>
        <w:t>5.9  Default conditions on accreditation</w:t>
      </w:r>
      <w:r>
        <w:rPr>
          <w:noProof/>
        </w:rPr>
        <w:tab/>
      </w:r>
      <w:r>
        <w:rPr>
          <w:noProof/>
        </w:rPr>
        <w:fldChar w:fldCharType="begin"/>
      </w:r>
      <w:r>
        <w:rPr>
          <w:noProof/>
        </w:rPr>
        <w:instrText xml:space="preserve"> PAGEREF _Toc111132151 \h </w:instrText>
      </w:r>
      <w:r>
        <w:rPr>
          <w:noProof/>
        </w:rPr>
      </w:r>
      <w:r>
        <w:rPr>
          <w:noProof/>
        </w:rPr>
        <w:fldChar w:fldCharType="separate"/>
      </w:r>
      <w:r w:rsidR="00857D8F">
        <w:rPr>
          <w:noProof/>
        </w:rPr>
        <w:t>114</w:t>
      </w:r>
      <w:r>
        <w:rPr>
          <w:noProof/>
        </w:rPr>
        <w:fldChar w:fldCharType="end"/>
      </w:r>
    </w:p>
    <w:p w14:paraId="450DD98D" w14:textId="77777777" w:rsidR="00195095" w:rsidRDefault="00195095">
      <w:pPr>
        <w:pStyle w:val="TOC5"/>
        <w:rPr>
          <w:rFonts w:asciiTheme="minorHAnsi" w:eastAsiaTheme="minorEastAsia" w:hAnsiTheme="minorHAnsi" w:cstheme="minorBidi"/>
          <w:noProof/>
          <w:kern w:val="0"/>
          <w:sz w:val="22"/>
          <w:szCs w:val="22"/>
        </w:rPr>
      </w:pPr>
      <w:r>
        <w:rPr>
          <w:noProof/>
        </w:rPr>
        <w:t>5.10  Other conditions on accreditation</w:t>
      </w:r>
      <w:r>
        <w:rPr>
          <w:noProof/>
        </w:rPr>
        <w:tab/>
      </w:r>
      <w:r>
        <w:rPr>
          <w:noProof/>
        </w:rPr>
        <w:fldChar w:fldCharType="begin"/>
      </w:r>
      <w:r>
        <w:rPr>
          <w:noProof/>
        </w:rPr>
        <w:instrText xml:space="preserve"> PAGEREF _Toc111132152 \h </w:instrText>
      </w:r>
      <w:r>
        <w:rPr>
          <w:noProof/>
        </w:rPr>
      </w:r>
      <w:r>
        <w:rPr>
          <w:noProof/>
        </w:rPr>
        <w:fldChar w:fldCharType="separate"/>
      </w:r>
      <w:r w:rsidR="00857D8F">
        <w:rPr>
          <w:noProof/>
        </w:rPr>
        <w:t>114</w:t>
      </w:r>
      <w:r>
        <w:rPr>
          <w:noProof/>
        </w:rPr>
        <w:fldChar w:fldCharType="end"/>
      </w:r>
    </w:p>
    <w:p w14:paraId="3F5FCB6B"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themeColor="text1"/>
        </w:rPr>
        <w:t>5.11  Notification to accredited person relating to conditions</w:t>
      </w:r>
      <w:r>
        <w:rPr>
          <w:noProof/>
        </w:rPr>
        <w:tab/>
      </w:r>
      <w:r>
        <w:rPr>
          <w:noProof/>
        </w:rPr>
        <w:fldChar w:fldCharType="begin"/>
      </w:r>
      <w:r>
        <w:rPr>
          <w:noProof/>
        </w:rPr>
        <w:instrText xml:space="preserve"> PAGEREF _Toc111132153 \h </w:instrText>
      </w:r>
      <w:r>
        <w:rPr>
          <w:noProof/>
        </w:rPr>
      </w:r>
      <w:r>
        <w:rPr>
          <w:noProof/>
        </w:rPr>
        <w:fldChar w:fldCharType="separate"/>
      </w:r>
      <w:r w:rsidR="00857D8F">
        <w:rPr>
          <w:noProof/>
        </w:rPr>
        <w:t>115</w:t>
      </w:r>
      <w:r>
        <w:rPr>
          <w:noProof/>
        </w:rPr>
        <w:fldChar w:fldCharType="end"/>
      </w:r>
    </w:p>
    <w:p w14:paraId="590B8F80"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5.2.3—Obligations of accredited person</w:t>
      </w:r>
      <w:r>
        <w:rPr>
          <w:noProof/>
        </w:rPr>
        <w:tab/>
      </w:r>
      <w:r>
        <w:rPr>
          <w:noProof/>
        </w:rPr>
        <w:fldChar w:fldCharType="begin"/>
      </w:r>
      <w:r>
        <w:rPr>
          <w:noProof/>
        </w:rPr>
        <w:instrText xml:space="preserve"> PAGEREF _Toc111132154 \h </w:instrText>
      </w:r>
      <w:r>
        <w:rPr>
          <w:noProof/>
        </w:rPr>
      </w:r>
      <w:r>
        <w:rPr>
          <w:noProof/>
        </w:rPr>
        <w:fldChar w:fldCharType="separate"/>
      </w:r>
      <w:r w:rsidR="00857D8F">
        <w:rPr>
          <w:noProof/>
        </w:rPr>
        <w:t>117</w:t>
      </w:r>
      <w:r>
        <w:rPr>
          <w:noProof/>
        </w:rPr>
        <w:fldChar w:fldCharType="end"/>
      </w:r>
    </w:p>
    <w:p w14:paraId="2B8D1437" w14:textId="77777777" w:rsidR="00195095" w:rsidRDefault="00195095">
      <w:pPr>
        <w:pStyle w:val="TOC5"/>
        <w:rPr>
          <w:rFonts w:asciiTheme="minorHAnsi" w:eastAsiaTheme="minorEastAsia" w:hAnsiTheme="minorHAnsi" w:cstheme="minorBidi"/>
          <w:noProof/>
          <w:kern w:val="0"/>
          <w:sz w:val="22"/>
          <w:szCs w:val="22"/>
        </w:rPr>
      </w:pPr>
      <w:r>
        <w:rPr>
          <w:noProof/>
        </w:rPr>
        <w:t>5.12  Obligations of accredited person</w:t>
      </w:r>
      <w:r>
        <w:rPr>
          <w:noProof/>
        </w:rPr>
        <w:tab/>
      </w:r>
      <w:r>
        <w:rPr>
          <w:noProof/>
        </w:rPr>
        <w:fldChar w:fldCharType="begin"/>
      </w:r>
      <w:r>
        <w:rPr>
          <w:noProof/>
        </w:rPr>
        <w:instrText xml:space="preserve"> PAGEREF _Toc111132155 \h </w:instrText>
      </w:r>
      <w:r>
        <w:rPr>
          <w:noProof/>
        </w:rPr>
      </w:r>
      <w:r>
        <w:rPr>
          <w:noProof/>
        </w:rPr>
        <w:fldChar w:fldCharType="separate"/>
      </w:r>
      <w:r w:rsidR="00857D8F">
        <w:rPr>
          <w:noProof/>
        </w:rPr>
        <w:t>117</w:t>
      </w:r>
      <w:r>
        <w:rPr>
          <w:noProof/>
        </w:rPr>
        <w:fldChar w:fldCharType="end"/>
      </w:r>
    </w:p>
    <w:p w14:paraId="5E4D5F57" w14:textId="77777777" w:rsidR="00195095" w:rsidRDefault="00195095">
      <w:pPr>
        <w:pStyle w:val="TOC5"/>
        <w:rPr>
          <w:rFonts w:asciiTheme="minorHAnsi" w:eastAsiaTheme="minorEastAsia" w:hAnsiTheme="minorHAnsi" w:cstheme="minorBidi"/>
          <w:noProof/>
          <w:kern w:val="0"/>
          <w:sz w:val="22"/>
          <w:szCs w:val="22"/>
        </w:rPr>
      </w:pPr>
      <w:r>
        <w:rPr>
          <w:noProof/>
        </w:rPr>
        <w:t>5.13  Accredited person must comply with conditions</w:t>
      </w:r>
      <w:r>
        <w:rPr>
          <w:noProof/>
        </w:rPr>
        <w:tab/>
      </w:r>
      <w:r>
        <w:rPr>
          <w:noProof/>
        </w:rPr>
        <w:fldChar w:fldCharType="begin"/>
      </w:r>
      <w:r>
        <w:rPr>
          <w:noProof/>
        </w:rPr>
        <w:instrText xml:space="preserve"> PAGEREF _Toc111132156 \h </w:instrText>
      </w:r>
      <w:r>
        <w:rPr>
          <w:noProof/>
        </w:rPr>
      </w:r>
      <w:r>
        <w:rPr>
          <w:noProof/>
        </w:rPr>
        <w:fldChar w:fldCharType="separate"/>
      </w:r>
      <w:r w:rsidR="00857D8F">
        <w:rPr>
          <w:noProof/>
        </w:rPr>
        <w:t>117</w:t>
      </w:r>
      <w:r>
        <w:rPr>
          <w:noProof/>
        </w:rPr>
        <w:fldChar w:fldCharType="end"/>
      </w:r>
    </w:p>
    <w:p w14:paraId="594F72E2" w14:textId="77777777" w:rsidR="00195095" w:rsidRDefault="00195095">
      <w:pPr>
        <w:pStyle w:val="TOC5"/>
        <w:rPr>
          <w:rFonts w:asciiTheme="minorHAnsi" w:eastAsiaTheme="minorEastAsia" w:hAnsiTheme="minorHAnsi" w:cstheme="minorBidi"/>
          <w:noProof/>
          <w:kern w:val="0"/>
          <w:sz w:val="22"/>
          <w:szCs w:val="22"/>
        </w:rPr>
      </w:pPr>
      <w:r>
        <w:rPr>
          <w:noProof/>
        </w:rPr>
        <w:t>5.14  Notification requirements</w:t>
      </w:r>
      <w:r>
        <w:rPr>
          <w:noProof/>
        </w:rPr>
        <w:tab/>
      </w:r>
      <w:r>
        <w:rPr>
          <w:noProof/>
        </w:rPr>
        <w:fldChar w:fldCharType="begin"/>
      </w:r>
      <w:r>
        <w:rPr>
          <w:noProof/>
        </w:rPr>
        <w:instrText xml:space="preserve"> PAGEREF _Toc111132157 \h </w:instrText>
      </w:r>
      <w:r>
        <w:rPr>
          <w:noProof/>
        </w:rPr>
      </w:r>
      <w:r>
        <w:rPr>
          <w:noProof/>
        </w:rPr>
        <w:fldChar w:fldCharType="separate"/>
      </w:r>
      <w:r w:rsidR="00857D8F">
        <w:rPr>
          <w:noProof/>
        </w:rPr>
        <w:t>118</w:t>
      </w:r>
      <w:r>
        <w:rPr>
          <w:noProof/>
        </w:rPr>
        <w:fldChar w:fldCharType="end"/>
      </w:r>
    </w:p>
    <w:p w14:paraId="57F71F9E" w14:textId="77777777" w:rsidR="00195095" w:rsidRDefault="00195095">
      <w:pPr>
        <w:pStyle w:val="TOC5"/>
        <w:rPr>
          <w:rFonts w:asciiTheme="minorHAnsi" w:eastAsiaTheme="minorEastAsia" w:hAnsiTheme="minorHAnsi" w:cstheme="minorBidi"/>
          <w:noProof/>
          <w:kern w:val="0"/>
          <w:sz w:val="22"/>
          <w:szCs w:val="22"/>
        </w:rPr>
      </w:pPr>
      <w:r>
        <w:rPr>
          <w:noProof/>
        </w:rPr>
        <w:t>5.15  Provision of information to the Accreditation Registrar</w:t>
      </w:r>
      <w:r>
        <w:rPr>
          <w:noProof/>
        </w:rPr>
        <w:tab/>
      </w:r>
      <w:r>
        <w:rPr>
          <w:noProof/>
        </w:rPr>
        <w:fldChar w:fldCharType="begin"/>
      </w:r>
      <w:r>
        <w:rPr>
          <w:noProof/>
        </w:rPr>
        <w:instrText xml:space="preserve"> PAGEREF _Toc111132158 \h </w:instrText>
      </w:r>
      <w:r>
        <w:rPr>
          <w:noProof/>
        </w:rPr>
      </w:r>
      <w:r>
        <w:rPr>
          <w:noProof/>
        </w:rPr>
        <w:fldChar w:fldCharType="separate"/>
      </w:r>
      <w:r w:rsidR="00857D8F">
        <w:rPr>
          <w:noProof/>
        </w:rPr>
        <w:t>119</w:t>
      </w:r>
      <w:r>
        <w:rPr>
          <w:noProof/>
        </w:rPr>
        <w:fldChar w:fldCharType="end"/>
      </w:r>
    </w:p>
    <w:p w14:paraId="3E84D03B"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5.2.4—Transfer, suspension</w:t>
      </w:r>
      <w:r w:rsidRPr="00F95A48">
        <w:rPr>
          <w:noProof/>
          <w:color w:val="000000" w:themeColor="text1"/>
        </w:rPr>
        <w:t>, surrender</w:t>
      </w:r>
      <w:r>
        <w:rPr>
          <w:noProof/>
        </w:rPr>
        <w:t xml:space="preserve"> and revocation of accreditation</w:t>
      </w:r>
      <w:r>
        <w:rPr>
          <w:noProof/>
        </w:rPr>
        <w:tab/>
      </w:r>
      <w:r>
        <w:rPr>
          <w:noProof/>
        </w:rPr>
        <w:fldChar w:fldCharType="begin"/>
      </w:r>
      <w:r>
        <w:rPr>
          <w:noProof/>
        </w:rPr>
        <w:instrText xml:space="preserve"> PAGEREF _Toc111132159 \h </w:instrText>
      </w:r>
      <w:r>
        <w:rPr>
          <w:noProof/>
        </w:rPr>
      </w:r>
      <w:r>
        <w:rPr>
          <w:noProof/>
        </w:rPr>
        <w:fldChar w:fldCharType="separate"/>
      </w:r>
      <w:r w:rsidR="00857D8F">
        <w:rPr>
          <w:noProof/>
        </w:rPr>
        <w:t>120</w:t>
      </w:r>
      <w:r>
        <w:rPr>
          <w:noProof/>
        </w:rPr>
        <w:fldChar w:fldCharType="end"/>
      </w:r>
    </w:p>
    <w:p w14:paraId="08354D7D" w14:textId="77777777" w:rsidR="00195095" w:rsidRDefault="00195095">
      <w:pPr>
        <w:pStyle w:val="TOC5"/>
        <w:rPr>
          <w:rFonts w:asciiTheme="minorHAnsi" w:eastAsiaTheme="minorEastAsia" w:hAnsiTheme="minorHAnsi" w:cstheme="minorBidi"/>
          <w:noProof/>
          <w:kern w:val="0"/>
          <w:sz w:val="22"/>
          <w:szCs w:val="22"/>
        </w:rPr>
      </w:pPr>
      <w:r>
        <w:rPr>
          <w:noProof/>
        </w:rPr>
        <w:t>5.16  Transfer of accreditation</w:t>
      </w:r>
      <w:r>
        <w:rPr>
          <w:noProof/>
        </w:rPr>
        <w:tab/>
      </w:r>
      <w:r>
        <w:rPr>
          <w:noProof/>
        </w:rPr>
        <w:fldChar w:fldCharType="begin"/>
      </w:r>
      <w:r>
        <w:rPr>
          <w:noProof/>
        </w:rPr>
        <w:instrText xml:space="preserve"> PAGEREF _Toc111132160 \h </w:instrText>
      </w:r>
      <w:r>
        <w:rPr>
          <w:noProof/>
        </w:rPr>
      </w:r>
      <w:r>
        <w:rPr>
          <w:noProof/>
        </w:rPr>
        <w:fldChar w:fldCharType="separate"/>
      </w:r>
      <w:r w:rsidR="00857D8F">
        <w:rPr>
          <w:noProof/>
        </w:rPr>
        <w:t>120</w:t>
      </w:r>
      <w:r>
        <w:rPr>
          <w:noProof/>
        </w:rPr>
        <w:fldChar w:fldCharType="end"/>
      </w:r>
    </w:p>
    <w:p w14:paraId="7FEA7705" w14:textId="77777777" w:rsidR="00195095" w:rsidRDefault="00195095">
      <w:pPr>
        <w:pStyle w:val="TOC5"/>
        <w:rPr>
          <w:rFonts w:asciiTheme="minorHAnsi" w:eastAsiaTheme="minorEastAsia" w:hAnsiTheme="minorHAnsi" w:cstheme="minorBidi"/>
          <w:noProof/>
          <w:kern w:val="0"/>
          <w:sz w:val="22"/>
          <w:szCs w:val="22"/>
        </w:rPr>
      </w:pPr>
      <w:r>
        <w:rPr>
          <w:noProof/>
        </w:rPr>
        <w:t>5.17  Revocation, suspension, or surrender of accreditation</w:t>
      </w:r>
      <w:r>
        <w:rPr>
          <w:noProof/>
        </w:rPr>
        <w:tab/>
      </w:r>
      <w:r>
        <w:rPr>
          <w:noProof/>
        </w:rPr>
        <w:fldChar w:fldCharType="begin"/>
      </w:r>
      <w:r>
        <w:rPr>
          <w:noProof/>
        </w:rPr>
        <w:instrText xml:space="preserve"> PAGEREF _Toc111132161 \h </w:instrText>
      </w:r>
      <w:r>
        <w:rPr>
          <w:noProof/>
        </w:rPr>
      </w:r>
      <w:r>
        <w:rPr>
          <w:noProof/>
        </w:rPr>
        <w:fldChar w:fldCharType="separate"/>
      </w:r>
      <w:r w:rsidR="00857D8F">
        <w:rPr>
          <w:noProof/>
        </w:rPr>
        <w:t>120</w:t>
      </w:r>
      <w:r>
        <w:rPr>
          <w:noProof/>
        </w:rPr>
        <w:fldChar w:fldCharType="end"/>
      </w:r>
    </w:p>
    <w:p w14:paraId="60E4E703"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5.18  Revocation of accreditation—process</w:t>
      </w:r>
      <w:r>
        <w:rPr>
          <w:noProof/>
        </w:rPr>
        <w:tab/>
      </w:r>
      <w:r>
        <w:rPr>
          <w:noProof/>
        </w:rPr>
        <w:fldChar w:fldCharType="begin"/>
      </w:r>
      <w:r>
        <w:rPr>
          <w:noProof/>
        </w:rPr>
        <w:instrText xml:space="preserve"> PAGEREF _Toc111132162 \h </w:instrText>
      </w:r>
      <w:r>
        <w:rPr>
          <w:noProof/>
        </w:rPr>
      </w:r>
      <w:r>
        <w:rPr>
          <w:noProof/>
        </w:rPr>
        <w:fldChar w:fldCharType="separate"/>
      </w:r>
      <w:r w:rsidR="00857D8F">
        <w:rPr>
          <w:noProof/>
        </w:rPr>
        <w:t>122</w:t>
      </w:r>
      <w:r>
        <w:rPr>
          <w:noProof/>
        </w:rPr>
        <w:fldChar w:fldCharType="end"/>
      </w:r>
    </w:p>
    <w:p w14:paraId="487F4305" w14:textId="77777777" w:rsidR="00195095" w:rsidRDefault="00195095">
      <w:pPr>
        <w:pStyle w:val="TOC5"/>
        <w:rPr>
          <w:rFonts w:asciiTheme="minorHAnsi" w:eastAsiaTheme="minorEastAsia" w:hAnsiTheme="minorHAnsi" w:cstheme="minorBidi"/>
          <w:noProof/>
          <w:kern w:val="0"/>
          <w:sz w:val="22"/>
          <w:szCs w:val="22"/>
        </w:rPr>
      </w:pPr>
      <w:r>
        <w:rPr>
          <w:noProof/>
        </w:rPr>
        <w:t>5.19  Suspension of accreditation</w:t>
      </w:r>
      <w:r w:rsidRPr="00F95A48">
        <w:rPr>
          <w:noProof/>
          <w:color w:val="000000"/>
        </w:rPr>
        <w:t>—duration</w:t>
      </w:r>
      <w:r>
        <w:rPr>
          <w:noProof/>
        </w:rPr>
        <w:tab/>
      </w:r>
      <w:r>
        <w:rPr>
          <w:noProof/>
        </w:rPr>
        <w:fldChar w:fldCharType="begin"/>
      </w:r>
      <w:r>
        <w:rPr>
          <w:noProof/>
        </w:rPr>
        <w:instrText xml:space="preserve"> PAGEREF _Toc111132163 \h </w:instrText>
      </w:r>
      <w:r>
        <w:rPr>
          <w:noProof/>
        </w:rPr>
      </w:r>
      <w:r>
        <w:rPr>
          <w:noProof/>
        </w:rPr>
        <w:fldChar w:fldCharType="separate"/>
      </w:r>
      <w:r w:rsidR="00857D8F">
        <w:rPr>
          <w:noProof/>
        </w:rPr>
        <w:t>123</w:t>
      </w:r>
      <w:r>
        <w:rPr>
          <w:noProof/>
        </w:rPr>
        <w:fldChar w:fldCharType="end"/>
      </w:r>
    </w:p>
    <w:p w14:paraId="553AE3FE"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5.20  General process for suspension of accreditation or extension of suspension</w:t>
      </w:r>
      <w:r>
        <w:rPr>
          <w:noProof/>
        </w:rPr>
        <w:tab/>
      </w:r>
      <w:r>
        <w:rPr>
          <w:noProof/>
        </w:rPr>
        <w:fldChar w:fldCharType="begin"/>
      </w:r>
      <w:r>
        <w:rPr>
          <w:noProof/>
        </w:rPr>
        <w:instrText xml:space="preserve"> PAGEREF _Toc111132164 \h </w:instrText>
      </w:r>
      <w:r>
        <w:rPr>
          <w:noProof/>
        </w:rPr>
      </w:r>
      <w:r>
        <w:rPr>
          <w:noProof/>
        </w:rPr>
        <w:fldChar w:fldCharType="separate"/>
      </w:r>
      <w:r w:rsidR="00857D8F">
        <w:rPr>
          <w:noProof/>
        </w:rPr>
        <w:t>123</w:t>
      </w:r>
      <w:r>
        <w:rPr>
          <w:noProof/>
        </w:rPr>
        <w:fldChar w:fldCharType="end"/>
      </w:r>
    </w:p>
    <w:p w14:paraId="4F49648F" w14:textId="77777777" w:rsidR="00195095" w:rsidRDefault="00195095">
      <w:pPr>
        <w:pStyle w:val="TOC5"/>
        <w:rPr>
          <w:rFonts w:asciiTheme="minorHAnsi" w:eastAsiaTheme="minorEastAsia" w:hAnsiTheme="minorHAnsi" w:cstheme="minorBidi"/>
          <w:noProof/>
          <w:kern w:val="0"/>
          <w:sz w:val="22"/>
          <w:szCs w:val="22"/>
        </w:rPr>
      </w:pPr>
      <w:r>
        <w:rPr>
          <w:noProof/>
        </w:rPr>
        <w:t>5.21  P</w:t>
      </w:r>
      <w:r w:rsidRPr="00F95A48">
        <w:rPr>
          <w:noProof/>
          <w:color w:val="000000"/>
        </w:rPr>
        <w:t>rocess</w:t>
      </w:r>
      <w:r>
        <w:rPr>
          <w:noProof/>
        </w:rPr>
        <w:t xml:space="preserve"> for urgent suspensions or extensions</w:t>
      </w:r>
      <w:r>
        <w:rPr>
          <w:noProof/>
        </w:rPr>
        <w:tab/>
      </w:r>
      <w:r>
        <w:rPr>
          <w:noProof/>
        </w:rPr>
        <w:fldChar w:fldCharType="begin"/>
      </w:r>
      <w:r>
        <w:rPr>
          <w:noProof/>
        </w:rPr>
        <w:instrText xml:space="preserve"> PAGEREF _Toc111132165 \h </w:instrText>
      </w:r>
      <w:r>
        <w:rPr>
          <w:noProof/>
        </w:rPr>
      </w:r>
      <w:r>
        <w:rPr>
          <w:noProof/>
        </w:rPr>
        <w:fldChar w:fldCharType="separate"/>
      </w:r>
      <w:r w:rsidR="00857D8F">
        <w:rPr>
          <w:noProof/>
        </w:rPr>
        <w:t>123</w:t>
      </w:r>
      <w:r>
        <w:rPr>
          <w:noProof/>
        </w:rPr>
        <w:fldChar w:fldCharType="end"/>
      </w:r>
    </w:p>
    <w:p w14:paraId="4DA3A142" w14:textId="77777777" w:rsidR="00195095" w:rsidRDefault="00195095">
      <w:pPr>
        <w:pStyle w:val="TOC5"/>
        <w:rPr>
          <w:rFonts w:asciiTheme="minorHAnsi" w:eastAsiaTheme="minorEastAsia" w:hAnsiTheme="minorHAnsi" w:cstheme="minorBidi"/>
          <w:noProof/>
          <w:kern w:val="0"/>
          <w:sz w:val="22"/>
          <w:szCs w:val="22"/>
        </w:rPr>
      </w:pPr>
      <w:r>
        <w:rPr>
          <w:noProof/>
        </w:rPr>
        <w:t>5.22  When surrender, revocation or suspension takes effect</w:t>
      </w:r>
      <w:r>
        <w:rPr>
          <w:noProof/>
        </w:rPr>
        <w:tab/>
      </w:r>
      <w:r>
        <w:rPr>
          <w:noProof/>
        </w:rPr>
        <w:fldChar w:fldCharType="begin"/>
      </w:r>
      <w:r>
        <w:rPr>
          <w:noProof/>
        </w:rPr>
        <w:instrText xml:space="preserve"> PAGEREF _Toc111132166 \h </w:instrText>
      </w:r>
      <w:r>
        <w:rPr>
          <w:noProof/>
        </w:rPr>
      </w:r>
      <w:r>
        <w:rPr>
          <w:noProof/>
        </w:rPr>
        <w:fldChar w:fldCharType="separate"/>
      </w:r>
      <w:r w:rsidR="00857D8F">
        <w:rPr>
          <w:noProof/>
        </w:rPr>
        <w:t>124</w:t>
      </w:r>
      <w:r>
        <w:rPr>
          <w:noProof/>
        </w:rPr>
        <w:fldChar w:fldCharType="end"/>
      </w:r>
    </w:p>
    <w:p w14:paraId="196E3C9E" w14:textId="77777777" w:rsidR="00195095" w:rsidRDefault="00195095">
      <w:pPr>
        <w:pStyle w:val="TOC5"/>
        <w:rPr>
          <w:rFonts w:asciiTheme="minorHAnsi" w:eastAsiaTheme="minorEastAsia" w:hAnsiTheme="minorHAnsi" w:cstheme="minorBidi"/>
          <w:noProof/>
          <w:kern w:val="0"/>
          <w:sz w:val="22"/>
          <w:szCs w:val="22"/>
        </w:rPr>
      </w:pPr>
      <w:r>
        <w:rPr>
          <w:noProof/>
        </w:rPr>
        <w:t>5.23  Consequences of surrender, suspension or revocation of accreditation</w:t>
      </w:r>
      <w:r>
        <w:rPr>
          <w:noProof/>
        </w:rPr>
        <w:tab/>
      </w:r>
      <w:r>
        <w:rPr>
          <w:noProof/>
        </w:rPr>
        <w:fldChar w:fldCharType="begin"/>
      </w:r>
      <w:r>
        <w:rPr>
          <w:noProof/>
        </w:rPr>
        <w:instrText xml:space="preserve"> PAGEREF _Toc111132167 \h </w:instrText>
      </w:r>
      <w:r>
        <w:rPr>
          <w:noProof/>
        </w:rPr>
      </w:r>
      <w:r>
        <w:rPr>
          <w:noProof/>
        </w:rPr>
        <w:fldChar w:fldCharType="separate"/>
      </w:r>
      <w:r w:rsidR="00857D8F">
        <w:rPr>
          <w:noProof/>
        </w:rPr>
        <w:t>124</w:t>
      </w:r>
      <w:r>
        <w:rPr>
          <w:noProof/>
        </w:rPr>
        <w:fldChar w:fldCharType="end"/>
      </w:r>
    </w:p>
    <w:p w14:paraId="3518327F" w14:textId="77777777" w:rsidR="00195095" w:rsidRDefault="00195095">
      <w:pPr>
        <w:pStyle w:val="TOC3"/>
        <w:rPr>
          <w:rFonts w:asciiTheme="minorHAnsi" w:eastAsiaTheme="minorEastAsia" w:hAnsiTheme="minorHAnsi" w:cstheme="minorBidi"/>
          <w:b w:val="0"/>
          <w:noProof/>
          <w:kern w:val="0"/>
          <w:szCs w:val="22"/>
        </w:rPr>
      </w:pPr>
      <w:r>
        <w:rPr>
          <w:noProof/>
        </w:rPr>
        <w:t>Division 5.3—Rules relating to Register of Accredited Persons</w:t>
      </w:r>
      <w:r>
        <w:rPr>
          <w:noProof/>
        </w:rPr>
        <w:tab/>
      </w:r>
      <w:r>
        <w:rPr>
          <w:noProof/>
        </w:rPr>
        <w:fldChar w:fldCharType="begin"/>
      </w:r>
      <w:r>
        <w:rPr>
          <w:noProof/>
        </w:rPr>
        <w:instrText xml:space="preserve"> PAGEREF _Toc111132168 \h </w:instrText>
      </w:r>
      <w:r>
        <w:rPr>
          <w:noProof/>
        </w:rPr>
      </w:r>
      <w:r>
        <w:rPr>
          <w:noProof/>
        </w:rPr>
        <w:fldChar w:fldCharType="separate"/>
      </w:r>
      <w:r w:rsidR="00857D8F">
        <w:rPr>
          <w:noProof/>
        </w:rPr>
        <w:t>126</w:t>
      </w:r>
      <w:r>
        <w:rPr>
          <w:noProof/>
        </w:rPr>
        <w:fldChar w:fldCharType="end"/>
      </w:r>
    </w:p>
    <w:p w14:paraId="7C55F558" w14:textId="77777777" w:rsidR="00195095" w:rsidRDefault="00195095">
      <w:pPr>
        <w:pStyle w:val="TOC5"/>
        <w:rPr>
          <w:rFonts w:asciiTheme="minorHAnsi" w:eastAsiaTheme="minorEastAsia" w:hAnsiTheme="minorHAnsi" w:cstheme="minorBidi"/>
          <w:noProof/>
          <w:kern w:val="0"/>
          <w:sz w:val="22"/>
          <w:szCs w:val="22"/>
        </w:rPr>
      </w:pPr>
      <w:r>
        <w:rPr>
          <w:noProof/>
        </w:rPr>
        <w:t>5.24  Maintaining the Register of Accredited Persons</w:t>
      </w:r>
      <w:r>
        <w:rPr>
          <w:noProof/>
        </w:rPr>
        <w:tab/>
      </w:r>
      <w:r>
        <w:rPr>
          <w:noProof/>
        </w:rPr>
        <w:fldChar w:fldCharType="begin"/>
      </w:r>
      <w:r>
        <w:rPr>
          <w:noProof/>
        </w:rPr>
        <w:instrText xml:space="preserve"> PAGEREF _Toc111132169 \h </w:instrText>
      </w:r>
      <w:r>
        <w:rPr>
          <w:noProof/>
        </w:rPr>
      </w:r>
      <w:r>
        <w:rPr>
          <w:noProof/>
        </w:rPr>
        <w:fldChar w:fldCharType="separate"/>
      </w:r>
      <w:r w:rsidR="00857D8F">
        <w:rPr>
          <w:noProof/>
        </w:rPr>
        <w:t>126</w:t>
      </w:r>
      <w:r>
        <w:rPr>
          <w:noProof/>
        </w:rPr>
        <w:fldChar w:fldCharType="end"/>
      </w:r>
    </w:p>
    <w:p w14:paraId="08B22E8D" w14:textId="77777777" w:rsidR="00195095" w:rsidRDefault="00195095">
      <w:pPr>
        <w:pStyle w:val="TOC5"/>
        <w:rPr>
          <w:rFonts w:asciiTheme="minorHAnsi" w:eastAsiaTheme="minorEastAsia" w:hAnsiTheme="minorHAnsi" w:cstheme="minorBidi"/>
          <w:noProof/>
          <w:kern w:val="0"/>
          <w:sz w:val="22"/>
          <w:szCs w:val="22"/>
        </w:rPr>
      </w:pPr>
      <w:r>
        <w:rPr>
          <w:noProof/>
        </w:rPr>
        <w:t>5.25  Other information to be kept in association with Register of Accredited Persons</w:t>
      </w:r>
      <w:r>
        <w:rPr>
          <w:noProof/>
        </w:rPr>
        <w:tab/>
      </w:r>
      <w:r>
        <w:rPr>
          <w:noProof/>
        </w:rPr>
        <w:fldChar w:fldCharType="begin"/>
      </w:r>
      <w:r>
        <w:rPr>
          <w:noProof/>
        </w:rPr>
        <w:instrText xml:space="preserve"> PAGEREF _Toc111132170 \h </w:instrText>
      </w:r>
      <w:r>
        <w:rPr>
          <w:noProof/>
        </w:rPr>
      </w:r>
      <w:r>
        <w:rPr>
          <w:noProof/>
        </w:rPr>
        <w:fldChar w:fldCharType="separate"/>
      </w:r>
      <w:r w:rsidR="00857D8F">
        <w:rPr>
          <w:noProof/>
        </w:rPr>
        <w:t>127</w:t>
      </w:r>
      <w:r>
        <w:rPr>
          <w:noProof/>
        </w:rPr>
        <w:fldChar w:fldCharType="end"/>
      </w:r>
    </w:p>
    <w:p w14:paraId="36B09B2F" w14:textId="77777777" w:rsidR="00195095" w:rsidRDefault="00195095">
      <w:pPr>
        <w:pStyle w:val="TOC5"/>
        <w:rPr>
          <w:rFonts w:asciiTheme="minorHAnsi" w:eastAsiaTheme="minorEastAsia" w:hAnsiTheme="minorHAnsi" w:cstheme="minorBidi"/>
          <w:noProof/>
          <w:kern w:val="0"/>
          <w:sz w:val="22"/>
          <w:szCs w:val="22"/>
        </w:rPr>
      </w:pPr>
      <w:r>
        <w:rPr>
          <w:noProof/>
        </w:rPr>
        <w:t>5.26  Amendment and correction of entries in Register of Accredited Persons and database</w:t>
      </w:r>
      <w:r>
        <w:rPr>
          <w:noProof/>
        </w:rPr>
        <w:tab/>
      </w:r>
      <w:r>
        <w:rPr>
          <w:noProof/>
        </w:rPr>
        <w:fldChar w:fldCharType="begin"/>
      </w:r>
      <w:r>
        <w:rPr>
          <w:noProof/>
        </w:rPr>
        <w:instrText xml:space="preserve"> PAGEREF _Toc111132171 \h </w:instrText>
      </w:r>
      <w:r>
        <w:rPr>
          <w:noProof/>
        </w:rPr>
      </w:r>
      <w:r>
        <w:rPr>
          <w:noProof/>
        </w:rPr>
        <w:fldChar w:fldCharType="separate"/>
      </w:r>
      <w:r w:rsidR="00857D8F">
        <w:rPr>
          <w:noProof/>
        </w:rPr>
        <w:t>128</w:t>
      </w:r>
      <w:r>
        <w:rPr>
          <w:noProof/>
        </w:rPr>
        <w:fldChar w:fldCharType="end"/>
      </w:r>
    </w:p>
    <w:p w14:paraId="303E2A40" w14:textId="77777777" w:rsidR="00195095" w:rsidRDefault="00195095">
      <w:pPr>
        <w:pStyle w:val="TOC5"/>
        <w:rPr>
          <w:rFonts w:asciiTheme="minorHAnsi" w:eastAsiaTheme="minorEastAsia" w:hAnsiTheme="minorHAnsi" w:cstheme="minorBidi"/>
          <w:noProof/>
          <w:kern w:val="0"/>
          <w:sz w:val="22"/>
          <w:szCs w:val="22"/>
        </w:rPr>
      </w:pPr>
      <w:r>
        <w:rPr>
          <w:noProof/>
        </w:rPr>
        <w:t>5.27  Publication or availability of specified information in the Register of Accredited Persons</w:t>
      </w:r>
      <w:r>
        <w:rPr>
          <w:noProof/>
        </w:rPr>
        <w:tab/>
      </w:r>
      <w:r>
        <w:rPr>
          <w:noProof/>
        </w:rPr>
        <w:fldChar w:fldCharType="begin"/>
      </w:r>
      <w:r>
        <w:rPr>
          <w:noProof/>
        </w:rPr>
        <w:instrText xml:space="preserve"> PAGEREF _Toc111132172 \h </w:instrText>
      </w:r>
      <w:r>
        <w:rPr>
          <w:noProof/>
        </w:rPr>
      </w:r>
      <w:r>
        <w:rPr>
          <w:noProof/>
        </w:rPr>
        <w:fldChar w:fldCharType="separate"/>
      </w:r>
      <w:r w:rsidR="00857D8F">
        <w:rPr>
          <w:noProof/>
        </w:rPr>
        <w:t>128</w:t>
      </w:r>
      <w:r>
        <w:rPr>
          <w:noProof/>
        </w:rPr>
        <w:fldChar w:fldCharType="end"/>
      </w:r>
    </w:p>
    <w:p w14:paraId="5BE79A5C" w14:textId="77777777" w:rsidR="00195095" w:rsidRDefault="00195095">
      <w:pPr>
        <w:pStyle w:val="TOC5"/>
        <w:rPr>
          <w:rFonts w:asciiTheme="minorHAnsi" w:eastAsiaTheme="minorEastAsia" w:hAnsiTheme="minorHAnsi" w:cstheme="minorBidi"/>
          <w:noProof/>
          <w:kern w:val="0"/>
          <w:sz w:val="22"/>
          <w:szCs w:val="22"/>
        </w:rPr>
      </w:pPr>
      <w:r>
        <w:rPr>
          <w:noProof/>
        </w:rPr>
        <w:t>5.28  Making information available to the Commission, the Information Commissioner and the Data Recipient Accreditor</w:t>
      </w:r>
      <w:r>
        <w:rPr>
          <w:noProof/>
        </w:rPr>
        <w:tab/>
      </w:r>
      <w:r>
        <w:rPr>
          <w:noProof/>
        </w:rPr>
        <w:fldChar w:fldCharType="begin"/>
      </w:r>
      <w:r>
        <w:rPr>
          <w:noProof/>
        </w:rPr>
        <w:instrText xml:space="preserve"> PAGEREF _Toc111132173 \h </w:instrText>
      </w:r>
      <w:r>
        <w:rPr>
          <w:noProof/>
        </w:rPr>
      </w:r>
      <w:r>
        <w:rPr>
          <w:noProof/>
        </w:rPr>
        <w:fldChar w:fldCharType="separate"/>
      </w:r>
      <w:r w:rsidR="00857D8F">
        <w:rPr>
          <w:noProof/>
        </w:rPr>
        <w:t>128</w:t>
      </w:r>
      <w:r>
        <w:rPr>
          <w:noProof/>
        </w:rPr>
        <w:fldChar w:fldCharType="end"/>
      </w:r>
    </w:p>
    <w:p w14:paraId="5F19B5B4" w14:textId="77777777" w:rsidR="00195095" w:rsidRDefault="00195095">
      <w:pPr>
        <w:pStyle w:val="TOC5"/>
        <w:rPr>
          <w:rFonts w:asciiTheme="minorHAnsi" w:eastAsiaTheme="minorEastAsia" w:hAnsiTheme="minorHAnsi" w:cstheme="minorBidi"/>
          <w:noProof/>
          <w:kern w:val="0"/>
          <w:sz w:val="22"/>
          <w:szCs w:val="22"/>
        </w:rPr>
      </w:pPr>
      <w:r>
        <w:rPr>
          <w:noProof/>
        </w:rPr>
        <w:t>5.29  Publication of specified information by the Commission</w:t>
      </w:r>
      <w:r>
        <w:rPr>
          <w:noProof/>
        </w:rPr>
        <w:tab/>
      </w:r>
      <w:r>
        <w:rPr>
          <w:noProof/>
        </w:rPr>
        <w:fldChar w:fldCharType="begin"/>
      </w:r>
      <w:r>
        <w:rPr>
          <w:noProof/>
        </w:rPr>
        <w:instrText xml:space="preserve"> PAGEREF _Toc111132174 \h </w:instrText>
      </w:r>
      <w:r>
        <w:rPr>
          <w:noProof/>
        </w:rPr>
      </w:r>
      <w:r>
        <w:rPr>
          <w:noProof/>
        </w:rPr>
        <w:fldChar w:fldCharType="separate"/>
      </w:r>
      <w:r w:rsidR="00857D8F">
        <w:rPr>
          <w:noProof/>
        </w:rPr>
        <w:t>129</w:t>
      </w:r>
      <w:r>
        <w:rPr>
          <w:noProof/>
        </w:rPr>
        <w:fldChar w:fldCharType="end"/>
      </w:r>
    </w:p>
    <w:p w14:paraId="785CA503" w14:textId="77777777" w:rsidR="00195095" w:rsidRDefault="00195095">
      <w:pPr>
        <w:pStyle w:val="TOC5"/>
        <w:rPr>
          <w:rFonts w:asciiTheme="minorHAnsi" w:eastAsiaTheme="minorEastAsia" w:hAnsiTheme="minorHAnsi" w:cstheme="minorBidi"/>
          <w:noProof/>
          <w:kern w:val="0"/>
          <w:sz w:val="22"/>
          <w:szCs w:val="22"/>
        </w:rPr>
      </w:pPr>
      <w:r>
        <w:rPr>
          <w:noProof/>
        </w:rPr>
        <w:t>5.30  Other functions of Accreditation Registrar</w:t>
      </w:r>
      <w:r>
        <w:rPr>
          <w:noProof/>
        </w:rPr>
        <w:tab/>
      </w:r>
      <w:r>
        <w:rPr>
          <w:noProof/>
        </w:rPr>
        <w:fldChar w:fldCharType="begin"/>
      </w:r>
      <w:r>
        <w:rPr>
          <w:noProof/>
        </w:rPr>
        <w:instrText xml:space="preserve"> PAGEREF _Toc111132175 \h </w:instrText>
      </w:r>
      <w:r>
        <w:rPr>
          <w:noProof/>
        </w:rPr>
      </w:r>
      <w:r>
        <w:rPr>
          <w:noProof/>
        </w:rPr>
        <w:fldChar w:fldCharType="separate"/>
      </w:r>
      <w:r w:rsidR="00857D8F">
        <w:rPr>
          <w:noProof/>
        </w:rPr>
        <w:t>129</w:t>
      </w:r>
      <w:r>
        <w:rPr>
          <w:noProof/>
        </w:rPr>
        <w:fldChar w:fldCharType="end"/>
      </w:r>
    </w:p>
    <w:p w14:paraId="15335024" w14:textId="77777777" w:rsidR="00195095" w:rsidRDefault="00195095">
      <w:pPr>
        <w:pStyle w:val="TOC5"/>
        <w:rPr>
          <w:rFonts w:asciiTheme="minorHAnsi" w:eastAsiaTheme="minorEastAsia" w:hAnsiTheme="minorHAnsi" w:cstheme="minorBidi"/>
          <w:noProof/>
          <w:kern w:val="0"/>
          <w:sz w:val="22"/>
          <w:szCs w:val="22"/>
        </w:rPr>
      </w:pPr>
      <w:r>
        <w:rPr>
          <w:noProof/>
        </w:rPr>
        <w:t>5.31  Obligation to comply with Accreditation Registrar’s request</w:t>
      </w:r>
      <w:r>
        <w:rPr>
          <w:noProof/>
        </w:rPr>
        <w:tab/>
      </w:r>
      <w:r>
        <w:rPr>
          <w:noProof/>
        </w:rPr>
        <w:fldChar w:fldCharType="begin"/>
      </w:r>
      <w:r>
        <w:rPr>
          <w:noProof/>
        </w:rPr>
        <w:instrText xml:space="preserve"> PAGEREF _Toc111132176 \h </w:instrText>
      </w:r>
      <w:r>
        <w:rPr>
          <w:noProof/>
        </w:rPr>
      </w:r>
      <w:r>
        <w:rPr>
          <w:noProof/>
        </w:rPr>
        <w:fldChar w:fldCharType="separate"/>
      </w:r>
      <w:r w:rsidR="00857D8F">
        <w:rPr>
          <w:noProof/>
        </w:rPr>
        <w:t>129</w:t>
      </w:r>
      <w:r>
        <w:rPr>
          <w:noProof/>
        </w:rPr>
        <w:fldChar w:fldCharType="end"/>
      </w:r>
    </w:p>
    <w:p w14:paraId="6C9625DB" w14:textId="77777777" w:rsidR="00195095" w:rsidRDefault="00195095">
      <w:pPr>
        <w:pStyle w:val="TOC5"/>
        <w:rPr>
          <w:rFonts w:asciiTheme="minorHAnsi" w:eastAsiaTheme="minorEastAsia" w:hAnsiTheme="minorHAnsi" w:cstheme="minorBidi"/>
          <w:noProof/>
          <w:kern w:val="0"/>
          <w:sz w:val="22"/>
          <w:szCs w:val="22"/>
        </w:rPr>
      </w:pPr>
      <w:r>
        <w:rPr>
          <w:noProof/>
        </w:rPr>
        <w:t>5.32  Automated decision</w:t>
      </w:r>
      <w:r>
        <w:rPr>
          <w:noProof/>
        </w:rPr>
        <w:noBreakHyphen/>
        <w:t>making—Accreditation Registrar</w:t>
      </w:r>
      <w:r>
        <w:rPr>
          <w:noProof/>
        </w:rPr>
        <w:tab/>
      </w:r>
      <w:r>
        <w:rPr>
          <w:noProof/>
        </w:rPr>
        <w:fldChar w:fldCharType="begin"/>
      </w:r>
      <w:r>
        <w:rPr>
          <w:noProof/>
        </w:rPr>
        <w:instrText xml:space="preserve"> PAGEREF _Toc111132177 \h </w:instrText>
      </w:r>
      <w:r>
        <w:rPr>
          <w:noProof/>
        </w:rPr>
      </w:r>
      <w:r>
        <w:rPr>
          <w:noProof/>
        </w:rPr>
        <w:fldChar w:fldCharType="separate"/>
      </w:r>
      <w:r w:rsidR="00857D8F">
        <w:rPr>
          <w:noProof/>
        </w:rPr>
        <w:t>129</w:t>
      </w:r>
      <w:r>
        <w:rPr>
          <w:noProof/>
        </w:rPr>
        <w:fldChar w:fldCharType="end"/>
      </w:r>
    </w:p>
    <w:p w14:paraId="573725EA" w14:textId="77777777" w:rsidR="00195095" w:rsidRDefault="00195095">
      <w:pPr>
        <w:pStyle w:val="TOC5"/>
        <w:rPr>
          <w:rFonts w:asciiTheme="minorHAnsi" w:eastAsiaTheme="minorEastAsia" w:hAnsiTheme="minorHAnsi" w:cstheme="minorBidi"/>
          <w:noProof/>
          <w:kern w:val="0"/>
          <w:sz w:val="22"/>
          <w:szCs w:val="22"/>
        </w:rPr>
      </w:pPr>
      <w:r>
        <w:rPr>
          <w:noProof/>
        </w:rPr>
        <w:t>5.33  Temporary restriction on use of the Register in relation to data holder</w:t>
      </w:r>
      <w:r>
        <w:rPr>
          <w:noProof/>
        </w:rPr>
        <w:tab/>
      </w:r>
      <w:r>
        <w:rPr>
          <w:noProof/>
        </w:rPr>
        <w:fldChar w:fldCharType="begin"/>
      </w:r>
      <w:r>
        <w:rPr>
          <w:noProof/>
        </w:rPr>
        <w:instrText xml:space="preserve"> PAGEREF _Toc111132178 \h </w:instrText>
      </w:r>
      <w:r>
        <w:rPr>
          <w:noProof/>
        </w:rPr>
      </w:r>
      <w:r>
        <w:rPr>
          <w:noProof/>
        </w:rPr>
        <w:fldChar w:fldCharType="separate"/>
      </w:r>
      <w:r w:rsidR="00857D8F">
        <w:rPr>
          <w:noProof/>
        </w:rPr>
        <w:t>130</w:t>
      </w:r>
      <w:r>
        <w:rPr>
          <w:noProof/>
        </w:rPr>
        <w:fldChar w:fldCharType="end"/>
      </w:r>
    </w:p>
    <w:p w14:paraId="79B65673" w14:textId="77777777" w:rsidR="00195095" w:rsidRDefault="00195095">
      <w:pPr>
        <w:pStyle w:val="TOC5"/>
        <w:rPr>
          <w:rFonts w:asciiTheme="minorHAnsi" w:eastAsiaTheme="minorEastAsia" w:hAnsiTheme="minorHAnsi" w:cstheme="minorBidi"/>
          <w:noProof/>
          <w:kern w:val="0"/>
          <w:sz w:val="22"/>
          <w:szCs w:val="22"/>
        </w:rPr>
      </w:pPr>
      <w:r>
        <w:rPr>
          <w:noProof/>
        </w:rPr>
        <w:t>5.34  Temporary direction to refrain from processing consumer data requests</w:t>
      </w:r>
      <w:r>
        <w:rPr>
          <w:noProof/>
        </w:rPr>
        <w:tab/>
      </w:r>
      <w:r>
        <w:rPr>
          <w:noProof/>
        </w:rPr>
        <w:fldChar w:fldCharType="begin"/>
      </w:r>
      <w:r>
        <w:rPr>
          <w:noProof/>
        </w:rPr>
        <w:instrText xml:space="preserve"> PAGEREF _Toc111132179 \h </w:instrText>
      </w:r>
      <w:r>
        <w:rPr>
          <w:noProof/>
        </w:rPr>
      </w:r>
      <w:r>
        <w:rPr>
          <w:noProof/>
        </w:rPr>
        <w:fldChar w:fldCharType="separate"/>
      </w:r>
      <w:r w:rsidR="00857D8F">
        <w:rPr>
          <w:noProof/>
        </w:rPr>
        <w:t>130</w:t>
      </w:r>
      <w:r>
        <w:rPr>
          <w:noProof/>
        </w:rPr>
        <w:fldChar w:fldCharType="end"/>
      </w:r>
    </w:p>
    <w:p w14:paraId="631F6ED0" w14:textId="77777777" w:rsidR="00195095" w:rsidRDefault="00195095">
      <w:pPr>
        <w:pStyle w:val="TOC2"/>
        <w:rPr>
          <w:rFonts w:asciiTheme="minorHAnsi" w:eastAsiaTheme="minorEastAsia" w:hAnsiTheme="minorHAnsi" w:cstheme="minorBidi"/>
          <w:b w:val="0"/>
          <w:noProof/>
          <w:kern w:val="0"/>
          <w:sz w:val="22"/>
          <w:szCs w:val="22"/>
        </w:rPr>
      </w:pPr>
      <w:r>
        <w:rPr>
          <w:noProof/>
        </w:rPr>
        <w:lastRenderedPageBreak/>
        <w:t>Part 6—Rules relating to dispute resolution</w:t>
      </w:r>
      <w:r>
        <w:rPr>
          <w:noProof/>
        </w:rPr>
        <w:tab/>
      </w:r>
      <w:r>
        <w:rPr>
          <w:noProof/>
        </w:rPr>
        <w:fldChar w:fldCharType="begin"/>
      </w:r>
      <w:r>
        <w:rPr>
          <w:noProof/>
        </w:rPr>
        <w:instrText xml:space="preserve"> PAGEREF _Toc111132180 \h </w:instrText>
      </w:r>
      <w:r>
        <w:rPr>
          <w:noProof/>
        </w:rPr>
      </w:r>
      <w:r>
        <w:rPr>
          <w:noProof/>
        </w:rPr>
        <w:fldChar w:fldCharType="separate"/>
      </w:r>
      <w:r w:rsidR="00857D8F">
        <w:rPr>
          <w:noProof/>
        </w:rPr>
        <w:t>132</w:t>
      </w:r>
      <w:r>
        <w:rPr>
          <w:noProof/>
        </w:rPr>
        <w:fldChar w:fldCharType="end"/>
      </w:r>
    </w:p>
    <w:p w14:paraId="47EB1746"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themeColor="text1"/>
        </w:rPr>
        <w:t>6.1  Requirement for data holders―internal dispute resolution</w:t>
      </w:r>
      <w:r>
        <w:rPr>
          <w:noProof/>
        </w:rPr>
        <w:tab/>
      </w:r>
      <w:r>
        <w:rPr>
          <w:noProof/>
        </w:rPr>
        <w:fldChar w:fldCharType="begin"/>
      </w:r>
      <w:r>
        <w:rPr>
          <w:noProof/>
        </w:rPr>
        <w:instrText xml:space="preserve"> PAGEREF _Toc111132181 \h </w:instrText>
      </w:r>
      <w:r>
        <w:rPr>
          <w:noProof/>
        </w:rPr>
      </w:r>
      <w:r>
        <w:rPr>
          <w:noProof/>
        </w:rPr>
        <w:fldChar w:fldCharType="separate"/>
      </w:r>
      <w:r w:rsidR="00857D8F">
        <w:rPr>
          <w:noProof/>
        </w:rPr>
        <w:t>132</w:t>
      </w:r>
      <w:r>
        <w:rPr>
          <w:noProof/>
        </w:rPr>
        <w:fldChar w:fldCharType="end"/>
      </w:r>
    </w:p>
    <w:p w14:paraId="20E8BFFC" w14:textId="77777777" w:rsidR="00195095" w:rsidRDefault="00195095">
      <w:pPr>
        <w:pStyle w:val="TOC5"/>
        <w:rPr>
          <w:rFonts w:asciiTheme="minorHAnsi" w:eastAsiaTheme="minorEastAsia" w:hAnsiTheme="minorHAnsi" w:cstheme="minorBidi"/>
          <w:noProof/>
          <w:kern w:val="0"/>
          <w:sz w:val="22"/>
          <w:szCs w:val="22"/>
        </w:rPr>
      </w:pPr>
      <w:r>
        <w:rPr>
          <w:noProof/>
        </w:rPr>
        <w:t>6.2  Requirement for data holders―external dispute resolution</w:t>
      </w:r>
      <w:r>
        <w:rPr>
          <w:noProof/>
        </w:rPr>
        <w:tab/>
      </w:r>
      <w:r>
        <w:rPr>
          <w:noProof/>
        </w:rPr>
        <w:fldChar w:fldCharType="begin"/>
      </w:r>
      <w:r>
        <w:rPr>
          <w:noProof/>
        </w:rPr>
        <w:instrText xml:space="preserve"> PAGEREF _Toc111132182 \h </w:instrText>
      </w:r>
      <w:r>
        <w:rPr>
          <w:noProof/>
        </w:rPr>
      </w:r>
      <w:r>
        <w:rPr>
          <w:noProof/>
        </w:rPr>
        <w:fldChar w:fldCharType="separate"/>
      </w:r>
      <w:r w:rsidR="00857D8F">
        <w:rPr>
          <w:noProof/>
        </w:rPr>
        <w:t>132</w:t>
      </w:r>
      <w:r>
        <w:rPr>
          <w:noProof/>
        </w:rPr>
        <w:fldChar w:fldCharType="end"/>
      </w:r>
    </w:p>
    <w:p w14:paraId="1C19DB13" w14:textId="77777777" w:rsidR="00195095" w:rsidRDefault="00195095">
      <w:pPr>
        <w:pStyle w:val="TOC2"/>
        <w:rPr>
          <w:rFonts w:asciiTheme="minorHAnsi" w:eastAsiaTheme="minorEastAsia" w:hAnsiTheme="minorHAnsi" w:cstheme="minorBidi"/>
          <w:b w:val="0"/>
          <w:noProof/>
          <w:kern w:val="0"/>
          <w:sz w:val="22"/>
          <w:szCs w:val="22"/>
        </w:rPr>
      </w:pPr>
      <w:r>
        <w:rPr>
          <w:noProof/>
        </w:rPr>
        <w:t>Part 7—Rules relating to privacy safeguards</w:t>
      </w:r>
      <w:r>
        <w:rPr>
          <w:noProof/>
        </w:rPr>
        <w:tab/>
      </w:r>
      <w:r>
        <w:rPr>
          <w:noProof/>
        </w:rPr>
        <w:fldChar w:fldCharType="begin"/>
      </w:r>
      <w:r>
        <w:rPr>
          <w:noProof/>
        </w:rPr>
        <w:instrText xml:space="preserve"> PAGEREF _Toc111132183 \h </w:instrText>
      </w:r>
      <w:r>
        <w:rPr>
          <w:noProof/>
        </w:rPr>
      </w:r>
      <w:r>
        <w:rPr>
          <w:noProof/>
        </w:rPr>
        <w:fldChar w:fldCharType="separate"/>
      </w:r>
      <w:r w:rsidR="00857D8F">
        <w:rPr>
          <w:noProof/>
        </w:rPr>
        <w:t>133</w:t>
      </w:r>
      <w:r>
        <w:rPr>
          <w:noProof/>
        </w:rPr>
        <w:fldChar w:fldCharType="end"/>
      </w:r>
    </w:p>
    <w:p w14:paraId="26F6280B" w14:textId="77777777" w:rsidR="00195095" w:rsidRDefault="00195095">
      <w:pPr>
        <w:pStyle w:val="TOC3"/>
        <w:rPr>
          <w:rFonts w:asciiTheme="minorHAnsi" w:eastAsiaTheme="minorEastAsia" w:hAnsiTheme="minorHAnsi" w:cstheme="minorBidi"/>
          <w:b w:val="0"/>
          <w:noProof/>
          <w:kern w:val="0"/>
          <w:szCs w:val="22"/>
        </w:rPr>
      </w:pPr>
      <w:r>
        <w:rPr>
          <w:noProof/>
        </w:rPr>
        <w:t>Division 7.1—Preliminary</w:t>
      </w:r>
      <w:r>
        <w:rPr>
          <w:noProof/>
        </w:rPr>
        <w:tab/>
      </w:r>
      <w:r>
        <w:rPr>
          <w:noProof/>
        </w:rPr>
        <w:fldChar w:fldCharType="begin"/>
      </w:r>
      <w:r>
        <w:rPr>
          <w:noProof/>
        </w:rPr>
        <w:instrText xml:space="preserve"> PAGEREF _Toc111132184 \h </w:instrText>
      </w:r>
      <w:r>
        <w:rPr>
          <w:noProof/>
        </w:rPr>
      </w:r>
      <w:r>
        <w:rPr>
          <w:noProof/>
        </w:rPr>
        <w:fldChar w:fldCharType="separate"/>
      </w:r>
      <w:r w:rsidR="00857D8F">
        <w:rPr>
          <w:noProof/>
        </w:rPr>
        <w:t>133</w:t>
      </w:r>
      <w:r>
        <w:rPr>
          <w:noProof/>
        </w:rPr>
        <w:fldChar w:fldCharType="end"/>
      </w:r>
    </w:p>
    <w:p w14:paraId="4C6AF40E" w14:textId="77777777" w:rsidR="00195095" w:rsidRDefault="00195095">
      <w:pPr>
        <w:pStyle w:val="TOC5"/>
        <w:rPr>
          <w:rFonts w:asciiTheme="minorHAnsi" w:eastAsiaTheme="minorEastAsia" w:hAnsiTheme="minorHAnsi" w:cstheme="minorBidi"/>
          <w:noProof/>
          <w:kern w:val="0"/>
          <w:sz w:val="22"/>
          <w:szCs w:val="22"/>
        </w:rPr>
      </w:pPr>
      <w:r>
        <w:rPr>
          <w:noProof/>
        </w:rPr>
        <w:t>7.1  Simplified outline of this Part</w:t>
      </w:r>
      <w:r>
        <w:rPr>
          <w:noProof/>
        </w:rPr>
        <w:tab/>
      </w:r>
      <w:r>
        <w:rPr>
          <w:noProof/>
        </w:rPr>
        <w:fldChar w:fldCharType="begin"/>
      </w:r>
      <w:r>
        <w:rPr>
          <w:noProof/>
        </w:rPr>
        <w:instrText xml:space="preserve"> PAGEREF _Toc111132185 \h </w:instrText>
      </w:r>
      <w:r>
        <w:rPr>
          <w:noProof/>
        </w:rPr>
      </w:r>
      <w:r>
        <w:rPr>
          <w:noProof/>
        </w:rPr>
        <w:fldChar w:fldCharType="separate"/>
      </w:r>
      <w:r w:rsidR="00857D8F">
        <w:rPr>
          <w:noProof/>
        </w:rPr>
        <w:t>133</w:t>
      </w:r>
      <w:r>
        <w:rPr>
          <w:noProof/>
        </w:rPr>
        <w:fldChar w:fldCharType="end"/>
      </w:r>
    </w:p>
    <w:p w14:paraId="3E21908E" w14:textId="77777777" w:rsidR="00195095" w:rsidRDefault="00195095">
      <w:pPr>
        <w:pStyle w:val="TOC3"/>
        <w:rPr>
          <w:rFonts w:asciiTheme="minorHAnsi" w:eastAsiaTheme="minorEastAsia" w:hAnsiTheme="minorHAnsi" w:cstheme="minorBidi"/>
          <w:b w:val="0"/>
          <w:noProof/>
          <w:kern w:val="0"/>
          <w:szCs w:val="22"/>
        </w:rPr>
      </w:pPr>
      <w:r>
        <w:rPr>
          <w:noProof/>
        </w:rPr>
        <w:t>Division 7.2—Rules relating to privacy safeguards</w:t>
      </w:r>
      <w:r>
        <w:rPr>
          <w:noProof/>
        </w:rPr>
        <w:tab/>
      </w:r>
      <w:r>
        <w:rPr>
          <w:noProof/>
        </w:rPr>
        <w:fldChar w:fldCharType="begin"/>
      </w:r>
      <w:r>
        <w:rPr>
          <w:noProof/>
        </w:rPr>
        <w:instrText xml:space="preserve"> PAGEREF _Toc111132186 \h </w:instrText>
      </w:r>
      <w:r>
        <w:rPr>
          <w:noProof/>
        </w:rPr>
      </w:r>
      <w:r>
        <w:rPr>
          <w:noProof/>
        </w:rPr>
        <w:fldChar w:fldCharType="separate"/>
      </w:r>
      <w:r w:rsidR="00857D8F">
        <w:rPr>
          <w:noProof/>
        </w:rPr>
        <w:t>134</w:t>
      </w:r>
      <w:r>
        <w:rPr>
          <w:noProof/>
        </w:rPr>
        <w:fldChar w:fldCharType="end"/>
      </w:r>
    </w:p>
    <w:p w14:paraId="28B37EC4"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7.2.1—Rules relating to consideration of CDR data privacy</w:t>
      </w:r>
      <w:r>
        <w:rPr>
          <w:noProof/>
        </w:rPr>
        <w:tab/>
      </w:r>
      <w:r>
        <w:rPr>
          <w:noProof/>
        </w:rPr>
        <w:fldChar w:fldCharType="begin"/>
      </w:r>
      <w:r>
        <w:rPr>
          <w:noProof/>
        </w:rPr>
        <w:instrText xml:space="preserve"> PAGEREF _Toc111132187 \h </w:instrText>
      </w:r>
      <w:r>
        <w:rPr>
          <w:noProof/>
        </w:rPr>
      </w:r>
      <w:r>
        <w:rPr>
          <w:noProof/>
        </w:rPr>
        <w:fldChar w:fldCharType="separate"/>
      </w:r>
      <w:r w:rsidR="00857D8F">
        <w:rPr>
          <w:noProof/>
        </w:rPr>
        <w:t>134</w:t>
      </w:r>
      <w:r>
        <w:rPr>
          <w:noProof/>
        </w:rPr>
        <w:fldChar w:fldCharType="end"/>
      </w:r>
    </w:p>
    <w:p w14:paraId="0912DD41" w14:textId="77777777" w:rsidR="00195095" w:rsidRDefault="00195095">
      <w:pPr>
        <w:pStyle w:val="TOC5"/>
        <w:rPr>
          <w:rFonts w:asciiTheme="minorHAnsi" w:eastAsiaTheme="minorEastAsia" w:hAnsiTheme="minorHAnsi" w:cstheme="minorBidi"/>
          <w:noProof/>
          <w:kern w:val="0"/>
          <w:sz w:val="22"/>
          <w:szCs w:val="22"/>
        </w:rPr>
      </w:pPr>
      <w:r>
        <w:rPr>
          <w:noProof/>
        </w:rPr>
        <w:t>7.2  Rule relating to privacy safeguard 1—open and transparent management of CDR data</w:t>
      </w:r>
      <w:r>
        <w:rPr>
          <w:noProof/>
        </w:rPr>
        <w:tab/>
      </w:r>
      <w:r>
        <w:rPr>
          <w:noProof/>
        </w:rPr>
        <w:fldChar w:fldCharType="begin"/>
      </w:r>
      <w:r>
        <w:rPr>
          <w:noProof/>
        </w:rPr>
        <w:instrText xml:space="preserve"> PAGEREF _Toc111132188 \h </w:instrText>
      </w:r>
      <w:r>
        <w:rPr>
          <w:noProof/>
        </w:rPr>
      </w:r>
      <w:r>
        <w:rPr>
          <w:noProof/>
        </w:rPr>
        <w:fldChar w:fldCharType="separate"/>
      </w:r>
      <w:r w:rsidR="00857D8F">
        <w:rPr>
          <w:noProof/>
        </w:rPr>
        <w:t>134</w:t>
      </w:r>
      <w:r>
        <w:rPr>
          <w:noProof/>
        </w:rPr>
        <w:fldChar w:fldCharType="end"/>
      </w:r>
    </w:p>
    <w:p w14:paraId="33BEB4FF" w14:textId="77777777" w:rsidR="00195095" w:rsidRDefault="00195095">
      <w:pPr>
        <w:pStyle w:val="TOC5"/>
        <w:rPr>
          <w:rFonts w:asciiTheme="minorHAnsi" w:eastAsiaTheme="minorEastAsia" w:hAnsiTheme="minorHAnsi" w:cstheme="minorBidi"/>
          <w:noProof/>
          <w:kern w:val="0"/>
          <w:sz w:val="22"/>
          <w:szCs w:val="22"/>
        </w:rPr>
      </w:pPr>
      <w:r>
        <w:rPr>
          <w:noProof/>
        </w:rPr>
        <w:t>7.3  Rule relating to privacy safeguard 2—anonymity and pseudonymity</w:t>
      </w:r>
      <w:r>
        <w:rPr>
          <w:noProof/>
        </w:rPr>
        <w:tab/>
      </w:r>
      <w:r>
        <w:rPr>
          <w:noProof/>
        </w:rPr>
        <w:fldChar w:fldCharType="begin"/>
      </w:r>
      <w:r>
        <w:rPr>
          <w:noProof/>
        </w:rPr>
        <w:instrText xml:space="preserve"> PAGEREF _Toc111132189 \h </w:instrText>
      </w:r>
      <w:r>
        <w:rPr>
          <w:noProof/>
        </w:rPr>
      </w:r>
      <w:r>
        <w:rPr>
          <w:noProof/>
        </w:rPr>
        <w:fldChar w:fldCharType="separate"/>
      </w:r>
      <w:r w:rsidR="00857D8F">
        <w:rPr>
          <w:noProof/>
        </w:rPr>
        <w:t>137</w:t>
      </w:r>
      <w:r>
        <w:rPr>
          <w:noProof/>
        </w:rPr>
        <w:fldChar w:fldCharType="end"/>
      </w:r>
    </w:p>
    <w:p w14:paraId="36325ED3" w14:textId="77777777" w:rsidR="00195095" w:rsidRDefault="00195095">
      <w:pPr>
        <w:pStyle w:val="TOC5"/>
        <w:rPr>
          <w:rFonts w:asciiTheme="minorHAnsi" w:eastAsiaTheme="minorEastAsia" w:hAnsiTheme="minorHAnsi" w:cstheme="minorBidi"/>
          <w:noProof/>
          <w:kern w:val="0"/>
          <w:sz w:val="22"/>
          <w:szCs w:val="22"/>
        </w:rPr>
      </w:pPr>
      <w:r>
        <w:rPr>
          <w:noProof/>
        </w:rPr>
        <w:t>7.3A  Rule relating to privacy safeguard 4—destruction of unsolicited data—CDR representative</w:t>
      </w:r>
      <w:r>
        <w:rPr>
          <w:noProof/>
        </w:rPr>
        <w:tab/>
      </w:r>
      <w:r>
        <w:rPr>
          <w:noProof/>
        </w:rPr>
        <w:fldChar w:fldCharType="begin"/>
      </w:r>
      <w:r>
        <w:rPr>
          <w:noProof/>
        </w:rPr>
        <w:instrText xml:space="preserve"> PAGEREF _Toc111132190 \h </w:instrText>
      </w:r>
      <w:r>
        <w:rPr>
          <w:noProof/>
        </w:rPr>
      </w:r>
      <w:r>
        <w:rPr>
          <w:noProof/>
        </w:rPr>
        <w:fldChar w:fldCharType="separate"/>
      </w:r>
      <w:r w:rsidR="00857D8F">
        <w:rPr>
          <w:noProof/>
        </w:rPr>
        <w:t>137</w:t>
      </w:r>
      <w:r>
        <w:rPr>
          <w:noProof/>
        </w:rPr>
        <w:fldChar w:fldCharType="end"/>
      </w:r>
    </w:p>
    <w:p w14:paraId="456C835E"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7.3B  Rule relating to privacy safeguard 4—destruction of unsolicited data—outsourced service providers</w:t>
      </w:r>
      <w:r>
        <w:rPr>
          <w:noProof/>
        </w:rPr>
        <w:tab/>
      </w:r>
      <w:r>
        <w:rPr>
          <w:noProof/>
        </w:rPr>
        <w:fldChar w:fldCharType="begin"/>
      </w:r>
      <w:r>
        <w:rPr>
          <w:noProof/>
        </w:rPr>
        <w:instrText xml:space="preserve"> PAGEREF _Toc111132191 \h </w:instrText>
      </w:r>
      <w:r>
        <w:rPr>
          <w:noProof/>
        </w:rPr>
      </w:r>
      <w:r>
        <w:rPr>
          <w:noProof/>
        </w:rPr>
        <w:fldChar w:fldCharType="separate"/>
      </w:r>
      <w:r w:rsidR="00857D8F">
        <w:rPr>
          <w:noProof/>
        </w:rPr>
        <w:t>138</w:t>
      </w:r>
      <w:r>
        <w:rPr>
          <w:noProof/>
        </w:rPr>
        <w:fldChar w:fldCharType="end"/>
      </w:r>
    </w:p>
    <w:p w14:paraId="6EF88842"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7.2.2—Rules relating to collecting CDR data</w:t>
      </w:r>
      <w:r>
        <w:rPr>
          <w:noProof/>
        </w:rPr>
        <w:tab/>
      </w:r>
      <w:r>
        <w:rPr>
          <w:noProof/>
        </w:rPr>
        <w:fldChar w:fldCharType="begin"/>
      </w:r>
      <w:r>
        <w:rPr>
          <w:noProof/>
        </w:rPr>
        <w:instrText xml:space="preserve"> PAGEREF _Toc111132192 \h </w:instrText>
      </w:r>
      <w:r>
        <w:rPr>
          <w:noProof/>
        </w:rPr>
      </w:r>
      <w:r>
        <w:rPr>
          <w:noProof/>
        </w:rPr>
        <w:fldChar w:fldCharType="separate"/>
      </w:r>
      <w:r w:rsidR="00857D8F">
        <w:rPr>
          <w:noProof/>
        </w:rPr>
        <w:t>139</w:t>
      </w:r>
      <w:r>
        <w:rPr>
          <w:noProof/>
        </w:rPr>
        <w:fldChar w:fldCharType="end"/>
      </w:r>
    </w:p>
    <w:p w14:paraId="4F904762" w14:textId="77777777" w:rsidR="00195095" w:rsidRDefault="00195095">
      <w:pPr>
        <w:pStyle w:val="TOC5"/>
        <w:rPr>
          <w:rFonts w:asciiTheme="minorHAnsi" w:eastAsiaTheme="minorEastAsia" w:hAnsiTheme="minorHAnsi" w:cstheme="minorBidi"/>
          <w:noProof/>
          <w:kern w:val="0"/>
          <w:sz w:val="22"/>
          <w:szCs w:val="22"/>
        </w:rPr>
      </w:pPr>
      <w:r>
        <w:rPr>
          <w:noProof/>
        </w:rPr>
        <w:t>7.4  Rule relating to privacy safeguard 5—notifying of the collection of CDR data</w:t>
      </w:r>
      <w:r>
        <w:rPr>
          <w:noProof/>
        </w:rPr>
        <w:tab/>
      </w:r>
      <w:r>
        <w:rPr>
          <w:noProof/>
        </w:rPr>
        <w:fldChar w:fldCharType="begin"/>
      </w:r>
      <w:r>
        <w:rPr>
          <w:noProof/>
        </w:rPr>
        <w:instrText xml:space="preserve"> PAGEREF _Toc111132193 \h </w:instrText>
      </w:r>
      <w:r>
        <w:rPr>
          <w:noProof/>
        </w:rPr>
      </w:r>
      <w:r>
        <w:rPr>
          <w:noProof/>
        </w:rPr>
        <w:fldChar w:fldCharType="separate"/>
      </w:r>
      <w:r w:rsidR="00857D8F">
        <w:rPr>
          <w:noProof/>
        </w:rPr>
        <w:t>139</w:t>
      </w:r>
      <w:r>
        <w:rPr>
          <w:noProof/>
        </w:rPr>
        <w:fldChar w:fldCharType="end"/>
      </w:r>
    </w:p>
    <w:p w14:paraId="6D0F5ABB"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7.2.3—Rules relating to dealing with CDR data</w:t>
      </w:r>
      <w:r>
        <w:rPr>
          <w:noProof/>
        </w:rPr>
        <w:tab/>
      </w:r>
      <w:r>
        <w:rPr>
          <w:noProof/>
        </w:rPr>
        <w:fldChar w:fldCharType="begin"/>
      </w:r>
      <w:r>
        <w:rPr>
          <w:noProof/>
        </w:rPr>
        <w:instrText xml:space="preserve"> PAGEREF _Toc111132194 \h </w:instrText>
      </w:r>
      <w:r>
        <w:rPr>
          <w:noProof/>
        </w:rPr>
      </w:r>
      <w:r>
        <w:rPr>
          <w:noProof/>
        </w:rPr>
        <w:fldChar w:fldCharType="separate"/>
      </w:r>
      <w:r w:rsidR="00857D8F">
        <w:rPr>
          <w:noProof/>
        </w:rPr>
        <w:t>140</w:t>
      </w:r>
      <w:r>
        <w:rPr>
          <w:noProof/>
        </w:rPr>
        <w:fldChar w:fldCharType="end"/>
      </w:r>
    </w:p>
    <w:p w14:paraId="0118B9DD"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themeColor="text1"/>
        </w:rPr>
        <w:t xml:space="preserve">7.5  Meaning of </w:t>
      </w:r>
      <w:r w:rsidRPr="00F95A48">
        <w:rPr>
          <w:i/>
          <w:noProof/>
          <w:color w:val="000000" w:themeColor="text1"/>
        </w:rPr>
        <w:t xml:space="preserve">permitted use or </w:t>
      </w:r>
      <w:r w:rsidRPr="00F95A48">
        <w:rPr>
          <w:i/>
          <w:noProof/>
        </w:rPr>
        <w:t xml:space="preserve">disclosure </w:t>
      </w:r>
      <w:r>
        <w:rPr>
          <w:noProof/>
        </w:rPr>
        <w:t>and</w:t>
      </w:r>
      <w:r w:rsidRPr="00F95A48">
        <w:rPr>
          <w:noProof/>
        </w:rPr>
        <w:t xml:space="preserve"> </w:t>
      </w:r>
      <w:r w:rsidRPr="00F95A48">
        <w:rPr>
          <w:i/>
          <w:noProof/>
        </w:rPr>
        <w:t>relates to direct marketing</w:t>
      </w:r>
      <w:r>
        <w:rPr>
          <w:noProof/>
        </w:rPr>
        <w:tab/>
      </w:r>
      <w:r>
        <w:rPr>
          <w:noProof/>
        </w:rPr>
        <w:fldChar w:fldCharType="begin"/>
      </w:r>
      <w:r>
        <w:rPr>
          <w:noProof/>
        </w:rPr>
        <w:instrText xml:space="preserve"> PAGEREF _Toc111132195 \h </w:instrText>
      </w:r>
      <w:r>
        <w:rPr>
          <w:noProof/>
        </w:rPr>
      </w:r>
      <w:r>
        <w:rPr>
          <w:noProof/>
        </w:rPr>
        <w:fldChar w:fldCharType="separate"/>
      </w:r>
      <w:r w:rsidR="00857D8F">
        <w:rPr>
          <w:noProof/>
        </w:rPr>
        <w:t>140</w:t>
      </w:r>
      <w:r>
        <w:rPr>
          <w:noProof/>
        </w:rPr>
        <w:fldChar w:fldCharType="end"/>
      </w:r>
    </w:p>
    <w:p w14:paraId="2C9F0590" w14:textId="77777777" w:rsidR="00195095" w:rsidRDefault="00195095">
      <w:pPr>
        <w:pStyle w:val="TOC5"/>
        <w:rPr>
          <w:rFonts w:asciiTheme="minorHAnsi" w:eastAsiaTheme="minorEastAsia" w:hAnsiTheme="minorHAnsi" w:cstheme="minorBidi"/>
          <w:noProof/>
          <w:kern w:val="0"/>
          <w:sz w:val="22"/>
          <w:szCs w:val="22"/>
        </w:rPr>
      </w:pPr>
      <w:r>
        <w:rPr>
          <w:noProof/>
        </w:rPr>
        <w:t>7.5A  Limitation to disclosures of CDR data under a disclosure consent</w:t>
      </w:r>
      <w:r>
        <w:rPr>
          <w:noProof/>
        </w:rPr>
        <w:tab/>
      </w:r>
      <w:r>
        <w:rPr>
          <w:noProof/>
        </w:rPr>
        <w:fldChar w:fldCharType="begin"/>
      </w:r>
      <w:r>
        <w:rPr>
          <w:noProof/>
        </w:rPr>
        <w:instrText xml:space="preserve"> PAGEREF _Toc111132196 \h </w:instrText>
      </w:r>
      <w:r>
        <w:rPr>
          <w:noProof/>
        </w:rPr>
      </w:r>
      <w:r>
        <w:rPr>
          <w:noProof/>
        </w:rPr>
        <w:fldChar w:fldCharType="separate"/>
      </w:r>
      <w:r w:rsidR="00857D8F">
        <w:rPr>
          <w:noProof/>
        </w:rPr>
        <w:t>142</w:t>
      </w:r>
      <w:r>
        <w:rPr>
          <w:noProof/>
        </w:rPr>
        <w:fldChar w:fldCharType="end"/>
      </w:r>
    </w:p>
    <w:p w14:paraId="6BA53A94"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7.6  Use or disclosure of CDR data by accredited data recipients and related persons</w:t>
      </w:r>
      <w:r>
        <w:rPr>
          <w:noProof/>
        </w:rPr>
        <w:tab/>
      </w:r>
      <w:r>
        <w:rPr>
          <w:noProof/>
        </w:rPr>
        <w:fldChar w:fldCharType="begin"/>
      </w:r>
      <w:r>
        <w:rPr>
          <w:noProof/>
        </w:rPr>
        <w:instrText xml:space="preserve"> PAGEREF _Toc111132197 \h </w:instrText>
      </w:r>
      <w:r>
        <w:rPr>
          <w:noProof/>
        </w:rPr>
      </w:r>
      <w:r>
        <w:rPr>
          <w:noProof/>
        </w:rPr>
        <w:fldChar w:fldCharType="separate"/>
      </w:r>
      <w:r w:rsidR="00857D8F">
        <w:rPr>
          <w:noProof/>
        </w:rPr>
        <w:t>143</w:t>
      </w:r>
      <w:r>
        <w:rPr>
          <w:noProof/>
        </w:rPr>
        <w:fldChar w:fldCharType="end"/>
      </w:r>
    </w:p>
    <w:p w14:paraId="3CC5403B" w14:textId="77777777" w:rsidR="00195095" w:rsidRDefault="00195095">
      <w:pPr>
        <w:pStyle w:val="TOC5"/>
        <w:rPr>
          <w:rFonts w:asciiTheme="minorHAnsi" w:eastAsiaTheme="minorEastAsia" w:hAnsiTheme="minorHAnsi" w:cstheme="minorBidi"/>
          <w:noProof/>
          <w:kern w:val="0"/>
          <w:sz w:val="22"/>
          <w:szCs w:val="22"/>
        </w:rPr>
      </w:pPr>
      <w:r>
        <w:rPr>
          <w:noProof/>
        </w:rPr>
        <w:t>7.7  Rule relating to privacy safeguard 6—use or disclosure of CDR data by accredited data recipients</w:t>
      </w:r>
      <w:r>
        <w:rPr>
          <w:noProof/>
        </w:rPr>
        <w:tab/>
      </w:r>
      <w:r>
        <w:rPr>
          <w:noProof/>
        </w:rPr>
        <w:fldChar w:fldCharType="begin"/>
      </w:r>
      <w:r>
        <w:rPr>
          <w:noProof/>
        </w:rPr>
        <w:instrText xml:space="preserve"> PAGEREF _Toc111132198 \h </w:instrText>
      </w:r>
      <w:r>
        <w:rPr>
          <w:noProof/>
        </w:rPr>
      </w:r>
      <w:r>
        <w:rPr>
          <w:noProof/>
        </w:rPr>
        <w:fldChar w:fldCharType="separate"/>
      </w:r>
      <w:r w:rsidR="00857D8F">
        <w:rPr>
          <w:noProof/>
        </w:rPr>
        <w:t>144</w:t>
      </w:r>
      <w:r>
        <w:rPr>
          <w:noProof/>
        </w:rPr>
        <w:fldChar w:fldCharType="end"/>
      </w:r>
    </w:p>
    <w:p w14:paraId="763DEE6C" w14:textId="77777777" w:rsidR="00195095" w:rsidRDefault="00195095">
      <w:pPr>
        <w:pStyle w:val="TOC5"/>
        <w:rPr>
          <w:rFonts w:asciiTheme="minorHAnsi" w:eastAsiaTheme="minorEastAsia" w:hAnsiTheme="minorHAnsi" w:cstheme="minorBidi"/>
          <w:noProof/>
          <w:kern w:val="0"/>
          <w:sz w:val="22"/>
          <w:szCs w:val="22"/>
        </w:rPr>
      </w:pPr>
      <w:r>
        <w:rPr>
          <w:noProof/>
        </w:rPr>
        <w:t>7.8  Rule relating to privacy safeguard 7—use or disclosure of CDR data for direct marketing by accredited data recipients</w:t>
      </w:r>
      <w:r>
        <w:rPr>
          <w:noProof/>
        </w:rPr>
        <w:tab/>
      </w:r>
      <w:r>
        <w:rPr>
          <w:noProof/>
        </w:rPr>
        <w:fldChar w:fldCharType="begin"/>
      </w:r>
      <w:r>
        <w:rPr>
          <w:noProof/>
        </w:rPr>
        <w:instrText xml:space="preserve"> PAGEREF _Toc111132199 \h </w:instrText>
      </w:r>
      <w:r>
        <w:rPr>
          <w:noProof/>
        </w:rPr>
      </w:r>
      <w:r>
        <w:rPr>
          <w:noProof/>
        </w:rPr>
        <w:fldChar w:fldCharType="separate"/>
      </w:r>
      <w:r w:rsidR="00857D8F">
        <w:rPr>
          <w:noProof/>
        </w:rPr>
        <w:t>144</w:t>
      </w:r>
      <w:r>
        <w:rPr>
          <w:noProof/>
        </w:rPr>
        <w:fldChar w:fldCharType="end"/>
      </w:r>
    </w:p>
    <w:p w14:paraId="40F0A104" w14:textId="77777777" w:rsidR="00195095" w:rsidRDefault="00195095">
      <w:pPr>
        <w:pStyle w:val="TOC5"/>
        <w:rPr>
          <w:rFonts w:asciiTheme="minorHAnsi" w:eastAsiaTheme="minorEastAsia" w:hAnsiTheme="minorHAnsi" w:cstheme="minorBidi"/>
          <w:noProof/>
          <w:kern w:val="0"/>
          <w:sz w:val="22"/>
          <w:szCs w:val="22"/>
        </w:rPr>
      </w:pPr>
      <w:r>
        <w:rPr>
          <w:noProof/>
        </w:rPr>
        <w:t>7.8A  Rule relating to privacy safeguards 8 and 9—failure by CDR representative to comply with safeguards</w:t>
      </w:r>
      <w:r>
        <w:rPr>
          <w:noProof/>
        </w:rPr>
        <w:tab/>
      </w:r>
      <w:r>
        <w:rPr>
          <w:noProof/>
        </w:rPr>
        <w:fldChar w:fldCharType="begin"/>
      </w:r>
      <w:r>
        <w:rPr>
          <w:noProof/>
        </w:rPr>
        <w:instrText xml:space="preserve"> PAGEREF _Toc111132200 \h </w:instrText>
      </w:r>
      <w:r>
        <w:rPr>
          <w:noProof/>
        </w:rPr>
      </w:r>
      <w:r>
        <w:rPr>
          <w:noProof/>
        </w:rPr>
        <w:fldChar w:fldCharType="separate"/>
      </w:r>
      <w:r w:rsidR="00857D8F">
        <w:rPr>
          <w:noProof/>
        </w:rPr>
        <w:t>145</w:t>
      </w:r>
      <w:r>
        <w:rPr>
          <w:noProof/>
        </w:rPr>
        <w:fldChar w:fldCharType="end"/>
      </w:r>
    </w:p>
    <w:p w14:paraId="6A5DF2FD"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7.8B  Rule relating to privacy safeguards 8 and 9—failure by direct or indirect OSP to comply with safeguards</w:t>
      </w:r>
      <w:r>
        <w:rPr>
          <w:noProof/>
        </w:rPr>
        <w:tab/>
      </w:r>
      <w:r>
        <w:rPr>
          <w:noProof/>
        </w:rPr>
        <w:fldChar w:fldCharType="begin"/>
      </w:r>
      <w:r>
        <w:rPr>
          <w:noProof/>
        </w:rPr>
        <w:instrText xml:space="preserve"> PAGEREF _Toc111132201 \h </w:instrText>
      </w:r>
      <w:r>
        <w:rPr>
          <w:noProof/>
        </w:rPr>
      </w:r>
      <w:r>
        <w:rPr>
          <w:noProof/>
        </w:rPr>
        <w:fldChar w:fldCharType="separate"/>
      </w:r>
      <w:r w:rsidR="00857D8F">
        <w:rPr>
          <w:noProof/>
        </w:rPr>
        <w:t>145</w:t>
      </w:r>
      <w:r>
        <w:rPr>
          <w:noProof/>
        </w:rPr>
        <w:fldChar w:fldCharType="end"/>
      </w:r>
    </w:p>
    <w:p w14:paraId="313FBA43" w14:textId="77777777" w:rsidR="00195095" w:rsidRDefault="00195095">
      <w:pPr>
        <w:pStyle w:val="TOC5"/>
        <w:rPr>
          <w:rFonts w:asciiTheme="minorHAnsi" w:eastAsiaTheme="minorEastAsia" w:hAnsiTheme="minorHAnsi" w:cstheme="minorBidi"/>
          <w:noProof/>
          <w:kern w:val="0"/>
          <w:sz w:val="22"/>
          <w:szCs w:val="22"/>
        </w:rPr>
      </w:pPr>
      <w:r>
        <w:rPr>
          <w:noProof/>
        </w:rPr>
        <w:t>7.9  Rule relating to privacy safeguard 10—notifying of the disclosure of CDR data</w:t>
      </w:r>
      <w:r>
        <w:rPr>
          <w:noProof/>
        </w:rPr>
        <w:tab/>
      </w:r>
      <w:r>
        <w:rPr>
          <w:noProof/>
        </w:rPr>
        <w:fldChar w:fldCharType="begin"/>
      </w:r>
      <w:r>
        <w:rPr>
          <w:noProof/>
        </w:rPr>
        <w:instrText xml:space="preserve"> PAGEREF _Toc111132202 \h </w:instrText>
      </w:r>
      <w:r>
        <w:rPr>
          <w:noProof/>
        </w:rPr>
      </w:r>
      <w:r>
        <w:rPr>
          <w:noProof/>
        </w:rPr>
        <w:fldChar w:fldCharType="separate"/>
      </w:r>
      <w:r w:rsidR="00857D8F">
        <w:rPr>
          <w:noProof/>
        </w:rPr>
        <w:t>146</w:t>
      </w:r>
      <w:r>
        <w:rPr>
          <w:noProof/>
        </w:rPr>
        <w:fldChar w:fldCharType="end"/>
      </w:r>
    </w:p>
    <w:p w14:paraId="74D97AD2"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7.2.4—Rules relating to integrity and security of CDR data</w:t>
      </w:r>
      <w:r>
        <w:rPr>
          <w:noProof/>
        </w:rPr>
        <w:tab/>
      </w:r>
      <w:r>
        <w:rPr>
          <w:noProof/>
        </w:rPr>
        <w:fldChar w:fldCharType="begin"/>
      </w:r>
      <w:r>
        <w:rPr>
          <w:noProof/>
        </w:rPr>
        <w:instrText xml:space="preserve"> PAGEREF _Toc111132203 \h </w:instrText>
      </w:r>
      <w:r>
        <w:rPr>
          <w:noProof/>
        </w:rPr>
      </w:r>
      <w:r>
        <w:rPr>
          <w:noProof/>
        </w:rPr>
        <w:fldChar w:fldCharType="separate"/>
      </w:r>
      <w:r w:rsidR="00857D8F">
        <w:rPr>
          <w:noProof/>
        </w:rPr>
        <w:t>148</w:t>
      </w:r>
      <w:r>
        <w:rPr>
          <w:noProof/>
        </w:rPr>
        <w:fldChar w:fldCharType="end"/>
      </w:r>
    </w:p>
    <w:p w14:paraId="5649CC5D" w14:textId="77777777" w:rsidR="00195095" w:rsidRDefault="00195095">
      <w:pPr>
        <w:pStyle w:val="TOC5"/>
        <w:rPr>
          <w:rFonts w:asciiTheme="minorHAnsi" w:eastAsiaTheme="minorEastAsia" w:hAnsiTheme="minorHAnsi" w:cstheme="minorBidi"/>
          <w:noProof/>
          <w:kern w:val="0"/>
          <w:sz w:val="22"/>
          <w:szCs w:val="22"/>
        </w:rPr>
      </w:pPr>
      <w:r>
        <w:rPr>
          <w:noProof/>
        </w:rPr>
        <w:t>7.10  Rule relating to privacy safeguard 11—quality of CDR data</w:t>
      </w:r>
      <w:r>
        <w:rPr>
          <w:noProof/>
        </w:rPr>
        <w:tab/>
      </w:r>
      <w:r>
        <w:rPr>
          <w:noProof/>
        </w:rPr>
        <w:fldChar w:fldCharType="begin"/>
      </w:r>
      <w:r>
        <w:rPr>
          <w:noProof/>
        </w:rPr>
        <w:instrText xml:space="preserve"> PAGEREF _Toc111132204 \h </w:instrText>
      </w:r>
      <w:r>
        <w:rPr>
          <w:noProof/>
        </w:rPr>
      </w:r>
      <w:r>
        <w:rPr>
          <w:noProof/>
        </w:rPr>
        <w:fldChar w:fldCharType="separate"/>
      </w:r>
      <w:r w:rsidR="00857D8F">
        <w:rPr>
          <w:noProof/>
        </w:rPr>
        <w:t>148</w:t>
      </w:r>
      <w:r>
        <w:rPr>
          <w:noProof/>
        </w:rPr>
        <w:fldChar w:fldCharType="end"/>
      </w:r>
    </w:p>
    <w:p w14:paraId="6831F236" w14:textId="77777777" w:rsidR="00195095" w:rsidRDefault="00195095">
      <w:pPr>
        <w:pStyle w:val="TOC5"/>
        <w:rPr>
          <w:rFonts w:asciiTheme="minorHAnsi" w:eastAsiaTheme="minorEastAsia" w:hAnsiTheme="minorHAnsi" w:cstheme="minorBidi"/>
          <w:noProof/>
          <w:kern w:val="0"/>
          <w:sz w:val="22"/>
          <w:szCs w:val="22"/>
        </w:rPr>
      </w:pPr>
      <w:r>
        <w:rPr>
          <w:noProof/>
        </w:rPr>
        <w:t>7.10A  Rule relating to privacy safeguard 11—quality of data—CDR representative</w:t>
      </w:r>
      <w:r>
        <w:rPr>
          <w:noProof/>
        </w:rPr>
        <w:tab/>
      </w:r>
      <w:r>
        <w:rPr>
          <w:noProof/>
        </w:rPr>
        <w:fldChar w:fldCharType="begin"/>
      </w:r>
      <w:r>
        <w:rPr>
          <w:noProof/>
        </w:rPr>
        <w:instrText xml:space="preserve"> PAGEREF _Toc111132205 \h </w:instrText>
      </w:r>
      <w:r>
        <w:rPr>
          <w:noProof/>
        </w:rPr>
      </w:r>
      <w:r>
        <w:rPr>
          <w:noProof/>
        </w:rPr>
        <w:fldChar w:fldCharType="separate"/>
      </w:r>
      <w:r w:rsidR="00857D8F">
        <w:rPr>
          <w:noProof/>
        </w:rPr>
        <w:t>148</w:t>
      </w:r>
      <w:r>
        <w:rPr>
          <w:noProof/>
        </w:rPr>
        <w:fldChar w:fldCharType="end"/>
      </w:r>
    </w:p>
    <w:p w14:paraId="5F25E712" w14:textId="77777777" w:rsidR="00195095" w:rsidRDefault="00195095">
      <w:pPr>
        <w:pStyle w:val="TOC5"/>
        <w:rPr>
          <w:rFonts w:asciiTheme="minorHAnsi" w:eastAsiaTheme="minorEastAsia" w:hAnsiTheme="minorHAnsi" w:cstheme="minorBidi"/>
          <w:noProof/>
          <w:kern w:val="0"/>
          <w:sz w:val="22"/>
          <w:szCs w:val="22"/>
        </w:rPr>
      </w:pPr>
      <w:r>
        <w:rPr>
          <w:noProof/>
        </w:rPr>
        <w:t>7.11  Rule relating to privacy safeguard 12—security of CDR data</w:t>
      </w:r>
      <w:r>
        <w:rPr>
          <w:noProof/>
        </w:rPr>
        <w:tab/>
      </w:r>
      <w:r>
        <w:rPr>
          <w:noProof/>
        </w:rPr>
        <w:fldChar w:fldCharType="begin"/>
      </w:r>
      <w:r>
        <w:rPr>
          <w:noProof/>
        </w:rPr>
        <w:instrText xml:space="preserve"> PAGEREF _Toc111132206 \h </w:instrText>
      </w:r>
      <w:r>
        <w:rPr>
          <w:noProof/>
        </w:rPr>
      </w:r>
      <w:r>
        <w:rPr>
          <w:noProof/>
        </w:rPr>
        <w:fldChar w:fldCharType="separate"/>
      </w:r>
      <w:r w:rsidR="00857D8F">
        <w:rPr>
          <w:noProof/>
        </w:rPr>
        <w:t>149</w:t>
      </w:r>
      <w:r>
        <w:rPr>
          <w:noProof/>
        </w:rPr>
        <w:fldChar w:fldCharType="end"/>
      </w:r>
    </w:p>
    <w:p w14:paraId="4C1E7521" w14:textId="77777777" w:rsidR="00195095" w:rsidRDefault="00195095">
      <w:pPr>
        <w:pStyle w:val="TOC5"/>
        <w:rPr>
          <w:rFonts w:asciiTheme="minorHAnsi" w:eastAsiaTheme="minorEastAsia" w:hAnsiTheme="minorHAnsi" w:cstheme="minorBidi"/>
          <w:noProof/>
          <w:kern w:val="0"/>
          <w:sz w:val="22"/>
          <w:szCs w:val="22"/>
        </w:rPr>
      </w:pPr>
      <w:r>
        <w:rPr>
          <w:noProof/>
        </w:rPr>
        <w:t>7.12  Rule relating to privacy safeguard 12—de</w:t>
      </w:r>
      <w:r>
        <w:rPr>
          <w:noProof/>
        </w:rPr>
        <w:noBreakHyphen/>
        <w:t>identification of redundant data</w:t>
      </w:r>
      <w:r>
        <w:rPr>
          <w:noProof/>
        </w:rPr>
        <w:tab/>
      </w:r>
      <w:r>
        <w:rPr>
          <w:noProof/>
        </w:rPr>
        <w:fldChar w:fldCharType="begin"/>
      </w:r>
      <w:r>
        <w:rPr>
          <w:noProof/>
        </w:rPr>
        <w:instrText xml:space="preserve"> PAGEREF _Toc111132207 \h </w:instrText>
      </w:r>
      <w:r>
        <w:rPr>
          <w:noProof/>
        </w:rPr>
      </w:r>
      <w:r>
        <w:rPr>
          <w:noProof/>
        </w:rPr>
        <w:fldChar w:fldCharType="separate"/>
      </w:r>
      <w:r w:rsidR="00857D8F">
        <w:rPr>
          <w:noProof/>
        </w:rPr>
        <w:t>149</w:t>
      </w:r>
      <w:r>
        <w:rPr>
          <w:noProof/>
        </w:rPr>
        <w:fldChar w:fldCharType="end"/>
      </w:r>
    </w:p>
    <w:p w14:paraId="478059CA" w14:textId="77777777" w:rsidR="00195095" w:rsidRDefault="00195095">
      <w:pPr>
        <w:pStyle w:val="TOC5"/>
        <w:rPr>
          <w:rFonts w:asciiTheme="minorHAnsi" w:eastAsiaTheme="minorEastAsia" w:hAnsiTheme="minorHAnsi" w:cstheme="minorBidi"/>
          <w:noProof/>
          <w:kern w:val="0"/>
          <w:sz w:val="22"/>
          <w:szCs w:val="22"/>
        </w:rPr>
      </w:pPr>
      <w:r>
        <w:rPr>
          <w:noProof/>
        </w:rPr>
        <w:t>7.13  Rule relating to privacy safeguard 12—deletion of redundant data</w:t>
      </w:r>
      <w:r>
        <w:rPr>
          <w:noProof/>
        </w:rPr>
        <w:tab/>
      </w:r>
      <w:r>
        <w:rPr>
          <w:noProof/>
        </w:rPr>
        <w:fldChar w:fldCharType="begin"/>
      </w:r>
      <w:r>
        <w:rPr>
          <w:noProof/>
        </w:rPr>
        <w:instrText xml:space="preserve"> PAGEREF _Toc111132208 \h </w:instrText>
      </w:r>
      <w:r>
        <w:rPr>
          <w:noProof/>
        </w:rPr>
      </w:r>
      <w:r>
        <w:rPr>
          <w:noProof/>
        </w:rPr>
        <w:fldChar w:fldCharType="separate"/>
      </w:r>
      <w:r w:rsidR="00857D8F">
        <w:rPr>
          <w:noProof/>
        </w:rPr>
        <w:t>150</w:t>
      </w:r>
      <w:r>
        <w:rPr>
          <w:noProof/>
        </w:rPr>
        <w:fldChar w:fldCharType="end"/>
      </w:r>
    </w:p>
    <w:p w14:paraId="22017C51" w14:textId="77777777" w:rsidR="00195095" w:rsidRDefault="00195095">
      <w:pPr>
        <w:pStyle w:val="TOC4"/>
        <w:rPr>
          <w:rFonts w:asciiTheme="minorHAnsi" w:eastAsiaTheme="minorEastAsia" w:hAnsiTheme="minorHAnsi" w:cstheme="minorBidi"/>
          <w:b w:val="0"/>
          <w:noProof/>
          <w:kern w:val="0"/>
          <w:sz w:val="22"/>
          <w:szCs w:val="22"/>
        </w:rPr>
      </w:pPr>
      <w:r w:rsidRPr="00F95A48">
        <w:rPr>
          <w:noProof/>
          <w:color w:val="000000"/>
        </w:rPr>
        <w:t>Subdivision 7.2.5—Rules relating to correction of CDR data</w:t>
      </w:r>
      <w:r>
        <w:rPr>
          <w:noProof/>
        </w:rPr>
        <w:tab/>
      </w:r>
      <w:r>
        <w:rPr>
          <w:noProof/>
        </w:rPr>
        <w:fldChar w:fldCharType="begin"/>
      </w:r>
      <w:r>
        <w:rPr>
          <w:noProof/>
        </w:rPr>
        <w:instrText xml:space="preserve"> PAGEREF _Toc111132209 \h </w:instrText>
      </w:r>
      <w:r>
        <w:rPr>
          <w:noProof/>
        </w:rPr>
      </w:r>
      <w:r>
        <w:rPr>
          <w:noProof/>
        </w:rPr>
        <w:fldChar w:fldCharType="separate"/>
      </w:r>
      <w:r w:rsidR="00857D8F">
        <w:rPr>
          <w:noProof/>
        </w:rPr>
        <w:t>151</w:t>
      </w:r>
      <w:r>
        <w:rPr>
          <w:noProof/>
        </w:rPr>
        <w:fldChar w:fldCharType="end"/>
      </w:r>
    </w:p>
    <w:p w14:paraId="2E0AF26A"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7.14  No fee for responding to or actioning correction request</w:t>
      </w:r>
      <w:r>
        <w:rPr>
          <w:noProof/>
        </w:rPr>
        <w:tab/>
      </w:r>
      <w:r>
        <w:rPr>
          <w:noProof/>
        </w:rPr>
        <w:fldChar w:fldCharType="begin"/>
      </w:r>
      <w:r>
        <w:rPr>
          <w:noProof/>
        </w:rPr>
        <w:instrText xml:space="preserve"> PAGEREF _Toc111132210 \h </w:instrText>
      </w:r>
      <w:r>
        <w:rPr>
          <w:noProof/>
        </w:rPr>
      </w:r>
      <w:r>
        <w:rPr>
          <w:noProof/>
        </w:rPr>
        <w:fldChar w:fldCharType="separate"/>
      </w:r>
      <w:r w:rsidR="00857D8F">
        <w:rPr>
          <w:noProof/>
        </w:rPr>
        <w:t>151</w:t>
      </w:r>
      <w:r>
        <w:rPr>
          <w:noProof/>
        </w:rPr>
        <w:fldChar w:fldCharType="end"/>
      </w:r>
    </w:p>
    <w:p w14:paraId="75028ED1"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7.15  Rule relating to privacy safeguard 13—steps to be taken when responding to correction request</w:t>
      </w:r>
      <w:r>
        <w:rPr>
          <w:noProof/>
        </w:rPr>
        <w:tab/>
      </w:r>
      <w:r>
        <w:rPr>
          <w:noProof/>
        </w:rPr>
        <w:fldChar w:fldCharType="begin"/>
      </w:r>
      <w:r>
        <w:rPr>
          <w:noProof/>
        </w:rPr>
        <w:instrText xml:space="preserve"> PAGEREF _Toc111132211 \h </w:instrText>
      </w:r>
      <w:r>
        <w:rPr>
          <w:noProof/>
        </w:rPr>
      </w:r>
      <w:r>
        <w:rPr>
          <w:noProof/>
        </w:rPr>
        <w:fldChar w:fldCharType="separate"/>
      </w:r>
      <w:r w:rsidR="00857D8F">
        <w:rPr>
          <w:noProof/>
        </w:rPr>
        <w:t>151</w:t>
      </w:r>
      <w:r>
        <w:rPr>
          <w:noProof/>
        </w:rPr>
        <w:fldChar w:fldCharType="end"/>
      </w:r>
    </w:p>
    <w:p w14:paraId="7E2DDE9C" w14:textId="77777777" w:rsidR="00195095" w:rsidRDefault="00195095">
      <w:pPr>
        <w:pStyle w:val="TOC5"/>
        <w:rPr>
          <w:rFonts w:asciiTheme="minorHAnsi" w:eastAsiaTheme="minorEastAsia" w:hAnsiTheme="minorHAnsi" w:cstheme="minorBidi"/>
          <w:noProof/>
          <w:kern w:val="0"/>
          <w:sz w:val="22"/>
          <w:szCs w:val="22"/>
        </w:rPr>
      </w:pPr>
      <w:r>
        <w:rPr>
          <w:noProof/>
        </w:rPr>
        <w:t>7.16  Rule relating to privacy safeguard 13—correction of data—CDR representative</w:t>
      </w:r>
      <w:r>
        <w:rPr>
          <w:noProof/>
        </w:rPr>
        <w:tab/>
      </w:r>
      <w:r>
        <w:rPr>
          <w:noProof/>
        </w:rPr>
        <w:fldChar w:fldCharType="begin"/>
      </w:r>
      <w:r>
        <w:rPr>
          <w:noProof/>
        </w:rPr>
        <w:instrText xml:space="preserve"> PAGEREF _Toc111132212 \h </w:instrText>
      </w:r>
      <w:r>
        <w:rPr>
          <w:noProof/>
        </w:rPr>
      </w:r>
      <w:r>
        <w:rPr>
          <w:noProof/>
        </w:rPr>
        <w:fldChar w:fldCharType="separate"/>
      </w:r>
      <w:r w:rsidR="00857D8F">
        <w:rPr>
          <w:noProof/>
        </w:rPr>
        <w:t>151</w:t>
      </w:r>
      <w:r>
        <w:rPr>
          <w:noProof/>
        </w:rPr>
        <w:fldChar w:fldCharType="end"/>
      </w:r>
    </w:p>
    <w:p w14:paraId="40C1FC16" w14:textId="77777777" w:rsidR="00195095" w:rsidRDefault="00195095">
      <w:pPr>
        <w:pStyle w:val="TOC2"/>
        <w:rPr>
          <w:rFonts w:asciiTheme="minorHAnsi" w:eastAsiaTheme="minorEastAsia" w:hAnsiTheme="minorHAnsi" w:cstheme="minorBidi"/>
          <w:b w:val="0"/>
          <w:noProof/>
          <w:kern w:val="0"/>
          <w:sz w:val="22"/>
          <w:szCs w:val="22"/>
        </w:rPr>
      </w:pPr>
      <w:r>
        <w:rPr>
          <w:noProof/>
        </w:rPr>
        <w:t>Part 8—Rules relating to data standards</w:t>
      </w:r>
      <w:r>
        <w:rPr>
          <w:noProof/>
        </w:rPr>
        <w:tab/>
      </w:r>
      <w:r>
        <w:rPr>
          <w:noProof/>
        </w:rPr>
        <w:fldChar w:fldCharType="begin"/>
      </w:r>
      <w:r>
        <w:rPr>
          <w:noProof/>
        </w:rPr>
        <w:instrText xml:space="preserve"> PAGEREF _Toc111132213 \h </w:instrText>
      </w:r>
      <w:r>
        <w:rPr>
          <w:noProof/>
        </w:rPr>
      </w:r>
      <w:r>
        <w:rPr>
          <w:noProof/>
        </w:rPr>
        <w:fldChar w:fldCharType="separate"/>
      </w:r>
      <w:r w:rsidR="00857D8F">
        <w:rPr>
          <w:noProof/>
        </w:rPr>
        <w:t>152</w:t>
      </w:r>
      <w:r>
        <w:rPr>
          <w:noProof/>
        </w:rPr>
        <w:fldChar w:fldCharType="end"/>
      </w:r>
    </w:p>
    <w:p w14:paraId="6CF0A3BE" w14:textId="77777777" w:rsidR="00195095" w:rsidRDefault="00195095">
      <w:pPr>
        <w:pStyle w:val="TOC3"/>
        <w:rPr>
          <w:rFonts w:asciiTheme="minorHAnsi" w:eastAsiaTheme="minorEastAsia" w:hAnsiTheme="minorHAnsi" w:cstheme="minorBidi"/>
          <w:b w:val="0"/>
          <w:noProof/>
          <w:kern w:val="0"/>
          <w:szCs w:val="22"/>
        </w:rPr>
      </w:pPr>
      <w:r>
        <w:rPr>
          <w:noProof/>
        </w:rPr>
        <w:t>Division 8.1—Preliminary</w:t>
      </w:r>
      <w:r>
        <w:rPr>
          <w:noProof/>
        </w:rPr>
        <w:tab/>
      </w:r>
      <w:r>
        <w:rPr>
          <w:noProof/>
        </w:rPr>
        <w:fldChar w:fldCharType="begin"/>
      </w:r>
      <w:r>
        <w:rPr>
          <w:noProof/>
        </w:rPr>
        <w:instrText xml:space="preserve"> PAGEREF _Toc111132214 \h </w:instrText>
      </w:r>
      <w:r>
        <w:rPr>
          <w:noProof/>
        </w:rPr>
      </w:r>
      <w:r>
        <w:rPr>
          <w:noProof/>
        </w:rPr>
        <w:fldChar w:fldCharType="separate"/>
      </w:r>
      <w:r w:rsidR="00857D8F">
        <w:rPr>
          <w:noProof/>
        </w:rPr>
        <w:t>152</w:t>
      </w:r>
      <w:r>
        <w:rPr>
          <w:noProof/>
        </w:rPr>
        <w:fldChar w:fldCharType="end"/>
      </w:r>
    </w:p>
    <w:p w14:paraId="66C6A25D" w14:textId="77777777" w:rsidR="00195095" w:rsidRDefault="00195095">
      <w:pPr>
        <w:pStyle w:val="TOC5"/>
        <w:rPr>
          <w:rFonts w:asciiTheme="minorHAnsi" w:eastAsiaTheme="minorEastAsia" w:hAnsiTheme="minorHAnsi" w:cstheme="minorBidi"/>
          <w:noProof/>
          <w:kern w:val="0"/>
          <w:sz w:val="22"/>
          <w:szCs w:val="22"/>
        </w:rPr>
      </w:pPr>
      <w:r>
        <w:rPr>
          <w:noProof/>
        </w:rPr>
        <w:t>8.1  Simplified outline of this Part</w:t>
      </w:r>
      <w:r>
        <w:rPr>
          <w:noProof/>
        </w:rPr>
        <w:tab/>
      </w:r>
      <w:r>
        <w:rPr>
          <w:noProof/>
        </w:rPr>
        <w:fldChar w:fldCharType="begin"/>
      </w:r>
      <w:r>
        <w:rPr>
          <w:noProof/>
        </w:rPr>
        <w:instrText xml:space="preserve"> PAGEREF _Toc111132215 \h </w:instrText>
      </w:r>
      <w:r>
        <w:rPr>
          <w:noProof/>
        </w:rPr>
      </w:r>
      <w:r>
        <w:rPr>
          <w:noProof/>
        </w:rPr>
        <w:fldChar w:fldCharType="separate"/>
      </w:r>
      <w:r w:rsidR="00857D8F">
        <w:rPr>
          <w:noProof/>
        </w:rPr>
        <w:t>152</w:t>
      </w:r>
      <w:r>
        <w:rPr>
          <w:noProof/>
        </w:rPr>
        <w:fldChar w:fldCharType="end"/>
      </w:r>
    </w:p>
    <w:p w14:paraId="6D4FAAD1" w14:textId="77777777" w:rsidR="00195095" w:rsidRDefault="00195095">
      <w:pPr>
        <w:pStyle w:val="TOC3"/>
        <w:rPr>
          <w:rFonts w:asciiTheme="minorHAnsi" w:eastAsiaTheme="minorEastAsia" w:hAnsiTheme="minorHAnsi" w:cstheme="minorBidi"/>
          <w:b w:val="0"/>
          <w:noProof/>
          <w:kern w:val="0"/>
          <w:szCs w:val="22"/>
        </w:rPr>
      </w:pPr>
      <w:r>
        <w:rPr>
          <w:noProof/>
        </w:rPr>
        <w:t>Division 8.2—Data Standards Advisory Committees</w:t>
      </w:r>
      <w:r>
        <w:rPr>
          <w:noProof/>
        </w:rPr>
        <w:tab/>
      </w:r>
      <w:r>
        <w:rPr>
          <w:noProof/>
        </w:rPr>
        <w:fldChar w:fldCharType="begin"/>
      </w:r>
      <w:r>
        <w:rPr>
          <w:noProof/>
        </w:rPr>
        <w:instrText xml:space="preserve"> PAGEREF _Toc111132216 \h </w:instrText>
      </w:r>
      <w:r>
        <w:rPr>
          <w:noProof/>
        </w:rPr>
      </w:r>
      <w:r>
        <w:rPr>
          <w:noProof/>
        </w:rPr>
        <w:fldChar w:fldCharType="separate"/>
      </w:r>
      <w:r w:rsidR="00857D8F">
        <w:rPr>
          <w:noProof/>
        </w:rPr>
        <w:t>152</w:t>
      </w:r>
      <w:r>
        <w:rPr>
          <w:noProof/>
        </w:rPr>
        <w:fldChar w:fldCharType="end"/>
      </w:r>
    </w:p>
    <w:p w14:paraId="2458F662" w14:textId="77777777" w:rsidR="00195095" w:rsidRDefault="00195095">
      <w:pPr>
        <w:pStyle w:val="TOC5"/>
        <w:rPr>
          <w:rFonts w:asciiTheme="minorHAnsi" w:eastAsiaTheme="minorEastAsia" w:hAnsiTheme="minorHAnsi" w:cstheme="minorBidi"/>
          <w:noProof/>
          <w:kern w:val="0"/>
          <w:sz w:val="22"/>
          <w:szCs w:val="22"/>
        </w:rPr>
      </w:pPr>
      <w:r>
        <w:rPr>
          <w:noProof/>
        </w:rPr>
        <w:t>8.2  Establishment of Data Standards Advisory Committee</w:t>
      </w:r>
      <w:r>
        <w:rPr>
          <w:noProof/>
        </w:rPr>
        <w:tab/>
      </w:r>
      <w:r>
        <w:rPr>
          <w:noProof/>
        </w:rPr>
        <w:fldChar w:fldCharType="begin"/>
      </w:r>
      <w:r>
        <w:rPr>
          <w:noProof/>
        </w:rPr>
        <w:instrText xml:space="preserve"> PAGEREF _Toc111132217 \h </w:instrText>
      </w:r>
      <w:r>
        <w:rPr>
          <w:noProof/>
        </w:rPr>
      </w:r>
      <w:r>
        <w:rPr>
          <w:noProof/>
        </w:rPr>
        <w:fldChar w:fldCharType="separate"/>
      </w:r>
      <w:r w:rsidR="00857D8F">
        <w:rPr>
          <w:noProof/>
        </w:rPr>
        <w:t>152</w:t>
      </w:r>
      <w:r>
        <w:rPr>
          <w:noProof/>
        </w:rPr>
        <w:fldChar w:fldCharType="end"/>
      </w:r>
    </w:p>
    <w:p w14:paraId="03F0DB28" w14:textId="77777777" w:rsidR="00195095" w:rsidRDefault="00195095">
      <w:pPr>
        <w:pStyle w:val="TOC5"/>
        <w:rPr>
          <w:rFonts w:asciiTheme="minorHAnsi" w:eastAsiaTheme="minorEastAsia" w:hAnsiTheme="minorHAnsi" w:cstheme="minorBidi"/>
          <w:noProof/>
          <w:kern w:val="0"/>
          <w:sz w:val="22"/>
          <w:szCs w:val="22"/>
        </w:rPr>
      </w:pPr>
      <w:r>
        <w:rPr>
          <w:noProof/>
        </w:rPr>
        <w:t>8.3  Functions of Data Standards Advisory Committee</w:t>
      </w:r>
      <w:r>
        <w:rPr>
          <w:noProof/>
        </w:rPr>
        <w:tab/>
      </w:r>
      <w:r>
        <w:rPr>
          <w:noProof/>
        </w:rPr>
        <w:fldChar w:fldCharType="begin"/>
      </w:r>
      <w:r>
        <w:rPr>
          <w:noProof/>
        </w:rPr>
        <w:instrText xml:space="preserve"> PAGEREF _Toc111132218 \h </w:instrText>
      </w:r>
      <w:r>
        <w:rPr>
          <w:noProof/>
        </w:rPr>
      </w:r>
      <w:r>
        <w:rPr>
          <w:noProof/>
        </w:rPr>
        <w:fldChar w:fldCharType="separate"/>
      </w:r>
      <w:r w:rsidR="00857D8F">
        <w:rPr>
          <w:noProof/>
        </w:rPr>
        <w:t>152</w:t>
      </w:r>
      <w:r>
        <w:rPr>
          <w:noProof/>
        </w:rPr>
        <w:fldChar w:fldCharType="end"/>
      </w:r>
    </w:p>
    <w:p w14:paraId="4A1440EF" w14:textId="77777777" w:rsidR="00195095" w:rsidRDefault="00195095">
      <w:pPr>
        <w:pStyle w:val="TOC5"/>
        <w:rPr>
          <w:rFonts w:asciiTheme="minorHAnsi" w:eastAsiaTheme="minorEastAsia" w:hAnsiTheme="minorHAnsi" w:cstheme="minorBidi"/>
          <w:noProof/>
          <w:kern w:val="0"/>
          <w:sz w:val="22"/>
          <w:szCs w:val="22"/>
        </w:rPr>
      </w:pPr>
      <w:r>
        <w:rPr>
          <w:noProof/>
        </w:rPr>
        <w:t>8.4  Appointment to Data Standards Advisory Committee</w:t>
      </w:r>
      <w:r>
        <w:rPr>
          <w:noProof/>
        </w:rPr>
        <w:tab/>
      </w:r>
      <w:r>
        <w:rPr>
          <w:noProof/>
        </w:rPr>
        <w:fldChar w:fldCharType="begin"/>
      </w:r>
      <w:r>
        <w:rPr>
          <w:noProof/>
        </w:rPr>
        <w:instrText xml:space="preserve"> PAGEREF _Toc111132219 \h </w:instrText>
      </w:r>
      <w:r>
        <w:rPr>
          <w:noProof/>
        </w:rPr>
      </w:r>
      <w:r>
        <w:rPr>
          <w:noProof/>
        </w:rPr>
        <w:fldChar w:fldCharType="separate"/>
      </w:r>
      <w:r w:rsidR="00857D8F">
        <w:rPr>
          <w:noProof/>
        </w:rPr>
        <w:t>153</w:t>
      </w:r>
      <w:r>
        <w:rPr>
          <w:noProof/>
        </w:rPr>
        <w:fldChar w:fldCharType="end"/>
      </w:r>
    </w:p>
    <w:p w14:paraId="060BDB88" w14:textId="77777777" w:rsidR="00195095" w:rsidRDefault="00195095">
      <w:pPr>
        <w:pStyle w:val="TOC5"/>
        <w:rPr>
          <w:rFonts w:asciiTheme="minorHAnsi" w:eastAsiaTheme="minorEastAsia" w:hAnsiTheme="minorHAnsi" w:cstheme="minorBidi"/>
          <w:noProof/>
          <w:kern w:val="0"/>
          <w:sz w:val="22"/>
          <w:szCs w:val="22"/>
        </w:rPr>
      </w:pPr>
      <w:r>
        <w:rPr>
          <w:noProof/>
        </w:rPr>
        <w:t>8.5  Termination of appointment and resignation</w:t>
      </w:r>
      <w:r>
        <w:rPr>
          <w:noProof/>
        </w:rPr>
        <w:tab/>
      </w:r>
      <w:r>
        <w:rPr>
          <w:noProof/>
        </w:rPr>
        <w:fldChar w:fldCharType="begin"/>
      </w:r>
      <w:r>
        <w:rPr>
          <w:noProof/>
        </w:rPr>
        <w:instrText xml:space="preserve"> PAGEREF _Toc111132220 \h </w:instrText>
      </w:r>
      <w:r>
        <w:rPr>
          <w:noProof/>
        </w:rPr>
      </w:r>
      <w:r>
        <w:rPr>
          <w:noProof/>
        </w:rPr>
        <w:fldChar w:fldCharType="separate"/>
      </w:r>
      <w:r w:rsidR="00857D8F">
        <w:rPr>
          <w:noProof/>
        </w:rPr>
        <w:t>153</w:t>
      </w:r>
      <w:r>
        <w:rPr>
          <w:noProof/>
        </w:rPr>
        <w:fldChar w:fldCharType="end"/>
      </w:r>
    </w:p>
    <w:p w14:paraId="0FF1A78F" w14:textId="77777777" w:rsidR="00195095" w:rsidRDefault="00195095">
      <w:pPr>
        <w:pStyle w:val="TOC5"/>
        <w:rPr>
          <w:rFonts w:asciiTheme="minorHAnsi" w:eastAsiaTheme="minorEastAsia" w:hAnsiTheme="minorHAnsi" w:cstheme="minorBidi"/>
          <w:noProof/>
          <w:kern w:val="0"/>
          <w:sz w:val="22"/>
          <w:szCs w:val="22"/>
        </w:rPr>
      </w:pPr>
      <w:r>
        <w:rPr>
          <w:noProof/>
        </w:rPr>
        <w:lastRenderedPageBreak/>
        <w:t>8.6  Procedural directions</w:t>
      </w:r>
      <w:r>
        <w:rPr>
          <w:noProof/>
        </w:rPr>
        <w:tab/>
      </w:r>
      <w:r>
        <w:rPr>
          <w:noProof/>
        </w:rPr>
        <w:fldChar w:fldCharType="begin"/>
      </w:r>
      <w:r>
        <w:rPr>
          <w:noProof/>
        </w:rPr>
        <w:instrText xml:space="preserve"> PAGEREF _Toc111132221 \h </w:instrText>
      </w:r>
      <w:r>
        <w:rPr>
          <w:noProof/>
        </w:rPr>
      </w:r>
      <w:r>
        <w:rPr>
          <w:noProof/>
        </w:rPr>
        <w:fldChar w:fldCharType="separate"/>
      </w:r>
      <w:r w:rsidR="00857D8F">
        <w:rPr>
          <w:noProof/>
        </w:rPr>
        <w:t>153</w:t>
      </w:r>
      <w:r>
        <w:rPr>
          <w:noProof/>
        </w:rPr>
        <w:fldChar w:fldCharType="end"/>
      </w:r>
    </w:p>
    <w:p w14:paraId="44B5C070" w14:textId="77777777" w:rsidR="00195095" w:rsidRDefault="00195095">
      <w:pPr>
        <w:pStyle w:val="TOC5"/>
        <w:rPr>
          <w:rFonts w:asciiTheme="minorHAnsi" w:eastAsiaTheme="minorEastAsia" w:hAnsiTheme="minorHAnsi" w:cstheme="minorBidi"/>
          <w:noProof/>
          <w:kern w:val="0"/>
          <w:sz w:val="22"/>
          <w:szCs w:val="22"/>
        </w:rPr>
      </w:pPr>
      <w:r>
        <w:rPr>
          <w:noProof/>
        </w:rPr>
        <w:t>8.7  Observers</w:t>
      </w:r>
      <w:r>
        <w:rPr>
          <w:noProof/>
        </w:rPr>
        <w:tab/>
      </w:r>
      <w:r>
        <w:rPr>
          <w:noProof/>
        </w:rPr>
        <w:fldChar w:fldCharType="begin"/>
      </w:r>
      <w:r>
        <w:rPr>
          <w:noProof/>
        </w:rPr>
        <w:instrText xml:space="preserve"> PAGEREF _Toc111132222 \h </w:instrText>
      </w:r>
      <w:r>
        <w:rPr>
          <w:noProof/>
        </w:rPr>
      </w:r>
      <w:r>
        <w:rPr>
          <w:noProof/>
        </w:rPr>
        <w:fldChar w:fldCharType="separate"/>
      </w:r>
      <w:r w:rsidR="00857D8F">
        <w:rPr>
          <w:noProof/>
        </w:rPr>
        <w:t>153</w:t>
      </w:r>
      <w:r>
        <w:rPr>
          <w:noProof/>
        </w:rPr>
        <w:fldChar w:fldCharType="end"/>
      </w:r>
    </w:p>
    <w:p w14:paraId="0BA457F7" w14:textId="77777777" w:rsidR="00195095" w:rsidRDefault="00195095">
      <w:pPr>
        <w:pStyle w:val="TOC3"/>
        <w:rPr>
          <w:rFonts w:asciiTheme="minorHAnsi" w:eastAsiaTheme="minorEastAsia" w:hAnsiTheme="minorHAnsi" w:cstheme="minorBidi"/>
          <w:b w:val="0"/>
          <w:noProof/>
          <w:kern w:val="0"/>
          <w:szCs w:val="22"/>
        </w:rPr>
      </w:pPr>
      <w:r>
        <w:rPr>
          <w:noProof/>
        </w:rPr>
        <w:t>Division 8.3—Reviewing, developing and amending data standards</w:t>
      </w:r>
      <w:r>
        <w:rPr>
          <w:noProof/>
        </w:rPr>
        <w:tab/>
      </w:r>
      <w:r>
        <w:rPr>
          <w:noProof/>
        </w:rPr>
        <w:fldChar w:fldCharType="begin"/>
      </w:r>
      <w:r>
        <w:rPr>
          <w:noProof/>
        </w:rPr>
        <w:instrText xml:space="preserve"> PAGEREF _Toc111132223 \h </w:instrText>
      </w:r>
      <w:r>
        <w:rPr>
          <w:noProof/>
        </w:rPr>
      </w:r>
      <w:r>
        <w:rPr>
          <w:noProof/>
        </w:rPr>
        <w:fldChar w:fldCharType="separate"/>
      </w:r>
      <w:r w:rsidR="00857D8F">
        <w:rPr>
          <w:noProof/>
        </w:rPr>
        <w:t>154</w:t>
      </w:r>
      <w:r>
        <w:rPr>
          <w:noProof/>
        </w:rPr>
        <w:fldChar w:fldCharType="end"/>
      </w:r>
    </w:p>
    <w:p w14:paraId="3ACF58F3"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8.8  Notification when developing or amending data standards</w:t>
      </w:r>
      <w:r>
        <w:rPr>
          <w:noProof/>
        </w:rPr>
        <w:tab/>
      </w:r>
      <w:r>
        <w:rPr>
          <w:noProof/>
        </w:rPr>
        <w:fldChar w:fldCharType="begin"/>
      </w:r>
      <w:r>
        <w:rPr>
          <w:noProof/>
        </w:rPr>
        <w:instrText xml:space="preserve"> PAGEREF _Toc111132224 \h </w:instrText>
      </w:r>
      <w:r>
        <w:rPr>
          <w:noProof/>
        </w:rPr>
      </w:r>
      <w:r>
        <w:rPr>
          <w:noProof/>
        </w:rPr>
        <w:fldChar w:fldCharType="separate"/>
      </w:r>
      <w:r w:rsidR="00857D8F">
        <w:rPr>
          <w:noProof/>
        </w:rPr>
        <w:t>154</w:t>
      </w:r>
      <w:r>
        <w:rPr>
          <w:noProof/>
        </w:rPr>
        <w:fldChar w:fldCharType="end"/>
      </w:r>
    </w:p>
    <w:p w14:paraId="3F944149" w14:textId="77777777" w:rsidR="00195095" w:rsidRDefault="00195095">
      <w:pPr>
        <w:pStyle w:val="TOC5"/>
        <w:rPr>
          <w:rFonts w:asciiTheme="minorHAnsi" w:eastAsiaTheme="minorEastAsia" w:hAnsiTheme="minorHAnsi" w:cstheme="minorBidi"/>
          <w:noProof/>
          <w:kern w:val="0"/>
          <w:sz w:val="22"/>
          <w:szCs w:val="22"/>
        </w:rPr>
      </w:pPr>
      <w:r>
        <w:rPr>
          <w:noProof/>
        </w:rPr>
        <w:t>8.9  Consultation when developing or amending data standards</w:t>
      </w:r>
      <w:r>
        <w:rPr>
          <w:noProof/>
        </w:rPr>
        <w:tab/>
      </w:r>
      <w:r>
        <w:rPr>
          <w:noProof/>
        </w:rPr>
        <w:fldChar w:fldCharType="begin"/>
      </w:r>
      <w:r>
        <w:rPr>
          <w:noProof/>
        </w:rPr>
        <w:instrText xml:space="preserve"> PAGEREF _Toc111132225 \h </w:instrText>
      </w:r>
      <w:r>
        <w:rPr>
          <w:noProof/>
        </w:rPr>
      </w:r>
      <w:r>
        <w:rPr>
          <w:noProof/>
        </w:rPr>
        <w:fldChar w:fldCharType="separate"/>
      </w:r>
      <w:r w:rsidR="00857D8F">
        <w:rPr>
          <w:noProof/>
        </w:rPr>
        <w:t>154</w:t>
      </w:r>
      <w:r>
        <w:rPr>
          <w:noProof/>
        </w:rPr>
        <w:fldChar w:fldCharType="end"/>
      </w:r>
    </w:p>
    <w:p w14:paraId="359973A6" w14:textId="77777777" w:rsidR="00195095" w:rsidRDefault="00195095">
      <w:pPr>
        <w:pStyle w:val="TOC5"/>
        <w:rPr>
          <w:rFonts w:asciiTheme="minorHAnsi" w:eastAsiaTheme="minorEastAsia" w:hAnsiTheme="minorHAnsi" w:cstheme="minorBidi"/>
          <w:noProof/>
          <w:kern w:val="0"/>
          <w:sz w:val="22"/>
          <w:szCs w:val="22"/>
        </w:rPr>
      </w:pPr>
      <w:r>
        <w:rPr>
          <w:noProof/>
        </w:rPr>
        <w:t>8.10  Matters to have regard to when making or amending data standards</w:t>
      </w:r>
      <w:r>
        <w:rPr>
          <w:noProof/>
        </w:rPr>
        <w:tab/>
      </w:r>
      <w:r>
        <w:rPr>
          <w:noProof/>
        </w:rPr>
        <w:fldChar w:fldCharType="begin"/>
      </w:r>
      <w:r>
        <w:rPr>
          <w:noProof/>
        </w:rPr>
        <w:instrText xml:space="preserve"> PAGEREF _Toc111132226 \h </w:instrText>
      </w:r>
      <w:r>
        <w:rPr>
          <w:noProof/>
        </w:rPr>
      </w:r>
      <w:r>
        <w:rPr>
          <w:noProof/>
        </w:rPr>
        <w:fldChar w:fldCharType="separate"/>
      </w:r>
      <w:r w:rsidR="00857D8F">
        <w:rPr>
          <w:noProof/>
        </w:rPr>
        <w:t>154</w:t>
      </w:r>
      <w:r>
        <w:rPr>
          <w:noProof/>
        </w:rPr>
        <w:fldChar w:fldCharType="end"/>
      </w:r>
    </w:p>
    <w:p w14:paraId="5AF670E2" w14:textId="77777777" w:rsidR="00195095" w:rsidRDefault="00195095">
      <w:pPr>
        <w:pStyle w:val="TOC3"/>
        <w:rPr>
          <w:rFonts w:asciiTheme="minorHAnsi" w:eastAsiaTheme="minorEastAsia" w:hAnsiTheme="minorHAnsi" w:cstheme="minorBidi"/>
          <w:b w:val="0"/>
          <w:noProof/>
          <w:kern w:val="0"/>
          <w:szCs w:val="22"/>
        </w:rPr>
      </w:pPr>
      <w:r>
        <w:rPr>
          <w:noProof/>
        </w:rPr>
        <w:t>Division 8.4—Data standards that must be made</w:t>
      </w:r>
      <w:r>
        <w:rPr>
          <w:noProof/>
        </w:rPr>
        <w:tab/>
      </w:r>
      <w:r>
        <w:rPr>
          <w:noProof/>
        </w:rPr>
        <w:fldChar w:fldCharType="begin"/>
      </w:r>
      <w:r>
        <w:rPr>
          <w:noProof/>
        </w:rPr>
        <w:instrText xml:space="preserve"> PAGEREF _Toc111132227 \h </w:instrText>
      </w:r>
      <w:r>
        <w:rPr>
          <w:noProof/>
        </w:rPr>
      </w:r>
      <w:r>
        <w:rPr>
          <w:noProof/>
        </w:rPr>
        <w:fldChar w:fldCharType="separate"/>
      </w:r>
      <w:r w:rsidR="00857D8F">
        <w:rPr>
          <w:noProof/>
        </w:rPr>
        <w:t>156</w:t>
      </w:r>
      <w:r>
        <w:rPr>
          <w:noProof/>
        </w:rPr>
        <w:fldChar w:fldCharType="end"/>
      </w:r>
    </w:p>
    <w:p w14:paraId="3B55762D" w14:textId="77777777" w:rsidR="00195095" w:rsidRDefault="00195095">
      <w:pPr>
        <w:pStyle w:val="TOC5"/>
        <w:rPr>
          <w:rFonts w:asciiTheme="minorHAnsi" w:eastAsiaTheme="minorEastAsia" w:hAnsiTheme="minorHAnsi" w:cstheme="minorBidi"/>
          <w:noProof/>
          <w:kern w:val="0"/>
          <w:sz w:val="22"/>
          <w:szCs w:val="22"/>
        </w:rPr>
      </w:pPr>
      <w:r>
        <w:rPr>
          <w:noProof/>
        </w:rPr>
        <w:t>8.11  Data standards that must be made</w:t>
      </w:r>
      <w:r>
        <w:rPr>
          <w:noProof/>
        </w:rPr>
        <w:tab/>
      </w:r>
      <w:r>
        <w:rPr>
          <w:noProof/>
        </w:rPr>
        <w:fldChar w:fldCharType="begin"/>
      </w:r>
      <w:r>
        <w:rPr>
          <w:noProof/>
        </w:rPr>
        <w:instrText xml:space="preserve"> PAGEREF _Toc111132228 \h </w:instrText>
      </w:r>
      <w:r>
        <w:rPr>
          <w:noProof/>
        </w:rPr>
      </w:r>
      <w:r>
        <w:rPr>
          <w:noProof/>
        </w:rPr>
        <w:fldChar w:fldCharType="separate"/>
      </w:r>
      <w:r w:rsidR="00857D8F">
        <w:rPr>
          <w:noProof/>
        </w:rPr>
        <w:t>156</w:t>
      </w:r>
      <w:r>
        <w:rPr>
          <w:noProof/>
        </w:rPr>
        <w:fldChar w:fldCharType="end"/>
      </w:r>
    </w:p>
    <w:p w14:paraId="58A381A6" w14:textId="77777777" w:rsidR="00195095" w:rsidRDefault="00195095">
      <w:pPr>
        <w:pStyle w:val="TOC2"/>
        <w:rPr>
          <w:rFonts w:asciiTheme="minorHAnsi" w:eastAsiaTheme="minorEastAsia" w:hAnsiTheme="minorHAnsi" w:cstheme="minorBidi"/>
          <w:b w:val="0"/>
          <w:noProof/>
          <w:kern w:val="0"/>
          <w:sz w:val="22"/>
          <w:szCs w:val="22"/>
        </w:rPr>
      </w:pPr>
      <w:r>
        <w:rPr>
          <w:noProof/>
        </w:rPr>
        <w:t>Part 9—Other matters</w:t>
      </w:r>
      <w:r>
        <w:rPr>
          <w:noProof/>
        </w:rPr>
        <w:tab/>
      </w:r>
      <w:r>
        <w:rPr>
          <w:noProof/>
        </w:rPr>
        <w:fldChar w:fldCharType="begin"/>
      </w:r>
      <w:r>
        <w:rPr>
          <w:noProof/>
        </w:rPr>
        <w:instrText xml:space="preserve"> PAGEREF _Toc111132229 \h </w:instrText>
      </w:r>
      <w:r>
        <w:rPr>
          <w:noProof/>
        </w:rPr>
      </w:r>
      <w:r>
        <w:rPr>
          <w:noProof/>
        </w:rPr>
        <w:fldChar w:fldCharType="separate"/>
      </w:r>
      <w:r w:rsidR="00857D8F">
        <w:rPr>
          <w:noProof/>
        </w:rPr>
        <w:t>158</w:t>
      </w:r>
      <w:r>
        <w:rPr>
          <w:noProof/>
        </w:rPr>
        <w:fldChar w:fldCharType="end"/>
      </w:r>
    </w:p>
    <w:p w14:paraId="13B1AD53" w14:textId="77777777" w:rsidR="00195095" w:rsidRDefault="00195095">
      <w:pPr>
        <w:pStyle w:val="TOC3"/>
        <w:rPr>
          <w:rFonts w:asciiTheme="minorHAnsi" w:eastAsiaTheme="minorEastAsia" w:hAnsiTheme="minorHAnsi" w:cstheme="minorBidi"/>
          <w:b w:val="0"/>
          <w:noProof/>
          <w:kern w:val="0"/>
          <w:szCs w:val="22"/>
        </w:rPr>
      </w:pPr>
      <w:r>
        <w:rPr>
          <w:noProof/>
        </w:rPr>
        <w:t>Division 9.1—Preliminary</w:t>
      </w:r>
      <w:r>
        <w:rPr>
          <w:noProof/>
        </w:rPr>
        <w:tab/>
      </w:r>
      <w:r>
        <w:rPr>
          <w:noProof/>
        </w:rPr>
        <w:fldChar w:fldCharType="begin"/>
      </w:r>
      <w:r>
        <w:rPr>
          <w:noProof/>
        </w:rPr>
        <w:instrText xml:space="preserve"> PAGEREF _Toc111132230 \h </w:instrText>
      </w:r>
      <w:r>
        <w:rPr>
          <w:noProof/>
        </w:rPr>
      </w:r>
      <w:r>
        <w:rPr>
          <w:noProof/>
        </w:rPr>
        <w:fldChar w:fldCharType="separate"/>
      </w:r>
      <w:r w:rsidR="00857D8F">
        <w:rPr>
          <w:noProof/>
        </w:rPr>
        <w:t>158</w:t>
      </w:r>
      <w:r>
        <w:rPr>
          <w:noProof/>
        </w:rPr>
        <w:fldChar w:fldCharType="end"/>
      </w:r>
    </w:p>
    <w:p w14:paraId="225311D6" w14:textId="77777777" w:rsidR="00195095" w:rsidRDefault="00195095">
      <w:pPr>
        <w:pStyle w:val="TOC5"/>
        <w:rPr>
          <w:rFonts w:asciiTheme="minorHAnsi" w:eastAsiaTheme="minorEastAsia" w:hAnsiTheme="minorHAnsi" w:cstheme="minorBidi"/>
          <w:noProof/>
          <w:kern w:val="0"/>
          <w:sz w:val="22"/>
          <w:szCs w:val="22"/>
        </w:rPr>
      </w:pPr>
      <w:r>
        <w:rPr>
          <w:noProof/>
        </w:rPr>
        <w:t>9.1  Simplified outline of this Part</w:t>
      </w:r>
      <w:r>
        <w:rPr>
          <w:noProof/>
        </w:rPr>
        <w:tab/>
      </w:r>
      <w:r>
        <w:rPr>
          <w:noProof/>
        </w:rPr>
        <w:fldChar w:fldCharType="begin"/>
      </w:r>
      <w:r>
        <w:rPr>
          <w:noProof/>
        </w:rPr>
        <w:instrText xml:space="preserve"> PAGEREF _Toc111132231 \h </w:instrText>
      </w:r>
      <w:r>
        <w:rPr>
          <w:noProof/>
        </w:rPr>
      </w:r>
      <w:r>
        <w:rPr>
          <w:noProof/>
        </w:rPr>
        <w:fldChar w:fldCharType="separate"/>
      </w:r>
      <w:r w:rsidR="00857D8F">
        <w:rPr>
          <w:noProof/>
        </w:rPr>
        <w:t>158</w:t>
      </w:r>
      <w:r>
        <w:rPr>
          <w:noProof/>
        </w:rPr>
        <w:fldChar w:fldCharType="end"/>
      </w:r>
    </w:p>
    <w:p w14:paraId="67DFF98F" w14:textId="77777777" w:rsidR="00195095" w:rsidRDefault="00195095">
      <w:pPr>
        <w:pStyle w:val="TOC3"/>
        <w:rPr>
          <w:rFonts w:asciiTheme="minorHAnsi" w:eastAsiaTheme="minorEastAsia" w:hAnsiTheme="minorHAnsi" w:cstheme="minorBidi"/>
          <w:b w:val="0"/>
          <w:noProof/>
          <w:kern w:val="0"/>
          <w:szCs w:val="22"/>
        </w:rPr>
      </w:pPr>
      <w:r>
        <w:rPr>
          <w:noProof/>
        </w:rPr>
        <w:t>Division 9.2—Review of decisions</w:t>
      </w:r>
      <w:r>
        <w:rPr>
          <w:noProof/>
        </w:rPr>
        <w:tab/>
      </w:r>
      <w:r>
        <w:rPr>
          <w:noProof/>
        </w:rPr>
        <w:fldChar w:fldCharType="begin"/>
      </w:r>
      <w:r>
        <w:rPr>
          <w:noProof/>
        </w:rPr>
        <w:instrText xml:space="preserve"> PAGEREF _Toc111132232 \h </w:instrText>
      </w:r>
      <w:r>
        <w:rPr>
          <w:noProof/>
        </w:rPr>
      </w:r>
      <w:r>
        <w:rPr>
          <w:noProof/>
        </w:rPr>
        <w:fldChar w:fldCharType="separate"/>
      </w:r>
      <w:r w:rsidR="00857D8F">
        <w:rPr>
          <w:noProof/>
        </w:rPr>
        <w:t>159</w:t>
      </w:r>
      <w:r>
        <w:rPr>
          <w:noProof/>
        </w:rPr>
        <w:fldChar w:fldCharType="end"/>
      </w:r>
    </w:p>
    <w:p w14:paraId="1675D358" w14:textId="77777777" w:rsidR="00195095" w:rsidRDefault="00195095">
      <w:pPr>
        <w:pStyle w:val="TOC5"/>
        <w:rPr>
          <w:rFonts w:asciiTheme="minorHAnsi" w:eastAsiaTheme="minorEastAsia" w:hAnsiTheme="minorHAnsi" w:cstheme="minorBidi"/>
          <w:noProof/>
          <w:kern w:val="0"/>
          <w:sz w:val="22"/>
          <w:szCs w:val="22"/>
        </w:rPr>
      </w:pPr>
      <w:r>
        <w:rPr>
          <w:noProof/>
        </w:rPr>
        <w:t>9.2  Review of decisions by the Administrative Appeals Tribunal</w:t>
      </w:r>
      <w:r>
        <w:rPr>
          <w:noProof/>
        </w:rPr>
        <w:tab/>
      </w:r>
      <w:r>
        <w:rPr>
          <w:noProof/>
        </w:rPr>
        <w:fldChar w:fldCharType="begin"/>
      </w:r>
      <w:r>
        <w:rPr>
          <w:noProof/>
        </w:rPr>
        <w:instrText xml:space="preserve"> PAGEREF _Toc111132233 \h </w:instrText>
      </w:r>
      <w:r>
        <w:rPr>
          <w:noProof/>
        </w:rPr>
      </w:r>
      <w:r>
        <w:rPr>
          <w:noProof/>
        </w:rPr>
        <w:fldChar w:fldCharType="separate"/>
      </w:r>
      <w:r w:rsidR="00857D8F">
        <w:rPr>
          <w:noProof/>
        </w:rPr>
        <w:t>159</w:t>
      </w:r>
      <w:r>
        <w:rPr>
          <w:noProof/>
        </w:rPr>
        <w:fldChar w:fldCharType="end"/>
      </w:r>
    </w:p>
    <w:p w14:paraId="41399C21" w14:textId="77777777" w:rsidR="00195095" w:rsidRDefault="00195095">
      <w:pPr>
        <w:pStyle w:val="TOC3"/>
        <w:rPr>
          <w:rFonts w:asciiTheme="minorHAnsi" w:eastAsiaTheme="minorEastAsia" w:hAnsiTheme="minorHAnsi" w:cstheme="minorBidi"/>
          <w:b w:val="0"/>
          <w:noProof/>
          <w:kern w:val="0"/>
          <w:szCs w:val="22"/>
        </w:rPr>
      </w:pPr>
      <w:r>
        <w:rPr>
          <w:noProof/>
        </w:rPr>
        <w:t>Division 9.3—Reporting, record keeping and audit</w:t>
      </w:r>
      <w:r>
        <w:rPr>
          <w:noProof/>
        </w:rPr>
        <w:tab/>
      </w:r>
      <w:r>
        <w:rPr>
          <w:noProof/>
        </w:rPr>
        <w:fldChar w:fldCharType="begin"/>
      </w:r>
      <w:r>
        <w:rPr>
          <w:noProof/>
        </w:rPr>
        <w:instrText xml:space="preserve"> PAGEREF _Toc111132234 \h </w:instrText>
      </w:r>
      <w:r>
        <w:rPr>
          <w:noProof/>
        </w:rPr>
      </w:r>
      <w:r>
        <w:rPr>
          <w:noProof/>
        </w:rPr>
        <w:fldChar w:fldCharType="separate"/>
      </w:r>
      <w:r w:rsidR="00857D8F">
        <w:rPr>
          <w:noProof/>
        </w:rPr>
        <w:t>160</w:t>
      </w:r>
      <w:r>
        <w:rPr>
          <w:noProof/>
        </w:rPr>
        <w:fldChar w:fldCharType="end"/>
      </w:r>
    </w:p>
    <w:p w14:paraId="5A276A90"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9.3.1—Reporting and record keeping</w:t>
      </w:r>
      <w:r>
        <w:rPr>
          <w:noProof/>
        </w:rPr>
        <w:tab/>
      </w:r>
      <w:r>
        <w:rPr>
          <w:noProof/>
        </w:rPr>
        <w:fldChar w:fldCharType="begin"/>
      </w:r>
      <w:r>
        <w:rPr>
          <w:noProof/>
        </w:rPr>
        <w:instrText xml:space="preserve"> PAGEREF _Toc111132235 \h </w:instrText>
      </w:r>
      <w:r>
        <w:rPr>
          <w:noProof/>
        </w:rPr>
      </w:r>
      <w:r>
        <w:rPr>
          <w:noProof/>
        </w:rPr>
        <w:fldChar w:fldCharType="separate"/>
      </w:r>
      <w:r w:rsidR="00857D8F">
        <w:rPr>
          <w:noProof/>
        </w:rPr>
        <w:t>160</w:t>
      </w:r>
      <w:r>
        <w:rPr>
          <w:noProof/>
        </w:rPr>
        <w:fldChar w:fldCharType="end"/>
      </w:r>
    </w:p>
    <w:p w14:paraId="35300894" w14:textId="77777777" w:rsidR="00195095" w:rsidRDefault="00195095">
      <w:pPr>
        <w:pStyle w:val="TOC5"/>
        <w:rPr>
          <w:rFonts w:asciiTheme="minorHAnsi" w:eastAsiaTheme="minorEastAsia" w:hAnsiTheme="minorHAnsi" w:cstheme="minorBidi"/>
          <w:noProof/>
          <w:kern w:val="0"/>
          <w:sz w:val="22"/>
          <w:szCs w:val="22"/>
        </w:rPr>
      </w:pPr>
      <w:r>
        <w:rPr>
          <w:noProof/>
        </w:rPr>
        <w:t>9.3  Records to be kept and maintained</w:t>
      </w:r>
      <w:r>
        <w:rPr>
          <w:noProof/>
        </w:rPr>
        <w:tab/>
      </w:r>
      <w:r>
        <w:rPr>
          <w:noProof/>
        </w:rPr>
        <w:fldChar w:fldCharType="begin"/>
      </w:r>
      <w:r>
        <w:rPr>
          <w:noProof/>
        </w:rPr>
        <w:instrText xml:space="preserve"> PAGEREF _Toc111132236 \h </w:instrText>
      </w:r>
      <w:r>
        <w:rPr>
          <w:noProof/>
        </w:rPr>
      </w:r>
      <w:r>
        <w:rPr>
          <w:noProof/>
        </w:rPr>
        <w:fldChar w:fldCharType="separate"/>
      </w:r>
      <w:r w:rsidR="00857D8F">
        <w:rPr>
          <w:noProof/>
        </w:rPr>
        <w:t>160</w:t>
      </w:r>
      <w:r>
        <w:rPr>
          <w:noProof/>
        </w:rPr>
        <w:fldChar w:fldCharType="end"/>
      </w:r>
    </w:p>
    <w:p w14:paraId="0EC5EFAF" w14:textId="77777777" w:rsidR="00195095" w:rsidRDefault="00195095">
      <w:pPr>
        <w:pStyle w:val="TOC5"/>
        <w:rPr>
          <w:rFonts w:asciiTheme="minorHAnsi" w:eastAsiaTheme="minorEastAsia" w:hAnsiTheme="minorHAnsi" w:cstheme="minorBidi"/>
          <w:noProof/>
          <w:kern w:val="0"/>
          <w:sz w:val="22"/>
          <w:szCs w:val="22"/>
        </w:rPr>
      </w:pPr>
      <w:r>
        <w:rPr>
          <w:noProof/>
        </w:rPr>
        <w:t>9.4  Reporting requirements</w:t>
      </w:r>
      <w:r>
        <w:rPr>
          <w:noProof/>
        </w:rPr>
        <w:tab/>
      </w:r>
      <w:r>
        <w:rPr>
          <w:noProof/>
        </w:rPr>
        <w:fldChar w:fldCharType="begin"/>
      </w:r>
      <w:r>
        <w:rPr>
          <w:noProof/>
        </w:rPr>
        <w:instrText xml:space="preserve"> PAGEREF _Toc111132237 \h </w:instrText>
      </w:r>
      <w:r>
        <w:rPr>
          <w:noProof/>
        </w:rPr>
      </w:r>
      <w:r>
        <w:rPr>
          <w:noProof/>
        </w:rPr>
        <w:fldChar w:fldCharType="separate"/>
      </w:r>
      <w:r w:rsidR="00857D8F">
        <w:rPr>
          <w:noProof/>
        </w:rPr>
        <w:t>163</w:t>
      </w:r>
      <w:r>
        <w:rPr>
          <w:noProof/>
        </w:rPr>
        <w:fldChar w:fldCharType="end"/>
      </w:r>
    </w:p>
    <w:p w14:paraId="5A88BEDA" w14:textId="77777777" w:rsidR="00195095" w:rsidRDefault="00195095">
      <w:pPr>
        <w:pStyle w:val="TOC5"/>
        <w:rPr>
          <w:rFonts w:asciiTheme="minorHAnsi" w:eastAsiaTheme="minorEastAsia" w:hAnsiTheme="minorHAnsi" w:cstheme="minorBidi"/>
          <w:noProof/>
          <w:kern w:val="0"/>
          <w:sz w:val="22"/>
          <w:szCs w:val="22"/>
        </w:rPr>
      </w:pPr>
      <w:r>
        <w:rPr>
          <w:noProof/>
        </w:rPr>
        <w:t>9.5  Requests from CDR consumers for copies of records</w:t>
      </w:r>
      <w:r>
        <w:rPr>
          <w:noProof/>
        </w:rPr>
        <w:tab/>
      </w:r>
      <w:r>
        <w:rPr>
          <w:noProof/>
        </w:rPr>
        <w:fldChar w:fldCharType="begin"/>
      </w:r>
      <w:r>
        <w:rPr>
          <w:noProof/>
        </w:rPr>
        <w:instrText xml:space="preserve"> PAGEREF _Toc111132238 \h </w:instrText>
      </w:r>
      <w:r>
        <w:rPr>
          <w:noProof/>
        </w:rPr>
      </w:r>
      <w:r>
        <w:rPr>
          <w:noProof/>
        </w:rPr>
        <w:fldChar w:fldCharType="separate"/>
      </w:r>
      <w:r w:rsidR="00857D8F">
        <w:rPr>
          <w:noProof/>
        </w:rPr>
        <w:t>167</w:t>
      </w:r>
      <w:r>
        <w:rPr>
          <w:noProof/>
        </w:rPr>
        <w:fldChar w:fldCharType="end"/>
      </w:r>
    </w:p>
    <w:p w14:paraId="4B0E8677" w14:textId="77777777" w:rsidR="00195095" w:rsidRDefault="00195095">
      <w:pPr>
        <w:pStyle w:val="TOC4"/>
        <w:rPr>
          <w:rFonts w:asciiTheme="minorHAnsi" w:eastAsiaTheme="minorEastAsia" w:hAnsiTheme="minorHAnsi" w:cstheme="minorBidi"/>
          <w:b w:val="0"/>
          <w:noProof/>
          <w:kern w:val="0"/>
          <w:sz w:val="22"/>
          <w:szCs w:val="22"/>
        </w:rPr>
      </w:pPr>
      <w:r>
        <w:rPr>
          <w:noProof/>
        </w:rPr>
        <w:t>Subdivision 9.3.2—Audits</w:t>
      </w:r>
      <w:r>
        <w:rPr>
          <w:noProof/>
        </w:rPr>
        <w:tab/>
      </w:r>
      <w:r>
        <w:rPr>
          <w:noProof/>
        </w:rPr>
        <w:fldChar w:fldCharType="begin"/>
      </w:r>
      <w:r>
        <w:rPr>
          <w:noProof/>
        </w:rPr>
        <w:instrText xml:space="preserve"> PAGEREF _Toc111132239 \h </w:instrText>
      </w:r>
      <w:r>
        <w:rPr>
          <w:noProof/>
        </w:rPr>
      </w:r>
      <w:r>
        <w:rPr>
          <w:noProof/>
        </w:rPr>
        <w:fldChar w:fldCharType="separate"/>
      </w:r>
      <w:r w:rsidR="00857D8F">
        <w:rPr>
          <w:noProof/>
        </w:rPr>
        <w:t>169</w:t>
      </w:r>
      <w:r>
        <w:rPr>
          <w:noProof/>
        </w:rPr>
        <w:fldChar w:fldCharType="end"/>
      </w:r>
    </w:p>
    <w:p w14:paraId="074951D6" w14:textId="77777777" w:rsidR="00195095" w:rsidRDefault="00195095">
      <w:pPr>
        <w:pStyle w:val="TOC5"/>
        <w:rPr>
          <w:rFonts w:asciiTheme="minorHAnsi" w:eastAsiaTheme="minorEastAsia" w:hAnsiTheme="minorHAnsi" w:cstheme="minorBidi"/>
          <w:noProof/>
          <w:kern w:val="0"/>
          <w:sz w:val="22"/>
          <w:szCs w:val="22"/>
        </w:rPr>
      </w:pPr>
      <w:r>
        <w:rPr>
          <w:noProof/>
        </w:rPr>
        <w:t>9.6  Audits by the Commission and the Information Commissioner</w:t>
      </w:r>
      <w:r>
        <w:rPr>
          <w:noProof/>
        </w:rPr>
        <w:tab/>
      </w:r>
      <w:r>
        <w:rPr>
          <w:noProof/>
        </w:rPr>
        <w:fldChar w:fldCharType="begin"/>
      </w:r>
      <w:r>
        <w:rPr>
          <w:noProof/>
        </w:rPr>
        <w:instrText xml:space="preserve"> PAGEREF _Toc111132240 \h </w:instrText>
      </w:r>
      <w:r>
        <w:rPr>
          <w:noProof/>
        </w:rPr>
      </w:r>
      <w:r>
        <w:rPr>
          <w:noProof/>
        </w:rPr>
        <w:fldChar w:fldCharType="separate"/>
      </w:r>
      <w:r w:rsidR="00857D8F">
        <w:rPr>
          <w:noProof/>
        </w:rPr>
        <w:t>169</w:t>
      </w:r>
      <w:r>
        <w:rPr>
          <w:noProof/>
        </w:rPr>
        <w:fldChar w:fldCharType="end"/>
      </w:r>
    </w:p>
    <w:p w14:paraId="22D5209D" w14:textId="77777777" w:rsidR="00195095" w:rsidRDefault="00195095">
      <w:pPr>
        <w:pStyle w:val="TOC5"/>
        <w:rPr>
          <w:rFonts w:asciiTheme="minorHAnsi" w:eastAsiaTheme="minorEastAsia" w:hAnsiTheme="minorHAnsi" w:cstheme="minorBidi"/>
          <w:noProof/>
          <w:kern w:val="0"/>
          <w:sz w:val="22"/>
          <w:szCs w:val="22"/>
        </w:rPr>
      </w:pPr>
      <w:r>
        <w:rPr>
          <w:noProof/>
        </w:rPr>
        <w:t>9.7  Audits by the Data Recipient Accreditor</w:t>
      </w:r>
      <w:r>
        <w:rPr>
          <w:noProof/>
        </w:rPr>
        <w:tab/>
      </w:r>
      <w:r>
        <w:rPr>
          <w:noProof/>
        </w:rPr>
        <w:fldChar w:fldCharType="begin"/>
      </w:r>
      <w:r>
        <w:rPr>
          <w:noProof/>
        </w:rPr>
        <w:instrText xml:space="preserve"> PAGEREF _Toc111132241 \h </w:instrText>
      </w:r>
      <w:r>
        <w:rPr>
          <w:noProof/>
        </w:rPr>
      </w:r>
      <w:r>
        <w:rPr>
          <w:noProof/>
        </w:rPr>
        <w:fldChar w:fldCharType="separate"/>
      </w:r>
      <w:r w:rsidR="00857D8F">
        <w:rPr>
          <w:noProof/>
        </w:rPr>
        <w:t>169</w:t>
      </w:r>
      <w:r>
        <w:rPr>
          <w:noProof/>
        </w:rPr>
        <w:fldChar w:fldCharType="end"/>
      </w:r>
    </w:p>
    <w:p w14:paraId="6550DE68" w14:textId="77777777" w:rsidR="00195095" w:rsidRDefault="00195095">
      <w:pPr>
        <w:pStyle w:val="TOC3"/>
        <w:rPr>
          <w:rFonts w:asciiTheme="minorHAnsi" w:eastAsiaTheme="minorEastAsia" w:hAnsiTheme="minorHAnsi" w:cstheme="minorBidi"/>
          <w:b w:val="0"/>
          <w:noProof/>
          <w:kern w:val="0"/>
          <w:szCs w:val="22"/>
        </w:rPr>
      </w:pPr>
      <w:r>
        <w:rPr>
          <w:noProof/>
        </w:rPr>
        <w:t>Division 9.4—Civil penalty provisions</w:t>
      </w:r>
      <w:r>
        <w:rPr>
          <w:noProof/>
        </w:rPr>
        <w:tab/>
      </w:r>
      <w:r>
        <w:rPr>
          <w:noProof/>
        </w:rPr>
        <w:fldChar w:fldCharType="begin"/>
      </w:r>
      <w:r>
        <w:rPr>
          <w:noProof/>
        </w:rPr>
        <w:instrText xml:space="preserve"> PAGEREF _Toc111132242 \h </w:instrText>
      </w:r>
      <w:r>
        <w:rPr>
          <w:noProof/>
        </w:rPr>
      </w:r>
      <w:r>
        <w:rPr>
          <w:noProof/>
        </w:rPr>
        <w:fldChar w:fldCharType="separate"/>
      </w:r>
      <w:r w:rsidR="00857D8F">
        <w:rPr>
          <w:noProof/>
        </w:rPr>
        <w:t>171</w:t>
      </w:r>
      <w:r>
        <w:rPr>
          <w:noProof/>
        </w:rPr>
        <w:fldChar w:fldCharType="end"/>
      </w:r>
    </w:p>
    <w:p w14:paraId="6A711E89" w14:textId="77777777" w:rsidR="00195095" w:rsidRDefault="00195095">
      <w:pPr>
        <w:pStyle w:val="TOC5"/>
        <w:rPr>
          <w:rFonts w:asciiTheme="minorHAnsi" w:eastAsiaTheme="minorEastAsia" w:hAnsiTheme="minorHAnsi" w:cstheme="minorBidi"/>
          <w:noProof/>
          <w:kern w:val="0"/>
          <w:sz w:val="22"/>
          <w:szCs w:val="22"/>
        </w:rPr>
      </w:pPr>
      <w:r>
        <w:rPr>
          <w:noProof/>
        </w:rPr>
        <w:t>9.8  Civil penalty provisions</w:t>
      </w:r>
      <w:r>
        <w:rPr>
          <w:noProof/>
        </w:rPr>
        <w:tab/>
      </w:r>
      <w:r>
        <w:rPr>
          <w:noProof/>
        </w:rPr>
        <w:fldChar w:fldCharType="begin"/>
      </w:r>
      <w:r>
        <w:rPr>
          <w:noProof/>
        </w:rPr>
        <w:instrText xml:space="preserve"> PAGEREF _Toc111132243 \h </w:instrText>
      </w:r>
      <w:r>
        <w:rPr>
          <w:noProof/>
        </w:rPr>
      </w:r>
      <w:r>
        <w:rPr>
          <w:noProof/>
        </w:rPr>
        <w:fldChar w:fldCharType="separate"/>
      </w:r>
      <w:r w:rsidR="00857D8F">
        <w:rPr>
          <w:noProof/>
        </w:rPr>
        <w:t>171</w:t>
      </w:r>
      <w:r>
        <w:rPr>
          <w:noProof/>
        </w:rPr>
        <w:fldChar w:fldCharType="end"/>
      </w:r>
    </w:p>
    <w:p w14:paraId="10AD570C" w14:textId="77777777" w:rsidR="00195095" w:rsidRDefault="00195095">
      <w:pPr>
        <w:pStyle w:val="TOC5"/>
        <w:rPr>
          <w:rFonts w:asciiTheme="minorHAnsi" w:eastAsiaTheme="minorEastAsia" w:hAnsiTheme="minorHAnsi" w:cstheme="minorBidi"/>
          <w:noProof/>
          <w:kern w:val="0"/>
          <w:sz w:val="22"/>
          <w:szCs w:val="22"/>
        </w:rPr>
      </w:pPr>
      <w:r w:rsidRPr="00F95A48">
        <w:rPr>
          <w:strike/>
          <w:noProof/>
          <w:color w:val="0000FF"/>
        </w:rPr>
        <w:t>9.8  Civil penalty provisions</w:t>
      </w:r>
      <w:r>
        <w:rPr>
          <w:noProof/>
        </w:rPr>
        <w:tab/>
      </w:r>
      <w:r>
        <w:rPr>
          <w:noProof/>
        </w:rPr>
        <w:fldChar w:fldCharType="begin"/>
      </w:r>
      <w:r>
        <w:rPr>
          <w:noProof/>
        </w:rPr>
        <w:instrText xml:space="preserve"> PAGEREF _Toc111132244 \h </w:instrText>
      </w:r>
      <w:r>
        <w:rPr>
          <w:noProof/>
        </w:rPr>
      </w:r>
      <w:r>
        <w:rPr>
          <w:noProof/>
        </w:rPr>
        <w:fldChar w:fldCharType="separate"/>
      </w:r>
      <w:r w:rsidR="00857D8F">
        <w:rPr>
          <w:noProof/>
        </w:rPr>
        <w:t>173</w:t>
      </w:r>
      <w:r>
        <w:rPr>
          <w:noProof/>
        </w:rPr>
        <w:fldChar w:fldCharType="end"/>
      </w:r>
    </w:p>
    <w:p w14:paraId="64F122B3" w14:textId="77777777" w:rsidR="00195095" w:rsidRDefault="00195095">
      <w:pPr>
        <w:pStyle w:val="TOC6"/>
        <w:rPr>
          <w:rFonts w:asciiTheme="minorHAnsi" w:eastAsiaTheme="minorEastAsia" w:hAnsiTheme="minorHAnsi" w:cstheme="minorBidi"/>
          <w:b w:val="0"/>
          <w:noProof/>
          <w:kern w:val="0"/>
          <w:sz w:val="22"/>
          <w:szCs w:val="22"/>
        </w:rPr>
      </w:pPr>
      <w:r>
        <w:rPr>
          <w:noProof/>
        </w:rPr>
        <w:t>Schedule 1—Default conditions on accreditations</w:t>
      </w:r>
      <w:r>
        <w:rPr>
          <w:noProof/>
        </w:rPr>
        <w:tab/>
      </w:r>
      <w:r>
        <w:rPr>
          <w:noProof/>
        </w:rPr>
        <w:fldChar w:fldCharType="begin"/>
      </w:r>
      <w:r>
        <w:rPr>
          <w:noProof/>
        </w:rPr>
        <w:instrText xml:space="preserve"> PAGEREF _Toc111132245 \h </w:instrText>
      </w:r>
      <w:r>
        <w:rPr>
          <w:noProof/>
        </w:rPr>
      </w:r>
      <w:r>
        <w:rPr>
          <w:noProof/>
        </w:rPr>
        <w:fldChar w:fldCharType="separate"/>
      </w:r>
      <w:r w:rsidR="00857D8F">
        <w:rPr>
          <w:noProof/>
        </w:rPr>
        <w:t>176</w:t>
      </w:r>
      <w:r>
        <w:rPr>
          <w:noProof/>
        </w:rPr>
        <w:fldChar w:fldCharType="end"/>
      </w:r>
    </w:p>
    <w:p w14:paraId="11CD27D7" w14:textId="77777777" w:rsidR="00195095" w:rsidRDefault="00195095">
      <w:pPr>
        <w:pStyle w:val="TOC2"/>
        <w:rPr>
          <w:rFonts w:asciiTheme="minorHAnsi" w:eastAsiaTheme="minorEastAsia" w:hAnsiTheme="minorHAnsi" w:cstheme="minorBidi"/>
          <w:b w:val="0"/>
          <w:noProof/>
          <w:kern w:val="0"/>
          <w:sz w:val="22"/>
          <w:szCs w:val="22"/>
        </w:rPr>
      </w:pPr>
      <w:r>
        <w:rPr>
          <w:noProof/>
        </w:rPr>
        <w:t>Part 1—Preliminary</w:t>
      </w:r>
      <w:r>
        <w:rPr>
          <w:noProof/>
        </w:rPr>
        <w:tab/>
      </w:r>
      <w:r>
        <w:rPr>
          <w:noProof/>
        </w:rPr>
        <w:fldChar w:fldCharType="begin"/>
      </w:r>
      <w:r>
        <w:rPr>
          <w:noProof/>
        </w:rPr>
        <w:instrText xml:space="preserve"> PAGEREF _Toc111132246 \h </w:instrText>
      </w:r>
      <w:r>
        <w:rPr>
          <w:noProof/>
        </w:rPr>
      </w:r>
      <w:r>
        <w:rPr>
          <w:noProof/>
        </w:rPr>
        <w:fldChar w:fldCharType="separate"/>
      </w:r>
      <w:r w:rsidR="00857D8F">
        <w:rPr>
          <w:noProof/>
        </w:rPr>
        <w:t>176</w:t>
      </w:r>
      <w:r>
        <w:rPr>
          <w:noProof/>
        </w:rPr>
        <w:fldChar w:fldCharType="end"/>
      </w:r>
    </w:p>
    <w:p w14:paraId="067E0B6C" w14:textId="77777777" w:rsidR="00195095" w:rsidRDefault="00195095">
      <w:pPr>
        <w:pStyle w:val="TOC5"/>
        <w:rPr>
          <w:rFonts w:asciiTheme="minorHAnsi" w:eastAsiaTheme="minorEastAsia" w:hAnsiTheme="minorHAnsi" w:cstheme="minorBidi"/>
          <w:noProof/>
          <w:kern w:val="0"/>
          <w:sz w:val="22"/>
          <w:szCs w:val="22"/>
        </w:rPr>
      </w:pPr>
      <w:r>
        <w:rPr>
          <w:noProof/>
        </w:rPr>
        <w:t>1.1  Purpose of Schedule</w:t>
      </w:r>
      <w:r>
        <w:rPr>
          <w:noProof/>
        </w:rPr>
        <w:tab/>
      </w:r>
      <w:r>
        <w:rPr>
          <w:noProof/>
        </w:rPr>
        <w:fldChar w:fldCharType="begin"/>
      </w:r>
      <w:r>
        <w:rPr>
          <w:noProof/>
        </w:rPr>
        <w:instrText xml:space="preserve"> PAGEREF _Toc111132247 \h </w:instrText>
      </w:r>
      <w:r>
        <w:rPr>
          <w:noProof/>
        </w:rPr>
      </w:r>
      <w:r>
        <w:rPr>
          <w:noProof/>
        </w:rPr>
        <w:fldChar w:fldCharType="separate"/>
      </w:r>
      <w:r w:rsidR="00857D8F">
        <w:rPr>
          <w:noProof/>
        </w:rPr>
        <w:t>176</w:t>
      </w:r>
      <w:r>
        <w:rPr>
          <w:noProof/>
        </w:rPr>
        <w:fldChar w:fldCharType="end"/>
      </w:r>
    </w:p>
    <w:p w14:paraId="2C88D712" w14:textId="77777777" w:rsidR="00195095" w:rsidRDefault="00195095">
      <w:pPr>
        <w:pStyle w:val="TOC2"/>
        <w:rPr>
          <w:rFonts w:asciiTheme="minorHAnsi" w:eastAsiaTheme="minorEastAsia" w:hAnsiTheme="minorHAnsi" w:cstheme="minorBidi"/>
          <w:b w:val="0"/>
          <w:noProof/>
          <w:kern w:val="0"/>
          <w:sz w:val="22"/>
          <w:szCs w:val="22"/>
        </w:rPr>
      </w:pPr>
      <w:r>
        <w:rPr>
          <w:noProof/>
        </w:rPr>
        <w:t>Part 2—Default conditions on accreditations</w:t>
      </w:r>
      <w:r>
        <w:rPr>
          <w:noProof/>
        </w:rPr>
        <w:tab/>
      </w:r>
      <w:r>
        <w:rPr>
          <w:noProof/>
        </w:rPr>
        <w:fldChar w:fldCharType="begin"/>
      </w:r>
      <w:r>
        <w:rPr>
          <w:noProof/>
        </w:rPr>
        <w:instrText xml:space="preserve"> PAGEREF _Toc111132248 \h </w:instrText>
      </w:r>
      <w:r>
        <w:rPr>
          <w:noProof/>
        </w:rPr>
      </w:r>
      <w:r>
        <w:rPr>
          <w:noProof/>
        </w:rPr>
        <w:fldChar w:fldCharType="separate"/>
      </w:r>
      <w:r w:rsidR="00857D8F">
        <w:rPr>
          <w:noProof/>
        </w:rPr>
        <w:t>176</w:t>
      </w:r>
      <w:r>
        <w:rPr>
          <w:noProof/>
        </w:rPr>
        <w:fldChar w:fldCharType="end"/>
      </w:r>
    </w:p>
    <w:p w14:paraId="18AFA728" w14:textId="77777777" w:rsidR="00195095" w:rsidRDefault="00195095">
      <w:pPr>
        <w:pStyle w:val="TOC5"/>
        <w:rPr>
          <w:rFonts w:asciiTheme="minorHAnsi" w:eastAsiaTheme="minorEastAsia" w:hAnsiTheme="minorHAnsi" w:cstheme="minorBidi"/>
          <w:noProof/>
          <w:kern w:val="0"/>
          <w:sz w:val="22"/>
          <w:szCs w:val="22"/>
        </w:rPr>
      </w:pPr>
      <w:r>
        <w:rPr>
          <w:noProof/>
        </w:rPr>
        <w:t>2.1  Ongoing reporting obligation on accredited persons without streamlined accreditation</w:t>
      </w:r>
      <w:r>
        <w:rPr>
          <w:noProof/>
        </w:rPr>
        <w:tab/>
      </w:r>
      <w:r>
        <w:rPr>
          <w:noProof/>
        </w:rPr>
        <w:fldChar w:fldCharType="begin"/>
      </w:r>
      <w:r>
        <w:rPr>
          <w:noProof/>
        </w:rPr>
        <w:instrText xml:space="preserve"> PAGEREF _Toc111132249 \h </w:instrText>
      </w:r>
      <w:r>
        <w:rPr>
          <w:noProof/>
        </w:rPr>
      </w:r>
      <w:r>
        <w:rPr>
          <w:noProof/>
        </w:rPr>
        <w:fldChar w:fldCharType="separate"/>
      </w:r>
      <w:r w:rsidR="00857D8F">
        <w:rPr>
          <w:noProof/>
        </w:rPr>
        <w:t>176</w:t>
      </w:r>
      <w:r>
        <w:rPr>
          <w:noProof/>
        </w:rPr>
        <w:fldChar w:fldCharType="end"/>
      </w:r>
    </w:p>
    <w:p w14:paraId="25AC664D" w14:textId="77777777" w:rsidR="00195095" w:rsidRDefault="00195095">
      <w:pPr>
        <w:pStyle w:val="TOC5"/>
        <w:rPr>
          <w:rFonts w:asciiTheme="minorHAnsi" w:eastAsiaTheme="minorEastAsia" w:hAnsiTheme="minorHAnsi" w:cstheme="minorBidi"/>
          <w:noProof/>
          <w:kern w:val="0"/>
          <w:sz w:val="22"/>
          <w:szCs w:val="22"/>
        </w:rPr>
      </w:pPr>
      <w:r>
        <w:rPr>
          <w:noProof/>
        </w:rPr>
        <w:t>2.2  Conditions on sponsors and potential sponsors</w:t>
      </w:r>
      <w:r>
        <w:rPr>
          <w:noProof/>
        </w:rPr>
        <w:tab/>
      </w:r>
      <w:r>
        <w:rPr>
          <w:noProof/>
        </w:rPr>
        <w:fldChar w:fldCharType="begin"/>
      </w:r>
      <w:r>
        <w:rPr>
          <w:noProof/>
        </w:rPr>
        <w:instrText xml:space="preserve"> PAGEREF _Toc111132250 \h </w:instrText>
      </w:r>
      <w:r>
        <w:rPr>
          <w:noProof/>
        </w:rPr>
      </w:r>
      <w:r>
        <w:rPr>
          <w:noProof/>
        </w:rPr>
        <w:fldChar w:fldCharType="separate"/>
      </w:r>
      <w:r w:rsidR="00857D8F">
        <w:rPr>
          <w:noProof/>
        </w:rPr>
        <w:t>177</w:t>
      </w:r>
      <w:r>
        <w:rPr>
          <w:noProof/>
        </w:rPr>
        <w:fldChar w:fldCharType="end"/>
      </w:r>
    </w:p>
    <w:p w14:paraId="61DD575C" w14:textId="77777777" w:rsidR="00195095" w:rsidRDefault="00195095">
      <w:pPr>
        <w:pStyle w:val="TOC6"/>
        <w:rPr>
          <w:rFonts w:asciiTheme="minorHAnsi" w:eastAsiaTheme="minorEastAsia" w:hAnsiTheme="minorHAnsi" w:cstheme="minorBidi"/>
          <w:b w:val="0"/>
          <w:noProof/>
          <w:kern w:val="0"/>
          <w:sz w:val="22"/>
          <w:szCs w:val="22"/>
        </w:rPr>
      </w:pPr>
      <w:r w:rsidRPr="00F95A48">
        <w:rPr>
          <w:noProof/>
          <w:color w:val="000000" w:themeColor="text1"/>
        </w:rPr>
        <w:t>Schedule 2—Steps for privacy safeguard 12</w:t>
      </w:r>
      <w:r w:rsidRPr="00F95A48">
        <w:rPr>
          <w:rFonts w:cs="Arial"/>
          <w:noProof/>
          <w:color w:val="000000" w:themeColor="text1"/>
        </w:rPr>
        <w:t>—</w:t>
      </w:r>
      <w:r>
        <w:rPr>
          <w:noProof/>
        </w:rPr>
        <w:t>security of CDR data held by accredited data recipients</w:t>
      </w:r>
      <w:r>
        <w:rPr>
          <w:noProof/>
        </w:rPr>
        <w:tab/>
      </w:r>
      <w:r>
        <w:rPr>
          <w:noProof/>
        </w:rPr>
        <w:fldChar w:fldCharType="begin"/>
      </w:r>
      <w:r>
        <w:rPr>
          <w:noProof/>
        </w:rPr>
        <w:instrText xml:space="preserve"> PAGEREF _Toc111132251 \h </w:instrText>
      </w:r>
      <w:r>
        <w:rPr>
          <w:noProof/>
        </w:rPr>
      </w:r>
      <w:r>
        <w:rPr>
          <w:noProof/>
        </w:rPr>
        <w:fldChar w:fldCharType="separate"/>
      </w:r>
      <w:r w:rsidR="00857D8F">
        <w:rPr>
          <w:noProof/>
        </w:rPr>
        <w:t>179</w:t>
      </w:r>
      <w:r>
        <w:rPr>
          <w:noProof/>
        </w:rPr>
        <w:fldChar w:fldCharType="end"/>
      </w:r>
    </w:p>
    <w:p w14:paraId="036D57E4" w14:textId="77777777" w:rsidR="00195095" w:rsidRDefault="00195095">
      <w:pPr>
        <w:pStyle w:val="TOC2"/>
        <w:rPr>
          <w:rFonts w:asciiTheme="minorHAnsi" w:eastAsiaTheme="minorEastAsia" w:hAnsiTheme="minorHAnsi" w:cstheme="minorBidi"/>
          <w:b w:val="0"/>
          <w:noProof/>
          <w:kern w:val="0"/>
          <w:sz w:val="22"/>
          <w:szCs w:val="22"/>
        </w:rPr>
      </w:pPr>
      <w:r>
        <w:rPr>
          <w:noProof/>
        </w:rPr>
        <w:t>Part 1—Steps for privacy safeguard 12</w:t>
      </w:r>
      <w:r>
        <w:rPr>
          <w:noProof/>
        </w:rPr>
        <w:tab/>
      </w:r>
      <w:r>
        <w:rPr>
          <w:noProof/>
        </w:rPr>
        <w:fldChar w:fldCharType="begin"/>
      </w:r>
      <w:r>
        <w:rPr>
          <w:noProof/>
        </w:rPr>
        <w:instrText xml:space="preserve"> PAGEREF _Toc111132252 \h </w:instrText>
      </w:r>
      <w:r>
        <w:rPr>
          <w:noProof/>
        </w:rPr>
      </w:r>
      <w:r>
        <w:rPr>
          <w:noProof/>
        </w:rPr>
        <w:fldChar w:fldCharType="separate"/>
      </w:r>
      <w:r w:rsidR="00857D8F">
        <w:rPr>
          <w:noProof/>
        </w:rPr>
        <w:t>179</w:t>
      </w:r>
      <w:r>
        <w:rPr>
          <w:noProof/>
        </w:rPr>
        <w:fldChar w:fldCharType="end"/>
      </w:r>
    </w:p>
    <w:p w14:paraId="14D175C9" w14:textId="77777777" w:rsidR="00195095" w:rsidRDefault="00195095">
      <w:pPr>
        <w:pStyle w:val="TOC5"/>
        <w:rPr>
          <w:rFonts w:asciiTheme="minorHAnsi" w:eastAsiaTheme="minorEastAsia" w:hAnsiTheme="minorHAnsi" w:cstheme="minorBidi"/>
          <w:noProof/>
          <w:kern w:val="0"/>
          <w:sz w:val="22"/>
          <w:szCs w:val="22"/>
        </w:rPr>
      </w:pPr>
      <w:r>
        <w:rPr>
          <w:noProof/>
        </w:rPr>
        <w:t>1.1  Purpose of Part</w:t>
      </w:r>
      <w:r>
        <w:rPr>
          <w:noProof/>
        </w:rPr>
        <w:tab/>
      </w:r>
      <w:r>
        <w:rPr>
          <w:noProof/>
        </w:rPr>
        <w:fldChar w:fldCharType="begin"/>
      </w:r>
      <w:r>
        <w:rPr>
          <w:noProof/>
        </w:rPr>
        <w:instrText xml:space="preserve"> PAGEREF _Toc111132253 \h </w:instrText>
      </w:r>
      <w:r>
        <w:rPr>
          <w:noProof/>
        </w:rPr>
      </w:r>
      <w:r>
        <w:rPr>
          <w:noProof/>
        </w:rPr>
        <w:fldChar w:fldCharType="separate"/>
      </w:r>
      <w:r w:rsidR="00857D8F">
        <w:rPr>
          <w:noProof/>
        </w:rPr>
        <w:t>179</w:t>
      </w:r>
      <w:r>
        <w:rPr>
          <w:noProof/>
        </w:rPr>
        <w:fldChar w:fldCharType="end"/>
      </w:r>
    </w:p>
    <w:p w14:paraId="42A05D16" w14:textId="77777777" w:rsidR="00195095" w:rsidRDefault="00195095">
      <w:pPr>
        <w:pStyle w:val="TOC5"/>
        <w:rPr>
          <w:rFonts w:asciiTheme="minorHAnsi" w:eastAsiaTheme="minorEastAsia" w:hAnsiTheme="minorHAnsi" w:cstheme="minorBidi"/>
          <w:noProof/>
          <w:kern w:val="0"/>
          <w:sz w:val="22"/>
          <w:szCs w:val="22"/>
        </w:rPr>
      </w:pPr>
      <w:r>
        <w:rPr>
          <w:noProof/>
        </w:rPr>
        <w:t>1.2  Interpretation</w:t>
      </w:r>
      <w:r>
        <w:rPr>
          <w:noProof/>
        </w:rPr>
        <w:tab/>
      </w:r>
      <w:r>
        <w:rPr>
          <w:noProof/>
        </w:rPr>
        <w:fldChar w:fldCharType="begin"/>
      </w:r>
      <w:r>
        <w:rPr>
          <w:noProof/>
        </w:rPr>
        <w:instrText xml:space="preserve"> PAGEREF _Toc111132254 \h </w:instrText>
      </w:r>
      <w:r>
        <w:rPr>
          <w:noProof/>
        </w:rPr>
      </w:r>
      <w:r>
        <w:rPr>
          <w:noProof/>
        </w:rPr>
        <w:fldChar w:fldCharType="separate"/>
      </w:r>
      <w:r w:rsidR="00857D8F">
        <w:rPr>
          <w:noProof/>
        </w:rPr>
        <w:t>179</w:t>
      </w:r>
      <w:r>
        <w:rPr>
          <w:noProof/>
        </w:rPr>
        <w:fldChar w:fldCharType="end"/>
      </w:r>
    </w:p>
    <w:p w14:paraId="1D1FF042" w14:textId="77777777" w:rsidR="00195095" w:rsidRDefault="00195095">
      <w:pPr>
        <w:pStyle w:val="TOC5"/>
        <w:rPr>
          <w:rFonts w:asciiTheme="minorHAnsi" w:eastAsiaTheme="minorEastAsia" w:hAnsiTheme="minorHAnsi" w:cstheme="minorBidi"/>
          <w:noProof/>
          <w:kern w:val="0"/>
          <w:sz w:val="22"/>
          <w:szCs w:val="22"/>
        </w:rPr>
      </w:pPr>
      <w:r>
        <w:rPr>
          <w:noProof/>
        </w:rPr>
        <w:t>1.3  Step 1—Define and implement security governance in relation to CDR data</w:t>
      </w:r>
      <w:r>
        <w:rPr>
          <w:noProof/>
        </w:rPr>
        <w:tab/>
      </w:r>
      <w:r>
        <w:rPr>
          <w:noProof/>
        </w:rPr>
        <w:fldChar w:fldCharType="begin"/>
      </w:r>
      <w:r>
        <w:rPr>
          <w:noProof/>
        </w:rPr>
        <w:instrText xml:space="preserve"> PAGEREF _Toc111132255 \h </w:instrText>
      </w:r>
      <w:r>
        <w:rPr>
          <w:noProof/>
        </w:rPr>
      </w:r>
      <w:r>
        <w:rPr>
          <w:noProof/>
        </w:rPr>
        <w:fldChar w:fldCharType="separate"/>
      </w:r>
      <w:r w:rsidR="00857D8F">
        <w:rPr>
          <w:noProof/>
        </w:rPr>
        <w:t>179</w:t>
      </w:r>
      <w:r>
        <w:rPr>
          <w:noProof/>
        </w:rPr>
        <w:fldChar w:fldCharType="end"/>
      </w:r>
    </w:p>
    <w:p w14:paraId="6D50D097" w14:textId="77777777" w:rsidR="00195095" w:rsidRDefault="00195095">
      <w:pPr>
        <w:pStyle w:val="TOC5"/>
        <w:rPr>
          <w:rFonts w:asciiTheme="minorHAnsi" w:eastAsiaTheme="minorEastAsia" w:hAnsiTheme="minorHAnsi" w:cstheme="minorBidi"/>
          <w:noProof/>
          <w:kern w:val="0"/>
          <w:sz w:val="22"/>
          <w:szCs w:val="22"/>
        </w:rPr>
      </w:pPr>
      <w:r>
        <w:rPr>
          <w:noProof/>
        </w:rPr>
        <w:t>1.4  Step 2—Define the boundaries of the CDR data environment</w:t>
      </w:r>
      <w:r>
        <w:rPr>
          <w:noProof/>
        </w:rPr>
        <w:tab/>
      </w:r>
      <w:r>
        <w:rPr>
          <w:noProof/>
        </w:rPr>
        <w:fldChar w:fldCharType="begin"/>
      </w:r>
      <w:r>
        <w:rPr>
          <w:noProof/>
        </w:rPr>
        <w:instrText xml:space="preserve"> PAGEREF _Toc111132256 \h </w:instrText>
      </w:r>
      <w:r>
        <w:rPr>
          <w:noProof/>
        </w:rPr>
      </w:r>
      <w:r>
        <w:rPr>
          <w:noProof/>
        </w:rPr>
        <w:fldChar w:fldCharType="separate"/>
      </w:r>
      <w:r w:rsidR="00857D8F">
        <w:rPr>
          <w:noProof/>
        </w:rPr>
        <w:t>180</w:t>
      </w:r>
      <w:r>
        <w:rPr>
          <w:noProof/>
        </w:rPr>
        <w:fldChar w:fldCharType="end"/>
      </w:r>
    </w:p>
    <w:p w14:paraId="505F2F09" w14:textId="77777777" w:rsidR="00195095" w:rsidRDefault="00195095">
      <w:pPr>
        <w:pStyle w:val="TOC5"/>
        <w:rPr>
          <w:rFonts w:asciiTheme="minorHAnsi" w:eastAsiaTheme="minorEastAsia" w:hAnsiTheme="minorHAnsi" w:cstheme="minorBidi"/>
          <w:noProof/>
          <w:kern w:val="0"/>
          <w:sz w:val="22"/>
          <w:szCs w:val="22"/>
        </w:rPr>
      </w:pPr>
      <w:r>
        <w:rPr>
          <w:noProof/>
        </w:rPr>
        <w:t>1.5  Step 3—Have and maintain an information security capability</w:t>
      </w:r>
      <w:r>
        <w:rPr>
          <w:noProof/>
        </w:rPr>
        <w:tab/>
      </w:r>
      <w:r>
        <w:rPr>
          <w:noProof/>
        </w:rPr>
        <w:fldChar w:fldCharType="begin"/>
      </w:r>
      <w:r>
        <w:rPr>
          <w:noProof/>
        </w:rPr>
        <w:instrText xml:space="preserve"> PAGEREF _Toc111132257 \h </w:instrText>
      </w:r>
      <w:r>
        <w:rPr>
          <w:noProof/>
        </w:rPr>
      </w:r>
      <w:r>
        <w:rPr>
          <w:noProof/>
        </w:rPr>
        <w:fldChar w:fldCharType="separate"/>
      </w:r>
      <w:r w:rsidR="00857D8F">
        <w:rPr>
          <w:noProof/>
        </w:rPr>
        <w:t>180</w:t>
      </w:r>
      <w:r>
        <w:rPr>
          <w:noProof/>
        </w:rPr>
        <w:fldChar w:fldCharType="end"/>
      </w:r>
    </w:p>
    <w:p w14:paraId="6E9C419C" w14:textId="77777777" w:rsidR="00195095" w:rsidRDefault="00195095">
      <w:pPr>
        <w:pStyle w:val="TOC5"/>
        <w:rPr>
          <w:rFonts w:asciiTheme="minorHAnsi" w:eastAsiaTheme="minorEastAsia" w:hAnsiTheme="minorHAnsi" w:cstheme="minorBidi"/>
          <w:noProof/>
          <w:kern w:val="0"/>
          <w:sz w:val="22"/>
          <w:szCs w:val="22"/>
        </w:rPr>
      </w:pPr>
      <w:r>
        <w:rPr>
          <w:noProof/>
        </w:rPr>
        <w:t>1.6  Step 4—Implement a formal controls assessment program</w:t>
      </w:r>
      <w:r>
        <w:rPr>
          <w:noProof/>
        </w:rPr>
        <w:tab/>
      </w:r>
      <w:r>
        <w:rPr>
          <w:noProof/>
        </w:rPr>
        <w:fldChar w:fldCharType="begin"/>
      </w:r>
      <w:r>
        <w:rPr>
          <w:noProof/>
        </w:rPr>
        <w:instrText xml:space="preserve"> PAGEREF _Toc111132258 \h </w:instrText>
      </w:r>
      <w:r>
        <w:rPr>
          <w:noProof/>
        </w:rPr>
      </w:r>
      <w:r>
        <w:rPr>
          <w:noProof/>
        </w:rPr>
        <w:fldChar w:fldCharType="separate"/>
      </w:r>
      <w:r w:rsidR="00857D8F">
        <w:rPr>
          <w:noProof/>
        </w:rPr>
        <w:t>181</w:t>
      </w:r>
      <w:r>
        <w:rPr>
          <w:noProof/>
        </w:rPr>
        <w:fldChar w:fldCharType="end"/>
      </w:r>
    </w:p>
    <w:p w14:paraId="7B8DF99A" w14:textId="77777777" w:rsidR="00195095" w:rsidRDefault="00195095">
      <w:pPr>
        <w:pStyle w:val="TOC5"/>
        <w:rPr>
          <w:rFonts w:asciiTheme="minorHAnsi" w:eastAsiaTheme="minorEastAsia" w:hAnsiTheme="minorHAnsi" w:cstheme="minorBidi"/>
          <w:noProof/>
          <w:kern w:val="0"/>
          <w:sz w:val="22"/>
          <w:szCs w:val="22"/>
        </w:rPr>
      </w:pPr>
      <w:r>
        <w:rPr>
          <w:noProof/>
        </w:rPr>
        <w:t>1.7  Step 5—Manage and report security incidents</w:t>
      </w:r>
      <w:r>
        <w:rPr>
          <w:noProof/>
        </w:rPr>
        <w:tab/>
      </w:r>
      <w:r>
        <w:rPr>
          <w:noProof/>
        </w:rPr>
        <w:fldChar w:fldCharType="begin"/>
      </w:r>
      <w:r>
        <w:rPr>
          <w:noProof/>
        </w:rPr>
        <w:instrText xml:space="preserve"> PAGEREF _Toc111132259 \h </w:instrText>
      </w:r>
      <w:r>
        <w:rPr>
          <w:noProof/>
        </w:rPr>
      </w:r>
      <w:r>
        <w:rPr>
          <w:noProof/>
        </w:rPr>
        <w:fldChar w:fldCharType="separate"/>
      </w:r>
      <w:r w:rsidR="00857D8F">
        <w:rPr>
          <w:noProof/>
        </w:rPr>
        <w:t>181</w:t>
      </w:r>
      <w:r>
        <w:rPr>
          <w:noProof/>
        </w:rPr>
        <w:fldChar w:fldCharType="end"/>
      </w:r>
    </w:p>
    <w:p w14:paraId="10AD7392" w14:textId="77777777" w:rsidR="00195095" w:rsidRDefault="00195095">
      <w:pPr>
        <w:pStyle w:val="TOC2"/>
        <w:rPr>
          <w:rFonts w:asciiTheme="minorHAnsi" w:eastAsiaTheme="minorEastAsia" w:hAnsiTheme="minorHAnsi" w:cstheme="minorBidi"/>
          <w:b w:val="0"/>
          <w:noProof/>
          <w:kern w:val="0"/>
          <w:sz w:val="22"/>
          <w:szCs w:val="22"/>
        </w:rPr>
      </w:pPr>
      <w:r>
        <w:rPr>
          <w:noProof/>
        </w:rPr>
        <w:t>Part 2—Minimum information security controls</w:t>
      </w:r>
      <w:r>
        <w:rPr>
          <w:noProof/>
        </w:rPr>
        <w:tab/>
      </w:r>
      <w:r>
        <w:rPr>
          <w:noProof/>
        </w:rPr>
        <w:fldChar w:fldCharType="begin"/>
      </w:r>
      <w:r>
        <w:rPr>
          <w:noProof/>
        </w:rPr>
        <w:instrText xml:space="preserve"> PAGEREF _Toc111132260 \h </w:instrText>
      </w:r>
      <w:r>
        <w:rPr>
          <w:noProof/>
        </w:rPr>
      </w:r>
      <w:r>
        <w:rPr>
          <w:noProof/>
        </w:rPr>
        <w:fldChar w:fldCharType="separate"/>
      </w:r>
      <w:r w:rsidR="00857D8F">
        <w:rPr>
          <w:noProof/>
        </w:rPr>
        <w:t>183</w:t>
      </w:r>
      <w:r>
        <w:rPr>
          <w:noProof/>
        </w:rPr>
        <w:fldChar w:fldCharType="end"/>
      </w:r>
    </w:p>
    <w:p w14:paraId="69376DCC" w14:textId="77777777" w:rsidR="00195095" w:rsidRDefault="00195095">
      <w:pPr>
        <w:pStyle w:val="TOC5"/>
        <w:rPr>
          <w:rFonts w:asciiTheme="minorHAnsi" w:eastAsiaTheme="minorEastAsia" w:hAnsiTheme="minorHAnsi" w:cstheme="minorBidi"/>
          <w:noProof/>
          <w:kern w:val="0"/>
          <w:sz w:val="22"/>
          <w:szCs w:val="22"/>
        </w:rPr>
      </w:pPr>
      <w:r>
        <w:rPr>
          <w:noProof/>
        </w:rPr>
        <w:t>2.1  Purpose of Part</w:t>
      </w:r>
      <w:r>
        <w:rPr>
          <w:noProof/>
        </w:rPr>
        <w:tab/>
      </w:r>
      <w:r>
        <w:rPr>
          <w:noProof/>
        </w:rPr>
        <w:fldChar w:fldCharType="begin"/>
      </w:r>
      <w:r>
        <w:rPr>
          <w:noProof/>
        </w:rPr>
        <w:instrText xml:space="preserve"> PAGEREF _Toc111132261 \h </w:instrText>
      </w:r>
      <w:r>
        <w:rPr>
          <w:noProof/>
        </w:rPr>
      </w:r>
      <w:r>
        <w:rPr>
          <w:noProof/>
        </w:rPr>
        <w:fldChar w:fldCharType="separate"/>
      </w:r>
      <w:r w:rsidR="00857D8F">
        <w:rPr>
          <w:noProof/>
        </w:rPr>
        <w:t>183</w:t>
      </w:r>
      <w:r>
        <w:rPr>
          <w:noProof/>
        </w:rPr>
        <w:fldChar w:fldCharType="end"/>
      </w:r>
    </w:p>
    <w:p w14:paraId="0E7C0913" w14:textId="77777777" w:rsidR="00195095" w:rsidRDefault="00195095">
      <w:pPr>
        <w:pStyle w:val="TOC5"/>
        <w:rPr>
          <w:rFonts w:asciiTheme="minorHAnsi" w:eastAsiaTheme="minorEastAsia" w:hAnsiTheme="minorHAnsi" w:cstheme="minorBidi"/>
          <w:noProof/>
          <w:kern w:val="0"/>
          <w:sz w:val="22"/>
          <w:szCs w:val="22"/>
        </w:rPr>
      </w:pPr>
      <w:r>
        <w:rPr>
          <w:noProof/>
        </w:rPr>
        <w:t>2.2  Information security controls</w:t>
      </w:r>
      <w:r>
        <w:rPr>
          <w:noProof/>
        </w:rPr>
        <w:tab/>
      </w:r>
      <w:r>
        <w:rPr>
          <w:noProof/>
        </w:rPr>
        <w:fldChar w:fldCharType="begin"/>
      </w:r>
      <w:r>
        <w:rPr>
          <w:noProof/>
        </w:rPr>
        <w:instrText xml:space="preserve"> PAGEREF _Toc111132262 \h </w:instrText>
      </w:r>
      <w:r>
        <w:rPr>
          <w:noProof/>
        </w:rPr>
      </w:r>
      <w:r>
        <w:rPr>
          <w:noProof/>
        </w:rPr>
        <w:fldChar w:fldCharType="separate"/>
      </w:r>
      <w:r w:rsidR="00857D8F">
        <w:rPr>
          <w:noProof/>
        </w:rPr>
        <w:t>183</w:t>
      </w:r>
      <w:r>
        <w:rPr>
          <w:noProof/>
        </w:rPr>
        <w:fldChar w:fldCharType="end"/>
      </w:r>
    </w:p>
    <w:p w14:paraId="4774C8D6" w14:textId="77777777" w:rsidR="00195095" w:rsidRDefault="00195095">
      <w:pPr>
        <w:pStyle w:val="TOC6"/>
        <w:rPr>
          <w:rFonts w:asciiTheme="minorHAnsi" w:eastAsiaTheme="minorEastAsia" w:hAnsiTheme="minorHAnsi" w:cstheme="minorBidi"/>
          <w:b w:val="0"/>
          <w:noProof/>
          <w:kern w:val="0"/>
          <w:sz w:val="22"/>
          <w:szCs w:val="22"/>
        </w:rPr>
      </w:pPr>
      <w:r>
        <w:rPr>
          <w:noProof/>
        </w:rPr>
        <w:t>Schedule 3—Provisions relevant to the banking sector</w:t>
      </w:r>
      <w:r>
        <w:rPr>
          <w:noProof/>
        </w:rPr>
        <w:tab/>
      </w:r>
      <w:r>
        <w:rPr>
          <w:noProof/>
        </w:rPr>
        <w:fldChar w:fldCharType="begin"/>
      </w:r>
      <w:r>
        <w:rPr>
          <w:noProof/>
        </w:rPr>
        <w:instrText xml:space="preserve"> PAGEREF _Toc111132263 \h </w:instrText>
      </w:r>
      <w:r>
        <w:rPr>
          <w:noProof/>
        </w:rPr>
      </w:r>
      <w:r>
        <w:rPr>
          <w:noProof/>
        </w:rPr>
        <w:fldChar w:fldCharType="separate"/>
      </w:r>
      <w:r w:rsidR="00857D8F">
        <w:rPr>
          <w:noProof/>
        </w:rPr>
        <w:t>189</w:t>
      </w:r>
      <w:r>
        <w:rPr>
          <w:noProof/>
        </w:rPr>
        <w:fldChar w:fldCharType="end"/>
      </w:r>
    </w:p>
    <w:p w14:paraId="664996A7" w14:textId="77777777" w:rsidR="00195095" w:rsidRDefault="00195095">
      <w:pPr>
        <w:pStyle w:val="TOC2"/>
        <w:rPr>
          <w:rFonts w:asciiTheme="minorHAnsi" w:eastAsiaTheme="minorEastAsia" w:hAnsiTheme="minorHAnsi" w:cstheme="minorBidi"/>
          <w:b w:val="0"/>
          <w:noProof/>
          <w:kern w:val="0"/>
          <w:sz w:val="22"/>
          <w:szCs w:val="22"/>
        </w:rPr>
      </w:pPr>
      <w:r>
        <w:rPr>
          <w:noProof/>
        </w:rPr>
        <w:lastRenderedPageBreak/>
        <w:t>Part 1—Preliminary</w:t>
      </w:r>
      <w:r>
        <w:rPr>
          <w:noProof/>
        </w:rPr>
        <w:tab/>
      </w:r>
      <w:r>
        <w:rPr>
          <w:noProof/>
        </w:rPr>
        <w:fldChar w:fldCharType="begin"/>
      </w:r>
      <w:r>
        <w:rPr>
          <w:noProof/>
        </w:rPr>
        <w:instrText xml:space="preserve"> PAGEREF _Toc111132264 \h </w:instrText>
      </w:r>
      <w:r>
        <w:rPr>
          <w:noProof/>
        </w:rPr>
      </w:r>
      <w:r>
        <w:rPr>
          <w:noProof/>
        </w:rPr>
        <w:fldChar w:fldCharType="separate"/>
      </w:r>
      <w:r w:rsidR="00857D8F">
        <w:rPr>
          <w:noProof/>
        </w:rPr>
        <w:t>189</w:t>
      </w:r>
      <w:r>
        <w:rPr>
          <w:noProof/>
        </w:rPr>
        <w:fldChar w:fldCharType="end"/>
      </w:r>
    </w:p>
    <w:p w14:paraId="30256780" w14:textId="77777777" w:rsidR="00195095" w:rsidRDefault="00195095">
      <w:pPr>
        <w:pStyle w:val="TOC5"/>
        <w:rPr>
          <w:rFonts w:asciiTheme="minorHAnsi" w:eastAsiaTheme="minorEastAsia" w:hAnsiTheme="minorHAnsi" w:cstheme="minorBidi"/>
          <w:noProof/>
          <w:kern w:val="0"/>
          <w:sz w:val="22"/>
          <w:szCs w:val="22"/>
        </w:rPr>
      </w:pPr>
      <w:r>
        <w:rPr>
          <w:noProof/>
        </w:rPr>
        <w:t>1.1  Simplified outline of this Schedule</w:t>
      </w:r>
      <w:r>
        <w:rPr>
          <w:noProof/>
        </w:rPr>
        <w:tab/>
      </w:r>
      <w:r>
        <w:rPr>
          <w:noProof/>
        </w:rPr>
        <w:fldChar w:fldCharType="begin"/>
      </w:r>
      <w:r>
        <w:rPr>
          <w:noProof/>
        </w:rPr>
        <w:instrText xml:space="preserve"> PAGEREF _Toc111132265 \h </w:instrText>
      </w:r>
      <w:r>
        <w:rPr>
          <w:noProof/>
        </w:rPr>
      </w:r>
      <w:r>
        <w:rPr>
          <w:noProof/>
        </w:rPr>
        <w:fldChar w:fldCharType="separate"/>
      </w:r>
      <w:r w:rsidR="00857D8F">
        <w:rPr>
          <w:noProof/>
        </w:rPr>
        <w:t>189</w:t>
      </w:r>
      <w:r>
        <w:rPr>
          <w:noProof/>
        </w:rPr>
        <w:fldChar w:fldCharType="end"/>
      </w:r>
    </w:p>
    <w:p w14:paraId="26006362" w14:textId="77777777" w:rsidR="00195095" w:rsidRDefault="00195095">
      <w:pPr>
        <w:pStyle w:val="TOC5"/>
        <w:rPr>
          <w:rFonts w:asciiTheme="minorHAnsi" w:eastAsiaTheme="minorEastAsia" w:hAnsiTheme="minorHAnsi" w:cstheme="minorBidi"/>
          <w:noProof/>
          <w:kern w:val="0"/>
          <w:sz w:val="22"/>
          <w:szCs w:val="22"/>
        </w:rPr>
      </w:pPr>
      <w:r>
        <w:rPr>
          <w:noProof/>
        </w:rPr>
        <w:t>1.2  Interpretation</w:t>
      </w:r>
      <w:r>
        <w:rPr>
          <w:noProof/>
        </w:rPr>
        <w:tab/>
      </w:r>
      <w:r>
        <w:rPr>
          <w:noProof/>
        </w:rPr>
        <w:fldChar w:fldCharType="begin"/>
      </w:r>
      <w:r>
        <w:rPr>
          <w:noProof/>
        </w:rPr>
        <w:instrText xml:space="preserve"> PAGEREF _Toc111132266 \h </w:instrText>
      </w:r>
      <w:r>
        <w:rPr>
          <w:noProof/>
        </w:rPr>
      </w:r>
      <w:r>
        <w:rPr>
          <w:noProof/>
        </w:rPr>
        <w:fldChar w:fldCharType="separate"/>
      </w:r>
      <w:r w:rsidR="00857D8F">
        <w:rPr>
          <w:noProof/>
        </w:rPr>
        <w:t>189</w:t>
      </w:r>
      <w:r>
        <w:rPr>
          <w:noProof/>
        </w:rPr>
        <w:fldChar w:fldCharType="end"/>
      </w:r>
    </w:p>
    <w:p w14:paraId="77F15DD2" w14:textId="77777777" w:rsidR="00195095" w:rsidRDefault="00195095">
      <w:pPr>
        <w:pStyle w:val="TOC5"/>
        <w:rPr>
          <w:rFonts w:asciiTheme="minorHAnsi" w:eastAsiaTheme="minorEastAsia" w:hAnsiTheme="minorHAnsi" w:cstheme="minorBidi"/>
          <w:noProof/>
          <w:kern w:val="0"/>
          <w:sz w:val="22"/>
          <w:szCs w:val="22"/>
        </w:rPr>
      </w:pPr>
      <w:r>
        <w:rPr>
          <w:noProof/>
        </w:rPr>
        <w:t xml:space="preserve">1.3  Meaning of </w:t>
      </w:r>
      <w:r w:rsidRPr="00F95A48">
        <w:rPr>
          <w:i/>
          <w:noProof/>
        </w:rPr>
        <w:t>customer data</w:t>
      </w:r>
      <w:r>
        <w:rPr>
          <w:noProof/>
        </w:rPr>
        <w:t xml:space="preserve">, </w:t>
      </w:r>
      <w:r w:rsidRPr="00F95A48">
        <w:rPr>
          <w:i/>
          <w:noProof/>
        </w:rPr>
        <w:t>account data</w:t>
      </w:r>
      <w:r>
        <w:rPr>
          <w:noProof/>
        </w:rPr>
        <w:t xml:space="preserve">, </w:t>
      </w:r>
      <w:r w:rsidRPr="00F95A48">
        <w:rPr>
          <w:i/>
          <w:noProof/>
        </w:rPr>
        <w:t xml:space="preserve">transaction data </w:t>
      </w:r>
      <w:r>
        <w:rPr>
          <w:noProof/>
        </w:rPr>
        <w:t xml:space="preserve">and </w:t>
      </w:r>
      <w:r w:rsidRPr="00F95A48">
        <w:rPr>
          <w:i/>
          <w:noProof/>
        </w:rPr>
        <w:t>product specific data</w:t>
      </w:r>
      <w:r>
        <w:rPr>
          <w:noProof/>
        </w:rPr>
        <w:tab/>
      </w:r>
      <w:r>
        <w:rPr>
          <w:noProof/>
        </w:rPr>
        <w:fldChar w:fldCharType="begin"/>
      </w:r>
      <w:r>
        <w:rPr>
          <w:noProof/>
        </w:rPr>
        <w:instrText xml:space="preserve"> PAGEREF _Toc111132267 \h </w:instrText>
      </w:r>
      <w:r>
        <w:rPr>
          <w:noProof/>
        </w:rPr>
      </w:r>
      <w:r>
        <w:rPr>
          <w:noProof/>
        </w:rPr>
        <w:fldChar w:fldCharType="separate"/>
      </w:r>
      <w:r w:rsidR="00857D8F">
        <w:rPr>
          <w:noProof/>
        </w:rPr>
        <w:t>190</w:t>
      </w:r>
      <w:r>
        <w:rPr>
          <w:noProof/>
        </w:rPr>
        <w:fldChar w:fldCharType="end"/>
      </w:r>
    </w:p>
    <w:p w14:paraId="01A93C7A" w14:textId="77777777" w:rsidR="00195095" w:rsidRDefault="00195095">
      <w:pPr>
        <w:pStyle w:val="TOC5"/>
        <w:rPr>
          <w:rFonts w:asciiTheme="minorHAnsi" w:eastAsiaTheme="minorEastAsia" w:hAnsiTheme="minorHAnsi" w:cstheme="minorBidi"/>
          <w:noProof/>
          <w:kern w:val="0"/>
          <w:sz w:val="22"/>
          <w:szCs w:val="22"/>
        </w:rPr>
      </w:pPr>
      <w:r>
        <w:rPr>
          <w:noProof/>
        </w:rPr>
        <w:t xml:space="preserve">1.4  Meaning of </w:t>
      </w:r>
      <w:r w:rsidRPr="00F95A48">
        <w:rPr>
          <w:i/>
          <w:noProof/>
        </w:rPr>
        <w:t>phase 1 product</w:t>
      </w:r>
      <w:r>
        <w:rPr>
          <w:noProof/>
        </w:rPr>
        <w:t xml:space="preserve">, </w:t>
      </w:r>
      <w:r w:rsidRPr="00F95A48">
        <w:rPr>
          <w:i/>
          <w:noProof/>
        </w:rPr>
        <w:t xml:space="preserve">phase 2 product </w:t>
      </w:r>
      <w:r>
        <w:rPr>
          <w:noProof/>
        </w:rPr>
        <w:t xml:space="preserve">and </w:t>
      </w:r>
      <w:r w:rsidRPr="00F95A48">
        <w:rPr>
          <w:i/>
          <w:noProof/>
        </w:rPr>
        <w:t>phase 3 product</w:t>
      </w:r>
      <w:r>
        <w:rPr>
          <w:noProof/>
        </w:rPr>
        <w:tab/>
      </w:r>
      <w:r>
        <w:rPr>
          <w:noProof/>
        </w:rPr>
        <w:fldChar w:fldCharType="begin"/>
      </w:r>
      <w:r>
        <w:rPr>
          <w:noProof/>
        </w:rPr>
        <w:instrText xml:space="preserve"> PAGEREF _Toc111132268 \h </w:instrText>
      </w:r>
      <w:r>
        <w:rPr>
          <w:noProof/>
        </w:rPr>
      </w:r>
      <w:r>
        <w:rPr>
          <w:noProof/>
        </w:rPr>
        <w:fldChar w:fldCharType="separate"/>
      </w:r>
      <w:r w:rsidR="00857D8F">
        <w:rPr>
          <w:noProof/>
        </w:rPr>
        <w:t>192</w:t>
      </w:r>
      <w:r>
        <w:rPr>
          <w:noProof/>
        </w:rPr>
        <w:fldChar w:fldCharType="end"/>
      </w:r>
    </w:p>
    <w:p w14:paraId="5481B91C"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1.5  Meaning of trial product</w:t>
      </w:r>
      <w:r>
        <w:rPr>
          <w:noProof/>
        </w:rPr>
        <w:tab/>
      </w:r>
      <w:r>
        <w:rPr>
          <w:noProof/>
        </w:rPr>
        <w:fldChar w:fldCharType="begin"/>
      </w:r>
      <w:r>
        <w:rPr>
          <w:noProof/>
        </w:rPr>
        <w:instrText xml:space="preserve"> PAGEREF _Toc111132269 \h </w:instrText>
      </w:r>
      <w:r>
        <w:rPr>
          <w:noProof/>
        </w:rPr>
      </w:r>
      <w:r>
        <w:rPr>
          <w:noProof/>
        </w:rPr>
        <w:fldChar w:fldCharType="separate"/>
      </w:r>
      <w:r w:rsidR="00857D8F">
        <w:rPr>
          <w:noProof/>
        </w:rPr>
        <w:t>193</w:t>
      </w:r>
      <w:r>
        <w:rPr>
          <w:noProof/>
        </w:rPr>
        <w:fldChar w:fldCharType="end"/>
      </w:r>
    </w:p>
    <w:p w14:paraId="0FA74822" w14:textId="77777777" w:rsidR="00195095" w:rsidRDefault="00195095">
      <w:pPr>
        <w:pStyle w:val="TOC2"/>
        <w:rPr>
          <w:rFonts w:asciiTheme="minorHAnsi" w:eastAsiaTheme="minorEastAsia" w:hAnsiTheme="minorHAnsi" w:cstheme="minorBidi"/>
          <w:b w:val="0"/>
          <w:noProof/>
          <w:kern w:val="0"/>
          <w:sz w:val="22"/>
          <w:szCs w:val="22"/>
        </w:rPr>
      </w:pPr>
      <w:r>
        <w:rPr>
          <w:noProof/>
        </w:rPr>
        <w:t>Part 2—Eligible CDR consumers—banking sector</w:t>
      </w:r>
      <w:r>
        <w:rPr>
          <w:noProof/>
        </w:rPr>
        <w:tab/>
      </w:r>
      <w:r>
        <w:rPr>
          <w:noProof/>
        </w:rPr>
        <w:fldChar w:fldCharType="begin"/>
      </w:r>
      <w:r>
        <w:rPr>
          <w:noProof/>
        </w:rPr>
        <w:instrText xml:space="preserve"> PAGEREF _Toc111132270 \h </w:instrText>
      </w:r>
      <w:r>
        <w:rPr>
          <w:noProof/>
        </w:rPr>
      </w:r>
      <w:r>
        <w:rPr>
          <w:noProof/>
        </w:rPr>
        <w:fldChar w:fldCharType="separate"/>
      </w:r>
      <w:r w:rsidR="00857D8F">
        <w:rPr>
          <w:noProof/>
        </w:rPr>
        <w:t>194</w:t>
      </w:r>
      <w:r>
        <w:rPr>
          <w:noProof/>
        </w:rPr>
        <w:fldChar w:fldCharType="end"/>
      </w:r>
    </w:p>
    <w:p w14:paraId="1F8700F1" w14:textId="77777777" w:rsidR="00195095" w:rsidRDefault="00195095">
      <w:pPr>
        <w:pStyle w:val="TOC5"/>
        <w:rPr>
          <w:rFonts w:asciiTheme="minorHAnsi" w:eastAsiaTheme="minorEastAsia" w:hAnsiTheme="minorHAnsi" w:cstheme="minorBidi"/>
          <w:noProof/>
          <w:kern w:val="0"/>
          <w:sz w:val="22"/>
          <w:szCs w:val="22"/>
        </w:rPr>
      </w:pPr>
      <w:r>
        <w:rPr>
          <w:noProof/>
        </w:rPr>
        <w:t>2.1  Additional criteria for eligibility—banking sector</w:t>
      </w:r>
      <w:r>
        <w:rPr>
          <w:noProof/>
        </w:rPr>
        <w:tab/>
      </w:r>
      <w:r>
        <w:rPr>
          <w:noProof/>
        </w:rPr>
        <w:fldChar w:fldCharType="begin"/>
      </w:r>
      <w:r>
        <w:rPr>
          <w:noProof/>
        </w:rPr>
        <w:instrText xml:space="preserve"> PAGEREF _Toc111132271 \h </w:instrText>
      </w:r>
      <w:r>
        <w:rPr>
          <w:noProof/>
        </w:rPr>
      </w:r>
      <w:r>
        <w:rPr>
          <w:noProof/>
        </w:rPr>
        <w:fldChar w:fldCharType="separate"/>
      </w:r>
      <w:r w:rsidR="00857D8F">
        <w:rPr>
          <w:noProof/>
        </w:rPr>
        <w:t>194</w:t>
      </w:r>
      <w:r>
        <w:rPr>
          <w:noProof/>
        </w:rPr>
        <w:fldChar w:fldCharType="end"/>
      </w:r>
    </w:p>
    <w:p w14:paraId="193BE70F" w14:textId="77777777" w:rsidR="00195095" w:rsidRDefault="00195095">
      <w:pPr>
        <w:pStyle w:val="TOC5"/>
        <w:rPr>
          <w:rFonts w:asciiTheme="minorHAnsi" w:eastAsiaTheme="minorEastAsia" w:hAnsiTheme="minorHAnsi" w:cstheme="minorBidi"/>
          <w:noProof/>
          <w:kern w:val="0"/>
          <w:sz w:val="22"/>
          <w:szCs w:val="22"/>
        </w:rPr>
      </w:pPr>
      <w:r>
        <w:rPr>
          <w:noProof/>
        </w:rPr>
        <w:t xml:space="preserve">2.2  Meaning of </w:t>
      </w:r>
      <w:r w:rsidRPr="00F95A48">
        <w:rPr>
          <w:i/>
          <w:noProof/>
        </w:rPr>
        <w:t>account privileges</w:t>
      </w:r>
      <w:r>
        <w:rPr>
          <w:noProof/>
        </w:rPr>
        <w:t>—banking sector</w:t>
      </w:r>
      <w:r>
        <w:rPr>
          <w:noProof/>
        </w:rPr>
        <w:tab/>
      </w:r>
      <w:r>
        <w:rPr>
          <w:noProof/>
        </w:rPr>
        <w:fldChar w:fldCharType="begin"/>
      </w:r>
      <w:r>
        <w:rPr>
          <w:noProof/>
        </w:rPr>
        <w:instrText xml:space="preserve"> PAGEREF _Toc111132272 \h </w:instrText>
      </w:r>
      <w:r>
        <w:rPr>
          <w:noProof/>
        </w:rPr>
      </w:r>
      <w:r>
        <w:rPr>
          <w:noProof/>
        </w:rPr>
        <w:fldChar w:fldCharType="separate"/>
      </w:r>
      <w:r w:rsidR="00857D8F">
        <w:rPr>
          <w:noProof/>
        </w:rPr>
        <w:t>194</w:t>
      </w:r>
      <w:r>
        <w:rPr>
          <w:noProof/>
        </w:rPr>
        <w:fldChar w:fldCharType="end"/>
      </w:r>
    </w:p>
    <w:p w14:paraId="2A1BE532" w14:textId="77777777" w:rsidR="00195095" w:rsidRDefault="00195095">
      <w:pPr>
        <w:pStyle w:val="TOC5"/>
        <w:rPr>
          <w:rFonts w:asciiTheme="minorHAnsi" w:eastAsiaTheme="minorEastAsia" w:hAnsiTheme="minorHAnsi" w:cstheme="minorBidi"/>
          <w:noProof/>
          <w:kern w:val="0"/>
          <w:sz w:val="22"/>
          <w:szCs w:val="22"/>
        </w:rPr>
      </w:pPr>
      <w:r>
        <w:rPr>
          <w:noProof/>
        </w:rPr>
        <w:t>2.3  Consumer dashboard—application of rule 1.15</w:t>
      </w:r>
      <w:r>
        <w:rPr>
          <w:noProof/>
        </w:rPr>
        <w:tab/>
      </w:r>
      <w:r>
        <w:rPr>
          <w:noProof/>
        </w:rPr>
        <w:fldChar w:fldCharType="begin"/>
      </w:r>
      <w:r>
        <w:rPr>
          <w:noProof/>
        </w:rPr>
        <w:instrText xml:space="preserve"> PAGEREF _Toc111132273 \h </w:instrText>
      </w:r>
      <w:r>
        <w:rPr>
          <w:noProof/>
        </w:rPr>
      </w:r>
      <w:r>
        <w:rPr>
          <w:noProof/>
        </w:rPr>
        <w:fldChar w:fldCharType="separate"/>
      </w:r>
      <w:r w:rsidR="00857D8F">
        <w:rPr>
          <w:noProof/>
        </w:rPr>
        <w:t>194</w:t>
      </w:r>
      <w:r>
        <w:rPr>
          <w:noProof/>
        </w:rPr>
        <w:fldChar w:fldCharType="end"/>
      </w:r>
    </w:p>
    <w:p w14:paraId="0B34723A" w14:textId="77777777" w:rsidR="00195095" w:rsidRDefault="00195095">
      <w:pPr>
        <w:pStyle w:val="TOC2"/>
        <w:rPr>
          <w:rFonts w:asciiTheme="minorHAnsi" w:eastAsiaTheme="minorEastAsia" w:hAnsiTheme="minorHAnsi" w:cstheme="minorBidi"/>
          <w:b w:val="0"/>
          <w:noProof/>
          <w:kern w:val="0"/>
          <w:sz w:val="22"/>
          <w:szCs w:val="22"/>
        </w:rPr>
      </w:pPr>
      <w:r>
        <w:rPr>
          <w:noProof/>
        </w:rPr>
        <w:t>Part 3—CDR data that may be accessed under these rules—banking sector</w:t>
      </w:r>
      <w:r>
        <w:rPr>
          <w:noProof/>
        </w:rPr>
        <w:tab/>
      </w:r>
      <w:r>
        <w:rPr>
          <w:noProof/>
        </w:rPr>
        <w:fldChar w:fldCharType="begin"/>
      </w:r>
      <w:r>
        <w:rPr>
          <w:noProof/>
        </w:rPr>
        <w:instrText xml:space="preserve"> PAGEREF _Toc111132274 \h </w:instrText>
      </w:r>
      <w:r>
        <w:rPr>
          <w:noProof/>
        </w:rPr>
      </w:r>
      <w:r>
        <w:rPr>
          <w:noProof/>
        </w:rPr>
        <w:fldChar w:fldCharType="separate"/>
      </w:r>
      <w:r w:rsidR="00857D8F">
        <w:rPr>
          <w:noProof/>
        </w:rPr>
        <w:t>195</w:t>
      </w:r>
      <w:r>
        <w:rPr>
          <w:noProof/>
        </w:rPr>
        <w:fldChar w:fldCharType="end"/>
      </w:r>
    </w:p>
    <w:p w14:paraId="760EE459"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3.1A  Application of Part</w:t>
      </w:r>
      <w:r>
        <w:rPr>
          <w:noProof/>
        </w:rPr>
        <w:tab/>
      </w:r>
      <w:r>
        <w:rPr>
          <w:noProof/>
        </w:rPr>
        <w:fldChar w:fldCharType="begin"/>
      </w:r>
      <w:r>
        <w:rPr>
          <w:noProof/>
        </w:rPr>
        <w:instrText xml:space="preserve"> PAGEREF _Toc111132275 \h </w:instrText>
      </w:r>
      <w:r>
        <w:rPr>
          <w:noProof/>
        </w:rPr>
      </w:r>
      <w:r>
        <w:rPr>
          <w:noProof/>
        </w:rPr>
        <w:fldChar w:fldCharType="separate"/>
      </w:r>
      <w:r w:rsidR="00857D8F">
        <w:rPr>
          <w:noProof/>
        </w:rPr>
        <w:t>195</w:t>
      </w:r>
      <w:r>
        <w:rPr>
          <w:noProof/>
        </w:rPr>
        <w:fldChar w:fldCharType="end"/>
      </w:r>
    </w:p>
    <w:p w14:paraId="345B1CE6"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00"/>
        </w:rPr>
        <w:t xml:space="preserve">3.1  </w:t>
      </w:r>
      <w:r>
        <w:rPr>
          <w:noProof/>
        </w:rPr>
        <w:t xml:space="preserve">Meaning of </w:t>
      </w:r>
      <w:r w:rsidRPr="00F95A48">
        <w:rPr>
          <w:i/>
          <w:noProof/>
        </w:rPr>
        <w:t>required product data</w:t>
      </w:r>
      <w:r>
        <w:rPr>
          <w:noProof/>
        </w:rPr>
        <w:t xml:space="preserve"> and </w:t>
      </w:r>
      <w:r w:rsidRPr="00F95A48">
        <w:rPr>
          <w:i/>
          <w:noProof/>
        </w:rPr>
        <w:t>voluntary product data</w:t>
      </w:r>
      <w:r>
        <w:rPr>
          <w:noProof/>
        </w:rPr>
        <w:t>—banking sector</w:t>
      </w:r>
      <w:r>
        <w:rPr>
          <w:noProof/>
        </w:rPr>
        <w:tab/>
      </w:r>
      <w:r>
        <w:rPr>
          <w:noProof/>
        </w:rPr>
        <w:fldChar w:fldCharType="begin"/>
      </w:r>
      <w:r>
        <w:rPr>
          <w:noProof/>
        </w:rPr>
        <w:instrText xml:space="preserve"> PAGEREF _Toc111132276 \h </w:instrText>
      </w:r>
      <w:r>
        <w:rPr>
          <w:noProof/>
        </w:rPr>
      </w:r>
      <w:r>
        <w:rPr>
          <w:noProof/>
        </w:rPr>
        <w:fldChar w:fldCharType="separate"/>
      </w:r>
      <w:r w:rsidR="00857D8F">
        <w:rPr>
          <w:noProof/>
        </w:rPr>
        <w:t>195</w:t>
      </w:r>
      <w:r>
        <w:rPr>
          <w:noProof/>
        </w:rPr>
        <w:fldChar w:fldCharType="end"/>
      </w:r>
    </w:p>
    <w:p w14:paraId="2670730E" w14:textId="77777777" w:rsidR="00195095" w:rsidRDefault="00195095">
      <w:pPr>
        <w:pStyle w:val="TOC5"/>
        <w:rPr>
          <w:rFonts w:asciiTheme="minorHAnsi" w:eastAsiaTheme="minorEastAsia" w:hAnsiTheme="minorHAnsi" w:cstheme="minorBidi"/>
          <w:noProof/>
          <w:kern w:val="0"/>
          <w:sz w:val="22"/>
          <w:szCs w:val="22"/>
        </w:rPr>
      </w:pPr>
      <w:r>
        <w:rPr>
          <w:noProof/>
        </w:rPr>
        <w:t xml:space="preserve">3.2  Meaning of </w:t>
      </w:r>
      <w:r w:rsidRPr="00F95A48">
        <w:rPr>
          <w:i/>
          <w:noProof/>
        </w:rPr>
        <w:t>required consumer data</w:t>
      </w:r>
      <w:r>
        <w:rPr>
          <w:noProof/>
        </w:rPr>
        <w:t xml:space="preserve"> and </w:t>
      </w:r>
      <w:r w:rsidRPr="00F95A48">
        <w:rPr>
          <w:i/>
          <w:noProof/>
        </w:rPr>
        <w:t>voluntary consumer data</w:t>
      </w:r>
      <w:r>
        <w:rPr>
          <w:noProof/>
        </w:rPr>
        <w:t>—banking sector</w:t>
      </w:r>
      <w:r>
        <w:rPr>
          <w:noProof/>
        </w:rPr>
        <w:tab/>
      </w:r>
      <w:r>
        <w:rPr>
          <w:noProof/>
        </w:rPr>
        <w:fldChar w:fldCharType="begin"/>
      </w:r>
      <w:r>
        <w:rPr>
          <w:noProof/>
        </w:rPr>
        <w:instrText xml:space="preserve"> PAGEREF _Toc111132277 \h </w:instrText>
      </w:r>
      <w:r>
        <w:rPr>
          <w:noProof/>
        </w:rPr>
      </w:r>
      <w:r>
        <w:rPr>
          <w:noProof/>
        </w:rPr>
        <w:fldChar w:fldCharType="separate"/>
      </w:r>
      <w:r w:rsidR="00857D8F">
        <w:rPr>
          <w:noProof/>
        </w:rPr>
        <w:t>196</w:t>
      </w:r>
      <w:r>
        <w:rPr>
          <w:noProof/>
        </w:rPr>
        <w:fldChar w:fldCharType="end"/>
      </w:r>
    </w:p>
    <w:p w14:paraId="42FAAF36" w14:textId="77777777" w:rsidR="00195095" w:rsidRDefault="00195095">
      <w:pPr>
        <w:pStyle w:val="TOC2"/>
        <w:rPr>
          <w:rFonts w:asciiTheme="minorHAnsi" w:eastAsiaTheme="minorEastAsia" w:hAnsiTheme="minorHAnsi" w:cstheme="minorBidi"/>
          <w:b w:val="0"/>
          <w:noProof/>
          <w:kern w:val="0"/>
          <w:sz w:val="22"/>
          <w:szCs w:val="22"/>
        </w:rPr>
      </w:pPr>
      <w:r w:rsidRPr="00F95A48">
        <w:rPr>
          <w:noProof/>
          <w:color w:val="000000" w:themeColor="text1"/>
        </w:rPr>
        <w:t>Part 5—Internal dispute resolution―banking sector</w:t>
      </w:r>
      <w:r>
        <w:rPr>
          <w:noProof/>
        </w:rPr>
        <w:tab/>
      </w:r>
      <w:r>
        <w:rPr>
          <w:noProof/>
        </w:rPr>
        <w:fldChar w:fldCharType="begin"/>
      </w:r>
      <w:r>
        <w:rPr>
          <w:noProof/>
        </w:rPr>
        <w:instrText xml:space="preserve"> PAGEREF _Toc111132278 \h </w:instrText>
      </w:r>
      <w:r>
        <w:rPr>
          <w:noProof/>
        </w:rPr>
      </w:r>
      <w:r>
        <w:rPr>
          <w:noProof/>
        </w:rPr>
        <w:fldChar w:fldCharType="separate"/>
      </w:r>
      <w:r w:rsidR="00857D8F">
        <w:rPr>
          <w:noProof/>
        </w:rPr>
        <w:t>198</w:t>
      </w:r>
      <w:r>
        <w:rPr>
          <w:noProof/>
        </w:rPr>
        <w:fldChar w:fldCharType="end"/>
      </w:r>
    </w:p>
    <w:p w14:paraId="26207D44" w14:textId="77777777" w:rsidR="00195095" w:rsidRDefault="00195095">
      <w:pPr>
        <w:pStyle w:val="TOC5"/>
        <w:rPr>
          <w:rFonts w:asciiTheme="minorHAnsi" w:eastAsiaTheme="minorEastAsia" w:hAnsiTheme="minorHAnsi" w:cstheme="minorBidi"/>
          <w:noProof/>
          <w:kern w:val="0"/>
          <w:sz w:val="22"/>
          <w:szCs w:val="22"/>
        </w:rPr>
      </w:pPr>
      <w:r>
        <w:rPr>
          <w:noProof/>
        </w:rPr>
        <w:t>5.1  Meeting internal dispute resolution requirements―banking sector</w:t>
      </w:r>
      <w:r>
        <w:rPr>
          <w:noProof/>
        </w:rPr>
        <w:tab/>
      </w:r>
      <w:r>
        <w:rPr>
          <w:noProof/>
        </w:rPr>
        <w:fldChar w:fldCharType="begin"/>
      </w:r>
      <w:r>
        <w:rPr>
          <w:noProof/>
        </w:rPr>
        <w:instrText xml:space="preserve"> PAGEREF _Toc111132279 \h </w:instrText>
      </w:r>
      <w:r>
        <w:rPr>
          <w:noProof/>
        </w:rPr>
      </w:r>
      <w:r>
        <w:rPr>
          <w:noProof/>
        </w:rPr>
        <w:fldChar w:fldCharType="separate"/>
      </w:r>
      <w:r w:rsidR="00857D8F">
        <w:rPr>
          <w:noProof/>
        </w:rPr>
        <w:t>198</w:t>
      </w:r>
      <w:r>
        <w:rPr>
          <w:noProof/>
        </w:rPr>
        <w:fldChar w:fldCharType="end"/>
      </w:r>
    </w:p>
    <w:p w14:paraId="47725A97" w14:textId="77777777" w:rsidR="00195095" w:rsidRDefault="00195095">
      <w:pPr>
        <w:pStyle w:val="TOC2"/>
        <w:rPr>
          <w:rFonts w:asciiTheme="minorHAnsi" w:eastAsiaTheme="minorEastAsia" w:hAnsiTheme="minorHAnsi" w:cstheme="minorBidi"/>
          <w:b w:val="0"/>
          <w:noProof/>
          <w:kern w:val="0"/>
          <w:sz w:val="22"/>
          <w:szCs w:val="22"/>
        </w:rPr>
      </w:pPr>
      <w:r>
        <w:rPr>
          <w:noProof/>
        </w:rPr>
        <w:t>Part 6—Staged application of these rules to the banking sector</w:t>
      </w:r>
      <w:r>
        <w:rPr>
          <w:noProof/>
        </w:rPr>
        <w:tab/>
      </w:r>
      <w:r>
        <w:rPr>
          <w:noProof/>
        </w:rPr>
        <w:fldChar w:fldCharType="begin"/>
      </w:r>
      <w:r>
        <w:rPr>
          <w:noProof/>
        </w:rPr>
        <w:instrText xml:space="preserve"> PAGEREF _Toc111132280 \h </w:instrText>
      </w:r>
      <w:r>
        <w:rPr>
          <w:noProof/>
        </w:rPr>
      </w:r>
      <w:r>
        <w:rPr>
          <w:noProof/>
        </w:rPr>
        <w:fldChar w:fldCharType="separate"/>
      </w:r>
      <w:r w:rsidR="00857D8F">
        <w:rPr>
          <w:noProof/>
        </w:rPr>
        <w:t>199</w:t>
      </w:r>
      <w:r>
        <w:rPr>
          <w:noProof/>
        </w:rPr>
        <w:fldChar w:fldCharType="end"/>
      </w:r>
    </w:p>
    <w:p w14:paraId="090A383D" w14:textId="77777777" w:rsidR="00195095" w:rsidRDefault="00195095">
      <w:pPr>
        <w:pStyle w:val="TOC3"/>
        <w:rPr>
          <w:rFonts w:asciiTheme="minorHAnsi" w:eastAsiaTheme="minorEastAsia" w:hAnsiTheme="minorHAnsi" w:cstheme="minorBidi"/>
          <w:b w:val="0"/>
          <w:noProof/>
          <w:kern w:val="0"/>
          <w:szCs w:val="22"/>
        </w:rPr>
      </w:pPr>
      <w:r>
        <w:rPr>
          <w:noProof/>
        </w:rPr>
        <w:t>Division 6.1—Preliminary</w:t>
      </w:r>
      <w:r>
        <w:rPr>
          <w:noProof/>
        </w:rPr>
        <w:tab/>
      </w:r>
      <w:r>
        <w:rPr>
          <w:noProof/>
        </w:rPr>
        <w:fldChar w:fldCharType="begin"/>
      </w:r>
      <w:r>
        <w:rPr>
          <w:noProof/>
        </w:rPr>
        <w:instrText xml:space="preserve"> PAGEREF _Toc111132281 \h </w:instrText>
      </w:r>
      <w:r>
        <w:rPr>
          <w:noProof/>
        </w:rPr>
      </w:r>
      <w:r>
        <w:rPr>
          <w:noProof/>
        </w:rPr>
        <w:fldChar w:fldCharType="separate"/>
      </w:r>
      <w:r w:rsidR="00857D8F">
        <w:rPr>
          <w:noProof/>
        </w:rPr>
        <w:t>199</w:t>
      </w:r>
      <w:r>
        <w:rPr>
          <w:noProof/>
        </w:rPr>
        <w:fldChar w:fldCharType="end"/>
      </w:r>
    </w:p>
    <w:p w14:paraId="681C266B" w14:textId="77777777" w:rsidR="00195095" w:rsidRDefault="00195095">
      <w:pPr>
        <w:pStyle w:val="TOC5"/>
        <w:rPr>
          <w:rFonts w:asciiTheme="minorHAnsi" w:eastAsiaTheme="minorEastAsia" w:hAnsiTheme="minorHAnsi" w:cstheme="minorBidi"/>
          <w:noProof/>
          <w:kern w:val="0"/>
          <w:sz w:val="22"/>
          <w:szCs w:val="22"/>
        </w:rPr>
      </w:pPr>
      <w:r>
        <w:rPr>
          <w:noProof/>
        </w:rPr>
        <w:t>6.1  Interpretation</w:t>
      </w:r>
      <w:r>
        <w:rPr>
          <w:noProof/>
        </w:rPr>
        <w:tab/>
      </w:r>
      <w:r>
        <w:rPr>
          <w:noProof/>
        </w:rPr>
        <w:fldChar w:fldCharType="begin"/>
      </w:r>
      <w:r>
        <w:rPr>
          <w:noProof/>
        </w:rPr>
        <w:instrText xml:space="preserve"> PAGEREF _Toc111132282 \h </w:instrText>
      </w:r>
      <w:r>
        <w:rPr>
          <w:noProof/>
        </w:rPr>
      </w:r>
      <w:r>
        <w:rPr>
          <w:noProof/>
        </w:rPr>
        <w:fldChar w:fldCharType="separate"/>
      </w:r>
      <w:r w:rsidR="00857D8F">
        <w:rPr>
          <w:noProof/>
        </w:rPr>
        <w:t>199</w:t>
      </w:r>
      <w:r>
        <w:rPr>
          <w:noProof/>
        </w:rPr>
        <w:fldChar w:fldCharType="end"/>
      </w:r>
    </w:p>
    <w:p w14:paraId="1AFAC1CC" w14:textId="77777777" w:rsidR="00195095" w:rsidRDefault="00195095">
      <w:pPr>
        <w:pStyle w:val="TOC5"/>
        <w:rPr>
          <w:rFonts w:asciiTheme="minorHAnsi" w:eastAsiaTheme="minorEastAsia" w:hAnsiTheme="minorHAnsi" w:cstheme="minorBidi"/>
          <w:noProof/>
          <w:kern w:val="0"/>
          <w:sz w:val="22"/>
          <w:szCs w:val="22"/>
        </w:rPr>
      </w:pPr>
      <w:r>
        <w:rPr>
          <w:noProof/>
        </w:rPr>
        <w:t xml:space="preserve">6.2  Meaning of </w:t>
      </w:r>
      <w:r w:rsidRPr="00F95A48">
        <w:rPr>
          <w:i/>
          <w:noProof/>
        </w:rPr>
        <w:t>initial data holder</w:t>
      </w:r>
      <w:r>
        <w:rPr>
          <w:noProof/>
        </w:rPr>
        <w:t>,</w:t>
      </w:r>
      <w:r w:rsidRPr="00F95A48">
        <w:rPr>
          <w:i/>
          <w:noProof/>
        </w:rPr>
        <w:t xml:space="preserve"> accredited ADI</w:t>
      </w:r>
      <w:r>
        <w:rPr>
          <w:noProof/>
        </w:rPr>
        <w:t xml:space="preserve">, </w:t>
      </w:r>
      <w:r w:rsidRPr="00F95A48">
        <w:rPr>
          <w:i/>
          <w:noProof/>
        </w:rPr>
        <w:t>any other relevant ADI</w:t>
      </w:r>
      <w:r>
        <w:rPr>
          <w:noProof/>
        </w:rPr>
        <w:t xml:space="preserve"> and </w:t>
      </w:r>
      <w:r w:rsidRPr="00F95A48">
        <w:rPr>
          <w:i/>
          <w:noProof/>
        </w:rPr>
        <w:t>accredited non</w:t>
      </w:r>
      <w:r w:rsidRPr="00F95A48">
        <w:rPr>
          <w:i/>
          <w:noProof/>
        </w:rPr>
        <w:noBreakHyphen/>
        <w:t>ADI</w:t>
      </w:r>
      <w:r>
        <w:rPr>
          <w:noProof/>
        </w:rPr>
        <w:tab/>
      </w:r>
      <w:r>
        <w:rPr>
          <w:noProof/>
        </w:rPr>
        <w:fldChar w:fldCharType="begin"/>
      </w:r>
      <w:r>
        <w:rPr>
          <w:noProof/>
        </w:rPr>
        <w:instrText xml:space="preserve"> PAGEREF _Toc111132283 \h </w:instrText>
      </w:r>
      <w:r>
        <w:rPr>
          <w:noProof/>
        </w:rPr>
      </w:r>
      <w:r>
        <w:rPr>
          <w:noProof/>
        </w:rPr>
        <w:fldChar w:fldCharType="separate"/>
      </w:r>
      <w:r w:rsidR="00857D8F">
        <w:rPr>
          <w:noProof/>
        </w:rPr>
        <w:t>199</w:t>
      </w:r>
      <w:r>
        <w:rPr>
          <w:noProof/>
        </w:rPr>
        <w:fldChar w:fldCharType="end"/>
      </w:r>
    </w:p>
    <w:p w14:paraId="20E96A4E" w14:textId="77777777" w:rsidR="00195095" w:rsidRDefault="00195095">
      <w:pPr>
        <w:pStyle w:val="TOC3"/>
        <w:rPr>
          <w:rFonts w:asciiTheme="minorHAnsi" w:eastAsiaTheme="minorEastAsia" w:hAnsiTheme="minorHAnsi" w:cstheme="minorBidi"/>
          <w:b w:val="0"/>
          <w:noProof/>
          <w:kern w:val="0"/>
          <w:szCs w:val="22"/>
        </w:rPr>
      </w:pPr>
      <w:r w:rsidRPr="00F95A48">
        <w:rPr>
          <w:noProof/>
          <w:color w:val="000000" w:themeColor="text1"/>
        </w:rPr>
        <w:t>Division 6.2—Staged application of rules</w:t>
      </w:r>
      <w:r>
        <w:rPr>
          <w:noProof/>
        </w:rPr>
        <w:tab/>
      </w:r>
      <w:r>
        <w:rPr>
          <w:noProof/>
        </w:rPr>
        <w:fldChar w:fldCharType="begin"/>
      </w:r>
      <w:r>
        <w:rPr>
          <w:noProof/>
        </w:rPr>
        <w:instrText xml:space="preserve"> PAGEREF _Toc111132284 \h </w:instrText>
      </w:r>
      <w:r>
        <w:rPr>
          <w:noProof/>
        </w:rPr>
      </w:r>
      <w:r>
        <w:rPr>
          <w:noProof/>
        </w:rPr>
        <w:fldChar w:fldCharType="separate"/>
      </w:r>
      <w:r w:rsidR="00857D8F">
        <w:rPr>
          <w:noProof/>
        </w:rPr>
        <w:t>201</w:t>
      </w:r>
      <w:r>
        <w:rPr>
          <w:noProof/>
        </w:rPr>
        <w:fldChar w:fldCharType="end"/>
      </w:r>
    </w:p>
    <w:p w14:paraId="359FF8D8" w14:textId="77777777" w:rsidR="00195095" w:rsidRDefault="00195095">
      <w:pPr>
        <w:pStyle w:val="TOC5"/>
        <w:rPr>
          <w:rFonts w:asciiTheme="minorHAnsi" w:eastAsiaTheme="minorEastAsia" w:hAnsiTheme="minorHAnsi" w:cstheme="minorBidi"/>
          <w:noProof/>
          <w:kern w:val="0"/>
          <w:sz w:val="22"/>
          <w:szCs w:val="22"/>
        </w:rPr>
      </w:pPr>
      <w:r>
        <w:rPr>
          <w:noProof/>
        </w:rPr>
        <w:t>6.4  Staged application of rules―requirement to disclose CDR data</w:t>
      </w:r>
      <w:r>
        <w:rPr>
          <w:noProof/>
        </w:rPr>
        <w:tab/>
      </w:r>
      <w:r>
        <w:rPr>
          <w:noProof/>
        </w:rPr>
        <w:fldChar w:fldCharType="begin"/>
      </w:r>
      <w:r>
        <w:rPr>
          <w:noProof/>
        </w:rPr>
        <w:instrText xml:space="preserve"> PAGEREF _Toc111132285 \h </w:instrText>
      </w:r>
      <w:r>
        <w:rPr>
          <w:noProof/>
        </w:rPr>
      </w:r>
      <w:r>
        <w:rPr>
          <w:noProof/>
        </w:rPr>
        <w:fldChar w:fldCharType="separate"/>
      </w:r>
      <w:r w:rsidR="00857D8F">
        <w:rPr>
          <w:noProof/>
        </w:rPr>
        <w:t>201</w:t>
      </w:r>
      <w:r>
        <w:rPr>
          <w:noProof/>
        </w:rPr>
        <w:fldChar w:fldCharType="end"/>
      </w:r>
    </w:p>
    <w:p w14:paraId="551A4D62" w14:textId="77777777" w:rsidR="00195095" w:rsidRDefault="00195095">
      <w:pPr>
        <w:pStyle w:val="TOC5"/>
        <w:rPr>
          <w:rFonts w:asciiTheme="minorHAnsi" w:eastAsiaTheme="minorEastAsia" w:hAnsiTheme="minorHAnsi" w:cstheme="minorBidi"/>
          <w:noProof/>
          <w:kern w:val="0"/>
          <w:sz w:val="22"/>
          <w:szCs w:val="22"/>
        </w:rPr>
      </w:pPr>
      <w:r>
        <w:rPr>
          <w:noProof/>
        </w:rPr>
        <w:t>6.5  Authorisation to disclose CDR data before required to do so</w:t>
      </w:r>
      <w:r>
        <w:rPr>
          <w:noProof/>
        </w:rPr>
        <w:tab/>
      </w:r>
      <w:r>
        <w:rPr>
          <w:noProof/>
        </w:rPr>
        <w:fldChar w:fldCharType="begin"/>
      </w:r>
      <w:r>
        <w:rPr>
          <w:noProof/>
        </w:rPr>
        <w:instrText xml:space="preserve"> PAGEREF _Toc111132286 \h </w:instrText>
      </w:r>
      <w:r>
        <w:rPr>
          <w:noProof/>
        </w:rPr>
      </w:r>
      <w:r>
        <w:rPr>
          <w:noProof/>
        </w:rPr>
        <w:fldChar w:fldCharType="separate"/>
      </w:r>
      <w:r w:rsidR="00857D8F">
        <w:rPr>
          <w:noProof/>
        </w:rPr>
        <w:t>201</w:t>
      </w:r>
      <w:r>
        <w:rPr>
          <w:noProof/>
        </w:rPr>
        <w:fldChar w:fldCharType="end"/>
      </w:r>
    </w:p>
    <w:p w14:paraId="6D179D6A" w14:textId="77777777" w:rsidR="00195095" w:rsidRDefault="00195095">
      <w:pPr>
        <w:pStyle w:val="TOC5"/>
        <w:rPr>
          <w:rFonts w:asciiTheme="minorHAnsi" w:eastAsiaTheme="minorEastAsia" w:hAnsiTheme="minorHAnsi" w:cstheme="minorBidi"/>
          <w:noProof/>
          <w:kern w:val="0"/>
          <w:sz w:val="22"/>
          <w:szCs w:val="22"/>
        </w:rPr>
      </w:pPr>
      <w:r>
        <w:rPr>
          <w:noProof/>
        </w:rPr>
        <w:t>6.6  Commencement table</w:t>
      </w:r>
      <w:r>
        <w:rPr>
          <w:noProof/>
        </w:rPr>
        <w:tab/>
      </w:r>
      <w:r>
        <w:rPr>
          <w:noProof/>
        </w:rPr>
        <w:fldChar w:fldCharType="begin"/>
      </w:r>
      <w:r>
        <w:rPr>
          <w:noProof/>
        </w:rPr>
        <w:instrText xml:space="preserve"> PAGEREF _Toc111132287 \h </w:instrText>
      </w:r>
      <w:r>
        <w:rPr>
          <w:noProof/>
        </w:rPr>
      </w:r>
      <w:r>
        <w:rPr>
          <w:noProof/>
        </w:rPr>
        <w:fldChar w:fldCharType="separate"/>
      </w:r>
      <w:r w:rsidR="00857D8F">
        <w:rPr>
          <w:noProof/>
        </w:rPr>
        <w:t>203</w:t>
      </w:r>
      <w:r>
        <w:rPr>
          <w:noProof/>
        </w:rPr>
        <w:fldChar w:fldCharType="end"/>
      </w:r>
    </w:p>
    <w:p w14:paraId="3DFECC2A" w14:textId="77777777" w:rsidR="00195095" w:rsidRDefault="00195095">
      <w:pPr>
        <w:pStyle w:val="TOC5"/>
        <w:rPr>
          <w:rFonts w:asciiTheme="minorHAnsi" w:eastAsiaTheme="minorEastAsia" w:hAnsiTheme="minorHAnsi" w:cstheme="minorBidi"/>
          <w:noProof/>
          <w:kern w:val="0"/>
          <w:sz w:val="22"/>
          <w:szCs w:val="22"/>
        </w:rPr>
      </w:pPr>
      <w:r>
        <w:rPr>
          <w:noProof/>
        </w:rPr>
        <w:t>6.7  Application of certain rules</w:t>
      </w:r>
      <w:r>
        <w:rPr>
          <w:noProof/>
        </w:rPr>
        <w:tab/>
      </w:r>
      <w:r>
        <w:rPr>
          <w:noProof/>
        </w:rPr>
        <w:fldChar w:fldCharType="begin"/>
      </w:r>
      <w:r>
        <w:rPr>
          <w:noProof/>
        </w:rPr>
        <w:instrText xml:space="preserve"> PAGEREF _Toc111132288 \h </w:instrText>
      </w:r>
      <w:r>
        <w:rPr>
          <w:noProof/>
        </w:rPr>
      </w:r>
      <w:r>
        <w:rPr>
          <w:noProof/>
        </w:rPr>
        <w:fldChar w:fldCharType="separate"/>
      </w:r>
      <w:r w:rsidR="00857D8F">
        <w:rPr>
          <w:noProof/>
        </w:rPr>
        <w:t>203</w:t>
      </w:r>
      <w:r>
        <w:rPr>
          <w:noProof/>
        </w:rPr>
        <w:fldChar w:fldCharType="end"/>
      </w:r>
    </w:p>
    <w:p w14:paraId="72EB4D62" w14:textId="77777777" w:rsidR="00195095" w:rsidRDefault="00195095">
      <w:pPr>
        <w:pStyle w:val="TOC2"/>
        <w:rPr>
          <w:rFonts w:asciiTheme="minorHAnsi" w:eastAsiaTheme="minorEastAsia" w:hAnsiTheme="minorHAnsi" w:cstheme="minorBidi"/>
          <w:b w:val="0"/>
          <w:noProof/>
          <w:kern w:val="0"/>
          <w:sz w:val="22"/>
          <w:szCs w:val="22"/>
        </w:rPr>
      </w:pPr>
      <w:r>
        <w:rPr>
          <w:noProof/>
        </w:rPr>
        <w:t>Part 7—Other rules, and modifications of these rules, for the banking sector</w:t>
      </w:r>
      <w:r>
        <w:rPr>
          <w:noProof/>
        </w:rPr>
        <w:tab/>
      </w:r>
      <w:r>
        <w:rPr>
          <w:noProof/>
        </w:rPr>
        <w:fldChar w:fldCharType="begin"/>
      </w:r>
      <w:r>
        <w:rPr>
          <w:noProof/>
        </w:rPr>
        <w:instrText xml:space="preserve"> PAGEREF _Toc111132289 \h </w:instrText>
      </w:r>
      <w:r>
        <w:rPr>
          <w:noProof/>
        </w:rPr>
      </w:r>
      <w:r>
        <w:rPr>
          <w:noProof/>
        </w:rPr>
        <w:fldChar w:fldCharType="separate"/>
      </w:r>
      <w:r w:rsidR="00857D8F">
        <w:rPr>
          <w:noProof/>
        </w:rPr>
        <w:t>205</w:t>
      </w:r>
      <w:r>
        <w:rPr>
          <w:noProof/>
        </w:rPr>
        <w:fldChar w:fldCharType="end"/>
      </w:r>
    </w:p>
    <w:p w14:paraId="4804988B" w14:textId="77777777" w:rsidR="00195095" w:rsidRDefault="00195095">
      <w:pPr>
        <w:pStyle w:val="TOC5"/>
        <w:rPr>
          <w:rFonts w:asciiTheme="minorHAnsi" w:eastAsiaTheme="minorEastAsia" w:hAnsiTheme="minorHAnsi" w:cstheme="minorBidi"/>
          <w:noProof/>
          <w:kern w:val="0"/>
          <w:sz w:val="22"/>
          <w:szCs w:val="22"/>
        </w:rPr>
      </w:pPr>
      <w:r>
        <w:rPr>
          <w:noProof/>
        </w:rPr>
        <w:t>7.1  Laws relevant to the management of CDR data—banking sector</w:t>
      </w:r>
      <w:r>
        <w:rPr>
          <w:noProof/>
        </w:rPr>
        <w:tab/>
      </w:r>
      <w:r>
        <w:rPr>
          <w:noProof/>
        </w:rPr>
        <w:fldChar w:fldCharType="begin"/>
      </w:r>
      <w:r>
        <w:rPr>
          <w:noProof/>
        </w:rPr>
        <w:instrText xml:space="preserve"> PAGEREF _Toc111132290 \h </w:instrText>
      </w:r>
      <w:r>
        <w:rPr>
          <w:noProof/>
        </w:rPr>
      </w:r>
      <w:r>
        <w:rPr>
          <w:noProof/>
        </w:rPr>
        <w:fldChar w:fldCharType="separate"/>
      </w:r>
      <w:r w:rsidR="00857D8F">
        <w:rPr>
          <w:noProof/>
        </w:rPr>
        <w:t>205</w:t>
      </w:r>
      <w:r>
        <w:rPr>
          <w:noProof/>
        </w:rPr>
        <w:fldChar w:fldCharType="end"/>
      </w:r>
    </w:p>
    <w:p w14:paraId="735CF4B8" w14:textId="77777777" w:rsidR="00195095" w:rsidRDefault="00195095">
      <w:pPr>
        <w:pStyle w:val="TOC5"/>
        <w:rPr>
          <w:rFonts w:asciiTheme="minorHAnsi" w:eastAsiaTheme="minorEastAsia" w:hAnsiTheme="minorHAnsi" w:cstheme="minorBidi"/>
          <w:noProof/>
          <w:kern w:val="0"/>
          <w:sz w:val="22"/>
          <w:szCs w:val="22"/>
        </w:rPr>
      </w:pPr>
      <w:r>
        <w:rPr>
          <w:noProof/>
        </w:rPr>
        <w:t>7.2  Conditions for accredited person to be data holder</w:t>
      </w:r>
      <w:r>
        <w:rPr>
          <w:noProof/>
        </w:rPr>
        <w:tab/>
      </w:r>
      <w:r>
        <w:rPr>
          <w:noProof/>
        </w:rPr>
        <w:fldChar w:fldCharType="begin"/>
      </w:r>
      <w:r>
        <w:rPr>
          <w:noProof/>
        </w:rPr>
        <w:instrText xml:space="preserve"> PAGEREF _Toc111132291 \h </w:instrText>
      </w:r>
      <w:r>
        <w:rPr>
          <w:noProof/>
        </w:rPr>
      </w:r>
      <w:r>
        <w:rPr>
          <w:noProof/>
        </w:rPr>
        <w:fldChar w:fldCharType="separate"/>
      </w:r>
      <w:r w:rsidR="00857D8F">
        <w:rPr>
          <w:noProof/>
        </w:rPr>
        <w:t>205</w:t>
      </w:r>
      <w:r>
        <w:rPr>
          <w:noProof/>
        </w:rPr>
        <w:fldChar w:fldCharType="end"/>
      </w:r>
    </w:p>
    <w:p w14:paraId="50252A15" w14:textId="77777777" w:rsidR="00195095" w:rsidRDefault="00195095">
      <w:pPr>
        <w:pStyle w:val="TOC5"/>
        <w:rPr>
          <w:rFonts w:asciiTheme="minorHAnsi" w:eastAsiaTheme="minorEastAsia" w:hAnsiTheme="minorHAnsi" w:cstheme="minorBidi"/>
          <w:noProof/>
          <w:kern w:val="0"/>
          <w:sz w:val="22"/>
          <w:szCs w:val="22"/>
        </w:rPr>
      </w:pPr>
      <w:r>
        <w:rPr>
          <w:noProof/>
        </w:rPr>
        <w:t>7.3  Streamlined accreditation—banking sector</w:t>
      </w:r>
      <w:r>
        <w:rPr>
          <w:noProof/>
        </w:rPr>
        <w:tab/>
      </w:r>
      <w:r>
        <w:rPr>
          <w:noProof/>
        </w:rPr>
        <w:fldChar w:fldCharType="begin"/>
      </w:r>
      <w:r>
        <w:rPr>
          <w:noProof/>
        </w:rPr>
        <w:instrText xml:space="preserve"> PAGEREF _Toc111132292 \h </w:instrText>
      </w:r>
      <w:r>
        <w:rPr>
          <w:noProof/>
        </w:rPr>
      </w:r>
      <w:r>
        <w:rPr>
          <w:noProof/>
        </w:rPr>
        <w:fldChar w:fldCharType="separate"/>
      </w:r>
      <w:r w:rsidR="00857D8F">
        <w:rPr>
          <w:noProof/>
        </w:rPr>
        <w:t>206</w:t>
      </w:r>
      <w:r>
        <w:rPr>
          <w:noProof/>
        </w:rPr>
        <w:fldChar w:fldCharType="end"/>
      </w:r>
    </w:p>
    <w:p w14:paraId="3CCC4F8E" w14:textId="77777777" w:rsidR="00195095" w:rsidRDefault="00195095">
      <w:pPr>
        <w:pStyle w:val="TOC5"/>
        <w:rPr>
          <w:rFonts w:asciiTheme="minorHAnsi" w:eastAsiaTheme="minorEastAsia" w:hAnsiTheme="minorHAnsi" w:cstheme="minorBidi"/>
          <w:noProof/>
          <w:kern w:val="0"/>
          <w:sz w:val="22"/>
          <w:szCs w:val="22"/>
        </w:rPr>
      </w:pPr>
      <w:r>
        <w:rPr>
          <w:noProof/>
        </w:rPr>
        <w:t>7.4  Exemptions to accreditation criteria—banking sector</w:t>
      </w:r>
      <w:r>
        <w:rPr>
          <w:noProof/>
        </w:rPr>
        <w:tab/>
      </w:r>
      <w:r>
        <w:rPr>
          <w:noProof/>
        </w:rPr>
        <w:fldChar w:fldCharType="begin"/>
      </w:r>
      <w:r>
        <w:rPr>
          <w:noProof/>
        </w:rPr>
        <w:instrText xml:space="preserve"> PAGEREF _Toc111132293 \h </w:instrText>
      </w:r>
      <w:r>
        <w:rPr>
          <w:noProof/>
        </w:rPr>
      </w:r>
      <w:r>
        <w:rPr>
          <w:noProof/>
        </w:rPr>
        <w:fldChar w:fldCharType="separate"/>
      </w:r>
      <w:r w:rsidR="00857D8F">
        <w:rPr>
          <w:noProof/>
        </w:rPr>
        <w:t>206</w:t>
      </w:r>
      <w:r>
        <w:rPr>
          <w:noProof/>
        </w:rPr>
        <w:fldChar w:fldCharType="end"/>
      </w:r>
    </w:p>
    <w:p w14:paraId="0514D1F5" w14:textId="77777777" w:rsidR="00195095" w:rsidRDefault="00195095">
      <w:pPr>
        <w:pStyle w:val="TOC5"/>
        <w:rPr>
          <w:rFonts w:asciiTheme="minorHAnsi" w:eastAsiaTheme="minorEastAsia" w:hAnsiTheme="minorHAnsi" w:cstheme="minorBidi"/>
          <w:noProof/>
          <w:kern w:val="0"/>
          <w:sz w:val="22"/>
          <w:szCs w:val="22"/>
        </w:rPr>
      </w:pPr>
      <w:r>
        <w:rPr>
          <w:noProof/>
        </w:rPr>
        <w:t>7.5  Grounds for revocation, suspension and surrender of accreditation—banking sector</w:t>
      </w:r>
      <w:r>
        <w:rPr>
          <w:noProof/>
        </w:rPr>
        <w:tab/>
      </w:r>
      <w:r>
        <w:rPr>
          <w:noProof/>
        </w:rPr>
        <w:fldChar w:fldCharType="begin"/>
      </w:r>
      <w:r>
        <w:rPr>
          <w:noProof/>
        </w:rPr>
        <w:instrText xml:space="preserve"> PAGEREF _Toc111132294 \h </w:instrText>
      </w:r>
      <w:r>
        <w:rPr>
          <w:noProof/>
        </w:rPr>
      </w:r>
      <w:r>
        <w:rPr>
          <w:noProof/>
        </w:rPr>
        <w:fldChar w:fldCharType="separate"/>
      </w:r>
      <w:r w:rsidR="00857D8F">
        <w:rPr>
          <w:noProof/>
        </w:rPr>
        <w:t>206</w:t>
      </w:r>
      <w:r>
        <w:rPr>
          <w:noProof/>
        </w:rPr>
        <w:fldChar w:fldCharType="end"/>
      </w:r>
    </w:p>
    <w:p w14:paraId="0AC74F8A" w14:textId="77777777" w:rsidR="00195095" w:rsidRDefault="00195095">
      <w:pPr>
        <w:pStyle w:val="TOC1"/>
        <w:rPr>
          <w:rFonts w:asciiTheme="minorHAnsi" w:eastAsiaTheme="minorEastAsia" w:hAnsiTheme="minorHAnsi" w:cstheme="minorBidi"/>
          <w:b w:val="0"/>
          <w:noProof/>
          <w:kern w:val="0"/>
          <w:sz w:val="22"/>
          <w:szCs w:val="22"/>
        </w:rPr>
      </w:pPr>
      <w:r>
        <w:rPr>
          <w:noProof/>
        </w:rPr>
        <w:t>Schedule 4—Provisions relevant to the energy sector</w:t>
      </w:r>
      <w:r>
        <w:rPr>
          <w:noProof/>
        </w:rPr>
        <w:tab/>
      </w:r>
      <w:r>
        <w:rPr>
          <w:noProof/>
        </w:rPr>
        <w:fldChar w:fldCharType="begin"/>
      </w:r>
      <w:r>
        <w:rPr>
          <w:noProof/>
        </w:rPr>
        <w:instrText xml:space="preserve"> PAGEREF _Toc111132295 \h </w:instrText>
      </w:r>
      <w:r>
        <w:rPr>
          <w:noProof/>
        </w:rPr>
      </w:r>
      <w:r>
        <w:rPr>
          <w:noProof/>
        </w:rPr>
        <w:fldChar w:fldCharType="separate"/>
      </w:r>
      <w:r w:rsidR="00857D8F">
        <w:rPr>
          <w:noProof/>
        </w:rPr>
        <w:t>207</w:t>
      </w:r>
      <w:r>
        <w:rPr>
          <w:noProof/>
        </w:rPr>
        <w:fldChar w:fldCharType="end"/>
      </w:r>
    </w:p>
    <w:p w14:paraId="1B432911" w14:textId="77777777" w:rsidR="00195095" w:rsidRDefault="00195095">
      <w:pPr>
        <w:pStyle w:val="TOC2"/>
        <w:rPr>
          <w:rFonts w:asciiTheme="minorHAnsi" w:eastAsiaTheme="minorEastAsia" w:hAnsiTheme="minorHAnsi" w:cstheme="minorBidi"/>
          <w:b w:val="0"/>
          <w:noProof/>
          <w:kern w:val="0"/>
          <w:sz w:val="22"/>
          <w:szCs w:val="22"/>
        </w:rPr>
      </w:pPr>
      <w:r>
        <w:rPr>
          <w:noProof/>
        </w:rPr>
        <w:t>Part 1 —Preliminary</w:t>
      </w:r>
      <w:r>
        <w:rPr>
          <w:noProof/>
        </w:rPr>
        <w:tab/>
      </w:r>
      <w:r>
        <w:rPr>
          <w:noProof/>
        </w:rPr>
        <w:fldChar w:fldCharType="begin"/>
      </w:r>
      <w:r>
        <w:rPr>
          <w:noProof/>
        </w:rPr>
        <w:instrText xml:space="preserve"> PAGEREF _Toc111132296 \h </w:instrText>
      </w:r>
      <w:r>
        <w:rPr>
          <w:noProof/>
        </w:rPr>
      </w:r>
      <w:r>
        <w:rPr>
          <w:noProof/>
        </w:rPr>
        <w:fldChar w:fldCharType="separate"/>
      </w:r>
      <w:r w:rsidR="00857D8F">
        <w:rPr>
          <w:noProof/>
        </w:rPr>
        <w:t>207</w:t>
      </w:r>
      <w:r>
        <w:rPr>
          <w:noProof/>
        </w:rPr>
        <w:fldChar w:fldCharType="end"/>
      </w:r>
    </w:p>
    <w:p w14:paraId="7A8B3309" w14:textId="77777777" w:rsidR="00195095" w:rsidRDefault="00195095">
      <w:pPr>
        <w:pStyle w:val="TOC5"/>
        <w:rPr>
          <w:rFonts w:asciiTheme="minorHAnsi" w:eastAsiaTheme="minorEastAsia" w:hAnsiTheme="minorHAnsi" w:cstheme="minorBidi"/>
          <w:noProof/>
          <w:kern w:val="0"/>
          <w:sz w:val="22"/>
          <w:szCs w:val="22"/>
        </w:rPr>
      </w:pPr>
      <w:r>
        <w:rPr>
          <w:noProof/>
        </w:rPr>
        <w:t>1.1  Simplified outline of this Schedule</w:t>
      </w:r>
      <w:r>
        <w:rPr>
          <w:noProof/>
        </w:rPr>
        <w:tab/>
      </w:r>
      <w:r>
        <w:rPr>
          <w:noProof/>
        </w:rPr>
        <w:fldChar w:fldCharType="begin"/>
      </w:r>
      <w:r>
        <w:rPr>
          <w:noProof/>
        </w:rPr>
        <w:instrText xml:space="preserve"> PAGEREF _Toc111132297 \h </w:instrText>
      </w:r>
      <w:r>
        <w:rPr>
          <w:noProof/>
        </w:rPr>
      </w:r>
      <w:r>
        <w:rPr>
          <w:noProof/>
        </w:rPr>
        <w:fldChar w:fldCharType="separate"/>
      </w:r>
      <w:r w:rsidR="00857D8F">
        <w:rPr>
          <w:noProof/>
        </w:rPr>
        <w:t>207</w:t>
      </w:r>
      <w:r>
        <w:rPr>
          <w:noProof/>
        </w:rPr>
        <w:fldChar w:fldCharType="end"/>
      </w:r>
    </w:p>
    <w:p w14:paraId="4931D382" w14:textId="77777777" w:rsidR="00195095" w:rsidRDefault="00195095">
      <w:pPr>
        <w:pStyle w:val="TOC5"/>
        <w:rPr>
          <w:rFonts w:asciiTheme="minorHAnsi" w:eastAsiaTheme="minorEastAsia" w:hAnsiTheme="minorHAnsi" w:cstheme="minorBidi"/>
          <w:noProof/>
          <w:kern w:val="0"/>
          <w:sz w:val="22"/>
          <w:szCs w:val="22"/>
        </w:rPr>
      </w:pPr>
      <w:r>
        <w:rPr>
          <w:noProof/>
        </w:rPr>
        <w:t>1.2  Interpretation</w:t>
      </w:r>
      <w:r>
        <w:rPr>
          <w:noProof/>
        </w:rPr>
        <w:tab/>
      </w:r>
      <w:r>
        <w:rPr>
          <w:noProof/>
        </w:rPr>
        <w:fldChar w:fldCharType="begin"/>
      </w:r>
      <w:r>
        <w:rPr>
          <w:noProof/>
        </w:rPr>
        <w:instrText xml:space="preserve"> PAGEREF _Toc111132298 \h </w:instrText>
      </w:r>
      <w:r>
        <w:rPr>
          <w:noProof/>
        </w:rPr>
      </w:r>
      <w:r>
        <w:rPr>
          <w:noProof/>
        </w:rPr>
        <w:fldChar w:fldCharType="separate"/>
      </w:r>
      <w:r w:rsidR="00857D8F">
        <w:rPr>
          <w:noProof/>
        </w:rPr>
        <w:t>207</w:t>
      </w:r>
      <w:r>
        <w:rPr>
          <w:noProof/>
        </w:rPr>
        <w:fldChar w:fldCharType="end"/>
      </w:r>
    </w:p>
    <w:p w14:paraId="178C0A28" w14:textId="77777777" w:rsidR="00195095" w:rsidRDefault="00195095">
      <w:pPr>
        <w:pStyle w:val="TOC5"/>
        <w:rPr>
          <w:rFonts w:asciiTheme="minorHAnsi" w:eastAsiaTheme="minorEastAsia" w:hAnsiTheme="minorHAnsi" w:cstheme="minorBidi"/>
          <w:noProof/>
          <w:kern w:val="0"/>
          <w:sz w:val="22"/>
          <w:szCs w:val="22"/>
        </w:rPr>
      </w:pPr>
      <w:r>
        <w:rPr>
          <w:noProof/>
        </w:rPr>
        <w:t>1.3  Meaning of terms for types of data</w:t>
      </w:r>
      <w:r>
        <w:rPr>
          <w:noProof/>
        </w:rPr>
        <w:tab/>
      </w:r>
      <w:r>
        <w:rPr>
          <w:noProof/>
        </w:rPr>
        <w:fldChar w:fldCharType="begin"/>
      </w:r>
      <w:r>
        <w:rPr>
          <w:noProof/>
        </w:rPr>
        <w:instrText xml:space="preserve"> PAGEREF _Toc111132299 \h </w:instrText>
      </w:r>
      <w:r>
        <w:rPr>
          <w:noProof/>
        </w:rPr>
      </w:r>
      <w:r>
        <w:rPr>
          <w:noProof/>
        </w:rPr>
        <w:fldChar w:fldCharType="separate"/>
      </w:r>
      <w:r w:rsidR="00857D8F">
        <w:rPr>
          <w:noProof/>
        </w:rPr>
        <w:t>209</w:t>
      </w:r>
      <w:r>
        <w:rPr>
          <w:noProof/>
        </w:rPr>
        <w:fldChar w:fldCharType="end"/>
      </w:r>
    </w:p>
    <w:p w14:paraId="726E5188" w14:textId="77777777" w:rsidR="00195095" w:rsidRDefault="00195095">
      <w:pPr>
        <w:pStyle w:val="TOC5"/>
        <w:rPr>
          <w:rFonts w:asciiTheme="minorHAnsi" w:eastAsiaTheme="minorEastAsia" w:hAnsiTheme="minorHAnsi" w:cstheme="minorBidi"/>
          <w:noProof/>
          <w:kern w:val="0"/>
          <w:sz w:val="22"/>
          <w:szCs w:val="22"/>
        </w:rPr>
      </w:pPr>
      <w:r>
        <w:rPr>
          <w:noProof/>
        </w:rPr>
        <w:t xml:space="preserve">1.4  Meaning of </w:t>
      </w:r>
      <w:r w:rsidRPr="00F95A48">
        <w:rPr>
          <w:i/>
          <w:iCs/>
          <w:noProof/>
        </w:rPr>
        <w:t>retailer</w:t>
      </w:r>
      <w:r>
        <w:rPr>
          <w:noProof/>
        </w:rPr>
        <w:tab/>
      </w:r>
      <w:r>
        <w:rPr>
          <w:noProof/>
        </w:rPr>
        <w:fldChar w:fldCharType="begin"/>
      </w:r>
      <w:r>
        <w:rPr>
          <w:noProof/>
        </w:rPr>
        <w:instrText xml:space="preserve"> PAGEREF _Toc111132300 \h </w:instrText>
      </w:r>
      <w:r>
        <w:rPr>
          <w:noProof/>
        </w:rPr>
      </w:r>
      <w:r>
        <w:rPr>
          <w:noProof/>
        </w:rPr>
        <w:fldChar w:fldCharType="separate"/>
      </w:r>
      <w:r w:rsidR="00857D8F">
        <w:rPr>
          <w:noProof/>
        </w:rPr>
        <w:t>211</w:t>
      </w:r>
      <w:r>
        <w:rPr>
          <w:noProof/>
        </w:rPr>
        <w:fldChar w:fldCharType="end"/>
      </w:r>
    </w:p>
    <w:p w14:paraId="0D3AC6AB" w14:textId="77777777" w:rsidR="00195095" w:rsidRDefault="00195095">
      <w:pPr>
        <w:pStyle w:val="TOC2"/>
        <w:rPr>
          <w:rFonts w:asciiTheme="minorHAnsi" w:eastAsiaTheme="minorEastAsia" w:hAnsiTheme="minorHAnsi" w:cstheme="minorBidi"/>
          <w:b w:val="0"/>
          <w:noProof/>
          <w:kern w:val="0"/>
          <w:sz w:val="22"/>
          <w:szCs w:val="22"/>
        </w:rPr>
      </w:pPr>
      <w:r>
        <w:rPr>
          <w:noProof/>
        </w:rPr>
        <w:t>Part 2—Eligible CDR consumers—energy sector</w:t>
      </w:r>
      <w:r>
        <w:rPr>
          <w:noProof/>
        </w:rPr>
        <w:tab/>
      </w:r>
      <w:r>
        <w:rPr>
          <w:noProof/>
        </w:rPr>
        <w:fldChar w:fldCharType="begin"/>
      </w:r>
      <w:r>
        <w:rPr>
          <w:noProof/>
        </w:rPr>
        <w:instrText xml:space="preserve"> PAGEREF _Toc111132301 \h </w:instrText>
      </w:r>
      <w:r>
        <w:rPr>
          <w:noProof/>
        </w:rPr>
      </w:r>
      <w:r>
        <w:rPr>
          <w:noProof/>
        </w:rPr>
        <w:fldChar w:fldCharType="separate"/>
      </w:r>
      <w:r w:rsidR="00857D8F">
        <w:rPr>
          <w:noProof/>
        </w:rPr>
        <w:t>212</w:t>
      </w:r>
      <w:r>
        <w:rPr>
          <w:noProof/>
        </w:rPr>
        <w:fldChar w:fldCharType="end"/>
      </w:r>
    </w:p>
    <w:p w14:paraId="22E45621" w14:textId="77777777" w:rsidR="00195095" w:rsidRDefault="00195095">
      <w:pPr>
        <w:pStyle w:val="TOC5"/>
        <w:rPr>
          <w:rFonts w:asciiTheme="minorHAnsi" w:eastAsiaTheme="minorEastAsia" w:hAnsiTheme="minorHAnsi" w:cstheme="minorBidi"/>
          <w:noProof/>
          <w:kern w:val="0"/>
          <w:sz w:val="22"/>
          <w:szCs w:val="22"/>
        </w:rPr>
      </w:pPr>
      <w:r>
        <w:rPr>
          <w:noProof/>
        </w:rPr>
        <w:t>2.1  Additional criteria for eligibility—energy sector</w:t>
      </w:r>
      <w:r>
        <w:rPr>
          <w:noProof/>
        </w:rPr>
        <w:tab/>
      </w:r>
      <w:r>
        <w:rPr>
          <w:noProof/>
        </w:rPr>
        <w:fldChar w:fldCharType="begin"/>
      </w:r>
      <w:r>
        <w:rPr>
          <w:noProof/>
        </w:rPr>
        <w:instrText xml:space="preserve"> PAGEREF _Toc111132302 \h </w:instrText>
      </w:r>
      <w:r>
        <w:rPr>
          <w:noProof/>
        </w:rPr>
      </w:r>
      <w:r>
        <w:rPr>
          <w:noProof/>
        </w:rPr>
        <w:fldChar w:fldCharType="separate"/>
      </w:r>
      <w:r w:rsidR="00857D8F">
        <w:rPr>
          <w:noProof/>
        </w:rPr>
        <w:t>212</w:t>
      </w:r>
      <w:r>
        <w:rPr>
          <w:noProof/>
        </w:rPr>
        <w:fldChar w:fldCharType="end"/>
      </w:r>
    </w:p>
    <w:p w14:paraId="2CC8F8D2" w14:textId="77777777" w:rsidR="00195095" w:rsidRDefault="00195095">
      <w:pPr>
        <w:pStyle w:val="TOC5"/>
        <w:rPr>
          <w:rFonts w:asciiTheme="minorHAnsi" w:eastAsiaTheme="minorEastAsia" w:hAnsiTheme="minorHAnsi" w:cstheme="minorBidi"/>
          <w:noProof/>
          <w:kern w:val="0"/>
          <w:sz w:val="22"/>
          <w:szCs w:val="22"/>
        </w:rPr>
      </w:pPr>
      <w:r>
        <w:rPr>
          <w:noProof/>
        </w:rPr>
        <w:t xml:space="preserve">2.2  Meaning of </w:t>
      </w:r>
      <w:r w:rsidRPr="00F95A48">
        <w:rPr>
          <w:i/>
          <w:noProof/>
        </w:rPr>
        <w:t>account privileges</w:t>
      </w:r>
      <w:r>
        <w:rPr>
          <w:noProof/>
        </w:rPr>
        <w:t>—energy sector</w:t>
      </w:r>
      <w:r>
        <w:rPr>
          <w:noProof/>
        </w:rPr>
        <w:tab/>
      </w:r>
      <w:r>
        <w:rPr>
          <w:noProof/>
        </w:rPr>
        <w:fldChar w:fldCharType="begin"/>
      </w:r>
      <w:r>
        <w:rPr>
          <w:noProof/>
        </w:rPr>
        <w:instrText xml:space="preserve"> PAGEREF _Toc111132303 \h </w:instrText>
      </w:r>
      <w:r>
        <w:rPr>
          <w:noProof/>
        </w:rPr>
      </w:r>
      <w:r>
        <w:rPr>
          <w:noProof/>
        </w:rPr>
        <w:fldChar w:fldCharType="separate"/>
      </w:r>
      <w:r w:rsidR="00857D8F">
        <w:rPr>
          <w:noProof/>
        </w:rPr>
        <w:t>212</w:t>
      </w:r>
      <w:r>
        <w:rPr>
          <w:noProof/>
        </w:rPr>
        <w:fldChar w:fldCharType="end"/>
      </w:r>
    </w:p>
    <w:p w14:paraId="34FE590C" w14:textId="77777777" w:rsidR="00195095" w:rsidRDefault="00195095">
      <w:pPr>
        <w:pStyle w:val="TOC5"/>
        <w:rPr>
          <w:rFonts w:asciiTheme="minorHAnsi" w:eastAsiaTheme="minorEastAsia" w:hAnsiTheme="minorHAnsi" w:cstheme="minorBidi"/>
          <w:noProof/>
          <w:kern w:val="0"/>
          <w:sz w:val="22"/>
          <w:szCs w:val="22"/>
        </w:rPr>
      </w:pPr>
      <w:r>
        <w:rPr>
          <w:noProof/>
        </w:rPr>
        <w:t>2.3  Consumer dashboard—application of rule 1.15</w:t>
      </w:r>
      <w:r>
        <w:rPr>
          <w:noProof/>
        </w:rPr>
        <w:tab/>
      </w:r>
      <w:r>
        <w:rPr>
          <w:noProof/>
        </w:rPr>
        <w:fldChar w:fldCharType="begin"/>
      </w:r>
      <w:r>
        <w:rPr>
          <w:noProof/>
        </w:rPr>
        <w:instrText xml:space="preserve"> PAGEREF _Toc111132304 \h </w:instrText>
      </w:r>
      <w:r>
        <w:rPr>
          <w:noProof/>
        </w:rPr>
      </w:r>
      <w:r>
        <w:rPr>
          <w:noProof/>
        </w:rPr>
        <w:fldChar w:fldCharType="separate"/>
      </w:r>
      <w:r w:rsidR="00857D8F">
        <w:rPr>
          <w:noProof/>
        </w:rPr>
        <w:t>212</w:t>
      </w:r>
      <w:r>
        <w:rPr>
          <w:noProof/>
        </w:rPr>
        <w:fldChar w:fldCharType="end"/>
      </w:r>
    </w:p>
    <w:p w14:paraId="1CAAE326" w14:textId="77777777" w:rsidR="00195095" w:rsidRDefault="00195095">
      <w:pPr>
        <w:pStyle w:val="TOC2"/>
        <w:rPr>
          <w:rFonts w:asciiTheme="minorHAnsi" w:eastAsiaTheme="minorEastAsia" w:hAnsiTheme="minorHAnsi" w:cstheme="minorBidi"/>
          <w:b w:val="0"/>
          <w:noProof/>
          <w:kern w:val="0"/>
          <w:sz w:val="22"/>
          <w:szCs w:val="22"/>
        </w:rPr>
      </w:pPr>
      <w:r>
        <w:rPr>
          <w:noProof/>
        </w:rPr>
        <w:t>Part 3—CDR data that may be accessed under these rules—energy sector</w:t>
      </w:r>
      <w:r>
        <w:rPr>
          <w:noProof/>
        </w:rPr>
        <w:tab/>
      </w:r>
      <w:r>
        <w:rPr>
          <w:noProof/>
        </w:rPr>
        <w:fldChar w:fldCharType="begin"/>
      </w:r>
      <w:r>
        <w:rPr>
          <w:noProof/>
        </w:rPr>
        <w:instrText xml:space="preserve"> PAGEREF _Toc111132305 \h </w:instrText>
      </w:r>
      <w:r>
        <w:rPr>
          <w:noProof/>
        </w:rPr>
      </w:r>
      <w:r>
        <w:rPr>
          <w:noProof/>
        </w:rPr>
        <w:fldChar w:fldCharType="separate"/>
      </w:r>
      <w:r w:rsidR="00857D8F">
        <w:rPr>
          <w:noProof/>
        </w:rPr>
        <w:t>213</w:t>
      </w:r>
      <w:r>
        <w:rPr>
          <w:noProof/>
        </w:rPr>
        <w:fldChar w:fldCharType="end"/>
      </w:r>
    </w:p>
    <w:p w14:paraId="62D8EEB6" w14:textId="77777777" w:rsidR="00195095" w:rsidRDefault="00195095">
      <w:pPr>
        <w:pStyle w:val="TOC5"/>
        <w:rPr>
          <w:rFonts w:asciiTheme="minorHAnsi" w:eastAsiaTheme="minorEastAsia" w:hAnsiTheme="minorHAnsi" w:cstheme="minorBidi"/>
          <w:noProof/>
          <w:kern w:val="0"/>
          <w:sz w:val="22"/>
          <w:szCs w:val="22"/>
        </w:rPr>
      </w:pPr>
      <w:r>
        <w:rPr>
          <w:noProof/>
        </w:rPr>
        <w:t xml:space="preserve">3.1  Meaning of </w:t>
      </w:r>
      <w:r w:rsidRPr="00F95A48">
        <w:rPr>
          <w:i/>
          <w:noProof/>
        </w:rPr>
        <w:t>required product data</w:t>
      </w:r>
      <w:r>
        <w:rPr>
          <w:noProof/>
        </w:rPr>
        <w:t xml:space="preserve"> and </w:t>
      </w:r>
      <w:r w:rsidRPr="00F95A48">
        <w:rPr>
          <w:i/>
          <w:noProof/>
        </w:rPr>
        <w:t>voluntary product data</w:t>
      </w:r>
      <w:r>
        <w:rPr>
          <w:noProof/>
        </w:rPr>
        <w:t>—energy sector</w:t>
      </w:r>
      <w:r>
        <w:rPr>
          <w:noProof/>
        </w:rPr>
        <w:tab/>
      </w:r>
      <w:r>
        <w:rPr>
          <w:noProof/>
        </w:rPr>
        <w:fldChar w:fldCharType="begin"/>
      </w:r>
      <w:r>
        <w:rPr>
          <w:noProof/>
        </w:rPr>
        <w:instrText xml:space="preserve"> PAGEREF _Toc111132306 \h </w:instrText>
      </w:r>
      <w:r>
        <w:rPr>
          <w:noProof/>
        </w:rPr>
      </w:r>
      <w:r>
        <w:rPr>
          <w:noProof/>
        </w:rPr>
        <w:fldChar w:fldCharType="separate"/>
      </w:r>
      <w:r w:rsidR="00857D8F">
        <w:rPr>
          <w:noProof/>
        </w:rPr>
        <w:t>213</w:t>
      </w:r>
      <w:r>
        <w:rPr>
          <w:noProof/>
        </w:rPr>
        <w:fldChar w:fldCharType="end"/>
      </w:r>
    </w:p>
    <w:p w14:paraId="374AA804" w14:textId="77777777" w:rsidR="00195095" w:rsidRDefault="00195095">
      <w:pPr>
        <w:pStyle w:val="TOC5"/>
        <w:rPr>
          <w:rFonts w:asciiTheme="minorHAnsi" w:eastAsiaTheme="minorEastAsia" w:hAnsiTheme="minorHAnsi" w:cstheme="minorBidi"/>
          <w:noProof/>
          <w:kern w:val="0"/>
          <w:sz w:val="22"/>
          <w:szCs w:val="22"/>
        </w:rPr>
      </w:pPr>
      <w:r>
        <w:rPr>
          <w:noProof/>
        </w:rPr>
        <w:lastRenderedPageBreak/>
        <w:t xml:space="preserve">3.2  Meaning of </w:t>
      </w:r>
      <w:r w:rsidRPr="00F95A48">
        <w:rPr>
          <w:i/>
          <w:noProof/>
        </w:rPr>
        <w:t>required consumer data</w:t>
      </w:r>
      <w:r>
        <w:rPr>
          <w:noProof/>
        </w:rPr>
        <w:t xml:space="preserve"> and </w:t>
      </w:r>
      <w:r w:rsidRPr="00F95A48">
        <w:rPr>
          <w:i/>
          <w:noProof/>
        </w:rPr>
        <w:t>voluntary consumer data</w:t>
      </w:r>
      <w:r>
        <w:rPr>
          <w:noProof/>
        </w:rPr>
        <w:t>—energy sector</w:t>
      </w:r>
      <w:r>
        <w:rPr>
          <w:noProof/>
        </w:rPr>
        <w:tab/>
      </w:r>
      <w:r>
        <w:rPr>
          <w:noProof/>
        </w:rPr>
        <w:fldChar w:fldCharType="begin"/>
      </w:r>
      <w:r>
        <w:rPr>
          <w:noProof/>
        </w:rPr>
        <w:instrText xml:space="preserve"> PAGEREF _Toc111132307 \h </w:instrText>
      </w:r>
      <w:r>
        <w:rPr>
          <w:noProof/>
        </w:rPr>
      </w:r>
      <w:r>
        <w:rPr>
          <w:noProof/>
        </w:rPr>
        <w:fldChar w:fldCharType="separate"/>
      </w:r>
      <w:r w:rsidR="00857D8F">
        <w:rPr>
          <w:noProof/>
        </w:rPr>
        <w:t>213</w:t>
      </w:r>
      <w:r>
        <w:rPr>
          <w:noProof/>
        </w:rPr>
        <w:fldChar w:fldCharType="end"/>
      </w:r>
    </w:p>
    <w:p w14:paraId="461C6A82" w14:textId="77777777" w:rsidR="00195095" w:rsidRDefault="00195095">
      <w:pPr>
        <w:pStyle w:val="TOC2"/>
        <w:rPr>
          <w:rFonts w:asciiTheme="minorHAnsi" w:eastAsiaTheme="minorEastAsia" w:hAnsiTheme="minorHAnsi" w:cstheme="minorBidi"/>
          <w:b w:val="0"/>
          <w:noProof/>
          <w:kern w:val="0"/>
          <w:sz w:val="22"/>
          <w:szCs w:val="22"/>
        </w:rPr>
      </w:pPr>
      <w:r>
        <w:rPr>
          <w:noProof/>
        </w:rPr>
        <w:t>Part 4—Roles of AEMO and the energy sector agencies</w:t>
      </w:r>
      <w:r>
        <w:rPr>
          <w:noProof/>
        </w:rPr>
        <w:tab/>
      </w:r>
      <w:r>
        <w:rPr>
          <w:noProof/>
        </w:rPr>
        <w:fldChar w:fldCharType="begin"/>
      </w:r>
      <w:r>
        <w:rPr>
          <w:noProof/>
        </w:rPr>
        <w:instrText xml:space="preserve"> PAGEREF _Toc111132308 \h </w:instrText>
      </w:r>
      <w:r>
        <w:rPr>
          <w:noProof/>
        </w:rPr>
      </w:r>
      <w:r>
        <w:rPr>
          <w:noProof/>
        </w:rPr>
        <w:fldChar w:fldCharType="separate"/>
      </w:r>
      <w:r w:rsidR="00857D8F">
        <w:rPr>
          <w:noProof/>
        </w:rPr>
        <w:t>215</w:t>
      </w:r>
      <w:r>
        <w:rPr>
          <w:noProof/>
        </w:rPr>
        <w:fldChar w:fldCharType="end"/>
      </w:r>
    </w:p>
    <w:p w14:paraId="4B2EDAE3" w14:textId="77777777" w:rsidR="00195095" w:rsidRDefault="00195095">
      <w:pPr>
        <w:pStyle w:val="TOC5"/>
        <w:rPr>
          <w:rFonts w:asciiTheme="minorHAnsi" w:eastAsiaTheme="minorEastAsia" w:hAnsiTheme="minorHAnsi" w:cstheme="minorBidi"/>
          <w:noProof/>
          <w:kern w:val="0"/>
          <w:sz w:val="22"/>
          <w:szCs w:val="22"/>
        </w:rPr>
      </w:pPr>
      <w:r>
        <w:rPr>
          <w:noProof/>
        </w:rPr>
        <w:t>4.1  AER and the Victorian agency may act on each other’s behalf</w:t>
      </w:r>
      <w:r>
        <w:rPr>
          <w:noProof/>
        </w:rPr>
        <w:tab/>
      </w:r>
      <w:r>
        <w:rPr>
          <w:noProof/>
        </w:rPr>
        <w:fldChar w:fldCharType="begin"/>
      </w:r>
      <w:r>
        <w:rPr>
          <w:noProof/>
        </w:rPr>
        <w:instrText xml:space="preserve"> PAGEREF _Toc111132309 \h </w:instrText>
      </w:r>
      <w:r>
        <w:rPr>
          <w:noProof/>
        </w:rPr>
      </w:r>
      <w:r>
        <w:rPr>
          <w:noProof/>
        </w:rPr>
        <w:fldChar w:fldCharType="separate"/>
      </w:r>
      <w:r w:rsidR="00857D8F">
        <w:rPr>
          <w:noProof/>
        </w:rPr>
        <w:t>215</w:t>
      </w:r>
      <w:r>
        <w:rPr>
          <w:noProof/>
        </w:rPr>
        <w:fldChar w:fldCharType="end"/>
      </w:r>
    </w:p>
    <w:p w14:paraId="5F901240" w14:textId="77777777" w:rsidR="00195095" w:rsidRDefault="00195095">
      <w:pPr>
        <w:pStyle w:val="TOC5"/>
        <w:rPr>
          <w:rFonts w:asciiTheme="minorHAnsi" w:eastAsiaTheme="minorEastAsia" w:hAnsiTheme="minorHAnsi" w:cstheme="minorBidi"/>
          <w:noProof/>
          <w:kern w:val="0"/>
          <w:sz w:val="22"/>
          <w:szCs w:val="22"/>
        </w:rPr>
      </w:pPr>
      <w:r>
        <w:rPr>
          <w:noProof/>
        </w:rPr>
        <w:t>4.2  Product data request service</w:t>
      </w:r>
      <w:r>
        <w:rPr>
          <w:noProof/>
        </w:rPr>
        <w:tab/>
      </w:r>
      <w:r>
        <w:rPr>
          <w:noProof/>
        </w:rPr>
        <w:fldChar w:fldCharType="begin"/>
      </w:r>
      <w:r>
        <w:rPr>
          <w:noProof/>
        </w:rPr>
        <w:instrText xml:space="preserve"> PAGEREF _Toc111132310 \h </w:instrText>
      </w:r>
      <w:r>
        <w:rPr>
          <w:noProof/>
        </w:rPr>
      </w:r>
      <w:r>
        <w:rPr>
          <w:noProof/>
        </w:rPr>
        <w:fldChar w:fldCharType="separate"/>
      </w:r>
      <w:r w:rsidR="00857D8F">
        <w:rPr>
          <w:noProof/>
        </w:rPr>
        <w:t>215</w:t>
      </w:r>
      <w:r>
        <w:rPr>
          <w:noProof/>
        </w:rPr>
        <w:fldChar w:fldCharType="end"/>
      </w:r>
    </w:p>
    <w:p w14:paraId="35190EA5" w14:textId="77777777" w:rsidR="00195095" w:rsidRDefault="00195095">
      <w:pPr>
        <w:pStyle w:val="TOC5"/>
        <w:rPr>
          <w:rFonts w:asciiTheme="minorHAnsi" w:eastAsiaTheme="minorEastAsia" w:hAnsiTheme="minorHAnsi" w:cstheme="minorBidi"/>
          <w:noProof/>
          <w:kern w:val="0"/>
          <w:sz w:val="22"/>
          <w:szCs w:val="22"/>
        </w:rPr>
      </w:pPr>
      <w:r>
        <w:rPr>
          <w:noProof/>
        </w:rPr>
        <w:t xml:space="preserve">4.3  Meaning of </w:t>
      </w:r>
      <w:r w:rsidRPr="00F95A48">
        <w:rPr>
          <w:i/>
          <w:noProof/>
        </w:rPr>
        <w:t>SR data</w:t>
      </w:r>
      <w:r>
        <w:rPr>
          <w:noProof/>
        </w:rPr>
        <w:t xml:space="preserve"> and </w:t>
      </w:r>
      <w:r w:rsidRPr="00F95A48">
        <w:rPr>
          <w:i/>
          <w:noProof/>
        </w:rPr>
        <w:t>primary data holder</w:t>
      </w:r>
      <w:r>
        <w:rPr>
          <w:noProof/>
        </w:rPr>
        <w:t>—energy sector</w:t>
      </w:r>
      <w:r>
        <w:rPr>
          <w:noProof/>
        </w:rPr>
        <w:tab/>
      </w:r>
      <w:r>
        <w:rPr>
          <w:noProof/>
        </w:rPr>
        <w:fldChar w:fldCharType="begin"/>
      </w:r>
      <w:r>
        <w:rPr>
          <w:noProof/>
        </w:rPr>
        <w:instrText xml:space="preserve"> PAGEREF _Toc111132311 \h </w:instrText>
      </w:r>
      <w:r>
        <w:rPr>
          <w:noProof/>
        </w:rPr>
      </w:r>
      <w:r>
        <w:rPr>
          <w:noProof/>
        </w:rPr>
        <w:fldChar w:fldCharType="separate"/>
      </w:r>
      <w:r w:rsidR="00857D8F">
        <w:rPr>
          <w:noProof/>
        </w:rPr>
        <w:t>216</w:t>
      </w:r>
      <w:r>
        <w:rPr>
          <w:noProof/>
        </w:rPr>
        <w:fldChar w:fldCharType="end"/>
      </w:r>
    </w:p>
    <w:p w14:paraId="1D53B147" w14:textId="77777777" w:rsidR="00195095" w:rsidRDefault="00195095">
      <w:pPr>
        <w:pStyle w:val="TOC5"/>
        <w:rPr>
          <w:rFonts w:asciiTheme="minorHAnsi" w:eastAsiaTheme="minorEastAsia" w:hAnsiTheme="minorHAnsi" w:cstheme="minorBidi"/>
          <w:noProof/>
          <w:kern w:val="0"/>
          <w:sz w:val="22"/>
          <w:szCs w:val="22"/>
        </w:rPr>
      </w:pPr>
      <w:r>
        <w:rPr>
          <w:noProof/>
        </w:rPr>
        <w:t>4.4  SR data must be obtained from AEMO</w:t>
      </w:r>
      <w:r>
        <w:rPr>
          <w:noProof/>
        </w:rPr>
        <w:tab/>
      </w:r>
      <w:r>
        <w:rPr>
          <w:noProof/>
        </w:rPr>
        <w:fldChar w:fldCharType="begin"/>
      </w:r>
      <w:r>
        <w:rPr>
          <w:noProof/>
        </w:rPr>
        <w:instrText xml:space="preserve"> PAGEREF _Toc111132312 \h </w:instrText>
      </w:r>
      <w:r>
        <w:rPr>
          <w:noProof/>
        </w:rPr>
      </w:r>
      <w:r>
        <w:rPr>
          <w:noProof/>
        </w:rPr>
        <w:fldChar w:fldCharType="separate"/>
      </w:r>
      <w:r w:rsidR="00857D8F">
        <w:rPr>
          <w:noProof/>
        </w:rPr>
        <w:t>216</w:t>
      </w:r>
      <w:r>
        <w:rPr>
          <w:noProof/>
        </w:rPr>
        <w:fldChar w:fldCharType="end"/>
      </w:r>
    </w:p>
    <w:p w14:paraId="2EC4A266" w14:textId="77777777" w:rsidR="00195095" w:rsidRDefault="00195095">
      <w:pPr>
        <w:pStyle w:val="TOC5"/>
        <w:rPr>
          <w:rFonts w:asciiTheme="minorHAnsi" w:eastAsiaTheme="minorEastAsia" w:hAnsiTheme="minorHAnsi" w:cstheme="minorBidi"/>
          <w:noProof/>
          <w:kern w:val="0"/>
          <w:sz w:val="22"/>
          <w:szCs w:val="22"/>
        </w:rPr>
      </w:pPr>
      <w:r>
        <w:rPr>
          <w:noProof/>
        </w:rPr>
        <w:t>4.5  Civil penalties do not apply</w:t>
      </w:r>
      <w:r>
        <w:rPr>
          <w:noProof/>
        </w:rPr>
        <w:tab/>
      </w:r>
      <w:r>
        <w:rPr>
          <w:noProof/>
        </w:rPr>
        <w:fldChar w:fldCharType="begin"/>
      </w:r>
      <w:r>
        <w:rPr>
          <w:noProof/>
        </w:rPr>
        <w:instrText xml:space="preserve"> PAGEREF _Toc111132313 \h </w:instrText>
      </w:r>
      <w:r>
        <w:rPr>
          <w:noProof/>
        </w:rPr>
      </w:r>
      <w:r>
        <w:rPr>
          <w:noProof/>
        </w:rPr>
        <w:fldChar w:fldCharType="separate"/>
      </w:r>
      <w:r w:rsidR="00857D8F">
        <w:rPr>
          <w:noProof/>
        </w:rPr>
        <w:t>216</w:t>
      </w:r>
      <w:r>
        <w:rPr>
          <w:noProof/>
        </w:rPr>
        <w:fldChar w:fldCharType="end"/>
      </w:r>
    </w:p>
    <w:p w14:paraId="4896DFF9" w14:textId="77777777" w:rsidR="00195095" w:rsidRDefault="00195095">
      <w:pPr>
        <w:pStyle w:val="TOC2"/>
        <w:rPr>
          <w:rFonts w:asciiTheme="minorHAnsi" w:eastAsiaTheme="minorEastAsia" w:hAnsiTheme="minorHAnsi" w:cstheme="minorBidi"/>
          <w:b w:val="0"/>
          <w:noProof/>
          <w:kern w:val="0"/>
          <w:sz w:val="22"/>
          <w:szCs w:val="22"/>
        </w:rPr>
      </w:pPr>
      <w:r>
        <w:rPr>
          <w:noProof/>
        </w:rPr>
        <w:t>Part 5—Dispute resolution―energy sector</w:t>
      </w:r>
      <w:r>
        <w:rPr>
          <w:noProof/>
        </w:rPr>
        <w:tab/>
      </w:r>
      <w:r>
        <w:rPr>
          <w:noProof/>
        </w:rPr>
        <w:fldChar w:fldCharType="begin"/>
      </w:r>
      <w:r>
        <w:rPr>
          <w:noProof/>
        </w:rPr>
        <w:instrText xml:space="preserve"> PAGEREF _Toc111132314 \h </w:instrText>
      </w:r>
      <w:r>
        <w:rPr>
          <w:noProof/>
        </w:rPr>
      </w:r>
      <w:r>
        <w:rPr>
          <w:noProof/>
        </w:rPr>
        <w:fldChar w:fldCharType="separate"/>
      </w:r>
      <w:r w:rsidR="00857D8F">
        <w:rPr>
          <w:noProof/>
        </w:rPr>
        <w:t>216</w:t>
      </w:r>
      <w:r>
        <w:rPr>
          <w:noProof/>
        </w:rPr>
        <w:fldChar w:fldCharType="end"/>
      </w:r>
    </w:p>
    <w:p w14:paraId="5F1B20C8" w14:textId="77777777" w:rsidR="00195095" w:rsidRDefault="00195095">
      <w:pPr>
        <w:pStyle w:val="TOC5"/>
        <w:rPr>
          <w:rFonts w:asciiTheme="minorHAnsi" w:eastAsiaTheme="minorEastAsia" w:hAnsiTheme="minorHAnsi" w:cstheme="minorBidi"/>
          <w:noProof/>
          <w:kern w:val="0"/>
          <w:sz w:val="22"/>
          <w:szCs w:val="22"/>
        </w:rPr>
      </w:pPr>
      <w:r>
        <w:rPr>
          <w:noProof/>
        </w:rPr>
        <w:t>5.1  Meeting internal dispute resolution requirements—energy sector</w:t>
      </w:r>
      <w:r>
        <w:rPr>
          <w:noProof/>
        </w:rPr>
        <w:tab/>
      </w:r>
      <w:r>
        <w:rPr>
          <w:noProof/>
        </w:rPr>
        <w:fldChar w:fldCharType="begin"/>
      </w:r>
      <w:r>
        <w:rPr>
          <w:noProof/>
        </w:rPr>
        <w:instrText xml:space="preserve"> PAGEREF _Toc111132315 \h </w:instrText>
      </w:r>
      <w:r>
        <w:rPr>
          <w:noProof/>
        </w:rPr>
      </w:r>
      <w:r>
        <w:rPr>
          <w:noProof/>
        </w:rPr>
        <w:fldChar w:fldCharType="separate"/>
      </w:r>
      <w:r w:rsidR="00857D8F">
        <w:rPr>
          <w:noProof/>
        </w:rPr>
        <w:t>216</w:t>
      </w:r>
      <w:r>
        <w:rPr>
          <w:noProof/>
        </w:rPr>
        <w:fldChar w:fldCharType="end"/>
      </w:r>
    </w:p>
    <w:p w14:paraId="2EC583E1" w14:textId="77777777" w:rsidR="00195095" w:rsidRDefault="00195095">
      <w:pPr>
        <w:pStyle w:val="TOC5"/>
        <w:rPr>
          <w:rFonts w:asciiTheme="minorHAnsi" w:eastAsiaTheme="minorEastAsia" w:hAnsiTheme="minorHAnsi" w:cstheme="minorBidi"/>
          <w:noProof/>
          <w:kern w:val="0"/>
          <w:sz w:val="22"/>
          <w:szCs w:val="22"/>
        </w:rPr>
      </w:pPr>
      <w:r w:rsidRPr="00F95A48">
        <w:rPr>
          <w:noProof/>
          <w:color w:val="0000FF"/>
        </w:rPr>
        <w:t>5.2  External dispute resolution requirements—energy sector</w:t>
      </w:r>
      <w:r>
        <w:rPr>
          <w:noProof/>
        </w:rPr>
        <w:tab/>
      </w:r>
      <w:r>
        <w:rPr>
          <w:noProof/>
        </w:rPr>
        <w:fldChar w:fldCharType="begin"/>
      </w:r>
      <w:r>
        <w:rPr>
          <w:noProof/>
        </w:rPr>
        <w:instrText xml:space="preserve"> PAGEREF _Toc111132316 \h </w:instrText>
      </w:r>
      <w:r>
        <w:rPr>
          <w:noProof/>
        </w:rPr>
      </w:r>
      <w:r>
        <w:rPr>
          <w:noProof/>
        </w:rPr>
        <w:fldChar w:fldCharType="separate"/>
      </w:r>
      <w:r w:rsidR="00857D8F">
        <w:rPr>
          <w:noProof/>
        </w:rPr>
        <w:t>217</w:t>
      </w:r>
      <w:r>
        <w:rPr>
          <w:noProof/>
        </w:rPr>
        <w:fldChar w:fldCharType="end"/>
      </w:r>
    </w:p>
    <w:p w14:paraId="6A6125CD" w14:textId="77777777" w:rsidR="00195095" w:rsidRDefault="00195095">
      <w:pPr>
        <w:pStyle w:val="TOC2"/>
        <w:rPr>
          <w:rFonts w:asciiTheme="minorHAnsi" w:eastAsiaTheme="minorEastAsia" w:hAnsiTheme="minorHAnsi" w:cstheme="minorBidi"/>
          <w:b w:val="0"/>
          <w:noProof/>
          <w:kern w:val="0"/>
          <w:sz w:val="22"/>
          <w:szCs w:val="22"/>
        </w:rPr>
      </w:pPr>
      <w:r>
        <w:rPr>
          <w:noProof/>
        </w:rPr>
        <w:t>Part 6—Privacy safeguards―energy sector</w:t>
      </w:r>
      <w:r>
        <w:rPr>
          <w:noProof/>
        </w:rPr>
        <w:tab/>
      </w:r>
      <w:r>
        <w:rPr>
          <w:noProof/>
        </w:rPr>
        <w:fldChar w:fldCharType="begin"/>
      </w:r>
      <w:r>
        <w:rPr>
          <w:noProof/>
        </w:rPr>
        <w:instrText xml:space="preserve"> PAGEREF _Toc111132317 \h </w:instrText>
      </w:r>
      <w:r>
        <w:rPr>
          <w:noProof/>
        </w:rPr>
      </w:r>
      <w:r>
        <w:rPr>
          <w:noProof/>
        </w:rPr>
        <w:fldChar w:fldCharType="separate"/>
      </w:r>
      <w:r w:rsidR="00857D8F">
        <w:rPr>
          <w:noProof/>
        </w:rPr>
        <w:t>219</w:t>
      </w:r>
      <w:r>
        <w:rPr>
          <w:noProof/>
        </w:rPr>
        <w:fldChar w:fldCharType="end"/>
      </w:r>
    </w:p>
    <w:p w14:paraId="2BF42C39" w14:textId="77777777" w:rsidR="00195095" w:rsidRDefault="00195095">
      <w:pPr>
        <w:pStyle w:val="TOC5"/>
        <w:rPr>
          <w:rFonts w:asciiTheme="minorHAnsi" w:eastAsiaTheme="minorEastAsia" w:hAnsiTheme="minorHAnsi" w:cstheme="minorBidi"/>
          <w:noProof/>
          <w:kern w:val="0"/>
          <w:sz w:val="22"/>
          <w:szCs w:val="22"/>
        </w:rPr>
      </w:pPr>
      <w:r>
        <w:rPr>
          <w:noProof/>
        </w:rPr>
        <w:t>6.1  Responding to correction request (rule 7.15)</w:t>
      </w:r>
      <w:r>
        <w:rPr>
          <w:noProof/>
        </w:rPr>
        <w:tab/>
      </w:r>
      <w:r>
        <w:rPr>
          <w:noProof/>
        </w:rPr>
        <w:fldChar w:fldCharType="begin"/>
      </w:r>
      <w:r>
        <w:rPr>
          <w:noProof/>
        </w:rPr>
        <w:instrText xml:space="preserve"> PAGEREF _Toc111132318 \h </w:instrText>
      </w:r>
      <w:r>
        <w:rPr>
          <w:noProof/>
        </w:rPr>
      </w:r>
      <w:r>
        <w:rPr>
          <w:noProof/>
        </w:rPr>
        <w:fldChar w:fldCharType="separate"/>
      </w:r>
      <w:r w:rsidR="00857D8F">
        <w:rPr>
          <w:noProof/>
        </w:rPr>
        <w:t>219</w:t>
      </w:r>
      <w:r>
        <w:rPr>
          <w:noProof/>
        </w:rPr>
        <w:fldChar w:fldCharType="end"/>
      </w:r>
    </w:p>
    <w:p w14:paraId="51515F1F" w14:textId="77777777" w:rsidR="00195095" w:rsidRDefault="00195095">
      <w:pPr>
        <w:pStyle w:val="TOC2"/>
        <w:rPr>
          <w:rFonts w:asciiTheme="minorHAnsi" w:eastAsiaTheme="minorEastAsia" w:hAnsiTheme="minorHAnsi" w:cstheme="minorBidi"/>
          <w:b w:val="0"/>
          <w:noProof/>
          <w:kern w:val="0"/>
          <w:sz w:val="22"/>
          <w:szCs w:val="22"/>
        </w:rPr>
      </w:pPr>
      <w:r>
        <w:rPr>
          <w:noProof/>
        </w:rPr>
        <w:t>Part 7—Reporting and record keeping―energy sector</w:t>
      </w:r>
      <w:r>
        <w:rPr>
          <w:noProof/>
        </w:rPr>
        <w:tab/>
      </w:r>
      <w:r>
        <w:rPr>
          <w:noProof/>
        </w:rPr>
        <w:fldChar w:fldCharType="begin"/>
      </w:r>
      <w:r>
        <w:rPr>
          <w:noProof/>
        </w:rPr>
        <w:instrText xml:space="preserve"> PAGEREF _Toc111132319 \h </w:instrText>
      </w:r>
      <w:r>
        <w:rPr>
          <w:noProof/>
        </w:rPr>
      </w:r>
      <w:r>
        <w:rPr>
          <w:noProof/>
        </w:rPr>
        <w:fldChar w:fldCharType="separate"/>
      </w:r>
      <w:r w:rsidR="00857D8F">
        <w:rPr>
          <w:noProof/>
        </w:rPr>
        <w:t>219</w:t>
      </w:r>
      <w:r>
        <w:rPr>
          <w:noProof/>
        </w:rPr>
        <w:fldChar w:fldCharType="end"/>
      </w:r>
    </w:p>
    <w:p w14:paraId="39BB0EFD" w14:textId="77777777" w:rsidR="00195095" w:rsidRDefault="00195095">
      <w:pPr>
        <w:pStyle w:val="TOC5"/>
        <w:rPr>
          <w:rFonts w:asciiTheme="minorHAnsi" w:eastAsiaTheme="minorEastAsia" w:hAnsiTheme="minorHAnsi" w:cstheme="minorBidi"/>
          <w:noProof/>
          <w:kern w:val="0"/>
          <w:sz w:val="22"/>
          <w:szCs w:val="22"/>
        </w:rPr>
      </w:pPr>
      <w:r>
        <w:rPr>
          <w:noProof/>
        </w:rPr>
        <w:t>7.1  Reporting requirements (rule 9.4)</w:t>
      </w:r>
      <w:r>
        <w:rPr>
          <w:noProof/>
        </w:rPr>
        <w:tab/>
      </w:r>
      <w:r>
        <w:rPr>
          <w:noProof/>
        </w:rPr>
        <w:fldChar w:fldCharType="begin"/>
      </w:r>
      <w:r>
        <w:rPr>
          <w:noProof/>
        </w:rPr>
        <w:instrText xml:space="preserve"> PAGEREF _Toc111132320 \h </w:instrText>
      </w:r>
      <w:r>
        <w:rPr>
          <w:noProof/>
        </w:rPr>
      </w:r>
      <w:r>
        <w:rPr>
          <w:noProof/>
        </w:rPr>
        <w:fldChar w:fldCharType="separate"/>
      </w:r>
      <w:r w:rsidR="00857D8F">
        <w:rPr>
          <w:noProof/>
        </w:rPr>
        <w:t>219</w:t>
      </w:r>
      <w:r>
        <w:rPr>
          <w:noProof/>
        </w:rPr>
        <w:fldChar w:fldCharType="end"/>
      </w:r>
    </w:p>
    <w:p w14:paraId="583ADADF" w14:textId="77777777" w:rsidR="00195095" w:rsidRDefault="00195095">
      <w:pPr>
        <w:pStyle w:val="TOC2"/>
        <w:rPr>
          <w:rFonts w:asciiTheme="minorHAnsi" w:eastAsiaTheme="minorEastAsia" w:hAnsiTheme="minorHAnsi" w:cstheme="minorBidi"/>
          <w:b w:val="0"/>
          <w:noProof/>
          <w:kern w:val="0"/>
          <w:sz w:val="22"/>
          <w:szCs w:val="22"/>
        </w:rPr>
      </w:pPr>
      <w:r>
        <w:rPr>
          <w:noProof/>
        </w:rPr>
        <w:t>Part 8—Staged application of these rules to the energy sector</w:t>
      </w:r>
      <w:r>
        <w:rPr>
          <w:noProof/>
        </w:rPr>
        <w:tab/>
      </w:r>
      <w:r>
        <w:rPr>
          <w:noProof/>
        </w:rPr>
        <w:fldChar w:fldCharType="begin"/>
      </w:r>
      <w:r>
        <w:rPr>
          <w:noProof/>
        </w:rPr>
        <w:instrText xml:space="preserve"> PAGEREF _Toc111132321 \h </w:instrText>
      </w:r>
      <w:r>
        <w:rPr>
          <w:noProof/>
        </w:rPr>
      </w:r>
      <w:r>
        <w:rPr>
          <w:noProof/>
        </w:rPr>
        <w:fldChar w:fldCharType="separate"/>
      </w:r>
      <w:r w:rsidR="00857D8F">
        <w:rPr>
          <w:noProof/>
        </w:rPr>
        <w:t>220</w:t>
      </w:r>
      <w:r>
        <w:rPr>
          <w:noProof/>
        </w:rPr>
        <w:fldChar w:fldCharType="end"/>
      </w:r>
    </w:p>
    <w:p w14:paraId="64EB8A7B" w14:textId="77777777" w:rsidR="00195095" w:rsidRDefault="00195095">
      <w:pPr>
        <w:pStyle w:val="TOC5"/>
        <w:rPr>
          <w:rFonts w:asciiTheme="minorHAnsi" w:eastAsiaTheme="minorEastAsia" w:hAnsiTheme="minorHAnsi" w:cstheme="minorBidi"/>
          <w:noProof/>
          <w:kern w:val="0"/>
          <w:sz w:val="22"/>
          <w:szCs w:val="22"/>
        </w:rPr>
      </w:pPr>
      <w:r>
        <w:rPr>
          <w:noProof/>
        </w:rPr>
        <w:t>8.1  Interpretation</w:t>
      </w:r>
      <w:r>
        <w:rPr>
          <w:noProof/>
        </w:rPr>
        <w:tab/>
      </w:r>
      <w:r>
        <w:rPr>
          <w:noProof/>
        </w:rPr>
        <w:fldChar w:fldCharType="begin"/>
      </w:r>
      <w:r>
        <w:rPr>
          <w:noProof/>
        </w:rPr>
        <w:instrText xml:space="preserve"> PAGEREF _Toc111132322 \h </w:instrText>
      </w:r>
      <w:r>
        <w:rPr>
          <w:noProof/>
        </w:rPr>
      </w:r>
      <w:r>
        <w:rPr>
          <w:noProof/>
        </w:rPr>
        <w:fldChar w:fldCharType="separate"/>
      </w:r>
      <w:r w:rsidR="00857D8F">
        <w:rPr>
          <w:noProof/>
        </w:rPr>
        <w:t>220</w:t>
      </w:r>
      <w:r>
        <w:rPr>
          <w:noProof/>
        </w:rPr>
        <w:fldChar w:fldCharType="end"/>
      </w:r>
    </w:p>
    <w:p w14:paraId="3B2C78FC" w14:textId="77777777" w:rsidR="00195095" w:rsidRDefault="00195095">
      <w:pPr>
        <w:pStyle w:val="TOC5"/>
        <w:rPr>
          <w:rFonts w:asciiTheme="minorHAnsi" w:eastAsiaTheme="minorEastAsia" w:hAnsiTheme="minorHAnsi" w:cstheme="minorBidi"/>
          <w:noProof/>
          <w:kern w:val="0"/>
          <w:sz w:val="22"/>
          <w:szCs w:val="22"/>
        </w:rPr>
      </w:pPr>
      <w:r>
        <w:rPr>
          <w:noProof/>
        </w:rPr>
        <w:t xml:space="preserve">8.2  Meaning of </w:t>
      </w:r>
      <w:r w:rsidRPr="00F95A48">
        <w:rPr>
          <w:i/>
          <w:noProof/>
        </w:rPr>
        <w:t>initial retailer</w:t>
      </w:r>
      <w:r>
        <w:rPr>
          <w:noProof/>
        </w:rPr>
        <w:tab/>
      </w:r>
      <w:r>
        <w:rPr>
          <w:noProof/>
        </w:rPr>
        <w:fldChar w:fldCharType="begin"/>
      </w:r>
      <w:r>
        <w:rPr>
          <w:noProof/>
        </w:rPr>
        <w:instrText xml:space="preserve"> PAGEREF _Toc111132323 \h </w:instrText>
      </w:r>
      <w:r>
        <w:rPr>
          <w:noProof/>
        </w:rPr>
      </w:r>
      <w:r>
        <w:rPr>
          <w:noProof/>
        </w:rPr>
        <w:fldChar w:fldCharType="separate"/>
      </w:r>
      <w:r w:rsidR="00857D8F">
        <w:rPr>
          <w:noProof/>
        </w:rPr>
        <w:t>220</w:t>
      </w:r>
      <w:r>
        <w:rPr>
          <w:noProof/>
        </w:rPr>
        <w:fldChar w:fldCharType="end"/>
      </w:r>
    </w:p>
    <w:p w14:paraId="342A2F65" w14:textId="77777777" w:rsidR="00195095" w:rsidRDefault="00195095">
      <w:pPr>
        <w:pStyle w:val="TOC5"/>
        <w:rPr>
          <w:rFonts w:asciiTheme="minorHAnsi" w:eastAsiaTheme="minorEastAsia" w:hAnsiTheme="minorHAnsi" w:cstheme="minorBidi"/>
          <w:noProof/>
          <w:kern w:val="0"/>
          <w:sz w:val="22"/>
          <w:szCs w:val="22"/>
        </w:rPr>
      </w:pPr>
      <w:r>
        <w:rPr>
          <w:noProof/>
        </w:rPr>
        <w:t xml:space="preserve">8.3  Meaning of </w:t>
      </w:r>
      <w:r w:rsidRPr="00F95A48">
        <w:rPr>
          <w:i/>
          <w:noProof/>
        </w:rPr>
        <w:t>larger retailer</w:t>
      </w:r>
      <w:r>
        <w:rPr>
          <w:noProof/>
        </w:rPr>
        <w:tab/>
      </w:r>
      <w:r>
        <w:rPr>
          <w:noProof/>
        </w:rPr>
        <w:fldChar w:fldCharType="begin"/>
      </w:r>
      <w:r>
        <w:rPr>
          <w:noProof/>
        </w:rPr>
        <w:instrText xml:space="preserve"> PAGEREF _Toc111132324 \h </w:instrText>
      </w:r>
      <w:r>
        <w:rPr>
          <w:noProof/>
        </w:rPr>
      </w:r>
      <w:r>
        <w:rPr>
          <w:noProof/>
        </w:rPr>
        <w:fldChar w:fldCharType="separate"/>
      </w:r>
      <w:r w:rsidR="00857D8F">
        <w:rPr>
          <w:noProof/>
        </w:rPr>
        <w:t>221</w:t>
      </w:r>
      <w:r>
        <w:rPr>
          <w:noProof/>
        </w:rPr>
        <w:fldChar w:fldCharType="end"/>
      </w:r>
    </w:p>
    <w:p w14:paraId="5168F2FB" w14:textId="77777777" w:rsidR="00195095" w:rsidRDefault="00195095">
      <w:pPr>
        <w:pStyle w:val="TOC5"/>
        <w:rPr>
          <w:rFonts w:asciiTheme="minorHAnsi" w:eastAsiaTheme="minorEastAsia" w:hAnsiTheme="minorHAnsi" w:cstheme="minorBidi"/>
          <w:noProof/>
          <w:kern w:val="0"/>
          <w:sz w:val="22"/>
          <w:szCs w:val="22"/>
        </w:rPr>
      </w:pPr>
      <w:r>
        <w:rPr>
          <w:noProof/>
        </w:rPr>
        <w:t>8.4  Product data requests under Part 2 of these rules</w:t>
      </w:r>
      <w:r>
        <w:rPr>
          <w:noProof/>
        </w:rPr>
        <w:tab/>
      </w:r>
      <w:r>
        <w:rPr>
          <w:noProof/>
        </w:rPr>
        <w:fldChar w:fldCharType="begin"/>
      </w:r>
      <w:r>
        <w:rPr>
          <w:noProof/>
        </w:rPr>
        <w:instrText xml:space="preserve"> PAGEREF _Toc111132325 \h </w:instrText>
      </w:r>
      <w:r>
        <w:rPr>
          <w:noProof/>
        </w:rPr>
      </w:r>
      <w:r>
        <w:rPr>
          <w:noProof/>
        </w:rPr>
        <w:fldChar w:fldCharType="separate"/>
      </w:r>
      <w:r w:rsidR="00857D8F">
        <w:rPr>
          <w:noProof/>
        </w:rPr>
        <w:t>221</w:t>
      </w:r>
      <w:r>
        <w:rPr>
          <w:noProof/>
        </w:rPr>
        <w:fldChar w:fldCharType="end"/>
      </w:r>
    </w:p>
    <w:p w14:paraId="423E775A" w14:textId="77777777" w:rsidR="00195095" w:rsidRDefault="00195095">
      <w:pPr>
        <w:pStyle w:val="TOC5"/>
        <w:rPr>
          <w:rFonts w:asciiTheme="minorHAnsi" w:eastAsiaTheme="minorEastAsia" w:hAnsiTheme="minorHAnsi" w:cstheme="minorBidi"/>
          <w:noProof/>
          <w:kern w:val="0"/>
          <w:sz w:val="22"/>
          <w:szCs w:val="22"/>
        </w:rPr>
      </w:pPr>
      <w:r>
        <w:rPr>
          <w:noProof/>
        </w:rPr>
        <w:t>8.5  Consumer data requests under Part 3 of these rules</w:t>
      </w:r>
      <w:r>
        <w:rPr>
          <w:noProof/>
        </w:rPr>
        <w:tab/>
      </w:r>
      <w:r>
        <w:rPr>
          <w:noProof/>
        </w:rPr>
        <w:fldChar w:fldCharType="begin"/>
      </w:r>
      <w:r>
        <w:rPr>
          <w:noProof/>
        </w:rPr>
        <w:instrText xml:space="preserve"> PAGEREF _Toc111132326 \h </w:instrText>
      </w:r>
      <w:r>
        <w:rPr>
          <w:noProof/>
        </w:rPr>
      </w:r>
      <w:r>
        <w:rPr>
          <w:noProof/>
        </w:rPr>
        <w:fldChar w:fldCharType="separate"/>
      </w:r>
      <w:r w:rsidR="00857D8F">
        <w:rPr>
          <w:noProof/>
        </w:rPr>
        <w:t>221</w:t>
      </w:r>
      <w:r>
        <w:rPr>
          <w:noProof/>
        </w:rPr>
        <w:fldChar w:fldCharType="end"/>
      </w:r>
    </w:p>
    <w:p w14:paraId="71758E4F" w14:textId="77777777" w:rsidR="00195095" w:rsidRDefault="00195095">
      <w:pPr>
        <w:pStyle w:val="TOC5"/>
        <w:rPr>
          <w:rFonts w:asciiTheme="minorHAnsi" w:eastAsiaTheme="minorEastAsia" w:hAnsiTheme="minorHAnsi" w:cstheme="minorBidi"/>
          <w:noProof/>
          <w:kern w:val="0"/>
          <w:sz w:val="22"/>
          <w:szCs w:val="22"/>
        </w:rPr>
      </w:pPr>
      <w:r>
        <w:rPr>
          <w:noProof/>
        </w:rPr>
        <w:t>8.6  Consumer data requests under Part 4 of these rules</w:t>
      </w:r>
      <w:r>
        <w:rPr>
          <w:noProof/>
        </w:rPr>
        <w:tab/>
      </w:r>
      <w:r>
        <w:rPr>
          <w:noProof/>
        </w:rPr>
        <w:fldChar w:fldCharType="begin"/>
      </w:r>
      <w:r>
        <w:rPr>
          <w:noProof/>
        </w:rPr>
        <w:instrText xml:space="preserve"> PAGEREF _Toc111132327 \h </w:instrText>
      </w:r>
      <w:r>
        <w:rPr>
          <w:noProof/>
        </w:rPr>
      </w:r>
      <w:r>
        <w:rPr>
          <w:noProof/>
        </w:rPr>
        <w:fldChar w:fldCharType="separate"/>
      </w:r>
      <w:r w:rsidR="00857D8F">
        <w:rPr>
          <w:noProof/>
        </w:rPr>
        <w:t>221</w:t>
      </w:r>
      <w:r>
        <w:rPr>
          <w:noProof/>
        </w:rPr>
        <w:fldChar w:fldCharType="end"/>
      </w:r>
    </w:p>
    <w:p w14:paraId="45E16C01" w14:textId="77777777" w:rsidR="00195095" w:rsidRDefault="00195095">
      <w:pPr>
        <w:pStyle w:val="TOC5"/>
        <w:rPr>
          <w:rFonts w:asciiTheme="minorHAnsi" w:eastAsiaTheme="minorEastAsia" w:hAnsiTheme="minorHAnsi" w:cstheme="minorBidi"/>
          <w:noProof/>
          <w:kern w:val="0"/>
          <w:sz w:val="22"/>
          <w:szCs w:val="22"/>
        </w:rPr>
      </w:pPr>
      <w:r>
        <w:rPr>
          <w:noProof/>
        </w:rPr>
        <w:t>8.7  Authorisation to disclose CDR data before being required to do so</w:t>
      </w:r>
      <w:r>
        <w:rPr>
          <w:noProof/>
        </w:rPr>
        <w:tab/>
      </w:r>
      <w:r>
        <w:rPr>
          <w:noProof/>
        </w:rPr>
        <w:fldChar w:fldCharType="begin"/>
      </w:r>
      <w:r>
        <w:rPr>
          <w:noProof/>
        </w:rPr>
        <w:instrText xml:space="preserve"> PAGEREF _Toc111132328 \h </w:instrText>
      </w:r>
      <w:r>
        <w:rPr>
          <w:noProof/>
        </w:rPr>
      </w:r>
      <w:r>
        <w:rPr>
          <w:noProof/>
        </w:rPr>
        <w:fldChar w:fldCharType="separate"/>
      </w:r>
      <w:r w:rsidR="00857D8F">
        <w:rPr>
          <w:noProof/>
        </w:rPr>
        <w:t>222</w:t>
      </w:r>
      <w:r>
        <w:rPr>
          <w:noProof/>
        </w:rPr>
        <w:fldChar w:fldCharType="end"/>
      </w:r>
    </w:p>
    <w:p w14:paraId="73F92D37" w14:textId="77777777" w:rsidR="00195095" w:rsidRDefault="00195095">
      <w:pPr>
        <w:pStyle w:val="TOC2"/>
        <w:rPr>
          <w:rFonts w:asciiTheme="minorHAnsi" w:eastAsiaTheme="minorEastAsia" w:hAnsiTheme="minorHAnsi" w:cstheme="minorBidi"/>
          <w:b w:val="0"/>
          <w:noProof/>
          <w:kern w:val="0"/>
          <w:sz w:val="22"/>
          <w:szCs w:val="22"/>
        </w:rPr>
      </w:pPr>
      <w:r>
        <w:rPr>
          <w:noProof/>
        </w:rPr>
        <w:t>Part 9—Other rules, and modifications of these rules, for the energy sector</w:t>
      </w:r>
      <w:r>
        <w:rPr>
          <w:noProof/>
        </w:rPr>
        <w:tab/>
      </w:r>
      <w:r>
        <w:rPr>
          <w:noProof/>
        </w:rPr>
        <w:fldChar w:fldCharType="begin"/>
      </w:r>
      <w:r>
        <w:rPr>
          <w:noProof/>
        </w:rPr>
        <w:instrText xml:space="preserve"> PAGEREF _Toc111132329 \h </w:instrText>
      </w:r>
      <w:r>
        <w:rPr>
          <w:noProof/>
        </w:rPr>
      </w:r>
      <w:r>
        <w:rPr>
          <w:noProof/>
        </w:rPr>
        <w:fldChar w:fldCharType="separate"/>
      </w:r>
      <w:r w:rsidR="00857D8F">
        <w:rPr>
          <w:noProof/>
        </w:rPr>
        <w:t>223</w:t>
      </w:r>
      <w:r>
        <w:rPr>
          <w:noProof/>
        </w:rPr>
        <w:fldChar w:fldCharType="end"/>
      </w:r>
    </w:p>
    <w:p w14:paraId="3948826E" w14:textId="77777777" w:rsidR="00195095" w:rsidRDefault="00195095">
      <w:pPr>
        <w:pStyle w:val="TOC5"/>
        <w:rPr>
          <w:rFonts w:asciiTheme="minorHAnsi" w:eastAsiaTheme="minorEastAsia" w:hAnsiTheme="minorHAnsi" w:cstheme="minorBidi"/>
          <w:noProof/>
          <w:kern w:val="0"/>
          <w:sz w:val="22"/>
          <w:szCs w:val="22"/>
        </w:rPr>
      </w:pPr>
      <w:r>
        <w:rPr>
          <w:noProof/>
        </w:rPr>
        <w:t>9.1  Laws relevant to the management of CDR data—energy sector</w:t>
      </w:r>
      <w:r>
        <w:rPr>
          <w:noProof/>
        </w:rPr>
        <w:tab/>
      </w:r>
      <w:r>
        <w:rPr>
          <w:noProof/>
        </w:rPr>
        <w:fldChar w:fldCharType="begin"/>
      </w:r>
      <w:r>
        <w:rPr>
          <w:noProof/>
        </w:rPr>
        <w:instrText xml:space="preserve"> PAGEREF _Toc111132330 \h </w:instrText>
      </w:r>
      <w:r>
        <w:rPr>
          <w:noProof/>
        </w:rPr>
      </w:r>
      <w:r>
        <w:rPr>
          <w:noProof/>
        </w:rPr>
        <w:fldChar w:fldCharType="separate"/>
      </w:r>
      <w:r w:rsidR="00857D8F">
        <w:rPr>
          <w:noProof/>
        </w:rPr>
        <w:t>223</w:t>
      </w:r>
      <w:r>
        <w:rPr>
          <w:noProof/>
        </w:rPr>
        <w:fldChar w:fldCharType="end"/>
      </w:r>
    </w:p>
    <w:p w14:paraId="2DC07BB8" w14:textId="77777777" w:rsidR="00195095" w:rsidRDefault="00195095">
      <w:pPr>
        <w:pStyle w:val="TOC5"/>
        <w:rPr>
          <w:rFonts w:asciiTheme="minorHAnsi" w:eastAsiaTheme="minorEastAsia" w:hAnsiTheme="minorHAnsi" w:cstheme="minorBidi"/>
          <w:noProof/>
          <w:kern w:val="0"/>
          <w:sz w:val="22"/>
          <w:szCs w:val="22"/>
        </w:rPr>
      </w:pPr>
      <w:r>
        <w:rPr>
          <w:noProof/>
        </w:rPr>
        <w:t>9.2  Conditions for accredited person to be data holder</w:t>
      </w:r>
      <w:r>
        <w:rPr>
          <w:noProof/>
        </w:rPr>
        <w:tab/>
      </w:r>
      <w:r>
        <w:rPr>
          <w:noProof/>
        </w:rPr>
        <w:fldChar w:fldCharType="begin"/>
      </w:r>
      <w:r>
        <w:rPr>
          <w:noProof/>
        </w:rPr>
        <w:instrText xml:space="preserve"> PAGEREF _Toc111132331 \h </w:instrText>
      </w:r>
      <w:r>
        <w:rPr>
          <w:noProof/>
        </w:rPr>
      </w:r>
      <w:r>
        <w:rPr>
          <w:noProof/>
        </w:rPr>
        <w:fldChar w:fldCharType="separate"/>
      </w:r>
      <w:r w:rsidR="00857D8F">
        <w:rPr>
          <w:noProof/>
        </w:rPr>
        <w:t>223</w:t>
      </w:r>
      <w:r>
        <w:rPr>
          <w:noProof/>
        </w:rPr>
        <w:fldChar w:fldCharType="end"/>
      </w:r>
    </w:p>
    <w:p w14:paraId="4C571FCE" w14:textId="77777777" w:rsidR="00195095" w:rsidRDefault="00195095">
      <w:pPr>
        <w:pStyle w:val="TOC5"/>
        <w:rPr>
          <w:rFonts w:asciiTheme="minorHAnsi" w:eastAsiaTheme="minorEastAsia" w:hAnsiTheme="minorHAnsi" w:cstheme="minorBidi"/>
          <w:noProof/>
          <w:kern w:val="0"/>
          <w:sz w:val="22"/>
          <w:szCs w:val="22"/>
        </w:rPr>
      </w:pPr>
      <w:r>
        <w:rPr>
          <w:noProof/>
        </w:rPr>
        <w:t>9.3  Consultation by Data Recipient Accreditor (rule 5.4)</w:t>
      </w:r>
      <w:r>
        <w:rPr>
          <w:noProof/>
        </w:rPr>
        <w:tab/>
      </w:r>
      <w:r>
        <w:rPr>
          <w:noProof/>
        </w:rPr>
        <w:fldChar w:fldCharType="begin"/>
      </w:r>
      <w:r>
        <w:rPr>
          <w:noProof/>
        </w:rPr>
        <w:instrText xml:space="preserve"> PAGEREF _Toc111132332 \h </w:instrText>
      </w:r>
      <w:r>
        <w:rPr>
          <w:noProof/>
        </w:rPr>
      </w:r>
      <w:r>
        <w:rPr>
          <w:noProof/>
        </w:rPr>
        <w:fldChar w:fldCharType="separate"/>
      </w:r>
      <w:r w:rsidR="00857D8F">
        <w:rPr>
          <w:noProof/>
        </w:rPr>
        <w:t>224</w:t>
      </w:r>
      <w:r>
        <w:rPr>
          <w:noProof/>
        </w:rPr>
        <w:fldChar w:fldCharType="end"/>
      </w:r>
    </w:p>
    <w:p w14:paraId="456BF322" w14:textId="77777777" w:rsidR="00195095" w:rsidRDefault="00195095">
      <w:pPr>
        <w:pStyle w:val="TOC5"/>
        <w:rPr>
          <w:rFonts w:asciiTheme="minorHAnsi" w:eastAsiaTheme="minorEastAsia" w:hAnsiTheme="minorHAnsi" w:cstheme="minorBidi"/>
          <w:noProof/>
          <w:kern w:val="0"/>
          <w:sz w:val="22"/>
          <w:szCs w:val="22"/>
        </w:rPr>
      </w:pPr>
      <w:r>
        <w:rPr>
          <w:noProof/>
        </w:rPr>
        <w:t>9.4  AEMO not to appear on Registrar’s database (rule 5.25)</w:t>
      </w:r>
      <w:r>
        <w:rPr>
          <w:noProof/>
        </w:rPr>
        <w:tab/>
      </w:r>
      <w:r>
        <w:rPr>
          <w:noProof/>
        </w:rPr>
        <w:fldChar w:fldCharType="begin"/>
      </w:r>
      <w:r>
        <w:rPr>
          <w:noProof/>
        </w:rPr>
        <w:instrText xml:space="preserve"> PAGEREF _Toc111132333 \h </w:instrText>
      </w:r>
      <w:r>
        <w:rPr>
          <w:noProof/>
        </w:rPr>
      </w:r>
      <w:r>
        <w:rPr>
          <w:noProof/>
        </w:rPr>
        <w:fldChar w:fldCharType="separate"/>
      </w:r>
      <w:r w:rsidR="00857D8F">
        <w:rPr>
          <w:noProof/>
        </w:rPr>
        <w:t>224</w:t>
      </w:r>
      <w:r>
        <w:rPr>
          <w:noProof/>
        </w:rPr>
        <w:fldChar w:fldCharType="end"/>
      </w:r>
    </w:p>
    <w:p w14:paraId="595B3C43" w14:textId="77777777" w:rsidR="00195095" w:rsidRDefault="00195095">
      <w:pPr>
        <w:pStyle w:val="TOC5"/>
        <w:rPr>
          <w:rFonts w:asciiTheme="minorHAnsi" w:eastAsiaTheme="minorEastAsia" w:hAnsiTheme="minorHAnsi" w:cstheme="minorBidi"/>
          <w:noProof/>
          <w:kern w:val="0"/>
          <w:sz w:val="22"/>
          <w:szCs w:val="22"/>
        </w:rPr>
      </w:pPr>
      <w:r>
        <w:rPr>
          <w:noProof/>
        </w:rPr>
        <w:t>9.5  Grounds for revocation, suspension and surrender of accreditation—energy sector</w:t>
      </w:r>
      <w:r>
        <w:rPr>
          <w:noProof/>
        </w:rPr>
        <w:tab/>
      </w:r>
      <w:r>
        <w:rPr>
          <w:noProof/>
        </w:rPr>
        <w:fldChar w:fldCharType="begin"/>
      </w:r>
      <w:r>
        <w:rPr>
          <w:noProof/>
        </w:rPr>
        <w:instrText xml:space="preserve"> PAGEREF _Toc111132334 \h </w:instrText>
      </w:r>
      <w:r>
        <w:rPr>
          <w:noProof/>
        </w:rPr>
      </w:r>
      <w:r>
        <w:rPr>
          <w:noProof/>
        </w:rPr>
        <w:fldChar w:fldCharType="separate"/>
      </w:r>
      <w:r w:rsidR="00857D8F">
        <w:rPr>
          <w:noProof/>
        </w:rPr>
        <w:t>224</w:t>
      </w:r>
      <w:r>
        <w:rPr>
          <w:noProof/>
        </w:rPr>
        <w:fldChar w:fldCharType="end"/>
      </w:r>
    </w:p>
    <w:p w14:paraId="1C23B92C" w14:textId="77777777" w:rsidR="00195095" w:rsidRDefault="00195095">
      <w:pPr>
        <w:pStyle w:val="TOC1"/>
        <w:rPr>
          <w:rFonts w:asciiTheme="minorHAnsi" w:eastAsiaTheme="minorEastAsia" w:hAnsiTheme="minorHAnsi" w:cstheme="minorBidi"/>
          <w:b w:val="0"/>
          <w:noProof/>
          <w:kern w:val="0"/>
          <w:sz w:val="22"/>
          <w:szCs w:val="22"/>
        </w:rPr>
      </w:pPr>
      <w:r w:rsidRPr="00F95A48">
        <w:rPr>
          <w:noProof/>
          <w:color w:val="0000FF"/>
        </w:rPr>
        <w:t>Schedule 5—Provisions relevant to the telecommunications sector</w:t>
      </w:r>
      <w:r>
        <w:rPr>
          <w:noProof/>
        </w:rPr>
        <w:tab/>
      </w:r>
      <w:r>
        <w:rPr>
          <w:noProof/>
        </w:rPr>
        <w:fldChar w:fldCharType="begin"/>
      </w:r>
      <w:r>
        <w:rPr>
          <w:noProof/>
        </w:rPr>
        <w:instrText xml:space="preserve"> PAGEREF _Toc111132335 \h </w:instrText>
      </w:r>
      <w:r>
        <w:rPr>
          <w:noProof/>
        </w:rPr>
      </w:r>
      <w:r>
        <w:rPr>
          <w:noProof/>
        </w:rPr>
        <w:fldChar w:fldCharType="separate"/>
      </w:r>
      <w:r w:rsidR="00857D8F">
        <w:rPr>
          <w:noProof/>
        </w:rPr>
        <w:t>225</w:t>
      </w:r>
      <w:r>
        <w:rPr>
          <w:noProof/>
        </w:rPr>
        <w:fldChar w:fldCharType="end"/>
      </w:r>
    </w:p>
    <w:p w14:paraId="218396DE" w14:textId="77777777" w:rsidR="00195095" w:rsidRDefault="00195095">
      <w:pPr>
        <w:pStyle w:val="TOC2"/>
        <w:rPr>
          <w:rFonts w:asciiTheme="minorHAnsi" w:eastAsiaTheme="minorEastAsia" w:hAnsiTheme="minorHAnsi" w:cstheme="minorBidi"/>
          <w:b w:val="0"/>
          <w:noProof/>
          <w:kern w:val="0"/>
          <w:sz w:val="22"/>
          <w:szCs w:val="22"/>
        </w:rPr>
      </w:pPr>
      <w:r>
        <w:rPr>
          <w:noProof/>
        </w:rPr>
        <w:t xml:space="preserve">Part 1 </w:t>
      </w:r>
      <w:r w:rsidRPr="00F95A48">
        <w:rPr>
          <w:noProof/>
          <w:color w:val="0000FF"/>
        </w:rPr>
        <w:t>—Preliminary</w:t>
      </w:r>
      <w:r>
        <w:rPr>
          <w:noProof/>
        </w:rPr>
        <w:tab/>
      </w:r>
      <w:r>
        <w:rPr>
          <w:noProof/>
        </w:rPr>
        <w:fldChar w:fldCharType="begin"/>
      </w:r>
      <w:r>
        <w:rPr>
          <w:noProof/>
        </w:rPr>
        <w:instrText xml:space="preserve"> PAGEREF _Toc111132336 \h </w:instrText>
      </w:r>
      <w:r>
        <w:rPr>
          <w:noProof/>
        </w:rPr>
      </w:r>
      <w:r>
        <w:rPr>
          <w:noProof/>
        </w:rPr>
        <w:fldChar w:fldCharType="separate"/>
      </w:r>
      <w:r w:rsidR="00857D8F">
        <w:rPr>
          <w:noProof/>
        </w:rPr>
        <w:t>225</w:t>
      </w:r>
      <w:r>
        <w:rPr>
          <w:noProof/>
        </w:rPr>
        <w:fldChar w:fldCharType="end"/>
      </w:r>
    </w:p>
    <w:p w14:paraId="503F79DF" w14:textId="77777777" w:rsidR="00195095" w:rsidRDefault="00195095">
      <w:pPr>
        <w:pStyle w:val="TOC5"/>
        <w:rPr>
          <w:rFonts w:asciiTheme="minorHAnsi" w:eastAsiaTheme="minorEastAsia" w:hAnsiTheme="minorHAnsi" w:cstheme="minorBidi"/>
          <w:noProof/>
          <w:kern w:val="0"/>
          <w:sz w:val="22"/>
          <w:szCs w:val="22"/>
        </w:rPr>
      </w:pPr>
      <w:r>
        <w:rPr>
          <w:noProof/>
        </w:rPr>
        <w:t>1.1</w:t>
      </w:r>
      <w:r w:rsidRPr="00F95A48">
        <w:rPr>
          <w:noProof/>
          <w:color w:val="0000FF"/>
        </w:rPr>
        <w:t xml:space="preserve">  Simplified outline of this Schedule</w:t>
      </w:r>
      <w:r>
        <w:rPr>
          <w:noProof/>
        </w:rPr>
        <w:tab/>
      </w:r>
      <w:r>
        <w:rPr>
          <w:noProof/>
        </w:rPr>
        <w:fldChar w:fldCharType="begin"/>
      </w:r>
      <w:r>
        <w:rPr>
          <w:noProof/>
        </w:rPr>
        <w:instrText xml:space="preserve"> PAGEREF _Toc111132337 \h </w:instrText>
      </w:r>
      <w:r>
        <w:rPr>
          <w:noProof/>
        </w:rPr>
      </w:r>
      <w:r>
        <w:rPr>
          <w:noProof/>
        </w:rPr>
        <w:fldChar w:fldCharType="separate"/>
      </w:r>
      <w:r w:rsidR="00857D8F">
        <w:rPr>
          <w:noProof/>
        </w:rPr>
        <w:t>225</w:t>
      </w:r>
      <w:r>
        <w:rPr>
          <w:noProof/>
        </w:rPr>
        <w:fldChar w:fldCharType="end"/>
      </w:r>
    </w:p>
    <w:p w14:paraId="2E3334D5" w14:textId="77777777" w:rsidR="00195095" w:rsidRDefault="00195095">
      <w:pPr>
        <w:pStyle w:val="TOC5"/>
        <w:rPr>
          <w:rFonts w:asciiTheme="minorHAnsi" w:eastAsiaTheme="minorEastAsia" w:hAnsiTheme="minorHAnsi" w:cstheme="minorBidi"/>
          <w:noProof/>
          <w:kern w:val="0"/>
          <w:sz w:val="22"/>
          <w:szCs w:val="22"/>
        </w:rPr>
      </w:pPr>
      <w:r>
        <w:rPr>
          <w:noProof/>
        </w:rPr>
        <w:t>1.2</w:t>
      </w:r>
      <w:r w:rsidRPr="00F95A48">
        <w:rPr>
          <w:noProof/>
          <w:color w:val="0000FF"/>
        </w:rPr>
        <w:t xml:space="preserve">  Interpretation</w:t>
      </w:r>
      <w:r>
        <w:rPr>
          <w:noProof/>
        </w:rPr>
        <w:tab/>
      </w:r>
      <w:r>
        <w:rPr>
          <w:noProof/>
        </w:rPr>
        <w:fldChar w:fldCharType="begin"/>
      </w:r>
      <w:r>
        <w:rPr>
          <w:noProof/>
        </w:rPr>
        <w:instrText xml:space="preserve"> PAGEREF _Toc111132338 \h </w:instrText>
      </w:r>
      <w:r>
        <w:rPr>
          <w:noProof/>
        </w:rPr>
      </w:r>
      <w:r>
        <w:rPr>
          <w:noProof/>
        </w:rPr>
        <w:fldChar w:fldCharType="separate"/>
      </w:r>
      <w:r w:rsidR="00857D8F">
        <w:rPr>
          <w:noProof/>
        </w:rPr>
        <w:t>225</w:t>
      </w:r>
      <w:r>
        <w:rPr>
          <w:noProof/>
        </w:rPr>
        <w:fldChar w:fldCharType="end"/>
      </w:r>
    </w:p>
    <w:p w14:paraId="7D7E9A87" w14:textId="77777777" w:rsidR="00195095" w:rsidRDefault="00195095">
      <w:pPr>
        <w:pStyle w:val="TOC5"/>
        <w:rPr>
          <w:rFonts w:asciiTheme="minorHAnsi" w:eastAsiaTheme="minorEastAsia" w:hAnsiTheme="minorHAnsi" w:cstheme="minorBidi"/>
          <w:noProof/>
          <w:kern w:val="0"/>
          <w:sz w:val="22"/>
          <w:szCs w:val="22"/>
        </w:rPr>
      </w:pPr>
      <w:r>
        <w:rPr>
          <w:noProof/>
        </w:rPr>
        <w:t>1.3</w:t>
      </w:r>
      <w:r w:rsidRPr="00F95A48">
        <w:rPr>
          <w:noProof/>
          <w:color w:val="0000FF"/>
        </w:rPr>
        <w:t xml:space="preserve">  Meaning of terms for types of data</w:t>
      </w:r>
      <w:r>
        <w:rPr>
          <w:noProof/>
        </w:rPr>
        <w:tab/>
      </w:r>
      <w:r>
        <w:rPr>
          <w:noProof/>
        </w:rPr>
        <w:fldChar w:fldCharType="begin"/>
      </w:r>
      <w:r>
        <w:rPr>
          <w:noProof/>
        </w:rPr>
        <w:instrText xml:space="preserve"> PAGEREF _Toc111132339 \h </w:instrText>
      </w:r>
      <w:r>
        <w:rPr>
          <w:noProof/>
        </w:rPr>
      </w:r>
      <w:r>
        <w:rPr>
          <w:noProof/>
        </w:rPr>
        <w:fldChar w:fldCharType="separate"/>
      </w:r>
      <w:r w:rsidR="00857D8F">
        <w:rPr>
          <w:noProof/>
        </w:rPr>
        <w:t>226</w:t>
      </w:r>
      <w:r>
        <w:rPr>
          <w:noProof/>
        </w:rPr>
        <w:fldChar w:fldCharType="end"/>
      </w:r>
    </w:p>
    <w:p w14:paraId="7CFB345C" w14:textId="77777777" w:rsidR="00195095" w:rsidRDefault="00195095">
      <w:pPr>
        <w:pStyle w:val="TOC2"/>
        <w:rPr>
          <w:rFonts w:asciiTheme="minorHAnsi" w:eastAsiaTheme="minorEastAsia" w:hAnsiTheme="minorHAnsi" w:cstheme="minorBidi"/>
          <w:b w:val="0"/>
          <w:noProof/>
          <w:kern w:val="0"/>
          <w:sz w:val="22"/>
          <w:szCs w:val="22"/>
        </w:rPr>
      </w:pPr>
      <w:r>
        <w:rPr>
          <w:noProof/>
        </w:rPr>
        <w:t xml:space="preserve">Part 2 </w:t>
      </w:r>
      <w:r w:rsidRPr="00F95A48">
        <w:rPr>
          <w:noProof/>
          <w:color w:val="0000FF"/>
        </w:rPr>
        <w:t>—Eligible CDR consumers—telecommunications sector</w:t>
      </w:r>
      <w:r>
        <w:rPr>
          <w:noProof/>
        </w:rPr>
        <w:tab/>
      </w:r>
      <w:r>
        <w:rPr>
          <w:noProof/>
        </w:rPr>
        <w:fldChar w:fldCharType="begin"/>
      </w:r>
      <w:r>
        <w:rPr>
          <w:noProof/>
        </w:rPr>
        <w:instrText xml:space="preserve"> PAGEREF _Toc111132340 \h </w:instrText>
      </w:r>
      <w:r>
        <w:rPr>
          <w:noProof/>
        </w:rPr>
      </w:r>
      <w:r>
        <w:rPr>
          <w:noProof/>
        </w:rPr>
        <w:fldChar w:fldCharType="separate"/>
      </w:r>
      <w:r w:rsidR="00857D8F">
        <w:rPr>
          <w:noProof/>
        </w:rPr>
        <w:t>228</w:t>
      </w:r>
      <w:r>
        <w:rPr>
          <w:noProof/>
        </w:rPr>
        <w:fldChar w:fldCharType="end"/>
      </w:r>
    </w:p>
    <w:p w14:paraId="4C14AF6C" w14:textId="77777777" w:rsidR="00195095" w:rsidRDefault="00195095">
      <w:pPr>
        <w:pStyle w:val="TOC5"/>
        <w:rPr>
          <w:rFonts w:asciiTheme="minorHAnsi" w:eastAsiaTheme="minorEastAsia" w:hAnsiTheme="minorHAnsi" w:cstheme="minorBidi"/>
          <w:noProof/>
          <w:kern w:val="0"/>
          <w:sz w:val="22"/>
          <w:szCs w:val="22"/>
        </w:rPr>
      </w:pPr>
      <w:r>
        <w:rPr>
          <w:noProof/>
        </w:rPr>
        <w:t>2.1</w:t>
      </w:r>
      <w:r w:rsidRPr="00F95A48">
        <w:rPr>
          <w:noProof/>
          <w:color w:val="0000FF"/>
        </w:rPr>
        <w:t xml:space="preserve">  Additional criteria for eligibility—telecommunications sector</w:t>
      </w:r>
      <w:r>
        <w:rPr>
          <w:noProof/>
        </w:rPr>
        <w:tab/>
      </w:r>
      <w:r>
        <w:rPr>
          <w:noProof/>
        </w:rPr>
        <w:fldChar w:fldCharType="begin"/>
      </w:r>
      <w:r>
        <w:rPr>
          <w:noProof/>
        </w:rPr>
        <w:instrText xml:space="preserve"> PAGEREF _Toc111132341 \h </w:instrText>
      </w:r>
      <w:r>
        <w:rPr>
          <w:noProof/>
        </w:rPr>
      </w:r>
      <w:r>
        <w:rPr>
          <w:noProof/>
        </w:rPr>
        <w:fldChar w:fldCharType="separate"/>
      </w:r>
      <w:r w:rsidR="00857D8F">
        <w:rPr>
          <w:noProof/>
        </w:rPr>
        <w:t>228</w:t>
      </w:r>
      <w:r>
        <w:rPr>
          <w:noProof/>
        </w:rPr>
        <w:fldChar w:fldCharType="end"/>
      </w:r>
    </w:p>
    <w:p w14:paraId="509AA1C4" w14:textId="77777777" w:rsidR="00195095" w:rsidRDefault="00195095">
      <w:pPr>
        <w:pStyle w:val="TOC5"/>
        <w:rPr>
          <w:rFonts w:asciiTheme="minorHAnsi" w:eastAsiaTheme="minorEastAsia" w:hAnsiTheme="minorHAnsi" w:cstheme="minorBidi"/>
          <w:noProof/>
          <w:kern w:val="0"/>
          <w:sz w:val="22"/>
          <w:szCs w:val="22"/>
        </w:rPr>
      </w:pPr>
      <w:r>
        <w:rPr>
          <w:noProof/>
        </w:rPr>
        <w:t>2.2</w:t>
      </w:r>
      <w:r w:rsidRPr="00F95A48">
        <w:rPr>
          <w:noProof/>
          <w:color w:val="0000FF"/>
        </w:rPr>
        <w:t xml:space="preserve">  Consumer dashboard—application of rule 1.15</w:t>
      </w:r>
      <w:r>
        <w:rPr>
          <w:noProof/>
        </w:rPr>
        <w:tab/>
      </w:r>
      <w:r>
        <w:rPr>
          <w:noProof/>
        </w:rPr>
        <w:fldChar w:fldCharType="begin"/>
      </w:r>
      <w:r>
        <w:rPr>
          <w:noProof/>
        </w:rPr>
        <w:instrText xml:space="preserve"> PAGEREF _Toc111132342 \h </w:instrText>
      </w:r>
      <w:r>
        <w:rPr>
          <w:noProof/>
        </w:rPr>
      </w:r>
      <w:r>
        <w:rPr>
          <w:noProof/>
        </w:rPr>
        <w:fldChar w:fldCharType="separate"/>
      </w:r>
      <w:r w:rsidR="00857D8F">
        <w:rPr>
          <w:noProof/>
        </w:rPr>
        <w:t>229</w:t>
      </w:r>
      <w:r>
        <w:rPr>
          <w:noProof/>
        </w:rPr>
        <w:fldChar w:fldCharType="end"/>
      </w:r>
    </w:p>
    <w:p w14:paraId="573CCCBF" w14:textId="77777777" w:rsidR="00195095" w:rsidRDefault="00195095">
      <w:pPr>
        <w:pStyle w:val="TOC2"/>
        <w:rPr>
          <w:rFonts w:asciiTheme="minorHAnsi" w:eastAsiaTheme="minorEastAsia" w:hAnsiTheme="minorHAnsi" w:cstheme="minorBidi"/>
          <w:b w:val="0"/>
          <w:noProof/>
          <w:kern w:val="0"/>
          <w:sz w:val="22"/>
          <w:szCs w:val="22"/>
        </w:rPr>
      </w:pPr>
      <w:r>
        <w:rPr>
          <w:noProof/>
        </w:rPr>
        <w:t xml:space="preserve">Part 3 </w:t>
      </w:r>
      <w:r w:rsidRPr="00F95A48">
        <w:rPr>
          <w:noProof/>
          <w:color w:val="0000FF"/>
        </w:rPr>
        <w:t>—CDR data that may be accessed under these rules—telecommunications sector</w:t>
      </w:r>
      <w:r>
        <w:rPr>
          <w:noProof/>
        </w:rPr>
        <w:tab/>
      </w:r>
      <w:r>
        <w:rPr>
          <w:noProof/>
        </w:rPr>
        <w:fldChar w:fldCharType="begin"/>
      </w:r>
      <w:r>
        <w:rPr>
          <w:noProof/>
        </w:rPr>
        <w:instrText xml:space="preserve"> PAGEREF _Toc111132343 \h </w:instrText>
      </w:r>
      <w:r>
        <w:rPr>
          <w:noProof/>
        </w:rPr>
      </w:r>
      <w:r>
        <w:rPr>
          <w:noProof/>
        </w:rPr>
        <w:fldChar w:fldCharType="separate"/>
      </w:r>
      <w:r w:rsidR="00857D8F">
        <w:rPr>
          <w:noProof/>
        </w:rPr>
        <w:t>229</w:t>
      </w:r>
      <w:r>
        <w:rPr>
          <w:noProof/>
        </w:rPr>
        <w:fldChar w:fldCharType="end"/>
      </w:r>
    </w:p>
    <w:p w14:paraId="52878E7B" w14:textId="77777777" w:rsidR="00195095" w:rsidRDefault="00195095">
      <w:pPr>
        <w:pStyle w:val="TOC5"/>
        <w:rPr>
          <w:rFonts w:asciiTheme="minorHAnsi" w:eastAsiaTheme="minorEastAsia" w:hAnsiTheme="minorHAnsi" w:cstheme="minorBidi"/>
          <w:noProof/>
          <w:kern w:val="0"/>
          <w:sz w:val="22"/>
          <w:szCs w:val="22"/>
        </w:rPr>
      </w:pPr>
      <w:r>
        <w:rPr>
          <w:noProof/>
        </w:rPr>
        <w:t>3.1</w:t>
      </w:r>
      <w:r w:rsidRPr="00F95A48">
        <w:rPr>
          <w:noProof/>
          <w:color w:val="0000FF"/>
        </w:rPr>
        <w:t xml:space="preserve">  Meaning of </w:t>
      </w:r>
      <w:r w:rsidRPr="00F95A48">
        <w:rPr>
          <w:i/>
          <w:noProof/>
          <w:color w:val="0000FF"/>
        </w:rPr>
        <w:t>required product data</w:t>
      </w:r>
      <w:r w:rsidRPr="00F95A48">
        <w:rPr>
          <w:noProof/>
          <w:color w:val="0000FF"/>
        </w:rPr>
        <w:t xml:space="preserve"> and </w:t>
      </w:r>
      <w:r w:rsidRPr="00F95A48">
        <w:rPr>
          <w:i/>
          <w:noProof/>
          <w:color w:val="0000FF"/>
        </w:rPr>
        <w:t>voluntary product data</w:t>
      </w:r>
      <w:r w:rsidRPr="00F95A48">
        <w:rPr>
          <w:noProof/>
          <w:color w:val="0000FF"/>
        </w:rPr>
        <w:t>— telecommunications sector</w:t>
      </w:r>
      <w:r>
        <w:rPr>
          <w:noProof/>
        </w:rPr>
        <w:tab/>
      </w:r>
      <w:r>
        <w:rPr>
          <w:noProof/>
        </w:rPr>
        <w:fldChar w:fldCharType="begin"/>
      </w:r>
      <w:r>
        <w:rPr>
          <w:noProof/>
        </w:rPr>
        <w:instrText xml:space="preserve"> PAGEREF _Toc111132344 \h </w:instrText>
      </w:r>
      <w:r>
        <w:rPr>
          <w:noProof/>
        </w:rPr>
      </w:r>
      <w:r>
        <w:rPr>
          <w:noProof/>
        </w:rPr>
        <w:fldChar w:fldCharType="separate"/>
      </w:r>
      <w:r w:rsidR="00857D8F">
        <w:rPr>
          <w:noProof/>
        </w:rPr>
        <w:t>229</w:t>
      </w:r>
      <w:r>
        <w:rPr>
          <w:noProof/>
        </w:rPr>
        <w:fldChar w:fldCharType="end"/>
      </w:r>
    </w:p>
    <w:p w14:paraId="3571EF62" w14:textId="77777777" w:rsidR="00195095" w:rsidRDefault="00195095">
      <w:pPr>
        <w:pStyle w:val="TOC5"/>
        <w:rPr>
          <w:rFonts w:asciiTheme="minorHAnsi" w:eastAsiaTheme="minorEastAsia" w:hAnsiTheme="minorHAnsi" w:cstheme="minorBidi"/>
          <w:noProof/>
          <w:kern w:val="0"/>
          <w:sz w:val="22"/>
          <w:szCs w:val="22"/>
        </w:rPr>
      </w:pPr>
      <w:r>
        <w:rPr>
          <w:noProof/>
        </w:rPr>
        <w:t>3.2</w:t>
      </w:r>
      <w:r w:rsidRPr="00F95A48">
        <w:rPr>
          <w:noProof/>
          <w:color w:val="0000FF"/>
        </w:rPr>
        <w:t xml:space="preserve">  Meaning of </w:t>
      </w:r>
      <w:r w:rsidRPr="00F95A48">
        <w:rPr>
          <w:i/>
          <w:noProof/>
          <w:color w:val="0000FF"/>
        </w:rPr>
        <w:t>required consumer data</w:t>
      </w:r>
      <w:r w:rsidRPr="00F95A48">
        <w:rPr>
          <w:noProof/>
          <w:color w:val="0000FF"/>
        </w:rPr>
        <w:t xml:space="preserve"> and </w:t>
      </w:r>
      <w:r w:rsidRPr="00F95A48">
        <w:rPr>
          <w:i/>
          <w:noProof/>
          <w:color w:val="0000FF"/>
        </w:rPr>
        <w:t>voluntary consumer data</w:t>
      </w:r>
      <w:r w:rsidRPr="00F95A48">
        <w:rPr>
          <w:noProof/>
          <w:color w:val="0000FF"/>
        </w:rPr>
        <w:t>— telecommunications sector</w:t>
      </w:r>
      <w:r>
        <w:rPr>
          <w:noProof/>
        </w:rPr>
        <w:tab/>
      </w:r>
      <w:r>
        <w:rPr>
          <w:noProof/>
        </w:rPr>
        <w:fldChar w:fldCharType="begin"/>
      </w:r>
      <w:r>
        <w:rPr>
          <w:noProof/>
        </w:rPr>
        <w:instrText xml:space="preserve"> PAGEREF _Toc111132345 \h </w:instrText>
      </w:r>
      <w:r>
        <w:rPr>
          <w:noProof/>
        </w:rPr>
      </w:r>
      <w:r>
        <w:rPr>
          <w:noProof/>
        </w:rPr>
        <w:fldChar w:fldCharType="separate"/>
      </w:r>
      <w:r w:rsidR="00857D8F">
        <w:rPr>
          <w:noProof/>
        </w:rPr>
        <w:t>229</w:t>
      </w:r>
      <w:r>
        <w:rPr>
          <w:noProof/>
        </w:rPr>
        <w:fldChar w:fldCharType="end"/>
      </w:r>
    </w:p>
    <w:p w14:paraId="6EF94F40" w14:textId="77777777" w:rsidR="00195095" w:rsidRDefault="00195095">
      <w:pPr>
        <w:pStyle w:val="TOC2"/>
        <w:rPr>
          <w:rFonts w:asciiTheme="minorHAnsi" w:eastAsiaTheme="minorEastAsia" w:hAnsiTheme="minorHAnsi" w:cstheme="minorBidi"/>
          <w:b w:val="0"/>
          <w:noProof/>
          <w:kern w:val="0"/>
          <w:sz w:val="22"/>
          <w:szCs w:val="22"/>
        </w:rPr>
      </w:pPr>
      <w:r>
        <w:rPr>
          <w:noProof/>
        </w:rPr>
        <w:lastRenderedPageBreak/>
        <w:t xml:space="preserve">Part 4 </w:t>
      </w:r>
      <w:r w:rsidRPr="00F95A48">
        <w:rPr>
          <w:noProof/>
          <w:color w:val="0000FF"/>
        </w:rPr>
        <w:t>—Dispute resolution―telecommunications sector</w:t>
      </w:r>
      <w:r>
        <w:rPr>
          <w:noProof/>
        </w:rPr>
        <w:tab/>
      </w:r>
      <w:r>
        <w:rPr>
          <w:noProof/>
        </w:rPr>
        <w:fldChar w:fldCharType="begin"/>
      </w:r>
      <w:r>
        <w:rPr>
          <w:noProof/>
        </w:rPr>
        <w:instrText xml:space="preserve"> PAGEREF _Toc111132346 \h </w:instrText>
      </w:r>
      <w:r>
        <w:rPr>
          <w:noProof/>
        </w:rPr>
      </w:r>
      <w:r>
        <w:rPr>
          <w:noProof/>
        </w:rPr>
        <w:fldChar w:fldCharType="separate"/>
      </w:r>
      <w:r w:rsidR="00857D8F">
        <w:rPr>
          <w:noProof/>
        </w:rPr>
        <w:t>231</w:t>
      </w:r>
      <w:r>
        <w:rPr>
          <w:noProof/>
        </w:rPr>
        <w:fldChar w:fldCharType="end"/>
      </w:r>
    </w:p>
    <w:p w14:paraId="6D62437B" w14:textId="77777777" w:rsidR="00195095" w:rsidRDefault="00195095">
      <w:pPr>
        <w:pStyle w:val="TOC5"/>
        <w:rPr>
          <w:rFonts w:asciiTheme="minorHAnsi" w:eastAsiaTheme="minorEastAsia" w:hAnsiTheme="minorHAnsi" w:cstheme="minorBidi"/>
          <w:noProof/>
          <w:kern w:val="0"/>
          <w:sz w:val="22"/>
          <w:szCs w:val="22"/>
        </w:rPr>
      </w:pPr>
      <w:r>
        <w:rPr>
          <w:noProof/>
        </w:rPr>
        <w:t>4.1</w:t>
      </w:r>
      <w:r w:rsidRPr="00F95A48">
        <w:rPr>
          <w:noProof/>
          <w:color w:val="0000FF"/>
        </w:rPr>
        <w:t xml:space="preserve">  Meeting internal dispute resolution requirements—telecommunications sector</w:t>
      </w:r>
      <w:r>
        <w:rPr>
          <w:noProof/>
        </w:rPr>
        <w:tab/>
      </w:r>
      <w:r>
        <w:rPr>
          <w:noProof/>
        </w:rPr>
        <w:fldChar w:fldCharType="begin"/>
      </w:r>
      <w:r>
        <w:rPr>
          <w:noProof/>
        </w:rPr>
        <w:instrText xml:space="preserve"> PAGEREF _Toc111132347 \h </w:instrText>
      </w:r>
      <w:r>
        <w:rPr>
          <w:noProof/>
        </w:rPr>
      </w:r>
      <w:r>
        <w:rPr>
          <w:noProof/>
        </w:rPr>
        <w:fldChar w:fldCharType="separate"/>
      </w:r>
      <w:r w:rsidR="00857D8F">
        <w:rPr>
          <w:noProof/>
        </w:rPr>
        <w:t>231</w:t>
      </w:r>
      <w:r>
        <w:rPr>
          <w:noProof/>
        </w:rPr>
        <w:fldChar w:fldCharType="end"/>
      </w:r>
    </w:p>
    <w:p w14:paraId="6DC3C1FD" w14:textId="77777777" w:rsidR="00195095" w:rsidRDefault="00195095">
      <w:pPr>
        <w:pStyle w:val="TOC5"/>
        <w:rPr>
          <w:rFonts w:asciiTheme="minorHAnsi" w:eastAsiaTheme="minorEastAsia" w:hAnsiTheme="minorHAnsi" w:cstheme="minorBidi"/>
          <w:noProof/>
          <w:kern w:val="0"/>
          <w:sz w:val="22"/>
          <w:szCs w:val="22"/>
        </w:rPr>
      </w:pPr>
      <w:r>
        <w:rPr>
          <w:noProof/>
        </w:rPr>
        <w:t>4.2</w:t>
      </w:r>
      <w:r w:rsidRPr="00F95A48">
        <w:rPr>
          <w:noProof/>
          <w:color w:val="0000FF"/>
        </w:rPr>
        <w:t xml:space="preserve">  External dispute resolution requirements—telecommunications sector</w:t>
      </w:r>
      <w:r>
        <w:rPr>
          <w:noProof/>
        </w:rPr>
        <w:tab/>
      </w:r>
      <w:r>
        <w:rPr>
          <w:noProof/>
        </w:rPr>
        <w:fldChar w:fldCharType="begin"/>
      </w:r>
      <w:r>
        <w:rPr>
          <w:noProof/>
        </w:rPr>
        <w:instrText xml:space="preserve"> PAGEREF _Toc111132348 \h </w:instrText>
      </w:r>
      <w:r>
        <w:rPr>
          <w:noProof/>
        </w:rPr>
      </w:r>
      <w:r>
        <w:rPr>
          <w:noProof/>
        </w:rPr>
        <w:fldChar w:fldCharType="separate"/>
      </w:r>
      <w:r w:rsidR="00857D8F">
        <w:rPr>
          <w:noProof/>
        </w:rPr>
        <w:t>232</w:t>
      </w:r>
      <w:r>
        <w:rPr>
          <w:noProof/>
        </w:rPr>
        <w:fldChar w:fldCharType="end"/>
      </w:r>
    </w:p>
    <w:p w14:paraId="09F5EDF1" w14:textId="77777777" w:rsidR="00195095" w:rsidRDefault="00195095">
      <w:pPr>
        <w:pStyle w:val="TOC2"/>
        <w:rPr>
          <w:rFonts w:asciiTheme="minorHAnsi" w:eastAsiaTheme="minorEastAsia" w:hAnsiTheme="minorHAnsi" w:cstheme="minorBidi"/>
          <w:b w:val="0"/>
          <w:noProof/>
          <w:kern w:val="0"/>
          <w:sz w:val="22"/>
          <w:szCs w:val="22"/>
        </w:rPr>
      </w:pPr>
      <w:r>
        <w:rPr>
          <w:noProof/>
        </w:rPr>
        <w:t xml:space="preserve">Part 5 </w:t>
      </w:r>
      <w:r w:rsidRPr="00F95A48">
        <w:rPr>
          <w:noProof/>
          <w:color w:val="0000FF"/>
        </w:rPr>
        <w:t>—Staged application of these rules to the telecommunications sector</w:t>
      </w:r>
      <w:r>
        <w:rPr>
          <w:noProof/>
        </w:rPr>
        <w:tab/>
      </w:r>
      <w:r>
        <w:rPr>
          <w:noProof/>
        </w:rPr>
        <w:fldChar w:fldCharType="begin"/>
      </w:r>
      <w:r>
        <w:rPr>
          <w:noProof/>
        </w:rPr>
        <w:instrText xml:space="preserve"> PAGEREF _Toc111132349 \h </w:instrText>
      </w:r>
      <w:r>
        <w:rPr>
          <w:noProof/>
        </w:rPr>
      </w:r>
      <w:r>
        <w:rPr>
          <w:noProof/>
        </w:rPr>
        <w:fldChar w:fldCharType="separate"/>
      </w:r>
      <w:r w:rsidR="00857D8F">
        <w:rPr>
          <w:noProof/>
        </w:rPr>
        <w:t>233</w:t>
      </w:r>
      <w:r>
        <w:rPr>
          <w:noProof/>
        </w:rPr>
        <w:fldChar w:fldCharType="end"/>
      </w:r>
    </w:p>
    <w:p w14:paraId="3AB5E0BC" w14:textId="77777777" w:rsidR="00195095" w:rsidRDefault="00195095">
      <w:pPr>
        <w:pStyle w:val="TOC5"/>
        <w:rPr>
          <w:rFonts w:asciiTheme="minorHAnsi" w:eastAsiaTheme="minorEastAsia" w:hAnsiTheme="minorHAnsi" w:cstheme="minorBidi"/>
          <w:noProof/>
          <w:kern w:val="0"/>
          <w:sz w:val="22"/>
          <w:szCs w:val="22"/>
        </w:rPr>
      </w:pPr>
      <w:r>
        <w:rPr>
          <w:noProof/>
        </w:rPr>
        <w:t>5.1</w:t>
      </w:r>
      <w:r w:rsidRPr="00F95A48">
        <w:rPr>
          <w:noProof/>
          <w:color w:val="0000FF"/>
        </w:rPr>
        <w:t xml:space="preserve">  Interpretation</w:t>
      </w:r>
      <w:r>
        <w:rPr>
          <w:noProof/>
        </w:rPr>
        <w:tab/>
      </w:r>
      <w:r>
        <w:rPr>
          <w:noProof/>
        </w:rPr>
        <w:fldChar w:fldCharType="begin"/>
      </w:r>
      <w:r>
        <w:rPr>
          <w:noProof/>
        </w:rPr>
        <w:instrText xml:space="preserve"> PAGEREF _Toc111132350 \h </w:instrText>
      </w:r>
      <w:r>
        <w:rPr>
          <w:noProof/>
        </w:rPr>
      </w:r>
      <w:r>
        <w:rPr>
          <w:noProof/>
        </w:rPr>
        <w:fldChar w:fldCharType="separate"/>
      </w:r>
      <w:r w:rsidR="00857D8F">
        <w:rPr>
          <w:noProof/>
        </w:rPr>
        <w:t>233</w:t>
      </w:r>
      <w:r>
        <w:rPr>
          <w:noProof/>
        </w:rPr>
        <w:fldChar w:fldCharType="end"/>
      </w:r>
    </w:p>
    <w:p w14:paraId="6E7B7040" w14:textId="77777777" w:rsidR="00195095" w:rsidRDefault="00195095">
      <w:pPr>
        <w:pStyle w:val="TOC5"/>
        <w:rPr>
          <w:rFonts w:asciiTheme="minorHAnsi" w:eastAsiaTheme="minorEastAsia" w:hAnsiTheme="minorHAnsi" w:cstheme="minorBidi"/>
          <w:noProof/>
          <w:kern w:val="0"/>
          <w:sz w:val="22"/>
          <w:szCs w:val="22"/>
        </w:rPr>
      </w:pPr>
      <w:r>
        <w:rPr>
          <w:noProof/>
        </w:rPr>
        <w:t>5.2</w:t>
      </w:r>
      <w:r w:rsidRPr="00F95A48">
        <w:rPr>
          <w:noProof/>
          <w:color w:val="0000FF"/>
        </w:rPr>
        <w:t xml:space="preserve">  Meaning of </w:t>
      </w:r>
      <w:r w:rsidRPr="00F95A48">
        <w:rPr>
          <w:i/>
          <w:noProof/>
          <w:color w:val="0000FF"/>
        </w:rPr>
        <w:t>initial CSP</w:t>
      </w:r>
      <w:r>
        <w:rPr>
          <w:noProof/>
        </w:rPr>
        <w:tab/>
      </w:r>
      <w:r>
        <w:rPr>
          <w:noProof/>
        </w:rPr>
        <w:fldChar w:fldCharType="begin"/>
      </w:r>
      <w:r>
        <w:rPr>
          <w:noProof/>
        </w:rPr>
        <w:instrText xml:space="preserve"> PAGEREF _Toc111132351 \h </w:instrText>
      </w:r>
      <w:r>
        <w:rPr>
          <w:noProof/>
        </w:rPr>
      </w:r>
      <w:r>
        <w:rPr>
          <w:noProof/>
        </w:rPr>
        <w:fldChar w:fldCharType="separate"/>
      </w:r>
      <w:r w:rsidR="00857D8F">
        <w:rPr>
          <w:noProof/>
        </w:rPr>
        <w:t>233</w:t>
      </w:r>
      <w:r>
        <w:rPr>
          <w:noProof/>
        </w:rPr>
        <w:fldChar w:fldCharType="end"/>
      </w:r>
    </w:p>
    <w:p w14:paraId="108E2CEE" w14:textId="77777777" w:rsidR="00195095" w:rsidRDefault="00195095">
      <w:pPr>
        <w:pStyle w:val="TOC5"/>
        <w:rPr>
          <w:rFonts w:asciiTheme="minorHAnsi" w:eastAsiaTheme="minorEastAsia" w:hAnsiTheme="minorHAnsi" w:cstheme="minorBidi"/>
          <w:noProof/>
          <w:kern w:val="0"/>
          <w:sz w:val="22"/>
          <w:szCs w:val="22"/>
        </w:rPr>
      </w:pPr>
      <w:r>
        <w:rPr>
          <w:noProof/>
        </w:rPr>
        <w:t>5.3</w:t>
      </w:r>
      <w:r w:rsidRPr="00F95A48">
        <w:rPr>
          <w:noProof/>
          <w:color w:val="0000FF"/>
        </w:rPr>
        <w:t xml:space="preserve">  Meaning of </w:t>
      </w:r>
      <w:r w:rsidRPr="00F95A48">
        <w:rPr>
          <w:i/>
          <w:noProof/>
          <w:color w:val="0000FF"/>
        </w:rPr>
        <w:t>large CSP</w:t>
      </w:r>
      <w:r>
        <w:rPr>
          <w:noProof/>
        </w:rPr>
        <w:tab/>
      </w:r>
      <w:r>
        <w:rPr>
          <w:noProof/>
        </w:rPr>
        <w:fldChar w:fldCharType="begin"/>
      </w:r>
      <w:r>
        <w:rPr>
          <w:noProof/>
        </w:rPr>
        <w:instrText xml:space="preserve"> PAGEREF _Toc111132352 \h </w:instrText>
      </w:r>
      <w:r>
        <w:rPr>
          <w:noProof/>
        </w:rPr>
      </w:r>
      <w:r>
        <w:rPr>
          <w:noProof/>
        </w:rPr>
        <w:fldChar w:fldCharType="separate"/>
      </w:r>
      <w:r w:rsidR="00857D8F">
        <w:rPr>
          <w:noProof/>
        </w:rPr>
        <w:t>233</w:t>
      </w:r>
      <w:r>
        <w:rPr>
          <w:noProof/>
        </w:rPr>
        <w:fldChar w:fldCharType="end"/>
      </w:r>
    </w:p>
    <w:p w14:paraId="395E6CAB" w14:textId="77777777" w:rsidR="00195095" w:rsidRDefault="00195095">
      <w:pPr>
        <w:pStyle w:val="TOC5"/>
        <w:rPr>
          <w:rFonts w:asciiTheme="minorHAnsi" w:eastAsiaTheme="minorEastAsia" w:hAnsiTheme="minorHAnsi" w:cstheme="minorBidi"/>
          <w:noProof/>
          <w:kern w:val="0"/>
          <w:sz w:val="22"/>
          <w:szCs w:val="22"/>
        </w:rPr>
      </w:pPr>
      <w:r>
        <w:rPr>
          <w:noProof/>
        </w:rPr>
        <w:t>5.4</w:t>
      </w:r>
      <w:r w:rsidRPr="00F95A48">
        <w:rPr>
          <w:noProof/>
          <w:color w:val="0000FF"/>
        </w:rPr>
        <w:t xml:space="preserve">  Product data requests under Part 2 of these rules</w:t>
      </w:r>
      <w:r>
        <w:rPr>
          <w:noProof/>
        </w:rPr>
        <w:tab/>
      </w:r>
      <w:r>
        <w:rPr>
          <w:noProof/>
        </w:rPr>
        <w:fldChar w:fldCharType="begin"/>
      </w:r>
      <w:r>
        <w:rPr>
          <w:noProof/>
        </w:rPr>
        <w:instrText xml:space="preserve"> PAGEREF _Toc111132353 \h </w:instrText>
      </w:r>
      <w:r>
        <w:rPr>
          <w:noProof/>
        </w:rPr>
      </w:r>
      <w:r>
        <w:rPr>
          <w:noProof/>
        </w:rPr>
        <w:fldChar w:fldCharType="separate"/>
      </w:r>
      <w:r w:rsidR="00857D8F">
        <w:rPr>
          <w:noProof/>
        </w:rPr>
        <w:t>234</w:t>
      </w:r>
      <w:r>
        <w:rPr>
          <w:noProof/>
        </w:rPr>
        <w:fldChar w:fldCharType="end"/>
      </w:r>
    </w:p>
    <w:p w14:paraId="767BBD86" w14:textId="77777777" w:rsidR="00195095" w:rsidRDefault="00195095">
      <w:pPr>
        <w:pStyle w:val="TOC5"/>
        <w:rPr>
          <w:rFonts w:asciiTheme="minorHAnsi" w:eastAsiaTheme="minorEastAsia" w:hAnsiTheme="minorHAnsi" w:cstheme="minorBidi"/>
          <w:noProof/>
          <w:kern w:val="0"/>
          <w:sz w:val="22"/>
          <w:szCs w:val="22"/>
        </w:rPr>
      </w:pPr>
      <w:r>
        <w:rPr>
          <w:noProof/>
        </w:rPr>
        <w:t>5.5</w:t>
      </w:r>
      <w:r w:rsidRPr="00F95A48">
        <w:rPr>
          <w:noProof/>
          <w:color w:val="0000FF"/>
        </w:rPr>
        <w:t xml:space="preserve">  Consumer data requests under Part 3 of these rules</w:t>
      </w:r>
      <w:r>
        <w:rPr>
          <w:noProof/>
        </w:rPr>
        <w:tab/>
      </w:r>
      <w:r>
        <w:rPr>
          <w:noProof/>
        </w:rPr>
        <w:fldChar w:fldCharType="begin"/>
      </w:r>
      <w:r>
        <w:rPr>
          <w:noProof/>
        </w:rPr>
        <w:instrText xml:space="preserve"> PAGEREF _Toc111132354 \h </w:instrText>
      </w:r>
      <w:r>
        <w:rPr>
          <w:noProof/>
        </w:rPr>
      </w:r>
      <w:r>
        <w:rPr>
          <w:noProof/>
        </w:rPr>
        <w:fldChar w:fldCharType="separate"/>
      </w:r>
      <w:r w:rsidR="00857D8F">
        <w:rPr>
          <w:noProof/>
        </w:rPr>
        <w:t>234</w:t>
      </w:r>
      <w:r>
        <w:rPr>
          <w:noProof/>
        </w:rPr>
        <w:fldChar w:fldCharType="end"/>
      </w:r>
    </w:p>
    <w:p w14:paraId="0422C2FB" w14:textId="77777777" w:rsidR="00195095" w:rsidRDefault="00195095">
      <w:pPr>
        <w:pStyle w:val="TOC5"/>
        <w:rPr>
          <w:rFonts w:asciiTheme="minorHAnsi" w:eastAsiaTheme="minorEastAsia" w:hAnsiTheme="minorHAnsi" w:cstheme="minorBidi"/>
          <w:noProof/>
          <w:kern w:val="0"/>
          <w:sz w:val="22"/>
          <w:szCs w:val="22"/>
        </w:rPr>
      </w:pPr>
      <w:r>
        <w:rPr>
          <w:noProof/>
        </w:rPr>
        <w:t>5.6</w:t>
      </w:r>
      <w:r w:rsidRPr="00F95A48">
        <w:rPr>
          <w:noProof/>
          <w:color w:val="0000FF"/>
        </w:rPr>
        <w:t xml:space="preserve">  Consumer data requests under Part 4 of these rules</w:t>
      </w:r>
      <w:r>
        <w:rPr>
          <w:noProof/>
        </w:rPr>
        <w:tab/>
      </w:r>
      <w:r>
        <w:rPr>
          <w:noProof/>
        </w:rPr>
        <w:fldChar w:fldCharType="begin"/>
      </w:r>
      <w:r>
        <w:rPr>
          <w:noProof/>
        </w:rPr>
        <w:instrText xml:space="preserve"> PAGEREF _Toc111132355 \h </w:instrText>
      </w:r>
      <w:r>
        <w:rPr>
          <w:noProof/>
        </w:rPr>
      </w:r>
      <w:r>
        <w:rPr>
          <w:noProof/>
        </w:rPr>
        <w:fldChar w:fldCharType="separate"/>
      </w:r>
      <w:r w:rsidR="00857D8F">
        <w:rPr>
          <w:noProof/>
        </w:rPr>
        <w:t>234</w:t>
      </w:r>
      <w:r>
        <w:rPr>
          <w:noProof/>
        </w:rPr>
        <w:fldChar w:fldCharType="end"/>
      </w:r>
    </w:p>
    <w:p w14:paraId="449ED00E" w14:textId="77777777" w:rsidR="00195095" w:rsidRDefault="00195095">
      <w:pPr>
        <w:pStyle w:val="TOC5"/>
        <w:rPr>
          <w:rFonts w:asciiTheme="minorHAnsi" w:eastAsiaTheme="minorEastAsia" w:hAnsiTheme="minorHAnsi" w:cstheme="minorBidi"/>
          <w:noProof/>
          <w:kern w:val="0"/>
          <w:sz w:val="22"/>
          <w:szCs w:val="22"/>
        </w:rPr>
      </w:pPr>
      <w:r>
        <w:rPr>
          <w:noProof/>
        </w:rPr>
        <w:t>5.7</w:t>
      </w:r>
      <w:r w:rsidRPr="00F95A48">
        <w:rPr>
          <w:noProof/>
          <w:color w:val="0000FF"/>
        </w:rPr>
        <w:t xml:space="preserve">  Application of Parts 2 and 4 to small CSPs</w:t>
      </w:r>
      <w:r>
        <w:rPr>
          <w:noProof/>
        </w:rPr>
        <w:tab/>
      </w:r>
      <w:r>
        <w:rPr>
          <w:noProof/>
        </w:rPr>
        <w:fldChar w:fldCharType="begin"/>
      </w:r>
      <w:r>
        <w:rPr>
          <w:noProof/>
        </w:rPr>
        <w:instrText xml:space="preserve"> PAGEREF _Toc111132356 \h </w:instrText>
      </w:r>
      <w:r>
        <w:rPr>
          <w:noProof/>
        </w:rPr>
      </w:r>
      <w:r>
        <w:rPr>
          <w:noProof/>
        </w:rPr>
        <w:fldChar w:fldCharType="separate"/>
      </w:r>
      <w:r w:rsidR="00857D8F">
        <w:rPr>
          <w:noProof/>
        </w:rPr>
        <w:t>234</w:t>
      </w:r>
      <w:r>
        <w:rPr>
          <w:noProof/>
        </w:rPr>
        <w:fldChar w:fldCharType="end"/>
      </w:r>
    </w:p>
    <w:p w14:paraId="1BA07DC2" w14:textId="77777777" w:rsidR="00195095" w:rsidRDefault="00195095">
      <w:pPr>
        <w:pStyle w:val="TOC5"/>
        <w:rPr>
          <w:rFonts w:asciiTheme="minorHAnsi" w:eastAsiaTheme="minorEastAsia" w:hAnsiTheme="minorHAnsi" w:cstheme="minorBidi"/>
          <w:noProof/>
          <w:kern w:val="0"/>
          <w:sz w:val="22"/>
          <w:szCs w:val="22"/>
        </w:rPr>
      </w:pPr>
      <w:r>
        <w:rPr>
          <w:noProof/>
        </w:rPr>
        <w:t>5.8</w:t>
      </w:r>
      <w:r w:rsidRPr="00F95A48">
        <w:rPr>
          <w:noProof/>
          <w:color w:val="0000FF"/>
        </w:rPr>
        <w:t xml:space="preserve">  Authorisation to disclose CDR data before being required to do so</w:t>
      </w:r>
      <w:r>
        <w:rPr>
          <w:noProof/>
        </w:rPr>
        <w:tab/>
      </w:r>
      <w:r>
        <w:rPr>
          <w:noProof/>
        </w:rPr>
        <w:fldChar w:fldCharType="begin"/>
      </w:r>
      <w:r>
        <w:rPr>
          <w:noProof/>
        </w:rPr>
        <w:instrText xml:space="preserve"> PAGEREF _Toc111132357 \h </w:instrText>
      </w:r>
      <w:r>
        <w:rPr>
          <w:noProof/>
        </w:rPr>
      </w:r>
      <w:r>
        <w:rPr>
          <w:noProof/>
        </w:rPr>
        <w:fldChar w:fldCharType="separate"/>
      </w:r>
      <w:r w:rsidR="00857D8F">
        <w:rPr>
          <w:noProof/>
        </w:rPr>
        <w:t>235</w:t>
      </w:r>
      <w:r>
        <w:rPr>
          <w:noProof/>
        </w:rPr>
        <w:fldChar w:fldCharType="end"/>
      </w:r>
    </w:p>
    <w:p w14:paraId="59FA4B1C" w14:textId="77777777" w:rsidR="0048364F" w:rsidRPr="00B77DD6" w:rsidRDefault="00BB7660" w:rsidP="00BB7660">
      <w:pPr>
        <w:sectPr w:rsidR="0048364F" w:rsidRPr="00B77DD6" w:rsidSect="00AF2503">
          <w:headerReference w:type="even" r:id="rId20"/>
          <w:headerReference w:type="default" r:id="rId21"/>
          <w:footerReference w:type="even" r:id="rId22"/>
          <w:footerReference w:type="default" r:id="rId23"/>
          <w:headerReference w:type="first" r:id="rId24"/>
          <w:pgSz w:w="11907" w:h="16839"/>
          <w:pgMar w:top="2093" w:right="1797" w:bottom="1440" w:left="1797" w:header="720" w:footer="709" w:gutter="0"/>
          <w:pgNumType w:fmt="lowerRoman" w:start="1"/>
          <w:cols w:space="708"/>
          <w:docGrid w:linePitch="360"/>
        </w:sectPr>
      </w:pPr>
      <w:r>
        <w:fldChar w:fldCharType="end"/>
      </w:r>
      <w:bookmarkEnd w:id="2"/>
    </w:p>
    <w:p w14:paraId="722056D9" w14:textId="77777777" w:rsidR="00BB7660" w:rsidRPr="001B5A6F" w:rsidRDefault="00BB7660" w:rsidP="00BB7660">
      <w:pPr>
        <w:pStyle w:val="ActHead2"/>
      </w:pPr>
      <w:bookmarkStart w:id="3" w:name="_Toc11771556"/>
      <w:bookmarkStart w:id="4" w:name="_Toc111131958"/>
      <w:r w:rsidRPr="001B5A6F">
        <w:lastRenderedPageBreak/>
        <w:t>Part 1—Preliminary</w:t>
      </w:r>
      <w:bookmarkEnd w:id="3"/>
      <w:bookmarkEnd w:id="4"/>
    </w:p>
    <w:p w14:paraId="5DB0AF54" w14:textId="77777777" w:rsidR="00BB7660" w:rsidRPr="000C3240" w:rsidRDefault="00BB7660" w:rsidP="00BB7660">
      <w:pPr>
        <w:pStyle w:val="ActHead3"/>
        <w:rPr>
          <w:color w:val="000000" w:themeColor="text1"/>
        </w:rPr>
      </w:pPr>
      <w:bookmarkStart w:id="5" w:name="_Toc11771557"/>
      <w:bookmarkStart w:id="6" w:name="_Toc111131959"/>
      <w:r>
        <w:t>Division 1.1</w:t>
      </w:r>
      <w:r w:rsidRPr="00B3173B">
        <w:t>—Preliminary</w:t>
      </w:r>
      <w:bookmarkEnd w:id="5"/>
      <w:bookmarkEnd w:id="6"/>
    </w:p>
    <w:p w14:paraId="5E4303F4" w14:textId="77777777" w:rsidR="00BB7660" w:rsidRPr="00554826" w:rsidRDefault="00BB7660" w:rsidP="00BB7660">
      <w:pPr>
        <w:pStyle w:val="ActHead5"/>
      </w:pPr>
      <w:bookmarkStart w:id="7" w:name="_Toc11771558"/>
      <w:bookmarkStart w:id="8" w:name="_Toc111131960"/>
      <w:r>
        <w:t xml:space="preserve">1.1  </w:t>
      </w:r>
      <w:r w:rsidRPr="00554826">
        <w:t>Name</w:t>
      </w:r>
      <w:bookmarkEnd w:id="7"/>
      <w:bookmarkEnd w:id="8"/>
    </w:p>
    <w:p w14:paraId="4BFB8AB2" w14:textId="77777777" w:rsidR="00E23B71" w:rsidRPr="00E23B71" w:rsidRDefault="00BB7660" w:rsidP="00E23B71">
      <w:pPr>
        <w:spacing w:line="0" w:lineRule="atLeast"/>
        <w:rPr>
          <w:szCs w:val="22"/>
        </w:rPr>
      </w:pPr>
      <w:r w:rsidRPr="009C2562">
        <w:tab/>
      </w:r>
      <w:r w:rsidRPr="009C2562">
        <w:tab/>
        <w:t xml:space="preserve">This </w:t>
      </w:r>
      <w:r w:rsidRPr="00E23B71">
        <w:rPr>
          <w:szCs w:val="22"/>
        </w:rPr>
        <w:t xml:space="preserve">instrument is the </w:t>
      </w:r>
      <w:bookmarkStart w:id="9" w:name="BKCheck15B_3"/>
      <w:bookmarkEnd w:id="9"/>
      <w:r w:rsidR="00195095">
        <w:rPr>
          <w:i/>
          <w:noProof/>
          <w:szCs w:val="22"/>
        </w:rPr>
        <w:t>Competition and Consumer (Consumer Data Right) Rules 2020 with proposed amendments</w:t>
      </w:r>
    </w:p>
    <w:p w14:paraId="0C04AD74" w14:textId="77777777" w:rsidR="00BB7660" w:rsidRDefault="00BB7660" w:rsidP="00BB7660">
      <w:pPr>
        <w:pStyle w:val="ActHead5"/>
      </w:pPr>
      <w:bookmarkStart w:id="10" w:name="_Toc11771560"/>
      <w:bookmarkStart w:id="11" w:name="_Toc111131961"/>
      <w:r>
        <w:t xml:space="preserve">1.3  </w:t>
      </w:r>
      <w:r w:rsidRPr="00554826">
        <w:t>Authority</w:t>
      </w:r>
      <w:bookmarkEnd w:id="10"/>
      <w:bookmarkEnd w:id="11"/>
    </w:p>
    <w:p w14:paraId="2A7EE600" w14:textId="77777777" w:rsidR="00BB7660" w:rsidRPr="00A00F6F" w:rsidRDefault="00BB7660" w:rsidP="00BB7660">
      <w:pPr>
        <w:pStyle w:val="subsection"/>
      </w:pPr>
      <w:r w:rsidRPr="009C2562">
        <w:tab/>
      </w:r>
      <w:r w:rsidRPr="009C2562">
        <w:tab/>
        <w:t>This instrument is made under</w:t>
      </w:r>
      <w:r>
        <w:t xml:space="preserve"> section 56BA of the </w:t>
      </w:r>
      <w:r>
        <w:rPr>
          <w:i/>
        </w:rPr>
        <w:t>Competition and Consumer Act 2010</w:t>
      </w:r>
      <w:r w:rsidRPr="009C2562">
        <w:t>.</w:t>
      </w:r>
    </w:p>
    <w:p w14:paraId="614A63F1" w14:textId="77777777" w:rsidR="00BB7660" w:rsidRPr="00B3173B" w:rsidRDefault="00BB7660" w:rsidP="00BB7660">
      <w:pPr>
        <w:pStyle w:val="ActHead3"/>
      </w:pPr>
      <w:bookmarkStart w:id="12" w:name="_Toc11771561"/>
      <w:bookmarkStart w:id="13" w:name="_Toc111131962"/>
      <w:r>
        <w:t>Division 1.2</w:t>
      </w:r>
      <w:r w:rsidRPr="00B3173B">
        <w:t>—Simplified outline and overview of these rules</w:t>
      </w:r>
      <w:bookmarkEnd w:id="12"/>
      <w:bookmarkEnd w:id="13"/>
    </w:p>
    <w:p w14:paraId="7DE8FB80" w14:textId="77777777" w:rsidR="00BB7660" w:rsidRDefault="00BB7660" w:rsidP="00BB7660">
      <w:pPr>
        <w:pStyle w:val="ActHead5"/>
      </w:pPr>
      <w:bookmarkStart w:id="14" w:name="_Toc11771562"/>
      <w:bookmarkStart w:id="15" w:name="_Toc111131963"/>
      <w:r>
        <w:t>1.4</w:t>
      </w:r>
      <w:r w:rsidRPr="00225545">
        <w:t xml:space="preserve">  Simplified outline of these rules</w:t>
      </w:r>
      <w:bookmarkEnd w:id="14"/>
      <w:bookmarkEnd w:id="15"/>
    </w:p>
    <w:p w14:paraId="6E054D5E" w14:textId="77777777" w:rsidR="00BB7660" w:rsidRPr="00A20945" w:rsidRDefault="00BB7660" w:rsidP="00BB7660">
      <w:pPr>
        <w:pStyle w:val="SOText"/>
      </w:pPr>
      <w:r w:rsidRPr="00A20945">
        <w:t>There are 3 ways to request CDR data under these rules.</w:t>
      </w:r>
    </w:p>
    <w:p w14:paraId="5C75F054" w14:textId="77777777" w:rsidR="00BB7660" w:rsidRPr="00A20945" w:rsidRDefault="00BB7660" w:rsidP="00BB7660">
      <w:pPr>
        <w:pStyle w:val="SOHeadBold"/>
      </w:pPr>
      <w:r w:rsidRPr="00A20945">
        <w:t>Product data requests</w:t>
      </w:r>
    </w:p>
    <w:p w14:paraId="3391B6FC" w14:textId="77777777" w:rsidR="00BB7660" w:rsidRPr="00A20945" w:rsidRDefault="00BB7660" w:rsidP="00BB7660">
      <w:pPr>
        <w:pStyle w:val="SOText"/>
        <w:spacing w:before="40"/>
      </w:pPr>
      <w:r w:rsidRPr="00A20945">
        <w:t xml:space="preserve">Any person may request a data holder to disclose CDR data that relates to </w:t>
      </w:r>
      <w:r>
        <w:t>product</w:t>
      </w:r>
      <w:r w:rsidRPr="00A20945">
        <w:t xml:space="preserve">s offered by the data holder. Such a request is called </w:t>
      </w:r>
      <w:r w:rsidRPr="00A20945">
        <w:rPr>
          <w:rFonts w:cs="Times New Roman"/>
        </w:rPr>
        <w:t>a product data request</w:t>
      </w:r>
      <w:r w:rsidRPr="00A20945">
        <w:t>.</w:t>
      </w:r>
    </w:p>
    <w:p w14:paraId="7825ADAC" w14:textId="77777777" w:rsidR="00BB7660" w:rsidRPr="00A20945" w:rsidRDefault="00BB7660" w:rsidP="00BB7660">
      <w:pPr>
        <w:pStyle w:val="SOText"/>
      </w:pPr>
      <w:r w:rsidRPr="00A20945">
        <w:t xml:space="preserve">A product data request is made in accordance with relevant data standards, using a specialised service provided by the data holder. Such a request cannot be made for CDR data that relates to </w:t>
      </w:r>
      <w:r w:rsidRPr="007E69B9">
        <w:t xml:space="preserve">a </w:t>
      </w:r>
      <w:r w:rsidRPr="00A20945">
        <w:t>particular identifiable CDR consumer. The data is disclosed, in machine</w:t>
      </w:r>
      <w:r w:rsidRPr="00A20945">
        <w:noBreakHyphen/>
        <w:t>readable form, to the person who made the request.</w:t>
      </w:r>
      <w:r>
        <w:t xml:space="preserve"> </w:t>
      </w:r>
      <w:r w:rsidRPr="00796ADB">
        <w:t>The data holder cannot impose conditions, restrictions or limitations of any kind on the use of the disclosed data.</w:t>
      </w:r>
    </w:p>
    <w:p w14:paraId="58848E4D" w14:textId="77777777" w:rsidR="00BB7660" w:rsidRPr="00A20945" w:rsidRDefault="00BB7660" w:rsidP="00BB7660">
      <w:pPr>
        <w:pStyle w:val="SOHeadBold"/>
      </w:pPr>
      <w:r w:rsidRPr="00A20945">
        <w:t xml:space="preserve">Consumer data requests made </w:t>
      </w:r>
      <w:r>
        <w:t>by CDR consumers</w:t>
      </w:r>
    </w:p>
    <w:p w14:paraId="705412AF" w14:textId="77777777" w:rsidR="00BB7660" w:rsidRPr="00A20945" w:rsidRDefault="00BB7660" w:rsidP="00BB7660">
      <w:pPr>
        <w:pStyle w:val="SOText"/>
        <w:spacing w:before="40"/>
      </w:pPr>
      <w:r w:rsidRPr="00A20945">
        <w:t xml:space="preserve">A CDR consumer </w:t>
      </w:r>
      <w:r w:rsidRPr="00796ADB">
        <w:t>who, in accordance with a Schedule to these rules, is eligible to do so</w:t>
      </w:r>
      <w:r w:rsidRPr="007C39E2">
        <w:t xml:space="preserve"> </w:t>
      </w:r>
      <w:r w:rsidRPr="00A20945">
        <w:t>may</w:t>
      </w:r>
      <w:r>
        <w:t xml:space="preserve"> directly</w:t>
      </w:r>
      <w:r w:rsidRPr="00A20945">
        <w:t xml:space="preserve"> request a data holder to disclose CDR data </w:t>
      </w:r>
      <w:r>
        <w:t>that relates to them</w:t>
      </w:r>
      <w:r w:rsidRPr="00A20945">
        <w:t>.</w:t>
      </w:r>
      <w:r>
        <w:t xml:space="preserve"> Such a request is called a consumer data request.</w:t>
      </w:r>
    </w:p>
    <w:p w14:paraId="645DC74C" w14:textId="77777777" w:rsidR="00BB7660" w:rsidRDefault="00BB7660" w:rsidP="00BB7660">
      <w:pPr>
        <w:pStyle w:val="SOText"/>
      </w:pPr>
      <w:r w:rsidRPr="00A20945">
        <w:t xml:space="preserve">A consumer data request that is made directly to a data holder is made using </w:t>
      </w:r>
      <w:r w:rsidRPr="00BD2AB7">
        <w:t xml:space="preserve">a specialised </w:t>
      </w:r>
      <w:r w:rsidRPr="00A20945">
        <w:t>online service provided by the data holder. The data is disclosed, in human</w:t>
      </w:r>
      <w:r w:rsidRPr="00A20945">
        <w:noBreakHyphen/>
        <w:t>readable form, to the CDR consumer who made the request.</w:t>
      </w:r>
    </w:p>
    <w:p w14:paraId="7CB39508" w14:textId="77777777" w:rsidR="00BB7660" w:rsidRPr="00A20945" w:rsidRDefault="00BB7660" w:rsidP="00BB7660">
      <w:pPr>
        <w:pStyle w:val="SOHeadBold"/>
      </w:pPr>
      <w:r>
        <w:t>C</w:t>
      </w:r>
      <w:r w:rsidRPr="00A20945">
        <w:t xml:space="preserve">onsumer data requests made </w:t>
      </w:r>
      <w:r>
        <w:t>on behalf of CDR consumers</w:t>
      </w:r>
    </w:p>
    <w:p w14:paraId="10695FBA" w14:textId="77777777" w:rsidR="00BB7660" w:rsidRPr="00F07699" w:rsidRDefault="00BB7660" w:rsidP="00BB7660">
      <w:pPr>
        <w:pStyle w:val="SOText"/>
      </w:pPr>
      <w:r w:rsidRPr="00F07699">
        <w:t>A CDR consumer who, in accordance with a Schedule to these rules, is eligible to do so may request an accredited person to request a</w:t>
      </w:r>
      <w:r w:rsidRPr="00572C56">
        <w:t xml:space="preserve"> </w:t>
      </w:r>
      <w:r w:rsidRPr="00771FEA">
        <w:t xml:space="preserve">CDR participant </w:t>
      </w:r>
      <w:r w:rsidRPr="00F07699">
        <w:t>to disclose CDR data that relates to the consumer. The request made by the accredited person is called a consumer data request.</w:t>
      </w:r>
    </w:p>
    <w:p w14:paraId="358A13F3" w14:textId="77777777" w:rsidR="00BB7660" w:rsidRPr="00F07699" w:rsidRDefault="00BB7660" w:rsidP="00BB7660">
      <w:pPr>
        <w:pStyle w:val="SOText"/>
      </w:pPr>
      <w:r w:rsidRPr="00F07699">
        <w:lastRenderedPageBreak/>
        <w:t xml:space="preserve">A consumer data request that is made </w:t>
      </w:r>
      <w:r w:rsidRPr="00771FEA">
        <w:t xml:space="preserve">to a data holder </w:t>
      </w:r>
      <w:r w:rsidRPr="00F07699">
        <w:t>on behalf of a CDR consumer by an accredited person must be made in accordance with relevant data standards, using a specialised service provided by the data holder. The data is disclosed, in machine</w:t>
      </w:r>
      <w:r w:rsidRPr="00F07699">
        <w:noBreakHyphen/>
        <w:t>readable form, to the accredited person.</w:t>
      </w:r>
    </w:p>
    <w:p w14:paraId="0D2C1FA8" w14:textId="77777777" w:rsidR="00BB7660" w:rsidRPr="00F214C6" w:rsidRDefault="00BB7660" w:rsidP="00BB7660">
      <w:pPr>
        <w:pStyle w:val="SOText"/>
      </w:pPr>
      <w:r w:rsidRPr="00F07699">
        <w:t xml:space="preserve">Under the data minimisation principle, the accredited person may only collect and use CDR data in order to provide goods or services in accordance with a request from a CDR </w:t>
      </w:r>
      <w:r w:rsidRPr="00771FEA">
        <w:t xml:space="preserve">consumer, and may only use it for that purpose, or for a limited number of other purposes which require an additional consent from the </w:t>
      </w:r>
      <w:r w:rsidRPr="00F214C6">
        <w:t>CDR consumer.</w:t>
      </w:r>
    </w:p>
    <w:p w14:paraId="70C7235B" w14:textId="77777777" w:rsidR="00BB7660" w:rsidRPr="00A00F6F" w:rsidRDefault="00BB7660" w:rsidP="00BB7660">
      <w:pPr>
        <w:pStyle w:val="SOText"/>
        <w:rPr>
          <w:b/>
        </w:rPr>
      </w:pPr>
      <w:r w:rsidRPr="00A00F6F">
        <w:rPr>
          <w:b/>
        </w:rPr>
        <w:t>When consumers are eligible to make requests</w:t>
      </w:r>
    </w:p>
    <w:p w14:paraId="22A44429" w14:textId="77777777" w:rsidR="00BB7660" w:rsidRPr="00A00F6F" w:rsidRDefault="00BB7660" w:rsidP="00BB7660">
      <w:pPr>
        <w:pStyle w:val="SOText"/>
      </w:pPr>
      <w:r w:rsidRPr="00A00F6F">
        <w:t>A consumer data request can only be made in relation to certain classes of product and consumer CDR data.  These are specified in Schedules to these rules that relate to different designated sectors. The relevant Schedule will also set out:</w:t>
      </w:r>
    </w:p>
    <w:p w14:paraId="12D7942A" w14:textId="77777777" w:rsidR="00BB7660" w:rsidRPr="00A00F6F" w:rsidRDefault="00BB7660" w:rsidP="00BB7660">
      <w:pPr>
        <w:pStyle w:val="SOPara"/>
      </w:pPr>
      <w:r w:rsidRPr="00A00F6F">
        <w:tab/>
        <w:t>•</w:t>
      </w:r>
      <w:r w:rsidRPr="00A00F6F">
        <w:tab/>
        <w:t>the circumstances in which a CDR consumer will be eligible to make or initiate a consumer data request for CDR data in that sector; and</w:t>
      </w:r>
    </w:p>
    <w:p w14:paraId="735BDCBB" w14:textId="77777777" w:rsidR="00BB7660" w:rsidRPr="00A00F6F" w:rsidRDefault="00BB7660" w:rsidP="00BB7660">
      <w:pPr>
        <w:pStyle w:val="SOPara"/>
      </w:pPr>
      <w:r w:rsidRPr="00A00F6F">
        <w:tab/>
        <w:t>•</w:t>
      </w:r>
      <w:r w:rsidRPr="00A00F6F">
        <w:tab/>
        <w:t>the CDR data that must be disclosed by the data holder in response to a valid request and the CDR data that may be, but is not required to be, disclosed by the data holder.</w:t>
      </w:r>
    </w:p>
    <w:p w14:paraId="262FEB18" w14:textId="77777777" w:rsidR="00BB7660" w:rsidRPr="00A00F6F" w:rsidRDefault="00BB7660" w:rsidP="00BB7660">
      <w:pPr>
        <w:pStyle w:val="SOText"/>
      </w:pPr>
      <w:r w:rsidRPr="00A00F6F">
        <w:t xml:space="preserve">Schedule 3 relates to the banking sector. Initially, these rules will apply only in relation to certain products that are offered by certain data holders within the banking sector. These rules will then apply to a progressively broader range of data holders and products. </w:t>
      </w:r>
    </w:p>
    <w:p w14:paraId="175AC69F" w14:textId="77777777" w:rsidR="00BB7660" w:rsidRPr="00A00F6F" w:rsidRDefault="00BB7660" w:rsidP="00BB7660">
      <w:pPr>
        <w:pStyle w:val="SOText"/>
      </w:pPr>
      <w:r w:rsidRPr="00A00F6F">
        <w:t>Schedule 4 relates to the energy sector. In this sector, the product data that can be requested is data that is required by law to be passed to either the AER or the Victorian agency; product data requests are therefore made to those agencies as data holders.  In addition, some of the relevant consumer data is in practice collected and held by AEMO, which does not have a direct relationship with consumers.  Responsibility for dealing with a consumer data request for this data made by or on behalf of a customer of a retailer is therefore shared between AEMO and the retailer.</w:t>
      </w:r>
    </w:p>
    <w:p w14:paraId="10827F81" w14:textId="77777777" w:rsidR="00BB7660" w:rsidRPr="00A00F6F" w:rsidRDefault="00BB7660" w:rsidP="00BB7660">
      <w:pPr>
        <w:pStyle w:val="SOText"/>
      </w:pPr>
      <w:r w:rsidRPr="00A00F6F">
        <w:t>These rules also deal with a range of ancillary and related matters.</w:t>
      </w:r>
    </w:p>
    <w:p w14:paraId="7962451C" w14:textId="77777777" w:rsidR="00BB7660" w:rsidRPr="000C3240" w:rsidRDefault="00BB7660" w:rsidP="00BB7660">
      <w:pPr>
        <w:pStyle w:val="ActHead5"/>
        <w:rPr>
          <w:color w:val="000000" w:themeColor="text1"/>
        </w:rPr>
      </w:pPr>
      <w:bookmarkStart w:id="16" w:name="_Toc11771563"/>
      <w:bookmarkStart w:id="17" w:name="_Toc111131964"/>
      <w:r>
        <w:rPr>
          <w:color w:val="000000" w:themeColor="text1"/>
        </w:rPr>
        <w:t>1.5</w:t>
      </w:r>
      <w:r w:rsidRPr="000C3240">
        <w:rPr>
          <w:color w:val="000000" w:themeColor="text1"/>
        </w:rPr>
        <w:t xml:space="preserve">  What these rules are about</w:t>
      </w:r>
      <w:bookmarkEnd w:id="16"/>
      <w:bookmarkEnd w:id="17"/>
    </w:p>
    <w:p w14:paraId="4A024DCA" w14:textId="77777777" w:rsidR="00BB7660" w:rsidRDefault="00BB7660" w:rsidP="00BB7660">
      <w:pPr>
        <w:pStyle w:val="subsection"/>
      </w:pPr>
      <w:r>
        <w:tab/>
      </w:r>
      <w:r>
        <w:rPr>
          <w:color w:val="000000" w:themeColor="text1"/>
        </w:rPr>
        <w:t>(1)</w:t>
      </w:r>
      <w:r>
        <w:tab/>
      </w:r>
      <w:r w:rsidRPr="00641354">
        <w:t>These rules set out details of how</w:t>
      </w:r>
      <w:r>
        <w:t xml:space="preserve"> the consumer data right works.</w:t>
      </w:r>
    </w:p>
    <w:p w14:paraId="556F19B8" w14:textId="77777777" w:rsidR="00BB7660" w:rsidRPr="00641354" w:rsidRDefault="00BB7660" w:rsidP="00BB7660">
      <w:pPr>
        <w:pStyle w:val="subsection"/>
      </w:pPr>
      <w:r>
        <w:tab/>
      </w:r>
      <w:r>
        <w:rPr>
          <w:color w:val="000000" w:themeColor="text1"/>
        </w:rPr>
        <w:t>(2)</w:t>
      </w:r>
      <w:r>
        <w:tab/>
      </w:r>
      <w:r w:rsidRPr="00641354">
        <w:t>These rules should be read in conjunction with</w:t>
      </w:r>
      <w:r>
        <w:t xml:space="preserve"> the following</w:t>
      </w:r>
      <w:r w:rsidRPr="00641354">
        <w:t>:</w:t>
      </w:r>
    </w:p>
    <w:p w14:paraId="223A91CB" w14:textId="77777777" w:rsidR="00BB7660" w:rsidRPr="00641354" w:rsidRDefault="00BB7660" w:rsidP="00BB7660">
      <w:pPr>
        <w:pStyle w:val="paragraph"/>
      </w:pPr>
      <w:r>
        <w:tab/>
        <w:t>(a)</w:t>
      </w:r>
      <w:r>
        <w:tab/>
      </w:r>
      <w:r w:rsidRPr="00641354">
        <w:t xml:space="preserve">the </w:t>
      </w:r>
      <w:r w:rsidRPr="00641354">
        <w:rPr>
          <w:i/>
        </w:rPr>
        <w:t xml:space="preserve">Competition and Consumer Act 2010 </w:t>
      </w:r>
      <w:r w:rsidRPr="00641354">
        <w:t xml:space="preserve">(the Act), </w:t>
      </w:r>
      <w:r>
        <w:t xml:space="preserve">and in particular, </w:t>
      </w:r>
      <w:r w:rsidRPr="00641354">
        <w:t xml:space="preserve">Part IVD of </w:t>
      </w:r>
      <w:r>
        <w:t xml:space="preserve">the Act, </w:t>
      </w:r>
      <w:r w:rsidRPr="00641354">
        <w:t>which sets out the general framework for how the consumer data right works;</w:t>
      </w:r>
    </w:p>
    <w:p w14:paraId="3BF7EC71" w14:textId="77777777" w:rsidR="00BB7660" w:rsidRPr="00641354" w:rsidRDefault="00BB7660" w:rsidP="00BB7660">
      <w:pPr>
        <w:pStyle w:val="paragraph"/>
      </w:pPr>
      <w:r>
        <w:tab/>
        <w:t>(b)</w:t>
      </w:r>
      <w:r>
        <w:tab/>
      </w:r>
      <w:r w:rsidRPr="00641354">
        <w:t>designation instruments made under section 56AC of the Act;</w:t>
      </w:r>
    </w:p>
    <w:p w14:paraId="313680C5" w14:textId="77777777" w:rsidR="00BB7660" w:rsidRPr="00BD2AB7" w:rsidRDefault="00BB7660" w:rsidP="00BB7660">
      <w:pPr>
        <w:pStyle w:val="paragraph"/>
      </w:pPr>
      <w:r>
        <w:tab/>
      </w:r>
      <w:r>
        <w:rPr>
          <w:color w:val="000000" w:themeColor="text1"/>
        </w:rPr>
        <w:t>(c)</w:t>
      </w:r>
      <w:r w:rsidRPr="000C3240">
        <w:rPr>
          <w:color w:val="000000" w:themeColor="text1"/>
        </w:rPr>
        <w:tab/>
        <w:t xml:space="preserve">guidelines </w:t>
      </w:r>
      <w:r>
        <w:rPr>
          <w:color w:val="000000" w:themeColor="text1"/>
        </w:rPr>
        <w:t xml:space="preserve">made </w:t>
      </w:r>
      <w:r w:rsidRPr="000C3240">
        <w:rPr>
          <w:color w:val="000000" w:themeColor="text1"/>
        </w:rPr>
        <w:t>by the Information Commissioner under section 56EQ of the Act</w:t>
      </w:r>
      <w:r w:rsidRPr="00BD2AB7">
        <w:t>;</w:t>
      </w:r>
    </w:p>
    <w:p w14:paraId="12F6D79E" w14:textId="77777777" w:rsidR="00BB7660" w:rsidRPr="00BD2AB7" w:rsidRDefault="00BB7660" w:rsidP="00BB7660">
      <w:pPr>
        <w:pStyle w:val="paragraph"/>
      </w:pPr>
      <w:r w:rsidRPr="00BD2AB7">
        <w:lastRenderedPageBreak/>
        <w:tab/>
      </w:r>
      <w:r>
        <w:t>(d)</w:t>
      </w:r>
      <w:r w:rsidRPr="00BD2AB7">
        <w:tab/>
        <w:t>data standards made under section 56FA of the Act;</w:t>
      </w:r>
    </w:p>
    <w:p w14:paraId="22BA77E8" w14:textId="77777777" w:rsidR="00BB7660" w:rsidRPr="00641354" w:rsidRDefault="00BB7660" w:rsidP="00BB7660">
      <w:pPr>
        <w:pStyle w:val="paragraph"/>
      </w:pPr>
      <w:r w:rsidRPr="00BD2AB7">
        <w:tab/>
      </w:r>
      <w:r>
        <w:t>(e)</w:t>
      </w:r>
      <w:r w:rsidRPr="00BD2AB7">
        <w:tab/>
        <w:t>regulations</w:t>
      </w:r>
      <w:r>
        <w:t xml:space="preserve"> made</w:t>
      </w:r>
      <w:r w:rsidRPr="00BD2AB7">
        <w:t xml:space="preserve"> under section 172 of the Act.</w:t>
      </w:r>
    </w:p>
    <w:p w14:paraId="6696B8E6" w14:textId="77777777" w:rsidR="00BB7660" w:rsidRPr="009C5AAC" w:rsidRDefault="00BB7660" w:rsidP="00BB7660">
      <w:pPr>
        <w:pStyle w:val="ActHead5"/>
      </w:pPr>
      <w:bookmarkStart w:id="18" w:name="_Toc11771564"/>
      <w:bookmarkStart w:id="19" w:name="_Toc111131965"/>
      <w:r>
        <w:t xml:space="preserve">1.6  </w:t>
      </w:r>
      <w:r w:rsidRPr="009C5AAC">
        <w:t>Overview of these rules</w:t>
      </w:r>
      <w:bookmarkEnd w:id="18"/>
      <w:bookmarkEnd w:id="19"/>
    </w:p>
    <w:p w14:paraId="3F40438B" w14:textId="77777777" w:rsidR="002F060B" w:rsidRPr="00270C3C" w:rsidRDefault="002F060B" w:rsidP="002F060B">
      <w:pPr>
        <w:pStyle w:val="notemargin"/>
        <w:rPr>
          <w:color w:val="0000FF"/>
        </w:rPr>
      </w:pPr>
      <w:r w:rsidRPr="00270C3C">
        <w:rPr>
          <w:color w:val="0000FF"/>
        </w:rPr>
        <w:t>Note:</w:t>
      </w:r>
      <w:r w:rsidRPr="00270C3C">
        <w:rPr>
          <w:color w:val="0000FF"/>
        </w:rPr>
        <w:tab/>
        <w:t>These rules cover a number of different sectors of the economy.  It is intended that they will be amended from time to time in the future to deal with additional sectors</w:t>
      </w:r>
    </w:p>
    <w:p w14:paraId="1F6C0C3B" w14:textId="77777777" w:rsidR="00BB7660" w:rsidRDefault="00BB7660" w:rsidP="00BB7660">
      <w:pPr>
        <w:pStyle w:val="subsection"/>
      </w:pPr>
      <w:r>
        <w:tab/>
        <w:t>(1)</w:t>
      </w:r>
      <w:r>
        <w:tab/>
        <w:t>Part 1</w:t>
      </w:r>
      <w:r w:rsidRPr="009C5AAC">
        <w:t xml:space="preserve"> of </w:t>
      </w:r>
      <w:r w:rsidRPr="00A00F6F">
        <w:t>these</w:t>
      </w:r>
      <w:r w:rsidRPr="009C5AAC">
        <w:t xml:space="preserve"> rules deals with preliminary matters, such as</w:t>
      </w:r>
      <w:r>
        <w:t>:</w:t>
      </w:r>
    </w:p>
    <w:p w14:paraId="0F1DFA05" w14:textId="77777777" w:rsidR="00BB7660" w:rsidRPr="007C39E2" w:rsidRDefault="00BB7660" w:rsidP="00BB7660">
      <w:pPr>
        <w:pStyle w:val="paragraph"/>
      </w:pPr>
      <w:r>
        <w:tab/>
        <w:t>(a)</w:t>
      </w:r>
      <w:r>
        <w:tab/>
      </w:r>
      <w:r w:rsidRPr="009C5AAC">
        <w:t>definitions of terms that are used in these rules</w:t>
      </w:r>
      <w:r>
        <w:t>;</w:t>
      </w:r>
      <w:r w:rsidRPr="007C39E2">
        <w:t xml:space="preserve"> and</w:t>
      </w:r>
    </w:p>
    <w:p w14:paraId="0C0D4957" w14:textId="77777777" w:rsidR="00BB7660" w:rsidRPr="00796ADB" w:rsidRDefault="00BB7660" w:rsidP="00BB7660">
      <w:pPr>
        <w:pStyle w:val="paragraph"/>
      </w:pPr>
      <w:r>
        <w:tab/>
        <w:t>(b)</w:t>
      </w:r>
      <w:r>
        <w:tab/>
      </w:r>
      <w:r w:rsidRPr="00796ADB">
        <w:t>the usage, in these rules, of certain terms that are defined in the Act.</w:t>
      </w:r>
    </w:p>
    <w:p w14:paraId="74C358EE" w14:textId="77777777" w:rsidR="00BB7660" w:rsidRPr="00F214C6" w:rsidRDefault="00BB7660" w:rsidP="00BB7660">
      <w:pPr>
        <w:pStyle w:val="subsection"/>
        <w:spacing w:before="40"/>
      </w:pPr>
      <w:r w:rsidRPr="00796ADB">
        <w:tab/>
      </w:r>
      <w:r w:rsidRPr="00796ADB">
        <w:tab/>
        <w:t>The other provisions of these rules should be read together with these definitions and other interpretive provisi</w:t>
      </w:r>
      <w:r w:rsidRPr="00F214C6">
        <w:t>ons. Part 1 also deals with services that must be provided by data holders and accredited persons that allow consumers to make and manage requests for CDR data.</w:t>
      </w:r>
    </w:p>
    <w:p w14:paraId="0537A9DC" w14:textId="77777777" w:rsidR="00BB7660" w:rsidRPr="00A00F6F" w:rsidRDefault="00BB7660" w:rsidP="00BB7660">
      <w:pPr>
        <w:pStyle w:val="subsection"/>
      </w:pPr>
      <w:r w:rsidRPr="00A00F6F">
        <w:tab/>
        <w:t>(2)</w:t>
      </w:r>
      <w:r w:rsidRPr="00A00F6F">
        <w:tab/>
        <w:t>Part 2 of these rules deals with product data requests, and should be read in conjunction with the relevant sector Schedule.</w:t>
      </w:r>
    </w:p>
    <w:p w14:paraId="437C1917" w14:textId="77777777" w:rsidR="00BB7660" w:rsidRPr="00A00F6F" w:rsidRDefault="00BB7660" w:rsidP="00BB7660">
      <w:pPr>
        <w:pStyle w:val="subsection"/>
      </w:pPr>
      <w:r w:rsidRPr="00A00F6F">
        <w:tab/>
        <w:t>(3)</w:t>
      </w:r>
      <w:r w:rsidRPr="00A00F6F">
        <w:tab/>
        <w:t>Part 3 of these rules deals with consumer data requests that are made by CDR consumers, and should be read in conjunction with the relevant sector Schedule. Only CDR consumers who are eligible to do so may make such requests. The eligibility criteria for each sector are set out in the relevant sector Schedule.</w:t>
      </w:r>
    </w:p>
    <w:p w14:paraId="0ADB5BBA" w14:textId="77777777" w:rsidR="00BB7660" w:rsidRDefault="00BB7660" w:rsidP="00BB7660">
      <w:pPr>
        <w:pStyle w:val="subsection"/>
      </w:pPr>
      <w:r w:rsidRPr="00A00F6F">
        <w:tab/>
        <w:t>(4)</w:t>
      </w:r>
      <w:r w:rsidRPr="00A00F6F">
        <w:tab/>
        <w:t>Part 4 of these rules deals with consumer data requests that involve accredited persons, and should be read in conjunction with the relevant sector Schedule.</w:t>
      </w:r>
    </w:p>
    <w:p w14:paraId="1C5AB647" w14:textId="77777777" w:rsidR="00BB7660" w:rsidRPr="009C5AAC" w:rsidRDefault="00BB7660" w:rsidP="00BB7660">
      <w:pPr>
        <w:pStyle w:val="subsection"/>
      </w:pPr>
      <w:r w:rsidRPr="00F214C6">
        <w:tab/>
        <w:t>(5)</w:t>
      </w:r>
      <w:r w:rsidRPr="00F214C6">
        <w:tab/>
        <w:t>Part 5 of these rules deals with how persons can become accredited persons. It also deals with ancillary matters, such as revocation and suspension of accreditation, obligations of accredited persons, and the Register of Accredited Persons. The rules set out in this Part should be read in conjunction with</w:t>
      </w:r>
      <w:r w:rsidRPr="009C5AAC">
        <w:t xml:space="preserve"> Division 3 of Part IVD of the Act.</w:t>
      </w:r>
    </w:p>
    <w:p w14:paraId="5F0F951D" w14:textId="77777777" w:rsidR="00BB7660" w:rsidRPr="009C5AAC" w:rsidRDefault="00BB7660" w:rsidP="00BB7660">
      <w:pPr>
        <w:pStyle w:val="subsection"/>
      </w:pPr>
      <w:r>
        <w:tab/>
        <w:t>(6)</w:t>
      </w:r>
      <w:r>
        <w:tab/>
        <w:t>Part 6</w:t>
      </w:r>
      <w:r w:rsidRPr="009C5AAC">
        <w:t xml:space="preserve"> of these rules deals with dispute resolution.</w:t>
      </w:r>
    </w:p>
    <w:p w14:paraId="73D852C6" w14:textId="77777777" w:rsidR="00BB7660" w:rsidRPr="009C5AAC" w:rsidRDefault="00BB7660" w:rsidP="00BB7660">
      <w:pPr>
        <w:pStyle w:val="subsection"/>
      </w:pPr>
      <w:r>
        <w:tab/>
        <w:t>(7)</w:t>
      </w:r>
      <w:r>
        <w:tab/>
        <w:t>Part 7</w:t>
      </w:r>
      <w:r w:rsidRPr="009C5AAC">
        <w:t xml:space="preserve"> of these rules deals with </w:t>
      </w:r>
      <w:r w:rsidRPr="00B31455">
        <w:t xml:space="preserve">rules relating to the privacy safeguards. The rules set out in this Part should be read in conjunction with Division 5 of Part IVD of the Act. </w:t>
      </w:r>
      <w:r>
        <w:t>Part 7</w:t>
      </w:r>
      <w:r w:rsidRPr="00B31455">
        <w:t xml:space="preserve"> also sets out some additional civil penalty provisions </w:t>
      </w:r>
      <w:r w:rsidRPr="00B31455">
        <w:rPr>
          <w:szCs w:val="22"/>
          <w:shd w:val="clear" w:color="auto" w:fill="FFFFFF"/>
        </w:rPr>
        <w:t>that protect the privacy or confidentiality of CDR consumers’ CDR data</w:t>
      </w:r>
      <w:r w:rsidRPr="00B31455">
        <w:t>.</w:t>
      </w:r>
    </w:p>
    <w:p w14:paraId="4CEC5C95" w14:textId="77777777" w:rsidR="00BB7660" w:rsidRPr="009C5AAC" w:rsidRDefault="00BB7660" w:rsidP="00BB7660">
      <w:pPr>
        <w:pStyle w:val="subsection"/>
      </w:pPr>
      <w:r>
        <w:tab/>
        <w:t>(8)</w:t>
      </w:r>
      <w:r>
        <w:tab/>
        <w:t xml:space="preserve">Part 8 </w:t>
      </w:r>
      <w:r w:rsidRPr="009C5AAC">
        <w:t>of these rules deals with data standards. The rules set out in this Part should be read in conjunction with Division 6 of Part IVD of the Act.</w:t>
      </w:r>
    </w:p>
    <w:p w14:paraId="22A89447" w14:textId="77777777" w:rsidR="00BB7660" w:rsidRDefault="00BB7660" w:rsidP="00BB7660">
      <w:pPr>
        <w:pStyle w:val="subsection"/>
      </w:pPr>
      <w:r>
        <w:tab/>
        <w:t>(9)</w:t>
      </w:r>
      <w:r>
        <w:tab/>
        <w:t>Part 9</w:t>
      </w:r>
      <w:r w:rsidRPr="009C5AAC">
        <w:t xml:space="preserve"> of these rules deals with miscellaneous matters, such as review of decisions, reporting, record keeping and audit, and civil penalty provisions</w:t>
      </w:r>
      <w:r>
        <w:t xml:space="preserve"> </w:t>
      </w:r>
      <w:r w:rsidRPr="00B31455">
        <w:t>of the consumer data rules</w:t>
      </w:r>
      <w:r w:rsidRPr="009C5AAC">
        <w:t>.</w:t>
      </w:r>
    </w:p>
    <w:p w14:paraId="384D1A98" w14:textId="77777777" w:rsidR="00BB7660" w:rsidRPr="00796ADB" w:rsidRDefault="00BB7660" w:rsidP="00BB7660">
      <w:pPr>
        <w:pStyle w:val="subsection"/>
      </w:pPr>
      <w:r w:rsidRPr="00796ADB">
        <w:tab/>
      </w:r>
      <w:r>
        <w:t>(10)</w:t>
      </w:r>
      <w:r w:rsidRPr="00796ADB">
        <w:tab/>
      </w:r>
      <w:r>
        <w:t>Schedule 1</w:t>
      </w:r>
      <w:r w:rsidRPr="00796ADB">
        <w:t xml:space="preserve"> to these rules deals with default conditions on accreditations.</w:t>
      </w:r>
    </w:p>
    <w:p w14:paraId="010218E8" w14:textId="77777777" w:rsidR="00BB7660" w:rsidRPr="00CF0660" w:rsidRDefault="00BB7660" w:rsidP="00BB7660">
      <w:pPr>
        <w:pStyle w:val="subsection"/>
      </w:pPr>
      <w:r>
        <w:tab/>
        <w:t>(11)</w:t>
      </w:r>
      <w:r>
        <w:tab/>
        <w:t xml:space="preserve">Schedule 2 </w:t>
      </w:r>
      <w:r w:rsidRPr="00BD2AB7">
        <w:t xml:space="preserve">to these rules </w:t>
      </w:r>
      <w:r>
        <w:t xml:space="preserve">sets out detailed steps for privacy safeguard 12 (subsection 56EO(1) of the Act and rule 7.11 of these rules). </w:t>
      </w:r>
      <w:r w:rsidRPr="006F4A42">
        <w:t xml:space="preserve">These steps are also relevant to </w:t>
      </w:r>
      <w:r w:rsidRPr="005F3D40">
        <w:rPr>
          <w:color w:val="000000" w:themeColor="text1"/>
        </w:rPr>
        <w:t xml:space="preserve">persons who </w:t>
      </w:r>
      <w:r w:rsidRPr="004D57B9">
        <w:t xml:space="preserve">hold CDR data (service data) </w:t>
      </w:r>
      <w:r w:rsidRPr="005F3D40">
        <w:rPr>
          <w:color w:val="000000" w:themeColor="text1"/>
        </w:rPr>
        <w:t xml:space="preserve">under </w:t>
      </w:r>
      <w:r>
        <w:rPr>
          <w:color w:val="000000" w:themeColor="text1"/>
        </w:rPr>
        <w:t>a CDR</w:t>
      </w:r>
      <w:r w:rsidRPr="005F3D40">
        <w:rPr>
          <w:color w:val="000000" w:themeColor="text1"/>
        </w:rPr>
        <w:t xml:space="preserve"> outsourcing </w:t>
      </w:r>
      <w:r w:rsidRPr="005F3D40">
        <w:rPr>
          <w:color w:val="000000" w:themeColor="text1"/>
        </w:rPr>
        <w:lastRenderedPageBreak/>
        <w:t>arrangement</w:t>
      </w:r>
      <w:r>
        <w:t>,</w:t>
      </w:r>
      <w:r w:rsidRPr="006F4A42">
        <w:t xml:space="preserve"> and are an element of the ongoing obligations of</w:t>
      </w:r>
      <w:r w:rsidRPr="00A00F6F">
        <w:t xml:space="preserve"> accredited persons </w:t>
      </w:r>
      <w:r w:rsidRPr="006F4A42">
        <w:t>(see paragraph </w:t>
      </w:r>
      <w:r>
        <w:t>5.12(1)(a)</w:t>
      </w:r>
      <w:r w:rsidRPr="006F4A42">
        <w:t>).</w:t>
      </w:r>
    </w:p>
    <w:p w14:paraId="48822E09" w14:textId="77777777" w:rsidR="00BB7660" w:rsidRPr="00796ADB" w:rsidRDefault="00BB7660" w:rsidP="00BB7660">
      <w:pPr>
        <w:pStyle w:val="subsection"/>
      </w:pPr>
      <w:r w:rsidRPr="00796ADB">
        <w:tab/>
      </w:r>
      <w:r>
        <w:t>(12)</w:t>
      </w:r>
      <w:r w:rsidRPr="00796ADB">
        <w:tab/>
      </w:r>
      <w:r>
        <w:t>Schedule 3</w:t>
      </w:r>
      <w:r w:rsidRPr="00796ADB">
        <w:t xml:space="preserve"> to these rules contains details that are relevant to the banking sector. </w:t>
      </w:r>
      <w:r>
        <w:t>Schedule 3</w:t>
      </w:r>
      <w:r w:rsidRPr="00796ADB">
        <w:t>:</w:t>
      </w:r>
    </w:p>
    <w:p w14:paraId="452CDA20" w14:textId="77777777" w:rsidR="00BB7660" w:rsidRPr="00796ADB" w:rsidRDefault="00BB7660" w:rsidP="00BB7660">
      <w:pPr>
        <w:pStyle w:val="paragraph"/>
      </w:pPr>
      <w:r w:rsidRPr="00796ADB">
        <w:tab/>
      </w:r>
      <w:r>
        <w:t>(a)</w:t>
      </w:r>
      <w:r w:rsidRPr="00796ADB">
        <w:tab/>
        <w:t>sets out the specific CDR data in respect of which requests under these rules may be made; and</w:t>
      </w:r>
    </w:p>
    <w:p w14:paraId="64B8CE2C" w14:textId="77777777" w:rsidR="00BB7660" w:rsidRPr="00796ADB" w:rsidRDefault="00BB7660" w:rsidP="00BB7660">
      <w:pPr>
        <w:pStyle w:val="paragraph"/>
      </w:pPr>
      <w:r w:rsidRPr="00796ADB">
        <w:tab/>
      </w:r>
      <w:r>
        <w:t>(b)</w:t>
      </w:r>
      <w:r w:rsidRPr="00796ADB">
        <w:tab/>
        <w:t>sets out the circumstances in which CDR consumers are eligible in relation to requests for banking sector CDR data that relates to themselves; and</w:t>
      </w:r>
    </w:p>
    <w:p w14:paraId="20CA51F1" w14:textId="77777777" w:rsidR="00BB7660" w:rsidRDefault="00BB7660" w:rsidP="00BB7660">
      <w:pPr>
        <w:pStyle w:val="paragraph"/>
      </w:pPr>
      <w:r w:rsidRPr="00F214C6">
        <w:tab/>
        <w:t>(c)</w:t>
      </w:r>
      <w:r w:rsidRPr="00F214C6">
        <w:tab/>
        <w:t>deals with the progressive application of these rules to the banking sector.</w:t>
      </w:r>
    </w:p>
    <w:p w14:paraId="0CB649DE" w14:textId="77777777" w:rsidR="00BB7660" w:rsidRPr="00A00F6F" w:rsidRDefault="00BB7660" w:rsidP="00BB7660">
      <w:pPr>
        <w:pStyle w:val="subsection"/>
      </w:pPr>
      <w:r w:rsidRPr="00A00F6F">
        <w:tab/>
        <w:t>(13)</w:t>
      </w:r>
      <w:r w:rsidRPr="00A00F6F">
        <w:tab/>
        <w:t>Schedule 4 to these rules contains details that are relevant to the energy sector. Schedule 4:</w:t>
      </w:r>
    </w:p>
    <w:p w14:paraId="483C8FC8" w14:textId="77777777" w:rsidR="00BB7660" w:rsidRPr="00A00F6F" w:rsidRDefault="00BB7660" w:rsidP="00BB7660">
      <w:pPr>
        <w:pStyle w:val="paragraph"/>
      </w:pPr>
      <w:r w:rsidRPr="00A00F6F">
        <w:tab/>
        <w:t>(a)</w:t>
      </w:r>
      <w:r w:rsidRPr="00A00F6F">
        <w:tab/>
        <w:t>sets out the specific CDR data in respect of which requests under these rules may be made; and</w:t>
      </w:r>
    </w:p>
    <w:p w14:paraId="5664C618" w14:textId="77777777" w:rsidR="00BB7660" w:rsidRPr="00A00F6F" w:rsidRDefault="00BB7660" w:rsidP="00BB7660">
      <w:pPr>
        <w:pStyle w:val="paragraph"/>
      </w:pPr>
      <w:r w:rsidRPr="00A00F6F">
        <w:tab/>
        <w:t>(b)</w:t>
      </w:r>
      <w:r w:rsidRPr="00A00F6F">
        <w:tab/>
        <w:t>sets out the circumstances in which CDR consumers are eligible in relation to requests for energy sector CDR data that relates to themselves; and</w:t>
      </w:r>
    </w:p>
    <w:p w14:paraId="731069C5" w14:textId="77777777" w:rsidR="00BB7660" w:rsidRPr="00A00F6F" w:rsidRDefault="00BB7660" w:rsidP="00BB7660">
      <w:pPr>
        <w:pStyle w:val="paragraph"/>
      </w:pPr>
      <w:r w:rsidRPr="00A00F6F">
        <w:tab/>
        <w:t>(c)</w:t>
      </w:r>
      <w:r w:rsidRPr="00A00F6F">
        <w:tab/>
        <w:t>sets out some modifications of the general rules that apply in the energy sector because certain types of data are collected or held by agencies specified in its designation instrument rather than the retailers with which the CDR consumers have accounts; and</w:t>
      </w:r>
    </w:p>
    <w:p w14:paraId="57B6AFB6" w14:textId="77777777" w:rsidR="00BB7660" w:rsidRPr="00A00F6F" w:rsidRDefault="00BB7660" w:rsidP="00BB7660">
      <w:pPr>
        <w:pStyle w:val="paragraph"/>
      </w:pPr>
      <w:r w:rsidRPr="00A00F6F">
        <w:tab/>
        <w:t>(d)</w:t>
      </w:r>
      <w:r w:rsidRPr="00A00F6F">
        <w:tab/>
        <w:t>deals with the progressive application of these rules to the energy sector.</w:t>
      </w:r>
    </w:p>
    <w:p w14:paraId="167FD0C8" w14:textId="77777777" w:rsidR="00BB7660" w:rsidRPr="002F060B" w:rsidRDefault="00BB7660" w:rsidP="00BB7660">
      <w:pPr>
        <w:pStyle w:val="subsection"/>
        <w:spacing w:before="40"/>
        <w:rPr>
          <w:strike/>
          <w:color w:val="0000FF"/>
        </w:rPr>
      </w:pPr>
      <w:r w:rsidRPr="002F060B">
        <w:rPr>
          <w:strike/>
          <w:color w:val="0000FF"/>
        </w:rPr>
        <w:tab/>
      </w:r>
      <w:r w:rsidRPr="002F060B">
        <w:rPr>
          <w:strike/>
          <w:color w:val="0000FF"/>
        </w:rPr>
        <w:tab/>
        <w:t>It is intended that these rules will be amended at a later time to deal with additional sectors of the economy.</w:t>
      </w:r>
    </w:p>
    <w:p w14:paraId="40793F34" w14:textId="77777777" w:rsidR="0032445E" w:rsidRPr="002F060B" w:rsidRDefault="0032445E" w:rsidP="0032445E">
      <w:pPr>
        <w:pStyle w:val="subsection"/>
        <w:rPr>
          <w:color w:val="0000FF"/>
        </w:rPr>
      </w:pPr>
      <w:r w:rsidRPr="002F060B">
        <w:rPr>
          <w:color w:val="0000FF"/>
        </w:rPr>
        <w:tab/>
        <w:t>(14)</w:t>
      </w:r>
      <w:r w:rsidRPr="002F060B">
        <w:rPr>
          <w:color w:val="0000FF"/>
        </w:rPr>
        <w:tab/>
        <w:t>Schedule 5 to these rules contains details that are relevant to the telecommunications sector. Schedule 5:</w:t>
      </w:r>
    </w:p>
    <w:p w14:paraId="067A90BA" w14:textId="77777777" w:rsidR="0032445E" w:rsidRPr="002F060B" w:rsidRDefault="0032445E" w:rsidP="0032445E">
      <w:pPr>
        <w:pStyle w:val="paragraph"/>
        <w:rPr>
          <w:color w:val="0000FF"/>
        </w:rPr>
      </w:pPr>
      <w:r w:rsidRPr="002F060B">
        <w:rPr>
          <w:color w:val="0000FF"/>
        </w:rPr>
        <w:tab/>
        <w:t>(a)</w:t>
      </w:r>
      <w:r w:rsidRPr="002F060B">
        <w:rPr>
          <w:color w:val="0000FF"/>
        </w:rPr>
        <w:tab/>
        <w:t>sets out the specific CDR data in respect of which requests under these rules may be made; and</w:t>
      </w:r>
    </w:p>
    <w:p w14:paraId="270ED317" w14:textId="77777777" w:rsidR="0032445E" w:rsidRPr="002F060B" w:rsidRDefault="0032445E" w:rsidP="0032445E">
      <w:pPr>
        <w:pStyle w:val="paragraph"/>
        <w:rPr>
          <w:color w:val="0000FF"/>
        </w:rPr>
      </w:pPr>
      <w:r w:rsidRPr="002F060B">
        <w:rPr>
          <w:color w:val="0000FF"/>
        </w:rPr>
        <w:tab/>
        <w:t>(b)</w:t>
      </w:r>
      <w:r w:rsidRPr="002F060B">
        <w:rPr>
          <w:color w:val="0000FF"/>
        </w:rPr>
        <w:tab/>
        <w:t xml:space="preserve">sets out the circumstances in which CDR consumers are eligible in relation to requests for </w:t>
      </w:r>
      <w:r w:rsidR="00734B94" w:rsidRPr="002F060B">
        <w:rPr>
          <w:color w:val="0000FF"/>
        </w:rPr>
        <w:t xml:space="preserve">telecommunications </w:t>
      </w:r>
      <w:r w:rsidRPr="002F060B">
        <w:rPr>
          <w:color w:val="0000FF"/>
        </w:rPr>
        <w:t>sector CDR data that relates to themselves; and</w:t>
      </w:r>
    </w:p>
    <w:p w14:paraId="7EC4D093" w14:textId="77777777" w:rsidR="0032445E" w:rsidRPr="002F060B" w:rsidRDefault="0032445E" w:rsidP="0032445E">
      <w:pPr>
        <w:pStyle w:val="paragraph"/>
        <w:rPr>
          <w:color w:val="0000FF"/>
        </w:rPr>
      </w:pPr>
      <w:r w:rsidRPr="002F060B">
        <w:rPr>
          <w:color w:val="0000FF"/>
        </w:rPr>
        <w:tab/>
        <w:t>(</w:t>
      </w:r>
      <w:r w:rsidR="00734B94" w:rsidRPr="002F060B">
        <w:rPr>
          <w:color w:val="0000FF"/>
        </w:rPr>
        <w:t>c</w:t>
      </w:r>
      <w:r w:rsidRPr="002F060B">
        <w:rPr>
          <w:color w:val="0000FF"/>
        </w:rPr>
        <w:t>)</w:t>
      </w:r>
      <w:r w:rsidRPr="002F060B">
        <w:rPr>
          <w:color w:val="0000FF"/>
        </w:rPr>
        <w:tab/>
        <w:t xml:space="preserve">deals with the progressive application of these rules to the </w:t>
      </w:r>
      <w:r w:rsidR="00734B94" w:rsidRPr="002F060B">
        <w:rPr>
          <w:color w:val="0000FF"/>
        </w:rPr>
        <w:t xml:space="preserve">telecommunications </w:t>
      </w:r>
      <w:r w:rsidRPr="002F060B">
        <w:rPr>
          <w:color w:val="0000FF"/>
        </w:rPr>
        <w:t>sector.</w:t>
      </w:r>
    </w:p>
    <w:p w14:paraId="5F829295" w14:textId="77777777" w:rsidR="00BB7660" w:rsidRPr="00B3173B" w:rsidRDefault="00BB7660" w:rsidP="00BB7660">
      <w:pPr>
        <w:pStyle w:val="ActHead3"/>
        <w:pageBreakBefore/>
      </w:pPr>
      <w:bookmarkStart w:id="20" w:name="_Toc11771565"/>
      <w:bookmarkStart w:id="21" w:name="_Toc111131966"/>
      <w:r>
        <w:lastRenderedPageBreak/>
        <w:t>Division 1.3</w:t>
      </w:r>
      <w:r w:rsidRPr="00B3173B">
        <w:t>—Interpretation</w:t>
      </w:r>
      <w:bookmarkEnd w:id="20"/>
      <w:bookmarkEnd w:id="21"/>
    </w:p>
    <w:p w14:paraId="2F3E4FA6" w14:textId="77777777" w:rsidR="00BB7660" w:rsidRDefault="00BB7660" w:rsidP="00BB7660">
      <w:pPr>
        <w:pStyle w:val="ActHead5"/>
      </w:pPr>
      <w:bookmarkStart w:id="22" w:name="_Toc111131967"/>
      <w:r>
        <w:t>1.7  Definitions</w:t>
      </w:r>
      <w:bookmarkEnd w:id="22"/>
    </w:p>
    <w:p w14:paraId="04824DE7" w14:textId="77777777" w:rsidR="00BB7660" w:rsidRPr="009C2562" w:rsidRDefault="00BB7660" w:rsidP="00BB7660">
      <w:pPr>
        <w:pStyle w:val="notetext"/>
      </w:pPr>
      <w:r w:rsidRPr="009C2562">
        <w:t>Note</w:t>
      </w:r>
      <w:r>
        <w:t xml:space="preserve"> 1</w:t>
      </w:r>
      <w:r w:rsidRPr="009C2562">
        <w:t>:</w:t>
      </w:r>
      <w:r w:rsidRPr="009C2562">
        <w:tab/>
        <w:t xml:space="preserve">A number of expressions used in this instrument are defined in </w:t>
      </w:r>
      <w:r>
        <w:t>the Act</w:t>
      </w:r>
      <w:r w:rsidRPr="009C2562">
        <w:t>, including the following:</w:t>
      </w:r>
    </w:p>
    <w:p w14:paraId="15F34C0C" w14:textId="77777777" w:rsidR="00BB7660" w:rsidRPr="00000C1C" w:rsidRDefault="00BB7660" w:rsidP="00BB7660">
      <w:pPr>
        <w:pStyle w:val="notepara"/>
      </w:pPr>
      <w:r w:rsidRPr="00000C1C">
        <w:sym w:font="Symbol" w:char="F0B7"/>
      </w:r>
      <w:r w:rsidRPr="00000C1C">
        <w:tab/>
        <w:t>Accreditation Registrar;</w:t>
      </w:r>
    </w:p>
    <w:p w14:paraId="31B91385" w14:textId="77777777" w:rsidR="00BB7660" w:rsidRDefault="00BB7660" w:rsidP="00BB7660">
      <w:pPr>
        <w:pStyle w:val="notepara"/>
      </w:pPr>
      <w:r>
        <w:sym w:font="Symbol" w:char="F0B7"/>
      </w:r>
      <w:r w:rsidRPr="009C2562">
        <w:tab/>
      </w:r>
      <w:r>
        <w:t>accredited data recipient;</w:t>
      </w:r>
    </w:p>
    <w:p w14:paraId="242EA0C5" w14:textId="77777777" w:rsidR="00BB7660" w:rsidRDefault="00BB7660" w:rsidP="00BB7660">
      <w:pPr>
        <w:pStyle w:val="notepara"/>
      </w:pPr>
      <w:r>
        <w:sym w:font="Symbol" w:char="F0B7"/>
      </w:r>
      <w:r w:rsidRPr="009C2562">
        <w:tab/>
      </w:r>
      <w:r w:rsidRPr="00C560DF">
        <w:t>accredited person</w:t>
      </w:r>
      <w:r>
        <w:t>;</w:t>
      </w:r>
    </w:p>
    <w:p w14:paraId="2BDA7C09" w14:textId="77777777" w:rsidR="00BB7660" w:rsidRDefault="00BB7660" w:rsidP="00BB7660">
      <w:pPr>
        <w:pStyle w:val="notepara"/>
      </w:pPr>
      <w:r>
        <w:sym w:font="Symbol" w:char="F0B7"/>
      </w:r>
      <w:r w:rsidRPr="009C2562">
        <w:tab/>
      </w:r>
      <w:r>
        <w:t>Australian Consumer Law;</w:t>
      </w:r>
    </w:p>
    <w:p w14:paraId="77D53045" w14:textId="77777777" w:rsidR="00BB7660" w:rsidRPr="00A00F6F" w:rsidRDefault="00BB7660" w:rsidP="00BB7660">
      <w:pPr>
        <w:pStyle w:val="notepara"/>
      </w:pPr>
      <w:r w:rsidRPr="00A00F6F">
        <w:sym w:font="Symbol" w:char="F0B7"/>
      </w:r>
      <w:r w:rsidRPr="00A00F6F">
        <w:tab/>
        <w:t>Australian Energy Regulator;</w:t>
      </w:r>
    </w:p>
    <w:p w14:paraId="48A9C073" w14:textId="77777777" w:rsidR="00BB7660" w:rsidRDefault="00BB7660" w:rsidP="00BB7660">
      <w:pPr>
        <w:pStyle w:val="notepara"/>
      </w:pPr>
      <w:r>
        <w:sym w:font="Symbol" w:char="F0B7"/>
      </w:r>
      <w:r w:rsidRPr="009C2562">
        <w:tab/>
      </w:r>
      <w:r w:rsidRPr="00C560DF">
        <w:t>binding data standard</w:t>
      </w:r>
      <w:r>
        <w:t>;</w:t>
      </w:r>
    </w:p>
    <w:p w14:paraId="3348DF82" w14:textId="77777777" w:rsidR="00BB7660" w:rsidRDefault="00BB7660" w:rsidP="00BB7660">
      <w:pPr>
        <w:pStyle w:val="notepara"/>
      </w:pPr>
      <w:r>
        <w:sym w:font="Symbol" w:char="F0B7"/>
      </w:r>
      <w:r w:rsidRPr="009C2562">
        <w:tab/>
      </w:r>
      <w:r>
        <w:t>CDR consumer;</w:t>
      </w:r>
    </w:p>
    <w:p w14:paraId="0DB34F01" w14:textId="77777777" w:rsidR="00BB7660" w:rsidRDefault="00BB7660" w:rsidP="00BB7660">
      <w:pPr>
        <w:pStyle w:val="notepara"/>
      </w:pPr>
      <w:r>
        <w:sym w:font="Symbol" w:char="F0B7"/>
      </w:r>
      <w:r w:rsidRPr="009C2562">
        <w:tab/>
      </w:r>
      <w:r>
        <w:t>CDR data;</w:t>
      </w:r>
    </w:p>
    <w:p w14:paraId="32EA857F" w14:textId="77777777" w:rsidR="00BB7660" w:rsidRDefault="00BB7660" w:rsidP="00BB7660">
      <w:pPr>
        <w:pStyle w:val="notepara"/>
      </w:pPr>
      <w:r>
        <w:sym w:font="Symbol" w:char="F0B7"/>
      </w:r>
      <w:r w:rsidRPr="009C2562">
        <w:tab/>
      </w:r>
      <w:r>
        <w:t>CDR participant;</w:t>
      </w:r>
    </w:p>
    <w:p w14:paraId="6A103273" w14:textId="77777777" w:rsidR="00BB7660" w:rsidRDefault="00BB7660" w:rsidP="00BB7660">
      <w:pPr>
        <w:pStyle w:val="notepara"/>
      </w:pPr>
      <w:r>
        <w:sym w:font="Symbol" w:char="F0B7"/>
      </w:r>
      <w:r w:rsidRPr="009C2562">
        <w:tab/>
      </w:r>
      <w:r w:rsidRPr="00C560DF">
        <w:t>collects</w:t>
      </w:r>
      <w:r>
        <w:t>;</w:t>
      </w:r>
    </w:p>
    <w:p w14:paraId="0A6C5367" w14:textId="77777777" w:rsidR="00BB7660" w:rsidRDefault="00BB7660" w:rsidP="00BB7660">
      <w:pPr>
        <w:pStyle w:val="notepara"/>
      </w:pPr>
      <w:r>
        <w:sym w:font="Symbol" w:char="F0B7"/>
      </w:r>
      <w:r w:rsidRPr="009C2562">
        <w:tab/>
      </w:r>
      <w:r>
        <w:t>Commission;</w:t>
      </w:r>
    </w:p>
    <w:p w14:paraId="78C83FED" w14:textId="77777777" w:rsidR="00BB7660" w:rsidRDefault="00BB7660" w:rsidP="00BB7660">
      <w:pPr>
        <w:pStyle w:val="notepara"/>
      </w:pPr>
      <w:r>
        <w:sym w:font="Symbol" w:char="F0B7"/>
      </w:r>
      <w:r w:rsidRPr="009C2562">
        <w:tab/>
      </w:r>
      <w:r w:rsidRPr="00C560DF">
        <w:t>court/tribunal order</w:t>
      </w:r>
      <w:r>
        <w:t>;</w:t>
      </w:r>
    </w:p>
    <w:p w14:paraId="35495911" w14:textId="77777777" w:rsidR="00BB7660" w:rsidRDefault="00BB7660" w:rsidP="00BB7660">
      <w:pPr>
        <w:pStyle w:val="notepara"/>
      </w:pPr>
      <w:r>
        <w:sym w:font="Symbol" w:char="F0B7"/>
      </w:r>
      <w:r w:rsidRPr="009C2562">
        <w:tab/>
      </w:r>
      <w:r>
        <w:t>data holder;</w:t>
      </w:r>
    </w:p>
    <w:p w14:paraId="59EA9F4A" w14:textId="77777777" w:rsidR="00BB7660" w:rsidRPr="00000C1C" w:rsidRDefault="00BB7660" w:rsidP="00BB7660">
      <w:pPr>
        <w:pStyle w:val="notepara"/>
      </w:pPr>
      <w:r w:rsidRPr="00000C1C">
        <w:sym w:font="Symbol" w:char="F0B7"/>
      </w:r>
      <w:r w:rsidRPr="00000C1C">
        <w:tab/>
        <w:t>Data Recipient Accreditor;</w:t>
      </w:r>
    </w:p>
    <w:p w14:paraId="18EDC9FA" w14:textId="77777777" w:rsidR="00BB7660" w:rsidRPr="00CB0342" w:rsidRDefault="00BB7660" w:rsidP="00BB7660">
      <w:pPr>
        <w:pStyle w:val="notepara"/>
      </w:pPr>
      <w:r>
        <w:sym w:font="Symbol" w:char="F0B7"/>
      </w:r>
      <w:r w:rsidRPr="009C2562">
        <w:tab/>
      </w:r>
      <w:r>
        <w:t>data standard;</w:t>
      </w:r>
    </w:p>
    <w:p w14:paraId="756A4B77" w14:textId="77777777" w:rsidR="00BB7660" w:rsidRDefault="00BB7660" w:rsidP="00BB7660">
      <w:pPr>
        <w:pStyle w:val="notepara"/>
      </w:pPr>
      <w:r>
        <w:sym w:font="Symbol" w:char="F0B7"/>
      </w:r>
      <w:r w:rsidRPr="009C2562">
        <w:tab/>
      </w:r>
      <w:r>
        <w:t>Data Standards Body;</w:t>
      </w:r>
    </w:p>
    <w:p w14:paraId="09DE17A9" w14:textId="77777777" w:rsidR="00BB7660" w:rsidRDefault="00BB7660" w:rsidP="00BB7660">
      <w:pPr>
        <w:pStyle w:val="notepara"/>
      </w:pPr>
      <w:r>
        <w:sym w:font="Symbol" w:char="F0B7"/>
      </w:r>
      <w:r w:rsidRPr="009C2562">
        <w:tab/>
      </w:r>
      <w:r>
        <w:t>Data Standards Chair;</w:t>
      </w:r>
    </w:p>
    <w:p w14:paraId="283E5296" w14:textId="77777777" w:rsidR="00BB7660" w:rsidRDefault="00BB7660" w:rsidP="00BB7660">
      <w:pPr>
        <w:pStyle w:val="notepara"/>
      </w:pPr>
      <w:r>
        <w:sym w:font="Symbol" w:char="F0B7"/>
      </w:r>
      <w:r w:rsidRPr="009C2562">
        <w:tab/>
      </w:r>
      <w:r>
        <w:t>designated sector</w:t>
      </w:r>
      <w:r w:rsidRPr="009C2562">
        <w:t>;</w:t>
      </w:r>
    </w:p>
    <w:p w14:paraId="79F31410" w14:textId="77777777" w:rsidR="00BB7660" w:rsidRPr="00360E15" w:rsidRDefault="00BB7660" w:rsidP="00BB7660">
      <w:pPr>
        <w:pStyle w:val="notepara"/>
      </w:pPr>
      <w:r w:rsidRPr="00360E15">
        <w:sym w:font="Symbol" w:char="F0B7"/>
      </w:r>
      <w:r w:rsidRPr="00360E15">
        <w:tab/>
        <w:t>directly or indirectly derived;</w:t>
      </w:r>
    </w:p>
    <w:p w14:paraId="7D55A644" w14:textId="77777777" w:rsidR="00BB7660" w:rsidRDefault="00BB7660" w:rsidP="00BB7660">
      <w:pPr>
        <w:pStyle w:val="notepara"/>
      </w:pPr>
      <w:r>
        <w:sym w:font="Symbol" w:char="F0B7"/>
      </w:r>
      <w:r w:rsidRPr="009C2562">
        <w:tab/>
      </w:r>
      <w:r>
        <w:t>privacy safeguards;</w:t>
      </w:r>
    </w:p>
    <w:p w14:paraId="59D873AA" w14:textId="77777777" w:rsidR="00BB7660" w:rsidRDefault="00BB7660" w:rsidP="00BB7660">
      <w:pPr>
        <w:pStyle w:val="notepara"/>
      </w:pPr>
      <w:r>
        <w:sym w:font="Symbol" w:char="F0B7"/>
      </w:r>
      <w:r w:rsidRPr="009C2562">
        <w:tab/>
      </w:r>
      <w:r>
        <w:t>Regulatory Powers Act.</w:t>
      </w:r>
    </w:p>
    <w:p w14:paraId="5FDA2F6D" w14:textId="77777777" w:rsidR="00BB7660" w:rsidRPr="00394674" w:rsidRDefault="00BB7660" w:rsidP="00BB7660">
      <w:pPr>
        <w:pStyle w:val="notetext"/>
      </w:pPr>
      <w:r>
        <w:t>Note 2:</w:t>
      </w:r>
      <w:r>
        <w:tab/>
      </w:r>
      <w:r>
        <w:rPr>
          <w:b/>
          <w:i/>
        </w:rPr>
        <w:t xml:space="preserve">Information Commissioner </w:t>
      </w:r>
      <w:r w:rsidRPr="00394674">
        <w:t>has the same meaning as in the Act</w:t>
      </w:r>
      <w:r>
        <w:t xml:space="preserve">: </w:t>
      </w:r>
      <w:r w:rsidRPr="00394674">
        <w:t>see</w:t>
      </w:r>
      <w:r>
        <w:rPr>
          <w:b/>
        </w:rPr>
        <w:t xml:space="preserve"> </w:t>
      </w:r>
      <w:r>
        <w:t xml:space="preserve">section 3A of the </w:t>
      </w:r>
      <w:r>
        <w:rPr>
          <w:i/>
        </w:rPr>
        <w:t xml:space="preserve">Australian Information Commissioner Act 2010 </w:t>
      </w:r>
      <w:r>
        <w:t xml:space="preserve">and paragraph 13(1)(b) of the </w:t>
      </w:r>
      <w:r>
        <w:rPr>
          <w:i/>
        </w:rPr>
        <w:t>Legislation Act 2003</w:t>
      </w:r>
      <w:r>
        <w:t>.</w:t>
      </w:r>
    </w:p>
    <w:p w14:paraId="505A4D4D" w14:textId="77777777" w:rsidR="00BB7660" w:rsidRDefault="00BB7660" w:rsidP="00BB7660">
      <w:pPr>
        <w:pStyle w:val="subsection"/>
      </w:pPr>
      <w:r>
        <w:tab/>
        <w:t>(1)</w:t>
      </w:r>
      <w:r>
        <w:tab/>
      </w:r>
      <w:r w:rsidRPr="009C2562">
        <w:t>In this instrument:</w:t>
      </w:r>
    </w:p>
    <w:p w14:paraId="3354619C" w14:textId="77777777" w:rsidR="004A04A4" w:rsidRPr="002F060B" w:rsidRDefault="004A04A4" w:rsidP="00BB7660">
      <w:pPr>
        <w:pStyle w:val="Definition"/>
        <w:rPr>
          <w:color w:val="0000FF"/>
        </w:rPr>
      </w:pPr>
      <w:r w:rsidRPr="002F060B">
        <w:rPr>
          <w:b/>
          <w:i/>
          <w:color w:val="0000FF"/>
        </w:rPr>
        <w:t>ABN</w:t>
      </w:r>
      <w:r w:rsidRPr="002F060B">
        <w:rPr>
          <w:color w:val="0000FF"/>
        </w:rPr>
        <w:t xml:space="preserve"> has the meaning given by the </w:t>
      </w:r>
      <w:r w:rsidRPr="002F060B">
        <w:rPr>
          <w:i/>
          <w:color w:val="0000FF"/>
        </w:rPr>
        <w:t>A New Tax System (Australian Business Number) Act 1999</w:t>
      </w:r>
      <w:r w:rsidRPr="002F060B">
        <w:rPr>
          <w:color w:val="0000FF"/>
        </w:rPr>
        <w:t>.</w:t>
      </w:r>
    </w:p>
    <w:p w14:paraId="473160F5" w14:textId="77777777" w:rsidR="00BB7660" w:rsidRPr="009B560D" w:rsidRDefault="00BB7660" w:rsidP="00BB7660">
      <w:pPr>
        <w:pStyle w:val="Definition"/>
      </w:pPr>
      <w:r w:rsidRPr="009B560D">
        <w:rPr>
          <w:b/>
          <w:i/>
        </w:rPr>
        <w:t>account privileges</w:t>
      </w:r>
      <w:r w:rsidRPr="009B560D">
        <w:t>, in relation to:</w:t>
      </w:r>
    </w:p>
    <w:p w14:paraId="4C617530" w14:textId="77777777" w:rsidR="00BB7660" w:rsidRPr="009B560D" w:rsidRDefault="00BB7660" w:rsidP="00BB7660">
      <w:pPr>
        <w:pStyle w:val="paragraph"/>
      </w:pPr>
      <w:r w:rsidRPr="009B560D">
        <w:tab/>
        <w:t>(a)</w:t>
      </w:r>
      <w:r w:rsidRPr="009B560D">
        <w:tab/>
        <w:t>an account with a data holder; and</w:t>
      </w:r>
    </w:p>
    <w:p w14:paraId="51D998A4" w14:textId="77777777" w:rsidR="00BB7660" w:rsidRPr="009B560D" w:rsidRDefault="00BB7660" w:rsidP="00BB7660">
      <w:pPr>
        <w:pStyle w:val="paragraph"/>
      </w:pPr>
      <w:r w:rsidRPr="009B560D">
        <w:tab/>
        <w:t>(b)</w:t>
      </w:r>
      <w:r w:rsidRPr="009B560D">
        <w:tab/>
        <w:t>a particular designated sector;</w:t>
      </w:r>
    </w:p>
    <w:p w14:paraId="23C19C21" w14:textId="77777777" w:rsidR="00BB7660" w:rsidRPr="009B560D" w:rsidRDefault="00BB7660" w:rsidP="00BB7660">
      <w:pPr>
        <w:pStyle w:val="subsection20"/>
      </w:pPr>
      <w:r w:rsidRPr="009B560D">
        <w:tab/>
      </w:r>
      <w:r w:rsidRPr="009B560D">
        <w:tab/>
        <w:t>has the meaning set out in a Schedule to these rules that relates to that sector.</w:t>
      </w:r>
    </w:p>
    <w:p w14:paraId="558F5B94" w14:textId="77777777" w:rsidR="00BB7660" w:rsidRDefault="00BB7660" w:rsidP="00BB7660">
      <w:pPr>
        <w:pStyle w:val="Definition"/>
      </w:pPr>
      <w:r w:rsidRPr="000C3240">
        <w:rPr>
          <w:b/>
          <w:i/>
          <w:color w:val="000000" w:themeColor="text1"/>
        </w:rPr>
        <w:t xml:space="preserve">accreditation </w:t>
      </w:r>
      <w:r>
        <w:rPr>
          <w:b/>
          <w:i/>
        </w:rPr>
        <w:t xml:space="preserve">applicant </w:t>
      </w:r>
      <w:r>
        <w:t>means a person who has applied to be an accredited person under rule 5.2.</w:t>
      </w:r>
    </w:p>
    <w:p w14:paraId="77B92271" w14:textId="77777777" w:rsidR="00BB7660" w:rsidRPr="00005026" w:rsidRDefault="00BB7660" w:rsidP="00BB7660">
      <w:pPr>
        <w:pStyle w:val="Definition"/>
      </w:pPr>
      <w:r w:rsidRPr="00005026">
        <w:rPr>
          <w:b/>
          <w:i/>
        </w:rPr>
        <w:t>accreditation number</w:t>
      </w:r>
      <w:r w:rsidRPr="00005026">
        <w:t xml:space="preserve"> of an accredited person has the meaning given by rule </w:t>
      </w:r>
      <w:r>
        <w:t>5.6</w:t>
      </w:r>
      <w:r w:rsidRPr="00005026">
        <w:t>.</w:t>
      </w:r>
    </w:p>
    <w:p w14:paraId="146B358D" w14:textId="77777777" w:rsidR="00BB7660" w:rsidRDefault="00BB7660" w:rsidP="00BB7660">
      <w:pPr>
        <w:pStyle w:val="Definition"/>
      </w:pPr>
      <w:r w:rsidRPr="0023036E">
        <w:rPr>
          <w:b/>
          <w:i/>
        </w:rPr>
        <w:t xml:space="preserve">accredited data recipient </w:t>
      </w:r>
      <w:r w:rsidRPr="0023036E">
        <w:t>has a meaning affected by subrule</w:t>
      </w:r>
      <w:r>
        <w:t> (2)</w:t>
      </w:r>
      <w:r w:rsidRPr="0023036E">
        <w:t>.</w:t>
      </w:r>
    </w:p>
    <w:p w14:paraId="6FF2164C" w14:textId="77777777" w:rsidR="00BB7660" w:rsidRPr="00796ADB" w:rsidRDefault="00BB7660" w:rsidP="00BB7660">
      <w:pPr>
        <w:pStyle w:val="notetext"/>
      </w:pPr>
      <w:r w:rsidRPr="00796ADB">
        <w:t>Note:</w:t>
      </w:r>
      <w:r w:rsidRPr="00796ADB">
        <w:tab/>
        <w:t>The term “accredited data recipient” is defined in the Act: see section 56AK of the Act. Subrule </w:t>
      </w:r>
      <w:r>
        <w:t>(2)</w:t>
      </w:r>
      <w:r w:rsidRPr="00796ADB">
        <w:t xml:space="preserve"> deals with the usage of this term in these rules.</w:t>
      </w:r>
    </w:p>
    <w:p w14:paraId="354E44AA" w14:textId="77777777" w:rsidR="00BB7660" w:rsidRPr="006F4229" w:rsidRDefault="00BB7660" w:rsidP="00BB7660">
      <w:pPr>
        <w:pStyle w:val="Definition"/>
      </w:pPr>
      <w:r w:rsidRPr="006F4229">
        <w:rPr>
          <w:b/>
          <w:i/>
        </w:rPr>
        <w:t xml:space="preserve">accredited person request service </w:t>
      </w:r>
      <w:r w:rsidRPr="006F4229">
        <w:t>has the meaning given by subrule </w:t>
      </w:r>
      <w:r>
        <w:t>1.13(3)</w:t>
      </w:r>
      <w:r w:rsidRPr="006F4229">
        <w:t>.</w:t>
      </w:r>
    </w:p>
    <w:p w14:paraId="16AD0CB2" w14:textId="77777777" w:rsidR="00BB7660" w:rsidRDefault="00BB7660" w:rsidP="00BB7660">
      <w:pPr>
        <w:pStyle w:val="Definition"/>
      </w:pPr>
      <w:r w:rsidRPr="009C2562">
        <w:rPr>
          <w:b/>
          <w:i/>
        </w:rPr>
        <w:t>Act</w:t>
      </w:r>
      <w:r w:rsidRPr="009C2562">
        <w:t xml:space="preserve"> means the </w:t>
      </w:r>
      <w:r>
        <w:rPr>
          <w:i/>
        </w:rPr>
        <w:t>Competition and Consumer Act 2010</w:t>
      </w:r>
      <w:r>
        <w:t>.</w:t>
      </w:r>
    </w:p>
    <w:p w14:paraId="07CCC177" w14:textId="77777777" w:rsidR="00BB7660" w:rsidRPr="006F4A42" w:rsidRDefault="00BB7660" w:rsidP="00BB7660">
      <w:pPr>
        <w:pStyle w:val="Definition"/>
      </w:pPr>
      <w:r w:rsidRPr="006F4A42">
        <w:rPr>
          <w:b/>
          <w:i/>
        </w:rPr>
        <w:lastRenderedPageBreak/>
        <w:t>addresses for service</w:t>
      </w:r>
      <w:r w:rsidRPr="006F4A42">
        <w:t xml:space="preserve"> means both of the following:</w:t>
      </w:r>
    </w:p>
    <w:p w14:paraId="55269991" w14:textId="77777777" w:rsidR="00BB7660" w:rsidRPr="006F4A42" w:rsidRDefault="00BB7660" w:rsidP="00BB7660">
      <w:pPr>
        <w:pStyle w:val="paragraph"/>
      </w:pPr>
      <w:r w:rsidRPr="006F4A42">
        <w:tab/>
        <w:t>(a)</w:t>
      </w:r>
      <w:r w:rsidRPr="006F4A42">
        <w:tab/>
        <w:t>a physical address for service in Australia;</w:t>
      </w:r>
    </w:p>
    <w:p w14:paraId="44DE3760" w14:textId="77777777" w:rsidR="00BB7660" w:rsidRPr="006F4A42" w:rsidRDefault="00BB7660" w:rsidP="00BB7660">
      <w:pPr>
        <w:pStyle w:val="paragraph"/>
      </w:pPr>
      <w:r w:rsidRPr="006F4A42">
        <w:tab/>
        <w:t>(b)</w:t>
      </w:r>
      <w:r w:rsidRPr="006F4A42">
        <w:tab/>
        <w:t>an electronic address for service.</w:t>
      </w:r>
    </w:p>
    <w:p w14:paraId="1BFF46B4" w14:textId="77777777" w:rsidR="00BB7660" w:rsidRDefault="00BB7660" w:rsidP="00BB7660">
      <w:pPr>
        <w:pStyle w:val="Definition"/>
      </w:pPr>
      <w:r>
        <w:rPr>
          <w:b/>
          <w:i/>
        </w:rPr>
        <w:t>ADI</w:t>
      </w:r>
      <w:r>
        <w:t xml:space="preserve"> (short for authorised deposit</w:t>
      </w:r>
      <w:r>
        <w:noBreakHyphen/>
        <w:t xml:space="preserve">taking institution) has the meaning given by the </w:t>
      </w:r>
      <w:r>
        <w:rPr>
          <w:i/>
        </w:rPr>
        <w:t>Banking Act 1959</w:t>
      </w:r>
      <w:r>
        <w:t>.</w:t>
      </w:r>
    </w:p>
    <w:p w14:paraId="2B481F4A" w14:textId="77777777" w:rsidR="00BB7660" w:rsidRPr="00A00F6F" w:rsidRDefault="00BB7660" w:rsidP="00BB7660">
      <w:pPr>
        <w:pStyle w:val="Definition"/>
      </w:pPr>
      <w:r w:rsidRPr="00A00F6F">
        <w:rPr>
          <w:b/>
          <w:i/>
        </w:rPr>
        <w:t>affiliate</w:t>
      </w:r>
      <w:r w:rsidRPr="00A00F6F">
        <w:t xml:space="preserve"> has the meaning given by rule 1.10D.</w:t>
      </w:r>
    </w:p>
    <w:p w14:paraId="08E520B2" w14:textId="77777777" w:rsidR="00BB7660" w:rsidRPr="00771FEA" w:rsidRDefault="00BB7660" w:rsidP="00BB7660">
      <w:pPr>
        <w:pStyle w:val="Definition"/>
      </w:pPr>
      <w:r w:rsidRPr="00771FEA">
        <w:rPr>
          <w:b/>
          <w:i/>
        </w:rPr>
        <w:t>AP disclosure consent</w:t>
      </w:r>
      <w:r w:rsidRPr="00771FEA">
        <w:t xml:space="preserve"> has the meaning given by rule 1.10A.</w:t>
      </w:r>
    </w:p>
    <w:p w14:paraId="5923F2BA" w14:textId="77777777" w:rsidR="00BB7660" w:rsidRPr="000C3240" w:rsidRDefault="00BB7660" w:rsidP="00BB7660">
      <w:pPr>
        <w:pStyle w:val="Definition"/>
        <w:rPr>
          <w:color w:val="000000" w:themeColor="text1"/>
        </w:rPr>
      </w:pPr>
      <w:r w:rsidRPr="000C3240">
        <w:rPr>
          <w:b/>
          <w:i/>
          <w:color w:val="000000" w:themeColor="text1"/>
        </w:rPr>
        <w:t>associated person</w:t>
      </w:r>
      <w:r w:rsidRPr="000C3240">
        <w:rPr>
          <w:color w:val="000000" w:themeColor="text1"/>
        </w:rPr>
        <w:t>, of another person,</w:t>
      </w:r>
      <w:r w:rsidRPr="000C3240">
        <w:rPr>
          <w:b/>
          <w:i/>
          <w:color w:val="000000" w:themeColor="text1"/>
        </w:rPr>
        <w:t xml:space="preserve"> </w:t>
      </w:r>
      <w:r w:rsidRPr="000C3240">
        <w:rPr>
          <w:color w:val="000000" w:themeColor="text1"/>
        </w:rPr>
        <w:t xml:space="preserve">means </w:t>
      </w:r>
      <w:r w:rsidRPr="00466CCE">
        <w:t xml:space="preserve">any of </w:t>
      </w:r>
      <w:r w:rsidRPr="000C3240">
        <w:rPr>
          <w:color w:val="000000" w:themeColor="text1"/>
        </w:rPr>
        <w:t>the following:</w:t>
      </w:r>
    </w:p>
    <w:p w14:paraId="5323ADE6" w14:textId="77777777" w:rsidR="00BB7660" w:rsidRPr="000C3240" w:rsidRDefault="00BB7660" w:rsidP="00BB7660">
      <w:pPr>
        <w:pStyle w:val="paragraph"/>
        <w:rPr>
          <w:color w:val="000000" w:themeColor="text1"/>
        </w:rPr>
      </w:pPr>
      <w:r w:rsidRPr="000C3240">
        <w:rPr>
          <w:color w:val="000000" w:themeColor="text1"/>
        </w:rPr>
        <w:tab/>
        <w:t>(a)</w:t>
      </w:r>
      <w:r w:rsidRPr="000C3240">
        <w:rPr>
          <w:color w:val="000000" w:themeColor="text1"/>
        </w:rPr>
        <w:tab/>
      </w:r>
      <w:r w:rsidRPr="00466CCE">
        <w:t>a</w:t>
      </w:r>
      <w:r w:rsidRPr="000C3240">
        <w:rPr>
          <w:color w:val="000000" w:themeColor="text1"/>
        </w:rPr>
        <w:t xml:space="preserve"> person who:</w:t>
      </w:r>
    </w:p>
    <w:p w14:paraId="1AD332B7" w14:textId="77777777" w:rsidR="00BB7660" w:rsidRPr="000C3240" w:rsidRDefault="00BB7660" w:rsidP="00BB7660">
      <w:pPr>
        <w:pStyle w:val="paragraphsub"/>
        <w:rPr>
          <w:color w:val="000000" w:themeColor="text1"/>
        </w:rPr>
      </w:pPr>
      <w:r w:rsidRPr="000C3240">
        <w:rPr>
          <w:color w:val="000000" w:themeColor="text1"/>
        </w:rPr>
        <w:tab/>
        <w:t>(i)</w:t>
      </w:r>
      <w:r w:rsidRPr="000C3240">
        <w:rPr>
          <w:color w:val="000000" w:themeColor="text1"/>
        </w:rPr>
        <w:tab/>
        <w:t>makes or participates in making, or would (if the other person were an accredited person) make or participate in making, decisions that affect the management of CDR data</w:t>
      </w:r>
      <w:r w:rsidRPr="00596ABF">
        <w:rPr>
          <w:color w:val="000000" w:themeColor="text1"/>
        </w:rPr>
        <w:t xml:space="preserve"> </w:t>
      </w:r>
      <w:r w:rsidRPr="000C3240">
        <w:rPr>
          <w:color w:val="000000" w:themeColor="text1"/>
        </w:rPr>
        <w:t>by the other person; or</w:t>
      </w:r>
    </w:p>
    <w:p w14:paraId="334D4802" w14:textId="77777777" w:rsidR="00BB7660" w:rsidRPr="000C3240" w:rsidRDefault="00BB7660" w:rsidP="00BB7660">
      <w:pPr>
        <w:pStyle w:val="paragraphsub"/>
        <w:rPr>
          <w:color w:val="000000" w:themeColor="text1"/>
        </w:rPr>
      </w:pPr>
      <w:r w:rsidRPr="000C3240">
        <w:rPr>
          <w:color w:val="000000" w:themeColor="text1"/>
        </w:rPr>
        <w:tab/>
        <w:t>(ii)</w:t>
      </w:r>
      <w:r w:rsidRPr="000C3240">
        <w:rPr>
          <w:color w:val="000000" w:themeColor="text1"/>
        </w:rPr>
        <w:tab/>
        <w:t>has, or would have (if the other person were an accredited person), the capacity to significantly affect the other person’s management of CDR data;</w:t>
      </w:r>
    </w:p>
    <w:p w14:paraId="36D0510A" w14:textId="77777777" w:rsidR="00BB7660" w:rsidRPr="00AB73DF" w:rsidRDefault="00BB7660" w:rsidP="00BB7660">
      <w:pPr>
        <w:pStyle w:val="paragraph"/>
      </w:pPr>
      <w:r w:rsidRPr="000C3240">
        <w:rPr>
          <w:color w:val="000000" w:themeColor="text1"/>
        </w:rPr>
        <w:tab/>
        <w:t>(b)</w:t>
      </w:r>
      <w:r w:rsidRPr="000C3240">
        <w:rPr>
          <w:color w:val="000000" w:themeColor="text1"/>
        </w:rPr>
        <w:tab/>
        <w:t>if the other person is a body corporate</w:t>
      </w:r>
      <w:r w:rsidRPr="00AB73DF">
        <w:t>—a person who:</w:t>
      </w:r>
    </w:p>
    <w:p w14:paraId="70C1BE14" w14:textId="77777777" w:rsidR="00BB7660" w:rsidRPr="00AB73DF" w:rsidRDefault="00BB7660" w:rsidP="00BB7660">
      <w:pPr>
        <w:pStyle w:val="paragraphsub"/>
      </w:pPr>
      <w:r w:rsidRPr="00AB73DF">
        <w:tab/>
        <w:t>(i)</w:t>
      </w:r>
      <w:r w:rsidRPr="00AB73DF">
        <w:tab/>
        <w:t xml:space="preserve">is an associate (within the meaning of the </w:t>
      </w:r>
      <w:r w:rsidRPr="00AB73DF">
        <w:rPr>
          <w:i/>
        </w:rPr>
        <w:t>Corporations Act 2001</w:t>
      </w:r>
      <w:r w:rsidRPr="00AB73DF">
        <w:t>) of the other person; or</w:t>
      </w:r>
    </w:p>
    <w:p w14:paraId="53A5F01D" w14:textId="77777777" w:rsidR="00BB7660" w:rsidRPr="00AB73DF" w:rsidRDefault="00BB7660" w:rsidP="00BB7660">
      <w:pPr>
        <w:pStyle w:val="paragraphsub"/>
      </w:pPr>
      <w:r w:rsidRPr="00AB73DF">
        <w:tab/>
        <w:t>(ii)</w:t>
      </w:r>
      <w:r w:rsidRPr="00AB73DF">
        <w:tab/>
        <w:t xml:space="preserve">is an associated entity (within the meaning of the </w:t>
      </w:r>
      <w:r w:rsidRPr="00AB73DF">
        <w:rPr>
          <w:i/>
        </w:rPr>
        <w:t>Corporations Act 2001</w:t>
      </w:r>
      <w:r w:rsidRPr="00AB73DF">
        <w:t>) of the other person.</w:t>
      </w:r>
    </w:p>
    <w:p w14:paraId="1FF96347" w14:textId="77777777" w:rsidR="00BB7660" w:rsidRPr="00771FEA" w:rsidRDefault="00BB7660" w:rsidP="00BB7660">
      <w:pPr>
        <w:pStyle w:val="Definition"/>
      </w:pPr>
      <w:r w:rsidRPr="00771FEA">
        <w:rPr>
          <w:b/>
          <w:i/>
        </w:rPr>
        <w:t xml:space="preserve">authorisation </w:t>
      </w:r>
      <w:r w:rsidRPr="00771FEA">
        <w:t>to disclose CDR data means:</w:t>
      </w:r>
    </w:p>
    <w:p w14:paraId="3D624CFF" w14:textId="77777777" w:rsidR="00BB7660" w:rsidRPr="00771FEA" w:rsidRDefault="00BB7660" w:rsidP="00BB7660">
      <w:pPr>
        <w:pStyle w:val="paragraph"/>
      </w:pPr>
      <w:r w:rsidRPr="00771FEA">
        <w:tab/>
        <w:t>(a)</w:t>
      </w:r>
      <w:r w:rsidRPr="00771FEA">
        <w:tab/>
        <w:t>an authorisation given by a CDR consumer under Part 4 to a data holder; or</w:t>
      </w:r>
    </w:p>
    <w:p w14:paraId="7F30A0EF" w14:textId="77777777" w:rsidR="00BB7660" w:rsidRPr="00771FEA" w:rsidRDefault="00BB7660" w:rsidP="00BB7660">
      <w:pPr>
        <w:pStyle w:val="paragraph"/>
      </w:pPr>
      <w:r w:rsidRPr="00771FEA">
        <w:tab/>
        <w:t>(b)</w:t>
      </w:r>
      <w:r w:rsidRPr="00771FEA">
        <w:tab/>
        <w:t>such an authorisation as amended in accordance with these rules.</w:t>
      </w:r>
    </w:p>
    <w:p w14:paraId="079AE9E9" w14:textId="77777777" w:rsidR="00656320" w:rsidRPr="00FA2317" w:rsidRDefault="00656320" w:rsidP="00656320">
      <w:pPr>
        <w:pStyle w:val="Definition"/>
        <w:rPr>
          <w:color w:val="0000FF"/>
        </w:rPr>
      </w:pPr>
      <w:r w:rsidRPr="00FA2317">
        <w:rPr>
          <w:b/>
          <w:i/>
          <w:color w:val="0000FF"/>
        </w:rPr>
        <w:t>AP disclosure consent</w:t>
      </w:r>
      <w:r w:rsidRPr="00FA2317">
        <w:rPr>
          <w:color w:val="0000FF"/>
        </w:rPr>
        <w:t xml:space="preserve"> has the meaning given by rule 1.10A.</w:t>
      </w:r>
    </w:p>
    <w:p w14:paraId="5D0C5780" w14:textId="77777777" w:rsidR="00BB7660" w:rsidRPr="002F060B" w:rsidRDefault="00656320" w:rsidP="00BB7660">
      <w:pPr>
        <w:pStyle w:val="Definition"/>
        <w:rPr>
          <w:color w:val="0000FF"/>
        </w:rPr>
      </w:pPr>
      <w:r w:rsidRPr="002F060B">
        <w:rPr>
          <w:b/>
          <w:i/>
          <w:color w:val="0000FF"/>
        </w:rPr>
        <w:t>business consumer disclosure consent</w:t>
      </w:r>
      <w:r w:rsidR="00BB7660" w:rsidRPr="002F060B">
        <w:rPr>
          <w:color w:val="0000FF"/>
        </w:rPr>
        <w:t xml:space="preserve"> has the meaning given by rule 1.10A.</w:t>
      </w:r>
    </w:p>
    <w:p w14:paraId="3D85AAC2" w14:textId="77777777" w:rsidR="00FA2317" w:rsidRPr="009C4B0C" w:rsidRDefault="00FA2317" w:rsidP="00FA2317">
      <w:pPr>
        <w:pStyle w:val="Definition"/>
      </w:pPr>
      <w:r w:rsidRPr="009C4B0C">
        <w:rPr>
          <w:b/>
          <w:i/>
        </w:rPr>
        <w:t>category</w:t>
      </w:r>
      <w:r w:rsidRPr="009C4B0C">
        <w:t>,</w:t>
      </w:r>
      <w:r w:rsidRPr="009C4B0C">
        <w:rPr>
          <w:b/>
          <w:i/>
        </w:rPr>
        <w:t xml:space="preserve"> </w:t>
      </w:r>
      <w:r w:rsidRPr="009C4B0C">
        <w:t>of consents, has the meaning given by rule 1.10A.</w:t>
      </w:r>
    </w:p>
    <w:p w14:paraId="4BF4A579" w14:textId="77777777" w:rsidR="00BB7660" w:rsidRPr="002C25BB" w:rsidRDefault="00BB7660" w:rsidP="00BB7660">
      <w:pPr>
        <w:pStyle w:val="Definition"/>
        <w:rPr>
          <w:color w:val="0000FF"/>
        </w:rPr>
      </w:pPr>
      <w:r w:rsidRPr="002C25BB">
        <w:rPr>
          <w:b/>
          <w:i/>
          <w:color w:val="0000FF"/>
        </w:rPr>
        <w:t>CDR business consumer</w:t>
      </w:r>
      <w:r w:rsidRPr="002C25BB">
        <w:rPr>
          <w:color w:val="0000FF"/>
        </w:rPr>
        <w:t xml:space="preserve"> has the meaning given by rule 1.10A.</w:t>
      </w:r>
    </w:p>
    <w:p w14:paraId="037CFA5D" w14:textId="77777777" w:rsidR="00BB7660" w:rsidRPr="00964EDA" w:rsidRDefault="00BB7660" w:rsidP="00BB7660">
      <w:pPr>
        <w:pStyle w:val="Definition"/>
        <w:rPr>
          <w:color w:val="000000"/>
        </w:rPr>
      </w:pPr>
      <w:r w:rsidRPr="00964EDA">
        <w:rPr>
          <w:b/>
          <w:i/>
          <w:color w:val="000000"/>
        </w:rPr>
        <w:t>CDR complaint data</w:t>
      </w:r>
      <w:r>
        <w:rPr>
          <w:color w:val="000000"/>
        </w:rPr>
        <w:t>, in relation to a CDR participant,</w:t>
      </w:r>
      <w:r w:rsidRPr="00964EDA">
        <w:rPr>
          <w:b/>
          <w:color w:val="000000"/>
        </w:rPr>
        <w:t xml:space="preserve"> </w:t>
      </w:r>
      <w:r w:rsidRPr="00964EDA">
        <w:rPr>
          <w:color w:val="000000"/>
        </w:rPr>
        <w:t>means the following:</w:t>
      </w:r>
    </w:p>
    <w:p w14:paraId="6C9D685F" w14:textId="77777777" w:rsidR="00BB7660" w:rsidRPr="00964EDA" w:rsidRDefault="00BB7660" w:rsidP="00BB7660">
      <w:pPr>
        <w:pStyle w:val="paragraph"/>
        <w:rPr>
          <w:color w:val="000000"/>
        </w:rPr>
      </w:pPr>
      <w:r w:rsidRPr="00964EDA">
        <w:rPr>
          <w:color w:val="000000"/>
        </w:rPr>
        <w:tab/>
        <w:t>(a)</w:t>
      </w:r>
      <w:r w:rsidRPr="00964EDA">
        <w:rPr>
          <w:color w:val="000000"/>
        </w:rPr>
        <w:tab/>
        <w:t>the number of CDR consumer complaints</w:t>
      </w:r>
      <w:r>
        <w:rPr>
          <w:color w:val="000000"/>
        </w:rPr>
        <w:t xml:space="preserve"> received by the CDR participant</w:t>
      </w:r>
      <w:r w:rsidRPr="00964EDA">
        <w:rPr>
          <w:color w:val="000000"/>
        </w:rPr>
        <w:t>;</w:t>
      </w:r>
    </w:p>
    <w:p w14:paraId="6DB9F341" w14:textId="77777777" w:rsidR="00BB7660" w:rsidRPr="00005026" w:rsidRDefault="00BB7660" w:rsidP="00BB7660">
      <w:pPr>
        <w:pStyle w:val="paragraph"/>
      </w:pPr>
      <w:r w:rsidRPr="00771FEA">
        <w:tab/>
        <w:t>(b)</w:t>
      </w:r>
      <w:r w:rsidRPr="00771FEA">
        <w:tab/>
        <w:t xml:space="preserve">the number of such complaints for each complaint type into which the CDR participant categorises complaints </w:t>
      </w:r>
      <w:r w:rsidRPr="00411056">
        <w:t xml:space="preserve">in accordance with </w:t>
      </w:r>
      <w:r w:rsidRPr="00771FEA">
        <w:t>i</w:t>
      </w:r>
      <w:r>
        <w:t>ts complaints handling process;</w:t>
      </w:r>
    </w:p>
    <w:p w14:paraId="11B5F070" w14:textId="77777777" w:rsidR="00BB7660" w:rsidRPr="00005026" w:rsidRDefault="00BB7660" w:rsidP="00BB7660">
      <w:pPr>
        <w:pStyle w:val="paragraph"/>
      </w:pPr>
      <w:r w:rsidRPr="00005026">
        <w:tab/>
        <w:t>(c)</w:t>
      </w:r>
      <w:r w:rsidRPr="00005026">
        <w:tab/>
        <w:t>the number of such complaints resolved;</w:t>
      </w:r>
    </w:p>
    <w:p w14:paraId="0BD5BADA" w14:textId="77777777" w:rsidR="00BB7660" w:rsidRPr="00005026" w:rsidRDefault="00BB7660" w:rsidP="00BB7660">
      <w:pPr>
        <w:pStyle w:val="paragraph"/>
      </w:pPr>
      <w:r w:rsidRPr="00005026">
        <w:tab/>
        <w:t>(d)</w:t>
      </w:r>
      <w:r w:rsidRPr="00005026">
        <w:tab/>
        <w:t>the average number of days taken to resolve CDR consumer complaints through internal dispute resolution;</w:t>
      </w:r>
    </w:p>
    <w:p w14:paraId="216DFF95" w14:textId="77777777" w:rsidR="00BB7660" w:rsidRDefault="00BB7660" w:rsidP="00BB7660">
      <w:pPr>
        <w:pStyle w:val="paragraph"/>
        <w:rPr>
          <w:color w:val="000000"/>
        </w:rPr>
      </w:pPr>
      <w:r w:rsidRPr="00005026">
        <w:tab/>
        <w:t>(e)</w:t>
      </w:r>
      <w:r w:rsidRPr="00005026">
        <w:tab/>
        <w:t xml:space="preserve">the number of CDR consumer complaints referred to </w:t>
      </w:r>
      <w:r w:rsidRPr="00B31455">
        <w:t>a recognised external dispute resolution scheme</w:t>
      </w:r>
      <w:r w:rsidRPr="00964EDA">
        <w:rPr>
          <w:color w:val="000000"/>
        </w:rPr>
        <w:t>;</w:t>
      </w:r>
    </w:p>
    <w:p w14:paraId="13F2CE6C" w14:textId="77777777" w:rsidR="00BB7660" w:rsidRPr="00005026" w:rsidRDefault="00BB7660" w:rsidP="00BB7660">
      <w:pPr>
        <w:pStyle w:val="paragraph"/>
      </w:pPr>
      <w:r w:rsidRPr="00005026">
        <w:tab/>
        <w:t>(f)</w:t>
      </w:r>
      <w:r w:rsidRPr="00005026">
        <w:tab/>
        <w:t>the number of CDR consumer complaints resolved by external dispute resolution;</w:t>
      </w:r>
    </w:p>
    <w:p w14:paraId="64E5D029" w14:textId="77777777" w:rsidR="00BB7660" w:rsidRPr="00005026" w:rsidRDefault="00BB7660" w:rsidP="00BB7660">
      <w:pPr>
        <w:pStyle w:val="paragraph"/>
      </w:pPr>
      <w:r w:rsidRPr="00771FEA">
        <w:lastRenderedPageBreak/>
        <w:tab/>
        <w:t>(g)</w:t>
      </w:r>
      <w:r w:rsidRPr="00771FEA">
        <w:tab/>
        <w:t>in relation to a CDR participant that is a data holder―the number of CDR pro</w:t>
      </w:r>
      <w:r>
        <w:t xml:space="preserve">duct data complaints received. </w:t>
      </w:r>
    </w:p>
    <w:p w14:paraId="5F6FA74F" w14:textId="77777777" w:rsidR="00BB7660" w:rsidRPr="00005026" w:rsidRDefault="00BB7660" w:rsidP="00BB7660">
      <w:pPr>
        <w:pStyle w:val="notetext"/>
      </w:pPr>
      <w:r>
        <w:t>Note</w:t>
      </w:r>
      <w:r w:rsidRPr="00005026">
        <w:t xml:space="preserve">: </w:t>
      </w:r>
      <w:r w:rsidRPr="00005026">
        <w:tab/>
        <w:t>Complaints covered by paragraph (g) are not “CDR consumer complaints”.</w:t>
      </w:r>
    </w:p>
    <w:p w14:paraId="5972698C" w14:textId="77777777" w:rsidR="00BB7660" w:rsidRPr="0023036E" w:rsidRDefault="00BB7660" w:rsidP="00BB7660">
      <w:pPr>
        <w:pStyle w:val="Definition"/>
      </w:pPr>
      <w:r w:rsidRPr="0023036E">
        <w:rPr>
          <w:b/>
          <w:i/>
        </w:rPr>
        <w:t xml:space="preserve">CDR consumer </w:t>
      </w:r>
      <w:r w:rsidRPr="0023036E">
        <w:t>has a meaning affected by subrule</w:t>
      </w:r>
      <w:r>
        <w:t xml:space="preserve"> (2)</w:t>
      </w:r>
      <w:r w:rsidRPr="0023036E">
        <w:t>.</w:t>
      </w:r>
    </w:p>
    <w:p w14:paraId="154816A0" w14:textId="77777777" w:rsidR="00BB7660" w:rsidRPr="00796ADB" w:rsidRDefault="00BB7660" w:rsidP="00BB7660">
      <w:pPr>
        <w:pStyle w:val="notetext"/>
      </w:pPr>
      <w:r w:rsidRPr="00796ADB">
        <w:t>Note:</w:t>
      </w:r>
      <w:r w:rsidRPr="00796ADB">
        <w:tab/>
        <w:t>The term “CDR consumer” is defined in the Act: see subsection 56AI(3) of the Act. Subrule </w:t>
      </w:r>
      <w:r>
        <w:t>(2)</w:t>
      </w:r>
      <w:r w:rsidRPr="00796ADB">
        <w:t xml:space="preserve"> deals with the usage of this term in these rules.</w:t>
      </w:r>
    </w:p>
    <w:p w14:paraId="0998A7C8" w14:textId="77777777" w:rsidR="00BB7660" w:rsidRPr="00A00F6F" w:rsidRDefault="00BB7660" w:rsidP="00BB7660">
      <w:pPr>
        <w:pStyle w:val="Definition"/>
      </w:pPr>
      <w:r w:rsidRPr="00A00F6F">
        <w:rPr>
          <w:b/>
          <w:i/>
        </w:rPr>
        <w:t>CDR consumer complaint</w:t>
      </w:r>
      <w:r w:rsidRPr="00A00F6F">
        <w:t xml:space="preserve"> means any expression of dissatisfaction made by a CDR consumer to or about a CDR participant, or a CDR representative of a CDR participant:</w:t>
      </w:r>
    </w:p>
    <w:p w14:paraId="40696B37" w14:textId="77777777" w:rsidR="00BB7660" w:rsidRPr="00A00F6F" w:rsidRDefault="00BB7660" w:rsidP="00BB7660">
      <w:pPr>
        <w:pStyle w:val="paragraph"/>
      </w:pPr>
      <w:r w:rsidRPr="00A00F6F">
        <w:tab/>
        <w:t>(a)</w:t>
      </w:r>
      <w:r w:rsidRPr="00A00F6F">
        <w:tab/>
        <w:t>that relates to:</w:t>
      </w:r>
    </w:p>
    <w:p w14:paraId="2742E25E" w14:textId="77777777" w:rsidR="00BB7660" w:rsidRPr="00A00F6F" w:rsidRDefault="00BB7660" w:rsidP="00BB7660">
      <w:pPr>
        <w:pStyle w:val="paragraphsub"/>
      </w:pPr>
      <w:r w:rsidRPr="00A00F6F">
        <w:tab/>
        <w:t>(i)</w:t>
      </w:r>
      <w:r w:rsidRPr="00A00F6F">
        <w:tab/>
        <w:t>that person’s obligations under or compliance with:</w:t>
      </w:r>
    </w:p>
    <w:p w14:paraId="4BF2EB44" w14:textId="77777777" w:rsidR="00BB7660" w:rsidRPr="00A00F6F" w:rsidRDefault="00BB7660" w:rsidP="00BB7660">
      <w:pPr>
        <w:pStyle w:val="paragraphsub-sub"/>
      </w:pPr>
      <w:r w:rsidRPr="00A00F6F">
        <w:tab/>
        <w:t>(A)</w:t>
      </w:r>
      <w:r w:rsidRPr="00A00F6F">
        <w:tab/>
        <w:t>Part IVD of the Act; or</w:t>
      </w:r>
    </w:p>
    <w:p w14:paraId="4138759B" w14:textId="77777777" w:rsidR="00BB7660" w:rsidRPr="00A00F6F" w:rsidRDefault="00BB7660" w:rsidP="00BB7660">
      <w:pPr>
        <w:pStyle w:val="paragraphsub-sub"/>
      </w:pPr>
      <w:r w:rsidRPr="00A00F6F">
        <w:tab/>
        <w:t>(B)</w:t>
      </w:r>
      <w:r w:rsidRPr="00A00F6F">
        <w:tab/>
        <w:t>these rules; or</w:t>
      </w:r>
    </w:p>
    <w:p w14:paraId="2E049659" w14:textId="77777777" w:rsidR="00BB7660" w:rsidRPr="00A00F6F" w:rsidRDefault="00BB7660" w:rsidP="00BB7660">
      <w:pPr>
        <w:pStyle w:val="paragraphsub-sub"/>
      </w:pPr>
      <w:r w:rsidRPr="00A00F6F">
        <w:tab/>
        <w:t>(C)</w:t>
      </w:r>
      <w:r w:rsidRPr="00A00F6F">
        <w:tab/>
        <w:t>binding data standards; or</w:t>
      </w:r>
    </w:p>
    <w:p w14:paraId="0108A269" w14:textId="77777777" w:rsidR="00BB7660" w:rsidRPr="00A00F6F" w:rsidRDefault="00BB7660" w:rsidP="00BB7660">
      <w:pPr>
        <w:pStyle w:val="paragraphsub"/>
      </w:pPr>
      <w:r w:rsidRPr="00A00F6F">
        <w:tab/>
        <w:t>(ii)</w:t>
      </w:r>
      <w:r w:rsidRPr="00A00F6F">
        <w:tab/>
        <w:t>the provision to the CDR consumer, by that person, of the goods or services in respect of which the consumer granted consent under Part 4; and</w:t>
      </w:r>
    </w:p>
    <w:p w14:paraId="434B53F6" w14:textId="77777777" w:rsidR="00BB7660" w:rsidRPr="00A00F6F" w:rsidRDefault="00BB7660" w:rsidP="00BB7660">
      <w:pPr>
        <w:pStyle w:val="paragraph"/>
      </w:pPr>
      <w:r w:rsidRPr="00A00F6F">
        <w:tab/>
        <w:t>(b)</w:t>
      </w:r>
      <w:r w:rsidRPr="00A00F6F">
        <w:tab/>
        <w:t>for which a response or resolution could reasonably be expected.</w:t>
      </w:r>
    </w:p>
    <w:p w14:paraId="3BE0D897" w14:textId="77777777" w:rsidR="00BB7660" w:rsidRPr="00A00F6F" w:rsidRDefault="00BB7660" w:rsidP="00BB7660">
      <w:pPr>
        <w:pStyle w:val="notetext"/>
      </w:pPr>
      <w:r w:rsidRPr="00A00F6F">
        <w:t>Note:</w:t>
      </w:r>
      <w:r w:rsidRPr="00A00F6F">
        <w:tab/>
        <w:t>Complaints of a kind referred to in sub</w:t>
      </w:r>
      <w:r w:rsidRPr="00A00F6F">
        <w:noBreakHyphen/>
        <w:t>subparagraph (a)(i)(B) include a complaint relating to the participant’s obligations under, or compliance with, rules dealing with the handling of CDR consumer complaints.</w:t>
      </w:r>
    </w:p>
    <w:p w14:paraId="3BE1DE17" w14:textId="77777777" w:rsidR="00BB7660" w:rsidRPr="00E53912" w:rsidRDefault="00BB7660" w:rsidP="00BB7660">
      <w:pPr>
        <w:pStyle w:val="Definition"/>
      </w:pPr>
      <w:r w:rsidRPr="00E53912">
        <w:rPr>
          <w:b/>
          <w:i/>
        </w:rPr>
        <w:t>CDR data de</w:t>
      </w:r>
      <w:r w:rsidRPr="00E53912">
        <w:rPr>
          <w:b/>
          <w:i/>
        </w:rPr>
        <w:noBreakHyphen/>
        <w:t>identification process</w:t>
      </w:r>
      <w:r w:rsidRPr="00E53912">
        <w:t xml:space="preserve"> has the meaning given by rule </w:t>
      </w:r>
      <w:r>
        <w:t>1.17</w:t>
      </w:r>
      <w:r w:rsidRPr="00E53912">
        <w:t>.</w:t>
      </w:r>
    </w:p>
    <w:p w14:paraId="6311EBE6" w14:textId="77777777" w:rsidR="00BB7660" w:rsidRPr="00E53912" w:rsidRDefault="00BB7660" w:rsidP="00BB7660">
      <w:pPr>
        <w:pStyle w:val="Definition"/>
      </w:pPr>
      <w:r w:rsidRPr="00E53912">
        <w:rPr>
          <w:b/>
          <w:i/>
        </w:rPr>
        <w:t>CDR data deletion process</w:t>
      </w:r>
      <w:r w:rsidRPr="00E53912">
        <w:t xml:space="preserve"> has the meaning given by rule </w:t>
      </w:r>
      <w:r>
        <w:t>1.18</w:t>
      </w:r>
      <w:r w:rsidRPr="00E53912">
        <w:t>.</w:t>
      </w:r>
    </w:p>
    <w:p w14:paraId="4193C4B3" w14:textId="77777777" w:rsidR="00BB7660" w:rsidRPr="00A00F6F" w:rsidRDefault="00BB7660" w:rsidP="00BB7660">
      <w:pPr>
        <w:pStyle w:val="subsection"/>
      </w:pPr>
      <w:r w:rsidRPr="00A00F6F">
        <w:tab/>
      </w:r>
      <w:r w:rsidRPr="00A00F6F">
        <w:tab/>
      </w:r>
      <w:r w:rsidRPr="00A00F6F">
        <w:rPr>
          <w:b/>
          <w:i/>
        </w:rPr>
        <w:t>CDR insight</w:t>
      </w:r>
      <w:r w:rsidRPr="00A00F6F">
        <w:t>, in relation to an insight disclosure consent, means the CDR data subject to the consent.</w:t>
      </w:r>
    </w:p>
    <w:p w14:paraId="5CEDE151" w14:textId="77777777" w:rsidR="00BB7660" w:rsidRDefault="00BB7660" w:rsidP="00BB7660">
      <w:pPr>
        <w:pStyle w:val="Definition"/>
      </w:pPr>
      <w:r w:rsidRPr="00B61E66">
        <w:rPr>
          <w:b/>
          <w:bCs/>
          <w:i/>
          <w:iCs/>
        </w:rPr>
        <w:t>CDR logo</w:t>
      </w:r>
      <w:r w:rsidRPr="00B61E66">
        <w:t xml:space="preserve"> means a logo or symbol, including one whose use requires a licence or authorisation from a person other than the Commonwealth, approved by the Commission for the purposes of this definition. </w:t>
      </w:r>
    </w:p>
    <w:p w14:paraId="2CE9B58C" w14:textId="77777777" w:rsidR="00BB7660" w:rsidRDefault="00BB7660" w:rsidP="00BB7660">
      <w:pPr>
        <w:pStyle w:val="Definition"/>
        <w:rPr>
          <w:b/>
          <w:i/>
          <w:color w:val="000000" w:themeColor="text1"/>
        </w:rPr>
      </w:pPr>
      <w:r w:rsidRPr="005F3D40">
        <w:rPr>
          <w:b/>
          <w:i/>
          <w:color w:val="000000" w:themeColor="text1"/>
        </w:rPr>
        <w:t>CDR outsourcing arrangement</w:t>
      </w:r>
      <w:r w:rsidRPr="009C222D">
        <w:rPr>
          <w:color w:val="000000" w:themeColor="text1"/>
        </w:rPr>
        <w:t xml:space="preserve"> </w:t>
      </w:r>
      <w:r w:rsidRPr="009500AD">
        <w:t>has the meaning given by rule </w:t>
      </w:r>
      <w:r>
        <w:t>1.10</w:t>
      </w:r>
      <w:r w:rsidRPr="009500AD">
        <w:t>.</w:t>
      </w:r>
    </w:p>
    <w:p w14:paraId="1CE67C86" w14:textId="77777777" w:rsidR="00BB7660" w:rsidRPr="00796ADB" w:rsidRDefault="00BB7660" w:rsidP="00BB7660">
      <w:pPr>
        <w:pStyle w:val="Definition"/>
      </w:pPr>
      <w:r w:rsidRPr="00796ADB">
        <w:rPr>
          <w:b/>
          <w:i/>
        </w:rPr>
        <w:t xml:space="preserve">CDR participant </w:t>
      </w:r>
      <w:r w:rsidRPr="00796ADB">
        <w:t>has a meaning affected by subrule </w:t>
      </w:r>
      <w:r>
        <w:t>(2)</w:t>
      </w:r>
      <w:r w:rsidRPr="00796ADB">
        <w:t>.</w:t>
      </w:r>
    </w:p>
    <w:p w14:paraId="5143F127" w14:textId="77777777" w:rsidR="00BB7660" w:rsidRPr="00796ADB" w:rsidRDefault="00BB7660" w:rsidP="00BB7660">
      <w:pPr>
        <w:pStyle w:val="notetext"/>
      </w:pPr>
      <w:r w:rsidRPr="00796ADB">
        <w:t>Note:</w:t>
      </w:r>
      <w:r w:rsidRPr="00796ADB">
        <w:tab/>
        <w:t>The term “CDR participant” is defined in the Act: see subsection 56AL(1) of the Act. Subrule </w:t>
      </w:r>
      <w:r>
        <w:t>(2)</w:t>
      </w:r>
      <w:r w:rsidRPr="00796ADB">
        <w:t xml:space="preserve"> deals with the usage of this term in these rules.</w:t>
      </w:r>
    </w:p>
    <w:p w14:paraId="36874228" w14:textId="77777777" w:rsidR="00BB7660" w:rsidRDefault="00BB7660" w:rsidP="00BB7660">
      <w:pPr>
        <w:pStyle w:val="Definition"/>
      </w:pPr>
      <w:r>
        <w:rPr>
          <w:b/>
          <w:i/>
        </w:rPr>
        <w:t xml:space="preserve">CDR policy </w:t>
      </w:r>
      <w:r w:rsidRPr="00925D00">
        <w:t xml:space="preserve">means a </w:t>
      </w:r>
      <w:r>
        <w:t>policy that a CDR participant has and maintains in compliance with subsection 56ED(3) of the Act.</w:t>
      </w:r>
    </w:p>
    <w:p w14:paraId="7E01BBF7" w14:textId="77777777" w:rsidR="00BB7660" w:rsidRPr="00A00F6F" w:rsidRDefault="00BB7660" w:rsidP="00BB7660">
      <w:pPr>
        <w:pStyle w:val="Definition"/>
        <w:rPr>
          <w:b/>
          <w:i/>
        </w:rPr>
      </w:pPr>
      <w:r w:rsidRPr="00A00F6F">
        <w:rPr>
          <w:b/>
          <w:i/>
        </w:rPr>
        <w:t xml:space="preserve">CDR principal </w:t>
      </w:r>
      <w:r w:rsidRPr="00A00F6F">
        <w:t>has the meaning given by rule 1.10AA.</w:t>
      </w:r>
    </w:p>
    <w:p w14:paraId="2394DEDB" w14:textId="77777777" w:rsidR="00BB7660" w:rsidRPr="00771FEA" w:rsidRDefault="00BB7660" w:rsidP="00BB7660">
      <w:pPr>
        <w:pStyle w:val="Definition"/>
      </w:pPr>
      <w:r w:rsidRPr="00771FEA">
        <w:rPr>
          <w:b/>
          <w:i/>
        </w:rPr>
        <w:t>CDR product data complaint</w:t>
      </w:r>
      <w:r w:rsidRPr="00771FEA">
        <w:t xml:space="preserve"> means an expression of dissatisfaction made to a data holder about its required product data or its voluntary product data for which a response or resolution could reasonably be expected.</w:t>
      </w:r>
    </w:p>
    <w:p w14:paraId="21362F3C" w14:textId="77777777" w:rsidR="00BB7660" w:rsidRPr="00A00F6F" w:rsidRDefault="00BB7660" w:rsidP="00BB7660">
      <w:pPr>
        <w:pStyle w:val="Definition"/>
        <w:rPr>
          <w:b/>
          <w:i/>
        </w:rPr>
      </w:pPr>
      <w:r w:rsidRPr="00A00F6F">
        <w:rPr>
          <w:b/>
          <w:i/>
        </w:rPr>
        <w:t xml:space="preserve">CDR representative </w:t>
      </w:r>
      <w:r w:rsidRPr="00A00F6F">
        <w:t>has the meaning given by rule 1.10AA.</w:t>
      </w:r>
    </w:p>
    <w:p w14:paraId="36BEC2B3" w14:textId="77777777" w:rsidR="00BB7660" w:rsidRPr="00A00F6F" w:rsidRDefault="00BB7660" w:rsidP="00BB7660">
      <w:pPr>
        <w:pStyle w:val="Definition"/>
        <w:rPr>
          <w:b/>
          <w:i/>
        </w:rPr>
      </w:pPr>
      <w:r w:rsidRPr="00A00F6F">
        <w:rPr>
          <w:b/>
          <w:i/>
        </w:rPr>
        <w:lastRenderedPageBreak/>
        <w:t>CDR representative arrangement</w:t>
      </w:r>
      <w:r w:rsidRPr="00A00F6F">
        <w:t xml:space="preserve"> has the meaning given by rule 1.10AA.</w:t>
      </w:r>
    </w:p>
    <w:p w14:paraId="4F4025D1" w14:textId="77777777" w:rsidR="00BB7660" w:rsidRPr="00A00F6F" w:rsidRDefault="00BB7660" w:rsidP="00BB7660">
      <w:pPr>
        <w:pStyle w:val="Definition"/>
        <w:rPr>
          <w:b/>
          <w:i/>
        </w:rPr>
      </w:pPr>
      <w:r w:rsidRPr="00A00F6F">
        <w:rPr>
          <w:b/>
          <w:i/>
        </w:rPr>
        <w:t xml:space="preserve">co-approval option </w:t>
      </w:r>
      <w:r w:rsidRPr="00A00F6F">
        <w:t>has the meaning given by rule 4A.5.</w:t>
      </w:r>
    </w:p>
    <w:p w14:paraId="6AF7A621" w14:textId="77777777" w:rsidR="00BB7660" w:rsidRPr="00771FEA" w:rsidRDefault="00BB7660" w:rsidP="00BB7660">
      <w:pPr>
        <w:pStyle w:val="Definition"/>
      </w:pPr>
      <w:r w:rsidRPr="00771FEA">
        <w:rPr>
          <w:b/>
          <w:i/>
        </w:rPr>
        <w:t xml:space="preserve">collection consent </w:t>
      </w:r>
      <w:r w:rsidRPr="00771FEA">
        <w:t>has the meaning given by rule 1.10A.</w:t>
      </w:r>
    </w:p>
    <w:p w14:paraId="39AD2CB6" w14:textId="77777777" w:rsidR="00BB7660" w:rsidRPr="00771FEA" w:rsidRDefault="00BB7660" w:rsidP="00BB7660">
      <w:pPr>
        <w:pStyle w:val="Definition"/>
        <w:rPr>
          <w:bCs/>
          <w:iCs/>
          <w:szCs w:val="22"/>
        </w:rPr>
      </w:pPr>
      <w:r w:rsidRPr="00771FEA">
        <w:rPr>
          <w:b/>
          <w:bCs/>
          <w:i/>
          <w:iCs/>
          <w:szCs w:val="22"/>
        </w:rPr>
        <w:t xml:space="preserve">consent </w:t>
      </w:r>
      <w:r w:rsidRPr="00771FEA">
        <w:rPr>
          <w:bCs/>
          <w:iCs/>
          <w:szCs w:val="22"/>
        </w:rPr>
        <w:t>means:</w:t>
      </w:r>
    </w:p>
    <w:p w14:paraId="43990B2C" w14:textId="77777777" w:rsidR="00BB7660" w:rsidRPr="00F84E2D" w:rsidRDefault="00BB7660" w:rsidP="00BB7660">
      <w:pPr>
        <w:pStyle w:val="paragraph"/>
      </w:pPr>
      <w:r w:rsidRPr="00F84E2D">
        <w:tab/>
        <w:t>(a)</w:t>
      </w:r>
      <w:r w:rsidRPr="00F84E2D">
        <w:tab/>
        <w:t>a collection consent, a use consent or a disclosure consent; or</w:t>
      </w:r>
    </w:p>
    <w:p w14:paraId="614E74A5" w14:textId="77777777" w:rsidR="00BB7660" w:rsidRDefault="00BB7660" w:rsidP="00BB7660">
      <w:pPr>
        <w:pStyle w:val="paragraph"/>
      </w:pPr>
      <w:r w:rsidRPr="00771FEA">
        <w:tab/>
        <w:t>(b)</w:t>
      </w:r>
      <w:r w:rsidRPr="00771FEA">
        <w:tab/>
        <w:t>such a consent as amended in accordance with these rules.</w:t>
      </w:r>
    </w:p>
    <w:p w14:paraId="19DDB9BB" w14:textId="77777777" w:rsidR="00BB7660" w:rsidRPr="00B3173B" w:rsidRDefault="00BB7660" w:rsidP="00BB7660">
      <w:pPr>
        <w:pStyle w:val="Definition"/>
      </w:pPr>
      <w:r w:rsidRPr="00B3173B">
        <w:rPr>
          <w:b/>
          <w:i/>
        </w:rPr>
        <w:t>consumer dashboard</w:t>
      </w:r>
      <w:r w:rsidRPr="00B3173B">
        <w:t>:</w:t>
      </w:r>
    </w:p>
    <w:p w14:paraId="6A2B01F7" w14:textId="77777777" w:rsidR="00BB7660" w:rsidRPr="00D64732" w:rsidRDefault="00BB7660" w:rsidP="00BB7660">
      <w:pPr>
        <w:pStyle w:val="paragraph"/>
      </w:pPr>
      <w:r w:rsidRPr="00B3173B">
        <w:tab/>
        <w:t>(</w:t>
      </w:r>
      <w:r>
        <w:t>a</w:t>
      </w:r>
      <w:r w:rsidRPr="00B3173B">
        <w:t>)</w:t>
      </w:r>
      <w:r w:rsidRPr="00B3173B">
        <w:tab/>
        <w:t xml:space="preserve">in </w:t>
      </w:r>
      <w:r w:rsidRPr="00D64732">
        <w:t>relation to an accredited person—has the meaning given by rule 1.14; and</w:t>
      </w:r>
    </w:p>
    <w:p w14:paraId="0EF74211" w14:textId="77777777" w:rsidR="00BB7660" w:rsidRPr="00B3173B" w:rsidRDefault="00BB7660" w:rsidP="00BB7660">
      <w:pPr>
        <w:pStyle w:val="paragraph"/>
      </w:pPr>
      <w:r w:rsidRPr="00B3173B">
        <w:tab/>
        <w:t>(</w:t>
      </w:r>
      <w:r>
        <w:t>b</w:t>
      </w:r>
      <w:r w:rsidRPr="00B3173B">
        <w:t>)</w:t>
      </w:r>
      <w:r w:rsidRPr="00B3173B">
        <w:tab/>
        <w:t>in relation to a data holder—</w:t>
      </w:r>
      <w:r>
        <w:t>has the meaning given by</w:t>
      </w:r>
      <w:r w:rsidRPr="00A00F6F">
        <w:t xml:space="preserve"> rules 1.15 and 4A.13</w:t>
      </w:r>
      <w:r>
        <w:t>.</w:t>
      </w:r>
    </w:p>
    <w:p w14:paraId="3EAE37C7" w14:textId="77777777" w:rsidR="00BB7660" w:rsidRPr="00F07699" w:rsidRDefault="00BB7660" w:rsidP="00BB7660">
      <w:pPr>
        <w:pStyle w:val="definition0"/>
        <w:shd w:val="clear" w:color="auto" w:fill="FFFFFF"/>
        <w:spacing w:before="180" w:beforeAutospacing="0" w:after="0" w:afterAutospacing="0"/>
        <w:ind w:left="1134"/>
        <w:rPr>
          <w:sz w:val="22"/>
          <w:szCs w:val="22"/>
        </w:rPr>
      </w:pPr>
      <w:r w:rsidRPr="00F07699">
        <w:rPr>
          <w:b/>
          <w:bCs/>
          <w:i/>
          <w:iCs/>
          <w:sz w:val="22"/>
          <w:szCs w:val="22"/>
        </w:rPr>
        <w:t>consumer data request</w:t>
      </w:r>
      <w:r w:rsidRPr="00F07699">
        <w:rPr>
          <w:sz w:val="22"/>
          <w:szCs w:val="22"/>
        </w:rPr>
        <w:t>:</w:t>
      </w:r>
    </w:p>
    <w:p w14:paraId="3C9EB093" w14:textId="77777777" w:rsidR="00BB7660" w:rsidRPr="00F07699" w:rsidRDefault="00BB7660" w:rsidP="00BB7660">
      <w:pPr>
        <w:pStyle w:val="paragraph"/>
      </w:pPr>
      <w:r w:rsidRPr="00F07699">
        <w:tab/>
        <w:t>(a)</w:t>
      </w:r>
      <w:r w:rsidRPr="00F07699">
        <w:tab/>
        <w:t>by a CDR consumer—has the meaning given by rule 3.3; and</w:t>
      </w:r>
    </w:p>
    <w:p w14:paraId="2EE8C4BB" w14:textId="77777777" w:rsidR="00BB7660" w:rsidRPr="00771FEA" w:rsidRDefault="00BB7660" w:rsidP="00BB7660">
      <w:pPr>
        <w:pStyle w:val="paragraph"/>
      </w:pPr>
      <w:r w:rsidRPr="00F07699">
        <w:tab/>
        <w:t>(b)</w:t>
      </w:r>
      <w:r w:rsidRPr="00F07699">
        <w:tab/>
        <w:t>by an accredited person on behalf of a CDR consumer—has the meaning given by rule 4.</w:t>
      </w:r>
      <w:r w:rsidRPr="00771FEA">
        <w:t>4 or rule 4.7A.</w:t>
      </w:r>
    </w:p>
    <w:p w14:paraId="32CFFECB" w14:textId="77777777" w:rsidR="00BB7660" w:rsidRPr="00771FEA" w:rsidRDefault="00BB7660" w:rsidP="00BB7660">
      <w:pPr>
        <w:pStyle w:val="notetext"/>
      </w:pPr>
      <w:r w:rsidRPr="00771FEA">
        <w:t>Note:</w:t>
      </w:r>
      <w:r w:rsidRPr="00771FEA">
        <w:tab/>
        <w:t>The different types of consumer data request are summarised in the following table:</w:t>
      </w:r>
    </w:p>
    <w:p w14:paraId="706E88CF" w14:textId="77777777" w:rsidR="00BB7660" w:rsidRPr="00771FEA" w:rsidRDefault="00BB7660" w:rsidP="00BB7660">
      <w:pPr>
        <w:pStyle w:val="notepara"/>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78"/>
        <w:gridCol w:w="2078"/>
        <w:gridCol w:w="2078"/>
        <w:gridCol w:w="2079"/>
      </w:tblGrid>
      <w:tr w:rsidR="00BB7660" w:rsidRPr="00771FEA" w14:paraId="24ADFB8A" w14:textId="77777777" w:rsidTr="0051288D">
        <w:trPr>
          <w:tblHeader/>
        </w:trPr>
        <w:tc>
          <w:tcPr>
            <w:tcW w:w="2078" w:type="dxa"/>
            <w:tcBorders>
              <w:top w:val="single" w:sz="12" w:space="0" w:color="auto"/>
              <w:bottom w:val="single" w:sz="12" w:space="0" w:color="auto"/>
            </w:tcBorders>
          </w:tcPr>
          <w:p w14:paraId="5B836FF3" w14:textId="77777777" w:rsidR="00BB7660" w:rsidRPr="00771FEA" w:rsidRDefault="00BB7660" w:rsidP="0051288D">
            <w:pPr>
              <w:pStyle w:val="notepara"/>
              <w:ind w:left="0" w:firstLine="0"/>
              <w:rPr>
                <w:b/>
              </w:rPr>
            </w:pPr>
            <w:r w:rsidRPr="00771FEA">
              <w:rPr>
                <w:b/>
              </w:rPr>
              <w:t>A consumer data request made under:</w:t>
            </w:r>
          </w:p>
        </w:tc>
        <w:tc>
          <w:tcPr>
            <w:tcW w:w="2078" w:type="dxa"/>
            <w:tcBorders>
              <w:top w:val="single" w:sz="12" w:space="0" w:color="auto"/>
              <w:bottom w:val="single" w:sz="12" w:space="0" w:color="auto"/>
            </w:tcBorders>
          </w:tcPr>
          <w:p w14:paraId="5C6A95C4" w14:textId="77777777" w:rsidR="00BB7660" w:rsidRPr="00771FEA" w:rsidRDefault="00BB7660" w:rsidP="0051288D">
            <w:pPr>
              <w:pStyle w:val="notepara"/>
              <w:ind w:left="0" w:firstLine="0"/>
              <w:rPr>
                <w:b/>
              </w:rPr>
            </w:pPr>
            <w:r w:rsidRPr="00771FEA">
              <w:rPr>
                <w:b/>
              </w:rPr>
              <w:t>is made by:</w:t>
            </w:r>
          </w:p>
        </w:tc>
        <w:tc>
          <w:tcPr>
            <w:tcW w:w="2078" w:type="dxa"/>
            <w:tcBorders>
              <w:top w:val="single" w:sz="12" w:space="0" w:color="auto"/>
              <w:bottom w:val="single" w:sz="12" w:space="0" w:color="auto"/>
            </w:tcBorders>
          </w:tcPr>
          <w:p w14:paraId="00006DE7" w14:textId="77777777" w:rsidR="00BB7660" w:rsidRPr="00771FEA" w:rsidRDefault="00BB7660" w:rsidP="0051288D">
            <w:pPr>
              <w:pStyle w:val="notepara"/>
              <w:ind w:left="0" w:firstLine="0"/>
              <w:rPr>
                <w:b/>
              </w:rPr>
            </w:pPr>
            <w:r w:rsidRPr="00771FEA">
              <w:rPr>
                <w:b/>
              </w:rPr>
              <w:t>to:</w:t>
            </w:r>
          </w:p>
        </w:tc>
        <w:tc>
          <w:tcPr>
            <w:tcW w:w="2079" w:type="dxa"/>
            <w:tcBorders>
              <w:top w:val="single" w:sz="12" w:space="0" w:color="auto"/>
              <w:bottom w:val="single" w:sz="12" w:space="0" w:color="auto"/>
            </w:tcBorders>
          </w:tcPr>
          <w:p w14:paraId="2B84E766" w14:textId="77777777" w:rsidR="00BB7660" w:rsidRPr="00771FEA" w:rsidRDefault="00BB7660" w:rsidP="0051288D">
            <w:pPr>
              <w:pStyle w:val="notepara"/>
              <w:ind w:left="0" w:firstLine="0"/>
              <w:rPr>
                <w:b/>
              </w:rPr>
            </w:pPr>
            <w:r w:rsidRPr="00771FEA">
              <w:rPr>
                <w:b/>
              </w:rPr>
              <w:t>for disclosure of CDR data to:</w:t>
            </w:r>
          </w:p>
        </w:tc>
      </w:tr>
      <w:tr w:rsidR="00BB7660" w:rsidRPr="00771FEA" w14:paraId="3518A1B3" w14:textId="77777777" w:rsidTr="0051288D">
        <w:tc>
          <w:tcPr>
            <w:tcW w:w="2078" w:type="dxa"/>
            <w:tcBorders>
              <w:top w:val="single" w:sz="12" w:space="0" w:color="auto"/>
              <w:bottom w:val="single" w:sz="2" w:space="0" w:color="auto"/>
            </w:tcBorders>
          </w:tcPr>
          <w:p w14:paraId="4197A956" w14:textId="77777777" w:rsidR="00BB7660" w:rsidRPr="00771FEA" w:rsidRDefault="00BB7660" w:rsidP="0051288D">
            <w:pPr>
              <w:pStyle w:val="notepara"/>
              <w:ind w:left="0" w:firstLine="0"/>
            </w:pPr>
            <w:r w:rsidRPr="00771FEA">
              <w:t>rule 3.3</w:t>
            </w:r>
          </w:p>
        </w:tc>
        <w:tc>
          <w:tcPr>
            <w:tcW w:w="2078" w:type="dxa"/>
            <w:tcBorders>
              <w:top w:val="single" w:sz="12" w:space="0" w:color="auto"/>
              <w:bottom w:val="single" w:sz="2" w:space="0" w:color="auto"/>
            </w:tcBorders>
          </w:tcPr>
          <w:p w14:paraId="724817AA" w14:textId="77777777" w:rsidR="00BB7660" w:rsidRPr="00771FEA" w:rsidRDefault="00BB7660" w:rsidP="0051288D">
            <w:pPr>
              <w:pStyle w:val="notepara"/>
              <w:ind w:left="0" w:firstLine="0"/>
            </w:pPr>
            <w:r w:rsidRPr="00771FEA">
              <w:t>a CDR consumer</w:t>
            </w:r>
          </w:p>
        </w:tc>
        <w:tc>
          <w:tcPr>
            <w:tcW w:w="2078" w:type="dxa"/>
            <w:tcBorders>
              <w:top w:val="single" w:sz="12" w:space="0" w:color="auto"/>
              <w:bottom w:val="single" w:sz="2" w:space="0" w:color="auto"/>
            </w:tcBorders>
          </w:tcPr>
          <w:p w14:paraId="52C0C347" w14:textId="77777777" w:rsidR="00BB7660" w:rsidRPr="00771FEA" w:rsidRDefault="00BB7660" w:rsidP="0051288D">
            <w:pPr>
              <w:pStyle w:val="notepara"/>
              <w:ind w:left="0" w:firstLine="0"/>
            </w:pPr>
            <w:r w:rsidRPr="00771FEA">
              <w:t>a data holder</w:t>
            </w:r>
          </w:p>
        </w:tc>
        <w:tc>
          <w:tcPr>
            <w:tcW w:w="2079" w:type="dxa"/>
            <w:tcBorders>
              <w:top w:val="single" w:sz="12" w:space="0" w:color="auto"/>
              <w:bottom w:val="single" w:sz="2" w:space="0" w:color="auto"/>
            </w:tcBorders>
          </w:tcPr>
          <w:p w14:paraId="481051A2" w14:textId="77777777" w:rsidR="00BB7660" w:rsidRPr="00771FEA" w:rsidRDefault="00BB7660" w:rsidP="0051288D">
            <w:pPr>
              <w:pStyle w:val="notepara"/>
              <w:ind w:left="0" w:firstLine="0"/>
            </w:pPr>
            <w:r w:rsidRPr="00771FEA">
              <w:t>the CDR consumer</w:t>
            </w:r>
          </w:p>
        </w:tc>
      </w:tr>
      <w:tr w:rsidR="00BB7660" w:rsidRPr="00771FEA" w14:paraId="4F1AE5E3" w14:textId="77777777" w:rsidTr="0051288D">
        <w:tc>
          <w:tcPr>
            <w:tcW w:w="2078" w:type="dxa"/>
            <w:tcBorders>
              <w:top w:val="single" w:sz="2" w:space="0" w:color="auto"/>
              <w:bottom w:val="single" w:sz="2" w:space="0" w:color="auto"/>
            </w:tcBorders>
          </w:tcPr>
          <w:p w14:paraId="0D000E72" w14:textId="77777777" w:rsidR="00BB7660" w:rsidRPr="00771FEA" w:rsidRDefault="00BB7660" w:rsidP="0051288D">
            <w:pPr>
              <w:pStyle w:val="notepara"/>
              <w:ind w:left="0" w:firstLine="0"/>
            </w:pPr>
            <w:r w:rsidRPr="00771FEA">
              <w:t>rule 4.4</w:t>
            </w:r>
          </w:p>
        </w:tc>
        <w:tc>
          <w:tcPr>
            <w:tcW w:w="2078" w:type="dxa"/>
            <w:tcBorders>
              <w:top w:val="single" w:sz="2" w:space="0" w:color="auto"/>
              <w:bottom w:val="single" w:sz="2" w:space="0" w:color="auto"/>
            </w:tcBorders>
          </w:tcPr>
          <w:p w14:paraId="5636EAA7" w14:textId="77777777" w:rsidR="00BB7660" w:rsidRPr="00771FEA" w:rsidRDefault="00BB7660" w:rsidP="0051288D">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13D4EE33" w14:textId="77777777" w:rsidR="00BB7660" w:rsidRPr="00771FEA" w:rsidRDefault="00BB7660" w:rsidP="0051288D">
            <w:pPr>
              <w:pStyle w:val="notepara"/>
              <w:ind w:left="0" w:firstLine="0"/>
            </w:pPr>
            <w:r w:rsidRPr="00771FEA">
              <w:t>a data holder</w:t>
            </w:r>
          </w:p>
        </w:tc>
        <w:tc>
          <w:tcPr>
            <w:tcW w:w="2079" w:type="dxa"/>
            <w:tcBorders>
              <w:top w:val="single" w:sz="2" w:space="0" w:color="auto"/>
              <w:bottom w:val="single" w:sz="2" w:space="0" w:color="auto"/>
            </w:tcBorders>
          </w:tcPr>
          <w:p w14:paraId="6AC2D2B9" w14:textId="77777777" w:rsidR="00BB7660" w:rsidRPr="00771FEA" w:rsidRDefault="00BB7660" w:rsidP="0051288D">
            <w:pPr>
              <w:pStyle w:val="notepara"/>
              <w:ind w:left="0" w:firstLine="0"/>
            </w:pPr>
            <w:r w:rsidRPr="00771FEA">
              <w:t>the accredited person</w:t>
            </w:r>
          </w:p>
        </w:tc>
      </w:tr>
      <w:tr w:rsidR="00BB7660" w:rsidRPr="00771FEA" w14:paraId="7CDA4012" w14:textId="77777777" w:rsidTr="0051288D">
        <w:tc>
          <w:tcPr>
            <w:tcW w:w="2078" w:type="dxa"/>
            <w:tcBorders>
              <w:top w:val="single" w:sz="2" w:space="0" w:color="auto"/>
              <w:bottom w:val="single" w:sz="2" w:space="0" w:color="auto"/>
            </w:tcBorders>
          </w:tcPr>
          <w:p w14:paraId="55F217C5" w14:textId="77777777" w:rsidR="00BB7660" w:rsidRPr="00771FEA" w:rsidRDefault="00BB7660" w:rsidP="0051288D">
            <w:pPr>
              <w:pStyle w:val="notepara"/>
              <w:ind w:left="0" w:firstLine="0"/>
            </w:pPr>
            <w:r w:rsidRPr="00771FEA">
              <w:t>rule 4.7A</w:t>
            </w:r>
          </w:p>
        </w:tc>
        <w:tc>
          <w:tcPr>
            <w:tcW w:w="2078" w:type="dxa"/>
            <w:tcBorders>
              <w:top w:val="single" w:sz="2" w:space="0" w:color="auto"/>
              <w:bottom w:val="single" w:sz="2" w:space="0" w:color="auto"/>
            </w:tcBorders>
          </w:tcPr>
          <w:p w14:paraId="4386C665" w14:textId="77777777" w:rsidR="00BB7660" w:rsidRPr="00771FEA" w:rsidRDefault="00BB7660" w:rsidP="0051288D">
            <w:pPr>
              <w:pStyle w:val="notepara"/>
              <w:ind w:left="0" w:firstLine="0"/>
            </w:pPr>
            <w:r w:rsidRPr="00771FEA">
              <w:t>an accredited person on behalf of a CDR consumer</w:t>
            </w:r>
          </w:p>
        </w:tc>
        <w:tc>
          <w:tcPr>
            <w:tcW w:w="2078" w:type="dxa"/>
            <w:tcBorders>
              <w:top w:val="single" w:sz="2" w:space="0" w:color="auto"/>
              <w:bottom w:val="single" w:sz="2" w:space="0" w:color="auto"/>
            </w:tcBorders>
          </w:tcPr>
          <w:p w14:paraId="2475E4C3" w14:textId="77777777" w:rsidR="00BB7660" w:rsidRPr="00771FEA" w:rsidRDefault="00BB7660" w:rsidP="0051288D">
            <w:pPr>
              <w:pStyle w:val="notepara"/>
              <w:ind w:left="0" w:firstLine="0"/>
            </w:pPr>
            <w:r w:rsidRPr="00771FEA">
              <w:t>an accredited data recipient</w:t>
            </w:r>
          </w:p>
        </w:tc>
        <w:tc>
          <w:tcPr>
            <w:tcW w:w="2079" w:type="dxa"/>
            <w:tcBorders>
              <w:top w:val="single" w:sz="2" w:space="0" w:color="auto"/>
              <w:bottom w:val="single" w:sz="2" w:space="0" w:color="auto"/>
            </w:tcBorders>
          </w:tcPr>
          <w:p w14:paraId="59D5DF09" w14:textId="77777777" w:rsidR="00BB7660" w:rsidRPr="00771FEA" w:rsidRDefault="00BB7660" w:rsidP="0051288D">
            <w:pPr>
              <w:pStyle w:val="notepara"/>
              <w:ind w:left="0" w:firstLine="0"/>
            </w:pPr>
            <w:r w:rsidRPr="00771FEA">
              <w:t>the accredited person</w:t>
            </w:r>
          </w:p>
        </w:tc>
      </w:tr>
    </w:tbl>
    <w:p w14:paraId="5BD8F0A4" w14:textId="77777777" w:rsidR="00BB7660" w:rsidRPr="00641354" w:rsidRDefault="00BB7660" w:rsidP="00BB7660">
      <w:pPr>
        <w:pStyle w:val="Definition"/>
      </w:pPr>
      <w:r w:rsidRPr="00641354">
        <w:rPr>
          <w:b/>
          <w:i/>
        </w:rPr>
        <w:t>current</w:t>
      </w:r>
      <w:r w:rsidRPr="00641354">
        <w:t>:</w:t>
      </w:r>
    </w:p>
    <w:p w14:paraId="2C94B865" w14:textId="77777777" w:rsidR="00BB7660" w:rsidRPr="00641354" w:rsidRDefault="00BB7660" w:rsidP="00BB7660">
      <w:pPr>
        <w:pStyle w:val="paragraph"/>
      </w:pPr>
      <w:r w:rsidRPr="00641354">
        <w:tab/>
        <w:t>(a)</w:t>
      </w:r>
      <w:r w:rsidRPr="00641354">
        <w:tab/>
        <w:t xml:space="preserve">a </w:t>
      </w:r>
      <w:r>
        <w:t>consent</w:t>
      </w:r>
      <w:r w:rsidRPr="00641354">
        <w:t xml:space="preserve"> is </w:t>
      </w:r>
      <w:r w:rsidRPr="00641354">
        <w:rPr>
          <w:b/>
          <w:i/>
        </w:rPr>
        <w:t xml:space="preserve">current </w:t>
      </w:r>
      <w:r w:rsidRPr="00641354">
        <w:t xml:space="preserve">if it has not expired in accordance with </w:t>
      </w:r>
      <w:r>
        <w:t>rule</w:t>
      </w:r>
      <w:r w:rsidRPr="00641354">
        <w:t> </w:t>
      </w:r>
      <w:r>
        <w:t>4.14</w:t>
      </w:r>
      <w:r w:rsidRPr="00FA2317">
        <w:rPr>
          <w:color w:val="0000FF"/>
        </w:rPr>
        <w:t xml:space="preserve"> </w:t>
      </w:r>
      <w:r w:rsidRPr="004A04A4">
        <w:rPr>
          <w:color w:val="0000FF"/>
        </w:rPr>
        <w:t>or 4</w:t>
      </w:r>
      <w:r w:rsidR="0034635F">
        <w:rPr>
          <w:color w:val="0000FF"/>
        </w:rPr>
        <w:t>.20K</w:t>
      </w:r>
      <w:r w:rsidRPr="00641354">
        <w:t>; and</w:t>
      </w:r>
    </w:p>
    <w:p w14:paraId="6072B4FC" w14:textId="77777777" w:rsidR="00BB7660" w:rsidRPr="00641354" w:rsidRDefault="00BB7660" w:rsidP="00BB7660">
      <w:pPr>
        <w:pStyle w:val="paragraph"/>
      </w:pPr>
      <w:r w:rsidRPr="00641354">
        <w:tab/>
        <w:t>(</w:t>
      </w:r>
      <w:r w:rsidRPr="00E1300D">
        <w:t>b</w:t>
      </w:r>
      <w:r w:rsidRPr="00641354">
        <w:t>)</w:t>
      </w:r>
      <w:r w:rsidRPr="00641354">
        <w:tab/>
        <w:t>a</w:t>
      </w:r>
      <w:r>
        <w:t>n</w:t>
      </w:r>
      <w:r w:rsidRPr="00641354">
        <w:t xml:space="preserve"> </w:t>
      </w:r>
      <w:r>
        <w:t>authorisation</w:t>
      </w:r>
      <w:r w:rsidRPr="00641354">
        <w:t xml:space="preserve"> </w:t>
      </w:r>
      <w:r>
        <w:t xml:space="preserve">to disclose particular CDR data </w:t>
      </w:r>
      <w:r w:rsidRPr="00641354">
        <w:t xml:space="preserve">is </w:t>
      </w:r>
      <w:r w:rsidRPr="00641354">
        <w:rPr>
          <w:b/>
          <w:i/>
        </w:rPr>
        <w:t xml:space="preserve">current </w:t>
      </w:r>
      <w:r w:rsidRPr="00641354">
        <w:t xml:space="preserve">if it has not expired in accordance with </w:t>
      </w:r>
      <w:r>
        <w:t>rule</w:t>
      </w:r>
      <w:r w:rsidRPr="00641354">
        <w:t> </w:t>
      </w:r>
      <w:r>
        <w:t>4.26</w:t>
      </w:r>
      <w:r w:rsidRPr="00641354">
        <w:t>.</w:t>
      </w:r>
    </w:p>
    <w:p w14:paraId="2B960D87" w14:textId="77777777" w:rsidR="00BB7660" w:rsidRPr="00771FEA" w:rsidRDefault="00BB7660" w:rsidP="00BB7660">
      <w:pPr>
        <w:pStyle w:val="notetext"/>
      </w:pPr>
      <w:r w:rsidRPr="00771FEA">
        <w:t>Note:</w:t>
      </w:r>
      <w:r w:rsidRPr="00771FEA">
        <w:tab/>
        <w:t>For paragraph (a), there are the following 3 kinds of consent:</w:t>
      </w:r>
    </w:p>
    <w:p w14:paraId="3691AFB0" w14:textId="77777777" w:rsidR="00BB7660" w:rsidRPr="00771FEA" w:rsidRDefault="00BB7660" w:rsidP="00BB7660">
      <w:pPr>
        <w:pStyle w:val="notepara"/>
      </w:pPr>
      <w:r w:rsidRPr="00771FEA">
        <w:sym w:font="Symbol" w:char="F0B7"/>
      </w:r>
      <w:r w:rsidRPr="00771FEA">
        <w:tab/>
        <w:t>collection consents;</w:t>
      </w:r>
    </w:p>
    <w:p w14:paraId="0E0DBCE5" w14:textId="77777777" w:rsidR="00BB7660" w:rsidRPr="00771FEA" w:rsidRDefault="00BB7660" w:rsidP="00BB7660">
      <w:pPr>
        <w:pStyle w:val="notepara"/>
      </w:pPr>
      <w:r w:rsidRPr="00771FEA">
        <w:sym w:font="Symbol" w:char="F0B7"/>
      </w:r>
      <w:r w:rsidRPr="00771FEA">
        <w:tab/>
        <w:t>use consents;</w:t>
      </w:r>
    </w:p>
    <w:p w14:paraId="40145B62" w14:textId="77777777" w:rsidR="00BB7660" w:rsidRPr="00771FEA" w:rsidRDefault="00BB7660" w:rsidP="00BB7660">
      <w:pPr>
        <w:pStyle w:val="notepara"/>
      </w:pPr>
      <w:r w:rsidRPr="00771FEA">
        <w:sym w:font="Symbol" w:char="F0B7"/>
      </w:r>
      <w:r w:rsidRPr="00771FEA">
        <w:tab/>
        <w:t>disclosure consents.</w:t>
      </w:r>
    </w:p>
    <w:p w14:paraId="68028F4C" w14:textId="77777777" w:rsidR="00BB7660" w:rsidRPr="0023036E" w:rsidRDefault="00BB7660" w:rsidP="00BB7660">
      <w:pPr>
        <w:pStyle w:val="Definition"/>
      </w:pPr>
      <w:r w:rsidRPr="0023036E">
        <w:rPr>
          <w:b/>
          <w:i/>
        </w:rPr>
        <w:t xml:space="preserve">data holder </w:t>
      </w:r>
      <w:r w:rsidRPr="0023036E">
        <w:t>has a meaning affected by subrule</w:t>
      </w:r>
      <w:r>
        <w:t> (2)</w:t>
      </w:r>
      <w:r w:rsidRPr="0023036E">
        <w:t>.</w:t>
      </w:r>
    </w:p>
    <w:p w14:paraId="45404880" w14:textId="77777777" w:rsidR="00BB7660" w:rsidRPr="00796ADB" w:rsidRDefault="00BB7660" w:rsidP="00BB7660">
      <w:pPr>
        <w:pStyle w:val="notetext"/>
      </w:pPr>
      <w:r w:rsidRPr="00796ADB">
        <w:t>Note:</w:t>
      </w:r>
      <w:r w:rsidRPr="00796ADB">
        <w:tab/>
        <w:t>The term “data holder” is defined in the Act: see subsection 56AJ of the Act. Subrule </w:t>
      </w:r>
      <w:r>
        <w:t>(2)</w:t>
      </w:r>
      <w:r w:rsidRPr="00796ADB">
        <w:t xml:space="preserve"> deals with the usage of this term in these rules.</w:t>
      </w:r>
    </w:p>
    <w:p w14:paraId="4E2A33EF" w14:textId="77777777" w:rsidR="00BB7660" w:rsidRPr="00E1300D" w:rsidRDefault="00BB7660" w:rsidP="00BB7660">
      <w:pPr>
        <w:pStyle w:val="Definition"/>
        <w:rPr>
          <w:color w:val="000000" w:themeColor="text1"/>
        </w:rPr>
      </w:pPr>
      <w:r w:rsidRPr="006F4A42">
        <w:rPr>
          <w:b/>
          <w:i/>
        </w:rPr>
        <w:t>data minimisation principle</w:t>
      </w:r>
      <w:r>
        <w:rPr>
          <w:b/>
          <w:i/>
        </w:rPr>
        <w:t xml:space="preserve"> </w:t>
      </w:r>
      <w:r w:rsidRPr="00E1300D">
        <w:t>has the meaning given by rule </w:t>
      </w:r>
      <w:r>
        <w:t>1.8</w:t>
      </w:r>
      <w:r w:rsidRPr="00E1300D">
        <w:rPr>
          <w:color w:val="000000" w:themeColor="text1"/>
        </w:rPr>
        <w:t>.</w:t>
      </w:r>
    </w:p>
    <w:p w14:paraId="44174512" w14:textId="77777777" w:rsidR="00BB7660" w:rsidRPr="00964EDA" w:rsidRDefault="00BB7660" w:rsidP="00BB7660">
      <w:pPr>
        <w:pStyle w:val="Definition"/>
        <w:rPr>
          <w:color w:val="000000"/>
        </w:rPr>
      </w:pPr>
      <w:r w:rsidRPr="00964EDA">
        <w:rPr>
          <w:b/>
          <w:i/>
          <w:color w:val="000000"/>
        </w:rPr>
        <w:t xml:space="preserve">Data Standards Advisory </w:t>
      </w:r>
      <w:r>
        <w:rPr>
          <w:b/>
          <w:i/>
          <w:color w:val="000000"/>
        </w:rPr>
        <w:t>Committee</w:t>
      </w:r>
      <w:r w:rsidRPr="00964EDA">
        <w:rPr>
          <w:b/>
          <w:i/>
          <w:color w:val="000000"/>
        </w:rPr>
        <w:t xml:space="preserve"> </w:t>
      </w:r>
      <w:r>
        <w:rPr>
          <w:color w:val="000000"/>
        </w:rPr>
        <w:t>has the meaning given by</w:t>
      </w:r>
      <w:r w:rsidRPr="00964EDA">
        <w:rPr>
          <w:color w:val="000000"/>
        </w:rPr>
        <w:t xml:space="preserve"> </w:t>
      </w:r>
      <w:r>
        <w:rPr>
          <w:color w:val="000000"/>
        </w:rPr>
        <w:t>rule</w:t>
      </w:r>
      <w:r w:rsidRPr="00964EDA">
        <w:rPr>
          <w:color w:val="000000"/>
        </w:rPr>
        <w:t> </w:t>
      </w:r>
      <w:r>
        <w:rPr>
          <w:color w:val="000000"/>
        </w:rPr>
        <w:t>8.2</w:t>
      </w:r>
      <w:r w:rsidRPr="00964EDA">
        <w:rPr>
          <w:color w:val="000000"/>
        </w:rPr>
        <w:t>.</w:t>
      </w:r>
    </w:p>
    <w:p w14:paraId="4BC196EF" w14:textId="77777777" w:rsidR="00BB7660" w:rsidRPr="00B61E66" w:rsidRDefault="00BB7660" w:rsidP="00BB7660">
      <w:pPr>
        <w:pStyle w:val="Definition"/>
        <w:rPr>
          <w:szCs w:val="22"/>
        </w:rPr>
      </w:pPr>
      <w:r w:rsidRPr="00A32529">
        <w:rPr>
          <w:b/>
          <w:bCs/>
          <w:i/>
          <w:iCs/>
        </w:rPr>
        <w:t>de-identification consent</w:t>
      </w:r>
      <w:r w:rsidRPr="00B61E66">
        <w:t xml:space="preserve"> has the meaning given by rule 1.10A.</w:t>
      </w:r>
    </w:p>
    <w:p w14:paraId="5CC82F08" w14:textId="77777777" w:rsidR="00BB7660" w:rsidRPr="00B61E66" w:rsidRDefault="00BB7660" w:rsidP="00BB7660">
      <w:pPr>
        <w:pStyle w:val="Definition"/>
      </w:pPr>
      <w:r w:rsidRPr="00B61E66">
        <w:rPr>
          <w:b/>
          <w:i/>
        </w:rPr>
        <w:lastRenderedPageBreak/>
        <w:t xml:space="preserve">direct marketing </w:t>
      </w:r>
      <w:r w:rsidRPr="00A32529">
        <w:rPr>
          <w:b/>
          <w:i/>
        </w:rPr>
        <w:t>consent</w:t>
      </w:r>
      <w:r w:rsidRPr="004F7FBE">
        <w:rPr>
          <w:b/>
          <w:i/>
        </w:rPr>
        <w:t xml:space="preserve"> </w:t>
      </w:r>
      <w:r w:rsidRPr="00B61E66">
        <w:t>has the meaning given by rule 1.10A.</w:t>
      </w:r>
    </w:p>
    <w:p w14:paraId="06C12871" w14:textId="77777777" w:rsidR="00BB7660" w:rsidRPr="004A04A4" w:rsidRDefault="00BB7660" w:rsidP="00BB7660">
      <w:pPr>
        <w:pStyle w:val="Definition"/>
        <w:rPr>
          <w:color w:val="0000FF"/>
        </w:rPr>
      </w:pPr>
      <w:r w:rsidRPr="004A04A4">
        <w:rPr>
          <w:b/>
          <w:i/>
          <w:color w:val="0000FF"/>
        </w:rPr>
        <w:t xml:space="preserve">direct OSP </w:t>
      </w:r>
      <w:r w:rsidRPr="004A04A4">
        <w:rPr>
          <w:color w:val="0000FF"/>
        </w:rPr>
        <w:t>has the meaning given by rule 1.10.</w:t>
      </w:r>
    </w:p>
    <w:p w14:paraId="3B39250F" w14:textId="77777777" w:rsidR="00BB7660" w:rsidRPr="00F87C2B" w:rsidRDefault="00BB7660" w:rsidP="00BB7660">
      <w:pPr>
        <w:pStyle w:val="Definition"/>
      </w:pPr>
      <w:r w:rsidRPr="00641354">
        <w:rPr>
          <w:b/>
          <w:i/>
        </w:rPr>
        <w:t>direct request</w:t>
      </w:r>
      <w:r>
        <w:rPr>
          <w:b/>
          <w:i/>
        </w:rPr>
        <w:t xml:space="preserve"> service </w:t>
      </w:r>
      <w:r>
        <w:t>has the meaning given by subrule 1.13(2).</w:t>
      </w:r>
    </w:p>
    <w:p w14:paraId="1A4F7829" w14:textId="77777777" w:rsidR="00BB7660" w:rsidRDefault="00BB7660" w:rsidP="00BB7660">
      <w:pPr>
        <w:pStyle w:val="Definition"/>
      </w:pPr>
      <w:r w:rsidRPr="00771FEA">
        <w:rPr>
          <w:b/>
          <w:i/>
        </w:rPr>
        <w:t xml:space="preserve">disclosure consent </w:t>
      </w:r>
      <w:r w:rsidRPr="00771FEA">
        <w:t>has the meaning given by rule 1.10A.</w:t>
      </w:r>
    </w:p>
    <w:p w14:paraId="75C169D9" w14:textId="77777777" w:rsidR="00BB7660" w:rsidRPr="00A00F6F" w:rsidRDefault="00BB7660" w:rsidP="00BB7660">
      <w:pPr>
        <w:pStyle w:val="Definition"/>
        <w:rPr>
          <w:b/>
          <w:i/>
        </w:rPr>
      </w:pPr>
      <w:r w:rsidRPr="00A00F6F">
        <w:rPr>
          <w:b/>
          <w:i/>
        </w:rPr>
        <w:t xml:space="preserve">disclosure option </w:t>
      </w:r>
      <w:r w:rsidRPr="00A00F6F">
        <w:t>has the meaning given by rule 4A.5.</w:t>
      </w:r>
    </w:p>
    <w:p w14:paraId="1806A970" w14:textId="77777777" w:rsidR="00BB7660" w:rsidRPr="00A00F6F" w:rsidRDefault="00BB7660" w:rsidP="00BB7660">
      <w:pPr>
        <w:pStyle w:val="Definition"/>
      </w:pPr>
      <w:r w:rsidRPr="00A00F6F">
        <w:rPr>
          <w:b/>
          <w:i/>
        </w:rPr>
        <w:t xml:space="preserve">disclosure option management service </w:t>
      </w:r>
      <w:r w:rsidRPr="00A00F6F">
        <w:t>has the meaning given by rule 4A.6.</w:t>
      </w:r>
    </w:p>
    <w:p w14:paraId="529EEE0D" w14:textId="77777777" w:rsidR="00BB7660" w:rsidRPr="00A00F6F" w:rsidRDefault="00BB7660" w:rsidP="00BB7660">
      <w:pPr>
        <w:pStyle w:val="Definition"/>
      </w:pPr>
      <w:r w:rsidRPr="00A00F6F">
        <w:rPr>
          <w:b/>
          <w:i/>
        </w:rPr>
        <w:t>eligible</w:t>
      </w:r>
      <w:r w:rsidRPr="00A00F6F">
        <w:t>,</w:t>
      </w:r>
      <w:r w:rsidRPr="00A00F6F">
        <w:rPr>
          <w:b/>
          <w:i/>
        </w:rPr>
        <w:t xml:space="preserve"> </w:t>
      </w:r>
      <w:r w:rsidRPr="00A00F6F">
        <w:t>in relation to a particular designated sector, has the meaning given by rule 1.10B.</w:t>
      </w:r>
    </w:p>
    <w:p w14:paraId="361F43B0" w14:textId="77777777" w:rsidR="00BB7660" w:rsidRPr="00A00F6F" w:rsidRDefault="00BB7660" w:rsidP="00BB7660">
      <w:pPr>
        <w:pStyle w:val="notetext"/>
      </w:pPr>
      <w:r w:rsidRPr="00A00F6F">
        <w:t>Note:</w:t>
      </w:r>
      <w:r w:rsidRPr="00A00F6F">
        <w:tab/>
        <w:t>See also:</w:t>
      </w:r>
    </w:p>
    <w:p w14:paraId="68747E0B"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2.1 of Schedule 3; and</w:t>
      </w:r>
    </w:p>
    <w:p w14:paraId="5814544C"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2.1 of Schedule 4.</w:t>
      </w:r>
    </w:p>
    <w:p w14:paraId="1EF2BB75" w14:textId="77777777" w:rsidR="00BB7660" w:rsidRPr="007C18B8" w:rsidRDefault="00BB7660" w:rsidP="00BB7660">
      <w:pPr>
        <w:pStyle w:val="Definition"/>
      </w:pPr>
      <w:r>
        <w:rPr>
          <w:b/>
          <w:i/>
        </w:rPr>
        <w:t xml:space="preserve">fit and proper person criteria </w:t>
      </w:r>
      <w:r>
        <w:t>has the meaning given by rule 1.9.</w:t>
      </w:r>
    </w:p>
    <w:p w14:paraId="610E34CB" w14:textId="77777777" w:rsidR="00BB7660" w:rsidRPr="00A90C37" w:rsidRDefault="00BB7660" w:rsidP="00BB7660">
      <w:pPr>
        <w:pStyle w:val="Definition"/>
        <w:rPr>
          <w:b/>
        </w:rPr>
      </w:pPr>
      <w:r w:rsidRPr="00A90C37">
        <w:rPr>
          <w:b/>
          <w:i/>
        </w:rPr>
        <w:t xml:space="preserve">foreign entity </w:t>
      </w:r>
      <w:r w:rsidRPr="00A90C37">
        <w:t>means a person who:</w:t>
      </w:r>
    </w:p>
    <w:p w14:paraId="790C3FE9" w14:textId="77777777" w:rsidR="00BB7660" w:rsidRPr="00A90C37" w:rsidRDefault="00BB7660" w:rsidP="00BB7660">
      <w:pPr>
        <w:pStyle w:val="paragraph"/>
      </w:pPr>
      <w:r w:rsidRPr="00A90C37">
        <w:tab/>
        <w:t>(a)</w:t>
      </w:r>
      <w:r w:rsidRPr="00A90C37">
        <w:tab/>
        <w:t>is not a body corporate established by or under a law of the Commonwealth, of a State or of a Territory; and</w:t>
      </w:r>
    </w:p>
    <w:p w14:paraId="65FCCA9F" w14:textId="77777777" w:rsidR="00BB7660" w:rsidRPr="00A90C37" w:rsidRDefault="00BB7660" w:rsidP="00BB7660">
      <w:pPr>
        <w:pStyle w:val="paragraph"/>
      </w:pPr>
      <w:r w:rsidRPr="00A90C37">
        <w:tab/>
        <w:t>(b)</w:t>
      </w:r>
      <w:r w:rsidRPr="00A90C37">
        <w:tab/>
        <w:t xml:space="preserve">is neither an Australian citizen, nor a permanent resident (within the meaning of the </w:t>
      </w:r>
      <w:r w:rsidRPr="00A90C37">
        <w:rPr>
          <w:i/>
        </w:rPr>
        <w:t>Australian Citizenship Act 2007</w:t>
      </w:r>
      <w:r w:rsidRPr="00A90C37">
        <w:t>).</w:t>
      </w:r>
    </w:p>
    <w:p w14:paraId="2DF63511" w14:textId="77777777" w:rsidR="00BB7660" w:rsidRDefault="00BB7660" w:rsidP="00BB7660">
      <w:pPr>
        <w:pStyle w:val="notetext"/>
      </w:pPr>
      <w:r w:rsidRPr="00A90C37">
        <w:t>Note:</w:t>
      </w:r>
      <w:r w:rsidRPr="00A90C37">
        <w:tab/>
        <w:t>See subsection 56C</w:t>
      </w:r>
      <w:r>
        <w:t>A</w:t>
      </w:r>
      <w:r w:rsidRPr="00A90C37">
        <w:t>(2) of the Act.</w:t>
      </w:r>
    </w:p>
    <w:p w14:paraId="595E97F4" w14:textId="77777777" w:rsidR="00BB7660" w:rsidRPr="00771FEA" w:rsidRDefault="00BB7660" w:rsidP="00BB7660">
      <w:pPr>
        <w:pStyle w:val="Definition"/>
      </w:pPr>
      <w:r w:rsidRPr="00771FEA">
        <w:rPr>
          <w:b/>
          <w:i/>
        </w:rPr>
        <w:t>general research</w:t>
      </w:r>
      <w:r w:rsidRPr="00771FEA">
        <w:t>, in relation to an accredited data recipient, means research by the accredited data recipient:</w:t>
      </w:r>
    </w:p>
    <w:p w14:paraId="1CF8501F" w14:textId="77777777" w:rsidR="00BB7660" w:rsidRPr="00771FEA" w:rsidRDefault="00BB7660" w:rsidP="00BB7660">
      <w:pPr>
        <w:pStyle w:val="paragraph"/>
      </w:pPr>
      <w:r w:rsidRPr="00771FEA">
        <w:tab/>
        <w:t>(a)</w:t>
      </w:r>
      <w:r w:rsidRPr="00771FEA">
        <w:tab/>
        <w:t>using CDR data that has been de</w:t>
      </w:r>
      <w:r w:rsidRPr="00771FEA">
        <w:noBreakHyphen/>
        <w:t>identified in accordance with</w:t>
      </w:r>
      <w:r w:rsidRPr="00F2318F">
        <w:t xml:space="preserve"> </w:t>
      </w:r>
      <w:r w:rsidRPr="00B61E66">
        <w:t>the CDR data de-identification process</w:t>
      </w:r>
      <w:r w:rsidRPr="00771FEA">
        <w:t>; and</w:t>
      </w:r>
    </w:p>
    <w:p w14:paraId="7D267EFD" w14:textId="77777777" w:rsidR="00BB7660" w:rsidRPr="00771FEA" w:rsidRDefault="00BB7660" w:rsidP="00BB7660">
      <w:pPr>
        <w:pStyle w:val="paragraph"/>
      </w:pPr>
      <w:r w:rsidRPr="00771FEA">
        <w:tab/>
        <w:t>(b)</w:t>
      </w:r>
      <w:r w:rsidRPr="00771FEA">
        <w:tab/>
        <w:t>that does not relate to the provision of goods or services to any particular CDR consumer.</w:t>
      </w:r>
    </w:p>
    <w:p w14:paraId="48E2A5EC" w14:textId="77777777" w:rsidR="00BB7660" w:rsidRDefault="00BB7660" w:rsidP="00BB7660">
      <w:pPr>
        <w:pStyle w:val="Definition"/>
      </w:pPr>
      <w:r>
        <w:rPr>
          <w:b/>
          <w:i/>
        </w:rPr>
        <w:t xml:space="preserve">goods </w:t>
      </w:r>
      <w:r>
        <w:t>includes products.</w:t>
      </w:r>
    </w:p>
    <w:p w14:paraId="3A042BDF" w14:textId="77777777" w:rsidR="00BB7660" w:rsidRPr="004A04A4" w:rsidRDefault="00BB7660" w:rsidP="00BB7660">
      <w:pPr>
        <w:pStyle w:val="Definition"/>
        <w:rPr>
          <w:color w:val="0000FF"/>
        </w:rPr>
      </w:pPr>
      <w:r w:rsidRPr="004A04A4">
        <w:rPr>
          <w:b/>
          <w:i/>
          <w:color w:val="0000FF"/>
        </w:rPr>
        <w:t xml:space="preserve">indirect OSP </w:t>
      </w:r>
      <w:r w:rsidRPr="004A04A4">
        <w:rPr>
          <w:color w:val="0000FF"/>
        </w:rPr>
        <w:t>has the meaning given by rule 1.10.</w:t>
      </w:r>
    </w:p>
    <w:p w14:paraId="4D13DB62" w14:textId="77777777" w:rsidR="00BB7660" w:rsidRPr="00A00F6F" w:rsidRDefault="00BB7660" w:rsidP="00BB7660">
      <w:pPr>
        <w:pStyle w:val="Definition"/>
      </w:pPr>
      <w:r w:rsidRPr="00A00F6F">
        <w:rPr>
          <w:b/>
          <w:i/>
        </w:rPr>
        <w:t>insight disclosure consent</w:t>
      </w:r>
      <w:r w:rsidRPr="00A00F6F">
        <w:t xml:space="preserve"> has the meaning given by rule 1.10A.</w:t>
      </w:r>
    </w:p>
    <w:p w14:paraId="0DD4227C" w14:textId="77777777" w:rsidR="00BB7660" w:rsidRPr="00A00F6F" w:rsidRDefault="00BB7660" w:rsidP="00BB7660">
      <w:pPr>
        <w:pStyle w:val="Definition"/>
      </w:pPr>
      <w:r w:rsidRPr="00A00F6F">
        <w:rPr>
          <w:b/>
          <w:i/>
        </w:rPr>
        <w:t>joint account</w:t>
      </w:r>
      <w:r w:rsidRPr="00A00F6F">
        <w:t>:</w:t>
      </w:r>
    </w:p>
    <w:p w14:paraId="1E3BA765" w14:textId="77777777" w:rsidR="00BB7660" w:rsidRPr="00A00F6F" w:rsidRDefault="00BB7660" w:rsidP="00BB7660">
      <w:pPr>
        <w:pStyle w:val="paragraph"/>
      </w:pPr>
      <w:r w:rsidRPr="00A00F6F">
        <w:tab/>
        <w:t>(a)</w:t>
      </w:r>
      <w:r w:rsidRPr="00A00F6F">
        <w:tab/>
        <w:t>means a joint account with a data holder for which there are 2 or more joint account holders, each of which is an individual who:</w:t>
      </w:r>
    </w:p>
    <w:p w14:paraId="719197F1" w14:textId="77777777" w:rsidR="00BB7660" w:rsidRPr="00A00F6F" w:rsidRDefault="00BB7660" w:rsidP="00BB7660">
      <w:pPr>
        <w:pStyle w:val="paragraphsub"/>
      </w:pPr>
      <w:r w:rsidRPr="00A00F6F">
        <w:tab/>
        <w:t>(i)</w:t>
      </w:r>
      <w:r w:rsidRPr="00A00F6F">
        <w:tab/>
        <w:t>so far as the data holder is aware, is acting in their own capacity and not on behalf of another person; and</w:t>
      </w:r>
    </w:p>
    <w:p w14:paraId="797EF8FA" w14:textId="77777777" w:rsidR="00BB7660" w:rsidRPr="00A00F6F" w:rsidRDefault="00BB7660" w:rsidP="00BB7660">
      <w:pPr>
        <w:pStyle w:val="paragraphsub"/>
      </w:pPr>
      <w:r w:rsidRPr="00A00F6F">
        <w:tab/>
        <w:t>(ii)</w:t>
      </w:r>
      <w:r w:rsidRPr="00A00F6F">
        <w:tab/>
        <w:t>is eligible in relation to the data holder; but</w:t>
      </w:r>
    </w:p>
    <w:p w14:paraId="1722758D" w14:textId="77777777" w:rsidR="00BB7660" w:rsidRPr="00A00F6F" w:rsidRDefault="00BB7660" w:rsidP="00BB7660">
      <w:pPr>
        <w:pStyle w:val="paragraph"/>
      </w:pPr>
      <w:r w:rsidRPr="00A00F6F">
        <w:tab/>
        <w:t>(b)</w:t>
      </w:r>
      <w:r w:rsidRPr="00A00F6F">
        <w:tab/>
        <w:t>does not include a partnership account with a data holder.</w:t>
      </w:r>
    </w:p>
    <w:p w14:paraId="200456E6" w14:textId="77777777" w:rsidR="00BB7660" w:rsidRDefault="00BB7660" w:rsidP="00BB7660">
      <w:pPr>
        <w:pStyle w:val="Definition"/>
      </w:pPr>
      <w:r w:rsidRPr="00701680">
        <w:rPr>
          <w:b/>
          <w:i/>
        </w:rPr>
        <w:t>law releva</w:t>
      </w:r>
      <w:r>
        <w:rPr>
          <w:b/>
          <w:i/>
        </w:rPr>
        <w:t xml:space="preserve">nt to the management of CDR data </w:t>
      </w:r>
      <w:r>
        <w:t>means any of the following:</w:t>
      </w:r>
    </w:p>
    <w:p w14:paraId="618683A1" w14:textId="77777777" w:rsidR="00BB7660" w:rsidRDefault="00BB7660" w:rsidP="00BB7660">
      <w:pPr>
        <w:pStyle w:val="paragraph"/>
      </w:pPr>
      <w:r>
        <w:tab/>
        <w:t>(a)</w:t>
      </w:r>
      <w:r>
        <w:tab/>
        <w:t>the Act;</w:t>
      </w:r>
    </w:p>
    <w:p w14:paraId="00749BAC" w14:textId="77777777" w:rsidR="00BB7660" w:rsidRDefault="00BB7660" w:rsidP="00BB7660">
      <w:pPr>
        <w:pStyle w:val="paragraph"/>
      </w:pPr>
      <w:r>
        <w:tab/>
        <w:t>(b)</w:t>
      </w:r>
      <w:r>
        <w:tab/>
        <w:t>any regulation made for the purposes of the Act;</w:t>
      </w:r>
    </w:p>
    <w:p w14:paraId="1484C358" w14:textId="77777777" w:rsidR="00BB7660" w:rsidRDefault="00BB7660" w:rsidP="00BB7660">
      <w:pPr>
        <w:pStyle w:val="paragraph"/>
      </w:pPr>
      <w:r>
        <w:lastRenderedPageBreak/>
        <w:tab/>
        <w:t>(c)</w:t>
      </w:r>
      <w:r>
        <w:tab/>
        <w:t>these rules;</w:t>
      </w:r>
    </w:p>
    <w:p w14:paraId="4446C0BD" w14:textId="77777777" w:rsidR="00BB7660" w:rsidRPr="005D5E64" w:rsidRDefault="00BB7660" w:rsidP="00BB7660">
      <w:pPr>
        <w:pStyle w:val="paragraph"/>
        <w:rPr>
          <w:sz w:val="20"/>
        </w:rPr>
      </w:pPr>
      <w:r>
        <w:tab/>
      </w:r>
      <w:r w:rsidRPr="005D5E64">
        <w:t>(d)</w:t>
      </w:r>
      <w:r>
        <w:tab/>
      </w:r>
      <w:r w:rsidRPr="005D5E64">
        <w:t xml:space="preserve">the </w:t>
      </w:r>
      <w:r w:rsidRPr="005D5E64">
        <w:rPr>
          <w:i/>
          <w:iCs/>
        </w:rPr>
        <w:t xml:space="preserve">Corporations Act 2001 </w:t>
      </w:r>
      <w:r w:rsidRPr="005D5E64">
        <w:t>and the</w:t>
      </w:r>
      <w:r w:rsidRPr="005D5E64">
        <w:rPr>
          <w:i/>
          <w:iCs/>
        </w:rPr>
        <w:t xml:space="preserve"> Corporations Regulations 2001</w:t>
      </w:r>
      <w:r w:rsidRPr="005D5E64">
        <w:t>;</w:t>
      </w:r>
    </w:p>
    <w:p w14:paraId="695CF9B9" w14:textId="77777777" w:rsidR="00BB7660" w:rsidRDefault="00BB7660" w:rsidP="00BB7660">
      <w:pPr>
        <w:pStyle w:val="paragraph"/>
        <w:rPr>
          <w:b/>
          <w:bCs/>
        </w:rPr>
      </w:pPr>
      <w:r>
        <w:tab/>
        <w:t>(e)</w:t>
      </w:r>
      <w:r>
        <w:tab/>
        <w:t xml:space="preserve">the </w:t>
      </w:r>
      <w:r>
        <w:rPr>
          <w:i/>
          <w:iCs/>
        </w:rPr>
        <w:t>Privacy Act 1988</w:t>
      </w:r>
      <w:r>
        <w:t>;</w:t>
      </w:r>
    </w:p>
    <w:p w14:paraId="2EE5154F" w14:textId="77777777" w:rsidR="00BB7660" w:rsidRPr="00A00F6F" w:rsidRDefault="00BB7660" w:rsidP="00BB7660">
      <w:pPr>
        <w:pStyle w:val="paragraph"/>
      </w:pPr>
      <w:r w:rsidRPr="00F214C6">
        <w:tab/>
      </w:r>
      <w:r w:rsidRPr="00A00F6F">
        <w:t>(f)</w:t>
      </w:r>
      <w:r w:rsidRPr="00A00F6F">
        <w:tab/>
        <w:t>in relation to a particular designated sector—any law that is specified for the purposes of this paragraph in a sector Schedule.</w:t>
      </w:r>
    </w:p>
    <w:p w14:paraId="256F4F24" w14:textId="77777777" w:rsidR="00BB7660" w:rsidRPr="00A00F6F" w:rsidRDefault="00BB7660" w:rsidP="00BB7660">
      <w:pPr>
        <w:pStyle w:val="notetext"/>
      </w:pPr>
      <w:r w:rsidRPr="00A00F6F">
        <w:t>Note:</w:t>
      </w:r>
      <w:r w:rsidRPr="00A00F6F">
        <w:tab/>
        <w:t>In relation to paragraph (f):</w:t>
      </w:r>
    </w:p>
    <w:p w14:paraId="3A3BF0F2"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 see clause 7.1 of Schedule 3; and</w:t>
      </w:r>
    </w:p>
    <w:p w14:paraId="289737BA"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 see clause 9.1 of Schedule 4.</w:t>
      </w:r>
    </w:p>
    <w:p w14:paraId="4C419CCE" w14:textId="77777777" w:rsidR="00BB7660" w:rsidRPr="00A00F6F" w:rsidRDefault="00BB7660" w:rsidP="00BB7660">
      <w:pPr>
        <w:pStyle w:val="Definition"/>
      </w:pPr>
      <w:r w:rsidRPr="00A00F6F">
        <w:rPr>
          <w:b/>
          <w:i/>
        </w:rPr>
        <w:t>level</w:t>
      </w:r>
      <w:r w:rsidRPr="00A00F6F">
        <w:t>, in relation to accreditation, has the meaning given by rule 5.1A.</w:t>
      </w:r>
    </w:p>
    <w:p w14:paraId="0C297A8F" w14:textId="77777777" w:rsidR="00BB7660" w:rsidRDefault="00BB7660" w:rsidP="00BB7660">
      <w:pPr>
        <w:pStyle w:val="Definition"/>
      </w:pPr>
      <w:r>
        <w:rPr>
          <w:b/>
          <w:i/>
        </w:rPr>
        <w:t>local agent</w:t>
      </w:r>
      <w:r>
        <w:t>, in relation to a foreign entity, means a person who:</w:t>
      </w:r>
    </w:p>
    <w:p w14:paraId="2E4F6CC2" w14:textId="77777777" w:rsidR="00BB7660" w:rsidRDefault="00BB7660" w:rsidP="00BB7660">
      <w:pPr>
        <w:pStyle w:val="paragraph"/>
      </w:pPr>
      <w:r>
        <w:tab/>
        <w:t>(a)</w:t>
      </w:r>
      <w:r>
        <w:tab/>
        <w:t>is appointed by the foreign entity; and</w:t>
      </w:r>
    </w:p>
    <w:p w14:paraId="380C19C8" w14:textId="77777777" w:rsidR="00BB7660" w:rsidRDefault="00BB7660" w:rsidP="00BB7660">
      <w:pPr>
        <w:pStyle w:val="paragraph"/>
      </w:pPr>
      <w:r>
        <w:tab/>
        <w:t>(b)</w:t>
      </w:r>
      <w:r>
        <w:tab/>
        <w:t>has addresses for service; and</w:t>
      </w:r>
    </w:p>
    <w:p w14:paraId="4345D630" w14:textId="77777777" w:rsidR="00BB7660" w:rsidRPr="00715048" w:rsidRDefault="00BB7660" w:rsidP="00BB7660">
      <w:pPr>
        <w:pStyle w:val="paragraph"/>
      </w:pPr>
      <w:r>
        <w:tab/>
        <w:t>(c)</w:t>
      </w:r>
      <w:r>
        <w:tab/>
        <w:t>is authorised to accept service of documents on behalf of the foreign entity.</w:t>
      </w:r>
    </w:p>
    <w:p w14:paraId="6936C2AE" w14:textId="77777777" w:rsidR="00BB7660" w:rsidRPr="00A00F6F" w:rsidRDefault="00BB7660" w:rsidP="00BB7660">
      <w:pPr>
        <w:pStyle w:val="Definition"/>
        <w:tabs>
          <w:tab w:val="left" w:pos="1985"/>
        </w:tabs>
      </w:pPr>
      <w:r w:rsidRPr="00A00F6F">
        <w:rPr>
          <w:b/>
          <w:i/>
        </w:rPr>
        <w:t>meet the internal dispute resolution requirements</w:t>
      </w:r>
      <w:r w:rsidRPr="00A00F6F">
        <w:t>,</w:t>
      </w:r>
      <w:r w:rsidRPr="00A00F6F">
        <w:rPr>
          <w:b/>
          <w:i/>
        </w:rPr>
        <w:t xml:space="preserve"> </w:t>
      </w:r>
      <w:r w:rsidRPr="00A00F6F">
        <w:t>in relation to a particular designated sector, has the meaning set out in the relevant sector Schedule.</w:t>
      </w:r>
    </w:p>
    <w:p w14:paraId="74D785D8" w14:textId="77777777" w:rsidR="00BB7660" w:rsidRPr="00A00F6F" w:rsidRDefault="00BB7660" w:rsidP="00BB7660">
      <w:pPr>
        <w:pStyle w:val="notetext"/>
      </w:pPr>
      <w:r w:rsidRPr="00A00F6F">
        <w:t>Note:</w:t>
      </w:r>
      <w:r w:rsidRPr="00A00F6F">
        <w:tab/>
        <w:t>For the meaning of the term:</w:t>
      </w:r>
    </w:p>
    <w:p w14:paraId="0B369A3F"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banking sector, see clause 5.1 of Schedule 3; and</w:t>
      </w:r>
    </w:p>
    <w:p w14:paraId="48C81038"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energy sector, see clause 5.1 of Schedule 4.</w:t>
      </w:r>
    </w:p>
    <w:p w14:paraId="3E230A10" w14:textId="77777777" w:rsidR="00BB7660" w:rsidRDefault="00BB7660" w:rsidP="00BB7660">
      <w:pPr>
        <w:pStyle w:val="Definition"/>
      </w:pPr>
      <w:r w:rsidRPr="00771FEA">
        <w:rPr>
          <w:b/>
          <w:i/>
        </w:rPr>
        <w:t xml:space="preserve">nominated representative </w:t>
      </w:r>
      <w:r w:rsidRPr="00771FEA">
        <w:t>has the meaning given by subparagraph 1.13(1)(c)(i) or subparagraph 1.13(1)(d)(i), as appropriate.</w:t>
      </w:r>
    </w:p>
    <w:p w14:paraId="6145D9DB" w14:textId="77777777" w:rsidR="00BB7660" w:rsidRPr="00A00F6F" w:rsidRDefault="00BB7660" w:rsidP="00BB7660">
      <w:pPr>
        <w:pStyle w:val="Definition"/>
        <w:rPr>
          <w:b/>
          <w:i/>
        </w:rPr>
      </w:pPr>
      <w:r w:rsidRPr="00A00F6F">
        <w:rPr>
          <w:b/>
          <w:i/>
        </w:rPr>
        <w:t xml:space="preserve">non-disclosure option </w:t>
      </w:r>
      <w:r w:rsidRPr="00A00F6F">
        <w:t>has the meaning given by rule 4A.5.</w:t>
      </w:r>
    </w:p>
    <w:p w14:paraId="4FC3A2CA" w14:textId="77777777" w:rsidR="00BB7660" w:rsidRPr="00A00F6F" w:rsidRDefault="00BB7660" w:rsidP="00BB7660">
      <w:pPr>
        <w:pStyle w:val="Definition"/>
      </w:pPr>
      <w:r w:rsidRPr="00A00F6F">
        <w:rPr>
          <w:b/>
          <w:i/>
        </w:rPr>
        <w:t>ordinary means of contacting</w:t>
      </w:r>
      <w:r w:rsidRPr="00A00F6F">
        <w:t xml:space="preserve"> an account holder by a data holder means:</w:t>
      </w:r>
    </w:p>
    <w:p w14:paraId="1F48FF5E" w14:textId="77777777" w:rsidR="00BB7660" w:rsidRPr="00A00F6F" w:rsidRDefault="00BB7660" w:rsidP="00BB7660">
      <w:pPr>
        <w:pStyle w:val="paragraph"/>
      </w:pPr>
      <w:r w:rsidRPr="00A00F6F">
        <w:tab/>
        <w:t>(a)</w:t>
      </w:r>
      <w:r w:rsidRPr="00A00F6F">
        <w:tab/>
        <w:t>if the data holder has agreed with the account holder on a particular means of contacting the account holder for the purposes of the relevant provision—that means; and</w:t>
      </w:r>
    </w:p>
    <w:p w14:paraId="4E7986C6" w14:textId="77777777" w:rsidR="00BB7660" w:rsidRPr="00A00F6F" w:rsidRDefault="00BB7660" w:rsidP="00BB7660">
      <w:pPr>
        <w:pStyle w:val="paragraph"/>
      </w:pPr>
      <w:r w:rsidRPr="00A00F6F">
        <w:tab/>
        <w:t>(b)</w:t>
      </w:r>
      <w:r w:rsidRPr="00A00F6F">
        <w:tab/>
        <w:t xml:space="preserve">otherwise—the default means by which the data holder </w:t>
      </w:r>
      <w:r w:rsidRPr="00FA2317">
        <w:t>contacts the account holder in relation to the account.</w:t>
      </w:r>
    </w:p>
    <w:p w14:paraId="27343AAA" w14:textId="77777777" w:rsidR="00BB7660" w:rsidRPr="00FA2317" w:rsidRDefault="00BB7660" w:rsidP="00BB7660">
      <w:pPr>
        <w:pStyle w:val="Definition"/>
        <w:rPr>
          <w:strike/>
          <w:color w:val="0000FF"/>
        </w:rPr>
      </w:pPr>
      <w:r w:rsidRPr="00FA2317">
        <w:rPr>
          <w:b/>
          <w:i/>
          <w:strike/>
          <w:color w:val="0000FF"/>
        </w:rPr>
        <w:t xml:space="preserve">outsourced service provider </w:t>
      </w:r>
      <w:r w:rsidRPr="00FA2317">
        <w:rPr>
          <w:strike/>
          <w:color w:val="0000FF"/>
        </w:rPr>
        <w:t>has the meaning given by rule 1.10.</w:t>
      </w:r>
    </w:p>
    <w:p w14:paraId="19BB5258" w14:textId="77777777" w:rsidR="00BB7660" w:rsidRDefault="00BB7660" w:rsidP="00BB7660">
      <w:pPr>
        <w:pStyle w:val="Definition"/>
      </w:pPr>
      <w:r w:rsidRPr="00771FEA">
        <w:rPr>
          <w:b/>
          <w:i/>
        </w:rPr>
        <w:t>partnership account</w:t>
      </w:r>
      <w:r w:rsidRPr="00771FEA">
        <w:t>, with a data holder, means an account with a data holder that is held by or on behalf of a partnership or the partners in a partnership.</w:t>
      </w:r>
    </w:p>
    <w:p w14:paraId="4252B17E" w14:textId="77777777" w:rsidR="00923C07" w:rsidRPr="00957AA6" w:rsidRDefault="00923C07" w:rsidP="00923C07">
      <w:pPr>
        <w:pStyle w:val="Definition"/>
        <w:rPr>
          <w:color w:val="0000FF"/>
        </w:rPr>
      </w:pPr>
      <w:r w:rsidRPr="00957AA6">
        <w:rPr>
          <w:b/>
          <w:i/>
          <w:color w:val="0000FF"/>
        </w:rPr>
        <w:t xml:space="preserve">permitted use or disclosure </w:t>
      </w:r>
      <w:r w:rsidRPr="00957AA6">
        <w:rPr>
          <w:color w:val="0000FF"/>
        </w:rPr>
        <w:t>has the meaning given by rule 7.5.</w:t>
      </w:r>
    </w:p>
    <w:p w14:paraId="796FF919" w14:textId="77777777" w:rsidR="00BB7660" w:rsidRPr="00A00F6F" w:rsidRDefault="00BB7660" w:rsidP="00BB7660">
      <w:pPr>
        <w:pStyle w:val="Definition"/>
        <w:rPr>
          <w:b/>
          <w:i/>
        </w:rPr>
      </w:pPr>
      <w:r w:rsidRPr="00A00F6F">
        <w:rPr>
          <w:b/>
          <w:i/>
        </w:rPr>
        <w:t xml:space="preserve">pre-approval option </w:t>
      </w:r>
      <w:r w:rsidRPr="00A00F6F">
        <w:t>has the meaning given by rule 4A.5.</w:t>
      </w:r>
    </w:p>
    <w:p w14:paraId="57B43B7A" w14:textId="77777777" w:rsidR="00BB7660" w:rsidRPr="00A00F6F" w:rsidRDefault="00BB7660" w:rsidP="00BB7660">
      <w:pPr>
        <w:pStyle w:val="Definition"/>
      </w:pPr>
      <w:r w:rsidRPr="00A00F6F">
        <w:rPr>
          <w:b/>
          <w:i/>
        </w:rPr>
        <w:t>primary data holder</w:t>
      </w:r>
      <w:r w:rsidRPr="00A00F6F">
        <w:t>, in relation to SR data and a particular designated sector, means the data holder specified in the sector Schedule as the primary data holder for the SR data.</w:t>
      </w:r>
    </w:p>
    <w:p w14:paraId="385A99DA" w14:textId="77777777" w:rsidR="00BB7660" w:rsidRPr="00641354" w:rsidRDefault="00BB7660" w:rsidP="00BB7660">
      <w:pPr>
        <w:pStyle w:val="Definition"/>
        <w:rPr>
          <w:color w:val="000000"/>
        </w:rPr>
      </w:pPr>
      <w:r w:rsidRPr="00641354">
        <w:rPr>
          <w:b/>
          <w:i/>
          <w:color w:val="000000"/>
        </w:rPr>
        <w:t xml:space="preserve">product data request </w:t>
      </w:r>
      <w:r w:rsidRPr="00B31455">
        <w:t xml:space="preserve">has the meaning given by </w:t>
      </w:r>
      <w:r>
        <w:rPr>
          <w:color w:val="000000"/>
        </w:rPr>
        <w:t>rule</w:t>
      </w:r>
      <w:r w:rsidRPr="00641354">
        <w:rPr>
          <w:color w:val="000000"/>
        </w:rPr>
        <w:t> </w:t>
      </w:r>
      <w:r>
        <w:rPr>
          <w:color w:val="000000"/>
        </w:rPr>
        <w:t>2.3</w:t>
      </w:r>
      <w:r w:rsidRPr="00641354">
        <w:rPr>
          <w:color w:val="000000"/>
        </w:rPr>
        <w:t>.</w:t>
      </w:r>
    </w:p>
    <w:p w14:paraId="06CD1492" w14:textId="77777777" w:rsidR="00BB7660" w:rsidRDefault="00BB7660" w:rsidP="00BB7660">
      <w:pPr>
        <w:pStyle w:val="Definition"/>
        <w:rPr>
          <w:b/>
          <w:i/>
          <w:color w:val="000000"/>
        </w:rPr>
      </w:pPr>
      <w:r>
        <w:rPr>
          <w:b/>
          <w:i/>
        </w:rPr>
        <w:t>product data request service</w:t>
      </w:r>
      <w:r>
        <w:t xml:space="preserve"> has the meaning given by rule 1.12.</w:t>
      </w:r>
    </w:p>
    <w:p w14:paraId="049AC663" w14:textId="77777777" w:rsidR="00BB7660" w:rsidRDefault="00BB7660" w:rsidP="00BB7660">
      <w:pPr>
        <w:pStyle w:val="Definition"/>
      </w:pPr>
      <w:r>
        <w:rPr>
          <w:b/>
          <w:i/>
        </w:rPr>
        <w:lastRenderedPageBreak/>
        <w:t xml:space="preserve">recognised </w:t>
      </w:r>
      <w:r w:rsidRPr="001C4BD2">
        <w:rPr>
          <w:b/>
          <w:i/>
        </w:rPr>
        <w:t>external dispute resolution scheme</w:t>
      </w:r>
      <w:r>
        <w:t xml:space="preserve"> means a dispute resolution scheme that is recognised under section 56DA of the Act.</w:t>
      </w:r>
    </w:p>
    <w:p w14:paraId="40B970EC" w14:textId="77777777" w:rsidR="00BB7660" w:rsidRPr="00005026" w:rsidRDefault="00BB7660" w:rsidP="00BB7660">
      <w:pPr>
        <w:pStyle w:val="Definition"/>
      </w:pPr>
      <w:r w:rsidRPr="00005026">
        <w:rPr>
          <w:b/>
          <w:i/>
        </w:rPr>
        <w:t>redundant data</w:t>
      </w:r>
      <w:r w:rsidRPr="00005026">
        <w:t xml:space="preserve"> has the meaning given by paragraph 56E</w:t>
      </w:r>
      <w:r>
        <w:t>O</w:t>
      </w:r>
      <w:r w:rsidRPr="00005026">
        <w:t>(2)(a) of the Act.</w:t>
      </w:r>
    </w:p>
    <w:p w14:paraId="252DE6FA" w14:textId="77777777" w:rsidR="00BB7660" w:rsidRDefault="00BB7660" w:rsidP="00BB7660">
      <w:pPr>
        <w:pStyle w:val="Definition"/>
      </w:pPr>
      <w:r w:rsidRPr="00FB522A">
        <w:rPr>
          <w:b/>
          <w:i/>
        </w:rPr>
        <w:t xml:space="preserve">Register of Accredited Persons </w:t>
      </w:r>
      <w:r w:rsidRPr="00FB522A">
        <w:t>means the</w:t>
      </w:r>
      <w:r>
        <w:t xml:space="preserve"> Register of Accredited Persons</w:t>
      </w:r>
      <w:r w:rsidRPr="00FB522A">
        <w:t xml:space="preserve"> established under subsection 56CE(1) of the Act.</w:t>
      </w:r>
    </w:p>
    <w:p w14:paraId="6D02C51B" w14:textId="77777777" w:rsidR="00923C07" w:rsidRPr="00E333D4" w:rsidRDefault="00923C07" w:rsidP="00923C07">
      <w:pPr>
        <w:pStyle w:val="Definition"/>
        <w:rPr>
          <w:color w:val="0000FF"/>
        </w:rPr>
      </w:pPr>
      <w:r w:rsidRPr="00E333D4">
        <w:rPr>
          <w:b/>
          <w:i/>
          <w:color w:val="0000FF"/>
        </w:rPr>
        <w:t xml:space="preserve">relates to direct marketing </w:t>
      </w:r>
      <w:r w:rsidRPr="00E333D4">
        <w:rPr>
          <w:color w:val="0000FF"/>
        </w:rPr>
        <w:t>has the meaning given by rule 7.5.</w:t>
      </w:r>
    </w:p>
    <w:p w14:paraId="1E50972B" w14:textId="77777777" w:rsidR="00BB7660" w:rsidRDefault="00BB7660" w:rsidP="00BB7660">
      <w:pPr>
        <w:pStyle w:val="Definition"/>
        <w:rPr>
          <w:b/>
          <w:i/>
        </w:rPr>
      </w:pPr>
      <w:r>
        <w:rPr>
          <w:b/>
          <w:i/>
        </w:rPr>
        <w:t>requester</w:t>
      </w:r>
      <w:r w:rsidRPr="006F4229">
        <w:t>, in relation to a product data request</w:t>
      </w:r>
      <w:r w:rsidRPr="00C131F7">
        <w:t>,</w:t>
      </w:r>
      <w:r w:rsidRPr="007C39E2">
        <w:t xml:space="preserve"> </w:t>
      </w:r>
      <w:r w:rsidRPr="006F4229">
        <w:t>means the person who made the request under rule </w:t>
      </w:r>
      <w:r>
        <w:t>2.3</w:t>
      </w:r>
      <w:r w:rsidRPr="006F4229">
        <w:t>.</w:t>
      </w:r>
    </w:p>
    <w:p w14:paraId="14C417ED" w14:textId="77777777" w:rsidR="00BB7660" w:rsidRPr="00A00F6F" w:rsidRDefault="00BB7660" w:rsidP="00BB7660">
      <w:pPr>
        <w:pStyle w:val="Definition"/>
      </w:pPr>
      <w:r w:rsidRPr="00A00F6F">
        <w:rPr>
          <w:b/>
          <w:i/>
        </w:rPr>
        <w:t>required consumer data</w:t>
      </w:r>
      <w:r w:rsidRPr="00A00F6F">
        <w:t>, in relation to a particular designated sector, has the meaning set out in the relevant sector Schedule.</w:t>
      </w:r>
    </w:p>
    <w:p w14:paraId="41D6A7A1" w14:textId="77777777" w:rsidR="00BB7660" w:rsidRPr="00A00F6F" w:rsidRDefault="00BB7660" w:rsidP="00BB7660">
      <w:pPr>
        <w:pStyle w:val="notetext"/>
      </w:pPr>
      <w:r w:rsidRPr="00A00F6F">
        <w:t>Note:</w:t>
      </w:r>
      <w:r w:rsidRPr="00A00F6F">
        <w:tab/>
        <w:t>For the meaning of the term:</w:t>
      </w:r>
    </w:p>
    <w:p w14:paraId="62E99EBB"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banking sector, see clause 3.2 of Schedule 3; and</w:t>
      </w:r>
    </w:p>
    <w:p w14:paraId="377B6492"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energy sector, see clause 3.2 of Schedule 4.</w:t>
      </w:r>
    </w:p>
    <w:p w14:paraId="13CDF974" w14:textId="77777777" w:rsidR="00BB7660" w:rsidRPr="00A00F6F" w:rsidRDefault="00BB7660" w:rsidP="00BB7660">
      <w:pPr>
        <w:pStyle w:val="Definition"/>
      </w:pPr>
      <w:r w:rsidRPr="00A00F6F">
        <w:rPr>
          <w:b/>
          <w:i/>
        </w:rPr>
        <w:t>required product data</w:t>
      </w:r>
      <w:r w:rsidRPr="00A00F6F">
        <w:t>, in relation to a particular designated sector, has the meaning set out in the relevant sector Schedule.</w:t>
      </w:r>
    </w:p>
    <w:p w14:paraId="5FE78465" w14:textId="77777777" w:rsidR="00BB7660" w:rsidRPr="00A00F6F" w:rsidRDefault="00BB7660" w:rsidP="00BB7660">
      <w:pPr>
        <w:pStyle w:val="notetext"/>
      </w:pPr>
      <w:r w:rsidRPr="00A00F6F">
        <w:t>Note:</w:t>
      </w:r>
      <w:r w:rsidRPr="00A00F6F">
        <w:tab/>
        <w:t>For the meaning of the term:</w:t>
      </w:r>
    </w:p>
    <w:p w14:paraId="4FCF0BCE"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banking sector, see clause 3.1 of Schedule 3; and</w:t>
      </w:r>
    </w:p>
    <w:p w14:paraId="5504B401"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energy sector, see clause 3.1 of Schedule 4.</w:t>
      </w:r>
    </w:p>
    <w:p w14:paraId="307A5FDC" w14:textId="77777777" w:rsidR="00BB7660" w:rsidRPr="00636EDA" w:rsidRDefault="00BB7660" w:rsidP="00BB7660">
      <w:pPr>
        <w:pStyle w:val="Definition"/>
      </w:pPr>
      <w:r w:rsidRPr="00636EDA">
        <w:rPr>
          <w:b/>
          <w:i/>
        </w:rPr>
        <w:t xml:space="preserve">restricted ADI </w:t>
      </w:r>
      <w:r w:rsidRPr="00636EDA">
        <w:t xml:space="preserve">means an ADI that has an authority under section 9 of the </w:t>
      </w:r>
      <w:r w:rsidRPr="00636EDA">
        <w:rPr>
          <w:i/>
        </w:rPr>
        <w:t xml:space="preserve">Banking Act 1959 </w:t>
      </w:r>
      <w:r w:rsidRPr="00636EDA">
        <w:t>to carry on a banking business in Australia for a limited time specified in accordance with section 9D of that Act.</w:t>
      </w:r>
    </w:p>
    <w:p w14:paraId="61BC3810" w14:textId="77777777" w:rsidR="00BB7660" w:rsidRPr="00A00F6F" w:rsidRDefault="00BB7660" w:rsidP="00BB7660">
      <w:pPr>
        <w:pStyle w:val="Definition"/>
      </w:pPr>
      <w:r w:rsidRPr="00A00F6F">
        <w:rPr>
          <w:b/>
          <w:i/>
        </w:rPr>
        <w:t>secondary data holder</w:t>
      </w:r>
      <w:r w:rsidRPr="00A00F6F">
        <w:t>, in relation to SR data and a particular designated sector, means the data holder specified in the sector Schedule as the secondary data holder for the SR data.</w:t>
      </w:r>
    </w:p>
    <w:p w14:paraId="0CBFA00C" w14:textId="77777777" w:rsidR="00BB7660" w:rsidRPr="00A00F6F" w:rsidRDefault="00BB7660" w:rsidP="00BB7660">
      <w:pPr>
        <w:pStyle w:val="Definition"/>
      </w:pPr>
      <w:r w:rsidRPr="00A00F6F">
        <w:rPr>
          <w:b/>
          <w:i/>
        </w:rPr>
        <w:t>secondary user</w:t>
      </w:r>
      <w:r w:rsidRPr="00A00F6F">
        <w:t xml:space="preserve">: a person is a </w:t>
      </w:r>
      <w:r w:rsidRPr="00A00F6F">
        <w:rPr>
          <w:b/>
          <w:i/>
        </w:rPr>
        <w:t xml:space="preserve">secondary user </w:t>
      </w:r>
      <w:r w:rsidRPr="00A00F6F">
        <w:t>for an account with a data holder in a particular designated sector if:</w:t>
      </w:r>
    </w:p>
    <w:p w14:paraId="2E6BA4DB" w14:textId="77777777" w:rsidR="00BB7660" w:rsidRPr="00A00F6F" w:rsidRDefault="00BB7660" w:rsidP="00BB7660">
      <w:pPr>
        <w:pStyle w:val="paragraph"/>
      </w:pPr>
      <w:r w:rsidRPr="00A00F6F">
        <w:tab/>
        <w:t>(a)</w:t>
      </w:r>
      <w:r w:rsidRPr="00A00F6F">
        <w:tab/>
        <w:t>the person is an individual who is 18 years of age or older; and</w:t>
      </w:r>
    </w:p>
    <w:p w14:paraId="72A03DBF" w14:textId="77777777" w:rsidR="00BB7660" w:rsidRPr="00A00F6F" w:rsidRDefault="00BB7660" w:rsidP="00BB7660">
      <w:pPr>
        <w:pStyle w:val="paragraph"/>
      </w:pPr>
      <w:r w:rsidRPr="00A00F6F">
        <w:tab/>
        <w:t>(b)</w:t>
      </w:r>
      <w:r w:rsidRPr="00A00F6F">
        <w:tab/>
        <w:t>the person has account privileges in relation to the account; and</w:t>
      </w:r>
    </w:p>
    <w:p w14:paraId="086DC093" w14:textId="77777777" w:rsidR="00BB7660" w:rsidRPr="00A00F6F" w:rsidRDefault="00BB7660" w:rsidP="00BB7660">
      <w:pPr>
        <w:pStyle w:val="paragraph"/>
      </w:pPr>
      <w:r w:rsidRPr="00A00F6F">
        <w:tab/>
        <w:t>(c)</w:t>
      </w:r>
      <w:r w:rsidRPr="00A00F6F">
        <w:tab/>
        <w:t>the account holder or account holders:</w:t>
      </w:r>
    </w:p>
    <w:p w14:paraId="7581885D" w14:textId="77777777" w:rsidR="00BB7660" w:rsidRPr="00A00F6F" w:rsidRDefault="00BB7660" w:rsidP="00BB7660">
      <w:pPr>
        <w:pStyle w:val="paragraphsub"/>
      </w:pPr>
      <w:r w:rsidRPr="00A00F6F">
        <w:tab/>
        <w:t>(i)</w:t>
      </w:r>
      <w:r w:rsidRPr="00A00F6F">
        <w:tab/>
        <w:t>are individuals each of whom is 18 years or older; and</w:t>
      </w:r>
    </w:p>
    <w:p w14:paraId="05594423" w14:textId="77777777" w:rsidR="00BB7660" w:rsidRPr="00A00F6F" w:rsidRDefault="00BB7660" w:rsidP="00BB7660">
      <w:pPr>
        <w:pStyle w:val="paragraphsub"/>
      </w:pPr>
      <w:r w:rsidRPr="00A00F6F">
        <w:tab/>
        <w:t>(ii)</w:t>
      </w:r>
      <w:r w:rsidRPr="00A00F6F">
        <w:tab/>
        <w:t>in accordance with th</w:t>
      </w:r>
      <w:r w:rsidRPr="00FA2317">
        <w:t xml:space="preserve">e </w:t>
      </w:r>
      <w:r w:rsidRPr="004A04A4">
        <w:rPr>
          <w:color w:val="0000FF"/>
        </w:rPr>
        <w:t>requirements</w:t>
      </w:r>
      <w:r w:rsidRPr="004A04A4">
        <w:rPr>
          <w:strike/>
          <w:color w:val="0000FF"/>
        </w:rPr>
        <w:t xml:space="preserve"> requrements</w:t>
      </w:r>
      <w:r w:rsidRPr="00FA2317">
        <w:t xml:space="preserve"> f</w:t>
      </w:r>
      <w:r w:rsidRPr="00A00F6F">
        <w:t>or the account, have given the data holder an instruction to treat the person as a secondary user for the purposes of these rules.</w:t>
      </w:r>
    </w:p>
    <w:p w14:paraId="4C979901" w14:textId="77777777" w:rsidR="00BB7660" w:rsidRPr="00A00F6F" w:rsidRDefault="00BB7660" w:rsidP="00BB7660">
      <w:pPr>
        <w:pStyle w:val="Definition"/>
      </w:pPr>
      <w:r w:rsidRPr="00A00F6F">
        <w:rPr>
          <w:b/>
          <w:i/>
        </w:rPr>
        <w:t xml:space="preserve">secondary user instruction </w:t>
      </w:r>
      <w:r w:rsidRPr="00A00F6F">
        <w:t>means an instruction given for the purposes of paragraph (c) of the definition of secondary user.</w:t>
      </w:r>
    </w:p>
    <w:p w14:paraId="6ED58E3B" w14:textId="77777777" w:rsidR="00BB7660" w:rsidRPr="00A00F6F" w:rsidRDefault="00BB7660" w:rsidP="00BB7660">
      <w:pPr>
        <w:pStyle w:val="Definition"/>
      </w:pPr>
      <w:r w:rsidRPr="00A00F6F">
        <w:rPr>
          <w:b/>
          <w:bCs/>
          <w:i/>
          <w:iCs/>
        </w:rPr>
        <w:t xml:space="preserve">sector Schedule </w:t>
      </w:r>
      <w:r w:rsidRPr="00A00F6F">
        <w:t>means a Schedule to these rules that deals with a particular designated sector.</w:t>
      </w:r>
    </w:p>
    <w:p w14:paraId="11BE6998" w14:textId="77777777" w:rsidR="00BB7660" w:rsidRPr="00A00F6F" w:rsidRDefault="00BB7660" w:rsidP="00BB7660">
      <w:pPr>
        <w:pStyle w:val="Definition"/>
        <w:rPr>
          <w:bCs/>
          <w:iCs/>
        </w:rPr>
      </w:pPr>
      <w:r w:rsidRPr="00A00F6F">
        <w:rPr>
          <w:b/>
          <w:bCs/>
          <w:i/>
          <w:iCs/>
        </w:rPr>
        <w:t>service data</w:t>
      </w:r>
      <w:r w:rsidRPr="00A00F6F">
        <w:rPr>
          <w:bCs/>
          <w:iCs/>
        </w:rPr>
        <w:t>:</w:t>
      </w:r>
    </w:p>
    <w:p w14:paraId="50E59EF2" w14:textId="77777777" w:rsidR="00BB7660" w:rsidRPr="00A00F6F" w:rsidRDefault="00BB7660" w:rsidP="00BB7660">
      <w:pPr>
        <w:pStyle w:val="paragraph"/>
      </w:pPr>
      <w:r w:rsidRPr="00A00F6F">
        <w:tab/>
        <w:t>(a)</w:t>
      </w:r>
      <w:r w:rsidRPr="00A00F6F">
        <w:tab/>
        <w:t>in relation to a CDR outsourcing arrangement—has the meaning given by rule 1.10; and</w:t>
      </w:r>
    </w:p>
    <w:p w14:paraId="140F82A2" w14:textId="77777777" w:rsidR="00BB7660" w:rsidRPr="00A00F6F" w:rsidRDefault="00BB7660" w:rsidP="00BB7660">
      <w:pPr>
        <w:pStyle w:val="paragraph"/>
      </w:pPr>
      <w:r w:rsidRPr="00A00F6F">
        <w:lastRenderedPageBreak/>
        <w:tab/>
        <w:t>(b)</w:t>
      </w:r>
      <w:r w:rsidRPr="00A00F6F">
        <w:tab/>
        <w:t>in relation to a CDR representative arrangement— has the meaning given by rule 1.10AA.</w:t>
      </w:r>
    </w:p>
    <w:p w14:paraId="321336BA" w14:textId="77777777" w:rsidR="00BB7660" w:rsidRPr="00A00F6F" w:rsidRDefault="00BB7660" w:rsidP="00BB7660">
      <w:pPr>
        <w:pStyle w:val="Definition"/>
      </w:pPr>
      <w:r w:rsidRPr="00A00F6F">
        <w:rPr>
          <w:b/>
          <w:i/>
        </w:rPr>
        <w:t>sponsor</w:t>
      </w:r>
      <w:r w:rsidRPr="00A00F6F">
        <w:t xml:space="preserve"> has the meaning given by rule 1.10D.</w:t>
      </w:r>
    </w:p>
    <w:p w14:paraId="2627480D" w14:textId="77777777" w:rsidR="00BB7660" w:rsidRPr="00A00F6F" w:rsidRDefault="00BB7660" w:rsidP="00BB7660">
      <w:pPr>
        <w:pStyle w:val="Definition"/>
      </w:pPr>
      <w:r w:rsidRPr="00A00F6F">
        <w:rPr>
          <w:b/>
          <w:i/>
        </w:rPr>
        <w:t xml:space="preserve">sponsored accreditation </w:t>
      </w:r>
      <w:r w:rsidRPr="00A00F6F">
        <w:t>means accreditation at the sponsored level mentioned in rule 5.1A.</w:t>
      </w:r>
    </w:p>
    <w:p w14:paraId="4C03E354" w14:textId="77777777" w:rsidR="00BB7660" w:rsidRPr="00A00F6F" w:rsidRDefault="00BB7660" w:rsidP="00BB7660">
      <w:pPr>
        <w:pStyle w:val="notetext"/>
        <w:rPr>
          <w:b/>
          <w:i/>
        </w:rPr>
      </w:pPr>
      <w:r w:rsidRPr="00A00F6F">
        <w:t>Note:</w:t>
      </w:r>
      <w:r w:rsidRPr="00A00F6F">
        <w:tab/>
        <w:t>See also rules 1.10D and 5.1B.</w:t>
      </w:r>
    </w:p>
    <w:p w14:paraId="4C34E7BB" w14:textId="77777777" w:rsidR="00BB7660" w:rsidRPr="00A00F6F" w:rsidRDefault="00BB7660" w:rsidP="00BB7660">
      <w:pPr>
        <w:pStyle w:val="Definition"/>
      </w:pPr>
      <w:r w:rsidRPr="00A00F6F">
        <w:rPr>
          <w:b/>
          <w:i/>
        </w:rPr>
        <w:t>sponsorship arrangement</w:t>
      </w:r>
      <w:r w:rsidRPr="00A00F6F">
        <w:t xml:space="preserve"> has the meaning given by rule 1.10D.</w:t>
      </w:r>
    </w:p>
    <w:p w14:paraId="24AABF16" w14:textId="77777777" w:rsidR="00BB7660" w:rsidRPr="00A00F6F" w:rsidRDefault="00BB7660" w:rsidP="00BB7660">
      <w:pPr>
        <w:pStyle w:val="Definition"/>
      </w:pPr>
      <w:r w:rsidRPr="00A00F6F">
        <w:rPr>
          <w:b/>
          <w:i/>
        </w:rPr>
        <w:t xml:space="preserve">SR data </w:t>
      </w:r>
      <w:r w:rsidRPr="00A00F6F">
        <w:t xml:space="preserve">(for </w:t>
      </w:r>
      <w:r w:rsidRPr="00A00F6F">
        <w:rPr>
          <w:b/>
          <w:i/>
        </w:rPr>
        <w:t>shared responsibility data</w:t>
      </w:r>
      <w:r w:rsidRPr="00A00F6F">
        <w:t>), in relation to a CDR consumer and a particular designated sector, has the meaning set out in the relevant sector Schedule.</w:t>
      </w:r>
    </w:p>
    <w:p w14:paraId="457173C7" w14:textId="77777777" w:rsidR="00BB7660" w:rsidRPr="00A00F6F" w:rsidRDefault="00BB7660" w:rsidP="00BB7660">
      <w:pPr>
        <w:pStyle w:val="notetext"/>
      </w:pPr>
      <w:r w:rsidRPr="00A00F6F">
        <w:t>Note:</w:t>
      </w:r>
      <w:r w:rsidRPr="00A00F6F">
        <w:tab/>
        <w:t>Where CDR data for which there is a CDR consumer in a designated sector is held by one data holder, but it would be more practical for consumer data requests for the data to be directed to, and actioned by, a different data holder with which the CDR consumer has a relationship, such CDR data may be specified as SR data in the sector Schedule.  Parts 3 and 4 then apply with the modifications set out in Division 1.5.</w:t>
      </w:r>
    </w:p>
    <w:p w14:paraId="2C736965" w14:textId="77777777" w:rsidR="00BB7660" w:rsidRPr="00A00F6F" w:rsidRDefault="00BB7660" w:rsidP="00BB7660">
      <w:pPr>
        <w:pStyle w:val="Definition"/>
      </w:pPr>
      <w:r w:rsidRPr="00A00F6F">
        <w:rPr>
          <w:b/>
          <w:i/>
        </w:rPr>
        <w:t xml:space="preserve">SR data request </w:t>
      </w:r>
      <w:r w:rsidRPr="00A00F6F">
        <w:t xml:space="preserve">(for </w:t>
      </w:r>
      <w:r w:rsidRPr="00A00F6F">
        <w:rPr>
          <w:b/>
          <w:i/>
        </w:rPr>
        <w:t>shared responsibility data request</w:t>
      </w:r>
      <w:r w:rsidRPr="00A00F6F">
        <w:t>) means a consumer data request for CDR data that is, or that includes, SR data of the CDR consumer.</w:t>
      </w:r>
    </w:p>
    <w:p w14:paraId="629F01D5" w14:textId="77777777" w:rsidR="00BB7660" w:rsidRPr="00A00F6F" w:rsidRDefault="00BB7660" w:rsidP="00BB7660">
      <w:pPr>
        <w:pStyle w:val="Definition"/>
      </w:pPr>
      <w:r w:rsidRPr="00A00F6F">
        <w:rPr>
          <w:b/>
          <w:i/>
        </w:rPr>
        <w:t>TA disclosure consent</w:t>
      </w:r>
      <w:r w:rsidRPr="00A00F6F">
        <w:t xml:space="preserve"> has the meaning given by rule 1.10A.</w:t>
      </w:r>
    </w:p>
    <w:p w14:paraId="091646C9" w14:textId="77777777" w:rsidR="00923C07" w:rsidRPr="00957AA6" w:rsidRDefault="00923C07" w:rsidP="00923C07">
      <w:pPr>
        <w:pStyle w:val="Definition"/>
        <w:rPr>
          <w:color w:val="0000FF"/>
        </w:rPr>
      </w:pPr>
      <w:r w:rsidRPr="00957AA6">
        <w:rPr>
          <w:b/>
          <w:i/>
          <w:color w:val="0000FF"/>
        </w:rPr>
        <w:t>trial product</w:t>
      </w:r>
      <w:r w:rsidRPr="00957AA6">
        <w:rPr>
          <w:color w:val="0000FF"/>
        </w:rPr>
        <w:t>, in relation to a particular designated sector, has the meaning given by rule 1.10E.</w:t>
      </w:r>
    </w:p>
    <w:p w14:paraId="36A650E8" w14:textId="77777777" w:rsidR="00BB7660" w:rsidRPr="00A00F6F" w:rsidRDefault="00BB7660" w:rsidP="00BB7660">
      <w:pPr>
        <w:pStyle w:val="Definition"/>
      </w:pPr>
      <w:r w:rsidRPr="00A00F6F">
        <w:rPr>
          <w:b/>
          <w:i/>
        </w:rPr>
        <w:t>trusted adviser</w:t>
      </w:r>
      <w:r w:rsidRPr="00A00F6F">
        <w:t xml:space="preserve"> has the meaning given by rule 1.10C.</w:t>
      </w:r>
      <w:r w:rsidRPr="00A00F6F">
        <w:rPr>
          <w:b/>
          <w:i/>
        </w:rPr>
        <w:t xml:space="preserve"> </w:t>
      </w:r>
    </w:p>
    <w:p w14:paraId="257A9D7D" w14:textId="77777777" w:rsidR="00BB7660" w:rsidRDefault="00BB7660" w:rsidP="00BB7660">
      <w:pPr>
        <w:pStyle w:val="Definition"/>
      </w:pPr>
      <w:r w:rsidRPr="007E69B9">
        <w:rPr>
          <w:b/>
          <w:i/>
        </w:rPr>
        <w:t xml:space="preserve">type </w:t>
      </w:r>
      <w:r w:rsidRPr="007E69B9">
        <w:t>of CDR data means a type of data that is identified in the data standards.</w:t>
      </w:r>
    </w:p>
    <w:p w14:paraId="6BF889A4" w14:textId="77777777" w:rsidR="00BB7660" w:rsidRDefault="00BB7660" w:rsidP="00BB7660">
      <w:pPr>
        <w:pStyle w:val="notetext"/>
      </w:pPr>
      <w:r>
        <w:t>Note:</w:t>
      </w:r>
      <w:r>
        <w:tab/>
        <w:t>See paragraph 8.11(1)(d).</w:t>
      </w:r>
    </w:p>
    <w:p w14:paraId="38C5527D" w14:textId="77777777" w:rsidR="00BB7660" w:rsidRPr="00A00F6F" w:rsidRDefault="00BB7660" w:rsidP="00BB7660">
      <w:pPr>
        <w:pStyle w:val="Definition"/>
      </w:pPr>
      <w:r w:rsidRPr="00A00F6F">
        <w:rPr>
          <w:b/>
          <w:i/>
        </w:rPr>
        <w:t xml:space="preserve">unrestricted accreditation </w:t>
      </w:r>
      <w:r w:rsidRPr="00A00F6F">
        <w:t>means accreditation at the unrestricted level mentioned in rule 5.1A.</w:t>
      </w:r>
    </w:p>
    <w:p w14:paraId="04FA4D45" w14:textId="77777777" w:rsidR="00BB7660" w:rsidRPr="00771FEA" w:rsidRDefault="00BB7660" w:rsidP="00BB7660">
      <w:pPr>
        <w:pStyle w:val="Definition"/>
      </w:pPr>
      <w:r w:rsidRPr="00771FEA">
        <w:rPr>
          <w:b/>
          <w:i/>
        </w:rPr>
        <w:t xml:space="preserve">use consent </w:t>
      </w:r>
      <w:r w:rsidRPr="00771FEA">
        <w:t>has the meaning given by rule 1.10A.</w:t>
      </w:r>
    </w:p>
    <w:p w14:paraId="11730AF7" w14:textId="77777777" w:rsidR="00BB7660" w:rsidRPr="006527A0" w:rsidRDefault="00BB7660" w:rsidP="00BB7660">
      <w:pPr>
        <w:pStyle w:val="Definition"/>
      </w:pPr>
      <w:r w:rsidRPr="00FB6550">
        <w:rPr>
          <w:b/>
          <w:i/>
        </w:rPr>
        <w:t>valid</w:t>
      </w:r>
      <w:r>
        <w:rPr>
          <w:b/>
          <w:i/>
        </w:rPr>
        <w:t xml:space="preserve"> </w:t>
      </w:r>
      <w:r>
        <w:t>has the meaning given by subrule 3.3(3) or subrule 4.3(3) as appropriate.</w:t>
      </w:r>
    </w:p>
    <w:p w14:paraId="0578505E" w14:textId="77777777" w:rsidR="00BB7660" w:rsidRPr="00A00F6F" w:rsidRDefault="00BB7660" w:rsidP="00BB7660">
      <w:pPr>
        <w:pStyle w:val="Definition"/>
      </w:pPr>
      <w:r w:rsidRPr="00A00F6F">
        <w:rPr>
          <w:b/>
          <w:i/>
        </w:rPr>
        <w:t>voluntary consumer data</w:t>
      </w:r>
      <w:r w:rsidRPr="00A00F6F">
        <w:t>, in relation to a particular designated sector, has the meaning set out in the relevant sector Schedule.</w:t>
      </w:r>
    </w:p>
    <w:p w14:paraId="73AFE72F" w14:textId="77777777" w:rsidR="00BB7660" w:rsidRPr="00A00F6F" w:rsidRDefault="00BB7660" w:rsidP="00BB7660">
      <w:pPr>
        <w:pStyle w:val="notetext"/>
      </w:pPr>
      <w:r w:rsidRPr="00A00F6F">
        <w:t>Note:</w:t>
      </w:r>
      <w:r w:rsidRPr="00A00F6F">
        <w:tab/>
        <w:t>For the meaning of the term:</w:t>
      </w:r>
    </w:p>
    <w:p w14:paraId="3E44E964"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banking sector, see clause 3.2 of Schedule 3; and</w:t>
      </w:r>
    </w:p>
    <w:p w14:paraId="74BA69C8"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energy sector, see clause 3.2 of Schedule 4.</w:t>
      </w:r>
    </w:p>
    <w:p w14:paraId="2E79104C" w14:textId="77777777" w:rsidR="00BB7660" w:rsidRPr="00A00F6F" w:rsidRDefault="00BB7660" w:rsidP="00BB7660">
      <w:pPr>
        <w:pStyle w:val="Definition"/>
      </w:pPr>
      <w:r w:rsidRPr="00A00F6F">
        <w:rPr>
          <w:b/>
          <w:i/>
        </w:rPr>
        <w:t>voluntary product data</w:t>
      </w:r>
      <w:r w:rsidRPr="00A00F6F">
        <w:t>, in relation to a particular designated sector, has the meaning set out in the relevant sector Schedule.</w:t>
      </w:r>
    </w:p>
    <w:p w14:paraId="75730A26" w14:textId="77777777" w:rsidR="00BB7660" w:rsidRPr="00A00F6F" w:rsidRDefault="00BB7660" w:rsidP="00BB7660">
      <w:pPr>
        <w:pStyle w:val="notetext"/>
      </w:pPr>
      <w:r w:rsidRPr="00A00F6F">
        <w:t>Note:</w:t>
      </w:r>
      <w:r w:rsidRPr="00A00F6F">
        <w:tab/>
        <w:t>For the meaning of the term:</w:t>
      </w:r>
    </w:p>
    <w:p w14:paraId="59594C23"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banking sector, see clause 3.1 of Schedule 3; and</w:t>
      </w:r>
    </w:p>
    <w:p w14:paraId="51CAD020"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in the energy sector, see clause 3.1 of Schedule 4.</w:t>
      </w:r>
    </w:p>
    <w:p w14:paraId="6C9F4DAA" w14:textId="77777777" w:rsidR="00BB7660" w:rsidRPr="00C87D53" w:rsidRDefault="00BB7660" w:rsidP="00BB7660">
      <w:pPr>
        <w:pStyle w:val="subsection"/>
      </w:pPr>
      <w:r>
        <w:tab/>
        <w:t>(2)</w:t>
      </w:r>
      <w:r>
        <w:tab/>
      </w:r>
      <w:r w:rsidRPr="00C87D53">
        <w:t>The table has effect:</w:t>
      </w:r>
    </w:p>
    <w:p w14:paraId="36735E22" w14:textId="77777777" w:rsidR="00BB7660" w:rsidRPr="007C39E2" w:rsidRDefault="00BB7660" w:rsidP="00BB7660">
      <w:pPr>
        <w:pStyle w:val="paragraph"/>
        <w:keepNext/>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6"/>
        <w:gridCol w:w="2634"/>
        <w:gridCol w:w="4903"/>
      </w:tblGrid>
      <w:tr w:rsidR="00BB7660" w:rsidRPr="00C87D53" w14:paraId="256F504A" w14:textId="77777777" w:rsidTr="0051288D">
        <w:trPr>
          <w:tblHeader/>
        </w:trPr>
        <w:tc>
          <w:tcPr>
            <w:tcW w:w="5000" w:type="pct"/>
            <w:gridSpan w:val="3"/>
            <w:tcBorders>
              <w:top w:val="single" w:sz="12" w:space="0" w:color="auto"/>
              <w:bottom w:val="single" w:sz="2" w:space="0" w:color="auto"/>
            </w:tcBorders>
          </w:tcPr>
          <w:p w14:paraId="02EEFD12" w14:textId="77777777" w:rsidR="00BB7660" w:rsidRPr="003772DE" w:rsidRDefault="00BB7660" w:rsidP="0051288D">
            <w:pPr>
              <w:pStyle w:val="TableHeading"/>
              <w:jc w:val="center"/>
            </w:pPr>
            <w:r w:rsidRPr="003772DE">
              <w:t>Meaning of references to certain terms</w:t>
            </w:r>
          </w:p>
        </w:tc>
      </w:tr>
      <w:tr w:rsidR="00BB7660" w:rsidRPr="00C87D53" w14:paraId="6A9DB6AB" w14:textId="77777777" w:rsidTr="0051288D">
        <w:trPr>
          <w:tblHeader/>
        </w:trPr>
        <w:tc>
          <w:tcPr>
            <w:tcW w:w="467" w:type="pct"/>
            <w:tcBorders>
              <w:top w:val="single" w:sz="2" w:space="0" w:color="auto"/>
              <w:bottom w:val="single" w:sz="12" w:space="0" w:color="auto"/>
              <w:right w:val="nil"/>
            </w:tcBorders>
          </w:tcPr>
          <w:p w14:paraId="3A67FBEE" w14:textId="77777777" w:rsidR="00BB7660" w:rsidRPr="003772DE" w:rsidRDefault="00BB7660" w:rsidP="0051288D">
            <w:pPr>
              <w:pStyle w:val="TableHeading"/>
            </w:pPr>
          </w:p>
        </w:tc>
        <w:tc>
          <w:tcPr>
            <w:tcW w:w="1584" w:type="pct"/>
            <w:tcBorders>
              <w:top w:val="single" w:sz="2" w:space="0" w:color="auto"/>
              <w:left w:val="nil"/>
              <w:bottom w:val="single" w:sz="12" w:space="0" w:color="auto"/>
              <w:right w:val="nil"/>
            </w:tcBorders>
          </w:tcPr>
          <w:p w14:paraId="4238AA29" w14:textId="77777777" w:rsidR="00BB7660" w:rsidRPr="003772DE" w:rsidRDefault="00BB7660" w:rsidP="0051288D">
            <w:pPr>
              <w:pStyle w:val="TableHeading"/>
            </w:pPr>
            <w:r w:rsidRPr="003772DE">
              <w:t>A reference, in a particular provision of these rules, to:</w:t>
            </w:r>
          </w:p>
        </w:tc>
        <w:tc>
          <w:tcPr>
            <w:tcW w:w="2949" w:type="pct"/>
            <w:tcBorders>
              <w:top w:val="single" w:sz="2" w:space="0" w:color="auto"/>
              <w:left w:val="nil"/>
              <w:bottom w:val="single" w:sz="12" w:space="0" w:color="auto"/>
              <w:right w:val="nil"/>
            </w:tcBorders>
          </w:tcPr>
          <w:p w14:paraId="12E4B26D" w14:textId="77777777" w:rsidR="00BB7660" w:rsidRPr="003772DE" w:rsidRDefault="00BB7660" w:rsidP="0051288D">
            <w:pPr>
              <w:pStyle w:val="TableHeading"/>
            </w:pPr>
            <w:r w:rsidRPr="003772DE">
              <w:t>is, depending on the context, a reference to:</w:t>
            </w:r>
          </w:p>
        </w:tc>
      </w:tr>
      <w:tr w:rsidR="00BB7660" w:rsidRPr="00C87D53" w14:paraId="777BFC83" w14:textId="77777777" w:rsidTr="0051288D">
        <w:tc>
          <w:tcPr>
            <w:tcW w:w="467" w:type="pct"/>
            <w:tcBorders>
              <w:top w:val="single" w:sz="12" w:space="0" w:color="auto"/>
              <w:bottom w:val="single" w:sz="4" w:space="0" w:color="auto"/>
              <w:right w:val="nil"/>
            </w:tcBorders>
          </w:tcPr>
          <w:p w14:paraId="3F75AB5E" w14:textId="77777777" w:rsidR="00BB7660" w:rsidRPr="003772DE" w:rsidRDefault="00BB7660" w:rsidP="0051288D">
            <w:pPr>
              <w:pStyle w:val="Tabletext"/>
            </w:pPr>
            <w:r w:rsidRPr="003772DE">
              <w:t>1</w:t>
            </w:r>
          </w:p>
        </w:tc>
        <w:tc>
          <w:tcPr>
            <w:tcW w:w="1584" w:type="pct"/>
            <w:tcBorders>
              <w:top w:val="single" w:sz="12" w:space="0" w:color="auto"/>
              <w:left w:val="nil"/>
              <w:bottom w:val="single" w:sz="4" w:space="0" w:color="auto"/>
              <w:right w:val="nil"/>
            </w:tcBorders>
          </w:tcPr>
          <w:p w14:paraId="203C088C" w14:textId="77777777" w:rsidR="00BB7660" w:rsidRPr="003772DE" w:rsidRDefault="00BB7660" w:rsidP="0051288D">
            <w:pPr>
              <w:pStyle w:val="Tabletext"/>
            </w:pPr>
            <w:r w:rsidRPr="003772DE">
              <w:t>a CDR consumer</w:t>
            </w:r>
          </w:p>
        </w:tc>
        <w:tc>
          <w:tcPr>
            <w:tcW w:w="2949" w:type="pct"/>
            <w:tcBorders>
              <w:top w:val="single" w:sz="12" w:space="0" w:color="auto"/>
              <w:left w:val="nil"/>
              <w:bottom w:val="single" w:sz="4" w:space="0" w:color="auto"/>
              <w:right w:val="nil"/>
            </w:tcBorders>
          </w:tcPr>
          <w:p w14:paraId="3A209CB4" w14:textId="77777777" w:rsidR="00BB7660" w:rsidRPr="003772DE" w:rsidRDefault="00BB7660" w:rsidP="0051288D">
            <w:pPr>
              <w:pStyle w:val="Tablea"/>
            </w:pPr>
            <w:r w:rsidRPr="003772DE">
              <w:t>(</w:t>
            </w:r>
            <w:r>
              <w:t>a</w:t>
            </w:r>
            <w:r w:rsidRPr="003772DE">
              <w:t>)</w:t>
            </w:r>
            <w:r w:rsidRPr="003772DE">
              <w:tab/>
              <w:t>a CDR consumer for any CDR data; or</w:t>
            </w:r>
          </w:p>
          <w:p w14:paraId="102887ED" w14:textId="77777777" w:rsidR="00BB7660" w:rsidRPr="003772DE" w:rsidRDefault="00BB7660" w:rsidP="0051288D">
            <w:pPr>
              <w:pStyle w:val="Tablea"/>
            </w:pPr>
            <w:r w:rsidRPr="003772DE">
              <w:t>(</w:t>
            </w:r>
            <w:r>
              <w:t>b</w:t>
            </w:r>
            <w:r w:rsidRPr="003772DE">
              <w:t>)</w:t>
            </w:r>
            <w:r w:rsidRPr="003772DE">
              <w:tab/>
              <w:t>a CDR consumer for the particular CDR data that is dealt with in relation to the reference</w:t>
            </w:r>
            <w:r>
              <w:t>.</w:t>
            </w:r>
          </w:p>
          <w:p w14:paraId="7DF33D1A" w14:textId="77777777" w:rsidR="00BB7660" w:rsidRPr="003772DE" w:rsidRDefault="00BB7660" w:rsidP="0051288D">
            <w:pPr>
              <w:pStyle w:val="Tablei"/>
            </w:pPr>
          </w:p>
        </w:tc>
      </w:tr>
      <w:tr w:rsidR="00BB7660" w:rsidRPr="00C87D53" w14:paraId="7C7ECB80" w14:textId="77777777" w:rsidTr="0051288D">
        <w:tc>
          <w:tcPr>
            <w:tcW w:w="467" w:type="pct"/>
            <w:tcBorders>
              <w:top w:val="single" w:sz="4" w:space="0" w:color="auto"/>
              <w:bottom w:val="single" w:sz="4" w:space="0" w:color="auto"/>
              <w:right w:val="nil"/>
            </w:tcBorders>
          </w:tcPr>
          <w:p w14:paraId="6A932759" w14:textId="77777777" w:rsidR="00BB7660" w:rsidRPr="003772DE" w:rsidRDefault="00BB7660" w:rsidP="0051288D">
            <w:pPr>
              <w:pStyle w:val="Tabletext"/>
            </w:pPr>
            <w:r w:rsidRPr="003772DE">
              <w:t>2</w:t>
            </w:r>
          </w:p>
        </w:tc>
        <w:tc>
          <w:tcPr>
            <w:tcW w:w="1584" w:type="pct"/>
            <w:tcBorders>
              <w:top w:val="single" w:sz="4" w:space="0" w:color="auto"/>
              <w:left w:val="nil"/>
              <w:bottom w:val="single" w:sz="4" w:space="0" w:color="auto"/>
              <w:right w:val="nil"/>
            </w:tcBorders>
          </w:tcPr>
          <w:p w14:paraId="2A59619E" w14:textId="77777777" w:rsidR="00BB7660" w:rsidRPr="003772DE" w:rsidRDefault="00BB7660" w:rsidP="0051288D">
            <w:pPr>
              <w:pStyle w:val="Tabletext"/>
              <w:rPr>
                <w:b/>
                <w:i/>
              </w:rPr>
            </w:pPr>
            <w:r w:rsidRPr="003772DE">
              <w:t>a data holder</w:t>
            </w:r>
          </w:p>
        </w:tc>
        <w:tc>
          <w:tcPr>
            <w:tcW w:w="2949" w:type="pct"/>
            <w:tcBorders>
              <w:top w:val="single" w:sz="4" w:space="0" w:color="auto"/>
              <w:left w:val="nil"/>
              <w:bottom w:val="single" w:sz="4" w:space="0" w:color="auto"/>
              <w:right w:val="nil"/>
            </w:tcBorders>
          </w:tcPr>
          <w:p w14:paraId="4202AD89" w14:textId="77777777" w:rsidR="00BB7660" w:rsidRPr="003772DE" w:rsidRDefault="00BB7660" w:rsidP="0051288D">
            <w:pPr>
              <w:pStyle w:val="Tablea"/>
            </w:pPr>
            <w:r w:rsidRPr="003772DE">
              <w:t>(a)</w:t>
            </w:r>
            <w:r w:rsidRPr="003772DE">
              <w:tab/>
              <w:t>a data holder of any CDR data; or</w:t>
            </w:r>
          </w:p>
          <w:p w14:paraId="7BC83104" w14:textId="77777777" w:rsidR="00BB7660" w:rsidRPr="003772DE" w:rsidRDefault="00BB7660" w:rsidP="0051288D">
            <w:pPr>
              <w:pStyle w:val="Tablea"/>
            </w:pPr>
            <w:r w:rsidRPr="003772DE">
              <w:t>(b)</w:t>
            </w:r>
            <w:r w:rsidRPr="003772DE">
              <w:tab/>
              <w:t>the data holder of the particular CDR data that is dealt with in relation to the reference.</w:t>
            </w:r>
          </w:p>
          <w:p w14:paraId="4A0D54E6" w14:textId="77777777" w:rsidR="00BB7660" w:rsidRPr="003772DE" w:rsidRDefault="00BB7660" w:rsidP="0051288D">
            <w:pPr>
              <w:pStyle w:val="notemargin"/>
            </w:pPr>
          </w:p>
        </w:tc>
      </w:tr>
      <w:tr w:rsidR="00BB7660" w:rsidRPr="00C87D53" w14:paraId="519F8975" w14:textId="77777777" w:rsidTr="0051288D">
        <w:tc>
          <w:tcPr>
            <w:tcW w:w="467" w:type="pct"/>
            <w:tcBorders>
              <w:top w:val="single" w:sz="4" w:space="0" w:color="auto"/>
              <w:bottom w:val="single" w:sz="4" w:space="0" w:color="auto"/>
              <w:right w:val="nil"/>
            </w:tcBorders>
          </w:tcPr>
          <w:p w14:paraId="2751E670" w14:textId="77777777" w:rsidR="00BB7660" w:rsidRPr="003772DE" w:rsidRDefault="00BB7660" w:rsidP="0051288D">
            <w:pPr>
              <w:pStyle w:val="Tabletext"/>
            </w:pPr>
            <w:r w:rsidRPr="003772DE">
              <w:t>3</w:t>
            </w:r>
          </w:p>
        </w:tc>
        <w:tc>
          <w:tcPr>
            <w:tcW w:w="1584" w:type="pct"/>
            <w:tcBorders>
              <w:top w:val="single" w:sz="4" w:space="0" w:color="auto"/>
              <w:left w:val="nil"/>
              <w:bottom w:val="single" w:sz="4" w:space="0" w:color="auto"/>
              <w:right w:val="nil"/>
            </w:tcBorders>
          </w:tcPr>
          <w:p w14:paraId="0C0210C3" w14:textId="77777777" w:rsidR="00BB7660" w:rsidRPr="003772DE" w:rsidRDefault="00BB7660" w:rsidP="0051288D">
            <w:pPr>
              <w:pStyle w:val="Tabletext"/>
            </w:pPr>
            <w:r w:rsidRPr="003772DE">
              <w:t>an accredited data recipient</w:t>
            </w:r>
          </w:p>
        </w:tc>
        <w:tc>
          <w:tcPr>
            <w:tcW w:w="2949" w:type="pct"/>
            <w:tcBorders>
              <w:top w:val="single" w:sz="4" w:space="0" w:color="auto"/>
              <w:left w:val="nil"/>
              <w:bottom w:val="single" w:sz="4" w:space="0" w:color="auto"/>
              <w:right w:val="nil"/>
            </w:tcBorders>
          </w:tcPr>
          <w:p w14:paraId="4649B38D" w14:textId="77777777" w:rsidR="00BB7660" w:rsidRPr="003772DE" w:rsidRDefault="00BB7660" w:rsidP="0051288D">
            <w:pPr>
              <w:pStyle w:val="Tablea"/>
            </w:pPr>
            <w:r w:rsidRPr="003772DE">
              <w:t>(a)</w:t>
            </w:r>
            <w:r w:rsidRPr="003772DE">
              <w:tab/>
              <w:t>an accredited data recipient of any CDR data; or</w:t>
            </w:r>
          </w:p>
          <w:p w14:paraId="1479F03B" w14:textId="77777777" w:rsidR="00BB7660" w:rsidRPr="003772DE" w:rsidRDefault="00BB7660" w:rsidP="0051288D">
            <w:pPr>
              <w:pStyle w:val="Tablea"/>
            </w:pPr>
            <w:r w:rsidRPr="003772DE">
              <w:t>(b)</w:t>
            </w:r>
            <w:r w:rsidRPr="003772DE">
              <w:tab/>
              <w:t>the accredited data recipient of the particular CDR data that is dealt with in relation to the reference.</w:t>
            </w:r>
          </w:p>
          <w:p w14:paraId="2501D044" w14:textId="77777777" w:rsidR="00BB7660" w:rsidRPr="003772DE" w:rsidRDefault="00BB7660" w:rsidP="0051288D">
            <w:pPr>
              <w:pStyle w:val="Tablea"/>
            </w:pPr>
          </w:p>
        </w:tc>
      </w:tr>
      <w:tr w:rsidR="00BB7660" w:rsidRPr="00C87D53" w14:paraId="45023CCE" w14:textId="77777777" w:rsidTr="0051288D">
        <w:tc>
          <w:tcPr>
            <w:tcW w:w="467" w:type="pct"/>
            <w:tcBorders>
              <w:top w:val="single" w:sz="4" w:space="0" w:color="auto"/>
              <w:bottom w:val="single" w:sz="12" w:space="0" w:color="auto"/>
              <w:right w:val="nil"/>
            </w:tcBorders>
          </w:tcPr>
          <w:p w14:paraId="706935A7" w14:textId="77777777" w:rsidR="00BB7660" w:rsidRPr="003772DE" w:rsidRDefault="00BB7660" w:rsidP="0051288D">
            <w:pPr>
              <w:pStyle w:val="Tabletext"/>
            </w:pPr>
            <w:r w:rsidRPr="003772DE">
              <w:t>4</w:t>
            </w:r>
          </w:p>
        </w:tc>
        <w:tc>
          <w:tcPr>
            <w:tcW w:w="1584" w:type="pct"/>
            <w:tcBorders>
              <w:top w:val="single" w:sz="4" w:space="0" w:color="auto"/>
              <w:left w:val="nil"/>
              <w:bottom w:val="single" w:sz="12" w:space="0" w:color="auto"/>
              <w:right w:val="nil"/>
            </w:tcBorders>
          </w:tcPr>
          <w:p w14:paraId="0F3C33F1" w14:textId="77777777" w:rsidR="00BB7660" w:rsidRPr="003772DE" w:rsidRDefault="00BB7660" w:rsidP="0051288D">
            <w:pPr>
              <w:pStyle w:val="Tabletext"/>
            </w:pPr>
            <w:r w:rsidRPr="003772DE">
              <w:t>a CDR participant</w:t>
            </w:r>
          </w:p>
        </w:tc>
        <w:tc>
          <w:tcPr>
            <w:tcW w:w="2949" w:type="pct"/>
            <w:tcBorders>
              <w:top w:val="single" w:sz="4" w:space="0" w:color="auto"/>
              <w:left w:val="nil"/>
              <w:bottom w:val="single" w:sz="12" w:space="0" w:color="auto"/>
              <w:right w:val="nil"/>
            </w:tcBorders>
          </w:tcPr>
          <w:p w14:paraId="13A16A2A" w14:textId="77777777" w:rsidR="00BB7660" w:rsidRPr="003772DE" w:rsidRDefault="00BB7660" w:rsidP="0051288D">
            <w:pPr>
              <w:pStyle w:val="Tablea"/>
            </w:pPr>
            <w:r w:rsidRPr="003772DE">
              <w:t>(a)</w:t>
            </w:r>
            <w:r w:rsidRPr="003772DE">
              <w:tab/>
              <w:t>a CDR participant for any CDR data; or</w:t>
            </w:r>
          </w:p>
          <w:p w14:paraId="327276EB" w14:textId="77777777" w:rsidR="00BB7660" w:rsidRPr="003772DE" w:rsidRDefault="00BB7660" w:rsidP="0051288D">
            <w:pPr>
              <w:pStyle w:val="Tablea"/>
            </w:pPr>
            <w:r w:rsidRPr="003772DE">
              <w:t>(b)</w:t>
            </w:r>
            <w:r w:rsidRPr="003772DE">
              <w:tab/>
              <w:t>the CDR participant for the particular CDR data that is dealt with in relation to the reference.</w:t>
            </w:r>
          </w:p>
          <w:p w14:paraId="6C48EEE8" w14:textId="77777777" w:rsidR="00BB7660" w:rsidRPr="003772DE" w:rsidRDefault="00BB7660" w:rsidP="0051288D">
            <w:pPr>
              <w:pStyle w:val="Tablea"/>
            </w:pPr>
          </w:p>
        </w:tc>
      </w:tr>
    </w:tbl>
    <w:p w14:paraId="01E394DD" w14:textId="77777777" w:rsidR="00BB7660" w:rsidRPr="004F7B69" w:rsidRDefault="00BB7660" w:rsidP="00BB7660">
      <w:pPr>
        <w:pStyle w:val="SubsectionHead"/>
      </w:pPr>
      <w:r w:rsidRPr="004F7B69">
        <w:t xml:space="preserve">References to </w:t>
      </w:r>
      <w:r w:rsidRPr="004F7B69">
        <w:rPr>
          <w:b/>
        </w:rPr>
        <w:t>data holder</w:t>
      </w:r>
    </w:p>
    <w:p w14:paraId="12D29697" w14:textId="77777777" w:rsidR="00BB7660" w:rsidRPr="004F7B69" w:rsidRDefault="00BB7660" w:rsidP="00BB7660">
      <w:pPr>
        <w:pStyle w:val="subsection"/>
      </w:pPr>
      <w:r>
        <w:tab/>
        <w:t>(3)</w:t>
      </w:r>
      <w:r>
        <w:tab/>
      </w:r>
      <w:r w:rsidRPr="004F7B69">
        <w:t xml:space="preserve">In these rules, </w:t>
      </w:r>
      <w:r w:rsidRPr="00E206FA">
        <w:t xml:space="preserve">depending on the context, a reference to a data holder is a reference to a data holder that would be required or that is authorised </w:t>
      </w:r>
      <w:r w:rsidRPr="004F7B69">
        <w:t>to disclose CDR data in response to a product data request or a consumer data request that is made in accordance with these rules.</w:t>
      </w:r>
    </w:p>
    <w:p w14:paraId="33E7CA18" w14:textId="77777777" w:rsidR="00BB7660" w:rsidRPr="00A00F6F" w:rsidRDefault="00BB7660" w:rsidP="00BB7660">
      <w:pPr>
        <w:pStyle w:val="notetext"/>
      </w:pPr>
      <w:r w:rsidRPr="00A00F6F">
        <w:t>Note:</w:t>
      </w:r>
      <w:r w:rsidRPr="00A00F6F">
        <w:tab/>
        <w:t>These rules will progressively apply to a broader range of data holders:</w:t>
      </w:r>
    </w:p>
    <w:p w14:paraId="5E40BDC7"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 xml:space="preserve">for the banking sector, see Part 6 of Schedule 3; </w:t>
      </w:r>
    </w:p>
    <w:p w14:paraId="74BD6AEF"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 see Part 8 of Schedule 4.</w:t>
      </w:r>
    </w:p>
    <w:p w14:paraId="21BC4564" w14:textId="77777777" w:rsidR="00BB7660" w:rsidRPr="00796ADB" w:rsidRDefault="00BB7660" w:rsidP="00BB7660">
      <w:pPr>
        <w:pStyle w:val="SubsectionHead"/>
      </w:pPr>
      <w:r w:rsidRPr="00796ADB">
        <w:t>References to a person’s CDR data</w:t>
      </w:r>
    </w:p>
    <w:p w14:paraId="4EBEDCD4" w14:textId="77777777" w:rsidR="00BB7660" w:rsidRDefault="00BB7660" w:rsidP="00BB7660">
      <w:pPr>
        <w:pStyle w:val="subsection"/>
      </w:pPr>
      <w:r w:rsidRPr="00796ADB">
        <w:tab/>
      </w:r>
      <w:r>
        <w:t>(4)</w:t>
      </w:r>
      <w:r w:rsidRPr="00796ADB">
        <w:tab/>
        <w:t>In these rules, a reference to a person’s CDR data is a reference to the CDR data for which that person is a CDR consumer.</w:t>
      </w:r>
    </w:p>
    <w:p w14:paraId="0B2A8025" w14:textId="77777777" w:rsidR="00BB7660" w:rsidRPr="004D57B9" w:rsidRDefault="00BB7660" w:rsidP="00BB7660">
      <w:pPr>
        <w:pStyle w:val="SubsectionHead"/>
      </w:pPr>
      <w:r w:rsidRPr="004D57B9">
        <w:t xml:space="preserve">References to </w:t>
      </w:r>
      <w:r w:rsidRPr="004D57B9">
        <w:rPr>
          <w:b/>
        </w:rPr>
        <w:t>accredited person</w:t>
      </w:r>
    </w:p>
    <w:p w14:paraId="7882B7B9" w14:textId="77777777" w:rsidR="00E054F3" w:rsidRPr="00957AA6" w:rsidRDefault="00BB7660" w:rsidP="00BB7660">
      <w:pPr>
        <w:pStyle w:val="subsection"/>
        <w:rPr>
          <w:color w:val="0000FF"/>
        </w:rPr>
      </w:pPr>
      <w:r w:rsidRPr="004A04A4">
        <w:rPr>
          <w:color w:val="0000FF"/>
        </w:rPr>
        <w:tab/>
        <w:t>(5)</w:t>
      </w:r>
      <w:r w:rsidRPr="004A04A4">
        <w:rPr>
          <w:color w:val="0000FF"/>
        </w:rPr>
        <w:tab/>
        <w:t xml:space="preserve">In these rules, unless the contrary intention appears, a reference to an accredited person making a consumer data request, collecting CDR data, obtaining consents, providing a consumer dashboard, or using or disclosing CDR data does not include a reference to an accredited person doing those things on behalf of a principal in its capacity as a </w:t>
      </w:r>
      <w:r w:rsidRPr="00957AA6">
        <w:rPr>
          <w:color w:val="0000FF"/>
        </w:rPr>
        <w:t>direct or indirect OSP of</w:t>
      </w:r>
      <w:r w:rsidR="00E054F3" w:rsidRPr="00957AA6">
        <w:rPr>
          <w:color w:val="0000FF"/>
        </w:rPr>
        <w:t>:</w:t>
      </w:r>
    </w:p>
    <w:p w14:paraId="49CF1B75" w14:textId="77777777" w:rsidR="009C3B97" w:rsidRPr="00957AA6" w:rsidRDefault="00BB7660" w:rsidP="009C3B97">
      <w:pPr>
        <w:pStyle w:val="paragraph"/>
        <w:rPr>
          <w:color w:val="0000FF"/>
        </w:rPr>
      </w:pPr>
      <w:r w:rsidRPr="00957AA6">
        <w:rPr>
          <w:color w:val="0000FF"/>
        </w:rPr>
        <w:t xml:space="preserve"> </w:t>
      </w:r>
      <w:r w:rsidR="009C3B97" w:rsidRPr="00957AA6">
        <w:rPr>
          <w:color w:val="0000FF"/>
        </w:rPr>
        <w:tab/>
        <w:t>(a)</w:t>
      </w:r>
      <w:r w:rsidR="009C3B97" w:rsidRPr="00957AA6">
        <w:rPr>
          <w:color w:val="0000FF"/>
        </w:rPr>
        <w:tab/>
      </w:r>
      <w:r w:rsidRPr="00957AA6">
        <w:rPr>
          <w:color w:val="0000FF"/>
        </w:rPr>
        <w:t>another accredited perso</w:t>
      </w:r>
      <w:r w:rsidR="009C3B97" w:rsidRPr="00957AA6">
        <w:rPr>
          <w:color w:val="0000FF"/>
        </w:rPr>
        <w:t>n;</w:t>
      </w:r>
      <w:r w:rsidR="008622C0" w:rsidRPr="00957AA6">
        <w:rPr>
          <w:color w:val="0000FF"/>
        </w:rPr>
        <w:t xml:space="preserve"> or</w:t>
      </w:r>
    </w:p>
    <w:p w14:paraId="295D3D09" w14:textId="77777777" w:rsidR="009C3B97" w:rsidRPr="00957AA6" w:rsidRDefault="009C3B97" w:rsidP="009C3B97">
      <w:pPr>
        <w:pStyle w:val="paragraph"/>
        <w:rPr>
          <w:color w:val="0000FF"/>
        </w:rPr>
      </w:pPr>
      <w:r w:rsidRPr="00957AA6">
        <w:rPr>
          <w:color w:val="0000FF"/>
        </w:rPr>
        <w:tab/>
        <w:t>(b)</w:t>
      </w:r>
      <w:r w:rsidRPr="00957AA6">
        <w:rPr>
          <w:color w:val="0000FF"/>
        </w:rPr>
        <w:tab/>
      </w:r>
      <w:r w:rsidR="008622C0" w:rsidRPr="00957AA6">
        <w:rPr>
          <w:color w:val="0000FF"/>
        </w:rPr>
        <w:t>a CDR representative of itself or of another accredited person</w:t>
      </w:r>
      <w:r w:rsidRPr="00957AA6">
        <w:rPr>
          <w:color w:val="0000FF"/>
        </w:rPr>
        <w:t>;</w:t>
      </w:r>
    </w:p>
    <w:p w14:paraId="78FB3A76" w14:textId="77777777" w:rsidR="009C3B97" w:rsidRPr="009F2375" w:rsidRDefault="00BB7660" w:rsidP="009F2375">
      <w:pPr>
        <w:pStyle w:val="subsection2"/>
        <w:rPr>
          <w:color w:val="0000FF"/>
        </w:rPr>
      </w:pPr>
      <w:r w:rsidRPr="00957AA6">
        <w:rPr>
          <w:color w:val="0000FF"/>
        </w:rPr>
        <w:t xml:space="preserve">in accordance with the relevant </w:t>
      </w:r>
      <w:r w:rsidR="00957AA6">
        <w:rPr>
          <w:color w:val="0000FF"/>
        </w:rPr>
        <w:t xml:space="preserve">CDR outsourcing </w:t>
      </w:r>
      <w:r w:rsidRPr="00957AA6">
        <w:rPr>
          <w:color w:val="0000FF"/>
        </w:rPr>
        <w:t>arrangement</w:t>
      </w:r>
      <w:r w:rsidRPr="009F2375">
        <w:rPr>
          <w:color w:val="0000FF"/>
        </w:rPr>
        <w:t>.</w:t>
      </w:r>
    </w:p>
    <w:p w14:paraId="58FEC9E9" w14:textId="77777777" w:rsidR="00BB7660" w:rsidRDefault="00BB7660" w:rsidP="00BB7660">
      <w:pPr>
        <w:pStyle w:val="subsection"/>
        <w:rPr>
          <w:strike/>
          <w:color w:val="0000FF"/>
        </w:rPr>
      </w:pPr>
      <w:r w:rsidRPr="004A04A4">
        <w:rPr>
          <w:strike/>
          <w:color w:val="0000FF"/>
        </w:rPr>
        <w:lastRenderedPageBreak/>
        <w:tab/>
        <w:t>(5)</w:t>
      </w:r>
      <w:r w:rsidRPr="004A04A4">
        <w:rPr>
          <w:strike/>
          <w:color w:val="0000FF"/>
        </w:rPr>
        <w:tab/>
        <w:t>In these rules, unless the contrary intention appears, a reference to an accredited person making a consumer data request, collecting CDR data, obtaining consents, providing a consumer dashboard, or using or disclosing CDR data does not include a reference to an accredited person doing those things on behalf of a principal in its capacity as the provider in an outsourced service arrangement, in accordance with the arrangement.</w:t>
      </w:r>
    </w:p>
    <w:p w14:paraId="4194D207" w14:textId="77777777" w:rsidR="00BB7660" w:rsidRPr="00E333D4" w:rsidRDefault="00BB7660" w:rsidP="00BB7660">
      <w:pPr>
        <w:pStyle w:val="ActHead5"/>
        <w:rPr>
          <w:color w:val="0000FF"/>
        </w:rPr>
      </w:pPr>
      <w:bookmarkStart w:id="23" w:name="_Toc111131968"/>
      <w:r w:rsidRPr="00E333D4">
        <w:rPr>
          <w:color w:val="0000FF"/>
        </w:rPr>
        <w:t>1.8  Data minimisation principle</w:t>
      </w:r>
      <w:bookmarkEnd w:id="23"/>
    </w:p>
    <w:p w14:paraId="054A1CFB" w14:textId="77777777" w:rsidR="00BB7660" w:rsidRPr="00E333D4" w:rsidRDefault="00BB7660" w:rsidP="00BB7660">
      <w:pPr>
        <w:pStyle w:val="notemargin"/>
        <w:rPr>
          <w:color w:val="0000FF"/>
        </w:rPr>
      </w:pPr>
      <w:r w:rsidRPr="00E333D4">
        <w:rPr>
          <w:color w:val="0000FF"/>
        </w:rPr>
        <w:t>Note:</w:t>
      </w:r>
      <w:r w:rsidRPr="00E333D4">
        <w:rPr>
          <w:color w:val="0000FF"/>
        </w:rPr>
        <w:tab/>
        <w:t>The data minimisation principle</w:t>
      </w:r>
      <w:r w:rsidRPr="00E333D4">
        <w:rPr>
          <w:b/>
          <w:i/>
          <w:color w:val="0000FF"/>
        </w:rPr>
        <w:t xml:space="preserve"> </w:t>
      </w:r>
      <w:r w:rsidRPr="00E333D4">
        <w:rPr>
          <w:color w:val="0000FF"/>
        </w:rPr>
        <w:t>is relevant when:</w:t>
      </w:r>
    </w:p>
    <w:p w14:paraId="074672C6" w14:textId="77777777" w:rsidR="00BB7660" w:rsidRPr="00E333D4" w:rsidRDefault="00BB7660" w:rsidP="00BB7660">
      <w:pPr>
        <w:pStyle w:val="notemargin"/>
        <w:spacing w:before="40"/>
        <w:ind w:left="1078" w:hanging="369"/>
        <w:rPr>
          <w:color w:val="0000FF"/>
        </w:rPr>
      </w:pPr>
      <w:r w:rsidRPr="00E333D4">
        <w:rPr>
          <w:color w:val="0000FF"/>
        </w:rPr>
        <w:sym w:font="Symbol" w:char="F0B7"/>
      </w:r>
      <w:r w:rsidRPr="00E333D4">
        <w:rPr>
          <w:color w:val="0000FF"/>
        </w:rPr>
        <w:tab/>
        <w:t xml:space="preserve">a CDR consumer requests an accredited person </w:t>
      </w:r>
      <w:r w:rsidR="008C77A6" w:rsidRPr="00E333D4">
        <w:rPr>
          <w:color w:val="0000FF"/>
        </w:rPr>
        <w:t xml:space="preserve">or a CDR representative </w:t>
      </w:r>
      <w:r w:rsidRPr="00E333D4">
        <w:rPr>
          <w:color w:val="0000FF"/>
        </w:rPr>
        <w:t>to provide goods or services to the CDR consumer or to another person; and</w:t>
      </w:r>
    </w:p>
    <w:p w14:paraId="34ADC223" w14:textId="77777777" w:rsidR="00BB7660" w:rsidRPr="00E333D4" w:rsidRDefault="00BB7660" w:rsidP="00BB7660">
      <w:pPr>
        <w:pStyle w:val="notemargin"/>
        <w:spacing w:before="40"/>
        <w:ind w:left="1078" w:hanging="369"/>
        <w:rPr>
          <w:color w:val="0000FF"/>
        </w:rPr>
      </w:pPr>
      <w:r w:rsidRPr="00E333D4">
        <w:rPr>
          <w:color w:val="0000FF"/>
        </w:rPr>
        <w:sym w:font="Symbol" w:char="F0B7"/>
      </w:r>
      <w:r w:rsidRPr="00E333D4">
        <w:rPr>
          <w:color w:val="0000FF"/>
        </w:rPr>
        <w:tab/>
        <w:t>the accredited person</w:t>
      </w:r>
      <w:r w:rsidR="008C77A6" w:rsidRPr="00E333D4">
        <w:rPr>
          <w:color w:val="0000FF"/>
        </w:rPr>
        <w:t xml:space="preserve"> or CDR representative</w:t>
      </w:r>
      <w:r w:rsidRPr="00E333D4">
        <w:rPr>
          <w:color w:val="0000FF"/>
        </w:rPr>
        <w:t xml:space="preserve"> needs to access the CDR consumer’s CDR data in order to provide those goods or services.</w:t>
      </w:r>
    </w:p>
    <w:p w14:paraId="08FD9900" w14:textId="77777777" w:rsidR="00BB7660" w:rsidRPr="00E333D4" w:rsidRDefault="00BB7660" w:rsidP="00BB7660">
      <w:pPr>
        <w:pStyle w:val="notemargin"/>
        <w:rPr>
          <w:color w:val="0000FF"/>
        </w:rPr>
      </w:pPr>
      <w:r w:rsidRPr="00E333D4">
        <w:rPr>
          <w:color w:val="0000FF"/>
        </w:rPr>
        <w:tab/>
        <w:t xml:space="preserve">The data minimisation principle is also relevant when an accredited person </w:t>
      </w:r>
      <w:r w:rsidR="008C77A6" w:rsidRPr="00E333D4">
        <w:rPr>
          <w:color w:val="0000FF"/>
        </w:rPr>
        <w:t xml:space="preserve">or CDR representative </w:t>
      </w:r>
      <w:r w:rsidRPr="00E333D4">
        <w:rPr>
          <w:color w:val="0000FF"/>
        </w:rPr>
        <w:t>uses CDR data to provide requested goods or services to a CDR consumer.</w:t>
      </w:r>
    </w:p>
    <w:p w14:paraId="03E35824" w14:textId="77777777" w:rsidR="00BB7660" w:rsidRPr="00E333D4" w:rsidRDefault="00BB7660" w:rsidP="00BB7660">
      <w:pPr>
        <w:pStyle w:val="notemargin"/>
        <w:rPr>
          <w:color w:val="0000FF"/>
        </w:rPr>
      </w:pPr>
      <w:r w:rsidRPr="00E333D4">
        <w:rPr>
          <w:color w:val="0000FF"/>
        </w:rPr>
        <w:tab/>
        <w:t xml:space="preserve">The data minimisation principle limits the CDR data </w:t>
      </w:r>
      <w:r w:rsidR="008C77A6" w:rsidRPr="00E333D4">
        <w:rPr>
          <w:color w:val="0000FF"/>
        </w:rPr>
        <w:t>that can be collected</w:t>
      </w:r>
      <w:r w:rsidRPr="00E333D4">
        <w:rPr>
          <w:color w:val="0000FF"/>
        </w:rPr>
        <w:t xml:space="preserve">, and also limits the uses that can </w:t>
      </w:r>
      <w:r w:rsidR="008C77A6" w:rsidRPr="00E333D4">
        <w:rPr>
          <w:color w:val="0000FF"/>
        </w:rPr>
        <w:t xml:space="preserve">be made </w:t>
      </w:r>
      <w:r w:rsidRPr="00E333D4">
        <w:rPr>
          <w:color w:val="0000FF"/>
        </w:rPr>
        <w:t>of collected CDR data.</w:t>
      </w:r>
    </w:p>
    <w:p w14:paraId="43B906F7" w14:textId="77777777" w:rsidR="00700BD8" w:rsidRPr="00E333D4" w:rsidRDefault="00700BD8" w:rsidP="006238E8">
      <w:pPr>
        <w:pStyle w:val="subsection"/>
        <w:rPr>
          <w:color w:val="0000FF"/>
        </w:rPr>
      </w:pPr>
      <w:r w:rsidRPr="00E333D4">
        <w:rPr>
          <w:color w:val="0000FF"/>
        </w:rPr>
        <w:tab/>
      </w:r>
      <w:r w:rsidR="008C77A6" w:rsidRPr="00E333D4">
        <w:rPr>
          <w:color w:val="0000FF"/>
        </w:rPr>
        <w:t>(1)</w:t>
      </w:r>
      <w:r w:rsidRPr="00E333D4">
        <w:rPr>
          <w:color w:val="0000FF"/>
        </w:rPr>
        <w:tab/>
      </w:r>
      <w:r w:rsidR="006238E8" w:rsidRPr="00E333D4">
        <w:rPr>
          <w:color w:val="0000FF"/>
        </w:rPr>
        <w:t xml:space="preserve">The collection of CDR data by an accredited person </w:t>
      </w:r>
      <w:r w:rsidRPr="00E333D4">
        <w:rPr>
          <w:color w:val="0000FF"/>
        </w:rPr>
        <w:t xml:space="preserve">complies with </w:t>
      </w:r>
      <w:r w:rsidRPr="00E333D4">
        <w:rPr>
          <w:b/>
          <w:i/>
          <w:color w:val="0000FF"/>
        </w:rPr>
        <w:t>the</w:t>
      </w:r>
      <w:r w:rsidRPr="00E333D4">
        <w:rPr>
          <w:color w:val="0000FF"/>
        </w:rPr>
        <w:t xml:space="preserve"> </w:t>
      </w:r>
      <w:r w:rsidRPr="00E333D4">
        <w:rPr>
          <w:b/>
          <w:i/>
          <w:color w:val="0000FF"/>
        </w:rPr>
        <w:t xml:space="preserve">data minimisation principle </w:t>
      </w:r>
      <w:r w:rsidRPr="00E333D4">
        <w:rPr>
          <w:color w:val="0000FF"/>
        </w:rPr>
        <w:t>if</w:t>
      </w:r>
      <w:r w:rsidR="006238E8" w:rsidRPr="00E333D4">
        <w:rPr>
          <w:color w:val="0000FF"/>
        </w:rPr>
        <w:t xml:space="preserve">, </w:t>
      </w:r>
      <w:r w:rsidRPr="00E333D4">
        <w:rPr>
          <w:color w:val="0000FF"/>
        </w:rPr>
        <w:t xml:space="preserve">when making a consumer data request on behalf of a CDR consumer, </w:t>
      </w:r>
      <w:r w:rsidR="008C77A6" w:rsidRPr="00E333D4">
        <w:rPr>
          <w:color w:val="0000FF"/>
        </w:rPr>
        <w:t xml:space="preserve">the accredited person </w:t>
      </w:r>
      <w:r w:rsidRPr="00E333D4">
        <w:rPr>
          <w:color w:val="0000FF"/>
        </w:rPr>
        <w:t>does not seek to collect:</w:t>
      </w:r>
    </w:p>
    <w:p w14:paraId="2C4CF9D0" w14:textId="77777777" w:rsidR="00700BD8" w:rsidRPr="00E333D4" w:rsidRDefault="008C77A6" w:rsidP="008C77A6">
      <w:pPr>
        <w:pStyle w:val="paragraph"/>
        <w:rPr>
          <w:color w:val="0000FF"/>
        </w:rPr>
      </w:pPr>
      <w:r w:rsidRPr="00E333D4">
        <w:rPr>
          <w:color w:val="0000FF"/>
        </w:rPr>
        <w:tab/>
        <w:t>(a)</w:t>
      </w:r>
      <w:r w:rsidRPr="00E333D4">
        <w:rPr>
          <w:color w:val="0000FF"/>
        </w:rPr>
        <w:tab/>
      </w:r>
      <w:r w:rsidR="00700BD8" w:rsidRPr="00E333D4">
        <w:rPr>
          <w:color w:val="0000FF"/>
        </w:rPr>
        <w:t>more CDR data than is reasonably needed; or</w:t>
      </w:r>
    </w:p>
    <w:p w14:paraId="2018705D" w14:textId="77777777" w:rsidR="00700BD8" w:rsidRPr="00E333D4" w:rsidRDefault="008C77A6" w:rsidP="008C77A6">
      <w:pPr>
        <w:pStyle w:val="paragraph"/>
        <w:rPr>
          <w:color w:val="0000FF"/>
        </w:rPr>
      </w:pPr>
      <w:r w:rsidRPr="00E333D4">
        <w:rPr>
          <w:color w:val="0000FF"/>
        </w:rPr>
        <w:tab/>
        <w:t>(b)</w:t>
      </w:r>
      <w:r w:rsidRPr="00E333D4">
        <w:rPr>
          <w:color w:val="0000FF"/>
        </w:rPr>
        <w:tab/>
      </w:r>
      <w:r w:rsidR="00700BD8" w:rsidRPr="00E333D4">
        <w:rPr>
          <w:color w:val="0000FF"/>
        </w:rPr>
        <w:t>CDR data that relates to a longer time period than is reasonably needed;</w:t>
      </w:r>
    </w:p>
    <w:p w14:paraId="649B646B" w14:textId="77777777" w:rsidR="00700BD8" w:rsidRPr="00E333D4" w:rsidRDefault="00700BD8" w:rsidP="008C77A6">
      <w:pPr>
        <w:pStyle w:val="subsection2"/>
        <w:rPr>
          <w:color w:val="0000FF"/>
        </w:rPr>
      </w:pPr>
      <w:r w:rsidRPr="00E333D4">
        <w:rPr>
          <w:color w:val="0000FF"/>
        </w:rPr>
        <w:t xml:space="preserve">in order </w:t>
      </w:r>
      <w:r w:rsidR="006238E8" w:rsidRPr="00E333D4">
        <w:rPr>
          <w:color w:val="0000FF"/>
        </w:rPr>
        <w:t xml:space="preserve">for it, or a relevant CDR representative, </w:t>
      </w:r>
      <w:r w:rsidRPr="00E333D4">
        <w:rPr>
          <w:color w:val="0000FF"/>
        </w:rPr>
        <w:t>to provide the goods or services requested by the CDR consumer</w:t>
      </w:r>
      <w:r w:rsidR="008C77A6" w:rsidRPr="00E333D4">
        <w:rPr>
          <w:color w:val="0000FF"/>
        </w:rPr>
        <w:t>.</w:t>
      </w:r>
    </w:p>
    <w:p w14:paraId="38684566" w14:textId="77777777" w:rsidR="00700BD8" w:rsidRPr="00E333D4" w:rsidRDefault="008C77A6" w:rsidP="008C77A6">
      <w:pPr>
        <w:pStyle w:val="subsection"/>
        <w:rPr>
          <w:color w:val="0000FF"/>
        </w:rPr>
      </w:pPr>
      <w:r w:rsidRPr="00E333D4">
        <w:rPr>
          <w:color w:val="0000FF"/>
        </w:rPr>
        <w:tab/>
        <w:t>(2)</w:t>
      </w:r>
      <w:r w:rsidRPr="00E333D4">
        <w:rPr>
          <w:color w:val="0000FF"/>
        </w:rPr>
        <w:tab/>
        <w:t xml:space="preserve">The use of CDR data by an accredited person or a CDR representative complies with </w:t>
      </w:r>
      <w:r w:rsidRPr="00E333D4">
        <w:rPr>
          <w:b/>
          <w:i/>
          <w:color w:val="0000FF"/>
        </w:rPr>
        <w:t>the</w:t>
      </w:r>
      <w:r w:rsidRPr="00E333D4">
        <w:rPr>
          <w:color w:val="0000FF"/>
        </w:rPr>
        <w:t xml:space="preserve"> </w:t>
      </w:r>
      <w:r w:rsidRPr="00E333D4">
        <w:rPr>
          <w:b/>
          <w:i/>
          <w:color w:val="0000FF"/>
        </w:rPr>
        <w:t xml:space="preserve">data minimisation principle </w:t>
      </w:r>
      <w:r w:rsidRPr="00E333D4">
        <w:rPr>
          <w:color w:val="0000FF"/>
        </w:rPr>
        <w:t xml:space="preserve">if, </w:t>
      </w:r>
      <w:r w:rsidR="00700BD8" w:rsidRPr="00E333D4">
        <w:rPr>
          <w:color w:val="0000FF"/>
        </w:rPr>
        <w:t>when providing the requested goods or services, or using collected CDR data for any other purpose consented to by the CDR consumer, it does not use the collected CDR data, or CDR data derived from it, beyond what is reasonably needed in order to provide the requested goods or services or fulfil the other purpose.</w:t>
      </w:r>
    </w:p>
    <w:p w14:paraId="133B1C72" w14:textId="77777777" w:rsidR="008C77A6" w:rsidRPr="00E333D4" w:rsidRDefault="008C77A6" w:rsidP="008C77A6">
      <w:pPr>
        <w:pStyle w:val="ActHead5"/>
        <w:rPr>
          <w:strike/>
          <w:color w:val="0000FF"/>
        </w:rPr>
      </w:pPr>
      <w:bookmarkStart w:id="24" w:name="_Toc111131969"/>
      <w:r w:rsidRPr="00E333D4">
        <w:rPr>
          <w:strike/>
          <w:color w:val="0000FF"/>
        </w:rPr>
        <w:t>1.8  Data minimisation principle</w:t>
      </w:r>
      <w:bookmarkEnd w:id="24"/>
    </w:p>
    <w:p w14:paraId="5DBEF257" w14:textId="77777777" w:rsidR="008C77A6" w:rsidRPr="00E333D4" w:rsidRDefault="008C77A6" w:rsidP="008C77A6">
      <w:pPr>
        <w:pStyle w:val="notemargin"/>
        <w:rPr>
          <w:strike/>
          <w:color w:val="0000FF"/>
        </w:rPr>
      </w:pPr>
      <w:r w:rsidRPr="00E333D4">
        <w:rPr>
          <w:strike/>
          <w:color w:val="0000FF"/>
        </w:rPr>
        <w:t>Note:</w:t>
      </w:r>
      <w:r w:rsidRPr="00E333D4">
        <w:rPr>
          <w:strike/>
          <w:color w:val="0000FF"/>
        </w:rPr>
        <w:tab/>
        <w:t>The data minimisation principle</w:t>
      </w:r>
      <w:r w:rsidRPr="00E333D4">
        <w:rPr>
          <w:b/>
          <w:i/>
          <w:strike/>
          <w:color w:val="0000FF"/>
        </w:rPr>
        <w:t xml:space="preserve"> </w:t>
      </w:r>
      <w:r w:rsidRPr="00E333D4">
        <w:rPr>
          <w:strike/>
          <w:color w:val="0000FF"/>
        </w:rPr>
        <w:t>is relevant when:</w:t>
      </w:r>
    </w:p>
    <w:p w14:paraId="0163E4E7" w14:textId="77777777" w:rsidR="008C77A6" w:rsidRPr="00E333D4" w:rsidRDefault="008C77A6" w:rsidP="008C77A6">
      <w:pPr>
        <w:pStyle w:val="notemargin"/>
        <w:spacing w:before="40"/>
        <w:ind w:left="1078" w:hanging="369"/>
        <w:rPr>
          <w:strike/>
          <w:color w:val="0000FF"/>
        </w:rPr>
      </w:pPr>
      <w:r w:rsidRPr="00E333D4">
        <w:rPr>
          <w:strike/>
          <w:color w:val="0000FF"/>
        </w:rPr>
        <w:sym w:font="Symbol" w:char="F0B7"/>
      </w:r>
      <w:r w:rsidRPr="00E333D4">
        <w:rPr>
          <w:strike/>
          <w:color w:val="0000FF"/>
        </w:rPr>
        <w:tab/>
        <w:t>a CDR consumer requests an accredited person to provide goods or services to the CDR consumer or to another person; and</w:t>
      </w:r>
    </w:p>
    <w:p w14:paraId="7051179B" w14:textId="77777777" w:rsidR="008C77A6" w:rsidRPr="00E333D4" w:rsidRDefault="008C77A6" w:rsidP="008C77A6">
      <w:pPr>
        <w:pStyle w:val="notemargin"/>
        <w:spacing w:before="40"/>
        <w:ind w:left="1078" w:hanging="369"/>
        <w:rPr>
          <w:strike/>
          <w:color w:val="0000FF"/>
        </w:rPr>
      </w:pPr>
      <w:r w:rsidRPr="00E333D4">
        <w:rPr>
          <w:strike/>
          <w:color w:val="0000FF"/>
        </w:rPr>
        <w:sym w:font="Symbol" w:char="F0B7"/>
      </w:r>
      <w:r w:rsidRPr="00E333D4">
        <w:rPr>
          <w:strike/>
          <w:color w:val="0000FF"/>
        </w:rPr>
        <w:tab/>
        <w:t>the accredited person needs to access the CDR consumer’s CDR data in order to provide those goods or services.</w:t>
      </w:r>
    </w:p>
    <w:p w14:paraId="72037D28" w14:textId="77777777" w:rsidR="008C77A6" w:rsidRPr="00E333D4" w:rsidRDefault="008C77A6" w:rsidP="008C77A6">
      <w:pPr>
        <w:pStyle w:val="notemargin"/>
        <w:rPr>
          <w:strike/>
          <w:color w:val="0000FF"/>
        </w:rPr>
      </w:pPr>
      <w:r w:rsidRPr="00E333D4">
        <w:rPr>
          <w:strike/>
          <w:color w:val="0000FF"/>
        </w:rPr>
        <w:tab/>
        <w:t>The data minimisation principle is also relevant when an accredited person uses CDR data to provide requested goods or services to a CDR consumer.</w:t>
      </w:r>
    </w:p>
    <w:p w14:paraId="0AE569D6" w14:textId="77777777" w:rsidR="008C77A6" w:rsidRPr="00E333D4" w:rsidRDefault="008C77A6" w:rsidP="008C77A6">
      <w:pPr>
        <w:pStyle w:val="notemargin"/>
        <w:rPr>
          <w:strike/>
          <w:color w:val="0000FF"/>
        </w:rPr>
      </w:pPr>
      <w:r w:rsidRPr="00E333D4">
        <w:rPr>
          <w:strike/>
          <w:color w:val="0000FF"/>
        </w:rPr>
        <w:tab/>
        <w:t>The data minimisation principle limits the CDR data that an accredited person can collect, and also limits the uses that the accredited person can make of collected CDR data.</w:t>
      </w:r>
    </w:p>
    <w:p w14:paraId="1E19E56D" w14:textId="77777777" w:rsidR="00BB7660" w:rsidRPr="00E333D4" w:rsidRDefault="00BB7660" w:rsidP="00BB7660">
      <w:pPr>
        <w:pStyle w:val="subsection"/>
        <w:rPr>
          <w:strike/>
          <w:color w:val="0000FF"/>
        </w:rPr>
      </w:pPr>
      <w:r w:rsidRPr="00E333D4">
        <w:rPr>
          <w:strike/>
          <w:color w:val="0000FF"/>
        </w:rPr>
        <w:tab/>
      </w:r>
      <w:r w:rsidRPr="00E333D4">
        <w:rPr>
          <w:strike/>
          <w:color w:val="0000FF"/>
        </w:rPr>
        <w:tab/>
        <w:t xml:space="preserve">An accredited person complies with </w:t>
      </w:r>
      <w:r w:rsidRPr="00E333D4">
        <w:rPr>
          <w:b/>
          <w:i/>
          <w:strike/>
          <w:color w:val="0000FF"/>
        </w:rPr>
        <w:t>the</w:t>
      </w:r>
      <w:r w:rsidRPr="00E333D4">
        <w:rPr>
          <w:strike/>
          <w:color w:val="0000FF"/>
        </w:rPr>
        <w:t xml:space="preserve"> </w:t>
      </w:r>
      <w:r w:rsidRPr="00E333D4">
        <w:rPr>
          <w:b/>
          <w:i/>
          <w:strike/>
          <w:color w:val="0000FF"/>
        </w:rPr>
        <w:t xml:space="preserve">data minimisation principle </w:t>
      </w:r>
      <w:r w:rsidRPr="00E333D4">
        <w:rPr>
          <w:strike/>
          <w:color w:val="0000FF"/>
        </w:rPr>
        <w:t>if:</w:t>
      </w:r>
    </w:p>
    <w:p w14:paraId="6283404A" w14:textId="77777777" w:rsidR="00BB7660" w:rsidRPr="00E333D4" w:rsidRDefault="00BB7660" w:rsidP="00BB7660">
      <w:pPr>
        <w:pStyle w:val="paragraph"/>
        <w:rPr>
          <w:strike/>
          <w:color w:val="0000FF"/>
        </w:rPr>
      </w:pPr>
      <w:r w:rsidRPr="00E333D4">
        <w:rPr>
          <w:strike/>
          <w:color w:val="0000FF"/>
        </w:rPr>
        <w:tab/>
        <w:t>(a)</w:t>
      </w:r>
      <w:r w:rsidRPr="00E333D4">
        <w:rPr>
          <w:strike/>
          <w:color w:val="0000FF"/>
        </w:rPr>
        <w:tab/>
        <w:t>when making a consumer data request on behalf of a CDR consumer, it does not seek to collect:</w:t>
      </w:r>
    </w:p>
    <w:p w14:paraId="604651D7" w14:textId="77777777" w:rsidR="00BB7660" w:rsidRPr="00E333D4" w:rsidRDefault="00BB7660" w:rsidP="00BB7660">
      <w:pPr>
        <w:pStyle w:val="paragraphsub"/>
        <w:rPr>
          <w:strike/>
          <w:color w:val="0000FF"/>
        </w:rPr>
      </w:pPr>
      <w:r w:rsidRPr="00E333D4">
        <w:rPr>
          <w:strike/>
          <w:color w:val="0000FF"/>
        </w:rPr>
        <w:tab/>
        <w:t>(i)</w:t>
      </w:r>
      <w:r w:rsidRPr="00E333D4">
        <w:rPr>
          <w:strike/>
          <w:color w:val="0000FF"/>
        </w:rPr>
        <w:tab/>
        <w:t>more CDR data than is reasonably needed; or</w:t>
      </w:r>
    </w:p>
    <w:p w14:paraId="04BE81B9" w14:textId="77777777" w:rsidR="00BB7660" w:rsidRPr="00E333D4" w:rsidRDefault="00BB7660" w:rsidP="00BB7660">
      <w:pPr>
        <w:pStyle w:val="paragraphsub"/>
        <w:rPr>
          <w:strike/>
          <w:color w:val="0000FF"/>
        </w:rPr>
      </w:pPr>
      <w:r w:rsidRPr="00E333D4">
        <w:rPr>
          <w:strike/>
          <w:color w:val="0000FF"/>
        </w:rPr>
        <w:lastRenderedPageBreak/>
        <w:tab/>
        <w:t>(ii)</w:t>
      </w:r>
      <w:r w:rsidRPr="00E333D4">
        <w:rPr>
          <w:strike/>
          <w:color w:val="0000FF"/>
        </w:rPr>
        <w:tab/>
        <w:t>CDR data that relates to a longer time period than is reasonably needed;</w:t>
      </w:r>
    </w:p>
    <w:p w14:paraId="1B8336CE" w14:textId="77777777" w:rsidR="00BB7660" w:rsidRPr="00E333D4" w:rsidRDefault="00BB7660" w:rsidP="00BB7660">
      <w:pPr>
        <w:pStyle w:val="paragraph"/>
        <w:rPr>
          <w:strike/>
          <w:color w:val="0000FF"/>
        </w:rPr>
      </w:pPr>
      <w:r w:rsidRPr="00E333D4">
        <w:rPr>
          <w:strike/>
          <w:color w:val="0000FF"/>
        </w:rPr>
        <w:tab/>
      </w:r>
      <w:r w:rsidRPr="00E333D4">
        <w:rPr>
          <w:strike/>
          <w:color w:val="0000FF"/>
        </w:rPr>
        <w:tab/>
        <w:t>in order to provide the goods or services requested by the CDR consumer; and</w:t>
      </w:r>
    </w:p>
    <w:p w14:paraId="13DA30D7" w14:textId="77777777" w:rsidR="00BB7660" w:rsidRPr="00E333D4" w:rsidRDefault="00BB7660" w:rsidP="00BB7660">
      <w:pPr>
        <w:pStyle w:val="paragraph"/>
        <w:rPr>
          <w:strike/>
          <w:color w:val="0000FF"/>
        </w:rPr>
      </w:pPr>
      <w:r w:rsidRPr="00E333D4">
        <w:rPr>
          <w:strike/>
          <w:color w:val="0000FF"/>
        </w:rPr>
        <w:tab/>
        <w:t>(b)</w:t>
      </w:r>
      <w:r w:rsidRPr="00E333D4">
        <w:rPr>
          <w:strike/>
          <w:color w:val="0000FF"/>
        </w:rPr>
        <w:tab/>
        <w:t>when providing the requested goods or services, or using collected CDR data for any other purpose consented to by the CDR consumer, it does not use the collected CDR data, or CDR data derived from it, beyond what is reasonably needed in order to provide the requested goods or services or fulfil the other purpose.</w:t>
      </w:r>
    </w:p>
    <w:p w14:paraId="34905DD5" w14:textId="77777777" w:rsidR="00BB7660" w:rsidRDefault="00BB7660" w:rsidP="00BB7660">
      <w:pPr>
        <w:pStyle w:val="ActHead5"/>
      </w:pPr>
      <w:bookmarkStart w:id="25" w:name="_Toc11771568"/>
      <w:bookmarkStart w:id="26" w:name="_Toc111131970"/>
      <w:r>
        <w:t>1.9  Fit and proper person criteria</w:t>
      </w:r>
      <w:bookmarkEnd w:id="25"/>
      <w:bookmarkEnd w:id="26"/>
    </w:p>
    <w:p w14:paraId="216C70EC" w14:textId="77777777" w:rsidR="00BB7660" w:rsidRDefault="00BB7660" w:rsidP="00BB7660">
      <w:pPr>
        <w:pStyle w:val="subsection"/>
      </w:pPr>
      <w:r>
        <w:tab/>
        <w:t>(1)</w:t>
      </w:r>
      <w:r>
        <w:tab/>
        <w:t xml:space="preserve">For these rules, the </w:t>
      </w:r>
      <w:r>
        <w:rPr>
          <w:b/>
          <w:i/>
        </w:rPr>
        <w:t>fit and proper person</w:t>
      </w:r>
      <w:r w:rsidRPr="00183F9C">
        <w:rPr>
          <w:i/>
        </w:rPr>
        <w:t xml:space="preserve"> </w:t>
      </w:r>
      <w:r w:rsidRPr="0043396A">
        <w:rPr>
          <w:b/>
          <w:i/>
        </w:rPr>
        <w:t>criteria</w:t>
      </w:r>
      <w:r>
        <w:t>, in relation to a person, are the following:</w:t>
      </w:r>
    </w:p>
    <w:p w14:paraId="5834DE95" w14:textId="77777777" w:rsidR="00BB7660" w:rsidRDefault="00BB7660" w:rsidP="00BB7660">
      <w:pPr>
        <w:pStyle w:val="paragraph"/>
      </w:pPr>
      <w:r>
        <w:tab/>
        <w:t>(a)</w:t>
      </w:r>
      <w:r>
        <w:tab/>
        <w:t>whether the person, or any associated person, has, within the previous 10 years, been convicted of:</w:t>
      </w:r>
    </w:p>
    <w:p w14:paraId="7F4BD397" w14:textId="77777777" w:rsidR="00BB7660" w:rsidRDefault="00BB7660" w:rsidP="00BB7660">
      <w:pPr>
        <w:pStyle w:val="paragraphsub"/>
      </w:pPr>
      <w:r>
        <w:tab/>
        <w:t>(i)</w:t>
      </w:r>
      <w:r>
        <w:tab/>
        <w:t>a serious criminal offence; or</w:t>
      </w:r>
    </w:p>
    <w:p w14:paraId="1B01436A" w14:textId="77777777" w:rsidR="00BB7660" w:rsidRDefault="00BB7660" w:rsidP="00BB7660">
      <w:pPr>
        <w:pStyle w:val="paragraphsub"/>
      </w:pPr>
      <w:r>
        <w:tab/>
        <w:t>(ii)</w:t>
      </w:r>
      <w:r>
        <w:tab/>
        <w:t>an offence of dishonesty;</w:t>
      </w:r>
    </w:p>
    <w:p w14:paraId="1A840138" w14:textId="77777777" w:rsidR="00BB7660" w:rsidRDefault="00BB7660" w:rsidP="00BB7660">
      <w:pPr>
        <w:pStyle w:val="paragraph"/>
      </w:pPr>
      <w:r>
        <w:tab/>
      </w:r>
      <w:r>
        <w:tab/>
        <w:t>against any law of the Commonwealth or of a State or a Territory, or a law of a foreign jurisdiction;</w:t>
      </w:r>
    </w:p>
    <w:p w14:paraId="552F6E4D" w14:textId="77777777" w:rsidR="00BB7660" w:rsidRDefault="00BB7660" w:rsidP="00BB7660">
      <w:pPr>
        <w:pStyle w:val="paragraph"/>
      </w:pPr>
      <w:r>
        <w:tab/>
        <w:t>(b)</w:t>
      </w:r>
      <w:r>
        <w:tab/>
        <w:t>whether the person, or any associated person, has been found to have contravened:</w:t>
      </w:r>
    </w:p>
    <w:p w14:paraId="17A75937" w14:textId="77777777" w:rsidR="00BB7660" w:rsidRDefault="00BB7660" w:rsidP="00BB7660">
      <w:pPr>
        <w:pStyle w:val="paragraphsub"/>
      </w:pPr>
      <w:r>
        <w:tab/>
        <w:t>(i)</w:t>
      </w:r>
      <w:r>
        <w:tab/>
        <w:t>a law relevant to the management of CDR data; or</w:t>
      </w:r>
    </w:p>
    <w:p w14:paraId="0A165346" w14:textId="77777777" w:rsidR="00BB7660" w:rsidRPr="00706DF7" w:rsidRDefault="00BB7660" w:rsidP="00BB7660">
      <w:pPr>
        <w:pStyle w:val="paragraphsub"/>
      </w:pPr>
      <w:r>
        <w:tab/>
        <w:t>(ii)</w:t>
      </w:r>
      <w:r>
        <w:tab/>
        <w:t>a similar law of a foreign jurisdiction;</w:t>
      </w:r>
    </w:p>
    <w:p w14:paraId="15855210" w14:textId="77777777" w:rsidR="00BB7660" w:rsidRPr="009C222D" w:rsidRDefault="00BB7660" w:rsidP="00BB7660">
      <w:pPr>
        <w:pStyle w:val="paragraph"/>
        <w:rPr>
          <w:color w:val="000000" w:themeColor="text1"/>
        </w:rPr>
      </w:pPr>
      <w:r>
        <w:tab/>
        <w:t>(c)</w:t>
      </w:r>
      <w:r>
        <w:tab/>
        <w:t>whether the person, or any associated person, has been the subject of</w:t>
      </w:r>
      <w:r w:rsidRPr="009C222D">
        <w:rPr>
          <w:color w:val="000000" w:themeColor="text1"/>
        </w:rPr>
        <w:t>:</w:t>
      </w:r>
    </w:p>
    <w:p w14:paraId="36A9FB0B" w14:textId="77777777" w:rsidR="00BB7660" w:rsidRPr="009500AD" w:rsidRDefault="00BB7660" w:rsidP="00BB7660">
      <w:pPr>
        <w:pStyle w:val="paragraphsub"/>
      </w:pPr>
      <w:r>
        <w:tab/>
        <w:t>(i)</w:t>
      </w:r>
      <w:r>
        <w:tab/>
        <w:t xml:space="preserve">a determination </w:t>
      </w:r>
      <w:r w:rsidRPr="00641354">
        <w:t xml:space="preserve">under paragraph 52(1)(b) or any of paragraphs 52(1A)(a), (b), (c) or (d) of the </w:t>
      </w:r>
      <w:r w:rsidRPr="00641354">
        <w:rPr>
          <w:i/>
        </w:rPr>
        <w:t>Privacy Act 1988</w:t>
      </w:r>
      <w:r>
        <w:t xml:space="preserve">; </w:t>
      </w:r>
      <w:r w:rsidRPr="009500AD">
        <w:t>or</w:t>
      </w:r>
    </w:p>
    <w:p w14:paraId="3210968F" w14:textId="77777777" w:rsidR="00BB7660" w:rsidRDefault="00BB7660" w:rsidP="00BB7660">
      <w:pPr>
        <w:pStyle w:val="paragraphsub"/>
      </w:pPr>
      <w:r w:rsidRPr="009500AD">
        <w:tab/>
      </w:r>
      <w:r>
        <w:t>(ii)</w:t>
      </w:r>
      <w:r w:rsidRPr="009500AD">
        <w:tab/>
        <w:t xml:space="preserve">a finding </w:t>
      </w:r>
      <w:r w:rsidRPr="0018564F">
        <w:t xml:space="preserve">or determination of a similar nature </w:t>
      </w:r>
      <w:r w:rsidRPr="009500AD">
        <w:t>under a similar law of a foreign jurisdiction;</w:t>
      </w:r>
    </w:p>
    <w:p w14:paraId="416CC351" w14:textId="77777777" w:rsidR="00BB7660" w:rsidRDefault="00BB7660" w:rsidP="00BB7660">
      <w:pPr>
        <w:pStyle w:val="paragraph"/>
      </w:pPr>
      <w:r>
        <w:tab/>
        <w:t>(d)</w:t>
      </w:r>
      <w:r>
        <w:tab/>
        <w:t xml:space="preserve">if the person is a body corporate—whether any of the directors </w:t>
      </w:r>
      <w:r w:rsidRPr="000C3240">
        <w:rPr>
          <w:color w:val="000000" w:themeColor="text1"/>
        </w:rPr>
        <w:t xml:space="preserve">(within the meaning of the </w:t>
      </w:r>
      <w:r w:rsidRPr="000C3240">
        <w:rPr>
          <w:i/>
          <w:color w:val="000000" w:themeColor="text1"/>
        </w:rPr>
        <w:t>Corporations Act 2001</w:t>
      </w:r>
      <w:r w:rsidRPr="000C3240">
        <w:rPr>
          <w:color w:val="000000" w:themeColor="text1"/>
        </w:rPr>
        <w:t>)</w:t>
      </w:r>
      <w:r>
        <w:rPr>
          <w:i/>
        </w:rPr>
        <w:t xml:space="preserve"> </w:t>
      </w:r>
      <w:r>
        <w:t xml:space="preserve">of the person, </w:t>
      </w:r>
      <w:r w:rsidRPr="00AB73DF">
        <w:t>or any associated person</w:t>
      </w:r>
      <w:r>
        <w:t>:</w:t>
      </w:r>
    </w:p>
    <w:p w14:paraId="048DCC54" w14:textId="77777777" w:rsidR="00BB7660" w:rsidRDefault="00BB7660" w:rsidP="00BB7660">
      <w:pPr>
        <w:pStyle w:val="paragraphsub"/>
      </w:pPr>
      <w:r>
        <w:tab/>
        <w:t>(i)</w:t>
      </w:r>
      <w:r>
        <w:tab/>
        <w:t>has been disqualified from managing corporations; or</w:t>
      </w:r>
    </w:p>
    <w:p w14:paraId="4EE45415" w14:textId="77777777" w:rsidR="00BB7660" w:rsidRDefault="00BB7660" w:rsidP="00BB7660">
      <w:pPr>
        <w:pStyle w:val="paragraphsub"/>
      </w:pPr>
      <w:r>
        <w:tab/>
        <w:t>(ii)</w:t>
      </w:r>
      <w:r>
        <w:tab/>
        <w:t>is subject to a banning order;</w:t>
      </w:r>
    </w:p>
    <w:p w14:paraId="287A91DB" w14:textId="77777777" w:rsidR="00BB7660" w:rsidRDefault="00BB7660" w:rsidP="00BB7660">
      <w:pPr>
        <w:pStyle w:val="paragraph"/>
      </w:pPr>
      <w:r>
        <w:tab/>
        <w:t>(e)</w:t>
      </w:r>
      <w:r>
        <w:tab/>
        <w:t>whether the person, or any associated person, has a history of insolvency or bankruptcy;</w:t>
      </w:r>
    </w:p>
    <w:p w14:paraId="013A4B70" w14:textId="77777777" w:rsidR="00BB7660" w:rsidRPr="00724397" w:rsidRDefault="00BB7660" w:rsidP="00BB7660">
      <w:pPr>
        <w:pStyle w:val="paragraph"/>
      </w:pPr>
      <w:r>
        <w:tab/>
        <w:t>(f)</w:t>
      </w:r>
      <w:r>
        <w:tab/>
      </w:r>
      <w:r w:rsidRPr="00B1545A">
        <w:t>whether the person</w:t>
      </w:r>
      <w:r>
        <w:t>,</w:t>
      </w:r>
      <w:r w:rsidRPr="00B1545A">
        <w:t xml:space="preserve"> or any associated person</w:t>
      </w:r>
      <w:r>
        <w:t>,</w:t>
      </w:r>
      <w:r w:rsidRPr="00B1545A">
        <w:t xml:space="preserve"> has been the subject of a determination made under</w:t>
      </w:r>
      <w:r w:rsidRPr="00724397">
        <w:t xml:space="preserve"> an external dispute resolution scheme that:</w:t>
      </w:r>
    </w:p>
    <w:p w14:paraId="346CC91A" w14:textId="77777777" w:rsidR="00BB7660" w:rsidRPr="00724397" w:rsidRDefault="00BB7660" w:rsidP="00BB7660">
      <w:pPr>
        <w:pStyle w:val="paragraphsub"/>
      </w:pPr>
      <w:r w:rsidRPr="00724397">
        <w:tab/>
      </w:r>
      <w:r>
        <w:t>(i)</w:t>
      </w:r>
      <w:r w:rsidRPr="00724397">
        <w:tab/>
        <w:t>included a requirement to pay monetary compensation; and</w:t>
      </w:r>
    </w:p>
    <w:p w14:paraId="4C6BB3E0" w14:textId="77777777" w:rsidR="00BB7660" w:rsidRPr="00724397" w:rsidRDefault="00BB7660" w:rsidP="00BB7660">
      <w:pPr>
        <w:pStyle w:val="paragraphsub"/>
      </w:pPr>
      <w:r w:rsidRPr="00724397">
        <w:tab/>
      </w:r>
      <w:r>
        <w:t>(ii)</w:t>
      </w:r>
      <w:r w:rsidRPr="00724397">
        <w:tab/>
        <w:t>was, at the time the determination was made:</w:t>
      </w:r>
    </w:p>
    <w:p w14:paraId="5AE07E04" w14:textId="77777777" w:rsidR="00BB7660" w:rsidRDefault="00BB7660" w:rsidP="00BB7660">
      <w:pPr>
        <w:pStyle w:val="paragraphsub-sub"/>
      </w:pPr>
      <w:r>
        <w:tab/>
        <w:t>(A)</w:t>
      </w:r>
      <w:r>
        <w:tab/>
      </w:r>
      <w:r w:rsidRPr="00B1545A">
        <w:t xml:space="preserve">recognised under the </w:t>
      </w:r>
      <w:r w:rsidRPr="00714089">
        <w:rPr>
          <w:i/>
        </w:rPr>
        <w:t>Privacy Act 1988</w:t>
      </w:r>
      <w:r>
        <w:t>; or</w:t>
      </w:r>
    </w:p>
    <w:p w14:paraId="714F3551" w14:textId="77777777" w:rsidR="00BB7660" w:rsidRDefault="00BB7660" w:rsidP="00BB7660">
      <w:pPr>
        <w:pStyle w:val="paragraphsub-sub"/>
      </w:pPr>
      <w:r>
        <w:tab/>
        <w:t>(B)</w:t>
      </w:r>
      <w:r>
        <w:tab/>
        <w:t>a recognised external dispute resolution scheme;</w:t>
      </w:r>
    </w:p>
    <w:p w14:paraId="06BD6AC7" w14:textId="77777777" w:rsidR="00BB7660" w:rsidRDefault="00BB7660" w:rsidP="00BB7660">
      <w:pPr>
        <w:pStyle w:val="paragraph"/>
      </w:pPr>
      <w:r>
        <w:tab/>
        <w:t>(g)</w:t>
      </w:r>
      <w:r>
        <w:tab/>
        <w:t>any other relevant matter, including but not limited to the objects of Part IVD of the Act.</w:t>
      </w:r>
    </w:p>
    <w:p w14:paraId="2BB5FBA2" w14:textId="77777777" w:rsidR="00BB7660" w:rsidRDefault="00BB7660" w:rsidP="00BB7660">
      <w:pPr>
        <w:pStyle w:val="notetext"/>
      </w:pPr>
      <w:r>
        <w:t>Note:</w:t>
      </w:r>
      <w:r>
        <w:tab/>
        <w:t>The objects of Part IVD are set out in section 56AA of the Act.</w:t>
      </w:r>
    </w:p>
    <w:p w14:paraId="7F83372F" w14:textId="77777777" w:rsidR="00BB7660" w:rsidRDefault="00BB7660" w:rsidP="00BB7660">
      <w:pPr>
        <w:pStyle w:val="subsection"/>
      </w:pPr>
      <w:r>
        <w:lastRenderedPageBreak/>
        <w:tab/>
        <w:t>(2)</w:t>
      </w:r>
      <w:r>
        <w:tab/>
        <w:t>In this rule:</w:t>
      </w:r>
    </w:p>
    <w:p w14:paraId="67E91543" w14:textId="77777777" w:rsidR="00BB7660" w:rsidRDefault="00BB7660" w:rsidP="00BB7660">
      <w:pPr>
        <w:pStyle w:val="Definition"/>
      </w:pPr>
      <w:r>
        <w:rPr>
          <w:b/>
          <w:i/>
        </w:rPr>
        <w:t xml:space="preserve">banning order </w:t>
      </w:r>
      <w:r>
        <w:t xml:space="preserve">has the same meaning as in the </w:t>
      </w:r>
      <w:r>
        <w:rPr>
          <w:i/>
        </w:rPr>
        <w:t>Corporations Act 2001</w:t>
      </w:r>
      <w:r>
        <w:t>.</w:t>
      </w:r>
    </w:p>
    <w:p w14:paraId="73E189AC" w14:textId="77777777" w:rsidR="00BB7660" w:rsidRDefault="00BB7660" w:rsidP="00BB7660">
      <w:pPr>
        <w:pStyle w:val="Definition"/>
      </w:pPr>
      <w:r>
        <w:rPr>
          <w:b/>
          <w:i/>
        </w:rPr>
        <w:t xml:space="preserve">serious criminal offence </w:t>
      </w:r>
      <w:r>
        <w:t>means an offence for which, if the act or omission had taken place in the Jervis Bay Territory, a person would be liable, on first conviction, to imprisonment for a period of not less than 5 years.</w:t>
      </w:r>
    </w:p>
    <w:p w14:paraId="2E6B7FA0" w14:textId="77777777" w:rsidR="00BB7660" w:rsidRDefault="00BB7660" w:rsidP="00BB7660">
      <w:pPr>
        <w:pStyle w:val="notetext"/>
        <w:rPr>
          <w:shd w:val="clear" w:color="auto" w:fill="FFFFFF"/>
        </w:rPr>
      </w:pPr>
      <w:r>
        <w:rPr>
          <w:shd w:val="clear" w:color="auto" w:fill="FFFFFF"/>
        </w:rPr>
        <w:t>Note:</w:t>
      </w:r>
      <w:r>
        <w:rPr>
          <w:shd w:val="clear" w:color="auto" w:fill="FFFFFF"/>
        </w:rPr>
        <w:tab/>
      </w:r>
      <w:r w:rsidR="00957AA6" w:rsidRPr="00D20EC5">
        <w:rPr>
          <w:color w:val="0000FF"/>
          <w:shd w:val="clear" w:color="auto" w:fill="FFFFFF"/>
        </w:rPr>
        <w:t>The</w:t>
      </w:r>
      <w:r w:rsidR="00957AA6" w:rsidRPr="00270C3C">
        <w:rPr>
          <w:color w:val="0000FF"/>
          <w:shd w:val="clear" w:color="auto" w:fill="FFFFFF"/>
        </w:rPr>
        <w:t xml:space="preserve"> </w:t>
      </w:r>
      <w:r>
        <w:rPr>
          <w:shd w:val="clear" w:color="auto" w:fill="FFFFFF"/>
        </w:rPr>
        <w:t>Jervis Bay Territory is mentioned because it is a jurisdiction in which the Commonwealth has control over the criminal law.</w:t>
      </w:r>
    </w:p>
    <w:p w14:paraId="6D0BE594" w14:textId="77777777" w:rsidR="00BB7660" w:rsidRPr="00E649F5" w:rsidRDefault="00BB7660" w:rsidP="00BB7660">
      <w:pPr>
        <w:pStyle w:val="ActHead5"/>
        <w:rPr>
          <w:color w:val="0000FF"/>
        </w:rPr>
      </w:pPr>
      <w:bookmarkStart w:id="27" w:name="_Toc111131971"/>
      <w:bookmarkStart w:id="28" w:name="_Toc50041691"/>
      <w:bookmarkStart w:id="29" w:name="_Toc50708279"/>
      <w:bookmarkStart w:id="30" w:name="_Toc50708312"/>
      <w:r w:rsidRPr="00E649F5">
        <w:rPr>
          <w:color w:val="0000FF"/>
          <w:shd w:val="clear" w:color="auto" w:fill="FFFFFF"/>
        </w:rPr>
        <w:t xml:space="preserve">1.10  Meaning of </w:t>
      </w:r>
      <w:r w:rsidRPr="00E649F5">
        <w:rPr>
          <w:i/>
          <w:color w:val="0000FF"/>
          <w:shd w:val="clear" w:color="auto" w:fill="FFFFFF"/>
        </w:rPr>
        <w:t>direct OSP</w:t>
      </w:r>
      <w:r w:rsidRPr="00E649F5">
        <w:rPr>
          <w:color w:val="0000FF"/>
        </w:rPr>
        <w:t xml:space="preserve">, </w:t>
      </w:r>
      <w:r w:rsidRPr="00E649F5">
        <w:rPr>
          <w:i/>
          <w:color w:val="0000FF"/>
          <w:shd w:val="clear" w:color="auto" w:fill="FFFFFF"/>
        </w:rPr>
        <w:t xml:space="preserve">indirect OSP </w:t>
      </w:r>
      <w:r w:rsidRPr="00E649F5">
        <w:rPr>
          <w:color w:val="0000FF"/>
          <w:shd w:val="clear" w:color="auto" w:fill="FFFFFF"/>
        </w:rPr>
        <w:t xml:space="preserve">and related </w:t>
      </w:r>
      <w:r w:rsidRPr="00E649F5">
        <w:rPr>
          <w:color w:val="0000FF"/>
        </w:rPr>
        <w:t>terms</w:t>
      </w:r>
      <w:bookmarkEnd w:id="27"/>
    </w:p>
    <w:bookmarkEnd w:id="28"/>
    <w:bookmarkEnd w:id="29"/>
    <w:bookmarkEnd w:id="30"/>
    <w:p w14:paraId="7C735167" w14:textId="77777777" w:rsidR="00BB7660" w:rsidRPr="00E649F5" w:rsidRDefault="00BB7660" w:rsidP="00BB7660">
      <w:pPr>
        <w:pStyle w:val="SubsectionHead"/>
        <w:rPr>
          <w:color w:val="0000FF"/>
        </w:rPr>
      </w:pPr>
      <w:r w:rsidRPr="00E649F5">
        <w:rPr>
          <w:color w:val="0000FF"/>
        </w:rPr>
        <w:t>Persons in a chain of outsourced service providers</w:t>
      </w:r>
    </w:p>
    <w:p w14:paraId="6F06D952" w14:textId="77777777" w:rsidR="00BB7660" w:rsidRPr="00E649F5" w:rsidRDefault="00BB7660" w:rsidP="00BB7660">
      <w:pPr>
        <w:pStyle w:val="subsection"/>
        <w:rPr>
          <w:color w:val="0000FF"/>
        </w:rPr>
      </w:pPr>
      <w:r w:rsidRPr="00E649F5">
        <w:rPr>
          <w:color w:val="0000FF"/>
        </w:rPr>
        <w:tab/>
      </w:r>
      <w:r w:rsidR="00195095">
        <w:rPr>
          <w:color w:val="0000FF"/>
        </w:rPr>
        <w:t>(1)</w:t>
      </w:r>
      <w:r w:rsidRPr="00E649F5">
        <w:rPr>
          <w:color w:val="0000FF"/>
        </w:rPr>
        <w:tab/>
        <w:t>For these rules, where a person who is an accredited person or a CDR representative is the principal in one or more CDR outsourcing arrangements:</w:t>
      </w:r>
    </w:p>
    <w:p w14:paraId="74CC1732" w14:textId="77777777" w:rsidR="00BB7660" w:rsidRPr="00E649F5" w:rsidRDefault="00884326" w:rsidP="00884326">
      <w:pPr>
        <w:pStyle w:val="paragraph"/>
        <w:rPr>
          <w:color w:val="0000FF"/>
        </w:rPr>
      </w:pPr>
      <w:r w:rsidRPr="00E649F5">
        <w:rPr>
          <w:color w:val="0000FF"/>
        </w:rPr>
        <w:tab/>
      </w:r>
      <w:r w:rsidR="00195095">
        <w:rPr>
          <w:color w:val="0000FF"/>
        </w:rPr>
        <w:t>(a)</w:t>
      </w:r>
      <w:r w:rsidRPr="00E649F5">
        <w:rPr>
          <w:color w:val="0000FF"/>
        </w:rPr>
        <w:tab/>
      </w:r>
      <w:r w:rsidR="00BB7660" w:rsidRPr="00E649F5">
        <w:rPr>
          <w:color w:val="0000FF"/>
        </w:rPr>
        <w:t xml:space="preserve">the provider in each such arrangement is a </w:t>
      </w:r>
      <w:r w:rsidR="00BB7660" w:rsidRPr="00E649F5">
        <w:rPr>
          <w:b/>
          <w:i/>
          <w:color w:val="0000FF"/>
        </w:rPr>
        <w:t>direct OSP</w:t>
      </w:r>
      <w:r w:rsidR="00BB7660" w:rsidRPr="00E649F5">
        <w:rPr>
          <w:color w:val="0000FF"/>
        </w:rPr>
        <w:t xml:space="preserve"> (for “direct outsourced service provider”) of the person; and</w:t>
      </w:r>
    </w:p>
    <w:p w14:paraId="54A2D578" w14:textId="77777777" w:rsidR="00BB7660" w:rsidRPr="00E649F5" w:rsidRDefault="00884326" w:rsidP="00884326">
      <w:pPr>
        <w:pStyle w:val="paragraph"/>
        <w:rPr>
          <w:color w:val="0000FF"/>
        </w:rPr>
      </w:pPr>
      <w:r w:rsidRPr="00E649F5">
        <w:rPr>
          <w:color w:val="0000FF"/>
        </w:rPr>
        <w:tab/>
      </w:r>
      <w:r w:rsidR="00195095">
        <w:rPr>
          <w:color w:val="0000FF"/>
        </w:rPr>
        <w:t>(b)</w:t>
      </w:r>
      <w:r w:rsidRPr="00E649F5">
        <w:rPr>
          <w:color w:val="0000FF"/>
        </w:rPr>
        <w:tab/>
      </w:r>
      <w:r w:rsidR="00BB7660" w:rsidRPr="00E649F5">
        <w:rPr>
          <w:color w:val="0000FF"/>
        </w:rPr>
        <w:t>where a direct OSP of the person is also the principal in a fu</w:t>
      </w:r>
      <w:r w:rsidR="008622C0" w:rsidRPr="00E649F5">
        <w:rPr>
          <w:color w:val="0000FF"/>
        </w:rPr>
        <w:t>r</w:t>
      </w:r>
      <w:r w:rsidR="00BB7660" w:rsidRPr="00E649F5">
        <w:rPr>
          <w:color w:val="0000FF"/>
        </w:rPr>
        <w:t xml:space="preserve">ther CDR outsourcing arrangement, the provider in the further arrangement is an </w:t>
      </w:r>
      <w:r w:rsidR="00BB7660" w:rsidRPr="00E649F5">
        <w:rPr>
          <w:b/>
          <w:i/>
          <w:color w:val="0000FF"/>
        </w:rPr>
        <w:t>indirect OSP</w:t>
      </w:r>
      <w:r w:rsidR="00BB7660" w:rsidRPr="00E649F5">
        <w:rPr>
          <w:color w:val="0000FF"/>
        </w:rPr>
        <w:t xml:space="preserve"> of the person; and</w:t>
      </w:r>
    </w:p>
    <w:p w14:paraId="05E443A0" w14:textId="77777777" w:rsidR="00BB7660" w:rsidRPr="00E649F5" w:rsidRDefault="00884326" w:rsidP="00884326">
      <w:pPr>
        <w:pStyle w:val="paragraph"/>
        <w:rPr>
          <w:color w:val="0000FF"/>
        </w:rPr>
      </w:pPr>
      <w:r w:rsidRPr="00E649F5">
        <w:rPr>
          <w:color w:val="0000FF"/>
        </w:rPr>
        <w:tab/>
      </w:r>
      <w:r w:rsidR="00195095">
        <w:rPr>
          <w:color w:val="0000FF"/>
        </w:rPr>
        <w:t>(c)</w:t>
      </w:r>
      <w:r w:rsidRPr="00E649F5">
        <w:rPr>
          <w:color w:val="0000FF"/>
        </w:rPr>
        <w:tab/>
      </w:r>
      <w:r w:rsidR="00BB7660" w:rsidRPr="00E649F5">
        <w:rPr>
          <w:color w:val="0000FF"/>
        </w:rPr>
        <w:t>where an indirect OSP of the person is also the principal in a fu</w:t>
      </w:r>
      <w:r w:rsidR="008622C0" w:rsidRPr="00E649F5">
        <w:rPr>
          <w:color w:val="0000FF"/>
        </w:rPr>
        <w:t>r</w:t>
      </w:r>
      <w:r w:rsidR="00BB7660" w:rsidRPr="00E649F5">
        <w:rPr>
          <w:color w:val="0000FF"/>
        </w:rPr>
        <w:t xml:space="preserve">ther CDR outsourcing arrangement, the provider in the further arrangement is also an </w:t>
      </w:r>
      <w:r w:rsidR="00BB7660" w:rsidRPr="00E649F5">
        <w:rPr>
          <w:b/>
          <w:i/>
          <w:color w:val="0000FF"/>
        </w:rPr>
        <w:t>indirect OSP</w:t>
      </w:r>
      <w:r w:rsidR="00BB7660" w:rsidRPr="00E649F5">
        <w:rPr>
          <w:color w:val="0000FF"/>
        </w:rPr>
        <w:t xml:space="preserve"> of the person; and</w:t>
      </w:r>
    </w:p>
    <w:p w14:paraId="2102FB3D" w14:textId="77777777" w:rsidR="00BB7660" w:rsidRPr="00E649F5" w:rsidRDefault="00884326" w:rsidP="00884326">
      <w:pPr>
        <w:pStyle w:val="paragraph"/>
        <w:rPr>
          <w:color w:val="0000FF"/>
        </w:rPr>
      </w:pPr>
      <w:r w:rsidRPr="00E649F5">
        <w:rPr>
          <w:color w:val="0000FF"/>
        </w:rPr>
        <w:tab/>
      </w:r>
      <w:r w:rsidR="00195095">
        <w:rPr>
          <w:color w:val="0000FF"/>
        </w:rPr>
        <w:t>(d)</w:t>
      </w:r>
      <w:r w:rsidRPr="00E649F5">
        <w:rPr>
          <w:color w:val="0000FF"/>
        </w:rPr>
        <w:tab/>
      </w:r>
      <w:r w:rsidR="00BB7660" w:rsidRPr="00E649F5">
        <w:rPr>
          <w:color w:val="0000FF"/>
        </w:rPr>
        <w:t xml:space="preserve">the person is the </w:t>
      </w:r>
      <w:r w:rsidR="00BB7660" w:rsidRPr="00E649F5">
        <w:rPr>
          <w:b/>
          <w:i/>
          <w:color w:val="0000FF"/>
        </w:rPr>
        <w:t>chain principal</w:t>
      </w:r>
      <w:r w:rsidR="00BB7660" w:rsidRPr="00E649F5">
        <w:rPr>
          <w:color w:val="0000FF"/>
        </w:rPr>
        <w:t xml:space="preserve"> of each direct and indirect OSP.</w:t>
      </w:r>
    </w:p>
    <w:p w14:paraId="0A6D09C9" w14:textId="77777777" w:rsidR="00BB7660" w:rsidRPr="00E649F5" w:rsidRDefault="00BB7660" w:rsidP="00BB7660">
      <w:pPr>
        <w:pStyle w:val="notetext"/>
        <w:rPr>
          <w:color w:val="0000FF"/>
        </w:rPr>
      </w:pPr>
      <w:r w:rsidRPr="00E649F5">
        <w:rPr>
          <w:color w:val="0000FF"/>
        </w:rPr>
        <w:t>Note:</w:t>
      </w:r>
      <w:r w:rsidRPr="00E649F5">
        <w:rPr>
          <w:color w:val="0000FF"/>
        </w:rPr>
        <w:tab/>
        <w:t>Paragraph (c) can be applied repeatedly, so there may be a chain of indirect OSPs for each direct OSP.</w:t>
      </w:r>
    </w:p>
    <w:p w14:paraId="141D2775" w14:textId="77777777" w:rsidR="00BB7660" w:rsidRPr="00E649F5" w:rsidRDefault="00BB7660" w:rsidP="00BB7660">
      <w:pPr>
        <w:pStyle w:val="SubsectionHead"/>
        <w:rPr>
          <w:color w:val="0000FF"/>
        </w:rPr>
      </w:pPr>
      <w:r w:rsidRPr="00E649F5">
        <w:rPr>
          <w:color w:val="0000FF"/>
        </w:rPr>
        <w:t>Content of a CDR outsourcing arrangement</w:t>
      </w:r>
    </w:p>
    <w:p w14:paraId="3D7F7943" w14:textId="77777777" w:rsidR="00BB7660" w:rsidRPr="00E649F5" w:rsidRDefault="00BB7660" w:rsidP="00BB7660">
      <w:pPr>
        <w:pStyle w:val="subsection"/>
        <w:rPr>
          <w:color w:val="0000FF"/>
        </w:rPr>
      </w:pPr>
      <w:r w:rsidRPr="00E649F5">
        <w:rPr>
          <w:color w:val="0000FF"/>
        </w:rPr>
        <w:tab/>
      </w:r>
      <w:r w:rsidR="00195095">
        <w:rPr>
          <w:color w:val="0000FF"/>
        </w:rPr>
        <w:t>(2)</w:t>
      </w:r>
      <w:r w:rsidRPr="00E649F5">
        <w:rPr>
          <w:color w:val="0000FF"/>
        </w:rPr>
        <w:tab/>
        <w:t xml:space="preserve">For these rules, a </w:t>
      </w:r>
      <w:r w:rsidRPr="00E649F5">
        <w:rPr>
          <w:b/>
          <w:i/>
          <w:color w:val="0000FF"/>
        </w:rPr>
        <w:t>CDR</w:t>
      </w:r>
      <w:r w:rsidRPr="00E649F5">
        <w:rPr>
          <w:color w:val="0000FF"/>
        </w:rPr>
        <w:t xml:space="preserve"> </w:t>
      </w:r>
      <w:r w:rsidRPr="00E649F5">
        <w:rPr>
          <w:b/>
          <w:i/>
          <w:color w:val="0000FF"/>
        </w:rPr>
        <w:t>outsourcing arrangement</w:t>
      </w:r>
      <w:r w:rsidRPr="00E649F5">
        <w:rPr>
          <w:color w:val="0000FF"/>
        </w:rPr>
        <w:t xml:space="preserve"> is a written contract between a person (the </w:t>
      </w:r>
      <w:r w:rsidRPr="00E649F5">
        <w:rPr>
          <w:b/>
          <w:i/>
          <w:color w:val="0000FF"/>
        </w:rPr>
        <w:t>principal</w:t>
      </w:r>
      <w:r w:rsidRPr="00E649F5">
        <w:rPr>
          <w:color w:val="0000FF"/>
        </w:rPr>
        <w:t>)</w:t>
      </w:r>
      <w:r w:rsidRPr="00E649F5">
        <w:rPr>
          <w:b/>
          <w:i/>
          <w:color w:val="0000FF"/>
        </w:rPr>
        <w:t xml:space="preserve"> </w:t>
      </w:r>
      <w:r w:rsidRPr="00E649F5">
        <w:rPr>
          <w:color w:val="0000FF"/>
        </w:rPr>
        <w:t xml:space="preserve">and another person (the </w:t>
      </w:r>
      <w:r w:rsidRPr="00E649F5">
        <w:rPr>
          <w:b/>
          <w:i/>
          <w:color w:val="0000FF"/>
        </w:rPr>
        <w:t>provider</w:t>
      </w:r>
      <w:r w:rsidRPr="00E649F5">
        <w:rPr>
          <w:color w:val="0000FF"/>
        </w:rPr>
        <w:t>) under which:</w:t>
      </w:r>
    </w:p>
    <w:p w14:paraId="5E5BDD4C" w14:textId="77777777" w:rsidR="00BB7660" w:rsidRPr="00E649F5" w:rsidRDefault="00884326" w:rsidP="00884326">
      <w:pPr>
        <w:pStyle w:val="paragraph"/>
        <w:rPr>
          <w:color w:val="0000FF"/>
        </w:rPr>
      </w:pPr>
      <w:r w:rsidRPr="00E649F5">
        <w:rPr>
          <w:color w:val="0000FF"/>
        </w:rPr>
        <w:tab/>
      </w:r>
      <w:r w:rsidR="00195095">
        <w:rPr>
          <w:color w:val="0000FF"/>
        </w:rPr>
        <w:t>(a)</w:t>
      </w:r>
      <w:r w:rsidRPr="00E649F5">
        <w:rPr>
          <w:color w:val="0000FF"/>
        </w:rPr>
        <w:tab/>
      </w:r>
      <w:r w:rsidR="00BB7660" w:rsidRPr="00E649F5">
        <w:rPr>
          <w:color w:val="0000FF"/>
        </w:rPr>
        <w:t>the provider will do one or both of the following:</w:t>
      </w:r>
    </w:p>
    <w:p w14:paraId="0545A446" w14:textId="77777777" w:rsidR="00BB7660" w:rsidRPr="00E649F5" w:rsidRDefault="00884326" w:rsidP="00884326">
      <w:pPr>
        <w:pStyle w:val="paragraphsub"/>
        <w:rPr>
          <w:color w:val="0000FF"/>
        </w:rPr>
      </w:pPr>
      <w:r w:rsidRPr="00E649F5">
        <w:rPr>
          <w:color w:val="0000FF"/>
        </w:rPr>
        <w:tab/>
      </w:r>
      <w:r w:rsidR="00195095">
        <w:rPr>
          <w:color w:val="0000FF"/>
        </w:rPr>
        <w:t>(i)</w:t>
      </w:r>
      <w:r w:rsidRPr="00E649F5">
        <w:rPr>
          <w:color w:val="0000FF"/>
        </w:rPr>
        <w:tab/>
      </w:r>
      <w:r w:rsidR="00BB7660" w:rsidRPr="00E649F5">
        <w:rPr>
          <w:color w:val="0000FF"/>
        </w:rPr>
        <w:t>collect CDR data from a CDR participant in accordance with these rules on behalf of the chain principal (for a chain principal who is an accredited person);</w:t>
      </w:r>
    </w:p>
    <w:p w14:paraId="5BBBC7FA" w14:textId="77777777" w:rsidR="00BB7660" w:rsidRPr="00E649F5" w:rsidRDefault="00884326" w:rsidP="00884326">
      <w:pPr>
        <w:pStyle w:val="paragraphsub"/>
        <w:rPr>
          <w:color w:val="0000FF"/>
        </w:rPr>
      </w:pPr>
      <w:r w:rsidRPr="00E649F5">
        <w:rPr>
          <w:color w:val="0000FF"/>
        </w:rPr>
        <w:tab/>
      </w:r>
      <w:r w:rsidR="00195095">
        <w:rPr>
          <w:color w:val="0000FF"/>
        </w:rPr>
        <w:t>(ii)</w:t>
      </w:r>
      <w:r w:rsidRPr="00E649F5">
        <w:rPr>
          <w:color w:val="0000FF"/>
        </w:rPr>
        <w:tab/>
      </w:r>
      <w:r w:rsidR="00BB7660" w:rsidRPr="00E649F5">
        <w:rPr>
          <w:color w:val="0000FF"/>
        </w:rPr>
        <w:t xml:space="preserve">use </w:t>
      </w:r>
      <w:r w:rsidR="0066654D" w:rsidRPr="00E649F5">
        <w:rPr>
          <w:color w:val="0000FF"/>
        </w:rPr>
        <w:t>or disclose</w:t>
      </w:r>
      <w:r w:rsidR="007E4FB5" w:rsidRPr="00E649F5">
        <w:rPr>
          <w:color w:val="0000FF"/>
        </w:rPr>
        <w:t xml:space="preserve"> </w:t>
      </w:r>
      <w:r w:rsidR="00BB7660" w:rsidRPr="00E649F5">
        <w:rPr>
          <w:color w:val="0000FF"/>
        </w:rPr>
        <w:t>service data to provide specified goods or services to the principal; and</w:t>
      </w:r>
    </w:p>
    <w:p w14:paraId="4DF3A4A6" w14:textId="77777777" w:rsidR="00BB7660" w:rsidRPr="00D20EC5" w:rsidRDefault="00884326" w:rsidP="00884326">
      <w:pPr>
        <w:pStyle w:val="paragraph"/>
        <w:rPr>
          <w:color w:val="0000FF"/>
        </w:rPr>
      </w:pPr>
      <w:r w:rsidRPr="00884326">
        <w:rPr>
          <w:color w:val="0000FF"/>
        </w:rPr>
        <w:tab/>
      </w:r>
      <w:r w:rsidR="00195095">
        <w:rPr>
          <w:color w:val="0000FF"/>
        </w:rPr>
        <w:t>(b)</w:t>
      </w:r>
      <w:r w:rsidRPr="00D20EC5">
        <w:rPr>
          <w:color w:val="0000FF"/>
        </w:rPr>
        <w:tab/>
      </w:r>
      <w:r w:rsidR="00BB7660" w:rsidRPr="00D20EC5">
        <w:rPr>
          <w:color w:val="0000FF"/>
        </w:rPr>
        <w:t>the provider is required to comply with the following requirements in relation to any service data:</w:t>
      </w:r>
    </w:p>
    <w:p w14:paraId="1700648D" w14:textId="77777777" w:rsidR="00BB7660" w:rsidRPr="00D20EC5" w:rsidRDefault="00171C58" w:rsidP="00171C58">
      <w:pPr>
        <w:pStyle w:val="paragraphsub"/>
        <w:rPr>
          <w:color w:val="0000FF"/>
        </w:rPr>
      </w:pPr>
      <w:r w:rsidRPr="00D20EC5">
        <w:rPr>
          <w:color w:val="0000FF"/>
        </w:rPr>
        <w:tab/>
      </w:r>
      <w:r w:rsidR="00195095">
        <w:rPr>
          <w:color w:val="0000FF"/>
        </w:rPr>
        <w:t>(i)</w:t>
      </w:r>
      <w:r w:rsidRPr="00D20EC5">
        <w:rPr>
          <w:color w:val="0000FF"/>
        </w:rPr>
        <w:tab/>
      </w:r>
      <w:r w:rsidR="00BB7660" w:rsidRPr="00D20EC5">
        <w:rPr>
          <w:color w:val="0000FF"/>
        </w:rPr>
        <w:t>the provider must take the steps in Schedule 2 to protect the service data as if it were an accredited data recipient;</w:t>
      </w:r>
    </w:p>
    <w:p w14:paraId="051E2C73" w14:textId="77777777" w:rsidR="00E333D4" w:rsidRPr="00D20EC5" w:rsidRDefault="00620E01" w:rsidP="00E333D4">
      <w:pPr>
        <w:pStyle w:val="paragraphsub"/>
        <w:rPr>
          <w:color w:val="0000FF"/>
        </w:rPr>
      </w:pPr>
      <w:r w:rsidRPr="00D20EC5">
        <w:rPr>
          <w:color w:val="0000FF"/>
        </w:rPr>
        <w:tab/>
      </w:r>
      <w:r w:rsidR="00195095">
        <w:rPr>
          <w:color w:val="0000FF"/>
        </w:rPr>
        <w:t>(ii)</w:t>
      </w:r>
      <w:r w:rsidRPr="00D20EC5">
        <w:rPr>
          <w:color w:val="0000FF"/>
        </w:rPr>
        <w:tab/>
        <w:t>the provider must not disclose service data other</w:t>
      </w:r>
      <w:r w:rsidR="00E333D4" w:rsidRPr="00D20EC5">
        <w:rPr>
          <w:color w:val="0000FF"/>
        </w:rPr>
        <w:t xml:space="preserve"> than:</w:t>
      </w:r>
      <w:r w:rsidRPr="00D20EC5">
        <w:rPr>
          <w:color w:val="0000FF"/>
        </w:rPr>
        <w:t xml:space="preserve"> </w:t>
      </w:r>
    </w:p>
    <w:p w14:paraId="719BE63B" w14:textId="77777777" w:rsidR="00620E01" w:rsidRPr="00D20EC5" w:rsidRDefault="00620E01" w:rsidP="00620E01">
      <w:pPr>
        <w:pStyle w:val="paragraphsub-sub"/>
        <w:rPr>
          <w:color w:val="0000FF"/>
        </w:rPr>
      </w:pPr>
      <w:r w:rsidRPr="00D20EC5">
        <w:rPr>
          <w:color w:val="0000FF"/>
        </w:rPr>
        <w:tab/>
      </w:r>
      <w:r w:rsidR="00195095">
        <w:rPr>
          <w:color w:val="0000FF"/>
        </w:rPr>
        <w:t>(A)</w:t>
      </w:r>
      <w:r w:rsidRPr="00D20EC5">
        <w:rPr>
          <w:color w:val="0000FF"/>
        </w:rPr>
        <w:tab/>
        <w:t>to another direct or indirect OSP of the chain principal; or</w:t>
      </w:r>
    </w:p>
    <w:p w14:paraId="04DC56F4" w14:textId="77777777" w:rsidR="00620E01" w:rsidRPr="00D20EC5" w:rsidRDefault="00620E01" w:rsidP="00620E01">
      <w:pPr>
        <w:pStyle w:val="paragraphsub-sub"/>
        <w:rPr>
          <w:color w:val="0000FF"/>
        </w:rPr>
      </w:pPr>
      <w:r w:rsidRPr="00D20EC5">
        <w:rPr>
          <w:color w:val="0000FF"/>
        </w:rPr>
        <w:tab/>
      </w:r>
      <w:r w:rsidR="00195095">
        <w:rPr>
          <w:color w:val="0000FF"/>
        </w:rPr>
        <w:t>(B)</w:t>
      </w:r>
      <w:r w:rsidRPr="00D20EC5">
        <w:rPr>
          <w:color w:val="0000FF"/>
        </w:rPr>
        <w:tab/>
        <w:t>to the chain principal;</w:t>
      </w:r>
      <w:r w:rsidR="00E333D4" w:rsidRPr="00D20EC5">
        <w:rPr>
          <w:color w:val="0000FF"/>
        </w:rPr>
        <w:t xml:space="preserve"> or</w:t>
      </w:r>
    </w:p>
    <w:p w14:paraId="14008950" w14:textId="77777777" w:rsidR="00E333D4" w:rsidRPr="00D20EC5" w:rsidRDefault="00E333D4" w:rsidP="00E333D4">
      <w:pPr>
        <w:pStyle w:val="paragraphsub-sub"/>
        <w:rPr>
          <w:color w:val="0000FF"/>
        </w:rPr>
      </w:pPr>
      <w:r w:rsidRPr="00D20EC5">
        <w:rPr>
          <w:color w:val="0000FF"/>
        </w:rPr>
        <w:tab/>
      </w:r>
      <w:r w:rsidR="00195095">
        <w:rPr>
          <w:color w:val="0000FF"/>
        </w:rPr>
        <w:t>(C)</w:t>
      </w:r>
      <w:r w:rsidRPr="00D20EC5">
        <w:rPr>
          <w:color w:val="0000FF"/>
        </w:rPr>
        <w:tab/>
        <w:t>in circumstances where the disclosure of the service data by the chain principal would permitted under these rules;</w:t>
      </w:r>
    </w:p>
    <w:p w14:paraId="73A07E27" w14:textId="77777777" w:rsidR="00BB7660" w:rsidRPr="00D20EC5" w:rsidRDefault="00171C58" w:rsidP="00171C58">
      <w:pPr>
        <w:pStyle w:val="paragraphsub"/>
        <w:rPr>
          <w:color w:val="0000FF"/>
        </w:rPr>
      </w:pPr>
      <w:r w:rsidRPr="00D20EC5">
        <w:rPr>
          <w:color w:val="0000FF"/>
        </w:rPr>
        <w:lastRenderedPageBreak/>
        <w:tab/>
      </w:r>
      <w:r w:rsidR="00195095">
        <w:rPr>
          <w:color w:val="0000FF"/>
        </w:rPr>
        <w:t>(iii)</w:t>
      </w:r>
      <w:r w:rsidRPr="00D20EC5">
        <w:rPr>
          <w:color w:val="0000FF"/>
        </w:rPr>
        <w:tab/>
      </w:r>
      <w:r w:rsidR="00BB7660" w:rsidRPr="00D20EC5">
        <w:rPr>
          <w:color w:val="0000FF"/>
        </w:rPr>
        <w:t>the provider must not use or disclose the service data other than in accordance with a contract with the principal; and</w:t>
      </w:r>
    </w:p>
    <w:p w14:paraId="6F1491EE" w14:textId="77777777" w:rsidR="00123DD7" w:rsidRPr="00D20EC5" w:rsidRDefault="00171C58" w:rsidP="00171C58">
      <w:pPr>
        <w:pStyle w:val="paragraphsub"/>
        <w:rPr>
          <w:color w:val="0000FF"/>
        </w:rPr>
      </w:pPr>
      <w:r w:rsidRPr="00D20EC5">
        <w:rPr>
          <w:color w:val="0000FF"/>
        </w:rPr>
        <w:tab/>
      </w:r>
      <w:r w:rsidR="00195095">
        <w:rPr>
          <w:color w:val="0000FF"/>
        </w:rPr>
        <w:t>(iv)</w:t>
      </w:r>
      <w:r w:rsidRPr="00D20EC5">
        <w:rPr>
          <w:color w:val="0000FF"/>
        </w:rPr>
        <w:tab/>
      </w:r>
      <w:r w:rsidR="001E7F54" w:rsidRPr="00D20EC5">
        <w:rPr>
          <w:color w:val="0000FF"/>
        </w:rPr>
        <w:t>the provider must, when so directed by</w:t>
      </w:r>
      <w:r w:rsidR="00123DD7" w:rsidRPr="00D20EC5">
        <w:rPr>
          <w:color w:val="0000FF"/>
        </w:rPr>
        <w:t>:</w:t>
      </w:r>
    </w:p>
    <w:p w14:paraId="032F49BB" w14:textId="77777777" w:rsidR="00123DD7" w:rsidRPr="00D20EC5" w:rsidRDefault="00123DD7" w:rsidP="00123DD7">
      <w:pPr>
        <w:pStyle w:val="paragraphsub-sub"/>
        <w:rPr>
          <w:color w:val="0000FF"/>
        </w:rPr>
      </w:pPr>
      <w:r w:rsidRPr="00D20EC5">
        <w:rPr>
          <w:color w:val="0000FF"/>
        </w:rPr>
        <w:tab/>
      </w:r>
      <w:r w:rsidR="00195095">
        <w:rPr>
          <w:color w:val="0000FF"/>
        </w:rPr>
        <w:t>(A)</w:t>
      </w:r>
      <w:r w:rsidRPr="00D20EC5">
        <w:rPr>
          <w:color w:val="0000FF"/>
        </w:rPr>
        <w:tab/>
      </w:r>
      <w:r w:rsidR="001E7F54" w:rsidRPr="00D20EC5">
        <w:rPr>
          <w:color w:val="0000FF"/>
        </w:rPr>
        <w:t>the principal</w:t>
      </w:r>
      <w:r w:rsidRPr="00D20EC5">
        <w:rPr>
          <w:color w:val="0000FF"/>
        </w:rPr>
        <w:t>;</w:t>
      </w:r>
      <w:r w:rsidR="00C87933" w:rsidRPr="00D20EC5">
        <w:rPr>
          <w:color w:val="0000FF"/>
        </w:rPr>
        <w:t xml:space="preserve"> or</w:t>
      </w:r>
    </w:p>
    <w:p w14:paraId="482C3E8F" w14:textId="77777777" w:rsidR="00123DD7" w:rsidRPr="00D20EC5" w:rsidRDefault="00123DD7" w:rsidP="00123DD7">
      <w:pPr>
        <w:pStyle w:val="paragraphsub-sub"/>
        <w:rPr>
          <w:color w:val="0000FF"/>
        </w:rPr>
      </w:pPr>
      <w:r w:rsidRPr="00D20EC5">
        <w:rPr>
          <w:color w:val="0000FF"/>
        </w:rPr>
        <w:tab/>
      </w:r>
      <w:r w:rsidR="00195095">
        <w:rPr>
          <w:color w:val="0000FF"/>
        </w:rPr>
        <w:t>(B)</w:t>
      </w:r>
      <w:r w:rsidRPr="00D20EC5">
        <w:rPr>
          <w:color w:val="0000FF"/>
        </w:rPr>
        <w:tab/>
      </w:r>
      <w:r w:rsidR="00C87933" w:rsidRPr="00D20EC5">
        <w:rPr>
          <w:color w:val="0000FF"/>
        </w:rPr>
        <w:t>the chain principal</w:t>
      </w:r>
      <w:r w:rsidRPr="00D20EC5">
        <w:rPr>
          <w:color w:val="0000FF"/>
        </w:rPr>
        <w:t>; or</w:t>
      </w:r>
    </w:p>
    <w:p w14:paraId="6468D38F" w14:textId="77777777" w:rsidR="00123DD7" w:rsidRPr="00D20EC5" w:rsidRDefault="00123DD7" w:rsidP="00123DD7">
      <w:pPr>
        <w:pStyle w:val="paragraphsub-sub"/>
        <w:rPr>
          <w:color w:val="0000FF"/>
        </w:rPr>
      </w:pPr>
      <w:r w:rsidRPr="00D20EC5">
        <w:rPr>
          <w:color w:val="0000FF"/>
        </w:rPr>
        <w:tab/>
      </w:r>
      <w:r w:rsidR="00195095">
        <w:rPr>
          <w:color w:val="0000FF"/>
        </w:rPr>
        <w:t>(C)</w:t>
      </w:r>
      <w:r w:rsidRPr="00D20EC5">
        <w:rPr>
          <w:color w:val="0000FF"/>
        </w:rPr>
        <w:tab/>
        <w:t>where the chain principal is a CDR representative—the CDR principal;</w:t>
      </w:r>
    </w:p>
    <w:p w14:paraId="2488FD1A" w14:textId="77777777" w:rsidR="001E7F54" w:rsidRPr="00D20EC5" w:rsidRDefault="00123DD7" w:rsidP="00123DD7">
      <w:pPr>
        <w:pStyle w:val="paragraphsub"/>
        <w:rPr>
          <w:color w:val="0000FF"/>
        </w:rPr>
      </w:pPr>
      <w:r w:rsidRPr="00D20EC5">
        <w:rPr>
          <w:color w:val="0000FF"/>
        </w:rPr>
        <w:tab/>
      </w:r>
      <w:r w:rsidRPr="00D20EC5">
        <w:rPr>
          <w:color w:val="0000FF"/>
        </w:rPr>
        <w:tab/>
      </w:r>
      <w:r w:rsidR="001E7F54" w:rsidRPr="00D20EC5">
        <w:rPr>
          <w:color w:val="0000FF"/>
        </w:rPr>
        <w:t>do any of the following:</w:t>
      </w:r>
    </w:p>
    <w:p w14:paraId="3662945B" w14:textId="77777777" w:rsidR="001E7F54" w:rsidRPr="00D20EC5" w:rsidRDefault="00171C58" w:rsidP="00171C58">
      <w:pPr>
        <w:pStyle w:val="paragraphsub-sub"/>
        <w:rPr>
          <w:color w:val="0000FF"/>
        </w:rPr>
      </w:pPr>
      <w:r w:rsidRPr="00D20EC5">
        <w:rPr>
          <w:color w:val="0000FF"/>
        </w:rPr>
        <w:tab/>
      </w:r>
      <w:r w:rsidR="00195095">
        <w:rPr>
          <w:color w:val="0000FF"/>
        </w:rPr>
        <w:t>(D)</w:t>
      </w:r>
      <w:r w:rsidRPr="00D20EC5">
        <w:rPr>
          <w:color w:val="0000FF"/>
        </w:rPr>
        <w:tab/>
      </w:r>
      <w:r w:rsidR="001E7F54" w:rsidRPr="00D20EC5">
        <w:rPr>
          <w:color w:val="0000FF"/>
        </w:rPr>
        <w:t xml:space="preserve">provide </w:t>
      </w:r>
      <w:r w:rsidR="00123DD7" w:rsidRPr="00D20EC5">
        <w:rPr>
          <w:color w:val="0000FF"/>
        </w:rPr>
        <w:t>that person</w:t>
      </w:r>
      <w:r w:rsidR="00C87933" w:rsidRPr="00D20EC5">
        <w:rPr>
          <w:color w:val="0000FF"/>
        </w:rPr>
        <w:t xml:space="preserve"> </w:t>
      </w:r>
      <w:r w:rsidR="001E7F54" w:rsidRPr="00D20EC5">
        <w:rPr>
          <w:color w:val="0000FF"/>
        </w:rPr>
        <w:t>with access to any service data that it holds;</w:t>
      </w:r>
    </w:p>
    <w:p w14:paraId="7EE22C97" w14:textId="77777777" w:rsidR="00B60539" w:rsidRPr="00D20EC5" w:rsidRDefault="00171C58" w:rsidP="00171C58">
      <w:pPr>
        <w:pStyle w:val="paragraphsub-sub"/>
        <w:rPr>
          <w:color w:val="0000FF"/>
        </w:rPr>
      </w:pPr>
      <w:r w:rsidRPr="00D20EC5">
        <w:rPr>
          <w:color w:val="0000FF"/>
        </w:rPr>
        <w:tab/>
      </w:r>
      <w:r w:rsidR="00195095">
        <w:rPr>
          <w:color w:val="0000FF"/>
        </w:rPr>
        <w:t>(E)</w:t>
      </w:r>
      <w:r w:rsidRPr="00D20EC5">
        <w:rPr>
          <w:color w:val="0000FF"/>
        </w:rPr>
        <w:tab/>
      </w:r>
      <w:r w:rsidR="00B60539" w:rsidRPr="00D20EC5">
        <w:rPr>
          <w:color w:val="0000FF"/>
        </w:rPr>
        <w:t>in accordance with the CDR data deletion process, delete any service data that it holds and make the required records;</w:t>
      </w:r>
    </w:p>
    <w:p w14:paraId="45D58C46" w14:textId="77777777" w:rsidR="001E7F54" w:rsidRPr="00D20EC5" w:rsidRDefault="00171C58" w:rsidP="00171C58">
      <w:pPr>
        <w:pStyle w:val="paragraphsub-sub"/>
        <w:rPr>
          <w:color w:val="0000FF"/>
        </w:rPr>
      </w:pPr>
      <w:r w:rsidRPr="00D20EC5">
        <w:rPr>
          <w:color w:val="0000FF"/>
        </w:rPr>
        <w:tab/>
      </w:r>
      <w:r w:rsidR="00195095">
        <w:rPr>
          <w:color w:val="0000FF"/>
        </w:rPr>
        <w:t>(F)</w:t>
      </w:r>
      <w:r w:rsidRPr="00D20EC5">
        <w:rPr>
          <w:color w:val="0000FF"/>
        </w:rPr>
        <w:tab/>
      </w:r>
      <w:r w:rsidR="001E7F54" w:rsidRPr="00D20EC5">
        <w:rPr>
          <w:color w:val="0000FF"/>
        </w:rPr>
        <w:t>provide</w:t>
      </w:r>
      <w:r w:rsidR="00123DD7" w:rsidRPr="00D20EC5">
        <w:rPr>
          <w:color w:val="0000FF"/>
        </w:rPr>
        <w:t xml:space="preserve"> to that person</w:t>
      </w:r>
      <w:r w:rsidR="001E7F54" w:rsidRPr="00D20EC5">
        <w:rPr>
          <w:color w:val="0000FF"/>
        </w:rPr>
        <w:t xml:space="preserve"> </w:t>
      </w:r>
      <w:r w:rsidR="00B60539" w:rsidRPr="00D20EC5">
        <w:rPr>
          <w:color w:val="0000FF"/>
        </w:rPr>
        <w:t xml:space="preserve">any such required </w:t>
      </w:r>
      <w:r w:rsidR="001E7F54" w:rsidRPr="00D20EC5">
        <w:rPr>
          <w:color w:val="0000FF"/>
        </w:rPr>
        <w:t>records</w:t>
      </w:r>
      <w:r w:rsidR="00B60539" w:rsidRPr="00D20EC5">
        <w:rPr>
          <w:color w:val="0000FF"/>
        </w:rPr>
        <w:t>;</w:t>
      </w:r>
    </w:p>
    <w:p w14:paraId="2C73372B" w14:textId="77777777" w:rsidR="001E7F54" w:rsidRPr="00D20EC5" w:rsidRDefault="00171C58" w:rsidP="00171C58">
      <w:pPr>
        <w:pStyle w:val="paragraphsub-sub"/>
        <w:rPr>
          <w:color w:val="0000FF"/>
        </w:rPr>
      </w:pPr>
      <w:r w:rsidRPr="00D20EC5">
        <w:rPr>
          <w:color w:val="0000FF"/>
        </w:rPr>
        <w:tab/>
      </w:r>
      <w:r w:rsidR="00195095">
        <w:rPr>
          <w:color w:val="0000FF"/>
        </w:rPr>
        <w:t>(G)</w:t>
      </w:r>
      <w:r w:rsidRPr="00D20EC5">
        <w:rPr>
          <w:color w:val="0000FF"/>
        </w:rPr>
        <w:tab/>
      </w:r>
      <w:r w:rsidR="001E7F54" w:rsidRPr="00D20EC5">
        <w:rPr>
          <w:color w:val="0000FF"/>
        </w:rPr>
        <w:t xml:space="preserve">direct any other person to which it has disclosed </w:t>
      </w:r>
      <w:r w:rsidR="00123DD7" w:rsidRPr="00D20EC5">
        <w:rPr>
          <w:color w:val="0000FF"/>
        </w:rPr>
        <w:t>service</w:t>
      </w:r>
      <w:r w:rsidR="001E7F54" w:rsidRPr="00D20EC5">
        <w:rPr>
          <w:color w:val="0000FF"/>
        </w:rPr>
        <w:t xml:space="preserve"> data </w:t>
      </w:r>
      <w:r w:rsidR="00C87933" w:rsidRPr="00D20EC5">
        <w:rPr>
          <w:color w:val="0000FF"/>
        </w:rPr>
        <w:t xml:space="preserve">under </w:t>
      </w:r>
      <w:r w:rsidR="000B1391" w:rsidRPr="00D20EC5">
        <w:rPr>
          <w:color w:val="0000FF"/>
        </w:rPr>
        <w:t xml:space="preserve">a further CDR outsourcing arrangement </w:t>
      </w:r>
      <w:r w:rsidR="001E7F54" w:rsidRPr="00D20EC5">
        <w:rPr>
          <w:color w:val="0000FF"/>
        </w:rPr>
        <w:t>to take corresponding steps; and</w:t>
      </w:r>
    </w:p>
    <w:p w14:paraId="5B182903" w14:textId="77777777" w:rsidR="00BB7660" w:rsidRPr="00D20EC5" w:rsidRDefault="00123DD7" w:rsidP="00123DD7">
      <w:pPr>
        <w:pStyle w:val="paragraphsub"/>
        <w:rPr>
          <w:color w:val="0000FF"/>
        </w:rPr>
      </w:pPr>
      <w:r w:rsidRPr="00D20EC5">
        <w:rPr>
          <w:color w:val="0000FF"/>
        </w:rPr>
        <w:tab/>
      </w:r>
      <w:r w:rsidR="00195095">
        <w:rPr>
          <w:color w:val="0000FF"/>
        </w:rPr>
        <w:t>(v)</w:t>
      </w:r>
      <w:r w:rsidRPr="00D20EC5">
        <w:rPr>
          <w:color w:val="0000FF"/>
        </w:rPr>
        <w:tab/>
      </w:r>
      <w:r w:rsidR="00BB7660" w:rsidRPr="00D20EC5">
        <w:rPr>
          <w:color w:val="0000FF"/>
        </w:rPr>
        <w:t>if the provider is the principal in a further CDR outsourcing arrangement</w:t>
      </w:r>
      <w:r w:rsidR="00C87933" w:rsidRPr="00D20EC5">
        <w:rPr>
          <w:color w:val="0000FF"/>
        </w:rPr>
        <w:t xml:space="preserve"> (the </w:t>
      </w:r>
      <w:r w:rsidR="00C87933" w:rsidRPr="00D20EC5">
        <w:rPr>
          <w:b/>
          <w:i/>
          <w:color w:val="0000FF"/>
        </w:rPr>
        <w:t>arrangement</w:t>
      </w:r>
      <w:r w:rsidR="00C87933" w:rsidRPr="00D20EC5">
        <w:rPr>
          <w:color w:val="0000FF"/>
        </w:rPr>
        <w:t>)</w:t>
      </w:r>
      <w:r w:rsidR="00BB7660" w:rsidRPr="00D20EC5">
        <w:rPr>
          <w:color w:val="0000FF"/>
        </w:rPr>
        <w:t>, it must ensure that the other person</w:t>
      </w:r>
      <w:r w:rsidR="00C87933" w:rsidRPr="00D20EC5">
        <w:rPr>
          <w:color w:val="0000FF"/>
        </w:rPr>
        <w:t xml:space="preserve"> in the arrangement</w:t>
      </w:r>
      <w:r w:rsidR="00BB7660" w:rsidRPr="00D20EC5">
        <w:rPr>
          <w:color w:val="0000FF"/>
        </w:rPr>
        <w:t xml:space="preserve"> complies with the requirements of the arrangement, including in relation to service </w:t>
      </w:r>
      <w:r w:rsidRPr="00D20EC5">
        <w:rPr>
          <w:color w:val="0000FF"/>
        </w:rPr>
        <w:t>data</w:t>
      </w:r>
      <w:r w:rsidR="00BB7660" w:rsidRPr="00D20EC5">
        <w:rPr>
          <w:color w:val="0000FF"/>
        </w:rPr>
        <w:t xml:space="preserve"> of the other person that was disclosed to it by the chain principal or another direct or indirect OSP of the chain principal.</w:t>
      </w:r>
    </w:p>
    <w:p w14:paraId="48EA415D" w14:textId="77777777" w:rsidR="00BB7660" w:rsidRPr="00D20EC5" w:rsidRDefault="00BB7660" w:rsidP="00BB7660">
      <w:pPr>
        <w:pStyle w:val="notetext"/>
        <w:rPr>
          <w:color w:val="0000FF"/>
        </w:rPr>
      </w:pPr>
      <w:r w:rsidRPr="00D20EC5">
        <w:rPr>
          <w:color w:val="0000FF"/>
        </w:rPr>
        <w:t>Note:</w:t>
      </w:r>
      <w:r w:rsidRPr="00D20EC5">
        <w:rPr>
          <w:color w:val="0000FF"/>
        </w:rPr>
        <w:tab/>
        <w:t>See rule 1.18 for the definition of “CDR data deletion process”.</w:t>
      </w:r>
    </w:p>
    <w:p w14:paraId="5DDA6E7D" w14:textId="77777777" w:rsidR="00FF076C" w:rsidRPr="00D20EC5" w:rsidRDefault="00FF076C" w:rsidP="00FF076C">
      <w:pPr>
        <w:pStyle w:val="subsection"/>
        <w:rPr>
          <w:color w:val="0000FF"/>
        </w:rPr>
      </w:pPr>
      <w:r w:rsidRPr="00D20EC5">
        <w:rPr>
          <w:color w:val="0000FF"/>
        </w:rPr>
        <w:tab/>
      </w:r>
      <w:r w:rsidR="00195095">
        <w:rPr>
          <w:color w:val="0000FF"/>
        </w:rPr>
        <w:t>(3)</w:t>
      </w:r>
      <w:r w:rsidRPr="00D20EC5">
        <w:rPr>
          <w:color w:val="0000FF"/>
        </w:rPr>
        <w:tab/>
        <w:t xml:space="preserve">For </w:t>
      </w:r>
      <w:r w:rsidR="00123DD7" w:rsidRPr="00D20EC5">
        <w:rPr>
          <w:color w:val="0000FF"/>
        </w:rPr>
        <w:t>sub</w:t>
      </w:r>
      <w:r w:rsidRPr="00D20EC5">
        <w:rPr>
          <w:color w:val="0000FF"/>
        </w:rPr>
        <w:t>paragraph (2)(a)(ii), the provision of the specified goods or services must be:</w:t>
      </w:r>
    </w:p>
    <w:p w14:paraId="1FCDAC38" w14:textId="77777777" w:rsidR="00FF076C" w:rsidRPr="00123DD7" w:rsidRDefault="00FF076C" w:rsidP="00FF076C">
      <w:pPr>
        <w:pStyle w:val="paragraph"/>
        <w:rPr>
          <w:color w:val="0000FF"/>
        </w:rPr>
      </w:pPr>
      <w:r w:rsidRPr="00D20EC5">
        <w:rPr>
          <w:color w:val="0000FF"/>
        </w:rPr>
        <w:tab/>
      </w:r>
      <w:r w:rsidR="00195095">
        <w:rPr>
          <w:color w:val="0000FF"/>
        </w:rPr>
        <w:t>(a)</w:t>
      </w:r>
      <w:r w:rsidRPr="00D20EC5">
        <w:rPr>
          <w:color w:val="0000FF"/>
        </w:rPr>
        <w:tab/>
        <w:t xml:space="preserve">where the principal is the chain principal—for the purpose of enabling the chain principal to provide CDR consumers for the service data with the goods and services for </w:t>
      </w:r>
      <w:r w:rsidR="00E9474E" w:rsidRPr="00D20EC5">
        <w:rPr>
          <w:color w:val="0000FF"/>
        </w:rPr>
        <w:t xml:space="preserve">the purposes of which a relevant consent to </w:t>
      </w:r>
      <w:r w:rsidR="00123DD7" w:rsidRPr="00D20EC5">
        <w:rPr>
          <w:color w:val="0000FF"/>
        </w:rPr>
        <w:t>collect</w:t>
      </w:r>
      <w:r w:rsidR="00E9474E" w:rsidRPr="00D20EC5">
        <w:rPr>
          <w:color w:val="0000FF"/>
        </w:rPr>
        <w:t xml:space="preserve"> the service data, or the CDR data from which it was derived, was given</w:t>
      </w:r>
      <w:r w:rsidRPr="00D20EC5">
        <w:rPr>
          <w:color w:val="0000FF"/>
        </w:rPr>
        <w:t xml:space="preserve">; </w:t>
      </w:r>
      <w:r w:rsidRPr="00123DD7">
        <w:rPr>
          <w:color w:val="0000FF"/>
        </w:rPr>
        <w:t>and</w:t>
      </w:r>
    </w:p>
    <w:p w14:paraId="3054AF05" w14:textId="77777777" w:rsidR="00BB7660" w:rsidRPr="004A04A4" w:rsidRDefault="00BB7660" w:rsidP="00BB7660">
      <w:pPr>
        <w:pStyle w:val="paragraph"/>
        <w:rPr>
          <w:color w:val="0000FF"/>
        </w:rPr>
      </w:pPr>
      <w:r w:rsidRPr="004A04A4">
        <w:rPr>
          <w:color w:val="0000FF"/>
        </w:rPr>
        <w:tab/>
      </w:r>
      <w:r w:rsidR="00195095">
        <w:rPr>
          <w:color w:val="0000FF"/>
        </w:rPr>
        <w:t>(b)</w:t>
      </w:r>
      <w:r w:rsidRPr="004A04A4">
        <w:rPr>
          <w:color w:val="0000FF"/>
        </w:rPr>
        <w:tab/>
        <w:t>otherwise—for the purpose of enabling the principal to provide the goods and services specified in the CDR outsourcing arrangement for which it is the provider.</w:t>
      </w:r>
    </w:p>
    <w:p w14:paraId="3BCB2204" w14:textId="77777777" w:rsidR="00BB7660" w:rsidRPr="004A04A4" w:rsidRDefault="00BB7660" w:rsidP="00BB7660">
      <w:pPr>
        <w:pStyle w:val="SubsectionHead"/>
        <w:rPr>
          <w:color w:val="0000FF"/>
        </w:rPr>
      </w:pPr>
      <w:r w:rsidRPr="004A04A4">
        <w:rPr>
          <w:color w:val="0000FF"/>
        </w:rPr>
        <w:t>Service data</w:t>
      </w:r>
    </w:p>
    <w:p w14:paraId="7AE4CD10" w14:textId="77777777" w:rsidR="00BB7660" w:rsidRPr="004A04A4" w:rsidRDefault="00BB7660" w:rsidP="00BB7660">
      <w:pPr>
        <w:pStyle w:val="subsection"/>
        <w:rPr>
          <w:color w:val="0000FF"/>
        </w:rPr>
      </w:pPr>
      <w:r w:rsidRPr="004A04A4">
        <w:rPr>
          <w:color w:val="0000FF"/>
        </w:rPr>
        <w:tab/>
      </w:r>
      <w:r w:rsidR="00195095">
        <w:rPr>
          <w:color w:val="0000FF"/>
        </w:rPr>
        <w:t>(4)</w:t>
      </w:r>
      <w:r w:rsidRPr="004A04A4">
        <w:rPr>
          <w:color w:val="0000FF"/>
        </w:rPr>
        <w:tab/>
        <w:t xml:space="preserve">For these rules </w:t>
      </w:r>
      <w:r w:rsidRPr="004A04A4">
        <w:rPr>
          <w:b/>
          <w:i/>
          <w:color w:val="0000FF"/>
        </w:rPr>
        <w:t>service data</w:t>
      </w:r>
      <w:r w:rsidRPr="004A04A4">
        <w:rPr>
          <w:color w:val="0000FF"/>
        </w:rPr>
        <w:t xml:space="preserve"> in relation to a person who is a direct or indirect OSP of a chain principal means any CDR data of a CDR consumer of the chain principal held by the person that: </w:t>
      </w:r>
    </w:p>
    <w:p w14:paraId="369BE84F" w14:textId="77777777" w:rsidR="00BB7660" w:rsidRPr="004A04A4" w:rsidRDefault="00BB7660" w:rsidP="00BB7660">
      <w:pPr>
        <w:pStyle w:val="paragraph"/>
        <w:rPr>
          <w:color w:val="0000FF"/>
        </w:rPr>
      </w:pPr>
      <w:r w:rsidRPr="004A04A4">
        <w:rPr>
          <w:color w:val="0000FF"/>
        </w:rPr>
        <w:tab/>
      </w:r>
      <w:r w:rsidR="00195095">
        <w:rPr>
          <w:color w:val="0000FF"/>
        </w:rPr>
        <w:t>(a)</w:t>
      </w:r>
      <w:r w:rsidRPr="004A04A4">
        <w:rPr>
          <w:color w:val="0000FF"/>
        </w:rPr>
        <w:tab/>
        <w:t>was disclosed to the person by the chain principal for the purposes of the relevant CDR outsourcing arrangement; or</w:t>
      </w:r>
    </w:p>
    <w:p w14:paraId="162BDE2B" w14:textId="77777777" w:rsidR="00BB7660" w:rsidRPr="004A04A4" w:rsidRDefault="00BB7660" w:rsidP="00BB7660">
      <w:pPr>
        <w:pStyle w:val="paragraph"/>
        <w:rPr>
          <w:color w:val="0000FF"/>
        </w:rPr>
      </w:pPr>
      <w:r w:rsidRPr="004A04A4">
        <w:rPr>
          <w:color w:val="0000FF"/>
        </w:rPr>
        <w:tab/>
      </w:r>
      <w:r w:rsidR="00195095">
        <w:rPr>
          <w:color w:val="0000FF"/>
        </w:rPr>
        <w:t>(b)</w:t>
      </w:r>
      <w:r w:rsidRPr="004A04A4">
        <w:rPr>
          <w:color w:val="0000FF"/>
        </w:rPr>
        <w:tab/>
        <w:t>was collected from a CDR participant by the person on behalf of the chain principal in accordance with the relevant CDR outsourcing arrangement; or</w:t>
      </w:r>
    </w:p>
    <w:p w14:paraId="2BF6C554" w14:textId="77777777" w:rsidR="00BB7660" w:rsidRPr="00D20EC5" w:rsidRDefault="00BB7660" w:rsidP="00BB7660">
      <w:pPr>
        <w:pStyle w:val="paragraph"/>
        <w:rPr>
          <w:color w:val="0000FF"/>
        </w:rPr>
      </w:pPr>
      <w:r w:rsidRPr="004A04A4">
        <w:rPr>
          <w:color w:val="0000FF"/>
        </w:rPr>
        <w:tab/>
      </w:r>
      <w:r w:rsidR="00195095">
        <w:rPr>
          <w:color w:val="0000FF"/>
        </w:rPr>
        <w:t>(c)</w:t>
      </w:r>
      <w:r w:rsidRPr="004A04A4">
        <w:rPr>
          <w:color w:val="0000FF"/>
        </w:rPr>
        <w:tab/>
        <w:t xml:space="preserve">was disclosed to the person by another direct or </w:t>
      </w:r>
      <w:r w:rsidRPr="00D20EC5">
        <w:rPr>
          <w:color w:val="0000FF"/>
        </w:rPr>
        <w:t xml:space="preserve">indirect OSP </w:t>
      </w:r>
      <w:r w:rsidR="00F257A0" w:rsidRPr="00D20EC5">
        <w:rPr>
          <w:color w:val="0000FF"/>
        </w:rPr>
        <w:t xml:space="preserve">of the chain principal </w:t>
      </w:r>
      <w:r w:rsidRPr="00D20EC5">
        <w:rPr>
          <w:color w:val="0000FF"/>
        </w:rPr>
        <w:t xml:space="preserve">in accordance with the relevant CDR outsourcing </w:t>
      </w:r>
      <w:r w:rsidR="00F257A0" w:rsidRPr="00D20EC5">
        <w:rPr>
          <w:color w:val="0000FF"/>
        </w:rPr>
        <w:t>arrangement</w:t>
      </w:r>
      <w:r w:rsidRPr="00D20EC5">
        <w:rPr>
          <w:color w:val="0000FF"/>
        </w:rPr>
        <w:t xml:space="preserve"> for the other direct or indirect OSP; or</w:t>
      </w:r>
    </w:p>
    <w:p w14:paraId="34FCF9B7" w14:textId="77777777" w:rsidR="00BB7660" w:rsidRPr="00D20EC5" w:rsidRDefault="00BB7660" w:rsidP="00BB7660">
      <w:pPr>
        <w:pStyle w:val="paragraph"/>
        <w:rPr>
          <w:color w:val="0000FF"/>
        </w:rPr>
      </w:pPr>
      <w:r w:rsidRPr="00D20EC5">
        <w:rPr>
          <w:color w:val="0000FF"/>
        </w:rPr>
        <w:lastRenderedPageBreak/>
        <w:tab/>
      </w:r>
      <w:r w:rsidR="00195095">
        <w:rPr>
          <w:color w:val="0000FF"/>
        </w:rPr>
        <w:t>(d)</w:t>
      </w:r>
      <w:r w:rsidRPr="00D20EC5">
        <w:rPr>
          <w:color w:val="0000FF"/>
        </w:rPr>
        <w:tab/>
        <w:t>directly or indirectly derives from such CDR data.</w:t>
      </w:r>
    </w:p>
    <w:p w14:paraId="68049EEB" w14:textId="77777777" w:rsidR="00BB7660" w:rsidRPr="00D20EC5" w:rsidRDefault="00BB7660" w:rsidP="00BB7660">
      <w:pPr>
        <w:pStyle w:val="notetext"/>
        <w:rPr>
          <w:color w:val="0000FF"/>
        </w:rPr>
      </w:pPr>
      <w:r w:rsidRPr="00D20EC5">
        <w:rPr>
          <w:color w:val="0000FF"/>
        </w:rPr>
        <w:t>Note:</w:t>
      </w:r>
      <w:r w:rsidRPr="00D20EC5">
        <w:rPr>
          <w:color w:val="0000FF"/>
        </w:rPr>
        <w:tab/>
        <w:t>Service data may be disclosed to other direct or indirect OSPs in accordance with provisions in the relevant CDR out</w:t>
      </w:r>
      <w:r w:rsidR="00E9474E" w:rsidRPr="00D20EC5">
        <w:rPr>
          <w:color w:val="0000FF"/>
        </w:rPr>
        <w:t>s</w:t>
      </w:r>
      <w:r w:rsidRPr="00D20EC5">
        <w:rPr>
          <w:color w:val="0000FF"/>
        </w:rPr>
        <w:t xml:space="preserve">ourcing </w:t>
      </w:r>
      <w:r w:rsidR="00E9474E" w:rsidRPr="00D20EC5">
        <w:rPr>
          <w:color w:val="0000FF"/>
        </w:rPr>
        <w:t>arrangements</w:t>
      </w:r>
      <w:r w:rsidRPr="00D20EC5">
        <w:rPr>
          <w:color w:val="0000FF"/>
        </w:rPr>
        <w:t xml:space="preserve">. </w:t>
      </w:r>
    </w:p>
    <w:p w14:paraId="14519B7A" w14:textId="77777777" w:rsidR="00F257A0" w:rsidRPr="00D20EC5" w:rsidRDefault="00BB7660" w:rsidP="00F257A0">
      <w:pPr>
        <w:pStyle w:val="subsection"/>
        <w:rPr>
          <w:color w:val="0000FF"/>
        </w:rPr>
      </w:pPr>
      <w:r w:rsidRPr="00D20EC5">
        <w:rPr>
          <w:color w:val="0000FF"/>
        </w:rPr>
        <w:tab/>
      </w:r>
      <w:r w:rsidR="00195095">
        <w:rPr>
          <w:color w:val="0000FF"/>
        </w:rPr>
        <w:t>(5)</w:t>
      </w:r>
      <w:r w:rsidRPr="00D20EC5">
        <w:rPr>
          <w:color w:val="0000FF"/>
        </w:rPr>
        <w:tab/>
        <w:t xml:space="preserve">For paragraph (4)(a), where an accredited person gives a direct or indirect </w:t>
      </w:r>
      <w:r w:rsidR="00F257A0" w:rsidRPr="00D20EC5">
        <w:rPr>
          <w:color w:val="0000FF"/>
        </w:rPr>
        <w:t xml:space="preserve">OSP (the </w:t>
      </w:r>
      <w:r w:rsidR="00F257A0" w:rsidRPr="00D20EC5">
        <w:rPr>
          <w:b/>
          <w:i/>
          <w:color w:val="0000FF"/>
        </w:rPr>
        <w:t>provider</w:t>
      </w:r>
      <w:r w:rsidR="00F257A0" w:rsidRPr="00D20EC5">
        <w:rPr>
          <w:color w:val="0000FF"/>
        </w:rPr>
        <w:t>)</w:t>
      </w:r>
      <w:r w:rsidRPr="00D20EC5">
        <w:rPr>
          <w:color w:val="0000FF"/>
        </w:rPr>
        <w:t xml:space="preserve"> permission to access or use CDR data collected by the</w:t>
      </w:r>
      <w:r w:rsidR="00F257A0" w:rsidRPr="00D20EC5">
        <w:rPr>
          <w:color w:val="0000FF"/>
        </w:rPr>
        <w:t xml:space="preserve"> provider</w:t>
      </w:r>
      <w:r w:rsidRPr="00D20EC5">
        <w:rPr>
          <w:color w:val="0000FF"/>
        </w:rPr>
        <w:t xml:space="preserve"> on behalf of the </w:t>
      </w:r>
      <w:r w:rsidR="00F257A0" w:rsidRPr="00D20EC5">
        <w:rPr>
          <w:color w:val="0000FF"/>
        </w:rPr>
        <w:t xml:space="preserve">chain </w:t>
      </w:r>
      <w:r w:rsidRPr="00D20EC5">
        <w:rPr>
          <w:color w:val="0000FF"/>
        </w:rPr>
        <w:t>principal in accordance with subparagraph (2)(a)(i), the accredited person is taken to disclose the CDR data to the</w:t>
      </w:r>
      <w:r w:rsidR="00F257A0" w:rsidRPr="00D20EC5">
        <w:rPr>
          <w:color w:val="0000FF"/>
        </w:rPr>
        <w:t xml:space="preserve"> provider</w:t>
      </w:r>
      <w:r w:rsidRPr="00D20EC5">
        <w:rPr>
          <w:color w:val="0000FF"/>
        </w:rPr>
        <w:t>.</w:t>
      </w:r>
    </w:p>
    <w:p w14:paraId="19C665B3" w14:textId="77777777" w:rsidR="00BB7660" w:rsidRPr="004A04A4" w:rsidRDefault="00BB7660" w:rsidP="00BB7660">
      <w:pPr>
        <w:pStyle w:val="ActHead5"/>
        <w:rPr>
          <w:strike/>
          <w:color w:val="0000FF"/>
        </w:rPr>
      </w:pPr>
      <w:bookmarkStart w:id="31" w:name="_Toc111131972"/>
      <w:r w:rsidRPr="004A04A4">
        <w:rPr>
          <w:strike/>
          <w:color w:val="0000FF"/>
          <w:shd w:val="clear" w:color="auto" w:fill="FFFFFF"/>
        </w:rPr>
        <w:t xml:space="preserve">1.10  Meaning of </w:t>
      </w:r>
      <w:r w:rsidRPr="004A04A4">
        <w:rPr>
          <w:i/>
          <w:strike/>
          <w:color w:val="0000FF"/>
          <w:shd w:val="clear" w:color="auto" w:fill="FFFFFF"/>
        </w:rPr>
        <w:t xml:space="preserve">outsourced service provider </w:t>
      </w:r>
      <w:r w:rsidRPr="004A04A4">
        <w:rPr>
          <w:strike/>
          <w:color w:val="0000FF"/>
          <w:shd w:val="clear" w:color="auto" w:fill="FFFFFF"/>
        </w:rPr>
        <w:t xml:space="preserve">and related </w:t>
      </w:r>
      <w:r w:rsidRPr="004A04A4">
        <w:rPr>
          <w:strike/>
          <w:color w:val="0000FF"/>
        </w:rPr>
        <w:t>terms</w:t>
      </w:r>
      <w:bookmarkEnd w:id="31"/>
    </w:p>
    <w:p w14:paraId="6B38375A" w14:textId="77777777" w:rsidR="00BB7660" w:rsidRPr="004A04A4" w:rsidRDefault="00BB7660" w:rsidP="00BB7660">
      <w:pPr>
        <w:pStyle w:val="subsection"/>
        <w:rPr>
          <w:strike/>
          <w:color w:val="0000FF"/>
        </w:rPr>
      </w:pPr>
      <w:r w:rsidRPr="004A04A4">
        <w:rPr>
          <w:strike/>
          <w:color w:val="0000FF"/>
        </w:rPr>
        <w:tab/>
        <w:t>(1)</w:t>
      </w:r>
      <w:r w:rsidRPr="004A04A4">
        <w:rPr>
          <w:strike/>
          <w:color w:val="0000FF"/>
        </w:rPr>
        <w:tab/>
        <w:t xml:space="preserve">For these rules, where two persons are the principal and the provider in a CDR outsourcing arrangement, the provider is an </w:t>
      </w:r>
      <w:r w:rsidRPr="004A04A4">
        <w:rPr>
          <w:b/>
          <w:i/>
          <w:strike/>
          <w:color w:val="0000FF"/>
        </w:rPr>
        <w:t xml:space="preserve">outsourced service provider </w:t>
      </w:r>
      <w:r w:rsidRPr="004A04A4">
        <w:rPr>
          <w:strike/>
          <w:color w:val="0000FF"/>
        </w:rPr>
        <w:t>of the principal.</w:t>
      </w:r>
    </w:p>
    <w:p w14:paraId="66B061CB" w14:textId="77777777" w:rsidR="00BB7660" w:rsidRPr="004A04A4" w:rsidRDefault="00BB7660" w:rsidP="00BB7660">
      <w:pPr>
        <w:pStyle w:val="subsection"/>
        <w:rPr>
          <w:strike/>
          <w:color w:val="0000FF"/>
        </w:rPr>
      </w:pPr>
      <w:r w:rsidRPr="004A04A4">
        <w:rPr>
          <w:strike/>
          <w:color w:val="0000FF"/>
        </w:rPr>
        <w:tab/>
        <w:t>(2)</w:t>
      </w:r>
      <w:r w:rsidRPr="004A04A4">
        <w:rPr>
          <w:strike/>
          <w:color w:val="0000FF"/>
        </w:rPr>
        <w:tab/>
        <w:t xml:space="preserve">For these rules, a </w:t>
      </w:r>
      <w:r w:rsidRPr="004A04A4">
        <w:rPr>
          <w:b/>
          <w:i/>
          <w:strike/>
          <w:color w:val="0000FF"/>
        </w:rPr>
        <w:t>CDR</w:t>
      </w:r>
      <w:r w:rsidRPr="004A04A4">
        <w:rPr>
          <w:strike/>
          <w:color w:val="0000FF"/>
        </w:rPr>
        <w:t xml:space="preserve"> </w:t>
      </w:r>
      <w:r w:rsidRPr="004A04A4">
        <w:rPr>
          <w:b/>
          <w:i/>
          <w:strike/>
          <w:color w:val="0000FF"/>
        </w:rPr>
        <w:t>outsourcing arrangement</w:t>
      </w:r>
      <w:r w:rsidRPr="004A04A4">
        <w:rPr>
          <w:strike/>
          <w:color w:val="0000FF"/>
        </w:rPr>
        <w:t xml:space="preserve"> is a written contract between a person (the </w:t>
      </w:r>
      <w:r w:rsidRPr="004A04A4">
        <w:rPr>
          <w:b/>
          <w:i/>
          <w:strike/>
          <w:color w:val="0000FF"/>
        </w:rPr>
        <w:t>principal</w:t>
      </w:r>
      <w:r w:rsidRPr="004A04A4">
        <w:rPr>
          <w:strike/>
          <w:color w:val="0000FF"/>
        </w:rPr>
        <w:t>)</w:t>
      </w:r>
      <w:r w:rsidRPr="004A04A4">
        <w:rPr>
          <w:b/>
          <w:i/>
          <w:strike/>
          <w:color w:val="0000FF"/>
        </w:rPr>
        <w:t xml:space="preserve"> </w:t>
      </w:r>
      <w:r w:rsidRPr="004A04A4">
        <w:rPr>
          <w:strike/>
          <w:color w:val="0000FF"/>
        </w:rPr>
        <w:t xml:space="preserve">and another person (the </w:t>
      </w:r>
      <w:r w:rsidRPr="004A04A4">
        <w:rPr>
          <w:b/>
          <w:i/>
          <w:strike/>
          <w:color w:val="0000FF"/>
        </w:rPr>
        <w:t>provider</w:t>
      </w:r>
      <w:r w:rsidRPr="004A04A4">
        <w:rPr>
          <w:strike/>
          <w:color w:val="0000FF"/>
        </w:rPr>
        <w:t>) under which:</w:t>
      </w:r>
    </w:p>
    <w:p w14:paraId="17A48A61" w14:textId="77777777" w:rsidR="00BB7660" w:rsidRPr="004A04A4" w:rsidRDefault="00BB7660" w:rsidP="00BB7660">
      <w:pPr>
        <w:pStyle w:val="paragraph"/>
        <w:rPr>
          <w:strike/>
          <w:color w:val="0000FF"/>
        </w:rPr>
      </w:pPr>
      <w:r w:rsidRPr="004A04A4">
        <w:rPr>
          <w:strike/>
          <w:color w:val="0000FF"/>
        </w:rPr>
        <w:tab/>
        <w:t>(a)</w:t>
      </w:r>
      <w:r w:rsidRPr="004A04A4">
        <w:rPr>
          <w:strike/>
          <w:color w:val="0000FF"/>
        </w:rPr>
        <w:tab/>
        <w:t>the provider will do one or both of the following:</w:t>
      </w:r>
    </w:p>
    <w:p w14:paraId="1E5D78B7" w14:textId="77777777" w:rsidR="00BB7660" w:rsidRPr="004A04A4" w:rsidRDefault="00BB7660" w:rsidP="00BB7660">
      <w:pPr>
        <w:pStyle w:val="paragraphsub"/>
        <w:rPr>
          <w:strike/>
          <w:color w:val="0000FF"/>
        </w:rPr>
      </w:pPr>
      <w:r w:rsidRPr="004A04A4">
        <w:rPr>
          <w:strike/>
          <w:color w:val="0000FF"/>
        </w:rPr>
        <w:tab/>
        <w:t>(i)</w:t>
      </w:r>
      <w:r w:rsidRPr="004A04A4">
        <w:rPr>
          <w:strike/>
          <w:color w:val="0000FF"/>
        </w:rPr>
        <w:tab/>
        <w:t>collect CDR data from a CDR participant in accordance with these rules on behalf of the principal;</w:t>
      </w:r>
    </w:p>
    <w:p w14:paraId="02ECD748" w14:textId="77777777" w:rsidR="00BB7660" w:rsidRPr="004A04A4" w:rsidRDefault="00BB7660" w:rsidP="00BB7660">
      <w:pPr>
        <w:pStyle w:val="paragraphsub"/>
        <w:rPr>
          <w:strike/>
          <w:color w:val="0000FF"/>
        </w:rPr>
      </w:pPr>
      <w:r w:rsidRPr="004A04A4">
        <w:rPr>
          <w:strike/>
          <w:color w:val="0000FF"/>
        </w:rPr>
        <w:tab/>
        <w:t>(ii)</w:t>
      </w:r>
      <w:r w:rsidRPr="004A04A4">
        <w:rPr>
          <w:strike/>
          <w:color w:val="0000FF"/>
        </w:rPr>
        <w:tab/>
        <w:t>provide goods or services to the principal using CDR data that it has collected on behalf of the principal or that has been disclosed to it by the principal; and</w:t>
      </w:r>
    </w:p>
    <w:p w14:paraId="530B8D9E" w14:textId="77777777" w:rsidR="00BB7660" w:rsidRPr="004A04A4" w:rsidRDefault="00BB7660" w:rsidP="00BB7660">
      <w:pPr>
        <w:pStyle w:val="paragraph"/>
        <w:rPr>
          <w:strike/>
          <w:color w:val="0000FF"/>
        </w:rPr>
      </w:pPr>
      <w:r w:rsidRPr="004A04A4">
        <w:rPr>
          <w:strike/>
          <w:color w:val="0000FF"/>
        </w:rPr>
        <w:tab/>
        <w:t>(b)</w:t>
      </w:r>
      <w:r w:rsidRPr="004A04A4">
        <w:rPr>
          <w:strike/>
          <w:color w:val="0000FF"/>
        </w:rPr>
        <w:tab/>
        <w:t>the provider is required to comply with the following requirements in relation to any service data:</w:t>
      </w:r>
    </w:p>
    <w:p w14:paraId="7D44C389" w14:textId="77777777" w:rsidR="00BB7660" w:rsidRPr="004A04A4" w:rsidRDefault="00BB7660" w:rsidP="00BB7660">
      <w:pPr>
        <w:pStyle w:val="paragraphsub"/>
        <w:rPr>
          <w:strike/>
          <w:color w:val="0000FF"/>
        </w:rPr>
      </w:pPr>
      <w:r w:rsidRPr="004A04A4">
        <w:rPr>
          <w:strike/>
          <w:color w:val="0000FF"/>
        </w:rPr>
        <w:tab/>
        <w:t>(i)</w:t>
      </w:r>
      <w:r w:rsidRPr="004A04A4">
        <w:rPr>
          <w:strike/>
          <w:color w:val="0000FF"/>
        </w:rPr>
        <w:tab/>
        <w:t>the provider must take the steps in Schedule 2 to protect the service data as if it were an accredited data recipient; and</w:t>
      </w:r>
    </w:p>
    <w:p w14:paraId="520E4725" w14:textId="77777777" w:rsidR="00BB7660" w:rsidRPr="004A04A4" w:rsidRDefault="00BB7660" w:rsidP="00BB7660">
      <w:pPr>
        <w:pStyle w:val="paragraphsub"/>
        <w:rPr>
          <w:strike/>
          <w:color w:val="0000FF"/>
        </w:rPr>
      </w:pPr>
      <w:r w:rsidRPr="004A04A4">
        <w:rPr>
          <w:strike/>
          <w:color w:val="0000FF"/>
        </w:rPr>
        <w:tab/>
        <w:t>(ii)</w:t>
      </w:r>
      <w:r w:rsidRPr="004A04A4">
        <w:rPr>
          <w:strike/>
          <w:color w:val="0000FF"/>
        </w:rPr>
        <w:tab/>
        <w:t>the provider must not use or disclose the service data other than in accordance with a contract with the principal; and</w:t>
      </w:r>
    </w:p>
    <w:p w14:paraId="08CC3155" w14:textId="77777777" w:rsidR="00BB7660" w:rsidRPr="004A04A4" w:rsidRDefault="00BB7660" w:rsidP="00BB7660">
      <w:pPr>
        <w:pStyle w:val="paragraphsub"/>
        <w:rPr>
          <w:strike/>
          <w:color w:val="0000FF"/>
        </w:rPr>
      </w:pPr>
      <w:r w:rsidRPr="004A04A4">
        <w:rPr>
          <w:strike/>
          <w:color w:val="0000FF"/>
        </w:rPr>
        <w:tab/>
        <w:t>(iii)</w:t>
      </w:r>
      <w:r w:rsidRPr="004A04A4">
        <w:rPr>
          <w:strike/>
          <w:color w:val="0000FF"/>
        </w:rPr>
        <w:tab/>
        <w:t>the provider must, when so directed by the principal, do any of the following:</w:t>
      </w:r>
    </w:p>
    <w:p w14:paraId="1C8D4A05" w14:textId="77777777" w:rsidR="00BB7660" w:rsidRPr="004A04A4" w:rsidRDefault="00BB7660" w:rsidP="00BB7660">
      <w:pPr>
        <w:pStyle w:val="paragraphsub-sub"/>
        <w:rPr>
          <w:strike/>
          <w:color w:val="0000FF"/>
        </w:rPr>
      </w:pPr>
      <w:r w:rsidRPr="004A04A4">
        <w:rPr>
          <w:strike/>
          <w:color w:val="0000FF"/>
        </w:rPr>
        <w:tab/>
        <w:t>(A)</w:t>
      </w:r>
      <w:r w:rsidRPr="004A04A4">
        <w:rPr>
          <w:strike/>
          <w:color w:val="0000FF"/>
        </w:rPr>
        <w:tab/>
        <w:t>provide the principal with access to any service data that it holds;</w:t>
      </w:r>
    </w:p>
    <w:p w14:paraId="735D67DF" w14:textId="77777777" w:rsidR="00BB7660" w:rsidRPr="004A04A4" w:rsidRDefault="00BB7660" w:rsidP="00BB7660">
      <w:pPr>
        <w:pStyle w:val="paragraphsub-sub"/>
        <w:rPr>
          <w:strike/>
          <w:color w:val="0000FF"/>
        </w:rPr>
      </w:pPr>
      <w:r w:rsidRPr="004A04A4">
        <w:rPr>
          <w:strike/>
          <w:color w:val="0000FF"/>
        </w:rPr>
        <w:tab/>
        <w:t>(B)</w:t>
      </w:r>
      <w:r w:rsidRPr="004A04A4">
        <w:rPr>
          <w:strike/>
          <w:color w:val="0000FF"/>
        </w:rPr>
        <w:tab/>
        <w:t>return to the principal CDR data that the principal disclosed to it;</w:t>
      </w:r>
    </w:p>
    <w:p w14:paraId="6166CFD8" w14:textId="77777777" w:rsidR="00BB7660" w:rsidRPr="004A04A4" w:rsidRDefault="00BB7660" w:rsidP="00BB7660">
      <w:pPr>
        <w:pStyle w:val="paragraphsub-sub"/>
        <w:rPr>
          <w:strike/>
          <w:color w:val="0000FF"/>
        </w:rPr>
      </w:pPr>
      <w:r w:rsidRPr="004A04A4">
        <w:rPr>
          <w:strike/>
          <w:color w:val="0000FF"/>
        </w:rPr>
        <w:tab/>
        <w:t>(C)</w:t>
      </w:r>
      <w:r w:rsidRPr="004A04A4">
        <w:rPr>
          <w:strike/>
          <w:color w:val="0000FF"/>
        </w:rPr>
        <w:tab/>
        <w:t>delete any service data that it holds in accordance with the CDR data deletion process;</w:t>
      </w:r>
    </w:p>
    <w:p w14:paraId="404078CC" w14:textId="77777777" w:rsidR="00BB7660" w:rsidRPr="004A04A4" w:rsidRDefault="00BB7660" w:rsidP="00BB7660">
      <w:pPr>
        <w:pStyle w:val="paragraphsub-sub"/>
        <w:rPr>
          <w:strike/>
          <w:color w:val="0000FF"/>
        </w:rPr>
      </w:pPr>
      <w:r w:rsidRPr="004A04A4">
        <w:rPr>
          <w:strike/>
          <w:color w:val="0000FF"/>
        </w:rPr>
        <w:tab/>
        <w:t>(D)</w:t>
      </w:r>
      <w:r w:rsidRPr="004A04A4">
        <w:rPr>
          <w:strike/>
          <w:color w:val="0000FF"/>
        </w:rPr>
        <w:tab/>
        <w:t>provide, to the principal, records of any deletion that are required to be made under the CDR data deletion process;</w:t>
      </w:r>
    </w:p>
    <w:p w14:paraId="0466F019" w14:textId="77777777" w:rsidR="00BB7660" w:rsidRPr="004A04A4" w:rsidRDefault="00BB7660" w:rsidP="00BB7660">
      <w:pPr>
        <w:pStyle w:val="paragraphsub-sub"/>
        <w:rPr>
          <w:strike/>
          <w:color w:val="0000FF"/>
        </w:rPr>
      </w:pPr>
      <w:r w:rsidRPr="004A04A4">
        <w:rPr>
          <w:strike/>
          <w:color w:val="0000FF"/>
        </w:rPr>
        <w:tab/>
        <w:t>(E)</w:t>
      </w:r>
      <w:r w:rsidRPr="004A04A4">
        <w:rPr>
          <w:strike/>
          <w:color w:val="0000FF"/>
        </w:rPr>
        <w:tab/>
        <w:t>direct any other person to which it has disclosed CDR data to take corresponding steps; and</w:t>
      </w:r>
    </w:p>
    <w:p w14:paraId="7C159538" w14:textId="77777777" w:rsidR="00BB7660" w:rsidRPr="004A04A4" w:rsidRDefault="00BB7660" w:rsidP="00BB7660">
      <w:pPr>
        <w:pStyle w:val="paragraphsub"/>
        <w:rPr>
          <w:strike/>
          <w:color w:val="0000FF"/>
        </w:rPr>
      </w:pPr>
      <w:r w:rsidRPr="004A04A4">
        <w:rPr>
          <w:strike/>
          <w:color w:val="0000FF"/>
        </w:rPr>
        <w:tab/>
        <w:t>(v)</w:t>
      </w:r>
      <w:r w:rsidRPr="004A04A4">
        <w:rPr>
          <w:strike/>
          <w:color w:val="0000FF"/>
        </w:rPr>
        <w:tab/>
        <w:t>the provider must not disclose any service data to another person, otherwise than under a further CDR outsourcing arrangement; and</w:t>
      </w:r>
    </w:p>
    <w:p w14:paraId="630A70A4" w14:textId="77777777" w:rsidR="00BB7660" w:rsidRPr="004A04A4" w:rsidRDefault="00BB7660" w:rsidP="00BB7660">
      <w:pPr>
        <w:pStyle w:val="paragraphsub"/>
        <w:rPr>
          <w:strike/>
          <w:color w:val="0000FF"/>
        </w:rPr>
      </w:pPr>
      <w:r w:rsidRPr="004A04A4">
        <w:rPr>
          <w:strike/>
          <w:color w:val="0000FF"/>
        </w:rPr>
        <w:tab/>
        <w:t>(vi)</w:t>
      </w:r>
      <w:r w:rsidRPr="004A04A4">
        <w:rPr>
          <w:strike/>
          <w:color w:val="0000FF"/>
        </w:rPr>
        <w:tab/>
        <w:t>if the provider does disclose such CDR data in accordance with subparagraph (v), it must ensure that the other person complies with the requirements of the further CDR outsourcing arrangement.</w:t>
      </w:r>
    </w:p>
    <w:p w14:paraId="2290219E" w14:textId="77777777" w:rsidR="00BB7660" w:rsidRPr="004A04A4" w:rsidRDefault="00BB7660" w:rsidP="00BB7660">
      <w:pPr>
        <w:pStyle w:val="notetext"/>
        <w:rPr>
          <w:strike/>
          <w:color w:val="0000FF"/>
        </w:rPr>
      </w:pPr>
      <w:r w:rsidRPr="004A04A4">
        <w:rPr>
          <w:strike/>
          <w:color w:val="0000FF"/>
        </w:rPr>
        <w:t>Note 1:</w:t>
      </w:r>
      <w:r w:rsidRPr="004A04A4">
        <w:rPr>
          <w:strike/>
          <w:color w:val="0000FF"/>
        </w:rPr>
        <w:tab/>
        <w:t>See rule 1.18 for the definition of “CDR data deletion process”.</w:t>
      </w:r>
    </w:p>
    <w:p w14:paraId="0E665C4E" w14:textId="77777777" w:rsidR="00BB7660" w:rsidRPr="004A04A4" w:rsidRDefault="00BB7660" w:rsidP="00BB7660">
      <w:pPr>
        <w:pStyle w:val="notetext"/>
        <w:rPr>
          <w:strike/>
          <w:color w:val="0000FF"/>
        </w:rPr>
      </w:pPr>
      <w:r w:rsidRPr="004A04A4">
        <w:rPr>
          <w:strike/>
          <w:color w:val="0000FF"/>
        </w:rPr>
        <w:lastRenderedPageBreak/>
        <w:t>Note 2:</w:t>
      </w:r>
      <w:r w:rsidRPr="004A04A4">
        <w:rPr>
          <w:strike/>
          <w:color w:val="0000FF"/>
        </w:rPr>
        <w:tab/>
        <w:t>For collection of CDR data under subparagraph (2)(a)(i), the principal must be the accredited person on whose behalf the CDR data may be collected under these rules—that is, the provider cannot further outsource collection.</w:t>
      </w:r>
    </w:p>
    <w:p w14:paraId="07EFCEC4" w14:textId="77777777" w:rsidR="00BB7660" w:rsidRPr="004A04A4" w:rsidRDefault="00BB7660" w:rsidP="00BB7660">
      <w:pPr>
        <w:pStyle w:val="notetext"/>
        <w:rPr>
          <w:strike/>
          <w:color w:val="0000FF"/>
        </w:rPr>
      </w:pPr>
      <w:r w:rsidRPr="004A04A4">
        <w:rPr>
          <w:strike/>
          <w:color w:val="0000FF"/>
        </w:rPr>
        <w:tab/>
        <w:t>However, the provision of goods and services using the CDR data under subparagraph (2)(a)(ii) can be further outsourced by the provider using another CDR outsourcing arrangement.</w:t>
      </w:r>
    </w:p>
    <w:p w14:paraId="15DBF20C" w14:textId="77777777" w:rsidR="00BB7660" w:rsidRPr="004A04A4" w:rsidRDefault="00BB7660" w:rsidP="00BB7660">
      <w:pPr>
        <w:pStyle w:val="subsection"/>
        <w:rPr>
          <w:strike/>
          <w:color w:val="0000FF"/>
        </w:rPr>
      </w:pPr>
      <w:r w:rsidRPr="004A04A4">
        <w:rPr>
          <w:strike/>
          <w:color w:val="0000FF"/>
        </w:rPr>
        <w:t xml:space="preserve"> </w:t>
      </w:r>
      <w:r w:rsidRPr="004A04A4">
        <w:rPr>
          <w:strike/>
          <w:color w:val="0000FF"/>
        </w:rPr>
        <w:tab/>
        <w:t>(3)</w:t>
      </w:r>
      <w:r w:rsidRPr="004A04A4">
        <w:rPr>
          <w:strike/>
          <w:color w:val="0000FF"/>
        </w:rPr>
        <w:tab/>
        <w:t>For subparagraph (2)(a)(ii), the principal is taken to disclose CDR data to the provider if the principal gives the provider permission to access or use CDR data collected by the provider on behalf of the principal.</w:t>
      </w:r>
    </w:p>
    <w:p w14:paraId="31E17CB8" w14:textId="77777777" w:rsidR="00BB7660" w:rsidRPr="004A04A4" w:rsidRDefault="00BB7660" w:rsidP="00BB7660">
      <w:pPr>
        <w:pStyle w:val="subsection"/>
        <w:rPr>
          <w:strike/>
          <w:color w:val="0000FF"/>
        </w:rPr>
      </w:pPr>
      <w:r w:rsidRPr="004A04A4">
        <w:rPr>
          <w:strike/>
          <w:color w:val="0000FF"/>
        </w:rPr>
        <w:tab/>
        <w:t>(4)</w:t>
      </w:r>
      <w:r w:rsidRPr="004A04A4">
        <w:rPr>
          <w:strike/>
          <w:color w:val="0000FF"/>
        </w:rPr>
        <w:tab/>
        <w:t xml:space="preserve">For these rules, the </w:t>
      </w:r>
      <w:r w:rsidRPr="004A04A4">
        <w:rPr>
          <w:b/>
          <w:i/>
          <w:strike/>
          <w:color w:val="0000FF"/>
        </w:rPr>
        <w:t xml:space="preserve">service data </w:t>
      </w:r>
      <w:r w:rsidRPr="004A04A4">
        <w:rPr>
          <w:strike/>
          <w:color w:val="0000FF"/>
        </w:rPr>
        <w:t xml:space="preserve">in relation to a CDR outsourcing arrangement consists of any CDR data that: </w:t>
      </w:r>
    </w:p>
    <w:p w14:paraId="327A67D3" w14:textId="77777777" w:rsidR="00BB7660" w:rsidRPr="004A04A4" w:rsidRDefault="00BB7660" w:rsidP="00BB7660">
      <w:pPr>
        <w:pStyle w:val="paragraph"/>
        <w:rPr>
          <w:strike/>
          <w:color w:val="0000FF"/>
        </w:rPr>
      </w:pPr>
      <w:r w:rsidRPr="004A04A4">
        <w:rPr>
          <w:strike/>
          <w:color w:val="0000FF"/>
        </w:rPr>
        <w:tab/>
        <w:t>(a)</w:t>
      </w:r>
      <w:r w:rsidRPr="004A04A4">
        <w:rPr>
          <w:strike/>
          <w:color w:val="0000FF"/>
        </w:rPr>
        <w:tab/>
        <w:t>was collected from a CDR participant in accordance with the arrangement; or</w:t>
      </w:r>
    </w:p>
    <w:p w14:paraId="1CEDE059" w14:textId="77777777" w:rsidR="00BB7660" w:rsidRPr="004A04A4" w:rsidRDefault="00BB7660" w:rsidP="00BB7660">
      <w:pPr>
        <w:pStyle w:val="paragraph"/>
        <w:rPr>
          <w:strike/>
          <w:color w:val="0000FF"/>
        </w:rPr>
      </w:pPr>
      <w:r w:rsidRPr="004A04A4">
        <w:rPr>
          <w:strike/>
          <w:color w:val="0000FF"/>
        </w:rPr>
        <w:tab/>
        <w:t>(b)</w:t>
      </w:r>
      <w:r w:rsidRPr="004A04A4">
        <w:rPr>
          <w:strike/>
          <w:color w:val="0000FF"/>
        </w:rPr>
        <w:tab/>
        <w:t>was disclosed to the provider in the CDR outsourcing arrangement for the purposes of the arrangement; or</w:t>
      </w:r>
    </w:p>
    <w:p w14:paraId="6CC46FE0" w14:textId="77777777" w:rsidR="00BB7660" w:rsidRPr="004A04A4" w:rsidRDefault="00BB7660" w:rsidP="00BB7660">
      <w:pPr>
        <w:pStyle w:val="paragraph"/>
        <w:rPr>
          <w:strike/>
          <w:color w:val="0000FF"/>
        </w:rPr>
      </w:pPr>
      <w:r w:rsidRPr="004A04A4">
        <w:rPr>
          <w:strike/>
          <w:color w:val="0000FF"/>
        </w:rPr>
        <w:tab/>
        <w:t>(c)</w:t>
      </w:r>
      <w:r w:rsidRPr="004A04A4">
        <w:rPr>
          <w:strike/>
          <w:color w:val="0000FF"/>
        </w:rPr>
        <w:tab/>
        <w:t>directly or indirectly derives from such CDR data.</w:t>
      </w:r>
    </w:p>
    <w:p w14:paraId="4704D165" w14:textId="77777777" w:rsidR="00BB7660" w:rsidRPr="00CB7EF0" w:rsidRDefault="00BB7660" w:rsidP="00BB7660">
      <w:pPr>
        <w:pStyle w:val="ActHead5"/>
        <w:rPr>
          <w:color w:val="0000FF"/>
          <w:shd w:val="clear" w:color="auto" w:fill="FFFFFF"/>
        </w:rPr>
      </w:pPr>
      <w:bookmarkStart w:id="32" w:name="_Toc111131973"/>
      <w:bookmarkStart w:id="33" w:name="_Toc57218973"/>
      <w:bookmarkStart w:id="34" w:name="_Toc59549121"/>
      <w:r w:rsidRPr="00CB7EF0">
        <w:rPr>
          <w:color w:val="0000FF"/>
          <w:shd w:val="clear" w:color="auto" w:fill="FFFFFF"/>
        </w:rPr>
        <w:t xml:space="preserve">1.10AA  Meaning of </w:t>
      </w:r>
      <w:r w:rsidRPr="00CB7EF0">
        <w:rPr>
          <w:i/>
          <w:color w:val="0000FF"/>
          <w:shd w:val="clear" w:color="auto" w:fill="FFFFFF"/>
        </w:rPr>
        <w:t xml:space="preserve">CDR representative </w:t>
      </w:r>
      <w:r w:rsidRPr="00CB7EF0">
        <w:rPr>
          <w:color w:val="0000FF"/>
          <w:shd w:val="clear" w:color="auto" w:fill="FFFFFF"/>
        </w:rPr>
        <w:t>and related terms</w:t>
      </w:r>
      <w:bookmarkEnd w:id="32"/>
    </w:p>
    <w:p w14:paraId="1EE1F49F" w14:textId="77777777" w:rsidR="00BB7660" w:rsidRPr="00D20EC5" w:rsidRDefault="00BB7660" w:rsidP="00BB7660">
      <w:pPr>
        <w:pStyle w:val="notemargin"/>
        <w:rPr>
          <w:color w:val="0000FF"/>
        </w:rPr>
      </w:pPr>
      <w:r w:rsidRPr="00CB7EF0">
        <w:rPr>
          <w:color w:val="0000FF"/>
        </w:rPr>
        <w:t>Note:</w:t>
      </w:r>
      <w:r w:rsidRPr="00CB7EF0">
        <w:rPr>
          <w:color w:val="0000FF"/>
        </w:rPr>
        <w:tab/>
      </w:r>
      <w:r w:rsidR="00E9474E" w:rsidRPr="00CB7EF0">
        <w:rPr>
          <w:color w:val="0000FF"/>
        </w:rPr>
        <w:t xml:space="preserve">From the point of view of a CDR consumer who is the customer of a CDR representative, the consumer deals with the CDR representative, as if it were an accredited person, and might not deal with the CDR principal at all.  </w:t>
      </w:r>
      <w:r w:rsidRPr="00CB7EF0">
        <w:rPr>
          <w:color w:val="0000FF"/>
        </w:rPr>
        <w:t xml:space="preserve">The consumer requests the goods or services from the CDR representative; the CDR representative identifies the CDR data that it needs in order to provide the goods and services; the consumer gives their consent to the CDR representative for the collection and use of the CDR data.  The consumer is informed that the CDR principal will do </w:t>
      </w:r>
      <w:r w:rsidRPr="00D20EC5">
        <w:rPr>
          <w:color w:val="0000FF"/>
        </w:rPr>
        <w:t>the actual collecting, but as a background detail.</w:t>
      </w:r>
    </w:p>
    <w:p w14:paraId="5D7244F0" w14:textId="77777777" w:rsidR="00BB7660" w:rsidRPr="00D20EC5" w:rsidRDefault="00E24E66" w:rsidP="00E24E66">
      <w:pPr>
        <w:pStyle w:val="subsection"/>
        <w:rPr>
          <w:color w:val="0000FF"/>
        </w:rPr>
      </w:pPr>
      <w:r w:rsidRPr="00D20EC5">
        <w:rPr>
          <w:color w:val="0000FF"/>
        </w:rPr>
        <w:tab/>
      </w:r>
      <w:r w:rsidR="00195095">
        <w:rPr>
          <w:color w:val="0000FF"/>
        </w:rPr>
        <w:t>(1)</w:t>
      </w:r>
      <w:r w:rsidRPr="00D20EC5">
        <w:rPr>
          <w:color w:val="0000FF"/>
        </w:rPr>
        <w:tab/>
      </w:r>
      <w:r w:rsidR="00BB7660" w:rsidRPr="00D20EC5">
        <w:rPr>
          <w:color w:val="0000FF"/>
        </w:rPr>
        <w:t xml:space="preserve">For these rules, a </w:t>
      </w:r>
      <w:r w:rsidR="00BB7660" w:rsidRPr="00D20EC5">
        <w:rPr>
          <w:b/>
          <w:i/>
          <w:color w:val="0000FF"/>
        </w:rPr>
        <w:t>CDR representative arrangement</w:t>
      </w:r>
      <w:r w:rsidR="00BB7660" w:rsidRPr="00D20EC5">
        <w:rPr>
          <w:color w:val="0000FF"/>
        </w:rPr>
        <w:t xml:space="preserve"> is a written contract between a person with unrestricted accreditation (the </w:t>
      </w:r>
      <w:r w:rsidRPr="00D20EC5">
        <w:rPr>
          <w:b/>
          <w:i/>
          <w:color w:val="0000FF"/>
        </w:rPr>
        <w:t xml:space="preserve">CDR </w:t>
      </w:r>
      <w:r w:rsidR="00BB7660" w:rsidRPr="00D20EC5">
        <w:rPr>
          <w:b/>
          <w:i/>
          <w:color w:val="0000FF"/>
        </w:rPr>
        <w:t>principal</w:t>
      </w:r>
      <w:r w:rsidR="00BB7660" w:rsidRPr="00D20EC5">
        <w:rPr>
          <w:color w:val="0000FF"/>
        </w:rPr>
        <w:t>)</w:t>
      </w:r>
      <w:r w:rsidR="00BB7660" w:rsidRPr="00D20EC5">
        <w:rPr>
          <w:b/>
          <w:i/>
          <w:color w:val="0000FF"/>
        </w:rPr>
        <w:t xml:space="preserve"> </w:t>
      </w:r>
      <w:r w:rsidR="00BB7660" w:rsidRPr="00D20EC5">
        <w:rPr>
          <w:color w:val="0000FF"/>
        </w:rPr>
        <w:t xml:space="preserve">and a person without accreditation (the </w:t>
      </w:r>
      <w:r w:rsidRPr="00D20EC5">
        <w:rPr>
          <w:b/>
          <w:i/>
          <w:color w:val="0000FF"/>
        </w:rPr>
        <w:t xml:space="preserve">CDR </w:t>
      </w:r>
      <w:r w:rsidR="00BB7660" w:rsidRPr="00D20EC5">
        <w:rPr>
          <w:b/>
          <w:i/>
          <w:color w:val="0000FF"/>
        </w:rPr>
        <w:t>representative</w:t>
      </w:r>
      <w:r w:rsidR="00BB7660" w:rsidRPr="00D20EC5">
        <w:rPr>
          <w:color w:val="0000FF"/>
        </w:rPr>
        <w:t>) under which:</w:t>
      </w:r>
    </w:p>
    <w:p w14:paraId="03CB887A" w14:textId="77777777" w:rsidR="00015E95" w:rsidRDefault="00015E95" w:rsidP="00E24E66">
      <w:pPr>
        <w:pStyle w:val="paragraph"/>
        <w:rPr>
          <w:color w:val="0000FF"/>
        </w:rPr>
      </w:pPr>
      <w:r w:rsidRPr="00D20EC5">
        <w:rPr>
          <w:color w:val="0000FF"/>
        </w:rPr>
        <w:tab/>
      </w:r>
      <w:r w:rsidR="00195095">
        <w:rPr>
          <w:color w:val="0000FF"/>
        </w:rPr>
        <w:t>(a)</w:t>
      </w:r>
      <w:r w:rsidRPr="00D20EC5">
        <w:rPr>
          <w:color w:val="0000FF"/>
        </w:rPr>
        <w:tab/>
        <w:t>the CDR representative will offer goods and services to consumers for which it will need to use</w:t>
      </w:r>
      <w:r w:rsidR="00CB7EF0" w:rsidRPr="00D20EC5">
        <w:rPr>
          <w:color w:val="0000FF"/>
        </w:rPr>
        <w:t xml:space="preserve"> or disclose</w:t>
      </w:r>
      <w:r w:rsidRPr="00D20EC5">
        <w:rPr>
          <w:color w:val="0000FF"/>
        </w:rPr>
        <w:t xml:space="preserve"> CDR data of the</w:t>
      </w:r>
      <w:r w:rsidRPr="00CB7EF0">
        <w:rPr>
          <w:color w:val="0000FF"/>
        </w:rPr>
        <w:t xml:space="preserve"> consumer; and</w:t>
      </w:r>
    </w:p>
    <w:p w14:paraId="323F6944" w14:textId="77777777" w:rsidR="00BB7660" w:rsidRPr="00CB7EF0" w:rsidRDefault="00E24E66" w:rsidP="00E24E66">
      <w:pPr>
        <w:pStyle w:val="paragraph"/>
        <w:rPr>
          <w:color w:val="0000FF"/>
        </w:rPr>
      </w:pPr>
      <w:r w:rsidRPr="00CB7EF0">
        <w:rPr>
          <w:color w:val="0000FF"/>
        </w:rPr>
        <w:tab/>
      </w:r>
      <w:r w:rsidR="00195095">
        <w:rPr>
          <w:color w:val="0000FF"/>
        </w:rPr>
        <w:t>(b)</w:t>
      </w:r>
      <w:r w:rsidRPr="00CB7EF0">
        <w:rPr>
          <w:color w:val="0000FF"/>
        </w:rPr>
        <w:tab/>
      </w:r>
      <w:r w:rsidR="00BB7660" w:rsidRPr="00CB7EF0">
        <w:rPr>
          <w:color w:val="0000FF"/>
        </w:rPr>
        <w:t xml:space="preserve">where the </w:t>
      </w:r>
      <w:r w:rsidR="009C7C84" w:rsidRPr="00CB7EF0">
        <w:rPr>
          <w:color w:val="0000FF"/>
        </w:rPr>
        <w:t xml:space="preserve">CDR </w:t>
      </w:r>
      <w:r w:rsidR="00BB7660" w:rsidRPr="00CB7EF0">
        <w:rPr>
          <w:color w:val="0000FF"/>
        </w:rPr>
        <w:t>representative has obtained the consent of a CDR consumer to the</w:t>
      </w:r>
      <w:r w:rsidR="00270C3C">
        <w:rPr>
          <w:color w:val="0000FF"/>
        </w:rPr>
        <w:t xml:space="preserve"> </w:t>
      </w:r>
      <w:r w:rsidR="00BB7660" w:rsidRPr="00CB7EF0">
        <w:rPr>
          <w:color w:val="0000FF"/>
        </w:rPr>
        <w:t>collection</w:t>
      </w:r>
      <w:r w:rsidR="00270C3C" w:rsidRPr="00500212">
        <w:rPr>
          <w:color w:val="0000FF"/>
        </w:rPr>
        <w:t xml:space="preserve">, </w:t>
      </w:r>
      <w:r w:rsidR="00BB7660" w:rsidRPr="00500212">
        <w:rPr>
          <w:color w:val="0000FF"/>
        </w:rPr>
        <w:t>use</w:t>
      </w:r>
      <w:r w:rsidR="00270C3C" w:rsidRPr="00500212">
        <w:rPr>
          <w:color w:val="0000FF"/>
        </w:rPr>
        <w:t xml:space="preserve"> and disclosure</w:t>
      </w:r>
      <w:r w:rsidR="00BB7660" w:rsidRPr="00CB7EF0">
        <w:rPr>
          <w:color w:val="0000FF"/>
        </w:rPr>
        <w:t xml:space="preserve"> of CDR data in accordance with rule 4.3A:</w:t>
      </w:r>
    </w:p>
    <w:p w14:paraId="45B63157" w14:textId="77777777" w:rsidR="00BB7660" w:rsidRPr="00CB7EF0" w:rsidRDefault="00E24E66" w:rsidP="00E24E66">
      <w:pPr>
        <w:pStyle w:val="paragraphsub"/>
        <w:rPr>
          <w:color w:val="0000FF"/>
        </w:rPr>
      </w:pPr>
      <w:r w:rsidRPr="00CB7EF0">
        <w:rPr>
          <w:color w:val="0000FF"/>
        </w:rPr>
        <w:tab/>
      </w:r>
      <w:r w:rsidR="00195095">
        <w:rPr>
          <w:color w:val="0000FF"/>
        </w:rPr>
        <w:t>(i)</w:t>
      </w:r>
      <w:r w:rsidRPr="00CB7EF0">
        <w:rPr>
          <w:color w:val="0000FF"/>
        </w:rPr>
        <w:tab/>
      </w:r>
      <w:r w:rsidR="00BB7660" w:rsidRPr="00CB7EF0">
        <w:rPr>
          <w:color w:val="0000FF"/>
        </w:rPr>
        <w:t xml:space="preserve">the </w:t>
      </w:r>
      <w:r w:rsidRPr="00CB7EF0">
        <w:rPr>
          <w:color w:val="0000FF"/>
        </w:rPr>
        <w:t xml:space="preserve">CDR </w:t>
      </w:r>
      <w:r w:rsidR="00BB7660" w:rsidRPr="00CB7EF0">
        <w:rPr>
          <w:color w:val="0000FF"/>
        </w:rPr>
        <w:t>principal will:</w:t>
      </w:r>
    </w:p>
    <w:p w14:paraId="798FB610" w14:textId="77777777" w:rsidR="00BB7660" w:rsidRPr="00CB7EF0" w:rsidRDefault="00E24E66" w:rsidP="00E24E66">
      <w:pPr>
        <w:pStyle w:val="paragraphsub-sub"/>
        <w:rPr>
          <w:color w:val="0000FF"/>
        </w:rPr>
      </w:pPr>
      <w:r w:rsidRPr="00CB7EF0">
        <w:rPr>
          <w:color w:val="0000FF"/>
        </w:rPr>
        <w:tab/>
      </w:r>
      <w:r w:rsidR="00195095">
        <w:rPr>
          <w:color w:val="0000FF"/>
        </w:rPr>
        <w:t>(A)</w:t>
      </w:r>
      <w:r w:rsidRPr="00CB7EF0">
        <w:rPr>
          <w:color w:val="0000FF"/>
        </w:rPr>
        <w:tab/>
      </w:r>
      <w:r w:rsidR="00BB7660" w:rsidRPr="00CB7EF0">
        <w:rPr>
          <w:color w:val="0000FF"/>
        </w:rPr>
        <w:t>make any appropriate consumer data request; and</w:t>
      </w:r>
    </w:p>
    <w:p w14:paraId="19486D64" w14:textId="77777777" w:rsidR="00BB7660" w:rsidRPr="00D20EC5" w:rsidRDefault="00E24E66" w:rsidP="00E24E66">
      <w:pPr>
        <w:pStyle w:val="paragraphsub-sub"/>
        <w:rPr>
          <w:color w:val="0000FF"/>
        </w:rPr>
      </w:pPr>
      <w:r w:rsidRPr="00CB7EF0">
        <w:rPr>
          <w:color w:val="0000FF"/>
        </w:rPr>
        <w:tab/>
      </w:r>
      <w:r w:rsidR="00195095">
        <w:rPr>
          <w:color w:val="0000FF"/>
        </w:rPr>
        <w:t>(B)</w:t>
      </w:r>
      <w:r w:rsidRPr="00CB7EF0">
        <w:rPr>
          <w:color w:val="0000FF"/>
        </w:rPr>
        <w:tab/>
      </w:r>
      <w:r w:rsidR="00BB7660" w:rsidRPr="00CB7EF0">
        <w:rPr>
          <w:color w:val="0000FF"/>
        </w:rPr>
        <w:t xml:space="preserve">disclose the </w:t>
      </w:r>
      <w:r w:rsidR="00BB7660" w:rsidRPr="00D20EC5">
        <w:rPr>
          <w:color w:val="0000FF"/>
        </w:rPr>
        <w:t xml:space="preserve">relevant CDR data to the </w:t>
      </w:r>
      <w:r w:rsidR="009C7C84" w:rsidRPr="00D20EC5">
        <w:rPr>
          <w:color w:val="0000FF"/>
        </w:rPr>
        <w:t xml:space="preserve">CDR </w:t>
      </w:r>
      <w:r w:rsidR="00BB7660" w:rsidRPr="00D20EC5">
        <w:rPr>
          <w:color w:val="0000FF"/>
        </w:rPr>
        <w:t>representative; and</w:t>
      </w:r>
    </w:p>
    <w:p w14:paraId="0A994643" w14:textId="77777777" w:rsidR="00BB7660" w:rsidRPr="00D20EC5" w:rsidRDefault="00E24E66" w:rsidP="00E24E66">
      <w:pPr>
        <w:pStyle w:val="paragraphsub"/>
        <w:rPr>
          <w:color w:val="0000FF"/>
        </w:rPr>
      </w:pPr>
      <w:r w:rsidRPr="00D20EC5">
        <w:rPr>
          <w:color w:val="0000FF"/>
        </w:rPr>
        <w:tab/>
      </w:r>
      <w:r w:rsidR="00195095">
        <w:rPr>
          <w:color w:val="0000FF"/>
        </w:rPr>
        <w:t>(ii)</w:t>
      </w:r>
      <w:r w:rsidRPr="00D20EC5">
        <w:rPr>
          <w:color w:val="0000FF"/>
        </w:rPr>
        <w:tab/>
      </w:r>
      <w:r w:rsidR="00BB7660" w:rsidRPr="00D20EC5">
        <w:rPr>
          <w:color w:val="0000FF"/>
        </w:rPr>
        <w:t xml:space="preserve">the </w:t>
      </w:r>
      <w:r w:rsidR="009C7C84" w:rsidRPr="00D20EC5">
        <w:rPr>
          <w:color w:val="0000FF"/>
        </w:rPr>
        <w:t xml:space="preserve">CDR </w:t>
      </w:r>
      <w:r w:rsidR="00BB7660" w:rsidRPr="00D20EC5">
        <w:rPr>
          <w:color w:val="0000FF"/>
        </w:rPr>
        <w:t xml:space="preserve">representative will use </w:t>
      </w:r>
      <w:r w:rsidR="00CB7EF0" w:rsidRPr="00D20EC5">
        <w:rPr>
          <w:color w:val="0000FF"/>
        </w:rPr>
        <w:t xml:space="preserve">or disclose </w:t>
      </w:r>
      <w:r w:rsidR="00BB7660" w:rsidRPr="00D20EC5">
        <w:rPr>
          <w:color w:val="0000FF"/>
        </w:rPr>
        <w:t>the CDR data to provide the relevant goods or services to the CDR consumer</w:t>
      </w:r>
      <w:r w:rsidR="009356C8" w:rsidRPr="00D20EC5">
        <w:rPr>
          <w:color w:val="0000FF"/>
        </w:rPr>
        <w:t>; and</w:t>
      </w:r>
    </w:p>
    <w:p w14:paraId="35291CE8" w14:textId="77777777" w:rsidR="009356C8" w:rsidRPr="00D20EC5" w:rsidRDefault="009356C8" w:rsidP="009356C8">
      <w:pPr>
        <w:pStyle w:val="paragraph"/>
        <w:rPr>
          <w:color w:val="0000FF"/>
        </w:rPr>
      </w:pPr>
      <w:r w:rsidRPr="00D20EC5">
        <w:rPr>
          <w:color w:val="0000FF"/>
        </w:rPr>
        <w:tab/>
      </w:r>
      <w:r w:rsidR="00195095">
        <w:rPr>
          <w:color w:val="0000FF"/>
        </w:rPr>
        <w:t>(c)</w:t>
      </w:r>
      <w:r w:rsidRPr="00D20EC5">
        <w:rPr>
          <w:color w:val="0000FF"/>
        </w:rPr>
        <w:tab/>
        <w:t>paragraphs (a) and (b) do not operate until the details of the CDR Representative have been entered on the Register of Accredited Persons.</w:t>
      </w:r>
    </w:p>
    <w:p w14:paraId="0546BC56" w14:textId="77777777" w:rsidR="0069517D" w:rsidRPr="00D20EC5" w:rsidRDefault="00015E95" w:rsidP="00015E95">
      <w:pPr>
        <w:pStyle w:val="subsection"/>
        <w:rPr>
          <w:color w:val="0000FF"/>
        </w:rPr>
      </w:pPr>
      <w:r w:rsidRPr="00D20EC5">
        <w:rPr>
          <w:color w:val="0000FF"/>
        </w:rPr>
        <w:tab/>
      </w:r>
      <w:r w:rsidR="00195095">
        <w:rPr>
          <w:color w:val="0000FF"/>
        </w:rPr>
        <w:t>(2)</w:t>
      </w:r>
      <w:r w:rsidRPr="00D20EC5">
        <w:rPr>
          <w:color w:val="0000FF"/>
        </w:rPr>
        <w:tab/>
        <w:t>A CDR representative arrangement may provide for the CDR representative</w:t>
      </w:r>
      <w:r w:rsidR="0069517D" w:rsidRPr="00D20EC5">
        <w:rPr>
          <w:color w:val="0000FF"/>
        </w:rPr>
        <w:t>:</w:t>
      </w:r>
    </w:p>
    <w:p w14:paraId="05B3F0BC" w14:textId="77777777" w:rsidR="0069517D" w:rsidRPr="00D20EC5" w:rsidRDefault="0069517D" w:rsidP="0069517D">
      <w:pPr>
        <w:pStyle w:val="paragraph"/>
        <w:rPr>
          <w:color w:val="0000FF"/>
        </w:rPr>
      </w:pPr>
      <w:r w:rsidRPr="00D20EC5">
        <w:rPr>
          <w:color w:val="0000FF"/>
        </w:rPr>
        <w:tab/>
      </w:r>
      <w:r w:rsidR="00195095">
        <w:rPr>
          <w:color w:val="0000FF"/>
        </w:rPr>
        <w:t>(a)</w:t>
      </w:r>
      <w:r w:rsidRPr="00D20EC5">
        <w:rPr>
          <w:color w:val="0000FF"/>
        </w:rPr>
        <w:tab/>
      </w:r>
      <w:r w:rsidR="00015E95" w:rsidRPr="00D20EC5">
        <w:rPr>
          <w:color w:val="0000FF"/>
        </w:rPr>
        <w:t>to seek</w:t>
      </w:r>
      <w:r w:rsidR="00052081" w:rsidRPr="00D20EC5">
        <w:rPr>
          <w:color w:val="0000FF"/>
        </w:rPr>
        <w:t xml:space="preserve"> any consent </w:t>
      </w:r>
      <w:r w:rsidRPr="00D20EC5">
        <w:rPr>
          <w:color w:val="0000FF"/>
        </w:rPr>
        <w:t xml:space="preserve">for the use or disclosure of service </w:t>
      </w:r>
      <w:r w:rsidR="00CB7EF0" w:rsidRPr="00D20EC5">
        <w:rPr>
          <w:color w:val="0000FF"/>
        </w:rPr>
        <w:t xml:space="preserve">data </w:t>
      </w:r>
      <w:r w:rsidR="00052081" w:rsidRPr="00D20EC5">
        <w:rPr>
          <w:color w:val="0000FF"/>
        </w:rPr>
        <w:t>that the CDR principal could seek in the same circumstances</w:t>
      </w:r>
      <w:r w:rsidRPr="00D20EC5">
        <w:rPr>
          <w:color w:val="0000FF"/>
        </w:rPr>
        <w:t>; and</w:t>
      </w:r>
    </w:p>
    <w:p w14:paraId="63270654" w14:textId="77777777" w:rsidR="00D04DC1" w:rsidRPr="00CB7EF0" w:rsidRDefault="00D04DC1" w:rsidP="00D04DC1">
      <w:pPr>
        <w:pStyle w:val="paragraph"/>
        <w:rPr>
          <w:color w:val="0000FF"/>
        </w:rPr>
      </w:pPr>
      <w:r w:rsidRPr="00D20EC5">
        <w:rPr>
          <w:color w:val="0000FF"/>
        </w:rPr>
        <w:tab/>
      </w:r>
      <w:r w:rsidR="00195095">
        <w:rPr>
          <w:color w:val="0000FF"/>
        </w:rPr>
        <w:t>(b)</w:t>
      </w:r>
      <w:r w:rsidRPr="00D20EC5">
        <w:rPr>
          <w:color w:val="0000FF"/>
        </w:rPr>
        <w:tab/>
      </w:r>
      <w:r w:rsidR="00052081" w:rsidRPr="00D20EC5">
        <w:rPr>
          <w:color w:val="0000FF"/>
        </w:rPr>
        <w:t>to make any use or disclosure</w:t>
      </w:r>
      <w:r w:rsidR="0069517D" w:rsidRPr="00D20EC5">
        <w:rPr>
          <w:color w:val="0000FF"/>
        </w:rPr>
        <w:t xml:space="preserve"> of service data </w:t>
      </w:r>
      <w:r w:rsidR="00052081" w:rsidRPr="00D20EC5">
        <w:rPr>
          <w:color w:val="0000FF"/>
        </w:rPr>
        <w:t xml:space="preserve">that </w:t>
      </w:r>
      <w:r w:rsidRPr="00D20EC5">
        <w:rPr>
          <w:color w:val="0000FF"/>
        </w:rPr>
        <w:t>would</w:t>
      </w:r>
      <w:r w:rsidRPr="00CB7EF0">
        <w:rPr>
          <w:color w:val="0000FF"/>
        </w:rPr>
        <w:t xml:space="preserve"> be:</w:t>
      </w:r>
    </w:p>
    <w:p w14:paraId="6B2AC0E5" w14:textId="77777777" w:rsidR="00D04DC1" w:rsidRPr="00CB7EF0" w:rsidRDefault="00D04DC1" w:rsidP="00D04DC1">
      <w:pPr>
        <w:pStyle w:val="paragraphsub"/>
        <w:rPr>
          <w:color w:val="0000FF"/>
        </w:rPr>
      </w:pPr>
      <w:r w:rsidRPr="00CB7EF0">
        <w:rPr>
          <w:color w:val="0000FF"/>
        </w:rPr>
        <w:t xml:space="preserve"> </w:t>
      </w:r>
      <w:r w:rsidRPr="00CB7EF0">
        <w:rPr>
          <w:color w:val="0000FF"/>
        </w:rPr>
        <w:tab/>
      </w:r>
      <w:r w:rsidR="00195095">
        <w:rPr>
          <w:color w:val="0000FF"/>
        </w:rPr>
        <w:t>(i)</w:t>
      </w:r>
      <w:r w:rsidRPr="00CB7EF0">
        <w:rPr>
          <w:color w:val="0000FF"/>
        </w:rPr>
        <w:tab/>
        <w:t>a permitted use or disclosure of the CDR data of the kind mentioned in paragraph 7.5(1)(h); or</w:t>
      </w:r>
    </w:p>
    <w:p w14:paraId="6236FF1C" w14:textId="77777777" w:rsidR="00D04DC1" w:rsidRPr="00CB7EF0" w:rsidRDefault="00D04DC1" w:rsidP="00D04DC1">
      <w:pPr>
        <w:pStyle w:val="paragraphsub"/>
        <w:rPr>
          <w:color w:val="0000FF"/>
        </w:rPr>
      </w:pPr>
      <w:r w:rsidRPr="00CB7EF0">
        <w:rPr>
          <w:color w:val="0000FF"/>
        </w:rPr>
        <w:lastRenderedPageBreak/>
        <w:tab/>
      </w:r>
      <w:r w:rsidR="00195095">
        <w:rPr>
          <w:color w:val="0000FF"/>
        </w:rPr>
        <w:t>(ii)</w:t>
      </w:r>
      <w:r w:rsidRPr="00CB7EF0">
        <w:rPr>
          <w:color w:val="0000FF"/>
        </w:rPr>
        <w:tab/>
        <w:t>a permitted use or disclosure of the CDR data that relates to direct marketing of the kind mentioned in paragraph 7.5(3)(d).</w:t>
      </w:r>
    </w:p>
    <w:p w14:paraId="72E5C0FE" w14:textId="77777777" w:rsidR="00052081" w:rsidRPr="00CB7EF0" w:rsidRDefault="00015E95" w:rsidP="00015E95">
      <w:pPr>
        <w:pStyle w:val="subsection"/>
        <w:rPr>
          <w:color w:val="0000FF"/>
        </w:rPr>
      </w:pPr>
      <w:r w:rsidRPr="00CB7EF0">
        <w:rPr>
          <w:color w:val="0000FF"/>
        </w:rPr>
        <w:tab/>
      </w:r>
      <w:r w:rsidR="00195095">
        <w:rPr>
          <w:color w:val="0000FF"/>
        </w:rPr>
        <w:t>(3)</w:t>
      </w:r>
      <w:r w:rsidRPr="00CB7EF0">
        <w:rPr>
          <w:color w:val="0000FF"/>
        </w:rPr>
        <w:tab/>
      </w:r>
      <w:r w:rsidR="00052081" w:rsidRPr="00CB7EF0">
        <w:rPr>
          <w:color w:val="0000FF"/>
        </w:rPr>
        <w:t>A CDR representative arrangement must require t</w:t>
      </w:r>
      <w:r w:rsidR="00BB7660" w:rsidRPr="00CB7EF0">
        <w:rPr>
          <w:color w:val="0000FF"/>
        </w:rPr>
        <w:t xml:space="preserve">he </w:t>
      </w:r>
      <w:r w:rsidR="009C7C84" w:rsidRPr="00CB7EF0">
        <w:rPr>
          <w:color w:val="0000FF"/>
        </w:rPr>
        <w:t xml:space="preserve">CDR </w:t>
      </w:r>
      <w:r w:rsidR="00BB7660" w:rsidRPr="00CB7EF0">
        <w:rPr>
          <w:color w:val="0000FF"/>
        </w:rPr>
        <w:t>representative</w:t>
      </w:r>
      <w:r w:rsidR="00052081" w:rsidRPr="00CB7EF0">
        <w:rPr>
          <w:color w:val="0000FF"/>
        </w:rPr>
        <w:t>:</w:t>
      </w:r>
    </w:p>
    <w:p w14:paraId="7329B8B8" w14:textId="77777777" w:rsidR="00BB7660" w:rsidRPr="00CB7EF0" w:rsidRDefault="00052081" w:rsidP="00052081">
      <w:pPr>
        <w:pStyle w:val="paragraph"/>
        <w:rPr>
          <w:color w:val="0000FF"/>
        </w:rPr>
      </w:pPr>
      <w:r w:rsidRPr="00CB7EF0">
        <w:rPr>
          <w:color w:val="0000FF"/>
        </w:rPr>
        <w:tab/>
      </w:r>
      <w:r w:rsidR="00195095">
        <w:rPr>
          <w:color w:val="0000FF"/>
        </w:rPr>
        <w:t>(a)</w:t>
      </w:r>
      <w:r w:rsidRPr="00CB7EF0">
        <w:rPr>
          <w:color w:val="0000FF"/>
        </w:rPr>
        <w:tab/>
      </w:r>
      <w:r w:rsidR="00BB7660" w:rsidRPr="00CB7EF0">
        <w:rPr>
          <w:color w:val="0000FF"/>
        </w:rPr>
        <w:t xml:space="preserve">not </w:t>
      </w:r>
      <w:r w:rsidRPr="00CB7EF0">
        <w:rPr>
          <w:color w:val="0000FF"/>
        </w:rPr>
        <w:t xml:space="preserve">to </w:t>
      </w:r>
      <w:r w:rsidR="00BB7660" w:rsidRPr="00CB7EF0">
        <w:rPr>
          <w:color w:val="0000FF"/>
        </w:rPr>
        <w:t>enter into another CDR representative arrangement</w:t>
      </w:r>
      <w:r w:rsidR="00D52F77" w:rsidRPr="00CB7EF0">
        <w:rPr>
          <w:color w:val="0000FF"/>
        </w:rPr>
        <w:t>; and</w:t>
      </w:r>
    </w:p>
    <w:p w14:paraId="22A07324" w14:textId="77777777" w:rsidR="00BB7660" w:rsidRPr="00CB7EF0" w:rsidRDefault="00052081" w:rsidP="00052081">
      <w:pPr>
        <w:pStyle w:val="paragraph"/>
        <w:rPr>
          <w:color w:val="0000FF"/>
        </w:rPr>
      </w:pPr>
      <w:r w:rsidRPr="00CB7EF0">
        <w:rPr>
          <w:color w:val="0000FF"/>
        </w:rPr>
        <w:tab/>
      </w:r>
      <w:r w:rsidR="00195095">
        <w:rPr>
          <w:color w:val="0000FF"/>
        </w:rPr>
        <w:t>(b)</w:t>
      </w:r>
      <w:r w:rsidRPr="00CB7EF0">
        <w:rPr>
          <w:color w:val="0000FF"/>
        </w:rPr>
        <w:tab/>
      </w:r>
      <w:r w:rsidR="00BB7660" w:rsidRPr="00CB7EF0">
        <w:rPr>
          <w:color w:val="0000FF"/>
        </w:rPr>
        <w:t xml:space="preserve">not </w:t>
      </w:r>
      <w:r w:rsidRPr="00CB7EF0">
        <w:rPr>
          <w:color w:val="0000FF"/>
        </w:rPr>
        <w:t xml:space="preserve">to </w:t>
      </w:r>
      <w:r w:rsidR="00BB7660" w:rsidRPr="00CB7EF0">
        <w:rPr>
          <w:color w:val="0000FF"/>
        </w:rPr>
        <w:t xml:space="preserve">engage a person as the provider in a CDR outsourcing arrangement in relation to service data except as provided in the </w:t>
      </w:r>
      <w:r w:rsidR="00015E95" w:rsidRPr="00CB7EF0">
        <w:rPr>
          <w:color w:val="0000FF"/>
        </w:rPr>
        <w:t>CDR representative arrangement</w:t>
      </w:r>
      <w:r w:rsidR="00D52F77" w:rsidRPr="00CB7EF0">
        <w:rPr>
          <w:color w:val="0000FF"/>
        </w:rPr>
        <w:t>;</w:t>
      </w:r>
    </w:p>
    <w:p w14:paraId="006DEF25" w14:textId="77777777" w:rsidR="00DD3E35" w:rsidRPr="00CB7EF0" w:rsidRDefault="00052081" w:rsidP="00052081">
      <w:pPr>
        <w:pStyle w:val="notepara"/>
        <w:ind w:left="2880" w:hanging="895"/>
        <w:rPr>
          <w:color w:val="0000FF"/>
        </w:rPr>
      </w:pPr>
      <w:r w:rsidRPr="00CB7EF0">
        <w:rPr>
          <w:color w:val="0000FF"/>
        </w:rPr>
        <w:t>Note:</w:t>
      </w:r>
      <w:r w:rsidRPr="00CB7EF0">
        <w:rPr>
          <w:color w:val="0000FF"/>
        </w:rPr>
        <w:tab/>
      </w:r>
      <w:r w:rsidR="00884326" w:rsidRPr="00CB7EF0">
        <w:rPr>
          <w:color w:val="0000FF"/>
        </w:rPr>
        <w:t>Because a CDR representative cannot collect CDR data except through its CDR principal, it cannot engage the provider to collect CDR data</w:t>
      </w:r>
      <w:r w:rsidR="00CB7EF0">
        <w:rPr>
          <w:color w:val="0000FF"/>
        </w:rPr>
        <w:t>.</w:t>
      </w:r>
    </w:p>
    <w:p w14:paraId="147C015C" w14:textId="77777777" w:rsidR="00BB7660" w:rsidRPr="00CB7EF0" w:rsidRDefault="00D52F77" w:rsidP="00D52F77">
      <w:pPr>
        <w:pStyle w:val="subsection"/>
        <w:rPr>
          <w:color w:val="0000FF"/>
        </w:rPr>
      </w:pPr>
      <w:r w:rsidRPr="00CB7EF0">
        <w:rPr>
          <w:color w:val="0000FF"/>
        </w:rPr>
        <w:tab/>
      </w:r>
      <w:r w:rsidR="00195095">
        <w:rPr>
          <w:color w:val="0000FF"/>
        </w:rPr>
        <w:t>(4)</w:t>
      </w:r>
      <w:r w:rsidRPr="00CB7EF0">
        <w:rPr>
          <w:color w:val="0000FF"/>
        </w:rPr>
        <w:tab/>
        <w:t xml:space="preserve">A CDR representative arrangement must require the CDR representative to </w:t>
      </w:r>
      <w:r w:rsidR="00BB7660" w:rsidRPr="00CB7EF0">
        <w:rPr>
          <w:color w:val="0000FF"/>
        </w:rPr>
        <w:t>comply with the following requirements in relation to any service data:</w:t>
      </w:r>
    </w:p>
    <w:p w14:paraId="744CF29F" w14:textId="77777777" w:rsidR="00BB7660" w:rsidRPr="00D20EC5" w:rsidRDefault="00D52F77" w:rsidP="00D52F77">
      <w:pPr>
        <w:pStyle w:val="paragraph"/>
        <w:rPr>
          <w:color w:val="0000FF"/>
        </w:rPr>
      </w:pPr>
      <w:r w:rsidRPr="00D20EC5">
        <w:rPr>
          <w:color w:val="0000FF"/>
        </w:rPr>
        <w:tab/>
      </w:r>
      <w:r w:rsidR="00195095">
        <w:rPr>
          <w:color w:val="0000FF"/>
        </w:rPr>
        <w:t>(a)</w:t>
      </w:r>
      <w:r w:rsidRPr="00D20EC5">
        <w:rPr>
          <w:color w:val="0000FF"/>
        </w:rPr>
        <w:tab/>
      </w:r>
      <w:r w:rsidR="00BB7660" w:rsidRPr="00D20EC5">
        <w:rPr>
          <w:color w:val="0000FF"/>
        </w:rPr>
        <w:t xml:space="preserve">in holding, using or disclosing the service data, the </w:t>
      </w:r>
      <w:r w:rsidR="009C7C84" w:rsidRPr="00D20EC5">
        <w:rPr>
          <w:color w:val="0000FF"/>
        </w:rPr>
        <w:t xml:space="preserve">CDR </w:t>
      </w:r>
      <w:r w:rsidR="00BB7660" w:rsidRPr="00D20EC5">
        <w:rPr>
          <w:color w:val="0000FF"/>
        </w:rPr>
        <w:t>representative must comply with</w:t>
      </w:r>
      <w:r w:rsidR="00B8277C" w:rsidRPr="00D20EC5">
        <w:rPr>
          <w:color w:val="0000FF"/>
        </w:rPr>
        <w:t xml:space="preserve"> the following as if it were the CDR principal</w:t>
      </w:r>
      <w:r w:rsidR="00BB7660" w:rsidRPr="00D20EC5">
        <w:rPr>
          <w:color w:val="0000FF"/>
        </w:rPr>
        <w:t>:</w:t>
      </w:r>
    </w:p>
    <w:p w14:paraId="4704BF0D" w14:textId="77777777" w:rsidR="00BB7660" w:rsidRPr="00D20EC5" w:rsidRDefault="00D52F77" w:rsidP="00D52F77">
      <w:pPr>
        <w:pStyle w:val="paragraphsub"/>
        <w:rPr>
          <w:color w:val="0000FF"/>
        </w:rPr>
      </w:pPr>
      <w:r w:rsidRPr="00D20EC5">
        <w:rPr>
          <w:color w:val="0000FF"/>
        </w:rPr>
        <w:tab/>
      </w:r>
      <w:r w:rsidR="00195095">
        <w:rPr>
          <w:color w:val="0000FF"/>
        </w:rPr>
        <w:t>(i)</w:t>
      </w:r>
      <w:r w:rsidRPr="00D20EC5">
        <w:rPr>
          <w:color w:val="0000FF"/>
        </w:rPr>
        <w:tab/>
      </w:r>
      <w:r w:rsidR="00BB7660" w:rsidRPr="00D20EC5">
        <w:rPr>
          <w:color w:val="0000FF"/>
        </w:rPr>
        <w:t>section 5</w:t>
      </w:r>
      <w:r w:rsidR="00CB7EF0" w:rsidRPr="00D20EC5">
        <w:rPr>
          <w:color w:val="0000FF"/>
        </w:rPr>
        <w:t>6</w:t>
      </w:r>
      <w:r w:rsidR="00BB7660" w:rsidRPr="00D20EC5">
        <w:rPr>
          <w:color w:val="0000FF"/>
        </w:rPr>
        <w:t>EE of the Act (privacy safeguard 2);</w:t>
      </w:r>
    </w:p>
    <w:p w14:paraId="1C222C91" w14:textId="77777777" w:rsidR="00BB7660" w:rsidRPr="00D20EC5" w:rsidRDefault="00D52F77" w:rsidP="00D52F77">
      <w:pPr>
        <w:pStyle w:val="paragraphsub"/>
        <w:rPr>
          <w:color w:val="0000FF"/>
        </w:rPr>
      </w:pPr>
      <w:r w:rsidRPr="00D20EC5">
        <w:rPr>
          <w:color w:val="0000FF"/>
        </w:rPr>
        <w:tab/>
      </w:r>
      <w:r w:rsidR="00195095">
        <w:rPr>
          <w:color w:val="0000FF"/>
        </w:rPr>
        <w:t>(ii)</w:t>
      </w:r>
      <w:r w:rsidRPr="00D20EC5">
        <w:rPr>
          <w:color w:val="0000FF"/>
        </w:rPr>
        <w:tab/>
      </w:r>
      <w:r w:rsidR="00BB7660" w:rsidRPr="00D20EC5">
        <w:rPr>
          <w:color w:val="0000FF"/>
        </w:rPr>
        <w:t>section 5</w:t>
      </w:r>
      <w:r w:rsidR="00CB7EF0" w:rsidRPr="00D20EC5">
        <w:rPr>
          <w:color w:val="0000FF"/>
        </w:rPr>
        <w:t>6</w:t>
      </w:r>
      <w:r w:rsidR="00BB7660" w:rsidRPr="00D20EC5">
        <w:rPr>
          <w:color w:val="0000FF"/>
        </w:rPr>
        <w:t xml:space="preserve">EG of the Act (privacy safeguard 4); </w:t>
      </w:r>
    </w:p>
    <w:p w14:paraId="66147E28" w14:textId="77777777" w:rsidR="00BB7660" w:rsidRPr="00D20EC5" w:rsidRDefault="00D52F77" w:rsidP="00D52F77">
      <w:pPr>
        <w:pStyle w:val="paragraphsub"/>
        <w:rPr>
          <w:color w:val="0000FF"/>
        </w:rPr>
      </w:pPr>
      <w:r w:rsidRPr="00D20EC5">
        <w:rPr>
          <w:color w:val="0000FF"/>
        </w:rPr>
        <w:tab/>
      </w:r>
      <w:r w:rsidR="00195095">
        <w:rPr>
          <w:color w:val="0000FF"/>
        </w:rPr>
        <w:t>(iii)</w:t>
      </w:r>
      <w:r w:rsidRPr="00D20EC5">
        <w:rPr>
          <w:color w:val="0000FF"/>
        </w:rPr>
        <w:tab/>
      </w:r>
      <w:r w:rsidR="00BB7660" w:rsidRPr="00D20EC5">
        <w:rPr>
          <w:color w:val="0000FF"/>
        </w:rPr>
        <w:t xml:space="preserve">section 56EN of the Act, </w:t>
      </w:r>
      <w:r w:rsidR="002C25BB" w:rsidRPr="00D20EC5">
        <w:rPr>
          <w:color w:val="0000FF"/>
        </w:rPr>
        <w:t>other than</w:t>
      </w:r>
      <w:r w:rsidR="00BB7660" w:rsidRPr="00D20EC5">
        <w:rPr>
          <w:color w:val="0000FF"/>
        </w:rPr>
        <w:t xml:space="preserve"> subsection (1) (privacy safeguard 11); </w:t>
      </w:r>
    </w:p>
    <w:p w14:paraId="3B38A94F" w14:textId="77777777" w:rsidR="00BB7660" w:rsidRPr="00D20EC5" w:rsidRDefault="00D52F77" w:rsidP="00D52F77">
      <w:pPr>
        <w:pStyle w:val="paragraphsub"/>
        <w:rPr>
          <w:color w:val="0000FF"/>
        </w:rPr>
      </w:pPr>
      <w:r w:rsidRPr="00D20EC5">
        <w:rPr>
          <w:color w:val="0000FF"/>
        </w:rPr>
        <w:tab/>
      </w:r>
      <w:r w:rsidR="00195095">
        <w:rPr>
          <w:color w:val="0000FF"/>
        </w:rPr>
        <w:t>(iv)</w:t>
      </w:r>
      <w:r w:rsidRPr="00D20EC5">
        <w:rPr>
          <w:color w:val="0000FF"/>
        </w:rPr>
        <w:tab/>
      </w:r>
      <w:r w:rsidR="00BB7660" w:rsidRPr="00D20EC5">
        <w:rPr>
          <w:color w:val="0000FF"/>
        </w:rPr>
        <w:t>section 56EO of the Act (privacy safeguard 12);</w:t>
      </w:r>
    </w:p>
    <w:p w14:paraId="07C4214E" w14:textId="77777777" w:rsidR="00BB7660" w:rsidRPr="00D20EC5" w:rsidRDefault="00D52F77" w:rsidP="00D52F77">
      <w:pPr>
        <w:pStyle w:val="paragraphsub"/>
        <w:rPr>
          <w:color w:val="0000FF"/>
        </w:rPr>
      </w:pPr>
      <w:r w:rsidRPr="00D20EC5">
        <w:rPr>
          <w:color w:val="0000FF"/>
        </w:rPr>
        <w:tab/>
      </w:r>
      <w:r w:rsidR="00195095">
        <w:rPr>
          <w:color w:val="0000FF"/>
        </w:rPr>
        <w:t>(v)</w:t>
      </w:r>
      <w:r w:rsidRPr="00D20EC5">
        <w:rPr>
          <w:color w:val="0000FF"/>
        </w:rPr>
        <w:tab/>
      </w:r>
      <w:r w:rsidR="00BB7660" w:rsidRPr="00D20EC5">
        <w:rPr>
          <w:color w:val="0000FF"/>
        </w:rPr>
        <w:t xml:space="preserve">section 56EP of the Act, </w:t>
      </w:r>
      <w:r w:rsidR="002C25BB" w:rsidRPr="00D20EC5">
        <w:rPr>
          <w:color w:val="0000FF"/>
        </w:rPr>
        <w:t>other than</w:t>
      </w:r>
      <w:r w:rsidR="00BB7660" w:rsidRPr="00D20EC5">
        <w:rPr>
          <w:color w:val="0000FF"/>
        </w:rPr>
        <w:t xml:space="preserve"> subsection (1) (privacy safeguard 13); </w:t>
      </w:r>
    </w:p>
    <w:p w14:paraId="0A3E6C81" w14:textId="77777777" w:rsidR="00BB7660" w:rsidRPr="00D20EC5" w:rsidRDefault="00D52F77" w:rsidP="00D52F77">
      <w:pPr>
        <w:pStyle w:val="paragraph"/>
        <w:rPr>
          <w:color w:val="0000FF"/>
        </w:rPr>
      </w:pPr>
      <w:r w:rsidRPr="00D20EC5">
        <w:rPr>
          <w:color w:val="0000FF"/>
        </w:rPr>
        <w:tab/>
      </w:r>
      <w:r w:rsidR="00195095">
        <w:rPr>
          <w:color w:val="0000FF"/>
        </w:rPr>
        <w:t>(b)</w:t>
      </w:r>
      <w:r w:rsidRPr="00D20EC5">
        <w:rPr>
          <w:color w:val="0000FF"/>
        </w:rPr>
        <w:tab/>
      </w:r>
      <w:r w:rsidR="00BB7660" w:rsidRPr="00D20EC5">
        <w:rPr>
          <w:color w:val="0000FF"/>
        </w:rPr>
        <w:t xml:space="preserve">the </w:t>
      </w:r>
      <w:r w:rsidR="00CB7EF0" w:rsidRPr="00D20EC5">
        <w:rPr>
          <w:color w:val="0000FF"/>
        </w:rPr>
        <w:t xml:space="preserve">CDR </w:t>
      </w:r>
      <w:r w:rsidR="00BB7660" w:rsidRPr="00D20EC5">
        <w:rPr>
          <w:color w:val="0000FF"/>
        </w:rPr>
        <w:t xml:space="preserve">representative must take the steps in Schedule 2 to protect the service data as if it were the </w:t>
      </w:r>
      <w:r w:rsidR="00CB7EF0" w:rsidRPr="00D20EC5">
        <w:rPr>
          <w:color w:val="0000FF"/>
        </w:rPr>
        <w:t xml:space="preserve">CDR </w:t>
      </w:r>
      <w:r w:rsidR="00BB7660" w:rsidRPr="00D20EC5">
        <w:rPr>
          <w:color w:val="0000FF"/>
        </w:rPr>
        <w:t>principal;</w:t>
      </w:r>
    </w:p>
    <w:p w14:paraId="17D54910" w14:textId="77777777" w:rsidR="00BB7660" w:rsidRPr="00D20EC5" w:rsidRDefault="00D52F77" w:rsidP="00D52F77">
      <w:pPr>
        <w:pStyle w:val="paragraph"/>
        <w:rPr>
          <w:color w:val="0000FF"/>
        </w:rPr>
      </w:pPr>
      <w:r w:rsidRPr="00D20EC5">
        <w:rPr>
          <w:color w:val="0000FF"/>
        </w:rPr>
        <w:tab/>
      </w:r>
      <w:r w:rsidR="00195095">
        <w:rPr>
          <w:color w:val="0000FF"/>
        </w:rPr>
        <w:t>(c)</w:t>
      </w:r>
      <w:r w:rsidRPr="00D20EC5">
        <w:rPr>
          <w:color w:val="0000FF"/>
        </w:rPr>
        <w:tab/>
      </w:r>
      <w:r w:rsidR="00BB7660" w:rsidRPr="00D20EC5">
        <w:rPr>
          <w:color w:val="0000FF"/>
        </w:rPr>
        <w:t xml:space="preserve">the </w:t>
      </w:r>
      <w:r w:rsidR="00CB7EF0" w:rsidRPr="00D20EC5">
        <w:rPr>
          <w:color w:val="0000FF"/>
        </w:rPr>
        <w:t xml:space="preserve">CDR </w:t>
      </w:r>
      <w:r w:rsidR="00BB7660" w:rsidRPr="00D20EC5">
        <w:rPr>
          <w:color w:val="0000FF"/>
        </w:rPr>
        <w:t xml:space="preserve">representative must not use or disclose the service data other than in accordance with a contract with the </w:t>
      </w:r>
      <w:r w:rsidR="00CB7EF0" w:rsidRPr="00D20EC5">
        <w:rPr>
          <w:color w:val="0000FF"/>
        </w:rPr>
        <w:t xml:space="preserve">CDR </w:t>
      </w:r>
      <w:r w:rsidR="00BB7660" w:rsidRPr="00D20EC5">
        <w:rPr>
          <w:color w:val="0000FF"/>
        </w:rPr>
        <w:t>principal;</w:t>
      </w:r>
    </w:p>
    <w:p w14:paraId="6C60A721" w14:textId="77777777" w:rsidR="00BB7660" w:rsidRPr="00D20EC5" w:rsidRDefault="00D52F77" w:rsidP="00D52F77">
      <w:pPr>
        <w:pStyle w:val="paragraph"/>
        <w:rPr>
          <w:color w:val="0000FF"/>
        </w:rPr>
      </w:pPr>
      <w:r w:rsidRPr="00D20EC5">
        <w:rPr>
          <w:color w:val="0000FF"/>
        </w:rPr>
        <w:tab/>
      </w:r>
      <w:r w:rsidR="00195095">
        <w:rPr>
          <w:color w:val="0000FF"/>
        </w:rPr>
        <w:t>(d)</w:t>
      </w:r>
      <w:r w:rsidRPr="00D20EC5">
        <w:rPr>
          <w:color w:val="0000FF"/>
        </w:rPr>
        <w:tab/>
      </w:r>
      <w:r w:rsidR="00BB7660" w:rsidRPr="00D20EC5">
        <w:rPr>
          <w:color w:val="0000FF"/>
        </w:rPr>
        <w:t xml:space="preserve">the </w:t>
      </w:r>
      <w:r w:rsidR="00CB7EF0" w:rsidRPr="00D20EC5">
        <w:rPr>
          <w:color w:val="0000FF"/>
        </w:rPr>
        <w:t xml:space="preserve">CDR </w:t>
      </w:r>
      <w:r w:rsidR="00BB7660" w:rsidRPr="00D20EC5">
        <w:rPr>
          <w:color w:val="0000FF"/>
        </w:rPr>
        <w:t>representative must not use or disclose the service data unless the use or disclosure would be:</w:t>
      </w:r>
    </w:p>
    <w:p w14:paraId="52F87F4B" w14:textId="77777777" w:rsidR="00BB7660" w:rsidRPr="00D20EC5" w:rsidRDefault="00D52F77" w:rsidP="00D52F77">
      <w:pPr>
        <w:pStyle w:val="paragraphsub"/>
        <w:rPr>
          <w:color w:val="0000FF"/>
        </w:rPr>
      </w:pPr>
      <w:r w:rsidRPr="00D20EC5">
        <w:rPr>
          <w:color w:val="0000FF"/>
        </w:rPr>
        <w:tab/>
      </w:r>
      <w:r w:rsidR="00195095">
        <w:rPr>
          <w:color w:val="0000FF"/>
        </w:rPr>
        <w:t>(i)</w:t>
      </w:r>
      <w:r w:rsidRPr="00D20EC5">
        <w:rPr>
          <w:color w:val="0000FF"/>
        </w:rPr>
        <w:tab/>
      </w:r>
      <w:r w:rsidR="00BB7660" w:rsidRPr="00D20EC5">
        <w:rPr>
          <w:color w:val="0000FF"/>
        </w:rPr>
        <w:t>a permitted use or disclosure of the CDR data of the kind mentioned in paragraph 7.5(1)(h); or</w:t>
      </w:r>
    </w:p>
    <w:p w14:paraId="22384613" w14:textId="77777777" w:rsidR="00BB7660" w:rsidRPr="00D20EC5" w:rsidRDefault="00D52F77" w:rsidP="00D52F77">
      <w:pPr>
        <w:pStyle w:val="paragraphsub"/>
        <w:rPr>
          <w:color w:val="0000FF"/>
        </w:rPr>
      </w:pPr>
      <w:r w:rsidRPr="00D20EC5">
        <w:rPr>
          <w:color w:val="0000FF"/>
        </w:rPr>
        <w:tab/>
      </w:r>
      <w:r w:rsidR="00195095">
        <w:rPr>
          <w:color w:val="0000FF"/>
        </w:rPr>
        <w:t>(ii)</w:t>
      </w:r>
      <w:r w:rsidRPr="00D20EC5">
        <w:rPr>
          <w:color w:val="0000FF"/>
        </w:rPr>
        <w:tab/>
      </w:r>
      <w:r w:rsidR="00BB7660" w:rsidRPr="00D20EC5">
        <w:rPr>
          <w:color w:val="0000FF"/>
        </w:rPr>
        <w:t>a permitted use or disclosure of the CDR data that relates to direct marketing of the kind mentioned in paragraph 7.5(3)(d);</w:t>
      </w:r>
    </w:p>
    <w:p w14:paraId="63E51AF8" w14:textId="77777777" w:rsidR="00790973" w:rsidRPr="00D20EC5" w:rsidRDefault="00D52F77" w:rsidP="00D52F77">
      <w:pPr>
        <w:pStyle w:val="paragraph"/>
        <w:rPr>
          <w:color w:val="0000FF"/>
        </w:rPr>
      </w:pPr>
      <w:r w:rsidRPr="00D20EC5">
        <w:rPr>
          <w:color w:val="0000FF"/>
        </w:rPr>
        <w:tab/>
      </w:r>
      <w:r w:rsidR="00195095">
        <w:rPr>
          <w:color w:val="0000FF"/>
        </w:rPr>
        <w:t>(e)</w:t>
      </w:r>
      <w:r w:rsidRPr="00D20EC5">
        <w:rPr>
          <w:color w:val="0000FF"/>
        </w:rPr>
        <w:tab/>
      </w:r>
      <w:r w:rsidR="00BB7660" w:rsidRPr="00D20EC5">
        <w:rPr>
          <w:color w:val="0000FF"/>
        </w:rPr>
        <w:t xml:space="preserve">the </w:t>
      </w:r>
      <w:r w:rsidR="00CB7EF0" w:rsidRPr="00D20EC5">
        <w:rPr>
          <w:color w:val="0000FF"/>
        </w:rPr>
        <w:t xml:space="preserve">CDR </w:t>
      </w:r>
      <w:r w:rsidR="00BB7660" w:rsidRPr="00D20EC5">
        <w:rPr>
          <w:color w:val="0000FF"/>
        </w:rPr>
        <w:t xml:space="preserve">representative must, when so directed by the </w:t>
      </w:r>
      <w:r w:rsidR="00CB7EF0" w:rsidRPr="00D20EC5">
        <w:rPr>
          <w:color w:val="0000FF"/>
        </w:rPr>
        <w:t xml:space="preserve">CDR </w:t>
      </w:r>
      <w:r w:rsidR="00BB7660" w:rsidRPr="00D20EC5">
        <w:rPr>
          <w:color w:val="0000FF"/>
        </w:rPr>
        <w:t>principal</w:t>
      </w:r>
      <w:r w:rsidR="00790973" w:rsidRPr="00D20EC5">
        <w:rPr>
          <w:color w:val="0000FF"/>
        </w:rPr>
        <w:t>:</w:t>
      </w:r>
    </w:p>
    <w:p w14:paraId="674894A7" w14:textId="77777777" w:rsidR="00BB7660" w:rsidRPr="00D20EC5" w:rsidRDefault="00790973" w:rsidP="00790973">
      <w:pPr>
        <w:pStyle w:val="paragraphsub"/>
        <w:rPr>
          <w:color w:val="0000FF"/>
        </w:rPr>
      </w:pPr>
      <w:r w:rsidRPr="00D20EC5">
        <w:rPr>
          <w:color w:val="0000FF"/>
        </w:rPr>
        <w:tab/>
      </w:r>
      <w:r w:rsidR="00195095">
        <w:rPr>
          <w:color w:val="0000FF"/>
        </w:rPr>
        <w:t>(i)</w:t>
      </w:r>
      <w:r w:rsidRPr="00D20EC5">
        <w:rPr>
          <w:color w:val="0000FF"/>
        </w:rPr>
        <w:tab/>
      </w:r>
      <w:r w:rsidR="00BB7660" w:rsidRPr="00D20EC5">
        <w:rPr>
          <w:color w:val="0000FF"/>
        </w:rPr>
        <w:t>do any of the following:</w:t>
      </w:r>
    </w:p>
    <w:p w14:paraId="667BAE78" w14:textId="77777777" w:rsidR="00BB7660" w:rsidRPr="00D20EC5" w:rsidRDefault="00790973" w:rsidP="00790973">
      <w:pPr>
        <w:pStyle w:val="paragraphsub-sub"/>
        <w:rPr>
          <w:color w:val="0000FF"/>
        </w:rPr>
      </w:pPr>
      <w:r w:rsidRPr="00D20EC5">
        <w:rPr>
          <w:color w:val="0000FF"/>
        </w:rPr>
        <w:tab/>
      </w:r>
      <w:r w:rsidR="00195095">
        <w:rPr>
          <w:color w:val="0000FF"/>
        </w:rPr>
        <w:t>(A)</w:t>
      </w:r>
      <w:r w:rsidRPr="00D20EC5">
        <w:rPr>
          <w:color w:val="0000FF"/>
        </w:rPr>
        <w:tab/>
      </w:r>
      <w:r w:rsidR="00BB7660" w:rsidRPr="00D20EC5">
        <w:rPr>
          <w:color w:val="0000FF"/>
        </w:rPr>
        <w:t>delete any service data that it holds in accordance with the CDR data deletion process;</w:t>
      </w:r>
    </w:p>
    <w:p w14:paraId="31E12FB3" w14:textId="77777777" w:rsidR="00790973" w:rsidRPr="00D20EC5" w:rsidRDefault="00790973" w:rsidP="00790973">
      <w:pPr>
        <w:pStyle w:val="paragraphsub-sub"/>
        <w:rPr>
          <w:color w:val="0000FF"/>
        </w:rPr>
      </w:pPr>
      <w:r w:rsidRPr="00D20EC5">
        <w:rPr>
          <w:color w:val="0000FF"/>
        </w:rPr>
        <w:tab/>
      </w:r>
      <w:r w:rsidR="00195095">
        <w:rPr>
          <w:color w:val="0000FF"/>
        </w:rPr>
        <w:t>(B)</w:t>
      </w:r>
      <w:r w:rsidRPr="00D20EC5">
        <w:rPr>
          <w:color w:val="0000FF"/>
        </w:rPr>
        <w:tab/>
      </w:r>
      <w:r w:rsidR="00BB7660" w:rsidRPr="00D20EC5">
        <w:rPr>
          <w:color w:val="0000FF"/>
        </w:rPr>
        <w:t xml:space="preserve">provide, to the </w:t>
      </w:r>
      <w:r w:rsidR="00CB7EF0" w:rsidRPr="00D20EC5">
        <w:rPr>
          <w:color w:val="0000FF"/>
        </w:rPr>
        <w:t xml:space="preserve">CDR </w:t>
      </w:r>
      <w:r w:rsidR="00BB7660" w:rsidRPr="00D20EC5">
        <w:rPr>
          <w:color w:val="0000FF"/>
        </w:rPr>
        <w:t>principal, records of any deletion that are required to be made under the CDR data deletion process</w:t>
      </w:r>
      <w:r w:rsidRPr="00D20EC5">
        <w:rPr>
          <w:color w:val="0000FF"/>
        </w:rPr>
        <w:t>; and</w:t>
      </w:r>
    </w:p>
    <w:p w14:paraId="26EFB467" w14:textId="77777777" w:rsidR="00BB7660" w:rsidRPr="00D20EC5" w:rsidRDefault="00790973" w:rsidP="00790973">
      <w:pPr>
        <w:pStyle w:val="paragraphsub"/>
        <w:rPr>
          <w:color w:val="0000FF"/>
        </w:rPr>
      </w:pPr>
      <w:r w:rsidRPr="00D20EC5">
        <w:rPr>
          <w:color w:val="0000FF"/>
        </w:rPr>
        <w:tab/>
      </w:r>
      <w:r w:rsidR="00195095">
        <w:rPr>
          <w:color w:val="0000FF"/>
        </w:rPr>
        <w:t>(ii)</w:t>
      </w:r>
      <w:r w:rsidRPr="00D20EC5">
        <w:rPr>
          <w:color w:val="0000FF"/>
        </w:rPr>
        <w:tab/>
        <w:t>require its direct and indirect OSPs to do the same</w:t>
      </w:r>
      <w:r w:rsidR="00BB7660" w:rsidRPr="00D20EC5">
        <w:rPr>
          <w:color w:val="0000FF"/>
        </w:rPr>
        <w:t>;</w:t>
      </w:r>
    </w:p>
    <w:p w14:paraId="54E8AD1B" w14:textId="77777777" w:rsidR="00BB7660" w:rsidRPr="00D20EC5" w:rsidRDefault="00884326" w:rsidP="00884326">
      <w:pPr>
        <w:pStyle w:val="paragraph"/>
        <w:rPr>
          <w:color w:val="0000FF"/>
        </w:rPr>
      </w:pPr>
      <w:r w:rsidRPr="00D20EC5">
        <w:rPr>
          <w:color w:val="0000FF"/>
        </w:rPr>
        <w:tab/>
      </w:r>
      <w:r w:rsidR="00195095">
        <w:rPr>
          <w:color w:val="0000FF"/>
        </w:rPr>
        <w:t>(f)</w:t>
      </w:r>
      <w:r w:rsidRPr="00D20EC5">
        <w:rPr>
          <w:color w:val="0000FF"/>
        </w:rPr>
        <w:tab/>
      </w:r>
      <w:r w:rsidR="00BB7660" w:rsidRPr="00D20EC5">
        <w:rPr>
          <w:color w:val="0000FF"/>
        </w:rPr>
        <w:t xml:space="preserve">the </w:t>
      </w:r>
      <w:r w:rsidR="00CB7EF0" w:rsidRPr="00D20EC5">
        <w:rPr>
          <w:color w:val="0000FF"/>
        </w:rPr>
        <w:t xml:space="preserve">CDR </w:t>
      </w:r>
      <w:r w:rsidR="00BB7660" w:rsidRPr="00D20EC5">
        <w:rPr>
          <w:color w:val="0000FF"/>
        </w:rPr>
        <w:t xml:space="preserve">representative </w:t>
      </w:r>
      <w:r w:rsidR="00D52F77" w:rsidRPr="00D20EC5">
        <w:rPr>
          <w:color w:val="0000FF"/>
        </w:rPr>
        <w:t xml:space="preserve">must </w:t>
      </w:r>
      <w:r w:rsidR="00BB7660" w:rsidRPr="00D20EC5">
        <w:rPr>
          <w:color w:val="0000FF"/>
        </w:rPr>
        <w:t xml:space="preserve">adopt and comply with the </w:t>
      </w:r>
      <w:r w:rsidR="00CB7EF0" w:rsidRPr="00D20EC5">
        <w:rPr>
          <w:color w:val="0000FF"/>
        </w:rPr>
        <w:t xml:space="preserve">CDR </w:t>
      </w:r>
      <w:r w:rsidR="00BB7660" w:rsidRPr="00D20EC5">
        <w:rPr>
          <w:color w:val="0000FF"/>
        </w:rPr>
        <w:t>principal’s CDR policy in relation to the service data;</w:t>
      </w:r>
    </w:p>
    <w:p w14:paraId="7D45CEE7" w14:textId="77777777" w:rsidR="00BB7660" w:rsidRPr="00D20EC5" w:rsidRDefault="00884326" w:rsidP="00884326">
      <w:pPr>
        <w:pStyle w:val="paragraph"/>
        <w:rPr>
          <w:color w:val="0000FF"/>
        </w:rPr>
      </w:pPr>
      <w:r w:rsidRPr="00D20EC5">
        <w:rPr>
          <w:color w:val="0000FF"/>
        </w:rPr>
        <w:tab/>
      </w:r>
      <w:r w:rsidR="00195095">
        <w:rPr>
          <w:color w:val="0000FF"/>
        </w:rPr>
        <w:t>(g)</w:t>
      </w:r>
      <w:r w:rsidRPr="00D20EC5">
        <w:rPr>
          <w:color w:val="0000FF"/>
        </w:rPr>
        <w:tab/>
      </w:r>
      <w:r w:rsidR="00BB7660" w:rsidRPr="00D20EC5">
        <w:rPr>
          <w:color w:val="0000FF"/>
        </w:rPr>
        <w:t xml:space="preserve">the </w:t>
      </w:r>
      <w:r w:rsidR="00CB7EF0" w:rsidRPr="00D20EC5">
        <w:rPr>
          <w:color w:val="0000FF"/>
        </w:rPr>
        <w:t xml:space="preserve">CDR </w:t>
      </w:r>
      <w:r w:rsidR="00BB7660" w:rsidRPr="00D20EC5">
        <w:rPr>
          <w:color w:val="0000FF"/>
        </w:rPr>
        <w:t xml:space="preserve">representative </w:t>
      </w:r>
      <w:r w:rsidR="00D52F77" w:rsidRPr="00D20EC5">
        <w:rPr>
          <w:color w:val="0000FF"/>
        </w:rPr>
        <w:t>must</w:t>
      </w:r>
      <w:r w:rsidR="00BB7660" w:rsidRPr="00D20EC5">
        <w:rPr>
          <w:color w:val="0000FF"/>
        </w:rPr>
        <w:t xml:space="preserve"> comply with sections 56EK and 56EL of the Act (Privacy safeguards 8 and 9) as if it were an accredited data recipient</w:t>
      </w:r>
      <w:r w:rsidR="00B8277C" w:rsidRPr="00D20EC5">
        <w:rPr>
          <w:color w:val="0000FF"/>
        </w:rPr>
        <w:t>.</w:t>
      </w:r>
    </w:p>
    <w:p w14:paraId="7A1F7BE9" w14:textId="77777777" w:rsidR="00BB7660" w:rsidRPr="00D20EC5" w:rsidRDefault="00BB7660" w:rsidP="00BB7660">
      <w:pPr>
        <w:pStyle w:val="notetext"/>
        <w:rPr>
          <w:color w:val="0000FF"/>
        </w:rPr>
      </w:pPr>
      <w:r w:rsidRPr="00D20EC5">
        <w:rPr>
          <w:color w:val="0000FF"/>
        </w:rPr>
        <w:t>Note 1:</w:t>
      </w:r>
      <w:r w:rsidRPr="00D20EC5">
        <w:rPr>
          <w:color w:val="0000FF"/>
        </w:rPr>
        <w:tab/>
        <w:t>For paragraph</w:t>
      </w:r>
      <w:r w:rsidR="00790973" w:rsidRPr="00D20EC5">
        <w:rPr>
          <w:color w:val="0000FF"/>
        </w:rPr>
        <w:t xml:space="preserve"> (4)</w:t>
      </w:r>
      <w:r w:rsidRPr="00D20EC5">
        <w:rPr>
          <w:color w:val="0000FF"/>
        </w:rPr>
        <w:t xml:space="preserve">(c), the principal may be a direct </w:t>
      </w:r>
      <w:r w:rsidR="00790973" w:rsidRPr="00D20EC5">
        <w:rPr>
          <w:color w:val="0000FF"/>
        </w:rPr>
        <w:t xml:space="preserve">or indirect </w:t>
      </w:r>
      <w:r w:rsidRPr="00D20EC5">
        <w:rPr>
          <w:color w:val="0000FF"/>
        </w:rPr>
        <w:t xml:space="preserve">OSP of the representative, either as a result of provisions in the written agreement that make it also an </w:t>
      </w:r>
      <w:r w:rsidR="00B0579D" w:rsidRPr="00D20EC5">
        <w:rPr>
          <w:color w:val="0000FF"/>
        </w:rPr>
        <w:t>CDR outsourcing</w:t>
      </w:r>
      <w:r w:rsidRPr="00D20EC5">
        <w:rPr>
          <w:color w:val="0000FF"/>
        </w:rPr>
        <w:t xml:space="preserve"> arrangement under rule 1.10, or under a separate </w:t>
      </w:r>
      <w:r w:rsidR="00B0579D" w:rsidRPr="00D20EC5">
        <w:rPr>
          <w:color w:val="0000FF"/>
        </w:rPr>
        <w:t xml:space="preserve">CDR outsourcing </w:t>
      </w:r>
      <w:r w:rsidRPr="00D20EC5">
        <w:rPr>
          <w:color w:val="0000FF"/>
        </w:rPr>
        <w:t>arrangement.</w:t>
      </w:r>
    </w:p>
    <w:p w14:paraId="24E18D90" w14:textId="77777777" w:rsidR="00BB7660" w:rsidRPr="00D20EC5" w:rsidRDefault="00BB7660" w:rsidP="00BB7660">
      <w:pPr>
        <w:pStyle w:val="notetext"/>
        <w:rPr>
          <w:color w:val="0000FF"/>
        </w:rPr>
      </w:pPr>
      <w:r w:rsidRPr="00D20EC5">
        <w:rPr>
          <w:color w:val="0000FF"/>
        </w:rPr>
        <w:lastRenderedPageBreak/>
        <w:t>Note 2:</w:t>
      </w:r>
      <w:r w:rsidRPr="00D20EC5">
        <w:rPr>
          <w:color w:val="0000FF"/>
        </w:rPr>
        <w:tab/>
        <w:t>For paragraph (</w:t>
      </w:r>
      <w:r w:rsidR="00790973" w:rsidRPr="00D20EC5">
        <w:rPr>
          <w:color w:val="0000FF"/>
        </w:rPr>
        <w:t>4</w:t>
      </w:r>
      <w:r w:rsidRPr="00D20EC5">
        <w:rPr>
          <w:color w:val="0000FF"/>
        </w:rPr>
        <w:t>)(d), the permitted uses or disclosures are those that would be permitted if the representative were an accredited data recipient that had collected the CDR data under the consumer data request.  They include disclosure to a direct or indirect OSP for the purposes of providing the relevant goods and services.</w:t>
      </w:r>
      <w:r w:rsidRPr="00D20EC5">
        <w:rPr>
          <w:color w:val="0000FF"/>
        </w:rPr>
        <w:tab/>
      </w:r>
    </w:p>
    <w:p w14:paraId="7C0080C9" w14:textId="77777777" w:rsidR="00BB7660" w:rsidRPr="00D20EC5" w:rsidRDefault="00BB7660" w:rsidP="00BB7660">
      <w:pPr>
        <w:pStyle w:val="notetext"/>
        <w:rPr>
          <w:color w:val="0000FF"/>
        </w:rPr>
      </w:pPr>
      <w:r w:rsidRPr="00D20EC5">
        <w:rPr>
          <w:color w:val="0000FF"/>
        </w:rPr>
        <w:t>Note 3:</w:t>
      </w:r>
      <w:r w:rsidRPr="00D20EC5">
        <w:rPr>
          <w:color w:val="0000FF"/>
        </w:rPr>
        <w:tab/>
        <w:t>For</w:t>
      </w:r>
      <w:r w:rsidR="00B8277C" w:rsidRPr="00D20EC5">
        <w:rPr>
          <w:color w:val="0000FF"/>
        </w:rPr>
        <w:t xml:space="preserve"> </w:t>
      </w:r>
      <w:r w:rsidRPr="00D20EC5">
        <w:rPr>
          <w:color w:val="0000FF"/>
        </w:rPr>
        <w:t>paragraph (</w:t>
      </w:r>
      <w:r w:rsidR="00790973" w:rsidRPr="00D20EC5">
        <w:rPr>
          <w:color w:val="0000FF"/>
        </w:rPr>
        <w:t>4)</w:t>
      </w:r>
      <w:r w:rsidRPr="00D20EC5">
        <w:rPr>
          <w:color w:val="0000FF"/>
        </w:rPr>
        <w:t>(</w:t>
      </w:r>
      <w:r w:rsidR="00B8277C" w:rsidRPr="00D20EC5">
        <w:rPr>
          <w:color w:val="0000FF"/>
        </w:rPr>
        <w:t>e</w:t>
      </w:r>
      <w:r w:rsidRPr="00D20EC5">
        <w:rPr>
          <w:color w:val="0000FF"/>
        </w:rPr>
        <w:t>), see rule 1.18 for the definition of “CDR data deletion process”.</w:t>
      </w:r>
    </w:p>
    <w:p w14:paraId="3A59970E" w14:textId="77777777" w:rsidR="00BB7660" w:rsidRPr="00D20EC5" w:rsidRDefault="00884326" w:rsidP="00884326">
      <w:pPr>
        <w:pStyle w:val="subsection"/>
        <w:rPr>
          <w:color w:val="0000FF"/>
        </w:rPr>
      </w:pPr>
      <w:r w:rsidRPr="00D20EC5">
        <w:rPr>
          <w:color w:val="0000FF"/>
        </w:rPr>
        <w:tab/>
      </w:r>
      <w:r w:rsidR="00195095">
        <w:rPr>
          <w:color w:val="0000FF"/>
        </w:rPr>
        <w:t>(5)</w:t>
      </w:r>
      <w:r w:rsidRPr="00D20EC5">
        <w:rPr>
          <w:color w:val="0000FF"/>
        </w:rPr>
        <w:tab/>
      </w:r>
      <w:r w:rsidR="00BB7660" w:rsidRPr="00D20EC5">
        <w:rPr>
          <w:color w:val="0000FF"/>
        </w:rPr>
        <w:t xml:space="preserve">For these rules, the </w:t>
      </w:r>
      <w:r w:rsidR="00BB7660" w:rsidRPr="00D20EC5">
        <w:rPr>
          <w:b/>
          <w:i/>
          <w:color w:val="0000FF"/>
        </w:rPr>
        <w:t xml:space="preserve">service data </w:t>
      </w:r>
      <w:r w:rsidR="00BB7660" w:rsidRPr="00D20EC5">
        <w:rPr>
          <w:color w:val="0000FF"/>
        </w:rPr>
        <w:t>in relation to a CDR representative</w:t>
      </w:r>
      <w:r w:rsidR="00B0579D" w:rsidRPr="00D20EC5">
        <w:rPr>
          <w:color w:val="0000FF"/>
        </w:rPr>
        <w:t xml:space="preserve"> </w:t>
      </w:r>
      <w:r w:rsidR="00BB7660" w:rsidRPr="00D20EC5">
        <w:rPr>
          <w:color w:val="0000FF"/>
        </w:rPr>
        <w:t xml:space="preserve">consists of any CDR data that: </w:t>
      </w:r>
    </w:p>
    <w:p w14:paraId="1A04CDA1" w14:textId="77777777" w:rsidR="00BB7660" w:rsidRPr="00D20EC5" w:rsidRDefault="00884326" w:rsidP="00884326">
      <w:pPr>
        <w:pStyle w:val="paragraph"/>
        <w:rPr>
          <w:color w:val="0000FF"/>
        </w:rPr>
      </w:pPr>
      <w:r w:rsidRPr="00D20EC5">
        <w:rPr>
          <w:color w:val="0000FF"/>
        </w:rPr>
        <w:tab/>
      </w:r>
      <w:r w:rsidR="00195095">
        <w:rPr>
          <w:color w:val="0000FF"/>
        </w:rPr>
        <w:t>(a)</w:t>
      </w:r>
      <w:r w:rsidRPr="00D20EC5">
        <w:rPr>
          <w:color w:val="0000FF"/>
        </w:rPr>
        <w:tab/>
      </w:r>
      <w:r w:rsidR="00BB7660" w:rsidRPr="00D20EC5">
        <w:rPr>
          <w:color w:val="0000FF"/>
        </w:rPr>
        <w:t>was disclosed to the CDR representative for the purposes of the CDR representative arrangement; or</w:t>
      </w:r>
    </w:p>
    <w:p w14:paraId="45514F49" w14:textId="77777777" w:rsidR="00BB7660" w:rsidRPr="00D20EC5" w:rsidRDefault="00884326" w:rsidP="00884326">
      <w:pPr>
        <w:pStyle w:val="paragraph"/>
        <w:rPr>
          <w:color w:val="0000FF"/>
        </w:rPr>
      </w:pPr>
      <w:r w:rsidRPr="00D20EC5">
        <w:rPr>
          <w:color w:val="0000FF"/>
        </w:rPr>
        <w:tab/>
      </w:r>
      <w:r w:rsidR="00195095">
        <w:rPr>
          <w:color w:val="0000FF"/>
        </w:rPr>
        <w:t>(b)</w:t>
      </w:r>
      <w:r w:rsidRPr="00D20EC5">
        <w:rPr>
          <w:color w:val="0000FF"/>
        </w:rPr>
        <w:tab/>
      </w:r>
      <w:r w:rsidR="00B0579D" w:rsidRPr="00D20EC5">
        <w:rPr>
          <w:color w:val="0000FF"/>
        </w:rPr>
        <w:t xml:space="preserve">has been </w:t>
      </w:r>
      <w:r w:rsidR="00BB7660" w:rsidRPr="00D20EC5">
        <w:rPr>
          <w:color w:val="0000FF"/>
        </w:rPr>
        <w:t xml:space="preserve">directly or indirectly </w:t>
      </w:r>
      <w:r w:rsidR="00B0579D" w:rsidRPr="00D20EC5">
        <w:rPr>
          <w:color w:val="0000FF"/>
        </w:rPr>
        <w:t xml:space="preserve">derived </w:t>
      </w:r>
      <w:r w:rsidR="00BB7660" w:rsidRPr="00D20EC5">
        <w:rPr>
          <w:color w:val="0000FF"/>
        </w:rPr>
        <w:t>from such CDR data.</w:t>
      </w:r>
    </w:p>
    <w:p w14:paraId="5B5B8D64" w14:textId="77777777" w:rsidR="00B0579D" w:rsidRPr="00B0579D" w:rsidRDefault="00B0579D" w:rsidP="00B0579D">
      <w:pPr>
        <w:shd w:val="clear" w:color="auto" w:fill="FFFFFF"/>
        <w:spacing w:before="280" w:line="240" w:lineRule="auto"/>
        <w:ind w:left="1134" w:hanging="1134"/>
        <w:rPr>
          <w:rFonts w:eastAsia="Times New Roman" w:cs="Times New Roman"/>
          <w:b/>
          <w:bCs/>
          <w:strike/>
          <w:color w:val="0000FF"/>
          <w:sz w:val="24"/>
          <w:szCs w:val="24"/>
          <w:lang w:eastAsia="en-AU"/>
        </w:rPr>
      </w:pPr>
      <w:bookmarkStart w:id="35" w:name="_Toc96610450"/>
      <w:r w:rsidRPr="00B0579D">
        <w:rPr>
          <w:rFonts w:eastAsia="Times New Roman" w:cs="Times New Roman"/>
          <w:b/>
          <w:bCs/>
          <w:strike/>
          <w:color w:val="0000FF"/>
          <w:sz w:val="24"/>
          <w:szCs w:val="24"/>
          <w:shd w:val="clear" w:color="auto" w:fill="FFFFFF"/>
          <w:lang w:eastAsia="en-AU"/>
        </w:rPr>
        <w:t>1.10AA  Meaning of </w:t>
      </w:r>
      <w:r w:rsidRPr="00B0579D">
        <w:rPr>
          <w:rFonts w:eastAsia="Times New Roman" w:cs="Times New Roman"/>
          <w:b/>
          <w:bCs/>
          <w:i/>
          <w:iCs/>
          <w:strike/>
          <w:color w:val="0000FF"/>
          <w:sz w:val="24"/>
          <w:szCs w:val="24"/>
          <w:shd w:val="clear" w:color="auto" w:fill="FFFFFF"/>
          <w:lang w:eastAsia="en-AU"/>
        </w:rPr>
        <w:t>CDR representative </w:t>
      </w:r>
      <w:r w:rsidRPr="00B0579D">
        <w:rPr>
          <w:rFonts w:eastAsia="Times New Roman" w:cs="Times New Roman"/>
          <w:b/>
          <w:bCs/>
          <w:strike/>
          <w:color w:val="0000FF"/>
          <w:sz w:val="24"/>
          <w:szCs w:val="24"/>
          <w:shd w:val="clear" w:color="auto" w:fill="FFFFFF"/>
          <w:lang w:eastAsia="en-AU"/>
        </w:rPr>
        <w:t>and related terms</w:t>
      </w:r>
      <w:bookmarkEnd w:id="35"/>
    </w:p>
    <w:p w14:paraId="624C286B" w14:textId="77777777" w:rsidR="00B0579D" w:rsidRPr="00B0579D" w:rsidRDefault="00B0579D" w:rsidP="00B0579D">
      <w:pPr>
        <w:shd w:val="clear" w:color="auto" w:fill="FFFFFF"/>
        <w:spacing w:before="122" w:line="198" w:lineRule="atLeast"/>
        <w:ind w:left="709" w:hanging="709"/>
        <w:rPr>
          <w:rFonts w:eastAsia="Times New Roman" w:cs="Times New Roman"/>
          <w:strike/>
          <w:color w:val="0000FF"/>
          <w:sz w:val="18"/>
          <w:szCs w:val="18"/>
          <w:lang w:eastAsia="en-AU"/>
        </w:rPr>
      </w:pPr>
      <w:r w:rsidRPr="00B0579D">
        <w:rPr>
          <w:rFonts w:eastAsia="Times New Roman" w:cs="Times New Roman"/>
          <w:strike/>
          <w:color w:val="0000FF"/>
          <w:sz w:val="18"/>
          <w:szCs w:val="18"/>
          <w:lang w:eastAsia="en-AU"/>
        </w:rPr>
        <w:t>Note:       From the point of view of a CDR consumer who is the customer of a CDR representative, the consumer deals with the CDR representative, as if it were an accredited person, and may not deal with the principal at all.  The consumer requests the goods or services from the CDR representative; the CDR representative identifies the CDR data that it needs in order to provide the goods and services; the consumer gives their consent to the CDR representative for the collection and use of the CDR data.  The consumer is informed that the CDR principal will do the actual collecting, but as a background detail.</w:t>
      </w:r>
    </w:p>
    <w:p w14:paraId="1EB76AB6" w14:textId="77777777" w:rsidR="00B0579D" w:rsidRPr="00B0579D" w:rsidRDefault="00B0579D" w:rsidP="00B0579D">
      <w:pPr>
        <w:shd w:val="clear" w:color="auto" w:fill="FFFFFF"/>
        <w:spacing w:before="180" w:line="240" w:lineRule="auto"/>
        <w:ind w:left="1134" w:hanging="1134"/>
        <w:rPr>
          <w:rFonts w:eastAsia="Times New Roman" w:cs="Times New Roman"/>
          <w:strike/>
          <w:color w:val="0000FF"/>
          <w:szCs w:val="22"/>
          <w:lang w:eastAsia="en-AU"/>
        </w:rPr>
      </w:pPr>
      <w:r w:rsidRPr="00B0579D">
        <w:rPr>
          <w:rFonts w:eastAsia="Times New Roman" w:cs="Times New Roman"/>
          <w:strike/>
          <w:color w:val="0000FF"/>
          <w:szCs w:val="22"/>
          <w:lang w:eastAsia="en-AU"/>
        </w:rPr>
        <w:t>             (1)  For these rules, where two persons are the principal and the representative in a CDR representative arrangement, the representative is a </w:t>
      </w:r>
      <w:r w:rsidRPr="00B0579D">
        <w:rPr>
          <w:rFonts w:eastAsia="Times New Roman" w:cs="Times New Roman"/>
          <w:b/>
          <w:bCs/>
          <w:i/>
          <w:iCs/>
          <w:strike/>
          <w:color w:val="0000FF"/>
          <w:szCs w:val="22"/>
          <w:lang w:eastAsia="en-AU"/>
        </w:rPr>
        <w:t>CDR representative </w:t>
      </w:r>
      <w:r w:rsidRPr="00B0579D">
        <w:rPr>
          <w:rFonts w:eastAsia="Times New Roman" w:cs="Times New Roman"/>
          <w:strike/>
          <w:color w:val="0000FF"/>
          <w:szCs w:val="22"/>
          <w:lang w:eastAsia="en-AU"/>
        </w:rPr>
        <w:t>of the principal.</w:t>
      </w:r>
    </w:p>
    <w:p w14:paraId="7D8599C9" w14:textId="77777777" w:rsidR="00B0579D" w:rsidRPr="00B0579D" w:rsidRDefault="00B0579D" w:rsidP="00B0579D">
      <w:pPr>
        <w:shd w:val="clear" w:color="auto" w:fill="FFFFFF"/>
        <w:spacing w:before="180" w:line="240" w:lineRule="auto"/>
        <w:ind w:left="1134" w:hanging="1134"/>
        <w:rPr>
          <w:rFonts w:eastAsia="Times New Roman" w:cs="Times New Roman"/>
          <w:strike/>
          <w:color w:val="0000FF"/>
          <w:szCs w:val="22"/>
          <w:lang w:eastAsia="en-AU"/>
        </w:rPr>
      </w:pPr>
      <w:r w:rsidRPr="00B0579D">
        <w:rPr>
          <w:rFonts w:eastAsia="Times New Roman" w:cs="Times New Roman"/>
          <w:strike/>
          <w:color w:val="0000FF"/>
          <w:szCs w:val="22"/>
          <w:lang w:eastAsia="en-AU"/>
        </w:rPr>
        <w:t>             (2)  For these rules, a </w:t>
      </w:r>
      <w:r w:rsidRPr="00B0579D">
        <w:rPr>
          <w:rFonts w:eastAsia="Times New Roman" w:cs="Times New Roman"/>
          <w:b/>
          <w:bCs/>
          <w:i/>
          <w:iCs/>
          <w:strike/>
          <w:color w:val="0000FF"/>
          <w:szCs w:val="22"/>
          <w:lang w:eastAsia="en-AU"/>
        </w:rPr>
        <w:t>CDR representative arrangement</w:t>
      </w:r>
      <w:r w:rsidRPr="00B0579D">
        <w:rPr>
          <w:rFonts w:eastAsia="Times New Roman" w:cs="Times New Roman"/>
          <w:strike/>
          <w:color w:val="0000FF"/>
          <w:szCs w:val="22"/>
          <w:lang w:eastAsia="en-AU"/>
        </w:rPr>
        <w:t> is a written contract between a person with unrestricted accreditation (the </w:t>
      </w:r>
      <w:r w:rsidRPr="00B0579D">
        <w:rPr>
          <w:rFonts w:eastAsia="Times New Roman" w:cs="Times New Roman"/>
          <w:b/>
          <w:bCs/>
          <w:i/>
          <w:iCs/>
          <w:strike/>
          <w:color w:val="0000FF"/>
          <w:szCs w:val="22"/>
          <w:lang w:eastAsia="en-AU"/>
        </w:rPr>
        <w:t>principal</w:t>
      </w:r>
      <w:r w:rsidRPr="00B0579D">
        <w:rPr>
          <w:rFonts w:eastAsia="Times New Roman" w:cs="Times New Roman"/>
          <w:strike/>
          <w:color w:val="0000FF"/>
          <w:szCs w:val="22"/>
          <w:lang w:eastAsia="en-AU"/>
        </w:rPr>
        <w:t>)</w:t>
      </w:r>
      <w:r w:rsidRPr="00B0579D">
        <w:rPr>
          <w:rFonts w:eastAsia="Times New Roman" w:cs="Times New Roman"/>
          <w:b/>
          <w:bCs/>
          <w:i/>
          <w:iCs/>
          <w:strike/>
          <w:color w:val="0000FF"/>
          <w:szCs w:val="22"/>
          <w:lang w:eastAsia="en-AU"/>
        </w:rPr>
        <w:t> </w:t>
      </w:r>
      <w:r w:rsidRPr="00B0579D">
        <w:rPr>
          <w:rFonts w:eastAsia="Times New Roman" w:cs="Times New Roman"/>
          <w:strike/>
          <w:color w:val="0000FF"/>
          <w:szCs w:val="22"/>
          <w:lang w:eastAsia="en-AU"/>
        </w:rPr>
        <w:t>and a person without accreditation (the </w:t>
      </w:r>
      <w:r w:rsidRPr="00B0579D">
        <w:rPr>
          <w:rFonts w:eastAsia="Times New Roman" w:cs="Times New Roman"/>
          <w:b/>
          <w:bCs/>
          <w:i/>
          <w:iCs/>
          <w:strike/>
          <w:color w:val="0000FF"/>
          <w:szCs w:val="22"/>
          <w:lang w:eastAsia="en-AU"/>
        </w:rPr>
        <w:t>representative</w:t>
      </w:r>
      <w:r w:rsidRPr="00B0579D">
        <w:rPr>
          <w:rFonts w:eastAsia="Times New Roman" w:cs="Times New Roman"/>
          <w:strike/>
          <w:color w:val="0000FF"/>
          <w:szCs w:val="22"/>
          <w:lang w:eastAsia="en-AU"/>
        </w:rPr>
        <w:t>) under which:</w:t>
      </w:r>
    </w:p>
    <w:p w14:paraId="0969B3C7"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(a)  where the representative has obtained the consent of a CDR consumer to the collection and use of CDR data in accordance with rule 4.3A:</w:t>
      </w:r>
    </w:p>
    <w:p w14:paraId="3722813B"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(i)  the principal will:</w:t>
      </w:r>
    </w:p>
    <w:p w14:paraId="41C48728"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(A)  make any appropriate consumer data request; and</w:t>
      </w:r>
    </w:p>
    <w:p w14:paraId="2B81D164"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(B)  disclose the relevant CDR data to the representative; and</w:t>
      </w:r>
    </w:p>
    <w:p w14:paraId="2E4AA439"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(ii)  the representative will use the CDR data to provide the relevant goods or services to the CDR consumer; and</w:t>
      </w:r>
    </w:p>
    <w:p w14:paraId="008AEFB5"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(iii)  the representative may disclose the CDR data in accordance with a disclosure consent; and</w:t>
      </w:r>
    </w:p>
    <w:p w14:paraId="6D1AB3CA"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(b)  the representative must not enter into another CDR representative arrangement; and</w:t>
      </w:r>
    </w:p>
    <w:p w14:paraId="34703FB3"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(c)  the representative must not engage a person as the provider in a CDR outsourcing arrangement; and</w:t>
      </w:r>
    </w:p>
    <w:p w14:paraId="51488A05"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(d)  the representative is required to comply with the following requirements in relation to any service data:</w:t>
      </w:r>
    </w:p>
    <w:p w14:paraId="66E3D368"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(i)  in holding, using or disclosing the service data, the representative must comply with:</w:t>
      </w:r>
    </w:p>
    <w:p w14:paraId="4D3224B5"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(A)  section 52EE of the Act (privacy safeguard 2);</w:t>
      </w:r>
    </w:p>
    <w:p w14:paraId="17B70B20"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(B)  section 52EG of the Act (privacy safeguard 4);</w:t>
      </w:r>
    </w:p>
    <w:p w14:paraId="64327628"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(C)  subsection 56EN(2) of the Act (privacy safeguard 11);</w:t>
      </w:r>
    </w:p>
    <w:p w14:paraId="7EEBCAD2"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(D)  section 56EO of the Act (privacy safeguard 12); and</w:t>
      </w:r>
    </w:p>
    <w:p w14:paraId="36D0E8E1"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lastRenderedPageBreak/>
        <w:t>                                         (E)  subsection 56EP(2) of the Act (privacy safeguard 13);</w:t>
      </w:r>
    </w:p>
    <w:p w14:paraId="0782CCB2"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as if it were the principal;</w:t>
      </w:r>
    </w:p>
    <w:p w14:paraId="3FF36AAF"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(ii)  the representative must take the steps in Schedule 2 to protect the service data as if it were the principal; and</w:t>
      </w:r>
    </w:p>
    <w:p w14:paraId="785080E1"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(iii)  the representative must not use or disclose the service data other than in accordance with a contract with the principal;</w:t>
      </w:r>
    </w:p>
    <w:p w14:paraId="436D389D" w14:textId="77777777" w:rsidR="00B0579D" w:rsidRPr="00B0579D" w:rsidRDefault="00B0579D" w:rsidP="00B0579D">
      <w:pPr>
        <w:shd w:val="clear" w:color="auto" w:fill="FFFFFF"/>
        <w:spacing w:before="40" w:line="240" w:lineRule="auto"/>
        <w:ind w:left="2098" w:hanging="2098"/>
        <w:rPr>
          <w:rFonts w:eastAsia="Times New Roman" w:cs="Times New Roman"/>
          <w:strike/>
          <w:color w:val="0000FF"/>
          <w:szCs w:val="22"/>
          <w:lang w:eastAsia="en-AU"/>
        </w:rPr>
      </w:pPr>
      <w:r w:rsidRPr="00B0579D">
        <w:rPr>
          <w:rFonts w:eastAsia="Times New Roman" w:cs="Times New Roman"/>
          <w:strike/>
          <w:color w:val="0000FF"/>
          <w:szCs w:val="22"/>
          <w:lang w:eastAsia="en-AU"/>
        </w:rPr>
        <w:t>                            (iv)  the representative must, when so directed by the principal, do any of the following:</w:t>
      </w:r>
    </w:p>
    <w:p w14:paraId="5021C90F"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(A)  delete any service data that it holds in accordance with the CDR data deletion process;</w:t>
      </w:r>
    </w:p>
    <w:p w14:paraId="3B2B1F1D" w14:textId="77777777" w:rsidR="00B0579D" w:rsidRPr="00B0579D" w:rsidRDefault="00B0579D" w:rsidP="00B0579D">
      <w:pPr>
        <w:shd w:val="clear" w:color="auto" w:fill="FFFFFF"/>
        <w:spacing w:before="40" w:line="240" w:lineRule="auto"/>
        <w:ind w:left="2835" w:hanging="2835"/>
        <w:rPr>
          <w:rFonts w:eastAsia="Times New Roman" w:cs="Times New Roman"/>
          <w:strike/>
          <w:color w:val="0000FF"/>
          <w:szCs w:val="22"/>
          <w:lang w:eastAsia="en-AU"/>
        </w:rPr>
      </w:pPr>
      <w:r w:rsidRPr="00B0579D">
        <w:rPr>
          <w:rFonts w:eastAsia="Times New Roman" w:cs="Times New Roman"/>
          <w:strike/>
          <w:color w:val="0000FF"/>
          <w:szCs w:val="22"/>
          <w:lang w:eastAsia="en-AU"/>
        </w:rPr>
        <w:t>                                        (B)  provide, to the principal, records of any deletion that are required to be made under the CDR data deletion process; and</w:t>
      </w:r>
    </w:p>
    <w:p w14:paraId="00556D23"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(e)  the representative is required to adopt and comply with the principal’s CDR policy in relation to the service data; and</w:t>
      </w:r>
    </w:p>
    <w:p w14:paraId="684883C5"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(f)  the representative is required to comply with sections 56EK and 56EL of the Act (Privacy safeguards 8 and 9) as if it were an accredited data recipient; and</w:t>
      </w:r>
    </w:p>
    <w:p w14:paraId="40F41547"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(g)  the provisions of the arrangement for the purposes of paragraph (a) do not operate unless the details of the representative have been entered on the Register of Accredited Persons.</w:t>
      </w:r>
    </w:p>
    <w:p w14:paraId="6EE11E8E" w14:textId="77777777" w:rsidR="00B0579D" w:rsidRPr="00B0579D" w:rsidRDefault="00B0579D" w:rsidP="00B0579D">
      <w:pPr>
        <w:shd w:val="clear" w:color="auto" w:fill="FFFFFF"/>
        <w:spacing w:before="122" w:line="240" w:lineRule="auto"/>
        <w:ind w:left="1985" w:hanging="851"/>
        <w:rPr>
          <w:rFonts w:eastAsia="Times New Roman" w:cs="Times New Roman"/>
          <w:strike/>
          <w:color w:val="0000FF"/>
          <w:sz w:val="18"/>
          <w:szCs w:val="18"/>
          <w:lang w:eastAsia="en-AU"/>
        </w:rPr>
      </w:pPr>
      <w:r w:rsidRPr="00B0579D">
        <w:rPr>
          <w:rFonts w:eastAsia="Times New Roman" w:cs="Times New Roman"/>
          <w:strike/>
          <w:color w:val="0000FF"/>
          <w:sz w:val="18"/>
          <w:szCs w:val="18"/>
          <w:lang w:eastAsia="en-AU"/>
        </w:rPr>
        <w:t>Note:          See rule 1.18 for the definition of “CDR data deletion process”.</w:t>
      </w:r>
    </w:p>
    <w:p w14:paraId="4D5E1EA7" w14:textId="77777777" w:rsidR="00B0579D" w:rsidRPr="00B0579D" w:rsidRDefault="00B0579D" w:rsidP="00B0579D">
      <w:pPr>
        <w:shd w:val="clear" w:color="auto" w:fill="FFFFFF"/>
        <w:spacing w:before="180" w:line="240" w:lineRule="auto"/>
        <w:ind w:left="1134" w:hanging="1134"/>
        <w:rPr>
          <w:rFonts w:eastAsia="Times New Roman" w:cs="Times New Roman"/>
          <w:strike/>
          <w:color w:val="0000FF"/>
          <w:szCs w:val="22"/>
          <w:lang w:eastAsia="en-AU"/>
        </w:rPr>
      </w:pPr>
      <w:r w:rsidRPr="00B0579D">
        <w:rPr>
          <w:rFonts w:eastAsia="Times New Roman" w:cs="Times New Roman"/>
          <w:strike/>
          <w:color w:val="0000FF"/>
          <w:szCs w:val="22"/>
          <w:lang w:eastAsia="en-AU"/>
        </w:rPr>
        <w:t>             (3)  For these rules, the </w:t>
      </w:r>
      <w:r w:rsidRPr="00B0579D">
        <w:rPr>
          <w:rFonts w:eastAsia="Times New Roman" w:cs="Times New Roman"/>
          <w:b/>
          <w:bCs/>
          <w:i/>
          <w:iCs/>
          <w:strike/>
          <w:color w:val="0000FF"/>
          <w:szCs w:val="22"/>
          <w:lang w:eastAsia="en-AU"/>
        </w:rPr>
        <w:t>service data </w:t>
      </w:r>
      <w:r w:rsidRPr="00B0579D">
        <w:rPr>
          <w:rFonts w:eastAsia="Times New Roman" w:cs="Times New Roman"/>
          <w:strike/>
          <w:color w:val="0000FF"/>
          <w:szCs w:val="22"/>
          <w:lang w:eastAsia="en-AU"/>
        </w:rPr>
        <w:t>in relation to a CDR representative arrangement consists of any CDR data that:</w:t>
      </w:r>
    </w:p>
    <w:p w14:paraId="2ECACA41"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(a)  was disclosed to the CDR representative for the purposes of the arrangement; or</w:t>
      </w:r>
    </w:p>
    <w:p w14:paraId="34BDF46F" w14:textId="77777777" w:rsidR="00B0579D" w:rsidRPr="00B0579D" w:rsidRDefault="00B0579D" w:rsidP="00B0579D">
      <w:pPr>
        <w:shd w:val="clear" w:color="auto" w:fill="FFFFFF"/>
        <w:spacing w:before="40" w:line="240" w:lineRule="auto"/>
        <w:ind w:left="1644" w:hanging="1644"/>
        <w:rPr>
          <w:rFonts w:eastAsia="Times New Roman" w:cs="Times New Roman"/>
          <w:strike/>
          <w:color w:val="0000FF"/>
          <w:szCs w:val="22"/>
          <w:lang w:eastAsia="en-AU"/>
        </w:rPr>
      </w:pPr>
      <w:r w:rsidRPr="00B0579D">
        <w:rPr>
          <w:rFonts w:eastAsia="Times New Roman" w:cs="Times New Roman"/>
          <w:strike/>
          <w:color w:val="0000FF"/>
          <w:szCs w:val="22"/>
          <w:lang w:eastAsia="en-AU"/>
        </w:rPr>
        <w:t>                     (b)  directly or indirectly derives from such CDR data.</w:t>
      </w:r>
    </w:p>
    <w:p w14:paraId="76571179" w14:textId="77777777" w:rsidR="00BB7660" w:rsidRDefault="00BB7660" w:rsidP="00BB7660">
      <w:pPr>
        <w:pStyle w:val="ActHead5"/>
      </w:pPr>
      <w:bookmarkStart w:id="36" w:name="_Toc111131974"/>
      <w:r w:rsidRPr="00BB7AC8">
        <w:t>1.10A  Types of consents</w:t>
      </w:r>
      <w:bookmarkEnd w:id="33"/>
      <w:bookmarkEnd w:id="34"/>
      <w:bookmarkEnd w:id="36"/>
    </w:p>
    <w:p w14:paraId="05465648" w14:textId="77777777" w:rsidR="00BB7660" w:rsidRPr="00E649F5" w:rsidRDefault="00BB7660" w:rsidP="00BB7660">
      <w:pPr>
        <w:pStyle w:val="subsection"/>
        <w:keepNext/>
      </w:pPr>
      <w:r w:rsidRPr="00E649F5">
        <w:tab/>
        <w:t>(1)</w:t>
      </w:r>
      <w:r w:rsidRPr="00E649F5">
        <w:tab/>
        <w:t>For these rules:</w:t>
      </w:r>
    </w:p>
    <w:p w14:paraId="7668BD6D" w14:textId="77777777" w:rsidR="00BB7660" w:rsidRPr="00BB7AC8" w:rsidRDefault="00BB7660" w:rsidP="00BB7660">
      <w:pPr>
        <w:pStyle w:val="paragraph"/>
      </w:pPr>
      <w:r w:rsidRPr="00BB7AC8">
        <w:rPr>
          <w:b/>
          <w:i/>
        </w:rPr>
        <w:tab/>
      </w:r>
      <w:r w:rsidRPr="00BB7AC8">
        <w:t>(a)</w:t>
      </w:r>
      <w:r w:rsidRPr="00BB7AC8">
        <w:tab/>
        <w:t xml:space="preserve">a </w:t>
      </w:r>
      <w:r w:rsidRPr="00BB7AC8">
        <w:rPr>
          <w:b/>
          <w:i/>
        </w:rPr>
        <w:t xml:space="preserve">collection consent </w:t>
      </w:r>
      <w:r w:rsidRPr="00BB7AC8">
        <w:t>is a consent given by a CDR consumer under these rules for an accredited person to</w:t>
      </w:r>
      <w:r>
        <w:t xml:space="preserve"> </w:t>
      </w:r>
      <w:r w:rsidRPr="00BB7AC8">
        <w:t>collect particular CDR data from a CDR participant for that CDR data; and</w:t>
      </w:r>
    </w:p>
    <w:p w14:paraId="2B38046C" w14:textId="77777777" w:rsidR="00BB7660" w:rsidRPr="00BB7AC8" w:rsidRDefault="00BB7660" w:rsidP="00BB7660">
      <w:pPr>
        <w:pStyle w:val="paragraph"/>
      </w:pPr>
      <w:r w:rsidRPr="00BB7AC8">
        <w:rPr>
          <w:b/>
          <w:i/>
        </w:rPr>
        <w:tab/>
      </w:r>
      <w:r w:rsidRPr="00BB7AC8">
        <w:t>(b)</w:t>
      </w:r>
      <w:r w:rsidRPr="00BB7AC8">
        <w:rPr>
          <w:b/>
          <w:i/>
        </w:rPr>
        <w:tab/>
      </w:r>
      <w:r w:rsidRPr="00BB7AC8">
        <w:t>a</w:t>
      </w:r>
      <w:r w:rsidRPr="00BB7AC8">
        <w:rPr>
          <w:b/>
          <w:i/>
        </w:rPr>
        <w:t xml:space="preserve"> use consent </w:t>
      </w:r>
      <w:r w:rsidRPr="00BB7AC8">
        <w:t>is a consent given by a CDR consumer under these rules for an accredited data recipient of particular CDR data to use that CDR data in a particular way; and</w:t>
      </w:r>
    </w:p>
    <w:p w14:paraId="1F0E6699" w14:textId="77777777" w:rsidR="00BB7660" w:rsidRPr="00BB7AC8" w:rsidRDefault="00BB7660" w:rsidP="00BB7660">
      <w:pPr>
        <w:pStyle w:val="paragraph"/>
      </w:pPr>
      <w:r w:rsidRPr="00BB7AC8">
        <w:rPr>
          <w:b/>
          <w:i/>
        </w:rPr>
        <w:tab/>
      </w:r>
      <w:r w:rsidRPr="00BB7AC8">
        <w:t>(c)</w:t>
      </w:r>
      <w:r w:rsidRPr="00BB7AC8">
        <w:tab/>
        <w:t xml:space="preserve">a </w:t>
      </w:r>
      <w:r w:rsidRPr="00BB7AC8">
        <w:rPr>
          <w:b/>
          <w:i/>
        </w:rPr>
        <w:t xml:space="preserve">disclosure consent </w:t>
      </w:r>
      <w:r w:rsidRPr="00BB7AC8">
        <w:t>is a</w:t>
      </w:r>
      <w:r>
        <w:t xml:space="preserve"> </w:t>
      </w:r>
      <w:r w:rsidRPr="00BB7AC8">
        <w:t>consent given by a CDR consumer under these rules for an accredited data recipient of particular CDR data to disclose that CDR data:</w:t>
      </w:r>
    </w:p>
    <w:p w14:paraId="0682BA60" w14:textId="77777777" w:rsidR="00BB7660" w:rsidRPr="00BB7AC8" w:rsidRDefault="00BB7660" w:rsidP="00BB7660">
      <w:pPr>
        <w:pStyle w:val="paragraphsub"/>
      </w:pPr>
      <w:r w:rsidRPr="00BB7AC8">
        <w:tab/>
        <w:t>(i)</w:t>
      </w:r>
      <w:r w:rsidRPr="00BB7AC8">
        <w:tab/>
        <w:t xml:space="preserve">to an accredited person in response to a consumer data request (an </w:t>
      </w:r>
      <w:r w:rsidRPr="00BB7AC8">
        <w:rPr>
          <w:b/>
          <w:i/>
        </w:rPr>
        <w:t>AP disclosure consent</w:t>
      </w:r>
      <w:r w:rsidRPr="00BB7AC8">
        <w:t>); or</w:t>
      </w:r>
    </w:p>
    <w:p w14:paraId="6034B097" w14:textId="77777777" w:rsidR="00BB7660" w:rsidRPr="00A00F6F" w:rsidRDefault="00BB7660" w:rsidP="00BB7660">
      <w:pPr>
        <w:pStyle w:val="paragraphsub"/>
      </w:pPr>
      <w:r w:rsidRPr="00B61E66">
        <w:tab/>
      </w:r>
      <w:r w:rsidRPr="00450982">
        <w:t>(ii)</w:t>
      </w:r>
      <w:r w:rsidRPr="00450982">
        <w:tab/>
        <w:t>to an</w:t>
      </w:r>
      <w:r w:rsidRPr="00B61E66">
        <w:t xml:space="preserve"> accredited person for the purposes of direct marketing;</w:t>
      </w:r>
      <w:r w:rsidRPr="00A00F6F">
        <w:t xml:space="preserve"> or</w:t>
      </w:r>
    </w:p>
    <w:p w14:paraId="60678824" w14:textId="77777777" w:rsidR="00BB7660" w:rsidRPr="00380CD1" w:rsidRDefault="00BB7660" w:rsidP="00BB7660">
      <w:pPr>
        <w:pStyle w:val="paragraphsub"/>
      </w:pPr>
      <w:r w:rsidRPr="00380CD1">
        <w:tab/>
        <w:t>(iii)</w:t>
      </w:r>
      <w:r w:rsidRPr="00380CD1">
        <w:tab/>
        <w:t xml:space="preserve">to a trusted adviser of the CDR consumer (a </w:t>
      </w:r>
      <w:r w:rsidRPr="00D71CAB">
        <w:rPr>
          <w:b/>
          <w:i/>
        </w:rPr>
        <w:t>TA disclosure consent</w:t>
      </w:r>
      <w:r w:rsidRPr="00380CD1">
        <w:t>); or</w:t>
      </w:r>
    </w:p>
    <w:p w14:paraId="7EDEAD82" w14:textId="77777777" w:rsidR="00BB7660" w:rsidRPr="004A04A4" w:rsidRDefault="00BB7660" w:rsidP="00BB7660">
      <w:pPr>
        <w:pStyle w:val="paragraphsub"/>
        <w:rPr>
          <w:color w:val="0000FF"/>
        </w:rPr>
      </w:pPr>
      <w:r w:rsidRPr="00F84E2D">
        <w:tab/>
        <w:t>(iv)</w:t>
      </w:r>
      <w:r w:rsidRPr="00F84E2D">
        <w:tab/>
        <w:t>to a specified person in accordance with an insight disclosure consent;</w:t>
      </w:r>
      <w:r w:rsidR="005167D5">
        <w:t xml:space="preserve"> </w:t>
      </w:r>
      <w:r w:rsidR="005167D5" w:rsidRPr="005167D5">
        <w:rPr>
          <w:color w:val="0000FF"/>
        </w:rPr>
        <w:t>or</w:t>
      </w:r>
      <w:r w:rsidR="005167D5" w:rsidRPr="005167D5">
        <w:rPr>
          <w:strike/>
          <w:color w:val="0000FF"/>
        </w:rPr>
        <w:t xml:space="preserve"> and</w:t>
      </w:r>
    </w:p>
    <w:p w14:paraId="3FB34BAA" w14:textId="77777777" w:rsidR="00BB7660" w:rsidRPr="004A04A4" w:rsidRDefault="00BB7660" w:rsidP="00BB7660">
      <w:pPr>
        <w:pStyle w:val="paragraphsub"/>
        <w:rPr>
          <w:color w:val="0000FF"/>
        </w:rPr>
      </w:pPr>
      <w:r w:rsidRPr="004A04A4">
        <w:rPr>
          <w:color w:val="0000FF"/>
        </w:rPr>
        <w:lastRenderedPageBreak/>
        <w:tab/>
        <w:t>(v)</w:t>
      </w:r>
      <w:r w:rsidRPr="004A04A4">
        <w:rPr>
          <w:color w:val="0000FF"/>
        </w:rPr>
        <w:tab/>
        <w:t xml:space="preserve">to a </w:t>
      </w:r>
      <w:r w:rsidRPr="002C25BB">
        <w:rPr>
          <w:color w:val="0000FF"/>
        </w:rPr>
        <w:t>specified person in</w:t>
      </w:r>
      <w:r w:rsidRPr="004A04A4">
        <w:rPr>
          <w:color w:val="0000FF"/>
        </w:rPr>
        <w:t xml:space="preserve"> accordance with a business consumer disclosure consent; and</w:t>
      </w:r>
    </w:p>
    <w:p w14:paraId="5C6A80EA" w14:textId="77777777" w:rsidR="00BB7660" w:rsidRPr="00B61E66" w:rsidRDefault="00BB7660" w:rsidP="00BB7660">
      <w:pPr>
        <w:pStyle w:val="paragraph"/>
      </w:pPr>
      <w:r w:rsidRPr="00B61E66">
        <w:tab/>
        <w:t>(d)</w:t>
      </w:r>
      <w:r w:rsidRPr="00B61E66">
        <w:tab/>
        <w:t xml:space="preserve">a </w:t>
      </w:r>
      <w:r w:rsidRPr="00B61E66">
        <w:rPr>
          <w:b/>
          <w:bCs/>
          <w:i/>
          <w:iCs/>
        </w:rPr>
        <w:t>direct marketing consent</w:t>
      </w:r>
      <w:r w:rsidRPr="00B61E66">
        <w:t xml:space="preserve"> is a consent given by a CDR consumer under these rules for an accredited data recipient of particular CDR data to use or disclose the CDR data for the purposes of direct marketing; and</w:t>
      </w:r>
    </w:p>
    <w:p w14:paraId="7CE067C5" w14:textId="77777777" w:rsidR="00BB7660" w:rsidRPr="00B61E66" w:rsidRDefault="00BB7660" w:rsidP="00BB7660">
      <w:pPr>
        <w:pStyle w:val="paragraph"/>
      </w:pPr>
      <w:r w:rsidRPr="00B61E66">
        <w:tab/>
        <w:t>(e)</w:t>
      </w:r>
      <w:r w:rsidRPr="00B61E66">
        <w:tab/>
        <w:t xml:space="preserve">a </w:t>
      </w:r>
      <w:r w:rsidRPr="00A32529">
        <w:rPr>
          <w:b/>
          <w:bCs/>
          <w:i/>
          <w:iCs/>
        </w:rPr>
        <w:t>de-identification consent</w:t>
      </w:r>
      <w:r w:rsidRPr="00B61E66">
        <w:t xml:space="preserve"> is a</w:t>
      </w:r>
      <w:r>
        <w:t xml:space="preserve"> </w:t>
      </w:r>
      <w:r w:rsidRPr="00B61E66">
        <w:t>consent given by a CDR consumer under these rules for an accredited data recipient of particular CDR data to de</w:t>
      </w:r>
      <w:r w:rsidRPr="00B61E66">
        <w:noBreakHyphen/>
        <w:t>identify some or all of the collected CDR data and</w:t>
      </w:r>
      <w:r>
        <w:t xml:space="preserve"> </w:t>
      </w:r>
      <w:r w:rsidRPr="00A32529">
        <w:t>do either or both of the following</w:t>
      </w:r>
      <w:r w:rsidRPr="00B61E66">
        <w:t>:</w:t>
      </w:r>
    </w:p>
    <w:p w14:paraId="47F9FDCE" w14:textId="77777777" w:rsidR="00BB7660" w:rsidRPr="00D94CDD" w:rsidRDefault="00BB7660" w:rsidP="00BB7660">
      <w:pPr>
        <w:pStyle w:val="paragraphsub"/>
      </w:pPr>
      <w:r w:rsidRPr="00B61E66">
        <w:tab/>
        <w:t>(i)</w:t>
      </w:r>
      <w:r w:rsidRPr="00B61E66">
        <w:tab/>
        <w:t xml:space="preserve">use the de-identified </w:t>
      </w:r>
      <w:r w:rsidRPr="00D94CDD">
        <w:t>data for general research;</w:t>
      </w:r>
    </w:p>
    <w:p w14:paraId="5C8AB0CF" w14:textId="77777777" w:rsidR="00BB7660" w:rsidRPr="00D94CDD" w:rsidRDefault="00BB7660" w:rsidP="00BB7660">
      <w:pPr>
        <w:pStyle w:val="paragraphsub"/>
      </w:pPr>
      <w:r w:rsidRPr="00D94CDD">
        <w:tab/>
        <w:t>(ii)</w:t>
      </w:r>
      <w:r w:rsidRPr="00D94CDD">
        <w:tab/>
        <w:t>disclose (including by selling) the de</w:t>
      </w:r>
      <w:r w:rsidRPr="00D94CDD">
        <w:noBreakHyphen/>
        <w:t>identified data.</w:t>
      </w:r>
    </w:p>
    <w:p w14:paraId="4FADE165" w14:textId="77777777" w:rsidR="00BB7660" w:rsidRPr="00BB7AC8" w:rsidRDefault="00BB7660" w:rsidP="00BB7660">
      <w:pPr>
        <w:pStyle w:val="subsection"/>
      </w:pPr>
      <w:r w:rsidRPr="00D94CDD">
        <w:tab/>
        <w:t>(2)</w:t>
      </w:r>
      <w:r w:rsidRPr="00D94CDD">
        <w:tab/>
        <w:t>For these rules, each of the following</w:t>
      </w:r>
      <w:r w:rsidRPr="00BB7AC8">
        <w:t xml:space="preserve"> is a </w:t>
      </w:r>
      <w:r w:rsidRPr="00BB7AC8">
        <w:rPr>
          <w:b/>
          <w:i/>
        </w:rPr>
        <w:t xml:space="preserve">category </w:t>
      </w:r>
      <w:r w:rsidRPr="00BB7AC8">
        <w:t>of consents:</w:t>
      </w:r>
    </w:p>
    <w:p w14:paraId="5CACC49E" w14:textId="77777777" w:rsidR="00BB7660" w:rsidRPr="00BB7AC8" w:rsidRDefault="00BB7660" w:rsidP="00BB7660">
      <w:pPr>
        <w:pStyle w:val="paragraph"/>
      </w:pPr>
      <w:r w:rsidRPr="00BB7AC8">
        <w:tab/>
        <w:t>(a)</w:t>
      </w:r>
      <w:r w:rsidRPr="00BB7AC8">
        <w:tab/>
        <w:t>collection consents;</w:t>
      </w:r>
    </w:p>
    <w:p w14:paraId="6AFFD4F0" w14:textId="77777777" w:rsidR="00BB7660" w:rsidRPr="00BB7AC8" w:rsidRDefault="00BB7660" w:rsidP="00BB7660">
      <w:pPr>
        <w:pStyle w:val="paragraph"/>
      </w:pPr>
      <w:r w:rsidRPr="00BB7AC8">
        <w:tab/>
        <w:t>(b)</w:t>
      </w:r>
      <w:r w:rsidRPr="00BB7AC8">
        <w:tab/>
        <w:t>use consents relating to the goods or services requested by the CDR consumer;</w:t>
      </w:r>
    </w:p>
    <w:p w14:paraId="7398D878" w14:textId="77777777" w:rsidR="00BB7660" w:rsidRPr="00B61E66" w:rsidRDefault="00BB7660" w:rsidP="00BB7660">
      <w:pPr>
        <w:pStyle w:val="paragraph"/>
      </w:pPr>
      <w:bookmarkStart w:id="37" w:name="_Toc57218974"/>
      <w:r w:rsidRPr="00B61E66">
        <w:tab/>
        <w:t>(c)</w:t>
      </w:r>
      <w:r w:rsidRPr="00B61E66">
        <w:tab/>
        <w:t>direct marketing consents;</w:t>
      </w:r>
    </w:p>
    <w:p w14:paraId="49B57957" w14:textId="77777777" w:rsidR="00BB7660" w:rsidRPr="00B61E66" w:rsidRDefault="00BB7660" w:rsidP="00BB7660">
      <w:pPr>
        <w:pStyle w:val="paragraph"/>
        <w:tabs>
          <w:tab w:val="left" w:pos="2160"/>
          <w:tab w:val="left" w:pos="2880"/>
          <w:tab w:val="left" w:pos="3600"/>
          <w:tab w:val="left" w:pos="5325"/>
        </w:tabs>
      </w:pPr>
      <w:r w:rsidRPr="00B61E66">
        <w:tab/>
        <w:t>(d)</w:t>
      </w:r>
      <w:r w:rsidRPr="00B61E66">
        <w:tab/>
      </w:r>
      <w:r w:rsidRPr="00A32529">
        <w:t>de</w:t>
      </w:r>
      <w:r w:rsidRPr="00A32529">
        <w:noBreakHyphen/>
        <w:t>identification consents</w:t>
      </w:r>
      <w:r w:rsidRPr="00B61E66">
        <w:t>;</w:t>
      </w:r>
      <w:r>
        <w:tab/>
      </w:r>
    </w:p>
    <w:p w14:paraId="51FCE149" w14:textId="77777777" w:rsidR="00BB7660" w:rsidRPr="00A00F6F" w:rsidRDefault="00BB7660" w:rsidP="00BB7660">
      <w:pPr>
        <w:pStyle w:val="paragraph"/>
      </w:pPr>
      <w:r w:rsidRPr="00B61E66">
        <w:tab/>
        <w:t>(e)</w:t>
      </w:r>
      <w:r w:rsidRPr="00B61E66">
        <w:tab/>
        <w:t xml:space="preserve">AP disclosure </w:t>
      </w:r>
      <w:r w:rsidRPr="00450982">
        <w:t>consents</w:t>
      </w:r>
      <w:r w:rsidRPr="00A00F6F">
        <w:t>;</w:t>
      </w:r>
    </w:p>
    <w:p w14:paraId="6D5B8FD3" w14:textId="77777777" w:rsidR="00BB7660" w:rsidRPr="00A00F6F" w:rsidRDefault="00BB7660" w:rsidP="00BB7660">
      <w:pPr>
        <w:pStyle w:val="paragraph"/>
      </w:pPr>
      <w:r w:rsidRPr="00A00F6F">
        <w:tab/>
        <w:t>(f)</w:t>
      </w:r>
      <w:r w:rsidRPr="00A00F6F">
        <w:tab/>
        <w:t>TA disclosure consents;</w:t>
      </w:r>
    </w:p>
    <w:p w14:paraId="6CA9777A" w14:textId="77777777" w:rsidR="00BB7660" w:rsidRPr="005D541E" w:rsidRDefault="00BB7660" w:rsidP="00BB7660">
      <w:pPr>
        <w:pStyle w:val="paragraph"/>
        <w:rPr>
          <w:color w:val="0000FF"/>
        </w:rPr>
      </w:pPr>
      <w:r w:rsidRPr="00A00F6F">
        <w:tab/>
        <w:t>(g)</w:t>
      </w:r>
      <w:r w:rsidRPr="00A00F6F">
        <w:tab/>
        <w:t>insight disclosure consents</w:t>
      </w:r>
      <w:r w:rsidRPr="005D541E">
        <w:rPr>
          <w:color w:val="0000FF"/>
        </w:rPr>
        <w:t>;</w:t>
      </w:r>
    </w:p>
    <w:p w14:paraId="3C597DD4" w14:textId="77777777" w:rsidR="00BB7660" w:rsidRPr="00E649F5" w:rsidRDefault="00BB7660" w:rsidP="00BB7660">
      <w:pPr>
        <w:pStyle w:val="paragraph"/>
      </w:pPr>
      <w:r w:rsidRPr="002C25BB">
        <w:rPr>
          <w:color w:val="0000FF"/>
        </w:rPr>
        <w:tab/>
        <w:t xml:space="preserve">(h) </w:t>
      </w:r>
      <w:r w:rsidRPr="002C25BB">
        <w:rPr>
          <w:color w:val="0000FF"/>
        </w:rPr>
        <w:tab/>
        <w:t>business consumer disclosure consents</w:t>
      </w:r>
      <w:r w:rsidRPr="00E649F5">
        <w:t>.</w:t>
      </w:r>
      <w:bookmarkEnd w:id="37"/>
    </w:p>
    <w:p w14:paraId="503D0741" w14:textId="77777777" w:rsidR="00BB7660" w:rsidRPr="004A04A4" w:rsidRDefault="00BB7660" w:rsidP="00BB7660">
      <w:pPr>
        <w:pStyle w:val="SubsectionHead"/>
        <w:rPr>
          <w:color w:val="0000FF"/>
        </w:rPr>
      </w:pPr>
      <w:r w:rsidRPr="004A04A4">
        <w:rPr>
          <w:color w:val="0000FF"/>
        </w:rPr>
        <w:t>Insight disclosure consents</w:t>
      </w:r>
    </w:p>
    <w:p w14:paraId="504C2F44" w14:textId="77777777" w:rsidR="00BB7660" w:rsidRPr="00A00F6F" w:rsidRDefault="00BB7660" w:rsidP="00BB7660">
      <w:pPr>
        <w:pStyle w:val="subsection"/>
      </w:pPr>
      <w:r w:rsidRPr="00A00F6F">
        <w:tab/>
        <w:t>(3)</w:t>
      </w:r>
      <w:r w:rsidRPr="00A00F6F">
        <w:tab/>
        <w:t xml:space="preserve">For these rules, an </w:t>
      </w:r>
      <w:r w:rsidRPr="00A00F6F">
        <w:rPr>
          <w:b/>
          <w:i/>
        </w:rPr>
        <w:t>insight disclosure consent</w:t>
      </w:r>
      <w:r w:rsidRPr="00A00F6F">
        <w:t xml:space="preserve"> in relation to particular CDR data of a CDR consumer held by an accredited data recipient is a consent given by the CDR consumer under these rules that:</w:t>
      </w:r>
    </w:p>
    <w:p w14:paraId="15BE17B3" w14:textId="77777777" w:rsidR="00BB7660" w:rsidRPr="00A00F6F" w:rsidRDefault="00BB7660" w:rsidP="00BB7660">
      <w:pPr>
        <w:pStyle w:val="paragraph"/>
      </w:pPr>
      <w:r w:rsidRPr="00A00F6F">
        <w:tab/>
        <w:t>(a)</w:t>
      </w:r>
      <w:r w:rsidRPr="00A00F6F">
        <w:tab/>
        <w:t xml:space="preserve">authorises the accredited data recipient to disclose the CDR data to a specified person for one or more of the following purposes: </w:t>
      </w:r>
    </w:p>
    <w:p w14:paraId="389FF942" w14:textId="77777777" w:rsidR="00BB7660" w:rsidRPr="00A00F6F" w:rsidRDefault="00BB7660" w:rsidP="00BB7660">
      <w:pPr>
        <w:pStyle w:val="paragraphsub"/>
      </w:pPr>
      <w:r w:rsidRPr="00A00F6F">
        <w:tab/>
        <w:t>(i)</w:t>
      </w:r>
      <w:r w:rsidRPr="00A00F6F">
        <w:tab/>
        <w:t xml:space="preserve">verifying the consumer’s identity; </w:t>
      </w:r>
    </w:p>
    <w:p w14:paraId="6C2A1A89" w14:textId="77777777" w:rsidR="00BB7660" w:rsidRPr="00A00F6F" w:rsidRDefault="00BB7660" w:rsidP="00BB7660">
      <w:pPr>
        <w:pStyle w:val="paragraphsub"/>
      </w:pPr>
      <w:r w:rsidRPr="00A00F6F">
        <w:tab/>
        <w:t>(ii)</w:t>
      </w:r>
      <w:r w:rsidRPr="00A00F6F">
        <w:tab/>
        <w:t xml:space="preserve">verifying the consumer’s account balance; </w:t>
      </w:r>
    </w:p>
    <w:p w14:paraId="2648F780" w14:textId="77777777" w:rsidR="00BB7660" w:rsidRPr="00A00F6F" w:rsidRDefault="00BB7660" w:rsidP="00BB7660">
      <w:pPr>
        <w:pStyle w:val="paragraphsub"/>
      </w:pPr>
      <w:r w:rsidRPr="00A00F6F">
        <w:tab/>
        <w:t>(iii)</w:t>
      </w:r>
      <w:r w:rsidRPr="00A00F6F">
        <w:tab/>
        <w:t>verifying the details of credits to or debits from the consumer’s accounts; but</w:t>
      </w:r>
    </w:p>
    <w:p w14:paraId="584BBB8C" w14:textId="77777777" w:rsidR="00BB7660" w:rsidRPr="00A00F6F" w:rsidRDefault="00BB7660" w:rsidP="00BB7660">
      <w:pPr>
        <w:pStyle w:val="paragraph"/>
      </w:pPr>
      <w:r w:rsidRPr="00A00F6F">
        <w:tab/>
        <w:t>(b)</w:t>
      </w:r>
      <w:r w:rsidRPr="00A00F6F">
        <w:tab/>
        <w:t>where the CDR data relates to more than one transaction—does not authorise the accredited data recipient to disclose an amount or date in relation to any individual transaction.</w:t>
      </w:r>
    </w:p>
    <w:p w14:paraId="6C66BFBA" w14:textId="77777777" w:rsidR="00BB7660" w:rsidRPr="00A00F6F" w:rsidRDefault="00BB7660" w:rsidP="00BB7660">
      <w:pPr>
        <w:pStyle w:val="SubsectionHead"/>
      </w:pPr>
      <w:r w:rsidRPr="00A00F6F">
        <w:t>Consents in relation to CDR representatives</w:t>
      </w:r>
    </w:p>
    <w:p w14:paraId="3CD6228E" w14:textId="77777777" w:rsidR="00BB7660" w:rsidRPr="00A00F6F" w:rsidRDefault="00BB7660" w:rsidP="00BB7660">
      <w:pPr>
        <w:pStyle w:val="subsection"/>
      </w:pPr>
      <w:r w:rsidRPr="00A00F6F">
        <w:tab/>
        <w:t>(4)</w:t>
      </w:r>
      <w:r w:rsidRPr="00A00F6F">
        <w:tab/>
        <w:t xml:space="preserve">For an accredited person with a CDR representative, a consent given by a CDR consumer under these rules to the CDR representative for the accredited person to collect particular CDR data from a CDR participant for that CDR data and disclose it to the CDR representative is also a </w:t>
      </w:r>
      <w:r w:rsidRPr="00A00F6F">
        <w:rPr>
          <w:b/>
          <w:i/>
        </w:rPr>
        <w:t>collection consent</w:t>
      </w:r>
      <w:r w:rsidRPr="00A00F6F">
        <w:t xml:space="preserve">. </w:t>
      </w:r>
    </w:p>
    <w:p w14:paraId="7DF86F48" w14:textId="77777777" w:rsidR="00BB7660" w:rsidRPr="00A00F6F" w:rsidRDefault="00BB7660" w:rsidP="00BB7660">
      <w:pPr>
        <w:pStyle w:val="subsection"/>
      </w:pPr>
      <w:r w:rsidRPr="00A00F6F">
        <w:tab/>
        <w:t>(5)</w:t>
      </w:r>
      <w:r w:rsidRPr="00A00F6F">
        <w:tab/>
        <w:t>In this rule, a reference to an accredited data recipient of particular CDR data includes a reference to a CDR representative that holds the CDR data as service data.</w:t>
      </w:r>
    </w:p>
    <w:p w14:paraId="3ED22B38" w14:textId="77777777" w:rsidR="0085262B" w:rsidRPr="00E649F5" w:rsidRDefault="0085262B" w:rsidP="0085262B">
      <w:pPr>
        <w:pStyle w:val="SubsectionHead"/>
        <w:rPr>
          <w:strike/>
          <w:color w:val="0000FF"/>
        </w:rPr>
      </w:pPr>
      <w:bookmarkStart w:id="38" w:name="_Hlk111117925"/>
      <w:r w:rsidRPr="00E649F5">
        <w:rPr>
          <w:color w:val="0000FF"/>
        </w:rPr>
        <w:lastRenderedPageBreak/>
        <w:t>CDR business consumers</w:t>
      </w:r>
    </w:p>
    <w:p w14:paraId="1FD0EC2C" w14:textId="77777777" w:rsidR="0085262B" w:rsidRPr="00E649F5" w:rsidRDefault="0085262B" w:rsidP="0085262B">
      <w:pPr>
        <w:pStyle w:val="subsection"/>
        <w:rPr>
          <w:color w:val="0000FF"/>
        </w:rPr>
      </w:pPr>
      <w:r w:rsidRPr="00E649F5">
        <w:rPr>
          <w:color w:val="0000FF"/>
        </w:rPr>
        <w:tab/>
        <w:t>(6)</w:t>
      </w:r>
      <w:r w:rsidRPr="00E649F5">
        <w:rPr>
          <w:color w:val="0000FF"/>
        </w:rPr>
        <w:tab/>
        <w:t xml:space="preserve">For these rules, a CDR consumer is taken to be a </w:t>
      </w:r>
      <w:r w:rsidRPr="00E649F5">
        <w:rPr>
          <w:b/>
          <w:i/>
          <w:color w:val="0000FF"/>
        </w:rPr>
        <w:t>CDR business consumer</w:t>
      </w:r>
      <w:r w:rsidRPr="00E649F5">
        <w:rPr>
          <w:color w:val="0000FF"/>
        </w:rPr>
        <w:t xml:space="preserve"> in relation to a consumer data request to be made by an accredited person if the accredited person has taken reasonable steps to confirm that:</w:t>
      </w:r>
    </w:p>
    <w:p w14:paraId="2D010BE2" w14:textId="77777777" w:rsidR="0085262B" w:rsidRPr="00E649F5" w:rsidRDefault="0085262B" w:rsidP="0085262B">
      <w:pPr>
        <w:pStyle w:val="paragraph"/>
        <w:rPr>
          <w:color w:val="0000FF"/>
        </w:rPr>
      </w:pPr>
      <w:r w:rsidRPr="00E649F5">
        <w:rPr>
          <w:color w:val="0000FF"/>
        </w:rPr>
        <w:tab/>
        <w:t>(a)</w:t>
      </w:r>
      <w:r w:rsidRPr="00E649F5">
        <w:rPr>
          <w:color w:val="0000FF"/>
        </w:rPr>
        <w:tab/>
        <w:t>the CDR consumer is not an individual; or</w:t>
      </w:r>
    </w:p>
    <w:p w14:paraId="1C31A3E9" w14:textId="77777777" w:rsidR="0085262B" w:rsidRPr="00E649F5" w:rsidRDefault="0085262B" w:rsidP="0085262B">
      <w:pPr>
        <w:pStyle w:val="paragraph"/>
        <w:rPr>
          <w:color w:val="0000FF"/>
        </w:rPr>
      </w:pPr>
      <w:r w:rsidRPr="00E649F5">
        <w:rPr>
          <w:color w:val="0000FF"/>
        </w:rPr>
        <w:tab/>
        <w:t>(b)</w:t>
      </w:r>
      <w:r w:rsidRPr="00E649F5">
        <w:rPr>
          <w:color w:val="0000FF"/>
        </w:rPr>
        <w:tab/>
        <w:t>the CDR consumer has an active ABN.</w:t>
      </w:r>
    </w:p>
    <w:p w14:paraId="3769EE12" w14:textId="77777777" w:rsidR="0085262B" w:rsidRPr="00E649F5" w:rsidRDefault="0085262B" w:rsidP="0085262B">
      <w:pPr>
        <w:pStyle w:val="subsection"/>
        <w:rPr>
          <w:color w:val="0000FF"/>
        </w:rPr>
      </w:pPr>
      <w:r w:rsidRPr="00E649F5">
        <w:rPr>
          <w:color w:val="0000FF"/>
        </w:rPr>
        <w:tab/>
        <w:t>(7)</w:t>
      </w:r>
      <w:r w:rsidRPr="00E649F5">
        <w:rPr>
          <w:color w:val="0000FF"/>
        </w:rPr>
        <w:tab/>
        <w:t xml:space="preserve">For these rules, a </w:t>
      </w:r>
      <w:r w:rsidRPr="00E649F5">
        <w:rPr>
          <w:b/>
          <w:i/>
          <w:color w:val="0000FF"/>
        </w:rPr>
        <w:t>business consumer statement</w:t>
      </w:r>
      <w:r w:rsidRPr="00E649F5">
        <w:rPr>
          <w:color w:val="0000FF"/>
        </w:rPr>
        <w:t xml:space="preserve"> is a statement made by a CDR business consumer that:</w:t>
      </w:r>
    </w:p>
    <w:p w14:paraId="75DF0CDD" w14:textId="77777777" w:rsidR="0085262B" w:rsidRPr="00E649F5" w:rsidRDefault="0085262B" w:rsidP="0085262B">
      <w:pPr>
        <w:pStyle w:val="paragraph"/>
        <w:rPr>
          <w:color w:val="0000FF"/>
        </w:rPr>
      </w:pPr>
      <w:r w:rsidRPr="00E649F5">
        <w:rPr>
          <w:color w:val="0000FF"/>
        </w:rPr>
        <w:tab/>
        <w:t>(a)</w:t>
      </w:r>
      <w:r w:rsidRPr="00E649F5">
        <w:rPr>
          <w:color w:val="0000FF"/>
        </w:rPr>
        <w:tab/>
        <w:t>is given in relation to a consent in one of the following categories:</w:t>
      </w:r>
    </w:p>
    <w:p w14:paraId="08FD82CF" w14:textId="77777777" w:rsidR="0085262B" w:rsidRPr="00E649F5" w:rsidRDefault="0085262B" w:rsidP="0085262B">
      <w:pPr>
        <w:pStyle w:val="paragraphsub"/>
        <w:rPr>
          <w:color w:val="0000FF"/>
        </w:rPr>
      </w:pPr>
      <w:r w:rsidRPr="00E649F5">
        <w:rPr>
          <w:color w:val="0000FF"/>
        </w:rPr>
        <w:tab/>
        <w:t>(i)</w:t>
      </w:r>
      <w:r w:rsidRPr="00E649F5">
        <w:rPr>
          <w:color w:val="0000FF"/>
        </w:rPr>
        <w:tab/>
        <w:t>use consents relating to the goods or services requested by the CDR consumer;</w:t>
      </w:r>
    </w:p>
    <w:p w14:paraId="008FF0E2" w14:textId="77777777" w:rsidR="0085262B" w:rsidRPr="00E649F5" w:rsidRDefault="0085262B" w:rsidP="0085262B">
      <w:pPr>
        <w:pStyle w:val="paragraphsub"/>
        <w:rPr>
          <w:color w:val="0000FF"/>
        </w:rPr>
      </w:pPr>
      <w:r w:rsidRPr="00E649F5">
        <w:rPr>
          <w:color w:val="0000FF"/>
        </w:rPr>
        <w:tab/>
        <w:t>(ii)</w:t>
      </w:r>
      <w:r w:rsidRPr="00E649F5">
        <w:rPr>
          <w:color w:val="0000FF"/>
        </w:rPr>
        <w:tab/>
        <w:t>TA disclosure consents;</w:t>
      </w:r>
    </w:p>
    <w:p w14:paraId="2D18ABA0" w14:textId="77777777" w:rsidR="0085262B" w:rsidRPr="00E649F5" w:rsidRDefault="0085262B" w:rsidP="0085262B">
      <w:pPr>
        <w:pStyle w:val="paragraphsub"/>
        <w:rPr>
          <w:color w:val="0000FF"/>
        </w:rPr>
      </w:pPr>
      <w:r w:rsidRPr="00E649F5">
        <w:rPr>
          <w:color w:val="0000FF"/>
        </w:rPr>
        <w:tab/>
        <w:t>(iii)</w:t>
      </w:r>
      <w:r w:rsidRPr="00E649F5">
        <w:rPr>
          <w:color w:val="0000FF"/>
        </w:rPr>
        <w:tab/>
        <w:t>insight disclosure consents;</w:t>
      </w:r>
    </w:p>
    <w:p w14:paraId="267CE255" w14:textId="77777777" w:rsidR="0085262B" w:rsidRPr="00E649F5" w:rsidRDefault="0085262B" w:rsidP="0085262B">
      <w:pPr>
        <w:pStyle w:val="paragraphsub"/>
        <w:rPr>
          <w:color w:val="0000FF"/>
        </w:rPr>
      </w:pPr>
      <w:r w:rsidRPr="00E649F5">
        <w:rPr>
          <w:color w:val="0000FF"/>
        </w:rPr>
        <w:tab/>
        <w:t>(iv)</w:t>
      </w:r>
      <w:r w:rsidRPr="00E649F5">
        <w:rPr>
          <w:color w:val="0000FF"/>
        </w:rPr>
        <w:tab/>
        <w:t>business consumer disclosure consents; and</w:t>
      </w:r>
    </w:p>
    <w:p w14:paraId="2003A79E" w14:textId="77777777" w:rsidR="0085262B" w:rsidRPr="00E649F5" w:rsidRDefault="0085262B" w:rsidP="0085262B">
      <w:pPr>
        <w:pStyle w:val="paragraph"/>
        <w:rPr>
          <w:color w:val="0000FF"/>
        </w:rPr>
      </w:pPr>
      <w:r w:rsidRPr="00E649F5">
        <w:rPr>
          <w:color w:val="0000FF"/>
        </w:rPr>
        <w:tab/>
        <w:t>(b)</w:t>
      </w:r>
      <w:r w:rsidRPr="00E649F5">
        <w:rPr>
          <w:color w:val="0000FF"/>
        </w:rPr>
        <w:tab/>
        <w:t xml:space="preserve">certifies that the consent is given for the purpose of enabling the accredited person or CDR representative to provide goods or services to the CDR business consumer in its capacity as a business (and not as an individual). </w:t>
      </w:r>
    </w:p>
    <w:p w14:paraId="4742143B" w14:textId="77777777" w:rsidR="0085262B" w:rsidRPr="00E649F5" w:rsidRDefault="0085262B" w:rsidP="0085262B">
      <w:pPr>
        <w:pStyle w:val="subsection"/>
        <w:rPr>
          <w:color w:val="0000FF"/>
        </w:rPr>
      </w:pPr>
      <w:r w:rsidRPr="00E649F5">
        <w:rPr>
          <w:color w:val="0000FF"/>
        </w:rPr>
        <w:tab/>
        <w:t>(8)</w:t>
      </w:r>
      <w:r w:rsidRPr="00E649F5">
        <w:rPr>
          <w:color w:val="0000FF"/>
        </w:rPr>
        <w:tab/>
        <w:t xml:space="preserve">For these rules, a </w:t>
      </w:r>
      <w:r w:rsidRPr="00E649F5">
        <w:rPr>
          <w:b/>
          <w:i/>
          <w:color w:val="0000FF"/>
        </w:rPr>
        <w:t>business consumer disclosure consent</w:t>
      </w:r>
      <w:r w:rsidRPr="00E649F5">
        <w:rPr>
          <w:color w:val="0000FF"/>
        </w:rPr>
        <w:t xml:space="preserve"> in relation to particular CDR data of a CDR business consumer held by an accredited data recipient is a consent given by the CDR business consumer under these rules that:</w:t>
      </w:r>
    </w:p>
    <w:p w14:paraId="4D0EE3A0" w14:textId="77777777" w:rsidR="0085262B" w:rsidRPr="00E649F5" w:rsidRDefault="0085262B" w:rsidP="0085262B">
      <w:pPr>
        <w:pStyle w:val="paragraph"/>
        <w:rPr>
          <w:color w:val="0000FF"/>
        </w:rPr>
      </w:pPr>
      <w:r w:rsidRPr="00E649F5">
        <w:rPr>
          <w:color w:val="0000FF"/>
        </w:rPr>
        <w:tab/>
        <w:t>(a)</w:t>
      </w:r>
      <w:r w:rsidRPr="00E649F5">
        <w:rPr>
          <w:color w:val="0000FF"/>
        </w:rPr>
        <w:tab/>
        <w:t>authorises the accredited data recipient to disclose the CDR data to a specified person; and</w:t>
      </w:r>
    </w:p>
    <w:p w14:paraId="4F3F5E85" w14:textId="77777777" w:rsidR="0085262B" w:rsidRPr="00E649F5" w:rsidRDefault="0085262B" w:rsidP="0085262B">
      <w:pPr>
        <w:pStyle w:val="paragraph"/>
        <w:rPr>
          <w:color w:val="0000FF"/>
        </w:rPr>
      </w:pPr>
      <w:r w:rsidRPr="00E649F5">
        <w:rPr>
          <w:color w:val="0000FF"/>
        </w:rPr>
        <w:tab/>
        <w:t xml:space="preserve"> (b)</w:t>
      </w:r>
      <w:r w:rsidRPr="00E649F5">
        <w:rPr>
          <w:color w:val="0000FF"/>
        </w:rPr>
        <w:tab/>
        <w:t>includes a business consumer statement.</w:t>
      </w:r>
    </w:p>
    <w:p w14:paraId="4D19F5A6" w14:textId="77777777" w:rsidR="003D7713" w:rsidRDefault="0085262B" w:rsidP="0085262B">
      <w:pPr>
        <w:pStyle w:val="subsection"/>
        <w:rPr>
          <w:color w:val="0000FF"/>
        </w:rPr>
      </w:pPr>
      <w:r w:rsidRPr="00E649F5">
        <w:rPr>
          <w:color w:val="0000FF"/>
        </w:rPr>
        <w:tab/>
        <w:t>(9)</w:t>
      </w:r>
      <w:r w:rsidRPr="00E649F5">
        <w:rPr>
          <w:color w:val="0000FF"/>
        </w:rPr>
        <w:tab/>
        <w:t>An accredited person must not make</w:t>
      </w:r>
      <w:r w:rsidR="003D7713">
        <w:rPr>
          <w:color w:val="0000FF"/>
        </w:rPr>
        <w:t>:</w:t>
      </w:r>
    </w:p>
    <w:p w14:paraId="77F1B944" w14:textId="77777777" w:rsidR="003D7713" w:rsidRPr="00500212" w:rsidRDefault="003D7713" w:rsidP="003D7713">
      <w:pPr>
        <w:pStyle w:val="paragraph"/>
        <w:rPr>
          <w:color w:val="0000FF"/>
        </w:rPr>
      </w:pPr>
      <w:r w:rsidRPr="00500212">
        <w:rPr>
          <w:color w:val="0000FF"/>
        </w:rPr>
        <w:tab/>
        <w:t>(a)</w:t>
      </w:r>
      <w:r w:rsidRPr="00500212">
        <w:rPr>
          <w:color w:val="0000FF"/>
        </w:rPr>
        <w:tab/>
      </w:r>
      <w:r w:rsidR="0085262B" w:rsidRPr="00500212">
        <w:rPr>
          <w:color w:val="0000FF"/>
        </w:rPr>
        <w:t>the giving of a business consumer disclosure consent</w:t>
      </w:r>
      <w:r w:rsidRPr="00500212">
        <w:rPr>
          <w:color w:val="0000FF"/>
        </w:rPr>
        <w:t xml:space="preserve">; or </w:t>
      </w:r>
    </w:p>
    <w:p w14:paraId="0F5D6F5A" w14:textId="77777777" w:rsidR="003D7713" w:rsidRPr="00500212" w:rsidRDefault="003D7713" w:rsidP="003D7713">
      <w:pPr>
        <w:pStyle w:val="paragraph"/>
        <w:rPr>
          <w:color w:val="0000FF"/>
        </w:rPr>
      </w:pPr>
      <w:r w:rsidRPr="00500212">
        <w:rPr>
          <w:color w:val="0000FF"/>
        </w:rPr>
        <w:tab/>
        <w:t>(b)</w:t>
      </w:r>
      <w:r w:rsidRPr="00500212">
        <w:rPr>
          <w:color w:val="0000FF"/>
        </w:rPr>
        <w:tab/>
        <w:t>the specification of a particular person for the purposes of para 1.10A(8)(a);</w:t>
      </w:r>
    </w:p>
    <w:p w14:paraId="0E8576BC" w14:textId="77777777" w:rsidR="0085262B" w:rsidRPr="003D7713" w:rsidRDefault="0085262B" w:rsidP="003D7713">
      <w:pPr>
        <w:pStyle w:val="subsection2"/>
        <w:rPr>
          <w:color w:val="0000FF"/>
        </w:rPr>
      </w:pPr>
      <w:r w:rsidRPr="003D7713">
        <w:rPr>
          <w:color w:val="0000FF"/>
        </w:rPr>
        <w:t>a condition for supply of the goods or services requested by the CDR business consumer.</w:t>
      </w:r>
    </w:p>
    <w:bookmarkEnd w:id="38"/>
    <w:p w14:paraId="3128D620" w14:textId="77777777" w:rsidR="003D7713" w:rsidRPr="00500212" w:rsidRDefault="003D7713" w:rsidP="003D7713">
      <w:pPr>
        <w:pStyle w:val="subsection"/>
        <w:rPr>
          <w:color w:val="0000FF"/>
        </w:rPr>
      </w:pPr>
      <w:r w:rsidRPr="00500212">
        <w:rPr>
          <w:color w:val="0000FF"/>
        </w:rPr>
        <w:tab/>
        <w:t>(11)</w:t>
      </w:r>
      <w:r w:rsidRPr="00500212">
        <w:rPr>
          <w:color w:val="0000FF"/>
        </w:rPr>
        <w:tab/>
        <w:t>To avoid doubt, paragraphs (9)(a) does not apply where the only service that is requested by the CDR consumer is for CDR data to be collected from a data holder and provided to specified person.</w:t>
      </w:r>
    </w:p>
    <w:p w14:paraId="06AB5C93" w14:textId="77777777" w:rsidR="00BB7660" w:rsidRPr="00A00F6F" w:rsidRDefault="00BB7660" w:rsidP="00BB7660">
      <w:pPr>
        <w:pStyle w:val="ActHead5"/>
        <w:rPr>
          <w:i/>
        </w:rPr>
      </w:pPr>
      <w:bookmarkStart w:id="39" w:name="_Toc111131975"/>
      <w:r w:rsidRPr="00A00F6F">
        <w:t xml:space="preserve">1.10B  Meaning of </w:t>
      </w:r>
      <w:r w:rsidRPr="00A00F6F">
        <w:rPr>
          <w:i/>
        </w:rPr>
        <w:t>eligible</w:t>
      </w:r>
      <w:bookmarkEnd w:id="39"/>
    </w:p>
    <w:p w14:paraId="770B29CC" w14:textId="77777777" w:rsidR="00BB7660" w:rsidRPr="00A00F6F" w:rsidRDefault="00BB7660" w:rsidP="00BB7660">
      <w:pPr>
        <w:pStyle w:val="notemargin"/>
      </w:pPr>
      <w:r w:rsidRPr="00A00F6F">
        <w:t>Note:</w:t>
      </w:r>
      <w:r w:rsidRPr="00A00F6F">
        <w:tab/>
        <w:t>Sector Schedules may add additional criteria for eligibility.  See also:</w:t>
      </w:r>
    </w:p>
    <w:p w14:paraId="024F725F" w14:textId="77777777" w:rsidR="00BB7660" w:rsidRPr="00A00F6F" w:rsidRDefault="009D101C" w:rsidP="009D101C">
      <w:pPr>
        <w:pStyle w:val="notepara"/>
        <w:ind w:left="1570" w:hanging="357"/>
      </w:pPr>
      <w:r w:rsidRPr="00A00F6F">
        <w:rPr>
          <w:rFonts w:ascii="Symbol" w:hAnsi="Symbol"/>
        </w:rPr>
        <w:t></w:t>
      </w:r>
      <w:r w:rsidRPr="00A00F6F">
        <w:rPr>
          <w:rFonts w:ascii="Symbol" w:hAnsi="Symbol"/>
        </w:rPr>
        <w:tab/>
      </w:r>
      <w:r w:rsidR="00BB7660" w:rsidRPr="00A00F6F">
        <w:t>for the banking sector—clause 2.1 of Schedule 3;</w:t>
      </w:r>
    </w:p>
    <w:p w14:paraId="3CE35258" w14:textId="77777777" w:rsidR="00BB7660" w:rsidRPr="00A00F6F" w:rsidRDefault="009D101C" w:rsidP="009D101C">
      <w:pPr>
        <w:pStyle w:val="notepara"/>
        <w:ind w:left="1570" w:hanging="357"/>
      </w:pPr>
      <w:r w:rsidRPr="00A00F6F">
        <w:rPr>
          <w:rFonts w:ascii="Symbol" w:hAnsi="Symbol"/>
        </w:rPr>
        <w:t></w:t>
      </w:r>
      <w:r w:rsidRPr="00A00F6F">
        <w:rPr>
          <w:rFonts w:ascii="Symbol" w:hAnsi="Symbol"/>
        </w:rPr>
        <w:tab/>
      </w:r>
      <w:r w:rsidR="00BB7660" w:rsidRPr="00A00F6F">
        <w:t>for the energy sector—clause 2.1 of Schedule 4.</w:t>
      </w:r>
    </w:p>
    <w:p w14:paraId="77DADDC6" w14:textId="77777777" w:rsidR="00BB7660" w:rsidRPr="00A00F6F" w:rsidRDefault="00BB7660" w:rsidP="00BB7660">
      <w:pPr>
        <w:pStyle w:val="subsection"/>
      </w:pPr>
      <w:r w:rsidRPr="00A00F6F">
        <w:tab/>
        <w:t>(1)</w:t>
      </w:r>
      <w:r w:rsidRPr="00A00F6F">
        <w:tab/>
        <w:t xml:space="preserve">A CDR consumer is </w:t>
      </w:r>
      <w:r w:rsidRPr="00A00F6F">
        <w:rPr>
          <w:b/>
          <w:i/>
        </w:rPr>
        <w:t>eligible</w:t>
      </w:r>
      <w:r w:rsidRPr="00A00F6F">
        <w:t>, in relation to a particular data holder at a particular time, if, at that time:</w:t>
      </w:r>
    </w:p>
    <w:p w14:paraId="227AE3AD" w14:textId="77777777" w:rsidR="00BB7660" w:rsidRPr="00A00F6F" w:rsidRDefault="00BB7660" w:rsidP="00BB7660">
      <w:pPr>
        <w:pStyle w:val="paragraph"/>
      </w:pPr>
      <w:r w:rsidRPr="00A00F6F">
        <w:tab/>
        <w:t>(a)</w:t>
      </w:r>
      <w:r w:rsidRPr="00A00F6F">
        <w:tab/>
        <w:t>the CDR consumer is either:</w:t>
      </w:r>
    </w:p>
    <w:p w14:paraId="5F7D294E" w14:textId="77777777" w:rsidR="00BB7660" w:rsidRPr="00A00F6F" w:rsidRDefault="00BB7660" w:rsidP="00BB7660">
      <w:pPr>
        <w:pStyle w:val="paragraphsub"/>
      </w:pPr>
      <w:r w:rsidRPr="00A00F6F">
        <w:tab/>
        <w:t>(i)</w:t>
      </w:r>
      <w:r w:rsidRPr="00A00F6F">
        <w:tab/>
        <w:t>an individual who is 18 years of age or older; or</w:t>
      </w:r>
    </w:p>
    <w:p w14:paraId="5FA67DC9" w14:textId="77777777" w:rsidR="00BB7660" w:rsidRPr="00A00F6F" w:rsidRDefault="00BB7660" w:rsidP="00BB7660">
      <w:pPr>
        <w:pStyle w:val="paragraphsub"/>
      </w:pPr>
      <w:r w:rsidRPr="00A00F6F">
        <w:tab/>
        <w:t>(ii)</w:t>
      </w:r>
      <w:r w:rsidRPr="00A00F6F">
        <w:tab/>
        <w:t>a person who is not an individual; and</w:t>
      </w:r>
    </w:p>
    <w:p w14:paraId="113469CE" w14:textId="77777777" w:rsidR="00BB7660" w:rsidRPr="00A00F6F" w:rsidRDefault="00BB7660" w:rsidP="00BB7660">
      <w:pPr>
        <w:pStyle w:val="paragraph"/>
      </w:pPr>
      <w:r w:rsidRPr="00A00F6F">
        <w:lastRenderedPageBreak/>
        <w:t xml:space="preserve">             </w:t>
      </w:r>
      <w:r w:rsidRPr="00A00F6F">
        <w:tab/>
        <w:t>(b)</w:t>
      </w:r>
      <w:r w:rsidRPr="00A00F6F">
        <w:tab/>
        <w:t xml:space="preserve">the CDR consumer is an account holder or a secondary user for an account with the data holder that is open; and </w:t>
      </w:r>
    </w:p>
    <w:p w14:paraId="22CBB8E3" w14:textId="77777777" w:rsidR="00BB7660" w:rsidRPr="00A00F6F" w:rsidRDefault="00BB7660" w:rsidP="00BB7660">
      <w:pPr>
        <w:pStyle w:val="paragraph"/>
      </w:pPr>
      <w:r w:rsidRPr="00A00F6F">
        <w:tab/>
        <w:t>(c)</w:t>
      </w:r>
      <w:r w:rsidRPr="00A00F6F">
        <w:tab/>
        <w:t>any additional criteria set by the relevant sector Schedule for this subrule are met.</w:t>
      </w:r>
    </w:p>
    <w:p w14:paraId="7C80A704" w14:textId="77777777" w:rsidR="00BB7660" w:rsidRPr="00A00F6F" w:rsidRDefault="00BB7660" w:rsidP="00BB7660">
      <w:pPr>
        <w:pStyle w:val="subsection"/>
      </w:pPr>
      <w:r w:rsidRPr="00A00F6F">
        <w:tab/>
        <w:t xml:space="preserve">      (2)</w:t>
      </w:r>
      <w:r w:rsidRPr="00A00F6F">
        <w:tab/>
        <w:t xml:space="preserve">A CDR consumer is also </w:t>
      </w:r>
      <w:r w:rsidRPr="00A00F6F">
        <w:rPr>
          <w:b/>
          <w:i/>
        </w:rPr>
        <w:t>eligible</w:t>
      </w:r>
      <w:r w:rsidRPr="00A00F6F">
        <w:t>, in relation to a particular data holder at a particular time, if, at that time:</w:t>
      </w:r>
    </w:p>
    <w:p w14:paraId="6E943A63" w14:textId="77777777" w:rsidR="00BB7660" w:rsidRPr="00A00F6F" w:rsidRDefault="00BB7660" w:rsidP="00BB7660">
      <w:pPr>
        <w:pStyle w:val="paragraph"/>
      </w:pPr>
      <w:r w:rsidRPr="00A00F6F">
        <w:tab/>
        <w:t>(a)</w:t>
      </w:r>
      <w:r w:rsidRPr="00A00F6F">
        <w:tab/>
        <w:t>the CDR consumer is a partner in a partnership for which there is a partnership account with the data holder; and</w:t>
      </w:r>
    </w:p>
    <w:p w14:paraId="4790E492" w14:textId="77777777" w:rsidR="00BB7660" w:rsidRPr="00A00F6F" w:rsidRDefault="00BB7660" w:rsidP="00BB7660">
      <w:pPr>
        <w:pStyle w:val="paragraph"/>
      </w:pPr>
      <w:r w:rsidRPr="00A00F6F">
        <w:tab/>
        <w:t>(b)</w:t>
      </w:r>
      <w:r w:rsidRPr="00A00F6F">
        <w:tab/>
        <w:t>the account is open; and</w:t>
      </w:r>
    </w:p>
    <w:p w14:paraId="1C9D9194" w14:textId="77777777" w:rsidR="00BB7660" w:rsidRPr="00A00F6F" w:rsidRDefault="00BB7660" w:rsidP="00BB7660">
      <w:pPr>
        <w:pStyle w:val="paragraph"/>
      </w:pPr>
      <w:r w:rsidRPr="00A00F6F">
        <w:tab/>
        <w:t>(c)</w:t>
      </w:r>
      <w:r w:rsidRPr="00A00F6F">
        <w:tab/>
        <w:t>any additional criteria set by the relevant sector Schedule for this subrule are met.</w:t>
      </w:r>
    </w:p>
    <w:p w14:paraId="63E69AC1" w14:textId="77777777" w:rsidR="00BB7660" w:rsidRPr="00A00F6F" w:rsidRDefault="00BB7660" w:rsidP="00BB7660">
      <w:pPr>
        <w:pStyle w:val="ActHead5"/>
      </w:pPr>
      <w:bookmarkStart w:id="40" w:name="_Toc111131976"/>
      <w:bookmarkStart w:id="41" w:name="_Toc11771569"/>
      <w:r w:rsidRPr="00A00F6F">
        <w:t>1.10C  Trusted advisers</w:t>
      </w:r>
      <w:bookmarkEnd w:id="40"/>
    </w:p>
    <w:p w14:paraId="20CBBC9A" w14:textId="77777777" w:rsidR="00BB7660" w:rsidRPr="00A00F6F" w:rsidRDefault="00BB7660" w:rsidP="00BB7660">
      <w:pPr>
        <w:pStyle w:val="subsection"/>
      </w:pPr>
      <w:r w:rsidRPr="00A00F6F">
        <w:tab/>
        <w:t>(1)</w:t>
      </w:r>
      <w:r w:rsidRPr="00A00F6F">
        <w:tab/>
        <w:t xml:space="preserve">An accredited person </w:t>
      </w:r>
      <w:r w:rsidR="005167D5" w:rsidRPr="00270C3C">
        <w:rPr>
          <w:color w:val="0000FF"/>
        </w:rPr>
        <w:t xml:space="preserve">or CDR representative </w:t>
      </w:r>
      <w:r w:rsidRPr="00A00F6F">
        <w:t xml:space="preserve">may invite a CDR consumer to nominate one or more persons as </w:t>
      </w:r>
      <w:r w:rsidRPr="00A00F6F">
        <w:rPr>
          <w:b/>
          <w:i/>
        </w:rPr>
        <w:t>trusted advisers</w:t>
      </w:r>
      <w:r w:rsidRPr="00A00F6F">
        <w:t xml:space="preserve"> of the CDR consumer for the purposes of this rule.</w:t>
      </w:r>
    </w:p>
    <w:p w14:paraId="430F154B" w14:textId="77777777" w:rsidR="00BB7660" w:rsidRPr="00A00F6F" w:rsidRDefault="00BB7660" w:rsidP="00BB7660">
      <w:pPr>
        <w:pStyle w:val="subsection"/>
      </w:pPr>
      <w:r w:rsidRPr="00A00F6F">
        <w:tab/>
        <w:t>(2)</w:t>
      </w:r>
      <w:r w:rsidRPr="00A00F6F">
        <w:tab/>
        <w:t>A trusted adviser must belong to one of the following classes:</w:t>
      </w:r>
    </w:p>
    <w:p w14:paraId="34B0C4AD" w14:textId="77777777" w:rsidR="00BB7660" w:rsidRPr="00A00F6F" w:rsidRDefault="00BB7660" w:rsidP="00BB7660">
      <w:pPr>
        <w:pStyle w:val="paragraph"/>
      </w:pPr>
      <w:r w:rsidRPr="00A00F6F">
        <w:tab/>
        <w:t>(a)</w:t>
      </w:r>
      <w:r w:rsidRPr="00A00F6F">
        <w:tab/>
        <w:t xml:space="preserve">qualified accountants within the meaning of the </w:t>
      </w:r>
      <w:r w:rsidRPr="00A00F6F">
        <w:rPr>
          <w:i/>
        </w:rPr>
        <w:t>Corporations Act 2001</w:t>
      </w:r>
      <w:r w:rsidRPr="00A00F6F">
        <w:t xml:space="preserve">; </w:t>
      </w:r>
    </w:p>
    <w:p w14:paraId="7C75DFEF" w14:textId="77777777" w:rsidR="00BB7660" w:rsidRPr="00A00F6F" w:rsidRDefault="00BB7660" w:rsidP="00BB7660">
      <w:pPr>
        <w:pStyle w:val="paragraph"/>
      </w:pPr>
      <w:r w:rsidRPr="00A00F6F">
        <w:tab/>
        <w:t>(b)</w:t>
      </w:r>
      <w:r w:rsidRPr="00A00F6F">
        <w:tab/>
        <w:t>persons who are admitted to the legal profession (however described) and hold a current practising certificate under a law of a State or Territory that regulates the legal profession;</w:t>
      </w:r>
    </w:p>
    <w:p w14:paraId="511CD1C7" w14:textId="77777777" w:rsidR="00BB7660" w:rsidRPr="00A00F6F" w:rsidRDefault="00BB7660" w:rsidP="00BB7660">
      <w:pPr>
        <w:pStyle w:val="paragraph"/>
      </w:pPr>
      <w:r w:rsidRPr="00A00F6F">
        <w:tab/>
        <w:t>(c)</w:t>
      </w:r>
      <w:r w:rsidRPr="00A00F6F">
        <w:tab/>
        <w:t xml:space="preserve">registered tax agents, BAS agents and tax (financial) advisers within the meaning of the </w:t>
      </w:r>
      <w:r w:rsidRPr="00A00F6F">
        <w:rPr>
          <w:i/>
        </w:rPr>
        <w:t>Tax Agent Services Act 2009</w:t>
      </w:r>
      <w:r w:rsidRPr="00A00F6F">
        <w:t>;</w:t>
      </w:r>
    </w:p>
    <w:p w14:paraId="59A8A62B" w14:textId="77777777" w:rsidR="00BB7660" w:rsidRPr="00A00F6F" w:rsidRDefault="00BB7660" w:rsidP="00BB7660">
      <w:pPr>
        <w:pStyle w:val="paragraph"/>
      </w:pPr>
      <w:r w:rsidRPr="00A00F6F">
        <w:tab/>
        <w:t>(d)</w:t>
      </w:r>
      <w:r w:rsidRPr="00A00F6F">
        <w:tab/>
        <w:t xml:space="preserve">financial counselling agencies within the meaning of the </w:t>
      </w:r>
      <w:r w:rsidRPr="00A00F6F">
        <w:rPr>
          <w:i/>
          <w:iCs/>
          <w:shd w:val="clear" w:color="auto" w:fill="FFFFFF"/>
        </w:rPr>
        <w:t>ASIC Corporations (Financial Counselling Agencies) Instrument 2017/792</w:t>
      </w:r>
      <w:r w:rsidRPr="00A00F6F">
        <w:rPr>
          <w:iCs/>
          <w:shd w:val="clear" w:color="auto" w:fill="FFFFFF"/>
        </w:rPr>
        <w:t>;</w:t>
      </w:r>
    </w:p>
    <w:p w14:paraId="35FBA886" w14:textId="77777777" w:rsidR="00BB7660" w:rsidRPr="00A00F6F" w:rsidRDefault="00BB7660" w:rsidP="00BB7660">
      <w:pPr>
        <w:pStyle w:val="paragraph"/>
      </w:pPr>
      <w:r w:rsidRPr="00A00F6F">
        <w:tab/>
        <w:t>(e)</w:t>
      </w:r>
      <w:r w:rsidRPr="00A00F6F">
        <w:tab/>
        <w:t xml:space="preserve">relevant providers within the meaning of the </w:t>
      </w:r>
      <w:r w:rsidRPr="00A00F6F">
        <w:rPr>
          <w:i/>
        </w:rPr>
        <w:t>Corporations Act 2001</w:t>
      </w:r>
      <w:r w:rsidRPr="00A00F6F">
        <w:t xml:space="preserve"> other than:</w:t>
      </w:r>
    </w:p>
    <w:p w14:paraId="127CDB8C" w14:textId="77777777" w:rsidR="00BB7660" w:rsidRPr="00A00F6F" w:rsidRDefault="00BB7660" w:rsidP="00BB7660">
      <w:pPr>
        <w:pStyle w:val="paragraphsub"/>
      </w:pPr>
      <w:r w:rsidRPr="00A00F6F">
        <w:tab/>
        <w:t>(i)</w:t>
      </w:r>
      <w:r w:rsidRPr="00A00F6F">
        <w:tab/>
        <w:t>provisional relevant providers under section 910A of that Act; and</w:t>
      </w:r>
    </w:p>
    <w:p w14:paraId="5AFF4C8B" w14:textId="77777777" w:rsidR="00BB7660" w:rsidRPr="00A00F6F" w:rsidRDefault="00BB7660" w:rsidP="00BB7660">
      <w:pPr>
        <w:pStyle w:val="paragraphsub"/>
      </w:pPr>
      <w:r w:rsidRPr="00A00F6F">
        <w:tab/>
        <w:t>(ii)</w:t>
      </w:r>
      <w:r w:rsidRPr="00A00F6F">
        <w:tab/>
        <w:t>limited-service time-sharing advisers under section 910A of that Act;</w:t>
      </w:r>
    </w:p>
    <w:p w14:paraId="0F2863AA" w14:textId="77777777" w:rsidR="00BB7660" w:rsidRPr="00A00F6F" w:rsidRDefault="00BB7660" w:rsidP="00BB7660">
      <w:pPr>
        <w:pStyle w:val="paragraph"/>
      </w:pPr>
      <w:r w:rsidRPr="00A00F6F">
        <w:tab/>
        <w:t>(f)</w:t>
      </w:r>
      <w:r w:rsidRPr="00A00F6F">
        <w:tab/>
        <w:t xml:space="preserve">mortgage brokers within the meaning of the </w:t>
      </w:r>
      <w:r w:rsidRPr="00A00F6F">
        <w:rPr>
          <w:i/>
        </w:rPr>
        <w:t>National Consumer Credit Protection Act 2009</w:t>
      </w:r>
      <w:r w:rsidRPr="00A00F6F">
        <w:t>.</w:t>
      </w:r>
    </w:p>
    <w:p w14:paraId="1B842B34" w14:textId="77777777" w:rsidR="00BB7660" w:rsidRPr="00A00F6F" w:rsidRDefault="00BB7660" w:rsidP="00BB7660">
      <w:pPr>
        <w:pStyle w:val="subsection"/>
      </w:pPr>
      <w:r w:rsidRPr="00A00F6F">
        <w:tab/>
        <w:t>(3)</w:t>
      </w:r>
      <w:r w:rsidRPr="00A00F6F">
        <w:tab/>
        <w:t xml:space="preserve">Where the accredited person </w:t>
      </w:r>
      <w:r w:rsidR="00275222" w:rsidRPr="00270C3C">
        <w:rPr>
          <w:color w:val="0000FF"/>
        </w:rPr>
        <w:t xml:space="preserve">or CDR representative </w:t>
      </w:r>
      <w:r w:rsidRPr="00A00F6F">
        <w:t xml:space="preserve">has taken reasonable steps to confirm that a person nominated as a trusted adviser was, and remains, a member of a class mentioned in subrule (2), the person is taken to be a member of that class for the purposes of this rule. </w:t>
      </w:r>
    </w:p>
    <w:p w14:paraId="387A3771" w14:textId="77777777" w:rsidR="00BB7660" w:rsidRPr="00A00F6F" w:rsidRDefault="00BB7660" w:rsidP="00BB7660">
      <w:pPr>
        <w:pStyle w:val="subsection"/>
      </w:pPr>
      <w:r w:rsidRPr="00A00F6F">
        <w:tab/>
        <w:t>(4)</w:t>
      </w:r>
      <w:r w:rsidRPr="00A00F6F">
        <w:tab/>
        <w:t xml:space="preserve">The accredited person </w:t>
      </w:r>
      <w:r w:rsidR="00275222" w:rsidRPr="00270C3C">
        <w:rPr>
          <w:color w:val="0000FF"/>
        </w:rPr>
        <w:t xml:space="preserve">or CDR representative </w:t>
      </w:r>
      <w:r w:rsidRPr="00A00F6F">
        <w:t>must not make:</w:t>
      </w:r>
    </w:p>
    <w:p w14:paraId="43ADC3D1" w14:textId="77777777" w:rsidR="00BB7660" w:rsidRPr="00A00F6F" w:rsidRDefault="00BB7660" w:rsidP="00BB7660">
      <w:pPr>
        <w:pStyle w:val="paragraph"/>
      </w:pPr>
      <w:r w:rsidRPr="00A00F6F">
        <w:tab/>
        <w:t>(a)</w:t>
      </w:r>
      <w:r w:rsidRPr="00A00F6F">
        <w:tab/>
        <w:t>the nomination of a trusted adviser; or</w:t>
      </w:r>
    </w:p>
    <w:p w14:paraId="7C3DF3A0" w14:textId="77777777" w:rsidR="00BB7660" w:rsidRPr="00A00F6F" w:rsidRDefault="00BB7660" w:rsidP="00BB7660">
      <w:pPr>
        <w:pStyle w:val="paragraph"/>
      </w:pPr>
      <w:r w:rsidRPr="00A00F6F">
        <w:tab/>
        <w:t>(b)</w:t>
      </w:r>
      <w:r w:rsidRPr="00A00F6F">
        <w:tab/>
        <w:t>the nomination of a particular person as a trusted adviser; or</w:t>
      </w:r>
    </w:p>
    <w:p w14:paraId="6FB844FF" w14:textId="77777777" w:rsidR="00BB7660" w:rsidRPr="00A00F6F" w:rsidRDefault="00BB7660" w:rsidP="00BB7660">
      <w:pPr>
        <w:pStyle w:val="paragraph"/>
      </w:pPr>
      <w:r w:rsidRPr="00A00F6F">
        <w:tab/>
        <w:t>(c)</w:t>
      </w:r>
      <w:r w:rsidRPr="00A00F6F">
        <w:tab/>
        <w:t>the giving of a TA disclosure consent;</w:t>
      </w:r>
    </w:p>
    <w:p w14:paraId="0B3BDEDB" w14:textId="77777777" w:rsidR="00BB7660" w:rsidRPr="00A00F6F" w:rsidRDefault="00BB7660" w:rsidP="00BB7660">
      <w:pPr>
        <w:pStyle w:val="subsection"/>
        <w:spacing w:before="100"/>
      </w:pPr>
      <w:r w:rsidRPr="00A00F6F">
        <w:tab/>
      </w:r>
      <w:r w:rsidRPr="00A00F6F">
        <w:tab/>
        <w:t>a condition for supply of the goods or services requested by the CDR consumer.</w:t>
      </w:r>
    </w:p>
    <w:p w14:paraId="12E1208C" w14:textId="77777777" w:rsidR="00BB7660" w:rsidRPr="002C25BB" w:rsidRDefault="00BB7660" w:rsidP="00BB7660">
      <w:pPr>
        <w:pStyle w:val="subsection"/>
        <w:rPr>
          <w:color w:val="0000FF"/>
        </w:rPr>
      </w:pPr>
      <w:r w:rsidRPr="002C25BB">
        <w:rPr>
          <w:color w:val="0000FF"/>
        </w:rPr>
        <w:lastRenderedPageBreak/>
        <w:tab/>
        <w:t>(5)</w:t>
      </w:r>
      <w:r w:rsidRPr="002C25BB">
        <w:rPr>
          <w:color w:val="0000FF"/>
        </w:rPr>
        <w:tab/>
        <w:t xml:space="preserve">To </w:t>
      </w:r>
      <w:r w:rsidRPr="00275222">
        <w:rPr>
          <w:color w:val="0000FF"/>
        </w:rPr>
        <w:t xml:space="preserve">avoid doubt, </w:t>
      </w:r>
      <w:r w:rsidR="00866A61" w:rsidRPr="00275222">
        <w:rPr>
          <w:color w:val="0000FF"/>
        </w:rPr>
        <w:t xml:space="preserve">paragraphs </w:t>
      </w:r>
      <w:r w:rsidRPr="00275222">
        <w:rPr>
          <w:color w:val="0000FF"/>
        </w:rPr>
        <w:t>(4)</w:t>
      </w:r>
      <w:r w:rsidR="00866A61" w:rsidRPr="00275222">
        <w:rPr>
          <w:color w:val="0000FF"/>
        </w:rPr>
        <w:t>(a) and</w:t>
      </w:r>
      <w:r w:rsidR="00866A61" w:rsidRPr="00E333D4">
        <w:rPr>
          <w:color w:val="0000FF"/>
        </w:rPr>
        <w:t xml:space="preserve"> </w:t>
      </w:r>
      <w:r w:rsidR="00866A61" w:rsidRPr="00270C3C">
        <w:rPr>
          <w:color w:val="0000FF"/>
        </w:rPr>
        <w:t>(</w:t>
      </w:r>
      <w:r w:rsidR="00275222" w:rsidRPr="00270C3C">
        <w:rPr>
          <w:color w:val="0000FF"/>
        </w:rPr>
        <w:t>c</w:t>
      </w:r>
      <w:r w:rsidR="00866A61" w:rsidRPr="00270C3C">
        <w:rPr>
          <w:color w:val="0000FF"/>
        </w:rPr>
        <w:t>)</w:t>
      </w:r>
      <w:r w:rsidR="00866A61" w:rsidRPr="00E333D4">
        <w:rPr>
          <w:color w:val="0000FF"/>
        </w:rPr>
        <w:t xml:space="preserve"> </w:t>
      </w:r>
      <w:r w:rsidRPr="00275222">
        <w:rPr>
          <w:color w:val="0000FF"/>
        </w:rPr>
        <w:t xml:space="preserve">do </w:t>
      </w:r>
      <w:r w:rsidRPr="002C25BB">
        <w:rPr>
          <w:color w:val="0000FF"/>
        </w:rPr>
        <w:t xml:space="preserve">not apply where the </w:t>
      </w:r>
      <w:r w:rsidR="00866A61" w:rsidRPr="002C25BB">
        <w:rPr>
          <w:color w:val="0000FF"/>
        </w:rPr>
        <w:t xml:space="preserve">only </w:t>
      </w:r>
      <w:r w:rsidRPr="002C25BB">
        <w:rPr>
          <w:color w:val="0000FF"/>
        </w:rPr>
        <w:t xml:space="preserve">service that is requested </w:t>
      </w:r>
      <w:r w:rsidR="00866A61" w:rsidRPr="002C25BB">
        <w:rPr>
          <w:color w:val="0000FF"/>
        </w:rPr>
        <w:t xml:space="preserve">by the CDR consumer is for </w:t>
      </w:r>
      <w:r w:rsidR="00275222" w:rsidRPr="00270C3C">
        <w:rPr>
          <w:color w:val="0000FF"/>
        </w:rPr>
        <w:t xml:space="preserve">CDR data to be collected </w:t>
      </w:r>
      <w:r w:rsidRPr="002C25BB">
        <w:rPr>
          <w:color w:val="0000FF"/>
        </w:rPr>
        <w:t xml:space="preserve">from a data holder and </w:t>
      </w:r>
      <w:r w:rsidRPr="00270C3C">
        <w:rPr>
          <w:color w:val="0000FF"/>
        </w:rPr>
        <w:t>provide</w:t>
      </w:r>
      <w:r w:rsidR="00275222" w:rsidRPr="00270C3C">
        <w:rPr>
          <w:color w:val="0000FF"/>
        </w:rPr>
        <w:t>d</w:t>
      </w:r>
      <w:r w:rsidRPr="002C25BB">
        <w:rPr>
          <w:color w:val="0000FF"/>
        </w:rPr>
        <w:t xml:space="preserve"> to a trusted adviser.</w:t>
      </w:r>
    </w:p>
    <w:p w14:paraId="61AA5C0C" w14:textId="77777777" w:rsidR="00BB7660" w:rsidRPr="00A00F6F" w:rsidRDefault="00BB7660" w:rsidP="00BB7660">
      <w:pPr>
        <w:pStyle w:val="ActHead5"/>
        <w:rPr>
          <w:bCs/>
          <w:i/>
          <w:iCs/>
        </w:rPr>
      </w:pPr>
      <w:bookmarkStart w:id="42" w:name="_Toc111131977"/>
      <w:r w:rsidRPr="00A00F6F">
        <w:t xml:space="preserve">1.10D  Meaning of </w:t>
      </w:r>
      <w:r w:rsidRPr="00A00F6F">
        <w:rPr>
          <w:i/>
        </w:rPr>
        <w:t>sponsorship arrangement</w:t>
      </w:r>
      <w:r w:rsidRPr="00A00F6F">
        <w:rPr>
          <w:iCs/>
        </w:rPr>
        <w:t>,</w:t>
      </w:r>
      <w:r w:rsidRPr="00A00F6F">
        <w:rPr>
          <w:b w:val="0"/>
          <w:bCs/>
          <w:iCs/>
        </w:rPr>
        <w:t xml:space="preserve"> </w:t>
      </w:r>
      <w:r w:rsidRPr="00A00F6F">
        <w:rPr>
          <w:i/>
        </w:rPr>
        <w:t>sponsor</w:t>
      </w:r>
      <w:r w:rsidRPr="00A00F6F">
        <w:rPr>
          <w:b w:val="0"/>
        </w:rPr>
        <w:t xml:space="preserve"> and </w:t>
      </w:r>
      <w:r w:rsidRPr="00A00F6F">
        <w:rPr>
          <w:i/>
        </w:rPr>
        <w:t>affiliate</w:t>
      </w:r>
      <w:bookmarkEnd w:id="42"/>
    </w:p>
    <w:p w14:paraId="5F9A133F" w14:textId="77777777" w:rsidR="00BB7660" w:rsidRPr="00A00F6F" w:rsidRDefault="00BB7660" w:rsidP="00BB7660">
      <w:pPr>
        <w:pStyle w:val="subsection"/>
      </w:pPr>
      <w:r w:rsidRPr="00A00F6F">
        <w:tab/>
        <w:t>(1)</w:t>
      </w:r>
      <w:r w:rsidRPr="00A00F6F">
        <w:tab/>
        <w:t xml:space="preserve">A </w:t>
      </w:r>
      <w:r w:rsidRPr="00A00F6F">
        <w:rPr>
          <w:b/>
          <w:bCs/>
          <w:i/>
          <w:iCs/>
        </w:rPr>
        <w:t>sponsorship arrangement</w:t>
      </w:r>
      <w:r w:rsidRPr="00A00F6F">
        <w:t xml:space="preserve"> is a written contract between a person with unrestricted accreditation (the </w:t>
      </w:r>
      <w:r w:rsidRPr="00A00F6F">
        <w:rPr>
          <w:b/>
          <w:i/>
        </w:rPr>
        <w:t>sponsor</w:t>
      </w:r>
      <w:r w:rsidRPr="00A00F6F">
        <w:t>)</w:t>
      </w:r>
      <w:r w:rsidRPr="00A00F6F">
        <w:rPr>
          <w:b/>
        </w:rPr>
        <w:t xml:space="preserve"> </w:t>
      </w:r>
      <w:r w:rsidRPr="00A00F6F">
        <w:t xml:space="preserve">and another person (the </w:t>
      </w:r>
      <w:r w:rsidRPr="00A00F6F">
        <w:rPr>
          <w:b/>
          <w:i/>
        </w:rPr>
        <w:t>affiliate</w:t>
      </w:r>
      <w:r w:rsidRPr="00A00F6F">
        <w:t>), under which:</w:t>
      </w:r>
    </w:p>
    <w:p w14:paraId="34E13E64" w14:textId="77777777" w:rsidR="00BB7660" w:rsidRPr="00A00F6F" w:rsidRDefault="00BB7660" w:rsidP="00BB7660">
      <w:pPr>
        <w:pStyle w:val="paragraph"/>
      </w:pPr>
      <w:r w:rsidRPr="00A00F6F">
        <w:tab/>
        <w:t>(a)</w:t>
      </w:r>
      <w:r w:rsidRPr="00A00F6F">
        <w:tab/>
        <w:t>the sponsor agrees to disclose to the affiliate, in response to a consumer data request made by the affiliate in accordance with rule 5.1B(2), CDR data that it holds as an accredited data recipient; and</w:t>
      </w:r>
    </w:p>
    <w:p w14:paraId="40234863" w14:textId="77777777" w:rsidR="00BB7660" w:rsidRPr="00A00F6F" w:rsidRDefault="00BB7660" w:rsidP="00BB7660">
      <w:pPr>
        <w:pStyle w:val="paragraph"/>
      </w:pPr>
      <w:r w:rsidRPr="00A00F6F">
        <w:tab/>
        <w:t>(b)</w:t>
      </w:r>
      <w:r w:rsidRPr="00A00F6F">
        <w:tab/>
        <w:t>the affiliate undertakes to provide the sponsor with such information and access to its operations as is needed for the sponsor to fulfil its obligations as a sponsor.</w:t>
      </w:r>
    </w:p>
    <w:p w14:paraId="249CD170" w14:textId="77777777" w:rsidR="00BB7660" w:rsidRPr="00A00F6F" w:rsidRDefault="00BB7660" w:rsidP="00BB7660">
      <w:pPr>
        <w:pStyle w:val="notetext"/>
      </w:pPr>
      <w:r w:rsidRPr="00A00F6F">
        <w:t>Note:</w:t>
      </w:r>
      <w:r w:rsidRPr="00A00F6F">
        <w:tab/>
        <w:t>A person does not need to have sponsored accreditation to enter into a sponsorship arrangement as an affiliate, but will need it to make the consumer data requests mentioned in paragraph (a)</w:t>
      </w:r>
    </w:p>
    <w:p w14:paraId="2F1B7680" w14:textId="77777777" w:rsidR="00BB7660" w:rsidRPr="00A00F6F" w:rsidRDefault="00BB7660" w:rsidP="00BB7660">
      <w:pPr>
        <w:pStyle w:val="subsection"/>
      </w:pPr>
      <w:r w:rsidRPr="00A00F6F">
        <w:tab/>
        <w:t>(2)</w:t>
      </w:r>
      <w:r w:rsidRPr="00A00F6F">
        <w:tab/>
        <w:t>A sponsorship arrangement may also provide for the sponsor to:</w:t>
      </w:r>
    </w:p>
    <w:p w14:paraId="4B9DEAE9" w14:textId="77777777" w:rsidR="00BB7660" w:rsidRPr="00A00F6F" w:rsidRDefault="00BB7660" w:rsidP="00BB7660">
      <w:pPr>
        <w:pStyle w:val="paragraph"/>
      </w:pPr>
      <w:r w:rsidRPr="00A00F6F">
        <w:tab/>
        <w:t>(a)</w:t>
      </w:r>
      <w:r w:rsidRPr="00A00F6F">
        <w:tab/>
        <w:t>make consumer data requests at the request of the affiliate; or</w:t>
      </w:r>
    </w:p>
    <w:p w14:paraId="0449C164" w14:textId="77777777" w:rsidR="00BB7660" w:rsidRPr="00A00F6F" w:rsidRDefault="00BB7660" w:rsidP="00BB7660">
      <w:pPr>
        <w:pStyle w:val="paragraph"/>
      </w:pPr>
      <w:r w:rsidRPr="00A00F6F">
        <w:tab/>
        <w:t>(b)</w:t>
      </w:r>
      <w:r w:rsidRPr="00A00F6F">
        <w:tab/>
        <w:t>use or disclose CDR data at the request of the affiliate.</w:t>
      </w:r>
    </w:p>
    <w:p w14:paraId="1C8CDD84" w14:textId="77777777" w:rsidR="00923C07" w:rsidRPr="00275222" w:rsidRDefault="00923C07" w:rsidP="00923C07">
      <w:pPr>
        <w:pStyle w:val="ActHead5"/>
        <w:rPr>
          <w:color w:val="0000FF"/>
        </w:rPr>
      </w:pPr>
      <w:bookmarkStart w:id="43" w:name="_Toc111131978"/>
      <w:r w:rsidRPr="00275222">
        <w:rPr>
          <w:color w:val="0000FF"/>
        </w:rPr>
        <w:t xml:space="preserve">1.10E  Meaning of </w:t>
      </w:r>
      <w:r w:rsidRPr="00275222">
        <w:rPr>
          <w:i/>
          <w:color w:val="0000FF"/>
        </w:rPr>
        <w:t>trial product</w:t>
      </w:r>
      <w:bookmarkEnd w:id="43"/>
      <w:r w:rsidRPr="00275222">
        <w:rPr>
          <w:color w:val="0000FF"/>
        </w:rPr>
        <w:t xml:space="preserve">  </w:t>
      </w:r>
    </w:p>
    <w:p w14:paraId="631ACFAB" w14:textId="77777777" w:rsidR="00923C07" w:rsidRPr="00275222" w:rsidRDefault="00923C07" w:rsidP="00923C07">
      <w:pPr>
        <w:pStyle w:val="subsection"/>
        <w:rPr>
          <w:color w:val="0000FF"/>
        </w:rPr>
      </w:pPr>
      <w:r w:rsidRPr="00275222">
        <w:rPr>
          <w:color w:val="0000FF"/>
        </w:rPr>
        <w:tab/>
        <w:t>(1)</w:t>
      </w:r>
      <w:r w:rsidRPr="00275222">
        <w:rPr>
          <w:color w:val="0000FF"/>
        </w:rPr>
        <w:tab/>
        <w:t xml:space="preserve">For these rules, a product is a </w:t>
      </w:r>
      <w:r w:rsidRPr="00275222">
        <w:rPr>
          <w:b/>
          <w:i/>
          <w:color w:val="0000FF"/>
        </w:rPr>
        <w:t>trial product</w:t>
      </w:r>
      <w:r w:rsidRPr="00275222">
        <w:rPr>
          <w:color w:val="0000FF"/>
        </w:rPr>
        <w:t xml:space="preserve"> in relation to a particular sector if:</w:t>
      </w:r>
    </w:p>
    <w:p w14:paraId="169DAE3D" w14:textId="77777777" w:rsidR="00923C07" w:rsidRPr="00275222" w:rsidRDefault="00923C07" w:rsidP="00923C07">
      <w:pPr>
        <w:pStyle w:val="paragraph"/>
        <w:rPr>
          <w:color w:val="0000FF"/>
        </w:rPr>
      </w:pPr>
      <w:r w:rsidRPr="00275222">
        <w:rPr>
          <w:color w:val="0000FF"/>
        </w:rPr>
        <w:tab/>
        <w:t>(a)</w:t>
      </w:r>
      <w:r w:rsidRPr="00275222">
        <w:rPr>
          <w:color w:val="0000FF"/>
        </w:rPr>
        <w:tab/>
        <w:t xml:space="preserve">it is a product of a kind specified for the purpose of this paragraph in the relevant sector Schedule; and </w:t>
      </w:r>
    </w:p>
    <w:p w14:paraId="3A3208D7" w14:textId="77777777" w:rsidR="00923C07" w:rsidRPr="00275222" w:rsidRDefault="00923C07" w:rsidP="00923C07">
      <w:pPr>
        <w:pStyle w:val="paragraph"/>
        <w:rPr>
          <w:color w:val="0000FF"/>
        </w:rPr>
      </w:pPr>
      <w:r w:rsidRPr="00275222">
        <w:rPr>
          <w:color w:val="0000FF"/>
        </w:rPr>
        <w:tab/>
        <w:t>(b)</w:t>
      </w:r>
      <w:r w:rsidRPr="00275222">
        <w:rPr>
          <w:color w:val="0000FF"/>
        </w:rPr>
        <w:tab/>
        <w:t>it is offered:</w:t>
      </w:r>
    </w:p>
    <w:p w14:paraId="2C8A002A" w14:textId="77777777" w:rsidR="00923C07" w:rsidRPr="00275222" w:rsidRDefault="00923C07" w:rsidP="00923C07">
      <w:pPr>
        <w:pStyle w:val="paragraphsub"/>
        <w:rPr>
          <w:color w:val="0000FF"/>
        </w:rPr>
      </w:pPr>
      <w:r w:rsidRPr="00275222">
        <w:rPr>
          <w:color w:val="0000FF"/>
        </w:rPr>
        <w:tab/>
        <w:t>(i)</w:t>
      </w:r>
      <w:r w:rsidRPr="00275222">
        <w:rPr>
          <w:color w:val="0000FF"/>
        </w:rPr>
        <w:tab/>
        <w:t>with the description “pilot” or “trial”; and</w:t>
      </w:r>
    </w:p>
    <w:p w14:paraId="45351FDA" w14:textId="77777777" w:rsidR="00923C07" w:rsidRPr="00275222" w:rsidRDefault="00923C07" w:rsidP="00923C07">
      <w:pPr>
        <w:pStyle w:val="paragraphsub"/>
        <w:rPr>
          <w:color w:val="0000FF"/>
        </w:rPr>
      </w:pPr>
      <w:r w:rsidRPr="00275222">
        <w:rPr>
          <w:color w:val="0000FF"/>
        </w:rPr>
        <w:tab/>
        <w:t>(ii)</w:t>
      </w:r>
      <w:r w:rsidRPr="00275222">
        <w:rPr>
          <w:color w:val="0000FF"/>
        </w:rPr>
        <w:tab/>
        <w:t xml:space="preserve">with a statement of a period for which it will operate as a pilot or trial  that ends no more than 6 months after the initial offering (the </w:t>
      </w:r>
      <w:r w:rsidRPr="00275222">
        <w:rPr>
          <w:b/>
          <w:i/>
          <w:color w:val="0000FF"/>
        </w:rPr>
        <w:t>trial period</w:t>
      </w:r>
      <w:r w:rsidRPr="00275222">
        <w:rPr>
          <w:color w:val="0000FF"/>
        </w:rPr>
        <w:t>); and</w:t>
      </w:r>
    </w:p>
    <w:p w14:paraId="2213CACF" w14:textId="77777777" w:rsidR="00923C07" w:rsidRPr="00275222" w:rsidRDefault="00923C07" w:rsidP="00923C07">
      <w:pPr>
        <w:pStyle w:val="paragraphsub"/>
        <w:rPr>
          <w:color w:val="0000FF"/>
        </w:rPr>
      </w:pPr>
      <w:r w:rsidRPr="00275222">
        <w:rPr>
          <w:color w:val="0000FF"/>
        </w:rPr>
        <w:tab/>
        <w:t xml:space="preserve">  (iii)</w:t>
      </w:r>
      <w:r w:rsidRPr="00275222">
        <w:rPr>
          <w:color w:val="0000FF"/>
        </w:rPr>
        <w:tab/>
        <w:t>on the basis that the number of customers supplied with the product for the purposes of the trial will be limited to no more than 1,000; and</w:t>
      </w:r>
    </w:p>
    <w:p w14:paraId="6C582E27" w14:textId="77777777" w:rsidR="00923C07" w:rsidRPr="00275222" w:rsidRDefault="00923C07" w:rsidP="00923C07">
      <w:pPr>
        <w:pStyle w:val="paragraphsub"/>
        <w:rPr>
          <w:color w:val="0000FF"/>
        </w:rPr>
      </w:pPr>
      <w:r w:rsidRPr="00275222">
        <w:rPr>
          <w:color w:val="0000FF"/>
        </w:rPr>
        <w:tab/>
        <w:t>(iv)</w:t>
      </w:r>
      <w:r w:rsidRPr="00275222">
        <w:rPr>
          <w:color w:val="0000FF"/>
        </w:rPr>
        <w:tab/>
        <w:t xml:space="preserve">with a statement that the product may be terminated before the end of the trial period and that, if it is, the CDR data in relation to the product may not be available. </w:t>
      </w:r>
    </w:p>
    <w:p w14:paraId="0DEF8EE6" w14:textId="77777777" w:rsidR="00923C07" w:rsidRPr="00275222" w:rsidRDefault="00923C07" w:rsidP="00923C07">
      <w:pPr>
        <w:pStyle w:val="subsection"/>
        <w:rPr>
          <w:color w:val="0000FF"/>
        </w:rPr>
      </w:pPr>
      <w:r w:rsidRPr="00275222">
        <w:rPr>
          <w:color w:val="0000FF"/>
        </w:rPr>
        <w:tab/>
        <w:t>(2)</w:t>
      </w:r>
      <w:r w:rsidRPr="00275222">
        <w:rPr>
          <w:color w:val="0000FF"/>
        </w:rPr>
        <w:tab/>
        <w:t xml:space="preserve">However, such a product ceases to be a </w:t>
      </w:r>
      <w:r w:rsidRPr="00275222">
        <w:rPr>
          <w:b/>
          <w:i/>
          <w:color w:val="0000FF"/>
        </w:rPr>
        <w:t>trial product</w:t>
      </w:r>
      <w:r w:rsidRPr="00275222">
        <w:rPr>
          <w:color w:val="0000FF"/>
        </w:rPr>
        <w:t xml:space="preserve"> if:</w:t>
      </w:r>
    </w:p>
    <w:p w14:paraId="3A49C36E" w14:textId="77777777" w:rsidR="00923C07" w:rsidRPr="00275222" w:rsidRDefault="00923C07" w:rsidP="00923C07">
      <w:pPr>
        <w:pStyle w:val="paragraph"/>
        <w:rPr>
          <w:color w:val="0000FF"/>
        </w:rPr>
      </w:pPr>
      <w:r w:rsidRPr="00275222">
        <w:rPr>
          <w:color w:val="0000FF"/>
        </w:rPr>
        <w:tab/>
        <w:t>(a)</w:t>
      </w:r>
      <w:r w:rsidRPr="00275222">
        <w:rPr>
          <w:color w:val="0000FF"/>
        </w:rPr>
        <w:tab/>
        <w:t>the product continues to be supplied or offered after the end of the trial period; or</w:t>
      </w:r>
    </w:p>
    <w:p w14:paraId="3ADB1D71" w14:textId="77777777" w:rsidR="00923C07" w:rsidRPr="00275222" w:rsidRDefault="00923C07" w:rsidP="00923C07">
      <w:pPr>
        <w:pStyle w:val="paragraph"/>
        <w:rPr>
          <w:color w:val="0000FF"/>
        </w:rPr>
      </w:pPr>
      <w:r w:rsidRPr="00275222">
        <w:rPr>
          <w:color w:val="0000FF"/>
        </w:rPr>
        <w:tab/>
        <w:t>(b)</w:t>
      </w:r>
      <w:r w:rsidRPr="00275222">
        <w:rPr>
          <w:color w:val="0000FF"/>
        </w:rPr>
        <w:tab/>
        <w:t>the product is supplied to more than 1,000 customers.</w:t>
      </w:r>
    </w:p>
    <w:p w14:paraId="030540A9" w14:textId="77777777" w:rsidR="00BB7660" w:rsidRDefault="00BB7660" w:rsidP="00BB7660">
      <w:pPr>
        <w:pStyle w:val="ActHead3"/>
        <w:pageBreakBefore/>
        <w:rPr>
          <w:color w:val="000000"/>
        </w:rPr>
      </w:pPr>
      <w:bookmarkStart w:id="44" w:name="_Toc111131979"/>
      <w:r>
        <w:lastRenderedPageBreak/>
        <w:t>Division 1.4</w:t>
      </w:r>
      <w:r w:rsidRPr="00B3173B">
        <w:t>—</w:t>
      </w:r>
      <w:r w:rsidRPr="00964EDA">
        <w:rPr>
          <w:color w:val="000000"/>
        </w:rPr>
        <w:t>General provisions relating to data holders and to accredited persons</w:t>
      </w:r>
      <w:bookmarkEnd w:id="41"/>
      <w:bookmarkEnd w:id="44"/>
    </w:p>
    <w:p w14:paraId="7B8E473E" w14:textId="77777777" w:rsidR="00BB7660" w:rsidRDefault="00BB7660" w:rsidP="00BB7660">
      <w:pPr>
        <w:pStyle w:val="ActHead4"/>
      </w:pPr>
      <w:bookmarkStart w:id="45" w:name="_Toc11771570"/>
      <w:bookmarkStart w:id="46" w:name="_Toc111131980"/>
      <w:r>
        <w:t>Subdivision 1.4.1—Preliminary</w:t>
      </w:r>
      <w:bookmarkEnd w:id="45"/>
      <w:bookmarkEnd w:id="46"/>
    </w:p>
    <w:p w14:paraId="1C500A0B" w14:textId="77777777" w:rsidR="00BB7660" w:rsidRDefault="00BB7660" w:rsidP="00BB7660">
      <w:pPr>
        <w:pStyle w:val="ActHead5"/>
      </w:pPr>
      <w:bookmarkStart w:id="47" w:name="_Toc11771571"/>
      <w:bookmarkStart w:id="48" w:name="_Toc111131981"/>
      <w:r>
        <w:t>1.11  Simplified outline of Division</w:t>
      </w:r>
      <w:bookmarkEnd w:id="47"/>
      <w:bookmarkEnd w:id="48"/>
    </w:p>
    <w:p w14:paraId="459DFD6C" w14:textId="77777777" w:rsidR="00BB7660" w:rsidRPr="00EC31EF" w:rsidRDefault="00BB7660" w:rsidP="00BB7660">
      <w:pPr>
        <w:pStyle w:val="SOText"/>
      </w:pPr>
      <w:r w:rsidRPr="00EC31EF">
        <w:t>This Division sets out:</w:t>
      </w:r>
    </w:p>
    <w:p w14:paraId="590FDF44" w14:textId="77777777" w:rsidR="00BB7660" w:rsidRPr="00EC31EF" w:rsidRDefault="00BB7660" w:rsidP="00BB7660">
      <w:pPr>
        <w:pStyle w:val="SOPara"/>
      </w:pPr>
      <w:r>
        <w:tab/>
      </w:r>
      <w:r w:rsidRPr="00EC31EF">
        <w:t>•</w:t>
      </w:r>
      <w:r w:rsidRPr="00EC31EF">
        <w:tab/>
        <w:t>general obligations of data holders which relate to product data requests and consumer data requests; and</w:t>
      </w:r>
    </w:p>
    <w:p w14:paraId="50F51509" w14:textId="77777777" w:rsidR="00BB7660" w:rsidRPr="00724397" w:rsidRDefault="00BB7660" w:rsidP="00BB7660">
      <w:pPr>
        <w:pStyle w:val="SOPara"/>
      </w:pPr>
      <w:r>
        <w:tab/>
      </w:r>
      <w:r w:rsidRPr="007E69B9">
        <w:t>•</w:t>
      </w:r>
      <w:r w:rsidRPr="007E69B9">
        <w:tab/>
        <w:t xml:space="preserve">general obligations for data holders and accredited persons to provide CDR consumers with consumer dashboards, which contain information relating to consumer data requests, and a functionality for </w:t>
      </w:r>
      <w:r>
        <w:t>amending or withdrawing consents, and for withdrawing authorisations, under these rules</w:t>
      </w:r>
      <w:r w:rsidRPr="00724397">
        <w:t>.</w:t>
      </w:r>
    </w:p>
    <w:p w14:paraId="6534D23C" w14:textId="77777777" w:rsidR="00BB7660" w:rsidRPr="007E69B9" w:rsidRDefault="00BB7660" w:rsidP="00BB7660">
      <w:pPr>
        <w:pStyle w:val="ActHead4"/>
        <w:pageBreakBefore/>
      </w:pPr>
      <w:bookmarkStart w:id="49" w:name="_Toc11771572"/>
      <w:bookmarkStart w:id="50" w:name="_Toc111131982"/>
      <w:r>
        <w:lastRenderedPageBreak/>
        <w:t>Subdivision 1.4.2</w:t>
      </w:r>
      <w:r w:rsidRPr="007E69B9">
        <w:t>—Services for making requests under these rules</w:t>
      </w:r>
      <w:bookmarkEnd w:id="49"/>
      <w:bookmarkEnd w:id="50"/>
    </w:p>
    <w:p w14:paraId="36722B14" w14:textId="77777777" w:rsidR="00BB7660" w:rsidRPr="007343DD" w:rsidRDefault="00BB7660" w:rsidP="00BB7660">
      <w:pPr>
        <w:pStyle w:val="ActHead5"/>
      </w:pPr>
      <w:bookmarkStart w:id="51" w:name="_Toc11771573"/>
      <w:bookmarkStart w:id="52" w:name="_Toc111131983"/>
      <w:r>
        <w:t>1.12</w:t>
      </w:r>
      <w:r w:rsidRPr="00B3173B">
        <w:t xml:space="preserve">  Product data request </w:t>
      </w:r>
      <w:r w:rsidRPr="007343DD">
        <w:t>service</w:t>
      </w:r>
      <w:bookmarkEnd w:id="51"/>
      <w:bookmarkEnd w:id="52"/>
    </w:p>
    <w:p w14:paraId="54EB6B97" w14:textId="77777777" w:rsidR="00BB7660" w:rsidRDefault="00BB7660" w:rsidP="00BB7660">
      <w:pPr>
        <w:pStyle w:val="subsection"/>
      </w:pPr>
      <w:r w:rsidRPr="00B3173B">
        <w:tab/>
      </w:r>
      <w:r>
        <w:t>(1)</w:t>
      </w:r>
      <w:r w:rsidRPr="00B3173B">
        <w:tab/>
        <w:t xml:space="preserve">A </w:t>
      </w:r>
      <w:r w:rsidRPr="00D02017">
        <w:t>data holder must provide an online service that</w:t>
      </w:r>
      <w:r>
        <w:t>:</w:t>
      </w:r>
    </w:p>
    <w:p w14:paraId="668B6B13" w14:textId="77777777" w:rsidR="00BB7660" w:rsidRPr="00360E15" w:rsidRDefault="00BB7660" w:rsidP="00BB7660">
      <w:pPr>
        <w:pStyle w:val="paragraph"/>
      </w:pPr>
      <w:r>
        <w:tab/>
        <w:t>(a)</w:t>
      </w:r>
      <w:r>
        <w:tab/>
      </w:r>
      <w:r w:rsidRPr="00D02017">
        <w:t>can be used to make product data requests</w:t>
      </w:r>
      <w:r w:rsidRPr="00360E15">
        <w:t>; and</w:t>
      </w:r>
    </w:p>
    <w:p w14:paraId="0D97B556" w14:textId="77777777" w:rsidR="00BB7660" w:rsidRDefault="00BB7660" w:rsidP="00BB7660">
      <w:pPr>
        <w:pStyle w:val="paragraph"/>
      </w:pPr>
      <w:r w:rsidRPr="00360E15">
        <w:tab/>
      </w:r>
      <w:r>
        <w:t>(b)</w:t>
      </w:r>
      <w:r w:rsidRPr="00360E15">
        <w:tab/>
        <w:t>enables requested data to be disclosed in machine</w:t>
      </w:r>
      <w:r w:rsidRPr="00360E15">
        <w:noBreakHyphen/>
        <w:t>readable form; and</w:t>
      </w:r>
    </w:p>
    <w:p w14:paraId="10145A45" w14:textId="77777777" w:rsidR="00BB7660" w:rsidRPr="00360E15" w:rsidRDefault="00BB7660" w:rsidP="00BB7660">
      <w:pPr>
        <w:pStyle w:val="paragraph"/>
      </w:pPr>
      <w:r w:rsidRPr="00360E15">
        <w:tab/>
      </w:r>
      <w:r>
        <w:t>(c)</w:t>
      </w:r>
      <w:r w:rsidRPr="00360E15">
        <w:tab/>
        <w:t>conforms with the data standards.</w:t>
      </w:r>
    </w:p>
    <w:p w14:paraId="77D7BB1E" w14:textId="77777777" w:rsidR="00BB7660" w:rsidRPr="00E1300D" w:rsidRDefault="00BB7660" w:rsidP="00BB7660">
      <w:pPr>
        <w:pStyle w:val="notetext"/>
      </w:pPr>
      <w:r w:rsidRPr="00D02017">
        <w:t>Note</w:t>
      </w:r>
      <w:r>
        <w:t xml:space="preserve"> </w:t>
      </w:r>
      <w:r w:rsidRPr="00E1300D">
        <w:t>1:</w:t>
      </w:r>
      <w:r w:rsidRPr="00E1300D">
        <w:tab/>
        <w:t>See rule </w:t>
      </w:r>
      <w:r>
        <w:t>2.3</w:t>
      </w:r>
      <w:r w:rsidRPr="00E1300D">
        <w:t xml:space="preserve"> for the meaning of “product data request”.</w:t>
      </w:r>
    </w:p>
    <w:p w14:paraId="2A3254A0" w14:textId="77777777" w:rsidR="00BB7660" w:rsidRDefault="00BB7660" w:rsidP="00BB7660">
      <w:pPr>
        <w:pStyle w:val="notetext"/>
      </w:pPr>
      <w:r w:rsidRPr="00E1300D">
        <w:t>Note 2:</w:t>
      </w:r>
      <w:r w:rsidRPr="00E1300D">
        <w:tab/>
        <w:t>This subrule is a civil penalty provision (see rule </w:t>
      </w:r>
      <w:r>
        <w:t>9.8</w:t>
      </w:r>
      <w:r w:rsidRPr="00E1300D">
        <w:t>).</w:t>
      </w:r>
    </w:p>
    <w:p w14:paraId="67E55929" w14:textId="77777777" w:rsidR="00BB7660" w:rsidRPr="00A00F6F" w:rsidRDefault="00BB7660" w:rsidP="00BB7660">
      <w:pPr>
        <w:pStyle w:val="notetext"/>
      </w:pPr>
      <w:r w:rsidRPr="00A00F6F">
        <w:t xml:space="preserve">Note 3: </w:t>
      </w:r>
      <w:r w:rsidRPr="00A00F6F">
        <w:tab/>
        <w:t>For the energy sector, this rule is modified by clause 4.2 of Schedule 4.</w:t>
      </w:r>
    </w:p>
    <w:p w14:paraId="649A6E55" w14:textId="77777777" w:rsidR="00BB7660" w:rsidRDefault="00BB7660" w:rsidP="00BB7660">
      <w:pPr>
        <w:pStyle w:val="subsection"/>
      </w:pPr>
      <w:r w:rsidRPr="00E1300D">
        <w:tab/>
      </w:r>
      <w:r>
        <w:t>(2)</w:t>
      </w:r>
      <w:r w:rsidRPr="00E1300D">
        <w:tab/>
        <w:t xml:space="preserve">Such a service is a </w:t>
      </w:r>
      <w:r w:rsidRPr="00E1300D">
        <w:rPr>
          <w:b/>
          <w:i/>
        </w:rPr>
        <w:t>product data request service</w:t>
      </w:r>
      <w:r w:rsidRPr="00E1300D">
        <w:t>.</w:t>
      </w:r>
    </w:p>
    <w:p w14:paraId="13879710" w14:textId="77777777" w:rsidR="00BB7660" w:rsidRDefault="00BB7660" w:rsidP="00BB7660">
      <w:pPr>
        <w:pStyle w:val="ActHead5"/>
      </w:pPr>
      <w:bookmarkStart w:id="53" w:name="_Toc11771574"/>
      <w:bookmarkStart w:id="54" w:name="_Toc111131984"/>
      <w:r>
        <w:t>1.13</w:t>
      </w:r>
      <w:r w:rsidRPr="00B3173B">
        <w:t xml:space="preserve">  Consumer data request service</w:t>
      </w:r>
      <w:bookmarkEnd w:id="53"/>
      <w:bookmarkEnd w:id="54"/>
    </w:p>
    <w:p w14:paraId="53BAEEAB" w14:textId="77777777" w:rsidR="00BB7660" w:rsidRPr="004C52E6" w:rsidRDefault="00BB7660" w:rsidP="00BB7660">
      <w:pPr>
        <w:pStyle w:val="subsection"/>
      </w:pPr>
      <w:bookmarkStart w:id="55" w:name="_Toc11771575"/>
      <w:r w:rsidRPr="004C52E6">
        <w:tab/>
        <w:t>(1)</w:t>
      </w:r>
      <w:r w:rsidRPr="004C52E6">
        <w:tab/>
        <w:t>A data holder must provide:</w:t>
      </w:r>
    </w:p>
    <w:p w14:paraId="4562F641" w14:textId="77777777" w:rsidR="00BB7660" w:rsidRPr="004C52E6" w:rsidRDefault="00BB7660" w:rsidP="00BB7660">
      <w:pPr>
        <w:pStyle w:val="paragraph"/>
      </w:pPr>
      <w:r w:rsidRPr="004C52E6">
        <w:tab/>
        <w:t>(a)</w:t>
      </w:r>
      <w:r w:rsidRPr="004C52E6">
        <w:tab/>
        <w:t>an online service that:</w:t>
      </w:r>
    </w:p>
    <w:p w14:paraId="008DF72E" w14:textId="77777777" w:rsidR="00BB7660" w:rsidRPr="004C52E6" w:rsidRDefault="00BB7660" w:rsidP="00BB7660">
      <w:pPr>
        <w:pStyle w:val="paragraphsub"/>
      </w:pPr>
      <w:r w:rsidRPr="004C52E6">
        <w:tab/>
        <w:t>(i)</w:t>
      </w:r>
      <w:r w:rsidRPr="004C52E6">
        <w:tab/>
        <w:t>can be used by eligible CDR consumers to make consumer data requests directly to the data holder; and</w:t>
      </w:r>
    </w:p>
    <w:p w14:paraId="615051D6" w14:textId="77777777" w:rsidR="00BB7660" w:rsidRPr="004C52E6" w:rsidRDefault="00BB7660" w:rsidP="00BB7660">
      <w:pPr>
        <w:pStyle w:val="paragraphsub"/>
      </w:pPr>
      <w:r w:rsidRPr="004C52E6">
        <w:tab/>
        <w:t>(ii)</w:t>
      </w:r>
      <w:r w:rsidRPr="004C52E6">
        <w:tab/>
        <w:t>allows a request to be made in a manner that is no less timely, efficient and convenient than any of the online services that are ordinarily used by customers of the data holder to deal with it; and</w:t>
      </w:r>
    </w:p>
    <w:p w14:paraId="61606C70" w14:textId="77777777" w:rsidR="00BB7660" w:rsidRPr="004C52E6" w:rsidRDefault="00BB7660" w:rsidP="00BB7660">
      <w:pPr>
        <w:pStyle w:val="paragraphsub"/>
      </w:pPr>
      <w:r w:rsidRPr="004C52E6">
        <w:tab/>
        <w:t>(iii)</w:t>
      </w:r>
      <w:r w:rsidRPr="004C52E6">
        <w:tab/>
        <w:t>enables requested data to be disclosed in human</w:t>
      </w:r>
      <w:r w:rsidRPr="004C52E6">
        <w:noBreakHyphen/>
        <w:t>readable form; and</w:t>
      </w:r>
    </w:p>
    <w:p w14:paraId="4B2CE6FE" w14:textId="77777777" w:rsidR="00BB7660" w:rsidRPr="004C52E6" w:rsidRDefault="00BB7660" w:rsidP="00BB7660">
      <w:pPr>
        <w:pStyle w:val="paragraphsub"/>
      </w:pPr>
      <w:r w:rsidRPr="004C52E6">
        <w:tab/>
        <w:t>(iv)</w:t>
      </w:r>
      <w:r w:rsidRPr="004C52E6">
        <w:tab/>
        <w:t>sets out any fees for disclosure of voluntary consumer data; and</w:t>
      </w:r>
    </w:p>
    <w:p w14:paraId="14A6841B" w14:textId="77777777" w:rsidR="00BB7660" w:rsidRPr="004C52E6" w:rsidRDefault="00BB7660" w:rsidP="00BB7660">
      <w:pPr>
        <w:pStyle w:val="paragraphsub"/>
      </w:pPr>
      <w:r w:rsidRPr="004C52E6">
        <w:tab/>
        <w:t>(v)</w:t>
      </w:r>
      <w:r w:rsidRPr="004C52E6">
        <w:tab/>
        <w:t>conforms with the data standards; and</w:t>
      </w:r>
    </w:p>
    <w:p w14:paraId="5326AD84" w14:textId="77777777" w:rsidR="00BB7660" w:rsidRPr="004C52E6" w:rsidRDefault="00BB7660" w:rsidP="00BB7660">
      <w:pPr>
        <w:pStyle w:val="paragraph"/>
      </w:pPr>
      <w:r w:rsidRPr="004C52E6">
        <w:tab/>
        <w:t>(b)</w:t>
      </w:r>
      <w:r w:rsidRPr="004C52E6">
        <w:tab/>
        <w:t>an online service that:</w:t>
      </w:r>
    </w:p>
    <w:p w14:paraId="0DDB7327" w14:textId="77777777" w:rsidR="00BB7660" w:rsidRPr="004C52E6" w:rsidRDefault="00BB7660" w:rsidP="00BB7660">
      <w:pPr>
        <w:pStyle w:val="paragraphsub"/>
      </w:pPr>
      <w:r w:rsidRPr="004C52E6">
        <w:tab/>
        <w:t>(i)</w:t>
      </w:r>
      <w:r w:rsidRPr="004C52E6">
        <w:tab/>
        <w:t>can be used by accredited persons to make consumer data requests, on behalf of eligible CDR consumers, to the data holder; and</w:t>
      </w:r>
    </w:p>
    <w:p w14:paraId="36DD5C9C" w14:textId="77777777" w:rsidR="00BB7660" w:rsidRPr="004C52E6" w:rsidRDefault="00BB7660" w:rsidP="00BB7660">
      <w:pPr>
        <w:pStyle w:val="paragraphsub"/>
      </w:pPr>
      <w:r w:rsidRPr="004C52E6">
        <w:tab/>
        <w:t>(ii)</w:t>
      </w:r>
      <w:r w:rsidRPr="004C52E6">
        <w:tab/>
        <w:t>enables requested data to be disclosed in machine</w:t>
      </w:r>
      <w:r w:rsidRPr="004C52E6">
        <w:noBreakHyphen/>
        <w:t>readable form; and</w:t>
      </w:r>
    </w:p>
    <w:p w14:paraId="6536A469" w14:textId="77777777" w:rsidR="00BB7660" w:rsidRPr="004C52E6" w:rsidRDefault="00BB7660" w:rsidP="00BB7660">
      <w:pPr>
        <w:pStyle w:val="paragraphsub"/>
      </w:pPr>
      <w:r w:rsidRPr="004C52E6">
        <w:tab/>
        <w:t>(iii)</w:t>
      </w:r>
      <w:r w:rsidRPr="004C52E6">
        <w:tab/>
        <w:t>conforms with the data standards; and</w:t>
      </w:r>
    </w:p>
    <w:p w14:paraId="7C4E44E1" w14:textId="77777777" w:rsidR="00BB7660" w:rsidRPr="004C52E6" w:rsidRDefault="00BB7660" w:rsidP="00BB7660">
      <w:pPr>
        <w:pStyle w:val="paragraph"/>
      </w:pPr>
      <w:r w:rsidRPr="004C52E6">
        <w:tab/>
        <w:t>(c)</w:t>
      </w:r>
      <w:r w:rsidRPr="004C52E6">
        <w:tab/>
        <w:t>for each eligible CDR consumer that is not an individual—a service that can be used to:</w:t>
      </w:r>
    </w:p>
    <w:p w14:paraId="61B56BCA" w14:textId="77777777" w:rsidR="00BB7660" w:rsidRPr="004C52E6" w:rsidRDefault="00BB7660" w:rsidP="00BB7660">
      <w:pPr>
        <w:pStyle w:val="paragraphsub"/>
      </w:pPr>
      <w:r w:rsidRPr="004C52E6">
        <w:tab/>
        <w:t>(i)</w:t>
      </w:r>
      <w:r w:rsidRPr="004C52E6">
        <w:tab/>
        <w:t xml:space="preserve">nominate one or </w:t>
      </w:r>
      <w:r w:rsidRPr="007343DD">
        <w:t>more individuals</w:t>
      </w:r>
      <w:r w:rsidRPr="004C52E6">
        <w:t xml:space="preserve"> </w:t>
      </w:r>
      <w:r w:rsidRPr="00A00F6F">
        <w:t xml:space="preserve">18 years of age or older </w:t>
      </w:r>
      <w:r w:rsidRPr="004C52E6">
        <w:t>(</w:t>
      </w:r>
      <w:r w:rsidRPr="004C52E6">
        <w:rPr>
          <w:b/>
          <w:i/>
        </w:rPr>
        <w:t>nominated representatives</w:t>
      </w:r>
      <w:r w:rsidRPr="004C52E6">
        <w:t>) who are able to give, amend and manage authorisations to disclose CDR data for the purposes of these rules on behalf of the CDR consumer; and</w:t>
      </w:r>
    </w:p>
    <w:p w14:paraId="07F50E8F" w14:textId="77777777" w:rsidR="00BB7660" w:rsidRPr="004C52E6" w:rsidRDefault="00BB7660" w:rsidP="00BB7660">
      <w:pPr>
        <w:pStyle w:val="paragraphsub"/>
      </w:pPr>
      <w:r w:rsidRPr="004C52E6">
        <w:tab/>
        <w:t>(ii)</w:t>
      </w:r>
      <w:r w:rsidRPr="004C52E6">
        <w:tab/>
        <w:t>revoke such a nomination; and</w:t>
      </w:r>
    </w:p>
    <w:p w14:paraId="5F3C462F" w14:textId="77777777" w:rsidR="00BB7660" w:rsidRPr="004C52E6" w:rsidRDefault="00BB7660" w:rsidP="00BB7660">
      <w:pPr>
        <w:pStyle w:val="paragraph"/>
      </w:pPr>
      <w:r w:rsidRPr="004C52E6">
        <w:tab/>
        <w:t>(d)</w:t>
      </w:r>
      <w:r w:rsidRPr="004C52E6">
        <w:tab/>
        <w:t>for each partnership that relates to a partnership account with the data holder—a service that can be used to:</w:t>
      </w:r>
    </w:p>
    <w:p w14:paraId="265D68CB" w14:textId="77777777" w:rsidR="00BB7660" w:rsidRPr="004C52E6" w:rsidRDefault="00BB7660" w:rsidP="00BB7660">
      <w:pPr>
        <w:pStyle w:val="paragraphsub"/>
      </w:pPr>
      <w:r w:rsidRPr="004C52E6">
        <w:tab/>
        <w:t>(i)</w:t>
      </w:r>
      <w:r w:rsidRPr="004C52E6">
        <w:tab/>
        <w:t>nominate one or more individuals</w:t>
      </w:r>
      <w:r>
        <w:t xml:space="preserve"> </w:t>
      </w:r>
      <w:r w:rsidRPr="00A00F6F">
        <w:t xml:space="preserve">18 years of age or older </w:t>
      </w:r>
      <w:r w:rsidRPr="004C52E6">
        <w:t>(</w:t>
      </w:r>
      <w:r w:rsidRPr="004C52E6">
        <w:rPr>
          <w:b/>
          <w:i/>
        </w:rPr>
        <w:t>nominated representatives</w:t>
      </w:r>
      <w:r w:rsidRPr="004C52E6">
        <w:t xml:space="preserve">) who are able to give, amend and manage authorisations to disclose CDR data that relate to the partnership accounts of that partnership for the purposes of these rules on behalf of the CDR consumers who are its partners; and </w:t>
      </w:r>
    </w:p>
    <w:p w14:paraId="688A06EA" w14:textId="77777777" w:rsidR="00BB7660" w:rsidRPr="004C52E6" w:rsidRDefault="00BB7660" w:rsidP="00BB7660">
      <w:pPr>
        <w:pStyle w:val="paragraphsub"/>
      </w:pPr>
      <w:r w:rsidRPr="004C52E6">
        <w:tab/>
        <w:t>(ii)</w:t>
      </w:r>
      <w:r w:rsidRPr="004C52E6">
        <w:tab/>
        <w:t>revoke such a nomination; and</w:t>
      </w:r>
    </w:p>
    <w:p w14:paraId="123830AD" w14:textId="77777777" w:rsidR="00BB7660" w:rsidRPr="004C52E6" w:rsidRDefault="00BB7660" w:rsidP="00BB7660">
      <w:pPr>
        <w:pStyle w:val="paragraph"/>
      </w:pPr>
      <w:r w:rsidRPr="004C52E6">
        <w:lastRenderedPageBreak/>
        <w:tab/>
        <w:t>(e)</w:t>
      </w:r>
      <w:r w:rsidRPr="004C52E6">
        <w:tab/>
        <w:t xml:space="preserve">in relation to each </w:t>
      </w:r>
      <w:r w:rsidRPr="00506306">
        <w:t xml:space="preserve">account in relation to which a person has account privileges―a </w:t>
      </w:r>
      <w:r w:rsidRPr="004C52E6">
        <w:t>service that can be used by the account holder to:</w:t>
      </w:r>
    </w:p>
    <w:p w14:paraId="10B02562" w14:textId="77777777" w:rsidR="00BB7660" w:rsidRPr="004C52E6" w:rsidRDefault="00BB7660" w:rsidP="00BB7660">
      <w:pPr>
        <w:pStyle w:val="paragraphsub"/>
      </w:pPr>
      <w:r w:rsidRPr="004C52E6">
        <w:tab/>
        <w:t>(i)</w:t>
      </w:r>
      <w:r w:rsidRPr="004C52E6">
        <w:tab/>
        <w:t>make a secondary user instruction; and</w:t>
      </w:r>
    </w:p>
    <w:p w14:paraId="5096CD7C" w14:textId="77777777" w:rsidR="00BB7660" w:rsidRDefault="00BB7660" w:rsidP="00BB7660">
      <w:pPr>
        <w:pStyle w:val="paragraphsub"/>
      </w:pPr>
      <w:r w:rsidRPr="004C52E6">
        <w:tab/>
        <w:t>(ii)</w:t>
      </w:r>
      <w:r w:rsidRPr="004C52E6">
        <w:tab/>
      </w:r>
      <w:r w:rsidRPr="00A00F6F">
        <w:t xml:space="preserve">withdraw </w:t>
      </w:r>
      <w:r w:rsidRPr="004C52E6">
        <w:t>the instruction.</w:t>
      </w:r>
    </w:p>
    <w:p w14:paraId="4455E051" w14:textId="77777777" w:rsidR="00BB7660" w:rsidRPr="009C4B0C" w:rsidRDefault="00BB7660" w:rsidP="00BB7660">
      <w:pPr>
        <w:pStyle w:val="notetext"/>
        <w:rPr>
          <w:szCs w:val="18"/>
        </w:rPr>
      </w:pPr>
      <w:r w:rsidRPr="009C4B0C">
        <w:t>Note 1:</w:t>
      </w:r>
      <w:r w:rsidRPr="009C4B0C">
        <w:tab/>
        <w:t xml:space="preserve">See rule 3.3 for the meaning of “consumer data request” in relation to a request made by a CDR </w:t>
      </w:r>
      <w:r w:rsidRPr="009C4B0C">
        <w:rPr>
          <w:szCs w:val="18"/>
        </w:rPr>
        <w:t>consumer directly to a data holder.</w:t>
      </w:r>
    </w:p>
    <w:p w14:paraId="2D8B6E33" w14:textId="77777777" w:rsidR="00BB7660" w:rsidRPr="009C4B0C" w:rsidRDefault="00BB7660" w:rsidP="00BB7660">
      <w:pPr>
        <w:pStyle w:val="notetext"/>
      </w:pPr>
      <w:r w:rsidRPr="009C4B0C">
        <w:t>Note 2:</w:t>
      </w:r>
      <w:r w:rsidRPr="009C4B0C">
        <w:tab/>
        <w:t>See rule 4.4 for the meaning of “consumer data request” in relation to a request made by an accredited person to a data holder on behalf of a CDR consumer.</w:t>
      </w:r>
    </w:p>
    <w:p w14:paraId="590F6E25" w14:textId="77777777" w:rsidR="00BB7660" w:rsidRPr="004C52E6" w:rsidRDefault="00BB7660" w:rsidP="00BB7660">
      <w:pPr>
        <w:pStyle w:val="notetext"/>
      </w:pPr>
      <w:r w:rsidRPr="004C52E6">
        <w:t>Note 3:</w:t>
      </w:r>
      <w:r w:rsidRPr="004C52E6">
        <w:tab/>
        <w:t>In the circumstances of paragraphs (1)(c) and (d), a person or partnership that does not have a nominated representative will not</w:t>
      </w:r>
      <w:r w:rsidRPr="00E649F5">
        <w:t xml:space="preserve"> </w:t>
      </w:r>
      <w:r w:rsidRPr="004A04A4">
        <w:rPr>
          <w:color w:val="0000FF"/>
        </w:rPr>
        <w:t>be</w:t>
      </w:r>
      <w:r w:rsidRPr="00E649F5">
        <w:rPr>
          <w:color w:val="0000FF"/>
        </w:rPr>
        <w:t xml:space="preserve"> </w:t>
      </w:r>
      <w:r w:rsidRPr="004C52E6">
        <w:t>able to give or amend authorisations, or use the dashboard to manage authorisations (see subrule 1.15(2A)), and accordingly, the data holder will be neither required nor permitted to disclose the requested CDR data under these rules.</w:t>
      </w:r>
    </w:p>
    <w:p w14:paraId="4001768E" w14:textId="77777777" w:rsidR="00BB7660" w:rsidRPr="004C52E6" w:rsidRDefault="00BB7660" w:rsidP="00BB7660">
      <w:pPr>
        <w:pStyle w:val="notetext"/>
      </w:pPr>
      <w:r w:rsidRPr="004C52E6">
        <w:t>Note 4:</w:t>
      </w:r>
      <w:r w:rsidRPr="004C52E6">
        <w:tab/>
        <w:t>The services of paragraphs (c), (d) and (e) may, but need not, be online.</w:t>
      </w:r>
    </w:p>
    <w:p w14:paraId="132DFBC2" w14:textId="77777777" w:rsidR="00BB7660" w:rsidRPr="004C52E6" w:rsidRDefault="00BB7660" w:rsidP="00BB7660">
      <w:pPr>
        <w:pStyle w:val="notetext"/>
      </w:pPr>
      <w:r w:rsidRPr="004C52E6">
        <w:t>Note 5:</w:t>
      </w:r>
      <w:r w:rsidRPr="004C52E6">
        <w:tab/>
        <w:t>This subrule is a civil penalty provision (see rule 9.8).</w:t>
      </w:r>
    </w:p>
    <w:p w14:paraId="661FF09B" w14:textId="77777777" w:rsidR="00BB7660" w:rsidRPr="004C52E6" w:rsidRDefault="00BB7660" w:rsidP="00BB7660">
      <w:pPr>
        <w:pStyle w:val="subsection"/>
      </w:pPr>
      <w:r w:rsidRPr="004C52E6">
        <w:tab/>
        <w:t>(2)</w:t>
      </w:r>
      <w:r w:rsidRPr="004C52E6">
        <w:tab/>
        <w:t xml:space="preserve">The service referred to in paragraph (1)(a) is the data holder’s </w:t>
      </w:r>
      <w:r w:rsidRPr="004C52E6">
        <w:rPr>
          <w:b/>
          <w:i/>
        </w:rPr>
        <w:t>direct request</w:t>
      </w:r>
      <w:r w:rsidRPr="004C52E6">
        <w:t xml:space="preserve"> </w:t>
      </w:r>
      <w:r w:rsidRPr="004C52E6">
        <w:rPr>
          <w:b/>
          <w:i/>
        </w:rPr>
        <w:t>service</w:t>
      </w:r>
      <w:r w:rsidRPr="004C52E6">
        <w:t>.</w:t>
      </w:r>
    </w:p>
    <w:p w14:paraId="725E4DD0" w14:textId="77777777" w:rsidR="00BB7660" w:rsidRPr="004C52E6" w:rsidRDefault="00BB7660" w:rsidP="00BB7660">
      <w:pPr>
        <w:pStyle w:val="subsection"/>
      </w:pPr>
      <w:r w:rsidRPr="004C52E6">
        <w:tab/>
        <w:t>(3)</w:t>
      </w:r>
      <w:r w:rsidRPr="004C52E6">
        <w:tab/>
        <w:t xml:space="preserve">The service referred to in paragraph (1)(b) is the data holder’s </w:t>
      </w:r>
      <w:r w:rsidRPr="004C52E6">
        <w:rPr>
          <w:b/>
          <w:i/>
        </w:rPr>
        <w:t>accredited person request service</w:t>
      </w:r>
      <w:r w:rsidRPr="004C52E6">
        <w:t>.</w:t>
      </w:r>
    </w:p>
    <w:p w14:paraId="26DC06CC" w14:textId="77777777" w:rsidR="00BB7660" w:rsidRPr="004C52E6" w:rsidRDefault="00BB7660" w:rsidP="00BB7660">
      <w:pPr>
        <w:pStyle w:val="subsection"/>
      </w:pPr>
      <w:r w:rsidRPr="004C52E6">
        <w:tab/>
        <w:t>(4)</w:t>
      </w:r>
      <w:r w:rsidRPr="004C52E6">
        <w:tab/>
        <w:t>A data holder does not contravene subrule (1) in relation to subparagraph (1)(a)(ii) so long as it takes reasonable steps to ensure that the online service complies with that subparagraph.</w:t>
      </w:r>
    </w:p>
    <w:p w14:paraId="61FD78AE" w14:textId="77777777" w:rsidR="00BB7660" w:rsidRDefault="00BB7660" w:rsidP="00BB7660">
      <w:pPr>
        <w:pStyle w:val="ActHead4"/>
        <w:pageBreakBefore/>
      </w:pPr>
      <w:bookmarkStart w:id="56" w:name="_Toc111131985"/>
      <w:r>
        <w:lastRenderedPageBreak/>
        <w:t>Subdivision 1.4.3</w:t>
      </w:r>
      <w:r w:rsidRPr="007E69B9">
        <w:t xml:space="preserve">—Services for managing </w:t>
      </w:r>
      <w:r>
        <w:t xml:space="preserve">consumer data </w:t>
      </w:r>
      <w:r w:rsidRPr="007E69B9">
        <w:t xml:space="preserve">requests </w:t>
      </w:r>
      <w:r>
        <w:t>made by accredited persons</w:t>
      </w:r>
      <w:bookmarkEnd w:id="55"/>
      <w:bookmarkEnd w:id="56"/>
    </w:p>
    <w:p w14:paraId="540B8A5E" w14:textId="77777777" w:rsidR="00BB7660" w:rsidRPr="00B3173B" w:rsidRDefault="00BB7660" w:rsidP="00BB7660">
      <w:pPr>
        <w:pStyle w:val="ActHead5"/>
      </w:pPr>
      <w:bookmarkStart w:id="57" w:name="_Toc11771576"/>
      <w:bookmarkStart w:id="58" w:name="_Toc111131986"/>
      <w:r>
        <w:t>1.14</w:t>
      </w:r>
      <w:r w:rsidRPr="00B3173B">
        <w:t xml:space="preserve">  Consumer dashboard—accredited person</w:t>
      </w:r>
      <w:bookmarkEnd w:id="57"/>
      <w:bookmarkEnd w:id="58"/>
    </w:p>
    <w:p w14:paraId="59C82C36" w14:textId="77777777" w:rsidR="00BB7660" w:rsidRPr="00A00F6F" w:rsidRDefault="00BB7660" w:rsidP="00BB7660">
      <w:pPr>
        <w:pStyle w:val="subsection"/>
      </w:pPr>
      <w:r w:rsidRPr="00A7585D">
        <w:tab/>
        <w:t>(1)</w:t>
      </w:r>
      <w:r w:rsidRPr="00A7585D">
        <w:tab/>
      </w:r>
      <w:r w:rsidRPr="00A00F6F">
        <w:t>Subject to subrule (5), an accredited person must provide each eligible CDR consumer on whose behalf the accredited person makes a consumer data request with an online service that:</w:t>
      </w:r>
    </w:p>
    <w:p w14:paraId="6F54FB51" w14:textId="77777777" w:rsidR="00BB7660" w:rsidRPr="00A00F6F" w:rsidRDefault="00BB7660" w:rsidP="00BB7660">
      <w:pPr>
        <w:pStyle w:val="paragraph"/>
      </w:pPr>
      <w:r w:rsidRPr="00A00F6F">
        <w:tab/>
        <w:t>(a)</w:t>
      </w:r>
      <w:r w:rsidRPr="00A00F6F">
        <w:tab/>
        <w:t>can be used by the CDR consumer to manage:</w:t>
      </w:r>
    </w:p>
    <w:p w14:paraId="2A3A3B41" w14:textId="77777777" w:rsidR="00BB7660" w:rsidRPr="00A00F6F" w:rsidRDefault="00BB7660" w:rsidP="00BB7660">
      <w:pPr>
        <w:pStyle w:val="paragraphsub"/>
      </w:pPr>
      <w:r w:rsidRPr="00A00F6F">
        <w:tab/>
        <w:t>(i)</w:t>
      </w:r>
      <w:r w:rsidRPr="00A00F6F">
        <w:tab/>
        <w:t>such requests; and</w:t>
      </w:r>
    </w:p>
    <w:p w14:paraId="16FFE496" w14:textId="77777777" w:rsidR="00BB7660" w:rsidRPr="00A00F6F" w:rsidRDefault="00BB7660" w:rsidP="00BB7660">
      <w:pPr>
        <w:pStyle w:val="paragraphsub"/>
      </w:pPr>
      <w:r w:rsidRPr="00A00F6F">
        <w:tab/>
        <w:t>(ii)</w:t>
      </w:r>
      <w:r w:rsidRPr="00A00F6F">
        <w:tab/>
        <w:t>associated consents; and</w:t>
      </w:r>
    </w:p>
    <w:p w14:paraId="71F11C44" w14:textId="77777777" w:rsidR="00BB7660" w:rsidRPr="00F07699" w:rsidRDefault="00BB7660" w:rsidP="00BB7660">
      <w:pPr>
        <w:pStyle w:val="paragraph"/>
      </w:pPr>
      <w:r w:rsidRPr="00F07699">
        <w:tab/>
        <w:t>(b)</w:t>
      </w:r>
      <w:r w:rsidRPr="00F07699">
        <w:tab/>
        <w:t>contains the details of each consent specified in subrule (3)</w:t>
      </w:r>
      <w:r w:rsidRPr="00A00F6F">
        <w:t xml:space="preserve"> and the information specified in subrule (3A)</w:t>
      </w:r>
      <w:r w:rsidRPr="00F07699">
        <w:t>; and</w:t>
      </w:r>
    </w:p>
    <w:p w14:paraId="49D64B5F" w14:textId="77777777" w:rsidR="00BB7660" w:rsidRPr="00F07699" w:rsidRDefault="00BB7660" w:rsidP="00BB7660">
      <w:pPr>
        <w:pStyle w:val="paragraph"/>
      </w:pPr>
      <w:r w:rsidRPr="00F07699">
        <w:tab/>
        <w:t>(c)</w:t>
      </w:r>
      <w:r w:rsidRPr="00F07699">
        <w:tab/>
        <w:t>has a functionality that:</w:t>
      </w:r>
    </w:p>
    <w:p w14:paraId="3D16604A" w14:textId="77777777" w:rsidR="00BB7660" w:rsidRPr="00F07699" w:rsidRDefault="00BB7660" w:rsidP="00BB7660">
      <w:pPr>
        <w:pStyle w:val="paragraphsub"/>
      </w:pPr>
      <w:r w:rsidRPr="00F07699">
        <w:tab/>
        <w:t>(i)</w:t>
      </w:r>
      <w:r w:rsidRPr="00F07699">
        <w:tab/>
        <w:t xml:space="preserve">allows </w:t>
      </w:r>
      <w:r w:rsidRPr="00A00F6F">
        <w:t>the CDR consumer</w:t>
      </w:r>
      <w:r w:rsidRPr="00F07699">
        <w:t>, at any time, to:</w:t>
      </w:r>
    </w:p>
    <w:p w14:paraId="1E78DC7D" w14:textId="77777777" w:rsidR="00BB7660" w:rsidRPr="00F9694F" w:rsidRDefault="00BB7660" w:rsidP="00BB7660">
      <w:pPr>
        <w:pStyle w:val="paragraphsub-sub"/>
      </w:pPr>
      <w:r w:rsidRPr="00F9694F">
        <w:tab/>
        <w:t>(A)</w:t>
      </w:r>
      <w:r w:rsidRPr="00F9694F">
        <w:tab/>
        <w:t>withdraw current consents; and</w:t>
      </w:r>
    </w:p>
    <w:p w14:paraId="1DAF6694" w14:textId="77777777" w:rsidR="00BB7660" w:rsidRDefault="00BB7660" w:rsidP="00BB7660">
      <w:pPr>
        <w:pStyle w:val="paragraphsub-sub"/>
      </w:pPr>
      <w:r w:rsidRPr="00F9694F">
        <w:tab/>
        <w:t>(B)</w:t>
      </w:r>
      <w:r w:rsidRPr="00F9694F">
        <w:tab/>
        <w:t>elect that redundant data be deleted in accordance with these rules and withdraw such an election; and</w:t>
      </w:r>
    </w:p>
    <w:p w14:paraId="6CFEF3F6" w14:textId="77777777" w:rsidR="00BB7660" w:rsidRPr="00F9694F" w:rsidRDefault="00BB7660" w:rsidP="00BB7660">
      <w:pPr>
        <w:pStyle w:val="paragraphsub"/>
      </w:pPr>
      <w:r w:rsidRPr="00F9694F">
        <w:tab/>
        <w:t>(ii)</w:t>
      </w:r>
      <w:r w:rsidRPr="00F9694F">
        <w:tab/>
        <w:t>is simple and straightforward to use; and</w:t>
      </w:r>
    </w:p>
    <w:p w14:paraId="0BE2070D" w14:textId="77777777" w:rsidR="00BB7660" w:rsidRPr="00F9694F" w:rsidRDefault="00BB7660" w:rsidP="00BB7660">
      <w:pPr>
        <w:pStyle w:val="paragraphsub"/>
      </w:pPr>
      <w:r w:rsidRPr="00F9694F">
        <w:tab/>
        <w:t>(iii)</w:t>
      </w:r>
      <w:r w:rsidRPr="00F9694F">
        <w:tab/>
        <w:t>is prominently displayed.</w:t>
      </w:r>
    </w:p>
    <w:p w14:paraId="793539BD" w14:textId="77777777" w:rsidR="00BB7660" w:rsidRDefault="00BB7660" w:rsidP="00BB7660">
      <w:pPr>
        <w:pStyle w:val="notetext"/>
      </w:pPr>
      <w:r w:rsidRPr="00E1300D">
        <w:t>Note:</w:t>
      </w:r>
      <w:r w:rsidRPr="00E1300D">
        <w:tab/>
        <w:t>This subrule is a civil penalty provision (see rule </w:t>
      </w:r>
      <w:r>
        <w:t>9.8</w:t>
      </w:r>
      <w:r w:rsidRPr="00E1300D">
        <w:t>).</w:t>
      </w:r>
    </w:p>
    <w:p w14:paraId="09F4F476" w14:textId="77777777" w:rsidR="00BB7660" w:rsidRPr="00E1300D" w:rsidRDefault="00BB7660" w:rsidP="00BB7660">
      <w:pPr>
        <w:pStyle w:val="subsection"/>
      </w:pPr>
      <w:r w:rsidRPr="00E1300D">
        <w:tab/>
      </w:r>
      <w:r>
        <w:t>(2)</w:t>
      </w:r>
      <w:r w:rsidRPr="00E1300D">
        <w:tab/>
        <w:t xml:space="preserve">Such a service is the accredited person’s </w:t>
      </w:r>
      <w:r w:rsidRPr="00E1300D">
        <w:rPr>
          <w:b/>
          <w:i/>
        </w:rPr>
        <w:t xml:space="preserve">consumer dashboard </w:t>
      </w:r>
      <w:r w:rsidRPr="00E1300D">
        <w:t>for that consumer.</w:t>
      </w:r>
    </w:p>
    <w:p w14:paraId="1552FC75" w14:textId="77777777" w:rsidR="002C25BB" w:rsidRPr="00F524AD" w:rsidRDefault="002C25BB" w:rsidP="002C25BB">
      <w:pPr>
        <w:pStyle w:val="subsection"/>
        <w:rPr>
          <w:color w:val="0000FF"/>
        </w:rPr>
      </w:pPr>
      <w:r w:rsidRPr="00F524AD">
        <w:rPr>
          <w:color w:val="0000FF"/>
        </w:rPr>
        <w:tab/>
        <w:t>(2A)</w:t>
      </w:r>
      <w:r w:rsidRPr="00F524AD">
        <w:rPr>
          <w:color w:val="0000FF"/>
        </w:rPr>
        <w:tab/>
        <w:t>The consumer dashboard may also include functionality that allows a CDR consumer to do one or more of the following:</w:t>
      </w:r>
    </w:p>
    <w:p w14:paraId="2BABC0B7" w14:textId="77777777" w:rsidR="002C25BB" w:rsidRPr="00F524AD" w:rsidRDefault="002C25BB" w:rsidP="002C25BB">
      <w:pPr>
        <w:pStyle w:val="paragraph"/>
        <w:rPr>
          <w:color w:val="0000FF"/>
        </w:rPr>
      </w:pPr>
      <w:r w:rsidRPr="00F524AD">
        <w:rPr>
          <w:color w:val="0000FF"/>
        </w:rPr>
        <w:tab/>
        <w:t>(a)</w:t>
      </w:r>
      <w:r w:rsidRPr="00F524AD">
        <w:rPr>
          <w:color w:val="0000FF"/>
        </w:rPr>
        <w:tab/>
        <w:t>amend a current consent;</w:t>
      </w:r>
    </w:p>
    <w:p w14:paraId="770CE666" w14:textId="77777777" w:rsidR="002C25BB" w:rsidRPr="00F524AD" w:rsidRDefault="002C25BB" w:rsidP="002C25BB">
      <w:pPr>
        <w:pStyle w:val="paragraph"/>
        <w:rPr>
          <w:color w:val="0000FF"/>
        </w:rPr>
      </w:pPr>
      <w:r w:rsidRPr="00F524AD">
        <w:rPr>
          <w:color w:val="0000FF"/>
        </w:rPr>
        <w:tab/>
        <w:t>(</w:t>
      </w:r>
      <w:r w:rsidR="00275222" w:rsidRPr="00F524AD">
        <w:rPr>
          <w:color w:val="0000FF"/>
        </w:rPr>
        <w:t>b</w:t>
      </w:r>
      <w:r w:rsidRPr="00F524AD">
        <w:rPr>
          <w:color w:val="0000FF"/>
        </w:rPr>
        <w:t>)</w:t>
      </w:r>
      <w:r w:rsidRPr="00F524AD">
        <w:rPr>
          <w:color w:val="0000FF"/>
        </w:rPr>
        <w:tab/>
        <w:t>make a request to disclose corrected CDR data, as mentioned in subparagraph 7.10(1)(d)(i).</w:t>
      </w:r>
    </w:p>
    <w:p w14:paraId="44EFC08E" w14:textId="77777777" w:rsidR="00E649F5" w:rsidRPr="00E649F5" w:rsidRDefault="00E649F5" w:rsidP="00E649F5">
      <w:pPr>
        <w:pStyle w:val="subsection"/>
        <w:rPr>
          <w:strike/>
          <w:color w:val="0000FF"/>
        </w:rPr>
      </w:pPr>
      <w:r w:rsidRPr="00E649F5">
        <w:rPr>
          <w:strike/>
          <w:color w:val="0000FF"/>
        </w:rPr>
        <w:tab/>
        <w:t>(2A)</w:t>
      </w:r>
      <w:r w:rsidRPr="00E649F5">
        <w:rPr>
          <w:strike/>
          <w:color w:val="0000FF"/>
        </w:rPr>
        <w:tab/>
        <w:t>The consumer dashboard may, on and after 1 July 2021, also include a functionality that allows a CDR consumer to amend a current consent.</w:t>
      </w:r>
    </w:p>
    <w:p w14:paraId="3CBAD7D6" w14:textId="77777777" w:rsidR="00BB7660" w:rsidRPr="00F9694F" w:rsidRDefault="00BB7660" w:rsidP="00BB7660">
      <w:pPr>
        <w:pStyle w:val="subsection"/>
      </w:pPr>
      <w:r w:rsidRPr="00F9694F">
        <w:tab/>
        <w:t>(3)</w:t>
      </w:r>
      <w:r w:rsidRPr="00F9694F">
        <w:tab/>
        <w:t>For paragraph (1)(b), the information is the following for each consent:</w:t>
      </w:r>
    </w:p>
    <w:p w14:paraId="66F6F4D2" w14:textId="77777777" w:rsidR="00BB7660" w:rsidRPr="00F9694F" w:rsidRDefault="00BB7660" w:rsidP="00BB7660">
      <w:pPr>
        <w:pStyle w:val="paragraph"/>
      </w:pPr>
      <w:r w:rsidRPr="00F9694F">
        <w:tab/>
        <w:t>(a)</w:t>
      </w:r>
      <w:r w:rsidRPr="00F9694F">
        <w:tab/>
        <w:t>details of the CDR data to which the consent relates;</w:t>
      </w:r>
    </w:p>
    <w:p w14:paraId="2B1B1274" w14:textId="77777777" w:rsidR="00BB7660" w:rsidRPr="00F9694F" w:rsidRDefault="00BB7660" w:rsidP="00BB7660">
      <w:pPr>
        <w:pStyle w:val="paragraph"/>
      </w:pPr>
      <w:r w:rsidRPr="00F9694F">
        <w:tab/>
        <w:t>(b)</w:t>
      </w:r>
      <w:r w:rsidRPr="00F9694F">
        <w:tab/>
        <w:t>for a use consent―details of the specific use or uses for which the CDR consumer has given their consent;</w:t>
      </w:r>
    </w:p>
    <w:p w14:paraId="489FB0C6" w14:textId="77777777" w:rsidR="00BB7660" w:rsidRPr="00F9694F" w:rsidRDefault="00BB7660" w:rsidP="00BB7660">
      <w:pPr>
        <w:pStyle w:val="paragraph"/>
      </w:pPr>
      <w:r w:rsidRPr="00F9694F">
        <w:tab/>
        <w:t>(c)</w:t>
      </w:r>
      <w:r w:rsidRPr="00F9694F">
        <w:tab/>
        <w:t>when the CDR consumer gave the consent;</w:t>
      </w:r>
    </w:p>
    <w:p w14:paraId="314D8475" w14:textId="77777777" w:rsidR="00BB7660" w:rsidRPr="00F9694F" w:rsidRDefault="00BB7660" w:rsidP="00BB7660">
      <w:pPr>
        <w:pStyle w:val="paragraph"/>
      </w:pPr>
      <w:r w:rsidRPr="00F9694F">
        <w:tab/>
        <w:t>(d)</w:t>
      </w:r>
      <w:r w:rsidRPr="00F9694F">
        <w:tab/>
        <w:t>whether the consent applies:</w:t>
      </w:r>
    </w:p>
    <w:p w14:paraId="05DF3EE5" w14:textId="77777777" w:rsidR="00BB7660" w:rsidRPr="00F9694F" w:rsidRDefault="00BB7660" w:rsidP="00BB7660">
      <w:pPr>
        <w:pStyle w:val="paragraphsub"/>
      </w:pPr>
      <w:r w:rsidRPr="00F9694F">
        <w:tab/>
        <w:t>(i)</w:t>
      </w:r>
      <w:r w:rsidRPr="00F9694F">
        <w:tab/>
        <w:t>on a single occasion; or</w:t>
      </w:r>
    </w:p>
    <w:p w14:paraId="607C881E" w14:textId="77777777" w:rsidR="00BB7660" w:rsidRPr="00F9694F" w:rsidRDefault="00BB7660" w:rsidP="00BB7660">
      <w:pPr>
        <w:pStyle w:val="paragraphsub"/>
      </w:pPr>
      <w:r w:rsidRPr="00F9694F">
        <w:tab/>
        <w:t>(ii)</w:t>
      </w:r>
      <w:r w:rsidRPr="00F9694F">
        <w:tab/>
        <w:t>over a period of time;</w:t>
      </w:r>
    </w:p>
    <w:p w14:paraId="247ED831" w14:textId="77777777" w:rsidR="00BB7660" w:rsidRPr="00F9694F" w:rsidRDefault="00BB7660" w:rsidP="00BB7660">
      <w:pPr>
        <w:pStyle w:val="paragraph"/>
      </w:pPr>
      <w:r w:rsidRPr="00F9694F">
        <w:tab/>
        <w:t>(e)</w:t>
      </w:r>
      <w:r w:rsidRPr="00F9694F">
        <w:tab/>
        <w:t>if a collection consent or disclosure consent applies over a period of time:</w:t>
      </w:r>
    </w:p>
    <w:p w14:paraId="31389BDB" w14:textId="77777777" w:rsidR="00BB7660" w:rsidRPr="00F9694F" w:rsidRDefault="00BB7660" w:rsidP="00BB7660">
      <w:pPr>
        <w:pStyle w:val="paragraphsub"/>
      </w:pPr>
      <w:r w:rsidRPr="00F9694F">
        <w:tab/>
        <w:t>(i)</w:t>
      </w:r>
      <w:r w:rsidRPr="00F9694F">
        <w:tab/>
        <w:t>what that period is; and</w:t>
      </w:r>
    </w:p>
    <w:p w14:paraId="63BFE20B" w14:textId="77777777" w:rsidR="00BB7660" w:rsidRPr="00F9694F" w:rsidRDefault="00BB7660" w:rsidP="00BB7660">
      <w:pPr>
        <w:pStyle w:val="paragraphsub"/>
      </w:pPr>
      <w:r w:rsidRPr="00F9694F">
        <w:tab/>
        <w:t>(ii)</w:t>
      </w:r>
      <w:r w:rsidRPr="00F9694F">
        <w:tab/>
        <w:t>how often data has been, and is expected to be, collected or disclosed over that period;</w:t>
      </w:r>
    </w:p>
    <w:p w14:paraId="534FB6C2" w14:textId="77777777" w:rsidR="00BB7660" w:rsidRPr="00A00F6F" w:rsidRDefault="00BB7660" w:rsidP="00BB7660">
      <w:pPr>
        <w:pStyle w:val="paragraph"/>
      </w:pPr>
      <w:r w:rsidRPr="00A00F6F">
        <w:tab/>
        <w:t>(ea)</w:t>
      </w:r>
      <w:r w:rsidRPr="00A00F6F">
        <w:tab/>
        <w:t>for an insight disclosure consent—a description of the CDR insight and to whom it was disclosed;</w:t>
      </w:r>
    </w:p>
    <w:p w14:paraId="3423067F" w14:textId="77777777" w:rsidR="00BB7660" w:rsidRPr="00F9694F" w:rsidRDefault="00BB7660" w:rsidP="00BB7660">
      <w:pPr>
        <w:pStyle w:val="paragraph"/>
      </w:pPr>
      <w:r w:rsidRPr="00F9694F">
        <w:lastRenderedPageBreak/>
        <w:tab/>
        <w:t>(f)</w:t>
      </w:r>
      <w:r w:rsidRPr="00F9694F">
        <w:tab/>
        <w:t>if the consent is current—when it is scheduled to expire;</w:t>
      </w:r>
    </w:p>
    <w:p w14:paraId="3EBCFDB2" w14:textId="77777777" w:rsidR="00BB7660" w:rsidRPr="00F9694F" w:rsidRDefault="00BB7660" w:rsidP="00BB7660">
      <w:pPr>
        <w:pStyle w:val="paragraph"/>
      </w:pPr>
      <w:r w:rsidRPr="00F9694F">
        <w:tab/>
        <w:t>(g)</w:t>
      </w:r>
      <w:r w:rsidRPr="00F9694F">
        <w:tab/>
        <w:t>if the consent is not current—when it expired;</w:t>
      </w:r>
    </w:p>
    <w:p w14:paraId="735D5B0B" w14:textId="77777777" w:rsidR="00BB7660" w:rsidRPr="00F9694F" w:rsidRDefault="00BB7660" w:rsidP="00BB7660">
      <w:pPr>
        <w:pStyle w:val="paragraph"/>
      </w:pPr>
      <w:r w:rsidRPr="00F9694F">
        <w:tab/>
        <w:t>(h)</w:t>
      </w:r>
      <w:r w:rsidRPr="00F9694F">
        <w:tab/>
        <w:t>information relating to CDR data that was collected or disclosed pursuant to the consent (see rule 7.4 and rule 7.9);</w:t>
      </w:r>
    </w:p>
    <w:p w14:paraId="5F7ABCD7" w14:textId="77777777" w:rsidR="00BB7660" w:rsidRPr="00A00F6F" w:rsidRDefault="00BB7660" w:rsidP="00BB7660">
      <w:pPr>
        <w:pStyle w:val="paragraph"/>
      </w:pPr>
      <w:r w:rsidRPr="00A00F6F">
        <w:tab/>
        <w:t>(ha)</w:t>
      </w:r>
      <w:r w:rsidRPr="00A00F6F">
        <w:tab/>
        <w:t>if the accredited person is an affiliate and the CDR data will be collected by a sponsor at its request:</w:t>
      </w:r>
    </w:p>
    <w:p w14:paraId="02AB6A16" w14:textId="77777777" w:rsidR="00BB7660" w:rsidRPr="00A00F6F" w:rsidRDefault="00BB7660" w:rsidP="00BB7660">
      <w:pPr>
        <w:pStyle w:val="paragraphsub"/>
      </w:pPr>
      <w:r w:rsidRPr="00A00F6F">
        <w:tab/>
        <w:t>(i)</w:t>
      </w:r>
      <w:r w:rsidRPr="00A00F6F">
        <w:tab/>
        <w:t>the sponsor’s name; and</w:t>
      </w:r>
    </w:p>
    <w:p w14:paraId="051189A4" w14:textId="77777777" w:rsidR="00BB7660" w:rsidRPr="00A00F6F" w:rsidRDefault="00BB7660" w:rsidP="00BB7660">
      <w:pPr>
        <w:pStyle w:val="paragraphsub"/>
      </w:pPr>
      <w:r w:rsidRPr="00A00F6F">
        <w:tab/>
        <w:t>(ii)</w:t>
      </w:r>
      <w:r w:rsidRPr="00A00F6F">
        <w:tab/>
        <w:t>the sponsor’s accreditation number;</w:t>
      </w:r>
    </w:p>
    <w:p w14:paraId="0CD9FC2D" w14:textId="77777777" w:rsidR="00BB7660" w:rsidRPr="00F9694F" w:rsidRDefault="00BB7660" w:rsidP="00BB7660">
      <w:pPr>
        <w:pStyle w:val="paragraph"/>
      </w:pPr>
      <w:r w:rsidRPr="00F9694F">
        <w:tab/>
        <w:t>(i)</w:t>
      </w:r>
      <w:r w:rsidRPr="00F9694F">
        <w:tab/>
        <w:t>details of each amendment (if any) that has been made to the consent.</w:t>
      </w:r>
    </w:p>
    <w:p w14:paraId="21ABF92C" w14:textId="77777777" w:rsidR="00E649F5" w:rsidRDefault="00BB7660" w:rsidP="00BB7660">
      <w:pPr>
        <w:pStyle w:val="notetext"/>
        <w:rPr>
          <w:color w:val="0000FF"/>
        </w:rPr>
      </w:pPr>
      <w:r w:rsidRPr="00275222">
        <w:rPr>
          <w:color w:val="0000FF"/>
        </w:rPr>
        <w:t>Note 1:</w:t>
      </w:r>
      <w:r w:rsidRPr="00275222">
        <w:rPr>
          <w:color w:val="0000FF"/>
        </w:rPr>
        <w:tab/>
        <w:t>For paragraph (f), consents expire at the latest 12 months (7 years for certain consents by a CDR business consumer) after they are given or, in some circumstances, amended: see paragraphs 4.14(1)(d) and 4</w:t>
      </w:r>
      <w:r w:rsidR="0034635F" w:rsidRPr="00275222">
        <w:rPr>
          <w:color w:val="0000FF"/>
        </w:rPr>
        <w:t>.20K</w:t>
      </w:r>
      <w:r w:rsidRPr="00275222">
        <w:rPr>
          <w:color w:val="0000FF"/>
        </w:rPr>
        <w:t>(1)(c).</w:t>
      </w:r>
    </w:p>
    <w:p w14:paraId="5D82C55B" w14:textId="77777777" w:rsidR="00E649F5" w:rsidRPr="00E649F5" w:rsidRDefault="00E649F5" w:rsidP="00E649F5">
      <w:pPr>
        <w:pStyle w:val="notetext"/>
        <w:rPr>
          <w:strike/>
          <w:color w:val="0000FF"/>
        </w:rPr>
      </w:pPr>
      <w:r w:rsidRPr="00E649F5">
        <w:rPr>
          <w:strike/>
          <w:color w:val="0000FF"/>
        </w:rPr>
        <w:t>Note 1:</w:t>
      </w:r>
      <w:r w:rsidRPr="00E649F5">
        <w:rPr>
          <w:strike/>
          <w:color w:val="0000FF"/>
        </w:rPr>
        <w:tab/>
        <w:t>For paragraph (f), consents expire at the latest 12 months after they are given or, in some circumstances, amended: see paragraph 4.14(1)(d).</w:t>
      </w:r>
    </w:p>
    <w:p w14:paraId="7CDA2C17" w14:textId="77777777" w:rsidR="00BB7660" w:rsidRPr="00F07699" w:rsidRDefault="00BB7660" w:rsidP="00BB7660">
      <w:pPr>
        <w:pStyle w:val="notetext"/>
      </w:pPr>
      <w:r w:rsidRPr="00F07699">
        <w:t xml:space="preserve">Note 2: </w:t>
      </w:r>
      <w:r w:rsidRPr="00F07699">
        <w:tab/>
        <w:t xml:space="preserve">For </w:t>
      </w:r>
      <w:r w:rsidR="00E915F8" w:rsidRPr="00275222">
        <w:rPr>
          <w:color w:val="0000FF"/>
        </w:rPr>
        <w:t>limits on</w:t>
      </w:r>
      <w:r w:rsidR="00E915F8" w:rsidRPr="00F524AD">
        <w:rPr>
          <w:color w:val="0000FF"/>
        </w:rPr>
        <w:t xml:space="preserve"> </w:t>
      </w:r>
      <w:r w:rsidRPr="00F07699">
        <w:t>the specific uses that are possible, see the data minimisation principle (rule 1.8).</w:t>
      </w:r>
    </w:p>
    <w:p w14:paraId="58DA6E1B" w14:textId="77777777" w:rsidR="00BB7660" w:rsidRPr="00F07699" w:rsidRDefault="00BB7660" w:rsidP="00BB7660">
      <w:pPr>
        <w:pStyle w:val="notetext"/>
      </w:pPr>
      <w:r w:rsidRPr="00F07699">
        <w:t>Note 3:</w:t>
      </w:r>
      <w:r w:rsidRPr="00F07699">
        <w:tab/>
        <w:t>The consumer dashboard could contain other information too, for example, the written notices referred to in rule 7.15 (which deals with correction requests under privacy safeguard 13, section 56EP of the Act).</w:t>
      </w:r>
    </w:p>
    <w:p w14:paraId="4EBEF679" w14:textId="77777777" w:rsidR="00BB7660" w:rsidRPr="00A00F6F" w:rsidRDefault="00BB7660" w:rsidP="00BB7660">
      <w:pPr>
        <w:pStyle w:val="subsection"/>
      </w:pPr>
      <w:r w:rsidRPr="00A00F6F">
        <w:tab/>
        <w:t>(3A)</w:t>
      </w:r>
      <w:r w:rsidRPr="00A00F6F">
        <w:tab/>
        <w:t>For paragraph (1)(b), the other information is:</w:t>
      </w:r>
    </w:p>
    <w:p w14:paraId="0F0252AE" w14:textId="77777777" w:rsidR="00BB7660" w:rsidRPr="00A00F6F" w:rsidRDefault="00BB7660" w:rsidP="00BB7660">
      <w:pPr>
        <w:pStyle w:val="paragraph"/>
      </w:pPr>
      <w:r w:rsidRPr="00A00F6F">
        <w:tab/>
        <w:t>(a)</w:t>
      </w:r>
      <w:r w:rsidRPr="00A00F6F">
        <w:tab/>
        <w:t>a statement that the CDR consumer is entitled to request further records in accordance with rule 9.5; and</w:t>
      </w:r>
    </w:p>
    <w:p w14:paraId="672AA511" w14:textId="77777777" w:rsidR="00BB7660" w:rsidRPr="00A00F6F" w:rsidRDefault="00BB7660" w:rsidP="00BB7660">
      <w:pPr>
        <w:pStyle w:val="paragraph"/>
      </w:pPr>
      <w:r w:rsidRPr="00A00F6F">
        <w:tab/>
        <w:t>(b)</w:t>
      </w:r>
      <w:r w:rsidRPr="00A00F6F">
        <w:tab/>
        <w:t>information about how to make such a request.</w:t>
      </w:r>
    </w:p>
    <w:p w14:paraId="6A0B5E6E" w14:textId="77777777" w:rsidR="00BB7660" w:rsidRDefault="00BB7660" w:rsidP="00BB7660">
      <w:pPr>
        <w:pStyle w:val="subsection"/>
      </w:pPr>
      <w:r w:rsidRPr="00360E15">
        <w:tab/>
      </w:r>
      <w:r>
        <w:t>(4)</w:t>
      </w:r>
      <w:r w:rsidRPr="00360E15">
        <w:tab/>
        <w:t>An accredited person does not contravene subrule </w:t>
      </w:r>
      <w:r>
        <w:t>(1)</w:t>
      </w:r>
      <w:r w:rsidRPr="00360E15">
        <w:t xml:space="preserve"> in relation to </w:t>
      </w:r>
      <w:r w:rsidRPr="00814B1D">
        <w:t>subparagraph </w:t>
      </w:r>
      <w:r>
        <w:t>(1)(c)(ii)</w:t>
      </w:r>
      <w:r w:rsidRPr="00360E15">
        <w:t xml:space="preserve"> so long as it takes reasonable steps to ensure that the functionality complies with </w:t>
      </w:r>
      <w:r>
        <w:t>that subparagraph</w:t>
      </w:r>
      <w:r w:rsidRPr="00360E15">
        <w:t>.</w:t>
      </w:r>
    </w:p>
    <w:p w14:paraId="51329952" w14:textId="77777777" w:rsidR="00BB7660" w:rsidRPr="00A00F6F" w:rsidRDefault="00BB7660" w:rsidP="00BB7660">
      <w:pPr>
        <w:pStyle w:val="SubsectionHead"/>
      </w:pPr>
      <w:r w:rsidRPr="00A00F6F">
        <w:t>Dashboard in relation to CDR representative</w:t>
      </w:r>
    </w:p>
    <w:p w14:paraId="1D30C631" w14:textId="77777777" w:rsidR="00BB7660" w:rsidRPr="00A00F6F" w:rsidRDefault="00BB7660" w:rsidP="00BB7660">
      <w:pPr>
        <w:pStyle w:val="subsection"/>
      </w:pPr>
      <w:r w:rsidRPr="00A00F6F">
        <w:tab/>
        <w:t>(5)</w:t>
      </w:r>
      <w:r w:rsidRPr="00A00F6F">
        <w:tab/>
        <w:t xml:space="preserve">Where a CDR principal makes a consumer data request at the request of a CDR representative, it may arrange for the CDR representative to provide the consumer dashboard on its behalf. </w:t>
      </w:r>
    </w:p>
    <w:p w14:paraId="733012C0" w14:textId="77777777" w:rsidR="00BB7660" w:rsidRDefault="00BB7660" w:rsidP="00BB7660">
      <w:pPr>
        <w:pStyle w:val="ActHead5"/>
      </w:pPr>
      <w:bookmarkStart w:id="59" w:name="_Toc57390961"/>
      <w:bookmarkStart w:id="60" w:name="_Toc59549122"/>
      <w:bookmarkStart w:id="61" w:name="_Toc111131987"/>
      <w:r w:rsidRPr="004F7FBE">
        <w:t>1.15  Consumer dashboard—data holder</w:t>
      </w:r>
      <w:bookmarkEnd w:id="59"/>
      <w:bookmarkEnd w:id="60"/>
      <w:bookmarkEnd w:id="61"/>
    </w:p>
    <w:p w14:paraId="164C3E7F" w14:textId="77777777" w:rsidR="00BB7660" w:rsidRPr="005E6E39" w:rsidRDefault="00BB7660" w:rsidP="00BB7660">
      <w:pPr>
        <w:pStyle w:val="subsection"/>
      </w:pPr>
      <w:r>
        <w:tab/>
      </w:r>
      <w:r w:rsidRPr="004F7FBE">
        <w:t>(1)</w:t>
      </w:r>
      <w:r w:rsidRPr="004F7FBE">
        <w:tab/>
        <w:t>If a data holder receives a consumer data request from an accredited person on behalf of a CDR consumer, the data holder must</w:t>
      </w:r>
      <w:r w:rsidRPr="00A00F6F">
        <w:t>, in the circumstances specified in a sector Schedule,</w:t>
      </w:r>
      <w:r w:rsidRPr="004F7FBE">
        <w:t xml:space="preserve"> ensure that</w:t>
      </w:r>
      <w:r w:rsidRPr="00A00F6F">
        <w:t xml:space="preserve"> it provides the CDR consumer with </w:t>
      </w:r>
      <w:r w:rsidRPr="004F7FBE">
        <w:t xml:space="preserve">an online service </w:t>
      </w:r>
      <w:r w:rsidRPr="005E6E39">
        <w:t>that:</w:t>
      </w:r>
    </w:p>
    <w:p w14:paraId="06065399" w14:textId="77777777" w:rsidR="00BB7660" w:rsidRPr="004F7FBE" w:rsidRDefault="00BB7660" w:rsidP="00BB7660">
      <w:pPr>
        <w:pStyle w:val="paragraph"/>
      </w:pPr>
      <w:r w:rsidRPr="005E6E39">
        <w:tab/>
        <w:t>(a)</w:t>
      </w:r>
      <w:r w:rsidRPr="005E6E39">
        <w:tab/>
        <w:t>can be used by the</w:t>
      </w:r>
      <w:r w:rsidRPr="004F7FBE">
        <w:t xml:space="preserve"> CDR consumer to manage authorisations to disclose CDR data in response to</w:t>
      </w:r>
      <w:r w:rsidRPr="00A00F6F">
        <w:t xml:space="preserve"> consumer data requests</w:t>
      </w:r>
      <w:r w:rsidRPr="004F7FBE">
        <w:t>; and</w:t>
      </w:r>
    </w:p>
    <w:p w14:paraId="3BC1D6AB" w14:textId="77777777" w:rsidR="00BB7660" w:rsidRPr="004F7FBE" w:rsidRDefault="00BB7660" w:rsidP="00BB7660">
      <w:pPr>
        <w:pStyle w:val="paragraph"/>
      </w:pPr>
      <w:r w:rsidRPr="004F7FBE">
        <w:tab/>
        <w:t>(b)</w:t>
      </w:r>
      <w:r w:rsidRPr="004F7FBE">
        <w:tab/>
        <w:t>contains the details of each authorisation to disclose CDR data specified in subrule (3); and</w:t>
      </w:r>
    </w:p>
    <w:p w14:paraId="16553FE8" w14:textId="77777777" w:rsidR="00BB7660" w:rsidRPr="004F7FBE" w:rsidRDefault="00BB7660" w:rsidP="00BB7660">
      <w:pPr>
        <w:pStyle w:val="paragraph"/>
      </w:pPr>
      <w:r w:rsidRPr="004F7FBE">
        <w:tab/>
        <w:t>(ba)</w:t>
      </w:r>
      <w:r w:rsidRPr="004F7FBE">
        <w:tab/>
        <w:t>contains any information in the data standards that is specified as information for the purposes of this rule; and</w:t>
      </w:r>
    </w:p>
    <w:p w14:paraId="5F815C54" w14:textId="77777777" w:rsidR="00BB7660" w:rsidRPr="004F7FBE" w:rsidRDefault="00BB7660" w:rsidP="00BB7660">
      <w:pPr>
        <w:pStyle w:val="paragraph"/>
      </w:pPr>
      <w:r w:rsidRPr="004F7FBE">
        <w:lastRenderedPageBreak/>
        <w:tab/>
        <w:t>(bb)</w:t>
      </w:r>
      <w:r w:rsidRPr="004F7FBE">
        <w:tab/>
        <w:t>contains any information on the Register of Accredited Persons that is specified as information for the purposes of this rule; and</w:t>
      </w:r>
    </w:p>
    <w:p w14:paraId="00BFF370" w14:textId="77777777" w:rsidR="00BB7660" w:rsidRPr="004F7FBE" w:rsidRDefault="00BB7660" w:rsidP="00BB7660">
      <w:pPr>
        <w:pStyle w:val="paragraph"/>
      </w:pPr>
      <w:r w:rsidRPr="004F7FBE">
        <w:tab/>
        <w:t>(c)</w:t>
      </w:r>
      <w:r w:rsidRPr="004F7FBE">
        <w:tab/>
        <w:t>has a functionality that:</w:t>
      </w:r>
    </w:p>
    <w:p w14:paraId="5EEAB8E6" w14:textId="77777777" w:rsidR="00275222" w:rsidRPr="00B44A39" w:rsidRDefault="00275222" w:rsidP="00275222">
      <w:pPr>
        <w:pStyle w:val="paragraphsub"/>
      </w:pPr>
      <w:r w:rsidRPr="00B44A39">
        <w:tab/>
        <w:t>(i)</w:t>
      </w:r>
      <w:r w:rsidRPr="00B44A39">
        <w:tab/>
        <w:t>allows for withdrawal, at any time, of authorisations to disclose CDR data; and</w:t>
      </w:r>
    </w:p>
    <w:p w14:paraId="6DC425A5" w14:textId="77777777" w:rsidR="00BB7660" w:rsidRPr="004F7FBE" w:rsidRDefault="00BB7660" w:rsidP="00BB7660">
      <w:pPr>
        <w:pStyle w:val="paragraphsub"/>
      </w:pPr>
      <w:r w:rsidRPr="004F7FBE">
        <w:tab/>
        <w:t>(ii)</w:t>
      </w:r>
      <w:r w:rsidRPr="004F7FBE">
        <w:tab/>
        <w:t>is simple and straightforward to use; and</w:t>
      </w:r>
    </w:p>
    <w:p w14:paraId="18E52B4C" w14:textId="77777777" w:rsidR="00BB7660" w:rsidRPr="004F7FBE" w:rsidRDefault="00BB7660" w:rsidP="00BB7660">
      <w:pPr>
        <w:pStyle w:val="paragraphsub"/>
      </w:pPr>
      <w:r w:rsidRPr="004F7FBE">
        <w:tab/>
        <w:t>(iii)</w:t>
      </w:r>
      <w:r w:rsidRPr="004F7FBE">
        <w:tab/>
        <w:t>is no more complicated to use than the process for giving the authorisation to disclose CDR data; and</w:t>
      </w:r>
    </w:p>
    <w:p w14:paraId="2ABABBEE" w14:textId="77777777" w:rsidR="00BB7660" w:rsidRPr="004F7FBE" w:rsidRDefault="00BB7660" w:rsidP="00BB7660">
      <w:pPr>
        <w:pStyle w:val="paragraphsub"/>
      </w:pPr>
      <w:r w:rsidRPr="004F7FBE">
        <w:tab/>
        <w:t>(iv)</w:t>
      </w:r>
      <w:r w:rsidRPr="004F7FBE">
        <w:tab/>
        <w:t>is prominently displayed; and</w:t>
      </w:r>
    </w:p>
    <w:p w14:paraId="58C87193" w14:textId="77777777" w:rsidR="00BB7660" w:rsidRPr="004F7FBE" w:rsidRDefault="00BB7660" w:rsidP="00BB7660">
      <w:pPr>
        <w:pStyle w:val="paragraphsub"/>
      </w:pPr>
      <w:r w:rsidRPr="004F7FBE">
        <w:tab/>
        <w:t>(v)</w:t>
      </w:r>
      <w:r w:rsidRPr="004F7FBE">
        <w:tab/>
        <w:t>as part of the withdrawal process, displays a message relating to the consequences of the withdrawal in accordance with the data standards; and</w:t>
      </w:r>
    </w:p>
    <w:p w14:paraId="1CBA059F" w14:textId="77777777" w:rsidR="00BB7660" w:rsidRPr="00A00F6F" w:rsidRDefault="00BB7660" w:rsidP="00BB7660">
      <w:pPr>
        <w:pStyle w:val="paragraph"/>
      </w:pPr>
      <w:r w:rsidRPr="00A00F6F">
        <w:tab/>
        <w:t>(d)</w:t>
      </w:r>
      <w:r w:rsidRPr="00A00F6F">
        <w:tab/>
        <w:t>contains any other details, and has any other functionality, required by a provision of these rules.</w:t>
      </w:r>
    </w:p>
    <w:p w14:paraId="277669D9" w14:textId="77777777" w:rsidR="00BB7660" w:rsidRDefault="00BB7660" w:rsidP="00BB7660">
      <w:pPr>
        <w:pStyle w:val="notetext"/>
      </w:pPr>
      <w:r w:rsidRPr="004F7FBE">
        <w:t>Note 1:</w:t>
      </w:r>
      <w:r w:rsidRPr="004F7FBE">
        <w:tab/>
        <w:t>This subrule is a civil penalty provision (see rule 9.8).</w:t>
      </w:r>
    </w:p>
    <w:p w14:paraId="04C76F72" w14:textId="77777777" w:rsidR="00BB7660" w:rsidRPr="00A00F6F" w:rsidRDefault="00BB7660" w:rsidP="00BB7660">
      <w:pPr>
        <w:pStyle w:val="notetext"/>
      </w:pPr>
      <w:r w:rsidRPr="00A00F6F">
        <w:t>Note 2:</w:t>
      </w:r>
      <w:r w:rsidRPr="00A00F6F">
        <w:tab/>
        <w:t>The circumstances are specified in the following provisions of the sector Schedules:</w:t>
      </w:r>
    </w:p>
    <w:p w14:paraId="720B1212" w14:textId="77777777" w:rsidR="00BB7660" w:rsidRPr="00A00F6F" w:rsidRDefault="009D101C" w:rsidP="009D101C">
      <w:pPr>
        <w:pStyle w:val="notetext"/>
        <w:spacing w:line="198" w:lineRule="exact"/>
        <w:ind w:left="2345" w:hanging="360"/>
      </w:pPr>
      <w:r w:rsidRPr="00A00F6F">
        <w:rPr>
          <w:rFonts w:ascii="Symbol" w:hAnsi="Symbol"/>
        </w:rPr>
        <w:t></w:t>
      </w:r>
      <w:r w:rsidRPr="00A00F6F">
        <w:rPr>
          <w:rFonts w:ascii="Symbol" w:hAnsi="Symbol"/>
        </w:rPr>
        <w:tab/>
      </w:r>
      <w:r w:rsidR="00BB7660" w:rsidRPr="00A00F6F">
        <w:t>for the banking sector—clause 2.3 of Schedule 3;</w:t>
      </w:r>
    </w:p>
    <w:p w14:paraId="2DC13C71" w14:textId="77777777" w:rsidR="00BB7660" w:rsidRPr="00A00F6F" w:rsidRDefault="009D101C" w:rsidP="009D101C">
      <w:pPr>
        <w:pStyle w:val="notetext"/>
        <w:spacing w:line="198" w:lineRule="exact"/>
        <w:ind w:left="2345" w:hanging="360"/>
      </w:pPr>
      <w:r w:rsidRPr="00A00F6F">
        <w:rPr>
          <w:rFonts w:ascii="Symbol" w:hAnsi="Symbol"/>
        </w:rPr>
        <w:t></w:t>
      </w:r>
      <w:r w:rsidRPr="00A00F6F">
        <w:rPr>
          <w:rFonts w:ascii="Symbol" w:hAnsi="Symbol"/>
        </w:rPr>
        <w:tab/>
      </w:r>
      <w:r w:rsidR="00BB7660" w:rsidRPr="00A00F6F">
        <w:t>for the energy sector—clause 2.3 of Schedule 4.</w:t>
      </w:r>
    </w:p>
    <w:p w14:paraId="69389749" w14:textId="77777777" w:rsidR="00BB7660" w:rsidRPr="004F7FBE" w:rsidRDefault="00BB7660" w:rsidP="00BB7660">
      <w:pPr>
        <w:pStyle w:val="subsection"/>
      </w:pPr>
      <w:r>
        <w:tab/>
      </w:r>
      <w:r w:rsidRPr="004F7FBE">
        <w:t>(2)</w:t>
      </w:r>
      <w:r w:rsidRPr="004F7FBE">
        <w:tab/>
        <w:t xml:space="preserve">Such a service is the data holder’s </w:t>
      </w:r>
      <w:r w:rsidRPr="004F7FBE">
        <w:rPr>
          <w:b/>
          <w:i/>
        </w:rPr>
        <w:t xml:space="preserve">consumer dashboard </w:t>
      </w:r>
      <w:r w:rsidRPr="004F7FBE">
        <w:t>for that consumer.</w:t>
      </w:r>
    </w:p>
    <w:p w14:paraId="3B10BC5D" w14:textId="77777777" w:rsidR="00BB7660" w:rsidRPr="00A00F6F" w:rsidRDefault="00BB7660" w:rsidP="00BB7660">
      <w:pPr>
        <w:pStyle w:val="notetext"/>
      </w:pPr>
      <w:r w:rsidRPr="00A00F6F">
        <w:t>Note:</w:t>
      </w:r>
      <w:r w:rsidRPr="00A00F6F">
        <w:tab/>
        <w:t>If the consumer data request relates to a joint account, there may be an obligation to provide all joint account holders with consumer dashboards:  see rule 4A.13.</w:t>
      </w:r>
    </w:p>
    <w:p w14:paraId="0C170465" w14:textId="77777777" w:rsidR="00440959" w:rsidRPr="00B44A39" w:rsidRDefault="00440959" w:rsidP="00440959">
      <w:pPr>
        <w:pStyle w:val="subsection"/>
        <w:rPr>
          <w:color w:val="0000FF"/>
        </w:rPr>
      </w:pPr>
      <w:r w:rsidRPr="00B44A39">
        <w:rPr>
          <w:color w:val="0000FF"/>
        </w:rPr>
        <w:tab/>
        <w:t>(2AA)</w:t>
      </w:r>
      <w:r w:rsidRPr="00B44A39">
        <w:rPr>
          <w:color w:val="0000FF"/>
        </w:rPr>
        <w:tab/>
        <w:t>The consumer dashboard may also include functionality that allows a CDR consumer to make a request to disclose corrected CDR data, as mentioned in subparagraph 7.10(1)(d)(i).</w:t>
      </w:r>
    </w:p>
    <w:p w14:paraId="6A104A8A" w14:textId="77777777" w:rsidR="00BB7660" w:rsidRPr="004F7FBE" w:rsidRDefault="00BB7660" w:rsidP="00BB7660">
      <w:pPr>
        <w:pStyle w:val="subsection"/>
      </w:pPr>
      <w:r w:rsidRPr="004F7FBE">
        <w:tab/>
        <w:t>(2A)</w:t>
      </w:r>
      <w:r w:rsidRPr="004F7FBE">
        <w:tab/>
        <w:t>For subrule (1), the online service must allow only nominated representatives to manage authorisations in the following circumstances:</w:t>
      </w:r>
    </w:p>
    <w:p w14:paraId="0E0884A6" w14:textId="77777777" w:rsidR="00BB7660" w:rsidRPr="004F7FBE" w:rsidRDefault="00BB7660" w:rsidP="00BB7660">
      <w:pPr>
        <w:pStyle w:val="paragraph"/>
      </w:pPr>
      <w:r w:rsidRPr="004F7FBE">
        <w:tab/>
        <w:t>(a)</w:t>
      </w:r>
      <w:r w:rsidRPr="004F7FBE">
        <w:tab/>
        <w:t>where the CDR consumer is not an individual;</w:t>
      </w:r>
    </w:p>
    <w:p w14:paraId="77D59916" w14:textId="77777777" w:rsidR="00BB7660" w:rsidRPr="004F7FBE" w:rsidRDefault="00BB7660" w:rsidP="00BB7660">
      <w:pPr>
        <w:pStyle w:val="paragraph"/>
      </w:pPr>
      <w:r w:rsidRPr="004F7FBE">
        <w:tab/>
        <w:t>(b)</w:t>
      </w:r>
      <w:r w:rsidRPr="004F7FBE">
        <w:tab/>
        <w:t>where the CDR data relates to a partnership account.</w:t>
      </w:r>
    </w:p>
    <w:p w14:paraId="585ED774" w14:textId="77777777" w:rsidR="00BB7660" w:rsidRPr="00A7585D" w:rsidRDefault="00BB7660" w:rsidP="00BB7660">
      <w:pPr>
        <w:pStyle w:val="subsection"/>
      </w:pPr>
      <w:r w:rsidRPr="004F7FBE">
        <w:tab/>
        <w:t>(3)</w:t>
      </w:r>
      <w:r w:rsidRPr="004F7FBE">
        <w:tab/>
        <w:t>For paragraph (1)(b) and paragraph (5)(a), the information is the following</w:t>
      </w:r>
      <w:r w:rsidRPr="00A00F6F">
        <w:t xml:space="preserve"> for each authorisation</w:t>
      </w:r>
      <w:r w:rsidRPr="00A7585D">
        <w:t xml:space="preserve">: </w:t>
      </w:r>
    </w:p>
    <w:p w14:paraId="497C5DB9" w14:textId="77777777" w:rsidR="00BB7660" w:rsidRPr="004F7FBE" w:rsidRDefault="00BB7660" w:rsidP="00BB7660">
      <w:pPr>
        <w:pStyle w:val="paragraph"/>
      </w:pPr>
      <w:r>
        <w:tab/>
      </w:r>
      <w:r w:rsidRPr="004F7FBE">
        <w:t>(a)</w:t>
      </w:r>
      <w:r w:rsidRPr="004F7FBE">
        <w:tab/>
        <w:t>details of the CDR data that has been authorised to be disclosed;</w:t>
      </w:r>
    </w:p>
    <w:p w14:paraId="43246137" w14:textId="77777777" w:rsidR="00BB7660" w:rsidRPr="004F7FBE" w:rsidRDefault="00BB7660" w:rsidP="00BB7660">
      <w:pPr>
        <w:pStyle w:val="paragraph"/>
      </w:pPr>
      <w:r w:rsidRPr="004F7FBE">
        <w:tab/>
        <w:t>(b)</w:t>
      </w:r>
      <w:r w:rsidRPr="004F7FBE">
        <w:tab/>
        <w:t>when the CDR consumer gave the authorisation;</w:t>
      </w:r>
    </w:p>
    <w:p w14:paraId="65B2611B" w14:textId="77777777" w:rsidR="00BB7660" w:rsidRPr="004F7FBE" w:rsidRDefault="00BB7660" w:rsidP="00BB7660">
      <w:pPr>
        <w:pStyle w:val="paragraph"/>
      </w:pPr>
      <w:r w:rsidRPr="004F7FBE">
        <w:tab/>
        <w:t>(c)</w:t>
      </w:r>
      <w:r w:rsidRPr="004F7FBE">
        <w:tab/>
        <w:t>the period for which the CDR consumer gave the authorisation;</w:t>
      </w:r>
    </w:p>
    <w:p w14:paraId="074438C1" w14:textId="77777777" w:rsidR="00BB7660" w:rsidRPr="004F7FBE" w:rsidRDefault="00BB7660" w:rsidP="00BB7660">
      <w:pPr>
        <w:pStyle w:val="paragraph"/>
      </w:pPr>
      <w:r w:rsidRPr="004F7FBE">
        <w:tab/>
        <w:t>(d)</w:t>
      </w:r>
      <w:r w:rsidRPr="004F7FBE">
        <w:tab/>
        <w:t>if the authorisation is current—when it is scheduled to expire;</w:t>
      </w:r>
    </w:p>
    <w:p w14:paraId="5F4205D3" w14:textId="77777777" w:rsidR="00BB7660" w:rsidRPr="004F7FBE" w:rsidRDefault="00BB7660" w:rsidP="00BB7660">
      <w:pPr>
        <w:pStyle w:val="paragraph"/>
      </w:pPr>
      <w:r w:rsidRPr="004F7FBE">
        <w:tab/>
        <w:t>(e)</w:t>
      </w:r>
      <w:r w:rsidRPr="004F7FBE">
        <w:tab/>
        <w:t>if the authorisation is not current—when it expired;</w:t>
      </w:r>
    </w:p>
    <w:p w14:paraId="02E654F6" w14:textId="77777777" w:rsidR="00BB7660" w:rsidRPr="004F7FBE" w:rsidRDefault="00BB7660" w:rsidP="00BB7660">
      <w:pPr>
        <w:pStyle w:val="paragraph"/>
      </w:pPr>
      <w:r w:rsidRPr="004F7FBE">
        <w:tab/>
        <w:t>(f)</w:t>
      </w:r>
      <w:r w:rsidRPr="004F7FBE">
        <w:tab/>
        <w:t>information relating to CDR data that was disclosed pursuant to the authorisation (see rule 7.9);</w:t>
      </w:r>
    </w:p>
    <w:p w14:paraId="595604A8" w14:textId="77777777" w:rsidR="00BB7660" w:rsidRPr="004A04A4" w:rsidRDefault="00BB7660" w:rsidP="00BB7660">
      <w:pPr>
        <w:pStyle w:val="paragraph"/>
        <w:rPr>
          <w:color w:val="0000FF"/>
        </w:rPr>
      </w:pPr>
      <w:r w:rsidRPr="004F7FBE">
        <w:tab/>
        <w:t>(g)</w:t>
      </w:r>
      <w:r w:rsidRPr="004F7FBE">
        <w:tab/>
        <w:t>for a disclosure of CDR data that relates to the authorisation but that was pursuant to a request under subsection 56EN(4) of the Act—that fac</w:t>
      </w:r>
      <w:r>
        <w:t>t</w:t>
      </w:r>
      <w:r w:rsidRPr="004A04A4">
        <w:rPr>
          <w:color w:val="0000FF"/>
        </w:rPr>
        <w:t>;</w:t>
      </w:r>
    </w:p>
    <w:p w14:paraId="53FD9014" w14:textId="77777777" w:rsidR="00BB7660" w:rsidRPr="00F9694F" w:rsidRDefault="00BB7660" w:rsidP="00BB7660">
      <w:pPr>
        <w:pStyle w:val="paragraph"/>
      </w:pPr>
      <w:r w:rsidRPr="004A04A4">
        <w:rPr>
          <w:color w:val="0000FF"/>
        </w:rPr>
        <w:tab/>
        <w:t>(h)</w:t>
      </w:r>
      <w:r w:rsidRPr="004A04A4">
        <w:rPr>
          <w:color w:val="0000FF"/>
        </w:rPr>
        <w:tab/>
        <w:t>details of each amendment (if any) that has been made to the authorisation</w:t>
      </w:r>
      <w:r w:rsidRPr="00F9694F">
        <w:t>.</w:t>
      </w:r>
    </w:p>
    <w:p w14:paraId="418D2116" w14:textId="77777777" w:rsidR="00BB7660" w:rsidRPr="004F7FBE" w:rsidRDefault="00BB7660" w:rsidP="00BB7660">
      <w:pPr>
        <w:pStyle w:val="notetext"/>
      </w:pPr>
      <w:r w:rsidRPr="004F7FBE">
        <w:t>Note 1:</w:t>
      </w:r>
      <w:r w:rsidRPr="004F7FBE">
        <w:tab/>
        <w:t>For paragraph (d), authorisations to disclose CDR data expire at the latest 12 months after they are given: see paragraph 4.26(1)(e).</w:t>
      </w:r>
    </w:p>
    <w:p w14:paraId="5E3B3051" w14:textId="77777777" w:rsidR="00BB7660" w:rsidRPr="004F7FBE" w:rsidRDefault="00BB7660" w:rsidP="00BB7660">
      <w:pPr>
        <w:pStyle w:val="notetext"/>
      </w:pPr>
      <w:r w:rsidRPr="004F7FBE">
        <w:lastRenderedPageBreak/>
        <w:t>Note 2:</w:t>
      </w:r>
      <w:r w:rsidRPr="004F7FBE">
        <w:tab/>
        <w:t>The consumer dashboard could contain other information too, for example, the written notice referred to in rules 7.10 (which deals with quality of CDR data under privacy safeguard 11, section 56EN of the Act) and 7.15 (which deals with correction requests under privacy safeguard 13, section 56EP of the Act).</w:t>
      </w:r>
    </w:p>
    <w:p w14:paraId="1FB97FC6" w14:textId="77777777" w:rsidR="00BB7660" w:rsidRPr="004F7FBE" w:rsidRDefault="00BB7660" w:rsidP="00BB7660">
      <w:pPr>
        <w:pStyle w:val="subsection"/>
      </w:pPr>
      <w:r w:rsidRPr="004F7FBE">
        <w:tab/>
        <w:t>(4)</w:t>
      </w:r>
      <w:r w:rsidRPr="004F7FBE">
        <w:tab/>
        <w:t>A data holder does not contravene subrule (1) in relation to subparagraphs (1)(c)(ii) and (iii) so long as it takes reasonable steps to ensure that the functionality complies with those subparagraphs.</w:t>
      </w:r>
    </w:p>
    <w:p w14:paraId="2A679B6F" w14:textId="77777777" w:rsidR="00BB7660" w:rsidRPr="004F7FBE" w:rsidRDefault="00BB7660" w:rsidP="00BB7660">
      <w:pPr>
        <w:pStyle w:val="SubsectionHead"/>
      </w:pPr>
      <w:r w:rsidRPr="004F7FBE">
        <w:t>Secondary users</w:t>
      </w:r>
    </w:p>
    <w:p w14:paraId="63C2B642" w14:textId="77777777" w:rsidR="00BB7660" w:rsidRPr="004F7FBE" w:rsidRDefault="00BB7660" w:rsidP="00BB7660">
      <w:pPr>
        <w:pStyle w:val="subsection"/>
      </w:pPr>
      <w:r w:rsidRPr="004F7FBE">
        <w:tab/>
        <w:t>(5)</w:t>
      </w:r>
      <w:r w:rsidRPr="004F7FBE">
        <w:tab/>
        <w:t>If the CDR consumer is a secondary user for an account, the data holder must also provide the account holder with an online service that:</w:t>
      </w:r>
    </w:p>
    <w:p w14:paraId="3FD6E003" w14:textId="77777777" w:rsidR="00BB7660" w:rsidRPr="004F7FBE" w:rsidRDefault="00BB7660" w:rsidP="00BB7660">
      <w:pPr>
        <w:pStyle w:val="paragraph"/>
      </w:pPr>
      <w:r w:rsidRPr="004F7FBE">
        <w:tab/>
        <w:t>(a)</w:t>
      </w:r>
      <w:r w:rsidRPr="004F7FBE">
        <w:tab/>
        <w:t>for each authorisation to disclose CDR data given by the secondary user—contains the details specified in subrule (3); and</w:t>
      </w:r>
    </w:p>
    <w:p w14:paraId="315CAB5B" w14:textId="77777777" w:rsidR="00BB7660" w:rsidRPr="004F7FBE" w:rsidRDefault="00BB7660" w:rsidP="00BB7660">
      <w:pPr>
        <w:pStyle w:val="paragraph"/>
      </w:pPr>
      <w:r w:rsidRPr="004F7FBE">
        <w:tab/>
        <w:t>(b)</w:t>
      </w:r>
      <w:r w:rsidRPr="004F7FBE">
        <w:tab/>
        <w:t>has a functionality that:</w:t>
      </w:r>
    </w:p>
    <w:p w14:paraId="4B269AD9" w14:textId="77777777" w:rsidR="00BB7660" w:rsidRPr="004F7FBE" w:rsidRDefault="00BB7660" w:rsidP="00BB7660">
      <w:pPr>
        <w:pStyle w:val="paragraphsub"/>
      </w:pPr>
      <w:r w:rsidRPr="004F7FBE">
        <w:tab/>
        <w:t>(i)</w:t>
      </w:r>
      <w:r w:rsidRPr="004F7FBE">
        <w:tab/>
        <w:t>allows for the account holder to, at any time, give the indication referred to in subparagraph 4.6A(a)(ii) in relation to a particular accredited person; and</w:t>
      </w:r>
    </w:p>
    <w:p w14:paraId="230F5A0A" w14:textId="77777777" w:rsidR="00BB7660" w:rsidRPr="004F7FBE" w:rsidRDefault="00BB7660" w:rsidP="00BB7660">
      <w:pPr>
        <w:pStyle w:val="paragraphsub"/>
      </w:pPr>
      <w:r w:rsidRPr="004F7FBE">
        <w:tab/>
        <w:t>(ii)</w:t>
      </w:r>
      <w:r w:rsidRPr="004F7FBE">
        <w:tab/>
        <w:t xml:space="preserve">allows for the withdrawal of the secondary user instruction; and </w:t>
      </w:r>
    </w:p>
    <w:p w14:paraId="1EFDF7FE" w14:textId="77777777" w:rsidR="00BB7660" w:rsidRPr="004F7FBE" w:rsidRDefault="00BB7660" w:rsidP="00BB7660">
      <w:pPr>
        <w:pStyle w:val="paragraphsub"/>
      </w:pPr>
      <w:r w:rsidRPr="004F7FBE">
        <w:tab/>
        <w:t>(iii)</w:t>
      </w:r>
      <w:r w:rsidRPr="004F7FBE">
        <w:tab/>
        <w:t>is simple and straightforward to use; and</w:t>
      </w:r>
    </w:p>
    <w:p w14:paraId="101F9442" w14:textId="77777777" w:rsidR="00BB7660" w:rsidRPr="004F7FBE" w:rsidRDefault="00BB7660" w:rsidP="00BB7660">
      <w:pPr>
        <w:pStyle w:val="paragraphsub"/>
      </w:pPr>
      <w:r w:rsidRPr="004F7FBE">
        <w:tab/>
        <w:t>(iv)</w:t>
      </w:r>
      <w:r w:rsidRPr="004F7FBE">
        <w:tab/>
        <w:t>is no more complicated to use than the processes for giving the authorisations or instructions; and</w:t>
      </w:r>
    </w:p>
    <w:p w14:paraId="2687584F" w14:textId="77777777" w:rsidR="00BB7660" w:rsidRPr="004F7FBE" w:rsidRDefault="00BB7660" w:rsidP="00BB7660">
      <w:pPr>
        <w:pStyle w:val="paragraphsub"/>
      </w:pPr>
      <w:r w:rsidRPr="004F7FBE">
        <w:tab/>
        <w:t>(v)</w:t>
      </w:r>
      <w:r w:rsidRPr="004F7FBE">
        <w:tab/>
        <w:t>is prominently displayed; and</w:t>
      </w:r>
    </w:p>
    <w:p w14:paraId="3153883F" w14:textId="77777777" w:rsidR="00BB7660" w:rsidRPr="004F7FBE" w:rsidRDefault="00BB7660" w:rsidP="00BB7660">
      <w:pPr>
        <w:pStyle w:val="paragraphsub"/>
      </w:pPr>
      <w:r w:rsidRPr="004F7FBE">
        <w:tab/>
        <w:t>(vi)</w:t>
      </w:r>
      <w:r w:rsidRPr="004F7FBE">
        <w:tab/>
        <w:t>as part of the withdrawal process, displays a message relating to the consequences of the withdrawal in accordance with the data standards.</w:t>
      </w:r>
    </w:p>
    <w:p w14:paraId="6C9E9F8B" w14:textId="77777777" w:rsidR="00BB7660" w:rsidRPr="004F7FBE" w:rsidRDefault="00BB7660" w:rsidP="00BB7660">
      <w:pPr>
        <w:pStyle w:val="notetext"/>
      </w:pPr>
      <w:r w:rsidRPr="004F7FBE">
        <w:t>Note 1:</w:t>
      </w:r>
      <w:r w:rsidRPr="004F7FBE">
        <w:tab/>
        <w:t>This subrule is a civil penalty provision (see rule 9.8).</w:t>
      </w:r>
    </w:p>
    <w:p w14:paraId="1C5B7C5A" w14:textId="77777777" w:rsidR="00BB7660" w:rsidRPr="004F7FBE" w:rsidRDefault="00BB7660" w:rsidP="00BB7660">
      <w:pPr>
        <w:pStyle w:val="notetext"/>
      </w:pPr>
      <w:r w:rsidRPr="004F7FBE">
        <w:t xml:space="preserve">Note 2: </w:t>
      </w:r>
      <w:r w:rsidRPr="004F7FBE">
        <w:tab/>
        <w:t>If the account holder makes an indication in accordance with subparagraph (5)(b)(i), the data holder will no longer be able to disclose CDR data relating to that account to that accredited person: see subrules 4.6(2) and (4) and</w:t>
      </w:r>
      <w:r>
        <w:t xml:space="preserve"> </w:t>
      </w:r>
      <w:r w:rsidRPr="004A04A4">
        <w:rPr>
          <w:color w:val="0000FF"/>
        </w:rPr>
        <w:t>rule 4.6A</w:t>
      </w:r>
      <w:r w:rsidR="00B44A39" w:rsidRPr="004A04A4">
        <w:rPr>
          <w:strike/>
          <w:color w:val="0000FF"/>
        </w:rPr>
        <w:t xml:space="preserve"> subrule 4.6A(1)</w:t>
      </w:r>
      <w:r w:rsidR="00B44A39" w:rsidRPr="00B44A39">
        <w:t>.</w:t>
      </w:r>
    </w:p>
    <w:p w14:paraId="7CBE4F0D" w14:textId="77777777" w:rsidR="00BB7660" w:rsidRPr="004F7FBE" w:rsidRDefault="00BB7660" w:rsidP="00BB7660">
      <w:pPr>
        <w:pStyle w:val="subsection"/>
      </w:pPr>
      <w:r w:rsidRPr="004F7FBE">
        <w:tab/>
        <w:t>(6)</w:t>
      </w:r>
      <w:r w:rsidRPr="004F7FBE">
        <w:tab/>
        <w:t>A data holder does not contravene subrule (5) in relation to subparagraphs (5)(b)(iii) and (iv) so long as it takes reasonable steps to ensure that the functionality complies with those subparagraphs.</w:t>
      </w:r>
    </w:p>
    <w:p w14:paraId="2BEB9511" w14:textId="77777777" w:rsidR="00BB7660" w:rsidRPr="004F7FBE" w:rsidRDefault="00BB7660" w:rsidP="00BB7660">
      <w:pPr>
        <w:pStyle w:val="subsection"/>
      </w:pPr>
      <w:r w:rsidRPr="004F7FBE">
        <w:tab/>
        <w:t>(7)</w:t>
      </w:r>
      <w:r w:rsidRPr="004F7FBE">
        <w:tab/>
        <w:t>If the data holder provides a consumer dashboard for the account holder, the service mentioned in subrule (5) must be included in the consumer dashboard.</w:t>
      </w:r>
    </w:p>
    <w:p w14:paraId="07C28405" w14:textId="77777777" w:rsidR="00BB7660" w:rsidRDefault="00BB7660" w:rsidP="00BB7660">
      <w:pPr>
        <w:pStyle w:val="notetext"/>
      </w:pPr>
      <w:r w:rsidRPr="004F7FBE">
        <w:t>Note:</w:t>
      </w:r>
      <w:r w:rsidRPr="004F7FBE">
        <w:tab/>
        <w:t>This subrule is a civil penalty provision (see rule 9.8).</w:t>
      </w:r>
    </w:p>
    <w:p w14:paraId="4C4F7B4C" w14:textId="77777777" w:rsidR="00BB7660" w:rsidRDefault="00BB7660" w:rsidP="00BB7660">
      <w:pPr>
        <w:pStyle w:val="ActHead4"/>
        <w:pageBreakBefore/>
      </w:pPr>
      <w:bookmarkStart w:id="62" w:name="_Toc111131988"/>
      <w:r>
        <w:lastRenderedPageBreak/>
        <w:t>Subdivision 1.4.4</w:t>
      </w:r>
      <w:r w:rsidRPr="00E1300D">
        <w:t>—Other obligations of accredited persons</w:t>
      </w:r>
      <w:bookmarkEnd w:id="62"/>
    </w:p>
    <w:p w14:paraId="2039F764" w14:textId="77777777" w:rsidR="004866FB" w:rsidRPr="00F524AD" w:rsidRDefault="004866FB" w:rsidP="004866FB">
      <w:pPr>
        <w:pStyle w:val="ActHead5"/>
        <w:rPr>
          <w:color w:val="0000FF"/>
        </w:rPr>
      </w:pPr>
      <w:bookmarkStart w:id="63" w:name="_Toc111131989"/>
      <w:bookmarkStart w:id="64" w:name="_Toc50041692"/>
      <w:bookmarkStart w:id="65" w:name="_Toc50708280"/>
      <w:bookmarkStart w:id="66" w:name="_Toc50708313"/>
      <w:r w:rsidRPr="00F524AD">
        <w:rPr>
          <w:color w:val="0000FF"/>
        </w:rPr>
        <w:t>1.16  Obligations relating to outsourcing arrangements</w:t>
      </w:r>
      <w:bookmarkEnd w:id="63"/>
    </w:p>
    <w:p w14:paraId="6AD47691" w14:textId="77777777" w:rsidR="004866FB" w:rsidRPr="00F524AD" w:rsidRDefault="004866FB" w:rsidP="004866FB">
      <w:pPr>
        <w:pStyle w:val="SubsectionHead"/>
        <w:rPr>
          <w:color w:val="0000FF"/>
        </w:rPr>
      </w:pPr>
      <w:r w:rsidRPr="00F524AD">
        <w:rPr>
          <w:color w:val="0000FF"/>
        </w:rPr>
        <w:t>OSPs of accredited person</w:t>
      </w:r>
    </w:p>
    <w:p w14:paraId="73D57E33" w14:textId="77777777" w:rsidR="004866FB" w:rsidRPr="00F524AD" w:rsidRDefault="004866FB" w:rsidP="004866FB">
      <w:pPr>
        <w:pStyle w:val="subsection"/>
        <w:rPr>
          <w:color w:val="0000FF"/>
        </w:rPr>
      </w:pPr>
      <w:r w:rsidRPr="00F524AD">
        <w:rPr>
          <w:color w:val="0000FF"/>
        </w:rPr>
        <w:tab/>
        <w:t>(1)</w:t>
      </w:r>
      <w:r w:rsidRPr="00F524AD">
        <w:rPr>
          <w:color w:val="0000FF"/>
        </w:rPr>
        <w:tab/>
        <w:t>If an accredited person is the chain principal of one or more direct or indirect OSPs, it must ensure that each direct and indirect OSP complies with its requirements under the relevant CDR outsourcing arrangement.</w:t>
      </w:r>
    </w:p>
    <w:p w14:paraId="60576F86" w14:textId="77777777" w:rsidR="004866FB" w:rsidRPr="00F524AD" w:rsidRDefault="004866FB" w:rsidP="004866FB">
      <w:pPr>
        <w:pStyle w:val="subsection"/>
        <w:rPr>
          <w:color w:val="0000FF"/>
        </w:rPr>
      </w:pPr>
      <w:r w:rsidRPr="00F524AD">
        <w:rPr>
          <w:color w:val="0000FF"/>
        </w:rPr>
        <w:tab/>
        <w:t>(2)</w:t>
      </w:r>
      <w:r w:rsidRPr="00F524AD">
        <w:rPr>
          <w:color w:val="0000FF"/>
        </w:rPr>
        <w:tab/>
        <w:t xml:space="preserve">The accredited person breaches this subrule if a direct OSP or indirect OSP of the accredited person fails to comply with a required provision of the relevant CDR </w:t>
      </w:r>
      <w:r w:rsidR="00BD0344" w:rsidRPr="00F524AD">
        <w:rPr>
          <w:color w:val="0000FF"/>
        </w:rPr>
        <w:t xml:space="preserve">outsourcing </w:t>
      </w:r>
      <w:r w:rsidRPr="00F524AD">
        <w:rPr>
          <w:color w:val="0000FF"/>
        </w:rPr>
        <w:t xml:space="preserve">arrangement. </w:t>
      </w:r>
    </w:p>
    <w:p w14:paraId="155E5168" w14:textId="77777777" w:rsidR="004866FB" w:rsidRPr="00F524AD" w:rsidRDefault="004866FB" w:rsidP="004866FB">
      <w:pPr>
        <w:pStyle w:val="notetext"/>
        <w:rPr>
          <w:color w:val="0000FF"/>
        </w:rPr>
      </w:pPr>
      <w:r w:rsidRPr="00F524AD">
        <w:rPr>
          <w:color w:val="0000FF"/>
        </w:rPr>
        <w:t>Note:</w:t>
      </w:r>
      <w:r w:rsidRPr="00F524AD">
        <w:rPr>
          <w:color w:val="0000FF"/>
        </w:rPr>
        <w:tab/>
        <w:t>This subrule is a civil penalty provision (see rule 9.8).</w:t>
      </w:r>
    </w:p>
    <w:p w14:paraId="5E65C192" w14:textId="77777777" w:rsidR="00BD0344" w:rsidRPr="00F524AD" w:rsidRDefault="00BD0344" w:rsidP="00BD0344">
      <w:pPr>
        <w:pStyle w:val="SubsectionHead"/>
        <w:rPr>
          <w:color w:val="0000FF"/>
        </w:rPr>
      </w:pPr>
      <w:r w:rsidRPr="00F524AD">
        <w:rPr>
          <w:color w:val="0000FF"/>
        </w:rPr>
        <w:t>OSPs of CDR representative of accredited person</w:t>
      </w:r>
    </w:p>
    <w:p w14:paraId="00BFE020" w14:textId="77777777" w:rsidR="00BD0344" w:rsidRPr="00F524AD" w:rsidRDefault="00BD0344" w:rsidP="00BD0344">
      <w:pPr>
        <w:pStyle w:val="subsection"/>
        <w:rPr>
          <w:color w:val="0000FF"/>
        </w:rPr>
      </w:pPr>
      <w:r w:rsidRPr="00F524AD">
        <w:rPr>
          <w:color w:val="0000FF"/>
        </w:rPr>
        <w:tab/>
        <w:t>(3)</w:t>
      </w:r>
      <w:r w:rsidRPr="00F524AD">
        <w:rPr>
          <w:color w:val="0000FF"/>
        </w:rPr>
        <w:tab/>
        <w:t>If an accredited person is the CDR principal in a CDR representative arrangement under which it permits the CDR representative to engage direct or indirect OSPs, it must ensure that each such direct and indirect OSP complies with its requirements under the relevant CDR outsourcing arrangement.</w:t>
      </w:r>
    </w:p>
    <w:p w14:paraId="5C05D62F" w14:textId="77777777" w:rsidR="00BD0344" w:rsidRPr="00F524AD" w:rsidRDefault="00BD0344" w:rsidP="00BD0344">
      <w:pPr>
        <w:pStyle w:val="subsection"/>
        <w:rPr>
          <w:color w:val="0000FF"/>
        </w:rPr>
      </w:pPr>
      <w:r w:rsidRPr="00F524AD">
        <w:rPr>
          <w:color w:val="0000FF"/>
        </w:rPr>
        <w:tab/>
        <w:t>(4)</w:t>
      </w:r>
      <w:r w:rsidRPr="00F524AD">
        <w:rPr>
          <w:color w:val="0000FF"/>
        </w:rPr>
        <w:tab/>
        <w:t xml:space="preserve">The accredited person breaches this subrule if a direct OSP or indirect OSP of the CDR representative fails to comply with a required provision of the relevant CDR outsourcing arrangement. </w:t>
      </w:r>
    </w:p>
    <w:p w14:paraId="66F6A982" w14:textId="77777777" w:rsidR="00BD0344" w:rsidRPr="00F524AD" w:rsidRDefault="00BD0344" w:rsidP="00BD0344">
      <w:pPr>
        <w:pStyle w:val="notetext"/>
        <w:rPr>
          <w:color w:val="0000FF"/>
        </w:rPr>
      </w:pPr>
      <w:r w:rsidRPr="00F524AD">
        <w:rPr>
          <w:color w:val="0000FF"/>
        </w:rPr>
        <w:t>Note:</w:t>
      </w:r>
      <w:r w:rsidRPr="00F524AD">
        <w:rPr>
          <w:color w:val="0000FF"/>
        </w:rPr>
        <w:tab/>
        <w:t>This subrule is a civil penalty provision (see rule 9.8).</w:t>
      </w:r>
    </w:p>
    <w:p w14:paraId="1FD1BCC4" w14:textId="77777777" w:rsidR="004866FB" w:rsidRPr="00F524AD" w:rsidRDefault="004866FB" w:rsidP="004866FB">
      <w:pPr>
        <w:pStyle w:val="SubsectionHead"/>
        <w:rPr>
          <w:color w:val="0000FF"/>
        </w:rPr>
      </w:pPr>
      <w:r w:rsidRPr="00F524AD">
        <w:rPr>
          <w:color w:val="0000FF"/>
        </w:rPr>
        <w:t>Accredited person acting as OSP for another accredited person</w:t>
      </w:r>
    </w:p>
    <w:p w14:paraId="4C436B31" w14:textId="77777777" w:rsidR="004866FB" w:rsidRPr="00F524AD" w:rsidRDefault="004866FB" w:rsidP="004866FB">
      <w:pPr>
        <w:pStyle w:val="subsection"/>
        <w:rPr>
          <w:color w:val="0000FF"/>
        </w:rPr>
      </w:pPr>
      <w:r w:rsidRPr="00F524AD">
        <w:rPr>
          <w:color w:val="0000FF"/>
        </w:rPr>
        <w:tab/>
        <w:t>(</w:t>
      </w:r>
      <w:r w:rsidR="00BD0344" w:rsidRPr="00F524AD">
        <w:rPr>
          <w:color w:val="0000FF"/>
        </w:rPr>
        <w:t>5</w:t>
      </w:r>
      <w:r w:rsidRPr="00F524AD">
        <w:rPr>
          <w:color w:val="0000FF"/>
        </w:rPr>
        <w:t>)</w:t>
      </w:r>
      <w:r w:rsidRPr="00F524AD">
        <w:rPr>
          <w:color w:val="0000FF"/>
        </w:rPr>
        <w:tab/>
        <w:t xml:space="preserve">If an accredited person collects CDR data on behalf of another accredited person (the </w:t>
      </w:r>
      <w:r w:rsidRPr="00F524AD">
        <w:rPr>
          <w:b/>
          <w:i/>
          <w:color w:val="0000FF"/>
        </w:rPr>
        <w:t>principal</w:t>
      </w:r>
      <w:r w:rsidRPr="00F524AD">
        <w:rPr>
          <w:color w:val="0000FF"/>
        </w:rPr>
        <w:t>) as a direct or indirect OSP:</w:t>
      </w:r>
    </w:p>
    <w:p w14:paraId="51741549" w14:textId="77777777" w:rsidR="004866FB" w:rsidRPr="00F524AD" w:rsidRDefault="004866FB" w:rsidP="004866FB">
      <w:pPr>
        <w:pStyle w:val="paragraph"/>
        <w:rPr>
          <w:color w:val="0000FF"/>
        </w:rPr>
      </w:pPr>
      <w:r w:rsidRPr="00F524AD">
        <w:rPr>
          <w:color w:val="0000FF"/>
        </w:rPr>
        <w:tab/>
        <w:t>(a)</w:t>
      </w:r>
      <w:r w:rsidRPr="00F524AD">
        <w:rPr>
          <w:color w:val="0000FF"/>
        </w:rPr>
        <w:tab/>
        <w:t>rule 7.4 and rule 7.9 apply only in relation to the principal; and</w:t>
      </w:r>
    </w:p>
    <w:p w14:paraId="6D616D3B" w14:textId="77777777" w:rsidR="004866FB" w:rsidRPr="00F524AD" w:rsidRDefault="004866FB" w:rsidP="004866FB">
      <w:pPr>
        <w:pStyle w:val="paragraph"/>
        <w:rPr>
          <w:color w:val="0000FF"/>
        </w:rPr>
      </w:pPr>
      <w:r w:rsidRPr="00F524AD">
        <w:rPr>
          <w:color w:val="0000FF"/>
        </w:rPr>
        <w:tab/>
        <w:t>(b)</w:t>
      </w:r>
      <w:r w:rsidRPr="00F524AD">
        <w:rPr>
          <w:color w:val="0000FF"/>
        </w:rPr>
        <w:tab/>
        <w:t>paragraph 7.10(1)(a) requires the principal to be identified.</w:t>
      </w:r>
    </w:p>
    <w:p w14:paraId="4DA856DC" w14:textId="77777777" w:rsidR="00BD0344" w:rsidRPr="00F524AD" w:rsidRDefault="00BD0344" w:rsidP="00BD0344">
      <w:pPr>
        <w:pStyle w:val="SubsectionHead"/>
        <w:rPr>
          <w:b/>
          <w:color w:val="0000FF"/>
        </w:rPr>
      </w:pPr>
      <w:r w:rsidRPr="00F524AD">
        <w:rPr>
          <w:color w:val="0000FF"/>
        </w:rPr>
        <w:t xml:space="preserve">Meaning of </w:t>
      </w:r>
      <w:r w:rsidRPr="00F524AD">
        <w:rPr>
          <w:b/>
          <w:color w:val="0000FF"/>
        </w:rPr>
        <w:t>required provision</w:t>
      </w:r>
    </w:p>
    <w:p w14:paraId="4E191B73" w14:textId="77777777" w:rsidR="00BD0344" w:rsidRPr="00F524AD" w:rsidRDefault="00BD0344" w:rsidP="00BD0344">
      <w:pPr>
        <w:pStyle w:val="subsection"/>
        <w:rPr>
          <w:color w:val="0000FF"/>
        </w:rPr>
      </w:pPr>
      <w:r w:rsidRPr="00F524AD">
        <w:rPr>
          <w:color w:val="0000FF"/>
        </w:rPr>
        <w:tab/>
        <w:t>(6)</w:t>
      </w:r>
      <w:r w:rsidRPr="00F524AD">
        <w:rPr>
          <w:color w:val="0000FF"/>
        </w:rPr>
        <w:tab/>
        <w:t xml:space="preserve">For this rule, a provision of a CDR outsourcing arrangement is a </w:t>
      </w:r>
      <w:r w:rsidRPr="00F524AD">
        <w:rPr>
          <w:b/>
          <w:i/>
          <w:color w:val="0000FF"/>
        </w:rPr>
        <w:t>required provision</w:t>
      </w:r>
      <w:r w:rsidRPr="00F524AD">
        <w:rPr>
          <w:color w:val="0000FF"/>
        </w:rPr>
        <w:t xml:space="preserve"> if the arrangement would cease to be a CDR outsourcing arrangement under subrule 1.10(2) if the provision were removed.</w:t>
      </w:r>
    </w:p>
    <w:p w14:paraId="343EE957" w14:textId="77777777" w:rsidR="004866FB" w:rsidRPr="00F524AD" w:rsidRDefault="004866FB" w:rsidP="004866FB">
      <w:pPr>
        <w:pStyle w:val="ActHead5"/>
        <w:rPr>
          <w:color w:val="0000FF"/>
        </w:rPr>
      </w:pPr>
      <w:bookmarkStart w:id="67" w:name="_Toc111131990"/>
      <w:r w:rsidRPr="00F524AD">
        <w:rPr>
          <w:color w:val="0000FF"/>
        </w:rPr>
        <w:t>1.16A  Obligations relating to CDR representative arrangements</w:t>
      </w:r>
      <w:bookmarkEnd w:id="67"/>
    </w:p>
    <w:p w14:paraId="6C8A6AEC" w14:textId="77777777" w:rsidR="00BD0344" w:rsidRPr="00F524AD" w:rsidRDefault="00BD0344" w:rsidP="00BD0344">
      <w:pPr>
        <w:pStyle w:val="SubsectionHead"/>
        <w:rPr>
          <w:color w:val="0000FF"/>
        </w:rPr>
      </w:pPr>
      <w:r w:rsidRPr="00F524AD">
        <w:rPr>
          <w:color w:val="0000FF"/>
        </w:rPr>
        <w:t>Compliance with CDR representative arrangement</w:t>
      </w:r>
    </w:p>
    <w:p w14:paraId="1534C20B" w14:textId="77777777" w:rsidR="00BD0344" w:rsidRPr="00F524AD" w:rsidRDefault="00BD0344" w:rsidP="00BD0344">
      <w:pPr>
        <w:pStyle w:val="subsection"/>
        <w:rPr>
          <w:color w:val="0000FF"/>
        </w:rPr>
      </w:pPr>
      <w:r w:rsidRPr="00F524AD">
        <w:rPr>
          <w:color w:val="0000FF"/>
        </w:rPr>
        <w:tab/>
        <w:t>(1)</w:t>
      </w:r>
      <w:r w:rsidRPr="00F524AD">
        <w:rPr>
          <w:color w:val="0000FF"/>
        </w:rPr>
        <w:tab/>
        <w:t>If an accredited person is the CDR principal in a CDR representative arrangement, it must ensure that the CDR representative complies with its requirements under the arrangement.</w:t>
      </w:r>
    </w:p>
    <w:p w14:paraId="2404DF76" w14:textId="77777777" w:rsidR="00BD0344" w:rsidRPr="00F524AD" w:rsidRDefault="00BD0344" w:rsidP="00BD0344">
      <w:pPr>
        <w:pStyle w:val="subsection"/>
        <w:rPr>
          <w:color w:val="0000FF"/>
        </w:rPr>
      </w:pPr>
      <w:r w:rsidRPr="00F524AD">
        <w:rPr>
          <w:color w:val="0000FF"/>
        </w:rPr>
        <w:tab/>
        <w:t>(2)</w:t>
      </w:r>
      <w:r w:rsidRPr="00F524AD">
        <w:rPr>
          <w:color w:val="0000FF"/>
        </w:rPr>
        <w:tab/>
        <w:t xml:space="preserve">The accredited person breaches this subrule if the CDR representative fails to comply with a required provision of the CDR representative arrangement. </w:t>
      </w:r>
    </w:p>
    <w:p w14:paraId="69FD85EF" w14:textId="77777777" w:rsidR="00BD0344" w:rsidRPr="00F524AD" w:rsidRDefault="00BD0344" w:rsidP="00BD0344">
      <w:pPr>
        <w:pStyle w:val="notetext"/>
        <w:rPr>
          <w:color w:val="0000FF"/>
        </w:rPr>
      </w:pPr>
      <w:r w:rsidRPr="00F524AD">
        <w:rPr>
          <w:color w:val="0000FF"/>
        </w:rPr>
        <w:lastRenderedPageBreak/>
        <w:t>Note:</w:t>
      </w:r>
      <w:r w:rsidRPr="00F524AD">
        <w:rPr>
          <w:color w:val="0000FF"/>
        </w:rPr>
        <w:tab/>
        <w:t>This subrule is a civil penalty provision (see rule 9.8).</w:t>
      </w:r>
    </w:p>
    <w:p w14:paraId="3E081A62" w14:textId="77777777" w:rsidR="00BD0344" w:rsidRPr="00F524AD" w:rsidRDefault="00BD0344" w:rsidP="00BD0344">
      <w:pPr>
        <w:pStyle w:val="SubsectionHead"/>
        <w:rPr>
          <w:color w:val="0000FF"/>
        </w:rPr>
      </w:pPr>
      <w:r w:rsidRPr="00F524AD">
        <w:rPr>
          <w:color w:val="0000FF"/>
        </w:rPr>
        <w:t>Compliance with Division 4.3A</w:t>
      </w:r>
    </w:p>
    <w:p w14:paraId="57E90568" w14:textId="77777777" w:rsidR="00BD0344" w:rsidRPr="00F524AD" w:rsidRDefault="00BD0344" w:rsidP="00BD0344">
      <w:pPr>
        <w:pStyle w:val="subsection"/>
        <w:rPr>
          <w:color w:val="0000FF"/>
        </w:rPr>
      </w:pPr>
      <w:r w:rsidRPr="00F524AD">
        <w:rPr>
          <w:color w:val="0000FF"/>
        </w:rPr>
        <w:tab/>
        <w:t>(</w:t>
      </w:r>
      <w:r w:rsidR="00337681" w:rsidRPr="00F524AD">
        <w:rPr>
          <w:color w:val="0000FF"/>
        </w:rPr>
        <w:t>3</w:t>
      </w:r>
      <w:r w:rsidRPr="00F524AD">
        <w:rPr>
          <w:color w:val="0000FF"/>
        </w:rPr>
        <w:t>)</w:t>
      </w:r>
      <w:r w:rsidRPr="00F524AD">
        <w:rPr>
          <w:color w:val="0000FF"/>
        </w:rPr>
        <w:tab/>
        <w:t>The accredited person must ensure that the CDR representative complies with Division 4.3A.</w:t>
      </w:r>
    </w:p>
    <w:p w14:paraId="21813E86" w14:textId="77777777" w:rsidR="00BD0344" w:rsidRPr="00F524AD" w:rsidRDefault="00BD0344" w:rsidP="00BD0344">
      <w:pPr>
        <w:pStyle w:val="subsection"/>
        <w:rPr>
          <w:color w:val="0000FF"/>
        </w:rPr>
      </w:pPr>
      <w:r w:rsidRPr="00F524AD">
        <w:rPr>
          <w:color w:val="0000FF"/>
        </w:rPr>
        <w:tab/>
        <w:t>(</w:t>
      </w:r>
      <w:r w:rsidR="00337681" w:rsidRPr="00F524AD">
        <w:rPr>
          <w:color w:val="0000FF"/>
        </w:rPr>
        <w:t>4</w:t>
      </w:r>
      <w:r w:rsidRPr="00F524AD">
        <w:rPr>
          <w:color w:val="0000FF"/>
        </w:rPr>
        <w:t>)</w:t>
      </w:r>
      <w:r w:rsidRPr="00F524AD">
        <w:rPr>
          <w:color w:val="0000FF"/>
        </w:rPr>
        <w:tab/>
        <w:t>The accredited person breaches this subrule if the CDR representative fails to comply with a provision of Division 4.3A</w:t>
      </w:r>
      <w:r w:rsidR="002A4EC0" w:rsidRPr="00F524AD">
        <w:rPr>
          <w:color w:val="0000FF"/>
        </w:rPr>
        <w:t>.</w:t>
      </w:r>
    </w:p>
    <w:p w14:paraId="7648690D" w14:textId="77777777" w:rsidR="002A4EC0" w:rsidRPr="00F524AD" w:rsidRDefault="002A4EC0" w:rsidP="002A4EC0">
      <w:pPr>
        <w:pStyle w:val="notetext"/>
        <w:rPr>
          <w:color w:val="0000FF"/>
        </w:rPr>
      </w:pPr>
      <w:r w:rsidRPr="00F524AD">
        <w:rPr>
          <w:color w:val="0000FF"/>
        </w:rPr>
        <w:t>Note:</w:t>
      </w:r>
      <w:r w:rsidRPr="00F524AD">
        <w:rPr>
          <w:color w:val="0000FF"/>
        </w:rPr>
        <w:tab/>
        <w:t>This subrule is a civil penalty provision (see rule 9.8).</w:t>
      </w:r>
    </w:p>
    <w:p w14:paraId="52F317C6" w14:textId="77777777" w:rsidR="00337681" w:rsidRPr="00F524AD" w:rsidRDefault="00337681" w:rsidP="00337681">
      <w:pPr>
        <w:pStyle w:val="SubsectionHead"/>
        <w:rPr>
          <w:b/>
          <w:color w:val="0000FF"/>
        </w:rPr>
      </w:pPr>
      <w:r w:rsidRPr="00F524AD">
        <w:rPr>
          <w:color w:val="0000FF"/>
        </w:rPr>
        <w:t xml:space="preserve">Meaning of </w:t>
      </w:r>
      <w:r w:rsidRPr="00F524AD">
        <w:rPr>
          <w:b/>
          <w:color w:val="0000FF"/>
        </w:rPr>
        <w:t>required provision</w:t>
      </w:r>
    </w:p>
    <w:p w14:paraId="52E3F11A" w14:textId="77777777" w:rsidR="00337681" w:rsidRPr="00F524AD" w:rsidRDefault="00337681" w:rsidP="00337681">
      <w:pPr>
        <w:pStyle w:val="subsection"/>
        <w:rPr>
          <w:color w:val="0000FF"/>
        </w:rPr>
      </w:pPr>
      <w:r w:rsidRPr="00F524AD">
        <w:rPr>
          <w:color w:val="0000FF"/>
        </w:rPr>
        <w:tab/>
        <w:t>(5)</w:t>
      </w:r>
      <w:r w:rsidRPr="00F524AD">
        <w:rPr>
          <w:color w:val="0000FF"/>
        </w:rPr>
        <w:tab/>
        <w:t xml:space="preserve">For this rule, a provision of a CDR representative arrangement is a </w:t>
      </w:r>
      <w:r w:rsidRPr="00F524AD">
        <w:rPr>
          <w:b/>
          <w:i/>
          <w:color w:val="0000FF"/>
        </w:rPr>
        <w:t>required provision</w:t>
      </w:r>
      <w:r w:rsidRPr="00F524AD">
        <w:rPr>
          <w:color w:val="0000FF"/>
        </w:rPr>
        <w:t xml:space="preserve"> if the arrangement would cease to be a CDR representative arrangement under subrule 1.10AA(2) if the provision were removed.</w:t>
      </w:r>
    </w:p>
    <w:p w14:paraId="0DA55B0C" w14:textId="77777777" w:rsidR="006839F4" w:rsidRPr="006839F4" w:rsidRDefault="006839F4" w:rsidP="006839F4">
      <w:pPr>
        <w:pStyle w:val="ActHead5"/>
        <w:rPr>
          <w:strike/>
          <w:color w:val="0000FF"/>
        </w:rPr>
      </w:pPr>
      <w:bookmarkStart w:id="68" w:name="_Toc96610465"/>
      <w:bookmarkStart w:id="69" w:name="_Toc111131991"/>
      <w:bookmarkEnd w:id="64"/>
      <w:bookmarkEnd w:id="65"/>
      <w:bookmarkEnd w:id="66"/>
      <w:r w:rsidRPr="006839F4">
        <w:rPr>
          <w:strike/>
          <w:color w:val="0000FF"/>
        </w:rPr>
        <w:t>1.16  Obligations relating to CDR outsourcing arrangements</w:t>
      </w:r>
      <w:bookmarkEnd w:id="68"/>
      <w:bookmarkEnd w:id="69"/>
      <w:r w:rsidRPr="006839F4">
        <w:rPr>
          <w:strike/>
          <w:color w:val="0000FF"/>
        </w:rPr>
        <w:t xml:space="preserve"> </w:t>
      </w:r>
    </w:p>
    <w:p w14:paraId="1BA2A4B7" w14:textId="77777777" w:rsidR="006839F4" w:rsidRPr="006839F4" w:rsidRDefault="006839F4" w:rsidP="006839F4">
      <w:pPr>
        <w:pStyle w:val="subsection"/>
        <w:rPr>
          <w:strike/>
          <w:color w:val="0000FF"/>
        </w:rPr>
      </w:pPr>
      <w:r w:rsidRPr="006839F4">
        <w:rPr>
          <w:strike/>
          <w:color w:val="0000FF"/>
        </w:rPr>
        <w:tab/>
        <w:t>(1)</w:t>
      </w:r>
      <w:r w:rsidRPr="006839F4">
        <w:rPr>
          <w:strike/>
          <w:color w:val="0000FF"/>
        </w:rPr>
        <w:tab/>
        <w:t>If an accredited person is the principal in a CDR outsourcing arrangement, it must ensure that the provider complies with its requirements under the arrangement.</w:t>
      </w:r>
    </w:p>
    <w:p w14:paraId="4995D3A7" w14:textId="77777777" w:rsidR="006839F4" w:rsidRPr="006839F4" w:rsidRDefault="006839F4" w:rsidP="006839F4">
      <w:pPr>
        <w:pStyle w:val="notetext"/>
        <w:rPr>
          <w:strike/>
          <w:color w:val="0000FF"/>
        </w:rPr>
      </w:pPr>
      <w:r w:rsidRPr="006839F4">
        <w:rPr>
          <w:strike/>
          <w:color w:val="0000FF"/>
        </w:rPr>
        <w:t>Note:</w:t>
      </w:r>
      <w:r w:rsidRPr="006839F4">
        <w:rPr>
          <w:strike/>
          <w:color w:val="0000FF"/>
        </w:rPr>
        <w:tab/>
        <w:t>This subrule is a civil penalty provision (see rule 9.8).</w:t>
      </w:r>
    </w:p>
    <w:p w14:paraId="13E578F9" w14:textId="77777777" w:rsidR="006839F4" w:rsidRPr="006839F4" w:rsidRDefault="006839F4" w:rsidP="006839F4">
      <w:pPr>
        <w:pStyle w:val="subsection"/>
        <w:rPr>
          <w:strike/>
          <w:color w:val="0000FF"/>
        </w:rPr>
      </w:pPr>
      <w:r w:rsidRPr="006839F4">
        <w:rPr>
          <w:strike/>
          <w:color w:val="0000FF"/>
        </w:rPr>
        <w:tab/>
        <w:t>(2)</w:t>
      </w:r>
      <w:r w:rsidRPr="006839F4">
        <w:rPr>
          <w:strike/>
          <w:color w:val="0000FF"/>
        </w:rPr>
        <w:tab/>
        <w:t xml:space="preserve">If an accredited person collects CDR data on behalf of another accredited person (the </w:t>
      </w:r>
      <w:r w:rsidRPr="006839F4">
        <w:rPr>
          <w:b/>
          <w:i/>
          <w:strike/>
          <w:color w:val="0000FF"/>
        </w:rPr>
        <w:t>principal</w:t>
      </w:r>
      <w:r w:rsidRPr="006839F4">
        <w:rPr>
          <w:strike/>
          <w:color w:val="0000FF"/>
        </w:rPr>
        <w:t>) under a CDR outsourcing arrangement:</w:t>
      </w:r>
    </w:p>
    <w:p w14:paraId="655EB0FC" w14:textId="77777777" w:rsidR="006839F4" w:rsidRPr="006839F4" w:rsidRDefault="006839F4" w:rsidP="006839F4">
      <w:pPr>
        <w:pStyle w:val="paragraph"/>
        <w:rPr>
          <w:strike/>
          <w:color w:val="0000FF"/>
        </w:rPr>
      </w:pPr>
      <w:r w:rsidRPr="006839F4">
        <w:rPr>
          <w:strike/>
          <w:color w:val="0000FF"/>
        </w:rPr>
        <w:tab/>
        <w:t>(a)</w:t>
      </w:r>
      <w:r w:rsidRPr="006839F4">
        <w:rPr>
          <w:strike/>
          <w:color w:val="0000FF"/>
        </w:rPr>
        <w:tab/>
        <w:t>rule 7.4 and rule 7.9 apply only in relation to the principal; and</w:t>
      </w:r>
    </w:p>
    <w:p w14:paraId="7CB8AD27" w14:textId="77777777" w:rsidR="006839F4" w:rsidRPr="006839F4" w:rsidRDefault="006839F4" w:rsidP="006839F4">
      <w:pPr>
        <w:pStyle w:val="paragraph"/>
        <w:rPr>
          <w:strike/>
          <w:color w:val="0000FF"/>
        </w:rPr>
      </w:pPr>
      <w:r w:rsidRPr="006839F4">
        <w:rPr>
          <w:strike/>
          <w:color w:val="0000FF"/>
        </w:rPr>
        <w:tab/>
        <w:t>(b)</w:t>
      </w:r>
      <w:r w:rsidRPr="006839F4">
        <w:rPr>
          <w:strike/>
          <w:color w:val="0000FF"/>
        </w:rPr>
        <w:tab/>
        <w:t>paragraph 7.10(1)(a) requires the principal to be identified.</w:t>
      </w:r>
    </w:p>
    <w:p w14:paraId="53D7A9CD" w14:textId="77777777" w:rsidR="006839F4" w:rsidRPr="006839F4" w:rsidRDefault="006839F4" w:rsidP="006839F4">
      <w:pPr>
        <w:pStyle w:val="ActHead5"/>
        <w:rPr>
          <w:strike/>
          <w:color w:val="0000FF"/>
        </w:rPr>
      </w:pPr>
      <w:bookmarkStart w:id="70" w:name="_Toc96610466"/>
      <w:bookmarkStart w:id="71" w:name="_Toc111131992"/>
      <w:r w:rsidRPr="006839F4">
        <w:rPr>
          <w:strike/>
          <w:color w:val="0000FF"/>
        </w:rPr>
        <w:t>1.16A  Obligations relating to CDR representative arrangements</w:t>
      </w:r>
      <w:bookmarkEnd w:id="70"/>
      <w:bookmarkEnd w:id="71"/>
      <w:r w:rsidRPr="006839F4">
        <w:rPr>
          <w:strike/>
          <w:color w:val="0000FF"/>
        </w:rPr>
        <w:t xml:space="preserve"> </w:t>
      </w:r>
    </w:p>
    <w:p w14:paraId="139A0866" w14:textId="77777777" w:rsidR="006839F4" w:rsidRPr="006839F4" w:rsidRDefault="006839F4" w:rsidP="006839F4">
      <w:pPr>
        <w:pStyle w:val="subsection"/>
        <w:rPr>
          <w:strike/>
          <w:color w:val="0000FF"/>
        </w:rPr>
      </w:pPr>
      <w:r w:rsidRPr="006839F4">
        <w:rPr>
          <w:strike/>
          <w:color w:val="0000FF"/>
        </w:rPr>
        <w:tab/>
        <w:t>(1)</w:t>
      </w:r>
      <w:r w:rsidRPr="006839F4">
        <w:rPr>
          <w:strike/>
          <w:color w:val="0000FF"/>
        </w:rPr>
        <w:tab/>
        <w:t>If an accredited person is the principal in a CDR representative arrangement, it must ensure that the CDR representative complies with its requirements under the arrangement.</w:t>
      </w:r>
    </w:p>
    <w:p w14:paraId="1740EC40" w14:textId="77777777" w:rsidR="006839F4" w:rsidRPr="006839F4" w:rsidRDefault="006839F4" w:rsidP="006839F4">
      <w:pPr>
        <w:pStyle w:val="subsection"/>
        <w:rPr>
          <w:strike/>
          <w:color w:val="0000FF"/>
        </w:rPr>
      </w:pPr>
      <w:r w:rsidRPr="006839F4">
        <w:rPr>
          <w:strike/>
          <w:color w:val="0000FF"/>
        </w:rPr>
        <w:tab/>
        <w:t>(2)</w:t>
      </w:r>
      <w:r w:rsidRPr="006839F4">
        <w:rPr>
          <w:strike/>
          <w:color w:val="0000FF"/>
        </w:rPr>
        <w:tab/>
        <w:t xml:space="preserve">The accredited person breaches this subrule if the CDR representative fails to comply with a required provision of the CDR representative arrangement. </w:t>
      </w:r>
    </w:p>
    <w:p w14:paraId="30B419C2" w14:textId="77777777" w:rsidR="006839F4" w:rsidRPr="006839F4" w:rsidRDefault="006839F4" w:rsidP="006839F4">
      <w:pPr>
        <w:pStyle w:val="notetext"/>
        <w:rPr>
          <w:strike/>
          <w:color w:val="0000FF"/>
        </w:rPr>
      </w:pPr>
      <w:r w:rsidRPr="006839F4">
        <w:rPr>
          <w:strike/>
          <w:color w:val="0000FF"/>
        </w:rPr>
        <w:t>Note:</w:t>
      </w:r>
      <w:r w:rsidRPr="006839F4">
        <w:rPr>
          <w:strike/>
          <w:color w:val="0000FF"/>
        </w:rPr>
        <w:tab/>
        <w:t>This subrule is a civil penalty provision (see rule 9.8).</w:t>
      </w:r>
    </w:p>
    <w:p w14:paraId="084CFE66" w14:textId="77777777" w:rsidR="006839F4" w:rsidRPr="006839F4" w:rsidRDefault="006839F4" w:rsidP="006839F4">
      <w:pPr>
        <w:pStyle w:val="subsection"/>
        <w:rPr>
          <w:strike/>
          <w:color w:val="0000FF"/>
        </w:rPr>
      </w:pPr>
      <w:r w:rsidRPr="006839F4">
        <w:rPr>
          <w:strike/>
          <w:color w:val="0000FF"/>
        </w:rPr>
        <w:tab/>
        <w:t>(3)</w:t>
      </w:r>
      <w:r w:rsidRPr="006839F4">
        <w:rPr>
          <w:strike/>
          <w:color w:val="0000FF"/>
        </w:rPr>
        <w:tab/>
        <w:t xml:space="preserve">For this rule, a provision of a CDR representative arrangement is a </w:t>
      </w:r>
      <w:r w:rsidRPr="006839F4">
        <w:rPr>
          <w:b/>
          <w:i/>
          <w:strike/>
          <w:color w:val="0000FF"/>
        </w:rPr>
        <w:t>required provision</w:t>
      </w:r>
      <w:r w:rsidRPr="006839F4">
        <w:rPr>
          <w:strike/>
          <w:color w:val="0000FF"/>
        </w:rPr>
        <w:t xml:space="preserve"> if the arrangement would cease to be a CDR arrangement under subrule 1.10AA(2) if the provision were removed.</w:t>
      </w:r>
    </w:p>
    <w:p w14:paraId="0CC83725" w14:textId="77777777" w:rsidR="00BB7660" w:rsidRPr="00360E15" w:rsidRDefault="00BB7660" w:rsidP="00BB7660">
      <w:pPr>
        <w:pStyle w:val="ActHead4"/>
        <w:pageBreakBefore/>
      </w:pPr>
      <w:bookmarkStart w:id="72" w:name="_Toc111131993"/>
      <w:r>
        <w:lastRenderedPageBreak/>
        <w:t>Subdivision 1.4.5</w:t>
      </w:r>
      <w:r w:rsidRPr="00360E15">
        <w:t>—D</w:t>
      </w:r>
      <w:r w:rsidRPr="00E53912">
        <w:rPr>
          <w:color w:val="000000" w:themeColor="text1"/>
        </w:rPr>
        <w:t>eletion and d</w:t>
      </w:r>
      <w:r w:rsidRPr="00360E15">
        <w:t>e</w:t>
      </w:r>
      <w:r w:rsidRPr="00360E15">
        <w:noBreakHyphen/>
        <w:t>identification of CDR data</w:t>
      </w:r>
      <w:bookmarkEnd w:id="72"/>
    </w:p>
    <w:p w14:paraId="77F840BC" w14:textId="77777777" w:rsidR="00BB7660" w:rsidRDefault="00BB7660" w:rsidP="00BB7660">
      <w:pPr>
        <w:pStyle w:val="ActHead5"/>
      </w:pPr>
      <w:bookmarkStart w:id="73" w:name="_Toc111131994"/>
      <w:r>
        <w:t>1.17</w:t>
      </w:r>
      <w:r w:rsidRPr="00360E15">
        <w:t xml:space="preserve">  CDR </w:t>
      </w:r>
      <w:r w:rsidRPr="00E53912">
        <w:rPr>
          <w:color w:val="000000" w:themeColor="text1"/>
        </w:rPr>
        <w:t xml:space="preserve">data </w:t>
      </w:r>
      <w:r w:rsidRPr="00360E15">
        <w:t>de</w:t>
      </w:r>
      <w:r w:rsidRPr="00360E15">
        <w:noBreakHyphen/>
        <w:t>identification process</w:t>
      </w:r>
      <w:bookmarkEnd w:id="73"/>
    </w:p>
    <w:p w14:paraId="09D85247" w14:textId="77777777" w:rsidR="00BB7660" w:rsidRPr="00F90A37" w:rsidRDefault="00BB7660" w:rsidP="00BB7660">
      <w:pPr>
        <w:pStyle w:val="subsection"/>
      </w:pPr>
      <w:r w:rsidRPr="00360E15">
        <w:tab/>
      </w:r>
      <w:r>
        <w:t>(1)</w:t>
      </w:r>
      <w:r w:rsidRPr="00360E15">
        <w:tab/>
        <w:t xml:space="preserve">This rule sets out the </w:t>
      </w:r>
      <w:r w:rsidRPr="00360E15">
        <w:rPr>
          <w:b/>
          <w:i/>
        </w:rPr>
        <w:t xml:space="preserve">CDR </w:t>
      </w:r>
      <w:r w:rsidRPr="00E53912">
        <w:rPr>
          <w:b/>
          <w:i/>
          <w:color w:val="000000" w:themeColor="text1"/>
        </w:rPr>
        <w:t>data</w:t>
      </w:r>
      <w:r>
        <w:rPr>
          <w:b/>
          <w:i/>
        </w:rPr>
        <w:t xml:space="preserve"> </w:t>
      </w:r>
      <w:r w:rsidRPr="00360E15">
        <w:rPr>
          <w:b/>
          <w:i/>
        </w:rPr>
        <w:t>de</w:t>
      </w:r>
      <w:r w:rsidRPr="00360E15">
        <w:rPr>
          <w:b/>
          <w:i/>
        </w:rPr>
        <w:noBreakHyphen/>
        <w:t>identification process</w:t>
      </w:r>
      <w:r>
        <w:rPr>
          <w:b/>
          <w:i/>
        </w:rPr>
        <w:t xml:space="preserve"> </w:t>
      </w:r>
      <w:r w:rsidRPr="006D5CA7">
        <w:rPr>
          <w:color w:val="000000" w:themeColor="text1"/>
        </w:rPr>
        <w:t xml:space="preserve">for particular CDR data (the </w:t>
      </w:r>
      <w:r w:rsidRPr="00F90A37">
        <w:rPr>
          <w:b/>
          <w:i/>
        </w:rPr>
        <w:t>relevant</w:t>
      </w:r>
      <w:r w:rsidRPr="00F90A37">
        <w:t xml:space="preserve"> </w:t>
      </w:r>
      <w:r w:rsidRPr="00F90A37">
        <w:rPr>
          <w:b/>
          <w:i/>
        </w:rPr>
        <w:t>data</w:t>
      </w:r>
      <w:r w:rsidRPr="00F90A37">
        <w:t>).</w:t>
      </w:r>
    </w:p>
    <w:p w14:paraId="4AD92983" w14:textId="77777777" w:rsidR="00BB7660" w:rsidRPr="00F90A37" w:rsidRDefault="00BB7660" w:rsidP="00BB7660">
      <w:pPr>
        <w:pStyle w:val="notetext"/>
      </w:pPr>
      <w:r w:rsidRPr="00F90A37">
        <w:t>Note:</w:t>
      </w:r>
      <w:r w:rsidRPr="00F90A37">
        <w:tab/>
        <w:t>This process is applied by an accredited data recipient when de</w:t>
      </w:r>
      <w:r w:rsidRPr="00F90A37">
        <w:noBreakHyphen/>
        <w:t xml:space="preserve">identifying CDR data in accordance with a consent from a CDR consumer (see </w:t>
      </w:r>
      <w:r>
        <w:t>Subdivision 4.3.3</w:t>
      </w:r>
      <w:r w:rsidRPr="00F90A37">
        <w:t>) and when de</w:t>
      </w:r>
      <w:r w:rsidRPr="00F90A37">
        <w:noBreakHyphen/>
        <w:t>identifying redundant data for the purposes of privacy safeguard 12 (see rule </w:t>
      </w:r>
      <w:r>
        <w:t>7.12</w:t>
      </w:r>
      <w:r w:rsidRPr="00F90A37">
        <w:t>).</w:t>
      </w:r>
    </w:p>
    <w:p w14:paraId="081A5784" w14:textId="77777777" w:rsidR="00BB7660" w:rsidRPr="00F90A37" w:rsidRDefault="00BB7660" w:rsidP="00BB7660">
      <w:pPr>
        <w:pStyle w:val="subsection"/>
      </w:pPr>
      <w:r w:rsidRPr="00F90A37">
        <w:tab/>
      </w:r>
      <w:r>
        <w:t>(2)</w:t>
      </w:r>
      <w:r w:rsidRPr="00F90A37">
        <w:tab/>
        <w:t>First, the accredited data recipient must consider whether, having regard to the following:</w:t>
      </w:r>
    </w:p>
    <w:p w14:paraId="759C1D05" w14:textId="77777777" w:rsidR="00BB7660" w:rsidRPr="00F90A37" w:rsidRDefault="00BB7660" w:rsidP="00BB7660">
      <w:pPr>
        <w:pStyle w:val="paragraph"/>
      </w:pPr>
      <w:r w:rsidRPr="00F90A37">
        <w:tab/>
      </w:r>
      <w:r>
        <w:t>(a)</w:t>
      </w:r>
      <w:r w:rsidRPr="00F90A37">
        <w:tab/>
        <w:t>the DDF;</w:t>
      </w:r>
    </w:p>
    <w:p w14:paraId="01124042" w14:textId="77777777" w:rsidR="00BB7660" w:rsidRPr="00F90A37" w:rsidRDefault="00BB7660" w:rsidP="00BB7660">
      <w:pPr>
        <w:pStyle w:val="paragraph"/>
      </w:pPr>
      <w:r w:rsidRPr="00F90A37">
        <w:tab/>
      </w:r>
      <w:r>
        <w:t>(b)</w:t>
      </w:r>
      <w:r w:rsidRPr="00F90A37">
        <w:tab/>
        <w:t>the techniques that are available for de</w:t>
      </w:r>
      <w:r w:rsidRPr="00F90A37">
        <w:noBreakHyphen/>
        <w:t>identification of data;</w:t>
      </w:r>
    </w:p>
    <w:p w14:paraId="3437C5C5" w14:textId="77777777" w:rsidR="00BB7660" w:rsidRPr="00F90A37" w:rsidRDefault="00BB7660" w:rsidP="00BB7660">
      <w:pPr>
        <w:pStyle w:val="paragraph"/>
      </w:pPr>
      <w:r w:rsidRPr="00F90A37">
        <w:tab/>
      </w:r>
      <w:r>
        <w:t>(c)</w:t>
      </w:r>
      <w:r w:rsidRPr="00F90A37">
        <w:tab/>
        <w:t>the extent to which it would be technically possible for any person to be once more identifiable, or reasonably identifiable, after de</w:t>
      </w:r>
      <w:r w:rsidRPr="00F90A37">
        <w:noBreakHyphen/>
        <w:t>identifi</w:t>
      </w:r>
      <w:r>
        <w:t>c</w:t>
      </w:r>
      <w:r w:rsidRPr="00F90A37">
        <w:t>ation in accordance with such techniques;</w:t>
      </w:r>
    </w:p>
    <w:p w14:paraId="5AAAED55" w14:textId="77777777" w:rsidR="00BB7660" w:rsidRPr="00CD0FA5" w:rsidRDefault="00BB7660" w:rsidP="00BB7660">
      <w:pPr>
        <w:pStyle w:val="paragraph"/>
      </w:pPr>
      <w:r w:rsidRPr="00CD0FA5">
        <w:tab/>
      </w:r>
      <w:r>
        <w:t>(d)</w:t>
      </w:r>
      <w:r w:rsidRPr="00CD0FA5">
        <w:tab/>
        <w:t>the likelihood (if any) of any person once more becoming so identifiable, or reasonably identifiable from the data after de</w:t>
      </w:r>
      <w:r w:rsidRPr="00CD0FA5">
        <w:noBreakHyphen/>
        <w:t>identification;</w:t>
      </w:r>
    </w:p>
    <w:p w14:paraId="6A5FC841" w14:textId="77777777" w:rsidR="00BB7660" w:rsidRPr="00F90A37" w:rsidRDefault="00BB7660" w:rsidP="00BB7660">
      <w:pPr>
        <w:pStyle w:val="subsection"/>
        <w:spacing w:before="40"/>
      </w:pPr>
      <w:r w:rsidRPr="00F90A37">
        <w:tab/>
      </w:r>
      <w:r w:rsidRPr="00F90A37">
        <w:tab/>
        <w:t>it would be possible to de</w:t>
      </w:r>
      <w:r w:rsidRPr="00F90A37">
        <w:noBreakHyphen/>
        <w:t xml:space="preserve">identify the relevant data </w:t>
      </w:r>
      <w:r w:rsidRPr="00F949C1">
        <w:t xml:space="preserve">to the extent (the </w:t>
      </w:r>
      <w:r w:rsidRPr="0023590D">
        <w:rPr>
          <w:b/>
          <w:i/>
        </w:rPr>
        <w:t xml:space="preserve">required </w:t>
      </w:r>
      <w:r w:rsidRPr="00F949C1">
        <w:rPr>
          <w:b/>
          <w:i/>
        </w:rPr>
        <w:t>extent</w:t>
      </w:r>
      <w:r w:rsidRPr="00F949C1">
        <w:t xml:space="preserve">) </w:t>
      </w:r>
      <w:r w:rsidRPr="00F90A37">
        <w:t>that no person would any longer be identifiable, or reasonably identifiable, from:</w:t>
      </w:r>
    </w:p>
    <w:p w14:paraId="77925D32" w14:textId="77777777" w:rsidR="00BB7660" w:rsidRPr="009C222D" w:rsidRDefault="00BB7660" w:rsidP="00BB7660">
      <w:pPr>
        <w:pStyle w:val="paragraph"/>
        <w:rPr>
          <w:color w:val="000000" w:themeColor="text1"/>
        </w:rPr>
      </w:pPr>
      <w:r w:rsidRPr="00F90A37">
        <w:tab/>
      </w:r>
      <w:r>
        <w:t>(e)</w:t>
      </w:r>
      <w:r w:rsidRPr="00F90A37">
        <w:tab/>
        <w:t xml:space="preserve">the </w:t>
      </w:r>
      <w:r>
        <w:t xml:space="preserve">relevant </w:t>
      </w:r>
      <w:r w:rsidRPr="00F90A37">
        <w:t>data after the proposed de</w:t>
      </w:r>
      <w:r w:rsidRPr="00F90A37">
        <w:noBreakHyphen/>
        <w:t>identification;</w:t>
      </w:r>
      <w:r>
        <w:t xml:space="preserve"> </w:t>
      </w:r>
      <w:r w:rsidRPr="0018564F">
        <w:t>and</w:t>
      </w:r>
    </w:p>
    <w:p w14:paraId="450E4378" w14:textId="77777777" w:rsidR="00BB7660" w:rsidRDefault="00BB7660" w:rsidP="00BB7660">
      <w:pPr>
        <w:pStyle w:val="paragraph"/>
        <w:rPr>
          <w:color w:val="000000" w:themeColor="text1"/>
        </w:rPr>
      </w:pPr>
      <w:r w:rsidRPr="006D5CA7">
        <w:rPr>
          <w:color w:val="000000" w:themeColor="text1"/>
        </w:rPr>
        <w:tab/>
      </w:r>
      <w:r>
        <w:rPr>
          <w:color w:val="000000" w:themeColor="text1"/>
        </w:rPr>
        <w:t>(f)</w:t>
      </w:r>
      <w:r w:rsidRPr="006D5CA7">
        <w:rPr>
          <w:color w:val="000000" w:themeColor="text1"/>
        </w:rPr>
        <w:tab/>
        <w:t>other information that would be held, following the completion of the de</w:t>
      </w:r>
      <w:r w:rsidRPr="006D5CA7">
        <w:rPr>
          <w:color w:val="000000" w:themeColor="text1"/>
        </w:rPr>
        <w:noBreakHyphen/>
        <w:t>identification process, by any person.</w:t>
      </w:r>
    </w:p>
    <w:p w14:paraId="4F3F399F"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(3)</w:t>
      </w:r>
      <w:r w:rsidRPr="00464C22">
        <w:rPr>
          <w:color w:val="000000" w:themeColor="text1"/>
        </w:rPr>
        <w:tab/>
        <w:t>If this is possible, the accredited data recipient must:</w:t>
      </w:r>
    </w:p>
    <w:p w14:paraId="4792593C"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determine the technique that is appropriate in the circumstances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54762FC8"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apply that technique to de</w:t>
      </w:r>
      <w:r w:rsidRPr="00464C22">
        <w:rPr>
          <w:color w:val="000000" w:themeColor="text1"/>
        </w:rPr>
        <w:noBreakHyphen/>
        <w:t xml:space="preserve">identify the </w:t>
      </w:r>
      <w:r>
        <w:rPr>
          <w:color w:val="000000" w:themeColor="text1"/>
        </w:rPr>
        <w:t>relevant</w:t>
      </w:r>
      <w:r w:rsidRPr="00464C22">
        <w:rPr>
          <w:color w:val="000000" w:themeColor="text1"/>
        </w:rPr>
        <w:t xml:space="preserve"> data to </w:t>
      </w:r>
      <w:r w:rsidRPr="001451ED">
        <w:t xml:space="preserve">the </w:t>
      </w:r>
      <w:r w:rsidRPr="0023590D">
        <w:t xml:space="preserve">required </w:t>
      </w:r>
      <w:r w:rsidRPr="00464C22">
        <w:rPr>
          <w:color w:val="000000" w:themeColor="text1"/>
        </w:rPr>
        <w:t>extent; and</w:t>
      </w:r>
    </w:p>
    <w:p w14:paraId="5513F574" w14:textId="77777777" w:rsidR="00BB7660" w:rsidRDefault="00BB7660" w:rsidP="00BB7660">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delete</w:t>
      </w:r>
      <w:r w:rsidRPr="006D5CA7">
        <w:rPr>
          <w:color w:val="000000" w:themeColor="text1"/>
        </w:rPr>
        <w:t>, in accordance with the CDR data deletion process,</w:t>
      </w:r>
      <w:r w:rsidRPr="00464C22">
        <w:rPr>
          <w:color w:val="000000" w:themeColor="text1"/>
        </w:rPr>
        <w:t xml:space="preserve"> any CDR data that must be deleted in order to ensure that</w:t>
      </w:r>
      <w:r>
        <w:rPr>
          <w:color w:val="000000" w:themeColor="text1"/>
        </w:rPr>
        <w:t xml:space="preserve"> </w:t>
      </w:r>
      <w:r w:rsidRPr="006D5CA7">
        <w:rPr>
          <w:color w:val="000000" w:themeColor="text1"/>
        </w:rPr>
        <w:t xml:space="preserve">no person is any longer identifiable, or reasonably identifiable, from the information referred to in </w:t>
      </w:r>
      <w:r>
        <w:rPr>
          <w:color w:val="000000" w:themeColor="text1"/>
        </w:rPr>
        <w:t>paragraphs (2)(e) and (f)</w:t>
      </w:r>
      <w:r w:rsidRPr="00464C22">
        <w:rPr>
          <w:color w:val="000000" w:themeColor="text1"/>
        </w:rPr>
        <w:t>; and</w:t>
      </w:r>
    </w:p>
    <w:p w14:paraId="79BC4F42"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(d)</w:t>
      </w:r>
      <w:r w:rsidRPr="00464C22">
        <w:rPr>
          <w:color w:val="000000" w:themeColor="text1"/>
        </w:rPr>
        <w:tab/>
      </w:r>
      <w:r>
        <w:rPr>
          <w:color w:val="000000" w:themeColor="text1"/>
        </w:rPr>
        <w:t xml:space="preserve">as soon as practicable, </w:t>
      </w:r>
      <w:r w:rsidRPr="00464C22">
        <w:rPr>
          <w:color w:val="000000" w:themeColor="text1"/>
        </w:rPr>
        <w:t>make a record to evidence the following:</w:t>
      </w:r>
    </w:p>
    <w:p w14:paraId="48399B4D" w14:textId="77777777" w:rsidR="00BB7660" w:rsidRPr="00464C22" w:rsidRDefault="00BB7660" w:rsidP="00BB7660">
      <w:pPr>
        <w:pStyle w:val="paragraphsub"/>
        <w:rPr>
          <w:color w:val="000000" w:themeColor="text1"/>
        </w:rPr>
      </w:pPr>
      <w:r w:rsidRPr="00464C22">
        <w:rPr>
          <w:color w:val="000000" w:themeColor="text1"/>
        </w:rPr>
        <w:tab/>
      </w:r>
      <w:r>
        <w:rPr>
          <w:color w:val="000000" w:themeColor="text1"/>
        </w:rPr>
        <w:t>(i)</w:t>
      </w:r>
      <w:r w:rsidRPr="00464C22">
        <w:rPr>
          <w:color w:val="000000" w:themeColor="text1"/>
        </w:rPr>
        <w:tab/>
        <w:t>its assessment that it is possible to de</w:t>
      </w:r>
      <w:r w:rsidRPr="00464C22">
        <w:rPr>
          <w:color w:val="000000" w:themeColor="text1"/>
        </w:rPr>
        <w:noBreakHyphen/>
        <w:t xml:space="preserve">identify the </w:t>
      </w:r>
      <w:r>
        <w:rPr>
          <w:color w:val="000000" w:themeColor="text1"/>
        </w:rPr>
        <w:t xml:space="preserve">relevant </w:t>
      </w:r>
      <w:r w:rsidRPr="00464C22">
        <w:rPr>
          <w:color w:val="000000" w:themeColor="text1"/>
        </w:rPr>
        <w:t xml:space="preserve">data to the </w:t>
      </w:r>
      <w:r w:rsidRPr="0023590D">
        <w:t xml:space="preserve">required </w:t>
      </w:r>
      <w:r w:rsidRPr="00464C22">
        <w:rPr>
          <w:color w:val="000000" w:themeColor="text1"/>
        </w:rPr>
        <w:t>extent;</w:t>
      </w:r>
    </w:p>
    <w:p w14:paraId="6507AA6B" w14:textId="77777777" w:rsidR="00BB7660" w:rsidRPr="00464C22" w:rsidRDefault="00BB7660" w:rsidP="00BB7660">
      <w:pPr>
        <w:pStyle w:val="paragraphsub"/>
        <w:rPr>
          <w:color w:val="000000" w:themeColor="text1"/>
        </w:rPr>
      </w:pPr>
      <w:r w:rsidRPr="00464C22">
        <w:rPr>
          <w:color w:val="000000" w:themeColor="text1"/>
        </w:rPr>
        <w:tab/>
      </w:r>
      <w:r>
        <w:rPr>
          <w:color w:val="000000" w:themeColor="text1"/>
        </w:rPr>
        <w:t>(ii)</w:t>
      </w:r>
      <w:r w:rsidRPr="00464C22">
        <w:rPr>
          <w:color w:val="000000" w:themeColor="text1"/>
        </w:rPr>
        <w:tab/>
        <w:t xml:space="preserve">that the </w:t>
      </w:r>
      <w:r>
        <w:rPr>
          <w:color w:val="000000" w:themeColor="text1"/>
        </w:rPr>
        <w:t xml:space="preserve">relevant </w:t>
      </w:r>
      <w:r w:rsidRPr="00464C22">
        <w:rPr>
          <w:color w:val="000000" w:themeColor="text1"/>
        </w:rPr>
        <w:t>data was de</w:t>
      </w:r>
      <w:r w:rsidRPr="00464C22">
        <w:rPr>
          <w:color w:val="000000" w:themeColor="text1"/>
        </w:rPr>
        <w:noBreakHyphen/>
        <w:t>identified to that extent;</w:t>
      </w:r>
    </w:p>
    <w:p w14:paraId="7221B5B7" w14:textId="77777777" w:rsidR="00BB7660" w:rsidRDefault="00BB7660" w:rsidP="00BB7660">
      <w:pPr>
        <w:pStyle w:val="paragraphsub"/>
        <w:rPr>
          <w:color w:val="000000" w:themeColor="text1"/>
        </w:rPr>
      </w:pPr>
      <w:r w:rsidRPr="00464C22">
        <w:rPr>
          <w:color w:val="000000" w:themeColor="text1"/>
        </w:rPr>
        <w:tab/>
      </w:r>
      <w:r>
        <w:rPr>
          <w:color w:val="000000" w:themeColor="text1"/>
        </w:rPr>
        <w:t>(iii)</w:t>
      </w:r>
      <w:r w:rsidRPr="00464C22">
        <w:rPr>
          <w:color w:val="000000" w:themeColor="text1"/>
        </w:rPr>
        <w:tab/>
        <w:t xml:space="preserve">how the </w:t>
      </w:r>
      <w:r>
        <w:rPr>
          <w:color w:val="000000" w:themeColor="text1"/>
        </w:rPr>
        <w:t xml:space="preserve">relevant </w:t>
      </w:r>
      <w:r w:rsidRPr="00464C22">
        <w:rPr>
          <w:color w:val="000000" w:themeColor="text1"/>
        </w:rPr>
        <w:t>data was de</w:t>
      </w:r>
      <w:r w:rsidRPr="00464C22">
        <w:rPr>
          <w:color w:val="000000" w:themeColor="text1"/>
        </w:rPr>
        <w:noBreakHyphen/>
        <w:t>identified, including records of the technique that was used;</w:t>
      </w:r>
    </w:p>
    <w:p w14:paraId="12452E6F" w14:textId="77777777" w:rsidR="00BB7660" w:rsidRPr="00FA14C2" w:rsidRDefault="00BB7660" w:rsidP="00BB7660">
      <w:pPr>
        <w:pStyle w:val="paragraphsub"/>
      </w:pPr>
      <w:r w:rsidRPr="00FA14C2">
        <w:tab/>
      </w:r>
      <w:r>
        <w:t>(iv)</w:t>
      </w:r>
      <w:r w:rsidRPr="00FA14C2">
        <w:tab/>
      </w:r>
      <w:r w:rsidRPr="00464C22">
        <w:rPr>
          <w:color w:val="000000" w:themeColor="text1"/>
        </w:rPr>
        <w:t>any persons to whom the de</w:t>
      </w:r>
      <w:r w:rsidRPr="00464C22">
        <w:rPr>
          <w:color w:val="000000" w:themeColor="text1"/>
        </w:rPr>
        <w:noBreakHyphen/>
        <w:t>identified data is disclosed</w:t>
      </w:r>
      <w:r w:rsidRPr="00FA14C2">
        <w:t>.</w:t>
      </w:r>
    </w:p>
    <w:p w14:paraId="03132308" w14:textId="77777777" w:rsidR="00BB7660" w:rsidRPr="003844C5" w:rsidRDefault="00BB7660" w:rsidP="00BB7660">
      <w:pPr>
        <w:pStyle w:val="subsection"/>
      </w:pPr>
      <w:r w:rsidRPr="003844C5">
        <w:tab/>
      </w:r>
      <w:r>
        <w:t>(4)</w:t>
      </w:r>
      <w:r w:rsidRPr="003844C5">
        <w:tab/>
        <w:t xml:space="preserve">If this is not possible, the accredited data recipient must delete the relevant data and any CDR data </w:t>
      </w:r>
      <w:r w:rsidRPr="0023590D">
        <w:t xml:space="preserve">directly or indirectly </w:t>
      </w:r>
      <w:r w:rsidRPr="003844C5">
        <w:t>derived from it in accordance with the CDR data deletion process.</w:t>
      </w:r>
    </w:p>
    <w:p w14:paraId="1033A10F" w14:textId="77777777" w:rsidR="00BB7660" w:rsidRPr="003844C5" w:rsidRDefault="00BB7660" w:rsidP="00BB7660">
      <w:pPr>
        <w:pStyle w:val="notetext"/>
      </w:pPr>
      <w:r w:rsidRPr="003844C5">
        <w:t>Note:</w:t>
      </w:r>
      <w:r w:rsidRPr="003844C5">
        <w:tab/>
        <w:t>For the CDR data deletion process, see rule </w:t>
      </w:r>
      <w:r>
        <w:t>1.18</w:t>
      </w:r>
      <w:r w:rsidRPr="003844C5">
        <w:t>.</w:t>
      </w:r>
    </w:p>
    <w:p w14:paraId="27B663F1" w14:textId="77777777" w:rsidR="00BB7660" w:rsidRPr="00464C22" w:rsidRDefault="00BB7660" w:rsidP="00BB7660">
      <w:pPr>
        <w:pStyle w:val="subsection"/>
        <w:rPr>
          <w:color w:val="000000" w:themeColor="text1"/>
        </w:rPr>
      </w:pPr>
      <w:r w:rsidRPr="00464C22">
        <w:rPr>
          <w:color w:val="000000" w:themeColor="text1"/>
        </w:rPr>
        <w:lastRenderedPageBreak/>
        <w:tab/>
      </w:r>
      <w:r>
        <w:rPr>
          <w:color w:val="000000" w:themeColor="text1"/>
        </w:rPr>
        <w:t>(5)</w:t>
      </w:r>
      <w:r w:rsidRPr="00464C22">
        <w:rPr>
          <w:color w:val="000000" w:themeColor="text1"/>
        </w:rPr>
        <w:tab/>
        <w:t xml:space="preserve">For this rule, the </w:t>
      </w:r>
      <w:r w:rsidRPr="00464C22">
        <w:rPr>
          <w:b/>
          <w:i/>
          <w:color w:val="000000" w:themeColor="text1"/>
        </w:rPr>
        <w:t xml:space="preserve">DDF </w:t>
      </w:r>
      <w:r w:rsidRPr="00464C22">
        <w:rPr>
          <w:color w:val="000000" w:themeColor="text1"/>
        </w:rPr>
        <w:t xml:space="preserve">is </w:t>
      </w:r>
      <w:r w:rsidRPr="00464C22">
        <w:rPr>
          <w:i/>
          <w:color w:val="000000" w:themeColor="text1"/>
        </w:rPr>
        <w:t>The De</w:t>
      </w:r>
      <w:r w:rsidRPr="00464C22">
        <w:rPr>
          <w:i/>
          <w:color w:val="000000" w:themeColor="text1"/>
        </w:rPr>
        <w:noBreakHyphen/>
        <w:t>Identification Decision</w:t>
      </w:r>
      <w:r w:rsidRPr="00464C22">
        <w:rPr>
          <w:i/>
          <w:color w:val="000000" w:themeColor="text1"/>
        </w:rPr>
        <w:noBreakHyphen/>
        <w:t xml:space="preserve">Making Framework </w:t>
      </w:r>
      <w:r w:rsidRPr="00464C22">
        <w:rPr>
          <w:color w:val="000000" w:themeColor="text1"/>
        </w:rPr>
        <w:t xml:space="preserve">published by the Office of the </w:t>
      </w:r>
      <w:r w:rsidRPr="00A00F6F">
        <w:t xml:space="preserve">Australian </w:t>
      </w:r>
      <w:r w:rsidRPr="00464C22">
        <w:rPr>
          <w:color w:val="000000" w:themeColor="text1"/>
        </w:rPr>
        <w:t xml:space="preserve">Information </w:t>
      </w:r>
      <w:r w:rsidRPr="00814B1D">
        <w:t>Commissioner</w:t>
      </w:r>
      <w:r w:rsidRPr="00464C22">
        <w:rPr>
          <w:color w:val="000000" w:themeColor="text1"/>
        </w:rPr>
        <w:t xml:space="preserve"> and Data61, as in force from time to time.</w:t>
      </w:r>
    </w:p>
    <w:p w14:paraId="1B24D478" w14:textId="77777777" w:rsidR="00BB7660" w:rsidRDefault="00BB7660" w:rsidP="00BB7660">
      <w:pPr>
        <w:pStyle w:val="notetext"/>
      </w:pPr>
      <w:r w:rsidRPr="00464C22">
        <w:rPr>
          <w:color w:val="000000" w:themeColor="text1"/>
        </w:rPr>
        <w:t>Note:</w:t>
      </w:r>
      <w:r w:rsidRPr="00464C22">
        <w:rPr>
          <w:color w:val="000000" w:themeColor="text1"/>
        </w:rPr>
        <w:tab/>
        <w:t xml:space="preserve">The </w:t>
      </w:r>
      <w:r w:rsidRPr="00464C22">
        <w:rPr>
          <w:i/>
          <w:color w:val="000000" w:themeColor="text1"/>
        </w:rPr>
        <w:t>De-Identification Decision-Making Framework</w:t>
      </w:r>
      <w:r w:rsidRPr="00464C22">
        <w:rPr>
          <w:color w:val="000000" w:themeColor="text1"/>
        </w:rPr>
        <w:t xml:space="preserve"> </w:t>
      </w:r>
      <w:r w:rsidRPr="00360E15">
        <w:t xml:space="preserve">could in </w:t>
      </w:r>
      <w:r w:rsidR="00B44A39" w:rsidRPr="00270C3C">
        <w:rPr>
          <w:color w:val="0000FF"/>
        </w:rPr>
        <w:t>2022</w:t>
      </w:r>
      <w:r w:rsidR="00B44A39" w:rsidRPr="00270C3C">
        <w:rPr>
          <w:strike/>
          <w:color w:val="0000FF"/>
        </w:rPr>
        <w:t xml:space="preserve"> </w:t>
      </w:r>
      <w:r w:rsidRPr="00270C3C">
        <w:rPr>
          <w:strike/>
          <w:color w:val="0000FF"/>
        </w:rPr>
        <w:t>2020</w:t>
      </w:r>
      <w:r>
        <w:t xml:space="preserve"> </w:t>
      </w:r>
      <w:r w:rsidRPr="00360E15">
        <w:t>be downloaded from Data61’s website (https://www.data61.csiro.au/).</w:t>
      </w:r>
    </w:p>
    <w:p w14:paraId="6EF7B0BF" w14:textId="77777777" w:rsidR="00BB7660" w:rsidRDefault="00BB7660" w:rsidP="00BB7660">
      <w:pPr>
        <w:pStyle w:val="ActHead5"/>
      </w:pPr>
      <w:bookmarkStart w:id="74" w:name="_Toc111131995"/>
      <w:r>
        <w:t>1.17A  Identification of otherwise redundant data that is not to be deleted</w:t>
      </w:r>
      <w:bookmarkEnd w:id="74"/>
    </w:p>
    <w:p w14:paraId="2F446F39" w14:textId="77777777" w:rsidR="00BB7660" w:rsidRDefault="00BB7660" w:rsidP="00BB7660">
      <w:pPr>
        <w:pStyle w:val="subsection"/>
      </w:pPr>
      <w:r>
        <w:tab/>
        <w:t>(1)</w:t>
      </w:r>
      <w:r>
        <w:tab/>
        <w:t>Where the accredited data recipient has identified CDR data as redundant, it must identify whether any of the following provisions of the Act apply to the CDR data:</w:t>
      </w:r>
    </w:p>
    <w:p w14:paraId="6F6B9D78" w14:textId="77777777" w:rsidR="00BB7660" w:rsidRDefault="00BB7660" w:rsidP="00BB7660">
      <w:pPr>
        <w:pStyle w:val="paragraph"/>
      </w:pPr>
      <w:r>
        <w:tab/>
        <w:t>(a)</w:t>
      </w:r>
      <w:r>
        <w:tab/>
        <w:t>paragraphs 56BAA(2)(a), (b) or (c) of the Act (deletion request by consumer);</w:t>
      </w:r>
    </w:p>
    <w:p w14:paraId="0E84F48A" w14:textId="77777777" w:rsidR="00BB7660" w:rsidRDefault="00BB7660" w:rsidP="00BB7660">
      <w:pPr>
        <w:pStyle w:val="paragraph"/>
      </w:pPr>
      <w:r>
        <w:tab/>
        <w:t>(b)</w:t>
      </w:r>
      <w:r>
        <w:tab/>
        <w:t>paragraphs 56EO(2)(b) or (c) of the Act (privacy safeguard 12).</w:t>
      </w:r>
    </w:p>
    <w:p w14:paraId="1DA613FF" w14:textId="77777777" w:rsidR="00BB7660" w:rsidRDefault="00BB7660" w:rsidP="00BB7660">
      <w:pPr>
        <w:pStyle w:val="subsection"/>
      </w:pPr>
      <w:r>
        <w:tab/>
        <w:t>(2)</w:t>
      </w:r>
      <w:r>
        <w:tab/>
        <w:t>Where one of those provisions applies, the accredited person must retain the CDR data while that provision applies.</w:t>
      </w:r>
    </w:p>
    <w:p w14:paraId="0759EA84" w14:textId="77777777" w:rsidR="00BB7660" w:rsidRDefault="00BB7660" w:rsidP="00BB7660">
      <w:pPr>
        <w:pStyle w:val="subsection"/>
      </w:pPr>
      <w:r>
        <w:tab/>
        <w:t>(3)</w:t>
      </w:r>
      <w:r>
        <w:tab/>
        <w:t>For the purposes of paragraph 56BAA(2)(c) of the Act, in relation to CDR data of a CDR consumer, the person may:</w:t>
      </w:r>
    </w:p>
    <w:p w14:paraId="1F868B5E" w14:textId="77777777" w:rsidR="00BB7660" w:rsidRDefault="00BB7660" w:rsidP="00BB7660">
      <w:pPr>
        <w:pStyle w:val="paragraph"/>
      </w:pPr>
      <w:r>
        <w:tab/>
        <w:t>(a)</w:t>
      </w:r>
      <w:r>
        <w:tab/>
        <w:t>request the CDR consumer to state whether or not proceedings of the kind mentioned in that paragraph are current or anticipated; and</w:t>
      </w:r>
    </w:p>
    <w:p w14:paraId="079D5E95" w14:textId="77777777" w:rsidR="00BB7660" w:rsidRDefault="00BB7660" w:rsidP="00BB7660">
      <w:pPr>
        <w:pStyle w:val="paragraph"/>
      </w:pPr>
      <w:r>
        <w:tab/>
        <w:t>(b)</w:t>
      </w:r>
      <w:r>
        <w:tab/>
        <w:t>rely on that statement.</w:t>
      </w:r>
    </w:p>
    <w:p w14:paraId="3B422DE8" w14:textId="77777777" w:rsidR="00BB7660" w:rsidRDefault="00BB7660" w:rsidP="00BB7660">
      <w:pPr>
        <w:pStyle w:val="ActHead5"/>
        <w:rPr>
          <w:color w:val="000000" w:themeColor="text1"/>
        </w:rPr>
      </w:pPr>
      <w:bookmarkStart w:id="75" w:name="_Toc111131996"/>
      <w:r>
        <w:rPr>
          <w:color w:val="000000" w:themeColor="text1"/>
        </w:rPr>
        <w:t>1.18</w:t>
      </w:r>
      <w:r w:rsidRPr="00E53912">
        <w:rPr>
          <w:color w:val="000000" w:themeColor="text1"/>
        </w:rPr>
        <w:t xml:space="preserve">  CDR data deletion process</w:t>
      </w:r>
      <w:bookmarkEnd w:id="75"/>
    </w:p>
    <w:p w14:paraId="74E7E476" w14:textId="77777777" w:rsidR="00BB7660" w:rsidRPr="00E53912" w:rsidRDefault="00BB7660" w:rsidP="00BB7660">
      <w:pPr>
        <w:pStyle w:val="subsection"/>
        <w:rPr>
          <w:color w:val="000000" w:themeColor="text1"/>
        </w:rPr>
      </w:pPr>
      <w:r w:rsidRPr="00E53912">
        <w:rPr>
          <w:color w:val="000000" w:themeColor="text1"/>
        </w:rPr>
        <w:tab/>
      </w:r>
      <w:r w:rsidRPr="00E53912">
        <w:rPr>
          <w:color w:val="000000" w:themeColor="text1"/>
        </w:rPr>
        <w:tab/>
        <w:t xml:space="preserve">For these rules, the </w:t>
      </w:r>
      <w:r w:rsidRPr="00E53912">
        <w:rPr>
          <w:b/>
          <w:i/>
          <w:color w:val="000000" w:themeColor="text1"/>
        </w:rPr>
        <w:t xml:space="preserve">CDR data deletion process </w:t>
      </w:r>
      <w:r>
        <w:rPr>
          <w:color w:val="000000" w:themeColor="text1"/>
        </w:rPr>
        <w:t xml:space="preserve">in relation to </w:t>
      </w:r>
      <w:r w:rsidRPr="005F3D40">
        <w:rPr>
          <w:color w:val="000000" w:themeColor="text1"/>
        </w:rPr>
        <w:t>a person that holds CDR data</w:t>
      </w:r>
      <w:r>
        <w:rPr>
          <w:color w:val="000000" w:themeColor="text1"/>
        </w:rPr>
        <w:t xml:space="preserve"> that is to be deleted</w:t>
      </w:r>
      <w:r w:rsidRPr="005F3D40">
        <w:rPr>
          <w:color w:val="000000" w:themeColor="text1"/>
        </w:rPr>
        <w:t xml:space="preserve"> </w:t>
      </w:r>
      <w:r w:rsidRPr="00E53912">
        <w:rPr>
          <w:color w:val="000000" w:themeColor="text1"/>
        </w:rPr>
        <w:t>consists of the following steps:</w:t>
      </w:r>
    </w:p>
    <w:p w14:paraId="7F347222" w14:textId="77777777" w:rsidR="00BB7660" w:rsidRPr="00E53912" w:rsidRDefault="00BB7660" w:rsidP="00BB7660">
      <w:pPr>
        <w:pStyle w:val="paragraph"/>
        <w:rPr>
          <w:color w:val="000000" w:themeColor="text1"/>
        </w:rPr>
      </w:pPr>
      <w:r w:rsidRPr="00E53912">
        <w:rPr>
          <w:color w:val="000000" w:themeColor="text1"/>
        </w:rPr>
        <w:tab/>
      </w:r>
      <w:r>
        <w:rPr>
          <w:color w:val="000000" w:themeColor="text1"/>
        </w:rPr>
        <w:t>(a)</w:t>
      </w:r>
      <w:r w:rsidRPr="00E53912">
        <w:rPr>
          <w:color w:val="000000" w:themeColor="text1"/>
        </w:rPr>
        <w:tab/>
        <w:t>delete</w:t>
      </w:r>
      <w:r w:rsidRPr="00EC5815">
        <w:t xml:space="preserve">, to the extent reasonably practicable, </w:t>
      </w:r>
      <w:r>
        <w:rPr>
          <w:color w:val="000000" w:themeColor="text1"/>
        </w:rPr>
        <w:t>that</w:t>
      </w:r>
      <w:r w:rsidRPr="00E53912">
        <w:rPr>
          <w:color w:val="000000" w:themeColor="text1"/>
        </w:rPr>
        <w:t xml:space="preserve"> </w:t>
      </w:r>
      <w:r w:rsidRPr="005F3D40">
        <w:rPr>
          <w:color w:val="000000" w:themeColor="text1"/>
        </w:rPr>
        <w:t xml:space="preserve">CDR </w:t>
      </w:r>
      <w:r w:rsidRPr="00E53912">
        <w:rPr>
          <w:color w:val="000000" w:themeColor="text1"/>
        </w:rPr>
        <w:t xml:space="preserve">data and any copies of </w:t>
      </w:r>
      <w:r>
        <w:rPr>
          <w:color w:val="000000" w:themeColor="text1"/>
        </w:rPr>
        <w:t xml:space="preserve">that </w:t>
      </w:r>
      <w:r w:rsidRPr="005F3D40">
        <w:rPr>
          <w:color w:val="000000" w:themeColor="text1"/>
        </w:rPr>
        <w:t xml:space="preserve">CDR </w:t>
      </w:r>
      <w:r w:rsidRPr="00E53912">
        <w:rPr>
          <w:color w:val="000000" w:themeColor="text1"/>
        </w:rPr>
        <w:t>data;</w:t>
      </w:r>
    </w:p>
    <w:p w14:paraId="1A0B7884" w14:textId="77777777" w:rsidR="00BB7660" w:rsidRDefault="00BB7660" w:rsidP="00BB7660">
      <w:pPr>
        <w:pStyle w:val="paragraph"/>
        <w:rPr>
          <w:color w:val="000000" w:themeColor="text1"/>
        </w:rPr>
      </w:pPr>
      <w:r w:rsidRPr="00E53912">
        <w:rPr>
          <w:color w:val="000000" w:themeColor="text1"/>
        </w:rPr>
        <w:tab/>
      </w:r>
      <w:r>
        <w:rPr>
          <w:color w:val="000000" w:themeColor="text1"/>
        </w:rPr>
        <w:t>(b)</w:t>
      </w:r>
      <w:r w:rsidRPr="00E53912">
        <w:rPr>
          <w:color w:val="000000" w:themeColor="text1"/>
        </w:rPr>
        <w:tab/>
        <w:t>make a record to evidence the deletion</w:t>
      </w:r>
      <w:r>
        <w:rPr>
          <w:color w:val="000000" w:themeColor="text1"/>
        </w:rPr>
        <w:t>; and</w:t>
      </w:r>
    </w:p>
    <w:p w14:paraId="451B24AA" w14:textId="77777777" w:rsidR="00BB7660" w:rsidRDefault="00BB7660" w:rsidP="00BB7660">
      <w:pPr>
        <w:pStyle w:val="paragraph"/>
      </w:pPr>
      <w:r>
        <w:tab/>
      </w:r>
      <w:r w:rsidRPr="00D3706C">
        <w:t>(c)</w:t>
      </w:r>
      <w:r w:rsidRPr="00D3706C">
        <w:tab/>
        <w:t>where another person holds the CDR data on its behalf and will perform those steps—direct that person to notify it when those steps</w:t>
      </w:r>
      <w:r w:rsidRPr="00C81620">
        <w:t xml:space="preserve"> have been performed</w:t>
      </w:r>
      <w:r w:rsidRPr="00D3706C">
        <w:t>.</w:t>
      </w:r>
    </w:p>
    <w:p w14:paraId="3D5A56E3" w14:textId="77777777" w:rsidR="00BB7660" w:rsidRPr="00A00F6F" w:rsidRDefault="00BB7660" w:rsidP="00BB7660">
      <w:pPr>
        <w:pStyle w:val="notetext"/>
      </w:pPr>
      <w:r w:rsidRPr="00A00F6F">
        <w:t>Note:</w:t>
      </w:r>
      <w:r w:rsidRPr="00A00F6F">
        <w:tab/>
        <w:t>The CDR data deletion process is to be followed whenever these rules require a person to delete CDR data.</w:t>
      </w:r>
    </w:p>
    <w:p w14:paraId="4DC42718" w14:textId="77777777" w:rsidR="00BB7660" w:rsidRPr="00A00F6F" w:rsidRDefault="00BB7660" w:rsidP="00BB7660">
      <w:pPr>
        <w:pStyle w:val="ActHead3"/>
      </w:pPr>
      <w:bookmarkStart w:id="76" w:name="_Toc111131997"/>
      <w:r w:rsidRPr="00A00F6F">
        <w:t>Division 1.5—Application of rules in relation to SR data</w:t>
      </w:r>
      <w:bookmarkEnd w:id="76"/>
    </w:p>
    <w:p w14:paraId="791C9B62" w14:textId="77777777" w:rsidR="00BB7660" w:rsidRPr="00A00F6F" w:rsidRDefault="00BB7660" w:rsidP="00BB7660">
      <w:pPr>
        <w:pStyle w:val="notemargin"/>
      </w:pPr>
      <w:r w:rsidRPr="00A00F6F">
        <w:t>Note:</w:t>
      </w:r>
      <w:r w:rsidRPr="00A00F6F">
        <w:tab/>
        <w:t xml:space="preserve">The effect of this Division is that, from the point of view of a CDR consumer or an accredited person, the primary data holder for SR data is treated as if it were the relevant data holder:  consumer data requests for the SR data are made to it; authorisations for disclosure are made to it; it is the entity that discloses or refuses to disclose the requested data; any complaints are made to it; it keeps the records that the CDR consumer can request under rule 9.5. </w:t>
      </w:r>
    </w:p>
    <w:p w14:paraId="5981EC5F" w14:textId="77777777" w:rsidR="00BB7660" w:rsidRPr="00A00F6F" w:rsidRDefault="00BB7660" w:rsidP="00BB7660">
      <w:pPr>
        <w:pStyle w:val="ActHead5"/>
      </w:pPr>
      <w:bookmarkStart w:id="77" w:name="_Toc111131998"/>
      <w:r w:rsidRPr="00A00F6F">
        <w:t>1.19  Eligible CDR consumers in relation to secondary data holders</w:t>
      </w:r>
      <w:bookmarkEnd w:id="77"/>
    </w:p>
    <w:p w14:paraId="6855D665" w14:textId="77777777" w:rsidR="00BB7660" w:rsidRPr="00A00F6F" w:rsidRDefault="00BB7660" w:rsidP="00BB7660">
      <w:pPr>
        <w:pStyle w:val="subsection"/>
      </w:pPr>
      <w:r w:rsidRPr="00A00F6F">
        <w:tab/>
      </w:r>
      <w:r w:rsidRPr="00A00F6F">
        <w:tab/>
        <w:t>If a CDR consumer is eligible to make or initiate a consumer data request to a primary data holder for SR data, the CDR consumer is not also eligible to make or initiate a consumer data request for that data to the secondary data holder.</w:t>
      </w:r>
    </w:p>
    <w:p w14:paraId="400ED162" w14:textId="77777777" w:rsidR="00BB7660" w:rsidRPr="00A00F6F" w:rsidRDefault="00BB7660" w:rsidP="00BB7660">
      <w:pPr>
        <w:pStyle w:val="notetext"/>
      </w:pPr>
      <w:r w:rsidRPr="00A00F6F">
        <w:lastRenderedPageBreak/>
        <w:t>Note:</w:t>
      </w:r>
      <w:r w:rsidRPr="00A00F6F">
        <w:tab/>
        <w:t xml:space="preserve">As a result of this rule, a secondary data holder that only holds SR data is not required to provide </w:t>
      </w:r>
      <w:r w:rsidRPr="00E649F5">
        <w:t>request services under rule 1.13; however, it will be required to provide a service under subrule 1.20(2).</w:t>
      </w:r>
    </w:p>
    <w:p w14:paraId="13837DA3" w14:textId="77777777" w:rsidR="00BB7660" w:rsidRPr="00A00F6F" w:rsidRDefault="00BB7660" w:rsidP="00BB7660">
      <w:pPr>
        <w:pStyle w:val="ActHead5"/>
      </w:pPr>
      <w:bookmarkStart w:id="78" w:name="_Toc111131999"/>
      <w:r w:rsidRPr="00A00F6F">
        <w:t xml:space="preserve">1.20 </w:t>
      </w:r>
      <w:r w:rsidR="00E649F5">
        <w:t xml:space="preserve"> </w:t>
      </w:r>
      <w:r w:rsidRPr="00A00F6F">
        <w:t>Consumer data request service—primary data holders and secondary data holders</w:t>
      </w:r>
      <w:bookmarkEnd w:id="78"/>
    </w:p>
    <w:p w14:paraId="3677924F" w14:textId="77777777" w:rsidR="00BB7660" w:rsidRPr="00A00F6F" w:rsidRDefault="00BB7660" w:rsidP="00BB7660">
      <w:pPr>
        <w:pStyle w:val="SubsectionHead"/>
      </w:pPr>
      <w:r w:rsidRPr="00A00F6F">
        <w:t>Primary data holders</w:t>
      </w:r>
    </w:p>
    <w:p w14:paraId="2434AE1A" w14:textId="77777777" w:rsidR="00BB7660" w:rsidRPr="00A00F6F" w:rsidRDefault="00BB7660" w:rsidP="00BB7660">
      <w:pPr>
        <w:pStyle w:val="subsection"/>
      </w:pPr>
      <w:r w:rsidRPr="00A00F6F">
        <w:tab/>
        <w:t>(1)</w:t>
      </w:r>
      <w:r w:rsidRPr="00A00F6F">
        <w:tab/>
        <w:t>Rule 1.13 (consumer data request service) applies in relation to a data holder for CDR data as if it were also a data holder for any SR data for which it is the primary data holder.</w:t>
      </w:r>
    </w:p>
    <w:p w14:paraId="1407E747" w14:textId="77777777" w:rsidR="00BB7660" w:rsidRPr="00A00F6F" w:rsidRDefault="00BB7660" w:rsidP="00BB7660">
      <w:pPr>
        <w:pStyle w:val="SubsectionHead"/>
      </w:pPr>
      <w:r w:rsidRPr="00A00F6F">
        <w:t>Secondary data holders</w:t>
      </w:r>
    </w:p>
    <w:p w14:paraId="0E403B61" w14:textId="77777777" w:rsidR="00BB7660" w:rsidRPr="00A00F6F" w:rsidRDefault="00BB7660" w:rsidP="00BB7660">
      <w:pPr>
        <w:pStyle w:val="subsection"/>
      </w:pPr>
      <w:r w:rsidRPr="00A00F6F">
        <w:tab/>
        <w:t>(2)</w:t>
      </w:r>
      <w:r w:rsidRPr="00A00F6F">
        <w:tab/>
        <w:t>A secondary data holder in relation to SR data must provide an online service that:</w:t>
      </w:r>
    </w:p>
    <w:p w14:paraId="5132AEA3" w14:textId="77777777" w:rsidR="00BB7660" w:rsidRPr="00A00F6F" w:rsidRDefault="00BB7660" w:rsidP="00BB7660">
      <w:pPr>
        <w:pStyle w:val="paragraph"/>
      </w:pPr>
      <w:r w:rsidRPr="00A00F6F">
        <w:tab/>
        <w:t>(a)</w:t>
      </w:r>
      <w:r w:rsidRPr="00A00F6F">
        <w:tab/>
        <w:t>can be used by the primary data holder to request from the secondary data holder any SR data needed to respond to an SR data request; and</w:t>
      </w:r>
    </w:p>
    <w:p w14:paraId="2062781C" w14:textId="77777777" w:rsidR="00BB7660" w:rsidRPr="00A00F6F" w:rsidRDefault="00BB7660" w:rsidP="00BB7660">
      <w:pPr>
        <w:pStyle w:val="paragraph"/>
      </w:pPr>
      <w:r w:rsidRPr="00A00F6F">
        <w:tab/>
        <w:t>(b)</w:t>
      </w:r>
      <w:r w:rsidRPr="00A00F6F">
        <w:tab/>
        <w:t>enables the requested data to be disclosed to the primary data holder in machine</w:t>
      </w:r>
      <w:r w:rsidRPr="00A00F6F">
        <w:noBreakHyphen/>
        <w:t>readable form; and</w:t>
      </w:r>
    </w:p>
    <w:p w14:paraId="7CA69C4A" w14:textId="77777777" w:rsidR="00BB7660" w:rsidRPr="00A00F6F" w:rsidRDefault="00BB7660" w:rsidP="00BB7660">
      <w:pPr>
        <w:pStyle w:val="paragraph"/>
      </w:pPr>
      <w:r w:rsidRPr="00A00F6F">
        <w:tab/>
        <w:t>(c)</w:t>
      </w:r>
      <w:r w:rsidRPr="00A00F6F">
        <w:tab/>
        <w:t>conforms with the data standards.</w:t>
      </w:r>
    </w:p>
    <w:p w14:paraId="1EC6C616" w14:textId="77777777" w:rsidR="00BB7660" w:rsidRPr="00A00F6F" w:rsidRDefault="00BB7660" w:rsidP="00BB7660">
      <w:pPr>
        <w:pStyle w:val="notetext"/>
      </w:pPr>
      <w:r w:rsidRPr="00A00F6F">
        <w:t>Note:</w:t>
      </w:r>
      <w:r w:rsidRPr="00A00F6F">
        <w:tab/>
        <w:t>This subrule is a civil penalty provision (see rule 9.8).</w:t>
      </w:r>
    </w:p>
    <w:p w14:paraId="4AA9EF91" w14:textId="77777777" w:rsidR="00BB7660" w:rsidRPr="006839F4" w:rsidRDefault="00BB7660" w:rsidP="00BB7660">
      <w:pPr>
        <w:pStyle w:val="ActHead5"/>
      </w:pPr>
      <w:bookmarkStart w:id="79" w:name="_Toc111132000"/>
      <w:r w:rsidRPr="006839F4">
        <w:t>1.21  Consumer dashboard—SR data request</w:t>
      </w:r>
      <w:bookmarkEnd w:id="79"/>
    </w:p>
    <w:p w14:paraId="745862A4" w14:textId="77777777" w:rsidR="00BB7660" w:rsidRPr="00A00F6F" w:rsidRDefault="00BB7660" w:rsidP="00BB7660">
      <w:pPr>
        <w:pStyle w:val="subsection"/>
      </w:pPr>
      <w:r w:rsidRPr="00A00F6F">
        <w:tab/>
      </w:r>
      <w:r w:rsidRPr="00A00F6F">
        <w:tab/>
        <w:t>Rule 1.15 (provision of dashboard) applies in relation to an SR data request as if the primary data holder were the data holder for the requested SR data.</w:t>
      </w:r>
    </w:p>
    <w:p w14:paraId="7DCD2D07" w14:textId="77777777" w:rsidR="00BB7660" w:rsidRPr="00A00F6F" w:rsidRDefault="00BB7660" w:rsidP="00BB7660">
      <w:pPr>
        <w:pStyle w:val="ActHead5"/>
      </w:pPr>
      <w:bookmarkStart w:id="80" w:name="_Toc111132001"/>
      <w:r w:rsidRPr="00A00F6F">
        <w:t>1.22  SR data request by a CDR consumer</w:t>
      </w:r>
      <w:bookmarkEnd w:id="80"/>
      <w:r w:rsidRPr="00A00F6F">
        <w:t xml:space="preserve"> </w:t>
      </w:r>
    </w:p>
    <w:p w14:paraId="434564B2" w14:textId="77777777" w:rsidR="00BB7660" w:rsidRPr="00A00F6F" w:rsidRDefault="00BB7660" w:rsidP="00BB7660">
      <w:pPr>
        <w:pStyle w:val="notemargin"/>
      </w:pPr>
      <w:r w:rsidRPr="00A00F6F">
        <w:t>Note:</w:t>
      </w:r>
      <w:r w:rsidRPr="00A00F6F">
        <w:tab/>
        <w:t>This rule relates to Division 3.2.</w:t>
      </w:r>
    </w:p>
    <w:p w14:paraId="5834E3F1" w14:textId="77777777" w:rsidR="00BB7660" w:rsidRPr="00A00F6F" w:rsidRDefault="00BB7660" w:rsidP="00BB7660">
      <w:pPr>
        <w:pStyle w:val="subsection"/>
      </w:pPr>
      <w:r w:rsidRPr="00A00F6F">
        <w:tab/>
        <w:t>(1)</w:t>
      </w:r>
      <w:r w:rsidRPr="00A00F6F">
        <w:tab/>
        <w:t>This rule applies where a CDR consumer proposes to make an SR data request.</w:t>
      </w:r>
    </w:p>
    <w:p w14:paraId="0019883F" w14:textId="77777777" w:rsidR="00BB7660" w:rsidRPr="00A00F6F" w:rsidRDefault="00BB7660" w:rsidP="00BB7660">
      <w:pPr>
        <w:pStyle w:val="subsection"/>
      </w:pPr>
      <w:r w:rsidRPr="00A00F6F">
        <w:tab/>
        <w:t>(2)</w:t>
      </w:r>
      <w:r w:rsidRPr="00A00F6F">
        <w:tab/>
        <w:t>The request must be made to the primary data holder, using the primary data holder’s direct request service.</w:t>
      </w:r>
    </w:p>
    <w:p w14:paraId="6E8C7761" w14:textId="77777777" w:rsidR="00BB7660" w:rsidRPr="00A00F6F" w:rsidRDefault="00BB7660" w:rsidP="00BB7660">
      <w:pPr>
        <w:pStyle w:val="SubsectionHead"/>
      </w:pPr>
      <w:r w:rsidRPr="00A00F6F">
        <w:t>Dealing with the request</w:t>
      </w:r>
    </w:p>
    <w:p w14:paraId="1DCCC1AC" w14:textId="77777777" w:rsidR="00BB7660" w:rsidRPr="00A00F6F" w:rsidRDefault="00BB7660" w:rsidP="00BB7660">
      <w:pPr>
        <w:pStyle w:val="subsection"/>
      </w:pPr>
      <w:r w:rsidRPr="00A00F6F">
        <w:tab/>
        <w:t>(3)</w:t>
      </w:r>
      <w:r w:rsidRPr="00A00F6F">
        <w:tab/>
        <w:t>The primary data holder must, using the service mentioned in subrule 1.20(2) in accordance with the data standards, request the secondary data holder to disclose any SR data that the primary data holder needs in order to respond to the SR data request.</w:t>
      </w:r>
    </w:p>
    <w:p w14:paraId="532EA74B" w14:textId="77777777" w:rsidR="00BB7660" w:rsidRPr="00A00F6F" w:rsidRDefault="00BB7660" w:rsidP="00BB7660">
      <w:pPr>
        <w:pStyle w:val="notetext"/>
      </w:pPr>
      <w:r w:rsidRPr="00A00F6F">
        <w:t>Note:</w:t>
      </w:r>
      <w:r w:rsidRPr="00A00F6F">
        <w:tab/>
        <w:t>This</w:t>
      </w:r>
      <w:r w:rsidRPr="00CE4D88">
        <w:t xml:space="preserve"> </w:t>
      </w:r>
      <w:r w:rsidR="006839F4" w:rsidRPr="006839F4">
        <w:rPr>
          <w:color w:val="0000FF"/>
        </w:rPr>
        <w:t>subrule</w:t>
      </w:r>
      <w:r w:rsidR="006839F4" w:rsidRPr="006839F4">
        <w:rPr>
          <w:strike/>
          <w:color w:val="0000FF"/>
        </w:rPr>
        <w:t xml:space="preserve"> rule</w:t>
      </w:r>
      <w:r w:rsidRPr="00CE4D88">
        <w:t xml:space="preserve"> i</w:t>
      </w:r>
      <w:r w:rsidRPr="00A00F6F">
        <w:t>s a civil penalty provision (see rule 9.8).</w:t>
      </w:r>
    </w:p>
    <w:p w14:paraId="3FD4D0D9" w14:textId="77777777" w:rsidR="00BB7660" w:rsidRPr="00A00F6F" w:rsidRDefault="00BB7660" w:rsidP="00BB7660">
      <w:pPr>
        <w:pStyle w:val="subsection"/>
      </w:pPr>
      <w:r w:rsidRPr="00A00F6F">
        <w:tab/>
        <w:t>(4)</w:t>
      </w:r>
      <w:r w:rsidRPr="00A00F6F">
        <w:tab/>
        <w:t>If the secondary data holder chooses to disclose the SR data requested to the primary data holder, it must do so in accordance with any relevant data standards.</w:t>
      </w:r>
    </w:p>
    <w:p w14:paraId="625CDE2F" w14:textId="77777777" w:rsidR="00BB7660" w:rsidRPr="00A00F6F" w:rsidRDefault="00BB7660" w:rsidP="00BB7660">
      <w:pPr>
        <w:pStyle w:val="notetext"/>
      </w:pPr>
      <w:r w:rsidRPr="00A00F6F">
        <w:t>Note:</w:t>
      </w:r>
      <w:r w:rsidRPr="00A00F6F">
        <w:tab/>
        <w:t>This</w:t>
      </w:r>
      <w:r w:rsidRPr="00CE4D88">
        <w:t xml:space="preserve"> </w:t>
      </w:r>
      <w:r w:rsidR="006839F4" w:rsidRPr="006839F4">
        <w:rPr>
          <w:color w:val="0000FF"/>
        </w:rPr>
        <w:t>subrule</w:t>
      </w:r>
      <w:r w:rsidR="006839F4" w:rsidRPr="006839F4">
        <w:rPr>
          <w:strike/>
          <w:color w:val="0000FF"/>
        </w:rPr>
        <w:t xml:space="preserve"> rule</w:t>
      </w:r>
      <w:r w:rsidR="00480C0F" w:rsidRPr="00CE4D88">
        <w:t xml:space="preserve"> </w:t>
      </w:r>
      <w:r w:rsidRPr="00A00F6F">
        <w:t>is a civil penalty provision (see rule 9.8).</w:t>
      </w:r>
    </w:p>
    <w:p w14:paraId="1FC4AA9C" w14:textId="77777777" w:rsidR="00BB7660" w:rsidRPr="00A00F6F" w:rsidRDefault="00BB7660" w:rsidP="00BB7660">
      <w:pPr>
        <w:pStyle w:val="subsection"/>
      </w:pPr>
      <w:r w:rsidRPr="00A00F6F">
        <w:lastRenderedPageBreak/>
        <w:tab/>
        <w:t>(5)</w:t>
      </w:r>
      <w:r w:rsidRPr="00A00F6F">
        <w:tab/>
        <w:t>If the secondary data holder chooses not to disclose the SR data requested to the primary data holder, it must notify the primary data holder of its refusal.</w:t>
      </w:r>
    </w:p>
    <w:p w14:paraId="56D1EDF9" w14:textId="77777777" w:rsidR="00BB7660" w:rsidRPr="00A00F6F" w:rsidRDefault="00BB7660" w:rsidP="00BB7660">
      <w:pPr>
        <w:pStyle w:val="notetext"/>
      </w:pPr>
      <w:r w:rsidRPr="00A00F6F">
        <w:t>Note:</w:t>
      </w:r>
      <w:r w:rsidRPr="00A00F6F">
        <w:tab/>
        <w:t>This</w:t>
      </w:r>
      <w:r w:rsidRPr="00CE4D88">
        <w:t xml:space="preserve"> </w:t>
      </w:r>
      <w:r w:rsidR="006839F4" w:rsidRPr="006839F4">
        <w:rPr>
          <w:color w:val="0000FF"/>
        </w:rPr>
        <w:t>subrule</w:t>
      </w:r>
      <w:r w:rsidR="006839F4" w:rsidRPr="006839F4">
        <w:rPr>
          <w:strike/>
          <w:color w:val="0000FF"/>
        </w:rPr>
        <w:t xml:space="preserve"> rule</w:t>
      </w:r>
      <w:r w:rsidR="00480C0F" w:rsidRPr="00CE4D88">
        <w:t xml:space="preserve"> </w:t>
      </w:r>
      <w:r w:rsidRPr="00A00F6F">
        <w:t>is a civil penalty provision (see rule 9.8).</w:t>
      </w:r>
    </w:p>
    <w:p w14:paraId="4EA3585A" w14:textId="77777777" w:rsidR="00BB7660" w:rsidRPr="00A00F6F" w:rsidRDefault="00BB7660" w:rsidP="00BB7660">
      <w:pPr>
        <w:pStyle w:val="SubsectionHead"/>
      </w:pPr>
      <w:r w:rsidRPr="00A00F6F">
        <w:t>Responding to the request</w:t>
      </w:r>
    </w:p>
    <w:p w14:paraId="6B8147F0" w14:textId="77777777" w:rsidR="00BB7660" w:rsidRPr="00A00F6F" w:rsidRDefault="00BB7660" w:rsidP="00BB7660">
      <w:pPr>
        <w:pStyle w:val="subsection"/>
      </w:pPr>
      <w:r w:rsidRPr="00A00F6F">
        <w:tab/>
        <w:t>(6)</w:t>
      </w:r>
      <w:r w:rsidRPr="00A00F6F">
        <w:tab/>
        <w:t>Rule 3.4 (disclosing consumer data in response to a consumer data request) and rule 3.5 (refusal to disclose) apply as if the primary data holder were the data holder for any SR data covered by the SR data request.</w:t>
      </w:r>
    </w:p>
    <w:p w14:paraId="59B1BAD2" w14:textId="77777777" w:rsidR="00BB7660" w:rsidRPr="00A00F6F" w:rsidRDefault="00BB7660" w:rsidP="00BB7660">
      <w:pPr>
        <w:pStyle w:val="subsection"/>
      </w:pPr>
      <w:r w:rsidRPr="00A00F6F">
        <w:tab/>
        <w:t>(7)</w:t>
      </w:r>
      <w:r w:rsidRPr="00A00F6F">
        <w:tab/>
        <w:t>Subrule 3.4(3) does not apply in relation to SR data that the secondary data holder has refused to disclose to the primary data holder.</w:t>
      </w:r>
    </w:p>
    <w:p w14:paraId="1258F537" w14:textId="77777777" w:rsidR="00BB7660" w:rsidRPr="00A00F6F" w:rsidRDefault="00BB7660" w:rsidP="00BB7660">
      <w:pPr>
        <w:pStyle w:val="ActHead5"/>
      </w:pPr>
      <w:bookmarkStart w:id="81" w:name="_Toc111132002"/>
      <w:r w:rsidRPr="00A00F6F">
        <w:t>1.23  SR data request by an accredited person</w:t>
      </w:r>
      <w:bookmarkEnd w:id="81"/>
    </w:p>
    <w:p w14:paraId="79C3FA2C" w14:textId="77777777" w:rsidR="00BB7660" w:rsidRPr="00A00F6F" w:rsidRDefault="00BB7660" w:rsidP="00BB7660">
      <w:pPr>
        <w:pStyle w:val="notemargin"/>
      </w:pPr>
      <w:r w:rsidRPr="00A00F6F">
        <w:t>Note:</w:t>
      </w:r>
      <w:r w:rsidRPr="00A00F6F">
        <w:tab/>
        <w:t>This rule relates to Subdivisions 4.2.2, 4.2.3 and 4.3.2 and Division 4.4.</w:t>
      </w:r>
    </w:p>
    <w:p w14:paraId="6E6156DA" w14:textId="77777777" w:rsidR="00BB7660" w:rsidRPr="00A00F6F" w:rsidRDefault="00BB7660" w:rsidP="00BB7660">
      <w:pPr>
        <w:pStyle w:val="subsection"/>
      </w:pPr>
      <w:r w:rsidRPr="00A00F6F">
        <w:tab/>
        <w:t>(1)</w:t>
      </w:r>
      <w:r w:rsidRPr="00A00F6F">
        <w:tab/>
        <w:t>This rule applies where an accredited person proposes to make an SR data request on behalf of a CDR consumer.</w:t>
      </w:r>
    </w:p>
    <w:p w14:paraId="274DE68D" w14:textId="77777777" w:rsidR="00BB7660" w:rsidRPr="00A00F6F" w:rsidRDefault="00BB7660" w:rsidP="00BB7660">
      <w:pPr>
        <w:pStyle w:val="SubsectionHead"/>
      </w:pPr>
      <w:r w:rsidRPr="00A00F6F">
        <w:t>Making the request</w:t>
      </w:r>
    </w:p>
    <w:p w14:paraId="729284B7" w14:textId="77777777" w:rsidR="00BB7660" w:rsidRPr="00A00F6F" w:rsidRDefault="00BB7660" w:rsidP="00BB7660">
      <w:pPr>
        <w:pStyle w:val="subsection"/>
      </w:pPr>
      <w:r w:rsidRPr="00A00F6F">
        <w:tab/>
        <w:t>(2)</w:t>
      </w:r>
      <w:r w:rsidRPr="00A00F6F">
        <w:tab/>
        <w:t>The request must be made to the primary data holder, using the primary data holder’s accredited person request service.</w:t>
      </w:r>
    </w:p>
    <w:p w14:paraId="79FA43FB" w14:textId="77777777" w:rsidR="00BB7660" w:rsidRPr="00A00F6F" w:rsidRDefault="00BB7660" w:rsidP="00BB7660">
      <w:pPr>
        <w:pStyle w:val="SubsectionHead"/>
      </w:pPr>
      <w:r w:rsidRPr="00A00F6F">
        <w:t>Dealing with the request</w:t>
      </w:r>
    </w:p>
    <w:p w14:paraId="110EFCC8" w14:textId="77777777" w:rsidR="00BB7660" w:rsidRPr="00A00F6F" w:rsidRDefault="00BB7660" w:rsidP="00BB7660">
      <w:pPr>
        <w:pStyle w:val="subsection"/>
      </w:pPr>
      <w:r w:rsidRPr="00A00F6F">
        <w:tab/>
        <w:t>(3)</w:t>
      </w:r>
      <w:r w:rsidRPr="00A00F6F">
        <w:tab/>
        <w:t>Rule 4.5 (asking CDR consumer for authorisation to disclose CDR data) applies as if the primary data holder were the data holder for any SR data covered by the SR data request.</w:t>
      </w:r>
    </w:p>
    <w:p w14:paraId="07043D3B" w14:textId="77777777" w:rsidR="00BB7660" w:rsidRPr="00A00F6F" w:rsidRDefault="00BB7660" w:rsidP="00BB7660">
      <w:pPr>
        <w:pStyle w:val="subsection"/>
      </w:pPr>
      <w:r w:rsidRPr="00A00F6F">
        <w:tab/>
        <w:t>(4)</w:t>
      </w:r>
      <w:r w:rsidRPr="00A00F6F">
        <w:tab/>
        <w:t>If the CDR consumer authorises disclosure of requested data, the primary data holder must, using the service mentioned in subrule 1.20(2) and in accordance with the data standards, request the secondary data holder to disclose any SR data that the primary data holder needs in order to respond to the SR data request.</w:t>
      </w:r>
    </w:p>
    <w:p w14:paraId="48ADB93B" w14:textId="77777777" w:rsidR="00BB7660" w:rsidRPr="00A00F6F" w:rsidRDefault="00BB7660" w:rsidP="00BB7660">
      <w:pPr>
        <w:pStyle w:val="notetext"/>
      </w:pPr>
      <w:r w:rsidRPr="00A00F6F">
        <w:t>Note:</w:t>
      </w:r>
      <w:r w:rsidRPr="00A00F6F">
        <w:tab/>
        <w:t xml:space="preserve">This </w:t>
      </w:r>
      <w:r w:rsidR="006839F4" w:rsidRPr="006839F4">
        <w:rPr>
          <w:color w:val="0000FF"/>
        </w:rPr>
        <w:t>subrule</w:t>
      </w:r>
      <w:r w:rsidR="006839F4" w:rsidRPr="006839F4">
        <w:rPr>
          <w:strike/>
          <w:color w:val="0000FF"/>
        </w:rPr>
        <w:t xml:space="preserve"> rule</w:t>
      </w:r>
      <w:r w:rsidR="00480C0F" w:rsidRPr="00A00F6F">
        <w:t xml:space="preserve"> </w:t>
      </w:r>
      <w:r w:rsidRPr="00A00F6F">
        <w:t>is a civil penalty provision (see rule 9.8).</w:t>
      </w:r>
    </w:p>
    <w:p w14:paraId="4BA7DA22" w14:textId="77777777" w:rsidR="00BB7660" w:rsidRPr="00A00F6F" w:rsidRDefault="00BB7660" w:rsidP="00BB7660">
      <w:pPr>
        <w:pStyle w:val="subsection"/>
      </w:pPr>
      <w:r w:rsidRPr="00A00F6F">
        <w:tab/>
        <w:t>(5)</w:t>
      </w:r>
      <w:r w:rsidRPr="00A00F6F">
        <w:tab/>
        <w:t>If the secondary data holder chooses to disclose the SR data requested to the primary data holder, it must do so in accordance with any relevant data standards.</w:t>
      </w:r>
    </w:p>
    <w:p w14:paraId="0168320E" w14:textId="77777777" w:rsidR="00BB7660" w:rsidRPr="00A00F6F" w:rsidRDefault="00BB7660" w:rsidP="00BB7660">
      <w:pPr>
        <w:pStyle w:val="notetext"/>
      </w:pPr>
      <w:r w:rsidRPr="00A00F6F">
        <w:t>Note:</w:t>
      </w:r>
      <w:r w:rsidRPr="00A00F6F">
        <w:tab/>
        <w:t xml:space="preserve">This </w:t>
      </w:r>
      <w:r w:rsidR="006839F4" w:rsidRPr="006839F4">
        <w:rPr>
          <w:color w:val="0000FF"/>
        </w:rPr>
        <w:t>subrule</w:t>
      </w:r>
      <w:r w:rsidR="006839F4" w:rsidRPr="006839F4">
        <w:rPr>
          <w:strike/>
          <w:color w:val="0000FF"/>
        </w:rPr>
        <w:t xml:space="preserve"> rule</w:t>
      </w:r>
      <w:r w:rsidR="00702369" w:rsidRPr="00A00F6F">
        <w:t xml:space="preserve"> </w:t>
      </w:r>
      <w:r w:rsidRPr="00A00F6F">
        <w:t>is a civil penalty provision (see rule 9.8).</w:t>
      </w:r>
    </w:p>
    <w:p w14:paraId="1555058D" w14:textId="77777777" w:rsidR="00BB7660" w:rsidRPr="00A00F6F" w:rsidRDefault="00BB7660" w:rsidP="00BB7660">
      <w:pPr>
        <w:pStyle w:val="subsection"/>
      </w:pPr>
      <w:r w:rsidRPr="00A00F6F">
        <w:tab/>
        <w:t>(6)</w:t>
      </w:r>
      <w:r w:rsidRPr="00A00F6F">
        <w:tab/>
        <w:t>If the secondary data holder chooses not to disclose the SR data requested to the primary data holder, it must notify the primary data holder of its refusal.</w:t>
      </w:r>
    </w:p>
    <w:p w14:paraId="79C2AA1E" w14:textId="77777777" w:rsidR="00BB7660" w:rsidRPr="00A00F6F" w:rsidRDefault="00BB7660" w:rsidP="00BB7660">
      <w:pPr>
        <w:pStyle w:val="notetext"/>
      </w:pPr>
      <w:r w:rsidRPr="00A00F6F">
        <w:t>Note:</w:t>
      </w:r>
      <w:r w:rsidRPr="00A00F6F">
        <w:tab/>
        <w:t xml:space="preserve">This </w:t>
      </w:r>
      <w:r w:rsidR="006839F4" w:rsidRPr="006839F4">
        <w:rPr>
          <w:color w:val="0000FF"/>
        </w:rPr>
        <w:t>subrule</w:t>
      </w:r>
      <w:r w:rsidR="006839F4" w:rsidRPr="006839F4">
        <w:rPr>
          <w:strike/>
          <w:color w:val="0000FF"/>
        </w:rPr>
        <w:t xml:space="preserve"> rule</w:t>
      </w:r>
      <w:r w:rsidR="00702369" w:rsidRPr="00A00F6F">
        <w:t xml:space="preserve"> </w:t>
      </w:r>
      <w:r w:rsidRPr="00A00F6F">
        <w:t>is a civil penalty provision (see rule 9.8).</w:t>
      </w:r>
    </w:p>
    <w:p w14:paraId="3C053992" w14:textId="77777777" w:rsidR="00BB7660" w:rsidRPr="00A00F6F" w:rsidRDefault="00BB7660" w:rsidP="00BB7660">
      <w:pPr>
        <w:pStyle w:val="SubsectionHead"/>
      </w:pPr>
      <w:r w:rsidRPr="00A00F6F">
        <w:t>Responding to the request</w:t>
      </w:r>
    </w:p>
    <w:p w14:paraId="2F7E713A" w14:textId="77777777" w:rsidR="00BB7660" w:rsidRPr="00A00F6F" w:rsidRDefault="00BB7660" w:rsidP="00BB7660">
      <w:pPr>
        <w:pStyle w:val="subsection"/>
      </w:pPr>
      <w:r w:rsidRPr="00A00F6F">
        <w:tab/>
        <w:t>(7)</w:t>
      </w:r>
      <w:r w:rsidRPr="00A00F6F">
        <w:tab/>
        <w:t>Subject to subrule (8), rule 4.6 (disclosing consumer data in response to a consumer data request) applies as if the primary data holder were the data holder for any SR data covered by the SR data request.</w:t>
      </w:r>
    </w:p>
    <w:p w14:paraId="20CA9A16" w14:textId="77777777" w:rsidR="00BB7660" w:rsidRPr="00A00F6F" w:rsidRDefault="00BB7660" w:rsidP="00BB7660">
      <w:pPr>
        <w:pStyle w:val="subsection"/>
      </w:pPr>
      <w:r w:rsidRPr="00A00F6F">
        <w:lastRenderedPageBreak/>
        <w:tab/>
        <w:t>(8)</w:t>
      </w:r>
      <w:r w:rsidRPr="00A00F6F">
        <w:tab/>
        <w:t>Subrule 4.6(4) does not apply in relation to SR data that the secondary data holder has refused to disclose to the primary data holder.</w:t>
      </w:r>
    </w:p>
    <w:p w14:paraId="1785F392" w14:textId="77777777" w:rsidR="00BB7660" w:rsidRPr="00A00F6F" w:rsidRDefault="00BB7660" w:rsidP="00BB7660">
      <w:pPr>
        <w:pStyle w:val="subsection"/>
      </w:pPr>
      <w:r w:rsidRPr="00A00F6F">
        <w:tab/>
        <w:t>(9)</w:t>
      </w:r>
      <w:r w:rsidRPr="00A00F6F">
        <w:tab/>
        <w:t>Rule 4.7 (refusal to disclose) applies as if the primary data holder were the data holder for any SR data covered by the SR data request.</w:t>
      </w:r>
    </w:p>
    <w:p w14:paraId="08DDD6A6" w14:textId="77777777" w:rsidR="00BB7660" w:rsidRPr="00A00F6F" w:rsidRDefault="00BB7660" w:rsidP="00BB7660">
      <w:pPr>
        <w:pStyle w:val="SubsectionHead"/>
      </w:pPr>
      <w:r w:rsidRPr="00A00F6F">
        <w:t>Notification of withdrawal of consent</w:t>
      </w:r>
    </w:p>
    <w:p w14:paraId="41805108" w14:textId="77777777" w:rsidR="00BB7660" w:rsidRPr="00A00F6F" w:rsidRDefault="00BB7660" w:rsidP="00BB7660">
      <w:pPr>
        <w:pStyle w:val="subsection"/>
      </w:pPr>
      <w:r w:rsidRPr="00A00F6F">
        <w:tab/>
        <w:t>(10)</w:t>
      </w:r>
      <w:r w:rsidRPr="00A00F6F">
        <w:tab/>
        <w:t>Rule 4.13 (withdrawal of consent) applies as if the primary data holder were the data holder for any SR data covered by the SR data request.</w:t>
      </w:r>
    </w:p>
    <w:p w14:paraId="72B1789E" w14:textId="77777777" w:rsidR="00BB7660" w:rsidRPr="00A00F6F" w:rsidRDefault="00BB7660" w:rsidP="00BB7660">
      <w:pPr>
        <w:pStyle w:val="SubsectionHead"/>
      </w:pPr>
      <w:r w:rsidRPr="00A00F6F">
        <w:t>Dealing with authorisations</w:t>
      </w:r>
    </w:p>
    <w:p w14:paraId="1D6D4800" w14:textId="77777777" w:rsidR="00BB7660" w:rsidRPr="00A00F6F" w:rsidRDefault="00BB7660" w:rsidP="00BB7660">
      <w:pPr>
        <w:pStyle w:val="subsection"/>
      </w:pPr>
      <w:r w:rsidRPr="00A00F6F">
        <w:tab/>
        <w:t>(11)</w:t>
      </w:r>
      <w:r w:rsidRPr="00A00F6F">
        <w:tab/>
        <w:t>Division 4.4 (authorisations to disclose CDR data) applies as if:</w:t>
      </w:r>
    </w:p>
    <w:p w14:paraId="046FF28F" w14:textId="77777777" w:rsidR="00BB7660" w:rsidRPr="00A00F6F" w:rsidRDefault="00BB7660" w:rsidP="00BB7660">
      <w:pPr>
        <w:pStyle w:val="paragraph"/>
      </w:pPr>
      <w:r w:rsidRPr="00A00F6F">
        <w:tab/>
        <w:t>(a)</w:t>
      </w:r>
      <w:r w:rsidRPr="00A00F6F">
        <w:tab/>
        <w:t>a reference to the data holder were a reference to the primary data holder; and</w:t>
      </w:r>
    </w:p>
    <w:p w14:paraId="55B90129" w14:textId="77777777" w:rsidR="00BB7660" w:rsidRPr="00A00F6F" w:rsidRDefault="00BB7660" w:rsidP="00BB7660">
      <w:pPr>
        <w:pStyle w:val="paragraph"/>
      </w:pPr>
      <w:r w:rsidRPr="00A00F6F">
        <w:tab/>
        <w:t>(b)</w:t>
      </w:r>
      <w:r w:rsidRPr="00A00F6F">
        <w:tab/>
        <w:t>the following subrule were added after subrule 4.25(2) (withdrawal of authorisation by CDR consumer):</w:t>
      </w:r>
    </w:p>
    <w:p w14:paraId="356E57FD" w14:textId="77777777" w:rsidR="00BB7660" w:rsidRPr="00A00F6F" w:rsidRDefault="00BB7660" w:rsidP="00BB7660">
      <w:pPr>
        <w:pStyle w:val="paragraphsub"/>
      </w:pPr>
      <w:r w:rsidRPr="00CE4D88">
        <w:tab/>
      </w:r>
      <w:r w:rsidRPr="00CE4D88">
        <w:rPr>
          <w:color w:val="0000FF"/>
        </w:rPr>
        <w:t>“(</w:t>
      </w:r>
      <w:r w:rsidRPr="004A04A4">
        <w:rPr>
          <w:color w:val="0000FF"/>
        </w:rPr>
        <w:t>3)</w:t>
      </w:r>
      <w:r w:rsidR="006839F4" w:rsidRPr="006839F4">
        <w:rPr>
          <w:strike/>
          <w:color w:val="0000FF"/>
        </w:rPr>
        <w:t xml:space="preserve"> </w:t>
      </w:r>
      <w:r w:rsidR="00CE4D88">
        <w:rPr>
          <w:strike/>
          <w:color w:val="0000FF"/>
        </w:rPr>
        <w:t>“</w:t>
      </w:r>
      <w:r w:rsidR="006839F4" w:rsidRPr="006839F4">
        <w:rPr>
          <w:strike/>
          <w:color w:val="0000FF"/>
        </w:rPr>
        <w:t>(2)</w:t>
      </w:r>
      <w:r w:rsidRPr="00CE4D88">
        <w:tab/>
      </w:r>
      <w:r w:rsidRPr="00A00F6F">
        <w:t>For paragraph (2)(a), giving effect to withdrawal includes cancelling any current requests to the secondary data holder by the primary data holder under subrule 1.23(4).”.</w:t>
      </w:r>
    </w:p>
    <w:p w14:paraId="6532536F" w14:textId="77777777" w:rsidR="00BB7660" w:rsidRPr="00A00F6F" w:rsidRDefault="00BB7660" w:rsidP="00BB7660">
      <w:pPr>
        <w:pStyle w:val="ActHead5"/>
      </w:pPr>
      <w:bookmarkStart w:id="82" w:name="_Toc111132003"/>
      <w:r w:rsidRPr="00A00F6F">
        <w:t>1.24  SR data disclosed to primary data holder not to be used for other purposes</w:t>
      </w:r>
      <w:bookmarkEnd w:id="82"/>
    </w:p>
    <w:p w14:paraId="56B7B0F3" w14:textId="77777777" w:rsidR="00BB7660" w:rsidRPr="00A00F6F" w:rsidRDefault="00BB7660" w:rsidP="00BB7660">
      <w:pPr>
        <w:pStyle w:val="subsection"/>
      </w:pPr>
      <w:r w:rsidRPr="00A00F6F">
        <w:tab/>
        <w:t>(1)</w:t>
      </w:r>
      <w:r w:rsidRPr="00A00F6F">
        <w:tab/>
        <w:t>A primary data holder must not use the service mentioned in subrule 1.20(2) other than to request SR data that it needs to respond to an SR data request.</w:t>
      </w:r>
    </w:p>
    <w:p w14:paraId="600C3C22" w14:textId="77777777" w:rsidR="00BB7660" w:rsidRPr="00A00F6F" w:rsidRDefault="00BB7660" w:rsidP="00BB7660">
      <w:pPr>
        <w:pStyle w:val="subsection"/>
      </w:pPr>
      <w:r w:rsidRPr="00A00F6F">
        <w:tab/>
        <w:t>(2)</w:t>
      </w:r>
      <w:r w:rsidRPr="00A00F6F">
        <w:tab/>
        <w:t>Where a secondary data holder provides SR data to a primary data holder in response to such a request:</w:t>
      </w:r>
    </w:p>
    <w:p w14:paraId="506BC6BB" w14:textId="77777777" w:rsidR="00BB7660" w:rsidRPr="00A00F6F" w:rsidRDefault="00BB7660" w:rsidP="00BB7660">
      <w:pPr>
        <w:pStyle w:val="paragraph"/>
      </w:pPr>
      <w:r w:rsidRPr="00A00F6F">
        <w:tab/>
        <w:t>(a)</w:t>
      </w:r>
      <w:r w:rsidRPr="00A00F6F">
        <w:tab/>
        <w:t>the primary data holder must not use or disclose the SR data for a purpose other than responding to the SR data request; and</w:t>
      </w:r>
    </w:p>
    <w:p w14:paraId="51B3E0BB" w14:textId="77777777" w:rsidR="00BB7660" w:rsidRPr="00A00F6F" w:rsidRDefault="00BB7660" w:rsidP="00BB7660">
      <w:pPr>
        <w:pStyle w:val="paragraph"/>
      </w:pPr>
      <w:r w:rsidRPr="00A00F6F">
        <w:tab/>
        <w:t>(b)</w:t>
      </w:r>
      <w:r w:rsidRPr="00A00F6F">
        <w:tab/>
        <w:t>once the primary data holder has responded to the SR data request, it must delete any of the SR data that it holds in accordance with the CDR data deletion process.</w:t>
      </w:r>
    </w:p>
    <w:p w14:paraId="7CC135E1" w14:textId="77777777" w:rsidR="00BB7660" w:rsidRPr="00A00F6F" w:rsidRDefault="00BB7660" w:rsidP="00BB7660">
      <w:pPr>
        <w:pStyle w:val="notetext"/>
      </w:pPr>
      <w:r w:rsidRPr="00A00F6F">
        <w:t>Note:</w:t>
      </w:r>
      <w:r w:rsidRPr="00A00F6F">
        <w:tab/>
        <w:t>See rule 1.18 for the definition of “CDR data deletion process”.</w:t>
      </w:r>
      <w:r w:rsidRPr="00A00F6F">
        <w:tab/>
      </w:r>
    </w:p>
    <w:p w14:paraId="1B3CF1AD" w14:textId="77777777" w:rsidR="00BB7660" w:rsidRPr="00A00F6F" w:rsidRDefault="00BB7660" w:rsidP="00BB7660">
      <w:pPr>
        <w:pStyle w:val="ActHead5"/>
        <w:rPr>
          <w:lang w:val="en-GB"/>
        </w:rPr>
      </w:pPr>
      <w:bookmarkStart w:id="83" w:name="_Toc111132004"/>
      <w:r w:rsidRPr="00A00F6F">
        <w:t xml:space="preserve">1.25  </w:t>
      </w:r>
      <w:bookmarkStart w:id="84" w:name="_Toc83642152"/>
      <w:r w:rsidRPr="00A00F6F">
        <w:t>Dealing with unsolicited SR data</w:t>
      </w:r>
      <w:bookmarkEnd w:id="83"/>
      <w:bookmarkEnd w:id="84"/>
    </w:p>
    <w:p w14:paraId="0C1033EC" w14:textId="77777777" w:rsidR="00D57FD3" w:rsidRPr="009C4B0C" w:rsidRDefault="00D57FD3" w:rsidP="00D57FD3">
      <w:pPr>
        <w:pStyle w:val="subsection"/>
      </w:pPr>
      <w:r w:rsidRPr="009C4B0C">
        <w:tab/>
      </w:r>
      <w:r w:rsidRPr="009C4B0C">
        <w:tab/>
        <w:t>If a primary data holder:</w:t>
      </w:r>
    </w:p>
    <w:p w14:paraId="64A48F71" w14:textId="77777777" w:rsidR="00D57FD3" w:rsidRPr="009C4B0C" w:rsidRDefault="00D57FD3" w:rsidP="00D57FD3">
      <w:pPr>
        <w:pStyle w:val="paragraph"/>
      </w:pPr>
      <w:r w:rsidRPr="009C4B0C">
        <w:tab/>
        <w:t>(a)</w:t>
      </w:r>
      <w:r w:rsidRPr="009C4B0C">
        <w:tab/>
        <w:t>collects SR data from a secondary data holder:</w:t>
      </w:r>
    </w:p>
    <w:p w14:paraId="181FD06C" w14:textId="77777777" w:rsidR="00D57FD3" w:rsidRPr="009C4B0C" w:rsidRDefault="00D57FD3" w:rsidP="00D57FD3">
      <w:pPr>
        <w:pStyle w:val="paragraphsub"/>
      </w:pPr>
      <w:r w:rsidRPr="009C4B0C">
        <w:tab/>
        <w:t>(i)</w:t>
      </w:r>
      <w:r w:rsidRPr="009C4B0C">
        <w:tab/>
        <w:t>purportedly under these rules; but</w:t>
      </w:r>
    </w:p>
    <w:p w14:paraId="178B8811" w14:textId="77777777" w:rsidR="00D57FD3" w:rsidRPr="009C4B0C" w:rsidRDefault="00D57FD3" w:rsidP="00D57FD3">
      <w:pPr>
        <w:pStyle w:val="paragraphsub"/>
      </w:pPr>
      <w:r w:rsidRPr="009C4B0C">
        <w:tab/>
        <w:t>(ii)</w:t>
      </w:r>
      <w:r w:rsidRPr="009C4B0C">
        <w:tab/>
        <w:t>not as the result of seeking to collect that SR data under these rules; and</w:t>
      </w:r>
    </w:p>
    <w:p w14:paraId="5EEFBCEE" w14:textId="77777777" w:rsidR="00D57FD3" w:rsidRPr="009C4B0C" w:rsidRDefault="00D57FD3" w:rsidP="00D57FD3">
      <w:pPr>
        <w:pStyle w:val="paragraph"/>
      </w:pPr>
      <w:r w:rsidRPr="009C4B0C">
        <w:tab/>
        <w:t>(b)</w:t>
      </w:r>
      <w:r w:rsidRPr="009C4B0C">
        <w:tab/>
        <w:t>is not required to retain that SR data by or under an Australian law or a court/tribunal order;</w:t>
      </w:r>
    </w:p>
    <w:p w14:paraId="2E2FDE9D" w14:textId="77777777" w:rsidR="00D57FD3" w:rsidRPr="009C4B0C" w:rsidRDefault="00D57FD3" w:rsidP="00D57FD3">
      <w:pPr>
        <w:pStyle w:val="subsection20"/>
      </w:pPr>
      <w:r w:rsidRPr="009C4B0C">
        <w:tab/>
      </w:r>
      <w:r w:rsidRPr="009C4B0C">
        <w:tab/>
        <w:t>the primary data holder must destroy the SR data as soon as practicable.</w:t>
      </w:r>
    </w:p>
    <w:p w14:paraId="7D7BF2F1" w14:textId="77777777" w:rsidR="00D57FD3" w:rsidRPr="009C4B0C" w:rsidRDefault="00D57FD3" w:rsidP="00D57FD3">
      <w:pPr>
        <w:pStyle w:val="notetext"/>
      </w:pPr>
      <w:r w:rsidRPr="009C4B0C">
        <w:t>Note:</w:t>
      </w:r>
      <w:r w:rsidRPr="009C4B0C">
        <w:tab/>
        <w:t>This rule is a civil penalty provision (see rule 9.8).</w:t>
      </w:r>
    </w:p>
    <w:p w14:paraId="1723F373" w14:textId="77777777" w:rsidR="00D57FD3" w:rsidRPr="009C4B0C" w:rsidRDefault="00D57FD3" w:rsidP="00D57FD3">
      <w:pPr>
        <w:pStyle w:val="ActHead5"/>
      </w:pPr>
      <w:bookmarkStart w:id="85" w:name="_Toc96610479"/>
      <w:bookmarkStart w:id="86" w:name="_Toc111132005"/>
      <w:r w:rsidRPr="009C4B0C">
        <w:lastRenderedPageBreak/>
        <w:t>1.26  Dispute resolution—primary data holders and secondary data holders</w:t>
      </w:r>
      <w:bookmarkEnd w:id="85"/>
      <w:bookmarkEnd w:id="86"/>
    </w:p>
    <w:p w14:paraId="593F4BD5" w14:textId="77777777" w:rsidR="00BB7660" w:rsidRPr="00A00F6F" w:rsidRDefault="00BB7660" w:rsidP="00BB7660">
      <w:pPr>
        <w:pStyle w:val="ActHead5"/>
      </w:pPr>
      <w:bookmarkStart w:id="87" w:name="_Toc111132006"/>
      <w:r w:rsidRPr="00A00F6F">
        <w:t>1.26  Dispute resolution—primary data holders and secondary data holders</w:t>
      </w:r>
      <w:bookmarkEnd w:id="87"/>
    </w:p>
    <w:p w14:paraId="6C4D0809" w14:textId="77777777" w:rsidR="00BB7660" w:rsidRPr="00A00F6F" w:rsidRDefault="00BB7660" w:rsidP="00BB7660">
      <w:pPr>
        <w:pStyle w:val="subsection"/>
      </w:pPr>
      <w:r w:rsidRPr="00A00F6F">
        <w:tab/>
      </w:r>
      <w:r w:rsidRPr="00A00F6F">
        <w:tab/>
        <w:t>Where a primary data holder requests relevant information from a secondary data holder in relation to a consumer complaint or dispute with the primary data holder that relates to an SR data request, the secondary data holder must provide the information to the extent that it is reasonable to do so.</w:t>
      </w:r>
    </w:p>
    <w:p w14:paraId="623A436B" w14:textId="77777777" w:rsidR="00BB7660" w:rsidRPr="00641354" w:rsidRDefault="00BB7660" w:rsidP="00BB7660">
      <w:pPr>
        <w:pStyle w:val="ActHead2"/>
        <w:pageBreakBefore/>
      </w:pPr>
      <w:bookmarkStart w:id="88" w:name="_Toc11771578"/>
      <w:bookmarkStart w:id="89" w:name="_Toc111132007"/>
      <w:r>
        <w:lastRenderedPageBreak/>
        <w:t xml:space="preserve">Part 2—Product data </w:t>
      </w:r>
      <w:r w:rsidRPr="00641354">
        <w:t>requests</w:t>
      </w:r>
      <w:bookmarkEnd w:id="88"/>
      <w:bookmarkEnd w:id="89"/>
    </w:p>
    <w:p w14:paraId="70394D57" w14:textId="77777777" w:rsidR="00BB7660" w:rsidRPr="00641354" w:rsidRDefault="00BB7660" w:rsidP="00BB7660">
      <w:pPr>
        <w:pStyle w:val="ActHead5"/>
      </w:pPr>
      <w:bookmarkStart w:id="90" w:name="_Toc11771579"/>
      <w:bookmarkStart w:id="91" w:name="_Toc111132008"/>
      <w:r>
        <w:t>2.1</w:t>
      </w:r>
      <w:r w:rsidRPr="00641354">
        <w:t xml:space="preserve">  Simplified outline of this Part</w:t>
      </w:r>
      <w:bookmarkEnd w:id="90"/>
      <w:bookmarkEnd w:id="91"/>
    </w:p>
    <w:p w14:paraId="6158EAE7" w14:textId="77777777" w:rsidR="00BB7660" w:rsidRPr="00B3173B" w:rsidRDefault="00BB7660" w:rsidP="00BB7660">
      <w:pPr>
        <w:pStyle w:val="SOText"/>
      </w:pPr>
      <w:r w:rsidRPr="00B3173B">
        <w:t xml:space="preserve">This Part deals with product data requests. Such requests are made </w:t>
      </w:r>
      <w:r w:rsidRPr="00964EDA">
        <w:rPr>
          <w:color w:val="000000"/>
        </w:rPr>
        <w:t xml:space="preserve">using </w:t>
      </w:r>
      <w:r w:rsidRPr="00B3173B">
        <w:t xml:space="preserve">a data holder’s product data request </w:t>
      </w:r>
      <w:r>
        <w:t>service</w:t>
      </w:r>
      <w:r w:rsidRPr="00B3173B">
        <w:t>.</w:t>
      </w:r>
      <w:r>
        <w:t xml:space="preserve"> </w:t>
      </w:r>
    </w:p>
    <w:p w14:paraId="2B389A21" w14:textId="77777777" w:rsidR="00BB7660" w:rsidRPr="00A00F6F" w:rsidRDefault="00BB7660" w:rsidP="00BB7660">
      <w:pPr>
        <w:pStyle w:val="SOText"/>
      </w:pPr>
      <w:r w:rsidRPr="00A00F6F">
        <w:t>A product data request may be for required product data, voluntary product data, or both. The content of these terms is different in different designated sectors:  Schedule 3 provides the content for the banking sector;  Schedule 4 provides the content for the energy sector.</w:t>
      </w:r>
    </w:p>
    <w:p w14:paraId="357DA148" w14:textId="77777777" w:rsidR="00BB7660" w:rsidRPr="00796ADB" w:rsidRDefault="00BB7660" w:rsidP="00BB7660">
      <w:pPr>
        <w:pStyle w:val="SOText"/>
      </w:pPr>
      <w:r w:rsidRPr="00796ADB">
        <w:t>When requested in accordance with this Part, a data holder:</w:t>
      </w:r>
    </w:p>
    <w:p w14:paraId="2FA110F6" w14:textId="77777777" w:rsidR="00BB7660" w:rsidRPr="00796ADB" w:rsidRDefault="00BB7660" w:rsidP="00BB7660">
      <w:pPr>
        <w:pStyle w:val="SOPara"/>
      </w:pPr>
      <w:r w:rsidRPr="00796ADB">
        <w:tab/>
        <w:t>•</w:t>
      </w:r>
      <w:r w:rsidRPr="00796ADB">
        <w:tab/>
        <w:t>must, subject to an exception outlined in this Part, disclose required product data; and</w:t>
      </w:r>
    </w:p>
    <w:p w14:paraId="511483FC" w14:textId="77777777" w:rsidR="00BB7660" w:rsidRPr="00796ADB" w:rsidRDefault="00BB7660" w:rsidP="00BB7660">
      <w:pPr>
        <w:pStyle w:val="SOPara"/>
      </w:pPr>
      <w:r w:rsidRPr="00796ADB">
        <w:tab/>
        <w:t>•</w:t>
      </w:r>
      <w:r w:rsidRPr="00796ADB">
        <w:tab/>
        <w:t>may, but is not required to, disclose voluntary product data.</w:t>
      </w:r>
    </w:p>
    <w:p w14:paraId="1B18337D" w14:textId="77777777" w:rsidR="00BB7660" w:rsidRPr="00F27186" w:rsidRDefault="00BB7660" w:rsidP="00BB7660">
      <w:pPr>
        <w:pStyle w:val="SOText"/>
      </w:pPr>
      <w:r w:rsidRPr="00F27186">
        <w:t>In either case, the data is disclosed to the person who made the request, in machine</w:t>
      </w:r>
      <w:r w:rsidRPr="00F27186">
        <w:noBreakHyphen/>
        <w:t>readable form</w:t>
      </w:r>
      <w:r>
        <w:t xml:space="preserve"> and in accordance with the data standards</w:t>
      </w:r>
      <w:r w:rsidRPr="00F27186">
        <w:t xml:space="preserve">. </w:t>
      </w:r>
      <w:r w:rsidRPr="00FE1DF8">
        <w:t>A data holder must not impose conditions, restrictions or limitations of any kind on the use of the disclosed data.</w:t>
      </w:r>
    </w:p>
    <w:p w14:paraId="0A7C0D31" w14:textId="77777777" w:rsidR="00BB7660" w:rsidRPr="00F27186" w:rsidRDefault="00BB7660" w:rsidP="00BB7660">
      <w:pPr>
        <w:pStyle w:val="SOText"/>
      </w:pPr>
      <w:r w:rsidRPr="00F27186">
        <w:t>A fee cannot be charged for the disclosure of required product data, but could be charged for the disclosure of voluntary product data.</w:t>
      </w:r>
    </w:p>
    <w:p w14:paraId="5412CEEA" w14:textId="77777777" w:rsidR="00BB7660" w:rsidRDefault="00BB7660" w:rsidP="00BB7660">
      <w:pPr>
        <w:pStyle w:val="ActHead5"/>
      </w:pPr>
      <w:bookmarkStart w:id="92" w:name="_Toc11771580"/>
      <w:bookmarkStart w:id="93" w:name="_Toc111132009"/>
      <w:r>
        <w:t>2.2  Making product data requests—flowchart</w:t>
      </w:r>
      <w:bookmarkEnd w:id="92"/>
      <w:bookmarkEnd w:id="93"/>
    </w:p>
    <w:p w14:paraId="7098D719" w14:textId="77777777" w:rsidR="00BB7660" w:rsidRDefault="00BB7660" w:rsidP="00BB7660">
      <w:pPr>
        <w:pStyle w:val="subsection"/>
      </w:pPr>
      <w:r>
        <w:tab/>
      </w:r>
      <w:r>
        <w:tab/>
        <w:t>The following is a flowchart for how product data requests are made:</w:t>
      </w:r>
    </w:p>
    <w:p w14:paraId="3280D018" w14:textId="77777777" w:rsidR="00BB7660" w:rsidRDefault="00BB7660" w:rsidP="00BB7660">
      <w:pPr>
        <w:pStyle w:val="subsection"/>
      </w:pPr>
      <w:r>
        <w:rPr>
          <w:noProof/>
        </w:rPr>
        <mc:AlternateContent>
          <mc:Choice Requires="wpc">
            <w:drawing>
              <wp:inline distT="0" distB="0" distL="0" distR="0" wp14:anchorId="78737F3C" wp14:editId="01E50727">
                <wp:extent cx="5278755" cy="2795286"/>
                <wp:effectExtent l="0" t="0" r="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 name="Rectangle 3"/>
                        <wps:cNvSpPr/>
                        <wps:spPr>
                          <a:xfrm>
                            <a:off x="1148317" y="146318"/>
                            <a:ext cx="3019645" cy="603849"/>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D3C950" w14:textId="77777777" w:rsidR="00857D8F" w:rsidRPr="00362B69" w:rsidRDefault="00857D8F" w:rsidP="00BB7660">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148317" y="1075609"/>
                            <a:ext cx="3019646" cy="1615504"/>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D0AF6" w14:textId="77777777" w:rsidR="00857D8F" w:rsidRPr="00796ADB" w:rsidRDefault="00857D8F" w:rsidP="00BB7660">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41FA59CE" w14:textId="77777777" w:rsidR="00857D8F" w:rsidRPr="00796ADB" w:rsidRDefault="00857D8F" w:rsidP="00BB7660">
                              <w:pPr>
                                <w:jc w:val="center"/>
                                <w:rPr>
                                  <w:color w:val="000000" w:themeColor="text1"/>
                                  <w:sz w:val="20"/>
                                </w:rPr>
                              </w:pPr>
                            </w:p>
                            <w:p w14:paraId="3C5416E4" w14:textId="77777777" w:rsidR="00857D8F" w:rsidRPr="00796ADB" w:rsidRDefault="00857D8F" w:rsidP="00BB7660">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00FF079E" w14:textId="77777777" w:rsidR="00857D8F" w:rsidRPr="00796ADB" w:rsidRDefault="00857D8F" w:rsidP="00BB7660">
                              <w:pPr>
                                <w:jc w:val="center"/>
                                <w:rPr>
                                  <w:color w:val="000000" w:themeColor="text1"/>
                                  <w:sz w:val="20"/>
                                </w:rPr>
                              </w:pPr>
                            </w:p>
                            <w:p w14:paraId="52D3E342" w14:textId="77777777" w:rsidR="00857D8F" w:rsidRPr="00796ADB" w:rsidRDefault="00857D8F" w:rsidP="00BB7660">
                              <w:pPr>
                                <w:jc w:val="center"/>
                                <w:rPr>
                                  <w:color w:val="000000" w:themeColor="text1"/>
                                  <w:sz w:val="20"/>
                                </w:rPr>
                              </w:pPr>
                              <w:r w:rsidRPr="00796ADB">
                                <w:rPr>
                                  <w:color w:val="000000" w:themeColor="text1"/>
                                  <w:sz w:val="20"/>
                                </w:rPr>
                                <w:t>In either case, the data is disclosed through the data holder’s product data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Down Arrow 5"/>
                        <wps:cNvSpPr/>
                        <wps:spPr>
                          <a:xfrm>
                            <a:off x="2389514" y="819329"/>
                            <a:ext cx="484632" cy="207214"/>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78737F3C" id="Canvas 2" o:spid="_x0000_s1026" editas="canvas" style="width:415.65pt;height:220.1pt;mso-position-horizontal-relative:char;mso-position-vertical-relative:line" coordsize="52787,27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">
                <v:shape id="_x0000_s1027" type="#_x0000_t75" style="position:absolute;width:52787;height:27952;visibility:visible;mso-wrap-style:square">
                  <v:fill o:detectmouseclick="t"/>
                  <v:path o:connecttype="none"/>
                </v:shape>
                <v:rect id="Rectangle 3" o:spid="_x0000_s1028" style="position:absolute;left:11483;top:1463;width:30196;height:6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v1nwAAAANoAAAAPAAAAZHJzL2Rvd25yZXYueG1sRI/NasMw&#10;EITvhb6D2EJvjdwU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Q4L9Z8AAAADaAAAADwAAAAAA&#10;AAAAAAAAAAAHAgAAZHJzL2Rvd25yZXYueG1sUEsFBgAAAAADAAMAtwAAAPQCAAAAAA==&#10;" fillcolor="white [3212]" strokeweight=".25pt">
                  <v:textbox>
                    <w:txbxContent>
                      <w:p w14:paraId="76D3C950" w14:textId="77777777" w:rsidR="00857D8F" w:rsidRPr="00362B69" w:rsidRDefault="00857D8F" w:rsidP="00BB7660">
                        <w:pPr>
                          <w:jc w:val="center"/>
                          <w:rPr>
                            <w:sz w:val="20"/>
                          </w:rPr>
                        </w:pPr>
                        <w:r w:rsidRPr="00362B69">
                          <w:rPr>
                            <w:color w:val="000000"/>
                            <w:sz w:val="20"/>
                          </w:rPr>
                          <w:t xml:space="preserve">Person makes </w:t>
                        </w:r>
                        <w:r>
                          <w:rPr>
                            <w:color w:val="000000"/>
                            <w:sz w:val="20"/>
                          </w:rPr>
                          <w:t>a request</w:t>
                        </w:r>
                        <w:r w:rsidRPr="00362B69">
                          <w:rPr>
                            <w:color w:val="000000"/>
                            <w:sz w:val="20"/>
                          </w:rPr>
                          <w:t xml:space="preserve"> </w:t>
                        </w:r>
                        <w:r>
                          <w:rPr>
                            <w:color w:val="000000"/>
                            <w:sz w:val="20"/>
                          </w:rPr>
                          <w:t>for product data using a data holder’s product data request service.</w:t>
                        </w:r>
                      </w:p>
                    </w:txbxContent>
                  </v:textbox>
                </v:rect>
                <v:rect id="Rectangle 4" o:spid="_x0000_s1029" style="position:absolute;left:11483;top:10756;width:30196;height:161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" fillcolor="white [3212]" strokeweight=".25pt">
                  <v:textbox>
                    <w:txbxContent>
                      <w:p w14:paraId="33DD0AF6" w14:textId="77777777" w:rsidR="00857D8F" w:rsidRPr="00796ADB" w:rsidRDefault="00857D8F" w:rsidP="00BB7660">
                        <w:pPr>
                          <w:jc w:val="center"/>
                          <w:rPr>
                            <w:color w:val="000000" w:themeColor="text1"/>
                            <w:sz w:val="20"/>
                          </w:rPr>
                        </w:pPr>
                        <w:r w:rsidRPr="00796ADB">
                          <w:rPr>
                            <w:color w:val="000000" w:themeColor="text1"/>
                            <w:sz w:val="20"/>
                          </w:rPr>
                          <w:t>For any required product data, the data holder must (unless covered by an exception) disclose the data to the requester.</w:t>
                        </w:r>
                      </w:p>
                      <w:p w14:paraId="41FA59CE" w14:textId="77777777" w:rsidR="00857D8F" w:rsidRPr="00796ADB" w:rsidRDefault="00857D8F" w:rsidP="00BB7660">
                        <w:pPr>
                          <w:jc w:val="center"/>
                          <w:rPr>
                            <w:color w:val="000000" w:themeColor="text1"/>
                            <w:sz w:val="20"/>
                          </w:rPr>
                        </w:pPr>
                      </w:p>
                      <w:p w14:paraId="3C5416E4" w14:textId="77777777" w:rsidR="00857D8F" w:rsidRPr="00796ADB" w:rsidRDefault="00857D8F" w:rsidP="00BB7660">
                        <w:pPr>
                          <w:jc w:val="center"/>
                          <w:rPr>
                            <w:color w:val="000000" w:themeColor="text1"/>
                            <w:sz w:val="20"/>
                          </w:rPr>
                        </w:pPr>
                        <w:r w:rsidRPr="00796ADB">
                          <w:rPr>
                            <w:color w:val="000000" w:themeColor="text1"/>
                            <w:sz w:val="20"/>
                          </w:rPr>
                          <w:t>For any voluntary product data, the data holder may, but is not required to, disclose the data to the requester.</w:t>
                        </w:r>
                      </w:p>
                      <w:p w14:paraId="00FF079E" w14:textId="77777777" w:rsidR="00857D8F" w:rsidRPr="00796ADB" w:rsidRDefault="00857D8F" w:rsidP="00BB7660">
                        <w:pPr>
                          <w:jc w:val="center"/>
                          <w:rPr>
                            <w:color w:val="000000" w:themeColor="text1"/>
                            <w:sz w:val="20"/>
                          </w:rPr>
                        </w:pPr>
                      </w:p>
                      <w:p w14:paraId="52D3E342" w14:textId="77777777" w:rsidR="00857D8F" w:rsidRPr="00796ADB" w:rsidRDefault="00857D8F" w:rsidP="00BB7660">
                        <w:pPr>
                          <w:jc w:val="center"/>
                          <w:rPr>
                            <w:color w:val="000000" w:themeColor="text1"/>
                            <w:sz w:val="20"/>
                          </w:rPr>
                        </w:pPr>
                        <w:r w:rsidRPr="00796ADB">
                          <w:rPr>
                            <w:color w:val="000000" w:themeColor="text1"/>
                            <w:sz w:val="20"/>
                          </w:rPr>
                          <w:t>In either case, the data is disclosed through the data holder’s product data request service.</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5" o:spid="_x0000_s1030" type="#_x0000_t67" style="position:absolute;left:23895;top:8193;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" adj="10800" filled="f" strokecolor="black [3213]" strokeweight="0"/>
                <w10:anchorlock/>
              </v:group>
            </w:pict>
          </mc:Fallback>
        </mc:AlternateContent>
      </w:r>
    </w:p>
    <w:p w14:paraId="25C230EC" w14:textId="77777777" w:rsidR="00BB7660" w:rsidRPr="00641354" w:rsidRDefault="00BB7660" w:rsidP="00BB7660">
      <w:pPr>
        <w:pStyle w:val="ActHead5"/>
      </w:pPr>
      <w:bookmarkStart w:id="94" w:name="_Toc11771581"/>
      <w:bookmarkStart w:id="95" w:name="_Toc111132010"/>
      <w:r>
        <w:lastRenderedPageBreak/>
        <w:t>2.3</w:t>
      </w:r>
      <w:r w:rsidRPr="00641354">
        <w:t xml:space="preserve">  </w:t>
      </w:r>
      <w:r>
        <w:t>Product data request</w:t>
      </w:r>
      <w:r w:rsidRPr="00641354">
        <w:t>s</w:t>
      </w:r>
      <w:bookmarkEnd w:id="94"/>
      <w:bookmarkEnd w:id="95"/>
    </w:p>
    <w:p w14:paraId="25DB99CA" w14:textId="77777777" w:rsidR="00BB7660" w:rsidRPr="00A00F6F" w:rsidRDefault="00BB7660" w:rsidP="00BB7660">
      <w:pPr>
        <w:pStyle w:val="subsection"/>
      </w:pPr>
      <w:r w:rsidRPr="0023036E">
        <w:tab/>
      </w:r>
      <w:r w:rsidRPr="00A00F6F">
        <w:t>(1)</w:t>
      </w:r>
      <w:r w:rsidRPr="00A00F6F">
        <w:tab/>
        <w:t>A person may:</w:t>
      </w:r>
    </w:p>
    <w:p w14:paraId="74A79BDE" w14:textId="77777777" w:rsidR="00BB7660" w:rsidRPr="00A00F6F" w:rsidRDefault="00BB7660" w:rsidP="00BB7660">
      <w:pPr>
        <w:pStyle w:val="paragraph"/>
      </w:pPr>
      <w:r w:rsidRPr="00A00F6F">
        <w:tab/>
        <w:t>(a)</w:t>
      </w:r>
      <w:r w:rsidRPr="00A00F6F">
        <w:tab/>
        <w:t>using the data holder’s product data request service; and</w:t>
      </w:r>
    </w:p>
    <w:p w14:paraId="5D138A69" w14:textId="77777777" w:rsidR="00BB7660" w:rsidRPr="00A00F6F" w:rsidRDefault="00BB7660" w:rsidP="00BB7660">
      <w:pPr>
        <w:pStyle w:val="paragraph"/>
      </w:pPr>
      <w:r w:rsidRPr="00A00F6F">
        <w:tab/>
        <w:t>(b)</w:t>
      </w:r>
      <w:r w:rsidRPr="00A00F6F">
        <w:tab/>
        <w:t>in accordance with the data standards;</w:t>
      </w:r>
    </w:p>
    <w:p w14:paraId="51B1B43D" w14:textId="77777777" w:rsidR="00BB7660" w:rsidRPr="00A00F6F" w:rsidRDefault="00BB7660" w:rsidP="00BB7660">
      <w:pPr>
        <w:pStyle w:val="subsection"/>
        <w:spacing w:before="40"/>
      </w:pPr>
      <w:r w:rsidRPr="00A00F6F">
        <w:tab/>
      </w:r>
      <w:r w:rsidRPr="00A00F6F">
        <w:tab/>
        <w:t>request a data holder to disclose some or all of the required product data or voluntary product data that it holds.</w:t>
      </w:r>
    </w:p>
    <w:p w14:paraId="295C56B0" w14:textId="77777777" w:rsidR="00BB7660" w:rsidRPr="00A00F6F" w:rsidRDefault="00BB7660" w:rsidP="00BB7660">
      <w:pPr>
        <w:pStyle w:val="notetext"/>
      </w:pPr>
      <w:r w:rsidRPr="00A00F6F">
        <w:t>Note:</w:t>
      </w:r>
      <w:r w:rsidRPr="00A00F6F">
        <w:tab/>
        <w:t>In the banking sector, these rules will progressively permit product data requests to be made to a broader range of data holders, and in relation to a broader range of CDR data, according to the timetable set out in Part 6 of Schedule 3.</w:t>
      </w:r>
    </w:p>
    <w:p w14:paraId="56765F33" w14:textId="77777777" w:rsidR="00BB7660" w:rsidRPr="00A00F6F" w:rsidRDefault="00BB7660" w:rsidP="00BB7660">
      <w:pPr>
        <w:pStyle w:val="notetext"/>
      </w:pPr>
      <w:r w:rsidRPr="00A00F6F">
        <w:tab/>
        <w:t>In the energy sector, the AER and the Victorian agency are designated data holders for all the relevant product data under the designation instrument.</w:t>
      </w:r>
    </w:p>
    <w:p w14:paraId="162F0963" w14:textId="77777777" w:rsidR="00BB7660" w:rsidRDefault="00BB7660" w:rsidP="00BB7660">
      <w:pPr>
        <w:pStyle w:val="subsection"/>
      </w:pPr>
      <w:r w:rsidRPr="00641354">
        <w:tab/>
      </w:r>
      <w:r>
        <w:t>(2)</w:t>
      </w:r>
      <w:r w:rsidRPr="00641354">
        <w:tab/>
        <w:t>Such a request is a</w:t>
      </w:r>
      <w:r>
        <w:t xml:space="preserve"> </w:t>
      </w:r>
      <w:r w:rsidRPr="00641354">
        <w:rPr>
          <w:b/>
          <w:i/>
        </w:rPr>
        <w:t>product data request</w:t>
      </w:r>
      <w:r w:rsidRPr="00641354">
        <w:t>.</w:t>
      </w:r>
    </w:p>
    <w:p w14:paraId="2587D6FC" w14:textId="77777777" w:rsidR="00BB7660" w:rsidRDefault="00BB7660" w:rsidP="00BB7660">
      <w:pPr>
        <w:pStyle w:val="notetext"/>
        <w:rPr>
          <w:color w:val="000000" w:themeColor="text1"/>
        </w:rPr>
      </w:pPr>
      <w:r w:rsidRPr="000C3240">
        <w:rPr>
          <w:color w:val="000000" w:themeColor="text1"/>
        </w:rPr>
        <w:t>Note:</w:t>
      </w:r>
      <w:r w:rsidRPr="000C3240">
        <w:rPr>
          <w:color w:val="000000" w:themeColor="text1"/>
        </w:rPr>
        <w:tab/>
        <w:t>A fee cannot be charged for making a product data request.</w:t>
      </w:r>
    </w:p>
    <w:p w14:paraId="674F47FA" w14:textId="77777777" w:rsidR="00BB7660" w:rsidRDefault="00BB7660" w:rsidP="00BB7660">
      <w:pPr>
        <w:pStyle w:val="ActHead5"/>
      </w:pPr>
      <w:bookmarkStart w:id="96" w:name="_Toc11771582"/>
      <w:bookmarkStart w:id="97" w:name="_Toc111132011"/>
      <w:r>
        <w:t xml:space="preserve">2.4  Disclosing </w:t>
      </w:r>
      <w:r w:rsidRPr="00641354">
        <w:rPr>
          <w:color w:val="000000"/>
        </w:rPr>
        <w:t xml:space="preserve">product </w:t>
      </w:r>
      <w:r>
        <w:t>data in response to p</w:t>
      </w:r>
      <w:r w:rsidRPr="00641354">
        <w:rPr>
          <w:color w:val="000000"/>
        </w:rPr>
        <w:t>roduct data</w:t>
      </w:r>
      <w:r>
        <w:t xml:space="preserve"> request</w:t>
      </w:r>
      <w:bookmarkEnd w:id="96"/>
      <w:bookmarkEnd w:id="97"/>
    </w:p>
    <w:p w14:paraId="67893821" w14:textId="77777777" w:rsidR="00BB7660" w:rsidRPr="00796ADB" w:rsidRDefault="00BB7660" w:rsidP="00BB7660">
      <w:pPr>
        <w:pStyle w:val="subsection"/>
      </w:pPr>
      <w:r w:rsidRPr="00796ADB">
        <w:tab/>
      </w:r>
      <w:r>
        <w:t>(1)</w:t>
      </w:r>
      <w:r w:rsidRPr="00796ADB">
        <w:tab/>
        <w:t>This rule applies if a data holder has received a product data request.</w:t>
      </w:r>
    </w:p>
    <w:p w14:paraId="163B42ED" w14:textId="77777777" w:rsidR="00BB7660" w:rsidRPr="00E1300D" w:rsidRDefault="00BB7660" w:rsidP="00BB7660">
      <w:pPr>
        <w:pStyle w:val="subsection"/>
      </w:pPr>
      <w:r w:rsidRPr="00E1300D">
        <w:tab/>
      </w:r>
      <w:r>
        <w:t>(2)</w:t>
      </w:r>
      <w:r w:rsidRPr="00E1300D">
        <w:tab/>
        <w:t>The data holder may disclose any requested voluntary product data to the requester.</w:t>
      </w:r>
    </w:p>
    <w:p w14:paraId="7A833804" w14:textId="77777777" w:rsidR="00BB7660" w:rsidRPr="00A00F6F" w:rsidRDefault="00BB7660" w:rsidP="00BB7660">
      <w:pPr>
        <w:pStyle w:val="notetext"/>
      </w:pPr>
      <w:r w:rsidRPr="00A00F6F">
        <w:t>Note:</w:t>
      </w:r>
      <w:r w:rsidRPr="00A00F6F">
        <w:tab/>
        <w:t>See rule 1.7 for the meaning of “voluntary product data”.  See also:</w:t>
      </w:r>
    </w:p>
    <w:p w14:paraId="1708DAF4"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3.1 of Schedule 3;</w:t>
      </w:r>
    </w:p>
    <w:p w14:paraId="49C492E3"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3.1 of Schedule 4.</w:t>
      </w:r>
    </w:p>
    <w:p w14:paraId="1543FCE9" w14:textId="77777777" w:rsidR="00BB7660" w:rsidRPr="00D3706C" w:rsidRDefault="00BB7660" w:rsidP="00BB7660">
      <w:pPr>
        <w:pStyle w:val="subsection"/>
      </w:pPr>
      <w:r w:rsidRPr="00D3706C">
        <w:tab/>
        <w:t>(2A)</w:t>
      </w:r>
      <w:r w:rsidRPr="00D3706C">
        <w:tab/>
        <w:t>If the data holder discloses any requested voluntary product data to the requester, it must do so:</w:t>
      </w:r>
    </w:p>
    <w:p w14:paraId="6C4A4671" w14:textId="77777777" w:rsidR="00BB7660" w:rsidRPr="00D3706C" w:rsidRDefault="00BB7660" w:rsidP="00BB7660">
      <w:pPr>
        <w:pStyle w:val="paragraph"/>
      </w:pPr>
      <w:r w:rsidRPr="00D3706C">
        <w:tab/>
        <w:t>(a)</w:t>
      </w:r>
      <w:r w:rsidRPr="00D3706C">
        <w:tab/>
        <w:t>through its product data request service; and</w:t>
      </w:r>
    </w:p>
    <w:p w14:paraId="787D480C" w14:textId="77777777" w:rsidR="00BB7660" w:rsidRPr="00D3706C" w:rsidRDefault="00BB7660" w:rsidP="00BB7660">
      <w:pPr>
        <w:pStyle w:val="paragraph"/>
      </w:pPr>
      <w:r w:rsidRPr="00D3706C">
        <w:tab/>
        <w:t>(b)</w:t>
      </w:r>
      <w:r w:rsidRPr="00D3706C">
        <w:tab/>
        <w:t>in accordance with the data standards.</w:t>
      </w:r>
    </w:p>
    <w:p w14:paraId="7941DCE2" w14:textId="77777777" w:rsidR="00BB7660" w:rsidRPr="00D3706C" w:rsidRDefault="00BB7660" w:rsidP="00BB7660">
      <w:pPr>
        <w:pStyle w:val="notetext"/>
      </w:pPr>
      <w:r w:rsidRPr="00D3706C">
        <w:t>Note:</w:t>
      </w:r>
      <w:r w:rsidRPr="00D3706C">
        <w:tab/>
        <w:t>This subrule is a civil penalty provision (see rule 9.8).</w:t>
      </w:r>
    </w:p>
    <w:p w14:paraId="6EC3B2EC" w14:textId="77777777" w:rsidR="00BB7660" w:rsidRPr="0029723C" w:rsidRDefault="00BB7660" w:rsidP="00BB7660">
      <w:pPr>
        <w:pStyle w:val="subsection"/>
      </w:pPr>
      <w:r w:rsidRPr="00E1300D">
        <w:tab/>
      </w:r>
      <w:r>
        <w:t>(3)</w:t>
      </w:r>
      <w:r w:rsidRPr="00E1300D">
        <w:tab/>
        <w:t>The data holder must, subject to</w:t>
      </w:r>
      <w:r>
        <w:t xml:space="preserve"> subrule (4) and</w:t>
      </w:r>
      <w:r w:rsidRPr="00E1300D">
        <w:t xml:space="preserve"> rule </w:t>
      </w:r>
      <w:r>
        <w:t>2.5</w:t>
      </w:r>
      <w:r w:rsidRPr="0029723C">
        <w:t>:</w:t>
      </w:r>
    </w:p>
    <w:p w14:paraId="64B40C6E" w14:textId="77777777" w:rsidR="00BB7660" w:rsidRPr="0029723C" w:rsidRDefault="00BB7660" w:rsidP="00BB7660">
      <w:pPr>
        <w:pStyle w:val="paragraph"/>
      </w:pPr>
      <w:r w:rsidRPr="0029723C">
        <w:tab/>
      </w:r>
      <w:r>
        <w:t>(a)</w:t>
      </w:r>
      <w:r w:rsidRPr="0029723C">
        <w:tab/>
        <w:t>disclose the requested required product data to the requester:</w:t>
      </w:r>
    </w:p>
    <w:p w14:paraId="6A4DCC2C" w14:textId="77777777" w:rsidR="00BB7660" w:rsidRPr="0029723C" w:rsidRDefault="00BB7660" w:rsidP="00BB7660">
      <w:pPr>
        <w:pStyle w:val="paragraphsub"/>
      </w:pPr>
      <w:r w:rsidRPr="0029723C">
        <w:tab/>
      </w:r>
      <w:r>
        <w:t>(i)</w:t>
      </w:r>
      <w:r w:rsidRPr="0029723C">
        <w:tab/>
        <w:t>through its product data request service; and</w:t>
      </w:r>
    </w:p>
    <w:p w14:paraId="459EA99F" w14:textId="77777777" w:rsidR="00BB7660" w:rsidRPr="0029723C" w:rsidRDefault="00BB7660" w:rsidP="00BB7660">
      <w:pPr>
        <w:pStyle w:val="paragraphsub"/>
      </w:pPr>
      <w:r w:rsidRPr="0029723C">
        <w:tab/>
      </w:r>
      <w:r>
        <w:t>(ii)</w:t>
      </w:r>
      <w:r w:rsidRPr="0029723C">
        <w:tab/>
        <w:t>in accordance with the data standards; and</w:t>
      </w:r>
    </w:p>
    <w:p w14:paraId="72DE1957" w14:textId="77777777" w:rsidR="00BB7660" w:rsidRPr="0029723C" w:rsidRDefault="00BB7660" w:rsidP="00BB7660">
      <w:pPr>
        <w:pStyle w:val="paragraph"/>
      </w:pPr>
      <w:r w:rsidRPr="0029723C">
        <w:tab/>
      </w:r>
      <w:r>
        <w:t>(b)</w:t>
      </w:r>
      <w:r w:rsidRPr="0029723C">
        <w:tab/>
        <w:t>include in the disclosed data any requ</w:t>
      </w:r>
      <w:r>
        <w:t>i</w:t>
      </w:r>
      <w:r w:rsidRPr="0029723C">
        <w:t>red product data that is:</w:t>
      </w:r>
    </w:p>
    <w:p w14:paraId="4D7F23FA" w14:textId="77777777" w:rsidR="00BB7660" w:rsidRPr="0029723C" w:rsidRDefault="00BB7660" w:rsidP="00BB7660">
      <w:pPr>
        <w:pStyle w:val="paragraphsub"/>
      </w:pPr>
      <w:r w:rsidRPr="0029723C">
        <w:tab/>
      </w:r>
      <w:r>
        <w:t>(i)</w:t>
      </w:r>
      <w:r w:rsidRPr="0029723C">
        <w:tab/>
        <w:t>the subject of the product data request; and</w:t>
      </w:r>
    </w:p>
    <w:p w14:paraId="219413F3" w14:textId="77777777" w:rsidR="00BB7660" w:rsidRPr="0029723C" w:rsidRDefault="00BB7660" w:rsidP="00BB7660">
      <w:pPr>
        <w:pStyle w:val="paragraphsub"/>
      </w:pPr>
      <w:r w:rsidRPr="0029723C">
        <w:tab/>
      </w:r>
      <w:r>
        <w:t>(ii)</w:t>
      </w:r>
      <w:r w:rsidRPr="0029723C">
        <w:tab/>
        <w:t>contained:</w:t>
      </w:r>
    </w:p>
    <w:p w14:paraId="48CE1ADB" w14:textId="77777777" w:rsidR="00BB7660" w:rsidRPr="0029723C" w:rsidRDefault="00BB7660" w:rsidP="00BB7660">
      <w:pPr>
        <w:pStyle w:val="paragraphsub-sub"/>
      </w:pPr>
      <w:r w:rsidRPr="0029723C">
        <w:tab/>
      </w:r>
      <w:r>
        <w:t>(A)</w:t>
      </w:r>
      <w:r w:rsidRPr="0029723C">
        <w:tab/>
        <w:t>on the data holder’s website; or</w:t>
      </w:r>
    </w:p>
    <w:p w14:paraId="25E92BA3" w14:textId="77777777" w:rsidR="00BB7660" w:rsidRPr="00773999" w:rsidRDefault="00BB7660" w:rsidP="00BB7660">
      <w:pPr>
        <w:pStyle w:val="paragraphsub-sub"/>
        <w:rPr>
          <w:color w:val="000000" w:themeColor="text1"/>
        </w:rPr>
      </w:pPr>
      <w:r w:rsidRPr="0029723C">
        <w:tab/>
      </w:r>
      <w:r>
        <w:t>(B)</w:t>
      </w:r>
      <w:r w:rsidRPr="0029723C">
        <w:tab/>
        <w:t xml:space="preserve">in a </w:t>
      </w:r>
      <w:r>
        <w:t>disclosure document</w:t>
      </w:r>
      <w:r w:rsidRPr="0029723C">
        <w:t xml:space="preserve"> that relates to the product</w:t>
      </w:r>
      <w:r>
        <w:t>.</w:t>
      </w:r>
    </w:p>
    <w:p w14:paraId="7D3BCB27" w14:textId="77777777" w:rsidR="00BB7660" w:rsidRPr="00A00F6F" w:rsidRDefault="00BB7660" w:rsidP="00BB7660">
      <w:pPr>
        <w:pStyle w:val="notetext"/>
      </w:pPr>
      <w:r w:rsidRPr="00A00F6F">
        <w:t>Note 1:</w:t>
      </w:r>
      <w:r w:rsidRPr="00A00F6F">
        <w:tab/>
        <w:t>See rule 1.7 for the meaning of “required product data”.  See also:</w:t>
      </w:r>
    </w:p>
    <w:p w14:paraId="79ED872F"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3.1 of Schedule 3;</w:t>
      </w:r>
    </w:p>
    <w:p w14:paraId="28680532"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3.1 of Schedule 4.</w:t>
      </w:r>
    </w:p>
    <w:p w14:paraId="399C1107" w14:textId="77777777" w:rsidR="00BB7660" w:rsidRDefault="00BB7660" w:rsidP="00BB7660">
      <w:pPr>
        <w:pStyle w:val="notetext"/>
      </w:pPr>
      <w:r w:rsidRPr="00E1300D">
        <w:t>Note 2:</w:t>
      </w:r>
      <w:r w:rsidRPr="00E1300D">
        <w:tab/>
        <w:t>This subrule is a civil penalty provision (see rule </w:t>
      </w:r>
      <w:r>
        <w:t>9.8</w:t>
      </w:r>
      <w:r w:rsidRPr="00E1300D">
        <w:t>).</w:t>
      </w:r>
    </w:p>
    <w:p w14:paraId="3346066C" w14:textId="77777777" w:rsidR="00BB7660" w:rsidRDefault="00BB7660" w:rsidP="00BB7660">
      <w:pPr>
        <w:pStyle w:val="notetext"/>
        <w:rPr>
          <w:color w:val="000000" w:themeColor="text1"/>
        </w:rPr>
      </w:pPr>
      <w:r w:rsidRPr="0029723C">
        <w:t>Note 3:</w:t>
      </w:r>
      <w:r w:rsidRPr="0029723C">
        <w:tab/>
        <w:t xml:space="preserve">A fee cannot be charged for the disclosure of required product </w:t>
      </w:r>
      <w:r w:rsidRPr="00464C22">
        <w:rPr>
          <w:color w:val="000000" w:themeColor="text1"/>
        </w:rPr>
        <w:t>data: see section 56BU of the Act.</w:t>
      </w:r>
    </w:p>
    <w:p w14:paraId="20711EA6" w14:textId="77777777" w:rsidR="00BB7660" w:rsidRPr="00D3706C" w:rsidRDefault="00BB7660" w:rsidP="00BB7660">
      <w:pPr>
        <w:pStyle w:val="subsection"/>
      </w:pPr>
      <w:r w:rsidRPr="00D3706C">
        <w:lastRenderedPageBreak/>
        <w:tab/>
        <w:t>(4)</w:t>
      </w:r>
      <w:r w:rsidRPr="00D3706C">
        <w:tab/>
        <w:t>If:</w:t>
      </w:r>
    </w:p>
    <w:p w14:paraId="2EB18FBC" w14:textId="77777777" w:rsidR="00BB7660" w:rsidRPr="00D3706C" w:rsidRDefault="00BB7660" w:rsidP="00BB7660">
      <w:pPr>
        <w:pStyle w:val="paragraph"/>
      </w:pPr>
      <w:r w:rsidRPr="00D3706C">
        <w:tab/>
        <w:t>(a)</w:t>
      </w:r>
      <w:r w:rsidRPr="00D3706C">
        <w:tab/>
        <w:t xml:space="preserve">a data holder (the </w:t>
      </w:r>
      <w:r w:rsidRPr="00D3706C">
        <w:rPr>
          <w:b/>
          <w:i/>
        </w:rPr>
        <w:t>first data holder</w:t>
      </w:r>
      <w:r w:rsidRPr="00D3706C">
        <w:t xml:space="preserve">) receives a request for CDR data that relates to a product (the </w:t>
      </w:r>
      <w:r w:rsidRPr="00D3706C">
        <w:rPr>
          <w:b/>
          <w:i/>
        </w:rPr>
        <w:t>relevant product</w:t>
      </w:r>
      <w:r w:rsidRPr="00D3706C">
        <w:t>); and</w:t>
      </w:r>
    </w:p>
    <w:p w14:paraId="6CE3F96F" w14:textId="77777777" w:rsidR="00BB7660" w:rsidRPr="00D3706C" w:rsidRDefault="00BB7660" w:rsidP="00BB7660">
      <w:pPr>
        <w:pStyle w:val="paragraph"/>
      </w:pPr>
      <w:r w:rsidRPr="00D3706C">
        <w:tab/>
        <w:t>(b)</w:t>
      </w:r>
      <w:r w:rsidRPr="00D3706C">
        <w:tab/>
        <w:t xml:space="preserve">the first data holder offers the relevant product on behalf of another data holder (the </w:t>
      </w:r>
      <w:r w:rsidRPr="00D3706C">
        <w:rPr>
          <w:b/>
          <w:i/>
        </w:rPr>
        <w:t>second data holder</w:t>
      </w:r>
      <w:r w:rsidRPr="00D3706C">
        <w:t>), such that the second data holder is the data holder that enters into contracts with consumers to provide the relevant product;</w:t>
      </w:r>
    </w:p>
    <w:p w14:paraId="00E504E0" w14:textId="77777777" w:rsidR="00BB7660" w:rsidRDefault="00BB7660" w:rsidP="00BB7660">
      <w:pPr>
        <w:pStyle w:val="subsection"/>
        <w:spacing w:before="40"/>
      </w:pPr>
      <w:r w:rsidRPr="00D3706C">
        <w:tab/>
      </w:r>
      <w:r w:rsidRPr="00D3706C">
        <w:tab/>
        <w:t>the first data holder is not required to disclose the requested required product data under subrule (3).</w:t>
      </w:r>
    </w:p>
    <w:p w14:paraId="6CF8A810" w14:textId="77777777" w:rsidR="00BB7660" w:rsidRPr="00D3706C" w:rsidRDefault="00BB7660" w:rsidP="00BB7660">
      <w:pPr>
        <w:pStyle w:val="subsection"/>
      </w:pPr>
      <w:r w:rsidRPr="00D3706C">
        <w:tab/>
        <w:t>(5)</w:t>
      </w:r>
      <w:r w:rsidRPr="00D3706C">
        <w:tab/>
        <w:t>If:</w:t>
      </w:r>
    </w:p>
    <w:p w14:paraId="1A5471D7" w14:textId="77777777" w:rsidR="00BB7660" w:rsidRPr="00D3706C" w:rsidRDefault="00BB7660" w:rsidP="00BB7660">
      <w:pPr>
        <w:pStyle w:val="paragraph"/>
      </w:pPr>
      <w:r w:rsidRPr="00D3706C">
        <w:tab/>
        <w:t>(a)</w:t>
      </w:r>
      <w:r w:rsidRPr="00D3706C">
        <w:tab/>
        <w:t>the second data holder receives such a request; and</w:t>
      </w:r>
    </w:p>
    <w:p w14:paraId="34A00612" w14:textId="77777777" w:rsidR="00BB7660" w:rsidRPr="00D3706C" w:rsidRDefault="00BB7660" w:rsidP="00BB7660">
      <w:pPr>
        <w:pStyle w:val="paragraph"/>
      </w:pPr>
      <w:r w:rsidRPr="00D3706C">
        <w:tab/>
        <w:t>(b)</w:t>
      </w:r>
      <w:r w:rsidRPr="00D3706C">
        <w:tab/>
        <w:t>the data holders have agreed in writing that, in such a case, the first data holder will disclose the requested required product data;</w:t>
      </w:r>
    </w:p>
    <w:p w14:paraId="7A15A685" w14:textId="77777777" w:rsidR="00BB7660" w:rsidRPr="00D3706C" w:rsidRDefault="00BB7660" w:rsidP="00BB7660">
      <w:pPr>
        <w:pStyle w:val="subsection"/>
        <w:spacing w:before="40"/>
      </w:pPr>
      <w:r w:rsidRPr="00D3706C">
        <w:tab/>
      </w:r>
      <w:r w:rsidRPr="00D3706C">
        <w:tab/>
        <w:t>then:</w:t>
      </w:r>
    </w:p>
    <w:p w14:paraId="2BA22F2F" w14:textId="77777777" w:rsidR="00BB7660" w:rsidRPr="00D3706C" w:rsidRDefault="00BB7660" w:rsidP="00BB7660">
      <w:pPr>
        <w:pStyle w:val="paragraph"/>
      </w:pPr>
      <w:r w:rsidRPr="00D3706C">
        <w:tab/>
        <w:t>(c)</w:t>
      </w:r>
      <w:r w:rsidRPr="00D3706C">
        <w:tab/>
        <w:t>subrule (3) applies as if:</w:t>
      </w:r>
    </w:p>
    <w:p w14:paraId="07F8E316" w14:textId="77777777" w:rsidR="00BB7660" w:rsidRPr="00D3706C" w:rsidRDefault="00BB7660" w:rsidP="00BB7660">
      <w:pPr>
        <w:pStyle w:val="paragraphsub"/>
      </w:pPr>
      <w:r w:rsidRPr="00D3706C">
        <w:tab/>
        <w:t>(i)</w:t>
      </w:r>
      <w:r w:rsidRPr="00D3706C">
        <w:tab/>
        <w:t>it permitted the CDR data to be disclosed through the first data holder’s product data request service; and</w:t>
      </w:r>
    </w:p>
    <w:p w14:paraId="722C81A1" w14:textId="77777777" w:rsidR="00BB7660" w:rsidRPr="00D3706C" w:rsidRDefault="00BB7660" w:rsidP="00BB7660">
      <w:pPr>
        <w:pStyle w:val="paragraphsub"/>
      </w:pPr>
      <w:r w:rsidRPr="00D3706C">
        <w:tab/>
        <w:t>(ii)</w:t>
      </w:r>
      <w:r w:rsidRPr="00D3706C">
        <w:tab/>
        <w:t>in the case that the first data holder disclosed CDR data in response to the request―the reference to the data holder’s website in sub</w:t>
      </w:r>
      <w:r w:rsidRPr="00D3706C">
        <w:noBreakHyphen/>
        <w:t>subparagraph (3)(b)(ii)(A) was to the first data holder’s website; and</w:t>
      </w:r>
    </w:p>
    <w:p w14:paraId="3075F7FF" w14:textId="77777777" w:rsidR="00BB7660" w:rsidRDefault="00BB7660" w:rsidP="00BB7660">
      <w:pPr>
        <w:pStyle w:val="paragraph"/>
        <w:tabs>
          <w:tab w:val="left" w:pos="2160"/>
          <w:tab w:val="left" w:pos="2880"/>
          <w:tab w:val="center" w:pos="4156"/>
        </w:tabs>
      </w:pPr>
      <w:r w:rsidRPr="00D3706C">
        <w:tab/>
        <w:t>(d)</w:t>
      </w:r>
      <w:r w:rsidRPr="00D3706C">
        <w:tab/>
        <w:t>rule 2.6 applies as if it applied in relation to each of the first data holder and the second data holder.</w:t>
      </w:r>
    </w:p>
    <w:p w14:paraId="38B7CAE1" w14:textId="77777777" w:rsidR="00BB7660" w:rsidRPr="00D3706C" w:rsidRDefault="00BB7660" w:rsidP="00BB7660">
      <w:pPr>
        <w:pStyle w:val="subsection"/>
      </w:pPr>
      <w:r w:rsidRPr="00D3706C">
        <w:tab/>
        <w:t>(6)</w:t>
      </w:r>
      <w:r w:rsidRPr="00D3706C">
        <w:tab/>
        <w:t xml:space="preserve">In this rule, </w:t>
      </w:r>
      <w:r w:rsidRPr="00D3706C">
        <w:rPr>
          <w:b/>
          <w:i/>
        </w:rPr>
        <w:t xml:space="preserve">disclosure document </w:t>
      </w:r>
      <w:r w:rsidRPr="00D3706C">
        <w:t>includes:</w:t>
      </w:r>
    </w:p>
    <w:p w14:paraId="7DEEDA06" w14:textId="77777777" w:rsidR="00BB7660" w:rsidRPr="00D3706C" w:rsidRDefault="00BB7660" w:rsidP="00BB7660">
      <w:pPr>
        <w:pStyle w:val="paragraph"/>
      </w:pPr>
      <w:r w:rsidRPr="00D3706C">
        <w:tab/>
        <w:t>(a)</w:t>
      </w:r>
      <w:r w:rsidRPr="00D3706C">
        <w:tab/>
        <w:t xml:space="preserve">a Product Disclosure Statement within the meaning of the </w:t>
      </w:r>
      <w:r w:rsidRPr="00D3706C">
        <w:rPr>
          <w:i/>
        </w:rPr>
        <w:t>Corporations Act 2001</w:t>
      </w:r>
      <w:r w:rsidRPr="00D3706C">
        <w:t>; or</w:t>
      </w:r>
    </w:p>
    <w:p w14:paraId="4F2F1289" w14:textId="77777777" w:rsidR="00BB7660" w:rsidRPr="00D3706C" w:rsidRDefault="00BB7660" w:rsidP="00BB7660">
      <w:pPr>
        <w:pStyle w:val="paragraph"/>
      </w:pPr>
      <w:r w:rsidRPr="00D3706C">
        <w:tab/>
        <w:t>(b)</w:t>
      </w:r>
      <w:r w:rsidRPr="00D3706C">
        <w:tab/>
        <w:t xml:space="preserve">a key facts sheet within the meaning of the </w:t>
      </w:r>
      <w:r w:rsidRPr="00D3706C">
        <w:rPr>
          <w:i/>
        </w:rPr>
        <w:t>National Consumer Credit Protection Act 2009</w:t>
      </w:r>
      <w:r w:rsidRPr="00D3706C">
        <w:t xml:space="preserve">; or </w:t>
      </w:r>
    </w:p>
    <w:p w14:paraId="5BE7036F" w14:textId="77777777" w:rsidR="00BB7660" w:rsidRPr="00D067D3" w:rsidRDefault="00BB7660" w:rsidP="00BB7660">
      <w:pPr>
        <w:pStyle w:val="paragraph"/>
      </w:pPr>
      <w:r w:rsidRPr="00D3706C">
        <w:tab/>
        <w:t xml:space="preserve">(c) </w:t>
      </w:r>
      <w:r w:rsidRPr="00D3706C">
        <w:tab/>
        <w:t>a similar document that is required by law to be disclosed to a customer prior to entering into a contract with that customer.</w:t>
      </w:r>
    </w:p>
    <w:p w14:paraId="487BA838" w14:textId="77777777" w:rsidR="00BB7660" w:rsidRPr="00BB5F96" w:rsidRDefault="00BB7660" w:rsidP="00BB7660">
      <w:pPr>
        <w:pStyle w:val="ActHead5"/>
      </w:pPr>
      <w:bookmarkStart w:id="98" w:name="_Toc11771583"/>
      <w:bookmarkStart w:id="99" w:name="_Toc111132012"/>
      <w:r>
        <w:t xml:space="preserve">2.5  Refusal to disclose </w:t>
      </w:r>
      <w:r w:rsidRPr="00BB5F96">
        <w:t>required product data in response to product data request</w:t>
      </w:r>
      <w:bookmarkEnd w:id="98"/>
      <w:bookmarkEnd w:id="99"/>
    </w:p>
    <w:p w14:paraId="4AF13F97" w14:textId="77777777" w:rsidR="00BB7660" w:rsidRPr="00E1300D" w:rsidRDefault="00BB7660" w:rsidP="00BB7660">
      <w:pPr>
        <w:pStyle w:val="subsection"/>
      </w:pPr>
      <w:r w:rsidRPr="00E1300D">
        <w:tab/>
      </w:r>
      <w:r>
        <w:t>(1)</w:t>
      </w:r>
      <w:r w:rsidRPr="00E1300D">
        <w:tab/>
        <w:t xml:space="preserve">Despite </w:t>
      </w:r>
      <w:r w:rsidRPr="0029723C">
        <w:t>subrule </w:t>
      </w:r>
      <w:r>
        <w:t>2.4(3)</w:t>
      </w:r>
      <w:r w:rsidRPr="00E1300D">
        <w:t>, the data holder may refuse to disclose required product data in response to the request in circumstances (if any) set out in the data standards.</w:t>
      </w:r>
    </w:p>
    <w:p w14:paraId="24215621" w14:textId="77777777" w:rsidR="00BB7660" w:rsidRPr="00E1300D" w:rsidRDefault="00BB7660" w:rsidP="00BB7660">
      <w:pPr>
        <w:pStyle w:val="subsection"/>
      </w:pPr>
      <w:r w:rsidRPr="00E1300D">
        <w:tab/>
      </w:r>
      <w:r>
        <w:t>(2)</w:t>
      </w:r>
      <w:r w:rsidRPr="00E1300D">
        <w:tab/>
        <w:t>The data holder must inform the requester of such a refusal in accordance with the data standards.</w:t>
      </w:r>
    </w:p>
    <w:p w14:paraId="2DF1F466" w14:textId="77777777" w:rsidR="00BB7660" w:rsidRPr="005F3D40" w:rsidRDefault="00BB7660" w:rsidP="00BB7660">
      <w:pPr>
        <w:pStyle w:val="subsection"/>
      </w:pPr>
      <w:r>
        <w:tab/>
      </w:r>
      <w:r>
        <w:tab/>
      </w:r>
      <w:r w:rsidRPr="005F3D40">
        <w:t>Civil penalty:</w:t>
      </w:r>
    </w:p>
    <w:p w14:paraId="3639C0AD"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60A17B98" w14:textId="77777777" w:rsidR="00BB7660" w:rsidRDefault="00BB7660" w:rsidP="00BB7660">
      <w:pPr>
        <w:pStyle w:val="paragraph"/>
      </w:pPr>
      <w:r w:rsidRPr="005F3D40">
        <w:rPr>
          <w:color w:val="000000" w:themeColor="text1"/>
        </w:rPr>
        <w:tab/>
        <w:t>(b)</w:t>
      </w:r>
      <w:r w:rsidRPr="005F3D40">
        <w:rPr>
          <w:color w:val="000000" w:themeColor="text1"/>
        </w:rPr>
        <w:tab/>
        <w:t>for a body corporate―$250,000.</w:t>
      </w:r>
    </w:p>
    <w:p w14:paraId="2E0F72C0" w14:textId="77777777" w:rsidR="00BB7660" w:rsidRPr="00FE1DF8" w:rsidRDefault="00BB7660" w:rsidP="00BB7660">
      <w:pPr>
        <w:pStyle w:val="ActHead5"/>
      </w:pPr>
      <w:bookmarkStart w:id="100" w:name="_Toc11771584"/>
      <w:bookmarkStart w:id="101" w:name="_Toc111132013"/>
      <w:r>
        <w:lastRenderedPageBreak/>
        <w:t>2.6</w:t>
      </w:r>
      <w:r w:rsidRPr="00FE1DF8">
        <w:t xml:space="preserve">  Use of data disclosed pursuant to product data request</w:t>
      </w:r>
      <w:bookmarkEnd w:id="100"/>
      <w:bookmarkEnd w:id="101"/>
    </w:p>
    <w:p w14:paraId="21B2053F" w14:textId="77777777" w:rsidR="00BB7660" w:rsidRPr="00FE1DF8" w:rsidRDefault="00BB7660" w:rsidP="00BB7660">
      <w:pPr>
        <w:pStyle w:val="subsection"/>
      </w:pPr>
      <w:r w:rsidRPr="00FE1DF8">
        <w:tab/>
      </w:r>
      <w:r w:rsidRPr="00FE1DF8">
        <w:tab/>
        <w:t>A data holder that discloses CDR data in response to a product data request must not impose conditions, restrictions or limitations of any kind on the use of the disclosed data.</w:t>
      </w:r>
    </w:p>
    <w:p w14:paraId="457FFF07" w14:textId="77777777" w:rsidR="00BB7660" w:rsidRPr="00FE1DF8" w:rsidRDefault="00BB7660" w:rsidP="00BB7660">
      <w:pPr>
        <w:pStyle w:val="notetext"/>
      </w:pPr>
      <w:r w:rsidRPr="00FE1DF8">
        <w:t>Note:</w:t>
      </w:r>
      <w:r w:rsidRPr="00FE1DF8">
        <w:tab/>
        <w:t>This rule is a civil penalty provision (see rule </w:t>
      </w:r>
      <w:r>
        <w:t>9.8</w:t>
      </w:r>
      <w:r w:rsidRPr="00FE1DF8">
        <w:t>).</w:t>
      </w:r>
    </w:p>
    <w:p w14:paraId="5A6791C6" w14:textId="77777777" w:rsidR="00BB7660" w:rsidRPr="00BB5F96" w:rsidRDefault="00BB7660" w:rsidP="00BB7660">
      <w:pPr>
        <w:pStyle w:val="ActHead2"/>
        <w:pageBreakBefore/>
      </w:pPr>
      <w:bookmarkStart w:id="102" w:name="_Toc11771585"/>
      <w:bookmarkStart w:id="103" w:name="_Toc111132014"/>
      <w:r>
        <w:lastRenderedPageBreak/>
        <w:t xml:space="preserve">Part 3—Consumer data </w:t>
      </w:r>
      <w:r w:rsidRPr="00641354">
        <w:rPr>
          <w:color w:val="000000"/>
        </w:rPr>
        <w:t>requests</w:t>
      </w:r>
      <w:r>
        <w:rPr>
          <w:color w:val="000000"/>
        </w:rPr>
        <w:t xml:space="preserve"> made by </w:t>
      </w:r>
      <w:r w:rsidRPr="00BB5F96">
        <w:t>eligible CDR consumers</w:t>
      </w:r>
      <w:bookmarkEnd w:id="102"/>
      <w:bookmarkEnd w:id="103"/>
    </w:p>
    <w:p w14:paraId="525037CA" w14:textId="77777777" w:rsidR="00BB7660" w:rsidRPr="00BB5F96" w:rsidRDefault="00BB7660" w:rsidP="00BB7660">
      <w:pPr>
        <w:pStyle w:val="ActHead3"/>
      </w:pPr>
      <w:bookmarkStart w:id="104" w:name="_Toc11771586"/>
      <w:bookmarkStart w:id="105" w:name="_Toc111132015"/>
      <w:r>
        <w:t>Division 3.1</w:t>
      </w:r>
      <w:r w:rsidRPr="00BB5F96">
        <w:t>—Preliminary</w:t>
      </w:r>
      <w:bookmarkEnd w:id="104"/>
      <w:bookmarkEnd w:id="105"/>
    </w:p>
    <w:p w14:paraId="6A791892" w14:textId="77777777" w:rsidR="00BB7660" w:rsidRPr="00BB5F96" w:rsidRDefault="00BB7660" w:rsidP="00BB7660">
      <w:pPr>
        <w:pStyle w:val="ActHead5"/>
      </w:pPr>
      <w:bookmarkStart w:id="106" w:name="_Toc11771587"/>
      <w:bookmarkStart w:id="107" w:name="_Toc111132016"/>
      <w:r>
        <w:t>3.1</w:t>
      </w:r>
      <w:r w:rsidRPr="00BB5F96">
        <w:t xml:space="preserve">  Simplified outline of this Part</w:t>
      </w:r>
      <w:bookmarkEnd w:id="106"/>
      <w:bookmarkEnd w:id="107"/>
    </w:p>
    <w:p w14:paraId="42B09139" w14:textId="77777777" w:rsidR="00BB7660" w:rsidRPr="00BB5F96" w:rsidRDefault="00BB7660" w:rsidP="00BB7660">
      <w:pPr>
        <w:pStyle w:val="SOText"/>
      </w:pPr>
      <w:r w:rsidRPr="00BB5F96">
        <w:t>This Part deals with consumer data requests that are made directly by eligible CDR consumers to data holders. Such requests are made using the data holder’s direct request service.</w:t>
      </w:r>
    </w:p>
    <w:p w14:paraId="0AC01F09" w14:textId="77777777" w:rsidR="00BB7660" w:rsidRPr="00BB5F96" w:rsidRDefault="00BB7660" w:rsidP="00BB7660">
      <w:pPr>
        <w:pStyle w:val="SOText"/>
      </w:pPr>
      <w:r w:rsidRPr="00BB5F96">
        <w:t xml:space="preserve">A request may be for the CDR consumer’s required consumer data, their voluntary consumer data, or both. </w:t>
      </w:r>
      <w:r>
        <w:t>Schedule 3</w:t>
      </w:r>
      <w:r w:rsidRPr="00BB5F96">
        <w:t xml:space="preserve"> to these rules:</w:t>
      </w:r>
    </w:p>
    <w:p w14:paraId="07736242" w14:textId="77777777" w:rsidR="00BB7660" w:rsidRPr="00BB5F96" w:rsidRDefault="00BB7660" w:rsidP="00BB7660">
      <w:pPr>
        <w:pStyle w:val="SOPara"/>
      </w:pPr>
      <w:r w:rsidRPr="00BB5F96">
        <w:tab/>
        <w:t>•</w:t>
      </w:r>
      <w:r w:rsidRPr="00BB5F96">
        <w:tab/>
        <w:t xml:space="preserve">provides for what is required </w:t>
      </w:r>
      <w:r w:rsidRPr="005F3D40">
        <w:rPr>
          <w:color w:val="000000" w:themeColor="text1"/>
        </w:rPr>
        <w:t>consumer</w:t>
      </w:r>
      <w:r w:rsidRPr="00BB5F96">
        <w:t xml:space="preserve"> data and voluntary consumer data for the banking sector; and</w:t>
      </w:r>
    </w:p>
    <w:p w14:paraId="708D241D" w14:textId="77777777" w:rsidR="00BB7660" w:rsidRPr="00BB5F96" w:rsidRDefault="00BB7660" w:rsidP="00BB7660">
      <w:pPr>
        <w:pStyle w:val="SOPara"/>
      </w:pPr>
      <w:r w:rsidRPr="00BB5F96">
        <w:tab/>
        <w:t>•</w:t>
      </w:r>
      <w:r w:rsidRPr="00BB5F96">
        <w:tab/>
        <w:t>sets out the circumstances in which CDR consumers are eligible to request their banking sector CDR data.</w:t>
      </w:r>
    </w:p>
    <w:p w14:paraId="71AF57D4" w14:textId="77777777" w:rsidR="00BB7660" w:rsidRPr="00BB5F96" w:rsidRDefault="00BB7660" w:rsidP="00BB7660">
      <w:pPr>
        <w:pStyle w:val="SOText"/>
      </w:pPr>
      <w:r w:rsidRPr="00BB5F96">
        <w:t xml:space="preserve">When </w:t>
      </w:r>
      <w:r w:rsidRPr="00E1300D">
        <w:rPr>
          <w:color w:val="000000" w:themeColor="text1"/>
        </w:rPr>
        <w:t xml:space="preserve">validly </w:t>
      </w:r>
      <w:r w:rsidRPr="00BB5F96">
        <w:t>requested in accordance with this Part, a data holder:</w:t>
      </w:r>
    </w:p>
    <w:p w14:paraId="6EC96469" w14:textId="77777777" w:rsidR="00BB7660" w:rsidRPr="00BB5F96" w:rsidRDefault="00BB7660" w:rsidP="00BB7660">
      <w:pPr>
        <w:pStyle w:val="SOPara"/>
      </w:pPr>
      <w:r w:rsidRPr="00BB5F96">
        <w:tab/>
        <w:t>•</w:t>
      </w:r>
      <w:r w:rsidRPr="00BB5F96">
        <w:tab/>
        <w:t>must, subject to an exception outlined in this Part, disclose required consumer data; and</w:t>
      </w:r>
    </w:p>
    <w:p w14:paraId="3F1E0ED9" w14:textId="77777777" w:rsidR="00BB7660" w:rsidRPr="00BB5F96" w:rsidRDefault="00BB7660" w:rsidP="00BB7660">
      <w:pPr>
        <w:pStyle w:val="SOPara"/>
      </w:pPr>
      <w:r w:rsidRPr="00BB5F96">
        <w:tab/>
        <w:t>•</w:t>
      </w:r>
      <w:r w:rsidRPr="00BB5F96">
        <w:tab/>
        <w:t>may, but is not required to, disclose voluntary consumer data.</w:t>
      </w:r>
    </w:p>
    <w:p w14:paraId="7F2C7AA9" w14:textId="77777777" w:rsidR="00BB7660" w:rsidRPr="00F27186" w:rsidRDefault="00BB7660" w:rsidP="00BB7660">
      <w:pPr>
        <w:pStyle w:val="SOText"/>
      </w:pPr>
      <w:r w:rsidRPr="00F27186">
        <w:t>In either case, the data is disclosed to the CDR consumer who made the request, in human</w:t>
      </w:r>
      <w:r w:rsidRPr="00F27186">
        <w:noBreakHyphen/>
        <w:t>readable form</w:t>
      </w:r>
      <w:r>
        <w:t xml:space="preserve"> and in accordance with the data standards</w:t>
      </w:r>
      <w:r w:rsidRPr="00F27186">
        <w:t>.</w:t>
      </w:r>
    </w:p>
    <w:p w14:paraId="686AB1CF" w14:textId="77777777" w:rsidR="00BB7660" w:rsidRPr="00A00F6F" w:rsidRDefault="00BB7660" w:rsidP="00BB7660">
      <w:pPr>
        <w:pStyle w:val="SOText"/>
      </w:pPr>
      <w:r w:rsidRPr="00A00F6F">
        <w:t>Special rules apply to joint accounts with 2 or more individual joint account holders. These are set out in Part 4A.</w:t>
      </w:r>
    </w:p>
    <w:p w14:paraId="60343B52" w14:textId="77777777" w:rsidR="00BB7660" w:rsidRPr="00F27186" w:rsidRDefault="00BB7660" w:rsidP="00BB7660">
      <w:pPr>
        <w:pStyle w:val="SOText"/>
      </w:pPr>
      <w:r w:rsidRPr="00F27186">
        <w:t>A fee cannot be charged for the disclosure of required consumer data, but could be charged for the disclosure of voluntary consumer data.</w:t>
      </w:r>
    </w:p>
    <w:p w14:paraId="4ED4B2EC" w14:textId="77777777" w:rsidR="00BB7660" w:rsidRPr="00BB5F96" w:rsidRDefault="00BB7660" w:rsidP="00BB7660">
      <w:pPr>
        <w:pStyle w:val="ActHead5"/>
      </w:pPr>
      <w:bookmarkStart w:id="108" w:name="_Toc11771588"/>
      <w:bookmarkStart w:id="109" w:name="_Toc111132017"/>
      <w:r>
        <w:lastRenderedPageBreak/>
        <w:t xml:space="preserve">3.2  How </w:t>
      </w:r>
      <w:r w:rsidRPr="00BB5F96">
        <w:t>an eligible CDR consumer makes a consumer data request—flowchart</w:t>
      </w:r>
      <w:bookmarkEnd w:id="108"/>
      <w:bookmarkEnd w:id="109"/>
    </w:p>
    <w:p w14:paraId="50E0E46C" w14:textId="77777777" w:rsidR="00BB7660" w:rsidRDefault="00BB7660" w:rsidP="00BB7660">
      <w:pPr>
        <w:pStyle w:val="subsection"/>
        <w:keepNext/>
      </w:pPr>
      <w:r w:rsidRPr="00BB5F96">
        <w:tab/>
      </w:r>
      <w:r w:rsidRPr="00BB5F96">
        <w:tab/>
        <w:t xml:space="preserve">The following is a flowchart for how an eligible </w:t>
      </w:r>
      <w:r>
        <w:t>CDR consumer makes a consumer data request under this Part:</w:t>
      </w:r>
    </w:p>
    <w:p w14:paraId="5EA7D129" w14:textId="77777777" w:rsidR="00BB7660" w:rsidRDefault="00BB7660" w:rsidP="00BB7660">
      <w:pPr>
        <w:pStyle w:val="subsection"/>
      </w:pPr>
      <w:r>
        <w:rPr>
          <w:noProof/>
        </w:rPr>
        <mc:AlternateContent>
          <mc:Choice Requires="wpc">
            <w:drawing>
              <wp:inline distT="0" distB="0" distL="0" distR="0" wp14:anchorId="4A501B70" wp14:editId="7E398156">
                <wp:extent cx="5278755" cy="3084508"/>
                <wp:effectExtent l="0" t="0" r="0" b="0"/>
                <wp:docPr id="9" name="Canvas 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4" name="Rectangle 24"/>
                        <wps:cNvSpPr/>
                        <wps:spPr>
                          <a:xfrm>
                            <a:off x="1121435" y="208864"/>
                            <a:ext cx="3071868" cy="603250"/>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6E94BB" w14:textId="77777777" w:rsidR="00857D8F" w:rsidRPr="00BB5F96" w:rsidRDefault="00857D8F" w:rsidP="00BB7660">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121434" y="1136845"/>
                            <a:ext cx="3071868" cy="1762613"/>
                          </a:xfrm>
                          <a:prstGeom prst="rect">
                            <a:avLst/>
                          </a:prstGeom>
                          <a:solidFill>
                            <a:schemeClr val="bg1"/>
                          </a:solidFill>
                          <a:ln w="3175">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D2B68B" w14:textId="77777777" w:rsidR="00857D8F" w:rsidRPr="00BB5F96" w:rsidRDefault="00857D8F" w:rsidP="00BB7660">
                              <w:pPr>
                                <w:pStyle w:val="NormalWeb"/>
                                <w:spacing w:line="260" w:lineRule="exact"/>
                                <w:jc w:val="center"/>
                                <w:rPr>
                                  <w:rFonts w:eastAsia="Calibri"/>
                                  <w:color w:val="000000" w:themeColor="text1"/>
                                  <w:sz w:val="20"/>
                                </w:rPr>
                              </w:pPr>
                              <w:r w:rsidRPr="00BB5F96">
                                <w:rPr>
                                  <w:rFonts w:eastAsia="Calibri"/>
                                  <w:color w:val="000000" w:themeColor="text1"/>
                                  <w:sz w:val="20"/>
                                </w:rPr>
                                <w:t>For any required consumer data, the data holder must (unless covered by an exception) disclose the requested data to the CDR consumer.</w:t>
                              </w:r>
                            </w:p>
                            <w:p w14:paraId="60B1C630" w14:textId="77777777" w:rsidR="00857D8F" w:rsidRPr="00BB5F96" w:rsidRDefault="00857D8F" w:rsidP="00BB7660">
                              <w:pPr>
                                <w:pStyle w:val="NormalWeb"/>
                                <w:spacing w:line="260" w:lineRule="exact"/>
                                <w:jc w:val="center"/>
                                <w:rPr>
                                  <w:rFonts w:eastAsia="Calibri"/>
                                  <w:color w:val="000000" w:themeColor="text1"/>
                                  <w:sz w:val="20"/>
                                </w:rPr>
                              </w:pPr>
                            </w:p>
                            <w:p w14:paraId="1F0D1B85" w14:textId="77777777" w:rsidR="00857D8F" w:rsidRPr="00BB5F96" w:rsidRDefault="00857D8F" w:rsidP="00BB7660">
                              <w:pPr>
                                <w:pStyle w:val="NormalWeb"/>
                                <w:spacing w:line="260" w:lineRule="exact"/>
                                <w:jc w:val="center"/>
                                <w:rPr>
                                  <w:rFonts w:eastAsia="Calibri"/>
                                  <w:color w:val="000000" w:themeColor="text1"/>
                                  <w:sz w:val="20"/>
                                </w:rPr>
                              </w:pPr>
                              <w:r w:rsidRPr="00BB5F96">
                                <w:rPr>
                                  <w:rFonts w:eastAsia="Calibri"/>
                                  <w:color w:val="000000" w:themeColor="text1"/>
                                  <w:sz w:val="20"/>
                                </w:rPr>
                                <w:t>For any voluntary consumer data, the data holder may (but is not required to) disclose the requested data to the CDR consumer.</w:t>
                              </w:r>
                            </w:p>
                            <w:p w14:paraId="54E58F5D" w14:textId="77777777" w:rsidR="00857D8F" w:rsidRPr="00BB5F96" w:rsidRDefault="00857D8F" w:rsidP="00BB7660">
                              <w:pPr>
                                <w:pStyle w:val="NormalWeb"/>
                                <w:spacing w:line="260" w:lineRule="exact"/>
                                <w:jc w:val="center"/>
                                <w:rPr>
                                  <w:rFonts w:eastAsia="Calibri"/>
                                  <w:color w:val="000000" w:themeColor="text1"/>
                                  <w:sz w:val="20"/>
                                </w:rPr>
                              </w:pPr>
                            </w:p>
                            <w:p w14:paraId="05B9B8A8" w14:textId="77777777" w:rsidR="00857D8F" w:rsidRPr="009F2B01" w:rsidRDefault="00857D8F" w:rsidP="00BB7660">
                              <w:pPr>
                                <w:pStyle w:val="NormalWeb"/>
                                <w:spacing w:line="260" w:lineRule="exact"/>
                                <w:jc w:val="center"/>
                              </w:pPr>
                              <w:r w:rsidRPr="00BB5F96">
                                <w:rPr>
                                  <w:rFonts w:eastAsia="Calibri"/>
                                  <w:color w:val="000000" w:themeColor="text1"/>
                                  <w:sz w:val="20"/>
                                </w:rPr>
                                <w:t xml:space="preserve">In either case, the data is disclosed through the </w:t>
                              </w:r>
                              <w:r>
                                <w:rPr>
                                  <w:rFonts w:eastAsia="Calibri"/>
                                  <w:color w:val="000000"/>
                                  <w:sz w:val="20"/>
                                </w:rPr>
                                <w:t>data holder’s direct request service.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6" name="Down Arrow 26"/>
                        <wps:cNvSpPr/>
                        <wps:spPr>
                          <a:xfrm>
                            <a:off x="2410820" y="881401"/>
                            <a:ext cx="484505" cy="207010"/>
                          </a:xfrm>
                          <a:prstGeom prst="downArrow">
                            <a:avLst/>
                          </a:prstGeom>
                          <a:noFill/>
                          <a:ln w="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A501B70" id="Canvas 9" o:spid="_x0000_s1031" editas="canvas" style="width:415.65pt;height:242.85pt;mso-position-horizontal-relative:char;mso-position-vertical-relative:line" coordsize="52787,30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">
                <v:shape id="_x0000_s1032" type="#_x0000_t75" style="position:absolute;width:52787;height:30841;visibility:visible;mso-wrap-style:square">
                  <v:fill o:detectmouseclick="t"/>
                  <v:path o:connecttype="none"/>
                </v:shape>
                <v:rect id="Rectangle 24" o:spid="_x0000_s1033" style="position:absolute;left:11214;top:2088;width:30719;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mzwQAAANsAAAAPAAAAZHJzL2Rvd25yZXYueG1sRI9Ba8JA&#10;FITvhf6H5RV6qxullB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OGXGbPBAAAA2wAAAA8AAAAA&#10;AAAAAAAAAAAABwIAAGRycy9kb3ducmV2LnhtbFBLBQYAAAAAAwADALcAAAD1AgAAAAA=&#10;" fillcolor="white [3212]" strokeweight=".25pt">
                  <v:textbox>
                    <w:txbxContent>
                      <w:p w14:paraId="626E94BB" w14:textId="77777777" w:rsidR="00857D8F" w:rsidRPr="00BB5F96" w:rsidRDefault="00857D8F" w:rsidP="00BB7660">
                        <w:pPr>
                          <w:pStyle w:val="NormalWeb"/>
                          <w:spacing w:line="260" w:lineRule="exact"/>
                          <w:jc w:val="center"/>
                          <w:rPr>
                            <w:color w:val="000000" w:themeColor="text1"/>
                          </w:rPr>
                        </w:pPr>
                        <w:r>
                          <w:rPr>
                            <w:color w:val="000000"/>
                            <w:sz w:val="20"/>
                          </w:rPr>
                          <w:t xml:space="preserve">A </w:t>
                        </w:r>
                        <w:r w:rsidRPr="00BB5F96">
                          <w:rPr>
                            <w:color w:val="000000" w:themeColor="text1"/>
                            <w:sz w:val="20"/>
                          </w:rPr>
                          <w:t>CDR consumer who is eligible to do so makes a consumer data request to a data holder via the data holder’s direct request service</w:t>
                        </w:r>
                        <w:r>
                          <w:rPr>
                            <w:color w:val="000000" w:themeColor="text1"/>
                            <w:sz w:val="20"/>
                          </w:rPr>
                          <w:t>.</w:t>
                        </w:r>
                      </w:p>
                    </w:txbxContent>
                  </v:textbox>
                </v:rect>
                <v:rect id="Rectangle 25" o:spid="_x0000_s1034" style="position:absolute;left:11214;top:11368;width:30719;height:17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" fillcolor="white [3212]" strokeweight=".25pt">
                  <v:textbox>
                    <w:txbxContent>
                      <w:p w14:paraId="5AD2B68B" w14:textId="77777777" w:rsidR="00857D8F" w:rsidRPr="00BB5F96" w:rsidRDefault="00857D8F" w:rsidP="00BB7660">
                        <w:pPr>
                          <w:pStyle w:val="NormalWeb"/>
                          <w:spacing w:line="260" w:lineRule="exact"/>
                          <w:jc w:val="center"/>
                          <w:rPr>
                            <w:rFonts w:eastAsia="Calibri"/>
                            <w:color w:val="000000" w:themeColor="text1"/>
                            <w:sz w:val="20"/>
                          </w:rPr>
                        </w:pPr>
                        <w:r w:rsidRPr="00BB5F96">
                          <w:rPr>
                            <w:rFonts w:eastAsia="Calibri"/>
                            <w:color w:val="000000" w:themeColor="text1"/>
                            <w:sz w:val="20"/>
                          </w:rPr>
                          <w:t>For any required consumer data, the data holder must (unless covered by an exception) disclose the requested data to the CDR consumer.</w:t>
                        </w:r>
                      </w:p>
                      <w:p w14:paraId="60B1C630" w14:textId="77777777" w:rsidR="00857D8F" w:rsidRPr="00BB5F96" w:rsidRDefault="00857D8F" w:rsidP="00BB7660">
                        <w:pPr>
                          <w:pStyle w:val="NormalWeb"/>
                          <w:spacing w:line="260" w:lineRule="exact"/>
                          <w:jc w:val="center"/>
                          <w:rPr>
                            <w:rFonts w:eastAsia="Calibri"/>
                            <w:color w:val="000000" w:themeColor="text1"/>
                            <w:sz w:val="20"/>
                          </w:rPr>
                        </w:pPr>
                      </w:p>
                      <w:p w14:paraId="1F0D1B85" w14:textId="77777777" w:rsidR="00857D8F" w:rsidRPr="00BB5F96" w:rsidRDefault="00857D8F" w:rsidP="00BB7660">
                        <w:pPr>
                          <w:pStyle w:val="NormalWeb"/>
                          <w:spacing w:line="260" w:lineRule="exact"/>
                          <w:jc w:val="center"/>
                          <w:rPr>
                            <w:rFonts w:eastAsia="Calibri"/>
                            <w:color w:val="000000" w:themeColor="text1"/>
                            <w:sz w:val="20"/>
                          </w:rPr>
                        </w:pPr>
                        <w:r w:rsidRPr="00BB5F96">
                          <w:rPr>
                            <w:rFonts w:eastAsia="Calibri"/>
                            <w:color w:val="000000" w:themeColor="text1"/>
                            <w:sz w:val="20"/>
                          </w:rPr>
                          <w:t>For any voluntary consumer data, the data holder may (but is not required to) disclose the requested data to the CDR consumer.</w:t>
                        </w:r>
                      </w:p>
                      <w:p w14:paraId="54E58F5D" w14:textId="77777777" w:rsidR="00857D8F" w:rsidRPr="00BB5F96" w:rsidRDefault="00857D8F" w:rsidP="00BB7660">
                        <w:pPr>
                          <w:pStyle w:val="NormalWeb"/>
                          <w:spacing w:line="260" w:lineRule="exact"/>
                          <w:jc w:val="center"/>
                          <w:rPr>
                            <w:rFonts w:eastAsia="Calibri"/>
                            <w:color w:val="000000" w:themeColor="text1"/>
                            <w:sz w:val="20"/>
                          </w:rPr>
                        </w:pPr>
                      </w:p>
                      <w:p w14:paraId="05B9B8A8" w14:textId="77777777" w:rsidR="00857D8F" w:rsidRPr="009F2B01" w:rsidRDefault="00857D8F" w:rsidP="00BB7660">
                        <w:pPr>
                          <w:pStyle w:val="NormalWeb"/>
                          <w:spacing w:line="260" w:lineRule="exact"/>
                          <w:jc w:val="center"/>
                        </w:pPr>
                        <w:r w:rsidRPr="00BB5F96">
                          <w:rPr>
                            <w:rFonts w:eastAsia="Calibri"/>
                            <w:color w:val="000000" w:themeColor="text1"/>
                            <w:sz w:val="20"/>
                          </w:rPr>
                          <w:t xml:space="preserve">In either case, the data is disclosed through the </w:t>
                        </w:r>
                        <w:r>
                          <w:rPr>
                            <w:rFonts w:eastAsia="Calibri"/>
                            <w:color w:val="000000"/>
                            <w:sz w:val="20"/>
                          </w:rPr>
                          <w:t>data holder’s direct request service.</w:t>
                        </w:r>
                      </w:p>
                    </w:txbxContent>
                  </v:textbox>
                </v:rect>
                <v:shape id="Down Arrow 26" o:spid="_x0000_s1035" type="#_x0000_t67" style="position:absolute;left:24108;top:88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" adj="10800" filled="f" strokecolor="black [3213]" strokeweight="0"/>
                <w10:anchorlock/>
              </v:group>
            </w:pict>
          </mc:Fallback>
        </mc:AlternateContent>
      </w:r>
    </w:p>
    <w:p w14:paraId="40EDBEA7" w14:textId="77777777" w:rsidR="00BB7660" w:rsidRDefault="00BB7660" w:rsidP="00BB7660">
      <w:pPr>
        <w:pStyle w:val="ActHead3"/>
        <w:pageBreakBefore/>
      </w:pPr>
      <w:bookmarkStart w:id="110" w:name="_Toc11771589"/>
      <w:bookmarkStart w:id="111" w:name="_Toc111132018"/>
      <w:r>
        <w:lastRenderedPageBreak/>
        <w:t>Division 3.2—Consumer data requests made by CDR consumers</w:t>
      </w:r>
      <w:bookmarkEnd w:id="110"/>
      <w:bookmarkEnd w:id="111"/>
    </w:p>
    <w:p w14:paraId="7BB7DA4A" w14:textId="77777777" w:rsidR="00BB7660" w:rsidRPr="00641354" w:rsidRDefault="00BB7660" w:rsidP="00BB7660">
      <w:pPr>
        <w:pStyle w:val="ActHead5"/>
        <w:rPr>
          <w:color w:val="000000"/>
        </w:rPr>
      </w:pPr>
      <w:bookmarkStart w:id="112" w:name="_Toc11771590"/>
      <w:bookmarkStart w:id="113" w:name="_Toc111132019"/>
      <w:r>
        <w:rPr>
          <w:color w:val="000000"/>
        </w:rPr>
        <w:t>3.3</w:t>
      </w:r>
      <w:r w:rsidRPr="00641354">
        <w:rPr>
          <w:color w:val="000000"/>
        </w:rPr>
        <w:t xml:space="preserve">  </w:t>
      </w:r>
      <w:r>
        <w:rPr>
          <w:color w:val="000000"/>
        </w:rPr>
        <w:t>C</w:t>
      </w:r>
      <w:r w:rsidRPr="00641354">
        <w:rPr>
          <w:color w:val="000000"/>
        </w:rPr>
        <w:t>onsumer data requests</w:t>
      </w:r>
      <w:r>
        <w:rPr>
          <w:color w:val="000000"/>
        </w:rPr>
        <w:t xml:space="preserve"> made</w:t>
      </w:r>
      <w:r w:rsidRPr="00C57318">
        <w:t xml:space="preserve"> </w:t>
      </w:r>
      <w:r>
        <w:t>by CDR consumers</w:t>
      </w:r>
      <w:bookmarkEnd w:id="112"/>
      <w:bookmarkEnd w:id="113"/>
    </w:p>
    <w:p w14:paraId="573E4FFA" w14:textId="77777777" w:rsidR="00BB7660" w:rsidRPr="00BB5F96" w:rsidRDefault="00BB7660" w:rsidP="00BB7660">
      <w:pPr>
        <w:pStyle w:val="subsection"/>
      </w:pPr>
      <w:r w:rsidRPr="0023036E">
        <w:tab/>
      </w:r>
      <w:r>
        <w:t>(1)</w:t>
      </w:r>
      <w:r w:rsidRPr="0023036E">
        <w:tab/>
      </w:r>
      <w:r w:rsidRPr="00F27186">
        <w:t xml:space="preserve">A </w:t>
      </w:r>
      <w:r w:rsidRPr="00BB5F96">
        <w:t>CDR consumer may</w:t>
      </w:r>
      <w:r w:rsidRPr="00E1300D">
        <w:rPr>
          <w:color w:val="000000" w:themeColor="text1"/>
        </w:rPr>
        <w:t>, using the data holder’s direct request service,</w:t>
      </w:r>
      <w:r w:rsidRPr="00BB5F96">
        <w:t xml:space="preserve"> request a data holder to disclose some or all of their CDR data.</w:t>
      </w:r>
    </w:p>
    <w:p w14:paraId="0C8F16D8" w14:textId="77777777" w:rsidR="00BB7660" w:rsidRPr="00A00F6F" w:rsidRDefault="00BB7660" w:rsidP="00BB7660">
      <w:pPr>
        <w:pStyle w:val="notetext"/>
      </w:pPr>
      <w:r w:rsidRPr="00A00F6F">
        <w:t>Note:</w:t>
      </w:r>
      <w:r w:rsidRPr="00A00F6F">
        <w:tab/>
        <w:t>In the banking sector, these rules will progressively permit consumer data requests to be made to a broader range of data holders, and in relation to a broader range of CDR data, according to the timetable set out in Part 6 of Schedule 3.</w:t>
      </w:r>
    </w:p>
    <w:p w14:paraId="686C1AF5" w14:textId="77777777" w:rsidR="00BB7660" w:rsidRPr="00BB5F96" w:rsidRDefault="00BB7660" w:rsidP="00BB7660">
      <w:pPr>
        <w:pStyle w:val="subsection"/>
      </w:pPr>
      <w:r>
        <w:tab/>
        <w:t>(2)</w:t>
      </w:r>
      <w:r w:rsidRPr="00BB5F96">
        <w:tab/>
        <w:t xml:space="preserve">Such a request is a </w:t>
      </w:r>
      <w:r w:rsidRPr="00BB5F96">
        <w:rPr>
          <w:b/>
          <w:i/>
        </w:rPr>
        <w:t>consumer data request</w:t>
      </w:r>
      <w:r w:rsidRPr="00BB5F96">
        <w:t xml:space="preserve"> made by a CDR consumer.</w:t>
      </w:r>
    </w:p>
    <w:p w14:paraId="16531594" w14:textId="77777777" w:rsidR="00BB7660" w:rsidRPr="00464C22" w:rsidRDefault="00BB7660" w:rsidP="00BB7660">
      <w:pPr>
        <w:pStyle w:val="notetext"/>
        <w:rPr>
          <w:color w:val="000000" w:themeColor="text1"/>
        </w:rPr>
      </w:pPr>
      <w:r w:rsidRPr="00464C22">
        <w:rPr>
          <w:color w:val="000000" w:themeColor="text1"/>
        </w:rPr>
        <w:t>Note:</w:t>
      </w:r>
      <w:r w:rsidRPr="00464C22">
        <w:rPr>
          <w:color w:val="000000" w:themeColor="text1"/>
        </w:rPr>
        <w:tab/>
        <w:t>A fee cannot be charged for the disclosure of required consumer data: see section 56BU of the Act.</w:t>
      </w:r>
    </w:p>
    <w:p w14:paraId="0C6F89D0" w14:textId="77777777" w:rsidR="00BB7660" w:rsidRDefault="00BB7660" w:rsidP="00BB7660">
      <w:pPr>
        <w:pStyle w:val="subsection"/>
      </w:pPr>
      <w:r>
        <w:tab/>
        <w:t>(3)</w:t>
      </w:r>
      <w:r>
        <w:tab/>
      </w:r>
      <w:r w:rsidRPr="009F2B01">
        <w:t xml:space="preserve">A consumer data request made under this Part is </w:t>
      </w:r>
      <w:r w:rsidRPr="009F2B01">
        <w:rPr>
          <w:b/>
          <w:i/>
        </w:rPr>
        <w:t xml:space="preserve">valid </w:t>
      </w:r>
      <w:r w:rsidRPr="009F2B01">
        <w:t>if it is made</w:t>
      </w:r>
      <w:r w:rsidRPr="00E1300D">
        <w:rPr>
          <w:color w:val="000000" w:themeColor="text1"/>
        </w:rPr>
        <w:t xml:space="preserve"> </w:t>
      </w:r>
      <w:r w:rsidRPr="00F27186">
        <w:t>by a CDR consumer who is eligible to make the request</w:t>
      </w:r>
      <w:r>
        <w:t>.</w:t>
      </w:r>
    </w:p>
    <w:p w14:paraId="2E06A923" w14:textId="77777777" w:rsidR="00BB7660" w:rsidRPr="00A00F6F" w:rsidRDefault="00BB7660" w:rsidP="00BB7660">
      <w:pPr>
        <w:pStyle w:val="notetext"/>
      </w:pPr>
      <w:r w:rsidRPr="00A00F6F">
        <w:t xml:space="preserve">Note: </w:t>
      </w:r>
      <w:r w:rsidRPr="00A00F6F">
        <w:tab/>
        <w:t>See rule 1.7 for the meaning of “eligible”.  See also:</w:t>
      </w:r>
    </w:p>
    <w:p w14:paraId="50935C83"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2.1 of Schedule 3;</w:t>
      </w:r>
    </w:p>
    <w:p w14:paraId="4050DB4A"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2.1 of Schedule 4.</w:t>
      </w:r>
    </w:p>
    <w:p w14:paraId="78F98D95" w14:textId="77777777" w:rsidR="00BB7660" w:rsidRDefault="00BB7660" w:rsidP="00BB7660">
      <w:pPr>
        <w:pStyle w:val="ActHead5"/>
      </w:pPr>
      <w:bookmarkStart w:id="114" w:name="_Toc11771591"/>
      <w:bookmarkStart w:id="115" w:name="_Toc111132020"/>
      <w:r>
        <w:t xml:space="preserve">3.4  Disclosing </w:t>
      </w:r>
      <w:r w:rsidRPr="00C560DF">
        <w:t xml:space="preserve">consumer </w:t>
      </w:r>
      <w:r>
        <w:t xml:space="preserve">data in response to a valid </w:t>
      </w:r>
      <w:r w:rsidRPr="00641354">
        <w:rPr>
          <w:color w:val="000000"/>
        </w:rPr>
        <w:t xml:space="preserve">consumer data </w:t>
      </w:r>
      <w:r>
        <w:t>request</w:t>
      </w:r>
      <w:bookmarkEnd w:id="114"/>
      <w:bookmarkEnd w:id="115"/>
    </w:p>
    <w:p w14:paraId="18B975F5" w14:textId="77777777" w:rsidR="00BB7660" w:rsidRPr="00F27186" w:rsidRDefault="00BB7660" w:rsidP="00BB7660">
      <w:pPr>
        <w:pStyle w:val="subsection"/>
      </w:pPr>
      <w:r w:rsidRPr="00B3173B">
        <w:tab/>
      </w:r>
      <w:r>
        <w:t>(1)</w:t>
      </w:r>
      <w:r w:rsidRPr="00F27186">
        <w:tab/>
        <w:t>This rule applies if a data holder has received a request that it reasonably believes to be a valid consumer data request made under this Part, for disclosure of CDR data of which it is the data holder.</w:t>
      </w:r>
    </w:p>
    <w:p w14:paraId="1DEEEFFA" w14:textId="77777777" w:rsidR="00BB7660" w:rsidRPr="00E1300D" w:rsidRDefault="00BB7660" w:rsidP="00BB7660">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The data holder may disclose any requested voluntary consumer data to the CDR consumer who made the request.</w:t>
      </w:r>
    </w:p>
    <w:p w14:paraId="72791798" w14:textId="77777777" w:rsidR="00BB7660" w:rsidRPr="00A00F6F" w:rsidRDefault="00BB7660" w:rsidP="00BB7660">
      <w:pPr>
        <w:pStyle w:val="notetext"/>
      </w:pPr>
      <w:r w:rsidRPr="00A00F6F">
        <w:t>Note:</w:t>
      </w:r>
      <w:r w:rsidRPr="00A00F6F">
        <w:tab/>
        <w:t>See rule 1.7 for the meaning of “voluntary consumer data”.  See also:</w:t>
      </w:r>
    </w:p>
    <w:p w14:paraId="2A8B10E4"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3.2 of Schedule 3;</w:t>
      </w:r>
    </w:p>
    <w:p w14:paraId="3413B93F"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3.2 of Schedule 4.</w:t>
      </w:r>
    </w:p>
    <w:p w14:paraId="73B66520" w14:textId="77777777" w:rsidR="00BB7660" w:rsidRPr="00890388" w:rsidRDefault="00BB7660" w:rsidP="00BB7660">
      <w:pPr>
        <w:pStyle w:val="subsection"/>
      </w:pPr>
      <w:r w:rsidRPr="00890388">
        <w:tab/>
      </w:r>
      <w:r>
        <w:t>(3)</w:t>
      </w:r>
      <w:r w:rsidRPr="00890388">
        <w:tab/>
        <w:t>The data holder must, subject to rule </w:t>
      </w:r>
      <w:r>
        <w:t>3.5</w:t>
      </w:r>
      <w:r w:rsidRPr="00890388">
        <w:t>, disclose any requested required consumer data to the CDR consumer who made the request:</w:t>
      </w:r>
    </w:p>
    <w:p w14:paraId="37526227" w14:textId="77777777" w:rsidR="00BB7660" w:rsidRPr="00890388" w:rsidRDefault="00BB7660" w:rsidP="00BB7660">
      <w:pPr>
        <w:pStyle w:val="paragraph"/>
      </w:pPr>
      <w:r w:rsidRPr="00890388">
        <w:tab/>
      </w:r>
      <w:r>
        <w:t>(a)</w:t>
      </w:r>
      <w:r w:rsidRPr="00890388">
        <w:tab/>
        <w:t>through its direct request service; and</w:t>
      </w:r>
    </w:p>
    <w:p w14:paraId="6E8C50CD" w14:textId="77777777" w:rsidR="00BB7660" w:rsidRPr="00890388" w:rsidRDefault="00BB7660" w:rsidP="00BB7660">
      <w:pPr>
        <w:pStyle w:val="paragraph"/>
      </w:pPr>
      <w:r w:rsidRPr="00890388">
        <w:tab/>
      </w:r>
      <w:r>
        <w:t>(b)</w:t>
      </w:r>
      <w:r w:rsidRPr="00890388">
        <w:tab/>
        <w:t>in accordance with the data standards.</w:t>
      </w:r>
    </w:p>
    <w:p w14:paraId="1804B220" w14:textId="77777777" w:rsidR="00BB7660" w:rsidRPr="00A00F6F" w:rsidRDefault="00BB7660" w:rsidP="00BB7660">
      <w:pPr>
        <w:pStyle w:val="notetext"/>
      </w:pPr>
      <w:r w:rsidRPr="00A00F6F">
        <w:t>Note 1:</w:t>
      </w:r>
      <w:r w:rsidRPr="00A00F6F">
        <w:tab/>
        <w:t>See rule 1.7 for the meaning of “required consumer data”.  See also:</w:t>
      </w:r>
    </w:p>
    <w:p w14:paraId="07322D9A"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3.2 of Schedule 3;</w:t>
      </w:r>
    </w:p>
    <w:p w14:paraId="2B0C145C"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3.2 of Schedule 4.</w:t>
      </w:r>
    </w:p>
    <w:p w14:paraId="0975D5BB" w14:textId="77777777" w:rsidR="00BB7660" w:rsidRPr="00A00F6F" w:rsidRDefault="00BB7660" w:rsidP="00BB7660">
      <w:pPr>
        <w:pStyle w:val="notetext"/>
      </w:pPr>
      <w:r w:rsidRPr="00A00F6F">
        <w:t>Note 2:</w:t>
      </w:r>
      <w:r w:rsidRPr="00A00F6F">
        <w:tab/>
        <w:t xml:space="preserve">For a request that relates to a joint account, see </w:t>
      </w:r>
      <w:r w:rsidRPr="00D57FD3">
        <w:rPr>
          <w:color w:val="0000FF"/>
        </w:rPr>
        <w:t>rules 4A.10 and 4A.15</w:t>
      </w:r>
      <w:r w:rsidR="00D57FD3">
        <w:rPr>
          <w:color w:val="0000FF"/>
        </w:rPr>
        <w:t xml:space="preserve"> </w:t>
      </w:r>
      <w:r w:rsidR="00D57FD3" w:rsidRPr="00D57FD3">
        <w:rPr>
          <w:color w:val="0000FF"/>
        </w:rPr>
        <w:t>rule</w:t>
      </w:r>
      <w:r w:rsidR="00D57FD3" w:rsidRPr="00D57FD3">
        <w:rPr>
          <w:strike/>
          <w:color w:val="0000FF"/>
        </w:rPr>
        <w:t xml:space="preserve"> 4A.15</w:t>
      </w:r>
      <w:r w:rsidRPr="00A00F6F">
        <w:t xml:space="preserve">  for additional circumstances in which data relating to the joint account might not be disclosed under these rules.</w:t>
      </w:r>
    </w:p>
    <w:p w14:paraId="08952547" w14:textId="77777777" w:rsidR="00BB7660" w:rsidRPr="00E1300D" w:rsidRDefault="00BB7660" w:rsidP="00BB7660">
      <w:pPr>
        <w:pStyle w:val="notetext"/>
        <w:rPr>
          <w:color w:val="000000" w:themeColor="text1"/>
        </w:rPr>
      </w:pPr>
      <w:r w:rsidRPr="00E1300D">
        <w:rPr>
          <w:color w:val="000000" w:themeColor="text1"/>
        </w:rPr>
        <w:t>Note 3:</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5CC3CD10" w14:textId="77777777" w:rsidR="00BB7660" w:rsidRPr="00464C22" w:rsidRDefault="00BB7660" w:rsidP="00BB7660">
      <w:pPr>
        <w:pStyle w:val="notetext"/>
        <w:rPr>
          <w:color w:val="000000" w:themeColor="text1"/>
        </w:rPr>
      </w:pPr>
      <w:r w:rsidRPr="00464C22">
        <w:rPr>
          <w:color w:val="000000" w:themeColor="text1"/>
        </w:rPr>
        <w:t>Note 4:</w:t>
      </w:r>
      <w:r w:rsidRPr="00464C22">
        <w:rPr>
          <w:color w:val="000000" w:themeColor="text1"/>
        </w:rPr>
        <w:tab/>
        <w:t>A fee cannot be charged for the disclosure of required consumer data: see section 56BU of the Act.</w:t>
      </w:r>
    </w:p>
    <w:p w14:paraId="5E9EC876" w14:textId="77777777" w:rsidR="00BB7660" w:rsidRPr="00BB5F96" w:rsidRDefault="00BB7660" w:rsidP="00BB7660">
      <w:pPr>
        <w:pStyle w:val="ActHead5"/>
      </w:pPr>
      <w:bookmarkStart w:id="116" w:name="_Toc11771592"/>
      <w:bookmarkStart w:id="117" w:name="_Toc111132021"/>
      <w:r>
        <w:lastRenderedPageBreak/>
        <w:t>3.5</w:t>
      </w:r>
      <w:r w:rsidRPr="00BB5F96">
        <w:t xml:space="preserve">  Refusal to disclose required consumer data in response to consumer data request</w:t>
      </w:r>
      <w:bookmarkEnd w:id="116"/>
      <w:bookmarkEnd w:id="117"/>
    </w:p>
    <w:p w14:paraId="0C7D350E" w14:textId="77777777" w:rsidR="00BB7660" w:rsidRPr="00F27186" w:rsidRDefault="00BB7660" w:rsidP="00BB7660">
      <w:pPr>
        <w:pStyle w:val="subsection"/>
      </w:pPr>
      <w:r w:rsidRPr="00BB5F96">
        <w:tab/>
      </w:r>
      <w:r>
        <w:t>(1)</w:t>
      </w:r>
      <w:r w:rsidRPr="00BB5F96">
        <w:tab/>
        <w:t xml:space="preserve">Despite </w:t>
      </w:r>
      <w:r>
        <w:t>subrule</w:t>
      </w:r>
      <w:r w:rsidRPr="00BB5F96">
        <w:t> </w:t>
      </w:r>
      <w:r>
        <w:t>3.4(3)</w:t>
      </w:r>
      <w:r w:rsidRPr="00BB5F96">
        <w:t>, the data holder may refuse to disclose required consumer data in response to the request</w:t>
      </w:r>
      <w:r w:rsidRPr="00F27186">
        <w:t>:</w:t>
      </w:r>
    </w:p>
    <w:p w14:paraId="3A6919ED" w14:textId="77777777" w:rsidR="00BB7660" w:rsidRDefault="00BB7660" w:rsidP="00BB7660">
      <w:pPr>
        <w:pStyle w:val="paragraph"/>
      </w:pPr>
      <w:r w:rsidRPr="00F27186">
        <w:tab/>
      </w:r>
      <w:r>
        <w:t>(a)</w:t>
      </w:r>
      <w:r w:rsidRPr="00F27186">
        <w:tab/>
        <w:t>if the data holder considers this to be necessary to prevent physical</w:t>
      </w:r>
      <w:r w:rsidRPr="00A00F6F">
        <w:t xml:space="preserve">, psychological </w:t>
      </w:r>
      <w:r w:rsidRPr="00F27186">
        <w:t>or financial harm or abuse; or</w:t>
      </w:r>
    </w:p>
    <w:p w14:paraId="6D1469A5" w14:textId="77777777" w:rsidR="00BB7660" w:rsidRPr="00F86429" w:rsidRDefault="00BB7660" w:rsidP="00BB7660">
      <w:pPr>
        <w:pStyle w:val="paragraph"/>
      </w:pPr>
      <w:r w:rsidRPr="00F86429">
        <w:tab/>
        <w:t>(aa)</w:t>
      </w:r>
      <w:r w:rsidRPr="00F86429">
        <w:tab/>
        <w:t xml:space="preserve">in relation to an account that is blocked or suspended; or </w:t>
      </w:r>
    </w:p>
    <w:p w14:paraId="4325C2E5" w14:textId="77777777" w:rsidR="00BB7660" w:rsidRPr="00BB5F96" w:rsidRDefault="00BB7660" w:rsidP="00BB7660">
      <w:pPr>
        <w:pStyle w:val="paragraph"/>
      </w:pPr>
      <w:r w:rsidRPr="00F27186">
        <w:tab/>
      </w:r>
      <w:r>
        <w:t>(b)</w:t>
      </w:r>
      <w:r>
        <w:tab/>
      </w:r>
      <w:r w:rsidRPr="00BB5F96">
        <w:t>in circumstances (if any) set out in the data standards.</w:t>
      </w:r>
    </w:p>
    <w:p w14:paraId="1AB2B106" w14:textId="77777777" w:rsidR="00BB7660" w:rsidRDefault="00BB7660" w:rsidP="00BB7660">
      <w:pPr>
        <w:pStyle w:val="subsection"/>
      </w:pPr>
      <w:r w:rsidRPr="00083B86">
        <w:tab/>
      </w:r>
      <w:r>
        <w:t>(2)</w:t>
      </w:r>
      <w:r w:rsidRPr="00083B86">
        <w:tab/>
        <w:t xml:space="preserve">The data holder must inform the CDR consumer of </w:t>
      </w:r>
      <w:r w:rsidRPr="008F598B">
        <w:t xml:space="preserve">such </w:t>
      </w:r>
      <w:r w:rsidRPr="00083B86">
        <w:t>a refusal in accordance with the data standards.</w:t>
      </w:r>
    </w:p>
    <w:p w14:paraId="543DE0E3" w14:textId="77777777" w:rsidR="00BB7660" w:rsidRPr="005F3D40" w:rsidRDefault="00BB7660" w:rsidP="00BB7660">
      <w:pPr>
        <w:pStyle w:val="subsection"/>
        <w:rPr>
          <w:color w:val="000000" w:themeColor="text1"/>
        </w:rPr>
      </w:pPr>
      <w:r>
        <w:tab/>
      </w:r>
      <w:r>
        <w:tab/>
      </w:r>
      <w:r w:rsidRPr="005F3D40">
        <w:rPr>
          <w:color w:val="000000" w:themeColor="text1"/>
        </w:rPr>
        <w:t>Civil penalty:</w:t>
      </w:r>
    </w:p>
    <w:p w14:paraId="64E936A9"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61E2D533" w14:textId="77777777" w:rsidR="00BB7660" w:rsidRDefault="00BB7660" w:rsidP="00BB7660">
      <w:pPr>
        <w:pStyle w:val="paragraph"/>
      </w:pPr>
      <w:r w:rsidRPr="005F3D40">
        <w:rPr>
          <w:color w:val="000000" w:themeColor="text1"/>
        </w:rPr>
        <w:tab/>
        <w:t>(b)</w:t>
      </w:r>
      <w:r w:rsidRPr="005F3D40">
        <w:rPr>
          <w:color w:val="000000" w:themeColor="text1"/>
        </w:rPr>
        <w:tab/>
        <w:t>for a body corporate―$250,000.</w:t>
      </w:r>
    </w:p>
    <w:p w14:paraId="5619DD44" w14:textId="77777777" w:rsidR="00BB7660" w:rsidRDefault="00BB7660" w:rsidP="00BB7660">
      <w:pPr>
        <w:pStyle w:val="ActHead2"/>
        <w:pageBreakBefore/>
      </w:pPr>
      <w:bookmarkStart w:id="118" w:name="_Toc11771594"/>
      <w:bookmarkStart w:id="119" w:name="_Toc111132022"/>
      <w:r>
        <w:lastRenderedPageBreak/>
        <w:t>Part 4—</w:t>
      </w:r>
      <w:r>
        <w:rPr>
          <w:color w:val="000000"/>
        </w:rPr>
        <w:t>C</w:t>
      </w:r>
      <w:r w:rsidRPr="00641354">
        <w:rPr>
          <w:color w:val="000000"/>
        </w:rPr>
        <w:t>onsumer data requests</w:t>
      </w:r>
      <w:r>
        <w:rPr>
          <w:color w:val="000000"/>
        </w:rPr>
        <w:t xml:space="preserve"> made by accredited persons</w:t>
      </w:r>
      <w:bookmarkEnd w:id="118"/>
      <w:bookmarkEnd w:id="119"/>
    </w:p>
    <w:p w14:paraId="394A6E71" w14:textId="77777777" w:rsidR="00BB7660" w:rsidRPr="00F07699" w:rsidRDefault="00BB7660" w:rsidP="00BB7660">
      <w:pPr>
        <w:pStyle w:val="ActHead3"/>
      </w:pPr>
      <w:bookmarkStart w:id="120" w:name="_Toc11771595"/>
      <w:bookmarkStart w:id="121" w:name="_Toc50633065"/>
      <w:bookmarkStart w:id="122" w:name="_Toc57219008"/>
      <w:bookmarkStart w:id="123" w:name="_Toc59549123"/>
      <w:bookmarkStart w:id="124" w:name="_Toc111132023"/>
      <w:bookmarkStart w:id="125" w:name="_Toc11771598"/>
      <w:r w:rsidRPr="00F07699">
        <w:t>Division 4.1—Preliminary</w:t>
      </w:r>
      <w:bookmarkEnd w:id="120"/>
      <w:bookmarkEnd w:id="121"/>
      <w:bookmarkEnd w:id="122"/>
      <w:bookmarkEnd w:id="123"/>
      <w:bookmarkEnd w:id="124"/>
    </w:p>
    <w:p w14:paraId="777BBEBD" w14:textId="77777777" w:rsidR="00BB7660" w:rsidRPr="00F07699" w:rsidRDefault="00BB7660" w:rsidP="00BB7660">
      <w:pPr>
        <w:pStyle w:val="ActHead5"/>
      </w:pPr>
      <w:bookmarkStart w:id="126" w:name="_Toc59549124"/>
      <w:bookmarkStart w:id="127" w:name="_Toc111132024"/>
      <w:r w:rsidRPr="00F07699">
        <w:t>4.1  Simplified outline of this Part</w:t>
      </w:r>
      <w:bookmarkEnd w:id="126"/>
      <w:bookmarkEnd w:id="127"/>
    </w:p>
    <w:p w14:paraId="615142C2" w14:textId="77777777" w:rsidR="00BB7660" w:rsidRPr="003565D0" w:rsidRDefault="00BB7660" w:rsidP="00BB7660">
      <w:pPr>
        <w:pStyle w:val="SOText"/>
      </w:pPr>
      <w:r w:rsidRPr="003565D0">
        <w:t xml:space="preserve">This Part deals with consumer data requests that are made to CDR </w:t>
      </w:r>
      <w:r>
        <w:t xml:space="preserve">participants </w:t>
      </w:r>
      <w:r w:rsidRPr="003565D0">
        <w:t>by accredited persons on behalf of CDR consumers. Such requests, if made to a data holder, are made using the data holder’s accredited person request service.</w:t>
      </w:r>
    </w:p>
    <w:p w14:paraId="057AEE1D" w14:textId="77777777" w:rsidR="00BB7660" w:rsidRPr="003565D0" w:rsidRDefault="00BB7660" w:rsidP="00BB7660">
      <w:pPr>
        <w:pStyle w:val="SOText"/>
      </w:pPr>
      <w:r w:rsidRPr="003565D0">
        <w:t>In order for such a request to be made, the CDR consumer must have first asked the accredited person</w:t>
      </w:r>
      <w:r w:rsidRPr="00A00F6F">
        <w:t xml:space="preserve">, or a CDR representative of the accredited person, </w:t>
      </w:r>
      <w:r w:rsidRPr="003565D0">
        <w:t>to provide goods or services to the CDR consumer or to another person, where provision of those goods or services requires the use of the CDR consumer’s CDR data.</w:t>
      </w:r>
    </w:p>
    <w:p w14:paraId="580D75A6" w14:textId="77777777" w:rsidR="00CA30A6" w:rsidRPr="00F524AD" w:rsidRDefault="00CA30A6" w:rsidP="00CA30A6">
      <w:pPr>
        <w:pStyle w:val="SOText"/>
        <w:rPr>
          <w:color w:val="0000FF"/>
        </w:rPr>
      </w:pPr>
      <w:r w:rsidRPr="00F524AD">
        <w:rPr>
          <w:color w:val="0000FF"/>
        </w:rPr>
        <w:t xml:space="preserve">Before making a consumer data request on behalf of a CDR consumer, the consumer must first have consented to the accredited person collecting specified CDR data, and either using it to provide the requested goods or services, or providing it to the CDR representative for </w:t>
      </w:r>
      <w:r w:rsidR="00936DA5" w:rsidRPr="00500212">
        <w:rPr>
          <w:color w:val="0000FF"/>
        </w:rPr>
        <w:t>the CDR representative</w:t>
      </w:r>
      <w:r w:rsidR="00936DA5">
        <w:rPr>
          <w:color w:val="0000FF"/>
        </w:rPr>
        <w:t xml:space="preserve"> </w:t>
      </w:r>
      <w:r w:rsidRPr="00F524AD">
        <w:rPr>
          <w:color w:val="0000FF"/>
        </w:rPr>
        <w:t>to provide the goods or services.</w:t>
      </w:r>
    </w:p>
    <w:p w14:paraId="1767341A" w14:textId="77777777" w:rsidR="00CA30A6" w:rsidRPr="00F524AD" w:rsidRDefault="00CA30A6" w:rsidP="00CA30A6">
      <w:pPr>
        <w:pStyle w:val="SOText"/>
        <w:rPr>
          <w:color w:val="0000FF"/>
        </w:rPr>
      </w:pPr>
      <w:r w:rsidRPr="00F524AD">
        <w:rPr>
          <w:color w:val="0000FF"/>
        </w:rPr>
        <w:t>Subject to certain limitations, the requested data can be any CDR data that relates to the CDR consumer.</w:t>
      </w:r>
    </w:p>
    <w:p w14:paraId="6D469844" w14:textId="77777777" w:rsidR="00CA30A6" w:rsidRPr="00E333D4" w:rsidRDefault="00CA30A6" w:rsidP="00CA30A6">
      <w:pPr>
        <w:pStyle w:val="SOText"/>
        <w:rPr>
          <w:color w:val="0000FF"/>
        </w:rPr>
      </w:pPr>
      <w:r w:rsidRPr="00E333D4">
        <w:rPr>
          <w:color w:val="0000FF"/>
        </w:rPr>
        <w:t>Collection and use of CDR data under this Part is limited by the data minimisation principle, under which:</w:t>
      </w:r>
    </w:p>
    <w:p w14:paraId="484C6C34" w14:textId="77777777" w:rsidR="00CA30A6" w:rsidRPr="00E333D4" w:rsidRDefault="00CA30A6" w:rsidP="00CA30A6">
      <w:pPr>
        <w:pStyle w:val="SOPara"/>
        <w:rPr>
          <w:color w:val="0000FF"/>
        </w:rPr>
      </w:pPr>
      <w:r w:rsidRPr="00E333D4">
        <w:rPr>
          <w:color w:val="0000FF"/>
        </w:rPr>
        <w:tab/>
        <w:t>(a)</w:t>
      </w:r>
      <w:r w:rsidRPr="00E333D4">
        <w:rPr>
          <w:color w:val="0000FF"/>
        </w:rPr>
        <w:tab/>
        <w:t>no more data may be collected than is reasonably needed in order to provide the requested goods or services; and</w:t>
      </w:r>
    </w:p>
    <w:p w14:paraId="36DFD857" w14:textId="77777777" w:rsidR="00CA30A6" w:rsidRPr="00E333D4" w:rsidRDefault="00CA30A6" w:rsidP="00CA30A6">
      <w:pPr>
        <w:pStyle w:val="SOPara"/>
        <w:rPr>
          <w:color w:val="0000FF"/>
        </w:rPr>
      </w:pPr>
      <w:r w:rsidRPr="00E333D4">
        <w:rPr>
          <w:color w:val="0000FF"/>
        </w:rPr>
        <w:tab/>
        <w:t>(b)</w:t>
      </w:r>
      <w:r w:rsidRPr="00E333D4">
        <w:rPr>
          <w:color w:val="0000FF"/>
        </w:rPr>
        <w:tab/>
        <w:t>the collected data may be used only as reasonably needed in order to provide the requested goods or services or as otherwise consented to by the consumer.</w:t>
      </w:r>
    </w:p>
    <w:p w14:paraId="447B4617" w14:textId="77777777" w:rsidR="00CA30A6" w:rsidRPr="00F524AD" w:rsidRDefault="00CA30A6" w:rsidP="00CA30A6">
      <w:pPr>
        <w:pStyle w:val="SOText"/>
        <w:rPr>
          <w:color w:val="0000FF"/>
        </w:rPr>
      </w:pPr>
      <w:r w:rsidRPr="00F524AD">
        <w:rPr>
          <w:color w:val="0000FF"/>
        </w:rPr>
        <w:t>A request may be for the CDR consumer’s required consumer data, their voluntary consumer data, or both. The sector Schedules to these rules:</w:t>
      </w:r>
    </w:p>
    <w:p w14:paraId="483CBAF2" w14:textId="77777777" w:rsidR="00CA30A6" w:rsidRPr="00F524AD" w:rsidRDefault="00CA30A6" w:rsidP="00CA30A6">
      <w:pPr>
        <w:pStyle w:val="SOPara"/>
        <w:rPr>
          <w:color w:val="0000FF"/>
        </w:rPr>
      </w:pPr>
      <w:r w:rsidRPr="00F524AD">
        <w:rPr>
          <w:color w:val="0000FF"/>
        </w:rPr>
        <w:tab/>
        <w:t>•</w:t>
      </w:r>
      <w:r w:rsidRPr="00F524AD">
        <w:rPr>
          <w:color w:val="0000FF"/>
        </w:rPr>
        <w:tab/>
        <w:t>provide for what is required consumer data and voluntary consumer data for the particular designated sector; and</w:t>
      </w:r>
    </w:p>
    <w:p w14:paraId="5CDCA08B" w14:textId="77777777" w:rsidR="00CA30A6" w:rsidRPr="00F524AD" w:rsidRDefault="00CA30A6" w:rsidP="00CA30A6">
      <w:pPr>
        <w:pStyle w:val="SOPara"/>
        <w:rPr>
          <w:color w:val="0000FF"/>
        </w:rPr>
      </w:pPr>
      <w:r w:rsidRPr="00F524AD">
        <w:rPr>
          <w:color w:val="0000FF"/>
        </w:rPr>
        <w:tab/>
        <w:t>•</w:t>
      </w:r>
      <w:r w:rsidRPr="00F524AD">
        <w:rPr>
          <w:color w:val="0000FF"/>
        </w:rPr>
        <w:tab/>
        <w:t>sets out the circumstances in which CDR consumers are eligible in relation to a request for their CDR data in that designated sector.</w:t>
      </w:r>
    </w:p>
    <w:p w14:paraId="1707CB0B" w14:textId="77777777" w:rsidR="00977F01" w:rsidRPr="00977F01" w:rsidRDefault="00977F01" w:rsidP="00977F01">
      <w:pPr>
        <w:pStyle w:val="SOText"/>
        <w:rPr>
          <w:strike/>
          <w:color w:val="0000FF"/>
        </w:rPr>
      </w:pPr>
      <w:r w:rsidRPr="00977F01">
        <w:rPr>
          <w:strike/>
          <w:color w:val="0000FF"/>
        </w:rPr>
        <w:t>Before making a consumer data request on behalf of a CDR consumer, the consumer must first have consented to the accredited person collecting and using specified CDR data to provide the requested goods or services.</w:t>
      </w:r>
    </w:p>
    <w:p w14:paraId="2105109B" w14:textId="77777777" w:rsidR="00977F01" w:rsidRPr="00977F01" w:rsidRDefault="00977F01" w:rsidP="00977F01">
      <w:pPr>
        <w:pStyle w:val="SOText"/>
        <w:rPr>
          <w:strike/>
          <w:color w:val="0000FF"/>
        </w:rPr>
      </w:pPr>
      <w:r w:rsidRPr="00977F01">
        <w:rPr>
          <w:strike/>
          <w:color w:val="0000FF"/>
        </w:rPr>
        <w:t>Subject to certain limitations, the requested data can be any CDR data that relates to the CDR consumer.</w:t>
      </w:r>
    </w:p>
    <w:p w14:paraId="5A5AD935" w14:textId="77777777" w:rsidR="00977F01" w:rsidRPr="00977F01" w:rsidRDefault="00977F01" w:rsidP="00977F01">
      <w:pPr>
        <w:pStyle w:val="SOText"/>
        <w:rPr>
          <w:strike/>
          <w:color w:val="0000FF"/>
        </w:rPr>
      </w:pPr>
      <w:r w:rsidRPr="00977F01">
        <w:rPr>
          <w:strike/>
          <w:color w:val="0000FF"/>
        </w:rPr>
        <w:lastRenderedPageBreak/>
        <w:t>Collection and use of CDR data under this Part is limited by the data minimisation principle, under which the accredited person:</w:t>
      </w:r>
    </w:p>
    <w:p w14:paraId="6A4BAA5B" w14:textId="77777777" w:rsidR="00977F01" w:rsidRPr="00977F01" w:rsidRDefault="00977F01" w:rsidP="00977F01">
      <w:pPr>
        <w:pStyle w:val="SOPara"/>
        <w:rPr>
          <w:strike/>
          <w:color w:val="0000FF"/>
        </w:rPr>
      </w:pPr>
      <w:r w:rsidRPr="00977F01">
        <w:rPr>
          <w:strike/>
          <w:color w:val="0000FF"/>
        </w:rPr>
        <w:tab/>
        <w:t>(a)</w:t>
      </w:r>
      <w:r w:rsidRPr="00977F01">
        <w:rPr>
          <w:strike/>
          <w:color w:val="0000FF"/>
        </w:rPr>
        <w:tab/>
        <w:t>must not collect more data than is reasonably needed in order to provide the requested goods or services; and</w:t>
      </w:r>
    </w:p>
    <w:p w14:paraId="73D358AC" w14:textId="77777777" w:rsidR="00977F01" w:rsidRPr="00977F01" w:rsidRDefault="00977F01" w:rsidP="00977F01">
      <w:pPr>
        <w:pStyle w:val="SOPara"/>
        <w:rPr>
          <w:strike/>
          <w:color w:val="0000FF"/>
        </w:rPr>
      </w:pPr>
      <w:r w:rsidRPr="00977F01">
        <w:rPr>
          <w:strike/>
          <w:color w:val="0000FF"/>
        </w:rPr>
        <w:tab/>
        <w:t>(b)</w:t>
      </w:r>
      <w:r w:rsidRPr="00977F01">
        <w:rPr>
          <w:strike/>
          <w:color w:val="0000FF"/>
        </w:rPr>
        <w:tab/>
        <w:t>may use the collected data only as reasonably needed in order to provide the requested goods or services or as otherwise consented to by the consumer.</w:t>
      </w:r>
    </w:p>
    <w:p w14:paraId="0DFDA2BE" w14:textId="77777777" w:rsidR="00977F01" w:rsidRPr="00977F01" w:rsidRDefault="00977F01" w:rsidP="00977F01">
      <w:pPr>
        <w:pStyle w:val="SOText"/>
        <w:rPr>
          <w:strike/>
          <w:color w:val="0000FF"/>
        </w:rPr>
      </w:pPr>
      <w:r w:rsidRPr="00977F01">
        <w:rPr>
          <w:strike/>
          <w:color w:val="0000FF"/>
        </w:rPr>
        <w:t>A request may be for the CDR consumer’s required consumer data, their voluntary consumer data, or both. Schedule 3 to these rules:</w:t>
      </w:r>
    </w:p>
    <w:p w14:paraId="565907FF" w14:textId="77777777" w:rsidR="00977F01" w:rsidRPr="00977F01" w:rsidRDefault="00977F01" w:rsidP="00977F01">
      <w:pPr>
        <w:pStyle w:val="SOPara"/>
        <w:rPr>
          <w:strike/>
          <w:color w:val="0000FF"/>
        </w:rPr>
      </w:pPr>
      <w:r w:rsidRPr="00977F01">
        <w:rPr>
          <w:strike/>
          <w:color w:val="0000FF"/>
        </w:rPr>
        <w:tab/>
        <w:t>•</w:t>
      </w:r>
      <w:r w:rsidRPr="00977F01">
        <w:rPr>
          <w:strike/>
          <w:color w:val="0000FF"/>
        </w:rPr>
        <w:tab/>
        <w:t>provides for what is required consumer data and voluntary consumer data for the banking sector; and</w:t>
      </w:r>
    </w:p>
    <w:p w14:paraId="3094AB96" w14:textId="77777777" w:rsidR="00977F01" w:rsidRPr="00977F01" w:rsidRDefault="00977F01" w:rsidP="00977F01">
      <w:pPr>
        <w:pStyle w:val="SOPara"/>
        <w:rPr>
          <w:strike/>
          <w:color w:val="0000FF"/>
        </w:rPr>
      </w:pPr>
      <w:r w:rsidRPr="00977F01">
        <w:rPr>
          <w:strike/>
          <w:color w:val="0000FF"/>
        </w:rPr>
        <w:tab/>
        <w:t>•</w:t>
      </w:r>
      <w:r w:rsidRPr="00977F01">
        <w:rPr>
          <w:strike/>
          <w:color w:val="0000FF"/>
        </w:rPr>
        <w:tab/>
        <w:t>sets out the circumstances in which CDR consumers are eligible in relation to a request for their banking sector CDR data.</w:t>
      </w:r>
    </w:p>
    <w:p w14:paraId="52876D30" w14:textId="77777777" w:rsidR="00BB7660" w:rsidRPr="003565D0" w:rsidRDefault="00BB7660" w:rsidP="00BB7660">
      <w:pPr>
        <w:pStyle w:val="SOHeadBold"/>
      </w:pPr>
      <w:r w:rsidRPr="003565D0">
        <w:t>Consumer data requests made to data holders</w:t>
      </w:r>
    </w:p>
    <w:p w14:paraId="3074A028" w14:textId="77777777" w:rsidR="00BB7660" w:rsidRPr="00F07699" w:rsidRDefault="00BB7660" w:rsidP="00BB7660">
      <w:pPr>
        <w:pStyle w:val="SOText"/>
        <w:spacing w:before="40"/>
      </w:pPr>
      <w:r w:rsidRPr="003565D0">
        <w:t xml:space="preserve">Subject to exceptions outlined in this Part, if a request is made to a data holder, </w:t>
      </w:r>
      <w:r w:rsidRPr="00F07699">
        <w:t>the data holder:</w:t>
      </w:r>
    </w:p>
    <w:p w14:paraId="0530F095" w14:textId="77777777" w:rsidR="00BB7660" w:rsidRPr="00F07699" w:rsidRDefault="00BB7660" w:rsidP="00BB7660">
      <w:pPr>
        <w:pStyle w:val="SOPara"/>
      </w:pPr>
      <w:r w:rsidRPr="00F07699">
        <w:tab/>
        <w:t>•</w:t>
      </w:r>
      <w:r w:rsidRPr="00F07699">
        <w:tab/>
        <w:t>must seek the CDR consumer’s authorisation to disclose required consumer data; and</w:t>
      </w:r>
    </w:p>
    <w:p w14:paraId="418A33A2" w14:textId="77777777" w:rsidR="00BB7660" w:rsidRPr="00F07699" w:rsidRDefault="00BB7660" w:rsidP="00BB7660">
      <w:pPr>
        <w:pStyle w:val="SOPara"/>
      </w:pPr>
      <w:r w:rsidRPr="00F07699">
        <w:tab/>
        <w:t>•</w:t>
      </w:r>
      <w:r w:rsidRPr="00F07699">
        <w:tab/>
        <w:t>must seek the CDR consumer’s authorisation to disclose any voluntary consumer data that it intends to disclose.</w:t>
      </w:r>
    </w:p>
    <w:p w14:paraId="6DEBADD5" w14:textId="77777777" w:rsidR="00BB7660" w:rsidRPr="00F07699" w:rsidRDefault="00BB7660" w:rsidP="00BB7660">
      <w:pPr>
        <w:pStyle w:val="SOText"/>
      </w:pPr>
      <w:r w:rsidRPr="00F07699">
        <w:t>The data holder then must disclose, to the accredited person, the required consumer data it is authorised to disclose, and may (but is not required to) disclose the voluntary consumer data it is authorised to disclose. The data is disclosed in machine</w:t>
      </w:r>
      <w:r w:rsidRPr="00F07699">
        <w:noBreakHyphen/>
        <w:t>readable form and in accordance with the data standards.</w:t>
      </w:r>
    </w:p>
    <w:p w14:paraId="0578B85F" w14:textId="77777777" w:rsidR="00BB7660" w:rsidRPr="003565D0" w:rsidRDefault="00BB7660" w:rsidP="00BB7660">
      <w:pPr>
        <w:pStyle w:val="SOHeadBold"/>
      </w:pPr>
      <w:r w:rsidRPr="003565D0">
        <w:t>Consumer data requests made to accredited data recipients</w:t>
      </w:r>
    </w:p>
    <w:p w14:paraId="0345CEE3" w14:textId="77777777" w:rsidR="00BB7660" w:rsidRPr="003565D0" w:rsidRDefault="00BB7660" w:rsidP="00BB7660">
      <w:pPr>
        <w:pStyle w:val="SOText"/>
        <w:spacing w:before="40"/>
      </w:pPr>
      <w:r w:rsidRPr="003565D0">
        <w:t>If a request is made to an accredited data recipient, the accredited data recipient:</w:t>
      </w:r>
    </w:p>
    <w:p w14:paraId="281E7AB0" w14:textId="77777777" w:rsidR="00BB7660" w:rsidRPr="003565D0" w:rsidRDefault="00BB7660" w:rsidP="00BB7660">
      <w:pPr>
        <w:pStyle w:val="SOPara"/>
      </w:pPr>
      <w:r w:rsidRPr="003565D0">
        <w:tab/>
        <w:t>•</w:t>
      </w:r>
      <w:r w:rsidRPr="003565D0">
        <w:tab/>
        <w:t>may (but is not required to) seek the CDR consumer’s consent to disclose the requested CDR data; and</w:t>
      </w:r>
    </w:p>
    <w:p w14:paraId="34556976" w14:textId="77777777" w:rsidR="00BB7660" w:rsidRPr="003565D0" w:rsidRDefault="00BB7660" w:rsidP="00BB7660">
      <w:pPr>
        <w:pStyle w:val="SOPara"/>
      </w:pPr>
      <w:r w:rsidRPr="003565D0">
        <w:tab/>
        <w:t>•</w:t>
      </w:r>
      <w:r w:rsidRPr="003565D0">
        <w:tab/>
        <w:t>once that consent is obtained, may (but is not required to) disclose that CDR data to the accredited person.</w:t>
      </w:r>
    </w:p>
    <w:p w14:paraId="4BBBB533" w14:textId="77777777" w:rsidR="00BB7660" w:rsidRPr="00A00F6F" w:rsidRDefault="00BB7660" w:rsidP="00BB7660">
      <w:pPr>
        <w:pStyle w:val="SOText"/>
      </w:pPr>
      <w:r w:rsidRPr="00A00F6F">
        <w:t>Special rules apply to joint accounts with 2 or more individual joint account holders. These are set out in Part 4A.</w:t>
      </w:r>
    </w:p>
    <w:p w14:paraId="7B233D7D" w14:textId="77777777" w:rsidR="00BB7660" w:rsidRDefault="00BB7660" w:rsidP="00BB7660">
      <w:pPr>
        <w:pStyle w:val="SOText"/>
      </w:pPr>
      <w:r w:rsidRPr="003565D0">
        <w:t>A fee cannot be charged for the disclosure by a data holder of required consumer data, but could be charged for the disclosure by a data holder of voluntary consumer data, or by an accredited data recipient for disclosure of any CDR data</w:t>
      </w:r>
      <w:r w:rsidRPr="00F07699">
        <w:t>.</w:t>
      </w:r>
    </w:p>
    <w:p w14:paraId="11FAEE0E" w14:textId="77777777" w:rsidR="00BB7660" w:rsidRDefault="00BB7660" w:rsidP="00BB7660">
      <w:pPr>
        <w:pStyle w:val="ActHead3"/>
        <w:pageBreakBefore/>
      </w:pPr>
      <w:bookmarkStart w:id="128" w:name="_Toc111132025"/>
      <w:r>
        <w:lastRenderedPageBreak/>
        <w:t>Division 4.2—C</w:t>
      </w:r>
      <w:r w:rsidRPr="00641354">
        <w:t>onsumer data requests</w:t>
      </w:r>
      <w:r>
        <w:t xml:space="preserve"> made by accredited persons</w:t>
      </w:r>
      <w:bookmarkEnd w:id="125"/>
      <w:r>
        <w:t xml:space="preserve"> to CDR participants</w:t>
      </w:r>
      <w:bookmarkEnd w:id="128"/>
    </w:p>
    <w:p w14:paraId="628B5C7C" w14:textId="77777777" w:rsidR="00BB7660" w:rsidRPr="003565D0" w:rsidRDefault="00BB7660" w:rsidP="00BB7660">
      <w:pPr>
        <w:pStyle w:val="ActHead4"/>
      </w:pPr>
      <w:bookmarkStart w:id="129" w:name="_Toc50114020"/>
      <w:bookmarkStart w:id="130" w:name="_Toc57219011"/>
      <w:bookmarkStart w:id="131" w:name="_Toc59549125"/>
      <w:bookmarkStart w:id="132" w:name="_Toc111132026"/>
      <w:bookmarkStart w:id="133" w:name="_Toc50114023"/>
      <w:bookmarkStart w:id="134" w:name="_Toc50633069"/>
      <w:bookmarkStart w:id="135" w:name="_Toc57219014"/>
      <w:bookmarkStart w:id="136" w:name="_Toc59549128"/>
      <w:bookmarkStart w:id="137" w:name="_Toc11771599"/>
      <w:r w:rsidRPr="003565D0">
        <w:t>Subdivision 4.2.1—Preliminary</w:t>
      </w:r>
      <w:bookmarkEnd w:id="129"/>
      <w:bookmarkEnd w:id="130"/>
      <w:bookmarkEnd w:id="131"/>
      <w:bookmarkEnd w:id="132"/>
    </w:p>
    <w:p w14:paraId="1767F33E" w14:textId="77777777" w:rsidR="00BB7660" w:rsidRPr="003565D0" w:rsidRDefault="00BB7660" w:rsidP="00BB7660">
      <w:pPr>
        <w:pStyle w:val="ActHead5"/>
      </w:pPr>
      <w:bookmarkStart w:id="138" w:name="_Toc50114021"/>
      <w:bookmarkStart w:id="139" w:name="_Toc57219012"/>
      <w:bookmarkStart w:id="140" w:name="_Toc59549126"/>
      <w:bookmarkStart w:id="141" w:name="_Toc111132027"/>
      <w:r w:rsidRPr="003565D0">
        <w:t>4.2  Consumer data requests made by accredited persons to CDR participants—flowchart</w:t>
      </w:r>
      <w:bookmarkEnd w:id="138"/>
      <w:bookmarkEnd w:id="139"/>
      <w:bookmarkEnd w:id="140"/>
      <w:bookmarkEnd w:id="141"/>
    </w:p>
    <w:p w14:paraId="09EB3E1C" w14:textId="77777777" w:rsidR="00BB7660" w:rsidRPr="00F07699" w:rsidRDefault="00BB7660" w:rsidP="00BB7660">
      <w:pPr>
        <w:pStyle w:val="subsection"/>
        <w:keepNext/>
      </w:pPr>
      <w:r w:rsidRPr="003565D0">
        <w:tab/>
      </w:r>
      <w:r w:rsidRPr="003565D0">
        <w:tab/>
        <w:t>The following is a flowchart for how an accredited person makes a consumer data request to a CDR participant under this Division</w:t>
      </w:r>
      <w:r w:rsidRPr="0077773C">
        <w:t>.</w:t>
      </w:r>
    </w:p>
    <w:p w14:paraId="20BA6E92" w14:textId="77777777" w:rsidR="00BB7660" w:rsidRPr="00466BDB" w:rsidRDefault="00BB7660" w:rsidP="00BB7660">
      <w:pPr>
        <w:pStyle w:val="subsection"/>
      </w:pPr>
      <w:r>
        <w:rPr>
          <w:noProof/>
        </w:rPr>
        <w:lastRenderedPageBreak/>
        <mc:AlternateContent>
          <mc:Choice Requires="wpc">
            <w:drawing>
              <wp:anchor distT="0" distB="0" distL="114300" distR="114300" simplePos="0" relativeHeight="251659264" behindDoc="0" locked="0" layoutInCell="1" allowOverlap="1" wp14:anchorId="7F23B56D" wp14:editId="17F41A19">
                <wp:simplePos x="0" y="0"/>
                <wp:positionH relativeFrom="character">
                  <wp:posOffset>0</wp:posOffset>
                </wp:positionH>
                <wp:positionV relativeFrom="line">
                  <wp:posOffset>0</wp:posOffset>
                </wp:positionV>
                <wp:extent cx="5278755" cy="6791325"/>
                <wp:effectExtent l="0" t="0" r="0" b="1905"/>
                <wp:wrapNone/>
                <wp:docPr id="69" name="Canvas 6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51" name="Rectangle 49"/>
                        <wps:cNvSpPr>
                          <a:spLocks noChangeArrowheads="1"/>
                        </wps:cNvSpPr>
                        <wps:spPr bwMode="auto">
                          <a:xfrm>
                            <a:off x="84701" y="57100"/>
                            <a:ext cx="5071753" cy="447702"/>
                          </a:xfrm>
                          <a:prstGeom prst="rect">
                            <a:avLst/>
                          </a:prstGeom>
                          <a:solidFill>
                            <a:schemeClr val="bg1">
                              <a:lumMod val="100000"/>
                              <a:lumOff val="0"/>
                            </a:schemeClr>
                          </a:solidFill>
                          <a:ln w="3175">
                            <a:solidFill>
                              <a:srgbClr val="000000"/>
                            </a:solidFill>
                            <a:miter lim="800000"/>
                            <a:headEnd/>
                            <a:tailEnd/>
                          </a:ln>
                        </wps:spPr>
                        <wps:txbx>
                          <w:txbxContent>
                            <w:p w14:paraId="205D3DC1" w14:textId="77777777" w:rsidR="00857D8F" w:rsidRPr="005825F5" w:rsidRDefault="00857D8F" w:rsidP="00BB7660">
                              <w:pPr>
                                <w:pStyle w:val="NormalWeb"/>
                                <w:spacing w:line="260" w:lineRule="exact"/>
                                <w:jc w:val="center"/>
                                <w:rPr>
                                  <w:rFonts w:eastAsia="Calibri"/>
                                  <w:color w:val="000000" w:themeColor="text1"/>
                                  <w:sz w:val="20"/>
                                </w:rPr>
                              </w:pPr>
                              <w:r w:rsidRPr="005825F5">
                                <w:rPr>
                                  <w:rFonts w:eastAsia="Calibri"/>
                                  <w:color w:val="000000" w:themeColor="text1"/>
                                  <w:sz w:val="20"/>
                                </w:rPr>
                                <w:t>A CDR consumer has requested an accredited person to provide goods or services, which require the use of the CDR consumer’s CDR data.</w:t>
                              </w:r>
                            </w:p>
                          </w:txbxContent>
                        </wps:txbx>
                        <wps:bodyPr rot="0" vert="horz" wrap="square" lIns="91440" tIns="45720" rIns="91440" bIns="45720" anchor="ctr" anchorCtr="0" upright="1">
                          <a:noAutofit/>
                        </wps:bodyPr>
                      </wps:wsp>
                      <wps:wsp>
                        <wps:cNvPr id="52" name="Rectangle 50"/>
                        <wps:cNvSpPr>
                          <a:spLocks noChangeArrowheads="1"/>
                        </wps:cNvSpPr>
                        <wps:spPr bwMode="auto">
                          <a:xfrm>
                            <a:off x="80201" y="847703"/>
                            <a:ext cx="5068653" cy="447602"/>
                          </a:xfrm>
                          <a:prstGeom prst="rect">
                            <a:avLst/>
                          </a:prstGeom>
                          <a:solidFill>
                            <a:schemeClr val="bg1">
                              <a:lumMod val="100000"/>
                              <a:lumOff val="0"/>
                            </a:schemeClr>
                          </a:solidFill>
                          <a:ln w="3175">
                            <a:solidFill>
                              <a:srgbClr val="000000"/>
                            </a:solidFill>
                            <a:miter lim="800000"/>
                            <a:headEnd/>
                            <a:tailEnd/>
                          </a:ln>
                        </wps:spPr>
                        <wps:txbx>
                          <w:txbxContent>
                            <w:p w14:paraId="4AE5B17B" w14:textId="77777777" w:rsidR="00857D8F" w:rsidRPr="005825F5" w:rsidRDefault="00857D8F" w:rsidP="00BB7660">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68D69406" w14:textId="77777777" w:rsidR="00857D8F" w:rsidRPr="00572C56" w:rsidRDefault="00857D8F" w:rsidP="00BB7660">
                              <w:pPr>
                                <w:rPr>
                                  <w:color w:val="000000" w:themeColor="text1"/>
                                </w:rPr>
                              </w:pPr>
                            </w:p>
                          </w:txbxContent>
                        </wps:txbx>
                        <wps:bodyPr rot="0" vert="horz" wrap="square" lIns="91440" tIns="45720" rIns="91440" bIns="45720" anchor="ctr" anchorCtr="0" upright="1">
                          <a:noAutofit/>
                        </wps:bodyPr>
                      </wps:wsp>
                      <wps:wsp>
                        <wps:cNvPr id="53" name="Down Arrow 51"/>
                        <wps:cNvSpPr>
                          <a:spLocks noChangeArrowheads="1"/>
                        </wps:cNvSpPr>
                        <wps:spPr bwMode="auto">
                          <a:xfrm>
                            <a:off x="2407925" y="574502"/>
                            <a:ext cx="484605" cy="2072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4" name="Rectangle 52"/>
                        <wps:cNvSpPr>
                          <a:spLocks noChangeArrowheads="1"/>
                        </wps:cNvSpPr>
                        <wps:spPr bwMode="auto">
                          <a:xfrm>
                            <a:off x="80201" y="1628706"/>
                            <a:ext cx="2502326" cy="951704"/>
                          </a:xfrm>
                          <a:prstGeom prst="rect">
                            <a:avLst/>
                          </a:prstGeom>
                          <a:solidFill>
                            <a:schemeClr val="bg1">
                              <a:lumMod val="100000"/>
                              <a:lumOff val="0"/>
                            </a:schemeClr>
                          </a:solidFill>
                          <a:ln w="3175">
                            <a:solidFill>
                              <a:srgbClr val="000000"/>
                            </a:solidFill>
                            <a:miter lim="800000"/>
                            <a:headEnd/>
                            <a:tailEnd/>
                          </a:ln>
                        </wps:spPr>
                        <wps:txbx>
                          <w:txbxContent>
                            <w:p w14:paraId="4AAA9329" w14:textId="77777777" w:rsidR="00857D8F" w:rsidRPr="005825F5" w:rsidRDefault="00857D8F" w:rsidP="00BB7660">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0CDC77B8"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wps:txbx>
                        <wps:bodyPr rot="0" vert="horz" wrap="square" lIns="91440" tIns="45720" rIns="91440" bIns="45720" anchor="ctr" anchorCtr="0" upright="1">
                          <a:noAutofit/>
                        </wps:bodyPr>
                      </wps:wsp>
                      <wps:wsp>
                        <wps:cNvPr id="55" name="Rectangle 54"/>
                        <wps:cNvSpPr>
                          <a:spLocks noChangeArrowheads="1"/>
                        </wps:cNvSpPr>
                        <wps:spPr bwMode="auto">
                          <a:xfrm>
                            <a:off x="79901" y="2894911"/>
                            <a:ext cx="2494326" cy="1305605"/>
                          </a:xfrm>
                          <a:prstGeom prst="rect">
                            <a:avLst/>
                          </a:prstGeom>
                          <a:solidFill>
                            <a:schemeClr val="bg1">
                              <a:lumMod val="100000"/>
                              <a:lumOff val="0"/>
                            </a:schemeClr>
                          </a:solidFill>
                          <a:ln w="3175">
                            <a:solidFill>
                              <a:srgbClr val="000000"/>
                            </a:solidFill>
                            <a:miter lim="800000"/>
                            <a:headEnd/>
                            <a:tailEnd/>
                          </a:ln>
                        </wps:spPr>
                        <wps:txbx>
                          <w:txbxContent>
                            <w:p w14:paraId="077548F1" w14:textId="77777777" w:rsidR="00857D8F" w:rsidRPr="005825F5" w:rsidRDefault="00857D8F" w:rsidP="00BB7660">
                              <w:pPr>
                                <w:pStyle w:val="NormalWeb"/>
                                <w:spacing w:after="60" w:line="260" w:lineRule="exact"/>
                                <w:jc w:val="center"/>
                                <w:rPr>
                                  <w:color w:val="000000" w:themeColor="text1"/>
                                </w:rPr>
                              </w:pPr>
                              <w:r w:rsidRPr="005825F5">
                                <w:rPr>
                                  <w:rFonts w:eastAsia="Calibri"/>
                                  <w:color w:val="000000" w:themeColor="text1"/>
                                  <w:sz w:val="20"/>
                                </w:rPr>
                                <w:t>For any required consumer data, the data holder must (unless covered by an exception) ask the CDR consumer to authorise disclosure of the requested data. </w:t>
                              </w:r>
                            </w:p>
                            <w:p w14:paraId="397BF53E" w14:textId="77777777" w:rsidR="00857D8F" w:rsidRPr="005825F5" w:rsidRDefault="00857D8F" w:rsidP="00BB7660">
                              <w:pPr>
                                <w:pStyle w:val="NormalWeb"/>
                                <w:spacing w:line="260" w:lineRule="exact"/>
                                <w:jc w:val="center"/>
                                <w:rPr>
                                  <w:rFonts w:eastAsia="Calibri"/>
                                  <w:color w:val="000000" w:themeColor="text1"/>
                                  <w:sz w:val="20"/>
                                </w:rPr>
                              </w:pPr>
                              <w:r w:rsidRPr="005825F5">
                                <w:rPr>
                                  <w:rFonts w:eastAsia="Calibri"/>
                                  <w:color w:val="000000" w:themeColor="text1"/>
                                  <w:sz w:val="20"/>
                                </w:rPr>
                                <w:t>For any voluntary consumer data, the data holder may (but is not required to) ask the CDR consumer to authorise disclosure.</w:t>
                              </w:r>
                            </w:p>
                          </w:txbxContent>
                        </wps:txbx>
                        <wps:bodyPr rot="0" vert="horz" wrap="square" lIns="91440" tIns="45720" rIns="91440" bIns="45720" anchor="ctr" anchorCtr="0" upright="1">
                          <a:noAutofit/>
                        </wps:bodyPr>
                      </wps:wsp>
                      <wps:wsp>
                        <wps:cNvPr id="56" name="Down Arrow 55"/>
                        <wps:cNvSpPr>
                          <a:spLocks noChangeArrowheads="1"/>
                        </wps:cNvSpPr>
                        <wps:spPr bwMode="auto">
                          <a:xfrm>
                            <a:off x="1101511" y="2644310"/>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7" name="Rectangle 56"/>
                        <wps:cNvSpPr>
                          <a:spLocks noChangeArrowheads="1"/>
                        </wps:cNvSpPr>
                        <wps:spPr bwMode="auto">
                          <a:xfrm>
                            <a:off x="72001" y="6132223"/>
                            <a:ext cx="5090253" cy="592402"/>
                          </a:xfrm>
                          <a:prstGeom prst="rect">
                            <a:avLst/>
                          </a:prstGeom>
                          <a:solidFill>
                            <a:schemeClr val="bg1">
                              <a:lumMod val="100000"/>
                              <a:lumOff val="0"/>
                            </a:schemeClr>
                          </a:solidFill>
                          <a:ln w="3175">
                            <a:solidFill>
                              <a:srgbClr val="000000"/>
                            </a:solidFill>
                            <a:miter lim="800000"/>
                            <a:headEnd/>
                            <a:tailEnd/>
                          </a:ln>
                        </wps:spPr>
                        <wps:txbx>
                          <w:txbxContent>
                            <w:p w14:paraId="7E5C4E8F"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rPr>
                                <w:t>, and as otherwise consented to by the CDR consumer</w:t>
                              </w:r>
                              <w:r w:rsidRPr="005825F5">
                                <w:rPr>
                                  <w:rFonts w:eastAsia="Calibri"/>
                                  <w:color w:val="000000" w:themeColor="text1"/>
                                  <w:sz w:val="20"/>
                                </w:rPr>
                                <w:t>.</w:t>
                              </w:r>
                            </w:p>
                          </w:txbxContent>
                        </wps:txbx>
                        <wps:bodyPr rot="0" vert="horz" wrap="square" lIns="91440" tIns="45720" rIns="91440" bIns="45720" anchor="ctr" anchorCtr="0" upright="1">
                          <a:noAutofit/>
                        </wps:bodyPr>
                      </wps:wsp>
                      <wps:wsp>
                        <wps:cNvPr id="58" name="Down Arrow 57"/>
                        <wps:cNvSpPr>
                          <a:spLocks noChangeArrowheads="1"/>
                        </wps:cNvSpPr>
                        <wps:spPr bwMode="auto">
                          <a:xfrm>
                            <a:off x="1111712" y="5857222"/>
                            <a:ext cx="484505"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59" name="Down Arrow 58"/>
                        <wps:cNvSpPr>
                          <a:spLocks noChangeArrowheads="1"/>
                        </wps:cNvSpPr>
                        <wps:spPr bwMode="auto">
                          <a:xfrm>
                            <a:off x="1122512" y="4259316"/>
                            <a:ext cx="484505"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0" name="Rectangle 59"/>
                        <wps:cNvSpPr>
                          <a:spLocks noChangeArrowheads="1"/>
                        </wps:cNvSpPr>
                        <wps:spPr bwMode="auto">
                          <a:xfrm>
                            <a:off x="76401" y="4513617"/>
                            <a:ext cx="2526426" cy="1287105"/>
                          </a:xfrm>
                          <a:prstGeom prst="rect">
                            <a:avLst/>
                          </a:prstGeom>
                          <a:solidFill>
                            <a:schemeClr val="bg1">
                              <a:lumMod val="100000"/>
                              <a:lumOff val="0"/>
                            </a:schemeClr>
                          </a:solidFill>
                          <a:ln w="3175">
                            <a:solidFill>
                              <a:srgbClr val="000000"/>
                            </a:solidFill>
                            <a:miter lim="800000"/>
                            <a:headEnd/>
                            <a:tailEnd/>
                          </a:ln>
                        </wps:spPr>
                        <wps:txbx>
                          <w:txbxContent>
                            <w:p w14:paraId="2CFEB672" w14:textId="77777777" w:rsidR="00857D8F" w:rsidRPr="005825F5" w:rsidRDefault="00857D8F" w:rsidP="00BB7660">
                              <w:pPr>
                                <w:pStyle w:val="NormalWeb"/>
                                <w:spacing w:after="60" w:line="260" w:lineRule="exact"/>
                                <w:jc w:val="center"/>
                                <w:rPr>
                                  <w:color w:val="000000" w:themeColor="text1"/>
                                </w:rPr>
                              </w:pPr>
                              <w:r w:rsidRPr="005825F5">
                                <w:rPr>
                                  <w:rFonts w:eastAsia="Calibri"/>
                                  <w:color w:val="000000" w:themeColor="text1"/>
                                  <w:sz w:val="20"/>
                                </w:rPr>
                                <w:t>The data holder must disclose, to the accredited person, the required consumer data it is authorised to disclose, and may disclose the voluntary consumer data it is authorised to disclose. </w:t>
                              </w:r>
                            </w:p>
                            <w:p w14:paraId="42AA05E9"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In either case, the data is disclosed through the data holder’s direct request service.</w:t>
                              </w:r>
                            </w:p>
                          </w:txbxContent>
                        </wps:txbx>
                        <wps:bodyPr rot="0" vert="horz" wrap="square" lIns="91440" tIns="45720" rIns="91440" bIns="45720" anchor="ctr" anchorCtr="0" upright="1">
                          <a:noAutofit/>
                        </wps:bodyPr>
                      </wps:wsp>
                      <wps:wsp>
                        <wps:cNvPr id="61" name="Rectangle 61"/>
                        <wps:cNvSpPr>
                          <a:spLocks noChangeArrowheads="1"/>
                        </wps:cNvSpPr>
                        <wps:spPr bwMode="auto">
                          <a:xfrm>
                            <a:off x="2722228" y="1628706"/>
                            <a:ext cx="2426625" cy="951904"/>
                          </a:xfrm>
                          <a:prstGeom prst="rect">
                            <a:avLst/>
                          </a:prstGeom>
                          <a:solidFill>
                            <a:schemeClr val="bg1">
                              <a:lumMod val="100000"/>
                              <a:lumOff val="0"/>
                            </a:schemeClr>
                          </a:solidFill>
                          <a:ln w="3175">
                            <a:solidFill>
                              <a:srgbClr val="000000"/>
                            </a:solidFill>
                            <a:miter lim="800000"/>
                            <a:headEnd/>
                            <a:tailEnd/>
                          </a:ln>
                        </wps:spPr>
                        <wps:txbx>
                          <w:txbxContent>
                            <w:p w14:paraId="33369200" w14:textId="77777777" w:rsidR="00857D8F" w:rsidRPr="005825F5" w:rsidRDefault="00857D8F" w:rsidP="00BB7660">
                              <w:pPr>
                                <w:pStyle w:val="NormalWeb"/>
                                <w:spacing w:line="260" w:lineRule="exact"/>
                                <w:jc w:val="center"/>
                                <w:rPr>
                                  <w:rFonts w:eastAsia="Calibri"/>
                                  <w:b/>
                                  <w:color w:val="000000" w:themeColor="text1"/>
                                  <w:sz w:val="20"/>
                                </w:rPr>
                              </w:pPr>
                              <w:r w:rsidRPr="005825F5">
                                <w:rPr>
                                  <w:rFonts w:eastAsia="Calibri"/>
                                  <w:b/>
                                  <w:color w:val="000000" w:themeColor="text1"/>
                                  <w:sz w:val="20"/>
                                </w:rPr>
                                <w:t>Consumer data request to accredited data recipient</w:t>
                              </w:r>
                            </w:p>
                            <w:p w14:paraId="4F8BD59A"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The accredited person makes a consumer data request, on the CDR consumer’s behalf, to an accredited data recipient.</w:t>
                              </w:r>
                            </w:p>
                          </w:txbxContent>
                        </wps:txbx>
                        <wps:bodyPr rot="0" vert="horz" wrap="square" lIns="91440" tIns="45720" rIns="91440" bIns="45720" anchor="ctr" anchorCtr="0" upright="1">
                          <a:noAutofit/>
                        </wps:bodyPr>
                      </wps:wsp>
                      <wps:wsp>
                        <wps:cNvPr id="62" name="Rectangle 62"/>
                        <wps:cNvSpPr>
                          <a:spLocks noChangeArrowheads="1"/>
                        </wps:cNvSpPr>
                        <wps:spPr bwMode="auto">
                          <a:xfrm>
                            <a:off x="2721628" y="2907811"/>
                            <a:ext cx="2426625" cy="1302205"/>
                          </a:xfrm>
                          <a:prstGeom prst="rect">
                            <a:avLst/>
                          </a:prstGeom>
                          <a:solidFill>
                            <a:schemeClr val="bg1">
                              <a:lumMod val="100000"/>
                              <a:lumOff val="0"/>
                            </a:schemeClr>
                          </a:solidFill>
                          <a:ln w="3175">
                            <a:solidFill>
                              <a:srgbClr val="000000"/>
                            </a:solidFill>
                            <a:miter lim="800000"/>
                            <a:headEnd/>
                            <a:tailEnd/>
                          </a:ln>
                        </wps:spPr>
                        <wps:txbx>
                          <w:txbxContent>
                            <w:p w14:paraId="197A2047"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The accredited data recipient may (but is not required to) ask the CDR consumer to consent to it disclosing the requested CDR data to the accredited person</w:t>
                              </w:r>
                              <w:r w:rsidRPr="00275F9C">
                                <w:rPr>
                                  <w:rFonts w:eastAsia="Calibri"/>
                                  <w:sz w:val="20"/>
                                </w:rPr>
                                <w:t>, if such a consent is not already in place</w:t>
                              </w:r>
                              <w:r w:rsidRPr="005825F5">
                                <w:rPr>
                                  <w:rFonts w:eastAsia="Calibri"/>
                                  <w:color w:val="000000" w:themeColor="text1"/>
                                  <w:sz w:val="20"/>
                                </w:rPr>
                                <w:t>.</w:t>
                              </w:r>
                            </w:p>
                          </w:txbxContent>
                        </wps:txbx>
                        <wps:bodyPr rot="0" vert="horz" wrap="square" lIns="91440" tIns="45720" rIns="91440" bIns="45720" anchor="ctr" anchorCtr="0" upright="1">
                          <a:noAutofit/>
                        </wps:bodyPr>
                      </wps:wsp>
                      <wps:wsp>
                        <wps:cNvPr id="63" name="Down Arrow 63"/>
                        <wps:cNvSpPr>
                          <a:spLocks noChangeArrowheads="1"/>
                        </wps:cNvSpPr>
                        <wps:spPr bwMode="auto">
                          <a:xfrm>
                            <a:off x="3780439" y="2644310"/>
                            <a:ext cx="382504"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4" name="Rectangle 64"/>
                        <wps:cNvSpPr>
                          <a:spLocks noChangeArrowheads="1"/>
                        </wps:cNvSpPr>
                        <wps:spPr bwMode="auto">
                          <a:xfrm>
                            <a:off x="2735529" y="4513617"/>
                            <a:ext cx="2426725" cy="1287105"/>
                          </a:xfrm>
                          <a:prstGeom prst="rect">
                            <a:avLst/>
                          </a:prstGeom>
                          <a:solidFill>
                            <a:schemeClr val="bg1">
                              <a:lumMod val="100000"/>
                              <a:lumOff val="0"/>
                            </a:schemeClr>
                          </a:solidFill>
                          <a:ln w="3175">
                            <a:solidFill>
                              <a:srgbClr val="000000"/>
                            </a:solidFill>
                            <a:miter lim="800000"/>
                            <a:headEnd/>
                            <a:tailEnd/>
                          </a:ln>
                        </wps:spPr>
                        <wps:txbx>
                          <w:txbxContent>
                            <w:p w14:paraId="72E75AE4"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 xml:space="preserve">If the CDR consumer gives </w:t>
                              </w:r>
                              <w:r w:rsidRPr="00275F9C">
                                <w:rPr>
                                  <w:rFonts w:eastAsia="Calibri"/>
                                  <w:sz w:val="20"/>
                                </w:rPr>
                                <w:t>or has given</w:t>
                              </w:r>
                              <w:r w:rsidRPr="00572C56">
                                <w:rPr>
                                  <w:rFonts w:eastAsia="Calibri"/>
                                  <w:color w:val="000000" w:themeColor="text1"/>
                                  <w:sz w:val="20"/>
                                </w:rPr>
                                <w:t xml:space="preserve"> </w:t>
                              </w:r>
                              <w:r w:rsidRPr="005825F5">
                                <w:rPr>
                                  <w:rFonts w:eastAsia="Calibri"/>
                                  <w:color w:val="000000" w:themeColor="text1"/>
                                  <w:sz w:val="20"/>
                                </w:rPr>
                                <w:t xml:space="preserve">a disclosure consent, the accredited data recipient may (but is not required to) disclose the requested CDR data to the accredited person. </w:t>
                              </w:r>
                            </w:p>
                          </w:txbxContent>
                        </wps:txbx>
                        <wps:bodyPr rot="0" vert="horz" wrap="square" lIns="91440" tIns="45720" rIns="91440" bIns="45720" anchor="ctr" anchorCtr="0" upright="1">
                          <a:noAutofit/>
                        </wps:bodyPr>
                      </wps:wsp>
                      <wps:wsp>
                        <wps:cNvPr id="65" name="Down Arrow 65"/>
                        <wps:cNvSpPr>
                          <a:spLocks noChangeArrowheads="1"/>
                        </wps:cNvSpPr>
                        <wps:spPr bwMode="auto">
                          <a:xfrm>
                            <a:off x="3780439" y="4251416"/>
                            <a:ext cx="382504" cy="2064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6" name="Down Arrow 67"/>
                        <wps:cNvSpPr>
                          <a:spLocks noChangeArrowheads="1"/>
                        </wps:cNvSpPr>
                        <wps:spPr bwMode="auto">
                          <a:xfrm>
                            <a:off x="3726039" y="5857222"/>
                            <a:ext cx="382504" cy="2063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7" name="Down Arrow 68"/>
                        <wps:cNvSpPr>
                          <a:spLocks noChangeArrowheads="1"/>
                        </wps:cNvSpPr>
                        <wps:spPr bwMode="auto">
                          <a:xfrm>
                            <a:off x="3734239" y="13512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68" name="Down Arrow 69"/>
                        <wps:cNvSpPr>
                          <a:spLocks noChangeArrowheads="1"/>
                        </wps:cNvSpPr>
                        <wps:spPr bwMode="auto">
                          <a:xfrm>
                            <a:off x="1132012" y="1361405"/>
                            <a:ext cx="484505" cy="207001"/>
                          </a:xfrm>
                          <a:prstGeom prst="downArrow">
                            <a:avLst>
                              <a:gd name="adj1" fmla="val 50000"/>
                              <a:gd name="adj2" fmla="val 50000"/>
                            </a:avLst>
                          </a:prstGeom>
                          <a:noFill/>
                          <a:ln w="0">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7F23B56D" id="Canvas 69" o:spid="_x0000_s1036" editas="canvas" style="position:absolute;margin-left:0;margin-top:0;width:415.65pt;height:534.75pt;z-index:251659264;mso-position-horizontal-relative:char;mso-position-vertical-relative:line" coordsize="52787,6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">
                <v:shape id="_x0000_s1037" type="#_x0000_t75" style="position:absolute;width:52787;height:67913;visibility:visible;mso-wrap-style:square">
                  <v:fill o:detectmouseclick="t"/>
                  <v:path o:connecttype="none"/>
                </v:shape>
                <v:rect id="Rectangle 49" o:spid="_x0000_s1038" style="position:absolute;left:847;top:571;width:50717;height:4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" fillcolor="white [3212]" strokeweight=".25pt">
                  <v:textbox>
                    <w:txbxContent>
                      <w:p w14:paraId="205D3DC1" w14:textId="77777777" w:rsidR="00857D8F" w:rsidRPr="005825F5" w:rsidRDefault="00857D8F" w:rsidP="00BB7660">
                        <w:pPr>
                          <w:pStyle w:val="NormalWeb"/>
                          <w:spacing w:line="260" w:lineRule="exact"/>
                          <w:jc w:val="center"/>
                          <w:rPr>
                            <w:rFonts w:eastAsia="Calibri"/>
                            <w:color w:val="000000" w:themeColor="text1"/>
                            <w:sz w:val="20"/>
                          </w:rPr>
                        </w:pPr>
                        <w:r w:rsidRPr="005825F5">
                          <w:rPr>
                            <w:rFonts w:eastAsia="Calibri"/>
                            <w:color w:val="000000" w:themeColor="text1"/>
                            <w:sz w:val="20"/>
                          </w:rPr>
                          <w:t>A CDR consumer has requested an accredited person to provide goods or services, which require the use of the CDR consumer’s CDR data.</w:t>
                        </w:r>
                      </w:p>
                    </w:txbxContent>
                  </v:textbox>
                </v:rect>
                <v:rect id="Rectangle 50" o:spid="_x0000_s1039" style="position:absolute;left:802;top:8477;width:50686;height:4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" fillcolor="white [3212]" strokeweight=".25pt">
                  <v:textbox>
                    <w:txbxContent>
                      <w:p w14:paraId="4AE5B17B" w14:textId="77777777" w:rsidR="00857D8F" w:rsidRPr="005825F5" w:rsidRDefault="00857D8F" w:rsidP="00BB7660">
                        <w:pPr>
                          <w:jc w:val="center"/>
                          <w:rPr>
                            <w:color w:val="000000" w:themeColor="text1"/>
                          </w:rPr>
                        </w:pPr>
                        <w:r w:rsidRPr="005825F5">
                          <w:rPr>
                            <w:color w:val="000000" w:themeColor="text1"/>
                            <w:sz w:val="20"/>
                          </w:rPr>
                          <w:t>The CDR consumer consents to the accredited person collecting certain specified CDR data from a CDR participant and using it to provide those goods or serv</w:t>
                        </w:r>
                        <w:r w:rsidRPr="005825F5">
                          <w:rPr>
                            <w:color w:val="000000" w:themeColor="text1"/>
                          </w:rPr>
                          <w:t>ices.</w:t>
                        </w:r>
                      </w:p>
                      <w:p w14:paraId="68D69406" w14:textId="77777777" w:rsidR="00857D8F" w:rsidRPr="00572C56" w:rsidRDefault="00857D8F" w:rsidP="00BB7660">
                        <w:pPr>
                          <w:rPr>
                            <w:color w:val="000000" w:themeColor="text1"/>
                          </w:rPr>
                        </w:pPr>
                      </w:p>
                    </w:txbxContent>
                  </v:textbox>
                </v:rect>
                <v:shape id="Down Arrow 51" o:spid="_x0000_s1040" type="#_x0000_t67" style="position:absolute;left:24079;top:5745;width:4846;height:20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" adj="10800" filled="f" strokecolor="black [3213]" strokeweight="0"/>
                <v:rect id="Rectangle 52" o:spid="_x0000_s1041" style="position:absolute;left:802;top:16287;width:25023;height:95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" fillcolor="white [3212]" strokeweight=".25pt">
                  <v:textbox>
                    <w:txbxContent>
                      <w:p w14:paraId="4AAA9329" w14:textId="77777777" w:rsidR="00857D8F" w:rsidRPr="005825F5" w:rsidRDefault="00857D8F" w:rsidP="00BB7660">
                        <w:pPr>
                          <w:pStyle w:val="NormalWeb"/>
                          <w:spacing w:line="260" w:lineRule="exact"/>
                          <w:jc w:val="center"/>
                          <w:rPr>
                            <w:rFonts w:eastAsia="Calibri"/>
                            <w:b/>
                            <w:color w:val="000000" w:themeColor="text1"/>
                            <w:sz w:val="20"/>
                            <w:szCs w:val="22"/>
                          </w:rPr>
                        </w:pPr>
                        <w:r w:rsidRPr="005825F5">
                          <w:rPr>
                            <w:rFonts w:eastAsia="Calibri"/>
                            <w:b/>
                            <w:color w:val="000000" w:themeColor="text1"/>
                            <w:sz w:val="20"/>
                            <w:szCs w:val="22"/>
                          </w:rPr>
                          <w:t>Consumer data request to data holder</w:t>
                        </w:r>
                      </w:p>
                      <w:p w14:paraId="0CDC77B8"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szCs w:val="22"/>
                          </w:rPr>
                          <w:t>The accredited person makes a consumer data request, on the CDR consumer’s behalf, to a data holder using the data holder’s accredited person request service.</w:t>
                        </w:r>
                      </w:p>
                    </w:txbxContent>
                  </v:textbox>
                </v:rect>
                <v:rect id="Rectangle 54" o:spid="_x0000_s1042" style="position:absolute;left:799;top:28949;width:24943;height:13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" fillcolor="white [3212]" strokeweight=".25pt">
                  <v:textbox>
                    <w:txbxContent>
                      <w:p w14:paraId="077548F1" w14:textId="77777777" w:rsidR="00857D8F" w:rsidRPr="005825F5" w:rsidRDefault="00857D8F" w:rsidP="00BB7660">
                        <w:pPr>
                          <w:pStyle w:val="NormalWeb"/>
                          <w:spacing w:after="60" w:line="260" w:lineRule="exact"/>
                          <w:jc w:val="center"/>
                          <w:rPr>
                            <w:color w:val="000000" w:themeColor="text1"/>
                          </w:rPr>
                        </w:pPr>
                        <w:r w:rsidRPr="005825F5">
                          <w:rPr>
                            <w:rFonts w:eastAsia="Calibri"/>
                            <w:color w:val="000000" w:themeColor="text1"/>
                            <w:sz w:val="20"/>
                          </w:rPr>
                          <w:t>For any required consumer data, the data holder must (unless covered by an exception) ask the CDR consumer to authorise disclosure of the requested data. </w:t>
                        </w:r>
                      </w:p>
                      <w:p w14:paraId="397BF53E" w14:textId="77777777" w:rsidR="00857D8F" w:rsidRPr="005825F5" w:rsidRDefault="00857D8F" w:rsidP="00BB7660">
                        <w:pPr>
                          <w:pStyle w:val="NormalWeb"/>
                          <w:spacing w:line="260" w:lineRule="exact"/>
                          <w:jc w:val="center"/>
                          <w:rPr>
                            <w:rFonts w:eastAsia="Calibri"/>
                            <w:color w:val="000000" w:themeColor="text1"/>
                            <w:sz w:val="20"/>
                          </w:rPr>
                        </w:pPr>
                        <w:r w:rsidRPr="005825F5">
                          <w:rPr>
                            <w:rFonts w:eastAsia="Calibri"/>
                            <w:color w:val="000000" w:themeColor="text1"/>
                            <w:sz w:val="20"/>
                          </w:rPr>
                          <w:t>For any voluntary consumer data, the data holder may (but is not required to) ask the CDR consumer to authorise disclosure.</w:t>
                        </w:r>
                      </w:p>
                    </w:txbxContent>
                  </v:textbox>
                </v:rect>
                <v:shape id="Down Arrow 55" o:spid="_x0000_s1043" type="#_x0000_t67" style="position:absolute;left:11015;top:26443;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" adj="10800" filled="f" strokecolor="black [3213]" strokeweight="0"/>
                <v:rect id="Rectangle 56" o:spid="_x0000_s1044" style="position:absolute;left:720;top:61322;width:50902;height:5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" fillcolor="white [3212]" strokeweight=".25pt">
                  <v:textbox>
                    <w:txbxContent>
                      <w:p w14:paraId="7E5C4E8F"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The accredited person may use and disclose the CDR data it collects as a result of the consumer data request, in accordance with the Act and these rules, to provide the requested goods and services to the CDR consumer</w:t>
                        </w:r>
                        <w:r>
                          <w:rPr>
                            <w:rFonts w:eastAsia="Calibri"/>
                            <w:color w:val="000000" w:themeColor="text1"/>
                            <w:sz w:val="20"/>
                          </w:rPr>
                          <w:t>, and as otherwise consented to by the CDR consumer</w:t>
                        </w:r>
                        <w:r w:rsidRPr="005825F5">
                          <w:rPr>
                            <w:rFonts w:eastAsia="Calibri"/>
                            <w:color w:val="000000" w:themeColor="text1"/>
                            <w:sz w:val="20"/>
                          </w:rPr>
                          <w:t>.</w:t>
                        </w:r>
                      </w:p>
                    </w:txbxContent>
                  </v:textbox>
                </v:rect>
                <v:shape id="Down Arrow 57" o:spid="_x0000_s1045" type="#_x0000_t67" style="position:absolute;left:11117;top:58572;width:484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" adj="10800" filled="f" strokecolor="black [3213]" strokeweight="0"/>
                <v:shape id="Down Arrow 58" o:spid="_x0000_s1046" type="#_x0000_t67" style="position:absolute;left:11225;top:42593;width:484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" adj="10800" filled="f" strokecolor="black [3213]" strokeweight="0"/>
                <v:rect id="Rectangle 59" o:spid="_x0000_s1047" style="position:absolute;left:764;top:45136;width:25264;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" fillcolor="white [3212]" strokeweight=".25pt">
                  <v:textbox>
                    <w:txbxContent>
                      <w:p w14:paraId="2CFEB672" w14:textId="77777777" w:rsidR="00857D8F" w:rsidRPr="005825F5" w:rsidRDefault="00857D8F" w:rsidP="00BB7660">
                        <w:pPr>
                          <w:pStyle w:val="NormalWeb"/>
                          <w:spacing w:after="60" w:line="260" w:lineRule="exact"/>
                          <w:jc w:val="center"/>
                          <w:rPr>
                            <w:color w:val="000000" w:themeColor="text1"/>
                          </w:rPr>
                        </w:pPr>
                        <w:r w:rsidRPr="005825F5">
                          <w:rPr>
                            <w:rFonts w:eastAsia="Calibri"/>
                            <w:color w:val="000000" w:themeColor="text1"/>
                            <w:sz w:val="20"/>
                          </w:rPr>
                          <w:t>The data holder must disclose, to the accredited person, the required consumer data it is authorised to disclose, and may disclose the voluntary consumer data it is authorised to disclose. </w:t>
                        </w:r>
                      </w:p>
                      <w:p w14:paraId="42AA05E9"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In either case, the data is disclosed through the data holder’s direct request service.</w:t>
                        </w:r>
                      </w:p>
                    </w:txbxContent>
                  </v:textbox>
                </v:rect>
                <v:rect id="Rectangle 61" o:spid="_x0000_s1048" style="position:absolute;left:27222;top:16287;width:24266;height:95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" fillcolor="white [3212]" strokeweight=".25pt">
                  <v:textbox>
                    <w:txbxContent>
                      <w:p w14:paraId="33369200" w14:textId="77777777" w:rsidR="00857D8F" w:rsidRPr="005825F5" w:rsidRDefault="00857D8F" w:rsidP="00BB7660">
                        <w:pPr>
                          <w:pStyle w:val="NormalWeb"/>
                          <w:spacing w:line="260" w:lineRule="exact"/>
                          <w:jc w:val="center"/>
                          <w:rPr>
                            <w:rFonts w:eastAsia="Calibri"/>
                            <w:b/>
                            <w:color w:val="000000" w:themeColor="text1"/>
                            <w:sz w:val="20"/>
                          </w:rPr>
                        </w:pPr>
                        <w:r w:rsidRPr="005825F5">
                          <w:rPr>
                            <w:rFonts w:eastAsia="Calibri"/>
                            <w:b/>
                            <w:color w:val="000000" w:themeColor="text1"/>
                            <w:sz w:val="20"/>
                          </w:rPr>
                          <w:t>Consumer data request to accredited data recipient</w:t>
                        </w:r>
                      </w:p>
                      <w:p w14:paraId="4F8BD59A"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The accredited person makes a consumer data request, on the CDR consumer’s behalf, to an accredited data recipient.</w:t>
                        </w:r>
                      </w:p>
                    </w:txbxContent>
                  </v:textbox>
                </v:rect>
                <v:rect id="Rectangle 62" o:spid="_x0000_s1049" style="position:absolute;left:27216;top:29078;width:24266;height:1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" fillcolor="white [3212]" strokeweight=".25pt">
                  <v:textbox>
                    <w:txbxContent>
                      <w:p w14:paraId="197A2047"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The accredited data recipient may (but is not required to) ask the CDR consumer to consent to it disclosing the requested CDR data to the accredited person</w:t>
                        </w:r>
                        <w:r w:rsidRPr="00275F9C">
                          <w:rPr>
                            <w:rFonts w:eastAsia="Calibri"/>
                            <w:sz w:val="20"/>
                          </w:rPr>
                          <w:t>, if such a consent is not already in place</w:t>
                        </w:r>
                        <w:r w:rsidRPr="005825F5">
                          <w:rPr>
                            <w:rFonts w:eastAsia="Calibri"/>
                            <w:color w:val="000000" w:themeColor="text1"/>
                            <w:sz w:val="20"/>
                          </w:rPr>
                          <w:t>.</w:t>
                        </w:r>
                      </w:p>
                    </w:txbxContent>
                  </v:textbox>
                </v:rect>
                <v:shape id="Down Arrow 63" o:spid="_x0000_s1050" type="#_x0000_t67" style="position:absolute;left:37804;top:26443;width:382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E2kxAAAANsAAAAPAAAAZHJzL2Rvd25yZXYueG1sRI9Ba8JA&#10;FITvgv9heUJvZpMWbI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ORITaTEAAAA2wAAAA8A&#10;AAAAAAAAAAAAAAAABwIAAGRycy9kb3ducmV2LnhtbFBLBQYAAAAAAwADALcAAAD4AgAAAAA=&#10;" adj="10800" filled="f" strokecolor="black [3213]" strokeweight="0"/>
                <v:rect id="Rectangle 64" o:spid="_x0000_s1051" style="position:absolute;left:27355;top:45136;width:24267;height:128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" fillcolor="white [3212]" strokeweight=".25pt">
                  <v:textbox>
                    <w:txbxContent>
                      <w:p w14:paraId="72E75AE4" w14:textId="77777777" w:rsidR="00857D8F" w:rsidRPr="005825F5" w:rsidRDefault="00857D8F" w:rsidP="00BB7660">
                        <w:pPr>
                          <w:pStyle w:val="NormalWeb"/>
                          <w:spacing w:line="260" w:lineRule="exact"/>
                          <w:jc w:val="center"/>
                          <w:rPr>
                            <w:color w:val="000000" w:themeColor="text1"/>
                          </w:rPr>
                        </w:pPr>
                        <w:r w:rsidRPr="005825F5">
                          <w:rPr>
                            <w:rFonts w:eastAsia="Calibri"/>
                            <w:color w:val="000000" w:themeColor="text1"/>
                            <w:sz w:val="20"/>
                          </w:rPr>
                          <w:t xml:space="preserve">If the CDR consumer gives </w:t>
                        </w:r>
                        <w:r w:rsidRPr="00275F9C">
                          <w:rPr>
                            <w:rFonts w:eastAsia="Calibri"/>
                            <w:sz w:val="20"/>
                          </w:rPr>
                          <w:t>or has given</w:t>
                        </w:r>
                        <w:r w:rsidRPr="00572C56">
                          <w:rPr>
                            <w:rFonts w:eastAsia="Calibri"/>
                            <w:color w:val="000000" w:themeColor="text1"/>
                            <w:sz w:val="20"/>
                          </w:rPr>
                          <w:t xml:space="preserve"> </w:t>
                        </w:r>
                        <w:r w:rsidRPr="005825F5">
                          <w:rPr>
                            <w:rFonts w:eastAsia="Calibri"/>
                            <w:color w:val="000000" w:themeColor="text1"/>
                            <w:sz w:val="20"/>
                          </w:rPr>
                          <w:t xml:space="preserve">a disclosure consent, the accredited data recipient may (but is not required to) disclose the requested CDR data to the accredited person. </w:t>
                        </w:r>
                      </w:p>
                    </w:txbxContent>
                  </v:textbox>
                </v:rect>
                <v:shape id="Down Arrow 65" o:spid="_x0000_s1052" type="#_x0000_t67" style="position:absolute;left:37804;top:42514;width:3825;height:2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" adj="10800" filled="f" strokecolor="black [3213]" strokeweight="0"/>
                <v:shape id="Down Arrow 67" o:spid="_x0000_s1053" type="#_x0000_t67" style="position:absolute;left:37260;top:58572;width:3825;height:20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" adj="10800" filled="f" strokecolor="black [3213]" strokeweight="0"/>
                <v:shape id="Down Arrow 68" o:spid="_x0000_s1054" type="#_x0000_t67" style="position:absolute;left:37342;top:13512;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" adj="10800" filled="f" strokecolor="black [3213]" strokeweight="0"/>
                <v:shape id="Down Arrow 69" o:spid="_x0000_s1055" type="#_x0000_t67" style="position:absolute;left:11320;top:13614;width:4845;height:2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" adj="10800" filled="f" strokecolor="black [3213]" strokeweight="0"/>
                <w10:wrap anchory="line"/>
              </v:group>
            </w:pict>
          </mc:Fallback>
        </mc:AlternateContent>
      </w:r>
      <w:r>
        <w:rPr>
          <w:noProof/>
        </w:rPr>
        <mc:AlternateContent>
          <mc:Choice Requires="wps">
            <w:drawing>
              <wp:inline distT="0" distB="0" distL="0" distR="0" wp14:anchorId="0A9A0288" wp14:editId="515FDFE4">
                <wp:extent cx="5280660" cy="6797040"/>
                <wp:effectExtent l="0" t="0" r="0" b="0"/>
                <wp:docPr id="50" name="Rectangle 5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280660" cy="679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8F8B0A" id="Rectangle 50" o:spid="_x0000_s1026" style="width:415.8pt;height:535.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" filled="f" stroked="f">
                <o:lock v:ext="edit" aspectratio="t"/>
                <w10:anchorlock/>
              </v:rect>
            </w:pict>
          </mc:Fallback>
        </mc:AlternateContent>
      </w:r>
    </w:p>
    <w:p w14:paraId="3096DFBB" w14:textId="77777777" w:rsidR="00BB7660" w:rsidRPr="00ED4F4B" w:rsidRDefault="00BB7660" w:rsidP="00BB7660">
      <w:pPr>
        <w:pStyle w:val="ActHead4"/>
      </w:pPr>
      <w:bookmarkStart w:id="142" w:name="_Toc50114022"/>
      <w:bookmarkStart w:id="143" w:name="_Toc57219013"/>
      <w:bookmarkStart w:id="144" w:name="_Toc59549127"/>
      <w:bookmarkStart w:id="145" w:name="_Toc111132028"/>
      <w:r w:rsidRPr="00ED4F4B">
        <w:t>Subdivision 4.2.2—Requests to seek to collect CDR data from CDR participants</w:t>
      </w:r>
      <w:bookmarkEnd w:id="142"/>
      <w:bookmarkEnd w:id="143"/>
      <w:bookmarkEnd w:id="144"/>
      <w:bookmarkEnd w:id="145"/>
    </w:p>
    <w:p w14:paraId="2711C900" w14:textId="77777777" w:rsidR="00BB7660" w:rsidRPr="00F07699" w:rsidRDefault="00BB7660" w:rsidP="00BB7660">
      <w:pPr>
        <w:pStyle w:val="ActHead5"/>
      </w:pPr>
      <w:bookmarkStart w:id="146" w:name="_Toc111132029"/>
      <w:r w:rsidRPr="00F07699">
        <w:t>4.3  Request for accredited person to seek to collect CDR data</w:t>
      </w:r>
      <w:bookmarkEnd w:id="133"/>
      <w:bookmarkEnd w:id="134"/>
      <w:bookmarkEnd w:id="135"/>
      <w:bookmarkEnd w:id="136"/>
      <w:bookmarkEnd w:id="146"/>
    </w:p>
    <w:p w14:paraId="7058C416" w14:textId="77777777" w:rsidR="00BB7660" w:rsidRPr="00F07699" w:rsidRDefault="00BB7660" w:rsidP="00BB7660">
      <w:pPr>
        <w:pStyle w:val="subsection"/>
      </w:pPr>
      <w:r w:rsidRPr="00F07699">
        <w:tab/>
        <w:t>(1)</w:t>
      </w:r>
      <w:r w:rsidRPr="00F07699">
        <w:tab/>
        <w:t>This rule applies if:</w:t>
      </w:r>
    </w:p>
    <w:p w14:paraId="18677DF3" w14:textId="77777777" w:rsidR="00BB7660" w:rsidRPr="00F07699" w:rsidRDefault="00BB7660" w:rsidP="00BB7660">
      <w:pPr>
        <w:pStyle w:val="paragraph"/>
      </w:pPr>
      <w:r w:rsidRPr="00F07699">
        <w:lastRenderedPageBreak/>
        <w:tab/>
        <w:t>(a)</w:t>
      </w:r>
      <w:r w:rsidRPr="00F07699">
        <w:tab/>
        <w:t>a CDR consumer requests an accredited person to provide goods or services to the CDR consumer or to another person; and</w:t>
      </w:r>
    </w:p>
    <w:p w14:paraId="555793CA" w14:textId="77777777" w:rsidR="00BB7660" w:rsidRPr="00ED4F4B" w:rsidRDefault="00BB7660" w:rsidP="00BB7660">
      <w:pPr>
        <w:pStyle w:val="paragraph"/>
      </w:pPr>
      <w:r w:rsidRPr="00ED4F4B">
        <w:tab/>
        <w:t>(b)</w:t>
      </w:r>
      <w:r w:rsidRPr="00ED4F4B">
        <w:tab/>
        <w:t>the accredited person needs to collect the CDR consumer’s CDR data from a CDR participant under these rules and use it in order to provide those goods or services.</w:t>
      </w:r>
    </w:p>
    <w:p w14:paraId="1BCD9549" w14:textId="77777777" w:rsidR="00BB7660" w:rsidRPr="00ED4F4B" w:rsidRDefault="00BB7660" w:rsidP="00BB7660">
      <w:pPr>
        <w:pStyle w:val="subsection"/>
      </w:pPr>
      <w:r w:rsidRPr="00ED4F4B">
        <w:tab/>
        <w:t>(2)</w:t>
      </w:r>
      <w:r w:rsidRPr="00ED4F4B">
        <w:tab/>
        <w:t>The accredited person may, in accordance with Division 4.3, ask the CDR consumer to give:</w:t>
      </w:r>
    </w:p>
    <w:p w14:paraId="38E4D063" w14:textId="77777777" w:rsidR="00BB7660" w:rsidRPr="00ED4F4B" w:rsidRDefault="00BB7660" w:rsidP="00BB7660">
      <w:pPr>
        <w:pStyle w:val="paragraph"/>
      </w:pPr>
      <w:r>
        <w:tab/>
        <w:t>(a)</w:t>
      </w:r>
      <w:r>
        <w:tab/>
        <w:t xml:space="preserve">a collection consent for </w:t>
      </w:r>
      <w:r w:rsidRPr="00ED4F4B">
        <w:t>the accredited person to collect their CDR data from the CDR participant; and</w:t>
      </w:r>
    </w:p>
    <w:p w14:paraId="3D1B28A7" w14:textId="77777777" w:rsidR="00BB7660" w:rsidRPr="00ED4F4B" w:rsidRDefault="00BB7660" w:rsidP="00BB7660">
      <w:pPr>
        <w:pStyle w:val="paragraph"/>
      </w:pPr>
      <w:r w:rsidRPr="00ED4F4B">
        <w:tab/>
        <w:t>(b)</w:t>
      </w:r>
      <w:r w:rsidRPr="00ED4F4B">
        <w:tab/>
        <w:t>a use consent for the accredited person to use that CDR data;</w:t>
      </w:r>
    </w:p>
    <w:p w14:paraId="55F35B78" w14:textId="77777777" w:rsidR="00BB7660" w:rsidRPr="00ED4F4B" w:rsidRDefault="00BB7660" w:rsidP="00BB7660">
      <w:pPr>
        <w:pStyle w:val="subsection"/>
        <w:spacing w:before="40"/>
      </w:pPr>
      <w:r w:rsidRPr="00ED4F4B">
        <w:tab/>
      </w:r>
      <w:r w:rsidRPr="00ED4F4B">
        <w:tab/>
        <w:t>in order to provide those goods or services.</w:t>
      </w:r>
    </w:p>
    <w:p w14:paraId="7408EB66" w14:textId="77777777" w:rsidR="00BB7660" w:rsidRPr="00F07699" w:rsidRDefault="00BB7660" w:rsidP="00BB7660">
      <w:pPr>
        <w:pStyle w:val="notetext"/>
      </w:pPr>
      <w:r w:rsidRPr="00F07699">
        <w:t>Note 1:</w:t>
      </w:r>
      <w:r w:rsidRPr="00F07699">
        <w:tab/>
        <w:t>In order to provide goods or services in accordance with the CDR consumer’s request, it might be necessary for the accredited person to request CDR data from more than 1</w:t>
      </w:r>
      <w:r w:rsidRPr="000639C3">
        <w:t xml:space="preserve"> </w:t>
      </w:r>
      <w:r w:rsidRPr="00ED4F4B">
        <w:t>CDR participant.</w:t>
      </w:r>
    </w:p>
    <w:p w14:paraId="153B9BF9" w14:textId="77777777" w:rsidR="00E915F8" w:rsidRPr="00B44A39" w:rsidRDefault="00E915F8" w:rsidP="00E915F8">
      <w:pPr>
        <w:pStyle w:val="notetext"/>
        <w:rPr>
          <w:color w:val="0000FF"/>
        </w:rPr>
      </w:pPr>
      <w:r w:rsidRPr="00B44A39">
        <w:rPr>
          <w:color w:val="0000FF"/>
        </w:rPr>
        <w:t>Note 2:</w:t>
      </w:r>
      <w:r w:rsidRPr="00B44A39">
        <w:rPr>
          <w:color w:val="0000FF"/>
        </w:rPr>
        <w:tab/>
        <w:t>The CDR data may be collected and used only in accordance with the data minimisation principle: see rule 1.8.</w:t>
      </w:r>
    </w:p>
    <w:p w14:paraId="2ADB52EF" w14:textId="77777777" w:rsidR="00B44A39" w:rsidRPr="00B44A39" w:rsidRDefault="00B44A39" w:rsidP="00B44A39">
      <w:pPr>
        <w:pStyle w:val="notetext"/>
        <w:rPr>
          <w:strike/>
          <w:color w:val="0000FF"/>
        </w:rPr>
      </w:pPr>
      <w:r w:rsidRPr="00B44A39">
        <w:rPr>
          <w:strike/>
          <w:color w:val="0000FF"/>
        </w:rPr>
        <w:t>Note 2:</w:t>
      </w:r>
      <w:r w:rsidRPr="00B44A39">
        <w:rPr>
          <w:strike/>
          <w:color w:val="0000FF"/>
        </w:rPr>
        <w:tab/>
        <w:t>The accredited person is able to collect and use CDR data only in accordance with the data minimisation principle: see rule 1.8.</w:t>
      </w:r>
    </w:p>
    <w:p w14:paraId="3B096C7F" w14:textId="77777777" w:rsidR="00BB7660" w:rsidRPr="00A00F6F" w:rsidRDefault="00BB7660" w:rsidP="00BB7660">
      <w:pPr>
        <w:pStyle w:val="subsection"/>
      </w:pPr>
      <w:r w:rsidRPr="00A00F6F">
        <w:tab/>
        <w:t>(2A)</w:t>
      </w:r>
      <w:r w:rsidRPr="00A00F6F">
        <w:tab/>
        <w:t>If a CDR consumer has given a collection consent requested under subrule (2) in relation to CDR data, and whether or not the CDR data has yet been collected, the accredited person may also ask the consumer to give a disclosure consent in relation to the CDR data.</w:t>
      </w:r>
    </w:p>
    <w:p w14:paraId="73941D86" w14:textId="77777777" w:rsidR="00BB7660" w:rsidRPr="004A04A4" w:rsidRDefault="00BB7660" w:rsidP="00BB7660">
      <w:pPr>
        <w:pStyle w:val="notetext"/>
        <w:rPr>
          <w:color w:val="0000FF"/>
        </w:rPr>
      </w:pPr>
      <w:r w:rsidRPr="004A04A4">
        <w:rPr>
          <w:color w:val="0000FF"/>
        </w:rPr>
        <w:t>Note 1:</w:t>
      </w:r>
      <w:r w:rsidRPr="004A04A4">
        <w:rPr>
          <w:color w:val="0000FF"/>
        </w:rPr>
        <w:tab/>
        <w:t>In order to provide goods or services in accordance with the CDR consumer’s request, it might be necessary for the accredited person to request CDR data from more than 1 CDR participant.</w:t>
      </w:r>
    </w:p>
    <w:p w14:paraId="143D9245" w14:textId="77777777" w:rsidR="00BB7660" w:rsidRPr="004A04A4" w:rsidRDefault="00BB7660" w:rsidP="00BB7660">
      <w:pPr>
        <w:pStyle w:val="notetext"/>
        <w:rPr>
          <w:color w:val="0000FF"/>
        </w:rPr>
      </w:pPr>
      <w:r w:rsidRPr="004A04A4">
        <w:rPr>
          <w:color w:val="0000FF"/>
        </w:rPr>
        <w:t>Note 2:</w:t>
      </w:r>
      <w:r w:rsidRPr="004A04A4">
        <w:rPr>
          <w:color w:val="0000FF"/>
        </w:rPr>
        <w:tab/>
        <w:t>The CDR data may be collected and used only in accordance with the data minimisation principle: see rule 1.8.</w:t>
      </w:r>
    </w:p>
    <w:p w14:paraId="19212CD2" w14:textId="77777777" w:rsidR="00BB7660" w:rsidRPr="00A00F6F" w:rsidRDefault="00BB7660" w:rsidP="00BB7660">
      <w:pPr>
        <w:pStyle w:val="subsection"/>
      </w:pPr>
      <w:r w:rsidRPr="00A00F6F">
        <w:tab/>
        <w:t>(2B)</w:t>
      </w:r>
      <w:r w:rsidRPr="00A00F6F">
        <w:tab/>
        <w:t>If the accredited person is an affiliate and the CDR data will be collected by a sponsor at its request:</w:t>
      </w:r>
    </w:p>
    <w:p w14:paraId="28C14045" w14:textId="77777777" w:rsidR="00BB7660" w:rsidRPr="00A00F6F" w:rsidRDefault="00BB7660" w:rsidP="00BB7660">
      <w:pPr>
        <w:pStyle w:val="paragraph"/>
      </w:pPr>
      <w:r w:rsidRPr="00A00F6F">
        <w:tab/>
        <w:t>(a)</w:t>
      </w:r>
      <w:r w:rsidRPr="00A00F6F">
        <w:tab/>
        <w:t>the request for a collection consent must specify that fact; and</w:t>
      </w:r>
    </w:p>
    <w:p w14:paraId="18CB5197" w14:textId="77777777" w:rsidR="00BB7660" w:rsidRPr="00A00F6F" w:rsidRDefault="00BB7660" w:rsidP="00BB7660">
      <w:pPr>
        <w:pStyle w:val="paragraph"/>
      </w:pPr>
      <w:r w:rsidRPr="00A00F6F">
        <w:tab/>
        <w:t>(b)</w:t>
      </w:r>
      <w:r w:rsidRPr="00A00F6F">
        <w:tab/>
        <w:t>a consent for the affiliate to collect the CDR data is taken to be consent for the sponsor to so collect it.</w:t>
      </w:r>
    </w:p>
    <w:p w14:paraId="4B05BC03" w14:textId="77777777" w:rsidR="00BB7660" w:rsidRPr="00F07699" w:rsidRDefault="00BB7660" w:rsidP="00BB7660">
      <w:pPr>
        <w:pStyle w:val="subsection"/>
      </w:pPr>
      <w:r w:rsidRPr="00F07699">
        <w:tab/>
        <w:t>(3)</w:t>
      </w:r>
      <w:r w:rsidRPr="00F07699">
        <w:tab/>
        <w:t xml:space="preserve">In </w:t>
      </w:r>
      <w:r w:rsidRPr="00275F9C">
        <w:t>giving the consent</w:t>
      </w:r>
      <w:r>
        <w:t>s</w:t>
      </w:r>
      <w:r w:rsidRPr="00275F9C">
        <w:t xml:space="preserve">, </w:t>
      </w:r>
      <w:r w:rsidRPr="00F07699">
        <w:t xml:space="preserve">the CDR consumer gives the accredited person a </w:t>
      </w:r>
      <w:r w:rsidRPr="00F07699">
        <w:rPr>
          <w:b/>
          <w:i/>
        </w:rPr>
        <w:t xml:space="preserve">valid </w:t>
      </w:r>
      <w:r w:rsidRPr="00F07699">
        <w:t xml:space="preserve">request to seek to collect that CDR data from </w:t>
      </w:r>
      <w:r w:rsidRPr="00ED4F4B">
        <w:t>the CDR participant</w:t>
      </w:r>
      <w:r w:rsidRPr="00F07699">
        <w:t>.</w:t>
      </w:r>
    </w:p>
    <w:p w14:paraId="360A94BC" w14:textId="77777777" w:rsidR="00BB7660" w:rsidRPr="00F07699" w:rsidRDefault="00BB7660" w:rsidP="00BB7660">
      <w:pPr>
        <w:pStyle w:val="notetext"/>
      </w:pPr>
      <w:r w:rsidRPr="00F07699">
        <w:t>Note:</w:t>
      </w:r>
      <w:r w:rsidRPr="00F07699">
        <w:tab/>
        <w:t>If the accredited person seeks to collect CDR data under this Part without a valid request, it will contravene privacy safeguard 3 (a civil penalty provision under the Act): see section 56EF of the Act.</w:t>
      </w:r>
    </w:p>
    <w:p w14:paraId="4EF8BB60" w14:textId="77777777" w:rsidR="00BB7660" w:rsidRPr="00ED4F4B" w:rsidRDefault="00BB7660" w:rsidP="00BB7660">
      <w:pPr>
        <w:pStyle w:val="subsection"/>
      </w:pPr>
      <w:r w:rsidRPr="00ED4F4B">
        <w:tab/>
        <w:t>(4)</w:t>
      </w:r>
      <w:r w:rsidRPr="00ED4F4B">
        <w:tab/>
        <w:t xml:space="preserve">The request ceases to be </w:t>
      </w:r>
      <w:r w:rsidRPr="00ED4F4B">
        <w:rPr>
          <w:b/>
          <w:i/>
        </w:rPr>
        <w:t>valid</w:t>
      </w:r>
      <w:r w:rsidRPr="00ED4F4B">
        <w:rPr>
          <w:b/>
        </w:rPr>
        <w:t xml:space="preserve"> </w:t>
      </w:r>
      <w:r w:rsidRPr="00ED4F4B">
        <w:t>if the collection consent is withdrawn.</w:t>
      </w:r>
    </w:p>
    <w:p w14:paraId="37392BDD" w14:textId="77777777" w:rsidR="00BB7660" w:rsidRPr="00ED4F4B" w:rsidRDefault="00BB7660" w:rsidP="00BB7660">
      <w:pPr>
        <w:pStyle w:val="notetext"/>
      </w:pPr>
      <w:r w:rsidRPr="00ED4F4B">
        <w:t>Note:</w:t>
      </w:r>
      <w:r w:rsidRPr="00ED4F4B">
        <w:tab/>
        <w:t>So long as the use consent is not also withdrawn, the accredited person could continue to use CDR data it had already collected in order to provide the requested goods or services. However, the notification requirement of rule 4.18A would apply.</w:t>
      </w:r>
    </w:p>
    <w:p w14:paraId="27549CE5" w14:textId="77777777" w:rsidR="00BB7660" w:rsidRPr="00ED4F4B" w:rsidRDefault="00BB7660" w:rsidP="00BB7660">
      <w:pPr>
        <w:pStyle w:val="subsection"/>
      </w:pPr>
      <w:r w:rsidRPr="00ED4F4B">
        <w:tab/>
        <w:t>(5)</w:t>
      </w:r>
      <w:r w:rsidRPr="00ED4F4B">
        <w:tab/>
        <w:t>If an accredited person asks for a CDR consumer’s consents for the purpose of making a consumer data request under this Part, the accredited person must do so in accordance with Division 4.3.</w:t>
      </w:r>
    </w:p>
    <w:p w14:paraId="7413CE56" w14:textId="77777777" w:rsidR="00BB7660" w:rsidRDefault="00BB7660" w:rsidP="00BB7660">
      <w:pPr>
        <w:pStyle w:val="notetext"/>
      </w:pPr>
      <w:r w:rsidRPr="00F07699">
        <w:lastRenderedPageBreak/>
        <w:t>Note:</w:t>
      </w:r>
      <w:r w:rsidRPr="00F07699">
        <w:tab/>
        <w:t>This subrule is a civil penalty provision (see rule 9.8).</w:t>
      </w:r>
    </w:p>
    <w:p w14:paraId="36DFAE95" w14:textId="77777777" w:rsidR="00BB7660" w:rsidRPr="00A00F6F" w:rsidRDefault="00BB7660" w:rsidP="00BB7660">
      <w:pPr>
        <w:pStyle w:val="ActHead5"/>
      </w:pPr>
      <w:bookmarkStart w:id="147" w:name="_Toc111132030"/>
      <w:bookmarkStart w:id="148" w:name="_Hlk111118719"/>
      <w:r w:rsidRPr="00A00F6F">
        <w:t xml:space="preserve">4.3A </w:t>
      </w:r>
      <w:r w:rsidR="00D57FD3">
        <w:t xml:space="preserve"> </w:t>
      </w:r>
      <w:r w:rsidRPr="00A00F6F">
        <w:t>Request for CDR principal to seek to collect CDR data on behalf of CDR representative</w:t>
      </w:r>
      <w:bookmarkEnd w:id="147"/>
    </w:p>
    <w:p w14:paraId="3E394EFD" w14:textId="77777777" w:rsidR="00BB7660" w:rsidRPr="00A00F6F" w:rsidRDefault="00BB7660" w:rsidP="00BB7660">
      <w:pPr>
        <w:pStyle w:val="subsection"/>
      </w:pPr>
      <w:r w:rsidRPr="00A00F6F">
        <w:tab/>
        <w:t>(1)</w:t>
      </w:r>
      <w:r w:rsidRPr="00A00F6F">
        <w:tab/>
        <w:t>This rule applies if:</w:t>
      </w:r>
    </w:p>
    <w:p w14:paraId="379816FA" w14:textId="77777777" w:rsidR="00BB7660" w:rsidRPr="00A00F6F" w:rsidRDefault="00BB7660" w:rsidP="00BB7660">
      <w:pPr>
        <w:pStyle w:val="paragraph"/>
      </w:pPr>
      <w:r w:rsidRPr="00A00F6F">
        <w:tab/>
        <w:t>(a)</w:t>
      </w:r>
      <w:r w:rsidRPr="00A00F6F">
        <w:tab/>
        <w:t>a CDR consumer requests a CDR representative to provide goods or services to the CDR consumer or to another person; and</w:t>
      </w:r>
    </w:p>
    <w:p w14:paraId="60B65135" w14:textId="77777777" w:rsidR="00BB7660" w:rsidRPr="00A00F6F" w:rsidRDefault="00BB7660" w:rsidP="00BB7660">
      <w:pPr>
        <w:pStyle w:val="paragraph"/>
      </w:pPr>
      <w:r w:rsidRPr="00A00F6F">
        <w:tab/>
        <w:t>(b)</w:t>
      </w:r>
      <w:r w:rsidRPr="00A00F6F">
        <w:tab/>
        <w:t>the CDR representative needs to:</w:t>
      </w:r>
    </w:p>
    <w:p w14:paraId="4D5636AB" w14:textId="77777777" w:rsidR="00BB7660" w:rsidRPr="00A00F6F" w:rsidRDefault="00BB7660" w:rsidP="00BB7660">
      <w:pPr>
        <w:pStyle w:val="paragraphsub"/>
      </w:pPr>
      <w:r w:rsidRPr="00A00F6F">
        <w:tab/>
        <w:t>(i)</w:t>
      </w:r>
      <w:r w:rsidRPr="00A00F6F">
        <w:tab/>
        <w:t>request its CDR principal to collect the CDR consumer’s CDR data from a CDR participant under these rules; and</w:t>
      </w:r>
    </w:p>
    <w:p w14:paraId="7F7C24D8" w14:textId="77777777" w:rsidR="00BB7660" w:rsidRPr="00A00F6F" w:rsidRDefault="00BB7660" w:rsidP="00BB7660">
      <w:pPr>
        <w:pStyle w:val="paragraphsub"/>
      </w:pPr>
      <w:r w:rsidRPr="00A00F6F">
        <w:tab/>
        <w:t>(ii)</w:t>
      </w:r>
      <w:r w:rsidRPr="00A00F6F">
        <w:tab/>
        <w:t>use it in order to provide those goods or services.</w:t>
      </w:r>
    </w:p>
    <w:p w14:paraId="589E73CB" w14:textId="77777777" w:rsidR="00BB7660" w:rsidRPr="004A04A4" w:rsidRDefault="00BB7660" w:rsidP="00BB7660">
      <w:pPr>
        <w:pStyle w:val="subsection"/>
        <w:rPr>
          <w:color w:val="0000FF"/>
        </w:rPr>
      </w:pPr>
      <w:r w:rsidRPr="004A04A4">
        <w:rPr>
          <w:color w:val="0000FF"/>
        </w:rPr>
        <w:tab/>
        <w:t>(2)</w:t>
      </w:r>
      <w:r w:rsidRPr="004A04A4">
        <w:rPr>
          <w:color w:val="0000FF"/>
        </w:rPr>
        <w:tab/>
        <w:t>The CDR representative may, in accordance with Division 4.3A, ask the CDR consumer to give:</w:t>
      </w:r>
    </w:p>
    <w:p w14:paraId="51CD205E" w14:textId="77777777" w:rsidR="00BB7660" w:rsidRPr="004A04A4" w:rsidRDefault="00BB7660" w:rsidP="00BB7660">
      <w:pPr>
        <w:pStyle w:val="paragraph"/>
        <w:rPr>
          <w:color w:val="0000FF"/>
        </w:rPr>
      </w:pPr>
      <w:r w:rsidRPr="004A04A4">
        <w:rPr>
          <w:color w:val="0000FF"/>
        </w:rPr>
        <w:tab/>
        <w:t>(a)</w:t>
      </w:r>
      <w:r w:rsidRPr="004A04A4">
        <w:rPr>
          <w:color w:val="0000FF"/>
        </w:rPr>
        <w:tab/>
        <w:t>a collection consent for the CDR principal to collect the CDR consumer’s</w:t>
      </w:r>
      <w:r w:rsidR="00AA0D4B">
        <w:rPr>
          <w:color w:val="0000FF"/>
        </w:rPr>
        <w:t xml:space="preserve"> </w:t>
      </w:r>
      <w:r w:rsidRPr="004A04A4">
        <w:rPr>
          <w:color w:val="0000FF"/>
        </w:rPr>
        <w:t>CDR data from the CDR participant</w:t>
      </w:r>
      <w:r w:rsidR="00972B97" w:rsidRPr="00F524AD">
        <w:rPr>
          <w:color w:val="0000FF"/>
        </w:rPr>
        <w:t xml:space="preserve"> and </w:t>
      </w:r>
      <w:r w:rsidRPr="00F524AD">
        <w:rPr>
          <w:color w:val="0000FF"/>
        </w:rPr>
        <w:t xml:space="preserve">disclose </w:t>
      </w:r>
      <w:r w:rsidR="00DC0EF1" w:rsidRPr="00F524AD">
        <w:rPr>
          <w:color w:val="0000FF"/>
        </w:rPr>
        <w:t xml:space="preserve">it </w:t>
      </w:r>
      <w:r w:rsidRPr="004A04A4">
        <w:rPr>
          <w:color w:val="0000FF"/>
        </w:rPr>
        <w:t>to the CDR representative; and</w:t>
      </w:r>
    </w:p>
    <w:p w14:paraId="455F8606" w14:textId="77777777" w:rsidR="00BB7660" w:rsidRPr="00500212" w:rsidRDefault="00BB7660" w:rsidP="00BB7660">
      <w:pPr>
        <w:pStyle w:val="paragraph"/>
        <w:rPr>
          <w:color w:val="0000FF"/>
        </w:rPr>
      </w:pPr>
      <w:r w:rsidRPr="00500212">
        <w:rPr>
          <w:color w:val="0000FF"/>
        </w:rPr>
        <w:tab/>
        <w:t>(</w:t>
      </w:r>
      <w:r w:rsidR="00DC0EF1" w:rsidRPr="00500212">
        <w:rPr>
          <w:color w:val="0000FF"/>
        </w:rPr>
        <w:t>b</w:t>
      </w:r>
      <w:r w:rsidRPr="00500212">
        <w:rPr>
          <w:color w:val="0000FF"/>
        </w:rPr>
        <w:t>)</w:t>
      </w:r>
      <w:r w:rsidRPr="00500212">
        <w:rPr>
          <w:color w:val="0000FF"/>
        </w:rPr>
        <w:tab/>
        <w:t>a use consent for the CDR representative to use it in order to provide those goods or services.</w:t>
      </w:r>
    </w:p>
    <w:p w14:paraId="7CA55FC7" w14:textId="77777777" w:rsidR="00FE5E2D" w:rsidRPr="00F524AD" w:rsidRDefault="00BB7660" w:rsidP="00BB7660">
      <w:pPr>
        <w:pStyle w:val="notetext"/>
        <w:rPr>
          <w:color w:val="0000FF"/>
        </w:rPr>
      </w:pPr>
      <w:r w:rsidRPr="004A04A4">
        <w:rPr>
          <w:color w:val="0000FF"/>
        </w:rPr>
        <w:t>Note 1:</w:t>
      </w:r>
      <w:r w:rsidRPr="004A04A4">
        <w:rPr>
          <w:color w:val="0000FF"/>
        </w:rPr>
        <w:tab/>
      </w:r>
      <w:r w:rsidR="00D72BD9" w:rsidRPr="00F524AD">
        <w:rPr>
          <w:color w:val="0000FF"/>
        </w:rPr>
        <w:t>For a collection consent mentioned in paragraph (a), see subrule 1.10A(4).</w:t>
      </w:r>
    </w:p>
    <w:p w14:paraId="6F58600F" w14:textId="77777777" w:rsidR="00FE5E2D" w:rsidRPr="00500212" w:rsidRDefault="00FE5E2D" w:rsidP="00BB7660">
      <w:pPr>
        <w:pStyle w:val="notetext"/>
        <w:rPr>
          <w:color w:val="0000FF"/>
        </w:rPr>
      </w:pPr>
      <w:r w:rsidRPr="00500212">
        <w:rPr>
          <w:color w:val="0000FF"/>
        </w:rPr>
        <w:tab/>
      </w:r>
      <w:r w:rsidR="00D72BD9" w:rsidRPr="00500212">
        <w:rPr>
          <w:color w:val="0000FF"/>
        </w:rPr>
        <w:t>For cons</w:t>
      </w:r>
      <w:r w:rsidRPr="00500212">
        <w:rPr>
          <w:color w:val="0000FF"/>
        </w:rPr>
        <w:t>ents mentioned in paragraph (b), see</w:t>
      </w:r>
      <w:r w:rsidR="00B92A23" w:rsidRPr="00500212">
        <w:rPr>
          <w:color w:val="0000FF"/>
        </w:rPr>
        <w:t xml:space="preserve"> rule 1.10A as applied to a CDR representative under </w:t>
      </w:r>
      <w:r w:rsidRPr="00500212">
        <w:rPr>
          <w:color w:val="0000FF"/>
        </w:rPr>
        <w:t>subrule 1.10A(5).</w:t>
      </w:r>
    </w:p>
    <w:p w14:paraId="2C6A0893" w14:textId="77777777" w:rsidR="00BB7660" w:rsidRPr="004A04A4" w:rsidRDefault="00BB7660" w:rsidP="00BB7660">
      <w:pPr>
        <w:pStyle w:val="notetext"/>
        <w:rPr>
          <w:color w:val="0000FF"/>
        </w:rPr>
      </w:pPr>
      <w:r w:rsidRPr="004A04A4">
        <w:rPr>
          <w:color w:val="0000FF"/>
        </w:rPr>
        <w:t>Note 2:</w:t>
      </w:r>
      <w:r w:rsidRPr="004A04A4">
        <w:rPr>
          <w:color w:val="0000FF"/>
        </w:rPr>
        <w:tab/>
        <w:t>In order to provide goods or services in accordance with the CDR consumer’s request, it might be necessary for the CDR principal to request CDR data from more than 1 CDR participant.</w:t>
      </w:r>
    </w:p>
    <w:p w14:paraId="7AD7C33E" w14:textId="77777777" w:rsidR="00BB7660" w:rsidRPr="004A04A4" w:rsidRDefault="00BB7660" w:rsidP="00BB7660">
      <w:pPr>
        <w:pStyle w:val="notetext"/>
        <w:rPr>
          <w:color w:val="0000FF"/>
        </w:rPr>
      </w:pPr>
      <w:r w:rsidRPr="004A04A4">
        <w:rPr>
          <w:color w:val="0000FF"/>
        </w:rPr>
        <w:t>Note 3:</w:t>
      </w:r>
      <w:r w:rsidRPr="004A04A4">
        <w:rPr>
          <w:color w:val="0000FF"/>
        </w:rPr>
        <w:tab/>
        <w:t>The CDR data may be collected and used only in accordance with the data minimisation principle: see rule 1.8.</w:t>
      </w:r>
    </w:p>
    <w:bookmarkEnd w:id="148"/>
    <w:p w14:paraId="426A2B8B" w14:textId="77777777" w:rsidR="00AA0D4B" w:rsidRPr="00AA0D4B" w:rsidRDefault="00AA0D4B" w:rsidP="00AA0D4B">
      <w:pPr>
        <w:pStyle w:val="subsection"/>
        <w:rPr>
          <w:strike/>
          <w:color w:val="0000FF"/>
        </w:rPr>
      </w:pPr>
      <w:r w:rsidRPr="00AA0D4B">
        <w:rPr>
          <w:strike/>
          <w:color w:val="0000FF"/>
        </w:rPr>
        <w:tab/>
        <w:t>(2)</w:t>
      </w:r>
      <w:r w:rsidRPr="00AA0D4B">
        <w:rPr>
          <w:strike/>
          <w:color w:val="0000FF"/>
        </w:rPr>
        <w:tab/>
        <w:t>The CDR representative may, in accordance with Division 4.3, ask the CDR consumer to give:</w:t>
      </w:r>
    </w:p>
    <w:p w14:paraId="7E153D72" w14:textId="77777777" w:rsidR="00AA0D4B" w:rsidRPr="00AA0D4B" w:rsidRDefault="00AA0D4B" w:rsidP="00AA0D4B">
      <w:pPr>
        <w:pStyle w:val="paragraph"/>
        <w:rPr>
          <w:strike/>
          <w:color w:val="0000FF"/>
        </w:rPr>
      </w:pPr>
      <w:r w:rsidRPr="00AA0D4B">
        <w:rPr>
          <w:strike/>
          <w:color w:val="0000FF"/>
        </w:rPr>
        <w:tab/>
        <w:t>(a)</w:t>
      </w:r>
      <w:r w:rsidRPr="00AA0D4B">
        <w:rPr>
          <w:strike/>
          <w:color w:val="0000FF"/>
        </w:rPr>
        <w:tab/>
        <w:t>a collection consent for the CDR principal to collect their CDR data from the CDR participant; and</w:t>
      </w:r>
    </w:p>
    <w:p w14:paraId="0FE34956" w14:textId="77777777" w:rsidR="00AA0D4B" w:rsidRPr="00AA0D4B" w:rsidRDefault="00AA0D4B" w:rsidP="00AA0D4B">
      <w:pPr>
        <w:pStyle w:val="paragraph"/>
        <w:rPr>
          <w:strike/>
          <w:color w:val="0000FF"/>
        </w:rPr>
      </w:pPr>
      <w:r w:rsidRPr="00AA0D4B">
        <w:rPr>
          <w:strike/>
          <w:color w:val="0000FF"/>
        </w:rPr>
        <w:tab/>
        <w:t>(b)</w:t>
      </w:r>
      <w:r w:rsidRPr="00AA0D4B">
        <w:rPr>
          <w:strike/>
          <w:color w:val="0000FF"/>
        </w:rPr>
        <w:tab/>
        <w:t>a use consent for:</w:t>
      </w:r>
    </w:p>
    <w:p w14:paraId="1D8112BB" w14:textId="77777777" w:rsidR="00AA0D4B" w:rsidRPr="00AA0D4B" w:rsidRDefault="00AA0D4B" w:rsidP="00AA0D4B">
      <w:pPr>
        <w:pStyle w:val="paragraphsub"/>
        <w:rPr>
          <w:strike/>
          <w:color w:val="0000FF"/>
        </w:rPr>
      </w:pPr>
      <w:r w:rsidRPr="00AA0D4B">
        <w:rPr>
          <w:strike/>
          <w:color w:val="0000FF"/>
        </w:rPr>
        <w:tab/>
        <w:t>(i)</w:t>
      </w:r>
      <w:r w:rsidRPr="00AA0D4B">
        <w:rPr>
          <w:strike/>
          <w:color w:val="0000FF"/>
        </w:rPr>
        <w:tab/>
        <w:t>the CDR principal to disclose that data to the CDR representative; and</w:t>
      </w:r>
    </w:p>
    <w:p w14:paraId="7BB84308" w14:textId="77777777" w:rsidR="00AA0D4B" w:rsidRPr="00AA0D4B" w:rsidRDefault="00AA0D4B" w:rsidP="00AA0D4B">
      <w:pPr>
        <w:pStyle w:val="paragraphsub"/>
        <w:rPr>
          <w:strike/>
          <w:color w:val="0000FF"/>
        </w:rPr>
      </w:pPr>
      <w:r w:rsidRPr="00AA0D4B">
        <w:rPr>
          <w:strike/>
          <w:color w:val="0000FF"/>
        </w:rPr>
        <w:tab/>
        <w:t>(ii)</w:t>
      </w:r>
      <w:r w:rsidRPr="00AA0D4B">
        <w:rPr>
          <w:strike/>
          <w:color w:val="0000FF"/>
        </w:rPr>
        <w:tab/>
        <w:t>for the CDR representative to use it in order to provide those goods or services.</w:t>
      </w:r>
    </w:p>
    <w:p w14:paraId="66F08576" w14:textId="77777777" w:rsidR="00AA0D4B" w:rsidRPr="00AA0D4B" w:rsidRDefault="00AA0D4B" w:rsidP="00AA0D4B">
      <w:pPr>
        <w:pStyle w:val="notetext"/>
        <w:rPr>
          <w:strike/>
          <w:color w:val="0000FF"/>
        </w:rPr>
      </w:pPr>
      <w:r w:rsidRPr="00AA0D4B">
        <w:rPr>
          <w:strike/>
          <w:color w:val="0000FF"/>
        </w:rPr>
        <w:t>Note 1:</w:t>
      </w:r>
      <w:r w:rsidRPr="00AA0D4B">
        <w:rPr>
          <w:strike/>
          <w:color w:val="0000FF"/>
        </w:rPr>
        <w:tab/>
        <w:t>In order to provide goods or services in accordance with the CDR consumer’s request, it might be necessary for the accredited person to request CDR data from more than 1 CDR participant.</w:t>
      </w:r>
    </w:p>
    <w:p w14:paraId="343CEDF0" w14:textId="77777777" w:rsidR="00AA0D4B" w:rsidRPr="00AA0D4B" w:rsidRDefault="00AA0D4B" w:rsidP="00AA0D4B">
      <w:pPr>
        <w:pStyle w:val="notetext"/>
        <w:rPr>
          <w:strike/>
          <w:color w:val="0000FF"/>
        </w:rPr>
      </w:pPr>
      <w:r w:rsidRPr="00AA0D4B">
        <w:rPr>
          <w:strike/>
          <w:color w:val="0000FF"/>
        </w:rPr>
        <w:t>Note 2:</w:t>
      </w:r>
      <w:r w:rsidRPr="00AA0D4B">
        <w:rPr>
          <w:strike/>
          <w:color w:val="0000FF"/>
        </w:rPr>
        <w:tab/>
        <w:t>The CDR data may be collected and used only in accordance with the data minimisation principle: see rule 1.8.</w:t>
      </w:r>
    </w:p>
    <w:p w14:paraId="2080E383" w14:textId="77777777" w:rsidR="00BB7660" w:rsidRPr="00A00F6F" w:rsidRDefault="00BB7660" w:rsidP="00BB7660">
      <w:pPr>
        <w:pStyle w:val="subsection"/>
      </w:pPr>
      <w:r w:rsidRPr="00A00F6F">
        <w:tab/>
        <w:t>(3)</w:t>
      </w:r>
      <w:r w:rsidRPr="00A00F6F">
        <w:tab/>
        <w:t>If a CDR consumer has given a collection consent requested under subrule (2) in relation to CDR data, and whether or not the CDR data has yet been collected, the CDR representative may also ask the consumer to give a disclosure consent in relation to the CDR data.</w:t>
      </w:r>
    </w:p>
    <w:p w14:paraId="0BA4CB78" w14:textId="77777777" w:rsidR="00BB7660" w:rsidRPr="00A00F6F" w:rsidRDefault="00BB7660" w:rsidP="00BB7660">
      <w:pPr>
        <w:pStyle w:val="notetext"/>
      </w:pPr>
      <w:r w:rsidRPr="00A00F6F">
        <w:lastRenderedPageBreak/>
        <w:t>Note 1:</w:t>
      </w:r>
      <w:r w:rsidRPr="00A00F6F">
        <w:tab/>
        <w:t>In order to provide goods or services in accordance with the CDR consumer’s request, it might be necessary for the accredited person to request CDR data from more than 1 CDR participant.</w:t>
      </w:r>
    </w:p>
    <w:p w14:paraId="4C1E7AE2" w14:textId="77777777" w:rsidR="00BB7660" w:rsidRPr="00A00F6F" w:rsidRDefault="00BB7660" w:rsidP="00BB7660">
      <w:pPr>
        <w:pStyle w:val="notetext"/>
      </w:pPr>
      <w:r w:rsidRPr="00A00F6F">
        <w:t>Note 2:</w:t>
      </w:r>
      <w:r w:rsidRPr="00A00F6F">
        <w:tab/>
        <w:t>The CDR data may be collected and used only in accordance with the data minimisation principle: see rule 1.8.</w:t>
      </w:r>
    </w:p>
    <w:p w14:paraId="485D0419" w14:textId="77777777" w:rsidR="00BB7660" w:rsidRPr="00A00F6F" w:rsidRDefault="00BB7660" w:rsidP="00BB7660">
      <w:pPr>
        <w:pStyle w:val="subsection"/>
      </w:pPr>
      <w:r w:rsidRPr="00A00F6F">
        <w:tab/>
        <w:t>(4)</w:t>
      </w:r>
      <w:r w:rsidRPr="00A00F6F">
        <w:tab/>
        <w:t xml:space="preserve">In giving the consents, the CDR consumer gives the CDR principal a </w:t>
      </w:r>
      <w:r w:rsidRPr="00A00F6F">
        <w:rPr>
          <w:b/>
          <w:i/>
        </w:rPr>
        <w:t xml:space="preserve">valid </w:t>
      </w:r>
      <w:r w:rsidRPr="00A00F6F">
        <w:t>request to seek to collect that CDR data from the CDR participant.</w:t>
      </w:r>
    </w:p>
    <w:p w14:paraId="3372FE50" w14:textId="77777777" w:rsidR="00BB7660" w:rsidRPr="00A00F6F" w:rsidRDefault="00BB7660" w:rsidP="00BB7660">
      <w:pPr>
        <w:pStyle w:val="notetext"/>
      </w:pPr>
      <w:r w:rsidRPr="00A00F6F">
        <w:t>Note:</w:t>
      </w:r>
      <w:r w:rsidRPr="00A00F6F">
        <w:tab/>
        <w:t>If an accredited person seeks to collect CDR data under this Part without a valid request, it will contravene privacy safeguard 3 (a civil penalty provision under the Act): see section 56EF of the Act.</w:t>
      </w:r>
    </w:p>
    <w:p w14:paraId="5D9304A0" w14:textId="77777777" w:rsidR="00BB7660" w:rsidRPr="00A00F6F" w:rsidRDefault="00BB7660" w:rsidP="00BB7660">
      <w:pPr>
        <w:pStyle w:val="subsection"/>
      </w:pPr>
      <w:r w:rsidRPr="00A00F6F">
        <w:tab/>
        <w:t>(5)</w:t>
      </w:r>
      <w:r w:rsidRPr="00A00F6F">
        <w:tab/>
        <w:t xml:space="preserve">The request ceases to be </w:t>
      </w:r>
      <w:r w:rsidRPr="00A00F6F">
        <w:rPr>
          <w:b/>
          <w:i/>
        </w:rPr>
        <w:t>valid</w:t>
      </w:r>
      <w:r w:rsidRPr="00A00F6F">
        <w:rPr>
          <w:b/>
        </w:rPr>
        <w:t xml:space="preserve"> </w:t>
      </w:r>
      <w:r w:rsidRPr="00A00F6F">
        <w:t>if the collection consent is withdrawn.</w:t>
      </w:r>
    </w:p>
    <w:p w14:paraId="6C25457D" w14:textId="77777777" w:rsidR="00BB7660" w:rsidRPr="00A00F6F" w:rsidRDefault="00BB7660" w:rsidP="00BB7660">
      <w:pPr>
        <w:pStyle w:val="notetext"/>
      </w:pPr>
      <w:r w:rsidRPr="00A00F6F">
        <w:t>Note:</w:t>
      </w:r>
      <w:r w:rsidRPr="00A00F6F">
        <w:tab/>
        <w:t xml:space="preserve">So long as the use consent is not also withdrawn, the CDR principal could continue to disclose CDR data it had already collected to the CDR representative, and the CDR representative could use it in order to provide the requested goods or services. However, the notification requirement of </w:t>
      </w:r>
      <w:r w:rsidRPr="00AA0D4B">
        <w:rPr>
          <w:color w:val="0000FF"/>
        </w:rPr>
        <w:t>rule 4</w:t>
      </w:r>
      <w:r w:rsidR="0034635F">
        <w:rPr>
          <w:color w:val="0000FF"/>
        </w:rPr>
        <w:t>.20O</w:t>
      </w:r>
      <w:r w:rsidR="00AA0D4B" w:rsidRPr="00AA0D4B">
        <w:rPr>
          <w:strike/>
          <w:color w:val="0000FF"/>
        </w:rPr>
        <w:t xml:space="preserve"> rule 4.18A</w:t>
      </w:r>
      <w:r w:rsidRPr="00AA0D4B">
        <w:t xml:space="preserve"> </w:t>
      </w:r>
      <w:r w:rsidRPr="00A00F6F">
        <w:t>would apply.</w:t>
      </w:r>
    </w:p>
    <w:p w14:paraId="6CE7C4AB" w14:textId="77777777" w:rsidR="00BB7660" w:rsidRPr="00A00F6F" w:rsidRDefault="00BB7660" w:rsidP="00BB7660">
      <w:pPr>
        <w:pStyle w:val="ActHead5"/>
      </w:pPr>
      <w:bookmarkStart w:id="149" w:name="_Toc111132031"/>
      <w:r w:rsidRPr="00A00F6F">
        <w:t xml:space="preserve">4.3B </w:t>
      </w:r>
      <w:r w:rsidR="00D57FD3">
        <w:t xml:space="preserve"> </w:t>
      </w:r>
      <w:r w:rsidRPr="00A00F6F">
        <w:t>Consumer data requests by accredited persons to CDR representatives</w:t>
      </w:r>
      <w:bookmarkEnd w:id="149"/>
    </w:p>
    <w:p w14:paraId="1270C27E" w14:textId="77777777" w:rsidR="00BB7660" w:rsidRPr="00A00F6F" w:rsidRDefault="00BB7660" w:rsidP="00BB7660">
      <w:pPr>
        <w:pStyle w:val="notemargin"/>
      </w:pPr>
      <w:r w:rsidRPr="00A00F6F">
        <w:t>Note:</w:t>
      </w:r>
      <w:r w:rsidRPr="00A00F6F">
        <w:tab/>
        <w:t>Subrule (1) allows an accredited person to make a consumer data request to a CDR representative as if the latter were also an accredited person.</w:t>
      </w:r>
    </w:p>
    <w:p w14:paraId="0AE224AF" w14:textId="77777777" w:rsidR="00BB7660" w:rsidRPr="00A00F6F" w:rsidRDefault="00BB7660" w:rsidP="00BB7660">
      <w:pPr>
        <w:pStyle w:val="notemargin"/>
      </w:pPr>
      <w:r w:rsidRPr="00A00F6F">
        <w:tab/>
        <w:t xml:space="preserve">Subrule (2) allows a CDR representative that receives such a consumer data request to obtain a disclosure consent from the </w:t>
      </w:r>
      <w:r w:rsidR="007529C2" w:rsidRPr="00500212">
        <w:rPr>
          <w:color w:val="0000FF"/>
        </w:rPr>
        <w:t>consumer</w:t>
      </w:r>
      <w:r w:rsidR="007529C2" w:rsidRPr="00500212">
        <w:rPr>
          <w:strike/>
          <w:color w:val="0000FF"/>
        </w:rPr>
        <w:t xml:space="preserve"> </w:t>
      </w:r>
      <w:r w:rsidRPr="00500212">
        <w:rPr>
          <w:strike/>
          <w:color w:val="0000FF"/>
        </w:rPr>
        <w:t>customer</w:t>
      </w:r>
      <w:r w:rsidRPr="00A00F6F">
        <w:t>.  Under paragraphs 7.5(1)(g) and (h), the CDR representative is then able to disclose the requested data.</w:t>
      </w:r>
    </w:p>
    <w:p w14:paraId="20A5F6F0" w14:textId="77777777" w:rsidR="00BB7660" w:rsidRPr="00A00F6F" w:rsidRDefault="00BB7660" w:rsidP="00BB7660">
      <w:pPr>
        <w:pStyle w:val="SubsectionHead"/>
      </w:pPr>
      <w:r w:rsidRPr="00A00F6F">
        <w:t>Application of rule 4.7A to CDR representative holding service data</w:t>
      </w:r>
    </w:p>
    <w:p w14:paraId="19FF12DB" w14:textId="77777777" w:rsidR="00BB7660" w:rsidRPr="00A00F6F" w:rsidRDefault="00BB7660" w:rsidP="00BB7660">
      <w:pPr>
        <w:pStyle w:val="subsection"/>
      </w:pPr>
      <w:r w:rsidRPr="00A00F6F">
        <w:tab/>
        <w:t>(1)</w:t>
      </w:r>
      <w:r w:rsidRPr="00A00F6F">
        <w:tab/>
        <w:t>Rule 4.7A applies in relation to a CDR representative that holds service data as if:</w:t>
      </w:r>
    </w:p>
    <w:p w14:paraId="698321D7" w14:textId="77777777" w:rsidR="00BB7660" w:rsidRPr="00A00F6F" w:rsidRDefault="00BB7660" w:rsidP="00BB7660">
      <w:pPr>
        <w:pStyle w:val="paragraph"/>
      </w:pPr>
      <w:r w:rsidRPr="00A00F6F">
        <w:tab/>
        <w:t>(a)</w:t>
      </w:r>
      <w:r w:rsidRPr="00A00F6F">
        <w:tab/>
        <w:t>a reference to CDR data were a reference to CDR data included in the service data; and</w:t>
      </w:r>
    </w:p>
    <w:p w14:paraId="66B61D7B" w14:textId="77777777" w:rsidR="00BB7660" w:rsidRPr="00A00F6F" w:rsidRDefault="00BB7660" w:rsidP="00BB7660">
      <w:pPr>
        <w:pStyle w:val="paragraph"/>
      </w:pPr>
      <w:r w:rsidRPr="00A00F6F">
        <w:tab/>
        <w:t>(b)</w:t>
      </w:r>
      <w:r w:rsidRPr="00A00F6F">
        <w:tab/>
        <w:t>a reference to an accredited data recipient were a reference to the CDR representative.</w:t>
      </w:r>
    </w:p>
    <w:p w14:paraId="7395D27E" w14:textId="77777777" w:rsidR="00BB7660" w:rsidRPr="00A00F6F" w:rsidRDefault="00BB7660" w:rsidP="00BB7660">
      <w:pPr>
        <w:pStyle w:val="SubsectionHead"/>
      </w:pPr>
      <w:r w:rsidRPr="00A00F6F">
        <w:t>Application of rule 4.7B to CDR representative receiving request for service data</w:t>
      </w:r>
    </w:p>
    <w:p w14:paraId="55B931AB" w14:textId="77777777" w:rsidR="00BB7660" w:rsidRPr="00F524AD" w:rsidRDefault="00BB7660" w:rsidP="00BB7660">
      <w:pPr>
        <w:pStyle w:val="subsection"/>
        <w:rPr>
          <w:color w:val="0000FF"/>
        </w:rPr>
      </w:pPr>
      <w:r w:rsidRPr="00F524AD">
        <w:rPr>
          <w:color w:val="0000FF"/>
        </w:rPr>
        <w:tab/>
        <w:t>(2)</w:t>
      </w:r>
      <w:r w:rsidRPr="00F524AD">
        <w:rPr>
          <w:color w:val="0000FF"/>
        </w:rPr>
        <w:tab/>
        <w:t>Rule 4.7B applies in relation to a CDR representative that receives, or reasonably anticipates receiving, a consumer data request under rule 4.7A as applied by subrule (1), as if:</w:t>
      </w:r>
    </w:p>
    <w:p w14:paraId="3CB35DBD" w14:textId="77777777" w:rsidR="00D30B1D" w:rsidRPr="00F524AD" w:rsidRDefault="00D30B1D" w:rsidP="00D30B1D">
      <w:pPr>
        <w:pStyle w:val="paragraph"/>
        <w:rPr>
          <w:color w:val="0000FF"/>
        </w:rPr>
      </w:pPr>
      <w:r w:rsidRPr="00F524AD">
        <w:rPr>
          <w:color w:val="0000FF"/>
        </w:rPr>
        <w:tab/>
        <w:t>(a)</w:t>
      </w:r>
      <w:r w:rsidRPr="00F524AD">
        <w:rPr>
          <w:color w:val="0000FF"/>
        </w:rPr>
        <w:tab/>
        <w:t>a reference to an accredited data recipient were a reference to the CDR representative; and</w:t>
      </w:r>
    </w:p>
    <w:p w14:paraId="481FF5B9" w14:textId="77777777" w:rsidR="00D30B1D" w:rsidRDefault="00D30B1D" w:rsidP="00D30B1D">
      <w:pPr>
        <w:pStyle w:val="paragraph"/>
        <w:rPr>
          <w:color w:val="0000FF"/>
        </w:rPr>
      </w:pPr>
      <w:r w:rsidRPr="00F524AD">
        <w:rPr>
          <w:color w:val="0000FF"/>
        </w:rPr>
        <w:tab/>
        <w:t>(b)</w:t>
      </w:r>
      <w:r w:rsidRPr="00F524AD">
        <w:rPr>
          <w:color w:val="0000FF"/>
        </w:rPr>
        <w:tab/>
        <w:t>a reference to Division 4.3 were a reference to Division 4.3A</w:t>
      </w:r>
      <w:r w:rsidR="00AA0D4B">
        <w:rPr>
          <w:color w:val="0000FF"/>
        </w:rPr>
        <w:t>.</w:t>
      </w:r>
    </w:p>
    <w:p w14:paraId="0D22A0CA" w14:textId="77777777" w:rsidR="00AA0D4B" w:rsidRPr="00AA0D4B" w:rsidRDefault="00AA0D4B" w:rsidP="00AA0D4B">
      <w:pPr>
        <w:pStyle w:val="subsection"/>
        <w:rPr>
          <w:strike/>
          <w:color w:val="0000FF"/>
        </w:rPr>
      </w:pPr>
      <w:r w:rsidRPr="00AA0D4B">
        <w:rPr>
          <w:strike/>
          <w:color w:val="0000FF"/>
        </w:rPr>
        <w:tab/>
        <w:t>(2)</w:t>
      </w:r>
      <w:r w:rsidRPr="00AA0D4B">
        <w:rPr>
          <w:strike/>
          <w:color w:val="0000FF"/>
        </w:rPr>
        <w:tab/>
        <w:t>Rule 4.7B applies in relation to a CDR representative that receives, or reasonably anticipates receiving, a consumer data request under rule 4.7A as applied by subrule (1), as if:</w:t>
      </w:r>
    </w:p>
    <w:p w14:paraId="047F0C0D" w14:textId="77777777" w:rsidR="00AA0D4B" w:rsidRPr="00AA0D4B" w:rsidRDefault="00AA0D4B" w:rsidP="00AA0D4B">
      <w:pPr>
        <w:pStyle w:val="paragraphsub"/>
        <w:rPr>
          <w:strike/>
          <w:color w:val="0000FF"/>
        </w:rPr>
      </w:pPr>
      <w:r w:rsidRPr="00AA0D4B">
        <w:rPr>
          <w:strike/>
          <w:color w:val="0000FF"/>
        </w:rPr>
        <w:tab/>
        <w:t>(i)</w:t>
      </w:r>
      <w:r w:rsidRPr="00AA0D4B">
        <w:rPr>
          <w:strike/>
          <w:color w:val="0000FF"/>
        </w:rPr>
        <w:tab/>
        <w:t>a reference to an accredited data recipient were a reference to the CDR participant; and</w:t>
      </w:r>
    </w:p>
    <w:p w14:paraId="18FDF7B6" w14:textId="77777777" w:rsidR="00AA0D4B" w:rsidRPr="00AA0D4B" w:rsidRDefault="00AA0D4B" w:rsidP="00AA0D4B">
      <w:pPr>
        <w:pStyle w:val="paragraphsub"/>
        <w:rPr>
          <w:strike/>
          <w:color w:val="0000FF"/>
        </w:rPr>
      </w:pPr>
      <w:r w:rsidRPr="00AA0D4B">
        <w:rPr>
          <w:strike/>
          <w:color w:val="0000FF"/>
        </w:rPr>
        <w:tab/>
        <w:t>(ii)</w:t>
      </w:r>
      <w:r w:rsidRPr="00AA0D4B">
        <w:rPr>
          <w:strike/>
          <w:color w:val="0000FF"/>
        </w:rPr>
        <w:tab/>
        <w:t xml:space="preserve"> a reference to Division 4.3 were a reference to Division 4.3 as modified by rule 4.3C.</w:t>
      </w:r>
    </w:p>
    <w:p w14:paraId="6214C24E" w14:textId="77777777" w:rsidR="00D57FD3" w:rsidRPr="00D57FD3" w:rsidRDefault="00D57FD3" w:rsidP="00D57FD3">
      <w:pPr>
        <w:pStyle w:val="ActHead5"/>
        <w:rPr>
          <w:strike/>
          <w:color w:val="0000FF"/>
        </w:rPr>
      </w:pPr>
      <w:bookmarkStart w:id="150" w:name="_Toc96610505"/>
      <w:bookmarkStart w:id="151" w:name="_Toc111132032"/>
      <w:bookmarkStart w:id="152" w:name="_Toc50114024"/>
      <w:bookmarkStart w:id="153" w:name="_Toc57219015"/>
      <w:bookmarkStart w:id="154" w:name="_Toc59549129"/>
      <w:r w:rsidRPr="00D57FD3">
        <w:rPr>
          <w:strike/>
          <w:color w:val="0000FF"/>
        </w:rPr>
        <w:lastRenderedPageBreak/>
        <w:t>4.3C  Modifications of Division 4.3 in relation to CDR representative</w:t>
      </w:r>
      <w:bookmarkEnd w:id="150"/>
      <w:bookmarkEnd w:id="151"/>
    </w:p>
    <w:p w14:paraId="516F0539" w14:textId="77777777" w:rsidR="00D57FD3" w:rsidRPr="00D57FD3" w:rsidRDefault="00D57FD3" w:rsidP="00D57FD3">
      <w:pPr>
        <w:pStyle w:val="subsection"/>
        <w:rPr>
          <w:strike/>
          <w:color w:val="0000FF"/>
        </w:rPr>
      </w:pPr>
      <w:r w:rsidRPr="00D57FD3">
        <w:rPr>
          <w:strike/>
          <w:color w:val="0000FF"/>
        </w:rPr>
        <w:tab/>
        <w:t>(1)</w:t>
      </w:r>
      <w:r w:rsidRPr="00D57FD3">
        <w:rPr>
          <w:strike/>
          <w:color w:val="0000FF"/>
        </w:rPr>
        <w:tab/>
        <w:t>The CDR principal must ensure that, when the CDR representative asks for the CDR consumer’s consents, it does so in accordance with Division 4.3, applied with the following modifications:</w:t>
      </w:r>
    </w:p>
    <w:p w14:paraId="2B284236" w14:textId="77777777" w:rsidR="00D57FD3" w:rsidRPr="00D57FD3" w:rsidRDefault="00D57FD3" w:rsidP="00D57FD3">
      <w:pPr>
        <w:pStyle w:val="paragraph"/>
        <w:rPr>
          <w:strike/>
          <w:color w:val="0000FF"/>
        </w:rPr>
      </w:pPr>
      <w:r w:rsidRPr="00D57FD3">
        <w:rPr>
          <w:strike/>
          <w:color w:val="0000FF"/>
        </w:rPr>
        <w:tab/>
        <w:t>(a)</w:t>
      </w:r>
      <w:r w:rsidRPr="00D57FD3">
        <w:rPr>
          <w:strike/>
          <w:color w:val="0000FF"/>
        </w:rPr>
        <w:tab/>
        <w:t xml:space="preserve">replace references to the accredited person with references to the CDR representative, except in the following (the </w:t>
      </w:r>
      <w:r w:rsidRPr="00D57FD3">
        <w:rPr>
          <w:b/>
          <w:i/>
          <w:strike/>
          <w:color w:val="0000FF"/>
        </w:rPr>
        <w:t>exceptional provisions</w:t>
      </w:r>
      <w:r w:rsidRPr="00D57FD3">
        <w:rPr>
          <w:strike/>
          <w:color w:val="0000FF"/>
        </w:rPr>
        <w:t>):</w:t>
      </w:r>
    </w:p>
    <w:p w14:paraId="4280D7AD" w14:textId="77777777" w:rsidR="00D57FD3" w:rsidRPr="00D57FD3" w:rsidRDefault="00D57FD3" w:rsidP="00D57FD3">
      <w:pPr>
        <w:pStyle w:val="paragraphsub"/>
        <w:rPr>
          <w:strike/>
          <w:color w:val="0000FF"/>
        </w:rPr>
      </w:pPr>
      <w:r w:rsidRPr="00D57FD3">
        <w:rPr>
          <w:strike/>
          <w:color w:val="0000FF"/>
        </w:rPr>
        <w:tab/>
        <w:t>(i)</w:t>
      </w:r>
      <w:r w:rsidRPr="00D57FD3">
        <w:rPr>
          <w:strike/>
          <w:color w:val="0000FF"/>
        </w:rPr>
        <w:tab/>
        <w:t>Subdivision 4.3.2B; and</w:t>
      </w:r>
    </w:p>
    <w:p w14:paraId="63DEDB51" w14:textId="77777777" w:rsidR="00D57FD3" w:rsidRPr="00D57FD3" w:rsidRDefault="00D57FD3" w:rsidP="00D57FD3">
      <w:pPr>
        <w:pStyle w:val="paragraphsub"/>
        <w:rPr>
          <w:strike/>
          <w:color w:val="0000FF"/>
        </w:rPr>
      </w:pPr>
      <w:r w:rsidRPr="00D57FD3">
        <w:rPr>
          <w:strike/>
          <w:color w:val="0000FF"/>
        </w:rPr>
        <w:tab/>
        <w:t>(ii)</w:t>
      </w:r>
      <w:r w:rsidRPr="00D57FD3">
        <w:rPr>
          <w:strike/>
          <w:color w:val="0000FF"/>
        </w:rPr>
        <w:tab/>
        <w:t>Subdivision 4.3.5, other than paragraph 4.18(2)(c); and</w:t>
      </w:r>
    </w:p>
    <w:p w14:paraId="77909999" w14:textId="77777777" w:rsidR="00D57FD3" w:rsidRPr="00D57FD3" w:rsidRDefault="00D57FD3" w:rsidP="00D57FD3">
      <w:pPr>
        <w:pStyle w:val="paragraphsub"/>
        <w:rPr>
          <w:strike/>
          <w:color w:val="0000FF"/>
        </w:rPr>
      </w:pPr>
      <w:r w:rsidRPr="00D57FD3">
        <w:rPr>
          <w:strike/>
          <w:color w:val="0000FF"/>
        </w:rPr>
        <w:tab/>
        <w:t>(iii)</w:t>
      </w:r>
      <w:r w:rsidRPr="00D57FD3">
        <w:rPr>
          <w:strike/>
          <w:color w:val="0000FF"/>
        </w:rPr>
        <w:tab/>
        <w:t>subrule 4.14(1A); and</w:t>
      </w:r>
    </w:p>
    <w:p w14:paraId="0161875C" w14:textId="77777777" w:rsidR="00D57FD3" w:rsidRPr="00D57FD3" w:rsidRDefault="00D57FD3" w:rsidP="00D57FD3">
      <w:pPr>
        <w:pStyle w:val="paragraph"/>
        <w:rPr>
          <w:strike/>
          <w:color w:val="0000FF"/>
        </w:rPr>
      </w:pPr>
      <w:r w:rsidRPr="00D57FD3">
        <w:rPr>
          <w:strike/>
          <w:color w:val="0000FF"/>
        </w:rPr>
        <w:tab/>
        <w:t>(b)</w:t>
      </w:r>
      <w:r w:rsidRPr="00D57FD3">
        <w:rPr>
          <w:strike/>
          <w:color w:val="0000FF"/>
        </w:rPr>
        <w:tab/>
        <w:t>in the exceptional provisions, replace references to the accredited person with references to the CDR principal;</w:t>
      </w:r>
    </w:p>
    <w:p w14:paraId="159282CE" w14:textId="77777777" w:rsidR="00D57FD3" w:rsidRPr="00D57FD3" w:rsidRDefault="00D57FD3" w:rsidP="00D57FD3">
      <w:pPr>
        <w:pStyle w:val="paragraph"/>
        <w:rPr>
          <w:strike/>
          <w:color w:val="0000FF"/>
        </w:rPr>
      </w:pPr>
      <w:r w:rsidRPr="00D57FD3">
        <w:rPr>
          <w:strike/>
          <w:color w:val="0000FF"/>
        </w:rPr>
        <w:tab/>
        <w:t>(c)</w:t>
      </w:r>
      <w:r w:rsidRPr="00D57FD3">
        <w:rPr>
          <w:strike/>
          <w:color w:val="0000FF"/>
        </w:rPr>
        <w:tab/>
        <w:t>replace references to the goods and services provided by the accredited person with references to the goods or services provided by the CDR representative;</w:t>
      </w:r>
    </w:p>
    <w:p w14:paraId="30B0DD06" w14:textId="77777777" w:rsidR="00D57FD3" w:rsidRPr="00D57FD3" w:rsidRDefault="00D57FD3" w:rsidP="00D57FD3">
      <w:pPr>
        <w:pStyle w:val="paragraph"/>
        <w:rPr>
          <w:strike/>
          <w:color w:val="0000FF"/>
        </w:rPr>
      </w:pPr>
      <w:r w:rsidRPr="00D57FD3">
        <w:rPr>
          <w:strike/>
          <w:color w:val="0000FF"/>
        </w:rPr>
        <w:tab/>
        <w:t>(d)</w:t>
      </w:r>
      <w:r w:rsidRPr="00D57FD3">
        <w:rPr>
          <w:strike/>
          <w:color w:val="0000FF"/>
        </w:rPr>
        <w:tab/>
        <w:t>replace references to the consumer dashboard provided by the accredited person with references to the consumer dashboard provided by the CDR principal;</w:t>
      </w:r>
    </w:p>
    <w:p w14:paraId="0C1BF966" w14:textId="77777777" w:rsidR="00D57FD3" w:rsidRPr="00D57FD3" w:rsidRDefault="00D57FD3" w:rsidP="00D57FD3">
      <w:pPr>
        <w:pStyle w:val="notetext"/>
        <w:rPr>
          <w:strike/>
          <w:color w:val="0000FF"/>
        </w:rPr>
      </w:pPr>
      <w:r w:rsidRPr="00D57FD3">
        <w:rPr>
          <w:strike/>
          <w:color w:val="0000FF"/>
        </w:rPr>
        <w:t>Note:</w:t>
      </w:r>
      <w:r w:rsidRPr="00D57FD3">
        <w:rPr>
          <w:strike/>
          <w:color w:val="0000FF"/>
        </w:rPr>
        <w:tab/>
        <w:t>The consumer dashboard may in practice be provided by the CDR representative on the CDR principal’s behalf—see subrule 1.14(5).</w:t>
      </w:r>
    </w:p>
    <w:p w14:paraId="283B8174" w14:textId="77777777" w:rsidR="00D57FD3" w:rsidRPr="00D57FD3" w:rsidRDefault="00D57FD3" w:rsidP="00D57FD3">
      <w:pPr>
        <w:pStyle w:val="paragraph"/>
        <w:rPr>
          <w:strike/>
          <w:color w:val="0000FF"/>
        </w:rPr>
      </w:pPr>
      <w:r w:rsidRPr="00D57FD3">
        <w:rPr>
          <w:strike/>
          <w:color w:val="0000FF"/>
        </w:rPr>
        <w:tab/>
        <w:t>(e)</w:t>
      </w:r>
      <w:r w:rsidRPr="00D57FD3">
        <w:rPr>
          <w:strike/>
          <w:color w:val="0000FF"/>
        </w:rPr>
        <w:tab/>
        <w:t xml:space="preserve">replace references to the accredited person’s CDR policy with references to the CDR principal’s CDR policy; </w:t>
      </w:r>
    </w:p>
    <w:p w14:paraId="0DE2149A" w14:textId="77777777" w:rsidR="00D57FD3" w:rsidRPr="00D57FD3" w:rsidRDefault="00D57FD3" w:rsidP="00D57FD3">
      <w:pPr>
        <w:pStyle w:val="paragraph"/>
        <w:rPr>
          <w:strike/>
          <w:color w:val="0000FF"/>
        </w:rPr>
      </w:pPr>
      <w:r w:rsidRPr="00D57FD3">
        <w:rPr>
          <w:strike/>
          <w:color w:val="0000FF"/>
        </w:rPr>
        <w:tab/>
        <w:t>(f)</w:t>
      </w:r>
      <w:r w:rsidRPr="00D57FD3">
        <w:rPr>
          <w:strike/>
          <w:color w:val="0000FF"/>
        </w:rPr>
        <w:tab/>
        <w:t xml:space="preserve">replace references to an outsourced service provider of the accredited person with references to an outsourced service provider of the CDR principal; </w:t>
      </w:r>
    </w:p>
    <w:p w14:paraId="353CFE6C" w14:textId="77777777" w:rsidR="00D57FD3" w:rsidRPr="00D57FD3" w:rsidRDefault="00D57FD3" w:rsidP="00D57FD3">
      <w:pPr>
        <w:pStyle w:val="paragraph"/>
        <w:rPr>
          <w:strike/>
          <w:color w:val="0000FF"/>
        </w:rPr>
      </w:pPr>
      <w:r w:rsidRPr="00D57FD3">
        <w:rPr>
          <w:strike/>
          <w:color w:val="0000FF"/>
        </w:rPr>
        <w:tab/>
        <w:t>(g)</w:t>
      </w:r>
      <w:r w:rsidRPr="00D57FD3">
        <w:rPr>
          <w:strike/>
          <w:color w:val="0000FF"/>
        </w:rPr>
        <w:tab/>
        <w:t>omit paragraph 4.11(3)(b);</w:t>
      </w:r>
    </w:p>
    <w:p w14:paraId="7FF94657" w14:textId="77777777" w:rsidR="00D57FD3" w:rsidRPr="00D57FD3" w:rsidRDefault="00D57FD3" w:rsidP="00D57FD3">
      <w:pPr>
        <w:pStyle w:val="paragraph"/>
        <w:rPr>
          <w:strike/>
          <w:color w:val="0000FF"/>
        </w:rPr>
      </w:pPr>
      <w:r w:rsidRPr="00D57FD3">
        <w:rPr>
          <w:strike/>
          <w:color w:val="0000FF"/>
        </w:rPr>
        <w:tab/>
        <w:t>(h)</w:t>
      </w:r>
      <w:r w:rsidRPr="00D57FD3">
        <w:rPr>
          <w:strike/>
          <w:color w:val="0000FF"/>
        </w:rPr>
        <w:tab/>
        <w:t>replace paragraph 4.11(3)(i) with the following:</w:t>
      </w:r>
    </w:p>
    <w:p w14:paraId="190C7CA5" w14:textId="77777777" w:rsidR="00D57FD3" w:rsidRPr="00D57FD3" w:rsidRDefault="00D57FD3" w:rsidP="00D57FD3">
      <w:pPr>
        <w:pStyle w:val="paragraph"/>
        <w:rPr>
          <w:strike/>
          <w:color w:val="0000FF"/>
        </w:rPr>
      </w:pPr>
      <w:r w:rsidRPr="00D57FD3">
        <w:rPr>
          <w:strike/>
          <w:color w:val="0000FF"/>
        </w:rPr>
        <w:tab/>
      </w:r>
      <w:r w:rsidRPr="00D57FD3">
        <w:rPr>
          <w:strike/>
          <w:color w:val="0000FF"/>
        </w:rPr>
        <w:tab/>
        <w:t>“(i)</w:t>
      </w:r>
      <w:r w:rsidRPr="00D57FD3">
        <w:rPr>
          <w:strike/>
          <w:color w:val="0000FF"/>
        </w:rPr>
        <w:tab/>
        <w:t>the fact that the person is a CDR representative and that the CDR data will be collected by its CDR principal at its request;</w:t>
      </w:r>
    </w:p>
    <w:p w14:paraId="0F167992" w14:textId="77777777" w:rsidR="00D57FD3" w:rsidRPr="00D57FD3" w:rsidRDefault="00D57FD3" w:rsidP="00D57FD3">
      <w:pPr>
        <w:pStyle w:val="paragraphsub"/>
        <w:rPr>
          <w:strike/>
          <w:color w:val="0000FF"/>
        </w:rPr>
      </w:pPr>
      <w:r w:rsidRPr="00D57FD3">
        <w:rPr>
          <w:strike/>
          <w:color w:val="0000FF"/>
        </w:rPr>
        <w:tab/>
        <w:t>(j)</w:t>
      </w:r>
      <w:r w:rsidRPr="00D57FD3">
        <w:rPr>
          <w:strike/>
          <w:color w:val="0000FF"/>
        </w:rPr>
        <w:tab/>
        <w:t>if the CDR representative is not located in Australia—the country in which it is located;</w:t>
      </w:r>
    </w:p>
    <w:p w14:paraId="6C428F48" w14:textId="77777777" w:rsidR="00D57FD3" w:rsidRPr="00D57FD3" w:rsidRDefault="00D57FD3" w:rsidP="00D57FD3">
      <w:pPr>
        <w:pStyle w:val="paragraphsub"/>
        <w:rPr>
          <w:strike/>
          <w:color w:val="0000FF"/>
        </w:rPr>
      </w:pPr>
      <w:r w:rsidRPr="00D57FD3">
        <w:rPr>
          <w:strike/>
          <w:color w:val="0000FF"/>
        </w:rPr>
        <w:tab/>
        <w:t>(k)</w:t>
      </w:r>
      <w:r w:rsidRPr="00D57FD3">
        <w:rPr>
          <w:strike/>
          <w:color w:val="0000FF"/>
        </w:rPr>
        <w:tab/>
        <w:t>the CDR principal’s name; and</w:t>
      </w:r>
    </w:p>
    <w:p w14:paraId="507FB4AB" w14:textId="77777777" w:rsidR="00D57FD3" w:rsidRPr="00D57FD3" w:rsidRDefault="00D57FD3" w:rsidP="00D57FD3">
      <w:pPr>
        <w:pStyle w:val="paragraphsub"/>
        <w:rPr>
          <w:strike/>
          <w:color w:val="0000FF"/>
        </w:rPr>
      </w:pPr>
      <w:r w:rsidRPr="00D57FD3">
        <w:rPr>
          <w:strike/>
          <w:color w:val="0000FF"/>
        </w:rPr>
        <w:tab/>
        <w:t>(l)</w:t>
      </w:r>
      <w:r w:rsidRPr="00D57FD3">
        <w:rPr>
          <w:strike/>
          <w:color w:val="0000FF"/>
        </w:rPr>
        <w:tab/>
        <w:t>the CDR principal’s accreditation number; and</w:t>
      </w:r>
    </w:p>
    <w:p w14:paraId="4E42D32B" w14:textId="77777777" w:rsidR="00D57FD3" w:rsidRPr="00D57FD3" w:rsidRDefault="00D57FD3" w:rsidP="00D57FD3">
      <w:pPr>
        <w:pStyle w:val="paragraphsub"/>
        <w:rPr>
          <w:strike/>
          <w:color w:val="0000FF"/>
        </w:rPr>
      </w:pPr>
      <w:r w:rsidRPr="00D57FD3">
        <w:rPr>
          <w:strike/>
          <w:color w:val="0000FF"/>
        </w:rPr>
        <w:tab/>
        <w:t>(m)</w:t>
      </w:r>
      <w:r w:rsidRPr="00D57FD3">
        <w:rPr>
          <w:strike/>
          <w:color w:val="0000FF"/>
        </w:rPr>
        <w:tab/>
        <w:t>a link to the principal’s CDR policy; and</w:t>
      </w:r>
    </w:p>
    <w:p w14:paraId="74AC0AA9" w14:textId="77777777" w:rsidR="00D57FD3" w:rsidRPr="00D57FD3" w:rsidRDefault="00D57FD3" w:rsidP="00D57FD3">
      <w:pPr>
        <w:pStyle w:val="paragraphsub"/>
        <w:rPr>
          <w:strike/>
          <w:color w:val="0000FF"/>
        </w:rPr>
      </w:pPr>
      <w:r w:rsidRPr="00D57FD3">
        <w:rPr>
          <w:strike/>
          <w:color w:val="0000FF"/>
        </w:rPr>
        <w:tab/>
        <w:t>(n)</w:t>
      </w:r>
      <w:r w:rsidRPr="00D57FD3">
        <w:rPr>
          <w:strike/>
          <w:color w:val="0000FF"/>
        </w:rPr>
        <w:tab/>
        <w:t>a statement that the CDR consumer can obtain further information about such collections or disclosures from the CDR principal’s CDR policy if desired.”;</w:t>
      </w:r>
    </w:p>
    <w:p w14:paraId="0721E0C5" w14:textId="77777777" w:rsidR="00D57FD3" w:rsidRPr="00D57FD3" w:rsidRDefault="00D57FD3" w:rsidP="00D57FD3">
      <w:pPr>
        <w:pStyle w:val="paragraph"/>
        <w:rPr>
          <w:strike/>
          <w:color w:val="0000FF"/>
        </w:rPr>
      </w:pPr>
      <w:r w:rsidRPr="00D57FD3">
        <w:rPr>
          <w:strike/>
          <w:color w:val="0000FF"/>
        </w:rPr>
        <w:tab/>
        <w:t>(i)</w:t>
      </w:r>
      <w:r w:rsidRPr="00D57FD3">
        <w:rPr>
          <w:strike/>
          <w:color w:val="0000FF"/>
        </w:rPr>
        <w:tab/>
        <w:t>omit subrule 4.14(1B);</w:t>
      </w:r>
    </w:p>
    <w:p w14:paraId="39B8A448" w14:textId="77777777" w:rsidR="00D57FD3" w:rsidRPr="00D57FD3" w:rsidRDefault="00D57FD3" w:rsidP="00D57FD3">
      <w:pPr>
        <w:pStyle w:val="paragraph"/>
        <w:rPr>
          <w:strike/>
          <w:color w:val="0000FF"/>
        </w:rPr>
      </w:pPr>
      <w:r w:rsidRPr="00D57FD3">
        <w:rPr>
          <w:strike/>
          <w:color w:val="0000FF"/>
        </w:rPr>
        <w:tab/>
        <w:t>(j)</w:t>
      </w:r>
      <w:r w:rsidRPr="00D57FD3">
        <w:rPr>
          <w:strike/>
          <w:color w:val="0000FF"/>
        </w:rPr>
        <w:tab/>
        <w:t>replace subrules 4.14(1C) and (2) with the following:</w:t>
      </w:r>
    </w:p>
    <w:p w14:paraId="7B833944" w14:textId="77777777" w:rsidR="00D57FD3" w:rsidRPr="00D57FD3" w:rsidRDefault="00D57FD3" w:rsidP="00D57FD3">
      <w:pPr>
        <w:pStyle w:val="paragraph"/>
        <w:rPr>
          <w:strike/>
          <w:color w:val="0000FF"/>
        </w:rPr>
      </w:pPr>
      <w:r w:rsidRPr="00D57FD3">
        <w:rPr>
          <w:strike/>
          <w:color w:val="0000FF"/>
        </w:rPr>
        <w:tab/>
      </w:r>
      <w:r w:rsidRPr="00D57FD3">
        <w:rPr>
          <w:strike/>
          <w:color w:val="0000FF"/>
        </w:rPr>
        <w:tab/>
        <w:t>“(1C)  If a CDR principal becomes a data holder, rather than an accredited data recipient, of particular CDR data as a result of subsection 56AJ(4) of the Act, all of the CDR representative’s consents given under these rules that relate to that CDR data expire.</w:t>
      </w:r>
    </w:p>
    <w:p w14:paraId="7438E11B" w14:textId="77777777" w:rsidR="00D57FD3" w:rsidRPr="00D57FD3" w:rsidRDefault="00D57FD3" w:rsidP="00D57FD3">
      <w:pPr>
        <w:pStyle w:val="paragraph"/>
        <w:rPr>
          <w:strike/>
          <w:color w:val="0000FF"/>
        </w:rPr>
      </w:pPr>
      <w:r w:rsidRPr="00D57FD3">
        <w:rPr>
          <w:strike/>
          <w:color w:val="0000FF"/>
        </w:rPr>
        <w:tab/>
      </w:r>
      <w:r w:rsidRPr="00D57FD3">
        <w:rPr>
          <w:strike/>
          <w:color w:val="0000FF"/>
        </w:rPr>
        <w:tab/>
        <w:t>“(2)  If a CDR principal’s accreditation is revoked or surrendered in accordance with rule 5.17, all of the consents of any CDR representative expire when the revocation or surrender takes effect.”;</w:t>
      </w:r>
    </w:p>
    <w:p w14:paraId="4520CF4E" w14:textId="77777777" w:rsidR="00D57FD3" w:rsidRPr="00D57FD3" w:rsidRDefault="00D57FD3" w:rsidP="00D57FD3">
      <w:pPr>
        <w:pStyle w:val="paragraph"/>
        <w:rPr>
          <w:strike/>
          <w:color w:val="0000FF"/>
        </w:rPr>
      </w:pPr>
      <w:r w:rsidRPr="00D57FD3">
        <w:rPr>
          <w:strike/>
          <w:color w:val="0000FF"/>
        </w:rPr>
        <w:lastRenderedPageBreak/>
        <w:tab/>
        <w:t>(k)</w:t>
      </w:r>
      <w:r w:rsidRPr="00D57FD3">
        <w:rPr>
          <w:strike/>
          <w:color w:val="0000FF"/>
        </w:rPr>
        <w:tab/>
        <w:t>replace subrule 4.16(2) with the following:</w:t>
      </w:r>
    </w:p>
    <w:p w14:paraId="16BDBEFA" w14:textId="77777777" w:rsidR="00D57FD3" w:rsidRPr="00D57FD3" w:rsidRDefault="00D57FD3" w:rsidP="00D57FD3">
      <w:pPr>
        <w:pStyle w:val="paragraph"/>
        <w:rPr>
          <w:strike/>
          <w:color w:val="0000FF"/>
        </w:rPr>
      </w:pPr>
      <w:r w:rsidRPr="00D57FD3">
        <w:rPr>
          <w:strike/>
          <w:color w:val="0000FF"/>
        </w:rPr>
        <w:tab/>
      </w:r>
      <w:r w:rsidRPr="00D57FD3">
        <w:rPr>
          <w:strike/>
          <w:color w:val="0000FF"/>
        </w:rPr>
        <w:tab/>
        <w:t>“(2)</w:t>
      </w:r>
      <w:r w:rsidRPr="00D57FD3">
        <w:rPr>
          <w:strike/>
          <w:color w:val="0000FF"/>
        </w:rPr>
        <w:tab/>
        <w:t xml:space="preserve">The CDR consumer may make the election: </w:t>
      </w:r>
    </w:p>
    <w:p w14:paraId="085435EB" w14:textId="77777777" w:rsidR="00D57FD3" w:rsidRPr="00D57FD3" w:rsidRDefault="00D57FD3" w:rsidP="00D57FD3">
      <w:pPr>
        <w:pStyle w:val="paragraphsub-sub"/>
        <w:rPr>
          <w:strike/>
          <w:color w:val="0000FF"/>
        </w:rPr>
      </w:pPr>
      <w:r w:rsidRPr="00D57FD3">
        <w:rPr>
          <w:strike/>
          <w:color w:val="0000FF"/>
        </w:rPr>
        <w:tab/>
        <w:t>(a)</w:t>
      </w:r>
      <w:r w:rsidRPr="00D57FD3">
        <w:rPr>
          <w:strike/>
          <w:color w:val="0000FF"/>
        </w:rPr>
        <w:tab/>
        <w:t>by communicating it to the CDR principal or CDR representative in writing; or</w:t>
      </w:r>
    </w:p>
    <w:p w14:paraId="21A53B95" w14:textId="77777777" w:rsidR="00D57FD3" w:rsidRPr="00D57FD3" w:rsidRDefault="00D57FD3" w:rsidP="00D57FD3">
      <w:pPr>
        <w:pStyle w:val="paragraphsub-sub"/>
        <w:rPr>
          <w:strike/>
          <w:color w:val="0000FF"/>
        </w:rPr>
      </w:pPr>
      <w:r w:rsidRPr="00D57FD3">
        <w:rPr>
          <w:strike/>
          <w:color w:val="0000FF"/>
        </w:rPr>
        <w:tab/>
        <w:t>(b)</w:t>
      </w:r>
      <w:r w:rsidRPr="00D57FD3">
        <w:rPr>
          <w:strike/>
          <w:color w:val="0000FF"/>
        </w:rPr>
        <w:tab/>
        <w:t>by using the CDR principal’s consumer dashboard.”;</w:t>
      </w:r>
    </w:p>
    <w:p w14:paraId="5AEB9A58" w14:textId="77777777" w:rsidR="00D57FD3" w:rsidRPr="00D57FD3" w:rsidRDefault="00D57FD3" w:rsidP="00D57FD3">
      <w:pPr>
        <w:pStyle w:val="paragraph"/>
        <w:rPr>
          <w:strike/>
          <w:color w:val="0000FF"/>
        </w:rPr>
      </w:pPr>
      <w:r w:rsidRPr="00D57FD3">
        <w:rPr>
          <w:strike/>
          <w:color w:val="0000FF"/>
        </w:rPr>
        <w:tab/>
        <w:t>(l)</w:t>
      </w:r>
      <w:r w:rsidRPr="00D57FD3">
        <w:rPr>
          <w:strike/>
          <w:color w:val="0000FF"/>
        </w:rPr>
        <w:tab/>
        <w:t>add the following rule to Subdivision 4.3.5:</w:t>
      </w:r>
    </w:p>
    <w:p w14:paraId="1B8D0C4B" w14:textId="77777777" w:rsidR="00D57FD3" w:rsidRPr="00D57FD3" w:rsidRDefault="00D57FD3" w:rsidP="00D57FD3">
      <w:pPr>
        <w:pStyle w:val="paragraph"/>
        <w:rPr>
          <w:b/>
          <w:i/>
          <w:strike/>
          <w:color w:val="0000FF"/>
        </w:rPr>
      </w:pPr>
      <w:r w:rsidRPr="00D57FD3">
        <w:rPr>
          <w:strike/>
          <w:color w:val="0000FF"/>
        </w:rPr>
        <w:tab/>
      </w:r>
      <w:r w:rsidRPr="00D57FD3">
        <w:rPr>
          <w:strike/>
          <w:color w:val="0000FF"/>
        </w:rPr>
        <w:tab/>
        <w:t>“</w:t>
      </w:r>
      <w:r w:rsidRPr="00D57FD3">
        <w:rPr>
          <w:b/>
          <w:i/>
          <w:strike/>
          <w:color w:val="0000FF"/>
        </w:rPr>
        <w:t>4.20B  Application of Subdivision to CDR principal and CDR representative</w:t>
      </w:r>
    </w:p>
    <w:p w14:paraId="0D1D696C" w14:textId="77777777" w:rsidR="00D57FD3" w:rsidRPr="00D57FD3" w:rsidRDefault="00D57FD3" w:rsidP="00D57FD3">
      <w:pPr>
        <w:pStyle w:val="paragraph"/>
        <w:rPr>
          <w:strike/>
          <w:color w:val="0000FF"/>
        </w:rPr>
      </w:pPr>
      <w:r w:rsidRPr="00D57FD3">
        <w:rPr>
          <w:strike/>
          <w:color w:val="0000FF"/>
        </w:rPr>
        <w:tab/>
      </w:r>
      <w:r w:rsidRPr="00D57FD3">
        <w:rPr>
          <w:strike/>
          <w:color w:val="0000FF"/>
        </w:rPr>
        <w:tab/>
        <w:t>Where an accredited person who is a CDR principal is required under this Subdivision to give a notice to a CDR consumer in relation to a consumer data request made at the request of a CDR representative, the notice may be given through the CDR representative.”.</w:t>
      </w:r>
    </w:p>
    <w:p w14:paraId="3C621559" w14:textId="77777777" w:rsidR="00D57FD3" w:rsidRPr="00D57FD3" w:rsidRDefault="00D57FD3" w:rsidP="00D57FD3">
      <w:pPr>
        <w:pStyle w:val="subsection"/>
        <w:rPr>
          <w:strike/>
          <w:color w:val="0000FF"/>
        </w:rPr>
      </w:pPr>
      <w:r w:rsidRPr="00D57FD3">
        <w:rPr>
          <w:strike/>
          <w:color w:val="0000FF"/>
        </w:rPr>
        <w:tab/>
        <w:t>(2)</w:t>
      </w:r>
      <w:r w:rsidRPr="00D57FD3">
        <w:rPr>
          <w:strike/>
          <w:color w:val="0000FF"/>
        </w:rPr>
        <w:tab/>
        <w:t>The accredited person breaches this subrule if the CDR representative fails to comply with a provision of Division 4.3 as modified by subrule (1).</w:t>
      </w:r>
    </w:p>
    <w:p w14:paraId="19D9CB41" w14:textId="77777777" w:rsidR="00D57FD3" w:rsidRPr="00D57FD3" w:rsidRDefault="00D57FD3" w:rsidP="00D57FD3">
      <w:pPr>
        <w:pStyle w:val="notetext"/>
        <w:rPr>
          <w:strike/>
          <w:color w:val="0000FF"/>
        </w:rPr>
      </w:pPr>
      <w:r w:rsidRPr="00D57FD3">
        <w:rPr>
          <w:strike/>
          <w:color w:val="0000FF"/>
        </w:rPr>
        <w:t>Note:</w:t>
      </w:r>
      <w:r w:rsidRPr="00D57FD3">
        <w:rPr>
          <w:strike/>
          <w:color w:val="0000FF"/>
        </w:rPr>
        <w:tab/>
        <w:t>This subrule is a civil penalty provision (see rule 9.8).</w:t>
      </w:r>
    </w:p>
    <w:p w14:paraId="535740DF" w14:textId="77777777" w:rsidR="00BB7660" w:rsidRPr="00ED4F4B" w:rsidRDefault="00BB7660" w:rsidP="00BB7660">
      <w:pPr>
        <w:pStyle w:val="ActHead4"/>
      </w:pPr>
      <w:bookmarkStart w:id="155" w:name="_Toc111132033"/>
      <w:r w:rsidRPr="00ED4F4B">
        <w:t xml:space="preserve">Subdivision </w:t>
      </w:r>
      <w:bookmarkStart w:id="156" w:name="_Toc50633070"/>
      <w:r w:rsidRPr="00ED4F4B">
        <w:t>4.2.3—Consumer data requests by accredited persons</w:t>
      </w:r>
      <w:bookmarkEnd w:id="156"/>
      <w:r w:rsidRPr="00ED4F4B">
        <w:t xml:space="preserve"> to data holders</w:t>
      </w:r>
      <w:bookmarkEnd w:id="152"/>
      <w:bookmarkEnd w:id="153"/>
      <w:bookmarkEnd w:id="154"/>
      <w:bookmarkEnd w:id="155"/>
    </w:p>
    <w:p w14:paraId="5560970F" w14:textId="77777777" w:rsidR="00BB7660" w:rsidRPr="000639C3" w:rsidRDefault="00BB7660" w:rsidP="00BB7660">
      <w:pPr>
        <w:pStyle w:val="ActHead5"/>
      </w:pPr>
      <w:bookmarkStart w:id="157" w:name="_Toc50114025"/>
      <w:bookmarkStart w:id="158" w:name="_Toc57219016"/>
      <w:bookmarkStart w:id="159" w:name="_Toc59549130"/>
      <w:bookmarkStart w:id="160" w:name="_Toc111132034"/>
      <w:r w:rsidRPr="00ED4F4B">
        <w:t>4.4  Consumer data request by accredited person to data holder</w:t>
      </w:r>
      <w:bookmarkEnd w:id="157"/>
      <w:bookmarkEnd w:id="158"/>
      <w:bookmarkEnd w:id="159"/>
      <w:bookmarkEnd w:id="160"/>
    </w:p>
    <w:p w14:paraId="758FF170" w14:textId="77777777" w:rsidR="00BB7660" w:rsidRPr="00ED4F4B" w:rsidRDefault="00BB7660" w:rsidP="00BB7660">
      <w:pPr>
        <w:pStyle w:val="subsection"/>
      </w:pPr>
      <w:r w:rsidRPr="00ED4F4B">
        <w:tab/>
        <w:t>(1)</w:t>
      </w:r>
      <w:r w:rsidRPr="00ED4F4B">
        <w:tab/>
        <w:t>If:</w:t>
      </w:r>
    </w:p>
    <w:p w14:paraId="2E2E5178" w14:textId="77777777" w:rsidR="00BB7660" w:rsidRPr="00ED4F4B" w:rsidRDefault="00BB7660" w:rsidP="00BB7660">
      <w:pPr>
        <w:pStyle w:val="paragraph"/>
      </w:pPr>
      <w:r w:rsidRPr="00ED4F4B">
        <w:tab/>
        <w:t>(a)</w:t>
      </w:r>
      <w:r w:rsidRPr="00ED4F4B">
        <w:tab/>
        <w:t>a CDR consumer has given an accredited person a request under rule 4.3</w:t>
      </w:r>
      <w:r w:rsidRPr="00A00F6F">
        <w:t xml:space="preserve"> or 4.3A </w:t>
      </w:r>
      <w:r w:rsidRPr="00ED4F4B">
        <w:t>to seek to collect CDR data from a data holder; and</w:t>
      </w:r>
    </w:p>
    <w:p w14:paraId="41F84521" w14:textId="77777777" w:rsidR="00BB7660" w:rsidRPr="00ED4F4B" w:rsidRDefault="00BB7660" w:rsidP="00BB7660">
      <w:pPr>
        <w:pStyle w:val="paragraph"/>
      </w:pPr>
      <w:r w:rsidRPr="00ED4F4B">
        <w:tab/>
        <w:t>(b)</w:t>
      </w:r>
      <w:r w:rsidRPr="00ED4F4B">
        <w:tab/>
        <w:t>the request is valid;</w:t>
      </w:r>
    </w:p>
    <w:p w14:paraId="6C80E957" w14:textId="77777777" w:rsidR="00BB7660" w:rsidRPr="00ED4F4B" w:rsidRDefault="00BB7660" w:rsidP="00BB7660">
      <w:pPr>
        <w:pStyle w:val="subsection"/>
        <w:spacing w:before="40"/>
      </w:pPr>
      <w:r w:rsidRPr="00ED4F4B">
        <w:tab/>
      </w:r>
      <w:r w:rsidRPr="00ED4F4B">
        <w:tab/>
        <w:t>the accredited person may request the data holder to disclose, to the accredited person, some or all of the CDR data that:</w:t>
      </w:r>
    </w:p>
    <w:p w14:paraId="28848D18" w14:textId="77777777" w:rsidR="00BB7660" w:rsidRPr="00ED4F4B" w:rsidRDefault="00BB7660" w:rsidP="00BB7660">
      <w:pPr>
        <w:pStyle w:val="paragraph"/>
      </w:pPr>
      <w:r w:rsidRPr="00ED4F4B">
        <w:tab/>
        <w:t>(c)</w:t>
      </w:r>
      <w:r w:rsidRPr="00ED4F4B">
        <w:tab/>
        <w:t>is the subject of the relevant collection consent and use consent; and</w:t>
      </w:r>
    </w:p>
    <w:p w14:paraId="00258726" w14:textId="77777777" w:rsidR="00E915F8" w:rsidRPr="00E333D4" w:rsidRDefault="00E915F8" w:rsidP="00E915F8">
      <w:pPr>
        <w:pStyle w:val="paragraph"/>
        <w:rPr>
          <w:color w:val="0000FF"/>
        </w:rPr>
      </w:pPr>
      <w:r w:rsidRPr="00E333D4">
        <w:rPr>
          <w:color w:val="0000FF"/>
        </w:rPr>
        <w:tab/>
        <w:t>(d)</w:t>
      </w:r>
      <w:r w:rsidRPr="00E333D4">
        <w:rPr>
          <w:color w:val="0000FF"/>
        </w:rPr>
        <w:tab/>
        <w:t>can be collected and used in compliance with the data minimisation principle.</w:t>
      </w:r>
    </w:p>
    <w:p w14:paraId="3ABE5D79" w14:textId="77777777" w:rsidR="00AA0D4B" w:rsidRPr="00AA0D4B" w:rsidRDefault="00AA0D4B" w:rsidP="00AA0D4B">
      <w:pPr>
        <w:pStyle w:val="paragraph"/>
        <w:rPr>
          <w:strike/>
          <w:color w:val="0000FF"/>
        </w:rPr>
      </w:pPr>
      <w:r w:rsidRPr="00AA0D4B">
        <w:rPr>
          <w:strike/>
          <w:color w:val="0000FF"/>
        </w:rPr>
        <w:tab/>
        <w:t>(d)</w:t>
      </w:r>
      <w:r w:rsidRPr="00AA0D4B">
        <w:rPr>
          <w:strike/>
          <w:color w:val="0000FF"/>
        </w:rPr>
        <w:tab/>
        <w:t>it is able to collect and use in compliance with the data minimisation principle.</w:t>
      </w:r>
    </w:p>
    <w:p w14:paraId="3414CC4B" w14:textId="77777777" w:rsidR="00BB7660" w:rsidRPr="00ED4F4B" w:rsidRDefault="00BB7660" w:rsidP="00BB7660">
      <w:pPr>
        <w:pStyle w:val="notetext"/>
      </w:pPr>
      <w:r w:rsidRPr="00ED4F4B">
        <w:t>Note:</w:t>
      </w:r>
      <w:r w:rsidRPr="00ED4F4B">
        <w:tab/>
        <w:t>See rule 1.8 for the definition of the “data minimisation principle”.</w:t>
      </w:r>
    </w:p>
    <w:p w14:paraId="1CEE193D" w14:textId="77777777" w:rsidR="00BB7660" w:rsidRPr="00ED4F4B" w:rsidRDefault="00BB7660" w:rsidP="00BB7660">
      <w:pPr>
        <w:pStyle w:val="subsection"/>
      </w:pPr>
      <w:r w:rsidRPr="00ED4F4B">
        <w:tab/>
        <w:t>(2)</w:t>
      </w:r>
      <w:r w:rsidRPr="00ED4F4B">
        <w:tab/>
        <w:t xml:space="preserve">Such a request is a </w:t>
      </w:r>
      <w:r w:rsidRPr="00ED4F4B">
        <w:rPr>
          <w:b/>
          <w:i/>
        </w:rPr>
        <w:t xml:space="preserve">consumer data request </w:t>
      </w:r>
      <w:r w:rsidRPr="00ED4F4B">
        <w:t>by an accredited person to a data holder on behalf of a CDR consumer.</w:t>
      </w:r>
    </w:p>
    <w:p w14:paraId="754AF147" w14:textId="77777777" w:rsidR="00BB7660" w:rsidRDefault="00BB7660" w:rsidP="00BB7660">
      <w:pPr>
        <w:pStyle w:val="notetext"/>
      </w:pPr>
      <w:r w:rsidRPr="00ED4F4B">
        <w:t>Note 1:</w:t>
      </w:r>
      <w:r w:rsidRPr="00ED4F4B">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571732DE" w14:textId="77777777" w:rsidR="00BB7660" w:rsidRPr="00ED4F4B" w:rsidRDefault="00BB7660" w:rsidP="00BB7660">
      <w:pPr>
        <w:pStyle w:val="notetext"/>
      </w:pPr>
      <w:r w:rsidRPr="00ED4F4B">
        <w:t>Note 2:</w:t>
      </w:r>
      <w:r w:rsidRPr="00ED4F4B">
        <w:tab/>
        <w:t>These rules will progressively permit consumer data requests to be made in relation to CDR data held by a broader range of data holders within the banking sector, and in relation to a broader range of CDR data, according to the timetable set out in Part 6 of Schedule 3.</w:t>
      </w:r>
    </w:p>
    <w:p w14:paraId="30075514" w14:textId="77777777" w:rsidR="00BB7660" w:rsidRPr="00ED4F4B" w:rsidRDefault="00BB7660" w:rsidP="00BB7660">
      <w:pPr>
        <w:pStyle w:val="subsection"/>
      </w:pPr>
      <w:r w:rsidRPr="00ED4F4B">
        <w:rPr>
          <w:szCs w:val="22"/>
        </w:rPr>
        <w:tab/>
      </w:r>
      <w:r w:rsidRPr="00ED4F4B">
        <w:t>(3)</w:t>
      </w:r>
      <w:r w:rsidRPr="00ED4F4B">
        <w:rPr>
          <w:szCs w:val="22"/>
        </w:rPr>
        <w:tab/>
      </w:r>
      <w:r w:rsidRPr="00ED4F4B">
        <w:t>An accredited person must, if it makes a consumer data request under this Subdivision, make the request</w:t>
      </w:r>
      <w:r w:rsidRPr="00ED4F4B">
        <w:rPr>
          <w:szCs w:val="22"/>
        </w:rPr>
        <w:t>:</w:t>
      </w:r>
    </w:p>
    <w:p w14:paraId="24579F5B" w14:textId="77777777" w:rsidR="00BB7660" w:rsidRPr="00F07699" w:rsidRDefault="00BB7660" w:rsidP="00BB7660">
      <w:pPr>
        <w:pStyle w:val="paragraph"/>
        <w:rPr>
          <w:szCs w:val="22"/>
        </w:rPr>
      </w:pPr>
      <w:r w:rsidRPr="00F07699">
        <w:lastRenderedPageBreak/>
        <w:tab/>
        <w:t>(a)</w:t>
      </w:r>
      <w:r w:rsidRPr="00F07699">
        <w:tab/>
        <w:t>using the data holder’s accredited person</w:t>
      </w:r>
      <w:r w:rsidRPr="00F07699">
        <w:rPr>
          <w:b/>
          <w:bCs/>
          <w:i/>
          <w:iCs/>
        </w:rPr>
        <w:t xml:space="preserve"> </w:t>
      </w:r>
      <w:r w:rsidRPr="00F07699">
        <w:t>request service; and</w:t>
      </w:r>
    </w:p>
    <w:p w14:paraId="50893DA6" w14:textId="77777777" w:rsidR="00BB7660" w:rsidRPr="00F07699" w:rsidRDefault="00BB7660" w:rsidP="00BB7660">
      <w:pPr>
        <w:pStyle w:val="paragraph"/>
      </w:pPr>
      <w:r w:rsidRPr="00F07699">
        <w:tab/>
        <w:t>(b)</w:t>
      </w:r>
      <w:r w:rsidRPr="00F07699">
        <w:tab/>
        <w:t>in accordance with the data standards.</w:t>
      </w:r>
    </w:p>
    <w:p w14:paraId="3C0EF01B" w14:textId="77777777" w:rsidR="00BB7660" w:rsidRPr="00F07699" w:rsidRDefault="00BB7660" w:rsidP="00BB7660">
      <w:pPr>
        <w:pStyle w:val="notetext"/>
      </w:pPr>
      <w:r w:rsidRPr="00F07699">
        <w:t>Note 1:</w:t>
      </w:r>
      <w:r w:rsidRPr="00F07699">
        <w:tab/>
        <w:t>A data holder cannot charge an accredited person a fee for making a consumer data request in relation to required consumer data.</w:t>
      </w:r>
    </w:p>
    <w:p w14:paraId="241E1DBE" w14:textId="77777777" w:rsidR="00BB7660" w:rsidRDefault="00BB7660" w:rsidP="00BB7660">
      <w:pPr>
        <w:pStyle w:val="notetext"/>
      </w:pPr>
      <w:r w:rsidRPr="00F07699">
        <w:t>Note 2:</w:t>
      </w:r>
      <w:r w:rsidRPr="00F07699">
        <w:tab/>
        <w:t>This sub</w:t>
      </w:r>
      <w:r w:rsidRPr="004F7FBE">
        <w:t>rule is a civil penalty provision (see rule 9.8).</w:t>
      </w:r>
    </w:p>
    <w:p w14:paraId="3267C503" w14:textId="77777777" w:rsidR="00BB7660" w:rsidRPr="007C39E2" w:rsidRDefault="00BB7660" w:rsidP="00BB7660">
      <w:pPr>
        <w:pStyle w:val="ActHead5"/>
      </w:pPr>
      <w:bookmarkStart w:id="161" w:name="_Toc11771601"/>
      <w:bookmarkStart w:id="162" w:name="_Toc111132035"/>
      <w:bookmarkEnd w:id="137"/>
      <w:r>
        <w:t>4.5</w:t>
      </w:r>
      <w:r w:rsidRPr="00B24FE2">
        <w:t xml:space="preserve">  Data holder must </w:t>
      </w:r>
      <w:r>
        <w:t xml:space="preserve">ask </w:t>
      </w:r>
      <w:r w:rsidRPr="007C39E2">
        <w:t>eligible CDR consumer to authorise disclosure</w:t>
      </w:r>
      <w:bookmarkEnd w:id="161"/>
      <w:bookmarkEnd w:id="162"/>
    </w:p>
    <w:p w14:paraId="51FDC667"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(1)</w:t>
      </w:r>
      <w:r w:rsidRPr="00464C22">
        <w:rPr>
          <w:color w:val="000000" w:themeColor="text1"/>
        </w:rPr>
        <w:tab/>
        <w:t>This rule applies if:</w:t>
      </w:r>
    </w:p>
    <w:p w14:paraId="0FB12DBF"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 xml:space="preserve">a data holder receives a consumer data request under </w:t>
      </w:r>
      <w:r>
        <w:rPr>
          <w:color w:val="000000" w:themeColor="text1"/>
        </w:rPr>
        <w:t>rule 4.4</w:t>
      </w:r>
      <w:r w:rsidRPr="00464C22">
        <w:rPr>
          <w:color w:val="000000" w:themeColor="text1"/>
        </w:rPr>
        <w:t>; and</w:t>
      </w:r>
    </w:p>
    <w:p w14:paraId="1B34A113"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there is no current authorisation for the data holder to disclose the requested data to the person who made the request; and</w:t>
      </w:r>
    </w:p>
    <w:p w14:paraId="4D142194"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(c)</w:t>
      </w:r>
      <w:r w:rsidRPr="00464C22">
        <w:rPr>
          <w:color w:val="000000" w:themeColor="text1"/>
        </w:rPr>
        <w:tab/>
        <w:t>the data holder reasonably believes that the request was made by an accredited person on behalf of an eligible CDR consumer.</w:t>
      </w:r>
    </w:p>
    <w:p w14:paraId="18591624" w14:textId="77777777" w:rsidR="00BB7660" w:rsidRPr="00A00F6F" w:rsidRDefault="00BB7660" w:rsidP="00BB7660">
      <w:pPr>
        <w:pStyle w:val="notetext"/>
      </w:pPr>
      <w:r w:rsidRPr="00A00F6F">
        <w:t xml:space="preserve">Note: </w:t>
      </w:r>
      <w:r w:rsidRPr="00A00F6F">
        <w:tab/>
        <w:t>See rule 1.7 for the meaning of “eligible”.  See also:</w:t>
      </w:r>
    </w:p>
    <w:p w14:paraId="2CB321B8"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2.1 of Schedule 3;</w:t>
      </w:r>
    </w:p>
    <w:p w14:paraId="6F2163FC"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2.1 of Schedule 4.</w:t>
      </w:r>
    </w:p>
    <w:p w14:paraId="6F05BA13"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(2)</w:t>
      </w:r>
      <w:r w:rsidRPr="00464C22">
        <w:rPr>
          <w:color w:val="000000" w:themeColor="text1"/>
        </w:rPr>
        <w:tab/>
        <w:t>If the data holder is considering disclosing any of the requested voluntary consumer data, the data holder must ask the CDR consumer on whose behalf the request was made to authorise the disclosure:</w:t>
      </w:r>
    </w:p>
    <w:p w14:paraId="49C04ABC"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 xml:space="preserve">in accordance with </w:t>
      </w:r>
      <w:r>
        <w:rPr>
          <w:color w:val="000000" w:themeColor="text1"/>
        </w:rPr>
        <w:t>Division 4.4</w:t>
      </w:r>
      <w:r w:rsidRPr="00464C22">
        <w:rPr>
          <w:color w:val="000000" w:themeColor="text1"/>
        </w:rPr>
        <w:t>; and</w:t>
      </w:r>
    </w:p>
    <w:p w14:paraId="70FFF46C"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2650C32E" w14:textId="77777777" w:rsidR="00BB7660" w:rsidRPr="00A00F6F" w:rsidRDefault="00BB7660" w:rsidP="00BB7660">
      <w:pPr>
        <w:pStyle w:val="notetext"/>
      </w:pPr>
      <w:r w:rsidRPr="00A00F6F">
        <w:t>Note 1:</w:t>
      </w:r>
      <w:r w:rsidRPr="00A00F6F">
        <w:tab/>
        <w:t>See rule 1.7 for the meaning of “voluntary consumer data”.  See also:</w:t>
      </w:r>
    </w:p>
    <w:p w14:paraId="035C7D94"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3.2 of Schedule 3;</w:t>
      </w:r>
    </w:p>
    <w:p w14:paraId="0E4A3D48"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3.2 of Schedule 4.</w:t>
      </w:r>
    </w:p>
    <w:p w14:paraId="511DB491" w14:textId="77777777" w:rsidR="00BB7660" w:rsidRPr="00F07699" w:rsidRDefault="00BB7660" w:rsidP="00BB7660">
      <w:pPr>
        <w:pStyle w:val="notetext"/>
      </w:pPr>
      <w:r w:rsidRPr="00F07699">
        <w:t>Note 2:</w:t>
      </w:r>
      <w:r w:rsidRPr="00F07699">
        <w:tab/>
        <w:t>This subrule is a civil penalty provision (see rule 9.8).</w:t>
      </w:r>
    </w:p>
    <w:p w14:paraId="7BA50E77" w14:textId="77777777" w:rsidR="00BB7660" w:rsidRPr="00773999" w:rsidRDefault="00BB7660" w:rsidP="00BB7660">
      <w:pPr>
        <w:pStyle w:val="subsection"/>
        <w:rPr>
          <w:color w:val="000000" w:themeColor="text1"/>
        </w:rPr>
      </w:pPr>
      <w:r w:rsidRPr="00E1300D">
        <w:rPr>
          <w:color w:val="000000" w:themeColor="text1"/>
        </w:rPr>
        <w:tab/>
      </w:r>
      <w:r>
        <w:rPr>
          <w:color w:val="000000" w:themeColor="text1"/>
        </w:rPr>
        <w:t>(3)</w:t>
      </w:r>
      <w:r w:rsidRPr="00E1300D">
        <w:rPr>
          <w:color w:val="000000" w:themeColor="text1"/>
        </w:rPr>
        <w:tab/>
        <w:t>The data holder must, subject to rule 4.7, ask the CDR consumer on whose behalf the request was made to authorise the disclosure of any requested required consumer data</w:t>
      </w:r>
      <w:r w:rsidRPr="00813976">
        <w:t>:</w:t>
      </w:r>
    </w:p>
    <w:p w14:paraId="0628EBBD" w14:textId="77777777" w:rsidR="00BB7660" w:rsidRPr="00813976" w:rsidRDefault="00BB7660" w:rsidP="00BB7660">
      <w:pPr>
        <w:pStyle w:val="paragraph"/>
      </w:pPr>
      <w:r w:rsidRPr="00813976">
        <w:tab/>
      </w:r>
      <w:r>
        <w:t>(a)</w:t>
      </w:r>
      <w:r w:rsidRPr="00813976">
        <w:tab/>
        <w:t xml:space="preserve">in accordance with </w:t>
      </w:r>
      <w:r>
        <w:t>Division 4.4</w:t>
      </w:r>
      <w:r w:rsidRPr="00813976">
        <w:t>; and</w:t>
      </w:r>
    </w:p>
    <w:p w14:paraId="6AE8528D" w14:textId="77777777" w:rsidR="00BB7660" w:rsidRPr="00813976" w:rsidRDefault="00BB7660" w:rsidP="00BB7660">
      <w:pPr>
        <w:pStyle w:val="paragraph"/>
      </w:pPr>
      <w:r w:rsidRPr="00813976">
        <w:tab/>
      </w:r>
      <w:r>
        <w:t>(b)</w:t>
      </w:r>
      <w:r w:rsidRPr="00813976">
        <w:tab/>
        <w:t>in accordance with the data standards.</w:t>
      </w:r>
    </w:p>
    <w:p w14:paraId="6DB3E175" w14:textId="77777777" w:rsidR="00BB7660" w:rsidRPr="00A00F6F" w:rsidRDefault="00BB7660" w:rsidP="00BB7660">
      <w:pPr>
        <w:pStyle w:val="notetext"/>
      </w:pPr>
      <w:r w:rsidRPr="00A00F6F">
        <w:t xml:space="preserve">Note 1: </w:t>
      </w:r>
      <w:r w:rsidRPr="00A00F6F">
        <w:tab/>
        <w:t>See rule 1.7 for the meaning of “required consumer data”.  See also:</w:t>
      </w:r>
    </w:p>
    <w:p w14:paraId="28DD379F"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3.2 of Schedule 3;</w:t>
      </w:r>
    </w:p>
    <w:p w14:paraId="49AB9AD0"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3.2 of Schedule 4.</w:t>
      </w:r>
    </w:p>
    <w:p w14:paraId="575F0569" w14:textId="77777777" w:rsidR="00BB7660" w:rsidRDefault="00BB7660" w:rsidP="00BB7660">
      <w:pPr>
        <w:pStyle w:val="notetext"/>
      </w:pPr>
      <w:r w:rsidRPr="00F07699">
        <w:t xml:space="preserve">Note 2: </w:t>
      </w:r>
      <w:r w:rsidRPr="00F07699">
        <w:tab/>
        <w:t>This subrule is a civil penalty provision (see rule 9.8).</w:t>
      </w:r>
    </w:p>
    <w:p w14:paraId="735F83E7" w14:textId="77777777" w:rsidR="00BB7660" w:rsidRPr="007C39E2" w:rsidRDefault="00BB7660" w:rsidP="00BB7660">
      <w:pPr>
        <w:pStyle w:val="ActHead5"/>
      </w:pPr>
      <w:bookmarkStart w:id="163" w:name="_Toc111132036"/>
      <w:r>
        <w:t>4.6</w:t>
      </w:r>
      <w:r w:rsidRPr="007C39E2">
        <w:t xml:space="preserve">  Disclosing consumer data in response to a consumer data request</w:t>
      </w:r>
      <w:bookmarkEnd w:id="163"/>
    </w:p>
    <w:p w14:paraId="3254314D" w14:textId="77777777" w:rsidR="00BB7660" w:rsidRPr="007C39E2" w:rsidRDefault="00BB7660" w:rsidP="00BB7660">
      <w:pPr>
        <w:pStyle w:val="subsection"/>
      </w:pPr>
      <w:r w:rsidRPr="007C39E2">
        <w:tab/>
      </w:r>
      <w:r>
        <w:t>(1)</w:t>
      </w:r>
      <w:r w:rsidRPr="007C39E2">
        <w:tab/>
        <w:t>This rule applies if:</w:t>
      </w:r>
    </w:p>
    <w:p w14:paraId="62F41E87" w14:textId="77777777" w:rsidR="00BB7660" w:rsidRDefault="00BB7660" w:rsidP="00BB7660">
      <w:pPr>
        <w:pStyle w:val="paragraph"/>
      </w:pPr>
      <w:r w:rsidRPr="000374B5">
        <w:tab/>
      </w:r>
      <w:r>
        <w:t>(a)</w:t>
      </w:r>
      <w:r w:rsidRPr="000374B5">
        <w:tab/>
        <w:t>a data holder</w:t>
      </w:r>
      <w:r>
        <w:t xml:space="preserve"> has </w:t>
      </w:r>
      <w:r w:rsidRPr="000374B5">
        <w:t>receive</w:t>
      </w:r>
      <w:r>
        <w:t>d</w:t>
      </w:r>
      <w:r w:rsidRPr="000374B5">
        <w:t xml:space="preserve"> a consumer data request </w:t>
      </w:r>
      <w:r>
        <w:t>made under rule 4.4 for disclosure of CDR data</w:t>
      </w:r>
      <w:r w:rsidRPr="000374B5">
        <w:t>; and</w:t>
      </w:r>
    </w:p>
    <w:p w14:paraId="4A440CCA" w14:textId="77777777" w:rsidR="00BB7660" w:rsidRPr="007C39E2" w:rsidRDefault="00BB7660" w:rsidP="00BB7660">
      <w:pPr>
        <w:pStyle w:val="paragraph"/>
      </w:pPr>
      <w:r w:rsidRPr="000374B5">
        <w:tab/>
      </w:r>
      <w:r>
        <w:t>(b)</w:t>
      </w:r>
      <w:r w:rsidRPr="000374B5">
        <w:tab/>
      </w:r>
      <w:r>
        <w:t xml:space="preserve">the CDR consumer on whose behalf the request was made has given </w:t>
      </w:r>
      <w:r w:rsidRPr="00143470">
        <w:t xml:space="preserve">the data holder </w:t>
      </w:r>
      <w:r>
        <w:t>a current</w:t>
      </w:r>
      <w:r w:rsidRPr="000374B5">
        <w:t xml:space="preserve"> </w:t>
      </w:r>
      <w:r>
        <w:t>authorisation to disclose some or all of that CDR data</w:t>
      </w:r>
      <w:r w:rsidRPr="007C39E2">
        <w:t>.</w:t>
      </w:r>
    </w:p>
    <w:p w14:paraId="2FAB82DE" w14:textId="77777777" w:rsidR="00BB7660" w:rsidRPr="00464C22" w:rsidRDefault="00BB7660" w:rsidP="00BB7660">
      <w:pPr>
        <w:pStyle w:val="subsection"/>
        <w:rPr>
          <w:color w:val="000000" w:themeColor="text1"/>
        </w:rPr>
      </w:pPr>
      <w:r w:rsidRPr="00464C22">
        <w:rPr>
          <w:color w:val="000000" w:themeColor="text1"/>
        </w:rPr>
        <w:lastRenderedPageBreak/>
        <w:tab/>
      </w:r>
      <w:r>
        <w:rPr>
          <w:color w:val="000000" w:themeColor="text1"/>
        </w:rPr>
        <w:t>(2)</w:t>
      </w:r>
      <w:r w:rsidRPr="00464C22">
        <w:rPr>
          <w:color w:val="000000" w:themeColor="text1"/>
        </w:rPr>
        <w:tab/>
        <w:t>The data holder may</w:t>
      </w:r>
      <w:r>
        <w:rPr>
          <w:color w:val="000000" w:themeColor="text1"/>
        </w:rPr>
        <w:t>, subject to rule 4.6A,</w:t>
      </w:r>
      <w:r w:rsidRPr="00464C22">
        <w:rPr>
          <w:color w:val="000000" w:themeColor="text1"/>
        </w:rPr>
        <w:t xml:space="preserve"> disclose, to the person who made the request, any of the requested voluntary consumer data that it is authorised to disclose.</w:t>
      </w:r>
    </w:p>
    <w:p w14:paraId="61C83E30" w14:textId="77777777" w:rsidR="00BB7660" w:rsidRPr="00A00F6F" w:rsidRDefault="00BB7660" w:rsidP="00BB7660">
      <w:pPr>
        <w:pStyle w:val="notetext"/>
      </w:pPr>
      <w:r w:rsidRPr="00A00F6F">
        <w:t>Note 1:</w:t>
      </w:r>
      <w:r w:rsidRPr="00A00F6F">
        <w:tab/>
        <w:t>See rule 1.7 for the meaning of “voluntary consumer data”.  See also:</w:t>
      </w:r>
    </w:p>
    <w:p w14:paraId="5A069279"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3.2 of Schedule 3;</w:t>
      </w:r>
    </w:p>
    <w:p w14:paraId="492E2065"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3.2 of Schedule 4.</w:t>
      </w:r>
    </w:p>
    <w:p w14:paraId="099DA6E0" w14:textId="77777777" w:rsidR="00BB7660" w:rsidRPr="00A00F6F" w:rsidRDefault="00BB7660" w:rsidP="00BB7660">
      <w:pPr>
        <w:pStyle w:val="notetext"/>
      </w:pPr>
      <w:r w:rsidRPr="00A00F6F">
        <w:t>Note 2:</w:t>
      </w:r>
      <w:r w:rsidRPr="00A00F6F">
        <w:tab/>
        <w:t>For requests that relate to joint accounts, additional requirements need to be met in order for the data holder to be authorised to disclose requested CDR data that relates to the joint account: see Part 4A.</w:t>
      </w:r>
    </w:p>
    <w:p w14:paraId="00178D3C"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(3)</w:t>
      </w:r>
      <w:r w:rsidRPr="00464C22">
        <w:rPr>
          <w:color w:val="000000" w:themeColor="text1"/>
        </w:rPr>
        <w:tab/>
        <w:t>It must do so:</w:t>
      </w:r>
    </w:p>
    <w:p w14:paraId="2291F092"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through its accredited person</w:t>
      </w:r>
      <w:r w:rsidRPr="00464C22">
        <w:rPr>
          <w:b/>
          <w:i/>
          <w:color w:val="000000" w:themeColor="text1"/>
        </w:rPr>
        <w:t xml:space="preserve"> </w:t>
      </w:r>
      <w:r w:rsidRPr="00464C22">
        <w:rPr>
          <w:color w:val="000000" w:themeColor="text1"/>
        </w:rPr>
        <w:t>request service; and</w:t>
      </w:r>
    </w:p>
    <w:p w14:paraId="53C6C63D"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0BAFF84A" w14:textId="77777777" w:rsidR="00BB7660" w:rsidRDefault="00BB7660" w:rsidP="00BB7660">
      <w:pPr>
        <w:pStyle w:val="notetext"/>
        <w:rPr>
          <w:color w:val="000000" w:themeColor="text1"/>
        </w:rPr>
      </w:pPr>
      <w:r w:rsidRPr="00464C22">
        <w:rPr>
          <w:color w:val="000000" w:themeColor="text1"/>
        </w:rPr>
        <w:t>Note:</w:t>
      </w:r>
      <w:r w:rsidRPr="00464C22">
        <w:rPr>
          <w:color w:val="000000" w:themeColor="text1"/>
        </w:rPr>
        <w:tab/>
        <w:t>This subrule is a civil penalty provision (see rule </w:t>
      </w:r>
      <w:r>
        <w:rPr>
          <w:color w:val="000000" w:themeColor="text1"/>
        </w:rPr>
        <w:t>9.8</w:t>
      </w:r>
      <w:r w:rsidRPr="00464C22">
        <w:rPr>
          <w:color w:val="000000" w:themeColor="text1"/>
        </w:rPr>
        <w:t>).</w:t>
      </w:r>
    </w:p>
    <w:p w14:paraId="78D4F876" w14:textId="77777777" w:rsidR="00BB7660" w:rsidRPr="00464C22" w:rsidRDefault="00BB7660" w:rsidP="00BB7660">
      <w:pPr>
        <w:pStyle w:val="subsection"/>
        <w:rPr>
          <w:color w:val="000000" w:themeColor="text1"/>
        </w:rPr>
      </w:pPr>
      <w:r w:rsidRPr="00464C22">
        <w:rPr>
          <w:color w:val="000000" w:themeColor="text1"/>
        </w:rPr>
        <w:tab/>
      </w:r>
      <w:r>
        <w:rPr>
          <w:color w:val="000000" w:themeColor="text1"/>
        </w:rPr>
        <w:t>(4)</w:t>
      </w:r>
      <w:r w:rsidRPr="00464C22">
        <w:rPr>
          <w:color w:val="000000" w:themeColor="text1"/>
        </w:rPr>
        <w:tab/>
        <w:t>The data holder must, subject to</w:t>
      </w:r>
      <w:r>
        <w:rPr>
          <w:color w:val="000000" w:themeColor="text1"/>
        </w:rPr>
        <w:t xml:space="preserve"> rule 4.6A and</w:t>
      </w:r>
      <w:r w:rsidRPr="00464C22">
        <w:rPr>
          <w:color w:val="000000" w:themeColor="text1"/>
        </w:rPr>
        <w:t xml:space="preserve"> rule 4.7, disclose, to the person who made the request, the requested required consumer data that it is authorised to disclose:</w:t>
      </w:r>
    </w:p>
    <w:p w14:paraId="1D4CAEF2"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(a)</w:t>
      </w:r>
      <w:r w:rsidRPr="00464C22">
        <w:rPr>
          <w:color w:val="000000" w:themeColor="text1"/>
        </w:rPr>
        <w:tab/>
        <w:t>through its accredited person</w:t>
      </w:r>
      <w:r w:rsidRPr="00464C22">
        <w:rPr>
          <w:b/>
          <w:i/>
          <w:color w:val="000000" w:themeColor="text1"/>
        </w:rPr>
        <w:t xml:space="preserve"> </w:t>
      </w:r>
      <w:r w:rsidRPr="00464C22">
        <w:rPr>
          <w:color w:val="000000" w:themeColor="text1"/>
        </w:rPr>
        <w:t>request service; and</w:t>
      </w:r>
    </w:p>
    <w:p w14:paraId="21E038EE" w14:textId="77777777" w:rsidR="00BB7660" w:rsidRPr="00464C22" w:rsidRDefault="00BB7660" w:rsidP="00BB7660">
      <w:pPr>
        <w:pStyle w:val="paragraph"/>
        <w:rPr>
          <w:color w:val="000000" w:themeColor="text1"/>
        </w:rPr>
      </w:pPr>
      <w:r w:rsidRPr="00464C22">
        <w:rPr>
          <w:color w:val="000000" w:themeColor="text1"/>
        </w:rPr>
        <w:tab/>
      </w:r>
      <w:r>
        <w:rPr>
          <w:color w:val="000000" w:themeColor="text1"/>
        </w:rPr>
        <w:t>(b)</w:t>
      </w:r>
      <w:r w:rsidRPr="00464C22">
        <w:rPr>
          <w:color w:val="000000" w:themeColor="text1"/>
        </w:rPr>
        <w:tab/>
        <w:t>in accordance with the data standards.</w:t>
      </w:r>
    </w:p>
    <w:p w14:paraId="31F4D316" w14:textId="77777777" w:rsidR="00BB7660" w:rsidRPr="00A00F6F" w:rsidRDefault="00BB7660" w:rsidP="00BB7660">
      <w:pPr>
        <w:pStyle w:val="notetext"/>
      </w:pPr>
      <w:r w:rsidRPr="00A00F6F">
        <w:t xml:space="preserve">Note 1: </w:t>
      </w:r>
      <w:r w:rsidRPr="00A00F6F">
        <w:tab/>
        <w:t>See rule 1.7 for the meaning of “required consumer data”.  See also:</w:t>
      </w:r>
    </w:p>
    <w:p w14:paraId="1852B78E"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3.2 of Schedule 3;</w:t>
      </w:r>
    </w:p>
    <w:p w14:paraId="38587DC8"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3.2 of Schedule 4.</w:t>
      </w:r>
    </w:p>
    <w:p w14:paraId="35DE282A" w14:textId="77777777" w:rsidR="00BB7660" w:rsidRPr="00A00F6F" w:rsidRDefault="00BB7660" w:rsidP="00BB7660">
      <w:pPr>
        <w:pStyle w:val="notetext"/>
      </w:pPr>
      <w:r w:rsidRPr="00A00F6F">
        <w:t>Note 2:</w:t>
      </w:r>
      <w:r w:rsidRPr="00A00F6F">
        <w:tab/>
        <w:t>For requests that relate to joint accounts, additional requirements need to be met in order for the data holder to be authorised to disclose requested CDR data that relates to the joint account: see Part 4A.</w:t>
      </w:r>
    </w:p>
    <w:p w14:paraId="26B7AA2D" w14:textId="77777777" w:rsidR="00BB7660" w:rsidRPr="00464C22" w:rsidRDefault="00BB7660" w:rsidP="00BB7660">
      <w:pPr>
        <w:pStyle w:val="notetext"/>
        <w:rPr>
          <w:color w:val="000000" w:themeColor="text1"/>
        </w:rPr>
      </w:pPr>
      <w:r w:rsidRPr="00464C22">
        <w:rPr>
          <w:color w:val="000000" w:themeColor="text1"/>
        </w:rPr>
        <w:t>Note 3:</w:t>
      </w:r>
      <w:r w:rsidRPr="00464C22">
        <w:rPr>
          <w:color w:val="000000" w:themeColor="text1"/>
        </w:rPr>
        <w:tab/>
        <w:t>A fee cannot be charged for the disclosure of required consumer data: see section 56BU of the Act.</w:t>
      </w:r>
    </w:p>
    <w:p w14:paraId="6F084ECC" w14:textId="77777777" w:rsidR="00BB7660" w:rsidRPr="00813976" w:rsidRDefault="00BB7660" w:rsidP="00BB7660">
      <w:pPr>
        <w:pStyle w:val="notetext"/>
      </w:pPr>
      <w:r w:rsidRPr="00813976">
        <w:t>Note 4:</w:t>
      </w:r>
      <w:r w:rsidRPr="00813976">
        <w:tab/>
        <w:t>Rule </w:t>
      </w:r>
      <w:r>
        <w:t>7.4</w:t>
      </w:r>
      <w:r w:rsidRPr="00813976">
        <w:t xml:space="preserve"> (which deals with privacy safeguard 5, paragraph 56EH(a) of the Act) requires the accredited person to update its consumer dashboard for the CDR consumer on whose behalf the request was made to indicate the CDR data that was collected.</w:t>
      </w:r>
    </w:p>
    <w:p w14:paraId="2CC3C8C5" w14:textId="77777777" w:rsidR="00BB7660" w:rsidRPr="00813976" w:rsidRDefault="00BB7660" w:rsidP="00BB7660">
      <w:pPr>
        <w:pStyle w:val="notetext"/>
      </w:pPr>
      <w:r w:rsidRPr="00813976">
        <w:t>Note 5:</w:t>
      </w:r>
      <w:r w:rsidRPr="00813976">
        <w:tab/>
        <w:t>Rule </w:t>
      </w:r>
      <w:r>
        <w:t>7.9</w:t>
      </w:r>
      <w:r w:rsidRPr="00813976">
        <w:t xml:space="preserve"> (which deals with privacy safeguard 10, paragraph 56EM(1)(a) of the Act) requires the data holder to update its consumer dashboard for the CDR consumer on whose behalf the request was made to indicate the CDR data that was disclosed.</w:t>
      </w:r>
    </w:p>
    <w:p w14:paraId="6DF9ED54" w14:textId="77777777" w:rsidR="00BB7660" w:rsidRPr="00813976" w:rsidRDefault="00BB7660" w:rsidP="00BB7660">
      <w:pPr>
        <w:pStyle w:val="notetext"/>
      </w:pPr>
      <w:r w:rsidRPr="00813976">
        <w:t>Note 6:</w:t>
      </w:r>
      <w:r w:rsidRPr="00813976">
        <w:tab/>
        <w:t>This subrule is a civil penalty provision (see rule </w:t>
      </w:r>
      <w:r>
        <w:t>9.8</w:t>
      </w:r>
      <w:r w:rsidRPr="00813976">
        <w:t>).</w:t>
      </w:r>
    </w:p>
    <w:p w14:paraId="28129F76" w14:textId="77777777" w:rsidR="00BB7660" w:rsidRPr="00ED4F4B" w:rsidRDefault="00BB7660" w:rsidP="00BB7660">
      <w:pPr>
        <w:pStyle w:val="ActHead5"/>
      </w:pPr>
      <w:bookmarkStart w:id="164" w:name="_Toc57219019"/>
      <w:bookmarkStart w:id="165" w:name="_Toc59549131"/>
      <w:bookmarkStart w:id="166" w:name="_Toc111132037"/>
      <w:bookmarkStart w:id="167" w:name="_Toc11771603"/>
      <w:r w:rsidRPr="00ED4F4B">
        <w:t>4.6A  Disclosure of CDR data relating to account not permitted if not approved by account holder</w:t>
      </w:r>
      <w:bookmarkEnd w:id="164"/>
      <w:bookmarkEnd w:id="165"/>
      <w:bookmarkEnd w:id="166"/>
    </w:p>
    <w:p w14:paraId="6D7C33BA" w14:textId="77777777" w:rsidR="00BB7660" w:rsidRPr="00ED4F4B" w:rsidRDefault="00BB7660" w:rsidP="00BB7660">
      <w:pPr>
        <w:pStyle w:val="subsection"/>
      </w:pPr>
      <w:r w:rsidRPr="00ED4F4B">
        <w:tab/>
      </w:r>
      <w:r w:rsidRPr="00ED4F4B">
        <w:tab/>
        <w:t>Despite subrules 4.6(2) and (4), the data holder must not disclose requested CDR data that relates to a particular account to the person who made the request if:</w:t>
      </w:r>
    </w:p>
    <w:p w14:paraId="50D959CF" w14:textId="77777777" w:rsidR="00BB7660" w:rsidRPr="00ED4F4B" w:rsidRDefault="00BB7660" w:rsidP="00BB7660">
      <w:pPr>
        <w:pStyle w:val="paragraph"/>
      </w:pPr>
      <w:r w:rsidRPr="00ED4F4B">
        <w:tab/>
        <w:t>(a)</w:t>
      </w:r>
      <w:r w:rsidRPr="00ED4F4B">
        <w:tab/>
        <w:t>both of the following are satisfied:</w:t>
      </w:r>
    </w:p>
    <w:p w14:paraId="3D574220" w14:textId="77777777" w:rsidR="00BB7660" w:rsidRPr="00ED4F4B" w:rsidRDefault="00BB7660" w:rsidP="00BB7660">
      <w:pPr>
        <w:pStyle w:val="paragraphsub"/>
      </w:pPr>
      <w:r w:rsidRPr="00ED4F4B">
        <w:tab/>
        <w:t>(i)</w:t>
      </w:r>
      <w:r w:rsidRPr="00ED4F4B">
        <w:tab/>
        <w:t>the request was made on behalf of a secondary user of the account;</w:t>
      </w:r>
    </w:p>
    <w:p w14:paraId="57909CFE" w14:textId="77777777" w:rsidR="00BB7660" w:rsidRPr="00ED4F4B" w:rsidRDefault="00BB7660" w:rsidP="00BB7660">
      <w:pPr>
        <w:pStyle w:val="paragraphsub"/>
      </w:pPr>
      <w:r w:rsidRPr="00ED4F4B">
        <w:tab/>
        <w:t>(ii)</w:t>
      </w:r>
      <w:r w:rsidRPr="00ED4F4B">
        <w:tab/>
        <w:t>the account holder has indicated, through their consumer dashboard, that they no longer approve CDR data relating to that account being disclosed to that accredited person in response to consumer data requests made by that secondary user; or</w:t>
      </w:r>
    </w:p>
    <w:p w14:paraId="61E38E2B" w14:textId="77777777" w:rsidR="00BB7660" w:rsidRPr="00ED4F4B" w:rsidRDefault="00BB7660" w:rsidP="00BB7660">
      <w:pPr>
        <w:pStyle w:val="paragraph"/>
      </w:pPr>
      <w:r w:rsidRPr="00ED4F4B">
        <w:lastRenderedPageBreak/>
        <w:tab/>
        <w:t>(b)</w:t>
      </w:r>
      <w:r w:rsidRPr="00ED4F4B">
        <w:tab/>
        <w:t>a</w:t>
      </w:r>
      <w:r w:rsidRPr="00D57FD3">
        <w:t xml:space="preserve"> </w:t>
      </w:r>
      <w:r w:rsidRPr="00ED353F">
        <w:rPr>
          <w:color w:val="0000FF"/>
        </w:rPr>
        <w:t>provision of these rules</w:t>
      </w:r>
      <w:r w:rsidR="00D57FD3" w:rsidRPr="00D57FD3">
        <w:rPr>
          <w:strike/>
          <w:color w:val="0000FF"/>
        </w:rPr>
        <w:t xml:space="preserve"> Schedule to rules</w:t>
      </w:r>
      <w:r w:rsidRPr="00D57FD3">
        <w:t xml:space="preserve"> </w:t>
      </w:r>
      <w:r w:rsidRPr="00ED4F4B">
        <w:t>provides that the requested CDR data must not be disclosed.</w:t>
      </w:r>
    </w:p>
    <w:p w14:paraId="71D1F5EA" w14:textId="77777777" w:rsidR="00BB7660" w:rsidRPr="00ED4F4B" w:rsidRDefault="00BB7660" w:rsidP="00BB7660">
      <w:pPr>
        <w:pStyle w:val="notetext"/>
      </w:pPr>
      <w:r w:rsidRPr="00ED4F4B">
        <w:t>Note 1:</w:t>
      </w:r>
      <w:r w:rsidRPr="00ED4F4B">
        <w:tab/>
        <w:t>For subparagraph (a)(ii), the account holder is able to indicate this using the functionality referred to in subparagraph 1.15(5)(b)(i).</w:t>
      </w:r>
    </w:p>
    <w:p w14:paraId="1ED3FA3C" w14:textId="77777777" w:rsidR="00BB7660" w:rsidRPr="00ED353F" w:rsidRDefault="00BB7660" w:rsidP="00BB7660">
      <w:pPr>
        <w:pStyle w:val="notetext"/>
        <w:rPr>
          <w:color w:val="0000FF"/>
        </w:rPr>
      </w:pPr>
      <w:r w:rsidRPr="00ED353F">
        <w:rPr>
          <w:color w:val="0000FF"/>
        </w:rPr>
        <w:t xml:space="preserve">Note 2: </w:t>
      </w:r>
      <w:r w:rsidRPr="00ED353F">
        <w:rPr>
          <w:color w:val="0000FF"/>
        </w:rPr>
        <w:tab/>
        <w:t>For paragraph (b)—for example, see subrules 4A.10(5) and (6)</w:t>
      </w:r>
      <w:r w:rsidR="006B5050" w:rsidRPr="00500212">
        <w:rPr>
          <w:color w:val="0000FF"/>
        </w:rPr>
        <w:t xml:space="preserve"> in relation to joint accounts</w:t>
      </w:r>
      <w:r w:rsidRPr="00ED353F">
        <w:rPr>
          <w:color w:val="0000FF"/>
        </w:rPr>
        <w:t>.</w:t>
      </w:r>
    </w:p>
    <w:p w14:paraId="45339CC0" w14:textId="77777777" w:rsidR="00AA0D4B" w:rsidRPr="00AA0D4B" w:rsidRDefault="00AA0D4B" w:rsidP="00AA0D4B">
      <w:pPr>
        <w:pStyle w:val="notetext"/>
        <w:rPr>
          <w:strike/>
          <w:color w:val="0000FF"/>
        </w:rPr>
      </w:pPr>
      <w:r w:rsidRPr="00AA0D4B">
        <w:rPr>
          <w:strike/>
          <w:color w:val="0000FF"/>
        </w:rPr>
        <w:t xml:space="preserve">Note 2: </w:t>
      </w:r>
      <w:r w:rsidRPr="00AA0D4B">
        <w:rPr>
          <w:strike/>
          <w:color w:val="0000FF"/>
        </w:rPr>
        <w:tab/>
        <w:t>For paragraph (b), for the banking sector, see clause 4.13 of Schedule 3 to these rules.</w:t>
      </w:r>
    </w:p>
    <w:p w14:paraId="68113A21" w14:textId="77777777" w:rsidR="00BB7660" w:rsidRDefault="00BB7660" w:rsidP="00BB7660">
      <w:pPr>
        <w:pStyle w:val="ActHead5"/>
      </w:pPr>
      <w:bookmarkStart w:id="168" w:name="_Toc111132038"/>
      <w:r>
        <w:t>4.7</w:t>
      </w:r>
      <w:r w:rsidRPr="007C39E2">
        <w:t xml:space="preserve">  Refusal to disclose required consumer data in response to consumer data </w:t>
      </w:r>
      <w:r>
        <w:t>request</w:t>
      </w:r>
      <w:bookmarkEnd w:id="167"/>
      <w:bookmarkEnd w:id="168"/>
    </w:p>
    <w:p w14:paraId="77EFEFA8" w14:textId="77777777" w:rsidR="00BB7660" w:rsidRPr="001913EC" w:rsidRDefault="00BB7660" w:rsidP="00BB7660">
      <w:pPr>
        <w:pStyle w:val="subsection"/>
      </w:pPr>
      <w:bookmarkStart w:id="169" w:name="_Hlk86244907"/>
      <w:r>
        <w:tab/>
      </w:r>
      <w:r w:rsidRPr="009C4726">
        <w:t>(1)</w:t>
      </w:r>
      <w:r w:rsidRPr="009C4726">
        <w:tab/>
      </w:r>
      <w:bookmarkStart w:id="170" w:name="_Hlk86244871"/>
      <w:r w:rsidRPr="009C4726">
        <w:t>Despite subrules 4.5(3)</w:t>
      </w:r>
      <w:r w:rsidRPr="00A00F6F">
        <w:t>, 4.6(4) and 4.22A(1)</w:t>
      </w:r>
      <w:r w:rsidRPr="009C4726">
        <w:t xml:space="preserve">, a data holder may refuse to ask for an authorisation in relation to the relevant CDR data, </w:t>
      </w:r>
      <w:r w:rsidRPr="00A00F6F">
        <w:t xml:space="preserve">to invite a CDR consumer to amend the authorisation, </w:t>
      </w:r>
      <w:r w:rsidRPr="009C4726">
        <w:t xml:space="preserve">or to disclose required consumer data in response to the </w:t>
      </w:r>
      <w:r w:rsidRPr="001913EC">
        <w:t>request:</w:t>
      </w:r>
      <w:bookmarkEnd w:id="170"/>
    </w:p>
    <w:bookmarkEnd w:id="169"/>
    <w:p w14:paraId="4ACA00E8" w14:textId="77777777" w:rsidR="00BB7660" w:rsidRPr="009C4726" w:rsidRDefault="00BB7660" w:rsidP="00BB7660">
      <w:pPr>
        <w:pStyle w:val="paragraph"/>
      </w:pPr>
      <w:r w:rsidRPr="009C4726">
        <w:tab/>
        <w:t>(a)</w:t>
      </w:r>
      <w:r w:rsidRPr="009C4726">
        <w:tab/>
        <w:t xml:space="preserve">if the data holder considers this to be necessary to prevent </w:t>
      </w:r>
      <w:r w:rsidRPr="00A00F6F">
        <w:t xml:space="preserve">physical, psychological </w:t>
      </w:r>
      <w:r w:rsidRPr="009C4726">
        <w:t>or financial harm or abuse; or</w:t>
      </w:r>
    </w:p>
    <w:p w14:paraId="4291AE4E" w14:textId="77777777" w:rsidR="00BB7660" w:rsidRPr="009C4726" w:rsidRDefault="00BB7660" w:rsidP="00BB7660">
      <w:pPr>
        <w:pStyle w:val="paragraph"/>
      </w:pPr>
      <w:r w:rsidRPr="009C4726">
        <w:tab/>
        <w:t>(b)</w:t>
      </w:r>
      <w:r w:rsidRPr="009C4726">
        <w:tab/>
        <w:t xml:space="preserve">if the data holder has reasonable </w:t>
      </w:r>
      <w:r w:rsidRPr="001913EC">
        <w:t>grounds to believ</w:t>
      </w:r>
      <w:r w:rsidRPr="009C4726">
        <w:t>e that disclosure of some or all of that data would adversely impact the security, integrity or stability of:</w:t>
      </w:r>
    </w:p>
    <w:p w14:paraId="69D8C0FF" w14:textId="77777777" w:rsidR="00BB7660" w:rsidRPr="009C4726" w:rsidRDefault="00BB7660" w:rsidP="00BB7660">
      <w:pPr>
        <w:pStyle w:val="paragraphsub"/>
      </w:pPr>
      <w:r w:rsidRPr="009C4726">
        <w:tab/>
        <w:t>(i)</w:t>
      </w:r>
      <w:r w:rsidRPr="009C4726">
        <w:tab/>
        <w:t>the Register of Accredited Persons; or</w:t>
      </w:r>
    </w:p>
    <w:p w14:paraId="3B70EE99" w14:textId="77777777" w:rsidR="00BB7660" w:rsidRPr="009C4726" w:rsidRDefault="00BB7660" w:rsidP="00BB7660">
      <w:pPr>
        <w:pStyle w:val="paragraphsub"/>
      </w:pPr>
      <w:r w:rsidRPr="009C4726">
        <w:tab/>
        <w:t>(ii)</w:t>
      </w:r>
      <w:r w:rsidRPr="009C4726">
        <w:tab/>
        <w:t>the data holder’s information and communication technology systems; or</w:t>
      </w:r>
    </w:p>
    <w:p w14:paraId="767E3600" w14:textId="77777777" w:rsidR="00BB7660" w:rsidRPr="009C4726" w:rsidRDefault="00BB7660" w:rsidP="00BB7660">
      <w:pPr>
        <w:pStyle w:val="paragraph"/>
      </w:pPr>
      <w:r w:rsidRPr="009C4726">
        <w:tab/>
        <w:t>(c)</w:t>
      </w:r>
      <w:r w:rsidRPr="009C4726">
        <w:tab/>
        <w:t>in relation to an account that is blocked or suspended; or</w:t>
      </w:r>
    </w:p>
    <w:p w14:paraId="62EA96B5" w14:textId="77777777" w:rsidR="00BB7660" w:rsidRPr="004A04A4" w:rsidRDefault="00BB7660" w:rsidP="00BB7660">
      <w:pPr>
        <w:pStyle w:val="paragraph"/>
        <w:rPr>
          <w:color w:val="0000FF"/>
        </w:rPr>
      </w:pPr>
      <w:r w:rsidRPr="009C4726">
        <w:tab/>
        <w:t>(d)</w:t>
      </w:r>
      <w:r w:rsidRPr="009C4726">
        <w:tab/>
        <w:t>in circumstances (if any) set out in the data standards</w:t>
      </w:r>
      <w:r w:rsidRPr="004A04A4">
        <w:rPr>
          <w:color w:val="0000FF"/>
        </w:rPr>
        <w:t>; or</w:t>
      </w:r>
    </w:p>
    <w:p w14:paraId="5CA48F92" w14:textId="77777777" w:rsidR="00BB7660" w:rsidRDefault="00BB7660" w:rsidP="00BB7660">
      <w:pPr>
        <w:pStyle w:val="paragraph"/>
      </w:pPr>
      <w:r w:rsidRPr="004A04A4">
        <w:rPr>
          <w:color w:val="0000FF"/>
        </w:rPr>
        <w:tab/>
        <w:t>(e)</w:t>
      </w:r>
      <w:r w:rsidRPr="004A04A4">
        <w:rPr>
          <w:color w:val="0000FF"/>
        </w:rPr>
        <w:tab/>
        <w:t>if the disclosure of some or all of that CDR data would not be permitted because of another provision of these rules</w:t>
      </w:r>
      <w:r w:rsidRPr="009C4726">
        <w:t>.</w:t>
      </w:r>
    </w:p>
    <w:p w14:paraId="3024AA82" w14:textId="77777777" w:rsidR="00BB7660" w:rsidRPr="0023036E" w:rsidRDefault="00BB7660" w:rsidP="00BB7660">
      <w:pPr>
        <w:pStyle w:val="subsection"/>
      </w:pPr>
      <w:r w:rsidRPr="007C39E2">
        <w:tab/>
      </w:r>
      <w:r>
        <w:t>(3)</w:t>
      </w:r>
      <w:r w:rsidRPr="007C39E2">
        <w:tab/>
        <w:t>The data holder must inform the accredited person of such a refusal</w:t>
      </w:r>
      <w:r w:rsidRPr="0023036E">
        <w:t xml:space="preserve"> in accordance with the data standards.</w:t>
      </w:r>
    </w:p>
    <w:p w14:paraId="09AE083C" w14:textId="77777777" w:rsidR="00BB7660" w:rsidRPr="005F3D40" w:rsidRDefault="00BB7660" w:rsidP="00BB7660">
      <w:pPr>
        <w:pStyle w:val="subsection"/>
        <w:rPr>
          <w:color w:val="000000" w:themeColor="text1"/>
        </w:rPr>
      </w:pPr>
      <w:r>
        <w:tab/>
      </w:r>
      <w:r>
        <w:tab/>
      </w:r>
      <w:r w:rsidRPr="005F3D40">
        <w:rPr>
          <w:color w:val="000000" w:themeColor="text1"/>
        </w:rPr>
        <w:t>Civil penalty:</w:t>
      </w:r>
    </w:p>
    <w:p w14:paraId="747E9274"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36C54FDF" w14:textId="77777777" w:rsidR="00BB7660" w:rsidRDefault="00BB7660" w:rsidP="00BB7660">
      <w:pPr>
        <w:pStyle w:val="paragraph"/>
        <w:rPr>
          <w:color w:val="000000" w:themeColor="text1"/>
        </w:rPr>
      </w:pPr>
      <w:r w:rsidRPr="005F3D40">
        <w:rPr>
          <w:color w:val="000000" w:themeColor="text1"/>
        </w:rPr>
        <w:tab/>
        <w:t>(b)</w:t>
      </w:r>
      <w:r w:rsidRPr="005F3D40">
        <w:rPr>
          <w:color w:val="000000" w:themeColor="text1"/>
        </w:rPr>
        <w:tab/>
        <w:t>for a body corporate―$250,000.</w:t>
      </w:r>
    </w:p>
    <w:p w14:paraId="4A95EEDC" w14:textId="77777777" w:rsidR="00BB7660" w:rsidRPr="003C575E" w:rsidRDefault="00BB7660" w:rsidP="00BB7660">
      <w:pPr>
        <w:pStyle w:val="ActHead4"/>
      </w:pPr>
      <w:bookmarkStart w:id="171" w:name="_Toc50114029"/>
      <w:bookmarkStart w:id="172" w:name="_Toc57390999"/>
      <w:bookmarkStart w:id="173" w:name="_Toc59549132"/>
      <w:bookmarkStart w:id="174" w:name="_Toc111132039"/>
      <w:bookmarkStart w:id="175" w:name="_Toc50114030"/>
      <w:bookmarkStart w:id="176" w:name="_Toc57219022"/>
      <w:r w:rsidRPr="004F7FBE">
        <w:t>Subdivision 4.2.4—Consumer data requests by accredited persons to accredited data recipients</w:t>
      </w:r>
      <w:bookmarkStart w:id="177" w:name="_Toc59549133"/>
      <w:bookmarkEnd w:id="171"/>
      <w:bookmarkEnd w:id="172"/>
      <w:bookmarkEnd w:id="173"/>
      <w:bookmarkEnd w:id="174"/>
    </w:p>
    <w:p w14:paraId="74F94762" w14:textId="77777777" w:rsidR="00BB7660" w:rsidRPr="003C575E" w:rsidRDefault="00BB7660" w:rsidP="00BB7660">
      <w:pPr>
        <w:pStyle w:val="ActHead5"/>
      </w:pPr>
      <w:bookmarkStart w:id="178" w:name="_Toc111132040"/>
      <w:r w:rsidRPr="003C575E">
        <w:t>4.7A  Consumer data request by accredited person to accredited data recipient</w:t>
      </w:r>
      <w:bookmarkEnd w:id="175"/>
      <w:bookmarkEnd w:id="176"/>
      <w:bookmarkEnd w:id="177"/>
      <w:bookmarkEnd w:id="178"/>
    </w:p>
    <w:p w14:paraId="1A347629" w14:textId="77777777" w:rsidR="00BB7660" w:rsidRPr="003C575E" w:rsidRDefault="00BB7660" w:rsidP="00BB7660">
      <w:pPr>
        <w:pStyle w:val="subsection"/>
      </w:pPr>
      <w:r w:rsidRPr="003C575E">
        <w:tab/>
        <w:t>(1)</w:t>
      </w:r>
      <w:r w:rsidRPr="003C575E">
        <w:tab/>
        <w:t>If:</w:t>
      </w:r>
    </w:p>
    <w:p w14:paraId="69A5CA99" w14:textId="77777777" w:rsidR="00BB7660" w:rsidRPr="003C575E" w:rsidRDefault="00BB7660" w:rsidP="00BB7660">
      <w:pPr>
        <w:pStyle w:val="paragraph"/>
      </w:pPr>
      <w:r w:rsidRPr="003C575E">
        <w:tab/>
        <w:t>(a)</w:t>
      </w:r>
      <w:r w:rsidRPr="003C575E">
        <w:tab/>
        <w:t xml:space="preserve">a CDR consumer has given an accredited person a request under rule 4.3 </w:t>
      </w:r>
      <w:r w:rsidRPr="00A00F6F">
        <w:t>or 4.3A</w:t>
      </w:r>
      <w:r w:rsidRPr="003C575E">
        <w:t xml:space="preserve"> to seek to collect CDR data from an accredited data recipient; and</w:t>
      </w:r>
    </w:p>
    <w:p w14:paraId="185A4945" w14:textId="77777777" w:rsidR="00BB7660" w:rsidRPr="003C575E" w:rsidRDefault="00BB7660" w:rsidP="00BB7660">
      <w:pPr>
        <w:pStyle w:val="paragraph"/>
      </w:pPr>
      <w:r w:rsidRPr="003C575E">
        <w:tab/>
        <w:t>(b)</w:t>
      </w:r>
      <w:r w:rsidRPr="003C575E">
        <w:tab/>
        <w:t>the request is valid;</w:t>
      </w:r>
    </w:p>
    <w:p w14:paraId="5AB98EF1" w14:textId="77777777" w:rsidR="00BB7660" w:rsidRPr="003C575E" w:rsidRDefault="00BB7660" w:rsidP="00BB7660">
      <w:pPr>
        <w:pStyle w:val="subsection"/>
        <w:spacing w:before="40"/>
      </w:pPr>
      <w:r w:rsidRPr="003C575E">
        <w:tab/>
      </w:r>
      <w:r w:rsidRPr="003C575E">
        <w:tab/>
        <w:t>the accredited person may request the accredited data recipient to disclose, to the accredited person, some or all of the CDR data that:</w:t>
      </w:r>
    </w:p>
    <w:p w14:paraId="1BAD9A35" w14:textId="77777777" w:rsidR="00BB7660" w:rsidRPr="003C575E" w:rsidRDefault="00BB7660" w:rsidP="00BB7660">
      <w:pPr>
        <w:pStyle w:val="paragraph"/>
      </w:pPr>
      <w:r w:rsidRPr="003C575E">
        <w:tab/>
        <w:t>(c)</w:t>
      </w:r>
      <w:r w:rsidRPr="003C575E">
        <w:tab/>
        <w:t>is the subject of the relevant collection consent and use consent; and</w:t>
      </w:r>
    </w:p>
    <w:p w14:paraId="6E0190E2" w14:textId="77777777" w:rsidR="00E915F8" w:rsidRPr="00E333D4" w:rsidRDefault="00E915F8" w:rsidP="00E915F8">
      <w:pPr>
        <w:pStyle w:val="paragraph"/>
        <w:rPr>
          <w:color w:val="0000FF"/>
        </w:rPr>
      </w:pPr>
      <w:r w:rsidRPr="00E333D4">
        <w:rPr>
          <w:color w:val="0000FF"/>
        </w:rPr>
        <w:lastRenderedPageBreak/>
        <w:tab/>
        <w:t>(d)</w:t>
      </w:r>
      <w:r w:rsidRPr="00E333D4">
        <w:rPr>
          <w:color w:val="0000FF"/>
        </w:rPr>
        <w:tab/>
        <w:t>can be collected and used in compliance with the data minimisation principle.</w:t>
      </w:r>
    </w:p>
    <w:p w14:paraId="4D201FB1" w14:textId="77777777" w:rsidR="00AA0D4B" w:rsidRPr="00AA0D4B" w:rsidRDefault="00AA0D4B" w:rsidP="00AA0D4B">
      <w:pPr>
        <w:pStyle w:val="paragraph"/>
        <w:rPr>
          <w:strike/>
          <w:color w:val="0000FF"/>
        </w:rPr>
      </w:pPr>
      <w:r w:rsidRPr="00AA0D4B">
        <w:rPr>
          <w:strike/>
          <w:color w:val="0000FF"/>
        </w:rPr>
        <w:tab/>
        <w:t>(d)</w:t>
      </w:r>
      <w:r w:rsidRPr="00AA0D4B">
        <w:rPr>
          <w:strike/>
          <w:color w:val="0000FF"/>
        </w:rPr>
        <w:tab/>
        <w:t>it is able to collect and use in compliance with the data minimisation principle.</w:t>
      </w:r>
    </w:p>
    <w:p w14:paraId="646CB139" w14:textId="77777777" w:rsidR="00BB7660" w:rsidRPr="003C575E" w:rsidRDefault="00BB7660" w:rsidP="00BB7660">
      <w:pPr>
        <w:pStyle w:val="notetext"/>
      </w:pPr>
      <w:r w:rsidRPr="003C575E">
        <w:t>Note:</w:t>
      </w:r>
      <w:r w:rsidRPr="003C575E">
        <w:tab/>
        <w:t>See rule 1.8 for the definition of the “data minimisation principle”.</w:t>
      </w:r>
    </w:p>
    <w:p w14:paraId="38D7D570" w14:textId="77777777" w:rsidR="00BB7660" w:rsidRPr="003C575E" w:rsidRDefault="00BB7660" w:rsidP="00BB7660">
      <w:pPr>
        <w:pStyle w:val="subsection"/>
      </w:pPr>
      <w:r w:rsidRPr="003C575E">
        <w:tab/>
        <w:t>(2)</w:t>
      </w:r>
      <w:r w:rsidRPr="003C575E">
        <w:tab/>
        <w:t xml:space="preserve">Such a request is a </w:t>
      </w:r>
      <w:r w:rsidRPr="003C575E">
        <w:rPr>
          <w:b/>
          <w:i/>
        </w:rPr>
        <w:t xml:space="preserve">consumer data request </w:t>
      </w:r>
      <w:r w:rsidRPr="003C575E">
        <w:t>by an accredited person to an accredited data recipient on behalf of a CDR consumer.</w:t>
      </w:r>
    </w:p>
    <w:p w14:paraId="4B23FB95" w14:textId="77777777" w:rsidR="00BB7660" w:rsidRPr="003C575E" w:rsidRDefault="00BB7660" w:rsidP="00BB7660">
      <w:pPr>
        <w:pStyle w:val="notetext"/>
      </w:pPr>
      <w:r w:rsidRPr="003C575E">
        <w:t>Note:</w:t>
      </w:r>
      <w:r w:rsidRPr="003C575E">
        <w:tab/>
        <w:t>An accredited person might need to make consumer data requests to several CDR participants in order to provide the goods or services requested by the CDR consumer, and might need to make regular consumer data requests over a period of time in order to provide those goods or services.</w:t>
      </w:r>
    </w:p>
    <w:p w14:paraId="3E77716C" w14:textId="77777777" w:rsidR="00BB7660" w:rsidRPr="00ED4F4B" w:rsidRDefault="00BB7660" w:rsidP="00BB7660">
      <w:pPr>
        <w:pStyle w:val="ActHead5"/>
      </w:pPr>
      <w:bookmarkStart w:id="179" w:name="_Toc50114031"/>
      <w:bookmarkStart w:id="180" w:name="_Toc57219023"/>
      <w:bookmarkStart w:id="181" w:name="_Toc59549134"/>
      <w:bookmarkStart w:id="182" w:name="_Toc111132041"/>
      <w:r w:rsidRPr="00ED4F4B">
        <w:t>4.7B  Accredited data recipient may ask eligible CDR consumer for AP disclosure consent</w:t>
      </w:r>
      <w:bookmarkEnd w:id="179"/>
      <w:bookmarkEnd w:id="180"/>
      <w:bookmarkEnd w:id="181"/>
      <w:bookmarkEnd w:id="182"/>
    </w:p>
    <w:p w14:paraId="07472477" w14:textId="77777777" w:rsidR="00BB7660" w:rsidRPr="00ED4F4B" w:rsidRDefault="00BB7660" w:rsidP="00BB7660">
      <w:pPr>
        <w:pStyle w:val="subsection"/>
      </w:pPr>
      <w:r w:rsidRPr="00ED4F4B">
        <w:tab/>
        <w:t>(1)</w:t>
      </w:r>
      <w:r w:rsidRPr="00ED4F4B">
        <w:tab/>
        <w:t>This rule applies if:</w:t>
      </w:r>
    </w:p>
    <w:p w14:paraId="4F4E8FBE" w14:textId="77777777" w:rsidR="00BB7660" w:rsidRPr="00ED4F4B" w:rsidRDefault="00BB7660" w:rsidP="00BB7660">
      <w:pPr>
        <w:pStyle w:val="paragraph"/>
      </w:pPr>
      <w:r w:rsidRPr="00ED4F4B">
        <w:tab/>
        <w:t>(a)</w:t>
      </w:r>
      <w:r w:rsidRPr="00ED4F4B">
        <w:tab/>
        <w:t>an accredited data recipient receives, or reasonably anticipates receiving, a consumer data request under rule 4.7A; and</w:t>
      </w:r>
    </w:p>
    <w:p w14:paraId="13ED53CD" w14:textId="77777777" w:rsidR="00BB7660" w:rsidRPr="00ED4F4B" w:rsidRDefault="00BB7660" w:rsidP="00BB7660">
      <w:pPr>
        <w:pStyle w:val="paragraph"/>
      </w:pPr>
      <w:r w:rsidRPr="00ED4F4B">
        <w:tab/>
        <w:t>(b)</w:t>
      </w:r>
      <w:r w:rsidRPr="00ED4F4B">
        <w:tab/>
        <w:t>there is no current AP disclosure consent for the accredited data recipient to disclose the requested data to the person who made the request; and</w:t>
      </w:r>
    </w:p>
    <w:p w14:paraId="12B4A8E8" w14:textId="77777777" w:rsidR="00BB7660" w:rsidRPr="00ED4F4B" w:rsidRDefault="00BB7660" w:rsidP="00BB7660">
      <w:pPr>
        <w:pStyle w:val="paragraph"/>
      </w:pPr>
      <w:r w:rsidRPr="00ED4F4B">
        <w:tab/>
        <w:t>(c)</w:t>
      </w:r>
      <w:r w:rsidRPr="00ED4F4B">
        <w:tab/>
        <w:t>the accredited data recipient reasonably believes that the request was or will be made by an accredited person on behalf of an eligible CDR consumer.</w:t>
      </w:r>
    </w:p>
    <w:p w14:paraId="37C0800F" w14:textId="77777777" w:rsidR="00BB7660" w:rsidRPr="00A00F6F" w:rsidRDefault="00BB7660" w:rsidP="00BB7660">
      <w:pPr>
        <w:pStyle w:val="notetext"/>
      </w:pPr>
      <w:r w:rsidRPr="00A00F6F">
        <w:t>Note:</w:t>
      </w:r>
      <w:r w:rsidRPr="00A00F6F">
        <w:tab/>
        <w:t>See rule 1.7 for the meaning of “eligible”.  See also:</w:t>
      </w:r>
    </w:p>
    <w:p w14:paraId="6EFD86A1"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2.1 of Schedule 3;</w:t>
      </w:r>
    </w:p>
    <w:p w14:paraId="0F22BDC3"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2.1 of Schedule 4.</w:t>
      </w:r>
    </w:p>
    <w:p w14:paraId="42D68B46" w14:textId="77777777" w:rsidR="00BB7660" w:rsidRPr="00ED4F4B" w:rsidRDefault="00BB7660" w:rsidP="00BB7660">
      <w:pPr>
        <w:pStyle w:val="subsection"/>
      </w:pPr>
      <w:r w:rsidRPr="00ED4F4B">
        <w:tab/>
        <w:t>(2)</w:t>
      </w:r>
      <w:r w:rsidRPr="00ED4F4B">
        <w:tab/>
        <w:t>The accredited data recipient may, in accordance with Division 4.3, ask the CDR consumer for such an AP disclosure consent.</w:t>
      </w:r>
    </w:p>
    <w:p w14:paraId="3BA9E76E" w14:textId="77777777" w:rsidR="00BB7660" w:rsidRPr="00ED4F4B" w:rsidRDefault="00BB7660" w:rsidP="00BB7660">
      <w:pPr>
        <w:pStyle w:val="notetext"/>
      </w:pPr>
      <w:r w:rsidRPr="00ED4F4B">
        <w:t>Note:</w:t>
      </w:r>
      <w:r w:rsidRPr="00ED4F4B">
        <w:tab/>
        <w:t>If the CDR consumer consents to the disclosure, the accredited data recipient is authorised (but not required) to disclose the requested CDR data to the accredited person: see paragraph 7.5(1)(f) and rules 7.6, 7.7 and 7.8.</w:t>
      </w:r>
    </w:p>
    <w:p w14:paraId="00202920" w14:textId="77777777" w:rsidR="00BB7660" w:rsidRPr="00ED4F4B" w:rsidRDefault="00BB7660" w:rsidP="00BB7660">
      <w:pPr>
        <w:pStyle w:val="subsection"/>
      </w:pPr>
      <w:r w:rsidRPr="00ED4F4B">
        <w:tab/>
        <w:t>(3)</w:t>
      </w:r>
      <w:r w:rsidRPr="00ED4F4B">
        <w:tab/>
        <w:t>If an accredited data recipient asks for an AP disclosure consent for the purposes of subrule (2), it must do so in accordance with Division 4.3.</w:t>
      </w:r>
    </w:p>
    <w:p w14:paraId="6CD67302" w14:textId="77777777" w:rsidR="00BB7660" w:rsidRDefault="00BB7660" w:rsidP="00BB7660">
      <w:pPr>
        <w:pStyle w:val="notetext"/>
      </w:pPr>
      <w:r w:rsidRPr="00ED4F4B">
        <w:t>Note:</w:t>
      </w:r>
      <w:r w:rsidRPr="00ED4F4B">
        <w:tab/>
        <w:t>This subrule is a civil penalty provision (see rule 9.8).</w:t>
      </w:r>
    </w:p>
    <w:p w14:paraId="7A071161" w14:textId="77777777" w:rsidR="00BB7660" w:rsidRPr="00D57FD3" w:rsidRDefault="00BB7660" w:rsidP="00BB7660">
      <w:pPr>
        <w:pStyle w:val="ActHead3"/>
      </w:pPr>
      <w:bookmarkStart w:id="183" w:name="_Toc50114034"/>
      <w:bookmarkStart w:id="184" w:name="_Toc57219024"/>
      <w:bookmarkStart w:id="185" w:name="_Toc59549135"/>
      <w:bookmarkStart w:id="186" w:name="_Toc111132042"/>
      <w:bookmarkStart w:id="187" w:name="_Toc11771605"/>
      <w:r w:rsidRPr="00AA0D4B">
        <w:t>Division 4.3—Giving and amending consents</w:t>
      </w:r>
      <w:bookmarkEnd w:id="183"/>
      <w:bookmarkEnd w:id="184"/>
      <w:bookmarkEnd w:id="185"/>
      <w:r w:rsidRPr="004A04A4">
        <w:rPr>
          <w:color w:val="0000FF"/>
        </w:rPr>
        <w:t>—accredited persons</w:t>
      </w:r>
      <w:bookmarkEnd w:id="186"/>
    </w:p>
    <w:p w14:paraId="7C32B5FD" w14:textId="77777777" w:rsidR="00BB7660" w:rsidRPr="00D57FD3" w:rsidRDefault="00BB7660" w:rsidP="00BB7660">
      <w:pPr>
        <w:pStyle w:val="ActHead4"/>
      </w:pPr>
      <w:bookmarkStart w:id="188" w:name="_Toc50114035"/>
      <w:bookmarkStart w:id="189" w:name="_Toc50633075"/>
      <w:bookmarkStart w:id="190" w:name="_Toc57219025"/>
      <w:bookmarkStart w:id="191" w:name="_Toc59549136"/>
      <w:bookmarkStart w:id="192" w:name="_Toc111132043"/>
      <w:r w:rsidRPr="00D57FD3">
        <w:t>Subdivision 4.3.1—Preliminary</w:t>
      </w:r>
      <w:bookmarkEnd w:id="188"/>
      <w:bookmarkEnd w:id="189"/>
      <w:bookmarkEnd w:id="190"/>
      <w:bookmarkEnd w:id="191"/>
      <w:bookmarkEnd w:id="192"/>
    </w:p>
    <w:p w14:paraId="407C9F93" w14:textId="77777777" w:rsidR="00BB7660" w:rsidRPr="004A04A4" w:rsidRDefault="00BB7660" w:rsidP="00BB7660">
      <w:pPr>
        <w:pStyle w:val="ActHead5"/>
        <w:rPr>
          <w:color w:val="0000FF"/>
        </w:rPr>
      </w:pPr>
      <w:bookmarkStart w:id="193" w:name="_Toc50114036"/>
      <w:bookmarkStart w:id="194" w:name="_Toc50633076"/>
      <w:bookmarkStart w:id="195" w:name="_Toc57219026"/>
      <w:bookmarkStart w:id="196" w:name="_Toc59549137"/>
      <w:bookmarkStart w:id="197" w:name="_Toc111132044"/>
      <w:r w:rsidRPr="004A04A4">
        <w:rPr>
          <w:color w:val="0000FF"/>
        </w:rPr>
        <w:t>4.8  Purpose of Division</w:t>
      </w:r>
      <w:bookmarkEnd w:id="193"/>
      <w:bookmarkEnd w:id="194"/>
      <w:bookmarkEnd w:id="195"/>
      <w:bookmarkEnd w:id="196"/>
      <w:bookmarkEnd w:id="197"/>
    </w:p>
    <w:p w14:paraId="08029D34" w14:textId="77777777" w:rsidR="00BB7660" w:rsidRPr="004A04A4" w:rsidRDefault="00BB7660" w:rsidP="00BB7660">
      <w:pPr>
        <w:pStyle w:val="subsection"/>
        <w:rPr>
          <w:color w:val="0000FF"/>
        </w:rPr>
      </w:pPr>
      <w:r w:rsidRPr="004A04A4">
        <w:rPr>
          <w:color w:val="0000FF"/>
        </w:rPr>
        <w:tab/>
      </w:r>
      <w:r w:rsidRPr="004A04A4">
        <w:rPr>
          <w:color w:val="0000FF"/>
        </w:rPr>
        <w:tab/>
        <w:t>This Division deals with giving and amending collection consents, use consents and disclosure consents to accredited persons, as well as related matters.</w:t>
      </w:r>
    </w:p>
    <w:p w14:paraId="67557C5A" w14:textId="77777777" w:rsidR="00BB7660" w:rsidRPr="004A04A4" w:rsidRDefault="00BB7660" w:rsidP="00BB7660">
      <w:pPr>
        <w:pStyle w:val="notetext"/>
        <w:rPr>
          <w:color w:val="0000FF"/>
        </w:rPr>
      </w:pPr>
      <w:r w:rsidRPr="004A04A4">
        <w:rPr>
          <w:color w:val="0000FF"/>
        </w:rPr>
        <w:t>Note:</w:t>
      </w:r>
      <w:r w:rsidRPr="004A04A4">
        <w:rPr>
          <w:color w:val="0000FF"/>
        </w:rPr>
        <w:tab/>
        <w:t>This Division does not cover collection consents for accredited persons to collect CDR data on behalf of CDR representatives; since those consents are given to the CDR representatives, they are covered by Division 4.3A.</w:t>
      </w:r>
    </w:p>
    <w:p w14:paraId="559065D5" w14:textId="77777777" w:rsidR="00AA0D4B" w:rsidRPr="00AA0D4B" w:rsidRDefault="00AA0D4B" w:rsidP="00AA0D4B">
      <w:pPr>
        <w:pStyle w:val="ActHead5"/>
        <w:rPr>
          <w:strike/>
          <w:color w:val="0000FF"/>
        </w:rPr>
      </w:pPr>
      <w:bookmarkStart w:id="198" w:name="_Toc96610517"/>
      <w:bookmarkStart w:id="199" w:name="_Toc111132045"/>
      <w:bookmarkStart w:id="200" w:name="_Toc50114037"/>
      <w:bookmarkStart w:id="201" w:name="_Toc50633077"/>
      <w:bookmarkStart w:id="202" w:name="_Toc57219027"/>
      <w:bookmarkStart w:id="203" w:name="_Toc59549138"/>
      <w:r w:rsidRPr="00AA0D4B">
        <w:rPr>
          <w:strike/>
          <w:color w:val="0000FF"/>
        </w:rPr>
        <w:lastRenderedPageBreak/>
        <w:t>4.8  Purpose of Division</w:t>
      </w:r>
      <w:bookmarkEnd w:id="198"/>
      <w:bookmarkEnd w:id="199"/>
    </w:p>
    <w:p w14:paraId="1F9F6DC1" w14:textId="77777777" w:rsidR="00AA0D4B" w:rsidRPr="00AA0D4B" w:rsidRDefault="00AA0D4B" w:rsidP="00AA0D4B">
      <w:pPr>
        <w:pStyle w:val="subsection"/>
        <w:rPr>
          <w:strike/>
          <w:color w:val="0000FF"/>
        </w:rPr>
      </w:pPr>
      <w:r w:rsidRPr="00AA0D4B">
        <w:rPr>
          <w:strike/>
          <w:color w:val="0000FF"/>
        </w:rPr>
        <w:tab/>
      </w:r>
      <w:r w:rsidRPr="00AA0D4B">
        <w:rPr>
          <w:strike/>
          <w:color w:val="0000FF"/>
        </w:rPr>
        <w:tab/>
        <w:t>This Division deals with giving and amending collection consents, use consents and disclosure consents, as well as related matters.</w:t>
      </w:r>
    </w:p>
    <w:p w14:paraId="424242A1" w14:textId="77777777" w:rsidR="00BB7660" w:rsidRPr="00F07699" w:rsidRDefault="00BB7660" w:rsidP="00BB7660">
      <w:pPr>
        <w:pStyle w:val="ActHead5"/>
      </w:pPr>
      <w:bookmarkStart w:id="204" w:name="_Toc111132046"/>
      <w:r w:rsidRPr="00F07699">
        <w:t>4.9  Object</w:t>
      </w:r>
      <w:bookmarkEnd w:id="200"/>
      <w:bookmarkEnd w:id="201"/>
      <w:bookmarkEnd w:id="202"/>
      <w:bookmarkEnd w:id="203"/>
      <w:bookmarkEnd w:id="204"/>
    </w:p>
    <w:p w14:paraId="0302F934" w14:textId="77777777" w:rsidR="00BB7660" w:rsidRPr="00F07699" w:rsidRDefault="00BB7660" w:rsidP="00BB7660">
      <w:pPr>
        <w:pStyle w:val="subsection"/>
      </w:pPr>
      <w:r w:rsidRPr="00F07699">
        <w:tab/>
      </w:r>
      <w:r w:rsidRPr="00F07699">
        <w:tab/>
        <w:t>The object of this Division is to ensure that a consent is:</w:t>
      </w:r>
    </w:p>
    <w:p w14:paraId="241EE3C9" w14:textId="77777777" w:rsidR="00BB7660" w:rsidRPr="00F07699" w:rsidRDefault="00BB7660" w:rsidP="00BB7660">
      <w:pPr>
        <w:pStyle w:val="paragraph"/>
      </w:pPr>
      <w:r w:rsidRPr="00F07699">
        <w:tab/>
        <w:t>(a)</w:t>
      </w:r>
      <w:r w:rsidRPr="00F07699">
        <w:tab/>
        <w:t>voluntary; and</w:t>
      </w:r>
    </w:p>
    <w:p w14:paraId="501549B9" w14:textId="77777777" w:rsidR="00BB7660" w:rsidRPr="00F07699" w:rsidRDefault="00BB7660" w:rsidP="00BB7660">
      <w:pPr>
        <w:pStyle w:val="paragraph"/>
      </w:pPr>
      <w:r w:rsidRPr="00F07699">
        <w:tab/>
        <w:t>(b)</w:t>
      </w:r>
      <w:r w:rsidRPr="00F07699">
        <w:tab/>
        <w:t>express; and</w:t>
      </w:r>
    </w:p>
    <w:p w14:paraId="5BBA156C" w14:textId="77777777" w:rsidR="00BB7660" w:rsidRPr="00F07699" w:rsidRDefault="00BB7660" w:rsidP="00BB7660">
      <w:pPr>
        <w:pStyle w:val="paragraph"/>
      </w:pPr>
      <w:r w:rsidRPr="00F07699">
        <w:tab/>
        <w:t>(c)</w:t>
      </w:r>
      <w:r w:rsidRPr="00F07699">
        <w:tab/>
        <w:t>informed; and</w:t>
      </w:r>
    </w:p>
    <w:p w14:paraId="0CD4BA90" w14:textId="77777777" w:rsidR="00BB7660" w:rsidRPr="00F07699" w:rsidRDefault="00BB7660" w:rsidP="00BB7660">
      <w:pPr>
        <w:pStyle w:val="paragraph"/>
      </w:pPr>
      <w:r w:rsidRPr="00F07699">
        <w:tab/>
        <w:t>(d)</w:t>
      </w:r>
      <w:r w:rsidRPr="00F07699">
        <w:tab/>
        <w:t>specific as to purpose; and</w:t>
      </w:r>
    </w:p>
    <w:p w14:paraId="5805D01F" w14:textId="77777777" w:rsidR="00BB7660" w:rsidRPr="00F07699" w:rsidRDefault="00BB7660" w:rsidP="00BB7660">
      <w:pPr>
        <w:pStyle w:val="paragraph"/>
      </w:pPr>
      <w:r w:rsidRPr="00F07699">
        <w:tab/>
        <w:t>(e)</w:t>
      </w:r>
      <w:r w:rsidRPr="00F07699">
        <w:tab/>
        <w:t>time limited; and</w:t>
      </w:r>
    </w:p>
    <w:p w14:paraId="720E1CBC" w14:textId="77777777" w:rsidR="00BB7660" w:rsidRPr="00F07699" w:rsidRDefault="00BB7660" w:rsidP="00BB7660">
      <w:pPr>
        <w:pStyle w:val="paragraph"/>
      </w:pPr>
      <w:r w:rsidRPr="00F07699">
        <w:tab/>
        <w:t>(f)</w:t>
      </w:r>
      <w:r w:rsidRPr="00F07699">
        <w:tab/>
        <w:t>easily withdrawn.</w:t>
      </w:r>
    </w:p>
    <w:p w14:paraId="22715295" w14:textId="77777777" w:rsidR="00BB7660" w:rsidRPr="00F07699" w:rsidRDefault="00BB7660" w:rsidP="00BB7660">
      <w:pPr>
        <w:pStyle w:val="ActHead4"/>
      </w:pPr>
      <w:bookmarkStart w:id="205" w:name="_Toc50633078"/>
      <w:bookmarkStart w:id="206" w:name="_Toc50114038"/>
      <w:bookmarkStart w:id="207" w:name="_Toc57219028"/>
      <w:bookmarkStart w:id="208" w:name="_Toc59549139"/>
      <w:bookmarkStart w:id="209" w:name="_Toc111132047"/>
      <w:r w:rsidRPr="00F07699">
        <w:t>Subdivision 4.3.2—</w:t>
      </w:r>
      <w:bookmarkEnd w:id="205"/>
      <w:r w:rsidRPr="00ED4F4B">
        <w:t>Giving consents</w:t>
      </w:r>
      <w:bookmarkEnd w:id="206"/>
      <w:bookmarkEnd w:id="207"/>
      <w:bookmarkEnd w:id="208"/>
      <w:bookmarkEnd w:id="209"/>
    </w:p>
    <w:p w14:paraId="7079E263" w14:textId="77777777" w:rsidR="00BB7660" w:rsidRPr="00F07699" w:rsidRDefault="00BB7660" w:rsidP="00BB7660">
      <w:pPr>
        <w:pStyle w:val="notemargin"/>
      </w:pPr>
      <w:r w:rsidRPr="00F07699">
        <w:t>Note:</w:t>
      </w:r>
      <w:r w:rsidRPr="00F07699">
        <w:tab/>
        <w:t xml:space="preserve">Under rule 4.3, if an accredited person asks a CDR consumer for their consent to collect and use their CDR data, it must do so in accordance with this </w:t>
      </w:r>
      <w:r w:rsidRPr="00ED4F4B">
        <w:t>Division</w:t>
      </w:r>
      <w:r w:rsidRPr="00F07699">
        <w:t>, and in particular, rules 4.10, 4.11 and 4.12. A failure to do so could contravene one or more civil penalty provisions: see section 56EF of the Act and rule 4.3.</w:t>
      </w:r>
    </w:p>
    <w:p w14:paraId="0EEEDC04" w14:textId="77777777" w:rsidR="00BB7660" w:rsidRDefault="00BB7660" w:rsidP="00BB7660">
      <w:pPr>
        <w:pStyle w:val="ActHead5"/>
      </w:pPr>
      <w:bookmarkStart w:id="210" w:name="_Toc50114039"/>
      <w:bookmarkStart w:id="211" w:name="_Toc50633079"/>
      <w:bookmarkStart w:id="212" w:name="_Toc57560264"/>
      <w:bookmarkStart w:id="213" w:name="_Toc59549140"/>
      <w:bookmarkStart w:id="214" w:name="_Toc111132048"/>
      <w:bookmarkStart w:id="215" w:name="_Toc50114040"/>
      <w:bookmarkStart w:id="216" w:name="_Toc50633080"/>
      <w:bookmarkStart w:id="217" w:name="_Toc57219030"/>
      <w:r w:rsidRPr="00F07699">
        <w:t>4.10  Requirements relating to accredited person’s processes for seeking consent</w:t>
      </w:r>
      <w:bookmarkEnd w:id="210"/>
      <w:bookmarkEnd w:id="211"/>
      <w:bookmarkEnd w:id="212"/>
      <w:bookmarkEnd w:id="213"/>
      <w:bookmarkEnd w:id="214"/>
    </w:p>
    <w:p w14:paraId="7C7B363A" w14:textId="77777777" w:rsidR="00BB7660" w:rsidRPr="00ED4F4B" w:rsidRDefault="00BB7660" w:rsidP="00BB7660">
      <w:pPr>
        <w:pStyle w:val="subsection"/>
      </w:pPr>
      <w:r w:rsidRPr="00ED4F4B">
        <w:tab/>
        <w:t>(1)</w:t>
      </w:r>
      <w:r w:rsidRPr="00ED4F4B">
        <w:tab/>
        <w:t xml:space="preserve">An accredited person’s processes for asking a CDR consumer to give </w:t>
      </w:r>
      <w:r w:rsidRPr="004A04A4">
        <w:rPr>
          <w:color w:val="0000FF"/>
        </w:rPr>
        <w:t>or</w:t>
      </w:r>
      <w:r w:rsidR="00AA0D4B" w:rsidRPr="00AA0D4B">
        <w:rPr>
          <w:strike/>
          <w:color w:val="0000FF"/>
        </w:rPr>
        <w:t xml:space="preserve"> and</w:t>
      </w:r>
      <w:r w:rsidRPr="00D57FD3">
        <w:t xml:space="preserve"> a</w:t>
      </w:r>
      <w:r w:rsidRPr="00AA0D4B">
        <w:t>m</w:t>
      </w:r>
      <w:r w:rsidRPr="00ED4F4B">
        <w:t>end a consent:</w:t>
      </w:r>
    </w:p>
    <w:p w14:paraId="1DDC58CA" w14:textId="77777777" w:rsidR="00BB7660" w:rsidRPr="00ED4F4B" w:rsidRDefault="00BB7660" w:rsidP="00BB7660">
      <w:pPr>
        <w:pStyle w:val="paragraph"/>
      </w:pPr>
      <w:r w:rsidRPr="00ED4F4B">
        <w:tab/>
        <w:t>(a)</w:t>
      </w:r>
      <w:r w:rsidRPr="00ED4F4B">
        <w:tab/>
        <w:t>must:</w:t>
      </w:r>
    </w:p>
    <w:p w14:paraId="294711D4" w14:textId="77777777" w:rsidR="00BB7660" w:rsidRPr="00ED4F4B" w:rsidRDefault="00BB7660" w:rsidP="00BB7660">
      <w:pPr>
        <w:pStyle w:val="paragraphsub"/>
      </w:pPr>
      <w:r w:rsidRPr="00ED4F4B">
        <w:tab/>
        <w:t>(i)</w:t>
      </w:r>
      <w:r w:rsidRPr="00ED4F4B">
        <w:tab/>
        <w:t>accord with any</w:t>
      </w:r>
      <w:r w:rsidRPr="00D57FD3">
        <w:t xml:space="preserve"> </w:t>
      </w:r>
      <w:r w:rsidR="009C2462" w:rsidRPr="00F524AD">
        <w:rPr>
          <w:color w:val="0000FF"/>
        </w:rPr>
        <w:t>relevant</w:t>
      </w:r>
      <w:r w:rsidR="00AA0D4B" w:rsidRPr="00AA0D4B">
        <w:rPr>
          <w:strike/>
          <w:color w:val="0000FF"/>
        </w:rPr>
        <w:t xml:space="preserve"> consumer experience</w:t>
      </w:r>
      <w:r w:rsidRPr="00D57FD3">
        <w:t xml:space="preserve"> </w:t>
      </w:r>
      <w:r w:rsidRPr="00ED4F4B">
        <w:t>data standards; and</w:t>
      </w:r>
    </w:p>
    <w:p w14:paraId="2683C0B1" w14:textId="77777777" w:rsidR="00BB7660" w:rsidRPr="00ED4F4B" w:rsidRDefault="00BB7660" w:rsidP="00BB7660">
      <w:pPr>
        <w:pStyle w:val="paragraphsub"/>
      </w:pPr>
      <w:r w:rsidRPr="00ED4F4B">
        <w:tab/>
        <w:t>(ii)</w:t>
      </w:r>
      <w:r w:rsidRPr="00ED4F4B">
        <w:tab/>
        <w:t>having regard to any consumer experience guidelines developed by the Data Standards Body, be as easy to understand as practicable, including by use of concise language and, where appropriate, visual aids; and</w:t>
      </w:r>
    </w:p>
    <w:p w14:paraId="27841580" w14:textId="77777777" w:rsidR="00BB7660" w:rsidRPr="00ED4F4B" w:rsidRDefault="00BB7660" w:rsidP="00BB7660">
      <w:pPr>
        <w:pStyle w:val="paragraph"/>
      </w:pPr>
      <w:r w:rsidRPr="00ED4F4B">
        <w:tab/>
        <w:t>(b)</w:t>
      </w:r>
      <w:r w:rsidRPr="00ED4F4B">
        <w:tab/>
        <w:t>must not:</w:t>
      </w:r>
    </w:p>
    <w:p w14:paraId="1139A91E" w14:textId="77777777" w:rsidR="00BB7660" w:rsidRPr="00ED4F4B" w:rsidRDefault="00BB7660" w:rsidP="00BB7660">
      <w:pPr>
        <w:pStyle w:val="paragraphsub"/>
      </w:pPr>
      <w:r w:rsidRPr="00ED4F4B">
        <w:tab/>
        <w:t>(i)</w:t>
      </w:r>
      <w:r w:rsidRPr="00ED4F4B">
        <w:tab/>
        <w:t>include or refer to the accredited person’s CDR policy or other documents so as to reduce comprehensibility; or</w:t>
      </w:r>
    </w:p>
    <w:p w14:paraId="6C19A0AA" w14:textId="77777777" w:rsidR="00BB7660" w:rsidRDefault="00BB7660" w:rsidP="00BB7660">
      <w:pPr>
        <w:pStyle w:val="paragraphsub"/>
      </w:pPr>
      <w:r w:rsidRPr="00ED4F4B">
        <w:tab/>
        <w:t>(ii)</w:t>
      </w:r>
      <w:r w:rsidRPr="00ED4F4B">
        <w:tab/>
        <w:t>bundle consents with other directions, permissions, consents or agreements.</w:t>
      </w:r>
    </w:p>
    <w:p w14:paraId="2E357F83" w14:textId="77777777" w:rsidR="00BB7660" w:rsidRPr="00F07699" w:rsidRDefault="00BB7660" w:rsidP="00BB7660">
      <w:pPr>
        <w:pStyle w:val="ActHead5"/>
      </w:pPr>
      <w:bookmarkStart w:id="218" w:name="_Toc59549141"/>
      <w:bookmarkStart w:id="219" w:name="_Toc111132049"/>
      <w:r w:rsidRPr="00F07699">
        <w:t>4.11  Asking CDR consumer to give consent</w:t>
      </w:r>
      <w:bookmarkEnd w:id="215"/>
      <w:bookmarkEnd w:id="216"/>
      <w:bookmarkEnd w:id="217"/>
      <w:bookmarkEnd w:id="218"/>
      <w:bookmarkEnd w:id="219"/>
    </w:p>
    <w:p w14:paraId="556991D7" w14:textId="77777777" w:rsidR="00BB7660" w:rsidRPr="00ED4F4B" w:rsidRDefault="00BB7660" w:rsidP="00BB7660">
      <w:pPr>
        <w:pStyle w:val="subsection"/>
      </w:pPr>
      <w:r w:rsidRPr="00ED4F4B">
        <w:tab/>
        <w:t>(1)</w:t>
      </w:r>
      <w:r w:rsidRPr="00ED4F4B">
        <w:tab/>
        <w:t>When asking a CDR consumer to give a consent, an accredited person must:</w:t>
      </w:r>
    </w:p>
    <w:p w14:paraId="4E0CC95C" w14:textId="77777777" w:rsidR="00BB7660" w:rsidRPr="00ED4F4B" w:rsidRDefault="00BB7660" w:rsidP="00BB7660">
      <w:pPr>
        <w:pStyle w:val="paragraph"/>
      </w:pPr>
      <w:r w:rsidRPr="00ED4F4B">
        <w:tab/>
        <w:t>(a)</w:t>
      </w:r>
      <w:r w:rsidRPr="00ED4F4B">
        <w:tab/>
        <w:t>allow the CDR consumer to choose the types of CDR data to which the consent will apply by enabling the CDR consumer to actively select or otherwise clearly indicate:</w:t>
      </w:r>
    </w:p>
    <w:p w14:paraId="5B95A99C" w14:textId="77777777" w:rsidR="00BB7660" w:rsidRPr="00ED4F4B" w:rsidRDefault="00BB7660" w:rsidP="00BB7660">
      <w:pPr>
        <w:pStyle w:val="paragraphsub"/>
      </w:pPr>
      <w:r w:rsidRPr="00ED4F4B">
        <w:tab/>
        <w:t>(i)</w:t>
      </w:r>
      <w:r w:rsidRPr="00ED4F4B">
        <w:tab/>
        <w:t>in the case of a collection consent or a disclosure consent―the particular types of CDR data to which the consent will apply; and</w:t>
      </w:r>
    </w:p>
    <w:p w14:paraId="1798A1B0" w14:textId="77777777" w:rsidR="00BB7660" w:rsidRPr="00ED4F4B" w:rsidRDefault="00BB7660" w:rsidP="00BB7660">
      <w:pPr>
        <w:pStyle w:val="paragraphsub"/>
      </w:pPr>
      <w:r w:rsidRPr="00ED4F4B">
        <w:tab/>
        <w:t>(ii)</w:t>
      </w:r>
      <w:r w:rsidRPr="00ED4F4B">
        <w:tab/>
        <w:t>in the case of a use consent―the specific uses of collected data to which they are consenting; and</w:t>
      </w:r>
    </w:p>
    <w:p w14:paraId="557F9283" w14:textId="77777777" w:rsidR="00BB7660" w:rsidRPr="00ED4F4B" w:rsidRDefault="00BB7660" w:rsidP="00BB7660">
      <w:pPr>
        <w:pStyle w:val="paragraph"/>
      </w:pPr>
      <w:r w:rsidRPr="00ED4F4B">
        <w:lastRenderedPageBreak/>
        <w:tab/>
        <w:t>(b)</w:t>
      </w:r>
      <w:r w:rsidRPr="00ED4F4B">
        <w:tab/>
        <w:t>allow the CDR consumer to choose the period of the collection consent, use consent, or disclosure consent (as appropriate) by enabling the CDR consumer to actively select or otherwise clearly indicate whether the consent would apply:</w:t>
      </w:r>
    </w:p>
    <w:p w14:paraId="1A248090" w14:textId="77777777" w:rsidR="00BB7660" w:rsidRPr="00ED4F4B" w:rsidRDefault="00BB7660" w:rsidP="00BB7660">
      <w:pPr>
        <w:pStyle w:val="paragraphsub"/>
      </w:pPr>
      <w:r w:rsidRPr="00ED4F4B">
        <w:tab/>
        <w:t>(i)</w:t>
      </w:r>
      <w:r w:rsidRPr="00ED4F4B">
        <w:tab/>
        <w:t xml:space="preserve"> on a single occasion; or</w:t>
      </w:r>
    </w:p>
    <w:p w14:paraId="0564C70B" w14:textId="77777777" w:rsidR="00BB7660" w:rsidRPr="00ED4F4B" w:rsidRDefault="00BB7660" w:rsidP="00BB7660">
      <w:pPr>
        <w:pStyle w:val="paragraphsub"/>
      </w:pPr>
      <w:r w:rsidRPr="00ED4F4B">
        <w:tab/>
        <w:t>(ii)</w:t>
      </w:r>
      <w:r w:rsidRPr="00ED4F4B">
        <w:tab/>
        <w:t xml:space="preserve"> over a specified period of time; and</w:t>
      </w:r>
    </w:p>
    <w:p w14:paraId="0634A35A" w14:textId="77777777" w:rsidR="00BB7660" w:rsidRPr="005813E8" w:rsidRDefault="00BB7660" w:rsidP="00BB7660">
      <w:pPr>
        <w:pStyle w:val="paragraph"/>
        <w:rPr>
          <w:color w:val="0000FF"/>
        </w:rPr>
      </w:pPr>
      <w:r w:rsidRPr="00ED4F4B">
        <w:tab/>
        <w:t>(ba)</w:t>
      </w:r>
      <w:r w:rsidRPr="00ED4F4B">
        <w:tab/>
        <w:t>in the case of a disclosure consent―allow the CDR consumer to select the person to whom the CDR data may be disclose</w:t>
      </w:r>
      <w:r w:rsidRPr="005813E8">
        <w:t>d;</w:t>
      </w:r>
      <w:r w:rsidRPr="005813E8">
        <w:rPr>
          <w:color w:val="0000FF"/>
        </w:rPr>
        <w:t xml:space="preserve"> and</w:t>
      </w:r>
    </w:p>
    <w:p w14:paraId="2C6B6992" w14:textId="77777777" w:rsidR="003C26F3" w:rsidRPr="005813E8" w:rsidRDefault="003C26F3" w:rsidP="003C26F3">
      <w:pPr>
        <w:pStyle w:val="paragraph"/>
      </w:pPr>
      <w:r w:rsidRPr="005813E8">
        <w:rPr>
          <w:color w:val="0000FF"/>
        </w:rPr>
        <w:tab/>
        <w:t>(bb)</w:t>
      </w:r>
      <w:r w:rsidRPr="005813E8">
        <w:rPr>
          <w:color w:val="0000FF"/>
        </w:rPr>
        <w:tab/>
        <w:t xml:space="preserve">in the case of a consent </w:t>
      </w:r>
      <w:r w:rsidR="00AF52C8" w:rsidRPr="005813E8">
        <w:rPr>
          <w:color w:val="0000FF"/>
        </w:rPr>
        <w:t xml:space="preserve">by a CDR business consumer of a kind </w:t>
      </w:r>
      <w:r w:rsidRPr="005813E8">
        <w:rPr>
          <w:color w:val="0000FF"/>
        </w:rPr>
        <w:t xml:space="preserve">mentioned in </w:t>
      </w:r>
      <w:r w:rsidR="00AF52C8" w:rsidRPr="005813E8">
        <w:rPr>
          <w:color w:val="0000FF"/>
        </w:rPr>
        <w:t>paragraph 1.1</w:t>
      </w:r>
      <w:r w:rsidRPr="005813E8">
        <w:rPr>
          <w:color w:val="0000FF"/>
        </w:rPr>
        <w:t>0A(</w:t>
      </w:r>
      <w:r w:rsidR="00AF52C8" w:rsidRPr="005813E8">
        <w:rPr>
          <w:color w:val="0000FF"/>
        </w:rPr>
        <w:t>7)(a</w:t>
      </w:r>
      <w:r w:rsidRPr="005813E8">
        <w:rPr>
          <w:color w:val="0000FF"/>
        </w:rPr>
        <w:t>)―invite the CDR business consumer to provide the business consumer statement; and</w:t>
      </w:r>
    </w:p>
    <w:p w14:paraId="2FBDD085" w14:textId="77777777" w:rsidR="00BB7660" w:rsidRPr="00ED4F4B" w:rsidRDefault="00BB7660" w:rsidP="00BB7660">
      <w:pPr>
        <w:pStyle w:val="paragraph"/>
      </w:pPr>
      <w:r w:rsidRPr="005813E8">
        <w:tab/>
        <w:t>(c)</w:t>
      </w:r>
      <w:r w:rsidRPr="005813E8">
        <w:tab/>
        <w:t xml:space="preserve">ask for the CDR consumer’s express </w:t>
      </w:r>
      <w:r w:rsidRPr="00ED4F4B">
        <w:t>consent to the choices referred to in paragraphs (a), (b) and (ba) for each relevant category of consents; and</w:t>
      </w:r>
    </w:p>
    <w:p w14:paraId="1FF546ED" w14:textId="77777777" w:rsidR="00BB7660" w:rsidRPr="00ED4F4B" w:rsidRDefault="00BB7660" w:rsidP="00BB7660">
      <w:pPr>
        <w:pStyle w:val="paragraph"/>
      </w:pPr>
      <w:r w:rsidRPr="00ED4F4B">
        <w:tab/>
        <w:t>(d)</w:t>
      </w:r>
      <w:r w:rsidRPr="00ED4F4B">
        <w:tab/>
        <w:t>if the accredited person intends to charge a fee for disclosure of CDR data, or pass on to the CDR consumer a fee charged by a data holder</w:t>
      </w:r>
      <w:r w:rsidR="00B92A23" w:rsidRPr="005813E8">
        <w:rPr>
          <w:color w:val="0000FF"/>
        </w:rPr>
        <w:t xml:space="preserve"> or accredited person</w:t>
      </w:r>
      <w:r w:rsidRPr="005813E8">
        <w:t xml:space="preserve"> f</w:t>
      </w:r>
      <w:r w:rsidRPr="00ED4F4B">
        <w:t>or disclosure of CDR data:</w:t>
      </w:r>
    </w:p>
    <w:p w14:paraId="1FAEA5F3" w14:textId="77777777" w:rsidR="00BB7660" w:rsidRPr="00ED4F4B" w:rsidRDefault="00BB7660" w:rsidP="00BB7660">
      <w:pPr>
        <w:pStyle w:val="paragraphsub"/>
      </w:pPr>
      <w:r w:rsidRPr="00ED4F4B">
        <w:tab/>
        <w:t>(i)</w:t>
      </w:r>
      <w:r w:rsidRPr="00ED4F4B">
        <w:tab/>
        <w:t>clearly distinguish between the CDR data for which a fee will, and will not, be charged or passed on; and</w:t>
      </w:r>
    </w:p>
    <w:p w14:paraId="0A21296E" w14:textId="77777777" w:rsidR="00BB7660" w:rsidRPr="00ED4F4B" w:rsidRDefault="00BB7660" w:rsidP="00BB7660">
      <w:pPr>
        <w:pStyle w:val="paragraphsub"/>
      </w:pPr>
      <w:r w:rsidRPr="00ED4F4B">
        <w:tab/>
        <w:t>(ii)</w:t>
      </w:r>
      <w:r w:rsidRPr="00ED4F4B">
        <w:tab/>
        <w:t>allow the CDR consumer to actively select or otherwise clearly indicate whether they consent to the collection or disclosure, as appropriate, of the CDR data for which a fee will be charged or passed on; and</w:t>
      </w:r>
    </w:p>
    <w:p w14:paraId="353F25BF" w14:textId="77777777" w:rsidR="00BB7660" w:rsidRPr="00F07699" w:rsidRDefault="00BB7660" w:rsidP="00BB7660">
      <w:pPr>
        <w:pStyle w:val="paragraph"/>
      </w:pPr>
      <w:r>
        <w:tab/>
        <w:t>(e</w:t>
      </w:r>
      <w:r w:rsidRPr="00F07699">
        <w:t>)</w:t>
      </w:r>
      <w:r w:rsidRPr="00F07699">
        <w:tab/>
        <w:t>allow the CDR consumer to make an election in relation to deletion of redundant data in accordance with rule 4.16.</w:t>
      </w:r>
    </w:p>
    <w:p w14:paraId="5297E07C" w14:textId="77777777" w:rsidR="00BB7660" w:rsidRPr="00F07699" w:rsidRDefault="00BB7660" w:rsidP="00BB7660">
      <w:pPr>
        <w:pStyle w:val="notetext"/>
      </w:pPr>
      <w:r w:rsidRPr="00F07699">
        <w:t>Example:</w:t>
      </w:r>
      <w:r w:rsidRPr="00F07699">
        <w:tab/>
      </w:r>
      <w:r w:rsidRPr="00ED4F4B">
        <w:t xml:space="preserve">For a collection consent, an </w:t>
      </w:r>
      <w:r w:rsidRPr="00F07699">
        <w:t>accredited person could present the CDR consumer with a set of un</w:t>
      </w:r>
      <w:r w:rsidRPr="00F07699">
        <w:noBreakHyphen/>
        <w:t>filled boxes corresponding to different types of data, and permit the CDR consumer to select the boxes that correspond to the data they consent to the accredited person collecting.</w:t>
      </w:r>
    </w:p>
    <w:p w14:paraId="278BD58E" w14:textId="77777777" w:rsidR="00BB7660" w:rsidRPr="00F07699" w:rsidRDefault="00BB7660" w:rsidP="00BB7660">
      <w:pPr>
        <w:pStyle w:val="notetext"/>
      </w:pPr>
      <w:r w:rsidRPr="00F07699">
        <w:t>Note 1:</w:t>
      </w:r>
      <w:r w:rsidRPr="00F07699">
        <w:tab/>
        <w:t>An accredited person could not infer consent, or seek to rely on an implied consent.</w:t>
      </w:r>
    </w:p>
    <w:p w14:paraId="3A8C80A1" w14:textId="77777777" w:rsidR="00BB7660" w:rsidRPr="00F07699" w:rsidRDefault="00BB7660" w:rsidP="00BB7660">
      <w:pPr>
        <w:pStyle w:val="notetext"/>
      </w:pPr>
      <w:r w:rsidRPr="00F07699">
        <w:t>Note 2:</w:t>
      </w:r>
      <w:r w:rsidRPr="00F07699">
        <w:tab/>
        <w:t>For paragraph (b), the specified period may not be more than 12 months</w:t>
      </w:r>
      <w:r w:rsidRPr="005813E8">
        <w:rPr>
          <w:color w:val="0000FF"/>
        </w:rPr>
        <w:t xml:space="preserve"> (7 years for certain consents by a CDR business consumer)</w:t>
      </w:r>
      <w:r w:rsidRPr="00F07699">
        <w:t>: see subrule 4.12(1). After the end of the period, redundant data would need to be dealt with in accordance with subsection 56EO(2) of the Act (privacy safeguard 12) and rules 7.12 and 7.13.</w:t>
      </w:r>
    </w:p>
    <w:p w14:paraId="3B2F6460" w14:textId="77777777" w:rsidR="00BB7660" w:rsidRPr="00ED4F4B" w:rsidRDefault="00BB7660" w:rsidP="00BB7660">
      <w:pPr>
        <w:pStyle w:val="notetext"/>
      </w:pPr>
      <w:r w:rsidRPr="00ED4F4B">
        <w:t xml:space="preserve">Note 3: </w:t>
      </w:r>
      <w:r w:rsidRPr="00ED4F4B">
        <w:tab/>
        <w:t>For paragraph (d), a data holder could charge a fee for disclosure of voluntary consumer data, while an accredited data recipient could charge a fee for the disclosure of any CDR data.</w:t>
      </w:r>
    </w:p>
    <w:p w14:paraId="242A8015" w14:textId="77777777" w:rsidR="00BB7660" w:rsidRPr="00F07699" w:rsidRDefault="00BB7660" w:rsidP="00BB7660">
      <w:pPr>
        <w:pStyle w:val="subsection"/>
      </w:pPr>
      <w:r w:rsidRPr="00F07699">
        <w:tab/>
        <w:t>(2)</w:t>
      </w:r>
      <w:r w:rsidRPr="00F07699">
        <w:tab/>
        <w:t>The accredited person must not present pre</w:t>
      </w:r>
      <w:r w:rsidRPr="00F07699">
        <w:noBreakHyphen/>
        <w:t>selected options to the CDR consumer for the purposes of subrule (1).</w:t>
      </w:r>
    </w:p>
    <w:p w14:paraId="0D806ADE" w14:textId="77777777" w:rsidR="00BB7660" w:rsidRPr="00F07699" w:rsidRDefault="00BB7660" w:rsidP="00BB7660">
      <w:pPr>
        <w:pStyle w:val="SubsectionHead"/>
      </w:pPr>
      <w:r w:rsidRPr="00F07699">
        <w:t>Information presented to CDR consumer when asking for consent</w:t>
      </w:r>
    </w:p>
    <w:p w14:paraId="129073D5" w14:textId="77777777" w:rsidR="00BB7660" w:rsidRPr="00ED4F4B" w:rsidRDefault="00BB7660" w:rsidP="00BB7660">
      <w:pPr>
        <w:pStyle w:val="subsection"/>
      </w:pPr>
      <w:r w:rsidRPr="00ED4F4B">
        <w:tab/>
        <w:t>(3)</w:t>
      </w:r>
      <w:r w:rsidRPr="00ED4F4B">
        <w:tab/>
        <w:t>When asking a CDR consumer to give consent, the accredited person must give the CDR consumer the following information:</w:t>
      </w:r>
    </w:p>
    <w:p w14:paraId="4AB87A29" w14:textId="77777777" w:rsidR="00BB7660" w:rsidRPr="00ED4F4B" w:rsidRDefault="00BB7660" w:rsidP="00BB7660">
      <w:pPr>
        <w:pStyle w:val="paragraph"/>
      </w:pPr>
      <w:r w:rsidRPr="00ED4F4B">
        <w:tab/>
        <w:t>(a)</w:t>
      </w:r>
      <w:r w:rsidRPr="00ED4F4B">
        <w:tab/>
        <w:t>its name;</w:t>
      </w:r>
    </w:p>
    <w:p w14:paraId="2233512F" w14:textId="77777777" w:rsidR="00BB7660" w:rsidRPr="00ED4F4B" w:rsidRDefault="00BB7660" w:rsidP="00BB7660">
      <w:pPr>
        <w:pStyle w:val="paragraph"/>
      </w:pPr>
      <w:r w:rsidRPr="00ED4F4B">
        <w:tab/>
        <w:t>(b)</w:t>
      </w:r>
      <w:r w:rsidRPr="00ED4F4B">
        <w:tab/>
        <w:t>its accreditation number;</w:t>
      </w:r>
    </w:p>
    <w:p w14:paraId="25BE4D32" w14:textId="77777777" w:rsidR="00BB7660" w:rsidRPr="00ED4F4B" w:rsidRDefault="00BB7660" w:rsidP="00BB7660">
      <w:pPr>
        <w:pStyle w:val="paragraph"/>
      </w:pPr>
      <w:r w:rsidRPr="00ED4F4B">
        <w:lastRenderedPageBreak/>
        <w:tab/>
        <w:t>(c)</w:t>
      </w:r>
      <w:r w:rsidRPr="00ED4F4B">
        <w:tab/>
        <w:t>in the case of a collection consent or a use consent―how the collection or use (as applicable) indicated in accordance with subrule (1) complies with the data minimisation principle, including how:</w:t>
      </w:r>
    </w:p>
    <w:p w14:paraId="10A437D5" w14:textId="77777777" w:rsidR="00BB7660" w:rsidRPr="00ED4F4B" w:rsidRDefault="00BB7660" w:rsidP="00BB7660">
      <w:pPr>
        <w:pStyle w:val="paragraphsub"/>
      </w:pPr>
      <w:r w:rsidRPr="00ED4F4B">
        <w:tab/>
        <w:t>(i)</w:t>
      </w:r>
      <w:r w:rsidRPr="00ED4F4B">
        <w:tab/>
        <w:t>in the case of a collection c</w:t>
      </w:r>
      <w:r>
        <w:t xml:space="preserve">onsent―that collection </w:t>
      </w:r>
      <w:r w:rsidRPr="00ED4F4B">
        <w:t>is reasonably needed, and relates to no longer a time period than is reasonably needed; and</w:t>
      </w:r>
    </w:p>
    <w:p w14:paraId="06FE907E" w14:textId="77777777" w:rsidR="00BB7660" w:rsidRPr="00ED4F4B" w:rsidRDefault="00BB7660" w:rsidP="00BB7660">
      <w:pPr>
        <w:pStyle w:val="paragraphsub"/>
      </w:pPr>
      <w:r w:rsidRPr="00ED4F4B">
        <w:tab/>
        <w:t>(ii)</w:t>
      </w:r>
      <w:r w:rsidRPr="00ED4F4B">
        <w:tab/>
        <w:t>in the case of a use consent―that use would not go beyond what is reasonably needed;</w:t>
      </w:r>
    </w:p>
    <w:p w14:paraId="6EF9E865" w14:textId="77777777" w:rsidR="00BB7660" w:rsidRDefault="00BB7660" w:rsidP="00BB7660">
      <w:pPr>
        <w:pStyle w:val="paragraph"/>
      </w:pPr>
      <w:r w:rsidRPr="00ED4F4B">
        <w:tab/>
      </w:r>
      <w:r w:rsidRPr="00ED4F4B">
        <w:tab/>
        <w:t>in order to provide the requested goods or services to the CDR consumer or make the other uses consented to;</w:t>
      </w:r>
    </w:p>
    <w:p w14:paraId="0455547E" w14:textId="77777777" w:rsidR="00BB7660" w:rsidRPr="00A00F6F" w:rsidRDefault="00BB7660" w:rsidP="00BB7660">
      <w:pPr>
        <w:pStyle w:val="paragraph"/>
      </w:pPr>
      <w:r w:rsidRPr="00A00F6F">
        <w:tab/>
        <w:t>(ca)</w:t>
      </w:r>
      <w:r w:rsidRPr="00A00F6F">
        <w:tab/>
        <w:t>in the case of an insight disclosure consent—an explanation of the CDR insight that will make clear to the CDR consumer what the CDR insight would reveal or describe;</w:t>
      </w:r>
    </w:p>
    <w:p w14:paraId="58972B88" w14:textId="77777777" w:rsidR="00BB7660" w:rsidRPr="00ED4F4B" w:rsidRDefault="00BB7660" w:rsidP="00BB7660">
      <w:pPr>
        <w:pStyle w:val="paragraph"/>
      </w:pPr>
      <w:r w:rsidRPr="0032505D">
        <w:tab/>
        <w:t>(</w:t>
      </w:r>
      <w:r w:rsidRPr="00ED4F4B">
        <w:t>d)</w:t>
      </w:r>
      <w:r w:rsidRPr="00ED4F4B">
        <w:tab/>
        <w:t>if the accredited person intends passing a fee on, or charging a fee, to the CDR consumer a</w:t>
      </w:r>
      <w:r>
        <w:t>s described in paragraph (1)(d)</w:t>
      </w:r>
      <w:r w:rsidRPr="00ED4F4B">
        <w:t>―the following information:</w:t>
      </w:r>
    </w:p>
    <w:p w14:paraId="3A6DDE5E" w14:textId="77777777" w:rsidR="00BB7660" w:rsidRPr="00ED4F4B" w:rsidRDefault="00BB7660" w:rsidP="00BB7660">
      <w:pPr>
        <w:pStyle w:val="paragraphsub"/>
      </w:pPr>
      <w:r w:rsidRPr="00ED4F4B">
        <w:tab/>
        <w:t>(i)</w:t>
      </w:r>
      <w:r w:rsidRPr="00ED4F4B">
        <w:tab/>
        <w:t>the amount of the fee;</w:t>
      </w:r>
    </w:p>
    <w:p w14:paraId="23F88D73" w14:textId="77777777" w:rsidR="00BB7660" w:rsidRPr="00ED4F4B" w:rsidRDefault="00BB7660" w:rsidP="00BB7660">
      <w:pPr>
        <w:pStyle w:val="paragraphsub"/>
      </w:pPr>
      <w:r w:rsidRPr="00ED4F4B">
        <w:tab/>
        <w:t>(ii)</w:t>
      </w:r>
      <w:r w:rsidRPr="00ED4F4B">
        <w:tab/>
        <w:t>the consequences if the CDR consumer does not consent to the collection, or to the disclosure, of that data;</w:t>
      </w:r>
    </w:p>
    <w:p w14:paraId="11572B54" w14:textId="77777777" w:rsidR="00BB7660" w:rsidRPr="00F07699" w:rsidRDefault="00BB7660" w:rsidP="00BB7660">
      <w:pPr>
        <w:pStyle w:val="paragraph"/>
      </w:pPr>
      <w:r w:rsidRPr="00F07699">
        <w:tab/>
        <w:t>(e)</w:t>
      </w:r>
      <w:r w:rsidRPr="00F07699">
        <w:tab/>
        <w:t xml:space="preserve">if the accredited person is </w:t>
      </w:r>
      <w:r w:rsidRPr="00ED309B">
        <w:t xml:space="preserve">seeking a </w:t>
      </w:r>
      <w:r w:rsidRPr="00880559">
        <w:t>de</w:t>
      </w:r>
      <w:r w:rsidRPr="00880559">
        <w:noBreakHyphen/>
        <w:t>identification consent</w:t>
      </w:r>
      <w:r w:rsidRPr="00F07699">
        <w:t>—the additional information specified in rule 4.15;</w:t>
      </w:r>
    </w:p>
    <w:p w14:paraId="5825F1FB" w14:textId="77777777" w:rsidR="00BB7660" w:rsidRPr="00F07699" w:rsidRDefault="00BB7660" w:rsidP="00BB7660">
      <w:pPr>
        <w:pStyle w:val="paragraph"/>
      </w:pPr>
      <w:r w:rsidRPr="00F07699">
        <w:tab/>
        <w:t>(f)</w:t>
      </w:r>
      <w:r w:rsidRPr="00F07699">
        <w:tab/>
        <w:t>if the CDR data may be disclosed to, or collected by,</w:t>
      </w:r>
      <w:r w:rsidRPr="005813E8">
        <w:t xml:space="preserve"> </w:t>
      </w:r>
      <w:r w:rsidRPr="004A04A4">
        <w:rPr>
          <w:color w:val="0000FF"/>
        </w:rPr>
        <w:t>a direct</w:t>
      </w:r>
      <w:r w:rsidRPr="00BB6FCC">
        <w:t xml:space="preserve"> </w:t>
      </w:r>
      <w:r w:rsidRPr="004A04A4">
        <w:rPr>
          <w:color w:val="0000FF"/>
        </w:rPr>
        <w:t>or indirect OSP</w:t>
      </w:r>
      <w:r w:rsidRPr="004357C5">
        <w:rPr>
          <w:strike/>
          <w:color w:val="0000FF"/>
        </w:rPr>
        <w:t xml:space="preserve"> </w:t>
      </w:r>
      <w:r w:rsidR="004357C5" w:rsidRPr="004357C5">
        <w:rPr>
          <w:strike/>
          <w:color w:val="0000FF"/>
        </w:rPr>
        <w:t>an outsourced service provider</w:t>
      </w:r>
      <w:r w:rsidR="004357C5" w:rsidRPr="005813E8">
        <w:t xml:space="preserve"> </w:t>
      </w:r>
      <w:r w:rsidRPr="00F07699">
        <w:t>including one that is based overseas) of the accredited person:</w:t>
      </w:r>
    </w:p>
    <w:p w14:paraId="42C11A6D" w14:textId="77777777" w:rsidR="00BB7660" w:rsidRPr="00F07699" w:rsidRDefault="00BB7660" w:rsidP="00BB7660">
      <w:pPr>
        <w:pStyle w:val="paragraphsub"/>
      </w:pPr>
      <w:r w:rsidRPr="00F07699">
        <w:tab/>
        <w:t>(i)</w:t>
      </w:r>
      <w:r w:rsidRPr="00F07699">
        <w:tab/>
        <w:t>a statement of that fact; and</w:t>
      </w:r>
    </w:p>
    <w:p w14:paraId="051FA530" w14:textId="77777777" w:rsidR="00BB7660" w:rsidRPr="00F07699" w:rsidRDefault="00BB7660" w:rsidP="00BB7660">
      <w:pPr>
        <w:pStyle w:val="paragraphsub"/>
      </w:pPr>
      <w:r w:rsidRPr="00F07699">
        <w:tab/>
        <w:t>(ii)</w:t>
      </w:r>
      <w:r w:rsidRPr="00F07699">
        <w:tab/>
        <w:t>a link to the accredited person’s CDR policy; and</w:t>
      </w:r>
    </w:p>
    <w:p w14:paraId="2A10D0E5" w14:textId="77777777" w:rsidR="00BB7660" w:rsidRPr="00F07699" w:rsidRDefault="00BB7660" w:rsidP="00BB7660">
      <w:pPr>
        <w:pStyle w:val="paragraphsub"/>
      </w:pPr>
      <w:r w:rsidRPr="00F07699">
        <w:tab/>
        <w:t>(iii)</w:t>
      </w:r>
      <w:r w:rsidRPr="00F07699">
        <w:tab/>
        <w:t>a statement that the consumer can obtain further information about such disclosures from the policy if desired;</w:t>
      </w:r>
    </w:p>
    <w:p w14:paraId="622AAC58" w14:textId="77777777" w:rsidR="00BB7660" w:rsidRPr="00F07699" w:rsidRDefault="00BB7660" w:rsidP="00BB7660">
      <w:pPr>
        <w:pStyle w:val="paragraph"/>
      </w:pPr>
      <w:r w:rsidRPr="00F07699">
        <w:tab/>
        <w:t>(g)</w:t>
      </w:r>
      <w:r w:rsidRPr="00F07699">
        <w:tab/>
        <w:t>the following information about withdrawal of consents:</w:t>
      </w:r>
    </w:p>
    <w:p w14:paraId="1A228CEE" w14:textId="77777777" w:rsidR="00BB7660" w:rsidRPr="00F07699" w:rsidRDefault="00BB7660" w:rsidP="00BB7660">
      <w:pPr>
        <w:pStyle w:val="paragraphsub"/>
      </w:pPr>
      <w:r w:rsidRPr="00F07699">
        <w:tab/>
        <w:t>(i)</w:t>
      </w:r>
      <w:r w:rsidRPr="00F07699">
        <w:tab/>
        <w:t>a statement that, at any time, the consent can be withdrawn;</w:t>
      </w:r>
    </w:p>
    <w:p w14:paraId="3A853B96" w14:textId="77777777" w:rsidR="00BB7660" w:rsidRPr="00F07699" w:rsidRDefault="00BB7660" w:rsidP="00BB7660">
      <w:pPr>
        <w:pStyle w:val="paragraphsub"/>
      </w:pPr>
      <w:r w:rsidRPr="00F07699">
        <w:tab/>
        <w:t>(ii)</w:t>
      </w:r>
      <w:r w:rsidRPr="00F07699">
        <w:tab/>
        <w:t>instructions for how the consent can be withdrawn;</w:t>
      </w:r>
    </w:p>
    <w:p w14:paraId="244BBB04" w14:textId="77777777" w:rsidR="00BB7660" w:rsidRPr="00F07699" w:rsidRDefault="00BB7660" w:rsidP="00BB7660">
      <w:pPr>
        <w:pStyle w:val="paragraphsub"/>
      </w:pPr>
      <w:r w:rsidRPr="00F07699">
        <w:tab/>
        <w:t>(iii)</w:t>
      </w:r>
      <w:r w:rsidRPr="00F07699">
        <w:tab/>
        <w:t>a statement indicating the consequences (if any) to the CDR consumer if they withdraw the consent;</w:t>
      </w:r>
    </w:p>
    <w:p w14:paraId="085253E9" w14:textId="77777777" w:rsidR="00BB7660" w:rsidRPr="00F07699" w:rsidRDefault="00BB7660" w:rsidP="00BB7660">
      <w:pPr>
        <w:pStyle w:val="paragraph"/>
      </w:pPr>
      <w:r w:rsidRPr="00F07699">
        <w:tab/>
        <w:t>(h)</w:t>
      </w:r>
      <w:r w:rsidRPr="00F07699">
        <w:tab/>
        <w:t>the following information about redundant data:</w:t>
      </w:r>
    </w:p>
    <w:p w14:paraId="5969C1BF" w14:textId="77777777" w:rsidR="00BB7660" w:rsidRPr="00F07699" w:rsidRDefault="00BB7660" w:rsidP="00BB7660">
      <w:pPr>
        <w:pStyle w:val="paragraphsub"/>
      </w:pPr>
      <w:r w:rsidRPr="00F07699">
        <w:tab/>
        <w:t>(i)</w:t>
      </w:r>
      <w:r w:rsidRPr="00F07699">
        <w:tab/>
        <w:t>a statement, in accordance with rule 4.17, regarding the accredited person’s intended treatment of redundant data;</w:t>
      </w:r>
    </w:p>
    <w:p w14:paraId="493AADC1" w14:textId="77777777" w:rsidR="00BB7660" w:rsidRPr="00F07699" w:rsidRDefault="00BB7660" w:rsidP="00BB7660">
      <w:pPr>
        <w:pStyle w:val="paragraphsub"/>
      </w:pPr>
      <w:r w:rsidRPr="00F07699">
        <w:tab/>
        <w:t>(ii)</w:t>
      </w:r>
      <w:r w:rsidRPr="00F07699">
        <w:tab/>
        <w:t>a statement outlining the CDR consumer’s right to elect that their redundant data be deleted;</w:t>
      </w:r>
    </w:p>
    <w:p w14:paraId="6B289822" w14:textId="77777777" w:rsidR="00BB7660" w:rsidRPr="00A00F6F" w:rsidRDefault="00BB7660" w:rsidP="00BB7660">
      <w:pPr>
        <w:pStyle w:val="paragraphsub"/>
      </w:pPr>
      <w:r w:rsidRPr="00F07699">
        <w:tab/>
        <w:t>(iii)</w:t>
      </w:r>
      <w:r w:rsidRPr="00F07699">
        <w:tab/>
        <w:t xml:space="preserve">instructions </w:t>
      </w:r>
      <w:r>
        <w:t>for how the election can be made</w:t>
      </w:r>
      <w:r w:rsidRPr="00A00F6F">
        <w:t xml:space="preserve">; </w:t>
      </w:r>
    </w:p>
    <w:p w14:paraId="0F613416" w14:textId="77777777" w:rsidR="00BB7660" w:rsidRPr="00A00F6F" w:rsidRDefault="00BB7660" w:rsidP="00BB7660">
      <w:pPr>
        <w:pStyle w:val="paragraph"/>
      </w:pPr>
      <w:r w:rsidRPr="00A00F6F">
        <w:tab/>
        <w:t>(i)</w:t>
      </w:r>
      <w:r w:rsidRPr="00A00F6F">
        <w:tab/>
        <w:t>if the accredited person is an affiliate and the CDR data will be collected by a sponsor at its request</w:t>
      </w:r>
      <w:r w:rsidR="005813E8">
        <w:rPr>
          <w:color w:val="0000FF"/>
        </w:rPr>
        <w:t>;</w:t>
      </w:r>
      <w:r w:rsidRPr="005813E8">
        <w:rPr>
          <w:strike/>
          <w:color w:val="0000FF"/>
        </w:rPr>
        <w:t>:</w:t>
      </w:r>
    </w:p>
    <w:p w14:paraId="1F17DA7B" w14:textId="77777777" w:rsidR="00BB7660" w:rsidRPr="00A00F6F" w:rsidRDefault="00BB7660" w:rsidP="00BB7660">
      <w:pPr>
        <w:pStyle w:val="paragraphsub"/>
      </w:pPr>
      <w:r w:rsidRPr="00A00F6F">
        <w:tab/>
        <w:t>(i)</w:t>
      </w:r>
      <w:r w:rsidRPr="00A00F6F">
        <w:tab/>
        <w:t>a statement of that fact; and</w:t>
      </w:r>
    </w:p>
    <w:p w14:paraId="712553C8" w14:textId="77777777" w:rsidR="00BB7660" w:rsidRPr="00A00F6F" w:rsidRDefault="00BB7660" w:rsidP="00BB7660">
      <w:pPr>
        <w:pStyle w:val="paragraphsub"/>
      </w:pPr>
      <w:r w:rsidRPr="00A00F6F">
        <w:tab/>
        <w:t>(ii)</w:t>
      </w:r>
      <w:r w:rsidRPr="00A00F6F">
        <w:tab/>
        <w:t>the sponsor’s name; and</w:t>
      </w:r>
    </w:p>
    <w:p w14:paraId="400C1B37" w14:textId="77777777" w:rsidR="00BB7660" w:rsidRPr="00A00F6F" w:rsidRDefault="00BB7660" w:rsidP="00BB7660">
      <w:pPr>
        <w:pStyle w:val="paragraphsub"/>
      </w:pPr>
      <w:r w:rsidRPr="00A00F6F">
        <w:tab/>
        <w:t>(iii)</w:t>
      </w:r>
      <w:r w:rsidRPr="00A00F6F">
        <w:tab/>
        <w:t>the sponsor’s accreditation number; and</w:t>
      </w:r>
    </w:p>
    <w:p w14:paraId="2B7CD4B0" w14:textId="77777777" w:rsidR="00BB7660" w:rsidRPr="00A00F6F" w:rsidRDefault="00BB7660" w:rsidP="00BB7660">
      <w:pPr>
        <w:pStyle w:val="paragraphsub"/>
      </w:pPr>
      <w:r w:rsidRPr="00A00F6F">
        <w:tab/>
        <w:t>(iv)</w:t>
      </w:r>
      <w:r w:rsidRPr="00A00F6F">
        <w:tab/>
        <w:t>a link to the sponsor’s CDR policy; and</w:t>
      </w:r>
    </w:p>
    <w:p w14:paraId="6EF83741" w14:textId="77777777" w:rsidR="00BB7660" w:rsidRPr="00A00F6F" w:rsidRDefault="00BB7660" w:rsidP="00BB7660">
      <w:pPr>
        <w:pStyle w:val="paragraphsub"/>
      </w:pPr>
      <w:r w:rsidRPr="00A00F6F">
        <w:lastRenderedPageBreak/>
        <w:tab/>
        <w:t>(v)</w:t>
      </w:r>
      <w:r w:rsidRPr="00A00F6F">
        <w:tab/>
        <w:t>a statement that the CDR consumer can obtain further information about such collections or disclosures from the sponsor’s CDR policy if desired.</w:t>
      </w:r>
    </w:p>
    <w:p w14:paraId="436CB837" w14:textId="77777777" w:rsidR="00BB7660" w:rsidRPr="00F07699" w:rsidRDefault="00BB7660" w:rsidP="00BB7660">
      <w:pPr>
        <w:pStyle w:val="notetext"/>
      </w:pPr>
      <w:r w:rsidRPr="00F07699">
        <w:t xml:space="preserve">Note: </w:t>
      </w:r>
      <w:r w:rsidRPr="00F07699">
        <w:tab/>
        <w:t>For paragraph (c), if the accredited person is seeking the CDR consumer’s consent to de</w:t>
      </w:r>
      <w:r w:rsidRPr="00F07699">
        <w:noBreakHyphen/>
        <w:t>identification as referred to in paragraph (e), the accredited person would need to indicate how that would comply with the data minimisation principle.</w:t>
      </w:r>
    </w:p>
    <w:p w14:paraId="3CE3FCB5" w14:textId="77777777" w:rsidR="00BB7660" w:rsidRDefault="00BB7660" w:rsidP="00BB7660">
      <w:pPr>
        <w:pStyle w:val="ActHead5"/>
      </w:pPr>
      <w:bookmarkStart w:id="220" w:name="_Toc50114041"/>
      <w:bookmarkStart w:id="221" w:name="_Toc50633081"/>
      <w:bookmarkStart w:id="222" w:name="_Toc57219031"/>
      <w:bookmarkStart w:id="223" w:name="_Toc59549142"/>
      <w:bookmarkStart w:id="224" w:name="_Toc111132050"/>
      <w:r w:rsidRPr="00F07699">
        <w:t>4.12  Restrictions on seeking consent</w:t>
      </w:r>
      <w:bookmarkEnd w:id="220"/>
      <w:bookmarkEnd w:id="221"/>
      <w:bookmarkEnd w:id="222"/>
      <w:bookmarkEnd w:id="223"/>
      <w:bookmarkEnd w:id="224"/>
    </w:p>
    <w:p w14:paraId="116286B8" w14:textId="77777777" w:rsidR="00BB7660" w:rsidRPr="004357C5" w:rsidRDefault="00BB7660" w:rsidP="00BB7660">
      <w:pPr>
        <w:pStyle w:val="subsection"/>
        <w:rPr>
          <w:color w:val="0000FF"/>
        </w:rPr>
      </w:pPr>
      <w:r w:rsidRPr="00480C0F">
        <w:rPr>
          <w:color w:val="0000FF"/>
        </w:rPr>
        <w:tab/>
        <w:t>(1)</w:t>
      </w:r>
      <w:r w:rsidRPr="00480C0F">
        <w:rPr>
          <w:color w:val="0000FF"/>
        </w:rPr>
        <w:tab/>
        <w:t xml:space="preserve">An accredited person must not specify a period of time for the purposes of paragraph 4.11(1)(b) </w:t>
      </w:r>
      <w:r w:rsidRPr="004357C5">
        <w:rPr>
          <w:color w:val="0000FF"/>
        </w:rPr>
        <w:t>that is more than:</w:t>
      </w:r>
    </w:p>
    <w:p w14:paraId="0BD707F4" w14:textId="77777777" w:rsidR="003C26F3" w:rsidRPr="004357C5" w:rsidRDefault="003C26F3" w:rsidP="003C26F3">
      <w:pPr>
        <w:pStyle w:val="paragraph"/>
        <w:rPr>
          <w:color w:val="0000FF"/>
        </w:rPr>
      </w:pPr>
      <w:r w:rsidRPr="004357C5">
        <w:rPr>
          <w:color w:val="0000FF"/>
        </w:rPr>
        <w:tab/>
        <w:t>(a)</w:t>
      </w:r>
      <w:r w:rsidRPr="004357C5">
        <w:rPr>
          <w:color w:val="0000FF"/>
        </w:rPr>
        <w:tab/>
        <w:t>7 years, in the case of a consent given by a CDR business consumer that includes a business consumer statement;</w:t>
      </w:r>
    </w:p>
    <w:p w14:paraId="5358DD94" w14:textId="77777777" w:rsidR="00BB7660" w:rsidRPr="004357C5" w:rsidRDefault="00BB7660" w:rsidP="00BB7660">
      <w:pPr>
        <w:pStyle w:val="paragraph"/>
        <w:rPr>
          <w:color w:val="0000FF"/>
        </w:rPr>
      </w:pPr>
      <w:r w:rsidRPr="004357C5">
        <w:rPr>
          <w:color w:val="0000FF"/>
        </w:rPr>
        <w:tab/>
        <w:t>(b)</w:t>
      </w:r>
      <w:r w:rsidRPr="004357C5">
        <w:rPr>
          <w:color w:val="0000FF"/>
        </w:rPr>
        <w:tab/>
      </w:r>
      <w:r w:rsidR="003B449C" w:rsidRPr="004357C5">
        <w:rPr>
          <w:color w:val="0000FF"/>
        </w:rPr>
        <w:t xml:space="preserve">12 months, </w:t>
      </w:r>
      <w:r w:rsidRPr="004357C5">
        <w:rPr>
          <w:color w:val="0000FF"/>
        </w:rPr>
        <w:t>in any other case</w:t>
      </w:r>
      <w:r w:rsidR="003B449C" w:rsidRPr="004357C5">
        <w:rPr>
          <w:color w:val="0000FF"/>
        </w:rPr>
        <w:t>.</w:t>
      </w:r>
    </w:p>
    <w:p w14:paraId="13394A9D" w14:textId="77777777" w:rsidR="004357C5" w:rsidRPr="004357C5" w:rsidRDefault="004357C5" w:rsidP="004357C5">
      <w:pPr>
        <w:pStyle w:val="subsection"/>
        <w:rPr>
          <w:strike/>
          <w:color w:val="0000FF"/>
        </w:rPr>
      </w:pPr>
      <w:r w:rsidRPr="004357C5">
        <w:rPr>
          <w:strike/>
          <w:color w:val="0000FF"/>
        </w:rPr>
        <w:tab/>
        <w:t>(1)</w:t>
      </w:r>
      <w:r w:rsidRPr="004357C5">
        <w:rPr>
          <w:strike/>
          <w:color w:val="0000FF"/>
        </w:rPr>
        <w:tab/>
        <w:t>An accredited person must not specify a period of time for the purposes of paragraph 4.11(1)(b) that is more than 12 months.</w:t>
      </w:r>
    </w:p>
    <w:p w14:paraId="17F02654" w14:textId="77777777" w:rsidR="00BB7660" w:rsidRPr="00533E3F" w:rsidRDefault="004357C5" w:rsidP="004357C5">
      <w:pPr>
        <w:pStyle w:val="subsection"/>
      </w:pPr>
      <w:r w:rsidRPr="00F07699">
        <w:t xml:space="preserve"> </w:t>
      </w:r>
      <w:r>
        <w:tab/>
      </w:r>
      <w:r w:rsidR="00BB7660" w:rsidRPr="00F07699">
        <w:t>(2)</w:t>
      </w:r>
      <w:r w:rsidR="00BB7660" w:rsidRPr="00F07699">
        <w:tab/>
        <w:t xml:space="preserve">An accredited person must not ask </w:t>
      </w:r>
      <w:r w:rsidR="00BB7660" w:rsidRPr="00533E3F">
        <w:t>for a colle</w:t>
      </w:r>
      <w:r w:rsidR="00BB7660">
        <w:t xml:space="preserve">ction consent or a use consent </w:t>
      </w:r>
      <w:r w:rsidR="00BB7660" w:rsidRPr="00533E3F">
        <w:t>unless it would comply with the data minimisation principle in respect of that collection or those uses.</w:t>
      </w:r>
    </w:p>
    <w:p w14:paraId="72FB2E51" w14:textId="77777777" w:rsidR="00BB7660" w:rsidRPr="00533E3F" w:rsidRDefault="00BB7660" w:rsidP="00BB7660">
      <w:pPr>
        <w:pStyle w:val="notetext"/>
      </w:pPr>
      <w:r w:rsidRPr="00533E3F">
        <w:t>Note:</w:t>
      </w:r>
      <w:r w:rsidRPr="00533E3F">
        <w:tab/>
        <w:t>See rule 1.8 for the definition of “data minimisation principle”.</w:t>
      </w:r>
    </w:p>
    <w:p w14:paraId="292CD668" w14:textId="77777777" w:rsidR="00BB7660" w:rsidRPr="00533E3F" w:rsidRDefault="00BB7660" w:rsidP="00BB7660">
      <w:pPr>
        <w:pStyle w:val="subsection"/>
      </w:pPr>
      <w:r w:rsidRPr="00533E3F">
        <w:t xml:space="preserve"> </w:t>
      </w:r>
      <w:r w:rsidRPr="00533E3F">
        <w:tab/>
        <w:t>(3)</w:t>
      </w:r>
      <w:r w:rsidRPr="00533E3F">
        <w:tab/>
        <w:t>An accredited person must not ask for a consent:</w:t>
      </w:r>
    </w:p>
    <w:p w14:paraId="382A2CB9" w14:textId="77777777" w:rsidR="00BB7660" w:rsidRPr="00533E3F" w:rsidRDefault="00BB7660" w:rsidP="00BB7660">
      <w:pPr>
        <w:pStyle w:val="paragraph"/>
      </w:pPr>
      <w:r w:rsidRPr="00533E3F">
        <w:tab/>
        <w:t>(a)</w:t>
      </w:r>
      <w:r w:rsidRPr="00533E3F">
        <w:tab/>
        <w:t>that is not in a category of consents; or</w:t>
      </w:r>
    </w:p>
    <w:p w14:paraId="45027FFC" w14:textId="77777777" w:rsidR="00BB7660" w:rsidRPr="00F07699" w:rsidRDefault="00BB7660" w:rsidP="00BB7660">
      <w:pPr>
        <w:pStyle w:val="paragraph"/>
      </w:pPr>
      <w:r w:rsidRPr="00533E3F">
        <w:tab/>
        <w:t>(b)</w:t>
      </w:r>
      <w:r w:rsidRPr="00533E3F">
        <w:tab/>
        <w:t>subject to subrule (4), for using the C</w:t>
      </w:r>
      <w:r w:rsidRPr="00F07699">
        <w:t>DR data, including by aggregating the data, for the purpose of:</w:t>
      </w:r>
    </w:p>
    <w:p w14:paraId="0BF4CB07" w14:textId="77777777" w:rsidR="00BB7660" w:rsidRPr="00F07699" w:rsidRDefault="00BB7660" w:rsidP="00BB7660">
      <w:pPr>
        <w:pStyle w:val="paragraphsub"/>
      </w:pPr>
      <w:r w:rsidRPr="00F07699">
        <w:tab/>
        <w:t>(i)</w:t>
      </w:r>
      <w:r w:rsidRPr="00F07699">
        <w:tab/>
        <w:t>identifying; or</w:t>
      </w:r>
    </w:p>
    <w:p w14:paraId="491D9546" w14:textId="77777777" w:rsidR="00BB7660" w:rsidRDefault="00BB7660" w:rsidP="00BB7660">
      <w:pPr>
        <w:pStyle w:val="paragraphsub"/>
      </w:pPr>
      <w:r w:rsidRPr="00F07699">
        <w:tab/>
        <w:t>(ii)</w:t>
      </w:r>
      <w:r w:rsidRPr="00F07699">
        <w:tab/>
        <w:t>compiling insights in relation to; or</w:t>
      </w:r>
    </w:p>
    <w:p w14:paraId="0EF46E15" w14:textId="77777777" w:rsidR="00BB7660" w:rsidRPr="00F07699" w:rsidRDefault="00BB7660" w:rsidP="00BB7660">
      <w:pPr>
        <w:pStyle w:val="paragraphsub"/>
      </w:pPr>
      <w:r w:rsidRPr="00F07699">
        <w:tab/>
        <w:t>(iii)</w:t>
      </w:r>
      <w:r w:rsidRPr="00F07699">
        <w:tab/>
        <w:t>building a profile in relation to;</w:t>
      </w:r>
    </w:p>
    <w:p w14:paraId="522FD253" w14:textId="77777777" w:rsidR="00BB7660" w:rsidRDefault="00BB7660" w:rsidP="00BB7660">
      <w:pPr>
        <w:pStyle w:val="paragraph"/>
      </w:pPr>
      <w:r w:rsidRPr="00F07699">
        <w:tab/>
      </w:r>
      <w:r w:rsidRPr="00F07699">
        <w:tab/>
        <w:t>any identifiable person who is not the CDR consumer who made the consumer data request.</w:t>
      </w:r>
    </w:p>
    <w:p w14:paraId="0FA4AAEC" w14:textId="77777777" w:rsidR="00BB7660" w:rsidRPr="00F07699" w:rsidRDefault="00BB7660" w:rsidP="00BB7660">
      <w:pPr>
        <w:pStyle w:val="subsection"/>
      </w:pPr>
      <w:r w:rsidRPr="00F07699">
        <w:tab/>
        <w:t>(4)</w:t>
      </w:r>
      <w:r w:rsidRPr="00F07699">
        <w:tab/>
        <w:t>Paragraph (3)(b) does not apply in relation to a person whose identity is readily apparent from the CDR data, if the accredited person is seeking consent to:</w:t>
      </w:r>
    </w:p>
    <w:p w14:paraId="3B3DE15F" w14:textId="77777777" w:rsidR="00BB7660" w:rsidRPr="00F07699" w:rsidRDefault="00BB7660" w:rsidP="00BB7660">
      <w:pPr>
        <w:pStyle w:val="paragraph"/>
      </w:pPr>
      <w:r w:rsidRPr="00F07699">
        <w:tab/>
        <w:t>(a)</w:t>
      </w:r>
      <w:r w:rsidRPr="00F07699">
        <w:tab/>
        <w:t>derive, from that CDR data, CDR data about that person’s interactions with the CDR consumer; and</w:t>
      </w:r>
    </w:p>
    <w:p w14:paraId="4FFBD7D9" w14:textId="77777777" w:rsidR="00BB7660" w:rsidRPr="00F07699" w:rsidRDefault="00BB7660" w:rsidP="00BB7660">
      <w:pPr>
        <w:pStyle w:val="paragraph"/>
      </w:pPr>
      <w:r w:rsidRPr="00F07699">
        <w:tab/>
        <w:t>(b)</w:t>
      </w:r>
      <w:r w:rsidRPr="00F07699">
        <w:tab/>
        <w:t>use that derived CDR data in order to provide the requested goods or services.</w:t>
      </w:r>
    </w:p>
    <w:p w14:paraId="0B946D9C" w14:textId="77777777" w:rsidR="00BB7660" w:rsidRPr="005813E8" w:rsidRDefault="00BB7660" w:rsidP="00BB7660">
      <w:pPr>
        <w:pStyle w:val="ActHead4"/>
      </w:pPr>
      <w:bookmarkStart w:id="225" w:name="_Toc50114042"/>
      <w:bookmarkStart w:id="226" w:name="_Toc57219032"/>
      <w:bookmarkStart w:id="227" w:name="_Toc59549143"/>
      <w:bookmarkStart w:id="228" w:name="_Toc111132051"/>
      <w:r w:rsidRPr="005813E8">
        <w:t>Subdivision</w:t>
      </w:r>
      <w:bookmarkStart w:id="229" w:name="_Toc50633082"/>
      <w:r w:rsidR="005813E8" w:rsidRPr="005813E8">
        <w:t xml:space="preserve"> </w:t>
      </w:r>
      <w:r w:rsidRPr="005813E8">
        <w:t>4.3.2A—Amending consents</w:t>
      </w:r>
      <w:bookmarkEnd w:id="225"/>
      <w:bookmarkEnd w:id="226"/>
      <w:bookmarkEnd w:id="227"/>
      <w:bookmarkEnd w:id="228"/>
    </w:p>
    <w:p w14:paraId="583DC1FA" w14:textId="77777777" w:rsidR="00BB7660" w:rsidRPr="00533E3F" w:rsidRDefault="00BB7660" w:rsidP="00BB7660">
      <w:pPr>
        <w:pStyle w:val="ActHead5"/>
      </w:pPr>
      <w:bookmarkStart w:id="230" w:name="_Toc50114043"/>
      <w:bookmarkStart w:id="231" w:name="_Toc57219033"/>
      <w:bookmarkStart w:id="232" w:name="_Toc59549144"/>
      <w:bookmarkStart w:id="233" w:name="_Toc111132052"/>
      <w:r w:rsidRPr="00533E3F">
        <w:t>4.12A  Amendment of consent</w:t>
      </w:r>
      <w:bookmarkEnd w:id="229"/>
      <w:bookmarkEnd w:id="230"/>
      <w:bookmarkEnd w:id="231"/>
      <w:bookmarkEnd w:id="232"/>
      <w:bookmarkEnd w:id="233"/>
    </w:p>
    <w:p w14:paraId="54477886" w14:textId="77777777" w:rsidR="00BB7660" w:rsidRPr="00533E3F" w:rsidRDefault="00BB7660" w:rsidP="00BB7660">
      <w:pPr>
        <w:pStyle w:val="subsection"/>
      </w:pPr>
      <w:r w:rsidRPr="00533E3F">
        <w:tab/>
      </w:r>
      <w:r w:rsidRPr="00533E3F">
        <w:tab/>
        <w:t>An amendment of a consent takes effect when the CDR consumer amends the consent.</w:t>
      </w:r>
    </w:p>
    <w:p w14:paraId="54E78B50" w14:textId="77777777" w:rsidR="00BB7660" w:rsidRPr="00533E3F" w:rsidRDefault="00BB7660" w:rsidP="00BB7660">
      <w:pPr>
        <w:pStyle w:val="notetext"/>
      </w:pPr>
      <w:r w:rsidRPr="00533E3F">
        <w:t>Note:</w:t>
      </w:r>
      <w:r w:rsidRPr="00533E3F">
        <w:tab/>
        <w:t>It is not possible for the CDR consumer to specify a different day or time.</w:t>
      </w:r>
    </w:p>
    <w:p w14:paraId="51D865B6" w14:textId="77777777" w:rsidR="00BB7660" w:rsidRPr="00533E3F" w:rsidRDefault="00BB7660" w:rsidP="00BB7660">
      <w:pPr>
        <w:pStyle w:val="ActHead5"/>
      </w:pPr>
      <w:bookmarkStart w:id="234" w:name="_Toc40970016"/>
      <w:bookmarkStart w:id="235" w:name="_Toc50114044"/>
      <w:bookmarkStart w:id="236" w:name="_Toc57219034"/>
      <w:bookmarkStart w:id="237" w:name="_Toc59549145"/>
      <w:bookmarkStart w:id="238" w:name="_Toc111132053"/>
      <w:bookmarkStart w:id="239" w:name="_Toc40626965"/>
      <w:r w:rsidRPr="00533E3F">
        <w:lastRenderedPageBreak/>
        <w:t>4.12B  Inviting CDR consumer to amend consent</w:t>
      </w:r>
      <w:bookmarkEnd w:id="234"/>
      <w:bookmarkEnd w:id="235"/>
      <w:bookmarkEnd w:id="236"/>
      <w:bookmarkEnd w:id="237"/>
      <w:bookmarkEnd w:id="238"/>
    </w:p>
    <w:p w14:paraId="75C2D54D" w14:textId="77777777" w:rsidR="00BB7660" w:rsidRPr="00533E3F" w:rsidRDefault="00BB7660" w:rsidP="00BB7660">
      <w:pPr>
        <w:pStyle w:val="subsection"/>
      </w:pPr>
      <w:r w:rsidRPr="00533E3F">
        <w:tab/>
        <w:t>(1)</w:t>
      </w:r>
      <w:r w:rsidRPr="00533E3F">
        <w:tab/>
        <w:t>An accredited person may invite a CDR consumer to amend a consent given in accordance with this Division only in accordance with this rule.</w:t>
      </w:r>
    </w:p>
    <w:p w14:paraId="4E7DD12D" w14:textId="77777777" w:rsidR="00BB7660" w:rsidRPr="00533E3F" w:rsidRDefault="00BB7660" w:rsidP="00BB7660">
      <w:pPr>
        <w:pStyle w:val="subsection"/>
      </w:pPr>
      <w:r w:rsidRPr="00533E3F">
        <w:tab/>
        <w:t>(2)</w:t>
      </w:r>
      <w:r w:rsidRPr="00533E3F">
        <w:tab/>
        <w:t>The accredited person may give the invitation:</w:t>
      </w:r>
    </w:p>
    <w:p w14:paraId="4BCE7BE5" w14:textId="77777777" w:rsidR="00BB7660" w:rsidRPr="00533E3F" w:rsidRDefault="00BB7660" w:rsidP="00BB7660">
      <w:pPr>
        <w:pStyle w:val="paragraph"/>
      </w:pPr>
      <w:r w:rsidRPr="00533E3F">
        <w:tab/>
        <w:t>(a)</w:t>
      </w:r>
      <w:r w:rsidRPr="00533E3F">
        <w:tab/>
        <w:t>if its consumer dashboard offers the consent amendment functionality referred to in subrule 1.</w:t>
      </w:r>
      <w:r w:rsidRPr="005F5B3D">
        <w:t>14</w:t>
      </w:r>
      <w:r w:rsidRPr="00533E3F">
        <w:t>(2A)―via its consumer dashboard; or</w:t>
      </w:r>
    </w:p>
    <w:p w14:paraId="4B73E425" w14:textId="77777777" w:rsidR="00BB7660" w:rsidRDefault="00BB7660" w:rsidP="00BB7660">
      <w:pPr>
        <w:pStyle w:val="paragraph"/>
      </w:pPr>
      <w:r w:rsidRPr="00533E3F">
        <w:tab/>
        <w:t>(b)</w:t>
      </w:r>
      <w:r w:rsidRPr="00533E3F">
        <w:tab/>
        <w:t>in writing directly to the CDR consumer.</w:t>
      </w:r>
    </w:p>
    <w:p w14:paraId="3804451F" w14:textId="77777777" w:rsidR="00BB7660" w:rsidRPr="00533E3F" w:rsidRDefault="00BB7660" w:rsidP="00BB7660">
      <w:pPr>
        <w:pStyle w:val="subsection"/>
        <w:rPr>
          <w:sz w:val="24"/>
        </w:rPr>
      </w:pPr>
      <w:r w:rsidRPr="00533E3F">
        <w:tab/>
        <w:t>(3)</w:t>
      </w:r>
      <w:r w:rsidRPr="00533E3F">
        <w:tab/>
        <w:t>The accredited person may invite a CDR consumer to amend a current consent if:</w:t>
      </w:r>
    </w:p>
    <w:p w14:paraId="16DC7C66" w14:textId="77777777" w:rsidR="00BB7660" w:rsidRPr="00533E3F" w:rsidRDefault="00BB7660" w:rsidP="00BB7660">
      <w:pPr>
        <w:pStyle w:val="paragraph"/>
      </w:pPr>
      <w:r w:rsidRPr="00533E3F">
        <w:tab/>
        <w:t>(a)</w:t>
      </w:r>
      <w:r w:rsidRPr="00533E3F">
        <w:tab/>
        <w:t xml:space="preserve">the amendment would better enable the accredited person to provide the goods or services referred to in paragraph 4.3(1)(a); or </w:t>
      </w:r>
    </w:p>
    <w:p w14:paraId="239D0922" w14:textId="77777777" w:rsidR="00BB7660" w:rsidRPr="00533E3F" w:rsidRDefault="00BB7660" w:rsidP="00BB7660">
      <w:pPr>
        <w:pStyle w:val="paragraph"/>
        <w:rPr>
          <w:sz w:val="20"/>
        </w:rPr>
      </w:pPr>
      <w:r w:rsidRPr="00533E3F">
        <w:tab/>
        <w:t>(b)</w:t>
      </w:r>
      <w:r w:rsidRPr="00533E3F">
        <w:tab/>
        <w:t>the amendment would:</w:t>
      </w:r>
    </w:p>
    <w:p w14:paraId="5A741A0B" w14:textId="77777777" w:rsidR="00BB7660" w:rsidRPr="00533E3F" w:rsidRDefault="00BB7660" w:rsidP="00BB7660">
      <w:pPr>
        <w:pStyle w:val="paragraphsub"/>
      </w:pPr>
      <w:r w:rsidRPr="00533E3F">
        <w:tab/>
        <w:t>(i)</w:t>
      </w:r>
      <w:r w:rsidRPr="00533E3F">
        <w:tab/>
        <w:t>be consequential to an agreement between the accredited person and the CDR consumer to modify those goods or services; and</w:t>
      </w:r>
    </w:p>
    <w:p w14:paraId="3317F6C8" w14:textId="77777777" w:rsidR="00BB7660" w:rsidRDefault="00BB7660" w:rsidP="00BB7660">
      <w:pPr>
        <w:pStyle w:val="paragraphsub"/>
      </w:pPr>
      <w:r w:rsidRPr="00533E3F">
        <w:tab/>
        <w:t>(ii)</w:t>
      </w:r>
      <w:r w:rsidRPr="00533E3F">
        <w:tab/>
        <w:t>enable the accredited person to provide the modified goods or services</w:t>
      </w:r>
      <w:r>
        <w:t>.</w:t>
      </w:r>
    </w:p>
    <w:p w14:paraId="396327E1" w14:textId="77777777" w:rsidR="00BB7660" w:rsidRPr="00533E3F" w:rsidRDefault="00BB7660" w:rsidP="00BB7660">
      <w:pPr>
        <w:pStyle w:val="subsection"/>
      </w:pPr>
      <w:r w:rsidRPr="00533E3F">
        <w:tab/>
      </w:r>
      <w:r w:rsidRPr="005F5B3D">
        <w:t>(</w:t>
      </w:r>
      <w:r>
        <w:t>4</w:t>
      </w:r>
      <w:r w:rsidRPr="005F5B3D">
        <w:t>)</w:t>
      </w:r>
      <w:r>
        <w:tab/>
      </w:r>
      <w:r w:rsidRPr="005F5B3D">
        <w:t>The</w:t>
      </w:r>
      <w:r w:rsidRPr="00E048C0">
        <w:t xml:space="preserve"> </w:t>
      </w:r>
      <w:r w:rsidRPr="00533E3F">
        <w:t>accredited person must not, for an invitation to amend the period referred to in paragraph 4.11(1)(b):</w:t>
      </w:r>
    </w:p>
    <w:p w14:paraId="2BFDB8AF" w14:textId="77777777" w:rsidR="00BB7660" w:rsidRPr="00533E3F" w:rsidRDefault="00BB7660" w:rsidP="00BB7660">
      <w:pPr>
        <w:pStyle w:val="paragraph"/>
      </w:pPr>
      <w:r w:rsidRPr="00533E3F">
        <w:tab/>
        <w:t>(a)</w:t>
      </w:r>
      <w:r w:rsidRPr="00533E3F">
        <w:tab/>
        <w:t>give the invitation any earlier than a reasonable period before the current consent is expected to expire; or</w:t>
      </w:r>
    </w:p>
    <w:p w14:paraId="3FA2D22A" w14:textId="77777777" w:rsidR="00BB7660" w:rsidRDefault="00BB7660" w:rsidP="00BB7660">
      <w:pPr>
        <w:pStyle w:val="paragraph"/>
      </w:pPr>
      <w:r w:rsidRPr="00533E3F">
        <w:tab/>
        <w:t>(b)</w:t>
      </w:r>
      <w:r w:rsidRPr="00533E3F">
        <w:tab/>
        <w:t>give more than a reasonable number of such invitations within this period.</w:t>
      </w:r>
      <w:bookmarkEnd w:id="239"/>
    </w:p>
    <w:p w14:paraId="64655EC3" w14:textId="77777777" w:rsidR="00BB7660" w:rsidRPr="00ED309B" w:rsidRDefault="00BB7660" w:rsidP="00BB7660">
      <w:pPr>
        <w:pStyle w:val="subsection"/>
      </w:pPr>
      <w:r w:rsidRPr="00ED309B">
        <w:tab/>
      </w:r>
      <w:r w:rsidRPr="005F5B3D">
        <w:t>(5)</w:t>
      </w:r>
      <w:r w:rsidRPr="00ED309B">
        <w:tab/>
      </w:r>
      <w:r w:rsidRPr="005F5B3D">
        <w:t xml:space="preserve">The </w:t>
      </w:r>
      <w:r w:rsidRPr="00ED309B">
        <w:t>accredited person must not give such an invitation before 1 July 2021.</w:t>
      </w:r>
    </w:p>
    <w:p w14:paraId="1FF13FF3" w14:textId="77777777" w:rsidR="00BB7660" w:rsidRPr="00533E3F" w:rsidRDefault="00BB7660" w:rsidP="00BB7660">
      <w:pPr>
        <w:pStyle w:val="ActHead5"/>
      </w:pPr>
      <w:bookmarkStart w:id="240" w:name="_Toc50114045"/>
      <w:bookmarkStart w:id="241" w:name="_Toc57219035"/>
      <w:bookmarkStart w:id="242" w:name="_Toc59549146"/>
      <w:bookmarkStart w:id="243" w:name="_Toc111132054"/>
      <w:r w:rsidRPr="00533E3F">
        <w:t>4.12C  Process for amending consents</w:t>
      </w:r>
      <w:bookmarkEnd w:id="240"/>
      <w:bookmarkEnd w:id="241"/>
      <w:bookmarkEnd w:id="242"/>
      <w:bookmarkEnd w:id="243"/>
    </w:p>
    <w:p w14:paraId="052F1058" w14:textId="77777777" w:rsidR="00BB7660" w:rsidRPr="00533E3F" w:rsidRDefault="00BB7660" w:rsidP="00BB7660">
      <w:pPr>
        <w:pStyle w:val="subsection"/>
      </w:pPr>
      <w:r w:rsidRPr="00533E3F">
        <w:tab/>
        <w:t>(1)</w:t>
      </w:r>
      <w:r w:rsidRPr="00533E3F">
        <w:tab/>
        <w:t>Subject to this rule, if an accredited person allows CDR consumers to amend consents, it must allow them to do so in the same manner that it asks for CDR consumers to give consents.</w:t>
      </w:r>
    </w:p>
    <w:p w14:paraId="7992A2E2" w14:textId="77777777" w:rsidR="00BB7660" w:rsidRPr="00533E3F" w:rsidRDefault="00BB7660" w:rsidP="00BB7660">
      <w:pPr>
        <w:pStyle w:val="subsection"/>
      </w:pPr>
      <w:r w:rsidRPr="00533E3F">
        <w:tab/>
        <w:t>(2)</w:t>
      </w:r>
      <w:r w:rsidRPr="00533E3F">
        <w:tab/>
        <w:t>Despite subrule 4.11(2), in the case of an amendment to a consent, an accredited person may present, as pre</w:t>
      </w:r>
      <w:r w:rsidRPr="00533E3F">
        <w:noBreakHyphen/>
        <w:t>selected options, the following details of the current consent:</w:t>
      </w:r>
    </w:p>
    <w:p w14:paraId="097FAAAC" w14:textId="77777777" w:rsidR="00BB7660" w:rsidRPr="00533E3F" w:rsidRDefault="00BB7660" w:rsidP="00BB7660">
      <w:pPr>
        <w:pStyle w:val="paragraph"/>
      </w:pPr>
      <w:r w:rsidRPr="00533E3F">
        <w:tab/>
        <w:t>(a)</w:t>
      </w:r>
      <w:r w:rsidRPr="00533E3F">
        <w:tab/>
        <w:t>the selections or indications referred to in paragraphs </w:t>
      </w:r>
      <w:r w:rsidR="006B5050" w:rsidRPr="00500212">
        <w:rPr>
          <w:color w:val="0000FF"/>
        </w:rPr>
        <w:t>4.11(1)(a), (b), (bb)  and (ba)</w:t>
      </w:r>
      <w:r w:rsidRPr="00500212">
        <w:rPr>
          <w:strike/>
          <w:color w:val="0000FF"/>
        </w:rPr>
        <w:t>.</w:t>
      </w:r>
      <w:r w:rsidR="006B5050" w:rsidRPr="00500212">
        <w:rPr>
          <w:strike/>
          <w:color w:val="0000FF"/>
        </w:rPr>
        <w:t xml:space="preserve"> 4.</w:t>
      </w:r>
      <w:r w:rsidRPr="00500212">
        <w:rPr>
          <w:strike/>
          <w:color w:val="0000FF"/>
        </w:rPr>
        <w:t>11(1)(a), (b) and (ba)</w:t>
      </w:r>
      <w:r w:rsidRPr="00533E3F">
        <w:t>;</w:t>
      </w:r>
    </w:p>
    <w:p w14:paraId="01C331A0" w14:textId="77777777" w:rsidR="00BB7660" w:rsidRPr="00533E3F" w:rsidRDefault="00BB7660" w:rsidP="00BB7660">
      <w:pPr>
        <w:pStyle w:val="paragraph"/>
      </w:pPr>
      <w:r w:rsidRPr="00533E3F">
        <w:tab/>
        <w:t>(b)</w:t>
      </w:r>
      <w:r w:rsidRPr="00533E3F">
        <w:tab/>
        <w:t>the election (if any) referred to in paragraph 4.11(1)(e).</w:t>
      </w:r>
    </w:p>
    <w:p w14:paraId="38536FE3" w14:textId="77777777" w:rsidR="00BB7660" w:rsidRPr="00533E3F" w:rsidRDefault="00BB7660" w:rsidP="00BB7660">
      <w:pPr>
        <w:pStyle w:val="subsection"/>
      </w:pPr>
      <w:r w:rsidRPr="00533E3F">
        <w:tab/>
        <w:t>(3)</w:t>
      </w:r>
      <w:r w:rsidRPr="00533E3F">
        <w:tab/>
        <w:t>In the case of an amendment to a consent, in addition to the information referred to in subrule 4.11(3), the accredited person must give the CDR consumer:</w:t>
      </w:r>
    </w:p>
    <w:p w14:paraId="73F82A1C" w14:textId="77777777" w:rsidR="00BB7660" w:rsidRPr="00533E3F" w:rsidRDefault="00BB7660" w:rsidP="00BB7660">
      <w:pPr>
        <w:pStyle w:val="paragraph"/>
      </w:pPr>
      <w:r w:rsidRPr="00533E3F">
        <w:tab/>
        <w:t>(a)</w:t>
      </w:r>
      <w:r w:rsidRPr="00533E3F">
        <w:tab/>
        <w:t>a statement that indicates the consequences of amending a consent; and</w:t>
      </w:r>
    </w:p>
    <w:p w14:paraId="1274726E" w14:textId="77777777" w:rsidR="00BB7660" w:rsidRPr="00533E3F" w:rsidRDefault="00BB7660" w:rsidP="00BB7660">
      <w:pPr>
        <w:pStyle w:val="paragraph"/>
      </w:pPr>
      <w:r w:rsidRPr="00533E3F">
        <w:tab/>
        <w:t>(b)</w:t>
      </w:r>
      <w:r w:rsidRPr="00533E3F">
        <w:tab/>
        <w:t>a statement that the accredited person will be able to continue to use any CDR data that has already been disclosed to it to the extent allowed by the amended consent.</w:t>
      </w:r>
    </w:p>
    <w:p w14:paraId="18569BFD" w14:textId="77777777" w:rsidR="00BB7660" w:rsidRPr="00533E3F" w:rsidRDefault="00BB7660" w:rsidP="00BB7660">
      <w:pPr>
        <w:pStyle w:val="ActHead4"/>
      </w:pPr>
      <w:bookmarkStart w:id="244" w:name="_Toc50114046"/>
      <w:bookmarkStart w:id="245" w:name="_Toc57219036"/>
      <w:bookmarkStart w:id="246" w:name="_Toc59549147"/>
      <w:bookmarkStart w:id="247" w:name="_Toc111132055"/>
      <w:r w:rsidRPr="00533E3F">
        <w:lastRenderedPageBreak/>
        <w:t>Subdivision 4.3.2B—Withdrawing consents</w:t>
      </w:r>
      <w:bookmarkEnd w:id="244"/>
      <w:bookmarkEnd w:id="245"/>
      <w:bookmarkEnd w:id="246"/>
      <w:bookmarkEnd w:id="247"/>
      <w:r w:rsidRPr="00533E3F">
        <w:t xml:space="preserve"> </w:t>
      </w:r>
    </w:p>
    <w:p w14:paraId="4DAAEAF6" w14:textId="77777777" w:rsidR="00BB7660" w:rsidRPr="004357C5" w:rsidRDefault="004357C5" w:rsidP="004357C5">
      <w:pPr>
        <w:pStyle w:val="ActHead5"/>
      </w:pPr>
      <w:bookmarkStart w:id="248" w:name="_Toc111132056"/>
      <w:bookmarkStart w:id="249" w:name="_Toc50114047"/>
      <w:bookmarkStart w:id="250" w:name="_Toc57219037"/>
      <w:bookmarkStart w:id="251" w:name="_Toc59549148"/>
      <w:r>
        <w:t xml:space="preserve">4.13  </w:t>
      </w:r>
      <w:r w:rsidR="00BB7660" w:rsidRPr="004357C5">
        <w:t>Withdrawal of consents</w:t>
      </w:r>
      <w:r w:rsidRPr="004357C5">
        <w:rPr>
          <w:strike/>
          <w:color w:val="0000FF"/>
        </w:rPr>
        <w:t>, and notifications</w:t>
      </w:r>
      <w:bookmarkEnd w:id="248"/>
    </w:p>
    <w:p w14:paraId="3104C618" w14:textId="77777777" w:rsidR="00BB7660" w:rsidRPr="00721608" w:rsidRDefault="00BB7660" w:rsidP="00BB7660">
      <w:pPr>
        <w:pStyle w:val="subsection"/>
      </w:pPr>
      <w:r w:rsidRPr="00721608">
        <w:tab/>
        <w:t>(1)</w:t>
      </w:r>
      <w:r w:rsidRPr="00721608">
        <w:tab/>
        <w:t>The CDR consumer who gave a consent</w:t>
      </w:r>
      <w:r w:rsidRPr="005813E8">
        <w:rPr>
          <w:color w:val="0000FF"/>
        </w:rPr>
        <w:t xml:space="preserve"> under this Division</w:t>
      </w:r>
      <w:r w:rsidRPr="00721608">
        <w:t xml:space="preserve"> may withdraw the consent at any time:</w:t>
      </w:r>
    </w:p>
    <w:p w14:paraId="1F3061AF" w14:textId="77777777" w:rsidR="00BB7660" w:rsidRPr="00721608" w:rsidRDefault="00BB7660" w:rsidP="00BB7660">
      <w:pPr>
        <w:pStyle w:val="paragraph"/>
      </w:pPr>
      <w:r w:rsidRPr="00721608">
        <w:tab/>
        <w:t>(a)</w:t>
      </w:r>
      <w:r w:rsidRPr="00721608">
        <w:tab/>
        <w:t>by using the accredited person’s consumer dashboard; or</w:t>
      </w:r>
    </w:p>
    <w:p w14:paraId="1E203DAF" w14:textId="77777777" w:rsidR="00BB7660" w:rsidRPr="00721608" w:rsidRDefault="00BB7660" w:rsidP="00BB7660">
      <w:pPr>
        <w:pStyle w:val="paragraph"/>
      </w:pPr>
      <w:r w:rsidRPr="00721608">
        <w:tab/>
        <w:t>(b)</w:t>
      </w:r>
      <w:r w:rsidRPr="00721608">
        <w:tab/>
        <w:t>by using a simple alternative method of communication to be made available by the accredited person for that purpose.</w:t>
      </w:r>
    </w:p>
    <w:p w14:paraId="55EB2483" w14:textId="77777777" w:rsidR="00BB7660" w:rsidRPr="00897BDE" w:rsidRDefault="00BB7660" w:rsidP="00BB7660">
      <w:pPr>
        <w:pStyle w:val="subsection"/>
        <w:rPr>
          <w:color w:val="0000FF"/>
        </w:rPr>
      </w:pPr>
      <w:r w:rsidRPr="00897BDE">
        <w:rPr>
          <w:color w:val="0000FF"/>
        </w:rPr>
        <w:tab/>
        <w:t>(2)</w:t>
      </w:r>
      <w:r w:rsidRPr="00897BDE">
        <w:rPr>
          <w:color w:val="0000FF"/>
        </w:rPr>
        <w:tab/>
        <w:t>If the withdrawal was in accordance with paragraph (1)(b), the accredited person must give effect to the withdrawal as soon as practicable, and in any case within 2 business days after receiving the communication.</w:t>
      </w:r>
    </w:p>
    <w:p w14:paraId="38E4896F" w14:textId="77777777" w:rsidR="00BB7660" w:rsidRPr="00897BDE" w:rsidRDefault="00BB7660" w:rsidP="00BB7660">
      <w:pPr>
        <w:pStyle w:val="notetext"/>
        <w:rPr>
          <w:color w:val="0000FF"/>
        </w:rPr>
      </w:pPr>
      <w:r w:rsidRPr="00897BDE">
        <w:rPr>
          <w:color w:val="0000FF"/>
        </w:rPr>
        <w:t>Note:</w:t>
      </w:r>
      <w:r w:rsidRPr="00897BDE">
        <w:rPr>
          <w:color w:val="0000FF"/>
        </w:rPr>
        <w:tab/>
        <w:t>This subrule is a civil penalty provision (see rule 9.8).</w:t>
      </w:r>
    </w:p>
    <w:p w14:paraId="32794AFB" w14:textId="77777777" w:rsidR="004357C5" w:rsidRPr="004357C5" w:rsidRDefault="004357C5" w:rsidP="004357C5">
      <w:pPr>
        <w:pStyle w:val="subsection"/>
        <w:rPr>
          <w:strike/>
          <w:color w:val="0000FF"/>
        </w:rPr>
      </w:pPr>
      <w:r w:rsidRPr="004357C5">
        <w:rPr>
          <w:strike/>
          <w:color w:val="0000FF"/>
        </w:rPr>
        <w:tab/>
        <w:t>(2)</w:t>
      </w:r>
      <w:r w:rsidRPr="004357C5">
        <w:rPr>
          <w:strike/>
          <w:color w:val="0000FF"/>
        </w:rPr>
        <w:tab/>
        <w:t>The accredited person must:</w:t>
      </w:r>
    </w:p>
    <w:p w14:paraId="723E48FC" w14:textId="77777777" w:rsidR="004357C5" w:rsidRPr="004357C5" w:rsidRDefault="004357C5" w:rsidP="004357C5">
      <w:pPr>
        <w:pStyle w:val="paragraph"/>
        <w:rPr>
          <w:strike/>
          <w:color w:val="0000FF"/>
        </w:rPr>
      </w:pPr>
      <w:r w:rsidRPr="004357C5">
        <w:rPr>
          <w:strike/>
          <w:color w:val="0000FF"/>
        </w:rPr>
        <w:tab/>
        <w:t>(a)</w:t>
      </w:r>
      <w:r w:rsidRPr="004357C5">
        <w:rPr>
          <w:strike/>
          <w:color w:val="0000FF"/>
        </w:rPr>
        <w:tab/>
        <w:t>if the withdrawal was in accordance with paragraph (1)(b)―give effect to the withdrawal as soon as practicable, and in any case within 2 business days after receiving the communication; and</w:t>
      </w:r>
    </w:p>
    <w:p w14:paraId="5A82E887" w14:textId="77777777" w:rsidR="004357C5" w:rsidRPr="004357C5" w:rsidRDefault="004357C5" w:rsidP="004357C5">
      <w:pPr>
        <w:pStyle w:val="paragraph"/>
        <w:rPr>
          <w:strike/>
          <w:color w:val="0000FF"/>
        </w:rPr>
      </w:pPr>
      <w:r w:rsidRPr="004357C5">
        <w:rPr>
          <w:strike/>
          <w:color w:val="0000FF"/>
        </w:rPr>
        <w:tab/>
        <w:t>(b)</w:t>
      </w:r>
      <w:r w:rsidRPr="004357C5">
        <w:rPr>
          <w:strike/>
          <w:color w:val="0000FF"/>
        </w:rPr>
        <w:tab/>
        <w:t>if a collection consent was withdrawn, in any case―notify the data holder of the withdrawal in accordance with the data standards.</w:t>
      </w:r>
    </w:p>
    <w:p w14:paraId="6B1F5BFB" w14:textId="77777777" w:rsidR="004357C5" w:rsidRPr="004357C5" w:rsidRDefault="004357C5" w:rsidP="004357C5">
      <w:pPr>
        <w:pStyle w:val="notetext"/>
        <w:rPr>
          <w:strike/>
          <w:color w:val="0000FF"/>
        </w:rPr>
      </w:pPr>
      <w:r w:rsidRPr="004357C5">
        <w:rPr>
          <w:strike/>
          <w:color w:val="0000FF"/>
        </w:rPr>
        <w:t>Note 1:</w:t>
      </w:r>
      <w:r w:rsidRPr="004357C5">
        <w:rPr>
          <w:strike/>
          <w:color w:val="0000FF"/>
        </w:rPr>
        <w:tab/>
        <w:t>When a data holder is notified of the withdrawal of a collection consent, an authorisation to disclose the CDR data expires: see paragraph 4.26(1)(d).</w:t>
      </w:r>
    </w:p>
    <w:p w14:paraId="2D189D54" w14:textId="77777777" w:rsidR="004357C5" w:rsidRPr="004357C5" w:rsidRDefault="004357C5" w:rsidP="004357C5">
      <w:pPr>
        <w:pStyle w:val="notetext"/>
        <w:rPr>
          <w:strike/>
          <w:color w:val="0000FF"/>
        </w:rPr>
      </w:pPr>
      <w:r w:rsidRPr="004357C5">
        <w:rPr>
          <w:strike/>
          <w:color w:val="0000FF"/>
        </w:rPr>
        <w:t>Note 2:</w:t>
      </w:r>
      <w:r w:rsidRPr="004357C5">
        <w:rPr>
          <w:strike/>
          <w:color w:val="0000FF"/>
        </w:rPr>
        <w:tab/>
        <w:t>This subrule is a civil penalty provision (see rule 9.8).</w:t>
      </w:r>
    </w:p>
    <w:p w14:paraId="24585DC8" w14:textId="77777777" w:rsidR="00BB7660" w:rsidRPr="00721608" w:rsidRDefault="004357C5" w:rsidP="00BB7660">
      <w:pPr>
        <w:pStyle w:val="subsection"/>
      </w:pPr>
      <w:r>
        <w:tab/>
      </w:r>
      <w:r w:rsidR="00BB7660" w:rsidRPr="00721608">
        <w:t>(3)</w:t>
      </w:r>
      <w:r w:rsidR="00BB7660" w:rsidRPr="00721608">
        <w:tab/>
        <w:t>Withdrawal of a consent does not affect an election under rule 4.16 that the CDR consumer’s collected CDR data be deleted once it becomes redundant.</w:t>
      </w:r>
    </w:p>
    <w:p w14:paraId="6D129952" w14:textId="77777777" w:rsidR="00BB7660" w:rsidRPr="00533E3F" w:rsidRDefault="00BB7660" w:rsidP="00BB7660">
      <w:pPr>
        <w:pStyle w:val="ActHead4"/>
      </w:pPr>
      <w:bookmarkStart w:id="252" w:name="_Toc50114048"/>
      <w:bookmarkStart w:id="253" w:name="_Toc57219038"/>
      <w:bookmarkStart w:id="254" w:name="_Toc59549149"/>
      <w:bookmarkStart w:id="255" w:name="_Toc111132057"/>
      <w:bookmarkEnd w:id="249"/>
      <w:bookmarkEnd w:id="250"/>
      <w:bookmarkEnd w:id="251"/>
      <w:r w:rsidRPr="00533E3F">
        <w:t>Subdivision 4.3.2C—Duration of consent</w:t>
      </w:r>
      <w:bookmarkEnd w:id="252"/>
      <w:bookmarkEnd w:id="253"/>
      <w:bookmarkEnd w:id="254"/>
      <w:bookmarkEnd w:id="255"/>
    </w:p>
    <w:p w14:paraId="7D90CC8E" w14:textId="77777777" w:rsidR="00BB7660" w:rsidRPr="00F07699" w:rsidRDefault="00BB7660" w:rsidP="00BB7660">
      <w:pPr>
        <w:pStyle w:val="ActHead5"/>
      </w:pPr>
      <w:bookmarkStart w:id="256" w:name="_Toc50114049"/>
      <w:bookmarkStart w:id="257" w:name="_Toc50633083"/>
      <w:bookmarkStart w:id="258" w:name="_Toc57219039"/>
      <w:bookmarkStart w:id="259" w:name="_Toc59549150"/>
      <w:bookmarkStart w:id="260" w:name="_Toc111132058"/>
      <w:bookmarkStart w:id="261" w:name="_Hlk111119269"/>
      <w:r w:rsidRPr="00F07699">
        <w:t>4.14  Duration of consent</w:t>
      </w:r>
      <w:bookmarkEnd w:id="256"/>
      <w:bookmarkEnd w:id="257"/>
      <w:bookmarkEnd w:id="258"/>
      <w:bookmarkEnd w:id="259"/>
      <w:bookmarkEnd w:id="260"/>
    </w:p>
    <w:bookmarkEnd w:id="261"/>
    <w:p w14:paraId="370467D6" w14:textId="77777777" w:rsidR="00BB7660" w:rsidRPr="00F07699" w:rsidRDefault="00BB7660" w:rsidP="00BB7660">
      <w:pPr>
        <w:pStyle w:val="subsection"/>
      </w:pPr>
      <w:r w:rsidRPr="00F07699">
        <w:tab/>
        <w:t>(1)</w:t>
      </w:r>
      <w:r w:rsidRPr="00F07699">
        <w:tab/>
        <w:t>A consent</w:t>
      </w:r>
      <w:r w:rsidRPr="005813E8">
        <w:rPr>
          <w:color w:val="0000FF"/>
        </w:rPr>
        <w:t xml:space="preserve"> </w:t>
      </w:r>
      <w:r w:rsidRPr="004A04A4">
        <w:rPr>
          <w:color w:val="0000FF"/>
        </w:rPr>
        <w:t>given under this Division</w:t>
      </w:r>
      <w:r w:rsidRPr="005813E8">
        <w:t xml:space="preserve"> </w:t>
      </w:r>
      <w:r w:rsidRPr="00F07699">
        <w:t>expires at the earliest of the following:</w:t>
      </w:r>
    </w:p>
    <w:p w14:paraId="3F104725" w14:textId="77777777" w:rsidR="00BB7660" w:rsidRPr="00F07699" w:rsidRDefault="00BB7660" w:rsidP="00BB7660">
      <w:pPr>
        <w:pStyle w:val="paragraph"/>
      </w:pPr>
      <w:r w:rsidRPr="00F07699">
        <w:tab/>
        <w:t>(a)</w:t>
      </w:r>
      <w:r w:rsidRPr="00F07699">
        <w:tab/>
        <w:t xml:space="preserve">if the consent </w:t>
      </w:r>
      <w:r w:rsidR="006B5050" w:rsidRPr="00500212">
        <w:rPr>
          <w:color w:val="0000FF"/>
        </w:rPr>
        <w:t>is</w:t>
      </w:r>
      <w:r w:rsidR="006B5050" w:rsidRPr="00500212">
        <w:rPr>
          <w:strike/>
          <w:color w:val="0000FF"/>
        </w:rPr>
        <w:t xml:space="preserve"> </w:t>
      </w:r>
      <w:r w:rsidRPr="00500212">
        <w:rPr>
          <w:strike/>
          <w:color w:val="0000FF"/>
        </w:rPr>
        <w:t>was</w:t>
      </w:r>
      <w:r w:rsidRPr="00F07699">
        <w:t xml:space="preserve"> withdrawn in accordance with paragraph 4.13(1)(b)―the earlier of the following:</w:t>
      </w:r>
    </w:p>
    <w:p w14:paraId="6E863E70" w14:textId="77777777" w:rsidR="00BB7660" w:rsidRPr="00F07699" w:rsidRDefault="00BB7660" w:rsidP="00BB7660">
      <w:pPr>
        <w:pStyle w:val="paragraphsub"/>
      </w:pPr>
      <w:r w:rsidRPr="00F07699">
        <w:tab/>
        <w:t>(i)</w:t>
      </w:r>
      <w:r w:rsidRPr="00F07699">
        <w:tab/>
        <w:t>when the accredited person gave effect to the withdrawal;</w:t>
      </w:r>
    </w:p>
    <w:p w14:paraId="2F165363" w14:textId="77777777" w:rsidR="00BB7660" w:rsidRPr="00F07699" w:rsidRDefault="00BB7660" w:rsidP="00BB7660">
      <w:pPr>
        <w:pStyle w:val="paragraphsub"/>
      </w:pPr>
      <w:r w:rsidRPr="00F07699">
        <w:tab/>
        <w:t>(ii)</w:t>
      </w:r>
      <w:r w:rsidRPr="00F07699">
        <w:tab/>
        <w:t>2 business days after the accredited person received the communication;</w:t>
      </w:r>
    </w:p>
    <w:p w14:paraId="0689CAD2" w14:textId="77777777" w:rsidR="00BB7660" w:rsidRPr="00F07699" w:rsidRDefault="00BB7660" w:rsidP="00BB7660">
      <w:pPr>
        <w:pStyle w:val="paragraph"/>
      </w:pPr>
      <w:r w:rsidRPr="00F07699">
        <w:tab/>
        <w:t>(b)</w:t>
      </w:r>
      <w:r w:rsidRPr="00F07699">
        <w:tab/>
        <w:t xml:space="preserve">if the consent </w:t>
      </w:r>
      <w:r w:rsidR="006B5050" w:rsidRPr="00500212">
        <w:rPr>
          <w:color w:val="0000FF"/>
        </w:rPr>
        <w:t>is</w:t>
      </w:r>
      <w:r w:rsidR="006B5050" w:rsidRPr="00500212">
        <w:rPr>
          <w:strike/>
          <w:color w:val="0000FF"/>
        </w:rPr>
        <w:t xml:space="preserve"> was</w:t>
      </w:r>
      <w:r w:rsidRPr="00F07699">
        <w:t xml:space="preserve"> withdrawn in accordance with paragraph 4.13(1)(a)―when the consent was withdrawn;</w:t>
      </w:r>
    </w:p>
    <w:p w14:paraId="6F368333" w14:textId="77777777" w:rsidR="00BB7660" w:rsidRPr="004357C5" w:rsidRDefault="00BB7660" w:rsidP="00BB7660">
      <w:pPr>
        <w:pStyle w:val="paragraph"/>
        <w:rPr>
          <w:color w:val="0000FF"/>
        </w:rPr>
      </w:pPr>
      <w:r w:rsidRPr="004A04A4">
        <w:rPr>
          <w:color w:val="0000FF"/>
        </w:rPr>
        <w:tab/>
        <w:t>(d)</w:t>
      </w:r>
      <w:r w:rsidRPr="004A04A4">
        <w:rPr>
          <w:color w:val="0000FF"/>
        </w:rPr>
        <w:tab/>
        <w:t xml:space="preserve">at the end of the </w:t>
      </w:r>
      <w:r w:rsidRPr="004357C5">
        <w:rPr>
          <w:color w:val="0000FF"/>
        </w:rPr>
        <w:t>period of:</w:t>
      </w:r>
    </w:p>
    <w:p w14:paraId="19541C1D" w14:textId="77777777" w:rsidR="003C26F3" w:rsidRPr="004357C5" w:rsidRDefault="003C26F3" w:rsidP="003C26F3">
      <w:pPr>
        <w:pStyle w:val="paragraphsub"/>
        <w:rPr>
          <w:color w:val="0000FF"/>
        </w:rPr>
      </w:pPr>
      <w:r w:rsidRPr="004357C5">
        <w:rPr>
          <w:color w:val="0000FF"/>
        </w:rPr>
        <w:tab/>
        <w:t>(i)</w:t>
      </w:r>
      <w:r w:rsidRPr="004357C5">
        <w:rPr>
          <w:color w:val="0000FF"/>
        </w:rPr>
        <w:tab/>
        <w:t>7 years, in the case of a consent given by a CDR business consumer that includes a business consumer statement;</w:t>
      </w:r>
    </w:p>
    <w:p w14:paraId="4AC73D41" w14:textId="77777777" w:rsidR="00BB7660" w:rsidRPr="004357C5" w:rsidRDefault="00BB7660" w:rsidP="00BB7660">
      <w:pPr>
        <w:pStyle w:val="paragraphsub"/>
        <w:rPr>
          <w:color w:val="0000FF"/>
        </w:rPr>
      </w:pPr>
      <w:r w:rsidRPr="004357C5">
        <w:rPr>
          <w:color w:val="0000FF"/>
        </w:rPr>
        <w:tab/>
        <w:t>(ii)</w:t>
      </w:r>
      <w:r w:rsidRPr="004357C5">
        <w:rPr>
          <w:color w:val="0000FF"/>
        </w:rPr>
        <w:tab/>
        <w:t>12 months, in any other case;</w:t>
      </w:r>
    </w:p>
    <w:p w14:paraId="5885D3B5" w14:textId="77777777" w:rsidR="00F86882" w:rsidRPr="004357C5" w:rsidRDefault="00BB7660" w:rsidP="00BB7660">
      <w:pPr>
        <w:pStyle w:val="paragraphsub"/>
        <w:rPr>
          <w:color w:val="0000FF"/>
        </w:rPr>
      </w:pPr>
      <w:r w:rsidRPr="004357C5">
        <w:rPr>
          <w:color w:val="0000FF"/>
        </w:rPr>
        <w:tab/>
      </w:r>
      <w:r w:rsidRPr="004357C5">
        <w:rPr>
          <w:color w:val="0000FF"/>
        </w:rPr>
        <w:tab/>
        <w:t xml:space="preserve">after the later of </w:t>
      </w:r>
      <w:r w:rsidR="00F86882" w:rsidRPr="004357C5">
        <w:rPr>
          <w:color w:val="0000FF"/>
        </w:rPr>
        <w:t xml:space="preserve">the </w:t>
      </w:r>
      <w:r w:rsidRPr="004357C5">
        <w:rPr>
          <w:color w:val="0000FF"/>
        </w:rPr>
        <w:t>following:</w:t>
      </w:r>
    </w:p>
    <w:p w14:paraId="2117B294" w14:textId="77777777" w:rsidR="00BB7660" w:rsidRPr="004A04A4" w:rsidRDefault="00BB7660" w:rsidP="00BB7660">
      <w:pPr>
        <w:pStyle w:val="paragraphsub"/>
        <w:rPr>
          <w:color w:val="0000FF"/>
        </w:rPr>
      </w:pPr>
      <w:r w:rsidRPr="004A04A4">
        <w:rPr>
          <w:color w:val="0000FF"/>
        </w:rPr>
        <w:tab/>
        <w:t>(iii)</w:t>
      </w:r>
      <w:r w:rsidRPr="004A04A4">
        <w:rPr>
          <w:color w:val="0000FF"/>
        </w:rPr>
        <w:tab/>
        <w:t>the day the consent was given; or</w:t>
      </w:r>
    </w:p>
    <w:p w14:paraId="252A99DB" w14:textId="77777777" w:rsidR="00BB7660" w:rsidRPr="004A04A4" w:rsidRDefault="00BB7660" w:rsidP="00BB7660">
      <w:pPr>
        <w:pStyle w:val="paragraphsub"/>
        <w:rPr>
          <w:color w:val="0000FF"/>
        </w:rPr>
      </w:pPr>
      <w:r w:rsidRPr="004A04A4">
        <w:rPr>
          <w:color w:val="0000FF"/>
        </w:rPr>
        <w:lastRenderedPageBreak/>
        <w:tab/>
        <w:t>(iv)</w:t>
      </w:r>
      <w:r w:rsidRPr="004A04A4">
        <w:rPr>
          <w:color w:val="0000FF"/>
        </w:rPr>
        <w:tab/>
        <w:t>if the period of the consent has been amended in accordance with this Division―the day the consent was last amended;</w:t>
      </w:r>
    </w:p>
    <w:p w14:paraId="6E5D21F9" w14:textId="77777777" w:rsidR="004357C5" w:rsidRPr="004357C5" w:rsidRDefault="004357C5" w:rsidP="004357C5">
      <w:pPr>
        <w:pStyle w:val="paragraph"/>
        <w:rPr>
          <w:strike/>
          <w:color w:val="0000FF"/>
        </w:rPr>
      </w:pPr>
      <w:r w:rsidRPr="004357C5">
        <w:rPr>
          <w:strike/>
          <w:color w:val="0000FF"/>
        </w:rPr>
        <w:tab/>
        <w:t>(d)</w:t>
      </w:r>
      <w:r w:rsidRPr="004357C5">
        <w:rPr>
          <w:strike/>
          <w:color w:val="0000FF"/>
        </w:rPr>
        <w:tab/>
        <w:t>the end of the period of 12 months after:</w:t>
      </w:r>
    </w:p>
    <w:p w14:paraId="05ED4F3D" w14:textId="77777777" w:rsidR="004357C5" w:rsidRPr="004357C5" w:rsidRDefault="004357C5" w:rsidP="004357C5">
      <w:pPr>
        <w:pStyle w:val="paragraphsub"/>
        <w:rPr>
          <w:strike/>
          <w:color w:val="0000FF"/>
        </w:rPr>
      </w:pPr>
      <w:r w:rsidRPr="004357C5">
        <w:rPr>
          <w:strike/>
          <w:color w:val="0000FF"/>
        </w:rPr>
        <w:tab/>
        <w:t>(i)</w:t>
      </w:r>
      <w:r w:rsidRPr="004357C5">
        <w:rPr>
          <w:strike/>
          <w:color w:val="0000FF"/>
        </w:rPr>
        <w:tab/>
        <w:t>the consent was given; or</w:t>
      </w:r>
    </w:p>
    <w:p w14:paraId="7C057B59" w14:textId="77777777" w:rsidR="004357C5" w:rsidRPr="004357C5" w:rsidRDefault="004357C5" w:rsidP="004357C5">
      <w:pPr>
        <w:pStyle w:val="paragraphsub"/>
        <w:rPr>
          <w:strike/>
          <w:color w:val="0000FF"/>
        </w:rPr>
      </w:pPr>
      <w:r w:rsidRPr="004357C5">
        <w:rPr>
          <w:strike/>
          <w:color w:val="0000FF"/>
        </w:rPr>
        <w:tab/>
        <w:t>(ii)</w:t>
      </w:r>
      <w:r w:rsidRPr="004357C5">
        <w:rPr>
          <w:strike/>
          <w:color w:val="0000FF"/>
        </w:rPr>
        <w:tab/>
        <w:t>if the period of the consent has been amended in accordance with this Subdivision―the consent was last amended;</w:t>
      </w:r>
    </w:p>
    <w:p w14:paraId="7959FB44" w14:textId="77777777" w:rsidR="00BB7660" w:rsidRPr="00F07699" w:rsidRDefault="00BB7660" w:rsidP="00BB7660">
      <w:pPr>
        <w:pStyle w:val="paragraph"/>
      </w:pPr>
      <w:r w:rsidRPr="00F07699">
        <w:tab/>
        <w:t>(e)</w:t>
      </w:r>
      <w:r w:rsidRPr="00F07699">
        <w:tab/>
        <w:t>at the end of the period the CDR consumer consented to in accordance with rule 4.11;</w:t>
      </w:r>
    </w:p>
    <w:p w14:paraId="0C095C50" w14:textId="77777777" w:rsidR="00BB7660" w:rsidRPr="00F07699" w:rsidRDefault="00BB7660" w:rsidP="00BB7660">
      <w:pPr>
        <w:pStyle w:val="paragraph"/>
      </w:pPr>
      <w:r w:rsidRPr="00F07699">
        <w:tab/>
        <w:t>(f)</w:t>
      </w:r>
      <w:r w:rsidRPr="00F07699">
        <w:tab/>
        <w:t>if the consent expires as a result of the operation of another provision of these rules that references this paragraph</w:t>
      </w:r>
      <w:r w:rsidR="00734B24" w:rsidRPr="00F524AD">
        <w:rPr>
          <w:color w:val="0000FF"/>
        </w:rPr>
        <w:t>―when the consent expires</w:t>
      </w:r>
      <w:r w:rsidRPr="00F07699">
        <w:t>.</w:t>
      </w:r>
    </w:p>
    <w:p w14:paraId="5E271F3C" w14:textId="77777777" w:rsidR="00734B24" w:rsidRPr="00F524AD" w:rsidRDefault="00734B24" w:rsidP="00734B24">
      <w:pPr>
        <w:pStyle w:val="notetext"/>
        <w:rPr>
          <w:color w:val="0000FF"/>
        </w:rPr>
      </w:pPr>
      <w:r w:rsidRPr="00F524AD">
        <w:rPr>
          <w:color w:val="0000FF"/>
        </w:rPr>
        <w:t>Note:</w:t>
      </w:r>
      <w:r w:rsidRPr="00F524AD">
        <w:rPr>
          <w:color w:val="0000FF"/>
        </w:rPr>
        <w:tab/>
        <w:t>Subrule 5.1B(6) is an example of a provision referencing paragraph (f). This relates to when a</w:t>
      </w:r>
      <w:r w:rsidR="000D21B1" w:rsidRPr="00F524AD">
        <w:rPr>
          <w:color w:val="0000FF"/>
        </w:rPr>
        <w:t xml:space="preserve"> person with sponsored </w:t>
      </w:r>
      <w:r w:rsidRPr="00F524AD">
        <w:rPr>
          <w:color w:val="0000FF"/>
        </w:rPr>
        <w:t>accredit</w:t>
      </w:r>
      <w:r w:rsidR="000D21B1" w:rsidRPr="00F524AD">
        <w:rPr>
          <w:color w:val="0000FF"/>
        </w:rPr>
        <w:t>ation ceases to have a registered sponsor.</w:t>
      </w:r>
    </w:p>
    <w:p w14:paraId="1DE62727" w14:textId="77777777" w:rsidR="004357C5" w:rsidRPr="004357C5" w:rsidRDefault="004357C5" w:rsidP="004357C5">
      <w:pPr>
        <w:pStyle w:val="notetext"/>
        <w:rPr>
          <w:strike/>
          <w:color w:val="0000FF"/>
        </w:rPr>
      </w:pPr>
      <w:r w:rsidRPr="004357C5">
        <w:rPr>
          <w:strike/>
          <w:color w:val="0000FF"/>
        </w:rPr>
        <w:t>Note:</w:t>
      </w:r>
      <w:r w:rsidRPr="004357C5">
        <w:rPr>
          <w:strike/>
          <w:color w:val="0000FF"/>
        </w:rPr>
        <w:tab/>
        <w:t>Clause 7.2 of Schedule 3 is an example of a provision referencing paragraph (f). This relates to when an accredited data recipient of CDR data becomes instead a data holder of that CDR data.</w:t>
      </w:r>
    </w:p>
    <w:p w14:paraId="2178BB4B" w14:textId="77777777" w:rsidR="00BB7660" w:rsidRPr="00533E3F" w:rsidRDefault="00BB7660" w:rsidP="00BB7660">
      <w:pPr>
        <w:pStyle w:val="subsection"/>
        <w:tabs>
          <w:tab w:val="left" w:pos="4536"/>
        </w:tabs>
      </w:pPr>
      <w:r w:rsidRPr="00533E3F">
        <w:tab/>
        <w:t xml:space="preserve">(1A) </w:t>
      </w:r>
      <w:r w:rsidRPr="00533E3F">
        <w:tab/>
        <w:t>If:</w:t>
      </w:r>
    </w:p>
    <w:p w14:paraId="2FB5E199" w14:textId="77777777" w:rsidR="00BB7660" w:rsidRPr="00533E3F" w:rsidRDefault="00BB7660" w:rsidP="00BB7660">
      <w:pPr>
        <w:pStyle w:val="paragraph"/>
      </w:pPr>
      <w:r w:rsidRPr="00533E3F">
        <w:tab/>
        <w:t>(a)</w:t>
      </w:r>
      <w:r w:rsidRPr="00533E3F">
        <w:tab/>
        <w:t>an accredited person is notified</w:t>
      </w:r>
      <w:r w:rsidR="00CD22F0" w:rsidRPr="005813E8">
        <w:t xml:space="preserve"> </w:t>
      </w:r>
      <w:r w:rsidR="00CD22F0" w:rsidRPr="00F524AD">
        <w:rPr>
          <w:color w:val="0000FF"/>
        </w:rPr>
        <w:t>by a data holder</w:t>
      </w:r>
      <w:r w:rsidR="005813E8" w:rsidRPr="005813E8">
        <w:rPr>
          <w:strike/>
          <w:color w:val="0000FF"/>
        </w:rPr>
        <w:t>, under paragraph 4.25(2)(b),</w:t>
      </w:r>
      <w:r w:rsidR="00CD22F0" w:rsidRPr="005813E8">
        <w:t xml:space="preserve"> </w:t>
      </w:r>
      <w:r w:rsidRPr="00533E3F">
        <w:t>of the withdrawal of an authorisation to disclose CDR data; and</w:t>
      </w:r>
    </w:p>
    <w:p w14:paraId="6F9C6AA5" w14:textId="77777777" w:rsidR="00BB7660" w:rsidRPr="00533E3F" w:rsidRDefault="00BB7660" w:rsidP="00BB7660">
      <w:pPr>
        <w:pStyle w:val="paragraph"/>
      </w:pPr>
      <w:r w:rsidRPr="00533E3F">
        <w:tab/>
        <w:t>(b)</w:t>
      </w:r>
      <w:r w:rsidRPr="00533E3F">
        <w:tab/>
        <w:t>the collection consent has not expired in accordance with subrule (1);</w:t>
      </w:r>
    </w:p>
    <w:p w14:paraId="5EB42165" w14:textId="77777777" w:rsidR="00BB7660" w:rsidRPr="00533E3F" w:rsidRDefault="00BB7660" w:rsidP="00BB7660">
      <w:pPr>
        <w:pStyle w:val="subsection"/>
        <w:spacing w:before="40"/>
      </w:pPr>
      <w:r w:rsidRPr="00533E3F">
        <w:tab/>
      </w:r>
      <w:r w:rsidRPr="00533E3F">
        <w:tab/>
        <w:t>the collection consent to collect that CDR data expires when the accredited person receives that notification.</w:t>
      </w:r>
    </w:p>
    <w:p w14:paraId="3F71F76F" w14:textId="77777777" w:rsidR="00BB7660" w:rsidRPr="00533E3F" w:rsidRDefault="00BB7660" w:rsidP="00BB7660">
      <w:pPr>
        <w:pStyle w:val="notetext"/>
      </w:pPr>
      <w:r w:rsidRPr="00533E3F">
        <w:t>Note:</w:t>
      </w:r>
      <w:r w:rsidRPr="00533E3F">
        <w:tab/>
        <w:t>This would not result in the use consent relating to any CDR data that had already been collected expiring. However, see the notification requirement of rule 4.18A.</w:t>
      </w:r>
    </w:p>
    <w:p w14:paraId="122E2BB4" w14:textId="77777777" w:rsidR="00BB7660" w:rsidRPr="00533E3F" w:rsidRDefault="00BB7660" w:rsidP="00BB7660">
      <w:pPr>
        <w:pStyle w:val="subsection"/>
        <w:tabs>
          <w:tab w:val="left" w:pos="4536"/>
        </w:tabs>
      </w:pPr>
      <w:r w:rsidRPr="00533E3F">
        <w:tab/>
        <w:t>(1B)</w:t>
      </w:r>
      <w:r w:rsidRPr="00533E3F">
        <w:tab/>
        <w:t>If:</w:t>
      </w:r>
    </w:p>
    <w:p w14:paraId="104F4BB8" w14:textId="77777777" w:rsidR="00BB7660" w:rsidRPr="00533E3F" w:rsidRDefault="00BB7660" w:rsidP="00BB7660">
      <w:pPr>
        <w:pStyle w:val="paragraph"/>
      </w:pPr>
      <w:r w:rsidRPr="00533E3F">
        <w:tab/>
        <w:t>(a)</w:t>
      </w:r>
      <w:r w:rsidRPr="00533E3F">
        <w:tab/>
        <w:t>an accredited person has a collection consent to collect particular CDR data from a particular accredited data recipient; and</w:t>
      </w:r>
    </w:p>
    <w:p w14:paraId="4D189594" w14:textId="77777777" w:rsidR="00BB7660" w:rsidRPr="00533E3F" w:rsidRDefault="00BB7660" w:rsidP="00BB7660">
      <w:pPr>
        <w:pStyle w:val="paragraph"/>
      </w:pPr>
      <w:r w:rsidRPr="00533E3F">
        <w:tab/>
        <w:t>(b)</w:t>
      </w:r>
      <w:r w:rsidRPr="00533E3F">
        <w:tab/>
        <w:t>the accredited data recipient has an AP disclosure consent to disclose that CDR data to that accredited person;</w:t>
      </w:r>
    </w:p>
    <w:p w14:paraId="432F3066" w14:textId="77777777" w:rsidR="00BB7660" w:rsidRPr="009B1CF7" w:rsidRDefault="00BB7660" w:rsidP="00BB7660">
      <w:pPr>
        <w:pStyle w:val="subsection"/>
        <w:spacing w:before="40"/>
      </w:pPr>
      <w:r w:rsidRPr="009B1CF7">
        <w:tab/>
      </w:r>
      <w:r w:rsidRPr="009B1CF7">
        <w:tab/>
        <w:t>then if one of those consents expires, the other expires when the accredited person or accredited data recipient is notified of the first</w:t>
      </w:r>
      <w:r>
        <w:noBreakHyphen/>
      </w:r>
      <w:r w:rsidRPr="009B1CF7">
        <w:t>mentioned expiry.</w:t>
      </w:r>
    </w:p>
    <w:p w14:paraId="04608689" w14:textId="77777777" w:rsidR="00BB7660" w:rsidRDefault="00BB7660" w:rsidP="00BB7660">
      <w:pPr>
        <w:pStyle w:val="notetext"/>
        <w:rPr>
          <w:color w:val="0000FF"/>
        </w:rPr>
      </w:pPr>
      <w:r w:rsidRPr="004A04A4">
        <w:rPr>
          <w:color w:val="0000FF"/>
        </w:rPr>
        <w:t>Note:</w:t>
      </w:r>
      <w:r w:rsidRPr="004A04A4">
        <w:rPr>
          <w:color w:val="0000FF"/>
        </w:rPr>
        <w:tab/>
        <w:t xml:space="preserve">The notification </w:t>
      </w:r>
      <w:r w:rsidR="00752853" w:rsidRPr="00F524AD">
        <w:rPr>
          <w:color w:val="0000FF"/>
        </w:rPr>
        <w:t>is</w:t>
      </w:r>
      <w:r w:rsidRPr="004A04A4">
        <w:rPr>
          <w:color w:val="0000FF"/>
        </w:rPr>
        <w:t xml:space="preserve"> required by rule 4.18B.</w:t>
      </w:r>
    </w:p>
    <w:p w14:paraId="0615E235" w14:textId="77777777" w:rsidR="00BB7660" w:rsidRPr="009B1CF7" w:rsidRDefault="00BB7660" w:rsidP="00BB7660">
      <w:pPr>
        <w:pStyle w:val="subsection"/>
        <w:tabs>
          <w:tab w:val="left" w:pos="4536"/>
        </w:tabs>
      </w:pPr>
      <w:r w:rsidRPr="00533E3F">
        <w:tab/>
        <w:t>(1C)</w:t>
      </w:r>
      <w:r w:rsidRPr="00533E3F">
        <w:tab/>
        <w:t>If an accredited person becomes a data holder, rather than an accredited data recipient, of particular CDR data as a result of subsection 56AJ(4) of the Act</w:t>
      </w:r>
      <w:r w:rsidRPr="009B1CF7">
        <w:t xml:space="preserve">, all of that accredited person’s consents given </w:t>
      </w:r>
      <w:r w:rsidRPr="00F524AD">
        <w:t>under</w:t>
      </w:r>
      <w:r w:rsidRPr="005813E8">
        <w:t xml:space="preserve"> </w:t>
      </w:r>
      <w:r w:rsidR="00752853" w:rsidRPr="00F524AD">
        <w:rPr>
          <w:color w:val="0000FF"/>
        </w:rPr>
        <w:t>this Division</w:t>
      </w:r>
      <w:r w:rsidR="00F524AD" w:rsidRPr="00F524AD">
        <w:rPr>
          <w:strike/>
          <w:color w:val="0000FF"/>
        </w:rPr>
        <w:t xml:space="preserve"> these rules</w:t>
      </w:r>
      <w:r w:rsidRPr="005813E8">
        <w:t xml:space="preserve"> </w:t>
      </w:r>
      <w:r w:rsidRPr="004357C5">
        <w:t>t</w:t>
      </w:r>
      <w:r w:rsidRPr="009B1CF7">
        <w:t>hat relate to that CDR data expire.</w:t>
      </w:r>
    </w:p>
    <w:p w14:paraId="1093B3B8" w14:textId="77777777" w:rsidR="00BB7660" w:rsidRDefault="00BB7660" w:rsidP="00BB7660">
      <w:pPr>
        <w:pStyle w:val="subsection"/>
        <w:tabs>
          <w:tab w:val="left" w:pos="4536"/>
        </w:tabs>
      </w:pPr>
      <w:r w:rsidRPr="00F07699">
        <w:tab/>
        <w:t>(2)</w:t>
      </w:r>
      <w:r w:rsidRPr="00F07699">
        <w:tab/>
        <w:t xml:space="preserve">If an accredited person’s accreditation is revoked or surrendered in accordance with rule 5.17, all </w:t>
      </w:r>
      <w:r w:rsidRPr="00533E3F">
        <w:t xml:space="preserve">of the accredited person’s </w:t>
      </w:r>
      <w:r w:rsidRPr="00D56478">
        <w:t xml:space="preserve">consents </w:t>
      </w:r>
      <w:r w:rsidRPr="00F07699">
        <w:t>expire when the revocation or surrender takes effect.</w:t>
      </w:r>
    </w:p>
    <w:p w14:paraId="0D62509F" w14:textId="77777777" w:rsidR="00BB7660" w:rsidRPr="00F07699" w:rsidRDefault="00BB7660" w:rsidP="00BB7660">
      <w:pPr>
        <w:pStyle w:val="ActHead4"/>
      </w:pPr>
      <w:bookmarkStart w:id="262" w:name="_Toc50633084"/>
      <w:bookmarkStart w:id="263" w:name="_Toc57219040"/>
      <w:bookmarkStart w:id="264" w:name="_Toc59549151"/>
      <w:bookmarkStart w:id="265" w:name="_Toc111132059"/>
      <w:r w:rsidRPr="00F07699">
        <w:lastRenderedPageBreak/>
        <w:t>Subdivision 4.3.3—Information relating to de</w:t>
      </w:r>
      <w:r w:rsidRPr="00F07699">
        <w:noBreakHyphen/>
        <w:t>identification of CDR data</w:t>
      </w:r>
      <w:bookmarkEnd w:id="262"/>
      <w:bookmarkEnd w:id="263"/>
      <w:bookmarkEnd w:id="264"/>
      <w:bookmarkEnd w:id="265"/>
    </w:p>
    <w:p w14:paraId="0FBB8EC6" w14:textId="77777777" w:rsidR="00BB7660" w:rsidRPr="00F07699" w:rsidRDefault="00BB7660" w:rsidP="00BB7660">
      <w:pPr>
        <w:pStyle w:val="ActHead5"/>
      </w:pPr>
      <w:bookmarkStart w:id="266" w:name="_Toc50633085"/>
      <w:bookmarkStart w:id="267" w:name="_Toc57219041"/>
      <w:bookmarkStart w:id="268" w:name="_Toc59549152"/>
      <w:bookmarkStart w:id="269" w:name="_Toc111132060"/>
      <w:r w:rsidRPr="00F07699">
        <w:t>4.15  Additional information relating to de</w:t>
      </w:r>
      <w:r w:rsidRPr="00F07699">
        <w:noBreakHyphen/>
        <w:t>identification of CDR data</w:t>
      </w:r>
      <w:bookmarkEnd w:id="266"/>
      <w:bookmarkEnd w:id="267"/>
      <w:bookmarkEnd w:id="268"/>
      <w:bookmarkEnd w:id="269"/>
    </w:p>
    <w:p w14:paraId="2960FF73" w14:textId="77777777" w:rsidR="00BB7660" w:rsidRPr="00F07699" w:rsidRDefault="00BB7660" w:rsidP="00BB7660">
      <w:pPr>
        <w:pStyle w:val="subsection"/>
      </w:pPr>
      <w:r w:rsidRPr="00F07699">
        <w:tab/>
      </w:r>
      <w:r w:rsidRPr="00F07699">
        <w:tab/>
        <w:t>For paragraph 4.11(3)(e), the additional information relating to de</w:t>
      </w:r>
      <w:r w:rsidRPr="00F07699">
        <w:noBreakHyphen/>
        <w:t>identification is the following:</w:t>
      </w:r>
    </w:p>
    <w:p w14:paraId="09349721" w14:textId="77777777" w:rsidR="00BB7660" w:rsidRPr="00F07699" w:rsidRDefault="00BB7660" w:rsidP="00BB7660">
      <w:pPr>
        <w:pStyle w:val="paragraph"/>
      </w:pPr>
      <w:r w:rsidRPr="00F07699">
        <w:tab/>
        <w:t>(a)</w:t>
      </w:r>
      <w:r w:rsidRPr="00F07699">
        <w:tab/>
        <w:t>what the CDR data de</w:t>
      </w:r>
      <w:r w:rsidRPr="00F07699">
        <w:noBreakHyphen/>
        <w:t>identification process is;</w:t>
      </w:r>
    </w:p>
    <w:p w14:paraId="419670E1" w14:textId="77777777" w:rsidR="00BB7660" w:rsidRPr="00A6091B" w:rsidRDefault="00BB7660" w:rsidP="00BB7660">
      <w:pPr>
        <w:pStyle w:val="paragraph"/>
      </w:pPr>
      <w:r w:rsidRPr="00A6091B">
        <w:tab/>
        <w:t>(b)</w:t>
      </w:r>
      <w:r w:rsidRPr="00A6091B">
        <w:tab/>
        <w:t>if it would disclose (by sale or otherwise) the de</w:t>
      </w:r>
      <w:r w:rsidRPr="00A6091B">
        <w:noBreakHyphen/>
        <w:t>identified data to one or more other persons;</w:t>
      </w:r>
    </w:p>
    <w:p w14:paraId="437541CD" w14:textId="77777777" w:rsidR="00BB7660" w:rsidRPr="00A6091B" w:rsidRDefault="00BB7660" w:rsidP="00BB7660">
      <w:pPr>
        <w:pStyle w:val="paragraphsub"/>
      </w:pPr>
      <w:r w:rsidRPr="00A6091B">
        <w:tab/>
        <w:t>(i)</w:t>
      </w:r>
      <w:r w:rsidRPr="00A6091B">
        <w:tab/>
        <w:t>that fact; and</w:t>
      </w:r>
    </w:p>
    <w:p w14:paraId="046A3C0E" w14:textId="77777777" w:rsidR="00BB7660" w:rsidRPr="00A6091B" w:rsidRDefault="00BB7660" w:rsidP="00BB7660">
      <w:pPr>
        <w:pStyle w:val="paragraphsub"/>
      </w:pPr>
      <w:r w:rsidRPr="00A6091B">
        <w:tab/>
        <w:t>(ii)</w:t>
      </w:r>
      <w:r w:rsidRPr="00A6091B">
        <w:tab/>
        <w:t>the classes of persons to which it would disclose that data;</w:t>
      </w:r>
    </w:p>
    <w:p w14:paraId="7A8E8BBF" w14:textId="77777777" w:rsidR="00BB7660" w:rsidRPr="00A6091B" w:rsidRDefault="00BB7660" w:rsidP="00BB7660">
      <w:pPr>
        <w:pStyle w:val="paragraphsub"/>
      </w:pPr>
      <w:r w:rsidRPr="00A6091B">
        <w:tab/>
        <w:t>(iii)</w:t>
      </w:r>
      <w:r w:rsidRPr="00A6091B">
        <w:tab/>
        <w:t>why it would so disclose that data;</w:t>
      </w:r>
    </w:p>
    <w:p w14:paraId="49941419" w14:textId="77777777" w:rsidR="00BB7660" w:rsidRPr="00A6091B" w:rsidRDefault="00BB7660" w:rsidP="00BB7660">
      <w:pPr>
        <w:pStyle w:val="paragraph"/>
        <w:rPr>
          <w:sz w:val="20"/>
        </w:rPr>
      </w:pPr>
      <w:r w:rsidRPr="00A6091B">
        <w:tab/>
        <w:t>(c)</w:t>
      </w:r>
      <w:r w:rsidRPr="00A6091B">
        <w:tab/>
        <w:t>if the accredited person would use the de</w:t>
      </w:r>
      <w:r w:rsidRPr="00A6091B">
        <w:noBreakHyphen/>
        <w:t>identified data for general research―that fact, together with a link to a description in the accredited person’s CDR policy of:</w:t>
      </w:r>
    </w:p>
    <w:p w14:paraId="50D3EAB5" w14:textId="77777777" w:rsidR="00BB7660" w:rsidRPr="00A6091B" w:rsidRDefault="00BB7660" w:rsidP="00BB7660">
      <w:pPr>
        <w:pStyle w:val="paragraphsub"/>
      </w:pPr>
      <w:r w:rsidRPr="00A6091B">
        <w:tab/>
        <w:t>(i)</w:t>
      </w:r>
      <w:r w:rsidRPr="00A6091B">
        <w:tab/>
        <w:t>the research to be conducted; and</w:t>
      </w:r>
    </w:p>
    <w:p w14:paraId="6CE0039C" w14:textId="77777777" w:rsidR="00BB7660" w:rsidRPr="00A6091B" w:rsidRDefault="00BB7660" w:rsidP="00BB7660">
      <w:pPr>
        <w:pStyle w:val="paragraphsub"/>
      </w:pPr>
      <w:r w:rsidRPr="00A6091B">
        <w:tab/>
        <w:t>(ii)</w:t>
      </w:r>
      <w:r w:rsidRPr="00A6091B">
        <w:tab/>
        <w:t>any additional benefit to be provided to the CDR consumer for consenting to the use;</w:t>
      </w:r>
    </w:p>
    <w:p w14:paraId="68F75A0D" w14:textId="77777777" w:rsidR="00BB7660" w:rsidRPr="00A6091B" w:rsidRDefault="00BB7660" w:rsidP="00BB7660">
      <w:pPr>
        <w:pStyle w:val="paragraph"/>
      </w:pPr>
      <w:r w:rsidRPr="00A6091B">
        <w:tab/>
        <w:t>(e)</w:t>
      </w:r>
      <w:r w:rsidRPr="00A6091B">
        <w:tab/>
        <w:t>that the CDR consumer would not be able to elect, in accordance with rule 4.16, to have the de</w:t>
      </w:r>
      <w:r w:rsidRPr="00A6091B">
        <w:noBreakHyphen/>
        <w:t>identified data deleted once it becomes redundant data.</w:t>
      </w:r>
    </w:p>
    <w:p w14:paraId="74469197" w14:textId="77777777" w:rsidR="00BB7660" w:rsidRPr="00F07699" w:rsidRDefault="00BB7660" w:rsidP="00BB7660">
      <w:pPr>
        <w:pStyle w:val="ActHead4"/>
      </w:pPr>
      <w:bookmarkStart w:id="270" w:name="_Toc50633086"/>
      <w:bookmarkStart w:id="271" w:name="_Toc57219042"/>
      <w:bookmarkStart w:id="272" w:name="_Toc59549153"/>
      <w:bookmarkStart w:id="273" w:name="_Toc111132061"/>
      <w:r w:rsidRPr="00F07699">
        <w:t>Subdivision 4.3.4—Election to delete redundant data</w:t>
      </w:r>
      <w:bookmarkEnd w:id="270"/>
      <w:bookmarkEnd w:id="271"/>
      <w:bookmarkEnd w:id="272"/>
      <w:bookmarkEnd w:id="273"/>
    </w:p>
    <w:p w14:paraId="524C4B23" w14:textId="77777777" w:rsidR="00BB7660" w:rsidRPr="00F07699" w:rsidRDefault="00BB7660" w:rsidP="00BB7660">
      <w:pPr>
        <w:pStyle w:val="ActHead5"/>
      </w:pPr>
      <w:bookmarkStart w:id="274" w:name="_Toc50114053"/>
      <w:bookmarkStart w:id="275" w:name="_Toc50633087"/>
      <w:bookmarkStart w:id="276" w:name="_Toc57219043"/>
      <w:bookmarkStart w:id="277" w:name="_Toc59549154"/>
      <w:bookmarkStart w:id="278" w:name="_Toc111132062"/>
      <w:r w:rsidRPr="00F07699">
        <w:t>4.16  Election to delete redundant data</w:t>
      </w:r>
      <w:bookmarkEnd w:id="274"/>
      <w:bookmarkEnd w:id="275"/>
      <w:bookmarkEnd w:id="276"/>
      <w:bookmarkEnd w:id="277"/>
      <w:bookmarkEnd w:id="278"/>
    </w:p>
    <w:p w14:paraId="53EB4C2A" w14:textId="77777777" w:rsidR="00A540DD" w:rsidRPr="00F524AD" w:rsidRDefault="00A540DD" w:rsidP="00A540DD">
      <w:pPr>
        <w:pStyle w:val="subsection"/>
        <w:rPr>
          <w:color w:val="0000FF"/>
        </w:rPr>
      </w:pPr>
      <w:r w:rsidRPr="00F524AD">
        <w:rPr>
          <w:color w:val="0000FF"/>
        </w:rPr>
        <w:tab/>
        <w:t>(1)</w:t>
      </w:r>
      <w:r w:rsidRPr="00F524AD">
        <w:rPr>
          <w:color w:val="0000FF"/>
        </w:rPr>
        <w:tab/>
        <w:t>The CDR consumer who gives</w:t>
      </w:r>
      <w:r w:rsidR="00F86882" w:rsidRPr="00F524AD">
        <w:rPr>
          <w:color w:val="0000FF"/>
        </w:rPr>
        <w:t xml:space="preserve"> </w:t>
      </w:r>
      <w:r w:rsidRPr="00F524AD">
        <w:rPr>
          <w:color w:val="0000FF"/>
        </w:rPr>
        <w:t>a consent relating to particular CDR data may:</w:t>
      </w:r>
    </w:p>
    <w:p w14:paraId="04D5C7EB" w14:textId="77777777" w:rsidR="00A540DD" w:rsidRPr="00F524AD" w:rsidRDefault="00A540DD" w:rsidP="00A540DD">
      <w:pPr>
        <w:pStyle w:val="paragraph"/>
        <w:rPr>
          <w:color w:val="0000FF"/>
        </w:rPr>
      </w:pPr>
      <w:r w:rsidRPr="00F524AD">
        <w:rPr>
          <w:color w:val="0000FF"/>
        </w:rPr>
        <w:tab/>
        <w:t>(a)</w:t>
      </w:r>
      <w:r w:rsidRPr="00F524AD">
        <w:rPr>
          <w:color w:val="0000FF"/>
        </w:rPr>
        <w:tab/>
        <w:t>when giving the consent; or</w:t>
      </w:r>
    </w:p>
    <w:p w14:paraId="186341FD" w14:textId="77777777" w:rsidR="00A540DD" w:rsidRPr="00F524AD" w:rsidRDefault="00A540DD" w:rsidP="00A540DD">
      <w:pPr>
        <w:pStyle w:val="paragraph"/>
        <w:rPr>
          <w:color w:val="0000FF"/>
        </w:rPr>
      </w:pPr>
      <w:r w:rsidRPr="00F524AD">
        <w:rPr>
          <w:color w:val="0000FF"/>
        </w:rPr>
        <w:tab/>
        <w:t>(b)</w:t>
      </w:r>
      <w:r w:rsidRPr="00F524AD">
        <w:rPr>
          <w:color w:val="0000FF"/>
        </w:rPr>
        <w:tab/>
        <w:t>at any other time before the consent expires;</w:t>
      </w:r>
    </w:p>
    <w:p w14:paraId="32E7428E" w14:textId="77777777" w:rsidR="00A540DD" w:rsidRPr="00F524AD" w:rsidRDefault="00A540DD" w:rsidP="00A540DD">
      <w:pPr>
        <w:pStyle w:val="subsection2"/>
        <w:rPr>
          <w:color w:val="0000FF"/>
        </w:rPr>
      </w:pPr>
      <w:r w:rsidRPr="00F524AD">
        <w:rPr>
          <w:color w:val="0000FF"/>
        </w:rPr>
        <w:t>elect that the collected data, and any data derived from it, be deleted when it becomes redundant data</w:t>
      </w:r>
      <w:r w:rsidR="006B5050">
        <w:rPr>
          <w:color w:val="0000FF"/>
        </w:rPr>
        <w:t>.</w:t>
      </w:r>
    </w:p>
    <w:p w14:paraId="6CF10B8A" w14:textId="77777777" w:rsidR="00A540DD" w:rsidRPr="00F524AD" w:rsidRDefault="00A540DD" w:rsidP="00A540DD">
      <w:pPr>
        <w:pStyle w:val="notetext"/>
        <w:rPr>
          <w:color w:val="0000FF"/>
        </w:rPr>
      </w:pPr>
      <w:r w:rsidRPr="00F524AD">
        <w:rPr>
          <w:color w:val="0000FF"/>
        </w:rPr>
        <w:t>Note:</w:t>
      </w:r>
      <w:r w:rsidRPr="00F524AD">
        <w:rPr>
          <w:color w:val="0000FF"/>
        </w:rPr>
        <w:tab/>
        <w:t>See rule</w:t>
      </w:r>
      <w:r w:rsidR="00C64DE2" w:rsidRPr="00F524AD">
        <w:rPr>
          <w:color w:val="0000FF"/>
        </w:rPr>
        <w:t>s</w:t>
      </w:r>
      <w:r w:rsidRPr="00F524AD">
        <w:rPr>
          <w:color w:val="0000FF"/>
        </w:rPr>
        <w:t xml:space="preserve"> 7.12 </w:t>
      </w:r>
      <w:r w:rsidR="00C64DE2" w:rsidRPr="00F524AD">
        <w:rPr>
          <w:color w:val="0000FF"/>
        </w:rPr>
        <w:t xml:space="preserve">and 7.13 </w:t>
      </w:r>
      <w:r w:rsidRPr="00F524AD">
        <w:rPr>
          <w:color w:val="0000FF"/>
        </w:rPr>
        <w:t>for the effect of an election.</w:t>
      </w:r>
    </w:p>
    <w:p w14:paraId="765491AF" w14:textId="77777777" w:rsidR="00F524AD" w:rsidRPr="00F524AD" w:rsidRDefault="00BB7660" w:rsidP="00F524AD">
      <w:pPr>
        <w:pStyle w:val="subsection"/>
        <w:shd w:val="clear" w:color="auto" w:fill="FFFFFF"/>
        <w:rPr>
          <w:strike/>
          <w:color w:val="0000FF"/>
          <w:szCs w:val="22"/>
        </w:rPr>
      </w:pPr>
      <w:r w:rsidRPr="00F524AD">
        <w:rPr>
          <w:strike/>
          <w:color w:val="0000FF"/>
        </w:rPr>
        <w:tab/>
      </w:r>
      <w:r w:rsidR="00F524AD" w:rsidRPr="00F524AD">
        <w:rPr>
          <w:strike/>
          <w:color w:val="0000FF"/>
          <w:szCs w:val="22"/>
        </w:rPr>
        <w:t>             (1)  The CDR consumer who gave a consent relating to particular CDR data may elect that the collected data, and any data derived from it, be deleted when it becomes redundant data:</w:t>
      </w:r>
    </w:p>
    <w:p w14:paraId="2565DDC9" w14:textId="77777777" w:rsidR="00F524AD" w:rsidRPr="00F524AD" w:rsidRDefault="00F524AD" w:rsidP="00F524AD">
      <w:pPr>
        <w:pStyle w:val="paragraph"/>
        <w:shd w:val="clear" w:color="auto" w:fill="FFFFFF"/>
        <w:rPr>
          <w:strike/>
          <w:color w:val="0000FF"/>
          <w:szCs w:val="22"/>
        </w:rPr>
      </w:pPr>
      <w:r w:rsidRPr="00F524AD">
        <w:rPr>
          <w:strike/>
          <w:color w:val="0000FF"/>
          <w:szCs w:val="22"/>
        </w:rPr>
        <w:t>                     (a)  when giving the consent; or</w:t>
      </w:r>
    </w:p>
    <w:p w14:paraId="4FFA418F" w14:textId="77777777" w:rsidR="00F524AD" w:rsidRPr="00F524AD" w:rsidRDefault="00F524AD" w:rsidP="00F524AD">
      <w:pPr>
        <w:pStyle w:val="paragraph"/>
        <w:shd w:val="clear" w:color="auto" w:fill="FFFFFF"/>
        <w:rPr>
          <w:strike/>
          <w:color w:val="0000FF"/>
          <w:szCs w:val="22"/>
        </w:rPr>
      </w:pPr>
      <w:r w:rsidRPr="00F524AD">
        <w:rPr>
          <w:strike/>
          <w:color w:val="0000FF"/>
          <w:szCs w:val="22"/>
        </w:rPr>
        <w:t>                     (b)  at any other time before the consent expires.</w:t>
      </w:r>
    </w:p>
    <w:p w14:paraId="4EB1E71C" w14:textId="77777777" w:rsidR="00F524AD" w:rsidRPr="00F524AD" w:rsidRDefault="00F524AD" w:rsidP="00F524AD">
      <w:pPr>
        <w:pStyle w:val="notetext0"/>
        <w:shd w:val="clear" w:color="auto" w:fill="FFFFFF"/>
        <w:spacing w:before="122" w:beforeAutospacing="0" w:after="0" w:afterAutospacing="0"/>
        <w:ind w:left="1985" w:hanging="851"/>
        <w:rPr>
          <w:strike/>
          <w:color w:val="0000FF"/>
          <w:sz w:val="18"/>
          <w:szCs w:val="18"/>
        </w:rPr>
      </w:pPr>
      <w:r w:rsidRPr="00F524AD">
        <w:rPr>
          <w:strike/>
          <w:color w:val="0000FF"/>
          <w:sz w:val="18"/>
          <w:szCs w:val="18"/>
        </w:rPr>
        <w:t>Note:          See rule 7.12 for the effect of an election.</w:t>
      </w:r>
    </w:p>
    <w:p w14:paraId="19FC070C" w14:textId="77777777" w:rsidR="00BB7660" w:rsidRPr="00533E3F" w:rsidRDefault="00F524AD" w:rsidP="00F524AD">
      <w:pPr>
        <w:pStyle w:val="subsection"/>
      </w:pPr>
      <w:r w:rsidRPr="00533E3F">
        <w:t xml:space="preserve"> </w:t>
      </w:r>
      <w:r>
        <w:tab/>
      </w:r>
      <w:r w:rsidR="00BB7660" w:rsidRPr="00533E3F">
        <w:t>(2)</w:t>
      </w:r>
      <w:r w:rsidR="00BB7660" w:rsidRPr="00533E3F">
        <w:tab/>
        <w:t>The CDR consumer may make the election:</w:t>
      </w:r>
    </w:p>
    <w:p w14:paraId="74A72415" w14:textId="77777777" w:rsidR="00BB7660" w:rsidRPr="00533E3F" w:rsidRDefault="00BB7660" w:rsidP="00BB7660">
      <w:pPr>
        <w:pStyle w:val="paragraph"/>
      </w:pPr>
      <w:r w:rsidRPr="00533E3F">
        <w:tab/>
        <w:t>(a)</w:t>
      </w:r>
      <w:r w:rsidRPr="00533E3F">
        <w:tab/>
        <w:t>by communicating it to the accredited person in writing; or</w:t>
      </w:r>
    </w:p>
    <w:p w14:paraId="4B2039D5" w14:textId="77777777" w:rsidR="00BB7660" w:rsidRPr="00533E3F" w:rsidRDefault="00BB7660" w:rsidP="00BB7660">
      <w:pPr>
        <w:pStyle w:val="paragraph"/>
      </w:pPr>
      <w:r w:rsidRPr="00533E3F">
        <w:tab/>
        <w:t>(b)</w:t>
      </w:r>
      <w:r w:rsidRPr="00533E3F">
        <w:tab/>
        <w:t>by using the accredited person’s consumer dashboard.</w:t>
      </w:r>
    </w:p>
    <w:p w14:paraId="2E577221" w14:textId="77777777" w:rsidR="00BB7660" w:rsidRPr="005813E8" w:rsidRDefault="00BB7660" w:rsidP="00BB7660">
      <w:pPr>
        <w:pStyle w:val="subsection"/>
        <w:rPr>
          <w:color w:val="0000FF"/>
        </w:rPr>
      </w:pPr>
      <w:r w:rsidRPr="005813E8">
        <w:rPr>
          <w:color w:val="0000FF"/>
        </w:rPr>
        <w:tab/>
        <w:t>(3)</w:t>
      </w:r>
      <w:r w:rsidRPr="005813E8">
        <w:rPr>
          <w:color w:val="0000FF"/>
        </w:rPr>
        <w:tab/>
        <w:t>This rule does not apply if the accredited person:</w:t>
      </w:r>
    </w:p>
    <w:p w14:paraId="6BC215FB" w14:textId="77777777" w:rsidR="00A540DD" w:rsidRPr="005813E8" w:rsidRDefault="00A540DD" w:rsidP="00A540DD">
      <w:pPr>
        <w:pStyle w:val="paragraph"/>
        <w:rPr>
          <w:color w:val="0000FF"/>
        </w:rPr>
      </w:pPr>
      <w:r w:rsidRPr="005813E8">
        <w:rPr>
          <w:color w:val="0000FF"/>
        </w:rPr>
        <w:tab/>
        <w:t>(a)</w:t>
      </w:r>
      <w:r w:rsidRPr="005813E8">
        <w:rPr>
          <w:color w:val="0000FF"/>
        </w:rPr>
        <w:tab/>
        <w:t>has a general policy of deleting redundant data; and</w:t>
      </w:r>
    </w:p>
    <w:p w14:paraId="0FD22EA7" w14:textId="77777777" w:rsidR="00A540DD" w:rsidRPr="005813E8" w:rsidRDefault="00A540DD" w:rsidP="00A540DD">
      <w:pPr>
        <w:pStyle w:val="paragraph"/>
        <w:rPr>
          <w:color w:val="0000FF"/>
        </w:rPr>
      </w:pPr>
      <w:r w:rsidRPr="005813E8">
        <w:rPr>
          <w:color w:val="0000FF"/>
        </w:rPr>
        <w:lastRenderedPageBreak/>
        <w:tab/>
        <w:t>(b)</w:t>
      </w:r>
      <w:r w:rsidRPr="005813E8">
        <w:rPr>
          <w:color w:val="0000FF"/>
        </w:rPr>
        <w:tab/>
        <w:t>when seeking the consent, informs the CDR consumer that their CDR data will be deleted when it becomes redundant data.</w:t>
      </w:r>
    </w:p>
    <w:p w14:paraId="0D5488E0" w14:textId="77777777" w:rsidR="00A540DD" w:rsidRPr="005813E8" w:rsidRDefault="00A540DD" w:rsidP="00A540DD">
      <w:pPr>
        <w:pStyle w:val="notetext"/>
        <w:rPr>
          <w:color w:val="0000FF"/>
        </w:rPr>
      </w:pPr>
      <w:r w:rsidRPr="005813E8">
        <w:rPr>
          <w:color w:val="0000FF"/>
        </w:rPr>
        <w:t>Note:</w:t>
      </w:r>
      <w:r w:rsidRPr="005813E8">
        <w:rPr>
          <w:color w:val="0000FF"/>
        </w:rPr>
        <w:tab/>
        <w:t>See paragraph 4.17(1)(a).</w:t>
      </w:r>
    </w:p>
    <w:p w14:paraId="7F13A26F" w14:textId="77777777" w:rsidR="005813E8" w:rsidRPr="005813E8" w:rsidRDefault="005813E8" w:rsidP="005813E8">
      <w:pPr>
        <w:pStyle w:val="subsection"/>
        <w:rPr>
          <w:strike/>
          <w:color w:val="0000FF"/>
        </w:rPr>
      </w:pPr>
      <w:r w:rsidRPr="005813E8">
        <w:rPr>
          <w:strike/>
          <w:color w:val="0000FF"/>
        </w:rPr>
        <w:tab/>
        <w:t>(3)</w:t>
      </w:r>
      <w:r w:rsidRPr="005813E8">
        <w:rPr>
          <w:strike/>
          <w:color w:val="0000FF"/>
        </w:rPr>
        <w:tab/>
        <w:t>This rule does not apply if the accredited person:</w:t>
      </w:r>
    </w:p>
    <w:p w14:paraId="2F4B6AD8" w14:textId="77777777" w:rsidR="005813E8" w:rsidRPr="005813E8" w:rsidRDefault="005813E8" w:rsidP="005813E8">
      <w:pPr>
        <w:pStyle w:val="paragraphsub"/>
        <w:rPr>
          <w:strike/>
          <w:color w:val="0000FF"/>
        </w:rPr>
      </w:pPr>
      <w:r w:rsidRPr="005813E8">
        <w:rPr>
          <w:strike/>
          <w:color w:val="0000FF"/>
        </w:rPr>
        <w:tab/>
        <w:t>(i)</w:t>
      </w:r>
      <w:r w:rsidRPr="005813E8">
        <w:rPr>
          <w:strike/>
          <w:color w:val="0000FF"/>
        </w:rPr>
        <w:tab/>
        <w:t>has a general policy of deleting redundant data; and</w:t>
      </w:r>
    </w:p>
    <w:p w14:paraId="7B4EB74F" w14:textId="77777777" w:rsidR="005813E8" w:rsidRPr="005813E8" w:rsidRDefault="005813E8" w:rsidP="005813E8">
      <w:pPr>
        <w:pStyle w:val="paragraphsub"/>
        <w:rPr>
          <w:strike/>
          <w:color w:val="0000FF"/>
        </w:rPr>
      </w:pPr>
      <w:r w:rsidRPr="005813E8">
        <w:rPr>
          <w:strike/>
          <w:color w:val="0000FF"/>
        </w:rPr>
        <w:tab/>
        <w:t>(ii)</w:t>
      </w:r>
      <w:r w:rsidRPr="005813E8">
        <w:rPr>
          <w:strike/>
          <w:color w:val="0000FF"/>
        </w:rPr>
        <w:tab/>
        <w:t>when seeking the consent, informs the CDR consumer that their CDR data will be deleted when it becomes redundant data.</w:t>
      </w:r>
    </w:p>
    <w:p w14:paraId="15DB3F8C" w14:textId="77777777" w:rsidR="005813E8" w:rsidRPr="005813E8" w:rsidRDefault="005813E8" w:rsidP="005813E8">
      <w:pPr>
        <w:pStyle w:val="notetext"/>
        <w:rPr>
          <w:strike/>
          <w:color w:val="0000FF"/>
        </w:rPr>
      </w:pPr>
      <w:r w:rsidRPr="005813E8">
        <w:rPr>
          <w:strike/>
          <w:color w:val="0000FF"/>
        </w:rPr>
        <w:t>Note:</w:t>
      </w:r>
      <w:r w:rsidRPr="005813E8">
        <w:rPr>
          <w:strike/>
          <w:color w:val="0000FF"/>
        </w:rPr>
        <w:tab/>
        <w:t>See paragraph 4.17(1)(a).</w:t>
      </w:r>
    </w:p>
    <w:p w14:paraId="17219C6D" w14:textId="77777777" w:rsidR="00BB7660" w:rsidRPr="00F07699" w:rsidRDefault="00BB7660" w:rsidP="00BB7660">
      <w:pPr>
        <w:pStyle w:val="subsection"/>
      </w:pPr>
      <w:r w:rsidRPr="00F07699">
        <w:tab/>
        <w:t>(4)</w:t>
      </w:r>
      <w:r w:rsidRPr="00F07699">
        <w:tab/>
        <w:t>This rule does not require the deletion of derived CDR data that was de</w:t>
      </w:r>
      <w:r w:rsidRPr="00F07699">
        <w:noBreakHyphen/>
        <w:t>identified in accordance with the CDR data de</w:t>
      </w:r>
      <w:r w:rsidRPr="00F07699">
        <w:noBreakHyphen/>
        <w:t>identification process before the collected data from which it was derived became redundant.</w:t>
      </w:r>
    </w:p>
    <w:p w14:paraId="7F7ACEC5" w14:textId="77777777" w:rsidR="00BB7660" w:rsidRPr="00F07699" w:rsidRDefault="00BB7660" w:rsidP="00BB7660">
      <w:pPr>
        <w:pStyle w:val="ActHead5"/>
      </w:pPr>
      <w:bookmarkStart w:id="279" w:name="_Toc50114054"/>
      <w:bookmarkStart w:id="280" w:name="_Toc50633088"/>
      <w:bookmarkStart w:id="281" w:name="_Toc57219044"/>
      <w:bookmarkStart w:id="282" w:name="_Toc59549155"/>
      <w:bookmarkStart w:id="283" w:name="_Toc111132063"/>
      <w:r w:rsidRPr="00F07699">
        <w:t>4.17  Information relating to redundant data</w:t>
      </w:r>
      <w:bookmarkEnd w:id="279"/>
      <w:bookmarkEnd w:id="280"/>
      <w:bookmarkEnd w:id="281"/>
      <w:bookmarkEnd w:id="282"/>
      <w:bookmarkEnd w:id="283"/>
    </w:p>
    <w:p w14:paraId="255B5F38" w14:textId="77777777" w:rsidR="00BB7660" w:rsidRDefault="00BB7660" w:rsidP="00BB7660">
      <w:pPr>
        <w:pStyle w:val="subsection"/>
      </w:pPr>
      <w:r w:rsidRPr="00F07699">
        <w:tab/>
        <w:t>(1)</w:t>
      </w:r>
      <w:r w:rsidRPr="00F07699">
        <w:tab/>
        <w:t>For subparagraph 4.11(3)(h)</w:t>
      </w:r>
      <w:r w:rsidRPr="004E01F4">
        <w:t>(i)</w:t>
      </w:r>
      <w:r w:rsidRPr="00F07699">
        <w:t>, the accredited person must state whether they have a general policy, when collected CDR data becomes redundant data, of:</w:t>
      </w:r>
    </w:p>
    <w:p w14:paraId="3D60A05D" w14:textId="77777777" w:rsidR="00BB7660" w:rsidRPr="00F07699" w:rsidRDefault="00BB7660" w:rsidP="00BB7660">
      <w:pPr>
        <w:pStyle w:val="paragraph"/>
      </w:pPr>
      <w:r w:rsidRPr="00F07699">
        <w:tab/>
        <w:t>(a)</w:t>
      </w:r>
      <w:r w:rsidRPr="00F07699">
        <w:tab/>
        <w:t>deleting the redundant data; or</w:t>
      </w:r>
    </w:p>
    <w:p w14:paraId="3EF4F264" w14:textId="77777777" w:rsidR="00BB7660" w:rsidRPr="00F07699" w:rsidRDefault="00BB7660" w:rsidP="00BB7660">
      <w:pPr>
        <w:pStyle w:val="paragraph"/>
      </w:pPr>
      <w:r w:rsidRPr="00F07699">
        <w:tab/>
        <w:t>(b)</w:t>
      </w:r>
      <w:r w:rsidRPr="00F07699">
        <w:tab/>
        <w:t>de</w:t>
      </w:r>
      <w:r w:rsidRPr="00F07699">
        <w:noBreakHyphen/>
        <w:t>identifying the redundant data; or</w:t>
      </w:r>
    </w:p>
    <w:p w14:paraId="5603C1AA" w14:textId="77777777" w:rsidR="00BB7660" w:rsidRPr="00F07699" w:rsidRDefault="00BB7660" w:rsidP="00BB7660">
      <w:pPr>
        <w:pStyle w:val="paragraph"/>
      </w:pPr>
      <w:r w:rsidRPr="00F07699">
        <w:tab/>
        <w:t>(c)</w:t>
      </w:r>
      <w:r w:rsidRPr="00F07699">
        <w:tab/>
        <w:t>deciding, when the CDR data becomes redundant data, whether to delete it or de</w:t>
      </w:r>
      <w:r w:rsidRPr="00F07699">
        <w:noBreakHyphen/>
        <w:t>identify it.</w:t>
      </w:r>
    </w:p>
    <w:p w14:paraId="692980B4" w14:textId="77777777" w:rsidR="00BB7660" w:rsidRPr="00F07699" w:rsidRDefault="00BB7660" w:rsidP="00BB7660">
      <w:pPr>
        <w:pStyle w:val="subsection"/>
      </w:pPr>
      <w:r w:rsidRPr="00F07699">
        <w:tab/>
        <w:t>(2)</w:t>
      </w:r>
      <w:r w:rsidRPr="00F07699">
        <w:tab/>
        <w:t>An accredited person that gives the statement referred to in paragraph (1)(b) or (c) must also state:</w:t>
      </w:r>
    </w:p>
    <w:p w14:paraId="783B7372" w14:textId="77777777" w:rsidR="00BB7660" w:rsidRPr="00F07699" w:rsidRDefault="00BB7660" w:rsidP="00BB7660">
      <w:pPr>
        <w:pStyle w:val="paragraph"/>
      </w:pPr>
      <w:r w:rsidRPr="00F07699">
        <w:tab/>
        <w:t>(a)</w:t>
      </w:r>
      <w:r w:rsidRPr="00F07699">
        <w:tab/>
        <w:t>that, if it de</w:t>
      </w:r>
      <w:r w:rsidRPr="00F07699">
        <w:noBreakHyphen/>
        <w:t>identifies the redundant data:</w:t>
      </w:r>
    </w:p>
    <w:p w14:paraId="1BC8D87F" w14:textId="77777777" w:rsidR="00BB7660" w:rsidRPr="00F07699" w:rsidRDefault="00BB7660" w:rsidP="00BB7660">
      <w:pPr>
        <w:pStyle w:val="paragraphsub"/>
      </w:pPr>
      <w:r w:rsidRPr="00F07699">
        <w:tab/>
        <w:t>(i)</w:t>
      </w:r>
      <w:r w:rsidRPr="00F07699">
        <w:tab/>
        <w:t>it would apply the CDR data de</w:t>
      </w:r>
      <w:r w:rsidRPr="00F07699">
        <w:noBreakHyphen/>
        <w:t>identification process; and</w:t>
      </w:r>
    </w:p>
    <w:p w14:paraId="03265230" w14:textId="77777777" w:rsidR="00BB7660" w:rsidRPr="00F07699" w:rsidRDefault="00BB7660" w:rsidP="00BB7660">
      <w:pPr>
        <w:pStyle w:val="paragraphsub"/>
      </w:pPr>
      <w:r w:rsidRPr="00F07699">
        <w:tab/>
        <w:t>(ii)</w:t>
      </w:r>
      <w:r w:rsidRPr="00F07699">
        <w:tab/>
        <w:t>it would be able to use or, if applicable, disclose (by sale or otherwise) the de</w:t>
      </w:r>
      <w:r w:rsidRPr="00F07699">
        <w:noBreakHyphen/>
        <w:t>identified redundant data without seeking further consent from the CDR consumer; and</w:t>
      </w:r>
    </w:p>
    <w:p w14:paraId="702BAAF0" w14:textId="77777777" w:rsidR="00BB7660" w:rsidRPr="00F07699" w:rsidRDefault="00BB7660" w:rsidP="00BB7660">
      <w:pPr>
        <w:pStyle w:val="paragraph"/>
      </w:pPr>
      <w:r w:rsidRPr="00F07699">
        <w:tab/>
        <w:t>(b)</w:t>
      </w:r>
      <w:r w:rsidRPr="00F07699">
        <w:tab/>
        <w:t>what de</w:t>
      </w:r>
      <w:r w:rsidRPr="00F07699">
        <w:noBreakHyphen/>
        <w:t>identification of CDR data in accordance with the CDR data de</w:t>
      </w:r>
      <w:r w:rsidRPr="00F07699">
        <w:noBreakHyphen/>
        <w:t>identification process means; and</w:t>
      </w:r>
    </w:p>
    <w:p w14:paraId="5649BF89" w14:textId="77777777" w:rsidR="00BB7660" w:rsidRPr="00F07699" w:rsidRDefault="00BB7660" w:rsidP="00BB7660">
      <w:pPr>
        <w:pStyle w:val="paragraph"/>
      </w:pPr>
      <w:r w:rsidRPr="00F07699">
        <w:tab/>
        <w:t>(c)</w:t>
      </w:r>
      <w:r w:rsidRPr="00F07699">
        <w:tab/>
        <w:t>if applicable, examples of how it could use the redundant data once de</w:t>
      </w:r>
      <w:r w:rsidRPr="00F07699">
        <w:noBreakHyphen/>
        <w:t>identified.</w:t>
      </w:r>
    </w:p>
    <w:p w14:paraId="6645CF65" w14:textId="77777777" w:rsidR="00BB7660" w:rsidRPr="00F07699" w:rsidRDefault="00BB7660" w:rsidP="00BB7660">
      <w:pPr>
        <w:pStyle w:val="notetext"/>
      </w:pPr>
      <w:r w:rsidRPr="00F07699">
        <w:t xml:space="preserve">Note: </w:t>
      </w:r>
      <w:r w:rsidRPr="00F07699">
        <w:tab/>
        <w:t>For the CDR data de</w:t>
      </w:r>
      <w:r w:rsidRPr="00F07699">
        <w:noBreakHyphen/>
        <w:t>identification process, see rule 1.17.</w:t>
      </w:r>
    </w:p>
    <w:p w14:paraId="1F3253B9" w14:textId="77777777" w:rsidR="00BB7660" w:rsidRPr="00F07699" w:rsidRDefault="00BB7660" w:rsidP="00BB7660">
      <w:pPr>
        <w:pStyle w:val="ActHead4"/>
      </w:pPr>
      <w:bookmarkStart w:id="284" w:name="_Toc50633089"/>
      <w:bookmarkStart w:id="285" w:name="_Toc57219045"/>
      <w:bookmarkStart w:id="286" w:name="_Toc59549156"/>
      <w:bookmarkStart w:id="287" w:name="_Toc111132064"/>
      <w:r w:rsidRPr="00F07699">
        <w:t>Subdivision 4.3.5—Notification requirements</w:t>
      </w:r>
      <w:bookmarkEnd w:id="284"/>
      <w:bookmarkEnd w:id="285"/>
      <w:bookmarkEnd w:id="286"/>
      <w:bookmarkEnd w:id="287"/>
    </w:p>
    <w:p w14:paraId="68C2A79D" w14:textId="77777777" w:rsidR="00BB7660" w:rsidRPr="00F07699" w:rsidRDefault="00BB7660" w:rsidP="00BB7660">
      <w:pPr>
        <w:pStyle w:val="ActHead5"/>
      </w:pPr>
      <w:bookmarkStart w:id="288" w:name="_Toc50114056"/>
      <w:bookmarkStart w:id="289" w:name="_Toc50633090"/>
      <w:bookmarkStart w:id="290" w:name="_Toc57219046"/>
      <w:bookmarkStart w:id="291" w:name="_Toc59549157"/>
      <w:bookmarkStart w:id="292" w:name="_Toc111132065"/>
      <w:r w:rsidRPr="00F07699">
        <w:t>4.18  CDR receipts</w:t>
      </w:r>
      <w:bookmarkEnd w:id="288"/>
      <w:bookmarkEnd w:id="289"/>
      <w:bookmarkEnd w:id="290"/>
      <w:bookmarkEnd w:id="291"/>
      <w:bookmarkEnd w:id="292"/>
    </w:p>
    <w:p w14:paraId="0EA50FD9" w14:textId="77777777" w:rsidR="00BB7660" w:rsidRPr="00F07699" w:rsidRDefault="00BB7660" w:rsidP="00BB7660">
      <w:pPr>
        <w:pStyle w:val="subsection"/>
      </w:pPr>
      <w:r w:rsidRPr="00F07699">
        <w:tab/>
        <w:t>(1)</w:t>
      </w:r>
      <w:r w:rsidRPr="00F07699">
        <w:tab/>
        <w:t>The accredited person must give the CDR consumer a notice that complies with this rule (a</w:t>
      </w:r>
      <w:r w:rsidRPr="00F07699">
        <w:rPr>
          <w:b/>
          <w:i/>
        </w:rPr>
        <w:t xml:space="preserve"> CDR receipt</w:t>
      </w:r>
      <w:r w:rsidRPr="00F07699">
        <w:t>) as soon as practicable after:</w:t>
      </w:r>
    </w:p>
    <w:p w14:paraId="6D5DBB31" w14:textId="77777777" w:rsidR="00BB7660" w:rsidRPr="004E01F4" w:rsidRDefault="00BB7660" w:rsidP="00BB7660">
      <w:pPr>
        <w:pStyle w:val="paragraph"/>
      </w:pPr>
      <w:r w:rsidRPr="004E01F4">
        <w:tab/>
        <w:t>(a)</w:t>
      </w:r>
      <w:r w:rsidRPr="004E01F4">
        <w:tab/>
        <w:t>the CDR consumer gives the accredited person a collection consent, a use consent or a disclosure consent; or</w:t>
      </w:r>
    </w:p>
    <w:p w14:paraId="3FE32BF4" w14:textId="77777777" w:rsidR="00BB7660" w:rsidRPr="007D3F52" w:rsidRDefault="00BB7660" w:rsidP="00BB7660">
      <w:pPr>
        <w:pStyle w:val="paragraph"/>
      </w:pPr>
      <w:r w:rsidRPr="004E01F4">
        <w:tab/>
        <w:t>(aa)</w:t>
      </w:r>
      <w:r w:rsidRPr="004E01F4">
        <w:tab/>
        <w:t xml:space="preserve">the CDR consumer amends such a consent in accordance with </w:t>
      </w:r>
      <w:r w:rsidRPr="004A04A4">
        <w:rPr>
          <w:color w:val="0000FF"/>
        </w:rPr>
        <w:t>this</w:t>
      </w:r>
      <w:r>
        <w:t xml:space="preserve"> </w:t>
      </w:r>
      <w:r w:rsidRPr="004A04A4">
        <w:rPr>
          <w:color w:val="0000FF"/>
        </w:rPr>
        <w:t>Division</w:t>
      </w:r>
      <w:r w:rsidR="007D3F52">
        <w:rPr>
          <w:strike/>
          <w:color w:val="0000FF"/>
        </w:rPr>
        <w:t xml:space="preserve"> this Part</w:t>
      </w:r>
      <w:r w:rsidRPr="007D3F52">
        <w:t>; or</w:t>
      </w:r>
    </w:p>
    <w:p w14:paraId="091A11E0" w14:textId="77777777" w:rsidR="00BB7660" w:rsidRPr="007D3F52" w:rsidRDefault="00BB7660" w:rsidP="00BB7660">
      <w:pPr>
        <w:pStyle w:val="paragraph"/>
      </w:pPr>
      <w:r w:rsidRPr="007D3F52">
        <w:tab/>
        <w:t>(b)</w:t>
      </w:r>
      <w:r w:rsidRPr="007D3F52">
        <w:tab/>
        <w:t>the CDR consumer withdraws such a consent in accordance with rule 4.13.</w:t>
      </w:r>
    </w:p>
    <w:p w14:paraId="482C76DF" w14:textId="77777777" w:rsidR="00BB7660" w:rsidRPr="004E01F4" w:rsidRDefault="00BB7660" w:rsidP="00BB7660">
      <w:pPr>
        <w:pStyle w:val="notetext"/>
      </w:pPr>
      <w:r w:rsidRPr="004E01F4">
        <w:lastRenderedPageBreak/>
        <w:t>Note:</w:t>
      </w:r>
      <w:r w:rsidRPr="004E01F4">
        <w:tab/>
        <w:t>This subrule is a civil penalty provision (see rule 9.8).</w:t>
      </w:r>
    </w:p>
    <w:p w14:paraId="6CD92133" w14:textId="77777777" w:rsidR="00BB7660" w:rsidRPr="004E01F4" w:rsidRDefault="00BB7660" w:rsidP="00BB7660">
      <w:pPr>
        <w:pStyle w:val="subsection"/>
      </w:pPr>
      <w:r w:rsidRPr="004E01F4">
        <w:tab/>
        <w:t>(2)</w:t>
      </w:r>
      <w:r w:rsidRPr="004E01F4">
        <w:tab/>
        <w:t>A CDR receipt given for the purposes of paragraph (1)(a) must set out:</w:t>
      </w:r>
    </w:p>
    <w:p w14:paraId="60DB99B6" w14:textId="77777777" w:rsidR="00BB7660" w:rsidRPr="004E01F4" w:rsidRDefault="00BB7660" w:rsidP="00BB7660">
      <w:pPr>
        <w:pStyle w:val="paragraph"/>
      </w:pPr>
      <w:r w:rsidRPr="004E01F4">
        <w:tab/>
        <w:t>(a)</w:t>
      </w:r>
      <w:r w:rsidRPr="004E01F4">
        <w:tab/>
        <w:t>the details that relate to the consent that are listed in paragraphs 1.14(3)(a) to (f); and</w:t>
      </w:r>
    </w:p>
    <w:p w14:paraId="63A4C271" w14:textId="77777777" w:rsidR="00BB7660" w:rsidRPr="004E01F4" w:rsidRDefault="00BB7660" w:rsidP="00BB7660">
      <w:pPr>
        <w:pStyle w:val="paragraph"/>
      </w:pPr>
      <w:r w:rsidRPr="004E01F4">
        <w:tab/>
        <w:t>(b)</w:t>
      </w:r>
      <w:r w:rsidRPr="004E01F4">
        <w:tab/>
        <w:t>in the case of a collection consent―th</w:t>
      </w:r>
      <w:r>
        <w:t xml:space="preserve">e name of each CDR participant </w:t>
      </w:r>
      <w:r w:rsidRPr="004E01F4">
        <w:t>the CDR consumer has consented to the collection of CDR data from; and</w:t>
      </w:r>
    </w:p>
    <w:p w14:paraId="42C45566" w14:textId="77777777" w:rsidR="00BB7660" w:rsidRPr="004E01F4" w:rsidRDefault="00BB7660" w:rsidP="00BB7660">
      <w:pPr>
        <w:pStyle w:val="paragraph"/>
      </w:pPr>
      <w:r w:rsidRPr="004E01F4">
        <w:tab/>
        <w:t>(ba)</w:t>
      </w:r>
      <w:r w:rsidRPr="004E01F4">
        <w:tab/>
        <w:t>in the case of a disclosure consent―the name of the person the CDR consumer has consented to the disclosure of CDR data to; and</w:t>
      </w:r>
    </w:p>
    <w:p w14:paraId="010CF690" w14:textId="77777777" w:rsidR="00BB7660" w:rsidRPr="004E01F4" w:rsidRDefault="00BB7660" w:rsidP="00BB7660">
      <w:pPr>
        <w:pStyle w:val="paragraph"/>
      </w:pPr>
      <w:r w:rsidRPr="004E01F4">
        <w:tab/>
        <w:t>(c)</w:t>
      </w:r>
      <w:r w:rsidRPr="004E01F4">
        <w:tab/>
        <w:t>any other information the accredited person provided to the CDR consumer when obtaining the consent (see rule 4.11).</w:t>
      </w:r>
    </w:p>
    <w:p w14:paraId="695B90E2" w14:textId="77777777" w:rsidR="00BB7660" w:rsidRPr="004E01F4" w:rsidRDefault="00BB7660" w:rsidP="00BB7660">
      <w:pPr>
        <w:pStyle w:val="subsection"/>
      </w:pPr>
      <w:r w:rsidRPr="004E01F4">
        <w:tab/>
        <w:t>(2A)</w:t>
      </w:r>
      <w:r w:rsidRPr="004E01F4">
        <w:tab/>
        <w:t>A CDR receipt given for the purposes of paragraph (1)(aa) must set out details of each amendment that has been made to the consent.</w:t>
      </w:r>
    </w:p>
    <w:p w14:paraId="78D20C22" w14:textId="77777777" w:rsidR="00BB7660" w:rsidRPr="00F07699" w:rsidRDefault="00BB7660" w:rsidP="00BB7660">
      <w:pPr>
        <w:pStyle w:val="subsection"/>
      </w:pPr>
      <w:r w:rsidRPr="00F07699">
        <w:tab/>
        <w:t>(3)</w:t>
      </w:r>
      <w:r w:rsidRPr="00F07699">
        <w:tab/>
        <w:t>A CDR receipt given for the purposes of paragraph (1)(b) must set out when the consent expired.</w:t>
      </w:r>
    </w:p>
    <w:p w14:paraId="2D287E72" w14:textId="77777777" w:rsidR="00BB7660" w:rsidRPr="00F07699" w:rsidRDefault="00BB7660" w:rsidP="00BB7660">
      <w:pPr>
        <w:pStyle w:val="subsection"/>
      </w:pPr>
      <w:r w:rsidRPr="00F07699">
        <w:tab/>
        <w:t>(4)</w:t>
      </w:r>
      <w:r w:rsidRPr="00F07699">
        <w:tab/>
        <w:t>A CDR receipt must be given in writing otherwise than through the CDR consumer’s consumer dashboard.</w:t>
      </w:r>
    </w:p>
    <w:p w14:paraId="0587AC44" w14:textId="77777777" w:rsidR="00BB7660" w:rsidRPr="00F07699" w:rsidRDefault="00BB7660" w:rsidP="00BB7660">
      <w:pPr>
        <w:pStyle w:val="subsection"/>
      </w:pPr>
      <w:r w:rsidRPr="00F07699">
        <w:tab/>
        <w:t>(5)</w:t>
      </w:r>
      <w:r w:rsidRPr="00F07699">
        <w:tab/>
        <w:t>A copy of the CDR receipt may be included in the CDR consumer’s consumer dashboard.</w:t>
      </w:r>
    </w:p>
    <w:p w14:paraId="40E85FCE" w14:textId="77777777" w:rsidR="00681844" w:rsidRPr="00F524AD" w:rsidRDefault="00681844" w:rsidP="00681844">
      <w:pPr>
        <w:pStyle w:val="ActHead5"/>
        <w:rPr>
          <w:color w:val="0000FF"/>
        </w:rPr>
      </w:pPr>
      <w:bookmarkStart w:id="293" w:name="_Toc111132066"/>
      <w:bookmarkStart w:id="294" w:name="_Hlk111119794"/>
      <w:bookmarkStart w:id="295" w:name="_Toc50114057"/>
      <w:bookmarkStart w:id="296" w:name="_Toc57219047"/>
      <w:bookmarkStart w:id="297" w:name="_Toc59549158"/>
      <w:r w:rsidRPr="00F524AD">
        <w:rPr>
          <w:color w:val="0000FF"/>
        </w:rPr>
        <w:t xml:space="preserve">4.18AA  Notification </w:t>
      </w:r>
      <w:r w:rsidR="009E6C25" w:rsidRPr="00F524AD">
        <w:rPr>
          <w:color w:val="0000FF"/>
        </w:rPr>
        <w:t xml:space="preserve">of </w:t>
      </w:r>
      <w:r w:rsidRPr="00F524AD">
        <w:rPr>
          <w:color w:val="0000FF"/>
        </w:rPr>
        <w:t xml:space="preserve">data holder </w:t>
      </w:r>
      <w:r w:rsidR="009E6C25" w:rsidRPr="00F524AD">
        <w:rPr>
          <w:color w:val="0000FF"/>
        </w:rPr>
        <w:t xml:space="preserve">or accredited data recipient </w:t>
      </w:r>
      <w:r w:rsidRPr="00F524AD">
        <w:rPr>
          <w:color w:val="0000FF"/>
        </w:rPr>
        <w:t>if collection consent expires</w:t>
      </w:r>
      <w:bookmarkEnd w:id="293"/>
    </w:p>
    <w:bookmarkEnd w:id="294"/>
    <w:p w14:paraId="2DB03708" w14:textId="77777777" w:rsidR="009E6C25" w:rsidRPr="00F524AD" w:rsidRDefault="009E6C25" w:rsidP="009E6C25">
      <w:pPr>
        <w:pStyle w:val="subsection"/>
        <w:rPr>
          <w:color w:val="0000FF"/>
        </w:rPr>
      </w:pPr>
      <w:r w:rsidRPr="00F524AD">
        <w:rPr>
          <w:color w:val="0000FF"/>
        </w:rPr>
        <w:tab/>
        <w:t>(1)</w:t>
      </w:r>
      <w:r w:rsidRPr="00F524AD">
        <w:rPr>
          <w:color w:val="0000FF"/>
        </w:rPr>
        <w:tab/>
        <w:t>This rule applies if:</w:t>
      </w:r>
    </w:p>
    <w:p w14:paraId="5C3BF589" w14:textId="77777777" w:rsidR="009E6C25" w:rsidRPr="0074609F" w:rsidRDefault="009E6C25" w:rsidP="009E6C25">
      <w:pPr>
        <w:pStyle w:val="paragraph"/>
        <w:rPr>
          <w:color w:val="0000FF"/>
        </w:rPr>
      </w:pPr>
      <w:r w:rsidRPr="00F524AD">
        <w:rPr>
          <w:color w:val="0000FF"/>
        </w:rPr>
        <w:tab/>
        <w:t>(a)</w:t>
      </w:r>
      <w:r w:rsidRPr="00F524AD">
        <w:rPr>
          <w:color w:val="0000FF"/>
        </w:rPr>
        <w:tab/>
        <w:t xml:space="preserve">an accredited person has made a consumer data </w:t>
      </w:r>
      <w:r w:rsidR="00325FE1" w:rsidRPr="00F524AD">
        <w:rPr>
          <w:color w:val="0000FF"/>
        </w:rPr>
        <w:t xml:space="preserve">request </w:t>
      </w:r>
      <w:r w:rsidRPr="00F524AD">
        <w:rPr>
          <w:color w:val="0000FF"/>
        </w:rPr>
        <w:t>to a</w:t>
      </w:r>
      <w:r w:rsidR="00120E16" w:rsidRPr="00F524AD">
        <w:rPr>
          <w:color w:val="0000FF"/>
        </w:rPr>
        <w:t xml:space="preserve"> CDR participant,</w:t>
      </w:r>
      <w:r w:rsidRPr="00F524AD">
        <w:rPr>
          <w:color w:val="0000FF"/>
        </w:rPr>
        <w:t xml:space="preserve"> based on a collection consent given under this Division relating to particular CDR data and </w:t>
      </w:r>
      <w:r w:rsidR="00120E16" w:rsidRPr="00F524AD">
        <w:rPr>
          <w:color w:val="0000FF"/>
        </w:rPr>
        <w:t>that CDR participa</w:t>
      </w:r>
      <w:r w:rsidR="00120E16" w:rsidRPr="0074609F">
        <w:rPr>
          <w:color w:val="0000FF"/>
        </w:rPr>
        <w:t>nt</w:t>
      </w:r>
      <w:r w:rsidRPr="0074609F">
        <w:rPr>
          <w:color w:val="0000FF"/>
        </w:rPr>
        <w:t>; and</w:t>
      </w:r>
    </w:p>
    <w:p w14:paraId="03477B7D" w14:textId="77777777" w:rsidR="009E6C25" w:rsidRPr="00F524AD" w:rsidRDefault="009E6C25" w:rsidP="009E6C25">
      <w:pPr>
        <w:pStyle w:val="paragraph"/>
        <w:rPr>
          <w:color w:val="0000FF"/>
        </w:rPr>
      </w:pPr>
      <w:r w:rsidRPr="0074609F">
        <w:rPr>
          <w:color w:val="0000FF"/>
        </w:rPr>
        <w:tab/>
        <w:t>(b)</w:t>
      </w:r>
      <w:r w:rsidRPr="0074609F">
        <w:rPr>
          <w:color w:val="0000FF"/>
        </w:rPr>
        <w:tab/>
        <w:t>the request has not be</w:t>
      </w:r>
      <w:r w:rsidR="0074609F" w:rsidRPr="0074609F">
        <w:rPr>
          <w:color w:val="0000FF"/>
        </w:rPr>
        <w:t>en</w:t>
      </w:r>
      <w:r w:rsidRPr="0074609F">
        <w:rPr>
          <w:color w:val="0000FF"/>
        </w:rPr>
        <w:t xml:space="preserve"> </w:t>
      </w:r>
      <w:r w:rsidR="0074609F">
        <w:rPr>
          <w:color w:val="0000FF"/>
        </w:rPr>
        <w:t>completely resolved</w:t>
      </w:r>
      <w:r w:rsidRPr="00F524AD">
        <w:rPr>
          <w:color w:val="0000FF"/>
        </w:rPr>
        <w:t>; and</w:t>
      </w:r>
    </w:p>
    <w:p w14:paraId="68592168" w14:textId="77777777" w:rsidR="009E6C25" w:rsidRPr="00F524AD" w:rsidRDefault="009E6C25" w:rsidP="009E6C25">
      <w:pPr>
        <w:pStyle w:val="paragraph"/>
        <w:rPr>
          <w:color w:val="0000FF"/>
        </w:rPr>
      </w:pPr>
      <w:r w:rsidRPr="00F524AD">
        <w:rPr>
          <w:color w:val="0000FF"/>
        </w:rPr>
        <w:tab/>
        <w:t>(</w:t>
      </w:r>
      <w:r w:rsidR="0074609F">
        <w:rPr>
          <w:color w:val="0000FF"/>
        </w:rPr>
        <w:t>c</w:t>
      </w:r>
      <w:r w:rsidRPr="00F524AD">
        <w:rPr>
          <w:color w:val="0000FF"/>
        </w:rPr>
        <w:t>)</w:t>
      </w:r>
      <w:r w:rsidRPr="00F524AD">
        <w:rPr>
          <w:color w:val="0000FF"/>
        </w:rPr>
        <w:tab/>
        <w:t>the consent expires for any reason.</w:t>
      </w:r>
    </w:p>
    <w:p w14:paraId="3E637910" w14:textId="77777777" w:rsidR="009E6C25" w:rsidRPr="00F524AD" w:rsidRDefault="009E6C25" w:rsidP="009E6C25">
      <w:pPr>
        <w:pStyle w:val="subsection"/>
        <w:rPr>
          <w:color w:val="0000FF"/>
        </w:rPr>
      </w:pPr>
      <w:r w:rsidRPr="00F524AD">
        <w:rPr>
          <w:color w:val="0000FF"/>
        </w:rPr>
        <w:tab/>
        <w:t>(2)</w:t>
      </w:r>
      <w:r w:rsidRPr="00F524AD">
        <w:rPr>
          <w:color w:val="0000FF"/>
        </w:rPr>
        <w:tab/>
        <w:t>The accredited person must notify:</w:t>
      </w:r>
    </w:p>
    <w:p w14:paraId="092822F9" w14:textId="77777777" w:rsidR="009E6C25" w:rsidRPr="00F524AD" w:rsidRDefault="009E6C25" w:rsidP="009E6C25">
      <w:pPr>
        <w:pStyle w:val="paragraph"/>
        <w:rPr>
          <w:color w:val="0000FF"/>
        </w:rPr>
      </w:pPr>
      <w:r w:rsidRPr="00F524AD">
        <w:rPr>
          <w:color w:val="0000FF"/>
        </w:rPr>
        <w:tab/>
        <w:t>(a)</w:t>
      </w:r>
      <w:r w:rsidRPr="00F524AD">
        <w:rPr>
          <w:color w:val="0000FF"/>
        </w:rPr>
        <w:tab/>
        <w:t>if the CDR participant is a data holder―the data holder, in accordance with the data standards, that the consent has expired; and</w:t>
      </w:r>
    </w:p>
    <w:p w14:paraId="63D25ADC" w14:textId="77777777" w:rsidR="009E6C25" w:rsidRPr="00F524AD" w:rsidRDefault="009E6C25" w:rsidP="009E6C25">
      <w:pPr>
        <w:pStyle w:val="paragraph"/>
        <w:rPr>
          <w:color w:val="0000FF"/>
        </w:rPr>
      </w:pPr>
      <w:r w:rsidRPr="00F524AD">
        <w:rPr>
          <w:color w:val="0000FF"/>
        </w:rPr>
        <w:tab/>
        <w:t>(b)</w:t>
      </w:r>
      <w:r w:rsidRPr="00F524AD">
        <w:rPr>
          <w:color w:val="0000FF"/>
        </w:rPr>
        <w:tab/>
        <w:t>if the CDR participant is an accredited data recipient―the accredited data recipient as soon as practicable that the consent has expired.</w:t>
      </w:r>
    </w:p>
    <w:p w14:paraId="17F490CD" w14:textId="77777777" w:rsidR="009E6C25" w:rsidRPr="00F524AD" w:rsidRDefault="009E6C25" w:rsidP="009E6C25">
      <w:pPr>
        <w:pStyle w:val="notetext"/>
        <w:rPr>
          <w:color w:val="0000FF"/>
        </w:rPr>
      </w:pPr>
      <w:r w:rsidRPr="00F524AD">
        <w:rPr>
          <w:color w:val="0000FF"/>
        </w:rPr>
        <w:t>Note:</w:t>
      </w:r>
      <w:r w:rsidRPr="00F524AD">
        <w:rPr>
          <w:color w:val="0000FF"/>
        </w:rPr>
        <w:tab/>
        <w:t>This subrule is a civil penalty provision (see rule 9.8).</w:t>
      </w:r>
    </w:p>
    <w:p w14:paraId="1C63CB03" w14:textId="77777777" w:rsidR="00BB7660" w:rsidRPr="004E01F4" w:rsidRDefault="00BB7660" w:rsidP="00BB7660">
      <w:pPr>
        <w:pStyle w:val="ActHead5"/>
      </w:pPr>
      <w:bookmarkStart w:id="298" w:name="_Toc111132067"/>
      <w:r w:rsidRPr="004E01F4">
        <w:t xml:space="preserve">4.18A  Notification </w:t>
      </w:r>
      <w:r w:rsidR="00681844" w:rsidRPr="00F524AD">
        <w:rPr>
          <w:color w:val="0000FF"/>
        </w:rPr>
        <w:t xml:space="preserve">of consumer </w:t>
      </w:r>
      <w:r w:rsidRPr="004E01F4">
        <w:t>if collection consent expires</w:t>
      </w:r>
      <w:bookmarkEnd w:id="295"/>
      <w:bookmarkEnd w:id="296"/>
      <w:bookmarkEnd w:id="297"/>
      <w:bookmarkEnd w:id="298"/>
    </w:p>
    <w:p w14:paraId="3B6FF0F5" w14:textId="77777777" w:rsidR="00BB7660" w:rsidRPr="004E01F4" w:rsidRDefault="00BB7660" w:rsidP="00BB7660">
      <w:pPr>
        <w:pStyle w:val="subsection"/>
      </w:pPr>
      <w:r w:rsidRPr="004E01F4">
        <w:tab/>
        <w:t>(1)</w:t>
      </w:r>
      <w:r w:rsidRPr="004E01F4">
        <w:tab/>
        <w:t>This rule applies if, in relation to particular goods or services an accredited person is providing as referred to in subrule 4.3(1):</w:t>
      </w:r>
    </w:p>
    <w:p w14:paraId="507BA9B0" w14:textId="77777777" w:rsidR="00BB7660" w:rsidRPr="004E01F4" w:rsidRDefault="00BB7660" w:rsidP="00BB7660">
      <w:pPr>
        <w:pStyle w:val="paragraph"/>
      </w:pPr>
      <w:r w:rsidRPr="004E01F4">
        <w:tab/>
        <w:t>(a)</w:t>
      </w:r>
      <w:r w:rsidRPr="004E01F4">
        <w:tab/>
        <w:t>the collection consent expires; but</w:t>
      </w:r>
    </w:p>
    <w:p w14:paraId="3329B81A" w14:textId="77777777" w:rsidR="00BB7660" w:rsidRPr="004E01F4" w:rsidRDefault="00BB7660" w:rsidP="00BB7660">
      <w:pPr>
        <w:pStyle w:val="paragraph"/>
      </w:pPr>
      <w:r w:rsidRPr="004E01F4">
        <w:tab/>
        <w:t>(b)</w:t>
      </w:r>
      <w:r w:rsidRPr="004E01F4">
        <w:tab/>
        <w:t>the use consent is current.</w:t>
      </w:r>
    </w:p>
    <w:p w14:paraId="62889E40" w14:textId="77777777" w:rsidR="00BB7660" w:rsidRPr="004E01F4" w:rsidRDefault="00BB7660" w:rsidP="00BB7660">
      <w:pPr>
        <w:pStyle w:val="subsection"/>
      </w:pPr>
      <w:r w:rsidRPr="004E01F4">
        <w:tab/>
        <w:t>(2)</w:t>
      </w:r>
      <w:r w:rsidRPr="004E01F4">
        <w:tab/>
        <w:t xml:space="preserve">The accredited person must notify the CDR consumer </w:t>
      </w:r>
      <w:r w:rsidRPr="00A6091B">
        <w:t xml:space="preserve">as soon as practicable </w:t>
      </w:r>
      <w:r w:rsidRPr="004E01F4">
        <w:t>that, at any time, they:</w:t>
      </w:r>
    </w:p>
    <w:p w14:paraId="2E2BF12A" w14:textId="77777777" w:rsidR="00BB7660" w:rsidRPr="004E01F4" w:rsidRDefault="00BB7660" w:rsidP="00BB7660">
      <w:pPr>
        <w:pStyle w:val="paragraph"/>
      </w:pPr>
      <w:r w:rsidRPr="004E01F4">
        <w:lastRenderedPageBreak/>
        <w:tab/>
        <w:t>(a)</w:t>
      </w:r>
      <w:r w:rsidRPr="004E01F4">
        <w:tab/>
        <w:t>may withdraw the use consent; and</w:t>
      </w:r>
    </w:p>
    <w:p w14:paraId="66CFB205" w14:textId="77777777" w:rsidR="00BB7660" w:rsidRPr="004E01F4" w:rsidRDefault="00BB7660" w:rsidP="00BB7660">
      <w:pPr>
        <w:pStyle w:val="paragraph"/>
      </w:pPr>
      <w:r w:rsidRPr="004E01F4">
        <w:tab/>
        <w:t>(b)</w:t>
      </w:r>
      <w:r w:rsidRPr="004E01F4">
        <w:tab/>
        <w:t>may make the election to delete redundant data in respect of that CDR data under rule 4.16.</w:t>
      </w:r>
    </w:p>
    <w:p w14:paraId="48ED5AE2" w14:textId="77777777" w:rsidR="00BB7660" w:rsidRPr="004E01F4" w:rsidRDefault="00BB7660" w:rsidP="00BB7660">
      <w:pPr>
        <w:pStyle w:val="notetext"/>
      </w:pPr>
      <w:r w:rsidRPr="004E01F4">
        <w:t>Note:</w:t>
      </w:r>
      <w:r w:rsidRPr="004E01F4">
        <w:tab/>
        <w:t>This subrule is a civil penalty provision (see rule 9.8).</w:t>
      </w:r>
    </w:p>
    <w:p w14:paraId="54C46D9C" w14:textId="77777777" w:rsidR="00BB7660" w:rsidRPr="004E01F4" w:rsidRDefault="00BB7660" w:rsidP="00BB7660">
      <w:pPr>
        <w:pStyle w:val="subsection"/>
      </w:pPr>
      <w:r w:rsidRPr="004E01F4">
        <w:tab/>
        <w:t>(3)</w:t>
      </w:r>
      <w:r w:rsidRPr="004E01F4">
        <w:tab/>
        <w:t>The notification must be given in writing otherwise than through the CDR consumer’s consumer dashboard.</w:t>
      </w:r>
    </w:p>
    <w:p w14:paraId="0EADEDE4" w14:textId="77777777" w:rsidR="00BB7660" w:rsidRPr="004E01F4" w:rsidRDefault="00BB7660" w:rsidP="00BB7660">
      <w:pPr>
        <w:pStyle w:val="subsection"/>
      </w:pPr>
      <w:r w:rsidRPr="004E01F4">
        <w:tab/>
        <w:t>(4)</w:t>
      </w:r>
      <w:r w:rsidRPr="004E01F4">
        <w:tab/>
        <w:t>The notification may also be included in the CDR consumer’s consumer dashboard.</w:t>
      </w:r>
    </w:p>
    <w:p w14:paraId="418BECBD" w14:textId="77777777" w:rsidR="00BB7660" w:rsidRPr="00F31D9D" w:rsidRDefault="00BB7660" w:rsidP="00BB7660">
      <w:pPr>
        <w:pStyle w:val="ActHead5"/>
        <w:rPr>
          <w:color w:val="0000FF"/>
        </w:rPr>
      </w:pPr>
      <w:bookmarkStart w:id="299" w:name="_Toc50114058"/>
      <w:bookmarkStart w:id="300" w:name="_Toc57219048"/>
      <w:bookmarkStart w:id="301" w:name="_Toc59549159"/>
      <w:bookmarkStart w:id="302" w:name="_Toc111132068"/>
      <w:r w:rsidRPr="00F31D9D">
        <w:rPr>
          <w:color w:val="0000FF"/>
        </w:rPr>
        <w:t>4.18B  Notification</w:t>
      </w:r>
      <w:r w:rsidR="009E6C25" w:rsidRPr="00F31D9D">
        <w:rPr>
          <w:color w:val="0000FF"/>
        </w:rPr>
        <w:t xml:space="preserve"> </w:t>
      </w:r>
      <w:r w:rsidRPr="00F31D9D">
        <w:rPr>
          <w:color w:val="0000FF"/>
        </w:rPr>
        <w:t>if collection consent or AP disclosure consent</w:t>
      </w:r>
      <w:bookmarkEnd w:id="299"/>
      <w:r w:rsidRPr="00F31D9D">
        <w:rPr>
          <w:color w:val="0000FF"/>
        </w:rPr>
        <w:t xml:space="preserve"> expires</w:t>
      </w:r>
      <w:bookmarkEnd w:id="300"/>
      <w:bookmarkEnd w:id="301"/>
      <w:bookmarkEnd w:id="302"/>
    </w:p>
    <w:p w14:paraId="3005EF3E" w14:textId="77777777" w:rsidR="00120E16" w:rsidRPr="00F31D9D" w:rsidRDefault="00120E16" w:rsidP="00120E16">
      <w:pPr>
        <w:pStyle w:val="subsection"/>
        <w:rPr>
          <w:color w:val="0000FF"/>
        </w:rPr>
      </w:pPr>
      <w:r w:rsidRPr="00F31D9D">
        <w:rPr>
          <w:color w:val="0000FF"/>
        </w:rPr>
        <w:tab/>
        <w:t>(1)</w:t>
      </w:r>
      <w:r w:rsidRPr="00F31D9D">
        <w:rPr>
          <w:color w:val="0000FF"/>
        </w:rPr>
        <w:tab/>
        <w:t>This rule applies if:</w:t>
      </w:r>
    </w:p>
    <w:p w14:paraId="6EB7FC88" w14:textId="77777777" w:rsidR="00120E16" w:rsidRPr="00F31D9D" w:rsidRDefault="00120E16" w:rsidP="00120E16">
      <w:pPr>
        <w:pStyle w:val="paragraph"/>
        <w:rPr>
          <w:color w:val="0000FF"/>
        </w:rPr>
      </w:pPr>
      <w:r w:rsidRPr="00F31D9D">
        <w:rPr>
          <w:color w:val="0000FF"/>
        </w:rPr>
        <w:tab/>
        <w:t>(a)</w:t>
      </w:r>
      <w:r w:rsidRPr="00F31D9D">
        <w:rPr>
          <w:color w:val="0000FF"/>
        </w:rPr>
        <w:tab/>
        <w:t>an accredited person has made a consumer data request to an accredited data recipient on behalf of a CDR representative, based on a collection consent given under this Division relating to particular CDR data and that accredited data recipient; and</w:t>
      </w:r>
    </w:p>
    <w:p w14:paraId="235FD389" w14:textId="77777777" w:rsidR="00120E16" w:rsidRPr="00F31D9D" w:rsidRDefault="00120E16" w:rsidP="00120E16">
      <w:pPr>
        <w:pStyle w:val="paragraph"/>
        <w:rPr>
          <w:color w:val="0000FF"/>
        </w:rPr>
      </w:pPr>
      <w:r w:rsidRPr="00F31D9D">
        <w:rPr>
          <w:color w:val="0000FF"/>
        </w:rPr>
        <w:tab/>
        <w:t>(b)</w:t>
      </w:r>
      <w:r w:rsidRPr="00F31D9D">
        <w:rPr>
          <w:color w:val="0000FF"/>
        </w:rPr>
        <w:tab/>
        <w:t>the accredited data recipient has an AP disclosure consent relating to that CDR data; and</w:t>
      </w:r>
    </w:p>
    <w:p w14:paraId="2E42F86D" w14:textId="77777777" w:rsidR="00120E16" w:rsidRPr="00F31D9D" w:rsidRDefault="00120E16" w:rsidP="00120E16">
      <w:pPr>
        <w:pStyle w:val="paragraph"/>
        <w:rPr>
          <w:color w:val="0000FF"/>
        </w:rPr>
      </w:pPr>
      <w:r w:rsidRPr="00F31D9D">
        <w:rPr>
          <w:color w:val="0000FF"/>
        </w:rPr>
        <w:tab/>
        <w:t>(c)</w:t>
      </w:r>
      <w:r w:rsidRPr="00F31D9D">
        <w:rPr>
          <w:color w:val="0000FF"/>
        </w:rPr>
        <w:tab/>
        <w:t xml:space="preserve">the request has not been </w:t>
      </w:r>
      <w:r w:rsidR="0074609F">
        <w:rPr>
          <w:color w:val="0000FF"/>
        </w:rPr>
        <w:t>completely resolved</w:t>
      </w:r>
      <w:r w:rsidRPr="00F31D9D">
        <w:rPr>
          <w:color w:val="0000FF"/>
        </w:rPr>
        <w:t>.</w:t>
      </w:r>
    </w:p>
    <w:p w14:paraId="5A413647" w14:textId="77777777" w:rsidR="00BB7660" w:rsidRPr="00F31D9D" w:rsidRDefault="00BB7660" w:rsidP="00BB7660">
      <w:pPr>
        <w:pStyle w:val="subsection"/>
        <w:rPr>
          <w:color w:val="0000FF"/>
        </w:rPr>
      </w:pPr>
      <w:r w:rsidRPr="00F31D9D">
        <w:rPr>
          <w:color w:val="0000FF"/>
        </w:rPr>
        <w:tab/>
        <w:t>(2)</w:t>
      </w:r>
      <w:r w:rsidRPr="00F31D9D">
        <w:rPr>
          <w:color w:val="0000FF"/>
        </w:rPr>
        <w:tab/>
        <w:t>If the collection consent expires in accordance with these rules, the accredited person must notify the accredited data recipient as soon as practicable of the expiry.</w:t>
      </w:r>
    </w:p>
    <w:p w14:paraId="12CC22FA" w14:textId="77777777" w:rsidR="00BB7660" w:rsidRPr="00F31D9D" w:rsidRDefault="00BB7660" w:rsidP="00BB7660">
      <w:pPr>
        <w:pStyle w:val="notetext"/>
        <w:rPr>
          <w:color w:val="0000FF"/>
        </w:rPr>
      </w:pPr>
      <w:r w:rsidRPr="00F31D9D">
        <w:rPr>
          <w:color w:val="0000FF"/>
        </w:rPr>
        <w:t>Note 1:</w:t>
      </w:r>
      <w:r w:rsidRPr="00F31D9D">
        <w:rPr>
          <w:color w:val="0000FF"/>
        </w:rPr>
        <w:tab/>
        <w:t>This subrule is a civil penalty provision (see rule 9.8).</w:t>
      </w:r>
    </w:p>
    <w:p w14:paraId="3C669ADA" w14:textId="77777777" w:rsidR="00BB7660" w:rsidRPr="00F31D9D" w:rsidRDefault="00BB7660" w:rsidP="00BB7660">
      <w:pPr>
        <w:pStyle w:val="notetext"/>
        <w:rPr>
          <w:color w:val="0000FF"/>
        </w:rPr>
      </w:pPr>
      <w:r w:rsidRPr="00F31D9D">
        <w:rPr>
          <w:color w:val="0000FF"/>
        </w:rPr>
        <w:t>Note 2:</w:t>
      </w:r>
      <w:r w:rsidRPr="00F31D9D">
        <w:rPr>
          <w:color w:val="0000FF"/>
        </w:rPr>
        <w:tab/>
        <w:t>The AP disclosure consent that the accredited data recipient has expires when the notification is received—see subrule 4.14(1B).</w:t>
      </w:r>
    </w:p>
    <w:p w14:paraId="474F625B" w14:textId="77777777" w:rsidR="00BB7660" w:rsidRPr="00F31D9D" w:rsidRDefault="00BB7660" w:rsidP="00BB7660">
      <w:pPr>
        <w:pStyle w:val="subsection"/>
        <w:rPr>
          <w:color w:val="0000FF"/>
        </w:rPr>
      </w:pPr>
      <w:r w:rsidRPr="00F31D9D">
        <w:rPr>
          <w:color w:val="0000FF"/>
        </w:rPr>
        <w:tab/>
        <w:t>(3)</w:t>
      </w:r>
      <w:r w:rsidRPr="00F31D9D">
        <w:rPr>
          <w:color w:val="0000FF"/>
        </w:rPr>
        <w:tab/>
        <w:t>If the AP disclosure consent expires in accordance with these rules, the accredited data recipient must notify the accredited person as soon as practicable of the expiry.</w:t>
      </w:r>
    </w:p>
    <w:p w14:paraId="4B7D09A3" w14:textId="77777777" w:rsidR="00BB7660" w:rsidRPr="00F31D9D" w:rsidRDefault="00BB7660" w:rsidP="00BB7660">
      <w:pPr>
        <w:pStyle w:val="notetext"/>
        <w:rPr>
          <w:color w:val="0000FF"/>
        </w:rPr>
      </w:pPr>
      <w:r w:rsidRPr="00F31D9D">
        <w:rPr>
          <w:color w:val="0000FF"/>
        </w:rPr>
        <w:t>Note 1:</w:t>
      </w:r>
      <w:r w:rsidRPr="00F31D9D">
        <w:rPr>
          <w:color w:val="0000FF"/>
        </w:rPr>
        <w:tab/>
        <w:t>This subrule is a civil penalty provision (see rule 9.8).</w:t>
      </w:r>
    </w:p>
    <w:p w14:paraId="16E77E1F" w14:textId="77777777" w:rsidR="00BB7660" w:rsidRPr="00F31D9D" w:rsidRDefault="00BB7660" w:rsidP="00BB7660">
      <w:pPr>
        <w:pStyle w:val="notetext"/>
        <w:rPr>
          <w:color w:val="0000FF"/>
        </w:rPr>
      </w:pPr>
      <w:bookmarkStart w:id="303" w:name="_Toc50114059"/>
      <w:bookmarkStart w:id="304" w:name="_Toc57219049"/>
      <w:bookmarkStart w:id="305" w:name="_Toc59549160"/>
      <w:r w:rsidRPr="00F31D9D">
        <w:rPr>
          <w:color w:val="0000FF"/>
        </w:rPr>
        <w:t>Note 2:</w:t>
      </w:r>
      <w:r w:rsidRPr="00F31D9D">
        <w:rPr>
          <w:color w:val="0000FF"/>
        </w:rPr>
        <w:tab/>
        <w:t>The collection consent that the accredited person has expires when the notification is received—see subrule 4.14(1B).</w:t>
      </w:r>
    </w:p>
    <w:p w14:paraId="49DE1ED0" w14:textId="77777777" w:rsidR="00F31D9D" w:rsidRPr="00F31D9D" w:rsidRDefault="00F31D9D" w:rsidP="00F31D9D">
      <w:pPr>
        <w:pStyle w:val="ActHead5"/>
        <w:rPr>
          <w:strike/>
          <w:color w:val="0000FF"/>
        </w:rPr>
      </w:pPr>
      <w:bookmarkStart w:id="306" w:name="_Toc96610539"/>
      <w:bookmarkStart w:id="307" w:name="_Toc111132069"/>
      <w:r w:rsidRPr="00F31D9D">
        <w:rPr>
          <w:strike/>
          <w:color w:val="0000FF"/>
        </w:rPr>
        <w:t>4.18B  Notification if collection consent or AP disclosure consent expires</w:t>
      </w:r>
      <w:bookmarkEnd w:id="306"/>
      <w:bookmarkEnd w:id="307"/>
    </w:p>
    <w:p w14:paraId="6950EA33" w14:textId="77777777" w:rsidR="00F31D9D" w:rsidRPr="00F31D9D" w:rsidRDefault="00F31D9D" w:rsidP="00F31D9D">
      <w:pPr>
        <w:pStyle w:val="subsection"/>
        <w:tabs>
          <w:tab w:val="left" w:pos="4536"/>
        </w:tabs>
        <w:rPr>
          <w:strike/>
          <w:color w:val="0000FF"/>
        </w:rPr>
      </w:pPr>
      <w:r w:rsidRPr="00F31D9D">
        <w:rPr>
          <w:strike/>
          <w:color w:val="0000FF"/>
        </w:rPr>
        <w:tab/>
        <w:t>(1)</w:t>
      </w:r>
      <w:r w:rsidRPr="00F31D9D">
        <w:rPr>
          <w:strike/>
          <w:color w:val="0000FF"/>
        </w:rPr>
        <w:tab/>
        <w:t>This rule applies if:</w:t>
      </w:r>
    </w:p>
    <w:p w14:paraId="6035A228" w14:textId="77777777" w:rsidR="00F31D9D" w:rsidRPr="00F31D9D" w:rsidRDefault="00F31D9D" w:rsidP="00F31D9D">
      <w:pPr>
        <w:pStyle w:val="paragraph"/>
        <w:rPr>
          <w:strike/>
          <w:color w:val="0000FF"/>
        </w:rPr>
      </w:pPr>
      <w:r w:rsidRPr="00F31D9D">
        <w:rPr>
          <w:strike/>
          <w:color w:val="0000FF"/>
        </w:rPr>
        <w:tab/>
        <w:t>(a)</w:t>
      </w:r>
      <w:r w:rsidRPr="00F31D9D">
        <w:rPr>
          <w:strike/>
          <w:color w:val="0000FF"/>
        </w:rPr>
        <w:tab/>
        <w:t>an accredited person has a collection consent relating to particular CDR data and a particular accredited data recipient; and</w:t>
      </w:r>
    </w:p>
    <w:p w14:paraId="049ACD80" w14:textId="77777777" w:rsidR="00F31D9D" w:rsidRPr="00F31D9D" w:rsidRDefault="00F31D9D" w:rsidP="00F31D9D">
      <w:pPr>
        <w:pStyle w:val="paragraph"/>
        <w:rPr>
          <w:strike/>
          <w:color w:val="0000FF"/>
        </w:rPr>
      </w:pPr>
      <w:r w:rsidRPr="00F31D9D">
        <w:rPr>
          <w:strike/>
          <w:color w:val="0000FF"/>
        </w:rPr>
        <w:tab/>
        <w:t>(b)</w:t>
      </w:r>
      <w:r w:rsidRPr="00F31D9D">
        <w:rPr>
          <w:strike/>
          <w:color w:val="0000FF"/>
        </w:rPr>
        <w:tab/>
        <w:t>the accredited data recipient has an AP disclosure consent relating to that CDR data and that accredited person.</w:t>
      </w:r>
    </w:p>
    <w:p w14:paraId="41CA495E" w14:textId="77777777" w:rsidR="00F31D9D" w:rsidRPr="00F31D9D" w:rsidRDefault="00F31D9D" w:rsidP="00F31D9D">
      <w:pPr>
        <w:pStyle w:val="subsection"/>
        <w:rPr>
          <w:strike/>
          <w:color w:val="0000FF"/>
        </w:rPr>
      </w:pPr>
      <w:r w:rsidRPr="00F31D9D">
        <w:rPr>
          <w:strike/>
          <w:color w:val="0000FF"/>
        </w:rPr>
        <w:tab/>
        <w:t>(2)</w:t>
      </w:r>
      <w:r w:rsidRPr="00F31D9D">
        <w:rPr>
          <w:strike/>
          <w:color w:val="0000FF"/>
        </w:rPr>
        <w:tab/>
        <w:t>If the collection consent expires in accordance with these rules, the accredited person must notify the accredited data recipient as soon as practicable of the expiry.</w:t>
      </w:r>
    </w:p>
    <w:p w14:paraId="086D78E3" w14:textId="77777777" w:rsidR="00F31D9D" w:rsidRPr="00F31D9D" w:rsidRDefault="00F31D9D" w:rsidP="00F31D9D">
      <w:pPr>
        <w:pStyle w:val="notetext"/>
        <w:rPr>
          <w:strike/>
          <w:color w:val="0000FF"/>
        </w:rPr>
      </w:pPr>
      <w:r w:rsidRPr="00F31D9D">
        <w:rPr>
          <w:strike/>
          <w:color w:val="0000FF"/>
        </w:rPr>
        <w:t>Note:</w:t>
      </w:r>
      <w:r w:rsidRPr="00F31D9D">
        <w:rPr>
          <w:strike/>
          <w:color w:val="0000FF"/>
        </w:rPr>
        <w:tab/>
        <w:t>This subrule is a civil penalty provision (see rule 9.8).</w:t>
      </w:r>
    </w:p>
    <w:p w14:paraId="6AC358DB" w14:textId="77777777" w:rsidR="00F31D9D" w:rsidRPr="00F31D9D" w:rsidRDefault="00F31D9D" w:rsidP="00F31D9D">
      <w:pPr>
        <w:pStyle w:val="subsection"/>
        <w:rPr>
          <w:strike/>
          <w:color w:val="0000FF"/>
        </w:rPr>
      </w:pPr>
      <w:r w:rsidRPr="00F31D9D">
        <w:rPr>
          <w:strike/>
          <w:color w:val="0000FF"/>
        </w:rPr>
        <w:lastRenderedPageBreak/>
        <w:tab/>
        <w:t>(3)</w:t>
      </w:r>
      <w:r w:rsidRPr="00F31D9D">
        <w:rPr>
          <w:strike/>
          <w:color w:val="0000FF"/>
        </w:rPr>
        <w:tab/>
        <w:t>If the AP disclosure consent expires in accordance with these rules, the accredited data recipient must notify the accredited person as soon as practicable of the expiry.</w:t>
      </w:r>
    </w:p>
    <w:p w14:paraId="6334B2D5" w14:textId="77777777" w:rsidR="00F31D9D" w:rsidRPr="00F31D9D" w:rsidRDefault="00F31D9D" w:rsidP="00F31D9D">
      <w:pPr>
        <w:pStyle w:val="notetext"/>
        <w:rPr>
          <w:strike/>
          <w:color w:val="0000FF"/>
        </w:rPr>
      </w:pPr>
      <w:r w:rsidRPr="00F31D9D">
        <w:rPr>
          <w:strike/>
          <w:color w:val="0000FF"/>
        </w:rPr>
        <w:t>Note:</w:t>
      </w:r>
      <w:r w:rsidRPr="00F31D9D">
        <w:rPr>
          <w:strike/>
          <w:color w:val="0000FF"/>
        </w:rPr>
        <w:tab/>
        <w:t>This subrule is a civil penalty provision (see rule 9.8).</w:t>
      </w:r>
    </w:p>
    <w:p w14:paraId="77BD7715" w14:textId="77777777" w:rsidR="00BB7660" w:rsidRPr="004E01F4" w:rsidRDefault="00BB7660" w:rsidP="00BB7660">
      <w:pPr>
        <w:pStyle w:val="ActHead5"/>
      </w:pPr>
      <w:bookmarkStart w:id="308" w:name="_Toc111132070"/>
      <w:r w:rsidRPr="004E01F4">
        <w:t>4.18C  Notification if</w:t>
      </w:r>
      <w:r>
        <w:t xml:space="preserve"> </w:t>
      </w:r>
      <w:r w:rsidRPr="005F5B3D">
        <w:t>collection</w:t>
      </w:r>
      <w:r w:rsidRPr="004E01F4">
        <w:t xml:space="preserve"> consent is amended</w:t>
      </w:r>
      <w:bookmarkEnd w:id="303"/>
      <w:bookmarkEnd w:id="304"/>
      <w:bookmarkEnd w:id="305"/>
      <w:bookmarkEnd w:id="308"/>
    </w:p>
    <w:p w14:paraId="3A8E5B70" w14:textId="77777777" w:rsidR="008720A8" w:rsidRPr="00F524AD" w:rsidRDefault="008720A8" w:rsidP="008720A8">
      <w:pPr>
        <w:pStyle w:val="subsection"/>
        <w:rPr>
          <w:color w:val="0000FF"/>
        </w:rPr>
      </w:pPr>
      <w:r w:rsidRPr="00F524AD">
        <w:rPr>
          <w:color w:val="0000FF"/>
        </w:rPr>
        <w:tab/>
        <w:t>(1)</w:t>
      </w:r>
      <w:r w:rsidRPr="00F524AD">
        <w:rPr>
          <w:color w:val="0000FF"/>
        </w:rPr>
        <w:tab/>
        <w:t>This rule applies if:</w:t>
      </w:r>
    </w:p>
    <w:p w14:paraId="0256A671" w14:textId="77777777" w:rsidR="008720A8" w:rsidRPr="00F524AD" w:rsidRDefault="008720A8" w:rsidP="008720A8">
      <w:pPr>
        <w:pStyle w:val="paragraph"/>
        <w:rPr>
          <w:color w:val="0000FF"/>
        </w:rPr>
      </w:pPr>
      <w:r w:rsidRPr="00F524AD">
        <w:rPr>
          <w:color w:val="0000FF"/>
        </w:rPr>
        <w:tab/>
        <w:t>(a)</w:t>
      </w:r>
      <w:r w:rsidRPr="00F524AD">
        <w:rPr>
          <w:color w:val="0000FF"/>
        </w:rPr>
        <w:tab/>
        <w:t>an accredited person has made a consumer data</w:t>
      </w:r>
      <w:r w:rsidR="00325FE1" w:rsidRPr="00F524AD">
        <w:rPr>
          <w:color w:val="0000FF"/>
        </w:rPr>
        <w:t xml:space="preserve"> request</w:t>
      </w:r>
      <w:r w:rsidRPr="00F524AD">
        <w:rPr>
          <w:color w:val="0000FF"/>
        </w:rPr>
        <w:t xml:space="preserve"> to a CDR participant</w:t>
      </w:r>
      <w:r w:rsidR="00325FE1" w:rsidRPr="00F524AD">
        <w:rPr>
          <w:color w:val="0000FF"/>
        </w:rPr>
        <w:t>,</w:t>
      </w:r>
      <w:r w:rsidRPr="00F524AD">
        <w:rPr>
          <w:color w:val="0000FF"/>
        </w:rPr>
        <w:t xml:space="preserve"> based on a collection consent given under this Division relating to particular CDR data and a particular CDR participant; and</w:t>
      </w:r>
    </w:p>
    <w:p w14:paraId="513BECDB" w14:textId="77777777" w:rsidR="008720A8" w:rsidRPr="00F524AD" w:rsidRDefault="008720A8" w:rsidP="008720A8">
      <w:pPr>
        <w:pStyle w:val="paragraph"/>
        <w:rPr>
          <w:color w:val="0000FF"/>
        </w:rPr>
      </w:pPr>
      <w:r w:rsidRPr="00F524AD">
        <w:rPr>
          <w:color w:val="0000FF"/>
        </w:rPr>
        <w:tab/>
        <w:t>(b)</w:t>
      </w:r>
      <w:r w:rsidRPr="00F524AD">
        <w:rPr>
          <w:color w:val="0000FF"/>
        </w:rPr>
        <w:tab/>
        <w:t xml:space="preserve">the request has not </w:t>
      </w:r>
      <w:r w:rsidR="00DA1F3C">
        <w:rPr>
          <w:color w:val="0000FF"/>
        </w:rPr>
        <w:t>been completely</w:t>
      </w:r>
      <w:r w:rsidR="0074609F">
        <w:rPr>
          <w:color w:val="0000FF"/>
        </w:rPr>
        <w:t xml:space="preserve"> resolved</w:t>
      </w:r>
      <w:r w:rsidRPr="00F524AD">
        <w:rPr>
          <w:color w:val="0000FF"/>
        </w:rPr>
        <w:t>; and</w:t>
      </w:r>
    </w:p>
    <w:p w14:paraId="02FA630F" w14:textId="77777777" w:rsidR="008720A8" w:rsidRPr="00F524AD" w:rsidRDefault="008720A8" w:rsidP="008720A8">
      <w:pPr>
        <w:pStyle w:val="paragraph"/>
        <w:rPr>
          <w:color w:val="0000FF"/>
        </w:rPr>
      </w:pPr>
      <w:r w:rsidRPr="00F524AD">
        <w:rPr>
          <w:color w:val="0000FF"/>
        </w:rPr>
        <w:tab/>
        <w:t>(</w:t>
      </w:r>
      <w:r w:rsidR="00DA1F3C">
        <w:rPr>
          <w:color w:val="0000FF"/>
        </w:rPr>
        <w:t>c</w:t>
      </w:r>
      <w:r w:rsidRPr="00F524AD">
        <w:rPr>
          <w:color w:val="0000FF"/>
        </w:rPr>
        <w:t>)</w:t>
      </w:r>
      <w:r w:rsidRPr="00F524AD">
        <w:rPr>
          <w:color w:val="0000FF"/>
        </w:rPr>
        <w:tab/>
        <w:t>the CDR consumer amends the consent.</w:t>
      </w:r>
    </w:p>
    <w:p w14:paraId="5AB6E43B" w14:textId="77777777" w:rsidR="00F524AD" w:rsidRPr="00F524AD" w:rsidRDefault="00F524AD" w:rsidP="00F524AD">
      <w:pPr>
        <w:shd w:val="clear" w:color="auto" w:fill="FFFFFF"/>
        <w:spacing w:before="180" w:line="240" w:lineRule="auto"/>
        <w:ind w:left="1134" w:hanging="1134"/>
        <w:rPr>
          <w:rFonts w:eastAsia="Times New Roman" w:cs="Times New Roman"/>
          <w:strike/>
          <w:color w:val="0000FF"/>
          <w:szCs w:val="22"/>
          <w:lang w:eastAsia="en-AU"/>
        </w:rPr>
      </w:pPr>
      <w:r w:rsidRPr="00F524AD">
        <w:rPr>
          <w:rFonts w:eastAsia="Times New Roman" w:cs="Times New Roman"/>
          <w:strike/>
          <w:color w:val="0000FF"/>
          <w:szCs w:val="22"/>
          <w:lang w:eastAsia="en-AU"/>
        </w:rPr>
        <w:t>             (1)  This rule applies if:</w:t>
      </w:r>
    </w:p>
    <w:p w14:paraId="355E849A" w14:textId="77777777" w:rsidR="00F524AD" w:rsidRPr="00F524AD" w:rsidRDefault="00F524AD" w:rsidP="00F524AD">
      <w:pPr>
        <w:shd w:val="clear" w:color="auto" w:fill="FFFFFF"/>
        <w:spacing w:before="40" w:line="240" w:lineRule="auto"/>
        <w:ind w:left="1644" w:hanging="1644"/>
        <w:rPr>
          <w:rFonts w:eastAsia="Times New Roman" w:cs="Times New Roman"/>
          <w:strike/>
          <w:color w:val="0000FF"/>
          <w:szCs w:val="22"/>
          <w:lang w:eastAsia="en-AU"/>
        </w:rPr>
      </w:pPr>
      <w:r w:rsidRPr="00F524AD">
        <w:rPr>
          <w:rFonts w:eastAsia="Times New Roman" w:cs="Times New Roman"/>
          <w:strike/>
          <w:color w:val="0000FF"/>
          <w:szCs w:val="22"/>
          <w:lang w:eastAsia="en-AU"/>
        </w:rPr>
        <w:t>                     (a)  an accredited person has a collection consent relating to particular CDR data and a particular CDR participant; and</w:t>
      </w:r>
    </w:p>
    <w:p w14:paraId="0611D846" w14:textId="77777777" w:rsidR="00F524AD" w:rsidRPr="00F524AD" w:rsidRDefault="00F524AD" w:rsidP="00F524AD">
      <w:pPr>
        <w:shd w:val="clear" w:color="auto" w:fill="FFFFFF"/>
        <w:spacing w:before="40" w:line="240" w:lineRule="auto"/>
        <w:ind w:left="1644" w:hanging="1644"/>
        <w:rPr>
          <w:rFonts w:eastAsia="Times New Roman" w:cs="Times New Roman"/>
          <w:strike/>
          <w:color w:val="0000FF"/>
          <w:szCs w:val="22"/>
          <w:lang w:eastAsia="en-AU"/>
        </w:rPr>
      </w:pPr>
      <w:r w:rsidRPr="00F524AD">
        <w:rPr>
          <w:rFonts w:eastAsia="Times New Roman" w:cs="Times New Roman"/>
          <w:strike/>
          <w:color w:val="0000FF"/>
          <w:szCs w:val="22"/>
          <w:lang w:eastAsia="en-AU"/>
        </w:rPr>
        <w:t>                     (b)  the CDR consumer amends the consent.</w:t>
      </w:r>
    </w:p>
    <w:p w14:paraId="75A29E1D" w14:textId="77777777" w:rsidR="00BB7660" w:rsidRPr="004E01F4" w:rsidRDefault="00BB7660" w:rsidP="00BB7660">
      <w:pPr>
        <w:pStyle w:val="subsection"/>
      </w:pPr>
      <w:r w:rsidRPr="004E01F4">
        <w:tab/>
        <w:t>(2)</w:t>
      </w:r>
      <w:r w:rsidRPr="004E01F4">
        <w:tab/>
        <w:t>The accredited person must notify:</w:t>
      </w:r>
    </w:p>
    <w:p w14:paraId="7A98B093" w14:textId="77777777" w:rsidR="00BB7660" w:rsidRPr="004E01F4" w:rsidRDefault="00BB7660" w:rsidP="00BB7660">
      <w:pPr>
        <w:pStyle w:val="paragraph"/>
      </w:pPr>
      <w:r w:rsidRPr="004E01F4">
        <w:tab/>
        <w:t>(a)</w:t>
      </w:r>
      <w:r w:rsidRPr="004E01F4">
        <w:tab/>
        <w:t>if the CDR participant is a data holder―the data holder, in accordance with the data standards, that the consent has been amended; and</w:t>
      </w:r>
    </w:p>
    <w:p w14:paraId="4EBAE2ED" w14:textId="77777777" w:rsidR="00BB7660" w:rsidRPr="004E01F4" w:rsidRDefault="00BB7660" w:rsidP="00BB7660">
      <w:pPr>
        <w:pStyle w:val="paragraph"/>
      </w:pPr>
      <w:r w:rsidRPr="004E01F4">
        <w:tab/>
        <w:t>(b)</w:t>
      </w:r>
      <w:r w:rsidRPr="004E01F4">
        <w:tab/>
        <w:t xml:space="preserve">if the CDR participant is an accredited data recipient―the accredited data recipient </w:t>
      </w:r>
      <w:r w:rsidRPr="00A6091B">
        <w:t xml:space="preserve">as soon as practicable </w:t>
      </w:r>
      <w:r w:rsidRPr="004E01F4">
        <w:t>that the consent has been amended.</w:t>
      </w:r>
    </w:p>
    <w:p w14:paraId="72A06ABF" w14:textId="77777777" w:rsidR="00BB7660" w:rsidRDefault="00BB7660" w:rsidP="00BB7660">
      <w:pPr>
        <w:pStyle w:val="notetext"/>
      </w:pPr>
      <w:r w:rsidRPr="004E01F4">
        <w:t>Note:</w:t>
      </w:r>
      <w:r w:rsidRPr="004E01F4">
        <w:tab/>
        <w:t>This subrule is a civil penalty provision (see rule 9.8).</w:t>
      </w:r>
    </w:p>
    <w:p w14:paraId="0F2C1AA0" w14:textId="77777777" w:rsidR="00BB7660" w:rsidRPr="00F07699" w:rsidRDefault="00BB7660" w:rsidP="00BB7660">
      <w:pPr>
        <w:pStyle w:val="ActHead5"/>
      </w:pPr>
      <w:bookmarkStart w:id="309" w:name="_Toc50633091"/>
      <w:bookmarkStart w:id="310" w:name="_Toc57219050"/>
      <w:bookmarkStart w:id="311" w:name="_Toc59549161"/>
      <w:bookmarkStart w:id="312" w:name="_Toc111132071"/>
      <w:r w:rsidRPr="00F07699">
        <w:t>4.19  Updating consumer dashboard</w:t>
      </w:r>
      <w:bookmarkEnd w:id="309"/>
      <w:bookmarkEnd w:id="310"/>
      <w:bookmarkEnd w:id="311"/>
      <w:bookmarkEnd w:id="312"/>
    </w:p>
    <w:p w14:paraId="2A061BB5" w14:textId="77777777" w:rsidR="00BB7660" w:rsidRPr="00F07699" w:rsidRDefault="00BB7660" w:rsidP="00BB7660">
      <w:pPr>
        <w:pStyle w:val="subsection"/>
      </w:pPr>
      <w:r w:rsidRPr="00F07699">
        <w:tab/>
      </w:r>
      <w:r w:rsidRPr="00F07699">
        <w:tab/>
        <w:t>An accredited person must update a CDR consumer’s consumer dashboard as soon as practicable after the information required to be contained on the dashboard changes.</w:t>
      </w:r>
    </w:p>
    <w:p w14:paraId="4761AF58" w14:textId="77777777" w:rsidR="00BB7660" w:rsidRPr="00F07699" w:rsidRDefault="00BB7660" w:rsidP="00BB7660">
      <w:pPr>
        <w:pStyle w:val="notetext"/>
      </w:pPr>
      <w:r w:rsidRPr="00F07699">
        <w:t>Note:</w:t>
      </w:r>
      <w:r w:rsidRPr="00F07699">
        <w:tab/>
        <w:t>This rule is a civil penalty provision (see rule 9.8).</w:t>
      </w:r>
    </w:p>
    <w:p w14:paraId="09908C7A" w14:textId="77777777" w:rsidR="00BB7660" w:rsidRPr="004E01F4" w:rsidRDefault="00BB7660" w:rsidP="00BB7660">
      <w:pPr>
        <w:pStyle w:val="ActHead5"/>
      </w:pPr>
      <w:bookmarkStart w:id="313" w:name="_Toc50633092"/>
      <w:bookmarkStart w:id="314" w:name="_Toc50114061"/>
      <w:bookmarkStart w:id="315" w:name="_Toc57219051"/>
      <w:bookmarkStart w:id="316" w:name="_Toc59549162"/>
      <w:bookmarkStart w:id="317" w:name="_Toc111132072"/>
      <w:r w:rsidRPr="004E01F4">
        <w:t xml:space="preserve">4.20  Ongoing notification requirement—collection consents and use </w:t>
      </w:r>
      <w:bookmarkEnd w:id="313"/>
      <w:r w:rsidRPr="004E01F4">
        <w:t>consents</w:t>
      </w:r>
      <w:bookmarkEnd w:id="314"/>
      <w:bookmarkEnd w:id="315"/>
      <w:bookmarkEnd w:id="316"/>
      <w:bookmarkEnd w:id="317"/>
      <w:r w:rsidRPr="004E01F4">
        <w:t xml:space="preserve"> </w:t>
      </w:r>
    </w:p>
    <w:p w14:paraId="0969DF11" w14:textId="77777777" w:rsidR="00BB7660" w:rsidRPr="004E01F4" w:rsidRDefault="00BB7660" w:rsidP="00BB7660">
      <w:pPr>
        <w:pStyle w:val="subsection"/>
      </w:pPr>
      <w:r w:rsidRPr="004E01F4">
        <w:tab/>
        <w:t>(1)</w:t>
      </w:r>
      <w:r w:rsidRPr="004E01F4">
        <w:tab/>
        <w:t xml:space="preserve">This rule applies in relation to a collection consent or a use consent </w:t>
      </w:r>
      <w:r w:rsidR="00DC7727" w:rsidRPr="00F524AD">
        <w:rPr>
          <w:color w:val="0000FF"/>
        </w:rPr>
        <w:t xml:space="preserve">given under this Division </w:t>
      </w:r>
      <w:r w:rsidRPr="004E01F4">
        <w:t>if:</w:t>
      </w:r>
    </w:p>
    <w:p w14:paraId="3D9F523D" w14:textId="77777777" w:rsidR="00BB7660" w:rsidRPr="004E01F4" w:rsidRDefault="00BB7660" w:rsidP="00BB7660">
      <w:pPr>
        <w:pStyle w:val="paragraph"/>
      </w:pPr>
      <w:r w:rsidRPr="004E01F4">
        <w:tab/>
        <w:t>(a)</w:t>
      </w:r>
      <w:r w:rsidRPr="004E01F4">
        <w:tab/>
        <w:t>the consent is current; and</w:t>
      </w:r>
    </w:p>
    <w:p w14:paraId="2422B771" w14:textId="77777777" w:rsidR="00BB7660" w:rsidRPr="004E01F4" w:rsidRDefault="00BB7660" w:rsidP="00BB7660">
      <w:pPr>
        <w:pStyle w:val="paragraph"/>
      </w:pPr>
      <w:r w:rsidRPr="004E01F4">
        <w:tab/>
        <w:t>(b)</w:t>
      </w:r>
      <w:r w:rsidRPr="004E01F4">
        <w:tab/>
        <w:t>90 days have elapsed since the latest of the following:</w:t>
      </w:r>
    </w:p>
    <w:p w14:paraId="62E43640" w14:textId="77777777" w:rsidR="00BB7660" w:rsidRPr="004E01F4" w:rsidRDefault="00BB7660" w:rsidP="00BB7660">
      <w:pPr>
        <w:pStyle w:val="paragraphsub"/>
      </w:pPr>
      <w:r w:rsidRPr="004E01F4">
        <w:tab/>
        <w:t>(i)</w:t>
      </w:r>
      <w:r w:rsidRPr="004E01F4">
        <w:tab/>
        <w:t>the CDR consumer gave the consent;</w:t>
      </w:r>
    </w:p>
    <w:p w14:paraId="68022B09" w14:textId="77777777" w:rsidR="00BB7660" w:rsidRPr="004E01F4" w:rsidRDefault="00BB7660" w:rsidP="00BB7660">
      <w:pPr>
        <w:pStyle w:val="paragraphsub"/>
      </w:pPr>
      <w:r w:rsidRPr="004E01F4">
        <w:tab/>
        <w:t>(ia)</w:t>
      </w:r>
      <w:r w:rsidRPr="004E01F4">
        <w:tab/>
        <w:t>the CDR consumer last amended the consent;</w:t>
      </w:r>
    </w:p>
    <w:p w14:paraId="3639E6CA" w14:textId="77777777" w:rsidR="00BB7660" w:rsidRPr="00F07699" w:rsidRDefault="00BB7660" w:rsidP="00BB7660">
      <w:pPr>
        <w:pStyle w:val="paragraphsub"/>
      </w:pPr>
      <w:r w:rsidRPr="00F07699">
        <w:tab/>
        <w:t>(ii)</w:t>
      </w:r>
      <w:r w:rsidRPr="00F07699">
        <w:tab/>
        <w:t>the CDR consumer last used their consumer dashboard;</w:t>
      </w:r>
    </w:p>
    <w:p w14:paraId="6657AA26" w14:textId="77777777" w:rsidR="00BB7660" w:rsidRPr="00F07699" w:rsidRDefault="00BB7660" w:rsidP="00BB7660">
      <w:pPr>
        <w:pStyle w:val="paragraphsub"/>
      </w:pPr>
      <w:r w:rsidRPr="00F07699">
        <w:tab/>
        <w:t>(iii)</w:t>
      </w:r>
      <w:r w:rsidRPr="00F07699">
        <w:tab/>
        <w:t>the accredited person last sent the CDR consumer a notification in accordance with this rule.</w:t>
      </w:r>
    </w:p>
    <w:p w14:paraId="4C275AAE" w14:textId="77777777" w:rsidR="00BB7660" w:rsidRPr="00F07699" w:rsidRDefault="00BB7660" w:rsidP="00BB7660">
      <w:pPr>
        <w:pStyle w:val="subsection"/>
      </w:pPr>
      <w:r w:rsidRPr="00F07699">
        <w:tab/>
        <w:t>(2)</w:t>
      </w:r>
      <w:r w:rsidRPr="00F07699">
        <w:tab/>
        <w:t>The accredited person must notify the CDR consumer in accordance with this rule that the consent is still current.</w:t>
      </w:r>
    </w:p>
    <w:p w14:paraId="1CCEAE1D" w14:textId="77777777" w:rsidR="00BB7660" w:rsidRPr="00F07699" w:rsidRDefault="00BB7660" w:rsidP="00BB7660">
      <w:pPr>
        <w:pStyle w:val="notetext"/>
      </w:pPr>
      <w:r w:rsidRPr="00F07699">
        <w:lastRenderedPageBreak/>
        <w:t>Note:</w:t>
      </w:r>
      <w:r w:rsidRPr="00F07699">
        <w:tab/>
        <w:t>This subrule is a civil penalty provision (see rule 9.8).</w:t>
      </w:r>
    </w:p>
    <w:p w14:paraId="3FFA4D66" w14:textId="77777777" w:rsidR="00BB7660" w:rsidRPr="00F07699" w:rsidRDefault="00BB7660" w:rsidP="00BB7660">
      <w:pPr>
        <w:pStyle w:val="subsection"/>
      </w:pPr>
      <w:r w:rsidRPr="00F07699">
        <w:tab/>
        <w:t>(3)</w:t>
      </w:r>
      <w:r w:rsidRPr="00F07699">
        <w:tab/>
        <w:t>The notification must be given in writing otherwise than through the CDR consumer’s consumer dashboard.</w:t>
      </w:r>
    </w:p>
    <w:p w14:paraId="00782B1C" w14:textId="77777777" w:rsidR="00BB7660" w:rsidRDefault="00BB7660" w:rsidP="00BB7660">
      <w:pPr>
        <w:pStyle w:val="subsection"/>
      </w:pPr>
      <w:r w:rsidRPr="00F07699">
        <w:tab/>
        <w:t>(4)</w:t>
      </w:r>
      <w:r w:rsidRPr="00F07699">
        <w:tab/>
        <w:t>A copy of the notification may be included in the CDR consumer’s consumer dashboard.</w:t>
      </w:r>
    </w:p>
    <w:p w14:paraId="1D1A779D" w14:textId="77777777" w:rsidR="00BB7660" w:rsidRPr="00A00F6F" w:rsidRDefault="00BB7660" w:rsidP="00BB7660">
      <w:pPr>
        <w:pStyle w:val="ActHead5"/>
      </w:pPr>
      <w:bookmarkStart w:id="318" w:name="_Toc111132073"/>
      <w:r w:rsidRPr="00A00F6F">
        <w:t>4.20</w:t>
      </w:r>
      <w:r w:rsidR="00195095">
        <w:rPr>
          <w:noProof/>
        </w:rPr>
        <w:t>A</w:t>
      </w:r>
      <w:r w:rsidRPr="00A00F6F">
        <w:t xml:space="preserve">  Application of Subdivision to sponsor and affiliate</w:t>
      </w:r>
      <w:bookmarkEnd w:id="318"/>
    </w:p>
    <w:p w14:paraId="1B6B7C7C" w14:textId="77777777" w:rsidR="00BB7660" w:rsidRPr="007D3F52" w:rsidRDefault="00BB7660" w:rsidP="00BB7660">
      <w:pPr>
        <w:pStyle w:val="subsection"/>
      </w:pPr>
      <w:r w:rsidRPr="00A00F6F">
        <w:tab/>
      </w:r>
      <w:r w:rsidRPr="00A00F6F">
        <w:tab/>
        <w:t xml:space="preserve">Where this Subdivision would, if not for this rule, require both an affiliate and the affiliate’s sponsor to give a notice to a CDR consumer, the sponsor and the </w:t>
      </w:r>
      <w:r w:rsidRPr="007D3F52">
        <w:t>affiliate may choose which will give the notice.</w:t>
      </w:r>
    </w:p>
    <w:p w14:paraId="059353BD" w14:textId="77777777" w:rsidR="00BB7660" w:rsidRPr="007D3F52" w:rsidRDefault="00BB7660" w:rsidP="00BB7660">
      <w:pPr>
        <w:pStyle w:val="ActHead3"/>
        <w:rPr>
          <w:color w:val="0000FF"/>
        </w:rPr>
      </w:pPr>
      <w:bookmarkStart w:id="319" w:name="_Toc111132074"/>
      <w:bookmarkStart w:id="320" w:name="_Toc50114062"/>
      <w:bookmarkStart w:id="321" w:name="_Toc50633093"/>
      <w:bookmarkStart w:id="322" w:name="_Toc57219052"/>
      <w:bookmarkStart w:id="323" w:name="_Toc59549163"/>
      <w:bookmarkStart w:id="324" w:name="_Toc11771619"/>
      <w:bookmarkEnd w:id="187"/>
      <w:r w:rsidRPr="007D3F52">
        <w:rPr>
          <w:color w:val="0000FF"/>
        </w:rPr>
        <w:t>Division 4.3A—Giving and amending consents—CDR representatives</w:t>
      </w:r>
      <w:bookmarkEnd w:id="319"/>
    </w:p>
    <w:p w14:paraId="00003BB7" w14:textId="77777777" w:rsidR="00BB7660" w:rsidRPr="00DA3997" w:rsidRDefault="00BB7660" w:rsidP="00BB7660">
      <w:pPr>
        <w:pStyle w:val="ActHead4"/>
        <w:rPr>
          <w:color w:val="0000FF"/>
        </w:rPr>
      </w:pPr>
      <w:bookmarkStart w:id="325" w:name="_Toc111132075"/>
      <w:r w:rsidRPr="00DA3997">
        <w:rPr>
          <w:color w:val="0000FF"/>
        </w:rPr>
        <w:t>Subdivision 4.3A.1—Preliminary</w:t>
      </w:r>
      <w:bookmarkEnd w:id="325"/>
    </w:p>
    <w:p w14:paraId="23FF803C" w14:textId="77777777" w:rsidR="00BB7660" w:rsidRPr="00DA3997" w:rsidRDefault="00BB7660" w:rsidP="00BB7660">
      <w:pPr>
        <w:pStyle w:val="ActHead5"/>
        <w:rPr>
          <w:color w:val="0000FF"/>
        </w:rPr>
      </w:pPr>
      <w:bookmarkStart w:id="326" w:name="_Toc111132076"/>
      <w:r w:rsidRPr="004A04A4">
        <w:rPr>
          <w:color w:val="0000FF"/>
        </w:rPr>
        <w:t>4.20</w:t>
      </w:r>
      <w:r w:rsidR="00195095">
        <w:rPr>
          <w:noProof/>
          <w:color w:val="0000FF"/>
        </w:rPr>
        <w:t>B</w:t>
      </w:r>
      <w:r w:rsidRPr="00DA3997">
        <w:rPr>
          <w:color w:val="0000FF"/>
        </w:rPr>
        <w:t xml:space="preserve">  Purpose of Division</w:t>
      </w:r>
      <w:bookmarkEnd w:id="326"/>
    </w:p>
    <w:p w14:paraId="1BE74818" w14:textId="77777777" w:rsidR="00BB7660" w:rsidRPr="00DA3997" w:rsidRDefault="00BB7660" w:rsidP="00BB7660">
      <w:pPr>
        <w:pStyle w:val="subsection"/>
        <w:rPr>
          <w:color w:val="0000FF"/>
        </w:rPr>
      </w:pPr>
      <w:r w:rsidRPr="00DA3997">
        <w:rPr>
          <w:color w:val="0000FF"/>
        </w:rPr>
        <w:tab/>
      </w:r>
      <w:r w:rsidRPr="00DA3997">
        <w:rPr>
          <w:color w:val="0000FF"/>
        </w:rPr>
        <w:tab/>
        <w:t xml:space="preserve">This Division deals with giving and amending collection consents, use consents and disclosure consents </w:t>
      </w:r>
      <w:r w:rsidRPr="004A04A4">
        <w:rPr>
          <w:color w:val="0000FF"/>
        </w:rPr>
        <w:t>to CDR representatives</w:t>
      </w:r>
      <w:r w:rsidRPr="00DA3997">
        <w:rPr>
          <w:color w:val="0000FF"/>
        </w:rPr>
        <w:t>, as well as related matters.</w:t>
      </w:r>
    </w:p>
    <w:p w14:paraId="12C57283" w14:textId="77777777" w:rsidR="00BB7660" w:rsidRPr="00DA3997" w:rsidRDefault="00BB7660" w:rsidP="00BB7660">
      <w:pPr>
        <w:pStyle w:val="ActHead5"/>
        <w:rPr>
          <w:color w:val="0000FF"/>
        </w:rPr>
      </w:pPr>
      <w:bookmarkStart w:id="327" w:name="_Toc111132077"/>
      <w:r w:rsidRPr="004A04A4">
        <w:rPr>
          <w:color w:val="0000FF"/>
        </w:rPr>
        <w:t>4.20</w:t>
      </w:r>
      <w:r w:rsidR="00195095">
        <w:rPr>
          <w:noProof/>
          <w:color w:val="0000FF"/>
        </w:rPr>
        <w:t>C</w:t>
      </w:r>
      <w:r w:rsidRPr="00DA3997">
        <w:rPr>
          <w:color w:val="0000FF"/>
        </w:rPr>
        <w:t xml:space="preserve">  Object</w:t>
      </w:r>
      <w:bookmarkEnd w:id="327"/>
    </w:p>
    <w:p w14:paraId="3BC6C6BF" w14:textId="77777777" w:rsidR="00BB7660" w:rsidRPr="00DA3997" w:rsidRDefault="00BB7660" w:rsidP="00BB7660">
      <w:pPr>
        <w:pStyle w:val="subsection"/>
        <w:rPr>
          <w:color w:val="0000FF"/>
        </w:rPr>
      </w:pPr>
      <w:r w:rsidRPr="00DA3997">
        <w:rPr>
          <w:color w:val="0000FF"/>
        </w:rPr>
        <w:tab/>
      </w:r>
      <w:r w:rsidRPr="00DA3997">
        <w:rPr>
          <w:color w:val="0000FF"/>
        </w:rPr>
        <w:tab/>
        <w:t>The object of this Division is to ensure that a consent is:</w:t>
      </w:r>
    </w:p>
    <w:p w14:paraId="53C36397" w14:textId="77777777" w:rsidR="00BB7660" w:rsidRPr="00DA3997" w:rsidRDefault="00BB7660" w:rsidP="00BB7660">
      <w:pPr>
        <w:pStyle w:val="paragraph"/>
        <w:rPr>
          <w:color w:val="0000FF"/>
        </w:rPr>
      </w:pPr>
      <w:r w:rsidRPr="00DA3997">
        <w:rPr>
          <w:color w:val="0000FF"/>
        </w:rPr>
        <w:tab/>
        <w:t>(a)</w:t>
      </w:r>
      <w:r w:rsidRPr="00DA3997">
        <w:rPr>
          <w:color w:val="0000FF"/>
        </w:rPr>
        <w:tab/>
        <w:t>voluntary; and</w:t>
      </w:r>
    </w:p>
    <w:p w14:paraId="09D0840E" w14:textId="77777777" w:rsidR="00BB7660" w:rsidRPr="00DA3997" w:rsidRDefault="00BB7660" w:rsidP="00BB7660">
      <w:pPr>
        <w:pStyle w:val="paragraph"/>
        <w:rPr>
          <w:color w:val="0000FF"/>
        </w:rPr>
      </w:pPr>
      <w:r w:rsidRPr="00DA3997">
        <w:rPr>
          <w:color w:val="0000FF"/>
        </w:rPr>
        <w:tab/>
        <w:t>(b)</w:t>
      </w:r>
      <w:r w:rsidRPr="00DA3997">
        <w:rPr>
          <w:color w:val="0000FF"/>
        </w:rPr>
        <w:tab/>
        <w:t>express; and</w:t>
      </w:r>
    </w:p>
    <w:p w14:paraId="1F66CBA7" w14:textId="77777777" w:rsidR="00BB7660" w:rsidRPr="00DA3997" w:rsidRDefault="00BB7660" w:rsidP="00BB7660">
      <w:pPr>
        <w:pStyle w:val="paragraph"/>
        <w:rPr>
          <w:color w:val="0000FF"/>
        </w:rPr>
      </w:pPr>
      <w:r w:rsidRPr="00DA3997">
        <w:rPr>
          <w:color w:val="0000FF"/>
        </w:rPr>
        <w:tab/>
        <w:t>(c)</w:t>
      </w:r>
      <w:r w:rsidRPr="00DA3997">
        <w:rPr>
          <w:color w:val="0000FF"/>
        </w:rPr>
        <w:tab/>
        <w:t>informed; and</w:t>
      </w:r>
    </w:p>
    <w:p w14:paraId="459F92D8" w14:textId="77777777" w:rsidR="00BB7660" w:rsidRPr="00DA3997" w:rsidRDefault="00BB7660" w:rsidP="00BB7660">
      <w:pPr>
        <w:pStyle w:val="paragraph"/>
        <w:rPr>
          <w:color w:val="0000FF"/>
        </w:rPr>
      </w:pPr>
      <w:r w:rsidRPr="00DA3997">
        <w:rPr>
          <w:color w:val="0000FF"/>
        </w:rPr>
        <w:tab/>
        <w:t>(d)</w:t>
      </w:r>
      <w:r w:rsidRPr="00DA3997">
        <w:rPr>
          <w:color w:val="0000FF"/>
        </w:rPr>
        <w:tab/>
        <w:t>specific as to purpose; and</w:t>
      </w:r>
    </w:p>
    <w:p w14:paraId="15D145C2" w14:textId="77777777" w:rsidR="00BB7660" w:rsidRPr="00DA3997" w:rsidRDefault="00BB7660" w:rsidP="00BB7660">
      <w:pPr>
        <w:pStyle w:val="paragraph"/>
        <w:rPr>
          <w:color w:val="0000FF"/>
        </w:rPr>
      </w:pPr>
      <w:r w:rsidRPr="00DA3997">
        <w:rPr>
          <w:color w:val="0000FF"/>
        </w:rPr>
        <w:tab/>
        <w:t>(e)</w:t>
      </w:r>
      <w:r w:rsidRPr="00DA3997">
        <w:rPr>
          <w:color w:val="0000FF"/>
        </w:rPr>
        <w:tab/>
        <w:t>time limited; and</w:t>
      </w:r>
    </w:p>
    <w:p w14:paraId="186DDC6D" w14:textId="77777777" w:rsidR="00BB7660" w:rsidRPr="00DA3997" w:rsidRDefault="00BB7660" w:rsidP="00BB7660">
      <w:pPr>
        <w:pStyle w:val="paragraph"/>
        <w:rPr>
          <w:color w:val="0000FF"/>
        </w:rPr>
      </w:pPr>
      <w:r w:rsidRPr="00DA3997">
        <w:rPr>
          <w:color w:val="0000FF"/>
        </w:rPr>
        <w:tab/>
        <w:t>(f)</w:t>
      </w:r>
      <w:r w:rsidRPr="00DA3997">
        <w:rPr>
          <w:color w:val="0000FF"/>
        </w:rPr>
        <w:tab/>
        <w:t>easily withdrawn.</w:t>
      </w:r>
    </w:p>
    <w:p w14:paraId="49ADF6DF" w14:textId="77777777" w:rsidR="00BB7660" w:rsidRPr="00DA3997" w:rsidRDefault="00BB7660" w:rsidP="00BB7660">
      <w:pPr>
        <w:pStyle w:val="ActHead4"/>
        <w:rPr>
          <w:color w:val="0000FF"/>
        </w:rPr>
      </w:pPr>
      <w:bookmarkStart w:id="328" w:name="_Toc111132078"/>
      <w:r w:rsidRPr="00DA3997">
        <w:rPr>
          <w:color w:val="0000FF"/>
        </w:rPr>
        <w:t>Subdivision 4.3A.2—Giving consents</w:t>
      </w:r>
      <w:bookmarkEnd w:id="328"/>
    </w:p>
    <w:p w14:paraId="31E4A879" w14:textId="77777777" w:rsidR="00BB7660" w:rsidRPr="00F524AD" w:rsidRDefault="00BB7660" w:rsidP="00BB7660">
      <w:pPr>
        <w:pStyle w:val="notemargin"/>
        <w:rPr>
          <w:color w:val="0000FF"/>
        </w:rPr>
      </w:pPr>
      <w:r w:rsidRPr="00DA3997">
        <w:rPr>
          <w:color w:val="0000FF"/>
        </w:rPr>
        <w:t>Note:</w:t>
      </w:r>
      <w:r w:rsidRPr="00DA3997">
        <w:rPr>
          <w:color w:val="0000FF"/>
        </w:rPr>
        <w:tab/>
        <w:t>Under rule </w:t>
      </w:r>
      <w:r w:rsidRPr="00F524AD">
        <w:rPr>
          <w:color w:val="0000FF"/>
        </w:rPr>
        <w:t>4.3</w:t>
      </w:r>
      <w:r w:rsidR="00486FA5" w:rsidRPr="00F524AD">
        <w:rPr>
          <w:color w:val="0000FF"/>
        </w:rPr>
        <w:t>A</w:t>
      </w:r>
      <w:r w:rsidRPr="00DA3997">
        <w:rPr>
          <w:color w:val="0000FF"/>
        </w:rPr>
        <w:t xml:space="preserve">, if </w:t>
      </w:r>
      <w:r w:rsidRPr="004A04A4">
        <w:rPr>
          <w:color w:val="0000FF"/>
        </w:rPr>
        <w:t>a CDR representative</w:t>
      </w:r>
      <w:r w:rsidRPr="00DA3997">
        <w:rPr>
          <w:color w:val="0000FF"/>
        </w:rPr>
        <w:t xml:space="preserve"> asks a CDR consumer for their consent to collect and use their CDR data, it must do so in accordance with this Division, and in particular, rules </w:t>
      </w:r>
      <w:r w:rsidRPr="004A04A4">
        <w:rPr>
          <w:color w:val="0000FF"/>
        </w:rPr>
        <w:t>4</w:t>
      </w:r>
      <w:r w:rsidR="0034635F">
        <w:rPr>
          <w:color w:val="0000FF"/>
        </w:rPr>
        <w:t>.20D</w:t>
      </w:r>
      <w:r w:rsidRPr="004A04A4">
        <w:rPr>
          <w:color w:val="0000FF"/>
        </w:rPr>
        <w:t>, 4</w:t>
      </w:r>
      <w:r w:rsidR="0034635F">
        <w:rPr>
          <w:color w:val="0000FF"/>
        </w:rPr>
        <w:t>.20E</w:t>
      </w:r>
      <w:r w:rsidRPr="004A04A4">
        <w:rPr>
          <w:color w:val="0000FF"/>
        </w:rPr>
        <w:t xml:space="preserve"> and 4</w:t>
      </w:r>
      <w:r w:rsidR="0034635F">
        <w:rPr>
          <w:color w:val="0000FF"/>
        </w:rPr>
        <w:t>.20F</w:t>
      </w:r>
      <w:r w:rsidRPr="004A04A4">
        <w:rPr>
          <w:color w:val="0000FF"/>
        </w:rPr>
        <w:t>.</w:t>
      </w:r>
      <w:r w:rsidRPr="00DA3997">
        <w:rPr>
          <w:color w:val="0000FF"/>
        </w:rPr>
        <w:t xml:space="preserve"> A failure to do so could</w:t>
      </w:r>
      <w:r w:rsidR="00486FA5" w:rsidRPr="00DA3997">
        <w:rPr>
          <w:color w:val="0000FF"/>
        </w:rPr>
        <w:t xml:space="preserve"> </w:t>
      </w:r>
      <w:r w:rsidR="00486FA5" w:rsidRPr="00F524AD">
        <w:rPr>
          <w:color w:val="0000FF"/>
        </w:rPr>
        <w:t xml:space="preserve">result in the CDR principal </w:t>
      </w:r>
      <w:r w:rsidR="00DA1F3C" w:rsidRPr="00500212">
        <w:rPr>
          <w:color w:val="0000FF"/>
        </w:rPr>
        <w:t>being liable for</w:t>
      </w:r>
      <w:r w:rsidR="00DA1F3C">
        <w:rPr>
          <w:color w:val="0000FF"/>
        </w:rPr>
        <w:t xml:space="preserve"> </w:t>
      </w:r>
      <w:r w:rsidRPr="00F524AD">
        <w:rPr>
          <w:color w:val="0000FF"/>
        </w:rPr>
        <w:t>one or more civil penalty provisions: see section 56EF of the Act and rule </w:t>
      </w:r>
      <w:r w:rsidR="00486FA5" w:rsidRPr="00F524AD">
        <w:rPr>
          <w:color w:val="0000FF"/>
        </w:rPr>
        <w:t>1.16A</w:t>
      </w:r>
      <w:r w:rsidRPr="00F524AD">
        <w:rPr>
          <w:color w:val="0000FF"/>
        </w:rPr>
        <w:t>.</w:t>
      </w:r>
    </w:p>
    <w:p w14:paraId="2C1FED2B" w14:textId="77777777" w:rsidR="00BB7660" w:rsidRPr="00DA3997" w:rsidRDefault="00BB7660" w:rsidP="00BB7660">
      <w:pPr>
        <w:pStyle w:val="ActHead5"/>
        <w:rPr>
          <w:color w:val="0000FF"/>
        </w:rPr>
      </w:pPr>
      <w:bookmarkStart w:id="329" w:name="_Toc111132079"/>
      <w:r w:rsidRPr="004A04A4">
        <w:rPr>
          <w:color w:val="0000FF"/>
        </w:rPr>
        <w:t>4.20</w:t>
      </w:r>
      <w:r w:rsidR="00195095">
        <w:rPr>
          <w:noProof/>
          <w:color w:val="0000FF"/>
        </w:rPr>
        <w:t>D</w:t>
      </w:r>
      <w:r w:rsidRPr="00DA3997">
        <w:rPr>
          <w:color w:val="0000FF"/>
        </w:rPr>
        <w:t xml:space="preserve">  Requirements relating to </w:t>
      </w:r>
      <w:r w:rsidRPr="004A04A4">
        <w:rPr>
          <w:color w:val="0000FF"/>
        </w:rPr>
        <w:t>CDR representative</w:t>
      </w:r>
      <w:r w:rsidRPr="00DA3997">
        <w:rPr>
          <w:color w:val="0000FF"/>
        </w:rPr>
        <w:t>’s processes for seeking consent</w:t>
      </w:r>
      <w:bookmarkEnd w:id="329"/>
    </w:p>
    <w:p w14:paraId="5FDA61D6" w14:textId="77777777" w:rsidR="00BB7660" w:rsidRPr="00DA3997" w:rsidRDefault="00BB7660" w:rsidP="00BB7660">
      <w:pPr>
        <w:pStyle w:val="subsection"/>
        <w:rPr>
          <w:color w:val="0000FF"/>
        </w:rPr>
      </w:pPr>
      <w:r w:rsidRPr="00DA3997">
        <w:rPr>
          <w:color w:val="0000FF"/>
        </w:rPr>
        <w:tab/>
      </w:r>
      <w:r w:rsidRPr="00DA3997">
        <w:rPr>
          <w:color w:val="0000FF"/>
        </w:rPr>
        <w:tab/>
      </w:r>
      <w:r w:rsidRPr="004A04A4">
        <w:rPr>
          <w:color w:val="0000FF"/>
        </w:rPr>
        <w:t>A CDR representative</w:t>
      </w:r>
      <w:r w:rsidRPr="00DA3997">
        <w:rPr>
          <w:color w:val="0000FF"/>
        </w:rPr>
        <w:t>’s processes for asking a CDR consumer to give or amend a consent:</w:t>
      </w:r>
    </w:p>
    <w:p w14:paraId="57E83910" w14:textId="77777777" w:rsidR="00BB7660" w:rsidRPr="00DA3997" w:rsidRDefault="00BB7660" w:rsidP="00BB7660">
      <w:pPr>
        <w:pStyle w:val="paragraph"/>
        <w:rPr>
          <w:color w:val="0000FF"/>
        </w:rPr>
      </w:pPr>
      <w:r w:rsidRPr="00DA3997">
        <w:rPr>
          <w:color w:val="0000FF"/>
        </w:rPr>
        <w:tab/>
        <w:t>(a)</w:t>
      </w:r>
      <w:r w:rsidRPr="00DA3997">
        <w:rPr>
          <w:color w:val="0000FF"/>
        </w:rPr>
        <w:tab/>
        <w:t>must:</w:t>
      </w:r>
    </w:p>
    <w:p w14:paraId="02E2115A" w14:textId="77777777" w:rsidR="00BB7660" w:rsidRPr="00DA3997" w:rsidRDefault="00BB7660" w:rsidP="00BB7660">
      <w:pPr>
        <w:pStyle w:val="paragraphsub"/>
        <w:rPr>
          <w:color w:val="0000FF"/>
        </w:rPr>
      </w:pPr>
      <w:r w:rsidRPr="00DA3997">
        <w:rPr>
          <w:color w:val="0000FF"/>
        </w:rPr>
        <w:tab/>
        <w:t>(i)</w:t>
      </w:r>
      <w:r w:rsidRPr="00DA3997">
        <w:rPr>
          <w:color w:val="0000FF"/>
        </w:rPr>
        <w:tab/>
        <w:t xml:space="preserve">accord with any </w:t>
      </w:r>
      <w:r w:rsidR="009C2462" w:rsidRPr="00F524AD">
        <w:rPr>
          <w:color w:val="0000FF"/>
        </w:rPr>
        <w:t>relevant</w:t>
      </w:r>
      <w:r w:rsidR="009C2462" w:rsidRPr="009C2462">
        <w:t xml:space="preserve"> </w:t>
      </w:r>
      <w:r w:rsidRPr="00DA3997">
        <w:rPr>
          <w:color w:val="0000FF"/>
        </w:rPr>
        <w:t>data standards; and</w:t>
      </w:r>
    </w:p>
    <w:p w14:paraId="35C06ACF" w14:textId="77777777" w:rsidR="00BB7660" w:rsidRPr="00DA3997" w:rsidRDefault="00BB7660" w:rsidP="00BB7660">
      <w:pPr>
        <w:pStyle w:val="paragraphsub"/>
        <w:rPr>
          <w:color w:val="0000FF"/>
        </w:rPr>
      </w:pPr>
      <w:r w:rsidRPr="00DA3997">
        <w:rPr>
          <w:color w:val="0000FF"/>
        </w:rPr>
        <w:tab/>
        <w:t>(ii)</w:t>
      </w:r>
      <w:r w:rsidRPr="00DA3997">
        <w:rPr>
          <w:color w:val="0000FF"/>
        </w:rPr>
        <w:tab/>
        <w:t xml:space="preserve">having regard to any consumer experience guidelines developed by the Data Standards Body, be as easy to understand as practicable, </w:t>
      </w:r>
      <w:r w:rsidRPr="00DA3997">
        <w:rPr>
          <w:color w:val="0000FF"/>
        </w:rPr>
        <w:lastRenderedPageBreak/>
        <w:t>including by use of concise language and, where appropriate, visual aids; and</w:t>
      </w:r>
    </w:p>
    <w:p w14:paraId="31CE5B1F" w14:textId="77777777" w:rsidR="00BB7660" w:rsidRPr="00DA3997" w:rsidRDefault="00BB7660" w:rsidP="00BB7660">
      <w:pPr>
        <w:pStyle w:val="paragraph"/>
        <w:rPr>
          <w:color w:val="0000FF"/>
        </w:rPr>
      </w:pPr>
      <w:r w:rsidRPr="00DA3997">
        <w:rPr>
          <w:color w:val="0000FF"/>
        </w:rPr>
        <w:tab/>
        <w:t>(b)</w:t>
      </w:r>
      <w:r w:rsidRPr="00DA3997">
        <w:rPr>
          <w:color w:val="0000FF"/>
        </w:rPr>
        <w:tab/>
        <w:t>must not:</w:t>
      </w:r>
    </w:p>
    <w:p w14:paraId="548A8F86" w14:textId="77777777" w:rsidR="00BB7660" w:rsidRPr="00DA3997" w:rsidRDefault="00BB7660" w:rsidP="00BB7660">
      <w:pPr>
        <w:pStyle w:val="paragraphsub"/>
        <w:rPr>
          <w:color w:val="0000FF"/>
        </w:rPr>
      </w:pPr>
      <w:r w:rsidRPr="00DA3997">
        <w:rPr>
          <w:color w:val="0000FF"/>
        </w:rPr>
        <w:tab/>
        <w:t>(i)</w:t>
      </w:r>
      <w:r w:rsidRPr="00DA3997">
        <w:rPr>
          <w:color w:val="0000FF"/>
        </w:rPr>
        <w:tab/>
        <w:t xml:space="preserve">include or refer to the </w:t>
      </w:r>
      <w:r w:rsidRPr="004A04A4">
        <w:rPr>
          <w:color w:val="0000FF"/>
        </w:rPr>
        <w:t>CDR principal’s</w:t>
      </w:r>
      <w:r w:rsidRPr="00DA3997">
        <w:rPr>
          <w:color w:val="0000FF"/>
        </w:rPr>
        <w:t xml:space="preserve"> CDR policy or other documents so as to reduce comprehensibility; or</w:t>
      </w:r>
    </w:p>
    <w:p w14:paraId="62B0EAA8" w14:textId="77777777" w:rsidR="00BB7660" w:rsidRPr="00DA3997" w:rsidRDefault="00BB7660" w:rsidP="00BB7660">
      <w:pPr>
        <w:pStyle w:val="paragraphsub"/>
        <w:rPr>
          <w:color w:val="0000FF"/>
        </w:rPr>
      </w:pPr>
      <w:r w:rsidRPr="00DA3997">
        <w:rPr>
          <w:color w:val="0000FF"/>
        </w:rPr>
        <w:tab/>
        <w:t>(ii)</w:t>
      </w:r>
      <w:r w:rsidRPr="00DA3997">
        <w:rPr>
          <w:color w:val="0000FF"/>
        </w:rPr>
        <w:tab/>
        <w:t>bundle consents with other directions, permissions, consents or agreements.</w:t>
      </w:r>
    </w:p>
    <w:p w14:paraId="38272D36" w14:textId="77777777" w:rsidR="00BB7660" w:rsidRPr="00DA3997" w:rsidRDefault="00BB7660" w:rsidP="00BB7660">
      <w:pPr>
        <w:pStyle w:val="ActHead5"/>
        <w:rPr>
          <w:color w:val="0000FF"/>
        </w:rPr>
      </w:pPr>
      <w:bookmarkStart w:id="330" w:name="_Toc111132080"/>
      <w:r w:rsidRPr="004A04A4">
        <w:rPr>
          <w:color w:val="0000FF"/>
        </w:rPr>
        <w:t>4.20</w:t>
      </w:r>
      <w:r w:rsidR="00195095">
        <w:rPr>
          <w:noProof/>
          <w:color w:val="0000FF"/>
        </w:rPr>
        <w:t>E</w:t>
      </w:r>
      <w:r w:rsidRPr="00DA3997">
        <w:rPr>
          <w:color w:val="0000FF"/>
        </w:rPr>
        <w:t xml:space="preserve">  Asking CDR consumer to give consent</w:t>
      </w:r>
      <w:bookmarkEnd w:id="330"/>
    </w:p>
    <w:p w14:paraId="51FE45F6" w14:textId="77777777" w:rsidR="00BB7660" w:rsidRPr="00DA3997" w:rsidRDefault="00BB7660" w:rsidP="00BB7660">
      <w:pPr>
        <w:pStyle w:val="subsection"/>
        <w:rPr>
          <w:color w:val="0000FF"/>
        </w:rPr>
      </w:pPr>
      <w:r w:rsidRPr="00DA3997">
        <w:rPr>
          <w:color w:val="0000FF"/>
        </w:rPr>
        <w:tab/>
        <w:t>(1)</w:t>
      </w:r>
      <w:r w:rsidRPr="00DA3997">
        <w:rPr>
          <w:color w:val="0000FF"/>
        </w:rPr>
        <w:tab/>
        <w:t>When asking a CDR consumer to give a consent, a CDR representative must:</w:t>
      </w:r>
    </w:p>
    <w:p w14:paraId="22CEC3F0" w14:textId="77777777" w:rsidR="00BB7660" w:rsidRPr="00DA3997" w:rsidRDefault="00BB7660" w:rsidP="00BB7660">
      <w:pPr>
        <w:pStyle w:val="paragraph"/>
        <w:rPr>
          <w:color w:val="0000FF"/>
        </w:rPr>
      </w:pPr>
      <w:r w:rsidRPr="00DA3997">
        <w:rPr>
          <w:color w:val="0000FF"/>
        </w:rPr>
        <w:tab/>
        <w:t>(a)</w:t>
      </w:r>
      <w:r w:rsidRPr="00DA3997">
        <w:rPr>
          <w:color w:val="0000FF"/>
        </w:rPr>
        <w:tab/>
        <w:t>allow the CDR consumer to choose the types of CDR data to which the consent will apply by enabling the CDR consumer to actively select or otherwise clearly indicate:</w:t>
      </w:r>
    </w:p>
    <w:p w14:paraId="713F924B" w14:textId="77777777" w:rsidR="00BB7660" w:rsidRPr="00DA3997" w:rsidRDefault="00BB7660" w:rsidP="00BB7660">
      <w:pPr>
        <w:pStyle w:val="paragraphsub"/>
        <w:rPr>
          <w:color w:val="0000FF"/>
        </w:rPr>
      </w:pPr>
      <w:r w:rsidRPr="00DA3997">
        <w:rPr>
          <w:color w:val="0000FF"/>
        </w:rPr>
        <w:tab/>
        <w:t>(i)</w:t>
      </w:r>
      <w:r w:rsidRPr="00DA3997">
        <w:rPr>
          <w:color w:val="0000FF"/>
        </w:rPr>
        <w:tab/>
        <w:t>in the case of a collection consent or a disclosure consent―the particular types of CDR data to which the consent will apply; and</w:t>
      </w:r>
    </w:p>
    <w:p w14:paraId="2EDC4BB8" w14:textId="77777777" w:rsidR="00BB7660" w:rsidRPr="00DA3997" w:rsidRDefault="00BB7660" w:rsidP="00BB7660">
      <w:pPr>
        <w:pStyle w:val="paragraphsub"/>
        <w:rPr>
          <w:color w:val="0000FF"/>
        </w:rPr>
      </w:pPr>
      <w:r w:rsidRPr="00DA3997">
        <w:rPr>
          <w:color w:val="0000FF"/>
        </w:rPr>
        <w:tab/>
        <w:t>(ii)</w:t>
      </w:r>
      <w:r w:rsidRPr="00DA3997">
        <w:rPr>
          <w:color w:val="0000FF"/>
        </w:rPr>
        <w:tab/>
        <w:t>in the case of a use consent―the specific uses of collected data to which they are consenting; and</w:t>
      </w:r>
    </w:p>
    <w:p w14:paraId="5451B114" w14:textId="77777777" w:rsidR="00BB7660" w:rsidRPr="00DA3997" w:rsidRDefault="00BB7660" w:rsidP="00BB7660">
      <w:pPr>
        <w:pStyle w:val="paragraph"/>
        <w:rPr>
          <w:color w:val="0000FF"/>
        </w:rPr>
      </w:pPr>
      <w:r w:rsidRPr="00DA3997">
        <w:rPr>
          <w:color w:val="0000FF"/>
        </w:rPr>
        <w:tab/>
        <w:t>(b)</w:t>
      </w:r>
      <w:r w:rsidRPr="00DA3997">
        <w:rPr>
          <w:color w:val="0000FF"/>
        </w:rPr>
        <w:tab/>
        <w:t>allow the CDR consumer to choose the period of the collection consent, use consent, or disclosure consent (as appropriate) by enabling the CDR consumer to actively select or otherwise clearly indicate whether the consent would apply:</w:t>
      </w:r>
    </w:p>
    <w:p w14:paraId="5D0320EF" w14:textId="77777777" w:rsidR="00BB7660" w:rsidRPr="00DA3997" w:rsidRDefault="00BB7660" w:rsidP="00BB7660">
      <w:pPr>
        <w:pStyle w:val="paragraphsub"/>
        <w:rPr>
          <w:color w:val="0000FF"/>
        </w:rPr>
      </w:pPr>
      <w:r w:rsidRPr="00DA3997">
        <w:rPr>
          <w:color w:val="0000FF"/>
        </w:rPr>
        <w:tab/>
        <w:t>(i)</w:t>
      </w:r>
      <w:r w:rsidRPr="00DA3997">
        <w:rPr>
          <w:color w:val="0000FF"/>
        </w:rPr>
        <w:tab/>
        <w:t xml:space="preserve"> on a single occasion; or</w:t>
      </w:r>
    </w:p>
    <w:p w14:paraId="5C135467" w14:textId="77777777" w:rsidR="00BB7660" w:rsidRPr="00DA3997" w:rsidRDefault="00BB7660" w:rsidP="00BB7660">
      <w:pPr>
        <w:pStyle w:val="paragraphsub"/>
        <w:rPr>
          <w:color w:val="0000FF"/>
        </w:rPr>
      </w:pPr>
      <w:r w:rsidRPr="00DA3997">
        <w:rPr>
          <w:color w:val="0000FF"/>
        </w:rPr>
        <w:tab/>
        <w:t>(ii)</w:t>
      </w:r>
      <w:r w:rsidRPr="00DA3997">
        <w:rPr>
          <w:color w:val="0000FF"/>
        </w:rPr>
        <w:tab/>
        <w:t xml:space="preserve"> over a specified period of time; and</w:t>
      </w:r>
    </w:p>
    <w:p w14:paraId="6C99DC9D" w14:textId="77777777" w:rsidR="00BB7660" w:rsidRPr="00DA3997" w:rsidRDefault="00BB7660" w:rsidP="00BB7660">
      <w:pPr>
        <w:pStyle w:val="paragraph"/>
        <w:rPr>
          <w:color w:val="0000FF"/>
        </w:rPr>
      </w:pPr>
      <w:r w:rsidRPr="00DA3997">
        <w:rPr>
          <w:color w:val="0000FF"/>
        </w:rPr>
        <w:tab/>
        <w:t>(c)</w:t>
      </w:r>
      <w:r w:rsidRPr="00DA3997">
        <w:rPr>
          <w:color w:val="0000FF"/>
        </w:rPr>
        <w:tab/>
        <w:t>in the case of a disclosure consent―allow the CDR consumer to select the person to whom the CDR data may be disclosed; and</w:t>
      </w:r>
    </w:p>
    <w:p w14:paraId="65B17422" w14:textId="77777777" w:rsidR="00DA1F3C" w:rsidRPr="00500212" w:rsidRDefault="00DA1F3C" w:rsidP="00DA1F3C">
      <w:pPr>
        <w:pStyle w:val="paragraph"/>
        <w:rPr>
          <w:color w:val="0000FF"/>
        </w:rPr>
      </w:pPr>
      <w:r w:rsidRPr="00500212">
        <w:rPr>
          <w:color w:val="0000FF"/>
        </w:rPr>
        <w:tab/>
        <w:t>(d)</w:t>
      </w:r>
      <w:r w:rsidRPr="00500212">
        <w:rPr>
          <w:color w:val="0000FF"/>
        </w:rPr>
        <w:tab/>
        <w:t>in the case of a consent by a CDR business consumer of a kind mentioned in paragraph 1.10A(7)(a)―invite the CDR business consumer to provide the business consumer statement; and</w:t>
      </w:r>
    </w:p>
    <w:p w14:paraId="63C13B5A" w14:textId="77777777" w:rsidR="00BB7660" w:rsidRPr="00DA3997" w:rsidRDefault="00BB7660" w:rsidP="00BB7660">
      <w:pPr>
        <w:pStyle w:val="paragraph"/>
        <w:rPr>
          <w:color w:val="0000FF"/>
        </w:rPr>
      </w:pPr>
      <w:r w:rsidRPr="00DA3997">
        <w:rPr>
          <w:color w:val="0000FF"/>
        </w:rPr>
        <w:tab/>
        <w:t>(</w:t>
      </w:r>
      <w:r w:rsidR="00DA1F3C">
        <w:rPr>
          <w:color w:val="0000FF"/>
        </w:rPr>
        <w:t>e</w:t>
      </w:r>
      <w:r w:rsidRPr="00DA3997">
        <w:rPr>
          <w:color w:val="0000FF"/>
        </w:rPr>
        <w:t>)</w:t>
      </w:r>
      <w:r w:rsidRPr="00DA3997">
        <w:rPr>
          <w:color w:val="0000FF"/>
        </w:rPr>
        <w:tab/>
        <w:t>ask for the CDR consumer’s express consent to the choices referred to in paragraphs (a), (b) and (c) for each relevant category of consents; and</w:t>
      </w:r>
    </w:p>
    <w:p w14:paraId="070EE755" w14:textId="77777777" w:rsidR="00BB7660" w:rsidRPr="00DA3997" w:rsidRDefault="00BB7660" w:rsidP="00BB7660">
      <w:pPr>
        <w:pStyle w:val="paragraph"/>
        <w:rPr>
          <w:color w:val="0000FF"/>
        </w:rPr>
      </w:pPr>
      <w:r w:rsidRPr="00DA3997">
        <w:rPr>
          <w:color w:val="0000FF"/>
        </w:rPr>
        <w:tab/>
        <w:t>(</w:t>
      </w:r>
      <w:r w:rsidR="00DA1F3C">
        <w:rPr>
          <w:color w:val="0000FF"/>
        </w:rPr>
        <w:t>f</w:t>
      </w:r>
      <w:r w:rsidRPr="00DA3997">
        <w:rPr>
          <w:color w:val="0000FF"/>
        </w:rPr>
        <w:t>)</w:t>
      </w:r>
      <w:r w:rsidRPr="00DA3997">
        <w:rPr>
          <w:color w:val="0000FF"/>
        </w:rPr>
        <w:tab/>
        <w:t xml:space="preserve">if the CDR representative intends to charge a fee for disclosure of CDR data, or pass on to the CDR consumer a fee charged by a data holder </w:t>
      </w:r>
      <w:r w:rsidR="00F86882" w:rsidRPr="00DA3997">
        <w:rPr>
          <w:color w:val="0000FF"/>
        </w:rPr>
        <w:t xml:space="preserve">or accredited person </w:t>
      </w:r>
      <w:r w:rsidRPr="00DA3997">
        <w:rPr>
          <w:color w:val="0000FF"/>
        </w:rPr>
        <w:t>for disclosure of CDR data:</w:t>
      </w:r>
    </w:p>
    <w:p w14:paraId="61CD501D" w14:textId="77777777" w:rsidR="00BB7660" w:rsidRPr="00DA3997" w:rsidRDefault="00BB7660" w:rsidP="00BB7660">
      <w:pPr>
        <w:pStyle w:val="paragraphsub"/>
        <w:rPr>
          <w:color w:val="0000FF"/>
        </w:rPr>
      </w:pPr>
      <w:r w:rsidRPr="00DA3997">
        <w:rPr>
          <w:color w:val="0000FF"/>
        </w:rPr>
        <w:tab/>
        <w:t>(i)</w:t>
      </w:r>
      <w:r w:rsidRPr="00DA3997">
        <w:rPr>
          <w:color w:val="0000FF"/>
        </w:rPr>
        <w:tab/>
        <w:t>clearly distinguish between the CDR data for which a fee will, and will not, be charged or passed on; and</w:t>
      </w:r>
    </w:p>
    <w:p w14:paraId="1C875722" w14:textId="77777777" w:rsidR="00BB7660" w:rsidRPr="00DA3997" w:rsidRDefault="00BB7660" w:rsidP="00BB7660">
      <w:pPr>
        <w:pStyle w:val="paragraphsub"/>
        <w:rPr>
          <w:color w:val="0000FF"/>
        </w:rPr>
      </w:pPr>
      <w:r w:rsidRPr="00DA3997">
        <w:rPr>
          <w:color w:val="0000FF"/>
        </w:rPr>
        <w:tab/>
        <w:t>(ii)</w:t>
      </w:r>
      <w:r w:rsidRPr="00DA3997">
        <w:rPr>
          <w:color w:val="0000FF"/>
        </w:rPr>
        <w:tab/>
        <w:t>allow the CDR consumer to actively select or otherwise clearly indicate whether they consent to the collection or disclosure, as appropriate, of the CDR data for which a fee will be charged or passed on; and</w:t>
      </w:r>
    </w:p>
    <w:p w14:paraId="0F266ABA" w14:textId="77777777" w:rsidR="00BB7660" w:rsidRPr="00DA3997" w:rsidRDefault="00BB7660" w:rsidP="00BB7660">
      <w:pPr>
        <w:pStyle w:val="paragraph"/>
        <w:rPr>
          <w:color w:val="0000FF"/>
        </w:rPr>
      </w:pPr>
      <w:r w:rsidRPr="00DA3997">
        <w:rPr>
          <w:color w:val="0000FF"/>
        </w:rPr>
        <w:tab/>
        <w:t>(</w:t>
      </w:r>
      <w:r w:rsidR="00DA1F3C">
        <w:rPr>
          <w:color w:val="0000FF"/>
        </w:rPr>
        <w:t>g</w:t>
      </w:r>
      <w:r w:rsidRPr="00DA3997">
        <w:rPr>
          <w:color w:val="0000FF"/>
        </w:rPr>
        <w:t>)</w:t>
      </w:r>
      <w:r w:rsidRPr="00DA3997">
        <w:rPr>
          <w:color w:val="0000FF"/>
        </w:rPr>
        <w:tab/>
        <w:t>allow the CDR consumer to make an election in relation to deletion of redundant data in accordance with rule</w:t>
      </w:r>
      <w:r w:rsidRPr="004A04A4">
        <w:rPr>
          <w:color w:val="0000FF"/>
        </w:rPr>
        <w:t xml:space="preserve"> 4</w:t>
      </w:r>
      <w:r w:rsidR="0034635F">
        <w:rPr>
          <w:color w:val="0000FF"/>
        </w:rPr>
        <w:t>.20M</w:t>
      </w:r>
      <w:r w:rsidRPr="00DA3997">
        <w:rPr>
          <w:color w:val="0000FF"/>
        </w:rPr>
        <w:t>.</w:t>
      </w:r>
    </w:p>
    <w:p w14:paraId="4FD91DF6" w14:textId="77777777" w:rsidR="00BB7660" w:rsidRPr="00DA3997" w:rsidRDefault="00BB7660" w:rsidP="00BB7660">
      <w:pPr>
        <w:pStyle w:val="notetext"/>
        <w:rPr>
          <w:color w:val="0000FF"/>
        </w:rPr>
      </w:pPr>
      <w:r w:rsidRPr="00DA3997">
        <w:rPr>
          <w:color w:val="0000FF"/>
        </w:rPr>
        <w:t>Example:</w:t>
      </w:r>
      <w:r w:rsidRPr="00DA3997">
        <w:rPr>
          <w:color w:val="0000FF"/>
        </w:rPr>
        <w:tab/>
        <w:t>For a collection consent, a CDR representative could present the CDR consumer with a set of un</w:t>
      </w:r>
      <w:r w:rsidRPr="00DA3997">
        <w:rPr>
          <w:color w:val="0000FF"/>
        </w:rPr>
        <w:noBreakHyphen/>
        <w:t>filled boxes corresponding to different types of data, and permit the CDR consumer to select the boxes that correspond to the data they consent to the CDR representative collecting.</w:t>
      </w:r>
    </w:p>
    <w:p w14:paraId="575F4FA4" w14:textId="77777777" w:rsidR="00BB7660" w:rsidRPr="00DA3997" w:rsidRDefault="00BB7660" w:rsidP="00BB7660">
      <w:pPr>
        <w:pStyle w:val="notetext"/>
        <w:rPr>
          <w:color w:val="0000FF"/>
        </w:rPr>
      </w:pPr>
      <w:r w:rsidRPr="00DA3997">
        <w:rPr>
          <w:color w:val="0000FF"/>
        </w:rPr>
        <w:t>Note 1:</w:t>
      </w:r>
      <w:r w:rsidRPr="00DA3997">
        <w:rPr>
          <w:color w:val="0000FF"/>
        </w:rPr>
        <w:tab/>
        <w:t>A CDR representative could not infer consent, or seek to rely on an implied consent.</w:t>
      </w:r>
    </w:p>
    <w:p w14:paraId="7E7F2848" w14:textId="77777777" w:rsidR="00BB7660" w:rsidRPr="00DA3997" w:rsidRDefault="00BB7660" w:rsidP="00BB7660">
      <w:pPr>
        <w:pStyle w:val="notetext"/>
        <w:rPr>
          <w:color w:val="0000FF"/>
        </w:rPr>
      </w:pPr>
      <w:r w:rsidRPr="00DA3997">
        <w:rPr>
          <w:color w:val="0000FF"/>
        </w:rPr>
        <w:lastRenderedPageBreak/>
        <w:t>Note 2:</w:t>
      </w:r>
      <w:r w:rsidRPr="00DA3997">
        <w:rPr>
          <w:color w:val="0000FF"/>
        </w:rPr>
        <w:tab/>
        <w:t>For paragraph (b), the specified period may not be more than 12 months (7 years for certain consents by a CDR business consumer): see subrule 4</w:t>
      </w:r>
      <w:r w:rsidR="0034635F">
        <w:rPr>
          <w:color w:val="0000FF"/>
        </w:rPr>
        <w:t>.20F</w:t>
      </w:r>
      <w:r w:rsidRPr="004A04A4">
        <w:rPr>
          <w:color w:val="0000FF"/>
        </w:rPr>
        <w:t>(1).</w:t>
      </w:r>
      <w:r w:rsidRPr="00DA3997">
        <w:rPr>
          <w:color w:val="0000FF"/>
        </w:rPr>
        <w:t xml:space="preserve"> After the end of the period, redundant data would need to be dealt with in accordance with subsection 56EO(2) of the Act (privacy safeguard 12) and rules 7.12 and 7.13.</w:t>
      </w:r>
    </w:p>
    <w:p w14:paraId="6F394CF6" w14:textId="77777777" w:rsidR="00BB7660" w:rsidRPr="00DA3997" w:rsidRDefault="00BB7660" w:rsidP="00BB7660">
      <w:pPr>
        <w:pStyle w:val="notetext"/>
        <w:rPr>
          <w:color w:val="0000FF"/>
        </w:rPr>
      </w:pPr>
      <w:r w:rsidRPr="00DA3997">
        <w:rPr>
          <w:color w:val="0000FF"/>
        </w:rPr>
        <w:t xml:space="preserve">Note 3: </w:t>
      </w:r>
      <w:r w:rsidRPr="00DA3997">
        <w:rPr>
          <w:color w:val="0000FF"/>
        </w:rPr>
        <w:tab/>
        <w:t>For paragraph (e), a data holder could charge a fee for disclosure of voluntary consumer data, while an accredited data recipient could charge a fee for the disclosure of any CDR data.</w:t>
      </w:r>
    </w:p>
    <w:p w14:paraId="044A6E7C" w14:textId="77777777" w:rsidR="00BB7660" w:rsidRPr="00DA3997" w:rsidRDefault="00BB7660" w:rsidP="00BB7660">
      <w:pPr>
        <w:pStyle w:val="subsection"/>
        <w:rPr>
          <w:color w:val="0000FF"/>
        </w:rPr>
      </w:pPr>
      <w:r w:rsidRPr="00DA3997">
        <w:rPr>
          <w:color w:val="0000FF"/>
        </w:rPr>
        <w:tab/>
        <w:t>(2)</w:t>
      </w:r>
      <w:r w:rsidRPr="00DA3997">
        <w:rPr>
          <w:color w:val="0000FF"/>
        </w:rPr>
        <w:tab/>
        <w:t>The CDR representative must not present pre</w:t>
      </w:r>
      <w:r w:rsidRPr="00DA3997">
        <w:rPr>
          <w:color w:val="0000FF"/>
        </w:rPr>
        <w:noBreakHyphen/>
        <w:t>selected options to the CDR consumer for the purposes of subrule (1).</w:t>
      </w:r>
    </w:p>
    <w:p w14:paraId="367D3AED" w14:textId="77777777" w:rsidR="00BB7660" w:rsidRPr="00DA3997" w:rsidRDefault="00BB7660" w:rsidP="00BB7660">
      <w:pPr>
        <w:pStyle w:val="SubsectionHead"/>
        <w:rPr>
          <w:color w:val="0000FF"/>
        </w:rPr>
      </w:pPr>
      <w:r w:rsidRPr="00DA3997">
        <w:rPr>
          <w:color w:val="0000FF"/>
        </w:rPr>
        <w:t>Information presented to CDR consumer when asking for consent</w:t>
      </w:r>
    </w:p>
    <w:p w14:paraId="7D4A728E" w14:textId="77777777" w:rsidR="00BB7660" w:rsidRPr="00DA3997" w:rsidRDefault="00BB7660" w:rsidP="00BB7660">
      <w:pPr>
        <w:pStyle w:val="subsection"/>
        <w:rPr>
          <w:color w:val="0000FF"/>
        </w:rPr>
      </w:pPr>
      <w:r w:rsidRPr="00DA3997">
        <w:rPr>
          <w:color w:val="0000FF"/>
        </w:rPr>
        <w:tab/>
        <w:t>(3)</w:t>
      </w:r>
      <w:r w:rsidRPr="00DA3997">
        <w:rPr>
          <w:color w:val="0000FF"/>
        </w:rPr>
        <w:tab/>
        <w:t>When asking a CDR consumer to give consent, the CDR representative must give the CDR consumer the following information:</w:t>
      </w:r>
    </w:p>
    <w:p w14:paraId="2C19B756" w14:textId="77777777" w:rsidR="00BB7660" w:rsidRPr="00DA3997" w:rsidRDefault="00BB7660" w:rsidP="00BB7660">
      <w:pPr>
        <w:pStyle w:val="paragraph"/>
        <w:rPr>
          <w:color w:val="0000FF"/>
        </w:rPr>
      </w:pPr>
      <w:r w:rsidRPr="00DA3997">
        <w:rPr>
          <w:color w:val="0000FF"/>
        </w:rPr>
        <w:tab/>
        <w:t>(a)</w:t>
      </w:r>
      <w:r w:rsidRPr="00DA3997">
        <w:rPr>
          <w:color w:val="0000FF"/>
        </w:rPr>
        <w:tab/>
        <w:t>its name;</w:t>
      </w:r>
    </w:p>
    <w:p w14:paraId="719B1A8F" w14:textId="77777777" w:rsidR="00BB7660" w:rsidRPr="00DA3997" w:rsidRDefault="00BB7660" w:rsidP="00BB7660">
      <w:pPr>
        <w:pStyle w:val="paragraph"/>
        <w:rPr>
          <w:color w:val="0000FF"/>
        </w:rPr>
      </w:pPr>
      <w:r w:rsidRPr="00DA3997">
        <w:rPr>
          <w:color w:val="0000FF"/>
        </w:rPr>
        <w:tab/>
        <w:t>(b)</w:t>
      </w:r>
      <w:r w:rsidRPr="00DA3997">
        <w:rPr>
          <w:color w:val="0000FF"/>
        </w:rPr>
        <w:tab/>
        <w:t>the fact that the person is a CDR representative and that the CDR data will be collected by its CDR principal at its request;</w:t>
      </w:r>
    </w:p>
    <w:p w14:paraId="6656C241" w14:textId="77777777" w:rsidR="00BB7660" w:rsidRPr="00DA3997" w:rsidRDefault="00BB7660" w:rsidP="00BB7660">
      <w:pPr>
        <w:pStyle w:val="paragraph"/>
        <w:rPr>
          <w:color w:val="0000FF"/>
        </w:rPr>
      </w:pPr>
      <w:r w:rsidRPr="00DA3997">
        <w:rPr>
          <w:color w:val="0000FF"/>
        </w:rPr>
        <w:tab/>
        <w:t>(c)</w:t>
      </w:r>
      <w:r w:rsidRPr="00DA3997">
        <w:rPr>
          <w:color w:val="0000FF"/>
        </w:rPr>
        <w:tab/>
        <w:t>if the CDR representative is not located in Australia—the country in which it is located;</w:t>
      </w:r>
    </w:p>
    <w:p w14:paraId="29671D71" w14:textId="77777777" w:rsidR="00BB7660" w:rsidRPr="00DA3997" w:rsidRDefault="00BB7660" w:rsidP="00BB7660">
      <w:pPr>
        <w:pStyle w:val="paragraph"/>
        <w:rPr>
          <w:color w:val="0000FF"/>
        </w:rPr>
      </w:pPr>
      <w:r w:rsidRPr="00DA3997">
        <w:rPr>
          <w:color w:val="0000FF"/>
        </w:rPr>
        <w:tab/>
        <w:t>(d)</w:t>
      </w:r>
      <w:r w:rsidRPr="00DA3997">
        <w:rPr>
          <w:color w:val="0000FF"/>
        </w:rPr>
        <w:tab/>
        <w:t>the CDR principal’s name;</w:t>
      </w:r>
    </w:p>
    <w:p w14:paraId="73E14C1E" w14:textId="77777777" w:rsidR="00BB7660" w:rsidRPr="00DA3997" w:rsidRDefault="00BB7660" w:rsidP="00BB7660">
      <w:pPr>
        <w:pStyle w:val="paragraph"/>
        <w:rPr>
          <w:color w:val="0000FF"/>
        </w:rPr>
      </w:pPr>
      <w:r w:rsidRPr="00DA3997">
        <w:rPr>
          <w:color w:val="0000FF"/>
        </w:rPr>
        <w:tab/>
        <w:t>(e)</w:t>
      </w:r>
      <w:r w:rsidRPr="00DA3997">
        <w:rPr>
          <w:color w:val="0000FF"/>
        </w:rPr>
        <w:tab/>
        <w:t>the CDR principal’s accreditation number.</w:t>
      </w:r>
    </w:p>
    <w:p w14:paraId="25321376" w14:textId="77777777" w:rsidR="00BB7660" w:rsidRPr="00DA3997" w:rsidRDefault="00BB7660" w:rsidP="00BB7660">
      <w:pPr>
        <w:pStyle w:val="paragraph"/>
        <w:rPr>
          <w:color w:val="0000FF"/>
        </w:rPr>
      </w:pPr>
      <w:r w:rsidRPr="00DA3997">
        <w:rPr>
          <w:color w:val="0000FF"/>
        </w:rPr>
        <w:tab/>
        <w:t>(f)</w:t>
      </w:r>
      <w:r w:rsidRPr="00DA3997">
        <w:rPr>
          <w:color w:val="0000FF"/>
        </w:rPr>
        <w:tab/>
        <w:t>in the case of a collection consent or a use consent―how the collection or use (as applicable) indicated in accordance with subrule (1) complies with the data minimisation principle, including how:</w:t>
      </w:r>
    </w:p>
    <w:p w14:paraId="0D215363" w14:textId="77777777" w:rsidR="00BB7660" w:rsidRPr="00DA3997" w:rsidRDefault="00BB7660" w:rsidP="00BB7660">
      <w:pPr>
        <w:pStyle w:val="paragraphsub"/>
        <w:rPr>
          <w:color w:val="0000FF"/>
        </w:rPr>
      </w:pPr>
      <w:r w:rsidRPr="00DA3997">
        <w:rPr>
          <w:color w:val="0000FF"/>
        </w:rPr>
        <w:tab/>
        <w:t>(i)</w:t>
      </w:r>
      <w:r w:rsidRPr="00DA3997">
        <w:rPr>
          <w:color w:val="0000FF"/>
        </w:rPr>
        <w:tab/>
        <w:t>in the case of a collection consent―that collection is reasonably needed, and relates to no longer a time period than is reasonably needed; and</w:t>
      </w:r>
    </w:p>
    <w:p w14:paraId="5288B54F" w14:textId="77777777" w:rsidR="00BB7660" w:rsidRPr="00DA3997" w:rsidRDefault="00BB7660" w:rsidP="00BB7660">
      <w:pPr>
        <w:pStyle w:val="paragraphsub"/>
        <w:rPr>
          <w:color w:val="0000FF"/>
        </w:rPr>
      </w:pPr>
      <w:r w:rsidRPr="00DA3997">
        <w:rPr>
          <w:color w:val="0000FF"/>
        </w:rPr>
        <w:tab/>
        <w:t>(ii)</w:t>
      </w:r>
      <w:r w:rsidRPr="00DA3997">
        <w:rPr>
          <w:color w:val="0000FF"/>
        </w:rPr>
        <w:tab/>
        <w:t>in the case of a use consent―that use would not go beyond what is reasonably needed;</w:t>
      </w:r>
    </w:p>
    <w:p w14:paraId="61A08851" w14:textId="77777777" w:rsidR="00BB7660" w:rsidRPr="00DA3997" w:rsidRDefault="00BB7660" w:rsidP="00BB7660">
      <w:pPr>
        <w:pStyle w:val="paragraph"/>
        <w:rPr>
          <w:color w:val="0000FF"/>
        </w:rPr>
      </w:pPr>
      <w:r w:rsidRPr="00DA3997">
        <w:rPr>
          <w:color w:val="0000FF"/>
        </w:rPr>
        <w:tab/>
      </w:r>
      <w:r w:rsidRPr="00DA3997">
        <w:rPr>
          <w:color w:val="0000FF"/>
        </w:rPr>
        <w:tab/>
        <w:t>in order to provide the requested goods or services to the CDR consumer or make the other uses consented to;</w:t>
      </w:r>
    </w:p>
    <w:p w14:paraId="669A657D" w14:textId="77777777" w:rsidR="00BB7660" w:rsidRPr="00DA3997" w:rsidRDefault="00BB7660" w:rsidP="00BB7660">
      <w:pPr>
        <w:pStyle w:val="paragraph"/>
        <w:rPr>
          <w:color w:val="0000FF"/>
        </w:rPr>
      </w:pPr>
      <w:r w:rsidRPr="00DA3997">
        <w:rPr>
          <w:color w:val="0000FF"/>
        </w:rPr>
        <w:tab/>
        <w:t>(g)</w:t>
      </w:r>
      <w:r w:rsidRPr="00DA3997">
        <w:rPr>
          <w:color w:val="0000FF"/>
        </w:rPr>
        <w:tab/>
        <w:t>in the case of an insight disclosure consent—an explanation of the CDR insight that will make clear to the CDR consumer what the CDR insight would reveal or describe;</w:t>
      </w:r>
    </w:p>
    <w:p w14:paraId="4C3452FD" w14:textId="77777777" w:rsidR="00BB7660" w:rsidRPr="00DA3997" w:rsidRDefault="00BB7660" w:rsidP="00BB7660">
      <w:pPr>
        <w:pStyle w:val="paragraph"/>
        <w:rPr>
          <w:color w:val="0000FF"/>
        </w:rPr>
      </w:pPr>
      <w:r w:rsidRPr="00DA3997">
        <w:rPr>
          <w:color w:val="0000FF"/>
        </w:rPr>
        <w:tab/>
        <w:t>(h)</w:t>
      </w:r>
      <w:r w:rsidRPr="00DA3997">
        <w:rPr>
          <w:color w:val="0000FF"/>
        </w:rPr>
        <w:tab/>
        <w:t>if the CDR representative intends passing a fee on, or charging a fee, to the CDR consumer as described in paragraph (1)(</w:t>
      </w:r>
      <w:r w:rsidR="00DA1F3C" w:rsidRPr="00500212">
        <w:rPr>
          <w:color w:val="0000FF"/>
        </w:rPr>
        <w:t>f</w:t>
      </w:r>
      <w:r w:rsidRPr="00DA3997">
        <w:rPr>
          <w:color w:val="0000FF"/>
        </w:rPr>
        <w:t>)―the following information:</w:t>
      </w:r>
    </w:p>
    <w:p w14:paraId="0E6080F1" w14:textId="77777777" w:rsidR="00BB7660" w:rsidRPr="00DA3997" w:rsidRDefault="00BB7660" w:rsidP="00BB7660">
      <w:pPr>
        <w:pStyle w:val="paragraphsub"/>
        <w:rPr>
          <w:color w:val="0000FF"/>
        </w:rPr>
      </w:pPr>
      <w:r w:rsidRPr="00DA3997">
        <w:rPr>
          <w:color w:val="0000FF"/>
        </w:rPr>
        <w:tab/>
        <w:t>(i)</w:t>
      </w:r>
      <w:r w:rsidRPr="00DA3997">
        <w:rPr>
          <w:color w:val="0000FF"/>
        </w:rPr>
        <w:tab/>
        <w:t>the amount of the fee;</w:t>
      </w:r>
    </w:p>
    <w:p w14:paraId="273F468A" w14:textId="77777777" w:rsidR="00BB7660" w:rsidRPr="00DA3997" w:rsidRDefault="00BB7660" w:rsidP="00BB7660">
      <w:pPr>
        <w:pStyle w:val="paragraphsub"/>
        <w:rPr>
          <w:color w:val="0000FF"/>
        </w:rPr>
      </w:pPr>
      <w:r w:rsidRPr="00DA3997">
        <w:rPr>
          <w:color w:val="0000FF"/>
        </w:rPr>
        <w:tab/>
        <w:t>(ii)</w:t>
      </w:r>
      <w:r w:rsidRPr="00DA3997">
        <w:rPr>
          <w:color w:val="0000FF"/>
        </w:rPr>
        <w:tab/>
        <w:t>the consequences if the CDR consumer does not consent to the collection, or to the disclosure, of that data;</w:t>
      </w:r>
    </w:p>
    <w:p w14:paraId="4181DD52" w14:textId="77777777" w:rsidR="00BB7660" w:rsidRPr="00DA3997" w:rsidRDefault="00BB7660" w:rsidP="00BB7660">
      <w:pPr>
        <w:pStyle w:val="paragraph"/>
        <w:rPr>
          <w:color w:val="0000FF"/>
        </w:rPr>
      </w:pPr>
      <w:r w:rsidRPr="00DA3997">
        <w:rPr>
          <w:color w:val="0000FF"/>
        </w:rPr>
        <w:tab/>
        <w:t>(i)</w:t>
      </w:r>
      <w:r w:rsidRPr="00DA3997">
        <w:rPr>
          <w:color w:val="0000FF"/>
        </w:rPr>
        <w:tab/>
        <w:t>if the CDR representative is seeking a de</w:t>
      </w:r>
      <w:r w:rsidRPr="00DA3997">
        <w:rPr>
          <w:color w:val="0000FF"/>
        </w:rPr>
        <w:noBreakHyphen/>
        <w:t>identification consent—the additional information specified in rule 4</w:t>
      </w:r>
      <w:r w:rsidR="0034635F" w:rsidRPr="00DA3997">
        <w:rPr>
          <w:color w:val="0000FF"/>
        </w:rPr>
        <w:t>.20L</w:t>
      </w:r>
      <w:r w:rsidRPr="00DA3997">
        <w:rPr>
          <w:color w:val="0000FF"/>
        </w:rPr>
        <w:t>;</w:t>
      </w:r>
    </w:p>
    <w:p w14:paraId="2E146DAE" w14:textId="77777777" w:rsidR="00BB7660" w:rsidRPr="00DA3997" w:rsidRDefault="00BB7660" w:rsidP="00BB7660">
      <w:pPr>
        <w:pStyle w:val="paragraph"/>
        <w:rPr>
          <w:color w:val="0000FF"/>
        </w:rPr>
      </w:pPr>
      <w:r w:rsidRPr="00DA3997">
        <w:rPr>
          <w:color w:val="0000FF"/>
        </w:rPr>
        <w:tab/>
        <w:t>(j)</w:t>
      </w:r>
      <w:r w:rsidRPr="00DA3997">
        <w:rPr>
          <w:color w:val="0000FF"/>
        </w:rPr>
        <w:tab/>
        <w:t>a link to the CDR principal’s CDR policy;</w:t>
      </w:r>
    </w:p>
    <w:p w14:paraId="60C06C59" w14:textId="77777777" w:rsidR="00C83A39" w:rsidRPr="00DA3997" w:rsidRDefault="00E87D24" w:rsidP="00C83A39">
      <w:pPr>
        <w:pStyle w:val="paragraph"/>
        <w:rPr>
          <w:color w:val="0000FF"/>
        </w:rPr>
      </w:pPr>
      <w:r w:rsidRPr="00DA3997">
        <w:rPr>
          <w:color w:val="0000FF"/>
        </w:rPr>
        <w:tab/>
        <w:t>(k)</w:t>
      </w:r>
      <w:r w:rsidRPr="00DA3997">
        <w:rPr>
          <w:color w:val="0000FF"/>
        </w:rPr>
        <w:tab/>
      </w:r>
      <w:r w:rsidR="00C83A39" w:rsidRPr="00DA3997">
        <w:rPr>
          <w:color w:val="0000FF"/>
        </w:rPr>
        <w:t>if the CDR data may be disclosed to, or collected by, a direct or indirect OSP (including one that is based overseas) of the CDR representative or of the CDR principal—a statement of that fact; and</w:t>
      </w:r>
    </w:p>
    <w:p w14:paraId="51097EC1" w14:textId="77777777" w:rsidR="00C83A39" w:rsidRPr="00DA3997" w:rsidRDefault="00E87D24" w:rsidP="00C83A39">
      <w:pPr>
        <w:pStyle w:val="paragraph"/>
        <w:rPr>
          <w:color w:val="0000FF"/>
        </w:rPr>
      </w:pPr>
      <w:r w:rsidRPr="00DA3997">
        <w:rPr>
          <w:color w:val="0000FF"/>
        </w:rPr>
        <w:lastRenderedPageBreak/>
        <w:tab/>
        <w:t>(l)</w:t>
      </w:r>
      <w:r w:rsidRPr="00DA3997">
        <w:rPr>
          <w:color w:val="0000FF"/>
        </w:rPr>
        <w:tab/>
      </w:r>
      <w:r w:rsidR="00C83A39" w:rsidRPr="00DA3997">
        <w:rPr>
          <w:color w:val="0000FF"/>
        </w:rPr>
        <w:t>a statement that the CDR consumer can obtain further information about the collections or disclosures for which consent is requested from the CDR principal’s CDR policy if desired; and</w:t>
      </w:r>
    </w:p>
    <w:p w14:paraId="74508595" w14:textId="77777777" w:rsidR="00BB7660" w:rsidRPr="00DA3997" w:rsidRDefault="00BB7660" w:rsidP="00BB7660">
      <w:pPr>
        <w:pStyle w:val="paragraph"/>
        <w:rPr>
          <w:color w:val="0000FF"/>
        </w:rPr>
      </w:pPr>
      <w:r w:rsidRPr="00DA3997">
        <w:rPr>
          <w:color w:val="0000FF"/>
        </w:rPr>
        <w:tab/>
        <w:t>(m)</w:t>
      </w:r>
      <w:r w:rsidRPr="00DA3997">
        <w:rPr>
          <w:color w:val="0000FF"/>
        </w:rPr>
        <w:tab/>
        <w:t>the following information about withdrawal of consents:</w:t>
      </w:r>
    </w:p>
    <w:p w14:paraId="50218C4E" w14:textId="77777777" w:rsidR="00BB7660" w:rsidRPr="00DA3997" w:rsidRDefault="00BB7660" w:rsidP="00BB7660">
      <w:pPr>
        <w:pStyle w:val="paragraphsub"/>
        <w:rPr>
          <w:color w:val="0000FF"/>
        </w:rPr>
      </w:pPr>
      <w:r w:rsidRPr="00DA3997">
        <w:rPr>
          <w:color w:val="0000FF"/>
        </w:rPr>
        <w:tab/>
        <w:t>(i)</w:t>
      </w:r>
      <w:r w:rsidRPr="00DA3997">
        <w:rPr>
          <w:color w:val="0000FF"/>
        </w:rPr>
        <w:tab/>
        <w:t>a statement that, at any time, the consent can be withdrawn;</w:t>
      </w:r>
    </w:p>
    <w:p w14:paraId="32106AD2" w14:textId="77777777" w:rsidR="00BB7660" w:rsidRPr="00DA3997" w:rsidRDefault="00BB7660" w:rsidP="00BB7660">
      <w:pPr>
        <w:pStyle w:val="paragraphsub"/>
        <w:rPr>
          <w:color w:val="0000FF"/>
        </w:rPr>
      </w:pPr>
      <w:r w:rsidRPr="00DA3997">
        <w:rPr>
          <w:color w:val="0000FF"/>
        </w:rPr>
        <w:tab/>
        <w:t>(ii)</w:t>
      </w:r>
      <w:r w:rsidRPr="00DA3997">
        <w:rPr>
          <w:color w:val="0000FF"/>
        </w:rPr>
        <w:tab/>
        <w:t>instructions for how the consent can be withdrawn;</w:t>
      </w:r>
    </w:p>
    <w:p w14:paraId="3ADED600" w14:textId="77777777" w:rsidR="00BB7660" w:rsidRPr="00DA3997" w:rsidRDefault="00BB7660" w:rsidP="00BB7660">
      <w:pPr>
        <w:pStyle w:val="paragraphsub"/>
        <w:rPr>
          <w:color w:val="0000FF"/>
        </w:rPr>
      </w:pPr>
      <w:r w:rsidRPr="00DA3997">
        <w:rPr>
          <w:color w:val="0000FF"/>
        </w:rPr>
        <w:tab/>
        <w:t>(iii)</w:t>
      </w:r>
      <w:r w:rsidRPr="00DA3997">
        <w:rPr>
          <w:color w:val="0000FF"/>
        </w:rPr>
        <w:tab/>
        <w:t>a statement indicating the consequences (if any) to the CDR consumer if they withdraw the consent;</w:t>
      </w:r>
    </w:p>
    <w:p w14:paraId="11C4A46E" w14:textId="77777777" w:rsidR="00BB7660" w:rsidRPr="00DA3997" w:rsidRDefault="00BB7660" w:rsidP="00BB7660">
      <w:pPr>
        <w:pStyle w:val="paragraph"/>
        <w:rPr>
          <w:color w:val="0000FF"/>
        </w:rPr>
      </w:pPr>
      <w:r w:rsidRPr="00DA3997">
        <w:rPr>
          <w:color w:val="0000FF"/>
        </w:rPr>
        <w:tab/>
        <w:t>(n)</w:t>
      </w:r>
      <w:r w:rsidRPr="00DA3997">
        <w:rPr>
          <w:color w:val="0000FF"/>
        </w:rPr>
        <w:tab/>
        <w:t>the following information about redundant data:</w:t>
      </w:r>
    </w:p>
    <w:p w14:paraId="3FE4CF0D" w14:textId="77777777" w:rsidR="00BB7660" w:rsidRPr="00DA3997" w:rsidRDefault="00BB7660" w:rsidP="00BB7660">
      <w:pPr>
        <w:pStyle w:val="paragraphsub"/>
        <w:rPr>
          <w:color w:val="0000FF"/>
        </w:rPr>
      </w:pPr>
      <w:r w:rsidRPr="00DA3997">
        <w:rPr>
          <w:color w:val="0000FF"/>
        </w:rPr>
        <w:tab/>
        <w:t>(i)</w:t>
      </w:r>
      <w:r w:rsidRPr="00DA3997">
        <w:rPr>
          <w:color w:val="0000FF"/>
        </w:rPr>
        <w:tab/>
        <w:t>a statement, in accordance with rule 4</w:t>
      </w:r>
      <w:r w:rsidR="0034635F" w:rsidRPr="00DA3997">
        <w:rPr>
          <w:color w:val="0000FF"/>
        </w:rPr>
        <w:t>.20N</w:t>
      </w:r>
      <w:r w:rsidRPr="00DA3997">
        <w:rPr>
          <w:color w:val="0000FF"/>
        </w:rPr>
        <w:t>, regarding the CDR representative’s intended treatment of redundant data;</w:t>
      </w:r>
    </w:p>
    <w:p w14:paraId="47E7FD50" w14:textId="77777777" w:rsidR="00BB7660" w:rsidRPr="00DA3997" w:rsidRDefault="00BB7660" w:rsidP="00BB7660">
      <w:pPr>
        <w:pStyle w:val="paragraphsub"/>
        <w:rPr>
          <w:color w:val="0000FF"/>
        </w:rPr>
      </w:pPr>
      <w:r w:rsidRPr="00DA3997">
        <w:rPr>
          <w:color w:val="0000FF"/>
        </w:rPr>
        <w:tab/>
        <w:t>(ii)</w:t>
      </w:r>
      <w:r w:rsidRPr="00DA3997">
        <w:rPr>
          <w:color w:val="0000FF"/>
        </w:rPr>
        <w:tab/>
        <w:t>a statement outlining the CDR consumer’s right to elect that their redundant data be deleted;</w:t>
      </w:r>
    </w:p>
    <w:p w14:paraId="29EDCCDE" w14:textId="77777777" w:rsidR="00BB7660" w:rsidRPr="00DA3997" w:rsidRDefault="00BB7660" w:rsidP="00BB7660">
      <w:pPr>
        <w:pStyle w:val="paragraphsub"/>
        <w:rPr>
          <w:color w:val="0000FF"/>
        </w:rPr>
      </w:pPr>
      <w:r w:rsidRPr="00DA3997">
        <w:rPr>
          <w:color w:val="0000FF"/>
        </w:rPr>
        <w:tab/>
        <w:t>(iii)</w:t>
      </w:r>
      <w:r w:rsidRPr="00DA3997">
        <w:rPr>
          <w:color w:val="0000FF"/>
        </w:rPr>
        <w:tab/>
        <w:t>instructions for how the election can be made.</w:t>
      </w:r>
    </w:p>
    <w:p w14:paraId="22D91C38" w14:textId="77777777" w:rsidR="00BB7660" w:rsidRPr="00DA3997" w:rsidRDefault="00BB7660" w:rsidP="00BB7660">
      <w:pPr>
        <w:pStyle w:val="notetext"/>
        <w:rPr>
          <w:color w:val="0000FF"/>
        </w:rPr>
      </w:pPr>
      <w:r w:rsidRPr="00DA3997">
        <w:rPr>
          <w:color w:val="0000FF"/>
        </w:rPr>
        <w:t xml:space="preserve">Note: </w:t>
      </w:r>
      <w:r w:rsidRPr="00DA3997">
        <w:rPr>
          <w:color w:val="0000FF"/>
        </w:rPr>
        <w:tab/>
        <w:t>For paragraph (b), if the CDR representative is seeking the CDR consumer’s consent to de</w:t>
      </w:r>
      <w:r w:rsidRPr="00DA3997">
        <w:rPr>
          <w:color w:val="0000FF"/>
        </w:rPr>
        <w:noBreakHyphen/>
        <w:t>identification as referred to in paragraph (i), the CDR representative would need to indicate how that would comply with the data minimisation principle.</w:t>
      </w:r>
    </w:p>
    <w:p w14:paraId="7E1C5354" w14:textId="77777777" w:rsidR="00BB7660" w:rsidRPr="00DA3997" w:rsidRDefault="00BB7660" w:rsidP="00BB7660">
      <w:pPr>
        <w:pStyle w:val="ActHead5"/>
        <w:rPr>
          <w:color w:val="0000FF"/>
        </w:rPr>
      </w:pPr>
      <w:bookmarkStart w:id="331" w:name="_Toc111132081"/>
      <w:r w:rsidRPr="004A04A4">
        <w:rPr>
          <w:color w:val="0000FF"/>
        </w:rPr>
        <w:t>4.20</w:t>
      </w:r>
      <w:r w:rsidR="00195095">
        <w:rPr>
          <w:noProof/>
          <w:color w:val="0000FF"/>
        </w:rPr>
        <w:t>F</w:t>
      </w:r>
      <w:r w:rsidRPr="00F25B03">
        <w:rPr>
          <w:color w:val="800000"/>
        </w:rPr>
        <w:t xml:space="preserve">  </w:t>
      </w:r>
      <w:r w:rsidRPr="00DA3997">
        <w:rPr>
          <w:color w:val="0000FF"/>
        </w:rPr>
        <w:t>Restrictions on seeking consent</w:t>
      </w:r>
      <w:bookmarkEnd w:id="331"/>
    </w:p>
    <w:p w14:paraId="1FB5A631" w14:textId="77777777" w:rsidR="00BB7660" w:rsidRPr="00DA3997" w:rsidRDefault="00BB7660" w:rsidP="00BB7660">
      <w:pPr>
        <w:pStyle w:val="subsection"/>
        <w:rPr>
          <w:color w:val="0000FF"/>
        </w:rPr>
      </w:pPr>
      <w:r w:rsidRPr="00DA3997">
        <w:rPr>
          <w:color w:val="0000FF"/>
        </w:rPr>
        <w:tab/>
        <w:t>(1)</w:t>
      </w:r>
      <w:r w:rsidRPr="00DA3997">
        <w:rPr>
          <w:color w:val="0000FF"/>
        </w:rPr>
        <w:tab/>
        <w:t>A CDR representative must not specify a period of time for the purposes of paragraph 4</w:t>
      </w:r>
      <w:r w:rsidR="0034635F" w:rsidRPr="00DA3997">
        <w:rPr>
          <w:color w:val="0000FF"/>
        </w:rPr>
        <w:t>.20E</w:t>
      </w:r>
      <w:r w:rsidRPr="00DA3997">
        <w:rPr>
          <w:color w:val="0000FF"/>
        </w:rPr>
        <w:t>(1)(b) that is more than:</w:t>
      </w:r>
    </w:p>
    <w:p w14:paraId="16B57634" w14:textId="77777777" w:rsidR="003C26F3" w:rsidRPr="00DA3997" w:rsidRDefault="003C26F3" w:rsidP="003C26F3">
      <w:pPr>
        <w:pStyle w:val="paragraph"/>
        <w:rPr>
          <w:color w:val="0000FF"/>
        </w:rPr>
      </w:pPr>
      <w:r w:rsidRPr="00DA3997">
        <w:rPr>
          <w:color w:val="0000FF"/>
        </w:rPr>
        <w:tab/>
        <w:t>(a)</w:t>
      </w:r>
      <w:r w:rsidRPr="00DA3997">
        <w:rPr>
          <w:color w:val="0000FF"/>
        </w:rPr>
        <w:tab/>
        <w:t>7 years, in the case of a consent given by a CDR business consumer that includes a business consumer statement;</w:t>
      </w:r>
    </w:p>
    <w:p w14:paraId="4A84588B" w14:textId="77777777" w:rsidR="00BB7660" w:rsidRPr="00DA3997" w:rsidRDefault="00BB7660" w:rsidP="00BB7660">
      <w:pPr>
        <w:pStyle w:val="paragraph"/>
        <w:rPr>
          <w:color w:val="0000FF"/>
        </w:rPr>
      </w:pPr>
      <w:r w:rsidRPr="00DA3997">
        <w:rPr>
          <w:color w:val="0000FF"/>
        </w:rPr>
        <w:tab/>
        <w:t>(b)</w:t>
      </w:r>
      <w:r w:rsidRPr="00DA3997">
        <w:rPr>
          <w:color w:val="0000FF"/>
        </w:rPr>
        <w:tab/>
        <w:t>12 months, in any other case.</w:t>
      </w:r>
    </w:p>
    <w:p w14:paraId="5245BA6A" w14:textId="77777777" w:rsidR="00BB7660" w:rsidRPr="00DA3997" w:rsidRDefault="00BB7660" w:rsidP="00BB7660">
      <w:pPr>
        <w:pStyle w:val="subsection"/>
        <w:rPr>
          <w:color w:val="0000FF"/>
        </w:rPr>
      </w:pPr>
      <w:r w:rsidRPr="00DA3997">
        <w:rPr>
          <w:color w:val="0000FF"/>
        </w:rPr>
        <w:tab/>
        <w:t>(2)</w:t>
      </w:r>
      <w:r w:rsidRPr="00DA3997">
        <w:rPr>
          <w:color w:val="0000FF"/>
        </w:rPr>
        <w:tab/>
        <w:t>A CDR representative must not ask for a collection consent or a use consent unless it would comply with the data minimisation principle in respect of that collection or those uses.</w:t>
      </w:r>
    </w:p>
    <w:p w14:paraId="580D6041" w14:textId="77777777" w:rsidR="00BB7660" w:rsidRPr="00DA3997" w:rsidRDefault="00BB7660" w:rsidP="00BB7660">
      <w:pPr>
        <w:pStyle w:val="notetext"/>
        <w:rPr>
          <w:color w:val="0000FF"/>
        </w:rPr>
      </w:pPr>
      <w:r w:rsidRPr="00DA3997">
        <w:rPr>
          <w:color w:val="0000FF"/>
        </w:rPr>
        <w:t>Note:</w:t>
      </w:r>
      <w:r w:rsidRPr="00DA3997">
        <w:rPr>
          <w:color w:val="0000FF"/>
        </w:rPr>
        <w:tab/>
        <w:t>See rule 1.8 for the definition of “data minimisation principle”.</w:t>
      </w:r>
    </w:p>
    <w:p w14:paraId="14327F19" w14:textId="77777777" w:rsidR="00BB7660" w:rsidRPr="00DA3997" w:rsidRDefault="00BB7660" w:rsidP="00BB7660">
      <w:pPr>
        <w:pStyle w:val="subsection"/>
        <w:rPr>
          <w:color w:val="0000FF"/>
        </w:rPr>
      </w:pPr>
      <w:r w:rsidRPr="00DA3997">
        <w:rPr>
          <w:color w:val="0000FF"/>
        </w:rPr>
        <w:t xml:space="preserve"> </w:t>
      </w:r>
      <w:r w:rsidRPr="00DA3997">
        <w:rPr>
          <w:color w:val="0000FF"/>
        </w:rPr>
        <w:tab/>
        <w:t>(3)</w:t>
      </w:r>
      <w:r w:rsidRPr="00DA3997">
        <w:rPr>
          <w:color w:val="0000FF"/>
        </w:rPr>
        <w:tab/>
        <w:t>A CDR representative must not ask for a consent:</w:t>
      </w:r>
    </w:p>
    <w:p w14:paraId="7042A19E" w14:textId="77777777" w:rsidR="00BB7660" w:rsidRPr="00DA3997" w:rsidRDefault="00BB7660" w:rsidP="00BB7660">
      <w:pPr>
        <w:pStyle w:val="paragraph"/>
        <w:rPr>
          <w:color w:val="0000FF"/>
        </w:rPr>
      </w:pPr>
      <w:r w:rsidRPr="00DA3997">
        <w:rPr>
          <w:color w:val="0000FF"/>
        </w:rPr>
        <w:tab/>
        <w:t>(a)</w:t>
      </w:r>
      <w:r w:rsidRPr="00DA3997">
        <w:rPr>
          <w:color w:val="0000FF"/>
        </w:rPr>
        <w:tab/>
        <w:t>that is not in a category of consents; or</w:t>
      </w:r>
    </w:p>
    <w:p w14:paraId="473F2BCD" w14:textId="77777777" w:rsidR="00BB7660" w:rsidRPr="00DA3997" w:rsidRDefault="00BB7660" w:rsidP="00BB7660">
      <w:pPr>
        <w:pStyle w:val="paragraph"/>
        <w:rPr>
          <w:color w:val="0000FF"/>
        </w:rPr>
      </w:pPr>
      <w:r w:rsidRPr="00DA3997">
        <w:rPr>
          <w:color w:val="0000FF"/>
        </w:rPr>
        <w:tab/>
        <w:t>(b)</w:t>
      </w:r>
      <w:r w:rsidRPr="00DA3997">
        <w:rPr>
          <w:color w:val="0000FF"/>
        </w:rPr>
        <w:tab/>
        <w:t>subject to subrule (4), for using the CDR data, including by aggregating the data, for the purpose of:</w:t>
      </w:r>
    </w:p>
    <w:p w14:paraId="5D80259F" w14:textId="77777777" w:rsidR="00BB7660" w:rsidRPr="00DA3997" w:rsidRDefault="00BB7660" w:rsidP="00BB7660">
      <w:pPr>
        <w:pStyle w:val="paragraphsub"/>
        <w:rPr>
          <w:color w:val="0000FF"/>
        </w:rPr>
      </w:pPr>
      <w:r w:rsidRPr="00DA3997">
        <w:rPr>
          <w:color w:val="0000FF"/>
        </w:rPr>
        <w:tab/>
        <w:t>(i)</w:t>
      </w:r>
      <w:r w:rsidRPr="00DA3997">
        <w:rPr>
          <w:color w:val="0000FF"/>
        </w:rPr>
        <w:tab/>
        <w:t>identifying; or</w:t>
      </w:r>
    </w:p>
    <w:p w14:paraId="18302FE9" w14:textId="77777777" w:rsidR="00BB7660" w:rsidRPr="00DA3997" w:rsidRDefault="00BB7660" w:rsidP="00BB7660">
      <w:pPr>
        <w:pStyle w:val="paragraphsub"/>
        <w:rPr>
          <w:color w:val="0000FF"/>
        </w:rPr>
      </w:pPr>
      <w:r w:rsidRPr="00DA3997">
        <w:rPr>
          <w:color w:val="0000FF"/>
        </w:rPr>
        <w:tab/>
        <w:t>(ii)</w:t>
      </w:r>
      <w:r w:rsidRPr="00DA3997">
        <w:rPr>
          <w:color w:val="0000FF"/>
        </w:rPr>
        <w:tab/>
        <w:t>compiling insights in relation to; or</w:t>
      </w:r>
    </w:p>
    <w:p w14:paraId="0BAACDBF" w14:textId="77777777" w:rsidR="00BB7660" w:rsidRPr="00DA3997" w:rsidRDefault="00BB7660" w:rsidP="00BB7660">
      <w:pPr>
        <w:pStyle w:val="paragraphsub"/>
        <w:rPr>
          <w:color w:val="0000FF"/>
        </w:rPr>
      </w:pPr>
      <w:r w:rsidRPr="00DA3997">
        <w:rPr>
          <w:color w:val="0000FF"/>
        </w:rPr>
        <w:tab/>
        <w:t>(iii)</w:t>
      </w:r>
      <w:r w:rsidRPr="00DA3997">
        <w:rPr>
          <w:color w:val="0000FF"/>
        </w:rPr>
        <w:tab/>
        <w:t>building a profile in relation to;</w:t>
      </w:r>
    </w:p>
    <w:p w14:paraId="32A3D288" w14:textId="77777777" w:rsidR="00BB7660" w:rsidRPr="00DA3997" w:rsidRDefault="00BB7660" w:rsidP="00BB7660">
      <w:pPr>
        <w:pStyle w:val="paragraph"/>
        <w:rPr>
          <w:color w:val="0000FF"/>
        </w:rPr>
      </w:pPr>
      <w:r w:rsidRPr="00DA3997">
        <w:rPr>
          <w:color w:val="0000FF"/>
        </w:rPr>
        <w:tab/>
      </w:r>
      <w:r w:rsidRPr="00DA3997">
        <w:rPr>
          <w:color w:val="0000FF"/>
        </w:rPr>
        <w:tab/>
        <w:t>any identifiable person who is not the CDR consumer who made the consumer data request.</w:t>
      </w:r>
    </w:p>
    <w:p w14:paraId="51D08372" w14:textId="77777777" w:rsidR="00BB7660" w:rsidRPr="00DA3997" w:rsidRDefault="00BB7660" w:rsidP="00BB7660">
      <w:pPr>
        <w:pStyle w:val="subsection"/>
        <w:rPr>
          <w:color w:val="0000FF"/>
        </w:rPr>
      </w:pPr>
      <w:r w:rsidRPr="00DA3997">
        <w:rPr>
          <w:color w:val="0000FF"/>
        </w:rPr>
        <w:tab/>
        <w:t>(4)</w:t>
      </w:r>
      <w:r w:rsidRPr="00DA3997">
        <w:rPr>
          <w:color w:val="0000FF"/>
        </w:rPr>
        <w:tab/>
        <w:t>Paragraph (3)(b) does not apply in relation to a person whose identity is readily apparent from the CDR data, if the CDR representative is seeking consent to:</w:t>
      </w:r>
    </w:p>
    <w:p w14:paraId="474F96AA" w14:textId="77777777" w:rsidR="00BB7660" w:rsidRPr="00DA3997" w:rsidRDefault="00BB7660" w:rsidP="00BB7660">
      <w:pPr>
        <w:pStyle w:val="paragraph"/>
        <w:rPr>
          <w:color w:val="0000FF"/>
        </w:rPr>
      </w:pPr>
      <w:r w:rsidRPr="00DA3997">
        <w:rPr>
          <w:color w:val="0000FF"/>
        </w:rPr>
        <w:tab/>
        <w:t>(a)</w:t>
      </w:r>
      <w:r w:rsidRPr="00DA3997">
        <w:rPr>
          <w:color w:val="0000FF"/>
        </w:rPr>
        <w:tab/>
        <w:t>derive, from that CDR data, CDR data about that person’s interactions with the CDR consumer; and</w:t>
      </w:r>
    </w:p>
    <w:p w14:paraId="5353C0F6" w14:textId="77777777" w:rsidR="00BB7660" w:rsidRPr="00DA3997" w:rsidRDefault="00BB7660" w:rsidP="00BB7660">
      <w:pPr>
        <w:pStyle w:val="paragraph"/>
        <w:rPr>
          <w:color w:val="0000FF"/>
        </w:rPr>
      </w:pPr>
      <w:r w:rsidRPr="00DA3997">
        <w:rPr>
          <w:color w:val="0000FF"/>
        </w:rPr>
        <w:tab/>
        <w:t>(b)</w:t>
      </w:r>
      <w:r w:rsidRPr="00DA3997">
        <w:rPr>
          <w:color w:val="0000FF"/>
        </w:rPr>
        <w:tab/>
        <w:t>use that derived CDR data in order to provide the requested goods or services.</w:t>
      </w:r>
    </w:p>
    <w:p w14:paraId="4F1E88F7" w14:textId="77777777" w:rsidR="00BB7660" w:rsidRPr="00DA3997" w:rsidRDefault="00BB7660" w:rsidP="00BB7660">
      <w:pPr>
        <w:pStyle w:val="ActHead4"/>
        <w:rPr>
          <w:color w:val="0000FF"/>
        </w:rPr>
      </w:pPr>
      <w:bookmarkStart w:id="332" w:name="_Toc111132082"/>
      <w:r w:rsidRPr="00DA3997">
        <w:rPr>
          <w:color w:val="0000FF"/>
        </w:rPr>
        <w:lastRenderedPageBreak/>
        <w:t>Subdivision 4.3A.3—Amending consents</w:t>
      </w:r>
      <w:bookmarkEnd w:id="332"/>
    </w:p>
    <w:p w14:paraId="61793F46" w14:textId="77777777" w:rsidR="00BB7660" w:rsidRPr="00DA3997" w:rsidRDefault="00BB7660" w:rsidP="00BB7660">
      <w:pPr>
        <w:pStyle w:val="ActHead5"/>
        <w:rPr>
          <w:color w:val="0000FF"/>
        </w:rPr>
      </w:pPr>
      <w:bookmarkStart w:id="333" w:name="_Toc111132083"/>
      <w:r w:rsidRPr="00DA3997">
        <w:rPr>
          <w:color w:val="0000FF"/>
        </w:rPr>
        <w:t>4.20</w:t>
      </w:r>
      <w:r w:rsidR="00195095">
        <w:rPr>
          <w:noProof/>
          <w:color w:val="0000FF"/>
        </w:rPr>
        <w:t>G</w:t>
      </w:r>
      <w:r w:rsidRPr="00DA3997">
        <w:rPr>
          <w:color w:val="0000FF"/>
        </w:rPr>
        <w:t xml:space="preserve">  Amendment of consent</w:t>
      </w:r>
      <w:bookmarkEnd w:id="333"/>
    </w:p>
    <w:p w14:paraId="037D4E94" w14:textId="77777777" w:rsidR="00BB7660" w:rsidRPr="00DA3997" w:rsidRDefault="00BB7660" w:rsidP="00BB7660">
      <w:pPr>
        <w:pStyle w:val="subsection"/>
        <w:rPr>
          <w:color w:val="0000FF"/>
        </w:rPr>
      </w:pPr>
      <w:r w:rsidRPr="00DA3997">
        <w:rPr>
          <w:color w:val="0000FF"/>
        </w:rPr>
        <w:tab/>
      </w:r>
      <w:r w:rsidRPr="00DA3997">
        <w:rPr>
          <w:color w:val="0000FF"/>
        </w:rPr>
        <w:tab/>
        <w:t>An amendment of a consent takes effect when the CDR consumer amends the consent.</w:t>
      </w:r>
    </w:p>
    <w:p w14:paraId="793C37B0" w14:textId="77777777" w:rsidR="00BB7660" w:rsidRPr="00DA3997" w:rsidRDefault="00BB7660" w:rsidP="00BB7660">
      <w:pPr>
        <w:pStyle w:val="notetext"/>
        <w:rPr>
          <w:color w:val="0000FF"/>
        </w:rPr>
      </w:pPr>
      <w:r w:rsidRPr="00DA3997">
        <w:rPr>
          <w:color w:val="0000FF"/>
        </w:rPr>
        <w:t>Note:</w:t>
      </w:r>
      <w:r w:rsidRPr="00DA3997">
        <w:rPr>
          <w:color w:val="0000FF"/>
        </w:rPr>
        <w:tab/>
        <w:t>It is not possible for the CDR consumer to specify a different day or time.</w:t>
      </w:r>
    </w:p>
    <w:p w14:paraId="1631566C" w14:textId="77777777" w:rsidR="00BB7660" w:rsidRPr="00DA3997" w:rsidRDefault="00BB7660" w:rsidP="00BB7660">
      <w:pPr>
        <w:pStyle w:val="ActHead5"/>
        <w:rPr>
          <w:color w:val="0000FF"/>
        </w:rPr>
      </w:pPr>
      <w:bookmarkStart w:id="334" w:name="_Toc111132084"/>
      <w:r w:rsidRPr="00DA3997">
        <w:rPr>
          <w:color w:val="0000FF"/>
        </w:rPr>
        <w:t>4.20</w:t>
      </w:r>
      <w:r w:rsidR="00195095">
        <w:rPr>
          <w:noProof/>
          <w:color w:val="0000FF"/>
        </w:rPr>
        <w:t>H</w:t>
      </w:r>
      <w:r w:rsidRPr="00DA3997">
        <w:rPr>
          <w:color w:val="0000FF"/>
        </w:rPr>
        <w:t xml:space="preserve">  Inviting CDR consumer to amend consent</w:t>
      </w:r>
      <w:bookmarkEnd w:id="334"/>
    </w:p>
    <w:p w14:paraId="7DCD2DE5" w14:textId="77777777" w:rsidR="00BB7660" w:rsidRPr="00DA3997" w:rsidRDefault="00BB7660" w:rsidP="00BB7660">
      <w:pPr>
        <w:pStyle w:val="subsection"/>
        <w:rPr>
          <w:color w:val="0000FF"/>
        </w:rPr>
      </w:pPr>
      <w:r w:rsidRPr="00DA3997">
        <w:rPr>
          <w:color w:val="0000FF"/>
        </w:rPr>
        <w:tab/>
        <w:t>(1)</w:t>
      </w:r>
      <w:r w:rsidRPr="00DA3997">
        <w:rPr>
          <w:color w:val="0000FF"/>
        </w:rPr>
        <w:tab/>
        <w:t>A CDR representative may invite a CDR consumer to amend a consent given in accordance with this Division only in accordance with this rule.</w:t>
      </w:r>
    </w:p>
    <w:p w14:paraId="4366A107" w14:textId="77777777" w:rsidR="00BB7660" w:rsidRPr="00DA3997" w:rsidRDefault="00BB7660" w:rsidP="00BB7660">
      <w:pPr>
        <w:pStyle w:val="subsection"/>
        <w:rPr>
          <w:color w:val="0000FF"/>
        </w:rPr>
      </w:pPr>
      <w:r w:rsidRPr="00DA3997">
        <w:rPr>
          <w:color w:val="0000FF"/>
        </w:rPr>
        <w:tab/>
        <w:t>(2)</w:t>
      </w:r>
      <w:r w:rsidRPr="00DA3997">
        <w:rPr>
          <w:color w:val="0000FF"/>
        </w:rPr>
        <w:tab/>
        <w:t>The CDR representative may give the invitation:</w:t>
      </w:r>
    </w:p>
    <w:p w14:paraId="533C66AE" w14:textId="77777777" w:rsidR="00BB7660" w:rsidRPr="00DA3997" w:rsidRDefault="00BB7660" w:rsidP="00BB7660">
      <w:pPr>
        <w:pStyle w:val="paragraph"/>
        <w:rPr>
          <w:color w:val="0000FF"/>
        </w:rPr>
      </w:pPr>
      <w:r w:rsidRPr="00DA3997">
        <w:rPr>
          <w:color w:val="0000FF"/>
        </w:rPr>
        <w:tab/>
        <w:t>(a)</w:t>
      </w:r>
      <w:r w:rsidRPr="00DA3997">
        <w:rPr>
          <w:color w:val="0000FF"/>
        </w:rPr>
        <w:tab/>
        <w:t>if the CDR principal’s consumer dashboard offers the consent amendment functionality referred to in subrule 1.14(2A)―via the consumer dashboard; or</w:t>
      </w:r>
    </w:p>
    <w:p w14:paraId="4F3BF295" w14:textId="77777777" w:rsidR="00BB7660" w:rsidRPr="00DA3997" w:rsidRDefault="00BB7660" w:rsidP="00BB7660">
      <w:pPr>
        <w:pStyle w:val="paragraph"/>
        <w:rPr>
          <w:color w:val="0000FF"/>
        </w:rPr>
      </w:pPr>
      <w:r w:rsidRPr="00DA3997">
        <w:rPr>
          <w:color w:val="0000FF"/>
        </w:rPr>
        <w:tab/>
        <w:t>(b)</w:t>
      </w:r>
      <w:r w:rsidRPr="00DA3997">
        <w:rPr>
          <w:color w:val="0000FF"/>
        </w:rPr>
        <w:tab/>
        <w:t>in writing directly to the CDR consumer.</w:t>
      </w:r>
    </w:p>
    <w:p w14:paraId="49D62202" w14:textId="77777777" w:rsidR="00CB7ADC" w:rsidRPr="00500212" w:rsidRDefault="00CB7ADC" w:rsidP="00CB7ADC">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36E38570" w14:textId="77777777" w:rsidR="00BB7660" w:rsidRPr="00DA3997" w:rsidRDefault="00BB7660" w:rsidP="00BB7660">
      <w:pPr>
        <w:pStyle w:val="subsection"/>
        <w:rPr>
          <w:color w:val="0000FF"/>
          <w:sz w:val="24"/>
        </w:rPr>
      </w:pPr>
      <w:r w:rsidRPr="00DA3997">
        <w:rPr>
          <w:color w:val="0000FF"/>
        </w:rPr>
        <w:tab/>
        <w:t>(3)</w:t>
      </w:r>
      <w:r w:rsidRPr="00DA3997">
        <w:rPr>
          <w:color w:val="0000FF"/>
        </w:rPr>
        <w:tab/>
        <w:t>The CDR representative may invite a CDR consumer to amend a current consent if:</w:t>
      </w:r>
    </w:p>
    <w:p w14:paraId="5182E3F1" w14:textId="77777777" w:rsidR="00BB7660" w:rsidRPr="00DA3997" w:rsidRDefault="00BB7660" w:rsidP="00BB7660">
      <w:pPr>
        <w:pStyle w:val="paragraph"/>
        <w:rPr>
          <w:color w:val="0000FF"/>
        </w:rPr>
      </w:pPr>
      <w:r w:rsidRPr="00DA3997">
        <w:rPr>
          <w:color w:val="0000FF"/>
        </w:rPr>
        <w:tab/>
        <w:t>(a)</w:t>
      </w:r>
      <w:r w:rsidRPr="00DA3997">
        <w:rPr>
          <w:color w:val="0000FF"/>
        </w:rPr>
        <w:tab/>
        <w:t xml:space="preserve">the amendment would better enable the CDR representative to provide the goods or services referred to in paragraph 4.3A(1)(a); or </w:t>
      </w:r>
    </w:p>
    <w:p w14:paraId="256F6E9E" w14:textId="77777777" w:rsidR="00BB7660" w:rsidRPr="00DA3997" w:rsidRDefault="00BB7660" w:rsidP="00BB7660">
      <w:pPr>
        <w:pStyle w:val="paragraph"/>
        <w:rPr>
          <w:color w:val="0000FF"/>
          <w:sz w:val="20"/>
        </w:rPr>
      </w:pPr>
      <w:r w:rsidRPr="00DA3997">
        <w:rPr>
          <w:color w:val="0000FF"/>
        </w:rPr>
        <w:tab/>
        <w:t>(b)</w:t>
      </w:r>
      <w:r w:rsidRPr="00DA3997">
        <w:rPr>
          <w:color w:val="0000FF"/>
        </w:rPr>
        <w:tab/>
        <w:t>the amendment would:</w:t>
      </w:r>
    </w:p>
    <w:p w14:paraId="3EF3639D" w14:textId="77777777" w:rsidR="00BB7660" w:rsidRPr="00DA3997" w:rsidRDefault="00BB7660" w:rsidP="00BB7660">
      <w:pPr>
        <w:pStyle w:val="paragraphsub"/>
        <w:rPr>
          <w:color w:val="0000FF"/>
        </w:rPr>
      </w:pPr>
      <w:r w:rsidRPr="00DA3997">
        <w:rPr>
          <w:color w:val="0000FF"/>
        </w:rPr>
        <w:tab/>
        <w:t>(i)</w:t>
      </w:r>
      <w:r w:rsidRPr="00DA3997">
        <w:rPr>
          <w:color w:val="0000FF"/>
        </w:rPr>
        <w:tab/>
        <w:t>be consequential to an agreement between the CDR representative and the CDR consumer to modify those goods or services; and</w:t>
      </w:r>
    </w:p>
    <w:p w14:paraId="1A414B10" w14:textId="77777777" w:rsidR="00BB7660" w:rsidRPr="00DA3997" w:rsidRDefault="00BB7660" w:rsidP="00BB7660">
      <w:pPr>
        <w:pStyle w:val="paragraphsub"/>
        <w:rPr>
          <w:color w:val="0000FF"/>
        </w:rPr>
      </w:pPr>
      <w:r w:rsidRPr="00DA3997">
        <w:rPr>
          <w:color w:val="0000FF"/>
        </w:rPr>
        <w:tab/>
        <w:t>(ii)</w:t>
      </w:r>
      <w:r w:rsidRPr="00DA3997">
        <w:rPr>
          <w:color w:val="0000FF"/>
        </w:rPr>
        <w:tab/>
        <w:t>enable the CDR representative to provide the modified goods or services. </w:t>
      </w:r>
    </w:p>
    <w:p w14:paraId="55E97429" w14:textId="77777777" w:rsidR="00BB7660" w:rsidRPr="00DA3997" w:rsidRDefault="00BB7660" w:rsidP="00BB7660">
      <w:pPr>
        <w:pStyle w:val="subsection"/>
        <w:rPr>
          <w:color w:val="0000FF"/>
        </w:rPr>
      </w:pPr>
      <w:r w:rsidRPr="00DA3997">
        <w:rPr>
          <w:color w:val="0000FF"/>
        </w:rPr>
        <w:tab/>
        <w:t>(4)</w:t>
      </w:r>
      <w:r w:rsidRPr="00DA3997">
        <w:rPr>
          <w:color w:val="0000FF"/>
        </w:rPr>
        <w:tab/>
        <w:t>The CDR representative must not, for an invitation to amend the period referred to in paragraph 4</w:t>
      </w:r>
      <w:r w:rsidR="0034635F" w:rsidRPr="00DA3997">
        <w:rPr>
          <w:color w:val="0000FF"/>
        </w:rPr>
        <w:t>.20E</w:t>
      </w:r>
      <w:r w:rsidRPr="00DA3997">
        <w:rPr>
          <w:color w:val="0000FF"/>
        </w:rPr>
        <w:t>(1)(b):</w:t>
      </w:r>
    </w:p>
    <w:p w14:paraId="781A3071" w14:textId="77777777" w:rsidR="00BB7660" w:rsidRPr="00DA3997" w:rsidRDefault="00BB7660" w:rsidP="00BB7660">
      <w:pPr>
        <w:pStyle w:val="paragraph"/>
        <w:rPr>
          <w:color w:val="0000FF"/>
        </w:rPr>
      </w:pPr>
      <w:r w:rsidRPr="00DA3997">
        <w:rPr>
          <w:color w:val="0000FF"/>
        </w:rPr>
        <w:tab/>
        <w:t>(a)</w:t>
      </w:r>
      <w:r w:rsidRPr="00DA3997">
        <w:rPr>
          <w:color w:val="0000FF"/>
        </w:rPr>
        <w:tab/>
        <w:t>give the invitation any earlier than a reasonable period before the current consent is expected to expire; or</w:t>
      </w:r>
    </w:p>
    <w:p w14:paraId="1FC1604E" w14:textId="77777777" w:rsidR="00BB7660" w:rsidRPr="00DA3997" w:rsidRDefault="00BB7660" w:rsidP="00BB7660">
      <w:pPr>
        <w:pStyle w:val="paragraph"/>
        <w:rPr>
          <w:color w:val="0000FF"/>
        </w:rPr>
      </w:pPr>
      <w:r w:rsidRPr="00DA3997">
        <w:rPr>
          <w:color w:val="0000FF"/>
        </w:rPr>
        <w:tab/>
        <w:t>(b)</w:t>
      </w:r>
      <w:r w:rsidRPr="00DA3997">
        <w:rPr>
          <w:color w:val="0000FF"/>
        </w:rPr>
        <w:tab/>
        <w:t>give more than a reasonable number of such invitations within this period.</w:t>
      </w:r>
    </w:p>
    <w:p w14:paraId="5898508C" w14:textId="77777777" w:rsidR="00BB7660" w:rsidRPr="00DA3997" w:rsidRDefault="00BB7660" w:rsidP="00BB7660">
      <w:pPr>
        <w:pStyle w:val="ActHead5"/>
        <w:rPr>
          <w:color w:val="0000FF"/>
        </w:rPr>
      </w:pPr>
      <w:bookmarkStart w:id="335" w:name="_Toc111132085"/>
      <w:r w:rsidRPr="004A04A4">
        <w:rPr>
          <w:color w:val="0000FF"/>
        </w:rPr>
        <w:t>4.20</w:t>
      </w:r>
      <w:r w:rsidR="00195095">
        <w:rPr>
          <w:noProof/>
          <w:color w:val="0000FF"/>
        </w:rPr>
        <w:t>I</w:t>
      </w:r>
      <w:r w:rsidRPr="00DA3997">
        <w:rPr>
          <w:color w:val="0000FF"/>
        </w:rPr>
        <w:t xml:space="preserve">  Process for amending consent</w:t>
      </w:r>
      <w:bookmarkEnd w:id="335"/>
    </w:p>
    <w:p w14:paraId="6656FE3F" w14:textId="77777777" w:rsidR="00BB7660" w:rsidRPr="00DA3997" w:rsidRDefault="00BB7660" w:rsidP="00BB7660">
      <w:pPr>
        <w:pStyle w:val="subsection"/>
        <w:rPr>
          <w:color w:val="0000FF"/>
        </w:rPr>
      </w:pPr>
      <w:r w:rsidRPr="00DA3997">
        <w:rPr>
          <w:color w:val="0000FF"/>
        </w:rPr>
        <w:tab/>
        <w:t>(1)</w:t>
      </w:r>
      <w:r w:rsidRPr="00DA3997">
        <w:rPr>
          <w:color w:val="0000FF"/>
        </w:rPr>
        <w:tab/>
        <w:t>Subject to this rule, if a CDR representative allows CDR consumers to amend consents, it must allow them to do so in the same manner that it asks for CDR consumers to give consents.</w:t>
      </w:r>
    </w:p>
    <w:p w14:paraId="3264AC9A" w14:textId="77777777" w:rsidR="00BB7660" w:rsidRPr="00DA3997" w:rsidRDefault="00BB7660" w:rsidP="00BB7660">
      <w:pPr>
        <w:pStyle w:val="subsection"/>
        <w:rPr>
          <w:color w:val="0000FF"/>
        </w:rPr>
      </w:pPr>
      <w:r w:rsidRPr="00DA3997">
        <w:rPr>
          <w:color w:val="0000FF"/>
        </w:rPr>
        <w:tab/>
        <w:t>(2)</w:t>
      </w:r>
      <w:r w:rsidRPr="00DA3997">
        <w:rPr>
          <w:color w:val="0000FF"/>
        </w:rPr>
        <w:tab/>
        <w:t>Despite subrule 4</w:t>
      </w:r>
      <w:r w:rsidR="0034635F" w:rsidRPr="00DA3997">
        <w:rPr>
          <w:color w:val="0000FF"/>
        </w:rPr>
        <w:t>.20E</w:t>
      </w:r>
      <w:r w:rsidRPr="00DA3997">
        <w:rPr>
          <w:color w:val="0000FF"/>
        </w:rPr>
        <w:t>(2</w:t>
      </w:r>
      <w:r w:rsidR="00A13D7F">
        <w:rPr>
          <w:color w:val="0000FF"/>
        </w:rPr>
        <w:t>)</w:t>
      </w:r>
      <w:r w:rsidRPr="00DA3997">
        <w:rPr>
          <w:color w:val="0000FF"/>
        </w:rPr>
        <w:t>, in the case of an amendment to a consent, a CDR representative may present, as pre</w:t>
      </w:r>
      <w:r w:rsidRPr="00DA3997">
        <w:rPr>
          <w:color w:val="0000FF"/>
        </w:rPr>
        <w:noBreakHyphen/>
        <w:t>selected options, the following details of the current consent:</w:t>
      </w:r>
    </w:p>
    <w:p w14:paraId="5B3E5122" w14:textId="77777777" w:rsidR="00BB7660" w:rsidRPr="00DA3997" w:rsidRDefault="00BB7660" w:rsidP="00BB7660">
      <w:pPr>
        <w:pStyle w:val="paragraph"/>
        <w:rPr>
          <w:color w:val="0000FF"/>
        </w:rPr>
      </w:pPr>
      <w:r w:rsidRPr="00DA3997">
        <w:rPr>
          <w:color w:val="0000FF"/>
        </w:rPr>
        <w:tab/>
        <w:t>(a)</w:t>
      </w:r>
      <w:r w:rsidRPr="00DA3997">
        <w:rPr>
          <w:color w:val="0000FF"/>
        </w:rPr>
        <w:tab/>
        <w:t>the selections or indications referred to in paragraphs 4</w:t>
      </w:r>
      <w:r w:rsidR="0034635F" w:rsidRPr="00DA3997">
        <w:rPr>
          <w:color w:val="0000FF"/>
        </w:rPr>
        <w:t>.20E</w:t>
      </w:r>
      <w:r w:rsidRPr="00DA3997">
        <w:rPr>
          <w:color w:val="0000FF"/>
        </w:rPr>
        <w:t>(1)(a), (b)</w:t>
      </w:r>
      <w:r w:rsidR="00A13D7F">
        <w:rPr>
          <w:color w:val="0000FF"/>
        </w:rPr>
        <w:t xml:space="preserve">, </w:t>
      </w:r>
      <w:r w:rsidRPr="00DA3997">
        <w:rPr>
          <w:color w:val="0000FF"/>
        </w:rPr>
        <w:t>(c)</w:t>
      </w:r>
      <w:r w:rsidR="00A13D7F">
        <w:rPr>
          <w:color w:val="0000FF"/>
        </w:rPr>
        <w:t xml:space="preserve"> </w:t>
      </w:r>
      <w:r w:rsidR="00A13D7F" w:rsidRPr="00500212">
        <w:rPr>
          <w:color w:val="0000FF"/>
        </w:rPr>
        <w:t>and (d)</w:t>
      </w:r>
      <w:r w:rsidRPr="00DA3997">
        <w:rPr>
          <w:color w:val="0000FF"/>
        </w:rPr>
        <w:t>;</w:t>
      </w:r>
    </w:p>
    <w:p w14:paraId="00BB603E" w14:textId="77777777" w:rsidR="00BB7660" w:rsidRPr="00DA3997" w:rsidRDefault="00BB7660" w:rsidP="00BB7660">
      <w:pPr>
        <w:pStyle w:val="paragraph"/>
        <w:rPr>
          <w:color w:val="0000FF"/>
        </w:rPr>
      </w:pPr>
      <w:r w:rsidRPr="00DA3997">
        <w:rPr>
          <w:color w:val="0000FF"/>
        </w:rPr>
        <w:tab/>
        <w:t>(b)</w:t>
      </w:r>
      <w:r w:rsidRPr="00DA3997">
        <w:rPr>
          <w:color w:val="0000FF"/>
        </w:rPr>
        <w:tab/>
        <w:t>the election (if any) referred to in paragraph 4</w:t>
      </w:r>
      <w:r w:rsidR="0034635F" w:rsidRPr="00DA3997">
        <w:rPr>
          <w:color w:val="0000FF"/>
        </w:rPr>
        <w:t>.20E</w:t>
      </w:r>
      <w:r w:rsidRPr="00DA3997">
        <w:rPr>
          <w:color w:val="0000FF"/>
        </w:rPr>
        <w:t>(1)(</w:t>
      </w:r>
      <w:r w:rsidR="00A13D7F" w:rsidRPr="00500212">
        <w:rPr>
          <w:color w:val="0000FF"/>
        </w:rPr>
        <w:t>f</w:t>
      </w:r>
      <w:r w:rsidRPr="00DA3997">
        <w:rPr>
          <w:color w:val="0000FF"/>
        </w:rPr>
        <w:t>).</w:t>
      </w:r>
    </w:p>
    <w:p w14:paraId="2F67EAAA" w14:textId="77777777" w:rsidR="00BB7660" w:rsidRPr="00DA3997" w:rsidRDefault="00BB7660" w:rsidP="00BB7660">
      <w:pPr>
        <w:pStyle w:val="subsection"/>
        <w:rPr>
          <w:color w:val="0000FF"/>
        </w:rPr>
      </w:pPr>
      <w:r w:rsidRPr="00DA3997">
        <w:rPr>
          <w:color w:val="0000FF"/>
        </w:rPr>
        <w:lastRenderedPageBreak/>
        <w:tab/>
        <w:t>(3)</w:t>
      </w:r>
      <w:r w:rsidRPr="00DA3997">
        <w:rPr>
          <w:color w:val="0000FF"/>
        </w:rPr>
        <w:tab/>
        <w:t>In the case of an amendment to a consent, in addition to the information referred to in subrule 4</w:t>
      </w:r>
      <w:r w:rsidR="0034635F" w:rsidRPr="00DA3997">
        <w:rPr>
          <w:color w:val="0000FF"/>
        </w:rPr>
        <w:t>.20E</w:t>
      </w:r>
      <w:r w:rsidRPr="00DA3997">
        <w:rPr>
          <w:color w:val="0000FF"/>
        </w:rPr>
        <w:t>(3), the CDR representative must give the CDR consumer:</w:t>
      </w:r>
    </w:p>
    <w:p w14:paraId="40A241D1" w14:textId="77777777" w:rsidR="00BB7660" w:rsidRPr="00DA3997" w:rsidRDefault="00BB7660" w:rsidP="00BB7660">
      <w:pPr>
        <w:pStyle w:val="paragraph"/>
        <w:rPr>
          <w:color w:val="0000FF"/>
        </w:rPr>
      </w:pPr>
      <w:r w:rsidRPr="00DA3997">
        <w:rPr>
          <w:color w:val="0000FF"/>
        </w:rPr>
        <w:tab/>
        <w:t>(a)</w:t>
      </w:r>
      <w:r w:rsidRPr="00DA3997">
        <w:rPr>
          <w:color w:val="0000FF"/>
        </w:rPr>
        <w:tab/>
        <w:t>a statement that indicates the consequences of amending a consent; and</w:t>
      </w:r>
    </w:p>
    <w:p w14:paraId="2BC3CDE6" w14:textId="77777777" w:rsidR="00BB7660" w:rsidRPr="00DA3997" w:rsidRDefault="00BB7660" w:rsidP="00BB7660">
      <w:pPr>
        <w:pStyle w:val="paragraph"/>
        <w:rPr>
          <w:color w:val="0000FF"/>
        </w:rPr>
      </w:pPr>
      <w:r w:rsidRPr="00DA3997">
        <w:rPr>
          <w:color w:val="0000FF"/>
        </w:rPr>
        <w:tab/>
        <w:t>(b)</w:t>
      </w:r>
      <w:r w:rsidRPr="00DA3997">
        <w:rPr>
          <w:color w:val="0000FF"/>
        </w:rPr>
        <w:tab/>
        <w:t>a statement that the CDR representative will be able to continue to use any CDR data that has already been disclosed to it to the extent allowed by the amended consent.</w:t>
      </w:r>
    </w:p>
    <w:p w14:paraId="11BEBFFB" w14:textId="77777777" w:rsidR="00BB7660" w:rsidRPr="00DA3997" w:rsidRDefault="00BB7660" w:rsidP="00BB7660">
      <w:pPr>
        <w:pStyle w:val="ActHead4"/>
        <w:rPr>
          <w:color w:val="0000FF"/>
        </w:rPr>
      </w:pPr>
      <w:bookmarkStart w:id="336" w:name="_Toc111132086"/>
      <w:r w:rsidRPr="00DA3997">
        <w:rPr>
          <w:color w:val="0000FF"/>
        </w:rPr>
        <w:t>Subdivision 4.3A.</w:t>
      </w:r>
      <w:r w:rsidRPr="004A04A4">
        <w:rPr>
          <w:color w:val="0000FF"/>
        </w:rPr>
        <w:t>4</w:t>
      </w:r>
      <w:r w:rsidRPr="00DA3997">
        <w:rPr>
          <w:color w:val="0000FF"/>
        </w:rPr>
        <w:t>—Withdrawing consents</w:t>
      </w:r>
      <w:bookmarkEnd w:id="336"/>
      <w:r w:rsidRPr="00DA3997">
        <w:rPr>
          <w:color w:val="0000FF"/>
        </w:rPr>
        <w:t xml:space="preserve"> </w:t>
      </w:r>
    </w:p>
    <w:p w14:paraId="5DD7C857" w14:textId="77777777" w:rsidR="00BB7660" w:rsidRPr="00DA3997" w:rsidRDefault="00BB7660" w:rsidP="00BB7660">
      <w:pPr>
        <w:pStyle w:val="ActHead5"/>
        <w:rPr>
          <w:color w:val="0000FF"/>
        </w:rPr>
      </w:pPr>
      <w:bookmarkStart w:id="337" w:name="_Toc111132087"/>
      <w:r w:rsidRPr="004A04A4">
        <w:rPr>
          <w:color w:val="0000FF"/>
        </w:rPr>
        <w:t>4.20</w:t>
      </w:r>
      <w:r w:rsidR="00195095">
        <w:rPr>
          <w:noProof/>
          <w:color w:val="0000FF"/>
        </w:rPr>
        <w:t>J</w:t>
      </w:r>
      <w:r w:rsidRPr="00DA3997">
        <w:rPr>
          <w:color w:val="0000FF"/>
        </w:rPr>
        <w:t xml:space="preserve">  Withdrawal of consents</w:t>
      </w:r>
      <w:bookmarkEnd w:id="337"/>
    </w:p>
    <w:p w14:paraId="3A2D8860" w14:textId="77777777" w:rsidR="00BB7660" w:rsidRPr="00DA3997" w:rsidRDefault="00BB7660" w:rsidP="00BB7660">
      <w:pPr>
        <w:pStyle w:val="subsection"/>
        <w:rPr>
          <w:color w:val="0000FF"/>
        </w:rPr>
      </w:pPr>
      <w:r w:rsidRPr="00DA3997">
        <w:rPr>
          <w:color w:val="0000FF"/>
        </w:rPr>
        <w:tab/>
        <w:t>(1)</w:t>
      </w:r>
      <w:r w:rsidRPr="00DA3997">
        <w:rPr>
          <w:color w:val="0000FF"/>
        </w:rPr>
        <w:tab/>
        <w:t xml:space="preserve">The CDR consumer who gave a consent </w:t>
      </w:r>
      <w:r w:rsidRPr="004A04A4">
        <w:rPr>
          <w:color w:val="0000FF"/>
        </w:rPr>
        <w:t xml:space="preserve">under this Division </w:t>
      </w:r>
      <w:r w:rsidRPr="00DA3997">
        <w:rPr>
          <w:color w:val="0000FF"/>
        </w:rPr>
        <w:t>may withdraw the consent at any time:</w:t>
      </w:r>
    </w:p>
    <w:p w14:paraId="7FD58B62" w14:textId="77777777" w:rsidR="00BB7660" w:rsidRPr="00F524AD" w:rsidRDefault="00BB7660" w:rsidP="00BB7660">
      <w:pPr>
        <w:pStyle w:val="paragraph"/>
        <w:rPr>
          <w:color w:val="0000FF"/>
        </w:rPr>
      </w:pPr>
      <w:r w:rsidRPr="00F524AD">
        <w:rPr>
          <w:color w:val="0000FF"/>
        </w:rPr>
        <w:tab/>
        <w:t>(a)</w:t>
      </w:r>
      <w:r w:rsidRPr="00F524AD">
        <w:rPr>
          <w:color w:val="0000FF"/>
        </w:rPr>
        <w:tab/>
        <w:t>by using the CDR principal’s consumer dashboard; or</w:t>
      </w:r>
    </w:p>
    <w:p w14:paraId="3E513DDD" w14:textId="77777777" w:rsidR="0065267D" w:rsidRPr="00F524AD" w:rsidRDefault="00BB7660" w:rsidP="00BB7660">
      <w:pPr>
        <w:pStyle w:val="paragraph"/>
        <w:rPr>
          <w:color w:val="0000FF"/>
        </w:rPr>
      </w:pPr>
      <w:r w:rsidRPr="00F524AD">
        <w:rPr>
          <w:color w:val="0000FF"/>
        </w:rPr>
        <w:tab/>
        <w:t>(b)</w:t>
      </w:r>
      <w:r w:rsidRPr="00F524AD">
        <w:rPr>
          <w:color w:val="0000FF"/>
        </w:rPr>
        <w:tab/>
        <w:t>by using a</w:t>
      </w:r>
      <w:r w:rsidR="0065267D" w:rsidRPr="00F524AD">
        <w:rPr>
          <w:color w:val="0000FF"/>
        </w:rPr>
        <w:t xml:space="preserve"> method mentioned in subrule (2) to notify either the CDR principal or the CDR representative.</w:t>
      </w:r>
    </w:p>
    <w:p w14:paraId="4DBF2C83"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3A1B86A4" w14:textId="77777777" w:rsidR="0065267D" w:rsidRPr="00F524AD" w:rsidRDefault="0065267D" w:rsidP="0065267D">
      <w:pPr>
        <w:pStyle w:val="subsection"/>
        <w:rPr>
          <w:color w:val="0000FF"/>
        </w:rPr>
      </w:pPr>
      <w:r w:rsidRPr="00F524AD">
        <w:rPr>
          <w:color w:val="0000FF"/>
        </w:rPr>
        <w:tab/>
        <w:t>(2)</w:t>
      </w:r>
      <w:r w:rsidRPr="00F524AD">
        <w:rPr>
          <w:color w:val="0000FF"/>
        </w:rPr>
        <w:tab/>
        <w:t xml:space="preserve">The </w:t>
      </w:r>
      <w:r w:rsidR="00BB7660" w:rsidRPr="00F524AD">
        <w:rPr>
          <w:color w:val="0000FF"/>
        </w:rPr>
        <w:t xml:space="preserve">CDR principal and the CDR representative </w:t>
      </w:r>
      <w:r w:rsidRPr="00F524AD">
        <w:rPr>
          <w:color w:val="0000FF"/>
        </w:rPr>
        <w:t>must each make available a simple method of communication for the withdrawal of consent, as an alternative to using the CDR principal’s consumer dashboard.</w:t>
      </w:r>
    </w:p>
    <w:p w14:paraId="4D090E61"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6F79800B" w14:textId="77777777" w:rsidR="00A13D7F" w:rsidRPr="00500212" w:rsidRDefault="00C83A39" w:rsidP="00C83A39">
      <w:pPr>
        <w:pStyle w:val="subsection"/>
        <w:rPr>
          <w:color w:val="0000FF"/>
        </w:rPr>
      </w:pPr>
      <w:r w:rsidRPr="00F524AD">
        <w:rPr>
          <w:color w:val="0000FF"/>
        </w:rPr>
        <w:tab/>
        <w:t>(</w:t>
      </w:r>
      <w:r w:rsidR="0065267D" w:rsidRPr="00F524AD">
        <w:rPr>
          <w:color w:val="0000FF"/>
        </w:rPr>
        <w:t>3</w:t>
      </w:r>
      <w:r w:rsidRPr="00F524AD">
        <w:rPr>
          <w:color w:val="0000FF"/>
        </w:rPr>
        <w:t>)</w:t>
      </w:r>
      <w:r w:rsidRPr="00F524AD">
        <w:rPr>
          <w:color w:val="0000FF"/>
        </w:rPr>
        <w:tab/>
        <w:t>If the withdrawal was in accordance with paragraph (1)(b)</w:t>
      </w:r>
      <w:r w:rsidR="00A13D7F" w:rsidRPr="00500212">
        <w:rPr>
          <w:color w:val="0000FF"/>
        </w:rPr>
        <w:t>:</w:t>
      </w:r>
    </w:p>
    <w:p w14:paraId="233219EA" w14:textId="77777777" w:rsidR="00A13D7F" w:rsidRPr="00500212" w:rsidRDefault="00A13D7F" w:rsidP="00A13D7F">
      <w:pPr>
        <w:pStyle w:val="paragraph"/>
        <w:rPr>
          <w:color w:val="0000FF"/>
        </w:rPr>
      </w:pPr>
      <w:r w:rsidRPr="00500212">
        <w:rPr>
          <w:color w:val="0000FF"/>
        </w:rPr>
        <w:tab/>
        <w:t>(a)</w:t>
      </w:r>
      <w:r w:rsidRPr="00500212">
        <w:rPr>
          <w:color w:val="0000FF"/>
        </w:rPr>
        <w:tab/>
        <w:t>whichever of the CDR principal and the CDR representative received the communication must notify the other as soon as practicable; and</w:t>
      </w:r>
    </w:p>
    <w:p w14:paraId="5418D97C" w14:textId="77777777" w:rsidR="00C83A39" w:rsidRPr="00CB7ADC" w:rsidRDefault="00A13D7F" w:rsidP="00A13D7F">
      <w:pPr>
        <w:pStyle w:val="paragraph"/>
        <w:rPr>
          <w:color w:val="0000FF"/>
        </w:rPr>
      </w:pPr>
      <w:r w:rsidRPr="00500212">
        <w:rPr>
          <w:color w:val="0000FF"/>
        </w:rPr>
        <w:tab/>
        <w:t>(b)</w:t>
      </w:r>
      <w:r w:rsidRPr="00500212">
        <w:rPr>
          <w:color w:val="0000FF"/>
        </w:rPr>
        <w:tab/>
      </w:r>
      <w:r w:rsidR="00C83A39" w:rsidRPr="00CB7ADC">
        <w:rPr>
          <w:color w:val="0000FF"/>
        </w:rPr>
        <w:t xml:space="preserve">the </w:t>
      </w:r>
      <w:r w:rsidR="002A4EC0" w:rsidRPr="00CB7ADC">
        <w:rPr>
          <w:color w:val="0000FF"/>
        </w:rPr>
        <w:t>CDR principal</w:t>
      </w:r>
      <w:r w:rsidR="00C83A39" w:rsidRPr="00CB7ADC">
        <w:rPr>
          <w:color w:val="0000FF"/>
        </w:rPr>
        <w:t xml:space="preserve"> must give effect to the withdrawal as soon as practicable, and in any case within 2 business days after receiving the communication.</w:t>
      </w:r>
    </w:p>
    <w:p w14:paraId="585C3BB8" w14:textId="77777777" w:rsidR="002A4EC0" w:rsidRPr="00F524AD" w:rsidRDefault="002A4EC0" w:rsidP="002A4EC0">
      <w:pPr>
        <w:pStyle w:val="notetext"/>
        <w:rPr>
          <w:color w:val="0000FF"/>
        </w:rPr>
      </w:pPr>
      <w:r w:rsidRPr="00F524AD">
        <w:rPr>
          <w:color w:val="0000FF"/>
        </w:rPr>
        <w:t>Note:</w:t>
      </w:r>
      <w:r w:rsidRPr="00F524AD">
        <w:rPr>
          <w:color w:val="0000FF"/>
        </w:rPr>
        <w:tab/>
        <w:t>This subrule is a civil penalty provision</w:t>
      </w:r>
      <w:r w:rsidR="00CB7ADC" w:rsidRPr="00500212">
        <w:rPr>
          <w:color w:val="0000FF"/>
        </w:rPr>
        <w:t xml:space="preserve"> for the CDR principal</w:t>
      </w:r>
      <w:r w:rsidRPr="00F524AD">
        <w:rPr>
          <w:color w:val="0000FF"/>
        </w:rPr>
        <w:t xml:space="preserve"> (see rule 9.8).</w:t>
      </w:r>
    </w:p>
    <w:p w14:paraId="656BDB3B" w14:textId="77777777" w:rsidR="002A4EC0" w:rsidRPr="00F524AD" w:rsidRDefault="002A4EC0" w:rsidP="002A4EC0">
      <w:pPr>
        <w:pStyle w:val="subsection"/>
        <w:rPr>
          <w:color w:val="0000FF"/>
        </w:rPr>
      </w:pPr>
      <w:r w:rsidRPr="00F524AD">
        <w:rPr>
          <w:color w:val="0000FF"/>
        </w:rPr>
        <w:tab/>
        <w:t>(4)</w:t>
      </w:r>
      <w:r w:rsidRPr="00F524AD">
        <w:rPr>
          <w:color w:val="0000FF"/>
        </w:rPr>
        <w:tab/>
        <w:t>If the withdrawal was in accordance with paragraph (1)(b), the CDR Representative must give effect to the withdrawal as soon as practicable, and in any case within 2 business days after receiving the communication.</w:t>
      </w:r>
    </w:p>
    <w:p w14:paraId="75C65B05" w14:textId="77777777" w:rsidR="00C83A39" w:rsidRPr="00F524AD" w:rsidRDefault="00C83A39" w:rsidP="00C83A39">
      <w:pPr>
        <w:pStyle w:val="notetext"/>
        <w:rPr>
          <w:color w:val="0000FF"/>
        </w:rPr>
      </w:pPr>
      <w:r w:rsidRPr="00F524AD">
        <w:rPr>
          <w:color w:val="0000FF"/>
        </w:rPr>
        <w:t>Note:</w:t>
      </w:r>
      <w:r w:rsidRPr="00F524AD">
        <w:rPr>
          <w:color w:val="0000FF"/>
        </w:rPr>
        <w:tab/>
      </w:r>
      <w:r w:rsidR="00A13D7F">
        <w:rPr>
          <w:color w:val="0000FF"/>
        </w:rPr>
        <w:t>A</w:t>
      </w:r>
      <w:r w:rsidR="002A4EC0" w:rsidRPr="00F524AD">
        <w:rPr>
          <w:color w:val="0000FF"/>
        </w:rPr>
        <w:t xml:space="preserve"> failure to do this could make the CDR principal liable for a civil penalty (see rule 1.16A)</w:t>
      </w:r>
      <w:r w:rsidRPr="00F524AD">
        <w:rPr>
          <w:color w:val="0000FF"/>
        </w:rPr>
        <w:t>.</w:t>
      </w:r>
    </w:p>
    <w:p w14:paraId="559EC0EE" w14:textId="77777777" w:rsidR="00BB7660" w:rsidRPr="00DA3997" w:rsidRDefault="00BB7660" w:rsidP="00BB7660">
      <w:pPr>
        <w:pStyle w:val="subsection"/>
        <w:rPr>
          <w:color w:val="0000FF"/>
        </w:rPr>
      </w:pPr>
      <w:r w:rsidRPr="00F524AD">
        <w:rPr>
          <w:color w:val="0000FF"/>
        </w:rPr>
        <w:tab/>
      </w:r>
      <w:r w:rsidR="0065267D" w:rsidRPr="00F524AD">
        <w:rPr>
          <w:color w:val="0000FF"/>
        </w:rPr>
        <w:t>(</w:t>
      </w:r>
      <w:r w:rsidR="002A4EC0" w:rsidRPr="00F524AD">
        <w:rPr>
          <w:color w:val="0000FF"/>
        </w:rPr>
        <w:t>5</w:t>
      </w:r>
      <w:r w:rsidR="0065267D" w:rsidRPr="00F524AD">
        <w:rPr>
          <w:color w:val="0000FF"/>
        </w:rPr>
        <w:t>)</w:t>
      </w:r>
      <w:r w:rsidRPr="00F524AD">
        <w:rPr>
          <w:color w:val="0000FF"/>
        </w:rPr>
        <w:tab/>
      </w:r>
      <w:r w:rsidRPr="00DA3997">
        <w:rPr>
          <w:color w:val="0000FF"/>
        </w:rPr>
        <w:t>Withdrawal of a consent does not affect an election under rule</w:t>
      </w:r>
      <w:r w:rsidRPr="004A04A4">
        <w:rPr>
          <w:color w:val="0000FF"/>
        </w:rPr>
        <w:t> 4</w:t>
      </w:r>
      <w:r w:rsidR="0034635F">
        <w:rPr>
          <w:color w:val="0000FF"/>
        </w:rPr>
        <w:t>.20M</w:t>
      </w:r>
      <w:r w:rsidRPr="00DA3997">
        <w:rPr>
          <w:color w:val="0000FF"/>
        </w:rPr>
        <w:t xml:space="preserve"> that the CDR consumer’s collected CDR data be deleted once it becomes redundant.</w:t>
      </w:r>
    </w:p>
    <w:p w14:paraId="465C5CE0" w14:textId="77777777" w:rsidR="00BB7660" w:rsidRPr="00DA3997" w:rsidRDefault="00BB7660" w:rsidP="00BB7660">
      <w:pPr>
        <w:pStyle w:val="ActHead4"/>
        <w:rPr>
          <w:color w:val="0000FF"/>
        </w:rPr>
      </w:pPr>
      <w:bookmarkStart w:id="338" w:name="_Toc111132088"/>
      <w:r w:rsidRPr="00DA3997">
        <w:rPr>
          <w:color w:val="0000FF"/>
        </w:rPr>
        <w:t>Subdivision 4.3A.</w:t>
      </w:r>
      <w:r w:rsidRPr="004A04A4">
        <w:rPr>
          <w:color w:val="0000FF"/>
        </w:rPr>
        <w:t>5</w:t>
      </w:r>
      <w:r w:rsidRPr="00DA3997">
        <w:rPr>
          <w:color w:val="0000FF"/>
        </w:rPr>
        <w:t>—Duration of consent</w:t>
      </w:r>
      <w:bookmarkEnd w:id="338"/>
    </w:p>
    <w:p w14:paraId="6063E539" w14:textId="77777777" w:rsidR="00BB7660" w:rsidRPr="00DA3997" w:rsidRDefault="00BB7660" w:rsidP="00BB7660">
      <w:pPr>
        <w:pStyle w:val="ActHead5"/>
        <w:rPr>
          <w:color w:val="0000FF"/>
        </w:rPr>
      </w:pPr>
      <w:bookmarkStart w:id="339" w:name="_Toc111132089"/>
      <w:r w:rsidRPr="004A04A4">
        <w:rPr>
          <w:color w:val="0000FF"/>
        </w:rPr>
        <w:t>4.20</w:t>
      </w:r>
      <w:r w:rsidR="00195095">
        <w:rPr>
          <w:noProof/>
          <w:color w:val="0000FF"/>
        </w:rPr>
        <w:t>K</w:t>
      </w:r>
      <w:r w:rsidRPr="00DA3997">
        <w:rPr>
          <w:color w:val="0000FF"/>
        </w:rPr>
        <w:t xml:space="preserve">  Duration of consent</w:t>
      </w:r>
      <w:bookmarkEnd w:id="339"/>
    </w:p>
    <w:p w14:paraId="735DB277" w14:textId="77777777" w:rsidR="00BB7660" w:rsidRPr="00DA3997" w:rsidRDefault="00BB7660" w:rsidP="00BB7660">
      <w:pPr>
        <w:pStyle w:val="subsection"/>
        <w:rPr>
          <w:color w:val="0000FF"/>
        </w:rPr>
      </w:pPr>
      <w:r w:rsidRPr="00DA3997">
        <w:rPr>
          <w:color w:val="0000FF"/>
        </w:rPr>
        <w:tab/>
        <w:t>(1)</w:t>
      </w:r>
      <w:r w:rsidRPr="00DA3997">
        <w:rPr>
          <w:color w:val="0000FF"/>
        </w:rPr>
        <w:tab/>
        <w:t xml:space="preserve">A consent </w:t>
      </w:r>
      <w:r w:rsidRPr="00A13D7F">
        <w:rPr>
          <w:color w:val="0000FF"/>
        </w:rPr>
        <w:t>given under this Division expires</w:t>
      </w:r>
      <w:r w:rsidRPr="00A13D7F">
        <w:t xml:space="preserve"> </w:t>
      </w:r>
      <w:r w:rsidRPr="00DA3997">
        <w:rPr>
          <w:color w:val="0000FF"/>
        </w:rPr>
        <w:t>at the earliest of the following:</w:t>
      </w:r>
    </w:p>
    <w:p w14:paraId="6C947B9C" w14:textId="77777777" w:rsidR="00BB7660" w:rsidRPr="00DA3997" w:rsidRDefault="00BB7660" w:rsidP="00BB7660">
      <w:pPr>
        <w:pStyle w:val="paragraph"/>
        <w:rPr>
          <w:color w:val="0000FF"/>
        </w:rPr>
      </w:pPr>
      <w:r w:rsidRPr="00DA3997">
        <w:rPr>
          <w:color w:val="0000FF"/>
        </w:rPr>
        <w:tab/>
        <w:t>(a)</w:t>
      </w:r>
      <w:r w:rsidRPr="00DA3997">
        <w:rPr>
          <w:color w:val="0000FF"/>
        </w:rPr>
        <w:tab/>
        <w:t xml:space="preserve">if the consent </w:t>
      </w:r>
      <w:r w:rsidR="00CB7ADC">
        <w:rPr>
          <w:color w:val="0000FF"/>
        </w:rPr>
        <w:t>was</w:t>
      </w:r>
      <w:r w:rsidRPr="00DA3997">
        <w:rPr>
          <w:color w:val="0000FF"/>
        </w:rPr>
        <w:t xml:space="preserve"> withdrawn in accordance with paragraph</w:t>
      </w:r>
      <w:r w:rsidRPr="004A04A4">
        <w:rPr>
          <w:color w:val="0000FF"/>
        </w:rPr>
        <w:t> 4</w:t>
      </w:r>
      <w:r w:rsidR="0034635F">
        <w:rPr>
          <w:color w:val="0000FF"/>
        </w:rPr>
        <w:t>.20J</w:t>
      </w:r>
      <w:r w:rsidRPr="004A04A4">
        <w:rPr>
          <w:color w:val="0000FF"/>
        </w:rPr>
        <w:t>(1)(b</w:t>
      </w:r>
      <w:r w:rsidRPr="00DA3997">
        <w:rPr>
          <w:color w:val="0000FF"/>
        </w:rPr>
        <w:t>)―the earlier of the following:</w:t>
      </w:r>
    </w:p>
    <w:p w14:paraId="1756FD98" w14:textId="77777777" w:rsidR="00BB7660" w:rsidRPr="00DA3997" w:rsidRDefault="00BB7660" w:rsidP="00BB7660">
      <w:pPr>
        <w:pStyle w:val="paragraphsub"/>
        <w:rPr>
          <w:color w:val="0000FF"/>
        </w:rPr>
      </w:pPr>
      <w:r w:rsidRPr="00DA3997">
        <w:rPr>
          <w:color w:val="0000FF"/>
        </w:rPr>
        <w:lastRenderedPageBreak/>
        <w:tab/>
        <w:t>(i)</w:t>
      </w:r>
      <w:r w:rsidRPr="00DA3997">
        <w:rPr>
          <w:color w:val="0000FF"/>
        </w:rPr>
        <w:tab/>
        <w:t>when the CDR principal and CDR representative gave effect to the withdrawal;</w:t>
      </w:r>
    </w:p>
    <w:p w14:paraId="7F4B75AC" w14:textId="77777777" w:rsidR="00BB7660" w:rsidRPr="00DA3997" w:rsidRDefault="00BB7660" w:rsidP="00BB7660">
      <w:pPr>
        <w:pStyle w:val="paragraphsub"/>
        <w:rPr>
          <w:color w:val="0000FF"/>
        </w:rPr>
      </w:pPr>
      <w:r w:rsidRPr="00DA3997">
        <w:rPr>
          <w:color w:val="0000FF"/>
        </w:rPr>
        <w:tab/>
        <w:t>(ii)</w:t>
      </w:r>
      <w:r w:rsidRPr="00DA3997">
        <w:rPr>
          <w:color w:val="0000FF"/>
        </w:rPr>
        <w:tab/>
        <w:t>2 business days after the CDR principal or CDR representative received the communication;</w:t>
      </w:r>
    </w:p>
    <w:p w14:paraId="0CEE564D" w14:textId="77777777" w:rsidR="00BB7660" w:rsidRPr="00DA3997" w:rsidRDefault="00BB7660" w:rsidP="00BB7660">
      <w:pPr>
        <w:pStyle w:val="paragraph"/>
        <w:rPr>
          <w:color w:val="0000FF"/>
        </w:rPr>
      </w:pPr>
      <w:r w:rsidRPr="00DA3997">
        <w:rPr>
          <w:color w:val="0000FF"/>
        </w:rPr>
        <w:tab/>
        <w:t>(b)</w:t>
      </w:r>
      <w:r w:rsidRPr="00DA3997">
        <w:rPr>
          <w:color w:val="0000FF"/>
        </w:rPr>
        <w:tab/>
        <w:t xml:space="preserve">if the consent </w:t>
      </w:r>
      <w:r w:rsidR="00CB7ADC">
        <w:rPr>
          <w:color w:val="0000FF"/>
        </w:rPr>
        <w:t>is</w:t>
      </w:r>
      <w:r w:rsidRPr="00DA3997">
        <w:rPr>
          <w:color w:val="0000FF"/>
        </w:rPr>
        <w:t xml:space="preserve"> withdrawn in accordance with paragraph 4</w:t>
      </w:r>
      <w:r w:rsidR="0034635F" w:rsidRPr="00DA3997">
        <w:rPr>
          <w:color w:val="0000FF"/>
        </w:rPr>
        <w:t>.20J</w:t>
      </w:r>
      <w:r w:rsidRPr="00DA3997">
        <w:rPr>
          <w:color w:val="0000FF"/>
        </w:rPr>
        <w:t xml:space="preserve">(1)(a)―when the consent </w:t>
      </w:r>
      <w:r w:rsidR="00CB7ADC">
        <w:rPr>
          <w:color w:val="0000FF"/>
        </w:rPr>
        <w:t>is</w:t>
      </w:r>
      <w:r w:rsidRPr="00DA3997">
        <w:rPr>
          <w:color w:val="0000FF"/>
        </w:rPr>
        <w:t xml:space="preserve"> withdrawn;</w:t>
      </w:r>
    </w:p>
    <w:p w14:paraId="2E71838B" w14:textId="77777777" w:rsidR="00BB7660" w:rsidRPr="00DA3997" w:rsidRDefault="00BB7660" w:rsidP="00BB7660">
      <w:pPr>
        <w:pStyle w:val="paragraph"/>
        <w:rPr>
          <w:color w:val="0000FF"/>
        </w:rPr>
      </w:pPr>
      <w:r w:rsidRPr="00DA3997">
        <w:rPr>
          <w:color w:val="0000FF"/>
        </w:rPr>
        <w:tab/>
        <w:t>(c)</w:t>
      </w:r>
      <w:r w:rsidRPr="00DA3997">
        <w:rPr>
          <w:color w:val="0000FF"/>
        </w:rPr>
        <w:tab/>
        <w:t>the end of the period of:</w:t>
      </w:r>
    </w:p>
    <w:p w14:paraId="53D02E7B" w14:textId="77777777" w:rsidR="003C26F3" w:rsidRPr="00DA3997" w:rsidRDefault="003C26F3" w:rsidP="003C26F3">
      <w:pPr>
        <w:pStyle w:val="paragraphsub"/>
        <w:rPr>
          <w:color w:val="0000FF"/>
        </w:rPr>
      </w:pPr>
      <w:r w:rsidRPr="00DA3997">
        <w:rPr>
          <w:color w:val="0000FF"/>
        </w:rPr>
        <w:tab/>
        <w:t>(i)</w:t>
      </w:r>
      <w:r w:rsidRPr="00DA3997">
        <w:rPr>
          <w:color w:val="0000FF"/>
        </w:rPr>
        <w:tab/>
        <w:t>7 years, in the case of a consent given by a CDR business consumer that includes a business consumer statement;</w:t>
      </w:r>
    </w:p>
    <w:p w14:paraId="74940D5B" w14:textId="77777777" w:rsidR="00BB7660" w:rsidRPr="00DA3997" w:rsidRDefault="00BB7660" w:rsidP="00BB7660">
      <w:pPr>
        <w:pStyle w:val="paragraphsub"/>
        <w:rPr>
          <w:color w:val="0000FF"/>
        </w:rPr>
      </w:pPr>
      <w:r w:rsidRPr="00DA3997">
        <w:rPr>
          <w:color w:val="0000FF"/>
        </w:rPr>
        <w:tab/>
        <w:t>(ii)</w:t>
      </w:r>
      <w:r w:rsidRPr="00DA3997">
        <w:rPr>
          <w:color w:val="0000FF"/>
        </w:rPr>
        <w:tab/>
        <w:t>12 months, in any other case;</w:t>
      </w:r>
    </w:p>
    <w:p w14:paraId="6ED152BE" w14:textId="77777777" w:rsidR="00BB7660" w:rsidRPr="00DA3997" w:rsidRDefault="002A4EC0" w:rsidP="002A4EC0">
      <w:pPr>
        <w:pStyle w:val="paragraph"/>
        <w:rPr>
          <w:color w:val="0000FF"/>
        </w:rPr>
      </w:pPr>
      <w:r w:rsidRPr="00DA3997">
        <w:rPr>
          <w:color w:val="0000FF"/>
        </w:rPr>
        <w:tab/>
      </w:r>
      <w:r w:rsidRPr="00DA3997">
        <w:rPr>
          <w:color w:val="0000FF"/>
        </w:rPr>
        <w:tab/>
      </w:r>
      <w:r w:rsidR="00BB7660" w:rsidRPr="00DA3997">
        <w:rPr>
          <w:color w:val="0000FF"/>
        </w:rPr>
        <w:t xml:space="preserve">after the later of </w:t>
      </w:r>
      <w:r w:rsidR="00CB7ADC">
        <w:rPr>
          <w:color w:val="0000FF"/>
        </w:rPr>
        <w:t xml:space="preserve">the </w:t>
      </w:r>
      <w:r w:rsidR="00BB7660" w:rsidRPr="00DA3997">
        <w:rPr>
          <w:color w:val="0000FF"/>
        </w:rPr>
        <w:t>following:</w:t>
      </w:r>
    </w:p>
    <w:p w14:paraId="6F60386F" w14:textId="77777777" w:rsidR="00BB7660" w:rsidRPr="00DA3997" w:rsidRDefault="00BB7660" w:rsidP="00BB7660">
      <w:pPr>
        <w:pStyle w:val="paragraphsub"/>
        <w:rPr>
          <w:color w:val="0000FF"/>
        </w:rPr>
      </w:pPr>
      <w:r w:rsidRPr="00DA3997">
        <w:rPr>
          <w:color w:val="0000FF"/>
        </w:rPr>
        <w:tab/>
        <w:t>(iii)</w:t>
      </w:r>
      <w:r w:rsidRPr="00DA3997">
        <w:rPr>
          <w:color w:val="0000FF"/>
        </w:rPr>
        <w:tab/>
        <w:t>the day the consent was given; or</w:t>
      </w:r>
    </w:p>
    <w:p w14:paraId="5961EC70" w14:textId="77777777" w:rsidR="00BB7660" w:rsidRPr="00DA3997" w:rsidRDefault="00BB7660" w:rsidP="00BB7660">
      <w:pPr>
        <w:pStyle w:val="paragraphsub"/>
        <w:rPr>
          <w:color w:val="0000FF"/>
        </w:rPr>
      </w:pPr>
      <w:r w:rsidRPr="00DA3997">
        <w:rPr>
          <w:color w:val="0000FF"/>
        </w:rPr>
        <w:tab/>
        <w:t>(iv)</w:t>
      </w:r>
      <w:r w:rsidRPr="00DA3997">
        <w:rPr>
          <w:color w:val="0000FF"/>
        </w:rPr>
        <w:tab/>
        <w:t>if the period of the consent has been amended in accordance with this Division―the day the consent was last amended;</w:t>
      </w:r>
    </w:p>
    <w:p w14:paraId="1CB8771B" w14:textId="77777777" w:rsidR="00BB7660" w:rsidRPr="00DA3997" w:rsidRDefault="00BB7660" w:rsidP="00BB7660">
      <w:pPr>
        <w:pStyle w:val="paragraph"/>
        <w:rPr>
          <w:color w:val="0000FF"/>
        </w:rPr>
      </w:pPr>
      <w:r w:rsidRPr="00DA3997">
        <w:rPr>
          <w:color w:val="0000FF"/>
        </w:rPr>
        <w:tab/>
        <w:t>(d)</w:t>
      </w:r>
      <w:r w:rsidRPr="00DA3997">
        <w:rPr>
          <w:color w:val="0000FF"/>
        </w:rPr>
        <w:tab/>
        <w:t>at the end of the period the CDR consumer consented to in accordance with rule 4</w:t>
      </w:r>
      <w:r w:rsidR="0034635F" w:rsidRPr="00DA3997">
        <w:rPr>
          <w:color w:val="0000FF"/>
        </w:rPr>
        <w:t>.20E</w:t>
      </w:r>
      <w:r w:rsidRPr="00DA3997">
        <w:rPr>
          <w:color w:val="0000FF"/>
        </w:rPr>
        <w:t>;</w:t>
      </w:r>
    </w:p>
    <w:p w14:paraId="6BBE084B" w14:textId="77777777" w:rsidR="00BB7660" w:rsidRPr="00DA3997" w:rsidRDefault="00BB7660" w:rsidP="00BB7660">
      <w:pPr>
        <w:pStyle w:val="paragraph"/>
        <w:rPr>
          <w:color w:val="0000FF"/>
        </w:rPr>
      </w:pPr>
      <w:r w:rsidRPr="00DA3997">
        <w:rPr>
          <w:color w:val="0000FF"/>
        </w:rPr>
        <w:tab/>
        <w:t>(e)</w:t>
      </w:r>
      <w:r w:rsidRPr="00DA3997">
        <w:rPr>
          <w:color w:val="0000FF"/>
        </w:rPr>
        <w:tab/>
        <w:t>if the consent expires as a result of the operation of another provision of these rules that references this paragraph.</w:t>
      </w:r>
    </w:p>
    <w:p w14:paraId="74511C01" w14:textId="77777777" w:rsidR="00BB7660" w:rsidRPr="00DA3997" w:rsidRDefault="00BB7660" w:rsidP="00BB7660">
      <w:pPr>
        <w:pStyle w:val="subsection"/>
        <w:tabs>
          <w:tab w:val="left" w:pos="4536"/>
        </w:tabs>
        <w:rPr>
          <w:color w:val="0000FF"/>
        </w:rPr>
      </w:pPr>
      <w:r w:rsidRPr="00DA3997">
        <w:rPr>
          <w:color w:val="0000FF"/>
        </w:rPr>
        <w:tab/>
        <w:t xml:space="preserve">(2) </w:t>
      </w:r>
      <w:r w:rsidRPr="00DA3997">
        <w:rPr>
          <w:color w:val="0000FF"/>
        </w:rPr>
        <w:tab/>
        <w:t>If:</w:t>
      </w:r>
    </w:p>
    <w:p w14:paraId="66AC4ED1" w14:textId="77777777" w:rsidR="00BB7660" w:rsidRPr="00DA3997" w:rsidRDefault="00BB7660" w:rsidP="00BB7660">
      <w:pPr>
        <w:pStyle w:val="paragraph"/>
        <w:rPr>
          <w:color w:val="0000FF"/>
        </w:rPr>
      </w:pPr>
      <w:r w:rsidRPr="00DA3997">
        <w:rPr>
          <w:color w:val="0000FF"/>
        </w:rPr>
        <w:tab/>
        <w:t>(a)</w:t>
      </w:r>
      <w:r w:rsidRPr="00DA3997">
        <w:rPr>
          <w:color w:val="0000FF"/>
        </w:rPr>
        <w:tab/>
        <w:t>a CDR principal is notified</w:t>
      </w:r>
      <w:r w:rsidR="00CD22F0" w:rsidRPr="00DA3997">
        <w:rPr>
          <w:color w:val="0000FF"/>
        </w:rPr>
        <w:t xml:space="preserve"> by a data holder</w:t>
      </w:r>
      <w:r w:rsidRPr="00DA3997">
        <w:rPr>
          <w:color w:val="0000FF"/>
        </w:rPr>
        <w:t xml:space="preserve"> of the withdrawal of an authorisation to disclose CDR data; and</w:t>
      </w:r>
    </w:p>
    <w:p w14:paraId="7B589CE3" w14:textId="77777777" w:rsidR="00BB7660" w:rsidRPr="00DA3997" w:rsidRDefault="00BB7660" w:rsidP="00BB7660">
      <w:pPr>
        <w:pStyle w:val="paragraph"/>
        <w:rPr>
          <w:color w:val="0000FF"/>
        </w:rPr>
      </w:pPr>
      <w:r w:rsidRPr="00DA3997">
        <w:rPr>
          <w:color w:val="0000FF"/>
        </w:rPr>
        <w:tab/>
        <w:t>(b)</w:t>
      </w:r>
      <w:r w:rsidRPr="00DA3997">
        <w:rPr>
          <w:color w:val="0000FF"/>
        </w:rPr>
        <w:tab/>
        <w:t>the collection consent has not expired in accordance with subrule (1);</w:t>
      </w:r>
    </w:p>
    <w:p w14:paraId="11879F10" w14:textId="77777777" w:rsidR="00BB7660" w:rsidRPr="00DA3997" w:rsidRDefault="00BB7660" w:rsidP="00BB7660">
      <w:pPr>
        <w:pStyle w:val="subsection"/>
        <w:spacing w:before="40"/>
        <w:rPr>
          <w:color w:val="0000FF"/>
        </w:rPr>
      </w:pPr>
      <w:r w:rsidRPr="00DA3997">
        <w:rPr>
          <w:color w:val="0000FF"/>
        </w:rPr>
        <w:tab/>
      </w:r>
      <w:r w:rsidRPr="00DA3997">
        <w:rPr>
          <w:color w:val="0000FF"/>
        </w:rPr>
        <w:tab/>
        <w:t>the collection consent to collect that CDR data expires when the CDR principal receives that notification.</w:t>
      </w:r>
    </w:p>
    <w:p w14:paraId="1AEDE030" w14:textId="77777777" w:rsidR="00BB7660" w:rsidRPr="00DA3997" w:rsidRDefault="00BB7660" w:rsidP="00BB7660">
      <w:pPr>
        <w:pStyle w:val="notetext"/>
        <w:rPr>
          <w:color w:val="0000FF"/>
        </w:rPr>
      </w:pPr>
      <w:r w:rsidRPr="00DA3997">
        <w:rPr>
          <w:color w:val="0000FF"/>
        </w:rPr>
        <w:t>Note:</w:t>
      </w:r>
      <w:r w:rsidRPr="00DA3997">
        <w:rPr>
          <w:color w:val="0000FF"/>
        </w:rPr>
        <w:tab/>
        <w:t>This would not result in the use consent relating to any CDR data that had already been collected expiring, so it may continue to be used by the CDR representative in accordance with those consents. However, see the notification requirement of rule 4</w:t>
      </w:r>
      <w:r w:rsidR="002E6983" w:rsidRPr="00DA3997">
        <w:rPr>
          <w:color w:val="0000FF"/>
        </w:rPr>
        <w:t>.20Q</w:t>
      </w:r>
      <w:r w:rsidRPr="00DA3997">
        <w:rPr>
          <w:color w:val="0000FF"/>
        </w:rPr>
        <w:t>.</w:t>
      </w:r>
    </w:p>
    <w:p w14:paraId="32BE4DD5" w14:textId="77777777" w:rsidR="00BB7660" w:rsidRPr="004A04A4" w:rsidRDefault="00BB7660" w:rsidP="00BB7660">
      <w:pPr>
        <w:pStyle w:val="subsection"/>
        <w:rPr>
          <w:color w:val="0000FF"/>
        </w:rPr>
      </w:pPr>
      <w:r w:rsidRPr="00DA3997">
        <w:rPr>
          <w:color w:val="0000FF"/>
        </w:rPr>
        <w:tab/>
        <w:t>(</w:t>
      </w:r>
      <w:r w:rsidR="002A4EC0" w:rsidRPr="00DA3997">
        <w:rPr>
          <w:color w:val="0000FF"/>
        </w:rPr>
        <w:t>3</w:t>
      </w:r>
      <w:r w:rsidRPr="00DA3997">
        <w:rPr>
          <w:color w:val="0000FF"/>
        </w:rPr>
        <w:t>)</w:t>
      </w:r>
      <w:r w:rsidRPr="00DA3997">
        <w:rPr>
          <w:color w:val="0000FF"/>
        </w:rPr>
        <w:tab/>
        <w:t>If a CDR principal’s accreditation</w:t>
      </w:r>
      <w:r w:rsidRPr="004A04A4">
        <w:rPr>
          <w:color w:val="0000FF"/>
        </w:rPr>
        <w:t xml:space="preserve"> is revoked or surrendered in accordance with rule 5.17, all of the consents of any of the CDR principal’s CDR representatives expire when the revocation or surrender takes effect.</w:t>
      </w:r>
    </w:p>
    <w:p w14:paraId="49BCA74A" w14:textId="77777777" w:rsidR="00BB7660" w:rsidRPr="00DA3997" w:rsidRDefault="00BB7660" w:rsidP="00BB7660">
      <w:pPr>
        <w:pStyle w:val="ActHead4"/>
        <w:rPr>
          <w:color w:val="0000FF"/>
        </w:rPr>
      </w:pPr>
      <w:bookmarkStart w:id="340" w:name="_Toc111132090"/>
      <w:r w:rsidRPr="00DA3997">
        <w:rPr>
          <w:color w:val="0000FF"/>
        </w:rPr>
        <w:t>Subdivision 4.3A.6—Information relating to de</w:t>
      </w:r>
      <w:r w:rsidRPr="00DA3997">
        <w:rPr>
          <w:color w:val="0000FF"/>
        </w:rPr>
        <w:noBreakHyphen/>
        <w:t>identification of CDR data</w:t>
      </w:r>
      <w:bookmarkEnd w:id="340"/>
    </w:p>
    <w:p w14:paraId="656AA396" w14:textId="77777777" w:rsidR="00BB7660" w:rsidRPr="00DA3997" w:rsidRDefault="00BB7660" w:rsidP="00BB7660">
      <w:pPr>
        <w:pStyle w:val="ActHead5"/>
        <w:rPr>
          <w:color w:val="0000FF"/>
        </w:rPr>
      </w:pPr>
      <w:bookmarkStart w:id="341" w:name="_Toc111132091"/>
      <w:r w:rsidRPr="00DA3997">
        <w:rPr>
          <w:color w:val="0000FF"/>
        </w:rPr>
        <w:t>4.20</w:t>
      </w:r>
      <w:r w:rsidR="00195095">
        <w:rPr>
          <w:noProof/>
          <w:color w:val="0000FF"/>
        </w:rPr>
        <w:t>L</w:t>
      </w:r>
      <w:r w:rsidRPr="00DA3997">
        <w:rPr>
          <w:color w:val="0000FF"/>
        </w:rPr>
        <w:t xml:space="preserve">  Additional information relating to de</w:t>
      </w:r>
      <w:r w:rsidRPr="00DA3997">
        <w:rPr>
          <w:color w:val="0000FF"/>
        </w:rPr>
        <w:noBreakHyphen/>
        <w:t>identification of CDR data</w:t>
      </w:r>
      <w:bookmarkEnd w:id="341"/>
    </w:p>
    <w:p w14:paraId="4712AC4D" w14:textId="77777777" w:rsidR="00BB7660" w:rsidRPr="00DA3997" w:rsidRDefault="00BB7660" w:rsidP="00BB7660">
      <w:pPr>
        <w:pStyle w:val="subsection"/>
        <w:rPr>
          <w:color w:val="0000FF"/>
        </w:rPr>
      </w:pPr>
      <w:r w:rsidRPr="00DA3997">
        <w:rPr>
          <w:color w:val="0000FF"/>
        </w:rPr>
        <w:tab/>
      </w:r>
      <w:r w:rsidRPr="00DA3997">
        <w:rPr>
          <w:color w:val="0000FF"/>
        </w:rPr>
        <w:tab/>
        <w:t>For paragraph 4</w:t>
      </w:r>
      <w:r w:rsidR="0034635F" w:rsidRPr="00DA3997">
        <w:rPr>
          <w:color w:val="0000FF"/>
        </w:rPr>
        <w:t>.20E</w:t>
      </w:r>
      <w:r w:rsidRPr="00DA3997">
        <w:rPr>
          <w:color w:val="0000FF"/>
        </w:rPr>
        <w:t>(3)(i), the additional information relating to de</w:t>
      </w:r>
      <w:r w:rsidRPr="00DA3997">
        <w:rPr>
          <w:color w:val="0000FF"/>
        </w:rPr>
        <w:noBreakHyphen/>
        <w:t>identification is the following:</w:t>
      </w:r>
    </w:p>
    <w:p w14:paraId="3268D4A6" w14:textId="77777777" w:rsidR="00BB7660" w:rsidRPr="00DA3997" w:rsidRDefault="00BB7660" w:rsidP="00BB7660">
      <w:pPr>
        <w:pStyle w:val="paragraph"/>
        <w:rPr>
          <w:color w:val="0000FF"/>
        </w:rPr>
      </w:pPr>
      <w:r w:rsidRPr="00DA3997">
        <w:rPr>
          <w:color w:val="0000FF"/>
        </w:rPr>
        <w:tab/>
        <w:t>(a)</w:t>
      </w:r>
      <w:r w:rsidRPr="00DA3997">
        <w:rPr>
          <w:color w:val="0000FF"/>
        </w:rPr>
        <w:tab/>
        <w:t>what the CDR data de</w:t>
      </w:r>
      <w:r w:rsidRPr="00DA3997">
        <w:rPr>
          <w:color w:val="0000FF"/>
        </w:rPr>
        <w:noBreakHyphen/>
        <w:t>identification process is;</w:t>
      </w:r>
    </w:p>
    <w:p w14:paraId="7AB2B380" w14:textId="77777777" w:rsidR="00BB7660" w:rsidRPr="00DA3997" w:rsidRDefault="00BB7660" w:rsidP="00BB7660">
      <w:pPr>
        <w:pStyle w:val="paragraph"/>
        <w:rPr>
          <w:color w:val="0000FF"/>
        </w:rPr>
      </w:pPr>
      <w:r w:rsidRPr="00DA3997">
        <w:rPr>
          <w:color w:val="0000FF"/>
        </w:rPr>
        <w:tab/>
        <w:t>(b)</w:t>
      </w:r>
      <w:r w:rsidRPr="00DA3997">
        <w:rPr>
          <w:color w:val="0000FF"/>
        </w:rPr>
        <w:tab/>
        <w:t>if it would disclose (by sale or otherwise) the de</w:t>
      </w:r>
      <w:r w:rsidRPr="00DA3997">
        <w:rPr>
          <w:color w:val="0000FF"/>
        </w:rPr>
        <w:noBreakHyphen/>
        <w:t>identified data to one or more other persons;</w:t>
      </w:r>
    </w:p>
    <w:p w14:paraId="349D357B" w14:textId="77777777" w:rsidR="00BB7660" w:rsidRPr="00DA3997" w:rsidRDefault="00BB7660" w:rsidP="00BB7660">
      <w:pPr>
        <w:pStyle w:val="paragraphsub"/>
        <w:rPr>
          <w:color w:val="0000FF"/>
        </w:rPr>
      </w:pPr>
      <w:r w:rsidRPr="00DA3997">
        <w:rPr>
          <w:color w:val="0000FF"/>
        </w:rPr>
        <w:tab/>
        <w:t>(i)</w:t>
      </w:r>
      <w:r w:rsidRPr="00DA3997">
        <w:rPr>
          <w:color w:val="0000FF"/>
        </w:rPr>
        <w:tab/>
        <w:t>that fact; and</w:t>
      </w:r>
    </w:p>
    <w:p w14:paraId="0E196C74" w14:textId="77777777" w:rsidR="00BB7660" w:rsidRPr="00DA3997" w:rsidRDefault="00BB7660" w:rsidP="00BB7660">
      <w:pPr>
        <w:pStyle w:val="paragraphsub"/>
        <w:rPr>
          <w:color w:val="0000FF"/>
        </w:rPr>
      </w:pPr>
      <w:r w:rsidRPr="00DA3997">
        <w:rPr>
          <w:color w:val="0000FF"/>
        </w:rPr>
        <w:tab/>
        <w:t>(ii)</w:t>
      </w:r>
      <w:r w:rsidRPr="00DA3997">
        <w:rPr>
          <w:color w:val="0000FF"/>
        </w:rPr>
        <w:tab/>
        <w:t>the classes of persons to which it would disclose that data;</w:t>
      </w:r>
    </w:p>
    <w:p w14:paraId="00625D89" w14:textId="77777777" w:rsidR="00BB7660" w:rsidRPr="00DA3997" w:rsidRDefault="00BB7660" w:rsidP="00BB7660">
      <w:pPr>
        <w:pStyle w:val="paragraphsub"/>
        <w:rPr>
          <w:color w:val="0000FF"/>
        </w:rPr>
      </w:pPr>
      <w:r w:rsidRPr="00DA3997">
        <w:rPr>
          <w:color w:val="0000FF"/>
        </w:rPr>
        <w:tab/>
        <w:t>(iii)</w:t>
      </w:r>
      <w:r w:rsidRPr="00DA3997">
        <w:rPr>
          <w:color w:val="0000FF"/>
        </w:rPr>
        <w:tab/>
        <w:t>why it would so disclose that data;</w:t>
      </w:r>
    </w:p>
    <w:p w14:paraId="58AAF782" w14:textId="77777777" w:rsidR="00BB7660" w:rsidRPr="00DA3997" w:rsidRDefault="00BB7660" w:rsidP="00BB7660">
      <w:pPr>
        <w:pStyle w:val="paragraph"/>
        <w:rPr>
          <w:color w:val="0000FF"/>
          <w:sz w:val="20"/>
        </w:rPr>
      </w:pPr>
      <w:r w:rsidRPr="00DA3997">
        <w:rPr>
          <w:color w:val="0000FF"/>
        </w:rPr>
        <w:lastRenderedPageBreak/>
        <w:tab/>
        <w:t>(c)</w:t>
      </w:r>
      <w:r w:rsidRPr="00DA3997">
        <w:rPr>
          <w:color w:val="0000FF"/>
        </w:rPr>
        <w:tab/>
        <w:t>if the CDR representative would use the de</w:t>
      </w:r>
      <w:r w:rsidRPr="00DA3997">
        <w:rPr>
          <w:color w:val="0000FF"/>
        </w:rPr>
        <w:noBreakHyphen/>
        <w:t>identified data for general research―that fact, together with a link to a description in the CDR principal’s CDR policy of:</w:t>
      </w:r>
    </w:p>
    <w:p w14:paraId="31E60C8C" w14:textId="77777777" w:rsidR="00BB7660" w:rsidRPr="00DA3997" w:rsidRDefault="00BB7660" w:rsidP="00BB7660">
      <w:pPr>
        <w:pStyle w:val="paragraphsub"/>
        <w:rPr>
          <w:color w:val="0000FF"/>
        </w:rPr>
      </w:pPr>
      <w:r w:rsidRPr="00DA3997">
        <w:rPr>
          <w:color w:val="0000FF"/>
        </w:rPr>
        <w:tab/>
        <w:t>(i)</w:t>
      </w:r>
      <w:r w:rsidRPr="00DA3997">
        <w:rPr>
          <w:color w:val="0000FF"/>
        </w:rPr>
        <w:tab/>
        <w:t>the research to be conducted; and</w:t>
      </w:r>
    </w:p>
    <w:p w14:paraId="617C224F" w14:textId="77777777" w:rsidR="00BB7660" w:rsidRPr="00DA3997" w:rsidRDefault="00BB7660" w:rsidP="00BB7660">
      <w:pPr>
        <w:pStyle w:val="paragraphsub"/>
        <w:rPr>
          <w:color w:val="0000FF"/>
        </w:rPr>
      </w:pPr>
      <w:r w:rsidRPr="00DA3997">
        <w:rPr>
          <w:color w:val="0000FF"/>
        </w:rPr>
        <w:tab/>
        <w:t>(ii)</w:t>
      </w:r>
      <w:r w:rsidRPr="00DA3997">
        <w:rPr>
          <w:color w:val="0000FF"/>
        </w:rPr>
        <w:tab/>
        <w:t>any additional benefit to be provided to the CDR consumer for consenting to the use;</w:t>
      </w:r>
    </w:p>
    <w:p w14:paraId="723D2D87" w14:textId="77777777" w:rsidR="00BB7660" w:rsidRPr="00DA3997" w:rsidRDefault="00BB7660" w:rsidP="00BB7660">
      <w:pPr>
        <w:pStyle w:val="paragraph"/>
        <w:rPr>
          <w:color w:val="0000FF"/>
        </w:rPr>
      </w:pPr>
      <w:r w:rsidRPr="00DA3997">
        <w:rPr>
          <w:color w:val="0000FF"/>
        </w:rPr>
        <w:tab/>
        <w:t>(e)</w:t>
      </w:r>
      <w:r w:rsidRPr="00DA3997">
        <w:rPr>
          <w:color w:val="0000FF"/>
        </w:rPr>
        <w:tab/>
        <w:t>that the CDR consumer would not be able to elect, in accordance with rule 4</w:t>
      </w:r>
      <w:r w:rsidR="0034635F" w:rsidRPr="00DA3997">
        <w:rPr>
          <w:color w:val="0000FF"/>
        </w:rPr>
        <w:t>.20M</w:t>
      </w:r>
      <w:r w:rsidRPr="00DA3997">
        <w:rPr>
          <w:color w:val="0000FF"/>
        </w:rPr>
        <w:t> 4.16, to have the de</w:t>
      </w:r>
      <w:r w:rsidRPr="00DA3997">
        <w:rPr>
          <w:color w:val="0000FF"/>
        </w:rPr>
        <w:noBreakHyphen/>
        <w:t>identified data deleted once it becomes redundant data.</w:t>
      </w:r>
    </w:p>
    <w:p w14:paraId="30088569" w14:textId="77777777" w:rsidR="00BB7660" w:rsidRPr="00DA3997" w:rsidRDefault="00BB7660" w:rsidP="00BB7660">
      <w:pPr>
        <w:pStyle w:val="ActHead4"/>
        <w:rPr>
          <w:color w:val="0000FF"/>
        </w:rPr>
      </w:pPr>
      <w:bookmarkStart w:id="342" w:name="_Toc111132092"/>
      <w:r w:rsidRPr="00DA3997">
        <w:rPr>
          <w:color w:val="0000FF"/>
        </w:rPr>
        <w:t>Subdivision 4.3A.7—Election to delete redundant data</w:t>
      </w:r>
      <w:bookmarkEnd w:id="342"/>
    </w:p>
    <w:p w14:paraId="51F2E03D" w14:textId="77777777" w:rsidR="00BB7660" w:rsidRPr="00DA3997" w:rsidRDefault="00BB7660" w:rsidP="00BB7660">
      <w:pPr>
        <w:pStyle w:val="ActHead5"/>
        <w:rPr>
          <w:color w:val="0000FF"/>
        </w:rPr>
      </w:pPr>
      <w:bookmarkStart w:id="343" w:name="_Toc111132093"/>
      <w:r w:rsidRPr="00DA3997">
        <w:rPr>
          <w:color w:val="0000FF"/>
        </w:rPr>
        <w:t>4.20</w:t>
      </w:r>
      <w:r w:rsidR="00195095">
        <w:rPr>
          <w:noProof/>
          <w:color w:val="0000FF"/>
        </w:rPr>
        <w:t>M</w:t>
      </w:r>
      <w:r w:rsidRPr="00DA3997">
        <w:rPr>
          <w:color w:val="0000FF"/>
        </w:rPr>
        <w:t xml:space="preserve">  Election to delete redundant data</w:t>
      </w:r>
      <w:bookmarkEnd w:id="343"/>
    </w:p>
    <w:p w14:paraId="6D916EDB" w14:textId="77777777" w:rsidR="00A540DD" w:rsidRPr="00DA3997" w:rsidRDefault="00A540DD" w:rsidP="00A540DD">
      <w:pPr>
        <w:pStyle w:val="subsection"/>
        <w:rPr>
          <w:color w:val="0000FF"/>
        </w:rPr>
      </w:pPr>
      <w:r w:rsidRPr="00DA3997">
        <w:rPr>
          <w:color w:val="0000FF"/>
        </w:rPr>
        <w:tab/>
        <w:t>(1)</w:t>
      </w:r>
      <w:r w:rsidRPr="00DA3997">
        <w:rPr>
          <w:color w:val="0000FF"/>
        </w:rPr>
        <w:tab/>
        <w:t>The CDR consumer who gives</w:t>
      </w:r>
      <w:r w:rsidR="00CF5A97" w:rsidRPr="00DA3997">
        <w:rPr>
          <w:color w:val="0000FF"/>
        </w:rPr>
        <w:t xml:space="preserve"> </w:t>
      </w:r>
      <w:r w:rsidRPr="00DA3997">
        <w:rPr>
          <w:color w:val="0000FF"/>
        </w:rPr>
        <w:t>a consent relating to particular CDR data may:</w:t>
      </w:r>
    </w:p>
    <w:p w14:paraId="7F56BA92" w14:textId="77777777" w:rsidR="00A540DD" w:rsidRPr="00DA3997" w:rsidRDefault="00A540DD" w:rsidP="00A540DD">
      <w:pPr>
        <w:pStyle w:val="paragraph"/>
        <w:rPr>
          <w:color w:val="0000FF"/>
        </w:rPr>
      </w:pPr>
      <w:r w:rsidRPr="00DA3997">
        <w:rPr>
          <w:color w:val="0000FF"/>
        </w:rPr>
        <w:tab/>
        <w:t>(a)</w:t>
      </w:r>
      <w:r w:rsidRPr="00DA3997">
        <w:rPr>
          <w:color w:val="0000FF"/>
        </w:rPr>
        <w:tab/>
        <w:t>when giving the consent; or</w:t>
      </w:r>
    </w:p>
    <w:p w14:paraId="3D406C59" w14:textId="77777777" w:rsidR="00A540DD" w:rsidRPr="00DA3997" w:rsidRDefault="00A540DD" w:rsidP="00A540DD">
      <w:pPr>
        <w:pStyle w:val="paragraph"/>
        <w:rPr>
          <w:color w:val="0000FF"/>
        </w:rPr>
      </w:pPr>
      <w:r w:rsidRPr="00DA3997">
        <w:rPr>
          <w:color w:val="0000FF"/>
        </w:rPr>
        <w:tab/>
        <w:t>(b)</w:t>
      </w:r>
      <w:r w:rsidRPr="00DA3997">
        <w:rPr>
          <w:color w:val="0000FF"/>
        </w:rPr>
        <w:tab/>
        <w:t>at any other time before the consent expires;</w:t>
      </w:r>
    </w:p>
    <w:p w14:paraId="6B896F2A" w14:textId="77777777" w:rsidR="00A540DD" w:rsidRPr="00DA3997" w:rsidRDefault="00A540DD" w:rsidP="00A540DD">
      <w:pPr>
        <w:pStyle w:val="subsection2"/>
        <w:rPr>
          <w:color w:val="0000FF"/>
        </w:rPr>
      </w:pPr>
      <w:r w:rsidRPr="00DA3997">
        <w:rPr>
          <w:color w:val="0000FF"/>
        </w:rPr>
        <w:t>elect that the collected data, and any data derived from it, be deleted when it becomes redundant data:</w:t>
      </w:r>
    </w:p>
    <w:p w14:paraId="127AA07C" w14:textId="77777777" w:rsidR="00BB7660" w:rsidRPr="00DA3997" w:rsidRDefault="00BB7660" w:rsidP="00BB7660">
      <w:pPr>
        <w:pStyle w:val="notetext"/>
        <w:rPr>
          <w:color w:val="0000FF"/>
        </w:rPr>
      </w:pPr>
      <w:r w:rsidRPr="00DA3997">
        <w:rPr>
          <w:color w:val="0000FF"/>
        </w:rPr>
        <w:t>Note:</w:t>
      </w:r>
      <w:r w:rsidRPr="00DA3997">
        <w:rPr>
          <w:color w:val="0000FF"/>
        </w:rPr>
        <w:tab/>
        <w:t>See rule</w:t>
      </w:r>
      <w:r w:rsidR="00C64DE2" w:rsidRPr="00DA3997">
        <w:rPr>
          <w:color w:val="0000FF"/>
        </w:rPr>
        <w:t>s</w:t>
      </w:r>
      <w:r w:rsidRPr="00DA3997">
        <w:rPr>
          <w:color w:val="0000FF"/>
        </w:rPr>
        <w:t xml:space="preserve"> 7.12 </w:t>
      </w:r>
      <w:r w:rsidR="00C64DE2" w:rsidRPr="00DA3997">
        <w:rPr>
          <w:color w:val="0000FF"/>
        </w:rPr>
        <w:t xml:space="preserve">and 7.13 </w:t>
      </w:r>
      <w:r w:rsidRPr="00DA3997">
        <w:rPr>
          <w:color w:val="0000FF"/>
        </w:rPr>
        <w:t>for the effect of an election.</w:t>
      </w:r>
    </w:p>
    <w:p w14:paraId="056B8333" w14:textId="77777777" w:rsidR="00BB7660" w:rsidRPr="00DA3997" w:rsidRDefault="00BB7660" w:rsidP="00BB7660">
      <w:pPr>
        <w:pStyle w:val="subsection"/>
        <w:rPr>
          <w:color w:val="0000FF"/>
        </w:rPr>
      </w:pPr>
      <w:r w:rsidRPr="00DA3997">
        <w:rPr>
          <w:color w:val="0000FF"/>
        </w:rPr>
        <w:tab/>
        <w:t>(2)</w:t>
      </w:r>
      <w:r w:rsidRPr="00DA3997">
        <w:rPr>
          <w:color w:val="0000FF"/>
        </w:rPr>
        <w:tab/>
        <w:t xml:space="preserve">The CDR consumer may make the election: </w:t>
      </w:r>
    </w:p>
    <w:p w14:paraId="08950051" w14:textId="77777777" w:rsidR="00BB7660" w:rsidRPr="00DA3997" w:rsidRDefault="00BB7660" w:rsidP="00BB7660">
      <w:pPr>
        <w:pStyle w:val="paragraph"/>
        <w:rPr>
          <w:color w:val="0000FF"/>
        </w:rPr>
      </w:pPr>
      <w:r w:rsidRPr="00DA3997">
        <w:rPr>
          <w:color w:val="0000FF"/>
        </w:rPr>
        <w:tab/>
        <w:t>(a)</w:t>
      </w:r>
      <w:r w:rsidRPr="00DA3997">
        <w:rPr>
          <w:color w:val="0000FF"/>
        </w:rPr>
        <w:tab/>
        <w:t>by communicating it to the CDR principal or CDR representative in writing; or</w:t>
      </w:r>
    </w:p>
    <w:p w14:paraId="5739CD29" w14:textId="77777777" w:rsidR="00BB7660" w:rsidRPr="00DA3997" w:rsidRDefault="00BB7660" w:rsidP="00BB7660">
      <w:pPr>
        <w:pStyle w:val="paragraph"/>
        <w:rPr>
          <w:color w:val="0000FF"/>
        </w:rPr>
      </w:pPr>
      <w:r w:rsidRPr="00DA3997">
        <w:rPr>
          <w:color w:val="0000FF"/>
        </w:rPr>
        <w:tab/>
        <w:t>(b)</w:t>
      </w:r>
      <w:r w:rsidRPr="00DA3997">
        <w:rPr>
          <w:color w:val="0000FF"/>
        </w:rPr>
        <w:tab/>
        <w:t>by using the CDR principal’s consumer dashboard.</w:t>
      </w:r>
    </w:p>
    <w:p w14:paraId="5F807E67"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5F7E0D75" w14:textId="77777777" w:rsidR="00BB7660" w:rsidRPr="00DA3997" w:rsidRDefault="00BB7660" w:rsidP="00BB7660">
      <w:pPr>
        <w:pStyle w:val="subsection"/>
        <w:rPr>
          <w:color w:val="0000FF"/>
        </w:rPr>
      </w:pPr>
      <w:r w:rsidRPr="00DA3997">
        <w:rPr>
          <w:color w:val="0000FF"/>
        </w:rPr>
        <w:tab/>
        <w:t>(3)</w:t>
      </w:r>
      <w:r w:rsidRPr="00DA3997">
        <w:rPr>
          <w:color w:val="0000FF"/>
        </w:rPr>
        <w:tab/>
        <w:t>This rule does not apply if the CDR representative:</w:t>
      </w:r>
    </w:p>
    <w:p w14:paraId="01D72BC2" w14:textId="77777777" w:rsidR="00BB7660" w:rsidRPr="00DA3997" w:rsidRDefault="00BB7660" w:rsidP="00BB7660">
      <w:pPr>
        <w:pStyle w:val="paragraphsub"/>
        <w:rPr>
          <w:color w:val="0000FF"/>
        </w:rPr>
      </w:pPr>
      <w:r w:rsidRPr="00DA3997">
        <w:rPr>
          <w:color w:val="0000FF"/>
        </w:rPr>
        <w:tab/>
        <w:t>(i)</w:t>
      </w:r>
      <w:r w:rsidRPr="00DA3997">
        <w:rPr>
          <w:color w:val="0000FF"/>
        </w:rPr>
        <w:tab/>
        <w:t>has a general policy of deleting redundant data; and</w:t>
      </w:r>
    </w:p>
    <w:p w14:paraId="36B65452" w14:textId="77777777" w:rsidR="00BB7660" w:rsidRPr="00DA3997" w:rsidRDefault="00BB7660" w:rsidP="00BB7660">
      <w:pPr>
        <w:pStyle w:val="paragraphsub"/>
        <w:rPr>
          <w:color w:val="0000FF"/>
        </w:rPr>
      </w:pPr>
      <w:r w:rsidRPr="00DA3997">
        <w:rPr>
          <w:color w:val="0000FF"/>
        </w:rPr>
        <w:tab/>
        <w:t>(ii)</w:t>
      </w:r>
      <w:r w:rsidRPr="00DA3997">
        <w:rPr>
          <w:color w:val="0000FF"/>
        </w:rPr>
        <w:tab/>
        <w:t>when seeking the consent, informs the CDR consumer that their CDR data will be deleted when it becomes redundant data.</w:t>
      </w:r>
    </w:p>
    <w:p w14:paraId="0BCD9307" w14:textId="77777777" w:rsidR="00BB7660" w:rsidRPr="00DA3997" w:rsidRDefault="00DA3997" w:rsidP="00DA3997">
      <w:pPr>
        <w:pStyle w:val="notetext"/>
        <w:rPr>
          <w:color w:val="0000FF"/>
        </w:rPr>
      </w:pPr>
      <w:r w:rsidRPr="00DA3997">
        <w:rPr>
          <w:color w:val="0000FF"/>
        </w:rPr>
        <w:t>Note:</w:t>
      </w:r>
      <w:r w:rsidRPr="00DA3997">
        <w:rPr>
          <w:color w:val="0000FF"/>
        </w:rPr>
        <w:tab/>
      </w:r>
      <w:r w:rsidR="00BB7660" w:rsidRPr="00DA3997">
        <w:rPr>
          <w:color w:val="0000FF"/>
        </w:rPr>
        <w:t>See paragraph 4</w:t>
      </w:r>
      <w:r w:rsidR="0034635F" w:rsidRPr="00DA3997">
        <w:rPr>
          <w:color w:val="0000FF"/>
        </w:rPr>
        <w:t>.20N</w:t>
      </w:r>
      <w:r w:rsidR="00BB7660" w:rsidRPr="00DA3997">
        <w:rPr>
          <w:color w:val="0000FF"/>
        </w:rPr>
        <w:t>(1)(a</w:t>
      </w:r>
      <w:r w:rsidRPr="00DA3997">
        <w:rPr>
          <w:color w:val="0000FF"/>
        </w:rPr>
        <w:t>).</w:t>
      </w:r>
    </w:p>
    <w:p w14:paraId="688E37BA" w14:textId="77777777" w:rsidR="00BB7660" w:rsidRPr="00DA3997" w:rsidRDefault="00BB7660" w:rsidP="00BB7660">
      <w:pPr>
        <w:pStyle w:val="subsection"/>
        <w:rPr>
          <w:color w:val="0000FF"/>
        </w:rPr>
      </w:pPr>
      <w:r w:rsidRPr="00DA3997">
        <w:rPr>
          <w:color w:val="0000FF"/>
        </w:rPr>
        <w:tab/>
        <w:t>(4)</w:t>
      </w:r>
      <w:r w:rsidRPr="00DA3997">
        <w:rPr>
          <w:color w:val="0000FF"/>
        </w:rPr>
        <w:tab/>
        <w:t>This rule does not require the deletion of derived CDR data that was de</w:t>
      </w:r>
      <w:r w:rsidRPr="00DA3997">
        <w:rPr>
          <w:color w:val="0000FF"/>
        </w:rPr>
        <w:noBreakHyphen/>
        <w:t>identified in accordance with the CDR data de</w:t>
      </w:r>
      <w:r w:rsidRPr="00DA3997">
        <w:rPr>
          <w:color w:val="0000FF"/>
        </w:rPr>
        <w:noBreakHyphen/>
        <w:t>identification process before the collected data from which it was derived became redundant.</w:t>
      </w:r>
    </w:p>
    <w:p w14:paraId="32FCBFA6" w14:textId="77777777" w:rsidR="00BB7660" w:rsidRPr="00DA3997" w:rsidRDefault="00BB7660" w:rsidP="00BB7660">
      <w:pPr>
        <w:pStyle w:val="ActHead5"/>
        <w:rPr>
          <w:color w:val="0000FF"/>
        </w:rPr>
      </w:pPr>
      <w:bookmarkStart w:id="344" w:name="_Toc111132094"/>
      <w:r w:rsidRPr="00DA3997">
        <w:rPr>
          <w:color w:val="0000FF"/>
        </w:rPr>
        <w:t>4.20</w:t>
      </w:r>
      <w:r w:rsidR="00195095">
        <w:rPr>
          <w:noProof/>
          <w:color w:val="0000FF"/>
        </w:rPr>
        <w:t>N</w:t>
      </w:r>
      <w:r w:rsidRPr="00DA3997">
        <w:rPr>
          <w:color w:val="0000FF"/>
        </w:rPr>
        <w:t xml:space="preserve">  Information relating to redundant data</w:t>
      </w:r>
      <w:bookmarkEnd w:id="344"/>
    </w:p>
    <w:p w14:paraId="25511E6B" w14:textId="77777777" w:rsidR="00BB7660" w:rsidRPr="00DA3997" w:rsidRDefault="00BB7660" w:rsidP="00BB7660">
      <w:pPr>
        <w:pStyle w:val="subsection"/>
        <w:rPr>
          <w:color w:val="0000FF"/>
        </w:rPr>
      </w:pPr>
      <w:r w:rsidRPr="00DA3997">
        <w:rPr>
          <w:color w:val="0000FF"/>
        </w:rPr>
        <w:tab/>
        <w:t>(1)</w:t>
      </w:r>
      <w:r w:rsidRPr="00DA3997">
        <w:rPr>
          <w:color w:val="0000FF"/>
        </w:rPr>
        <w:tab/>
        <w:t>For subparagraph 4</w:t>
      </w:r>
      <w:r w:rsidR="0034635F" w:rsidRPr="00DA3997">
        <w:rPr>
          <w:color w:val="0000FF"/>
        </w:rPr>
        <w:t>.20E</w:t>
      </w:r>
      <w:r w:rsidRPr="00DA3997">
        <w:rPr>
          <w:color w:val="0000FF"/>
        </w:rPr>
        <w:t>(3)(n)(i), the CDR representative must state whether they have a general policy, when collected CDR data becomes redundant data, of:</w:t>
      </w:r>
    </w:p>
    <w:p w14:paraId="3408C3EA" w14:textId="77777777" w:rsidR="00BB7660" w:rsidRPr="00DA3997" w:rsidRDefault="00BB7660" w:rsidP="00BB7660">
      <w:pPr>
        <w:pStyle w:val="paragraph"/>
        <w:rPr>
          <w:color w:val="0000FF"/>
        </w:rPr>
      </w:pPr>
      <w:r w:rsidRPr="00DA3997">
        <w:rPr>
          <w:color w:val="0000FF"/>
        </w:rPr>
        <w:tab/>
        <w:t>(a)</w:t>
      </w:r>
      <w:r w:rsidRPr="00DA3997">
        <w:rPr>
          <w:color w:val="0000FF"/>
        </w:rPr>
        <w:tab/>
        <w:t>deleting the redundant data; or</w:t>
      </w:r>
    </w:p>
    <w:p w14:paraId="4F50C811" w14:textId="77777777" w:rsidR="00BB7660" w:rsidRPr="00DA3997" w:rsidRDefault="00BB7660" w:rsidP="00BB7660">
      <w:pPr>
        <w:pStyle w:val="paragraph"/>
        <w:rPr>
          <w:color w:val="0000FF"/>
        </w:rPr>
      </w:pPr>
      <w:r w:rsidRPr="00DA3997">
        <w:rPr>
          <w:color w:val="0000FF"/>
        </w:rPr>
        <w:tab/>
        <w:t>(b)</w:t>
      </w:r>
      <w:r w:rsidRPr="00DA3997">
        <w:rPr>
          <w:color w:val="0000FF"/>
        </w:rPr>
        <w:tab/>
        <w:t>de</w:t>
      </w:r>
      <w:r w:rsidRPr="00DA3997">
        <w:rPr>
          <w:color w:val="0000FF"/>
        </w:rPr>
        <w:noBreakHyphen/>
        <w:t>identifying the redundant data; or</w:t>
      </w:r>
    </w:p>
    <w:p w14:paraId="691808C5" w14:textId="77777777" w:rsidR="00BB7660" w:rsidRPr="00DA3997" w:rsidRDefault="00BB7660" w:rsidP="00BB7660">
      <w:pPr>
        <w:pStyle w:val="paragraph"/>
        <w:rPr>
          <w:color w:val="0000FF"/>
        </w:rPr>
      </w:pPr>
      <w:r w:rsidRPr="00DA3997">
        <w:rPr>
          <w:color w:val="0000FF"/>
        </w:rPr>
        <w:tab/>
        <w:t>(c)</w:t>
      </w:r>
      <w:r w:rsidRPr="00DA3997">
        <w:rPr>
          <w:color w:val="0000FF"/>
        </w:rPr>
        <w:tab/>
        <w:t>deciding, when the CDR data becomes redundant data, whether to delete it or de</w:t>
      </w:r>
      <w:r w:rsidRPr="00DA3997">
        <w:rPr>
          <w:color w:val="0000FF"/>
        </w:rPr>
        <w:noBreakHyphen/>
        <w:t>identify it.</w:t>
      </w:r>
    </w:p>
    <w:p w14:paraId="5A154A2D" w14:textId="77777777" w:rsidR="00BB7660" w:rsidRPr="00DA3997" w:rsidRDefault="00BB7660" w:rsidP="00BB7660">
      <w:pPr>
        <w:pStyle w:val="subsection"/>
        <w:rPr>
          <w:color w:val="0000FF"/>
        </w:rPr>
      </w:pPr>
      <w:r w:rsidRPr="00DA3997">
        <w:rPr>
          <w:color w:val="0000FF"/>
        </w:rPr>
        <w:lastRenderedPageBreak/>
        <w:tab/>
        <w:t>(2)</w:t>
      </w:r>
      <w:r w:rsidRPr="00DA3997">
        <w:rPr>
          <w:color w:val="0000FF"/>
        </w:rPr>
        <w:tab/>
        <w:t>A CDR representative that gives the statement referred to in paragraph (1)(b) or (c) must also state:</w:t>
      </w:r>
    </w:p>
    <w:p w14:paraId="7DCB8DAA" w14:textId="77777777" w:rsidR="00BB7660" w:rsidRPr="00DA3997" w:rsidRDefault="00BB7660" w:rsidP="00BB7660">
      <w:pPr>
        <w:pStyle w:val="paragraph"/>
        <w:rPr>
          <w:color w:val="0000FF"/>
        </w:rPr>
      </w:pPr>
      <w:r w:rsidRPr="00DA3997">
        <w:rPr>
          <w:color w:val="0000FF"/>
        </w:rPr>
        <w:tab/>
        <w:t>(a)</w:t>
      </w:r>
      <w:r w:rsidRPr="00DA3997">
        <w:rPr>
          <w:color w:val="0000FF"/>
        </w:rPr>
        <w:tab/>
        <w:t>that, if it de</w:t>
      </w:r>
      <w:r w:rsidRPr="00DA3997">
        <w:rPr>
          <w:color w:val="0000FF"/>
        </w:rPr>
        <w:noBreakHyphen/>
        <w:t>identifies the redundant data:</w:t>
      </w:r>
    </w:p>
    <w:p w14:paraId="0506B37D" w14:textId="77777777" w:rsidR="00BB7660" w:rsidRPr="00DA3997" w:rsidRDefault="00BB7660" w:rsidP="00BB7660">
      <w:pPr>
        <w:pStyle w:val="paragraphsub"/>
        <w:rPr>
          <w:color w:val="0000FF"/>
        </w:rPr>
      </w:pPr>
      <w:r w:rsidRPr="00DA3997">
        <w:rPr>
          <w:color w:val="0000FF"/>
        </w:rPr>
        <w:tab/>
        <w:t>(i)</w:t>
      </w:r>
      <w:r w:rsidRPr="00DA3997">
        <w:rPr>
          <w:color w:val="0000FF"/>
        </w:rPr>
        <w:tab/>
        <w:t>it would apply the CDR data de</w:t>
      </w:r>
      <w:r w:rsidRPr="00DA3997">
        <w:rPr>
          <w:color w:val="0000FF"/>
        </w:rPr>
        <w:noBreakHyphen/>
        <w:t>identification process; and</w:t>
      </w:r>
    </w:p>
    <w:p w14:paraId="6D207848" w14:textId="77777777" w:rsidR="00BB7660" w:rsidRPr="00DA3997" w:rsidRDefault="00BB7660" w:rsidP="00BB7660">
      <w:pPr>
        <w:pStyle w:val="paragraphsub"/>
        <w:rPr>
          <w:color w:val="0000FF"/>
        </w:rPr>
      </w:pPr>
      <w:r w:rsidRPr="00DA3997">
        <w:rPr>
          <w:color w:val="0000FF"/>
        </w:rPr>
        <w:tab/>
        <w:t>(ii)</w:t>
      </w:r>
      <w:r w:rsidRPr="00DA3997">
        <w:rPr>
          <w:color w:val="0000FF"/>
        </w:rPr>
        <w:tab/>
        <w:t>it would be able to use or, if applicable, disclose (by sale or otherwise) the de</w:t>
      </w:r>
      <w:r w:rsidRPr="00DA3997">
        <w:rPr>
          <w:color w:val="0000FF"/>
        </w:rPr>
        <w:noBreakHyphen/>
        <w:t>identified redundant data without seeking further consent from the CDR consumer; and</w:t>
      </w:r>
    </w:p>
    <w:p w14:paraId="11B35300" w14:textId="77777777" w:rsidR="00BB7660" w:rsidRPr="00DA3997" w:rsidRDefault="00BB7660" w:rsidP="00BB7660">
      <w:pPr>
        <w:pStyle w:val="paragraph"/>
        <w:rPr>
          <w:color w:val="0000FF"/>
        </w:rPr>
      </w:pPr>
      <w:r w:rsidRPr="00DA3997">
        <w:rPr>
          <w:color w:val="0000FF"/>
        </w:rPr>
        <w:tab/>
        <w:t>(b)</w:t>
      </w:r>
      <w:r w:rsidRPr="00DA3997">
        <w:rPr>
          <w:color w:val="0000FF"/>
        </w:rPr>
        <w:tab/>
        <w:t>what de</w:t>
      </w:r>
      <w:r w:rsidRPr="00DA3997">
        <w:rPr>
          <w:color w:val="0000FF"/>
        </w:rPr>
        <w:noBreakHyphen/>
        <w:t>identification of CDR data in accordance with the CDR data de</w:t>
      </w:r>
      <w:r w:rsidRPr="00DA3997">
        <w:rPr>
          <w:color w:val="0000FF"/>
        </w:rPr>
        <w:noBreakHyphen/>
        <w:t>identification process means; and</w:t>
      </w:r>
    </w:p>
    <w:p w14:paraId="2783EFC2" w14:textId="77777777" w:rsidR="00BB7660" w:rsidRPr="00DA3997" w:rsidRDefault="00BB7660" w:rsidP="00BB7660">
      <w:pPr>
        <w:pStyle w:val="paragraph"/>
        <w:rPr>
          <w:color w:val="0000FF"/>
        </w:rPr>
      </w:pPr>
      <w:r w:rsidRPr="00DA3997">
        <w:rPr>
          <w:color w:val="0000FF"/>
        </w:rPr>
        <w:tab/>
        <w:t>(c)</w:t>
      </w:r>
      <w:r w:rsidRPr="00DA3997">
        <w:rPr>
          <w:color w:val="0000FF"/>
        </w:rPr>
        <w:tab/>
        <w:t>if applicable, examples of how it could use the redundant data once de</w:t>
      </w:r>
      <w:r w:rsidRPr="00DA3997">
        <w:rPr>
          <w:color w:val="0000FF"/>
        </w:rPr>
        <w:noBreakHyphen/>
        <w:t>identified.</w:t>
      </w:r>
    </w:p>
    <w:p w14:paraId="0B91A744" w14:textId="77777777" w:rsidR="00BB7660" w:rsidRPr="00DA3997" w:rsidRDefault="00BB7660" w:rsidP="00BB7660">
      <w:pPr>
        <w:pStyle w:val="notetext"/>
        <w:rPr>
          <w:color w:val="0000FF"/>
        </w:rPr>
      </w:pPr>
      <w:r w:rsidRPr="00DA3997">
        <w:rPr>
          <w:color w:val="0000FF"/>
        </w:rPr>
        <w:t xml:space="preserve">Note: </w:t>
      </w:r>
      <w:r w:rsidRPr="00DA3997">
        <w:rPr>
          <w:color w:val="0000FF"/>
        </w:rPr>
        <w:tab/>
        <w:t>For the CDR data de</w:t>
      </w:r>
      <w:r w:rsidRPr="00DA3997">
        <w:rPr>
          <w:color w:val="0000FF"/>
        </w:rPr>
        <w:noBreakHyphen/>
        <w:t>identification process, see rule 1.17.</w:t>
      </w:r>
    </w:p>
    <w:p w14:paraId="6DCAA19C" w14:textId="77777777" w:rsidR="00BB7660" w:rsidRPr="00DA3997" w:rsidRDefault="00BB7660" w:rsidP="00BB7660">
      <w:pPr>
        <w:pStyle w:val="ActHead4"/>
        <w:rPr>
          <w:color w:val="0000FF"/>
        </w:rPr>
      </w:pPr>
      <w:bookmarkStart w:id="345" w:name="_Toc111132095"/>
      <w:r w:rsidRPr="00DA3997">
        <w:rPr>
          <w:color w:val="0000FF"/>
        </w:rPr>
        <w:t>Subdivision 4.3A.8—Notification requirements</w:t>
      </w:r>
      <w:bookmarkEnd w:id="345"/>
    </w:p>
    <w:p w14:paraId="11A6C992" w14:textId="77777777" w:rsidR="00BB7660" w:rsidRPr="00DA3997" w:rsidRDefault="00BB7660" w:rsidP="00BB7660">
      <w:pPr>
        <w:pStyle w:val="ActHead5"/>
        <w:rPr>
          <w:color w:val="0000FF"/>
        </w:rPr>
      </w:pPr>
      <w:bookmarkStart w:id="346" w:name="_Toc111132096"/>
      <w:r w:rsidRPr="00DA3997">
        <w:rPr>
          <w:color w:val="0000FF"/>
        </w:rPr>
        <w:t>4.20</w:t>
      </w:r>
      <w:r w:rsidR="00195095">
        <w:rPr>
          <w:noProof/>
          <w:color w:val="0000FF"/>
        </w:rPr>
        <w:t>O</w:t>
      </w:r>
      <w:r w:rsidRPr="00DA3997">
        <w:rPr>
          <w:color w:val="0000FF"/>
        </w:rPr>
        <w:t xml:space="preserve">  CDR receipts</w:t>
      </w:r>
      <w:bookmarkEnd w:id="346"/>
    </w:p>
    <w:p w14:paraId="468FAF18" w14:textId="77777777" w:rsidR="00BB7660" w:rsidRPr="00DA3997" w:rsidRDefault="00BB7660" w:rsidP="00BB7660">
      <w:pPr>
        <w:pStyle w:val="subsection"/>
        <w:rPr>
          <w:color w:val="0000FF"/>
        </w:rPr>
      </w:pPr>
      <w:r w:rsidRPr="00DA3997">
        <w:rPr>
          <w:color w:val="0000FF"/>
        </w:rPr>
        <w:tab/>
        <w:t>(1)</w:t>
      </w:r>
      <w:r w:rsidRPr="00DA3997">
        <w:rPr>
          <w:color w:val="0000FF"/>
        </w:rPr>
        <w:tab/>
        <w:t>The CDR representative must give the CDR consumer a notice that complies with this rule (a</w:t>
      </w:r>
      <w:r w:rsidRPr="00DA3997">
        <w:rPr>
          <w:b/>
          <w:i/>
          <w:color w:val="0000FF"/>
        </w:rPr>
        <w:t xml:space="preserve"> CDR receipt</w:t>
      </w:r>
      <w:r w:rsidRPr="00DA3997">
        <w:rPr>
          <w:color w:val="0000FF"/>
        </w:rPr>
        <w:t>) as soon as practicable after:</w:t>
      </w:r>
    </w:p>
    <w:p w14:paraId="113D0962" w14:textId="77777777" w:rsidR="00BB7660" w:rsidRPr="00DA3997" w:rsidRDefault="00BB7660" w:rsidP="00BB7660">
      <w:pPr>
        <w:pStyle w:val="paragraph"/>
        <w:rPr>
          <w:color w:val="0000FF"/>
        </w:rPr>
      </w:pPr>
      <w:r w:rsidRPr="00DA3997">
        <w:rPr>
          <w:color w:val="0000FF"/>
        </w:rPr>
        <w:tab/>
        <w:t>(a)</w:t>
      </w:r>
      <w:r w:rsidRPr="00DA3997">
        <w:rPr>
          <w:color w:val="0000FF"/>
        </w:rPr>
        <w:tab/>
        <w:t>the CDR consumer gives the CDR representative a collection consent, a use consent or a disclosure consent; or</w:t>
      </w:r>
    </w:p>
    <w:p w14:paraId="6D9DAA06" w14:textId="77777777" w:rsidR="00BB7660" w:rsidRPr="00DA3997" w:rsidRDefault="00BB7660" w:rsidP="00BB7660">
      <w:pPr>
        <w:pStyle w:val="paragraph"/>
        <w:rPr>
          <w:color w:val="0000FF"/>
        </w:rPr>
      </w:pPr>
      <w:r w:rsidRPr="00DA3997">
        <w:rPr>
          <w:color w:val="0000FF"/>
        </w:rPr>
        <w:tab/>
        <w:t>(b)</w:t>
      </w:r>
      <w:r w:rsidRPr="00DA3997">
        <w:rPr>
          <w:color w:val="0000FF"/>
        </w:rPr>
        <w:tab/>
        <w:t>the CDR consumer amends such a consent in accordance with this Division; or</w:t>
      </w:r>
    </w:p>
    <w:p w14:paraId="54909593" w14:textId="77777777" w:rsidR="00BB7660" w:rsidRPr="00DA3997" w:rsidRDefault="00BB7660" w:rsidP="00BB7660">
      <w:pPr>
        <w:pStyle w:val="paragraph"/>
        <w:rPr>
          <w:color w:val="0000FF"/>
        </w:rPr>
      </w:pPr>
      <w:r w:rsidRPr="00DA3997">
        <w:rPr>
          <w:color w:val="0000FF"/>
        </w:rPr>
        <w:tab/>
        <w:t>(c)</w:t>
      </w:r>
      <w:r w:rsidRPr="00DA3997">
        <w:rPr>
          <w:color w:val="0000FF"/>
        </w:rPr>
        <w:tab/>
        <w:t>the CDR consumer withdraws such a consent in accordance with rule 4</w:t>
      </w:r>
      <w:r w:rsidR="0034635F" w:rsidRPr="00DA3997">
        <w:rPr>
          <w:color w:val="0000FF"/>
        </w:rPr>
        <w:t>.20J</w:t>
      </w:r>
      <w:r w:rsidRPr="00DA3997">
        <w:rPr>
          <w:color w:val="0000FF"/>
        </w:rPr>
        <w:t> 4.13.</w:t>
      </w:r>
    </w:p>
    <w:p w14:paraId="49C709BC" w14:textId="77777777" w:rsidR="00BB7660" w:rsidRPr="00DA3997" w:rsidRDefault="00BB7660" w:rsidP="00BB7660">
      <w:pPr>
        <w:pStyle w:val="notetext"/>
        <w:rPr>
          <w:color w:val="0000FF"/>
        </w:rPr>
      </w:pPr>
      <w:r w:rsidRPr="00DA3997">
        <w:rPr>
          <w:color w:val="0000FF"/>
        </w:rPr>
        <w:t>Note:</w:t>
      </w:r>
      <w:r w:rsidRPr="00DA3997">
        <w:rPr>
          <w:color w:val="0000FF"/>
        </w:rPr>
        <w:tab/>
        <w:t>This subrule is a civil penalty provision (see rule 9.8).</w:t>
      </w:r>
    </w:p>
    <w:p w14:paraId="73CD4943" w14:textId="77777777" w:rsidR="00BB7660" w:rsidRPr="00DA3997" w:rsidRDefault="00BB7660" w:rsidP="00BB7660">
      <w:pPr>
        <w:pStyle w:val="subsection"/>
        <w:rPr>
          <w:color w:val="0000FF"/>
        </w:rPr>
      </w:pPr>
      <w:r w:rsidRPr="00DA3997">
        <w:rPr>
          <w:color w:val="0000FF"/>
        </w:rPr>
        <w:tab/>
        <w:t>(2)</w:t>
      </w:r>
      <w:r w:rsidRPr="00DA3997">
        <w:rPr>
          <w:color w:val="0000FF"/>
        </w:rPr>
        <w:tab/>
        <w:t>A CDR receipt given for the purposes of paragraph (1)(a) must set out:</w:t>
      </w:r>
    </w:p>
    <w:p w14:paraId="2580729F" w14:textId="77777777" w:rsidR="00BB7660" w:rsidRPr="00DA3997" w:rsidRDefault="00BB7660" w:rsidP="00BB7660">
      <w:pPr>
        <w:pStyle w:val="paragraph"/>
        <w:rPr>
          <w:color w:val="0000FF"/>
        </w:rPr>
      </w:pPr>
      <w:r w:rsidRPr="00DA3997">
        <w:rPr>
          <w:color w:val="0000FF"/>
        </w:rPr>
        <w:tab/>
        <w:t>(a)</w:t>
      </w:r>
      <w:r w:rsidRPr="00DA3997">
        <w:rPr>
          <w:color w:val="0000FF"/>
        </w:rPr>
        <w:tab/>
        <w:t>the details that relate to the consent that are listed in paragraphs 1.14(3)(a) to (f); and</w:t>
      </w:r>
    </w:p>
    <w:p w14:paraId="4BBA0B2A" w14:textId="77777777" w:rsidR="00BB7660" w:rsidRPr="00DA3997" w:rsidRDefault="00BB7660" w:rsidP="00BB7660">
      <w:pPr>
        <w:pStyle w:val="paragraph"/>
        <w:rPr>
          <w:color w:val="0000FF"/>
        </w:rPr>
      </w:pPr>
      <w:r w:rsidRPr="00DA3997">
        <w:rPr>
          <w:color w:val="0000FF"/>
        </w:rPr>
        <w:tab/>
        <w:t>(b)</w:t>
      </w:r>
      <w:r w:rsidRPr="00DA3997">
        <w:rPr>
          <w:color w:val="0000FF"/>
        </w:rPr>
        <w:tab/>
        <w:t>in the case of a collection consent―the name of each CDR participant the CDR consumer has consented to the collection of CDR data from; and</w:t>
      </w:r>
    </w:p>
    <w:p w14:paraId="3B4B1616" w14:textId="77777777" w:rsidR="00BB7660" w:rsidRPr="00DA3997" w:rsidRDefault="00BB7660" w:rsidP="00BB7660">
      <w:pPr>
        <w:pStyle w:val="paragraph"/>
        <w:rPr>
          <w:color w:val="0000FF"/>
        </w:rPr>
      </w:pPr>
      <w:r w:rsidRPr="00DA3997">
        <w:rPr>
          <w:color w:val="0000FF"/>
        </w:rPr>
        <w:tab/>
        <w:t>(ba)</w:t>
      </w:r>
      <w:r w:rsidRPr="00DA3997">
        <w:rPr>
          <w:color w:val="0000FF"/>
        </w:rPr>
        <w:tab/>
        <w:t>in the case of a disclosure consent―the name of the person the CDR consumer has consented to the disclosure of CDR data to; and</w:t>
      </w:r>
    </w:p>
    <w:p w14:paraId="4A9B1CF0" w14:textId="77777777" w:rsidR="00BB7660" w:rsidRPr="00DA3997" w:rsidRDefault="00BB7660" w:rsidP="00BB7660">
      <w:pPr>
        <w:pStyle w:val="paragraph"/>
        <w:rPr>
          <w:color w:val="0000FF"/>
        </w:rPr>
      </w:pPr>
      <w:r w:rsidRPr="00DA3997">
        <w:rPr>
          <w:color w:val="0000FF"/>
        </w:rPr>
        <w:tab/>
        <w:t>(c)</w:t>
      </w:r>
      <w:r w:rsidRPr="00DA3997">
        <w:rPr>
          <w:color w:val="0000FF"/>
        </w:rPr>
        <w:tab/>
        <w:t>any other information the CDR representative provided to the CDR consumer when obtaining the consent (see rule 4</w:t>
      </w:r>
      <w:r w:rsidR="0034635F" w:rsidRPr="00DA3997">
        <w:rPr>
          <w:color w:val="0000FF"/>
        </w:rPr>
        <w:t>.20E</w:t>
      </w:r>
      <w:r w:rsidRPr="00DA3997">
        <w:rPr>
          <w:color w:val="0000FF"/>
        </w:rPr>
        <w:t>).</w:t>
      </w:r>
    </w:p>
    <w:p w14:paraId="3BB1FFF3" w14:textId="77777777" w:rsidR="00BB7660" w:rsidRPr="00DA3997" w:rsidRDefault="00BB7660" w:rsidP="00BB7660">
      <w:pPr>
        <w:pStyle w:val="subsection"/>
        <w:rPr>
          <w:color w:val="0000FF"/>
        </w:rPr>
      </w:pPr>
      <w:r w:rsidRPr="00DA3997">
        <w:rPr>
          <w:color w:val="0000FF"/>
        </w:rPr>
        <w:tab/>
        <w:t>(3)</w:t>
      </w:r>
      <w:r w:rsidRPr="00DA3997">
        <w:rPr>
          <w:color w:val="0000FF"/>
        </w:rPr>
        <w:tab/>
        <w:t>A CDR receipt given for the purposes of paragraph (1)(b) must set out details of each amendment that has been made to the consent.</w:t>
      </w:r>
    </w:p>
    <w:p w14:paraId="36B4E22C" w14:textId="77777777" w:rsidR="00BB7660" w:rsidRPr="00DA3997" w:rsidRDefault="00BB7660" w:rsidP="00BB7660">
      <w:pPr>
        <w:pStyle w:val="subsection"/>
        <w:rPr>
          <w:color w:val="0000FF"/>
        </w:rPr>
      </w:pPr>
      <w:r w:rsidRPr="00DA3997">
        <w:rPr>
          <w:color w:val="0000FF"/>
        </w:rPr>
        <w:tab/>
        <w:t>(4)</w:t>
      </w:r>
      <w:r w:rsidRPr="00DA3997">
        <w:rPr>
          <w:color w:val="0000FF"/>
        </w:rPr>
        <w:tab/>
        <w:t>A CDR receipt given for the purposes of paragraph (1)(c) must set out when the consent expired.</w:t>
      </w:r>
    </w:p>
    <w:p w14:paraId="5455841B" w14:textId="77777777" w:rsidR="00BB7660" w:rsidRPr="00DA3997" w:rsidRDefault="00BB7660" w:rsidP="00BB7660">
      <w:pPr>
        <w:pStyle w:val="subsection"/>
        <w:rPr>
          <w:color w:val="0000FF"/>
        </w:rPr>
      </w:pPr>
      <w:r w:rsidRPr="00DA3997">
        <w:rPr>
          <w:color w:val="0000FF"/>
        </w:rPr>
        <w:tab/>
        <w:t>(5)</w:t>
      </w:r>
      <w:r w:rsidRPr="00DA3997">
        <w:rPr>
          <w:color w:val="0000FF"/>
        </w:rPr>
        <w:tab/>
        <w:t>A CDR receipt must be given in writing otherwise than through the CDR principal’s consumer dashboard.</w:t>
      </w:r>
    </w:p>
    <w:p w14:paraId="6FB9DCA4"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485281CE" w14:textId="77777777" w:rsidR="00BB7660" w:rsidRPr="00DA3997" w:rsidRDefault="00BB7660" w:rsidP="00BB7660">
      <w:pPr>
        <w:pStyle w:val="subsection"/>
        <w:rPr>
          <w:color w:val="0000FF"/>
        </w:rPr>
      </w:pPr>
      <w:r w:rsidRPr="00DA3997">
        <w:rPr>
          <w:color w:val="0000FF"/>
        </w:rPr>
        <w:lastRenderedPageBreak/>
        <w:tab/>
        <w:t>(6)</w:t>
      </w:r>
      <w:r w:rsidRPr="00DA3997">
        <w:rPr>
          <w:color w:val="0000FF"/>
        </w:rPr>
        <w:tab/>
        <w:t>A copy of the CDR receipt may be included in the CDR principal’s consumer dashboard.</w:t>
      </w:r>
    </w:p>
    <w:p w14:paraId="204A89FD"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669C73B1" w14:textId="77777777" w:rsidR="00325FE1" w:rsidRPr="00F524AD" w:rsidRDefault="002E6983" w:rsidP="00325FE1">
      <w:pPr>
        <w:pStyle w:val="ActHead5"/>
        <w:rPr>
          <w:color w:val="0000FF"/>
        </w:rPr>
      </w:pPr>
      <w:bookmarkStart w:id="347" w:name="_Toc111132097"/>
      <w:r w:rsidRPr="004A04A4">
        <w:rPr>
          <w:color w:val="0000FF"/>
        </w:rPr>
        <w:t>4.</w:t>
      </w:r>
      <w:r w:rsidRPr="00A13D7F">
        <w:rPr>
          <w:color w:val="0000FF"/>
        </w:rPr>
        <w:t>20</w:t>
      </w:r>
      <w:r w:rsidR="00195095">
        <w:rPr>
          <w:noProof/>
          <w:color w:val="0000FF"/>
        </w:rPr>
        <w:t>P</w:t>
      </w:r>
      <w:r w:rsidRPr="00A13D7F">
        <w:rPr>
          <w:color w:val="0000FF"/>
        </w:rPr>
        <w:t xml:space="preserve"> </w:t>
      </w:r>
      <w:r w:rsidR="00325FE1" w:rsidRPr="00A13D7F">
        <w:rPr>
          <w:color w:val="0000FF"/>
        </w:rPr>
        <w:t xml:space="preserve"> Notification</w:t>
      </w:r>
      <w:r w:rsidR="00325FE1" w:rsidRPr="00A13D7F">
        <w:t xml:space="preserve"> </w:t>
      </w:r>
      <w:r w:rsidR="00325FE1" w:rsidRPr="00F524AD">
        <w:rPr>
          <w:color w:val="0000FF"/>
        </w:rPr>
        <w:t>of data holder or accredited data recipient if collection consent expires</w:t>
      </w:r>
      <w:bookmarkEnd w:id="347"/>
    </w:p>
    <w:p w14:paraId="1B0F43C4" w14:textId="77777777" w:rsidR="00325FE1" w:rsidRPr="00F524AD" w:rsidRDefault="00325FE1" w:rsidP="00325FE1">
      <w:pPr>
        <w:pStyle w:val="subsection"/>
        <w:rPr>
          <w:color w:val="0000FF"/>
        </w:rPr>
      </w:pPr>
      <w:r w:rsidRPr="00F524AD">
        <w:rPr>
          <w:color w:val="0000FF"/>
        </w:rPr>
        <w:tab/>
        <w:t>(1)</w:t>
      </w:r>
      <w:r w:rsidRPr="00F524AD">
        <w:rPr>
          <w:color w:val="0000FF"/>
        </w:rPr>
        <w:tab/>
        <w:t>This rule applies if:</w:t>
      </w:r>
    </w:p>
    <w:p w14:paraId="33A77059" w14:textId="77777777" w:rsidR="00325FE1" w:rsidRPr="00DA3997" w:rsidRDefault="00325FE1" w:rsidP="00325FE1">
      <w:pPr>
        <w:pStyle w:val="paragraph"/>
        <w:rPr>
          <w:color w:val="0000FF"/>
        </w:rPr>
      </w:pPr>
      <w:r w:rsidRPr="00F524AD">
        <w:rPr>
          <w:color w:val="0000FF"/>
        </w:rPr>
        <w:tab/>
        <w:t>(a)</w:t>
      </w:r>
      <w:r w:rsidRPr="00F524AD">
        <w:rPr>
          <w:color w:val="0000FF"/>
        </w:rPr>
        <w:tab/>
        <w:t xml:space="preserve">an accredited person has made a consumer data request on behalf of a CDR </w:t>
      </w:r>
      <w:r w:rsidRPr="00DA3997">
        <w:rPr>
          <w:color w:val="0000FF"/>
        </w:rPr>
        <w:t>representative to a CDR participant based on a collection consent given under this Division relating to particular CDR data and a particular CDR participant; and</w:t>
      </w:r>
    </w:p>
    <w:p w14:paraId="398DDE60" w14:textId="77777777" w:rsidR="00325FE1" w:rsidRPr="00DA3997" w:rsidRDefault="00325FE1" w:rsidP="00325FE1">
      <w:pPr>
        <w:pStyle w:val="paragraph"/>
        <w:rPr>
          <w:color w:val="0000FF"/>
        </w:rPr>
      </w:pPr>
      <w:r w:rsidRPr="00DA3997">
        <w:rPr>
          <w:color w:val="0000FF"/>
        </w:rPr>
        <w:tab/>
        <w:t>(b)</w:t>
      </w:r>
      <w:r w:rsidRPr="00DA3997">
        <w:rPr>
          <w:color w:val="0000FF"/>
        </w:rPr>
        <w:tab/>
        <w:t xml:space="preserve">the request has not </w:t>
      </w:r>
      <w:r w:rsidR="00DA1F3C">
        <w:rPr>
          <w:color w:val="0000FF"/>
        </w:rPr>
        <w:t>been completely</w:t>
      </w:r>
      <w:r w:rsidR="0074609F">
        <w:rPr>
          <w:color w:val="0000FF"/>
        </w:rPr>
        <w:t xml:space="preserve"> resolved</w:t>
      </w:r>
      <w:r w:rsidRPr="00DA3997">
        <w:rPr>
          <w:color w:val="0000FF"/>
        </w:rPr>
        <w:t>; and</w:t>
      </w:r>
    </w:p>
    <w:p w14:paraId="1298CCC3" w14:textId="77777777" w:rsidR="00325FE1" w:rsidRPr="00DA3997" w:rsidRDefault="00325FE1" w:rsidP="00325FE1">
      <w:pPr>
        <w:pStyle w:val="paragraph"/>
        <w:rPr>
          <w:color w:val="0000FF"/>
        </w:rPr>
      </w:pPr>
      <w:r w:rsidRPr="00DA3997">
        <w:rPr>
          <w:color w:val="0000FF"/>
        </w:rPr>
        <w:tab/>
        <w:t>(</w:t>
      </w:r>
      <w:r w:rsidR="00DA1F3C">
        <w:rPr>
          <w:color w:val="0000FF"/>
        </w:rPr>
        <w:t>c</w:t>
      </w:r>
      <w:r w:rsidRPr="00DA3997">
        <w:rPr>
          <w:color w:val="0000FF"/>
        </w:rPr>
        <w:t>)</w:t>
      </w:r>
      <w:r w:rsidRPr="00DA3997">
        <w:rPr>
          <w:color w:val="0000FF"/>
        </w:rPr>
        <w:tab/>
        <w:t>the consent expires for any reason.</w:t>
      </w:r>
    </w:p>
    <w:p w14:paraId="0AF41E0C" w14:textId="77777777" w:rsidR="00325FE1" w:rsidRPr="00DA3997" w:rsidRDefault="00325FE1" w:rsidP="00325FE1">
      <w:pPr>
        <w:pStyle w:val="subsection"/>
        <w:rPr>
          <w:color w:val="0000FF"/>
        </w:rPr>
      </w:pPr>
      <w:r w:rsidRPr="00DA3997">
        <w:rPr>
          <w:color w:val="0000FF"/>
        </w:rPr>
        <w:tab/>
        <w:t>(2)</w:t>
      </w:r>
      <w:r w:rsidRPr="00DA3997">
        <w:rPr>
          <w:color w:val="0000FF"/>
        </w:rPr>
        <w:tab/>
        <w:t>The accredited person must notify:</w:t>
      </w:r>
    </w:p>
    <w:p w14:paraId="52317798" w14:textId="77777777" w:rsidR="00325FE1" w:rsidRPr="00DA3997" w:rsidRDefault="00325FE1" w:rsidP="00325FE1">
      <w:pPr>
        <w:pStyle w:val="paragraph"/>
        <w:rPr>
          <w:color w:val="0000FF"/>
        </w:rPr>
      </w:pPr>
      <w:r w:rsidRPr="00DA3997">
        <w:rPr>
          <w:color w:val="0000FF"/>
        </w:rPr>
        <w:tab/>
        <w:t>(a)</w:t>
      </w:r>
      <w:r w:rsidRPr="00DA3997">
        <w:rPr>
          <w:color w:val="0000FF"/>
        </w:rPr>
        <w:tab/>
        <w:t>if the CDR participant is a data holder―the data holder, in accordance with the data standards, that the consent has expired; and</w:t>
      </w:r>
    </w:p>
    <w:p w14:paraId="4EC5D5C3" w14:textId="77777777" w:rsidR="00325FE1" w:rsidRPr="00DA3997" w:rsidRDefault="00325FE1" w:rsidP="00325FE1">
      <w:pPr>
        <w:pStyle w:val="paragraph"/>
        <w:rPr>
          <w:color w:val="0000FF"/>
        </w:rPr>
      </w:pPr>
      <w:r w:rsidRPr="00DA3997">
        <w:rPr>
          <w:color w:val="0000FF"/>
        </w:rPr>
        <w:tab/>
        <w:t>(b)</w:t>
      </w:r>
      <w:r w:rsidRPr="00DA3997">
        <w:rPr>
          <w:color w:val="0000FF"/>
        </w:rPr>
        <w:tab/>
        <w:t>if the CDR participant is an accredited data recipient―the accredited data recipient as soon as practicable that the consent has expired.</w:t>
      </w:r>
    </w:p>
    <w:p w14:paraId="16A687FD" w14:textId="77777777" w:rsidR="00325FE1" w:rsidRPr="00DA3997" w:rsidRDefault="00325FE1" w:rsidP="00325FE1">
      <w:pPr>
        <w:pStyle w:val="notetext"/>
        <w:rPr>
          <w:color w:val="0000FF"/>
        </w:rPr>
      </w:pPr>
      <w:r w:rsidRPr="00DA3997">
        <w:rPr>
          <w:color w:val="0000FF"/>
        </w:rPr>
        <w:t>Note:</w:t>
      </w:r>
      <w:r w:rsidRPr="00DA3997">
        <w:rPr>
          <w:color w:val="0000FF"/>
        </w:rPr>
        <w:tab/>
        <w:t>This subrule is a civil penalty provision (see rule 9.8).</w:t>
      </w:r>
    </w:p>
    <w:p w14:paraId="0DBBA8D7" w14:textId="77777777" w:rsidR="00BB7660" w:rsidRPr="00DA3997" w:rsidRDefault="00BB7660" w:rsidP="00BB7660">
      <w:pPr>
        <w:pStyle w:val="ActHead5"/>
        <w:rPr>
          <w:color w:val="0000FF"/>
        </w:rPr>
      </w:pPr>
      <w:bookmarkStart w:id="348" w:name="_Toc111132098"/>
      <w:r w:rsidRPr="00DA3997">
        <w:rPr>
          <w:color w:val="0000FF"/>
        </w:rPr>
        <w:t>4.20</w:t>
      </w:r>
      <w:r w:rsidR="00195095">
        <w:rPr>
          <w:noProof/>
          <w:color w:val="0000FF"/>
        </w:rPr>
        <w:t>Q</w:t>
      </w:r>
      <w:r w:rsidRPr="00DA3997">
        <w:rPr>
          <w:color w:val="0000FF"/>
        </w:rPr>
        <w:t xml:space="preserve">  Notification </w:t>
      </w:r>
      <w:r w:rsidR="00325FE1" w:rsidRPr="00DA3997">
        <w:rPr>
          <w:color w:val="0000FF"/>
        </w:rPr>
        <w:t xml:space="preserve">of consumer </w:t>
      </w:r>
      <w:r w:rsidRPr="00DA3997">
        <w:rPr>
          <w:color w:val="0000FF"/>
        </w:rPr>
        <w:t>if collection consent expires</w:t>
      </w:r>
      <w:bookmarkEnd w:id="348"/>
    </w:p>
    <w:p w14:paraId="7348EEDC" w14:textId="77777777" w:rsidR="00BB7660" w:rsidRPr="00DA3997" w:rsidRDefault="00BB7660" w:rsidP="00BB7660">
      <w:pPr>
        <w:pStyle w:val="subsection"/>
        <w:rPr>
          <w:color w:val="0000FF"/>
        </w:rPr>
      </w:pPr>
      <w:r w:rsidRPr="00DA3997">
        <w:rPr>
          <w:color w:val="0000FF"/>
        </w:rPr>
        <w:tab/>
        <w:t>(1)</w:t>
      </w:r>
      <w:r w:rsidRPr="00DA3997">
        <w:rPr>
          <w:color w:val="0000FF"/>
        </w:rPr>
        <w:tab/>
        <w:t>This rule applies if, in relation to particular goods or services a CDR representative is providing as referred to in subrule 4.3A(1):</w:t>
      </w:r>
    </w:p>
    <w:p w14:paraId="500054F3" w14:textId="77777777" w:rsidR="00BB7660" w:rsidRPr="00DA3997" w:rsidRDefault="00BB7660" w:rsidP="00BB7660">
      <w:pPr>
        <w:pStyle w:val="paragraph"/>
        <w:rPr>
          <w:color w:val="0000FF"/>
        </w:rPr>
      </w:pPr>
      <w:r w:rsidRPr="00DA3997">
        <w:rPr>
          <w:color w:val="0000FF"/>
        </w:rPr>
        <w:tab/>
        <w:t>(a)</w:t>
      </w:r>
      <w:r w:rsidRPr="00DA3997">
        <w:rPr>
          <w:color w:val="0000FF"/>
        </w:rPr>
        <w:tab/>
        <w:t>the collection consent expires; but</w:t>
      </w:r>
    </w:p>
    <w:p w14:paraId="37C7BED3" w14:textId="77777777" w:rsidR="00BB7660" w:rsidRPr="00DA3997" w:rsidRDefault="00BB7660" w:rsidP="00BB7660">
      <w:pPr>
        <w:pStyle w:val="paragraph"/>
        <w:rPr>
          <w:color w:val="0000FF"/>
        </w:rPr>
      </w:pPr>
      <w:r w:rsidRPr="00DA3997">
        <w:rPr>
          <w:color w:val="0000FF"/>
        </w:rPr>
        <w:tab/>
        <w:t>(b)</w:t>
      </w:r>
      <w:r w:rsidRPr="00DA3997">
        <w:rPr>
          <w:color w:val="0000FF"/>
        </w:rPr>
        <w:tab/>
        <w:t>the use consent is current.</w:t>
      </w:r>
    </w:p>
    <w:p w14:paraId="04F0889C" w14:textId="77777777" w:rsidR="00BB7660" w:rsidRPr="00DA3997" w:rsidRDefault="00BB7660" w:rsidP="00BB7660">
      <w:pPr>
        <w:pStyle w:val="subsection"/>
        <w:rPr>
          <w:color w:val="0000FF"/>
        </w:rPr>
      </w:pPr>
      <w:r w:rsidRPr="00DA3997">
        <w:rPr>
          <w:color w:val="0000FF"/>
        </w:rPr>
        <w:tab/>
        <w:t>(2)</w:t>
      </w:r>
      <w:r w:rsidRPr="00DA3997">
        <w:rPr>
          <w:color w:val="0000FF"/>
        </w:rPr>
        <w:tab/>
        <w:t>The CDR representative must notify the CDR consumer as soon as practicable that, at any time, they:</w:t>
      </w:r>
    </w:p>
    <w:p w14:paraId="1AB587FD" w14:textId="77777777" w:rsidR="00BB7660" w:rsidRPr="00DA3997" w:rsidRDefault="00BB7660" w:rsidP="00BB7660">
      <w:pPr>
        <w:pStyle w:val="paragraph"/>
        <w:rPr>
          <w:color w:val="0000FF"/>
        </w:rPr>
      </w:pPr>
      <w:r w:rsidRPr="00DA3997">
        <w:rPr>
          <w:color w:val="0000FF"/>
        </w:rPr>
        <w:tab/>
        <w:t>(a)</w:t>
      </w:r>
      <w:r w:rsidRPr="00DA3997">
        <w:rPr>
          <w:color w:val="0000FF"/>
        </w:rPr>
        <w:tab/>
        <w:t>may withdraw the use consent; and</w:t>
      </w:r>
    </w:p>
    <w:p w14:paraId="412EBB0B" w14:textId="77777777" w:rsidR="00BB7660" w:rsidRPr="00DA3997" w:rsidRDefault="00BB7660" w:rsidP="00BB7660">
      <w:pPr>
        <w:pStyle w:val="paragraph"/>
        <w:rPr>
          <w:color w:val="0000FF"/>
        </w:rPr>
      </w:pPr>
      <w:r w:rsidRPr="00DA3997">
        <w:rPr>
          <w:color w:val="0000FF"/>
        </w:rPr>
        <w:tab/>
        <w:t>(b)</w:t>
      </w:r>
      <w:r w:rsidRPr="00DA3997">
        <w:rPr>
          <w:color w:val="0000FF"/>
        </w:rPr>
        <w:tab/>
        <w:t>may make the election to delete redundant data in respect of that CDR data under rule 4</w:t>
      </w:r>
      <w:r w:rsidR="0034635F" w:rsidRPr="00DA3997">
        <w:rPr>
          <w:color w:val="0000FF"/>
        </w:rPr>
        <w:t>.20M</w:t>
      </w:r>
      <w:r w:rsidRPr="00DA3997">
        <w:rPr>
          <w:color w:val="0000FF"/>
        </w:rPr>
        <w:t>.</w:t>
      </w:r>
    </w:p>
    <w:p w14:paraId="38CA6F6F" w14:textId="77777777" w:rsidR="00BB7660" w:rsidRPr="00DA3997" w:rsidRDefault="00BB7660" w:rsidP="00BB7660">
      <w:pPr>
        <w:pStyle w:val="notetext"/>
        <w:rPr>
          <w:color w:val="0000FF"/>
        </w:rPr>
      </w:pPr>
      <w:r w:rsidRPr="00DA3997">
        <w:rPr>
          <w:color w:val="0000FF"/>
        </w:rPr>
        <w:t>Note:</w:t>
      </w:r>
      <w:r w:rsidRPr="00DA3997">
        <w:rPr>
          <w:color w:val="0000FF"/>
        </w:rPr>
        <w:tab/>
        <w:t>This subrule is a civil penalty provision (see rule 9.8).</w:t>
      </w:r>
    </w:p>
    <w:p w14:paraId="4921D861" w14:textId="77777777" w:rsidR="00BB7660" w:rsidRPr="00DA3997" w:rsidRDefault="00BB7660" w:rsidP="00BB7660">
      <w:pPr>
        <w:pStyle w:val="subsection"/>
        <w:rPr>
          <w:color w:val="0000FF"/>
        </w:rPr>
      </w:pPr>
      <w:r w:rsidRPr="00DA3997">
        <w:rPr>
          <w:color w:val="0000FF"/>
        </w:rPr>
        <w:tab/>
        <w:t>(3)</w:t>
      </w:r>
      <w:r w:rsidRPr="00DA3997">
        <w:rPr>
          <w:color w:val="0000FF"/>
        </w:rPr>
        <w:tab/>
        <w:t>The notification must be given in writing otherwise than through the CDR principal’s consumer dashboard.</w:t>
      </w:r>
    </w:p>
    <w:p w14:paraId="3276E006"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157D1768" w14:textId="77777777" w:rsidR="00BB7660" w:rsidRPr="00DA3997" w:rsidRDefault="00BB7660" w:rsidP="00BB7660">
      <w:pPr>
        <w:pStyle w:val="subsection"/>
        <w:rPr>
          <w:color w:val="0000FF"/>
        </w:rPr>
      </w:pPr>
      <w:r w:rsidRPr="00DA3997">
        <w:rPr>
          <w:color w:val="0000FF"/>
        </w:rPr>
        <w:tab/>
        <w:t>(4)</w:t>
      </w:r>
      <w:r w:rsidRPr="00DA3997">
        <w:rPr>
          <w:color w:val="0000FF"/>
        </w:rPr>
        <w:tab/>
        <w:t>The notification may also be included in the CDR principal’s consumer dashboard.</w:t>
      </w:r>
    </w:p>
    <w:p w14:paraId="7AF7A05C"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08CFD061" w14:textId="77777777" w:rsidR="00BB7660" w:rsidRPr="00DA3997" w:rsidRDefault="00BB7660" w:rsidP="00BB7660">
      <w:pPr>
        <w:pStyle w:val="ActHead5"/>
        <w:rPr>
          <w:color w:val="0000FF"/>
        </w:rPr>
      </w:pPr>
      <w:bookmarkStart w:id="349" w:name="_Toc111132099"/>
      <w:r w:rsidRPr="00DA3997">
        <w:rPr>
          <w:color w:val="0000FF"/>
        </w:rPr>
        <w:lastRenderedPageBreak/>
        <w:t>4.20</w:t>
      </w:r>
      <w:r w:rsidR="00195095">
        <w:rPr>
          <w:noProof/>
          <w:color w:val="0000FF"/>
        </w:rPr>
        <w:t>R</w:t>
      </w:r>
      <w:r w:rsidRPr="00DA3997">
        <w:rPr>
          <w:color w:val="0000FF"/>
        </w:rPr>
        <w:t xml:space="preserve">  Notification if collection consent or AP disclosure consent expires</w:t>
      </w:r>
      <w:bookmarkEnd w:id="349"/>
    </w:p>
    <w:p w14:paraId="2779BC88" w14:textId="77777777" w:rsidR="00325FE1" w:rsidRPr="00DA3997" w:rsidRDefault="00BB7660" w:rsidP="00325FE1">
      <w:pPr>
        <w:pStyle w:val="subsection"/>
        <w:rPr>
          <w:color w:val="0000FF"/>
        </w:rPr>
      </w:pPr>
      <w:r w:rsidRPr="00DA3997">
        <w:rPr>
          <w:color w:val="0000FF"/>
        </w:rPr>
        <w:tab/>
      </w:r>
      <w:r w:rsidR="00325FE1" w:rsidRPr="00DA3997">
        <w:rPr>
          <w:color w:val="0000FF"/>
        </w:rPr>
        <w:t>(1)</w:t>
      </w:r>
      <w:r w:rsidR="00325FE1" w:rsidRPr="00DA3997">
        <w:rPr>
          <w:color w:val="0000FF"/>
        </w:rPr>
        <w:tab/>
        <w:t>This rule applies if:</w:t>
      </w:r>
    </w:p>
    <w:p w14:paraId="04427617" w14:textId="77777777" w:rsidR="00325FE1" w:rsidRPr="00DA3997" w:rsidRDefault="00325FE1" w:rsidP="00325FE1">
      <w:pPr>
        <w:pStyle w:val="paragraph"/>
        <w:rPr>
          <w:color w:val="0000FF"/>
        </w:rPr>
      </w:pPr>
      <w:r w:rsidRPr="00DA3997">
        <w:rPr>
          <w:color w:val="0000FF"/>
        </w:rPr>
        <w:tab/>
        <w:t>(a)</w:t>
      </w:r>
      <w:r w:rsidRPr="00DA3997">
        <w:rPr>
          <w:color w:val="0000FF"/>
        </w:rPr>
        <w:tab/>
        <w:t>a CDR principal has made a consumer data request to a</w:t>
      </w:r>
      <w:r w:rsidR="00120E16" w:rsidRPr="00DA3997">
        <w:rPr>
          <w:color w:val="0000FF"/>
        </w:rPr>
        <w:t xml:space="preserve">n accredited data recipient </w:t>
      </w:r>
      <w:r w:rsidRPr="00DA3997">
        <w:rPr>
          <w:color w:val="0000FF"/>
        </w:rPr>
        <w:t>on behalf of a CDR representative, based</w:t>
      </w:r>
      <w:r w:rsidRPr="00F524AD">
        <w:rPr>
          <w:color w:val="0000FF"/>
        </w:rPr>
        <w:t xml:space="preserve"> on a collection consent given under this Division relating to particular CDR data </w:t>
      </w:r>
      <w:r w:rsidR="00120E16" w:rsidRPr="00F524AD">
        <w:rPr>
          <w:color w:val="0000FF"/>
        </w:rPr>
        <w:t xml:space="preserve">and that </w:t>
      </w:r>
      <w:r w:rsidR="00120E16" w:rsidRPr="00DA3997">
        <w:rPr>
          <w:color w:val="0000FF"/>
        </w:rPr>
        <w:t>accredited data recipient</w:t>
      </w:r>
      <w:r w:rsidRPr="00DA3997">
        <w:rPr>
          <w:color w:val="0000FF"/>
        </w:rPr>
        <w:t>; and</w:t>
      </w:r>
    </w:p>
    <w:p w14:paraId="04B90B2E" w14:textId="77777777" w:rsidR="00120E16" w:rsidRPr="00DA3997" w:rsidRDefault="00325FE1" w:rsidP="00120E16">
      <w:pPr>
        <w:pStyle w:val="paragraph"/>
        <w:rPr>
          <w:color w:val="0000FF"/>
        </w:rPr>
      </w:pPr>
      <w:r w:rsidRPr="00DA3997">
        <w:rPr>
          <w:color w:val="0000FF"/>
        </w:rPr>
        <w:tab/>
      </w:r>
      <w:r w:rsidR="00120E16" w:rsidRPr="00DA3997">
        <w:rPr>
          <w:color w:val="0000FF"/>
        </w:rPr>
        <w:t>(b)</w:t>
      </w:r>
      <w:r w:rsidR="00120E16" w:rsidRPr="00DA3997">
        <w:rPr>
          <w:color w:val="0000FF"/>
        </w:rPr>
        <w:tab/>
        <w:t>the accredited data recipient has an AP disclosure consent relating to that CDR data; and</w:t>
      </w:r>
    </w:p>
    <w:p w14:paraId="49EE8760" w14:textId="77777777" w:rsidR="00120E16" w:rsidRPr="00DA3997" w:rsidRDefault="00120E16" w:rsidP="00120E16">
      <w:pPr>
        <w:pStyle w:val="paragraph"/>
        <w:rPr>
          <w:color w:val="0000FF"/>
        </w:rPr>
      </w:pPr>
      <w:r w:rsidRPr="00DA3997">
        <w:rPr>
          <w:color w:val="0000FF"/>
        </w:rPr>
        <w:tab/>
        <w:t>(c)</w:t>
      </w:r>
      <w:r w:rsidR="00325FE1" w:rsidRPr="00DA3997">
        <w:rPr>
          <w:color w:val="0000FF"/>
        </w:rPr>
        <w:tab/>
        <w:t>the request has not be</w:t>
      </w:r>
      <w:r w:rsidRPr="00DA3997">
        <w:rPr>
          <w:color w:val="0000FF"/>
        </w:rPr>
        <w:t>en</w:t>
      </w:r>
      <w:r w:rsidR="00325FE1" w:rsidRPr="00DA3997">
        <w:rPr>
          <w:color w:val="0000FF"/>
        </w:rPr>
        <w:t xml:space="preserve"> </w:t>
      </w:r>
      <w:r w:rsidR="0074609F">
        <w:rPr>
          <w:color w:val="0000FF"/>
        </w:rPr>
        <w:t>completely resolved</w:t>
      </w:r>
      <w:r w:rsidRPr="00DA3997">
        <w:rPr>
          <w:color w:val="0000FF"/>
        </w:rPr>
        <w:t>.</w:t>
      </w:r>
    </w:p>
    <w:p w14:paraId="5ECC5965" w14:textId="77777777" w:rsidR="00BB7660" w:rsidRPr="00DA3997" w:rsidRDefault="00120E16" w:rsidP="00BB7660">
      <w:pPr>
        <w:pStyle w:val="subsection"/>
        <w:rPr>
          <w:color w:val="0000FF"/>
        </w:rPr>
      </w:pPr>
      <w:r w:rsidRPr="00DA3997">
        <w:rPr>
          <w:color w:val="0000FF"/>
        </w:rPr>
        <w:tab/>
      </w:r>
      <w:r w:rsidR="00BB7660" w:rsidRPr="00DA3997">
        <w:rPr>
          <w:color w:val="0000FF"/>
        </w:rPr>
        <w:tab/>
        <w:t>(2)</w:t>
      </w:r>
      <w:r w:rsidR="00BB7660" w:rsidRPr="00DA3997">
        <w:rPr>
          <w:color w:val="0000FF"/>
        </w:rPr>
        <w:tab/>
        <w:t>If the collection consent expires in accordance with these rules, the CDR principal must notify the accredited data recipient as soon as practicable of the expiry.</w:t>
      </w:r>
    </w:p>
    <w:p w14:paraId="608E6AA1" w14:textId="77777777" w:rsidR="00BB7660" w:rsidRPr="00DA3997" w:rsidRDefault="00BB7660" w:rsidP="00BB7660">
      <w:pPr>
        <w:pStyle w:val="notetext"/>
        <w:rPr>
          <w:color w:val="0000FF"/>
        </w:rPr>
      </w:pPr>
      <w:r w:rsidRPr="00DA3997">
        <w:rPr>
          <w:color w:val="0000FF"/>
        </w:rPr>
        <w:t>Note 1:</w:t>
      </w:r>
      <w:r w:rsidRPr="00DA3997">
        <w:rPr>
          <w:color w:val="0000FF"/>
        </w:rPr>
        <w:tab/>
        <w:t>This subrule is a civil penalty provision (see rule 9.8).</w:t>
      </w:r>
    </w:p>
    <w:p w14:paraId="529D94C1" w14:textId="77777777" w:rsidR="00BB7660" w:rsidRPr="00DA3997" w:rsidRDefault="00BB7660" w:rsidP="00BB7660">
      <w:pPr>
        <w:pStyle w:val="notetext"/>
        <w:rPr>
          <w:color w:val="0000FF"/>
        </w:rPr>
      </w:pPr>
      <w:r w:rsidRPr="00DA3997">
        <w:rPr>
          <w:color w:val="0000FF"/>
        </w:rPr>
        <w:t>Note 2:</w:t>
      </w:r>
      <w:r w:rsidRPr="00DA3997">
        <w:rPr>
          <w:color w:val="0000FF"/>
        </w:rPr>
        <w:tab/>
        <w:t>The AP disclosure consent that the accredited data recipient has expires when the notification is received—see subrule 4</w:t>
      </w:r>
      <w:r w:rsidR="0034635F" w:rsidRPr="00DA3997">
        <w:rPr>
          <w:color w:val="0000FF"/>
        </w:rPr>
        <w:t>.20K</w:t>
      </w:r>
      <w:r w:rsidRPr="00DA3997">
        <w:rPr>
          <w:color w:val="0000FF"/>
        </w:rPr>
        <w:t>(2).</w:t>
      </w:r>
    </w:p>
    <w:p w14:paraId="02608A08" w14:textId="77777777" w:rsidR="00BB7660" w:rsidRPr="00DA3997" w:rsidRDefault="00BB7660" w:rsidP="00BB7660">
      <w:pPr>
        <w:pStyle w:val="subsection"/>
        <w:rPr>
          <w:color w:val="0000FF"/>
        </w:rPr>
      </w:pPr>
      <w:r w:rsidRPr="00DA3997">
        <w:rPr>
          <w:color w:val="0000FF"/>
        </w:rPr>
        <w:tab/>
        <w:t>(3)</w:t>
      </w:r>
      <w:r w:rsidRPr="00DA3997">
        <w:rPr>
          <w:color w:val="0000FF"/>
        </w:rPr>
        <w:tab/>
        <w:t>If the AP disclosure consent expires in accordance with these rules, the accredited data recipient must notify the CDR principal as soon as practicable of the expiry.</w:t>
      </w:r>
    </w:p>
    <w:p w14:paraId="4C9C072F" w14:textId="77777777" w:rsidR="00BB7660" w:rsidRPr="00DA3997" w:rsidRDefault="00BB7660" w:rsidP="00BB7660">
      <w:pPr>
        <w:pStyle w:val="notetext"/>
        <w:rPr>
          <w:color w:val="0000FF"/>
        </w:rPr>
      </w:pPr>
      <w:r w:rsidRPr="00DA3997">
        <w:rPr>
          <w:color w:val="0000FF"/>
        </w:rPr>
        <w:t>Note 1:</w:t>
      </w:r>
      <w:r w:rsidRPr="00DA3997">
        <w:rPr>
          <w:color w:val="0000FF"/>
        </w:rPr>
        <w:tab/>
        <w:t>This subrule is a civil penalty provision (see rule 9.8).</w:t>
      </w:r>
    </w:p>
    <w:p w14:paraId="18CC6B59" w14:textId="77777777" w:rsidR="00BB7660" w:rsidRPr="00DA3997" w:rsidRDefault="00BB7660" w:rsidP="00BB7660">
      <w:pPr>
        <w:pStyle w:val="notetext"/>
        <w:rPr>
          <w:color w:val="0000FF"/>
        </w:rPr>
      </w:pPr>
      <w:r w:rsidRPr="00DA3997">
        <w:rPr>
          <w:color w:val="0000FF"/>
        </w:rPr>
        <w:t>Note 2:</w:t>
      </w:r>
      <w:r w:rsidRPr="00DA3997">
        <w:rPr>
          <w:color w:val="0000FF"/>
        </w:rPr>
        <w:tab/>
        <w:t>The collection consent that the CDR principal has expires when the notification is received—see subrule 4</w:t>
      </w:r>
      <w:r w:rsidR="0034635F" w:rsidRPr="00DA3997">
        <w:rPr>
          <w:color w:val="0000FF"/>
        </w:rPr>
        <w:t>.20K</w:t>
      </w:r>
      <w:r w:rsidRPr="00DA3997">
        <w:rPr>
          <w:color w:val="0000FF"/>
        </w:rPr>
        <w:t>(2).</w:t>
      </w:r>
    </w:p>
    <w:p w14:paraId="753EF492" w14:textId="77777777" w:rsidR="00BB7660" w:rsidRPr="00DA3997" w:rsidRDefault="00BB7660" w:rsidP="00BB7660">
      <w:pPr>
        <w:pStyle w:val="ActHead5"/>
        <w:rPr>
          <w:color w:val="0000FF"/>
        </w:rPr>
      </w:pPr>
      <w:bookmarkStart w:id="350" w:name="_Toc111132100"/>
      <w:r w:rsidRPr="00DA3997">
        <w:rPr>
          <w:color w:val="0000FF"/>
        </w:rPr>
        <w:t>4.20</w:t>
      </w:r>
      <w:r w:rsidR="00195095">
        <w:rPr>
          <w:noProof/>
          <w:color w:val="0000FF"/>
        </w:rPr>
        <w:t>S</w:t>
      </w:r>
      <w:r w:rsidRPr="00DA3997">
        <w:rPr>
          <w:color w:val="0000FF"/>
        </w:rPr>
        <w:t xml:space="preserve">  Notification if collection consent is amended</w:t>
      </w:r>
      <w:bookmarkEnd w:id="350"/>
    </w:p>
    <w:p w14:paraId="0B396A92" w14:textId="77777777" w:rsidR="00325FE1" w:rsidRPr="00DA3997" w:rsidRDefault="00325FE1" w:rsidP="00325FE1">
      <w:pPr>
        <w:pStyle w:val="subsection"/>
        <w:rPr>
          <w:color w:val="0000FF"/>
        </w:rPr>
      </w:pPr>
      <w:r w:rsidRPr="00DA3997">
        <w:rPr>
          <w:color w:val="0000FF"/>
        </w:rPr>
        <w:tab/>
        <w:t>(1)</w:t>
      </w:r>
      <w:r w:rsidRPr="00DA3997">
        <w:rPr>
          <w:color w:val="0000FF"/>
        </w:rPr>
        <w:tab/>
        <w:t>This rule applies if:</w:t>
      </w:r>
    </w:p>
    <w:p w14:paraId="34BA1B50" w14:textId="77777777" w:rsidR="00325FE1" w:rsidRPr="00DA3997" w:rsidRDefault="00325FE1" w:rsidP="00325FE1">
      <w:pPr>
        <w:pStyle w:val="paragraph"/>
        <w:rPr>
          <w:color w:val="0000FF"/>
        </w:rPr>
      </w:pPr>
      <w:r w:rsidRPr="00DA3997">
        <w:rPr>
          <w:color w:val="0000FF"/>
        </w:rPr>
        <w:tab/>
        <w:t>(a)</w:t>
      </w:r>
      <w:r w:rsidRPr="00DA3997">
        <w:rPr>
          <w:color w:val="0000FF"/>
        </w:rPr>
        <w:tab/>
        <w:t>a CDR principal has made a consumer data request to a CDR participant on behalf of a CDR representative, based on a collection consent given under this Division relating to particular CDR data and a particular CDR participant; and</w:t>
      </w:r>
    </w:p>
    <w:p w14:paraId="62B68F59" w14:textId="77777777" w:rsidR="00325FE1" w:rsidRPr="00DA3997" w:rsidRDefault="00325FE1" w:rsidP="00325FE1">
      <w:pPr>
        <w:pStyle w:val="paragraph"/>
        <w:rPr>
          <w:color w:val="0000FF"/>
        </w:rPr>
      </w:pPr>
      <w:r w:rsidRPr="00DA3997">
        <w:rPr>
          <w:color w:val="0000FF"/>
        </w:rPr>
        <w:tab/>
        <w:t>(b)</w:t>
      </w:r>
      <w:r w:rsidRPr="00DA3997">
        <w:rPr>
          <w:color w:val="0000FF"/>
        </w:rPr>
        <w:tab/>
        <w:t xml:space="preserve">the request has not </w:t>
      </w:r>
      <w:r w:rsidR="00DA1F3C">
        <w:rPr>
          <w:color w:val="0000FF"/>
        </w:rPr>
        <w:t>been completely</w:t>
      </w:r>
      <w:r w:rsidR="0074609F">
        <w:rPr>
          <w:color w:val="0000FF"/>
        </w:rPr>
        <w:t xml:space="preserve"> resolved</w:t>
      </w:r>
      <w:r w:rsidRPr="00DA3997">
        <w:rPr>
          <w:color w:val="0000FF"/>
        </w:rPr>
        <w:t>; and</w:t>
      </w:r>
    </w:p>
    <w:p w14:paraId="10A62785" w14:textId="77777777" w:rsidR="00325FE1" w:rsidRPr="00DA3997" w:rsidRDefault="00325FE1" w:rsidP="00325FE1">
      <w:pPr>
        <w:pStyle w:val="paragraph"/>
        <w:rPr>
          <w:color w:val="0000FF"/>
        </w:rPr>
      </w:pPr>
      <w:r w:rsidRPr="00DA3997">
        <w:rPr>
          <w:color w:val="0000FF"/>
        </w:rPr>
        <w:tab/>
        <w:t>(</w:t>
      </w:r>
      <w:r w:rsidR="00DA1F3C">
        <w:rPr>
          <w:color w:val="0000FF"/>
        </w:rPr>
        <w:t>c</w:t>
      </w:r>
      <w:r w:rsidRPr="00DA3997">
        <w:rPr>
          <w:color w:val="0000FF"/>
        </w:rPr>
        <w:t>)</w:t>
      </w:r>
      <w:r w:rsidRPr="00DA3997">
        <w:rPr>
          <w:color w:val="0000FF"/>
        </w:rPr>
        <w:tab/>
        <w:t>the CDR consumer amends the consent.</w:t>
      </w:r>
    </w:p>
    <w:p w14:paraId="5146D928" w14:textId="77777777" w:rsidR="00BB7660" w:rsidRPr="00DA3997" w:rsidRDefault="00BB7660" w:rsidP="00BB7660">
      <w:pPr>
        <w:pStyle w:val="subsection"/>
        <w:rPr>
          <w:color w:val="0000FF"/>
        </w:rPr>
      </w:pPr>
      <w:r w:rsidRPr="00DA3997">
        <w:rPr>
          <w:color w:val="0000FF"/>
        </w:rPr>
        <w:tab/>
        <w:t>(2)</w:t>
      </w:r>
      <w:r w:rsidRPr="00DA3997">
        <w:rPr>
          <w:color w:val="0000FF"/>
        </w:rPr>
        <w:tab/>
        <w:t>The CDR principal must notify:</w:t>
      </w:r>
    </w:p>
    <w:p w14:paraId="2605A415" w14:textId="77777777" w:rsidR="00BB7660" w:rsidRPr="00DA3997" w:rsidRDefault="00BB7660" w:rsidP="00BB7660">
      <w:pPr>
        <w:pStyle w:val="paragraph"/>
        <w:rPr>
          <w:color w:val="0000FF"/>
        </w:rPr>
      </w:pPr>
      <w:r w:rsidRPr="00DA3997">
        <w:rPr>
          <w:color w:val="0000FF"/>
        </w:rPr>
        <w:tab/>
        <w:t>(a)</w:t>
      </w:r>
      <w:r w:rsidRPr="00DA3997">
        <w:rPr>
          <w:color w:val="0000FF"/>
        </w:rPr>
        <w:tab/>
        <w:t>if the CDR participant is a data holder―the data holder, in accordance with the data standards, that the consent has been amended; and</w:t>
      </w:r>
    </w:p>
    <w:p w14:paraId="41747738" w14:textId="77777777" w:rsidR="00BB7660" w:rsidRPr="00DA3997" w:rsidRDefault="00BB7660" w:rsidP="00BB7660">
      <w:pPr>
        <w:pStyle w:val="paragraph"/>
        <w:rPr>
          <w:color w:val="0000FF"/>
        </w:rPr>
      </w:pPr>
      <w:r w:rsidRPr="00DA3997">
        <w:rPr>
          <w:color w:val="0000FF"/>
        </w:rPr>
        <w:tab/>
        <w:t>(b)</w:t>
      </w:r>
      <w:r w:rsidRPr="00DA3997">
        <w:rPr>
          <w:color w:val="0000FF"/>
        </w:rPr>
        <w:tab/>
        <w:t>if the CDR participant is an accredited data recipient―the accredited data recipient as soon as practicable that the consent has been amended.</w:t>
      </w:r>
    </w:p>
    <w:p w14:paraId="2C0E8506" w14:textId="77777777" w:rsidR="00BB7660" w:rsidRPr="00DA3997" w:rsidRDefault="00BB7660" w:rsidP="00BB7660">
      <w:pPr>
        <w:pStyle w:val="notetext"/>
        <w:rPr>
          <w:color w:val="0000FF"/>
        </w:rPr>
      </w:pPr>
      <w:r w:rsidRPr="00DA3997">
        <w:rPr>
          <w:color w:val="0000FF"/>
        </w:rPr>
        <w:t>Note:</w:t>
      </w:r>
      <w:r w:rsidRPr="00DA3997">
        <w:rPr>
          <w:color w:val="0000FF"/>
        </w:rPr>
        <w:tab/>
        <w:t>This subrule is a civil penalty provision (see rule 9.8).</w:t>
      </w:r>
    </w:p>
    <w:p w14:paraId="4411FD50" w14:textId="77777777" w:rsidR="00BB7660" w:rsidRPr="00DA3997" w:rsidRDefault="00BB7660" w:rsidP="00BB7660">
      <w:pPr>
        <w:pStyle w:val="ActHead5"/>
        <w:rPr>
          <w:color w:val="0000FF"/>
        </w:rPr>
      </w:pPr>
      <w:bookmarkStart w:id="351" w:name="_Toc111132101"/>
      <w:r w:rsidRPr="00DA3997">
        <w:rPr>
          <w:color w:val="0000FF"/>
        </w:rPr>
        <w:t>4.20</w:t>
      </w:r>
      <w:r w:rsidR="00195095">
        <w:rPr>
          <w:noProof/>
          <w:color w:val="0000FF"/>
        </w:rPr>
        <w:t>T</w:t>
      </w:r>
      <w:r w:rsidRPr="00DA3997">
        <w:rPr>
          <w:color w:val="0000FF"/>
        </w:rPr>
        <w:t xml:space="preserve">  Updating consumer dashboard</w:t>
      </w:r>
      <w:bookmarkEnd w:id="351"/>
    </w:p>
    <w:p w14:paraId="012FC081" w14:textId="77777777" w:rsidR="00BB7660" w:rsidRPr="00DA3997" w:rsidRDefault="00BB7660" w:rsidP="00BB7660">
      <w:pPr>
        <w:pStyle w:val="subsection"/>
        <w:rPr>
          <w:color w:val="0000FF"/>
        </w:rPr>
      </w:pPr>
      <w:r w:rsidRPr="00DA3997">
        <w:rPr>
          <w:color w:val="0000FF"/>
        </w:rPr>
        <w:tab/>
      </w:r>
      <w:r w:rsidRPr="00DA3997">
        <w:rPr>
          <w:color w:val="0000FF"/>
        </w:rPr>
        <w:tab/>
        <w:t>A CDR representative must inform the CDR principal as soon as practicable after the information required to be contained on the CDR principal’s consumer dashboard changes and the CDR principal must, as soon as practicable, make those changes.</w:t>
      </w:r>
    </w:p>
    <w:p w14:paraId="1FF8D18F" w14:textId="77777777" w:rsidR="00BB7660" w:rsidRPr="00DA3997" w:rsidRDefault="00BB7660" w:rsidP="00BB7660">
      <w:pPr>
        <w:pStyle w:val="notetext"/>
        <w:rPr>
          <w:color w:val="0000FF"/>
        </w:rPr>
      </w:pPr>
      <w:r w:rsidRPr="00DA3997">
        <w:rPr>
          <w:color w:val="0000FF"/>
        </w:rPr>
        <w:lastRenderedPageBreak/>
        <w:t>Note</w:t>
      </w:r>
      <w:r w:rsidR="0014394F">
        <w:rPr>
          <w:color w:val="0000FF"/>
        </w:rPr>
        <w:t xml:space="preserve"> 1</w:t>
      </w:r>
      <w:r w:rsidRPr="00DA3997">
        <w:rPr>
          <w:color w:val="0000FF"/>
        </w:rPr>
        <w:t>:</w:t>
      </w:r>
      <w:r w:rsidRPr="00DA3997">
        <w:rPr>
          <w:color w:val="0000FF"/>
        </w:rPr>
        <w:tab/>
        <w:t>This rule is a civil penalty provision (see rule 9.8).</w:t>
      </w:r>
    </w:p>
    <w:p w14:paraId="278C1360" w14:textId="77777777" w:rsidR="0014394F" w:rsidRPr="00500212" w:rsidRDefault="0014394F" w:rsidP="0014394F">
      <w:pPr>
        <w:pStyle w:val="notetext"/>
        <w:rPr>
          <w:color w:val="0000FF"/>
        </w:rPr>
      </w:pPr>
      <w:r w:rsidRPr="00500212">
        <w:rPr>
          <w:color w:val="0000FF"/>
        </w:rPr>
        <w:t>Note 2:</w:t>
      </w:r>
      <w:r w:rsidRPr="00500212">
        <w:rPr>
          <w:color w:val="0000FF"/>
        </w:rPr>
        <w:tab/>
        <w:t>The CDR principal may allow the CDR representative to provide the consumer dashboard on its behalf—see subrule 1.14(5).</w:t>
      </w:r>
    </w:p>
    <w:p w14:paraId="43D0003C" w14:textId="77777777" w:rsidR="00BB7660" w:rsidRPr="00DA3997" w:rsidRDefault="00BB7660" w:rsidP="00BB7660">
      <w:pPr>
        <w:pStyle w:val="ActHead5"/>
        <w:rPr>
          <w:color w:val="0000FF"/>
        </w:rPr>
      </w:pPr>
      <w:bookmarkStart w:id="352" w:name="_Toc111132102"/>
      <w:r w:rsidRPr="00DA3997">
        <w:rPr>
          <w:color w:val="0000FF"/>
        </w:rPr>
        <w:t>4.20</w:t>
      </w:r>
      <w:r w:rsidR="00195095">
        <w:rPr>
          <w:noProof/>
          <w:color w:val="0000FF"/>
        </w:rPr>
        <w:t>U</w:t>
      </w:r>
      <w:r w:rsidRPr="00DA3997">
        <w:rPr>
          <w:color w:val="0000FF"/>
        </w:rPr>
        <w:t xml:space="preserve">  Ongoing notification requirement—collection consents and use consents</w:t>
      </w:r>
      <w:bookmarkEnd w:id="352"/>
      <w:r w:rsidRPr="00DA3997">
        <w:rPr>
          <w:color w:val="0000FF"/>
        </w:rPr>
        <w:t xml:space="preserve"> </w:t>
      </w:r>
    </w:p>
    <w:p w14:paraId="1DA5E264" w14:textId="77777777" w:rsidR="00BB7660" w:rsidRPr="00DA3997" w:rsidRDefault="00BB7660" w:rsidP="00BB7660">
      <w:pPr>
        <w:pStyle w:val="subsection"/>
        <w:rPr>
          <w:color w:val="0000FF"/>
        </w:rPr>
      </w:pPr>
      <w:r w:rsidRPr="00DA3997">
        <w:rPr>
          <w:color w:val="0000FF"/>
        </w:rPr>
        <w:tab/>
        <w:t>(1)</w:t>
      </w:r>
      <w:r w:rsidRPr="00DA3997">
        <w:rPr>
          <w:color w:val="0000FF"/>
        </w:rPr>
        <w:tab/>
        <w:t xml:space="preserve">This rule applies in relation to a collection consent or a use consent </w:t>
      </w:r>
      <w:r w:rsidR="00572785" w:rsidRPr="00DA3997">
        <w:rPr>
          <w:color w:val="0000FF"/>
        </w:rPr>
        <w:t xml:space="preserve">given under this Division </w:t>
      </w:r>
      <w:r w:rsidRPr="00DA3997">
        <w:rPr>
          <w:color w:val="0000FF"/>
        </w:rPr>
        <w:t>if:</w:t>
      </w:r>
    </w:p>
    <w:p w14:paraId="7FEAD75D" w14:textId="77777777" w:rsidR="00BB7660" w:rsidRPr="00DA3997" w:rsidRDefault="00BB7660" w:rsidP="00BB7660">
      <w:pPr>
        <w:pStyle w:val="paragraph"/>
        <w:rPr>
          <w:color w:val="0000FF"/>
        </w:rPr>
      </w:pPr>
      <w:r w:rsidRPr="00DA3997">
        <w:rPr>
          <w:color w:val="0000FF"/>
        </w:rPr>
        <w:tab/>
        <w:t>(a)</w:t>
      </w:r>
      <w:r w:rsidRPr="00DA3997">
        <w:rPr>
          <w:color w:val="0000FF"/>
        </w:rPr>
        <w:tab/>
        <w:t>the consent is current; and</w:t>
      </w:r>
    </w:p>
    <w:p w14:paraId="6F54FE19" w14:textId="77777777" w:rsidR="00BB7660" w:rsidRPr="00DA3997" w:rsidRDefault="00BB7660" w:rsidP="00BB7660">
      <w:pPr>
        <w:pStyle w:val="paragraph"/>
        <w:rPr>
          <w:color w:val="0000FF"/>
        </w:rPr>
      </w:pPr>
      <w:r w:rsidRPr="00DA3997">
        <w:rPr>
          <w:color w:val="0000FF"/>
        </w:rPr>
        <w:tab/>
        <w:t>(b)</w:t>
      </w:r>
      <w:r w:rsidRPr="00DA3997">
        <w:rPr>
          <w:color w:val="0000FF"/>
        </w:rPr>
        <w:tab/>
        <w:t>90 days have elapsed since the latest of the following:</w:t>
      </w:r>
    </w:p>
    <w:p w14:paraId="2AA4F3E7" w14:textId="77777777" w:rsidR="00BB7660" w:rsidRPr="00DA3997" w:rsidRDefault="00BB7660" w:rsidP="00BB7660">
      <w:pPr>
        <w:pStyle w:val="paragraphsub"/>
        <w:rPr>
          <w:color w:val="0000FF"/>
        </w:rPr>
      </w:pPr>
      <w:r w:rsidRPr="00DA3997">
        <w:rPr>
          <w:color w:val="0000FF"/>
        </w:rPr>
        <w:tab/>
        <w:t>(i)</w:t>
      </w:r>
      <w:r w:rsidRPr="00DA3997">
        <w:rPr>
          <w:color w:val="0000FF"/>
        </w:rPr>
        <w:tab/>
        <w:t>the CDR consumer gave the consent;</w:t>
      </w:r>
    </w:p>
    <w:p w14:paraId="152DB146" w14:textId="77777777" w:rsidR="00BB7660" w:rsidRPr="00DA3997" w:rsidRDefault="00BB7660" w:rsidP="00BB7660">
      <w:pPr>
        <w:pStyle w:val="paragraphsub"/>
        <w:rPr>
          <w:color w:val="0000FF"/>
        </w:rPr>
      </w:pPr>
      <w:r w:rsidRPr="00DA3997">
        <w:rPr>
          <w:color w:val="0000FF"/>
        </w:rPr>
        <w:tab/>
        <w:t>(ii)</w:t>
      </w:r>
      <w:r w:rsidRPr="00DA3997">
        <w:rPr>
          <w:color w:val="0000FF"/>
        </w:rPr>
        <w:tab/>
        <w:t>the CDR consumer last amended the consent;</w:t>
      </w:r>
    </w:p>
    <w:p w14:paraId="14F6816E" w14:textId="77777777" w:rsidR="00BB7660" w:rsidRPr="00DA3997" w:rsidRDefault="00BB7660" w:rsidP="00BB7660">
      <w:pPr>
        <w:pStyle w:val="paragraphsub"/>
        <w:rPr>
          <w:color w:val="0000FF"/>
        </w:rPr>
      </w:pPr>
      <w:r w:rsidRPr="00DA3997">
        <w:rPr>
          <w:color w:val="0000FF"/>
        </w:rPr>
        <w:tab/>
        <w:t>(iii)</w:t>
      </w:r>
      <w:r w:rsidRPr="00DA3997">
        <w:rPr>
          <w:color w:val="0000FF"/>
        </w:rPr>
        <w:tab/>
        <w:t xml:space="preserve">the CDR consumer last used </w:t>
      </w:r>
      <w:r w:rsidRPr="00500212">
        <w:rPr>
          <w:color w:val="0000FF"/>
        </w:rPr>
        <w:t>the</w:t>
      </w:r>
      <w:r w:rsidRPr="00DA3997">
        <w:rPr>
          <w:color w:val="0000FF"/>
        </w:rPr>
        <w:t xml:space="preserve"> CDR princ</w:t>
      </w:r>
      <w:r w:rsidR="00EE32E7">
        <w:rPr>
          <w:color w:val="0000FF"/>
        </w:rPr>
        <w:t>i</w:t>
      </w:r>
      <w:r w:rsidRPr="00DA3997">
        <w:rPr>
          <w:color w:val="0000FF"/>
        </w:rPr>
        <w:t>pal’s consumer dashboard;</w:t>
      </w:r>
    </w:p>
    <w:p w14:paraId="4FD018E0" w14:textId="77777777" w:rsidR="00BB7660" w:rsidRPr="00DA3997" w:rsidRDefault="00BB7660" w:rsidP="00BB7660">
      <w:pPr>
        <w:pStyle w:val="paragraphsub"/>
        <w:rPr>
          <w:color w:val="0000FF"/>
        </w:rPr>
      </w:pPr>
      <w:r w:rsidRPr="00DA3997">
        <w:rPr>
          <w:color w:val="0000FF"/>
        </w:rPr>
        <w:tab/>
        <w:t>(iv)</w:t>
      </w:r>
      <w:r w:rsidRPr="00DA3997">
        <w:rPr>
          <w:color w:val="0000FF"/>
        </w:rPr>
        <w:tab/>
        <w:t>the CDR representative</w:t>
      </w:r>
      <w:r w:rsidR="00EE32E7">
        <w:rPr>
          <w:color w:val="0000FF"/>
        </w:rPr>
        <w:t xml:space="preserve"> </w:t>
      </w:r>
      <w:r w:rsidR="00EE32E7" w:rsidRPr="00500212">
        <w:rPr>
          <w:color w:val="0000FF"/>
        </w:rPr>
        <w:t>or the CDR principal</w:t>
      </w:r>
      <w:r w:rsidRPr="00DA3997">
        <w:rPr>
          <w:color w:val="0000FF"/>
        </w:rPr>
        <w:t xml:space="preserve"> last sent the CDR consumer a notification in accordance with this rule.</w:t>
      </w:r>
    </w:p>
    <w:p w14:paraId="7D5720E3" w14:textId="77777777" w:rsidR="00BB7660" w:rsidRPr="00DA3997" w:rsidRDefault="00BB7660" w:rsidP="00BB7660">
      <w:pPr>
        <w:pStyle w:val="subsection"/>
        <w:rPr>
          <w:color w:val="0000FF"/>
        </w:rPr>
      </w:pPr>
      <w:r w:rsidRPr="00DA3997">
        <w:rPr>
          <w:color w:val="0000FF"/>
        </w:rPr>
        <w:tab/>
        <w:t>(2)</w:t>
      </w:r>
      <w:r w:rsidRPr="00DA3997">
        <w:rPr>
          <w:color w:val="0000FF"/>
        </w:rPr>
        <w:tab/>
        <w:t>The CDR representative must notify the CDR consumer in accordance with this rule that the consent is still current.</w:t>
      </w:r>
    </w:p>
    <w:p w14:paraId="1295AAAA" w14:textId="77777777" w:rsidR="00BB7660" w:rsidRPr="00DA3997" w:rsidRDefault="00BB7660" w:rsidP="00BB7660">
      <w:pPr>
        <w:pStyle w:val="notetext"/>
        <w:rPr>
          <w:color w:val="0000FF"/>
        </w:rPr>
      </w:pPr>
      <w:r w:rsidRPr="00DA3997">
        <w:rPr>
          <w:color w:val="0000FF"/>
        </w:rPr>
        <w:t>Note:</w:t>
      </w:r>
      <w:r w:rsidRPr="00DA3997">
        <w:rPr>
          <w:color w:val="0000FF"/>
        </w:rPr>
        <w:tab/>
        <w:t>This subrule is a civil penalty provision (see rule 9.8).</w:t>
      </w:r>
    </w:p>
    <w:p w14:paraId="12C0FB86" w14:textId="77777777" w:rsidR="00BB7660" w:rsidRPr="00DA3997" w:rsidRDefault="00BB7660" w:rsidP="00BB7660">
      <w:pPr>
        <w:pStyle w:val="subsection"/>
        <w:rPr>
          <w:color w:val="0000FF"/>
        </w:rPr>
      </w:pPr>
      <w:r w:rsidRPr="00DA3997">
        <w:rPr>
          <w:color w:val="0000FF"/>
        </w:rPr>
        <w:tab/>
        <w:t>(3)</w:t>
      </w:r>
      <w:r w:rsidRPr="00DA3997">
        <w:rPr>
          <w:color w:val="0000FF"/>
        </w:rPr>
        <w:tab/>
        <w:t>The notification must be given in writing otherwise than through the CDR principal’s consumer dashboard.</w:t>
      </w:r>
    </w:p>
    <w:p w14:paraId="107E0D43" w14:textId="77777777" w:rsidR="00BB7660" w:rsidRPr="007D3F52" w:rsidRDefault="00BB7660" w:rsidP="00BB7660">
      <w:pPr>
        <w:pStyle w:val="subsection"/>
        <w:rPr>
          <w:color w:val="0000FF"/>
        </w:rPr>
      </w:pPr>
      <w:r w:rsidRPr="00DA3997">
        <w:rPr>
          <w:color w:val="0000FF"/>
        </w:rPr>
        <w:tab/>
        <w:t>(4)</w:t>
      </w:r>
      <w:r w:rsidRPr="00DA3997">
        <w:rPr>
          <w:color w:val="0000FF"/>
        </w:rPr>
        <w:tab/>
        <w:t>A copy of the notification may be included in the CDR principal’s consumer dashboar</w:t>
      </w:r>
      <w:r w:rsidRPr="007D3F52">
        <w:rPr>
          <w:color w:val="0000FF"/>
        </w:rPr>
        <w:t>d.</w:t>
      </w:r>
    </w:p>
    <w:p w14:paraId="4ECF850D" w14:textId="77777777" w:rsidR="0014394F" w:rsidRPr="00500212" w:rsidRDefault="0014394F" w:rsidP="0014394F">
      <w:pPr>
        <w:pStyle w:val="notetext"/>
        <w:rPr>
          <w:color w:val="0000FF"/>
        </w:rPr>
      </w:pPr>
      <w:r w:rsidRPr="00500212">
        <w:rPr>
          <w:color w:val="0000FF"/>
        </w:rPr>
        <w:t>Note:</w:t>
      </w:r>
      <w:r w:rsidRPr="00500212">
        <w:rPr>
          <w:color w:val="0000FF"/>
        </w:rPr>
        <w:tab/>
        <w:t>The CDR principal may allow the CDR representative to provide the consumer dashboard on its behalf—see subrule 1.14(5).</w:t>
      </w:r>
    </w:p>
    <w:p w14:paraId="0A302908" w14:textId="77777777" w:rsidR="00BB7660" w:rsidRPr="00F07699" w:rsidRDefault="00BB7660" w:rsidP="00BB7660">
      <w:pPr>
        <w:pStyle w:val="ActHead3"/>
      </w:pPr>
      <w:bookmarkStart w:id="353" w:name="_Toc111132103"/>
      <w:r w:rsidRPr="00F07699">
        <w:t>Division 4.4—Authorisations to disclose CDR data</w:t>
      </w:r>
      <w:bookmarkEnd w:id="320"/>
      <w:bookmarkEnd w:id="321"/>
      <w:bookmarkEnd w:id="322"/>
      <w:bookmarkEnd w:id="323"/>
      <w:bookmarkEnd w:id="353"/>
    </w:p>
    <w:p w14:paraId="74A2BB32" w14:textId="77777777" w:rsidR="00BB7660" w:rsidRPr="00F07699" w:rsidRDefault="00BB7660" w:rsidP="00BB7660">
      <w:pPr>
        <w:pStyle w:val="notemargin"/>
      </w:pPr>
      <w:r w:rsidRPr="00F07699">
        <w:t>Note:</w:t>
      </w:r>
      <w:r w:rsidRPr="00F07699">
        <w:tab/>
        <w:t>Under rule 4.5, if a data holder is considering disclosing voluntary consumer data in response to a consumer data request, or if required consumer data was requested, the data holder must seek an authorisation from the CDR consumer to disclose the CDR data in accordance with (among other things) this Division, and in particular, rules 4.23, 4.24 and 4.25. A failure to do so could contravene one or more civil penalty provisions: see rule 4.5.</w:t>
      </w:r>
    </w:p>
    <w:p w14:paraId="21F45C36" w14:textId="77777777" w:rsidR="00BB7660" w:rsidRPr="00F07699" w:rsidRDefault="00BB7660" w:rsidP="00BB7660">
      <w:pPr>
        <w:pStyle w:val="ActHead5"/>
      </w:pPr>
      <w:bookmarkStart w:id="354" w:name="_Toc50114063"/>
      <w:bookmarkStart w:id="355" w:name="_Toc50633094"/>
      <w:bookmarkStart w:id="356" w:name="_Toc57219053"/>
      <w:bookmarkStart w:id="357" w:name="_Toc59549164"/>
      <w:bookmarkStart w:id="358" w:name="_Toc111132104"/>
      <w:r w:rsidRPr="00F07699">
        <w:t>4.21  Purpose of Division</w:t>
      </w:r>
      <w:bookmarkEnd w:id="354"/>
      <w:bookmarkEnd w:id="355"/>
      <w:bookmarkEnd w:id="356"/>
      <w:bookmarkEnd w:id="357"/>
      <w:bookmarkEnd w:id="358"/>
    </w:p>
    <w:p w14:paraId="36823E96" w14:textId="77777777" w:rsidR="00BB7660" w:rsidRPr="00F07699" w:rsidRDefault="00BB7660" w:rsidP="00BB7660">
      <w:pPr>
        <w:pStyle w:val="subsection"/>
      </w:pPr>
      <w:r w:rsidRPr="00F07699">
        <w:tab/>
      </w:r>
      <w:r w:rsidRPr="00F07699">
        <w:tab/>
        <w:t>This Division deals with authorisations to disclose CDR data for the purposes of rule 4.5</w:t>
      </w:r>
      <w:r w:rsidRPr="004E01F4">
        <w:t>, and amendments to authorisations</w:t>
      </w:r>
      <w:r w:rsidRPr="00F07699">
        <w:t>.</w:t>
      </w:r>
    </w:p>
    <w:p w14:paraId="3DA7D875" w14:textId="77777777" w:rsidR="00BB7660" w:rsidRPr="00F07699" w:rsidRDefault="00BB7660" w:rsidP="00BB7660">
      <w:pPr>
        <w:pStyle w:val="ActHead5"/>
      </w:pPr>
      <w:bookmarkStart w:id="359" w:name="_Toc50114064"/>
      <w:bookmarkStart w:id="360" w:name="_Toc50633095"/>
      <w:bookmarkStart w:id="361" w:name="_Toc57219054"/>
      <w:bookmarkStart w:id="362" w:name="_Toc59549165"/>
      <w:bookmarkStart w:id="363" w:name="_Toc111132105"/>
      <w:r w:rsidRPr="00F07699">
        <w:t>4.22  Requirements relating to data holder’s processes for seeking authorisation</w:t>
      </w:r>
      <w:bookmarkEnd w:id="359"/>
      <w:bookmarkEnd w:id="360"/>
      <w:bookmarkEnd w:id="361"/>
      <w:bookmarkEnd w:id="362"/>
      <w:bookmarkEnd w:id="363"/>
    </w:p>
    <w:p w14:paraId="6B27E3C8" w14:textId="77777777" w:rsidR="00BB7660" w:rsidRPr="00F07699" w:rsidRDefault="00BB7660" w:rsidP="00BB7660">
      <w:pPr>
        <w:pStyle w:val="subsection"/>
        <w:rPr>
          <w:lang w:val="en-GB"/>
        </w:rPr>
      </w:pPr>
      <w:r w:rsidRPr="00F07699">
        <w:tab/>
      </w:r>
      <w:r w:rsidRPr="00F07699">
        <w:tab/>
        <w:t xml:space="preserve">A data holder’s processes for asking a CDR consumer to give </w:t>
      </w:r>
      <w:r w:rsidRPr="004E01F4">
        <w:t xml:space="preserve">or amend an </w:t>
      </w:r>
      <w:r w:rsidRPr="00F07699">
        <w:t>authorisation must:</w:t>
      </w:r>
    </w:p>
    <w:p w14:paraId="745A6358" w14:textId="77777777" w:rsidR="00BB7660" w:rsidRPr="00F07699" w:rsidRDefault="00BB7660" w:rsidP="00BB7660">
      <w:pPr>
        <w:pStyle w:val="paragraph"/>
        <w:rPr>
          <w:lang w:val="en-GB"/>
        </w:rPr>
      </w:pPr>
      <w:r w:rsidRPr="00F07699">
        <w:tab/>
        <w:t>(a)</w:t>
      </w:r>
      <w:r w:rsidRPr="00F07699">
        <w:tab/>
        <w:t>accord with the data standards; and</w:t>
      </w:r>
    </w:p>
    <w:p w14:paraId="4AA21231" w14:textId="77777777" w:rsidR="00BB7660" w:rsidRPr="00F07699" w:rsidRDefault="00BB7660" w:rsidP="00BB7660">
      <w:pPr>
        <w:pStyle w:val="paragraph"/>
        <w:rPr>
          <w:lang w:val="en-GB"/>
        </w:rPr>
      </w:pPr>
      <w:r w:rsidRPr="00F07699">
        <w:tab/>
        <w:t>(b)</w:t>
      </w:r>
      <w:r w:rsidRPr="00F07699">
        <w:tab/>
        <w:t>having regard to any consumer experience guidelines developed by the Data Standards Body, be as easy to understand as practicable, including by use of concise language and, where appropriate, visual aids.</w:t>
      </w:r>
    </w:p>
    <w:p w14:paraId="46A0B8F1" w14:textId="77777777" w:rsidR="00BB7660" w:rsidRPr="004E01F4" w:rsidRDefault="00BB7660" w:rsidP="00BB7660">
      <w:pPr>
        <w:pStyle w:val="ActHead5"/>
      </w:pPr>
      <w:bookmarkStart w:id="364" w:name="_Toc50114065"/>
      <w:bookmarkStart w:id="365" w:name="_Toc57219055"/>
      <w:bookmarkStart w:id="366" w:name="_Toc59549166"/>
      <w:bookmarkStart w:id="367" w:name="_Toc111132106"/>
      <w:r w:rsidRPr="004E01F4">
        <w:lastRenderedPageBreak/>
        <w:t>4.22A  Inviting CDR consumer to amend a current authorisation</w:t>
      </w:r>
      <w:bookmarkEnd w:id="364"/>
      <w:bookmarkEnd w:id="365"/>
      <w:bookmarkEnd w:id="366"/>
      <w:bookmarkEnd w:id="367"/>
    </w:p>
    <w:p w14:paraId="1EE3D8E8" w14:textId="77777777" w:rsidR="00BB7660" w:rsidRPr="004E01F4" w:rsidRDefault="00BB7660" w:rsidP="00BB7660">
      <w:pPr>
        <w:pStyle w:val="subsection"/>
      </w:pPr>
      <w:r w:rsidRPr="004E01F4">
        <w:tab/>
        <w:t>(1)</w:t>
      </w:r>
      <w:r w:rsidRPr="004E01F4">
        <w:tab/>
        <w:t>If a data holder has received a notice under rule 4.18C</w:t>
      </w:r>
      <w:r w:rsidRPr="004A04A4">
        <w:rPr>
          <w:color w:val="0000FF"/>
        </w:rPr>
        <w:t xml:space="preserve"> or 4</w:t>
      </w:r>
      <w:r w:rsidR="002E6983">
        <w:rPr>
          <w:color w:val="0000FF"/>
        </w:rPr>
        <w:t>.20S</w:t>
      </w:r>
      <w:r w:rsidRPr="004E01F4">
        <w:t>, the data holder must, in accordance with this Division, invite the CDR consumer to amend the authorisation to disclose CDR data accordingly.</w:t>
      </w:r>
    </w:p>
    <w:p w14:paraId="26051094" w14:textId="77777777" w:rsidR="00BB7660" w:rsidRPr="004E01F4" w:rsidRDefault="00BB7660" w:rsidP="00BB7660">
      <w:pPr>
        <w:pStyle w:val="notetext"/>
      </w:pPr>
      <w:r w:rsidRPr="004E01F4">
        <w:t>Note:</w:t>
      </w:r>
      <w:r w:rsidRPr="004E01F4">
        <w:tab/>
        <w:t>This subrule is a civil penalty provision (see rule 9.8).</w:t>
      </w:r>
    </w:p>
    <w:p w14:paraId="2B59BE81" w14:textId="77777777" w:rsidR="00BB7660" w:rsidRPr="004E01F4" w:rsidRDefault="00BB7660" w:rsidP="00BB7660">
      <w:pPr>
        <w:pStyle w:val="subsection"/>
      </w:pPr>
      <w:r w:rsidRPr="004E01F4">
        <w:tab/>
        <w:t>(2)</w:t>
      </w:r>
      <w:r w:rsidRPr="004E01F4">
        <w:tab/>
        <w:t>An amendment of an authorisation to disclose CDR data other than in accordance with subrule (1) is of no effect.</w:t>
      </w:r>
    </w:p>
    <w:p w14:paraId="2CEE324E" w14:textId="77777777" w:rsidR="00BB7660" w:rsidRPr="004E01F4" w:rsidRDefault="00BB7660" w:rsidP="00BB7660">
      <w:pPr>
        <w:pStyle w:val="ActHead5"/>
      </w:pPr>
      <w:bookmarkStart w:id="368" w:name="_Toc50633096"/>
      <w:bookmarkStart w:id="369" w:name="_Toc50114066"/>
      <w:bookmarkStart w:id="370" w:name="_Toc57219056"/>
      <w:bookmarkStart w:id="371" w:name="_Toc59549167"/>
      <w:bookmarkStart w:id="372" w:name="_Toc111132107"/>
      <w:r w:rsidRPr="004E01F4">
        <w:t>4.23  Asking CDR consumer to give authorisation to disclose CDR data</w:t>
      </w:r>
      <w:bookmarkEnd w:id="368"/>
      <w:r w:rsidRPr="004E01F4">
        <w:t xml:space="preserve"> or inviting CDR consumer to amend a current authorisation</w:t>
      </w:r>
      <w:bookmarkEnd w:id="369"/>
      <w:bookmarkEnd w:id="370"/>
      <w:bookmarkEnd w:id="371"/>
      <w:bookmarkEnd w:id="372"/>
    </w:p>
    <w:p w14:paraId="490CB333" w14:textId="77777777" w:rsidR="00BB7660" w:rsidRPr="004E01F4" w:rsidRDefault="00BB7660" w:rsidP="00BB7660">
      <w:pPr>
        <w:pStyle w:val="subsection"/>
      </w:pPr>
      <w:r w:rsidRPr="004E01F4">
        <w:tab/>
        <w:t>(1)</w:t>
      </w:r>
      <w:r w:rsidRPr="004E01F4">
        <w:tab/>
        <w:t>When asking a CDR consumer to authorise the disclosure of CDR data, or amend a current authorisation, a data holder must give the CDR consumer the following information about the authorisation or amendment:</w:t>
      </w:r>
    </w:p>
    <w:p w14:paraId="074395B4" w14:textId="77777777" w:rsidR="00BB7660" w:rsidRPr="004E01F4" w:rsidRDefault="00BB7660" w:rsidP="00BB7660">
      <w:pPr>
        <w:pStyle w:val="paragraph"/>
      </w:pPr>
      <w:r w:rsidRPr="004E01F4">
        <w:tab/>
        <w:t>(a)</w:t>
      </w:r>
      <w:r w:rsidRPr="004E01F4">
        <w:tab/>
        <w:t>subject to subrule (2),</w:t>
      </w:r>
      <w:r w:rsidRPr="004E01F4">
        <w:rPr>
          <w:u w:val="words"/>
        </w:rPr>
        <w:t xml:space="preserve"> </w:t>
      </w:r>
      <w:r w:rsidRPr="004E01F4">
        <w:t>the name of the accredited person that made the request;</w:t>
      </w:r>
    </w:p>
    <w:p w14:paraId="46D2DCA1" w14:textId="77777777" w:rsidR="00BB7660" w:rsidRPr="00F07699" w:rsidRDefault="00BB7660" w:rsidP="00BB7660">
      <w:pPr>
        <w:pStyle w:val="paragraph"/>
      </w:pPr>
      <w:r w:rsidRPr="00F07699">
        <w:tab/>
        <w:t>(b)</w:t>
      </w:r>
      <w:r w:rsidRPr="00F07699">
        <w:tab/>
        <w:t>the period of time to which the CDR data that was the subject of the request relates;</w:t>
      </w:r>
    </w:p>
    <w:p w14:paraId="2266D5D8" w14:textId="77777777" w:rsidR="00BB7660" w:rsidRPr="00F07699" w:rsidRDefault="00BB7660" w:rsidP="00BB7660">
      <w:pPr>
        <w:pStyle w:val="paragraph"/>
      </w:pPr>
      <w:r w:rsidRPr="00F07699">
        <w:tab/>
        <w:t>(c)</w:t>
      </w:r>
      <w:r w:rsidRPr="00F07699">
        <w:tab/>
        <w:t>the types of CDR data for which the data holder is seeking an authorisation to disclose;</w:t>
      </w:r>
    </w:p>
    <w:p w14:paraId="5E2692A3" w14:textId="77777777" w:rsidR="00BB7660" w:rsidRPr="00F07699" w:rsidRDefault="00BB7660" w:rsidP="00BB7660">
      <w:pPr>
        <w:pStyle w:val="paragraph"/>
      </w:pPr>
      <w:r w:rsidRPr="00F07699">
        <w:tab/>
        <w:t>(d)</w:t>
      </w:r>
      <w:r w:rsidRPr="00F07699">
        <w:tab/>
        <w:t>whether the authorisation is being sought for:</w:t>
      </w:r>
    </w:p>
    <w:p w14:paraId="08D468E2" w14:textId="77777777" w:rsidR="00BB7660" w:rsidRPr="00F07699" w:rsidRDefault="00BB7660" w:rsidP="00BB7660">
      <w:pPr>
        <w:pStyle w:val="paragraphsub"/>
      </w:pPr>
      <w:r w:rsidRPr="00F07699">
        <w:tab/>
        <w:t>(i)</w:t>
      </w:r>
      <w:r w:rsidRPr="00F07699">
        <w:tab/>
        <w:t>disclosure of CDR data on a single occasion; or</w:t>
      </w:r>
    </w:p>
    <w:p w14:paraId="57C86EA2" w14:textId="77777777" w:rsidR="00BB7660" w:rsidRPr="00F07699" w:rsidRDefault="00BB7660" w:rsidP="00BB7660">
      <w:pPr>
        <w:pStyle w:val="paragraphsub"/>
      </w:pPr>
      <w:r w:rsidRPr="00F07699">
        <w:tab/>
        <w:t>(ii)</w:t>
      </w:r>
      <w:r w:rsidRPr="00F07699">
        <w:tab/>
        <w:t>disclosure of CDR data over a period of time of not more than 12 months;</w:t>
      </w:r>
    </w:p>
    <w:p w14:paraId="3F491019" w14:textId="77777777" w:rsidR="00BB7660" w:rsidRPr="00F07699" w:rsidRDefault="00BB7660" w:rsidP="00BB7660">
      <w:pPr>
        <w:pStyle w:val="paragraph"/>
      </w:pPr>
      <w:r w:rsidRPr="00F07699">
        <w:tab/>
        <w:t>(e)</w:t>
      </w:r>
      <w:r w:rsidRPr="00F07699">
        <w:tab/>
        <w:t>if authorisation is being sought for disclosure over a period of time―what that period is;</w:t>
      </w:r>
    </w:p>
    <w:p w14:paraId="70FB615A" w14:textId="77777777" w:rsidR="00BB7660" w:rsidRPr="00F07699" w:rsidRDefault="00BB7660" w:rsidP="00BB7660">
      <w:pPr>
        <w:pStyle w:val="paragraph"/>
      </w:pPr>
      <w:r w:rsidRPr="00F07699">
        <w:tab/>
        <w:t>(f)</w:t>
      </w:r>
      <w:r w:rsidRPr="00F07699">
        <w:tab/>
        <w:t>a statement that, at any time, the authorisation can be withdrawn;</w:t>
      </w:r>
    </w:p>
    <w:p w14:paraId="76D2A477" w14:textId="77777777" w:rsidR="00BB7660" w:rsidRPr="00F07699" w:rsidRDefault="00BB7660" w:rsidP="00BB7660">
      <w:pPr>
        <w:pStyle w:val="paragraph"/>
      </w:pPr>
      <w:r w:rsidRPr="00F07699">
        <w:tab/>
        <w:t>(g)</w:t>
      </w:r>
      <w:r w:rsidRPr="00F07699">
        <w:tab/>
        <w:t>instructions for how the authorisation can be withdrawn.</w:t>
      </w:r>
    </w:p>
    <w:p w14:paraId="09FC634B" w14:textId="77777777" w:rsidR="00BB7660" w:rsidRPr="004A04A4" w:rsidRDefault="00BB7660" w:rsidP="00BB7660">
      <w:pPr>
        <w:pStyle w:val="notetext"/>
        <w:rPr>
          <w:color w:val="0000FF"/>
        </w:rPr>
      </w:pPr>
      <w:r w:rsidRPr="004A04A4">
        <w:rPr>
          <w:color w:val="0000FF"/>
        </w:rPr>
        <w:t>Note:</w:t>
      </w:r>
      <w:r w:rsidRPr="004A04A4">
        <w:rPr>
          <w:color w:val="0000FF"/>
        </w:rPr>
        <w:tab/>
        <w:t xml:space="preserve">While </w:t>
      </w:r>
      <w:r w:rsidRPr="005D541E">
        <w:rPr>
          <w:color w:val="0000FF"/>
        </w:rPr>
        <w:t>certain consents by a CDR business consumer</w:t>
      </w:r>
      <w:r w:rsidRPr="004A04A4">
        <w:rPr>
          <w:color w:val="0000FF"/>
        </w:rPr>
        <w:t xml:space="preserve"> can have a period of 7 years, a corresponding authorisation can not be for more than 12 months before renewal under subparagraph (1)(d)(ii).</w:t>
      </w:r>
    </w:p>
    <w:p w14:paraId="3279E3AD" w14:textId="77777777" w:rsidR="00BB7660" w:rsidRDefault="00BB7660" w:rsidP="00BB7660">
      <w:pPr>
        <w:pStyle w:val="subsection"/>
      </w:pPr>
      <w:r w:rsidRPr="004E01F4">
        <w:rPr>
          <w:u w:val="words"/>
        </w:rPr>
        <w:tab/>
      </w:r>
      <w:r w:rsidRPr="004E01F4">
        <w:t>(2)</w:t>
      </w:r>
      <w:r w:rsidRPr="004E01F4">
        <w:tab/>
        <w:t>The data holder must also give the CDR consumer any information that the Register of Accredited Persons holds in relation to the accredited person that is specified as information for the purposes of this rule.</w:t>
      </w:r>
    </w:p>
    <w:p w14:paraId="09203CDE" w14:textId="77777777" w:rsidR="00BB7660" w:rsidRPr="00F07699" w:rsidRDefault="00BB7660" w:rsidP="00BB7660">
      <w:pPr>
        <w:pStyle w:val="ActHead5"/>
      </w:pPr>
      <w:bookmarkStart w:id="373" w:name="_Toc50114067"/>
      <w:bookmarkStart w:id="374" w:name="_Toc50633097"/>
      <w:bookmarkStart w:id="375" w:name="_Toc57219057"/>
      <w:bookmarkStart w:id="376" w:name="_Toc59549168"/>
      <w:bookmarkStart w:id="377" w:name="_Toc111132108"/>
      <w:r w:rsidRPr="00F07699">
        <w:t>4.24  Restrictions when asking CDR consumer to authorise disclosure of CDR data</w:t>
      </w:r>
      <w:bookmarkEnd w:id="373"/>
      <w:bookmarkEnd w:id="374"/>
      <w:bookmarkEnd w:id="375"/>
      <w:bookmarkEnd w:id="376"/>
      <w:bookmarkEnd w:id="377"/>
    </w:p>
    <w:p w14:paraId="34CBBC08" w14:textId="77777777" w:rsidR="00BB7660" w:rsidRPr="00F07699" w:rsidRDefault="00BB7660" w:rsidP="00BB7660">
      <w:pPr>
        <w:pStyle w:val="subsection"/>
      </w:pPr>
      <w:r w:rsidRPr="00F07699">
        <w:tab/>
      </w:r>
      <w:r w:rsidRPr="00F07699">
        <w:tab/>
        <w:t>When asking a CDR consumer to authorise the disclosure of CDR data</w:t>
      </w:r>
      <w:r w:rsidRPr="0077773C">
        <w:t xml:space="preserve"> </w:t>
      </w:r>
      <w:r w:rsidRPr="004E01F4">
        <w:t>or to amend a current authorisation,</w:t>
      </w:r>
      <w:r w:rsidRPr="00F07699">
        <w:t xml:space="preserve"> the data holder must not do any of the following:</w:t>
      </w:r>
    </w:p>
    <w:p w14:paraId="06F95F45" w14:textId="77777777" w:rsidR="00BB7660" w:rsidRPr="00F07699" w:rsidRDefault="00BB7660" w:rsidP="00BB7660">
      <w:pPr>
        <w:pStyle w:val="paragraph"/>
      </w:pPr>
      <w:r w:rsidRPr="00F07699">
        <w:tab/>
        <w:t>(a)</w:t>
      </w:r>
      <w:r w:rsidRPr="00F07699">
        <w:tab/>
        <w:t>add any requirements to the authorisation process beyond those specified in the data standards and these rules;</w:t>
      </w:r>
    </w:p>
    <w:p w14:paraId="27C87DCF" w14:textId="77777777" w:rsidR="00BB7660" w:rsidRPr="00F07699" w:rsidRDefault="00BB7660" w:rsidP="00BB7660">
      <w:pPr>
        <w:pStyle w:val="paragraph"/>
      </w:pPr>
      <w:r w:rsidRPr="00F07699">
        <w:tab/>
        <w:t>(b)</w:t>
      </w:r>
      <w:r w:rsidRPr="00F07699">
        <w:tab/>
        <w:t>provide or request additional information during the authorisation process beyond that specified in the data standards and these rules;</w:t>
      </w:r>
    </w:p>
    <w:p w14:paraId="518F3A53" w14:textId="77777777" w:rsidR="00BB7660" w:rsidRPr="00F07699" w:rsidRDefault="00BB7660" w:rsidP="00BB7660">
      <w:pPr>
        <w:pStyle w:val="paragraph"/>
      </w:pPr>
      <w:r w:rsidRPr="00F07699">
        <w:tab/>
        <w:t>(c)</w:t>
      </w:r>
      <w:r w:rsidRPr="00F07699">
        <w:tab/>
        <w:t>offer additional or alternative services as part of the authorisation process;</w:t>
      </w:r>
    </w:p>
    <w:p w14:paraId="7EBD70F8" w14:textId="77777777" w:rsidR="00BB7660" w:rsidRPr="00F07699" w:rsidRDefault="00BB7660" w:rsidP="00BB7660">
      <w:pPr>
        <w:pStyle w:val="paragraph"/>
      </w:pPr>
      <w:r w:rsidRPr="00F07699">
        <w:lastRenderedPageBreak/>
        <w:tab/>
        <w:t>(d)</w:t>
      </w:r>
      <w:r w:rsidRPr="00F07699">
        <w:tab/>
        <w:t>include or refer to other documents.</w:t>
      </w:r>
    </w:p>
    <w:p w14:paraId="44A3CCBC" w14:textId="77777777" w:rsidR="00BB7660" w:rsidRPr="00AD3C12" w:rsidRDefault="00BB7660" w:rsidP="00BB7660">
      <w:pPr>
        <w:pStyle w:val="ActHead5"/>
      </w:pPr>
      <w:bookmarkStart w:id="378" w:name="_Toc111132109"/>
      <w:bookmarkStart w:id="379" w:name="_Toc50114068"/>
      <w:bookmarkStart w:id="380" w:name="_Toc50633098"/>
      <w:bookmarkStart w:id="381" w:name="_Toc57219058"/>
      <w:bookmarkStart w:id="382" w:name="_Toc59549169"/>
      <w:r w:rsidRPr="00AD3C12">
        <w:t>4.25  Withdrawal of authorisation to disclose CDR data</w:t>
      </w:r>
      <w:r w:rsidR="00E64AC9" w:rsidRPr="00E64AC9">
        <w:rPr>
          <w:strike/>
          <w:color w:val="0000FF"/>
        </w:rPr>
        <w:t xml:space="preserve"> and notification</w:t>
      </w:r>
      <w:bookmarkEnd w:id="378"/>
    </w:p>
    <w:p w14:paraId="5AF21ED6" w14:textId="77777777" w:rsidR="00BB7660" w:rsidRPr="00F07699" w:rsidRDefault="00BB7660" w:rsidP="00BB7660">
      <w:pPr>
        <w:pStyle w:val="subsection"/>
      </w:pPr>
      <w:r w:rsidRPr="00F07699">
        <w:tab/>
        <w:t>(1)</w:t>
      </w:r>
      <w:r w:rsidRPr="00F07699">
        <w:tab/>
        <w:t>The CDR consumer who gave, to a data holder, an authorisation to disclose particular CDR data to an accredited person may withdraw the authorisation at any time:</w:t>
      </w:r>
    </w:p>
    <w:p w14:paraId="1595F014" w14:textId="77777777" w:rsidR="00BB7660" w:rsidRPr="00F07699" w:rsidRDefault="00BB7660" w:rsidP="00BB7660">
      <w:pPr>
        <w:pStyle w:val="paragraph"/>
      </w:pPr>
      <w:r w:rsidRPr="00F07699">
        <w:tab/>
        <w:t>(a)</w:t>
      </w:r>
      <w:r w:rsidRPr="00F07699">
        <w:tab/>
        <w:t>by using the data holder’s consumer dashboard; or</w:t>
      </w:r>
    </w:p>
    <w:p w14:paraId="3427FE2B" w14:textId="77777777" w:rsidR="00BB7660" w:rsidRPr="00F07699" w:rsidRDefault="00BB7660" w:rsidP="00BB7660">
      <w:pPr>
        <w:pStyle w:val="paragraph"/>
      </w:pPr>
      <w:r w:rsidRPr="00F07699">
        <w:tab/>
        <w:t>(b)</w:t>
      </w:r>
      <w:r w:rsidRPr="00F07699">
        <w:tab/>
        <w:t>by using a simple alternative method of communication to be made available by the data holder for that purpose.</w:t>
      </w:r>
    </w:p>
    <w:p w14:paraId="7D4E755C" w14:textId="77777777" w:rsidR="00BB7660" w:rsidRPr="000D21B1" w:rsidRDefault="00BB7660" w:rsidP="00BB7660">
      <w:pPr>
        <w:pStyle w:val="subsection"/>
        <w:rPr>
          <w:color w:val="0000FF"/>
        </w:rPr>
      </w:pPr>
      <w:r w:rsidRPr="000D21B1">
        <w:rPr>
          <w:color w:val="0000FF"/>
        </w:rPr>
        <w:tab/>
        <w:t>(2)</w:t>
      </w:r>
      <w:r w:rsidRPr="000D21B1">
        <w:rPr>
          <w:color w:val="0000FF"/>
        </w:rPr>
        <w:tab/>
        <w:t>If the withdrawal was in accordance with paragraph (1)(b), the data holder must give effect to the withdrawal as soon as practicable, and in any case within 2 business days after receiving the communication.</w:t>
      </w:r>
    </w:p>
    <w:p w14:paraId="45F93E09" w14:textId="77777777" w:rsidR="00BB7660" w:rsidRPr="000D21B1" w:rsidRDefault="00BB7660" w:rsidP="00BB7660">
      <w:pPr>
        <w:pStyle w:val="notetext"/>
        <w:rPr>
          <w:color w:val="0000FF"/>
        </w:rPr>
      </w:pPr>
      <w:r w:rsidRPr="000D21B1">
        <w:rPr>
          <w:color w:val="0000FF"/>
        </w:rPr>
        <w:t>Note:</w:t>
      </w:r>
      <w:r w:rsidRPr="000D21B1">
        <w:rPr>
          <w:color w:val="0000FF"/>
        </w:rPr>
        <w:tab/>
        <w:t>This subrule is a civil penalty provision (see rule 9.8).</w:t>
      </w:r>
      <w:bookmarkEnd w:id="379"/>
      <w:bookmarkEnd w:id="380"/>
      <w:bookmarkEnd w:id="381"/>
      <w:bookmarkEnd w:id="382"/>
    </w:p>
    <w:p w14:paraId="05CDC39A" w14:textId="77777777" w:rsidR="00BC1D87" w:rsidRPr="00BC1D87" w:rsidRDefault="00BC1D87" w:rsidP="00BC1D87">
      <w:pPr>
        <w:pStyle w:val="subsection"/>
        <w:rPr>
          <w:strike/>
          <w:color w:val="0000FF"/>
        </w:rPr>
      </w:pPr>
      <w:bookmarkStart w:id="383" w:name="_Toc50114069"/>
      <w:bookmarkStart w:id="384" w:name="_Toc50633099"/>
      <w:bookmarkStart w:id="385" w:name="_Toc57219059"/>
      <w:bookmarkStart w:id="386" w:name="_Toc59549170"/>
      <w:r w:rsidRPr="00BC1D87">
        <w:rPr>
          <w:strike/>
          <w:color w:val="0000FF"/>
        </w:rPr>
        <w:tab/>
        <w:t>(2)</w:t>
      </w:r>
      <w:r w:rsidRPr="00BC1D87">
        <w:rPr>
          <w:strike/>
          <w:color w:val="0000FF"/>
        </w:rPr>
        <w:tab/>
        <w:t>The data holder must:</w:t>
      </w:r>
    </w:p>
    <w:p w14:paraId="41D5A6BD" w14:textId="77777777" w:rsidR="00BC1D87" w:rsidRPr="00BC1D87" w:rsidRDefault="00BC1D87" w:rsidP="00BC1D87">
      <w:pPr>
        <w:pStyle w:val="paragraph"/>
        <w:rPr>
          <w:strike/>
          <w:color w:val="0000FF"/>
        </w:rPr>
      </w:pPr>
      <w:r w:rsidRPr="00BC1D87">
        <w:rPr>
          <w:strike/>
          <w:color w:val="0000FF"/>
        </w:rPr>
        <w:tab/>
        <w:t>(a)</w:t>
      </w:r>
      <w:r w:rsidRPr="00BC1D87">
        <w:rPr>
          <w:strike/>
          <w:color w:val="0000FF"/>
        </w:rPr>
        <w:tab/>
        <w:t>if the withdrawal was in accordance with paragraph (1)(b)―give effect to the withdrawal as soon as practicable, and in any case within 2 business days after receiving the communication; and</w:t>
      </w:r>
    </w:p>
    <w:p w14:paraId="3C6A788D" w14:textId="77777777" w:rsidR="00BC1D87" w:rsidRPr="00BC1D87" w:rsidRDefault="00BC1D87" w:rsidP="00BC1D87">
      <w:pPr>
        <w:pStyle w:val="paragraph"/>
        <w:rPr>
          <w:strike/>
          <w:color w:val="0000FF"/>
        </w:rPr>
      </w:pPr>
      <w:r w:rsidRPr="00BC1D87">
        <w:rPr>
          <w:strike/>
          <w:color w:val="0000FF"/>
        </w:rPr>
        <w:tab/>
        <w:t>(b)</w:t>
      </w:r>
      <w:r w:rsidRPr="00BC1D87">
        <w:rPr>
          <w:strike/>
          <w:color w:val="0000FF"/>
        </w:rPr>
        <w:tab/>
        <w:t>in any case―notify the accredited person of the withdrawal in accordance with the data standards.</w:t>
      </w:r>
    </w:p>
    <w:p w14:paraId="5B9F9588" w14:textId="77777777" w:rsidR="00BC1D87" w:rsidRPr="00BC1D87" w:rsidRDefault="00BC1D87" w:rsidP="00BC1D87">
      <w:pPr>
        <w:pStyle w:val="notetext"/>
        <w:rPr>
          <w:strike/>
          <w:color w:val="0000FF"/>
        </w:rPr>
      </w:pPr>
      <w:r w:rsidRPr="00BC1D87">
        <w:rPr>
          <w:strike/>
          <w:color w:val="0000FF"/>
        </w:rPr>
        <w:t>Note 1:</w:t>
      </w:r>
      <w:r w:rsidRPr="00BC1D87">
        <w:rPr>
          <w:strike/>
          <w:color w:val="0000FF"/>
        </w:rPr>
        <w:tab/>
        <w:t>Upon notification a consent for the accredited person to collect the CDR data expires: see paragraph 4.14(1)(b).</w:t>
      </w:r>
    </w:p>
    <w:p w14:paraId="14387A38" w14:textId="77777777" w:rsidR="00BC1D87" w:rsidRPr="00BC1D87" w:rsidRDefault="00BC1D87" w:rsidP="00BC1D87">
      <w:pPr>
        <w:pStyle w:val="notetext"/>
        <w:rPr>
          <w:strike/>
          <w:color w:val="0000FF"/>
        </w:rPr>
      </w:pPr>
      <w:r w:rsidRPr="00BC1D87">
        <w:rPr>
          <w:strike/>
          <w:color w:val="0000FF"/>
        </w:rPr>
        <w:t>Note 2:</w:t>
      </w:r>
      <w:r w:rsidRPr="00BC1D87">
        <w:rPr>
          <w:strike/>
          <w:color w:val="0000FF"/>
        </w:rPr>
        <w:tab/>
        <w:t>This subrule is a civil penalty provision (see rule 9.8).</w:t>
      </w:r>
    </w:p>
    <w:p w14:paraId="55B57AD4" w14:textId="77777777" w:rsidR="00BB7660" w:rsidRPr="00F07699" w:rsidRDefault="00BB7660" w:rsidP="00BB7660">
      <w:pPr>
        <w:pStyle w:val="ActHead5"/>
      </w:pPr>
      <w:bookmarkStart w:id="387" w:name="_Toc111132110"/>
      <w:r w:rsidRPr="00F07699">
        <w:t>4.26  Duration of authorisation to disclose CDR data</w:t>
      </w:r>
      <w:bookmarkEnd w:id="383"/>
      <w:bookmarkEnd w:id="384"/>
      <w:bookmarkEnd w:id="385"/>
      <w:bookmarkEnd w:id="386"/>
      <w:bookmarkEnd w:id="387"/>
    </w:p>
    <w:p w14:paraId="2E35F19B" w14:textId="77777777" w:rsidR="00BB7660" w:rsidRPr="00F07699" w:rsidRDefault="00BB7660" w:rsidP="00BB7660">
      <w:pPr>
        <w:pStyle w:val="subsection"/>
      </w:pPr>
      <w:r w:rsidRPr="00F07699">
        <w:tab/>
        <w:t>(1)</w:t>
      </w:r>
      <w:r w:rsidRPr="00F07699">
        <w:tab/>
        <w:t>An authorisation to disclose particular CDR data to an accredited person expires at the earliest of the following:</w:t>
      </w:r>
    </w:p>
    <w:p w14:paraId="668291EF" w14:textId="77777777" w:rsidR="00BB7660" w:rsidRPr="00F07699" w:rsidRDefault="00BB7660" w:rsidP="00BB7660">
      <w:pPr>
        <w:pStyle w:val="paragraph"/>
      </w:pPr>
      <w:r w:rsidRPr="00F07699">
        <w:tab/>
        <w:t>(a)</w:t>
      </w:r>
      <w:r w:rsidRPr="00F07699">
        <w:tab/>
        <w:t>if the authorisation was withdrawn in accordance with paragraph 4.25(1)(b)―the earlier of the following:</w:t>
      </w:r>
    </w:p>
    <w:p w14:paraId="3A257ABB" w14:textId="77777777" w:rsidR="00BB7660" w:rsidRPr="00F07699" w:rsidRDefault="00BB7660" w:rsidP="00BB7660">
      <w:pPr>
        <w:pStyle w:val="paragraphsub"/>
      </w:pPr>
      <w:r w:rsidRPr="00F07699">
        <w:tab/>
        <w:t>(i)</w:t>
      </w:r>
      <w:r w:rsidRPr="00F07699">
        <w:tab/>
        <w:t>when the data holder gave effect to the withdrawal;</w:t>
      </w:r>
    </w:p>
    <w:p w14:paraId="4AE229E8" w14:textId="77777777" w:rsidR="00BB7660" w:rsidRPr="00F07699" w:rsidRDefault="00BB7660" w:rsidP="00BB7660">
      <w:pPr>
        <w:pStyle w:val="paragraphsub"/>
      </w:pPr>
      <w:r w:rsidRPr="00F07699">
        <w:tab/>
        <w:t>(ii)</w:t>
      </w:r>
      <w:r w:rsidRPr="00F07699">
        <w:tab/>
        <w:t>2 business days after the data holder received the communication;</w:t>
      </w:r>
    </w:p>
    <w:p w14:paraId="616E782E" w14:textId="77777777" w:rsidR="00BB7660" w:rsidRPr="00F07699" w:rsidRDefault="00BB7660" w:rsidP="00BB7660">
      <w:pPr>
        <w:pStyle w:val="paragraph"/>
      </w:pPr>
      <w:r w:rsidRPr="00F07699">
        <w:tab/>
        <w:t>(b)</w:t>
      </w:r>
      <w:r w:rsidRPr="00F07699">
        <w:tab/>
        <w:t>if the authorisation was withdrawn in accordance with paragraph 4.25(1)(a)―when the authorisation was withdrawn;</w:t>
      </w:r>
    </w:p>
    <w:p w14:paraId="660560D0" w14:textId="77777777" w:rsidR="00BB7660" w:rsidRPr="00F07699" w:rsidRDefault="00BB7660" w:rsidP="00BB7660">
      <w:pPr>
        <w:pStyle w:val="paragraph"/>
      </w:pPr>
      <w:r w:rsidRPr="00F07699">
        <w:tab/>
        <w:t>(c)</w:t>
      </w:r>
      <w:r w:rsidRPr="00F07699">
        <w:tab/>
        <w:t>if the CDR consumer ceases to be eligible in relation to the data holder;</w:t>
      </w:r>
    </w:p>
    <w:p w14:paraId="775FFF2C" w14:textId="77777777" w:rsidR="00BB7660" w:rsidRPr="00F07699" w:rsidRDefault="00BB7660" w:rsidP="00BB7660">
      <w:pPr>
        <w:pStyle w:val="paragraph"/>
      </w:pPr>
      <w:r w:rsidRPr="00F07699">
        <w:tab/>
        <w:t>(d)</w:t>
      </w:r>
      <w:r w:rsidRPr="00F07699">
        <w:tab/>
        <w:t>if the data holder was notified, under</w:t>
      </w:r>
      <w:r w:rsidRPr="00E64AC9">
        <w:t xml:space="preserve"> </w:t>
      </w:r>
      <w:r w:rsidR="009607DF" w:rsidRPr="00F524AD">
        <w:rPr>
          <w:color w:val="0000FF"/>
        </w:rPr>
        <w:t>rule 4.18AA or 4.20P</w:t>
      </w:r>
      <w:r w:rsidR="00F524AD" w:rsidRPr="00F524AD">
        <w:rPr>
          <w:strike/>
          <w:color w:val="0000FF"/>
        </w:rPr>
        <w:t xml:space="preserve"> </w:t>
      </w:r>
      <w:r w:rsidR="00F524AD" w:rsidRPr="00F524AD">
        <w:rPr>
          <w:strike/>
          <w:color w:val="0000FF"/>
          <w:szCs w:val="22"/>
          <w:shd w:val="clear" w:color="auto" w:fill="FFFFFF"/>
        </w:rPr>
        <w:t>paragraph 4.13(2)(b)</w:t>
      </w:r>
      <w:r w:rsidRPr="00E64AC9">
        <w:t>, o</w:t>
      </w:r>
      <w:r w:rsidRPr="00F07699">
        <w:t>f the withdrawal of a consent to collect that CDR data―when the data holder received that notification;</w:t>
      </w:r>
    </w:p>
    <w:p w14:paraId="38CD459A" w14:textId="77777777" w:rsidR="00BB7660" w:rsidRPr="00F07699" w:rsidRDefault="00BB7660" w:rsidP="00BB7660">
      <w:pPr>
        <w:pStyle w:val="paragraph"/>
      </w:pPr>
      <w:r w:rsidRPr="00F07699">
        <w:tab/>
        <w:t>(e)</w:t>
      </w:r>
      <w:r w:rsidRPr="00F07699">
        <w:tab/>
        <w:t>the end of the period of 12 months after the authorisation was given;</w:t>
      </w:r>
    </w:p>
    <w:p w14:paraId="35F40049" w14:textId="77777777" w:rsidR="00BB7660" w:rsidRPr="00F07699" w:rsidRDefault="00BB7660" w:rsidP="00BB7660">
      <w:pPr>
        <w:pStyle w:val="paragraph"/>
      </w:pPr>
      <w:r w:rsidRPr="00F07699">
        <w:tab/>
        <w:t>(f)</w:t>
      </w:r>
      <w:r w:rsidRPr="00F07699">
        <w:tab/>
        <w:t>if the authorisation was for disclosure of CDR data on a single occasion—after the CDR data has been disclosed;</w:t>
      </w:r>
    </w:p>
    <w:p w14:paraId="6CBBB41A" w14:textId="77777777" w:rsidR="00BB7660" w:rsidRPr="00F07699" w:rsidRDefault="00BB7660" w:rsidP="00BB7660">
      <w:pPr>
        <w:pStyle w:val="paragraph"/>
      </w:pPr>
      <w:r w:rsidRPr="00F07699">
        <w:tab/>
        <w:t>(g)</w:t>
      </w:r>
      <w:r w:rsidRPr="00F07699">
        <w:tab/>
        <w:t>if the authorisation was for disclosure of CDR data over a specified period—the end of</w:t>
      </w:r>
      <w:r w:rsidRPr="0077773C">
        <w:t>:</w:t>
      </w:r>
    </w:p>
    <w:p w14:paraId="77F94380" w14:textId="77777777" w:rsidR="00BB7660" w:rsidRPr="004E01F4" w:rsidRDefault="00BB7660" w:rsidP="00BB7660">
      <w:pPr>
        <w:pStyle w:val="paragraphsub"/>
      </w:pPr>
      <w:r w:rsidRPr="004E01F4">
        <w:tab/>
        <w:t>(i)</w:t>
      </w:r>
      <w:r w:rsidRPr="004E01F4">
        <w:tab/>
        <w:t>that period; or</w:t>
      </w:r>
    </w:p>
    <w:p w14:paraId="309F81A8" w14:textId="77777777" w:rsidR="00BB7660" w:rsidRPr="004E01F4" w:rsidRDefault="00BB7660" w:rsidP="00BB7660">
      <w:pPr>
        <w:pStyle w:val="paragraphsub"/>
      </w:pPr>
      <w:r w:rsidRPr="004E01F4">
        <w:lastRenderedPageBreak/>
        <w:tab/>
        <w:t>(ii)</w:t>
      </w:r>
      <w:r w:rsidRPr="004E01F4">
        <w:tab/>
        <w:t>if the period of the authorisation has been amended in accordance with this Division―that period as last amended;</w:t>
      </w:r>
    </w:p>
    <w:p w14:paraId="723DE31E" w14:textId="77777777" w:rsidR="00BB7660" w:rsidRPr="00F07699" w:rsidRDefault="00BB7660" w:rsidP="00BB7660">
      <w:pPr>
        <w:pStyle w:val="paragraph"/>
      </w:pPr>
      <w:r w:rsidRPr="00F07699">
        <w:tab/>
        <w:t>(h)</w:t>
      </w:r>
      <w:r w:rsidRPr="00F07699">
        <w:tab/>
        <w:t>if the authorisation expires as a result of the operation of a provision of these rules that references this paragraph.</w:t>
      </w:r>
    </w:p>
    <w:p w14:paraId="4B3EF4FA" w14:textId="77777777" w:rsidR="00BB7660" w:rsidRPr="00F07699" w:rsidRDefault="00BB7660" w:rsidP="00BB7660">
      <w:pPr>
        <w:pStyle w:val="notetext"/>
      </w:pPr>
      <w:r w:rsidRPr="00F07699">
        <w:t>Note:</w:t>
      </w:r>
      <w:r w:rsidRPr="00F07699">
        <w:tab/>
        <w:t>Clause 7.2 of Schedule 3 is an example of a provision satisfying paragraph (h). This relates to when an accredited data recipient of CDR data becomes instead a data holder of that CDR data.</w:t>
      </w:r>
    </w:p>
    <w:p w14:paraId="4948F70F" w14:textId="77777777" w:rsidR="00BB7660" w:rsidRPr="00F07699" w:rsidRDefault="00BB7660" w:rsidP="00BB7660">
      <w:pPr>
        <w:pStyle w:val="subsection"/>
      </w:pPr>
      <w:r w:rsidRPr="00F07699">
        <w:tab/>
        <w:t>(2)</w:t>
      </w:r>
      <w:r w:rsidRPr="00F07699">
        <w:tab/>
        <w:t>If an accredited person’s accreditation is revoked or surrendered in accordance with rule 5.17, all authorisations for a data holder to disclose CDR data to that accredited person expire when the data holder is notified of the revocation or surrender.</w:t>
      </w:r>
    </w:p>
    <w:p w14:paraId="0F3AC4EE" w14:textId="77777777" w:rsidR="00BB7660" w:rsidRPr="005D541E" w:rsidRDefault="00BB7660" w:rsidP="00BB7660">
      <w:pPr>
        <w:pStyle w:val="ActHead5"/>
        <w:rPr>
          <w:color w:val="0000FF"/>
        </w:rPr>
      </w:pPr>
      <w:bookmarkStart w:id="388" w:name="_Toc111132111"/>
      <w:bookmarkStart w:id="389" w:name="_Toc50633100"/>
      <w:bookmarkStart w:id="390" w:name="_Toc57219060"/>
      <w:bookmarkStart w:id="391" w:name="_Toc59549171"/>
      <w:r w:rsidRPr="005D541E">
        <w:rPr>
          <w:color w:val="0000FF"/>
        </w:rPr>
        <w:t>4.26A  Notifications of expired authorisations</w:t>
      </w:r>
      <w:bookmarkEnd w:id="388"/>
    </w:p>
    <w:p w14:paraId="5CA1A711" w14:textId="77777777" w:rsidR="00BB7660" w:rsidRPr="005D541E" w:rsidRDefault="00BB7660" w:rsidP="00BB7660">
      <w:pPr>
        <w:pStyle w:val="subsection"/>
        <w:rPr>
          <w:color w:val="0000FF"/>
        </w:rPr>
      </w:pPr>
      <w:r w:rsidRPr="005D541E">
        <w:rPr>
          <w:color w:val="0000FF"/>
        </w:rPr>
        <w:tab/>
      </w:r>
      <w:r w:rsidRPr="005D541E">
        <w:rPr>
          <w:color w:val="0000FF"/>
        </w:rPr>
        <w:tab/>
        <w:t>If an authorisation to disclose particular CDR data to an accredited person is withdrawn or otherwise expires, the data holder must notify the accredited person in accordance with the data standards.</w:t>
      </w:r>
    </w:p>
    <w:p w14:paraId="40931164" w14:textId="77777777" w:rsidR="00BB7660" w:rsidRPr="005D541E" w:rsidRDefault="00BB7660" w:rsidP="00BB7660">
      <w:pPr>
        <w:pStyle w:val="notetext"/>
        <w:rPr>
          <w:color w:val="0000FF"/>
        </w:rPr>
      </w:pPr>
      <w:r w:rsidRPr="005D541E">
        <w:rPr>
          <w:color w:val="0000FF"/>
        </w:rPr>
        <w:t>Note:</w:t>
      </w:r>
      <w:r w:rsidRPr="005D541E">
        <w:rPr>
          <w:color w:val="0000FF"/>
        </w:rPr>
        <w:tab/>
        <w:t>This rule is a civil penalty provision (see rule 9.8).</w:t>
      </w:r>
    </w:p>
    <w:p w14:paraId="650EF77A" w14:textId="77777777" w:rsidR="00BB7660" w:rsidRPr="00F07699" w:rsidRDefault="00BB7660" w:rsidP="00BB7660">
      <w:pPr>
        <w:pStyle w:val="ActHead5"/>
      </w:pPr>
      <w:bookmarkStart w:id="392" w:name="_Toc111132112"/>
      <w:r w:rsidRPr="00F07699">
        <w:t>4.27  Updating consumer dashboard</w:t>
      </w:r>
      <w:bookmarkEnd w:id="389"/>
      <w:bookmarkEnd w:id="390"/>
      <w:bookmarkEnd w:id="391"/>
      <w:bookmarkEnd w:id="392"/>
    </w:p>
    <w:p w14:paraId="0A38EE79" w14:textId="77777777" w:rsidR="00BB7660" w:rsidRPr="00F07699" w:rsidRDefault="00BB7660" w:rsidP="00BB7660">
      <w:pPr>
        <w:pStyle w:val="subsection"/>
      </w:pPr>
      <w:r w:rsidRPr="00F07699">
        <w:tab/>
      </w:r>
      <w:r w:rsidRPr="00F07699">
        <w:tab/>
        <w:t>A data holder must update a CDR consumer’s consumer dashboard as soon as practicable after the information required to be contained on the dashboard changes.</w:t>
      </w:r>
    </w:p>
    <w:p w14:paraId="452141B1" w14:textId="77777777" w:rsidR="00BB7660" w:rsidRPr="00F07699" w:rsidRDefault="00BB7660" w:rsidP="00BB7660">
      <w:pPr>
        <w:pStyle w:val="notetext"/>
      </w:pPr>
      <w:r w:rsidRPr="00F07699">
        <w:t>Note:</w:t>
      </w:r>
      <w:r w:rsidRPr="00F07699">
        <w:tab/>
        <w:t>This rule is a civil penalty provision (see rule 9.8).</w:t>
      </w:r>
    </w:p>
    <w:p w14:paraId="27E203CF" w14:textId="77777777" w:rsidR="00BB7660" w:rsidRPr="00A6091B" w:rsidRDefault="00BB7660" w:rsidP="00BB7660">
      <w:pPr>
        <w:pStyle w:val="ActHead5"/>
      </w:pPr>
      <w:bookmarkStart w:id="393" w:name="_Toc59549172"/>
      <w:bookmarkStart w:id="394" w:name="_Toc111132113"/>
      <w:r w:rsidRPr="00A6091B">
        <w:t>4.28  Notification requirements for consumer data requests on behalf of secondary users</w:t>
      </w:r>
      <w:bookmarkEnd w:id="393"/>
      <w:bookmarkEnd w:id="394"/>
    </w:p>
    <w:p w14:paraId="24B8F43E" w14:textId="77777777" w:rsidR="00BB7660" w:rsidRPr="005D541E" w:rsidRDefault="00BB7660" w:rsidP="00BB7660">
      <w:pPr>
        <w:pStyle w:val="subsection"/>
        <w:rPr>
          <w:color w:val="0000FF"/>
        </w:rPr>
      </w:pPr>
      <w:r w:rsidRPr="005D541E">
        <w:rPr>
          <w:color w:val="0000FF"/>
        </w:rPr>
        <w:tab/>
        <w:t>(1)</w:t>
      </w:r>
      <w:r w:rsidRPr="005D541E">
        <w:rPr>
          <w:color w:val="0000FF"/>
        </w:rPr>
        <w:tab/>
        <w:t>This rule applies in relation to a secondary user of a particular account if:</w:t>
      </w:r>
    </w:p>
    <w:p w14:paraId="667EB268" w14:textId="77777777" w:rsidR="00BB7660" w:rsidRPr="005D541E" w:rsidRDefault="00BB7660" w:rsidP="00BB7660">
      <w:pPr>
        <w:pStyle w:val="paragraph"/>
        <w:rPr>
          <w:color w:val="0000FF"/>
        </w:rPr>
      </w:pPr>
      <w:r w:rsidRPr="005D541E">
        <w:rPr>
          <w:color w:val="0000FF"/>
        </w:rPr>
        <w:tab/>
        <w:t>(a)</w:t>
      </w:r>
      <w:r w:rsidRPr="005D541E">
        <w:rPr>
          <w:color w:val="0000FF"/>
        </w:rPr>
        <w:tab/>
        <w:t>an accredited person makes a consumer data request under this Part on behalf of the secondary user; or</w:t>
      </w:r>
    </w:p>
    <w:p w14:paraId="258F2F5A" w14:textId="77777777" w:rsidR="00BB7660" w:rsidRPr="005D541E" w:rsidRDefault="00BB7660" w:rsidP="00BB7660">
      <w:pPr>
        <w:pStyle w:val="paragraph"/>
        <w:rPr>
          <w:color w:val="0000FF"/>
        </w:rPr>
      </w:pPr>
      <w:r w:rsidRPr="005D541E">
        <w:rPr>
          <w:color w:val="0000FF"/>
        </w:rPr>
        <w:tab/>
        <w:t>(b)</w:t>
      </w:r>
      <w:r w:rsidRPr="005D541E">
        <w:rPr>
          <w:color w:val="0000FF"/>
        </w:rPr>
        <w:tab/>
        <w:t>the secondary user gives, amends or withdraws an authorisation; or</w:t>
      </w:r>
    </w:p>
    <w:p w14:paraId="011854EF" w14:textId="77777777" w:rsidR="00BB7660" w:rsidRPr="005D541E" w:rsidRDefault="00BB7660" w:rsidP="00BB7660">
      <w:pPr>
        <w:pStyle w:val="paragraph"/>
        <w:rPr>
          <w:color w:val="0000FF"/>
        </w:rPr>
      </w:pPr>
      <w:r w:rsidRPr="005D541E">
        <w:rPr>
          <w:color w:val="0000FF"/>
        </w:rPr>
        <w:tab/>
        <w:t>(c)</w:t>
      </w:r>
      <w:r w:rsidRPr="005D541E">
        <w:rPr>
          <w:color w:val="0000FF"/>
        </w:rPr>
        <w:tab/>
        <w:t>an authorisation given by the secondary user expires.</w:t>
      </w:r>
    </w:p>
    <w:p w14:paraId="1D7F0202" w14:textId="77777777" w:rsidR="00BC1D87" w:rsidRPr="00BC1D87" w:rsidRDefault="00BC1D87" w:rsidP="00BC1D87">
      <w:pPr>
        <w:pStyle w:val="subsection"/>
        <w:rPr>
          <w:strike/>
          <w:color w:val="0000FF"/>
        </w:rPr>
      </w:pPr>
      <w:r w:rsidRPr="00BC1D87">
        <w:rPr>
          <w:strike/>
          <w:color w:val="0000FF"/>
        </w:rPr>
        <w:tab/>
        <w:t>(1)</w:t>
      </w:r>
      <w:r w:rsidRPr="00BC1D87">
        <w:rPr>
          <w:strike/>
          <w:color w:val="0000FF"/>
        </w:rPr>
        <w:tab/>
        <w:t>This rule applies if:</w:t>
      </w:r>
    </w:p>
    <w:p w14:paraId="2C7CCE83" w14:textId="77777777" w:rsidR="00BC1D87" w:rsidRPr="00BC1D87" w:rsidRDefault="00BC1D87" w:rsidP="00BC1D87">
      <w:pPr>
        <w:pStyle w:val="paragraph"/>
        <w:rPr>
          <w:strike/>
          <w:color w:val="0000FF"/>
        </w:rPr>
      </w:pPr>
      <w:r w:rsidRPr="00BC1D87">
        <w:rPr>
          <w:strike/>
          <w:color w:val="0000FF"/>
        </w:rPr>
        <w:tab/>
        <w:t>(a)</w:t>
      </w:r>
      <w:r w:rsidRPr="00BC1D87">
        <w:rPr>
          <w:strike/>
          <w:color w:val="0000FF"/>
        </w:rPr>
        <w:tab/>
        <w:t>an accredited person makes a consumer data request under this Part on behalf of a secondary user for a particular account; and</w:t>
      </w:r>
    </w:p>
    <w:p w14:paraId="4B0B3704" w14:textId="77777777" w:rsidR="00BC1D87" w:rsidRPr="00BC1D87" w:rsidRDefault="00BC1D87" w:rsidP="00BC1D87">
      <w:pPr>
        <w:pStyle w:val="paragraph"/>
        <w:rPr>
          <w:strike/>
          <w:color w:val="0000FF"/>
        </w:rPr>
      </w:pPr>
      <w:r w:rsidRPr="00BC1D87">
        <w:rPr>
          <w:strike/>
          <w:color w:val="0000FF"/>
        </w:rPr>
        <w:tab/>
        <w:t>(b)</w:t>
      </w:r>
      <w:r w:rsidRPr="00BC1D87">
        <w:rPr>
          <w:strike/>
          <w:color w:val="0000FF"/>
        </w:rPr>
        <w:tab/>
        <w:t>the secondary user amends or withdraws an authorisation, or an authorisation given by the secondary user expires.</w:t>
      </w:r>
    </w:p>
    <w:p w14:paraId="084A7839" w14:textId="77777777" w:rsidR="00BB7660" w:rsidRPr="00A6091B" w:rsidRDefault="00BB7660" w:rsidP="00BB7660">
      <w:pPr>
        <w:pStyle w:val="subsection"/>
      </w:pPr>
      <w:r w:rsidRPr="00A6091B">
        <w:tab/>
        <w:t>(2)</w:t>
      </w:r>
      <w:r w:rsidRPr="00A6091B">
        <w:tab/>
        <w:t>The data holder must, as soon as practicable, notify the account holder of that fact through its ordinary means of contacting the account holder.</w:t>
      </w:r>
    </w:p>
    <w:p w14:paraId="2BF2E3BF" w14:textId="77777777" w:rsidR="00BB7660" w:rsidRPr="00A6091B" w:rsidRDefault="00BB7660" w:rsidP="00BB7660">
      <w:pPr>
        <w:pStyle w:val="notetext"/>
      </w:pPr>
      <w:r w:rsidRPr="00A6091B">
        <w:t>Note:</w:t>
      </w:r>
      <w:r w:rsidRPr="00A6091B">
        <w:tab/>
        <w:t>This subclause is a civil penalty provision (see rule 9.8).</w:t>
      </w:r>
    </w:p>
    <w:p w14:paraId="2017E357" w14:textId="77777777" w:rsidR="00BB7660" w:rsidRPr="00A00F6F" w:rsidRDefault="00BB7660" w:rsidP="00BB7660">
      <w:pPr>
        <w:pStyle w:val="ActHead2"/>
      </w:pPr>
      <w:bookmarkStart w:id="395" w:name="_Toc111132114"/>
      <w:bookmarkStart w:id="396" w:name="_Toc11771626"/>
      <w:bookmarkEnd w:id="324"/>
      <w:r w:rsidRPr="00A00F6F">
        <w:t>Part 4A—Joint accounts</w:t>
      </w:r>
      <w:bookmarkEnd w:id="395"/>
    </w:p>
    <w:p w14:paraId="4F7948FC" w14:textId="77777777" w:rsidR="00BB7660" w:rsidRPr="00A00F6F" w:rsidRDefault="00BB7660" w:rsidP="00BB7660">
      <w:pPr>
        <w:pStyle w:val="notemargin"/>
      </w:pPr>
      <w:r w:rsidRPr="00A00F6F">
        <w:t>Note:</w:t>
      </w:r>
      <w:r w:rsidRPr="00A00F6F">
        <w:tab/>
        <w:t>When this Part commences, it will be subject to transitional provisions that operate until July 2022.</w:t>
      </w:r>
    </w:p>
    <w:p w14:paraId="7AF1D737" w14:textId="77777777" w:rsidR="00BB7660" w:rsidRPr="00A00F6F" w:rsidRDefault="00BB7660" w:rsidP="00BB7660">
      <w:pPr>
        <w:pStyle w:val="ActHead3"/>
      </w:pPr>
      <w:bookmarkStart w:id="397" w:name="_Toc111132115"/>
      <w:r w:rsidRPr="00A00F6F">
        <w:lastRenderedPageBreak/>
        <w:t>Division  4A.1—Preliminary</w:t>
      </w:r>
      <w:bookmarkEnd w:id="397"/>
    </w:p>
    <w:p w14:paraId="2ADA59DC" w14:textId="77777777" w:rsidR="00BB7660" w:rsidRPr="00A00F6F" w:rsidRDefault="00BB7660" w:rsidP="00BB7660">
      <w:pPr>
        <w:pStyle w:val="ActHead5"/>
        <w:rPr>
          <w:lang w:val="en-US"/>
        </w:rPr>
      </w:pPr>
      <w:bookmarkStart w:id="398" w:name="_Toc111132116"/>
      <w:r w:rsidRPr="00A00F6F">
        <w:t>4A.1  Purpose of Part</w:t>
      </w:r>
      <w:bookmarkEnd w:id="398"/>
    </w:p>
    <w:p w14:paraId="15B61096" w14:textId="77777777" w:rsidR="00BB7660" w:rsidRPr="00A00F6F" w:rsidRDefault="00E64AC9" w:rsidP="00E64AC9">
      <w:pPr>
        <w:pStyle w:val="subsection"/>
        <w:rPr>
          <w:lang w:val="en-US"/>
        </w:rPr>
      </w:pPr>
      <w:r>
        <w:rPr>
          <w:lang w:val="en-US"/>
        </w:rPr>
        <w:tab/>
      </w:r>
      <w:r>
        <w:rPr>
          <w:lang w:val="en-US"/>
        </w:rPr>
        <w:tab/>
      </w:r>
      <w:r w:rsidR="00BB7660" w:rsidRPr="00A00F6F">
        <w:rPr>
          <w:lang w:val="en-US"/>
        </w:rPr>
        <w:t>Special rules apply in relation to consumer data requests under Part 4 under which there is a request for disclosure of CDR data that relates to one or more joint accounts. This Part sets out those rules.</w:t>
      </w:r>
    </w:p>
    <w:p w14:paraId="04A6FECC" w14:textId="77777777" w:rsidR="00BB7660" w:rsidRPr="00A00F6F" w:rsidRDefault="00BB7660" w:rsidP="00BB7660">
      <w:pPr>
        <w:pStyle w:val="ActHead5"/>
      </w:pPr>
      <w:bookmarkStart w:id="399" w:name="_Toc111132117"/>
      <w:r w:rsidRPr="00A00F6F">
        <w:rPr>
          <w:lang w:val="en-US"/>
        </w:rPr>
        <w:t>4A.2  Simplified outline of this Part</w:t>
      </w:r>
      <w:bookmarkEnd w:id="399"/>
    </w:p>
    <w:p w14:paraId="15898359" w14:textId="77777777" w:rsidR="00BB7660" w:rsidRPr="00A00F6F" w:rsidRDefault="00BB7660" w:rsidP="00BB7660">
      <w:pPr>
        <w:pStyle w:val="SOText"/>
        <w:pBdr>
          <w:right w:val="single" w:sz="6" w:space="10" w:color="auto"/>
        </w:pBdr>
      </w:pPr>
      <w:r w:rsidRPr="00A00F6F">
        <w:t xml:space="preserve">CDR data that relates to a joint account can be disclosed under these rules only in accordance with the disclosure option that applies to the account. Division 4A.2 sets out: </w:t>
      </w:r>
    </w:p>
    <w:p w14:paraId="57809964" w14:textId="77777777" w:rsidR="00BB7660" w:rsidRPr="00A00F6F" w:rsidRDefault="00BB7660" w:rsidP="00BB7660">
      <w:pPr>
        <w:pStyle w:val="SOPara"/>
        <w:pBdr>
          <w:right w:val="single" w:sz="6" w:space="10" w:color="auto"/>
        </w:pBdr>
      </w:pPr>
      <w:r w:rsidRPr="00A00F6F">
        <w:tab/>
        <w:t>•</w:t>
      </w:r>
      <w:r w:rsidRPr="00A00F6F">
        <w:tab/>
        <w:t>the three disclosure options, with the default option being the pre-approval option; and</w:t>
      </w:r>
    </w:p>
    <w:p w14:paraId="7B8963AC" w14:textId="77777777" w:rsidR="00BB7660" w:rsidRPr="00A00F6F" w:rsidRDefault="00BB7660" w:rsidP="00BB7660">
      <w:pPr>
        <w:pStyle w:val="SOPara"/>
        <w:pBdr>
          <w:right w:val="single" w:sz="6" w:space="10" w:color="auto"/>
        </w:pBdr>
      </w:pPr>
      <w:r w:rsidRPr="00A00F6F">
        <w:tab/>
        <w:t>•</w:t>
      </w:r>
      <w:r w:rsidRPr="00A00F6F">
        <w:tab/>
        <w:t>an obligation for data holders to provide a service (a disclosure option management service) for all joint accounts to which this Part applies through which joint account holders can change the disclosure option that applies to the account, or propose a change to the other account holders; and</w:t>
      </w:r>
    </w:p>
    <w:p w14:paraId="60C1AF39" w14:textId="77777777" w:rsidR="00BB7660" w:rsidRPr="00A00F6F" w:rsidRDefault="00BB7660" w:rsidP="00BB7660">
      <w:pPr>
        <w:pStyle w:val="SOPara"/>
        <w:pBdr>
          <w:right w:val="single" w:sz="6" w:space="10" w:color="auto"/>
        </w:pBdr>
      </w:pPr>
      <w:r w:rsidRPr="00A00F6F">
        <w:tab/>
        <w:t>•</w:t>
      </w:r>
      <w:r w:rsidRPr="00A00F6F">
        <w:tab/>
        <w:t>when one joint account holder proposes to change the disclosure option―a process by which the other joint account holders can either agree with or reject the proposal; and</w:t>
      </w:r>
    </w:p>
    <w:p w14:paraId="016C13B9" w14:textId="77777777" w:rsidR="00BB7660" w:rsidRPr="00A00F6F" w:rsidRDefault="00BB7660" w:rsidP="00BB7660">
      <w:pPr>
        <w:pStyle w:val="SOPara"/>
        <w:pBdr>
          <w:right w:val="single" w:sz="6" w:space="10" w:color="auto"/>
        </w:pBdr>
      </w:pPr>
      <w:r w:rsidRPr="00A00F6F">
        <w:tab/>
        <w:t>•</w:t>
      </w:r>
      <w:r w:rsidRPr="00A00F6F">
        <w:tab/>
        <w:t>some associated notification requirements.</w:t>
      </w:r>
    </w:p>
    <w:p w14:paraId="2A3D56E8" w14:textId="77777777" w:rsidR="00BB7660" w:rsidRPr="00A00F6F" w:rsidRDefault="00BB7660" w:rsidP="00BB7660">
      <w:pPr>
        <w:pStyle w:val="SOText"/>
        <w:pBdr>
          <w:right w:val="single" w:sz="6" w:space="10" w:color="auto"/>
        </w:pBdr>
      </w:pPr>
      <w:r w:rsidRPr="00A00F6F">
        <w:t>Any joint account holder can choose that the non-disclosure option will apply.</w:t>
      </w:r>
    </w:p>
    <w:p w14:paraId="0E3BCCB1" w14:textId="77777777" w:rsidR="00BB7660" w:rsidRPr="00A00F6F" w:rsidRDefault="00BB7660" w:rsidP="00BB7660">
      <w:pPr>
        <w:pStyle w:val="SOText"/>
        <w:pBdr>
          <w:right w:val="single" w:sz="6" w:space="10" w:color="auto"/>
        </w:pBdr>
      </w:pPr>
      <w:r w:rsidRPr="00A00F6F">
        <w:t>If the pre-approval option applies, any joint account holder can choose that the co-approval option will apply.</w:t>
      </w:r>
    </w:p>
    <w:p w14:paraId="27284914" w14:textId="77777777" w:rsidR="00BB7660" w:rsidRPr="00A00F6F" w:rsidRDefault="00BB7660" w:rsidP="00BB7660">
      <w:pPr>
        <w:pStyle w:val="SOText"/>
        <w:pBdr>
          <w:right w:val="single" w:sz="6" w:space="10" w:color="auto"/>
        </w:pBdr>
      </w:pPr>
      <w:r w:rsidRPr="00A00F6F">
        <w:t>A change from the non-disclosure option to another option, or a change from the co-approval option to the pre-approval option, requires the agreement of all the joint account holders.</w:t>
      </w:r>
    </w:p>
    <w:p w14:paraId="4F884AE3" w14:textId="77777777" w:rsidR="00BB7660" w:rsidRPr="00A00F6F" w:rsidRDefault="00BB7660" w:rsidP="00BB7660">
      <w:pPr>
        <w:pStyle w:val="SOText"/>
        <w:pBdr>
          <w:right w:val="single" w:sz="6" w:space="10" w:color="auto"/>
        </w:pBdr>
      </w:pPr>
      <w:r w:rsidRPr="00A00F6F">
        <w:t>When an accredited person makes a consumer data request under Part 4 on behalf of a CDR consumer, and the request includes CDR data relating to one or more joint accounts of which the CDR consumer is a joint account holder, Division 4A.3 deals with how the request is processed.</w:t>
      </w:r>
    </w:p>
    <w:p w14:paraId="3AADB4A7" w14:textId="77777777" w:rsidR="00BB7660" w:rsidRPr="00A00F6F" w:rsidRDefault="00BB7660" w:rsidP="00BB7660">
      <w:pPr>
        <w:pStyle w:val="SOText"/>
        <w:pBdr>
          <w:right w:val="single" w:sz="6" w:space="10" w:color="auto"/>
        </w:pBdr>
      </w:pPr>
      <w:r w:rsidRPr="00A00F6F">
        <w:t>Division 4A.3 also deals with how requests are processed when the accredited person makes a consumer data request on behalf of a secondary user of the joint account.</w:t>
      </w:r>
    </w:p>
    <w:p w14:paraId="34F84615" w14:textId="77777777" w:rsidR="00BB7660" w:rsidRPr="00A00F6F" w:rsidRDefault="00BB7660" w:rsidP="00BB7660">
      <w:pPr>
        <w:pStyle w:val="ActHead5"/>
        <w:rPr>
          <w:lang w:val="en-US"/>
        </w:rPr>
      </w:pPr>
      <w:bookmarkStart w:id="400" w:name="_Toc111132118"/>
      <w:r w:rsidRPr="00A00F6F">
        <w:rPr>
          <w:lang w:val="en-US"/>
        </w:rPr>
        <w:t>4A.3</w:t>
      </w:r>
      <w:r w:rsidR="00E64AC9">
        <w:rPr>
          <w:lang w:val="en-US"/>
        </w:rPr>
        <w:t xml:space="preserve"> </w:t>
      </w:r>
      <w:r w:rsidRPr="00A00F6F">
        <w:rPr>
          <w:lang w:val="en-US"/>
        </w:rPr>
        <w:t xml:space="preserve"> Interpretation</w:t>
      </w:r>
      <w:bookmarkEnd w:id="400"/>
    </w:p>
    <w:p w14:paraId="33A55E2F" w14:textId="77777777" w:rsidR="00BB7660" w:rsidRPr="00A00F6F" w:rsidRDefault="00BB7660" w:rsidP="00BB7660">
      <w:pPr>
        <w:pStyle w:val="subsection"/>
        <w:rPr>
          <w:lang w:val="en-US"/>
        </w:rPr>
      </w:pPr>
      <w:r w:rsidRPr="00A00F6F">
        <w:rPr>
          <w:lang w:val="en-US"/>
        </w:rPr>
        <w:tab/>
      </w:r>
      <w:r w:rsidRPr="00A00F6F">
        <w:rPr>
          <w:lang w:val="en-US"/>
        </w:rPr>
        <w:tab/>
        <w:t>For this Part, in relation to a consumer data request to a data holder under Part 4 where the CDR data requested includes CDR data that relates to a joint account:</w:t>
      </w:r>
    </w:p>
    <w:p w14:paraId="6A1B00A5" w14:textId="77777777" w:rsidR="00BB7660" w:rsidRPr="00A00F6F" w:rsidRDefault="00BB7660" w:rsidP="00BB7660">
      <w:pPr>
        <w:pStyle w:val="paragraph"/>
        <w:rPr>
          <w:lang w:val="en-US"/>
        </w:rPr>
      </w:pPr>
      <w:r w:rsidRPr="00A00F6F">
        <w:rPr>
          <w:lang w:val="en-US"/>
        </w:rPr>
        <w:lastRenderedPageBreak/>
        <w:tab/>
        <w:t>(a)</w:t>
      </w:r>
      <w:r w:rsidRPr="00A00F6F">
        <w:rPr>
          <w:lang w:val="en-US"/>
        </w:rPr>
        <w:tab/>
        <w:t>the</w:t>
      </w:r>
      <w:r w:rsidRPr="00A00F6F">
        <w:rPr>
          <w:b/>
          <w:i/>
          <w:lang w:val="en-US"/>
        </w:rPr>
        <w:t xml:space="preserve"> requester </w:t>
      </w:r>
      <w:r w:rsidRPr="00A00F6F">
        <w:rPr>
          <w:lang w:val="en-US"/>
        </w:rPr>
        <w:t>is the person on whose behalf the consumer data request was made; and</w:t>
      </w:r>
    </w:p>
    <w:p w14:paraId="28F4B666" w14:textId="77777777" w:rsidR="00BB7660" w:rsidRPr="00A00F6F" w:rsidRDefault="00BB7660" w:rsidP="00BB7660">
      <w:pPr>
        <w:pStyle w:val="paragraph"/>
        <w:rPr>
          <w:lang w:val="en-US"/>
        </w:rPr>
      </w:pPr>
      <w:r w:rsidRPr="00A00F6F">
        <w:rPr>
          <w:lang w:val="en-US"/>
        </w:rPr>
        <w:tab/>
        <w:t>(b)</w:t>
      </w:r>
      <w:r w:rsidRPr="00A00F6F">
        <w:rPr>
          <w:lang w:val="en-US"/>
        </w:rPr>
        <w:tab/>
        <w:t xml:space="preserve">the </w:t>
      </w:r>
      <w:r w:rsidRPr="00A00F6F">
        <w:rPr>
          <w:b/>
          <w:i/>
          <w:lang w:val="en-US"/>
        </w:rPr>
        <w:t>relevant account holders</w:t>
      </w:r>
      <w:r w:rsidRPr="00A00F6F">
        <w:rPr>
          <w:lang w:val="en-US"/>
        </w:rPr>
        <w:t xml:space="preserve"> are:</w:t>
      </w:r>
    </w:p>
    <w:p w14:paraId="4F063594" w14:textId="77777777" w:rsidR="00BB7660" w:rsidRPr="00A00F6F" w:rsidRDefault="00BB7660" w:rsidP="00BB7660">
      <w:pPr>
        <w:pStyle w:val="paragraphsub"/>
        <w:rPr>
          <w:lang w:val="en-US"/>
        </w:rPr>
      </w:pPr>
      <w:r w:rsidRPr="00A00F6F">
        <w:rPr>
          <w:lang w:val="en-US"/>
        </w:rPr>
        <w:tab/>
        <w:t>(i)</w:t>
      </w:r>
      <w:r w:rsidRPr="00A00F6F">
        <w:rPr>
          <w:lang w:val="en-US"/>
        </w:rPr>
        <w:tab/>
        <w:t>if the requester is a secondary user―all joint account holders; and</w:t>
      </w:r>
    </w:p>
    <w:p w14:paraId="3C425664" w14:textId="77777777" w:rsidR="00BB7660" w:rsidRPr="00A00F6F" w:rsidRDefault="00BB7660" w:rsidP="00BB7660">
      <w:pPr>
        <w:pStyle w:val="paragraphsub"/>
        <w:rPr>
          <w:lang w:val="en-US"/>
        </w:rPr>
      </w:pPr>
      <w:r w:rsidRPr="00A00F6F">
        <w:rPr>
          <w:lang w:val="en-US"/>
        </w:rPr>
        <w:tab/>
        <w:t>(ii)</w:t>
      </w:r>
      <w:r w:rsidRPr="00A00F6F">
        <w:rPr>
          <w:lang w:val="en-US"/>
        </w:rPr>
        <w:tab/>
        <w:t>if the requester is a joint account holder―the other joint account holders; and</w:t>
      </w:r>
    </w:p>
    <w:p w14:paraId="57F91C2F" w14:textId="77777777" w:rsidR="00BB7660" w:rsidRPr="00A00F6F" w:rsidRDefault="00BB7660" w:rsidP="00BB7660">
      <w:pPr>
        <w:pStyle w:val="paragraph"/>
        <w:rPr>
          <w:lang w:val="en-US"/>
        </w:rPr>
      </w:pPr>
      <w:r w:rsidRPr="00A00F6F">
        <w:rPr>
          <w:lang w:val="en-US"/>
        </w:rPr>
        <w:tab/>
        <w:t>(c)</w:t>
      </w:r>
      <w:r w:rsidRPr="00A00F6F">
        <w:rPr>
          <w:lang w:val="en-US"/>
        </w:rPr>
        <w:tab/>
        <w:t xml:space="preserve">the </w:t>
      </w:r>
      <w:r w:rsidRPr="00A00F6F">
        <w:rPr>
          <w:b/>
          <w:i/>
          <w:lang w:val="en-US"/>
        </w:rPr>
        <w:t xml:space="preserve">joint account data </w:t>
      </w:r>
      <w:r w:rsidRPr="00A00F6F">
        <w:rPr>
          <w:lang w:val="en-US"/>
        </w:rPr>
        <w:t>is the CDR data relating to the joint account that was the subject of the request.</w:t>
      </w:r>
    </w:p>
    <w:p w14:paraId="0ABB1975" w14:textId="77777777" w:rsidR="00BB7660" w:rsidRPr="00A00F6F" w:rsidRDefault="00BB7660" w:rsidP="00BB7660">
      <w:pPr>
        <w:pStyle w:val="notetext"/>
      </w:pPr>
      <w:r w:rsidRPr="00A00F6F">
        <w:t>Note:</w:t>
      </w:r>
      <w:r w:rsidRPr="00A00F6F">
        <w:tab/>
        <w:t>The CDR data that can be requested on behalf a  CDR consumer is governed by the relevant general provisions in the sector Schedules, so that, for example, customer data that relates to another joint account holder cannot be covered by a consumer data request (see paragraphs 3.2(3)(b) of Schedule 3 and 3.2(3)(b) of Schedule 4).</w:t>
      </w:r>
    </w:p>
    <w:p w14:paraId="46CC63F0" w14:textId="77777777" w:rsidR="00BB7660" w:rsidRPr="00A00F6F" w:rsidRDefault="00BB7660" w:rsidP="00BB7660">
      <w:pPr>
        <w:pStyle w:val="ActHead3"/>
        <w:rPr>
          <w:lang w:val="en-US"/>
        </w:rPr>
      </w:pPr>
      <w:bookmarkStart w:id="401" w:name="_Toc111132119"/>
      <w:r w:rsidRPr="00A00F6F">
        <w:rPr>
          <w:lang w:val="en-US"/>
        </w:rPr>
        <w:t>Division 4A.2—Disclosure options</w:t>
      </w:r>
      <w:bookmarkEnd w:id="401"/>
    </w:p>
    <w:p w14:paraId="2A22BE23" w14:textId="77777777" w:rsidR="00BB7660" w:rsidRPr="00A00F6F" w:rsidRDefault="00BB7660" w:rsidP="00BB7660">
      <w:pPr>
        <w:pStyle w:val="ActHead5"/>
        <w:rPr>
          <w:lang w:val="en-US"/>
        </w:rPr>
      </w:pPr>
      <w:bookmarkStart w:id="402" w:name="_Toc111132120"/>
      <w:r w:rsidRPr="00A00F6F">
        <w:rPr>
          <w:lang w:val="en-US"/>
        </w:rPr>
        <w:t xml:space="preserve">4A.4 </w:t>
      </w:r>
      <w:r w:rsidR="00E64AC9">
        <w:rPr>
          <w:lang w:val="en-US"/>
        </w:rPr>
        <w:t xml:space="preserve"> </w:t>
      </w:r>
      <w:r w:rsidRPr="00A00F6F">
        <w:rPr>
          <w:lang w:val="en-US"/>
        </w:rPr>
        <w:t>Simplified outline of this Division</w:t>
      </w:r>
      <w:bookmarkEnd w:id="402"/>
    </w:p>
    <w:p w14:paraId="11E5174A" w14:textId="77777777" w:rsidR="00BB7660" w:rsidRPr="00A00F6F" w:rsidRDefault="00BB7660" w:rsidP="00BB7660">
      <w:pPr>
        <w:pStyle w:val="SOText"/>
      </w:pPr>
      <w:r w:rsidRPr="00A00F6F">
        <w:t xml:space="preserve">This Division sets out the disclosure options that can apply to a joint account. These disclosure options are relevant when an </w:t>
      </w:r>
      <w:r w:rsidRPr="00A00F6F">
        <w:rPr>
          <w:lang w:val="en-US"/>
        </w:rPr>
        <w:t>accredited person makes a consumer data request on behalf of one joint account holder or a secondary user under Part 4.</w:t>
      </w:r>
    </w:p>
    <w:p w14:paraId="1CBB2BCE" w14:textId="77777777" w:rsidR="00BB7660" w:rsidRPr="00A00F6F" w:rsidRDefault="00BB7660" w:rsidP="00BB7660">
      <w:pPr>
        <w:pStyle w:val="SOText"/>
        <w:rPr>
          <w:lang w:val="en-US"/>
        </w:rPr>
      </w:pPr>
      <w:r w:rsidRPr="00A00F6F">
        <w:rPr>
          <w:lang w:val="en-US"/>
        </w:rPr>
        <w:t>The default option is the pre</w:t>
      </w:r>
      <w:r w:rsidRPr="00A00F6F">
        <w:rPr>
          <w:lang w:val="en-US"/>
        </w:rPr>
        <w:noBreakHyphen/>
        <w:t>approval option. If this option applies,</w:t>
      </w:r>
      <w:r w:rsidRPr="00A00F6F">
        <w:t xml:space="preserve"> when the data holder receives a consumer data request, the other account holders are treated as having approved disclosing the data</w:t>
      </w:r>
      <w:r w:rsidRPr="00A00F6F">
        <w:rPr>
          <w:lang w:val="en-US"/>
        </w:rPr>
        <w:t xml:space="preserve"> relating to the joint account in response to that request.  However, the other account holders can withdraw this presumed approval in relation to that request at any time.</w:t>
      </w:r>
    </w:p>
    <w:p w14:paraId="538C40F9" w14:textId="77777777" w:rsidR="00BB7660" w:rsidRPr="00A00F6F" w:rsidRDefault="00BB7660" w:rsidP="00BB7660">
      <w:pPr>
        <w:pStyle w:val="SOText"/>
        <w:rPr>
          <w:lang w:val="en-US"/>
        </w:rPr>
      </w:pPr>
      <w:r w:rsidRPr="00A00F6F">
        <w:rPr>
          <w:lang w:val="en-US"/>
        </w:rPr>
        <w:t>Another option is the non-disclosure option. If this option applies, joint account data cannot be disclosed under these rules.</w:t>
      </w:r>
    </w:p>
    <w:p w14:paraId="46A560B5" w14:textId="77777777" w:rsidR="00BB7660" w:rsidRPr="00A00F6F" w:rsidRDefault="00BB7660" w:rsidP="00BB7660">
      <w:pPr>
        <w:pStyle w:val="SOText"/>
        <w:rPr>
          <w:lang w:val="en-US"/>
        </w:rPr>
      </w:pPr>
      <w:r w:rsidRPr="00A00F6F">
        <w:rPr>
          <w:lang w:val="en-US"/>
        </w:rPr>
        <w:t>The third option is the co</w:t>
      </w:r>
      <w:r w:rsidRPr="00A00F6F">
        <w:rPr>
          <w:lang w:val="en-US"/>
        </w:rPr>
        <w:noBreakHyphen/>
        <w:t>approval option. If this option applies, joint account data can be disclosed under these rules only with the approval of all the account holders.</w:t>
      </w:r>
    </w:p>
    <w:p w14:paraId="517BC7D6" w14:textId="77777777" w:rsidR="00BB7660" w:rsidRPr="00A00F6F" w:rsidRDefault="00BB7660" w:rsidP="00BB7660">
      <w:pPr>
        <w:pStyle w:val="SOText"/>
        <w:rPr>
          <w:lang w:val="en-US"/>
        </w:rPr>
      </w:pPr>
      <w:r w:rsidRPr="00A00F6F">
        <w:rPr>
          <w:lang w:val="en-US"/>
        </w:rPr>
        <w:t>Data holders must offer the pre</w:t>
      </w:r>
      <w:r w:rsidRPr="00A00F6F">
        <w:rPr>
          <w:lang w:val="en-US"/>
        </w:rPr>
        <w:noBreakHyphen/>
        <w:t>approval option and non-disclosure option on joint accounts, and may offer the co</w:t>
      </w:r>
      <w:r w:rsidRPr="00A00F6F">
        <w:rPr>
          <w:lang w:val="en-US"/>
        </w:rPr>
        <w:noBreakHyphen/>
        <w:t>approval option.</w:t>
      </w:r>
    </w:p>
    <w:p w14:paraId="14AE2C8B" w14:textId="77777777" w:rsidR="00BB7660" w:rsidRPr="00A00F6F" w:rsidRDefault="00BB7660" w:rsidP="00BB7660">
      <w:pPr>
        <w:pStyle w:val="SOText"/>
        <w:rPr>
          <w:lang w:val="en-US"/>
        </w:rPr>
      </w:pPr>
      <w:r w:rsidRPr="00A00F6F">
        <w:rPr>
          <w:lang w:val="en-US"/>
        </w:rPr>
        <w:t>The process for changing the disclosure option is set out in this Division.</w:t>
      </w:r>
    </w:p>
    <w:p w14:paraId="78EF9521" w14:textId="77777777" w:rsidR="00BB7660" w:rsidRPr="00A00F6F" w:rsidRDefault="00BB7660" w:rsidP="00BB7660">
      <w:pPr>
        <w:pStyle w:val="SOText"/>
      </w:pPr>
      <w:r w:rsidRPr="00A00F6F">
        <w:t>For each joint account, a data holder must offer a disclosure option management service that can be used by joint account holders to select and manage these disclosure options.</w:t>
      </w:r>
    </w:p>
    <w:p w14:paraId="1A38FB84" w14:textId="77777777" w:rsidR="00BB7660" w:rsidRPr="00A00F6F" w:rsidRDefault="00BB7660" w:rsidP="00BB7660">
      <w:pPr>
        <w:pStyle w:val="SOText"/>
      </w:pPr>
      <w:r w:rsidRPr="00A00F6F">
        <w:t>However, the data holder will not be liable for a failure to comply with this Part if it considered that the relevant act or omission was necessary in order to prevent physical, psychological or financial harm or abuse to any person.</w:t>
      </w:r>
    </w:p>
    <w:p w14:paraId="1715B96B" w14:textId="77777777" w:rsidR="00BB7660" w:rsidRPr="00A00F6F" w:rsidRDefault="00BB7660" w:rsidP="00BB7660">
      <w:pPr>
        <w:pStyle w:val="ActHead5"/>
        <w:rPr>
          <w:lang w:val="en-US"/>
        </w:rPr>
      </w:pPr>
      <w:bookmarkStart w:id="403" w:name="_Toc111132121"/>
      <w:r w:rsidRPr="00A00F6F">
        <w:rPr>
          <w:lang w:val="en-US"/>
        </w:rPr>
        <w:lastRenderedPageBreak/>
        <w:t>4A.5</w:t>
      </w:r>
      <w:r w:rsidR="00E64AC9">
        <w:rPr>
          <w:lang w:val="en-US"/>
        </w:rPr>
        <w:t xml:space="preserve"> </w:t>
      </w:r>
      <w:r w:rsidRPr="00A00F6F">
        <w:rPr>
          <w:lang w:val="en-US"/>
        </w:rPr>
        <w:t xml:space="preserve"> Disclosure options for joint accounts</w:t>
      </w:r>
      <w:bookmarkEnd w:id="403"/>
    </w:p>
    <w:p w14:paraId="3776F5C5" w14:textId="77777777" w:rsidR="00BB7660" w:rsidRPr="00A00F6F" w:rsidRDefault="00BB7660" w:rsidP="00BB7660">
      <w:pPr>
        <w:pStyle w:val="SubsectionHead"/>
      </w:pPr>
      <w:r w:rsidRPr="00A00F6F">
        <w:t>Disclosure options</w:t>
      </w:r>
    </w:p>
    <w:p w14:paraId="69BF4D5F" w14:textId="77777777" w:rsidR="00BB7660" w:rsidRPr="00A00F6F" w:rsidRDefault="00BB7660" w:rsidP="00BB7660">
      <w:pPr>
        <w:pStyle w:val="subsection"/>
      </w:pPr>
      <w:r w:rsidRPr="00A00F6F">
        <w:rPr>
          <w:lang w:val="en-US"/>
        </w:rPr>
        <w:tab/>
        <w:t>(1)</w:t>
      </w:r>
      <w:r w:rsidRPr="00A00F6F">
        <w:rPr>
          <w:lang w:val="en-US"/>
        </w:rPr>
        <w:tab/>
        <w:t xml:space="preserve">Disclosure of joint account data may be authorised only as permitted by the </w:t>
      </w:r>
      <w:r w:rsidRPr="00A00F6F">
        <w:rPr>
          <w:b/>
          <w:i/>
          <w:lang w:val="en-US"/>
        </w:rPr>
        <w:t>disclosure option</w:t>
      </w:r>
      <w:r w:rsidRPr="00A00F6F">
        <w:t xml:space="preserve"> that applies to the joint account.  This may be any of the following:</w:t>
      </w:r>
    </w:p>
    <w:p w14:paraId="6B08284D" w14:textId="77777777" w:rsidR="00BB7660" w:rsidRPr="00A00F6F" w:rsidRDefault="00BB7660" w:rsidP="00BB7660">
      <w:pPr>
        <w:pStyle w:val="paragraph"/>
      </w:pPr>
      <w:r w:rsidRPr="00A00F6F">
        <w:tab/>
        <w:t>(a)</w:t>
      </w:r>
      <w:r w:rsidRPr="00A00F6F">
        <w:tab/>
        <w:t xml:space="preserve">the </w:t>
      </w:r>
      <w:r w:rsidRPr="00A00F6F">
        <w:rPr>
          <w:b/>
          <w:i/>
        </w:rPr>
        <w:t>pre-approval option</w:t>
      </w:r>
      <w:r w:rsidRPr="00A00F6F">
        <w:t>, under which joint account data may be disclosed in response to a valid consumer data request on the authorisation of the requester without the approval of the relevant account holders;</w:t>
      </w:r>
    </w:p>
    <w:p w14:paraId="32FEF64E" w14:textId="77777777" w:rsidR="00BB7660" w:rsidRPr="00A00F6F" w:rsidRDefault="00BB7660" w:rsidP="00BB7660">
      <w:pPr>
        <w:pStyle w:val="paragraph"/>
      </w:pPr>
      <w:r w:rsidRPr="00A00F6F">
        <w:tab/>
        <w:t>(b)</w:t>
      </w:r>
      <w:r w:rsidRPr="00A00F6F">
        <w:tab/>
        <w:t xml:space="preserve">the </w:t>
      </w:r>
      <w:r w:rsidRPr="00A00F6F">
        <w:rPr>
          <w:b/>
          <w:i/>
        </w:rPr>
        <w:t>co-approval option</w:t>
      </w:r>
      <w:r w:rsidRPr="00A00F6F">
        <w:t>, under which joint account data may be disclosed in response to a valid consumer data request only after:</w:t>
      </w:r>
    </w:p>
    <w:p w14:paraId="7A3BCA33" w14:textId="77777777" w:rsidR="00BB7660" w:rsidRPr="00A00F6F" w:rsidRDefault="00BB7660" w:rsidP="00BB7660">
      <w:pPr>
        <w:pStyle w:val="paragraphsub"/>
      </w:pPr>
      <w:r w:rsidRPr="00A00F6F">
        <w:tab/>
        <w:t>(i)</w:t>
      </w:r>
      <w:r w:rsidRPr="00A00F6F">
        <w:tab/>
        <w:t>the requester has authorised the disclosure; and</w:t>
      </w:r>
    </w:p>
    <w:p w14:paraId="62C90BC0" w14:textId="77777777" w:rsidR="00BB7660" w:rsidRPr="00A00F6F" w:rsidRDefault="00BB7660" w:rsidP="00BB7660">
      <w:pPr>
        <w:pStyle w:val="paragraphsub"/>
      </w:pPr>
      <w:r w:rsidRPr="00A00F6F">
        <w:tab/>
        <w:t>(ii)</w:t>
      </w:r>
      <w:r w:rsidRPr="00A00F6F">
        <w:tab/>
        <w:t xml:space="preserve">each of the relevant joint account holders has approved the </w:t>
      </w:r>
      <w:r w:rsidRPr="00A00F6F">
        <w:rPr>
          <w:lang w:val="en-US"/>
        </w:rPr>
        <w:t>disclosure</w:t>
      </w:r>
      <w:r w:rsidRPr="00A00F6F">
        <w:t xml:space="preserve">; </w:t>
      </w:r>
    </w:p>
    <w:p w14:paraId="55D49D17" w14:textId="77777777" w:rsidR="00BB7660" w:rsidRPr="00A00F6F" w:rsidRDefault="00BB7660" w:rsidP="00BB7660">
      <w:pPr>
        <w:pStyle w:val="paragraph"/>
      </w:pPr>
      <w:r w:rsidRPr="00A00F6F">
        <w:tab/>
        <w:t>(c)</w:t>
      </w:r>
      <w:r w:rsidRPr="00A00F6F">
        <w:tab/>
        <w:t xml:space="preserve">the </w:t>
      </w:r>
      <w:r w:rsidRPr="00A00F6F">
        <w:rPr>
          <w:b/>
          <w:i/>
        </w:rPr>
        <w:t>non-disclosure option</w:t>
      </w:r>
      <w:r w:rsidRPr="00A00F6F">
        <w:t>, under which joint account data may not be disclosed even in response to a valid consumer data request.</w:t>
      </w:r>
    </w:p>
    <w:p w14:paraId="589B5B1D" w14:textId="77777777" w:rsidR="00BB7660" w:rsidRPr="00A00F6F" w:rsidRDefault="00BB7660" w:rsidP="00BB7660">
      <w:pPr>
        <w:pStyle w:val="subsection"/>
      </w:pPr>
      <w:r w:rsidRPr="00A00F6F">
        <w:tab/>
        <w:t>(2)</w:t>
      </w:r>
      <w:r w:rsidRPr="00A00F6F">
        <w:tab/>
        <w:t>The data holder must provide for the pre-approval and non-disclosure options to be available for a joint account.</w:t>
      </w:r>
    </w:p>
    <w:p w14:paraId="5B03469E" w14:textId="77777777" w:rsidR="00BB7660" w:rsidRPr="00A00F6F" w:rsidRDefault="00BB7660" w:rsidP="00BB7660">
      <w:pPr>
        <w:pStyle w:val="subsection"/>
      </w:pPr>
      <w:r w:rsidRPr="00A00F6F">
        <w:tab/>
        <w:t>(3)</w:t>
      </w:r>
      <w:r w:rsidRPr="00A00F6F">
        <w:tab/>
        <w:t>The data holder may provide for the co-approval option to be available for a joint account.</w:t>
      </w:r>
    </w:p>
    <w:p w14:paraId="27B9087F" w14:textId="77777777" w:rsidR="00BB7660" w:rsidRPr="00A00F6F" w:rsidRDefault="00BB7660" w:rsidP="00BB7660">
      <w:pPr>
        <w:pStyle w:val="subsection"/>
        <w:rPr>
          <w:lang w:val="en-US"/>
        </w:rPr>
      </w:pPr>
      <w:r w:rsidRPr="00A00F6F">
        <w:rPr>
          <w:lang w:val="en-US"/>
        </w:rPr>
        <w:tab/>
        <w:t>(4)</w:t>
      </w:r>
      <w:r w:rsidRPr="00A00F6F">
        <w:rPr>
          <w:lang w:val="en-US"/>
        </w:rPr>
        <w:tab/>
        <w:t>For the purposes of rule 4A.12, where the pre-approval option applies to a joint account and the requester authorises the disclosure of joint account data in response to a valid consumer data request:</w:t>
      </w:r>
    </w:p>
    <w:p w14:paraId="0087B599" w14:textId="77777777" w:rsidR="00BB7660" w:rsidRPr="00A00F6F" w:rsidRDefault="00BB7660" w:rsidP="00BB7660">
      <w:pPr>
        <w:pStyle w:val="paragraph"/>
        <w:rPr>
          <w:lang w:val="en-US"/>
        </w:rPr>
      </w:pPr>
      <w:r w:rsidRPr="00A00F6F">
        <w:rPr>
          <w:lang w:val="en-US"/>
        </w:rPr>
        <w:tab/>
        <w:t>(a)</w:t>
      </w:r>
      <w:r w:rsidRPr="00A00F6F">
        <w:rPr>
          <w:lang w:val="en-US"/>
        </w:rPr>
        <w:tab/>
        <w:t>each relevant account holder is taken to have approved the disclosure; and</w:t>
      </w:r>
    </w:p>
    <w:p w14:paraId="714E70AB" w14:textId="77777777" w:rsidR="00BB7660" w:rsidRPr="00A00F6F" w:rsidRDefault="00BB7660" w:rsidP="00BB7660">
      <w:pPr>
        <w:pStyle w:val="paragraph"/>
        <w:rPr>
          <w:lang w:val="en-US"/>
        </w:rPr>
      </w:pPr>
      <w:r w:rsidRPr="00A00F6F">
        <w:rPr>
          <w:lang w:val="en-US"/>
        </w:rPr>
        <w:tab/>
        <w:t>(b)</w:t>
      </w:r>
      <w:r w:rsidRPr="00A00F6F">
        <w:rPr>
          <w:lang w:val="en-US"/>
        </w:rPr>
        <w:tab/>
        <w:t>if an approval is withdrawn, the joint account data</w:t>
      </w:r>
      <w:r w:rsidRPr="00A00F6F">
        <w:t xml:space="preserve"> may not be disclosed despite the authorisation</w:t>
      </w:r>
      <w:r w:rsidRPr="00A00F6F">
        <w:rPr>
          <w:lang w:val="en-US"/>
        </w:rPr>
        <w:t>.</w:t>
      </w:r>
    </w:p>
    <w:p w14:paraId="694531E7" w14:textId="77777777" w:rsidR="00BB7660" w:rsidRPr="00A00F6F" w:rsidRDefault="00BB7660" w:rsidP="00BB7660">
      <w:pPr>
        <w:pStyle w:val="SubsectionHead"/>
      </w:pPr>
      <w:r w:rsidRPr="00A00F6F">
        <w:t>Default option</w:t>
      </w:r>
    </w:p>
    <w:p w14:paraId="1E9851F2" w14:textId="77777777" w:rsidR="00BB7660" w:rsidRPr="00A00F6F" w:rsidRDefault="00BB7660" w:rsidP="00BB7660">
      <w:pPr>
        <w:pStyle w:val="subsection"/>
        <w:rPr>
          <w:lang w:val="en-US"/>
        </w:rPr>
      </w:pPr>
      <w:r w:rsidRPr="00A00F6F">
        <w:rPr>
          <w:lang w:val="en-US"/>
        </w:rPr>
        <w:tab/>
        <w:t>(5)</w:t>
      </w:r>
      <w:r w:rsidRPr="00A00F6F">
        <w:rPr>
          <w:lang w:val="en-US"/>
        </w:rPr>
        <w:tab/>
        <w:t>Unless a sector Schedule provides otherwise, the pre-approval option applies to a joint account by default.</w:t>
      </w:r>
    </w:p>
    <w:p w14:paraId="548C8163" w14:textId="77777777" w:rsidR="00BB7660" w:rsidRPr="00A00F6F" w:rsidRDefault="00BB7660" w:rsidP="00BB7660">
      <w:pPr>
        <w:pStyle w:val="subsection"/>
        <w:rPr>
          <w:lang w:val="en-US"/>
        </w:rPr>
      </w:pPr>
      <w:r w:rsidRPr="00A00F6F">
        <w:rPr>
          <w:lang w:val="en-US"/>
        </w:rPr>
        <w:tab/>
        <w:t>(6)</w:t>
      </w:r>
      <w:r w:rsidRPr="00A00F6F">
        <w:rPr>
          <w:lang w:val="en-US"/>
        </w:rPr>
        <w:tab/>
        <w:t>The disclosure option that applies to a joint account may be changed in accordance with rule 4A.7 or 4A.8.</w:t>
      </w:r>
    </w:p>
    <w:p w14:paraId="2D4C8FF4" w14:textId="77777777" w:rsidR="00BB7660" w:rsidRPr="00A00F6F" w:rsidRDefault="00BB7660" w:rsidP="00BB7660">
      <w:pPr>
        <w:pStyle w:val="ActHead5"/>
        <w:rPr>
          <w:lang w:val="en-US"/>
        </w:rPr>
      </w:pPr>
      <w:bookmarkStart w:id="404" w:name="_Toc111132122"/>
      <w:r w:rsidRPr="00A00F6F">
        <w:rPr>
          <w:lang w:val="en-US"/>
        </w:rPr>
        <w:t>4A.6</w:t>
      </w:r>
      <w:r w:rsidR="00E64AC9">
        <w:rPr>
          <w:lang w:val="en-US"/>
        </w:rPr>
        <w:t xml:space="preserve"> </w:t>
      </w:r>
      <w:r w:rsidRPr="00A00F6F">
        <w:rPr>
          <w:lang w:val="en-US"/>
        </w:rPr>
        <w:t xml:space="preserve"> Obligation to provide disclosure option management service</w:t>
      </w:r>
      <w:bookmarkEnd w:id="404"/>
    </w:p>
    <w:p w14:paraId="6D3B4713" w14:textId="77777777" w:rsidR="00BB7660" w:rsidRPr="00A00F6F" w:rsidRDefault="00BB7660" w:rsidP="00BB7660">
      <w:pPr>
        <w:pStyle w:val="SubsectionHead"/>
        <w:rPr>
          <w:lang w:val="en-US"/>
        </w:rPr>
      </w:pPr>
      <w:r w:rsidRPr="00A00F6F">
        <w:rPr>
          <w:lang w:val="en-US"/>
        </w:rPr>
        <w:t>Obligation to provide disclosure option management service</w:t>
      </w:r>
    </w:p>
    <w:p w14:paraId="16229007" w14:textId="77777777" w:rsidR="00BB7660" w:rsidRPr="00A00F6F" w:rsidRDefault="00BB7660" w:rsidP="00BB7660">
      <w:pPr>
        <w:pStyle w:val="subsection"/>
        <w:rPr>
          <w:lang w:val="en-US"/>
        </w:rPr>
      </w:pPr>
      <w:r w:rsidRPr="00A00F6F">
        <w:rPr>
          <w:lang w:val="en-US"/>
        </w:rPr>
        <w:tab/>
        <w:t>(1)</w:t>
      </w:r>
      <w:r w:rsidRPr="00A00F6F">
        <w:rPr>
          <w:lang w:val="en-US"/>
        </w:rPr>
        <w:tab/>
        <w:t>For each joint account to which this Part applies, the data holder must provide a service to each joint account holder that allows the joint account holder to:</w:t>
      </w:r>
    </w:p>
    <w:p w14:paraId="46FC1437" w14:textId="77777777" w:rsidR="00BB7660" w:rsidRPr="00A00F6F" w:rsidRDefault="00BB7660" w:rsidP="00BB7660">
      <w:pPr>
        <w:pStyle w:val="paragraph"/>
        <w:rPr>
          <w:lang w:val="en-US"/>
        </w:rPr>
      </w:pPr>
      <w:r w:rsidRPr="00A00F6F">
        <w:rPr>
          <w:lang w:val="en-US"/>
        </w:rPr>
        <w:tab/>
        <w:t>(a)</w:t>
      </w:r>
      <w:r w:rsidRPr="00A00F6F">
        <w:rPr>
          <w:lang w:val="en-US"/>
        </w:rPr>
        <w:tab/>
        <w:t>change the disclosure option that applies to the account in accordance with rule 4A.7; and</w:t>
      </w:r>
    </w:p>
    <w:p w14:paraId="4FA05A3F" w14:textId="77777777" w:rsidR="00BB7660" w:rsidRPr="00A00F6F" w:rsidRDefault="00BB7660" w:rsidP="00BB7660">
      <w:pPr>
        <w:pStyle w:val="paragraph"/>
        <w:rPr>
          <w:lang w:val="en-US"/>
        </w:rPr>
      </w:pPr>
      <w:r w:rsidRPr="00A00F6F">
        <w:rPr>
          <w:lang w:val="en-US"/>
        </w:rPr>
        <w:tab/>
        <w:t>(b)</w:t>
      </w:r>
      <w:r w:rsidRPr="00A00F6F">
        <w:rPr>
          <w:lang w:val="en-US"/>
        </w:rPr>
        <w:tab/>
        <w:t xml:space="preserve">propose a change in the disclosure option to the other joint account holders in accordance with rule </w:t>
      </w:r>
      <w:r w:rsidRPr="00A00F6F">
        <w:t>4A.8</w:t>
      </w:r>
      <w:r w:rsidRPr="00A00F6F">
        <w:rPr>
          <w:lang w:val="en-US"/>
        </w:rPr>
        <w:t>; and</w:t>
      </w:r>
    </w:p>
    <w:p w14:paraId="55B2FBAD" w14:textId="77777777" w:rsidR="00BB7660" w:rsidRPr="00A00F6F" w:rsidRDefault="00BB7660" w:rsidP="00BB7660">
      <w:pPr>
        <w:pStyle w:val="paragraph"/>
        <w:rPr>
          <w:lang w:val="en-US"/>
        </w:rPr>
      </w:pPr>
      <w:r w:rsidRPr="00A00F6F">
        <w:rPr>
          <w:lang w:val="en-US"/>
        </w:rPr>
        <w:tab/>
        <w:t>(c)</w:t>
      </w:r>
      <w:r w:rsidRPr="00A00F6F">
        <w:rPr>
          <w:lang w:val="en-US"/>
        </w:rPr>
        <w:tab/>
        <w:t>respond to a proposal by another joint account holder to change the disclosure option.</w:t>
      </w:r>
    </w:p>
    <w:p w14:paraId="4E6DFF0D" w14:textId="77777777" w:rsidR="00BB7660" w:rsidRPr="00A00F6F" w:rsidRDefault="00BB7660" w:rsidP="00BB7660">
      <w:pPr>
        <w:pStyle w:val="notetext"/>
      </w:pPr>
      <w:r w:rsidRPr="00A00F6F">
        <w:lastRenderedPageBreak/>
        <w:t>Note:</w:t>
      </w:r>
      <w:r w:rsidRPr="00A00F6F">
        <w:tab/>
        <w:t>This subrule is a civil penalty provision (see rule 9.8).</w:t>
      </w:r>
    </w:p>
    <w:p w14:paraId="6CDE8271" w14:textId="77777777" w:rsidR="00BB7660" w:rsidRPr="00A00F6F" w:rsidRDefault="00BB7660" w:rsidP="00BB7660">
      <w:pPr>
        <w:pStyle w:val="subsection"/>
      </w:pPr>
      <w:r w:rsidRPr="00A00F6F">
        <w:tab/>
        <w:t>(2)</w:t>
      </w:r>
      <w:r w:rsidRPr="00A00F6F">
        <w:tab/>
        <w:t xml:space="preserve">Such a service is a </w:t>
      </w:r>
      <w:r w:rsidRPr="00A00F6F">
        <w:rPr>
          <w:b/>
          <w:i/>
        </w:rPr>
        <w:t>disclosure option management service</w:t>
      </w:r>
      <w:r w:rsidRPr="00A00F6F">
        <w:t>.</w:t>
      </w:r>
    </w:p>
    <w:p w14:paraId="2F3F1865" w14:textId="77777777" w:rsidR="00BB7660" w:rsidRPr="00A00F6F" w:rsidRDefault="00BB7660" w:rsidP="00BB7660">
      <w:pPr>
        <w:pStyle w:val="SubsectionHead"/>
      </w:pPr>
      <w:r w:rsidRPr="00A00F6F">
        <w:t>Requirements for disclosure option management service</w:t>
      </w:r>
    </w:p>
    <w:p w14:paraId="2297B189" w14:textId="77777777" w:rsidR="00BB7660" w:rsidRPr="00A00F6F" w:rsidRDefault="00BB7660" w:rsidP="00BB7660">
      <w:pPr>
        <w:pStyle w:val="subsection"/>
      </w:pPr>
      <w:r w:rsidRPr="00A00F6F">
        <w:tab/>
        <w:t>(3)</w:t>
      </w:r>
      <w:r w:rsidRPr="00A00F6F">
        <w:tab/>
        <w:t>The service must be provided online and, if there is a data holder’s consumer dashboard for a joint account holder, may be included in the dashboard.</w:t>
      </w:r>
    </w:p>
    <w:p w14:paraId="30829C41" w14:textId="77777777" w:rsidR="00BB7660" w:rsidRPr="00A00F6F" w:rsidRDefault="00BB7660" w:rsidP="00BB7660">
      <w:pPr>
        <w:pStyle w:val="subsection"/>
      </w:pPr>
      <w:r w:rsidRPr="00A00F6F">
        <w:tab/>
        <w:t>(4)</w:t>
      </w:r>
      <w:r w:rsidRPr="00A00F6F">
        <w:tab/>
        <w:t>The service may, but need not, also be provided other than online.</w:t>
      </w:r>
    </w:p>
    <w:p w14:paraId="1DB12808" w14:textId="77777777" w:rsidR="00BB7660" w:rsidRPr="00A00F6F" w:rsidRDefault="00BB7660" w:rsidP="00BB7660">
      <w:pPr>
        <w:pStyle w:val="subsection"/>
      </w:pPr>
      <w:r w:rsidRPr="00A00F6F">
        <w:tab/>
        <w:t>(5)</w:t>
      </w:r>
      <w:r w:rsidRPr="00A00F6F">
        <w:tab/>
        <w:t>The service must give effect to a change in the disclosure option as soon as practicable.</w:t>
      </w:r>
    </w:p>
    <w:p w14:paraId="30597A26" w14:textId="77777777" w:rsidR="00BB7660" w:rsidRPr="00A00F6F" w:rsidRDefault="00BB7660" w:rsidP="00BB7660">
      <w:pPr>
        <w:pStyle w:val="subsection"/>
      </w:pPr>
      <w:r w:rsidRPr="00A00F6F">
        <w:tab/>
        <w:t>(6)</w:t>
      </w:r>
      <w:r w:rsidRPr="00A00F6F">
        <w:tab/>
        <w:t xml:space="preserve">The service must not do any of the following in relation to the processes that it provides for changing or proposing to change the disclosure option that applies to the joint account, or responding to such a proposal (the </w:t>
      </w:r>
      <w:r w:rsidRPr="00A00F6F">
        <w:rPr>
          <w:b/>
          <w:i/>
        </w:rPr>
        <w:t>processes</w:t>
      </w:r>
      <w:r w:rsidRPr="00A00F6F">
        <w:t>):</w:t>
      </w:r>
    </w:p>
    <w:p w14:paraId="73AFC2F7" w14:textId="77777777" w:rsidR="00BB7660" w:rsidRPr="00A00F6F" w:rsidRDefault="00BB7660" w:rsidP="00BB7660">
      <w:pPr>
        <w:pStyle w:val="paragraph"/>
      </w:pPr>
      <w:r w:rsidRPr="00A00F6F">
        <w:tab/>
        <w:t>(a)</w:t>
      </w:r>
      <w:r w:rsidRPr="00A00F6F">
        <w:tab/>
        <w:t>add any requirements to the processes beyond those specified in the data standards and these rules;</w:t>
      </w:r>
    </w:p>
    <w:p w14:paraId="38D782A7" w14:textId="77777777" w:rsidR="00BB7660" w:rsidRPr="00A00F6F" w:rsidRDefault="00BB7660" w:rsidP="00BB7660">
      <w:pPr>
        <w:pStyle w:val="paragraph"/>
      </w:pPr>
      <w:r w:rsidRPr="00A00F6F">
        <w:tab/>
        <w:t>(b)</w:t>
      </w:r>
      <w:r w:rsidRPr="00A00F6F">
        <w:tab/>
        <w:t>offer additional or alternative services as part of the processes;</w:t>
      </w:r>
    </w:p>
    <w:p w14:paraId="3EBC2380" w14:textId="77777777" w:rsidR="00BB7660" w:rsidRPr="00A00F6F" w:rsidRDefault="00BB7660" w:rsidP="00BB7660">
      <w:pPr>
        <w:pStyle w:val="paragraph"/>
        <w:rPr>
          <w:szCs w:val="22"/>
          <w:shd w:val="clear" w:color="auto" w:fill="FFFFFF"/>
        </w:rPr>
      </w:pPr>
      <w:r w:rsidRPr="00A00F6F">
        <w:tab/>
        <w:t>(c)</w:t>
      </w:r>
      <w:r w:rsidRPr="00A00F6F">
        <w:tab/>
        <w:t xml:space="preserve">include or refer to other documents, or provide any other information, </w:t>
      </w:r>
      <w:r w:rsidRPr="00A00F6F">
        <w:rPr>
          <w:szCs w:val="22"/>
          <w:shd w:val="clear" w:color="auto" w:fill="FFFFFF"/>
        </w:rPr>
        <w:t>so as to reduce comprehensibility;</w:t>
      </w:r>
    </w:p>
    <w:p w14:paraId="52AAAF61" w14:textId="77777777" w:rsidR="00BB7660" w:rsidRPr="00A00F6F" w:rsidRDefault="00BB7660" w:rsidP="00BB7660">
      <w:pPr>
        <w:pStyle w:val="paragraph"/>
      </w:pPr>
      <w:r w:rsidRPr="00A00F6F">
        <w:tab/>
        <w:t>(d)</w:t>
      </w:r>
      <w:r w:rsidRPr="00A00F6F">
        <w:tab/>
        <w:t>offer any pre</w:t>
      </w:r>
      <w:r w:rsidRPr="00A00F6F">
        <w:noBreakHyphen/>
        <w:t>selected options.</w:t>
      </w:r>
    </w:p>
    <w:p w14:paraId="7916F9D2" w14:textId="77777777" w:rsidR="00BB7660" w:rsidRPr="00A00F6F" w:rsidRDefault="00BB7660" w:rsidP="00BB7660">
      <w:pPr>
        <w:pStyle w:val="subsection"/>
      </w:pPr>
      <w:r w:rsidRPr="00A00F6F">
        <w:tab/>
        <w:t>(7)</w:t>
      </w:r>
      <w:r w:rsidRPr="00A00F6F">
        <w:tab/>
        <w:t>The service must indicate to the joint account holder which disclosure option currently applies.</w:t>
      </w:r>
    </w:p>
    <w:p w14:paraId="017AE87A" w14:textId="77777777" w:rsidR="00BB7660" w:rsidRPr="00A00F6F" w:rsidRDefault="00BB7660" w:rsidP="00BB7660">
      <w:pPr>
        <w:pStyle w:val="subsection"/>
      </w:pPr>
      <w:r w:rsidRPr="00A00F6F">
        <w:tab/>
        <w:t>(8)</w:t>
      </w:r>
      <w:r w:rsidRPr="00A00F6F">
        <w:tab/>
        <w:t>The service must be in accordance with the data standards.</w:t>
      </w:r>
    </w:p>
    <w:p w14:paraId="6335351C" w14:textId="77777777" w:rsidR="00BB7660" w:rsidRPr="00A00F6F" w:rsidRDefault="00BB7660" w:rsidP="00BB7660">
      <w:pPr>
        <w:pStyle w:val="ActHead5"/>
      </w:pPr>
      <w:bookmarkStart w:id="405" w:name="_Toc111132123"/>
      <w:r w:rsidRPr="00A00F6F">
        <w:rPr>
          <w:lang w:val="en-US"/>
        </w:rPr>
        <w:t xml:space="preserve">4A.7 </w:t>
      </w:r>
      <w:r w:rsidRPr="00A00F6F">
        <w:t xml:space="preserve"> Changing to a more restrictive disclosure option</w:t>
      </w:r>
      <w:bookmarkEnd w:id="405"/>
    </w:p>
    <w:p w14:paraId="0B435422" w14:textId="77777777" w:rsidR="00BB7660" w:rsidRPr="00A00F6F" w:rsidRDefault="00BB7660" w:rsidP="00BB7660">
      <w:pPr>
        <w:pStyle w:val="subsection"/>
      </w:pPr>
      <w:r w:rsidRPr="00A00F6F">
        <w:tab/>
        <w:t>(1)</w:t>
      </w:r>
      <w:r w:rsidRPr="00A00F6F">
        <w:tab/>
        <w:t>A joint account holder may at any time choose that the non-disclosure option will apply to the joint account, using the disclosure option management service.</w:t>
      </w:r>
    </w:p>
    <w:p w14:paraId="30FF5CF1" w14:textId="77777777" w:rsidR="00BB7660" w:rsidRPr="00A00F6F" w:rsidRDefault="00BB7660" w:rsidP="00BB7660">
      <w:pPr>
        <w:pStyle w:val="subsection"/>
      </w:pPr>
      <w:r w:rsidRPr="00A00F6F">
        <w:tab/>
        <w:t>(2)</w:t>
      </w:r>
      <w:r w:rsidRPr="00A00F6F">
        <w:tab/>
        <w:t>If the pre-approval option applies to a joint account, a joint account holder may at any time choose that the co-approval option will apply to the joint account, using the disclosure option management service.</w:t>
      </w:r>
    </w:p>
    <w:p w14:paraId="4F9D530E" w14:textId="77777777" w:rsidR="00BB7660" w:rsidRPr="00A00F6F" w:rsidRDefault="00BB7660" w:rsidP="00BB7660">
      <w:pPr>
        <w:pStyle w:val="subsection"/>
        <w:spacing w:before="240"/>
      </w:pPr>
      <w:r w:rsidRPr="00A00F6F">
        <w:tab/>
        <w:t>(3)</w:t>
      </w:r>
      <w:r w:rsidRPr="00A00F6F">
        <w:tab/>
        <w:t>If a joint account holder (</w:t>
      </w:r>
      <w:r w:rsidRPr="00A00F6F">
        <w:rPr>
          <w:b/>
          <w:i/>
        </w:rPr>
        <w:t>account holder A</w:t>
      </w:r>
      <w:r w:rsidRPr="00A00F6F">
        <w:t>) changes the disclosure option that applies to the account in accordance with this rule, the data holder must, as soon as practicable through its ordinary means of contacting the other joint account holders:</w:t>
      </w:r>
    </w:p>
    <w:p w14:paraId="61882131" w14:textId="77777777" w:rsidR="00BB7660" w:rsidRPr="00A00F6F" w:rsidRDefault="00BB7660" w:rsidP="00BB7660">
      <w:pPr>
        <w:pStyle w:val="paragraph"/>
      </w:pPr>
      <w:r w:rsidRPr="00A00F6F">
        <w:tab/>
        <w:t>(a)</w:t>
      </w:r>
      <w:r w:rsidRPr="00A00F6F">
        <w:tab/>
        <w:t>explain to each of them what the consumer data right is; and</w:t>
      </w:r>
    </w:p>
    <w:p w14:paraId="3E6E3E3A" w14:textId="77777777" w:rsidR="00BB7660" w:rsidRPr="00A00F6F" w:rsidRDefault="00BB7660" w:rsidP="00BB7660">
      <w:pPr>
        <w:pStyle w:val="paragraph"/>
      </w:pPr>
      <w:r w:rsidRPr="00A00F6F">
        <w:tab/>
        <w:t>(b)</w:t>
      </w:r>
      <w:r w:rsidRPr="00A00F6F">
        <w:tab/>
        <w:t>inform them which disclosure option previously applied to the account; and</w:t>
      </w:r>
    </w:p>
    <w:p w14:paraId="2656005A" w14:textId="77777777" w:rsidR="00BB7660" w:rsidRPr="00A00F6F" w:rsidRDefault="00BB7660" w:rsidP="00BB7660">
      <w:pPr>
        <w:pStyle w:val="paragraph"/>
      </w:pPr>
      <w:r w:rsidRPr="00A00F6F">
        <w:tab/>
        <w:t>(c)</w:t>
      </w:r>
      <w:r w:rsidRPr="00A00F6F">
        <w:tab/>
        <w:t>inform them that account holder A has changed the disclosure option, and of the disclosure option that now applies; and</w:t>
      </w:r>
    </w:p>
    <w:p w14:paraId="4C5848E6" w14:textId="77777777" w:rsidR="00BB7660" w:rsidRPr="00A00F6F" w:rsidRDefault="00BB7660" w:rsidP="00BB7660">
      <w:pPr>
        <w:pStyle w:val="paragraph"/>
      </w:pPr>
      <w:r w:rsidRPr="00A00F6F">
        <w:tab/>
        <w:t>(d)</w:t>
      </w:r>
      <w:r w:rsidRPr="00A00F6F">
        <w:tab/>
        <w:t>explain to them the mechanisms for changing the disclosure option again.</w:t>
      </w:r>
    </w:p>
    <w:p w14:paraId="71F16EFA" w14:textId="77777777" w:rsidR="00BB7660" w:rsidRPr="00A00F6F" w:rsidRDefault="00BB7660" w:rsidP="00BB7660">
      <w:pPr>
        <w:pStyle w:val="notetext"/>
      </w:pPr>
      <w:r w:rsidRPr="00A00F6F">
        <w:t>Note:</w:t>
      </w:r>
      <w:r w:rsidRPr="00A00F6F">
        <w:tab/>
        <w:t>This subrule is a civil penalty provision (see rule 9.8).</w:t>
      </w:r>
    </w:p>
    <w:p w14:paraId="563B5B57" w14:textId="77777777" w:rsidR="00BB7660" w:rsidRPr="00A00F6F" w:rsidRDefault="00BB7660" w:rsidP="00BB7660">
      <w:pPr>
        <w:pStyle w:val="ActHead5"/>
      </w:pPr>
      <w:r w:rsidRPr="00A00F6F">
        <w:rPr>
          <w:lang w:val="en-US"/>
        </w:rPr>
        <w:lastRenderedPageBreak/>
        <w:t xml:space="preserve"> </w:t>
      </w:r>
      <w:bookmarkStart w:id="406" w:name="_Toc111132124"/>
      <w:r w:rsidRPr="00A00F6F">
        <w:rPr>
          <w:lang w:val="en-US"/>
        </w:rPr>
        <w:t xml:space="preserve">4A.8 </w:t>
      </w:r>
      <w:r w:rsidRPr="00A00F6F">
        <w:t xml:space="preserve"> Obtaining agreement on change to a less restrictive disclosure option</w:t>
      </w:r>
      <w:bookmarkEnd w:id="406"/>
    </w:p>
    <w:p w14:paraId="3E2BEF73" w14:textId="77777777" w:rsidR="00BB7660" w:rsidRPr="00A00F6F" w:rsidRDefault="00BB7660" w:rsidP="00BB7660">
      <w:pPr>
        <w:pStyle w:val="SubsectionHead"/>
      </w:pPr>
      <w:r w:rsidRPr="00A00F6F">
        <w:t>Application of rule</w:t>
      </w:r>
    </w:p>
    <w:p w14:paraId="368DD643" w14:textId="77777777" w:rsidR="00BB7660" w:rsidRPr="00A00F6F" w:rsidRDefault="00BB7660" w:rsidP="00BB7660">
      <w:pPr>
        <w:pStyle w:val="subsection"/>
      </w:pPr>
      <w:r w:rsidRPr="00A00F6F">
        <w:tab/>
        <w:t>(1)</w:t>
      </w:r>
      <w:r w:rsidRPr="00A00F6F">
        <w:tab/>
        <w:t>This rule applies in relation to a particular joint account if:</w:t>
      </w:r>
    </w:p>
    <w:p w14:paraId="7A6186C0" w14:textId="77777777" w:rsidR="00BB7660" w:rsidRPr="00A00F6F" w:rsidRDefault="00BB7660" w:rsidP="00BB7660">
      <w:pPr>
        <w:pStyle w:val="paragraph"/>
      </w:pPr>
      <w:r w:rsidRPr="00A00F6F">
        <w:tab/>
        <w:t>(a)</w:t>
      </w:r>
      <w:r w:rsidRPr="00A00F6F">
        <w:tab/>
        <w:t>the non-disclosure option applies to the account, and a joint account holder (</w:t>
      </w:r>
      <w:r w:rsidRPr="00A00F6F">
        <w:rPr>
          <w:b/>
          <w:i/>
        </w:rPr>
        <w:t>account holder A</w:t>
      </w:r>
      <w:r w:rsidRPr="00A00F6F">
        <w:t>) proposes, using the disclosure option management service, to change to the co-approval or pre-approval disclosure option; or</w:t>
      </w:r>
    </w:p>
    <w:p w14:paraId="0A7B7FB8" w14:textId="77777777" w:rsidR="00BB7660" w:rsidRPr="00A00F6F" w:rsidRDefault="00E64AC9" w:rsidP="00BB7660">
      <w:pPr>
        <w:pStyle w:val="paragraph"/>
      </w:pPr>
      <w:r>
        <w:tab/>
      </w:r>
      <w:r w:rsidR="00BB7660" w:rsidRPr="00A00F6F">
        <w:t>(b)</w:t>
      </w:r>
      <w:r w:rsidR="00BB7660" w:rsidRPr="00A00F6F">
        <w:tab/>
        <w:t>the co-approval option applies to the account, and a joint account holder (</w:t>
      </w:r>
      <w:r w:rsidR="00BB7660" w:rsidRPr="00A00F6F">
        <w:rPr>
          <w:b/>
          <w:i/>
        </w:rPr>
        <w:t>account holder A</w:t>
      </w:r>
      <w:r w:rsidR="00BB7660" w:rsidRPr="00A00F6F">
        <w:t>) proposes, using the disclosure option management service, to change to the pre-approval option.</w:t>
      </w:r>
    </w:p>
    <w:p w14:paraId="3EDF7502" w14:textId="77777777" w:rsidR="00BB7660" w:rsidRPr="00A00F6F" w:rsidRDefault="00BB7660" w:rsidP="00BB7660">
      <w:pPr>
        <w:pStyle w:val="SubsectionHead"/>
      </w:pPr>
      <w:r w:rsidRPr="00A00F6F">
        <w:t>Inviting other account holders to respond to proposal</w:t>
      </w:r>
    </w:p>
    <w:p w14:paraId="1D98AC4A" w14:textId="77777777" w:rsidR="00BB7660" w:rsidRPr="00A00F6F" w:rsidRDefault="00BB7660" w:rsidP="00BB7660">
      <w:pPr>
        <w:pStyle w:val="subsection"/>
      </w:pPr>
      <w:r w:rsidRPr="00A00F6F">
        <w:tab/>
        <w:t>(2)</w:t>
      </w:r>
      <w:r w:rsidRPr="00A00F6F">
        <w:tab/>
        <w:t>The data holder must, as soon as practicable through its ordinary means of contacting the other joint account holders:</w:t>
      </w:r>
    </w:p>
    <w:p w14:paraId="05164F34" w14:textId="77777777" w:rsidR="00BB7660" w:rsidRPr="00A00F6F" w:rsidRDefault="00BB7660" w:rsidP="00BB7660">
      <w:pPr>
        <w:pStyle w:val="paragraph"/>
      </w:pPr>
      <w:r w:rsidRPr="00A00F6F">
        <w:tab/>
        <w:t>(a)</w:t>
      </w:r>
      <w:r w:rsidRPr="00A00F6F">
        <w:tab/>
        <w:t>explain to each of them what the consumer data right is; and</w:t>
      </w:r>
    </w:p>
    <w:p w14:paraId="43E939D5" w14:textId="77777777" w:rsidR="00BB7660" w:rsidRPr="00A00F6F" w:rsidRDefault="00BB7660" w:rsidP="00BB7660">
      <w:pPr>
        <w:pStyle w:val="paragraph"/>
      </w:pPr>
      <w:r w:rsidRPr="00A00F6F">
        <w:tab/>
        <w:t>(b)</w:t>
      </w:r>
      <w:r w:rsidRPr="00A00F6F">
        <w:tab/>
        <w:t>inform them which disclosure option currently applies to the account; and</w:t>
      </w:r>
    </w:p>
    <w:p w14:paraId="655C8634" w14:textId="77777777" w:rsidR="00BB7660" w:rsidRPr="00A00F6F" w:rsidRDefault="00BB7660" w:rsidP="00BB7660">
      <w:pPr>
        <w:pStyle w:val="paragraph"/>
      </w:pPr>
      <w:r w:rsidRPr="00A00F6F">
        <w:tab/>
        <w:t>(c)</w:t>
      </w:r>
      <w:r w:rsidRPr="00A00F6F">
        <w:tab/>
        <w:t>inform them that account holder A has proposed that the co-approval or pre-approval option apply to the account, as the case may be; and</w:t>
      </w:r>
    </w:p>
    <w:p w14:paraId="29957353" w14:textId="77777777" w:rsidR="00BB7660" w:rsidRPr="00A00F6F" w:rsidRDefault="00BB7660" w:rsidP="00BB7660">
      <w:pPr>
        <w:pStyle w:val="paragraph"/>
      </w:pPr>
      <w:r w:rsidRPr="00A00F6F">
        <w:tab/>
        <w:t>(d)</w:t>
      </w:r>
      <w:r w:rsidRPr="00A00F6F">
        <w:tab/>
        <w:t>explain to them that this change requires the agreement of all account holders; and</w:t>
      </w:r>
    </w:p>
    <w:p w14:paraId="65760959" w14:textId="77777777" w:rsidR="00BB7660" w:rsidRPr="00A00F6F" w:rsidRDefault="00BB7660" w:rsidP="00BB7660">
      <w:pPr>
        <w:pStyle w:val="paragraph"/>
      </w:pPr>
      <w:r w:rsidRPr="00A00F6F">
        <w:tab/>
        <w:t>(e)</w:t>
      </w:r>
      <w:r w:rsidRPr="00A00F6F">
        <w:tab/>
        <w:t>explain to them any alternative options for change that are available and how they can be made; and</w:t>
      </w:r>
    </w:p>
    <w:p w14:paraId="7C517F22" w14:textId="77777777" w:rsidR="00BB7660" w:rsidRPr="00A00F6F" w:rsidRDefault="00BB7660" w:rsidP="00BB7660">
      <w:pPr>
        <w:pStyle w:val="paragraph"/>
      </w:pPr>
      <w:r w:rsidRPr="00A00F6F">
        <w:tab/>
        <w:t>(f)</w:t>
      </w:r>
      <w:r w:rsidRPr="00A00F6F">
        <w:tab/>
        <w:t>invite them to either agree to or reject the proposal within a specified period.</w:t>
      </w:r>
    </w:p>
    <w:p w14:paraId="5D873974" w14:textId="77777777" w:rsidR="00BB7660" w:rsidRPr="00A00F6F" w:rsidRDefault="00BB7660" w:rsidP="00BB7660">
      <w:pPr>
        <w:pStyle w:val="notetext"/>
      </w:pPr>
      <w:r w:rsidRPr="00A00F6F">
        <w:t>Note:</w:t>
      </w:r>
      <w:r w:rsidRPr="00A00F6F">
        <w:tab/>
        <w:t>This subrule is a civil penalty provision (see rule 9.8).</w:t>
      </w:r>
    </w:p>
    <w:p w14:paraId="27B40BF5" w14:textId="77777777" w:rsidR="00BB7660" w:rsidRPr="00A00F6F" w:rsidRDefault="00BB7660" w:rsidP="00BB7660">
      <w:pPr>
        <w:pStyle w:val="subsection"/>
      </w:pPr>
      <w:r w:rsidRPr="00A00F6F">
        <w:tab/>
        <w:t>(3)</w:t>
      </w:r>
      <w:r w:rsidRPr="00A00F6F">
        <w:tab/>
        <w:t>At the end of the specified period, the data holder must, as soon as practicable through its ordinary means of contacting the joint account holders, inform them whether:</w:t>
      </w:r>
    </w:p>
    <w:p w14:paraId="413B704C" w14:textId="77777777" w:rsidR="00BB7660" w:rsidRPr="00A00F6F" w:rsidRDefault="00BB7660" w:rsidP="00BB7660">
      <w:pPr>
        <w:pStyle w:val="paragraph"/>
      </w:pPr>
      <w:r w:rsidRPr="00A00F6F">
        <w:tab/>
        <w:t>(a)</w:t>
      </w:r>
      <w:r w:rsidRPr="00A00F6F">
        <w:tab/>
        <w:t>all the joint account holders have approved the change, and as a result the new disclosure option applies to the joint account; or</w:t>
      </w:r>
    </w:p>
    <w:p w14:paraId="204FF997" w14:textId="77777777" w:rsidR="00BB7660" w:rsidRPr="00A00F6F" w:rsidRDefault="00BB7660" w:rsidP="00BB7660">
      <w:pPr>
        <w:pStyle w:val="paragraph"/>
      </w:pPr>
      <w:r w:rsidRPr="00A00F6F">
        <w:tab/>
        <w:t>(b)</w:t>
      </w:r>
      <w:r w:rsidRPr="00A00F6F">
        <w:tab/>
        <w:t>not all the joint account holders have approved the change, and as a result the disclosure option is unchanged.</w:t>
      </w:r>
    </w:p>
    <w:p w14:paraId="3726D180" w14:textId="77777777" w:rsidR="00BB7660" w:rsidRPr="00A00F6F" w:rsidRDefault="00BB7660" w:rsidP="00BB7660">
      <w:pPr>
        <w:pStyle w:val="notetext"/>
      </w:pPr>
      <w:r w:rsidRPr="00A00F6F">
        <w:t>Note:</w:t>
      </w:r>
      <w:r w:rsidRPr="00A00F6F">
        <w:tab/>
        <w:t>This subrule is a civil penalty provision (see rule 9.8).</w:t>
      </w:r>
    </w:p>
    <w:p w14:paraId="673FE574" w14:textId="77777777" w:rsidR="00BB7660" w:rsidRPr="00A00F6F" w:rsidRDefault="00BB7660" w:rsidP="00BB7660">
      <w:pPr>
        <w:pStyle w:val="ActHead3"/>
      </w:pPr>
      <w:bookmarkStart w:id="407" w:name="_Toc111132125"/>
      <w:r w:rsidRPr="00A00F6F">
        <w:t>Division 4A.3—Consumer data requests that relate to joint accounts</w:t>
      </w:r>
      <w:bookmarkEnd w:id="407"/>
    </w:p>
    <w:p w14:paraId="195277B2" w14:textId="77777777" w:rsidR="00BB7660" w:rsidRPr="00A00F6F" w:rsidRDefault="00BB7660" w:rsidP="00BB7660">
      <w:pPr>
        <w:pStyle w:val="ActHead4"/>
      </w:pPr>
      <w:bookmarkStart w:id="408" w:name="_Toc111132126"/>
      <w:r w:rsidRPr="00A00F6F">
        <w:t>Subdivision 4A.3.1—Preliminary</w:t>
      </w:r>
      <w:bookmarkEnd w:id="408"/>
    </w:p>
    <w:p w14:paraId="0BC6B85E" w14:textId="77777777" w:rsidR="00BB7660" w:rsidRPr="00A00F6F" w:rsidRDefault="00BB7660" w:rsidP="00BB7660">
      <w:pPr>
        <w:pStyle w:val="ActHead5"/>
        <w:rPr>
          <w:lang w:val="en-US"/>
        </w:rPr>
      </w:pPr>
      <w:bookmarkStart w:id="409" w:name="_Toc111132127"/>
      <w:r w:rsidRPr="00A00F6F">
        <w:rPr>
          <w:lang w:val="en-US"/>
        </w:rPr>
        <w:t xml:space="preserve">4A.9 </w:t>
      </w:r>
      <w:r w:rsidR="00E64AC9">
        <w:rPr>
          <w:lang w:val="en-US"/>
        </w:rPr>
        <w:t xml:space="preserve"> </w:t>
      </w:r>
      <w:r w:rsidRPr="00A00F6F">
        <w:rPr>
          <w:lang w:val="en-US"/>
        </w:rPr>
        <w:t>Application of Division</w:t>
      </w:r>
      <w:bookmarkEnd w:id="409"/>
    </w:p>
    <w:p w14:paraId="619B9350" w14:textId="77777777" w:rsidR="00BB7660" w:rsidRPr="00A00F6F" w:rsidRDefault="00BB7660" w:rsidP="00BB7660">
      <w:pPr>
        <w:pStyle w:val="subsection"/>
        <w:rPr>
          <w:lang w:val="en-US"/>
        </w:rPr>
      </w:pPr>
      <w:r w:rsidRPr="00A00F6F">
        <w:rPr>
          <w:lang w:val="en-US"/>
        </w:rPr>
        <w:tab/>
        <w:t>(1)</w:t>
      </w:r>
      <w:r w:rsidRPr="00A00F6F">
        <w:rPr>
          <w:lang w:val="en-US"/>
        </w:rPr>
        <w:tab/>
        <w:t>This Division applies in relation to a consumer data request to a data holder under Part 4 where the CDR data requested includes joint account data.</w:t>
      </w:r>
    </w:p>
    <w:p w14:paraId="286F4180" w14:textId="77777777" w:rsidR="00BB7660" w:rsidRPr="00A00F6F" w:rsidRDefault="00BB7660" w:rsidP="00BB7660">
      <w:pPr>
        <w:pStyle w:val="subsection"/>
        <w:rPr>
          <w:lang w:val="en-US"/>
        </w:rPr>
      </w:pPr>
      <w:r w:rsidRPr="00A00F6F">
        <w:rPr>
          <w:lang w:val="en-US"/>
        </w:rPr>
        <w:lastRenderedPageBreak/>
        <w:tab/>
        <w:t>(2)</w:t>
      </w:r>
      <w:r w:rsidRPr="00A00F6F">
        <w:rPr>
          <w:lang w:val="en-US"/>
        </w:rPr>
        <w:tab/>
        <w:t>If the CDR data requested includes joint account data in relation to more than one joint account, this Division applies separately in relation to each such joint account.</w:t>
      </w:r>
    </w:p>
    <w:p w14:paraId="4F309262" w14:textId="77777777" w:rsidR="00BB7660" w:rsidRPr="00A00F6F" w:rsidRDefault="00BB7660" w:rsidP="00BB7660">
      <w:pPr>
        <w:pStyle w:val="subsection"/>
        <w:rPr>
          <w:lang w:val="en-US"/>
        </w:rPr>
      </w:pPr>
      <w:r w:rsidRPr="00A00F6F">
        <w:rPr>
          <w:lang w:val="en-US"/>
        </w:rPr>
        <w:tab/>
        <w:t>(3)</w:t>
      </w:r>
      <w:r w:rsidRPr="00A00F6F">
        <w:rPr>
          <w:lang w:val="en-US"/>
        </w:rPr>
        <w:tab/>
        <w:t>In this Division a reference to a consumer data request is a reference to the consumer data request only to the extent that it relates to a particular joint account.</w:t>
      </w:r>
    </w:p>
    <w:p w14:paraId="156C8D00" w14:textId="77777777" w:rsidR="00BB7660" w:rsidRPr="00A00F6F" w:rsidRDefault="00BB7660" w:rsidP="00BB7660">
      <w:pPr>
        <w:pStyle w:val="ActHead4"/>
      </w:pPr>
      <w:bookmarkStart w:id="410" w:name="_Toc111132128"/>
      <w:r w:rsidRPr="00A00F6F">
        <w:rPr>
          <w:lang w:val="en-US"/>
        </w:rPr>
        <w:t>Subdivision  4A.3.2</w:t>
      </w:r>
      <w:r w:rsidRPr="00A00F6F">
        <w:t>—</w:t>
      </w:r>
      <w:r w:rsidRPr="00A00F6F">
        <w:rPr>
          <w:lang w:val="en-US"/>
        </w:rPr>
        <w:t xml:space="preserve">How </w:t>
      </w:r>
      <w:r w:rsidRPr="00A00F6F">
        <w:t>consumer data requests to data holders under Part 4 that relate to joint accounts are handled</w:t>
      </w:r>
      <w:bookmarkEnd w:id="410"/>
    </w:p>
    <w:p w14:paraId="0069F2D9" w14:textId="77777777" w:rsidR="00BB7660" w:rsidRPr="00A00F6F" w:rsidRDefault="00BB7660" w:rsidP="00BB7660">
      <w:pPr>
        <w:pStyle w:val="ActHead5"/>
      </w:pPr>
      <w:bookmarkStart w:id="411" w:name="_Toc111132129"/>
      <w:r w:rsidRPr="00A00F6F">
        <w:t>4A.10  How data holder is to deal with a consumer data request</w:t>
      </w:r>
      <w:bookmarkEnd w:id="411"/>
    </w:p>
    <w:p w14:paraId="7B962AFF" w14:textId="77777777" w:rsidR="00BB7660" w:rsidRPr="00A00F6F" w:rsidRDefault="00BB7660" w:rsidP="00BB7660">
      <w:pPr>
        <w:pStyle w:val="subsection"/>
      </w:pPr>
      <w:r w:rsidRPr="00A00F6F">
        <w:tab/>
        <w:t>(1)</w:t>
      </w:r>
      <w:r w:rsidRPr="00A00F6F">
        <w:tab/>
        <w:t>This rule applies when the data holder receives a consumer data request to which this Division applies.</w:t>
      </w:r>
    </w:p>
    <w:p w14:paraId="4AFC735F" w14:textId="77777777" w:rsidR="00BB7660" w:rsidRPr="00A00F6F" w:rsidRDefault="00BB7660" w:rsidP="00BB7660">
      <w:pPr>
        <w:pStyle w:val="notetext"/>
      </w:pPr>
      <w:r w:rsidRPr="00A00F6F">
        <w:t>Note:</w:t>
      </w:r>
      <w:r w:rsidRPr="00A00F6F">
        <w:tab/>
        <w:t>Under rule 4A.5, data holders are required to offer the pre-approval disclosure option, which applies by default.  Data holders may, but are not required to, offer the co-approval option.</w:t>
      </w:r>
    </w:p>
    <w:p w14:paraId="51E2D99B" w14:textId="77777777" w:rsidR="00BB7660" w:rsidRPr="00A00F6F" w:rsidRDefault="00BB7660" w:rsidP="00BB7660">
      <w:pPr>
        <w:pStyle w:val="SubsectionHead"/>
      </w:pPr>
      <w:r w:rsidRPr="00A00F6F">
        <w:t>Pre-approval option</w:t>
      </w:r>
    </w:p>
    <w:p w14:paraId="06C2DDD6" w14:textId="77777777" w:rsidR="00BB7660" w:rsidRPr="00A00F6F" w:rsidRDefault="00BB7660" w:rsidP="00BB7660">
      <w:pPr>
        <w:pStyle w:val="subsection"/>
      </w:pPr>
      <w:r w:rsidRPr="00A00F6F">
        <w:tab/>
        <w:t>(2)</w:t>
      </w:r>
      <w:r w:rsidRPr="00A00F6F">
        <w:tab/>
        <w:t>If the pre</w:t>
      </w:r>
      <w:r w:rsidRPr="00A00F6F">
        <w:noBreakHyphen/>
        <w:t>approval option applies to the joint account, rules 4.5 to 4.7 apply subject to subrule (3).</w:t>
      </w:r>
    </w:p>
    <w:p w14:paraId="7CC51C00" w14:textId="77777777" w:rsidR="00BB7660" w:rsidRPr="00A00F6F" w:rsidRDefault="00BB7660" w:rsidP="00BB7660">
      <w:pPr>
        <w:pStyle w:val="subsection"/>
      </w:pPr>
      <w:r w:rsidRPr="00A00F6F">
        <w:tab/>
        <w:t>(3)</w:t>
      </w:r>
      <w:r w:rsidRPr="00A00F6F">
        <w:tab/>
        <w:t>If a relevant account holder has withdrawn their approval using their consumer dashboard, the data holder must not disclose any, or any further, requested CDR data.</w:t>
      </w:r>
    </w:p>
    <w:p w14:paraId="30D03439" w14:textId="77777777" w:rsidR="00BB7660" w:rsidRPr="00A00F6F" w:rsidRDefault="00BB7660" w:rsidP="00BB7660">
      <w:pPr>
        <w:pStyle w:val="SubsectionHead"/>
      </w:pPr>
      <w:r w:rsidRPr="00A00F6F">
        <w:t>Co</w:t>
      </w:r>
      <w:r w:rsidRPr="00A00F6F">
        <w:noBreakHyphen/>
        <w:t>approval option</w:t>
      </w:r>
    </w:p>
    <w:p w14:paraId="3E702AE0" w14:textId="77777777" w:rsidR="00BB7660" w:rsidRPr="00A00F6F" w:rsidRDefault="00BB7660" w:rsidP="00BB7660">
      <w:pPr>
        <w:pStyle w:val="subsection"/>
      </w:pPr>
      <w:r w:rsidRPr="00A00F6F">
        <w:tab/>
        <w:t>(4)</w:t>
      </w:r>
      <w:r w:rsidRPr="00A00F6F">
        <w:tab/>
        <w:t>If the co</w:t>
      </w:r>
      <w:r w:rsidRPr="00A00F6F">
        <w:noBreakHyphen/>
        <w:t>approval option applies to the joint account, the data holder must, subject to subrule (5):</w:t>
      </w:r>
    </w:p>
    <w:p w14:paraId="7029A7BE" w14:textId="77777777" w:rsidR="00BB7660" w:rsidRPr="00A00F6F" w:rsidRDefault="00BB7660" w:rsidP="00BB7660">
      <w:pPr>
        <w:pStyle w:val="paragraph"/>
      </w:pPr>
      <w:r w:rsidRPr="00A00F6F">
        <w:tab/>
        <w:t>(a)</w:t>
      </w:r>
      <w:r w:rsidRPr="00A00F6F">
        <w:tab/>
        <w:t>ask the requester for authorisation in accordance with rule 4.5 and Division 4.4; and</w:t>
      </w:r>
    </w:p>
    <w:p w14:paraId="09151219" w14:textId="77777777" w:rsidR="00BB7660" w:rsidRPr="00A00F6F" w:rsidRDefault="00BB7660" w:rsidP="00BB7660">
      <w:pPr>
        <w:pStyle w:val="paragraph"/>
      </w:pPr>
      <w:r w:rsidRPr="00A00F6F">
        <w:tab/>
        <w:t>(b)</w:t>
      </w:r>
      <w:r w:rsidRPr="00A00F6F">
        <w:tab/>
        <w:t>if the authorisation is given, invite the approval of the relevant account holders in accordance with rule 4A.11; and</w:t>
      </w:r>
    </w:p>
    <w:p w14:paraId="0863F61E" w14:textId="77777777" w:rsidR="00BB7660" w:rsidRPr="00A00F6F" w:rsidRDefault="00BB7660" w:rsidP="00BB7660">
      <w:pPr>
        <w:pStyle w:val="paragraph"/>
      </w:pPr>
      <w:r w:rsidRPr="00A00F6F">
        <w:tab/>
        <w:t>(c)</w:t>
      </w:r>
      <w:r w:rsidRPr="00A00F6F">
        <w:tab/>
        <w:t>if all the relevant account holders give their approval, or are taken to have given their approval, comply with rules 4.6 to 4.7.</w:t>
      </w:r>
    </w:p>
    <w:p w14:paraId="7DE596BD" w14:textId="77777777" w:rsidR="00BB7660" w:rsidRPr="00A00F6F" w:rsidRDefault="00BB7660" w:rsidP="00BB7660">
      <w:pPr>
        <w:pStyle w:val="notetext"/>
      </w:pPr>
      <w:r w:rsidRPr="00A00F6F">
        <w:t>Note:</w:t>
      </w:r>
      <w:r w:rsidRPr="00A00F6F">
        <w:tab/>
        <w:t>The data holder must provide each relevant account holder with a consumer dashboard in accordance with rule 4A.13.</w:t>
      </w:r>
    </w:p>
    <w:p w14:paraId="6BD4D98D" w14:textId="77777777" w:rsidR="00BB7660" w:rsidRPr="00A00F6F" w:rsidRDefault="00BB7660" w:rsidP="00BB7660">
      <w:pPr>
        <w:pStyle w:val="subsection"/>
      </w:pPr>
      <w:r w:rsidRPr="00A00F6F">
        <w:tab/>
        <w:t>(5)</w:t>
      </w:r>
      <w:r w:rsidRPr="00A00F6F">
        <w:tab/>
        <w:t>If a relevant account holder who approved the disclosure in accordance with rule 4A.11 within the time specified has withdrawn the approval using their consumer dashboard, the data holder must not disclose any, or any further, requested CDR data.</w:t>
      </w:r>
    </w:p>
    <w:p w14:paraId="5FAAF107" w14:textId="77777777" w:rsidR="00BB7660" w:rsidRPr="00A00F6F" w:rsidRDefault="00BB7660" w:rsidP="00BB7660">
      <w:pPr>
        <w:pStyle w:val="SubsectionHead"/>
      </w:pPr>
      <w:r w:rsidRPr="00A00F6F">
        <w:t>Non-disclosure option</w:t>
      </w:r>
    </w:p>
    <w:p w14:paraId="3BED8EA8" w14:textId="77777777" w:rsidR="00BB7660" w:rsidRPr="00A00F6F" w:rsidRDefault="00BB7660" w:rsidP="00BB7660">
      <w:pPr>
        <w:pStyle w:val="subsection"/>
      </w:pPr>
      <w:r w:rsidRPr="00A00F6F">
        <w:tab/>
        <w:t>(6)</w:t>
      </w:r>
      <w:r w:rsidRPr="00A00F6F">
        <w:tab/>
        <w:t>If the non-disclosure option applies to the joint account, the data holder must refuse to disclose the requested CDR data.</w:t>
      </w:r>
    </w:p>
    <w:p w14:paraId="23869933" w14:textId="77777777" w:rsidR="00BB7660" w:rsidRPr="00A00F6F" w:rsidRDefault="00BB7660" w:rsidP="00BB7660">
      <w:pPr>
        <w:pStyle w:val="ActHead5"/>
      </w:pPr>
      <w:bookmarkStart w:id="412" w:name="_Toc111132130"/>
      <w:r w:rsidRPr="00A00F6F">
        <w:rPr>
          <w:lang w:val="en-US"/>
        </w:rPr>
        <w:lastRenderedPageBreak/>
        <w:t xml:space="preserve">4A.11 </w:t>
      </w:r>
      <w:r w:rsidR="00E64AC9">
        <w:rPr>
          <w:lang w:val="en-US"/>
        </w:rPr>
        <w:t xml:space="preserve"> </w:t>
      </w:r>
      <w:r w:rsidRPr="00A00F6F">
        <w:t>Asking relevant account holders for approval to disclose joint account data</w:t>
      </w:r>
      <w:bookmarkEnd w:id="412"/>
    </w:p>
    <w:p w14:paraId="7DB00F04" w14:textId="77777777" w:rsidR="00BB7660" w:rsidRPr="00A00F6F" w:rsidRDefault="00BB7660" w:rsidP="00BB7660">
      <w:pPr>
        <w:pStyle w:val="subsection"/>
      </w:pPr>
      <w:r w:rsidRPr="00A00F6F">
        <w:tab/>
      </w:r>
      <w:r w:rsidRPr="00A00F6F">
        <w:tab/>
        <w:t>For the purposes of paragraph 4A.10(4)(b), the data holder must, through its ordinary means of contacting each relevant account holder:</w:t>
      </w:r>
    </w:p>
    <w:p w14:paraId="663D1652" w14:textId="77777777" w:rsidR="00BB7660" w:rsidRPr="00A00F6F" w:rsidRDefault="00BB7660" w:rsidP="00BB7660">
      <w:pPr>
        <w:pStyle w:val="paragraph"/>
      </w:pPr>
      <w:r w:rsidRPr="00A00F6F">
        <w:tab/>
        <w:t>(a)</w:t>
      </w:r>
      <w:r w:rsidRPr="00A00F6F">
        <w:tab/>
        <w:t>indicate that an accredited person has requested disclosure of CDR data that relates to the joint account on behalf of the requester; and</w:t>
      </w:r>
    </w:p>
    <w:p w14:paraId="508E2A05" w14:textId="77777777" w:rsidR="00BB7660" w:rsidRPr="00A00F6F" w:rsidRDefault="00BB7660" w:rsidP="00BB7660">
      <w:pPr>
        <w:pStyle w:val="paragraph"/>
      </w:pPr>
      <w:r w:rsidRPr="00A00F6F">
        <w:tab/>
        <w:t>(b)</w:t>
      </w:r>
      <w:r w:rsidRPr="00A00F6F">
        <w:tab/>
        <w:t>indicate that:</w:t>
      </w:r>
    </w:p>
    <w:p w14:paraId="78EEE0AC" w14:textId="77777777" w:rsidR="00BB7660" w:rsidRPr="00A00F6F" w:rsidRDefault="00BB7660" w:rsidP="00BB7660">
      <w:pPr>
        <w:pStyle w:val="paragraphsub"/>
      </w:pPr>
      <w:r w:rsidRPr="00A00F6F">
        <w:tab/>
        <w:t>(i)</w:t>
      </w:r>
      <w:r w:rsidRPr="00A00F6F">
        <w:tab/>
        <w:t>the requester has authorised, under Division 4.4, the disclosure of the joint account data; and</w:t>
      </w:r>
    </w:p>
    <w:p w14:paraId="7F2E2509" w14:textId="77777777" w:rsidR="00BB7660" w:rsidRPr="00A00F6F" w:rsidRDefault="00BB7660" w:rsidP="00BB7660">
      <w:pPr>
        <w:pStyle w:val="paragraphsub"/>
      </w:pPr>
      <w:r w:rsidRPr="00A00F6F">
        <w:tab/>
        <w:t>(ii)</w:t>
      </w:r>
      <w:r w:rsidRPr="00A00F6F">
        <w:tab/>
        <w:t>a co</w:t>
      </w:r>
      <w:r w:rsidRPr="00A00F6F">
        <w:noBreakHyphen/>
        <w:t>approval option applies to the joint account; and</w:t>
      </w:r>
    </w:p>
    <w:p w14:paraId="284FC288" w14:textId="77777777" w:rsidR="00BB7660" w:rsidRPr="00A00F6F" w:rsidRDefault="00BB7660" w:rsidP="00BB7660">
      <w:pPr>
        <w:pStyle w:val="paragraph"/>
      </w:pPr>
      <w:r w:rsidRPr="00A00F6F">
        <w:tab/>
        <w:t>(c)</w:t>
      </w:r>
      <w:r w:rsidRPr="00A00F6F">
        <w:tab/>
        <w:t>indicate the matters referred to in paragraphs 4.23(1)(a), (b), (c), (d) and (e)  so far as they relate to the request; and</w:t>
      </w:r>
    </w:p>
    <w:p w14:paraId="16E6A36A" w14:textId="77777777" w:rsidR="00BB7660" w:rsidRPr="00A00F6F" w:rsidRDefault="00BB7660" w:rsidP="00BB7660">
      <w:pPr>
        <w:pStyle w:val="paragraph"/>
      </w:pPr>
      <w:r w:rsidRPr="00A00F6F">
        <w:tab/>
        <w:t>(d)</w:t>
      </w:r>
      <w:r w:rsidRPr="00A00F6F">
        <w:tab/>
        <w:t>ask the relevant account holder to approve or not approve disclosure of the joint account data; and</w:t>
      </w:r>
    </w:p>
    <w:p w14:paraId="2917E257" w14:textId="77777777" w:rsidR="00BB7660" w:rsidRPr="00A00F6F" w:rsidRDefault="00BB7660" w:rsidP="00BB7660">
      <w:pPr>
        <w:pStyle w:val="paragraph"/>
      </w:pPr>
      <w:r w:rsidRPr="00A00F6F">
        <w:tab/>
        <w:t>(e)</w:t>
      </w:r>
      <w:r w:rsidRPr="00A00F6F">
        <w:tab/>
        <w:t>specify the time by which the data holder needs to receive any approval, and inform them that if an approval is not received by that time, the joint account data will not be disclosed; and</w:t>
      </w:r>
    </w:p>
    <w:p w14:paraId="1452EC5D" w14:textId="77777777" w:rsidR="00BB7660" w:rsidRPr="00A00F6F" w:rsidRDefault="00BB7660" w:rsidP="00BB7660">
      <w:pPr>
        <w:pStyle w:val="paragraph"/>
      </w:pPr>
      <w:r w:rsidRPr="00A00F6F">
        <w:tab/>
        <w:t>(f)</w:t>
      </w:r>
      <w:r w:rsidRPr="00A00F6F">
        <w:tab/>
        <w:t>inform them that any relevant account holder may, at any time, withdraw the approval using their consumer dashboard; and</w:t>
      </w:r>
    </w:p>
    <w:p w14:paraId="4C426D92" w14:textId="77777777" w:rsidR="00BB7660" w:rsidRPr="00A00F6F" w:rsidRDefault="00BB7660" w:rsidP="00BB7660">
      <w:pPr>
        <w:pStyle w:val="paragraph"/>
      </w:pPr>
      <w:r w:rsidRPr="00A00F6F">
        <w:tab/>
        <w:t>(g)</w:t>
      </w:r>
      <w:r w:rsidRPr="00A00F6F">
        <w:tab/>
        <w:t>indicate what the effect of removing the approval would be.</w:t>
      </w:r>
    </w:p>
    <w:p w14:paraId="2B726650" w14:textId="77777777" w:rsidR="00BB7660" w:rsidRPr="00A00F6F" w:rsidRDefault="00BB7660" w:rsidP="00BB7660">
      <w:pPr>
        <w:pStyle w:val="notetext"/>
      </w:pPr>
      <w:r w:rsidRPr="00A00F6F">
        <w:t>Note:</w:t>
      </w:r>
      <w:r w:rsidRPr="00A00F6F">
        <w:tab/>
        <w:t>For removal of an approval, see rule 4A.12.</w:t>
      </w:r>
    </w:p>
    <w:p w14:paraId="5ECBD098" w14:textId="77777777" w:rsidR="00BB7660" w:rsidRPr="00A00F6F" w:rsidRDefault="00BB7660" w:rsidP="00BB7660">
      <w:pPr>
        <w:pStyle w:val="ActHead5"/>
      </w:pPr>
      <w:bookmarkStart w:id="413" w:name="_Toc111132131"/>
      <w:r w:rsidRPr="00A00F6F">
        <w:rPr>
          <w:lang w:val="en-US"/>
        </w:rPr>
        <w:t xml:space="preserve">4A.12 </w:t>
      </w:r>
      <w:r w:rsidR="00E64AC9">
        <w:rPr>
          <w:lang w:val="en-US"/>
        </w:rPr>
        <w:t xml:space="preserve"> </w:t>
      </w:r>
      <w:r w:rsidRPr="00A00F6F">
        <w:t>Continuation and removal of approvals</w:t>
      </w:r>
      <w:bookmarkEnd w:id="413"/>
    </w:p>
    <w:p w14:paraId="4C0E46A3" w14:textId="77777777" w:rsidR="00BB7660" w:rsidRPr="00A00F6F" w:rsidRDefault="00BB7660" w:rsidP="00BB7660">
      <w:pPr>
        <w:pStyle w:val="subsection"/>
      </w:pPr>
      <w:r w:rsidRPr="00A00F6F">
        <w:tab/>
        <w:t>(1)</w:t>
      </w:r>
      <w:r w:rsidRPr="00A00F6F">
        <w:tab/>
        <w:t>If a relevant account holder:</w:t>
      </w:r>
    </w:p>
    <w:p w14:paraId="5AB8B8E0" w14:textId="77777777" w:rsidR="00BB7660" w:rsidRPr="00A00F6F" w:rsidRDefault="00BB7660" w:rsidP="00BB7660">
      <w:pPr>
        <w:pStyle w:val="paragraph"/>
      </w:pPr>
      <w:r w:rsidRPr="00A00F6F">
        <w:tab/>
        <w:t>(a)</w:t>
      </w:r>
      <w:r w:rsidRPr="00A00F6F">
        <w:tab/>
        <w:t>approves of the disclosure of joint account data in accordance with this Division; or</w:t>
      </w:r>
    </w:p>
    <w:p w14:paraId="7B994529" w14:textId="77777777" w:rsidR="00BB7660" w:rsidRPr="00A00F6F" w:rsidRDefault="00BB7660" w:rsidP="00BB7660">
      <w:pPr>
        <w:pStyle w:val="paragraph"/>
      </w:pPr>
      <w:r w:rsidRPr="00A00F6F">
        <w:tab/>
        <w:t>(b)</w:t>
      </w:r>
      <w:r w:rsidRPr="00A00F6F">
        <w:tab/>
        <w:t>is taken to have approved of the disclosure under the pre-approval option;</w:t>
      </w:r>
    </w:p>
    <w:p w14:paraId="41FF234A" w14:textId="77777777" w:rsidR="00BB7660" w:rsidRPr="00A00F6F" w:rsidRDefault="00BB7660" w:rsidP="00BB7660">
      <w:pPr>
        <w:pStyle w:val="subsection20"/>
      </w:pPr>
      <w:r w:rsidRPr="00A00F6F">
        <w:tab/>
      </w:r>
      <w:r w:rsidRPr="00A00F6F">
        <w:tab/>
        <w:t>the approval is taken to apply while the authorisation referred to in paragraph 4A.10(4)(b) is current, unless withdrawn sooner in accordance with this Division.</w:t>
      </w:r>
    </w:p>
    <w:p w14:paraId="73F9AF36" w14:textId="77777777" w:rsidR="00BB7660" w:rsidRPr="00A00F6F" w:rsidRDefault="00BB7660" w:rsidP="00BB7660">
      <w:pPr>
        <w:pStyle w:val="subsection"/>
      </w:pPr>
      <w:r w:rsidRPr="00A00F6F">
        <w:tab/>
        <w:t>(2)</w:t>
      </w:r>
      <w:r w:rsidRPr="00A00F6F">
        <w:tab/>
        <w:t>Any relevant account holder may withdraw an approval given under this Division at any time, using their consumer dashboard.</w:t>
      </w:r>
    </w:p>
    <w:p w14:paraId="4CC3A8F2" w14:textId="77777777" w:rsidR="00BB7660" w:rsidRPr="00A00F6F" w:rsidRDefault="00BB7660" w:rsidP="00BB7660">
      <w:pPr>
        <w:pStyle w:val="ActHead5"/>
      </w:pPr>
      <w:bookmarkStart w:id="414" w:name="_Toc111132132"/>
      <w:r w:rsidRPr="00A00F6F">
        <w:t>4A.13  Consumer dashboard for joint account holders</w:t>
      </w:r>
      <w:bookmarkEnd w:id="414"/>
      <w:r w:rsidRPr="00A00F6F">
        <w:t xml:space="preserve"> </w:t>
      </w:r>
    </w:p>
    <w:p w14:paraId="09352F59" w14:textId="77777777" w:rsidR="00BB7660" w:rsidRPr="00A00F6F" w:rsidRDefault="00BB7660" w:rsidP="00BB7660">
      <w:pPr>
        <w:pStyle w:val="notemargin"/>
      </w:pPr>
      <w:r w:rsidRPr="00A00F6F">
        <w:t>Note:</w:t>
      </w:r>
      <w:r w:rsidRPr="00A00F6F">
        <w:tab/>
        <w:t>Where this Division applies, the data holder must provide a consumer dashboard for the requester under rule 1.15.  Under this rule, in some circumstances, the data holder must also provide a consumer dashboard for each relevant account holder and the dashboards must have additional functionality.</w:t>
      </w:r>
    </w:p>
    <w:p w14:paraId="58661E3B" w14:textId="77777777" w:rsidR="00BB7660" w:rsidRPr="00A00F6F" w:rsidRDefault="00BB7660" w:rsidP="00BB7660">
      <w:pPr>
        <w:pStyle w:val="SubsectionHead"/>
      </w:pPr>
      <w:r w:rsidRPr="00A00F6F">
        <w:t>Obligation for data holder to provide relevant account holders with consumer dashboard</w:t>
      </w:r>
    </w:p>
    <w:p w14:paraId="60A2A06A" w14:textId="77777777" w:rsidR="00BB7660" w:rsidRPr="00A00F6F" w:rsidRDefault="00BB7660" w:rsidP="00BB7660">
      <w:pPr>
        <w:pStyle w:val="subsection"/>
      </w:pPr>
      <w:r w:rsidRPr="00A00F6F">
        <w:tab/>
        <w:t>(1)</w:t>
      </w:r>
      <w:r w:rsidRPr="00A00F6F">
        <w:tab/>
        <w:t>Where:</w:t>
      </w:r>
    </w:p>
    <w:p w14:paraId="59F0DA53" w14:textId="77777777" w:rsidR="00BB7660" w:rsidRPr="00A00F6F" w:rsidRDefault="00BB7660" w:rsidP="00BB7660">
      <w:pPr>
        <w:pStyle w:val="paragraph"/>
      </w:pPr>
      <w:r w:rsidRPr="00A00F6F">
        <w:tab/>
        <w:t>(a)</w:t>
      </w:r>
      <w:r w:rsidRPr="00A00F6F">
        <w:tab/>
        <w:t>this Division applies in relation to a consumer data request; and</w:t>
      </w:r>
    </w:p>
    <w:p w14:paraId="07F47780" w14:textId="77777777" w:rsidR="00BB7660" w:rsidRPr="00A00F6F" w:rsidRDefault="00BB7660" w:rsidP="00BB7660">
      <w:pPr>
        <w:pStyle w:val="paragraph"/>
      </w:pPr>
      <w:r w:rsidRPr="00A00F6F">
        <w:tab/>
        <w:t>(b)</w:t>
      </w:r>
      <w:r w:rsidRPr="00A00F6F">
        <w:tab/>
        <w:t>either the co-approval option or the pre-approval option applies, or has applied, to the joint account;</w:t>
      </w:r>
    </w:p>
    <w:p w14:paraId="489918B4" w14:textId="77777777" w:rsidR="00BB7660" w:rsidRPr="00A00F6F" w:rsidRDefault="00BB7660" w:rsidP="00BB7660">
      <w:pPr>
        <w:pStyle w:val="subsection20"/>
      </w:pPr>
      <w:r w:rsidRPr="00A00F6F">
        <w:lastRenderedPageBreak/>
        <w:tab/>
      </w:r>
      <w:r w:rsidRPr="00A00F6F">
        <w:tab/>
        <w:t>the data holder must provide each relevant account holder with an online service that:</w:t>
      </w:r>
    </w:p>
    <w:p w14:paraId="34559BDD" w14:textId="77777777" w:rsidR="00BB7660" w:rsidRPr="00A00F6F" w:rsidRDefault="00BB7660" w:rsidP="00BB7660">
      <w:pPr>
        <w:pStyle w:val="paragraph"/>
      </w:pPr>
      <w:r w:rsidRPr="00A00F6F">
        <w:tab/>
        <w:t>(c)</w:t>
      </w:r>
      <w:r w:rsidRPr="00A00F6F">
        <w:tab/>
        <w:t>contains the details referred to in paragraph 1.15(1)(b) that relate to the joint account data; and</w:t>
      </w:r>
    </w:p>
    <w:p w14:paraId="53494B65" w14:textId="77777777" w:rsidR="00BB7660" w:rsidRPr="00A00F6F" w:rsidRDefault="00BB7660" w:rsidP="00BB7660">
      <w:pPr>
        <w:pStyle w:val="paragraph"/>
      </w:pPr>
      <w:r w:rsidRPr="00A00F6F">
        <w:tab/>
        <w:t>(d)</w:t>
      </w:r>
      <w:r w:rsidRPr="00A00F6F">
        <w:tab/>
        <w:t>has a functionality that:</w:t>
      </w:r>
    </w:p>
    <w:p w14:paraId="3DDE40ED" w14:textId="77777777" w:rsidR="00BB7660" w:rsidRPr="00A00F6F" w:rsidRDefault="00BB7660" w:rsidP="00BB7660">
      <w:pPr>
        <w:pStyle w:val="paragraphsub"/>
      </w:pPr>
      <w:r w:rsidRPr="00A00F6F">
        <w:tab/>
        <w:t>(i)</w:t>
      </w:r>
      <w:r w:rsidRPr="00A00F6F">
        <w:tab/>
        <w:t>can be used by the relevant account holder to manage approvals in relation to each authorisation to disclose joint account data made by a requester; and</w:t>
      </w:r>
    </w:p>
    <w:p w14:paraId="126D98C5" w14:textId="77777777" w:rsidR="00BB7660" w:rsidRPr="00A00F6F" w:rsidRDefault="00BB7660" w:rsidP="00BB7660">
      <w:pPr>
        <w:pStyle w:val="paragraphsub"/>
      </w:pPr>
      <w:r w:rsidRPr="00A00F6F">
        <w:tab/>
        <w:t>(ii)</w:t>
      </w:r>
      <w:r w:rsidRPr="00A00F6F">
        <w:tab/>
        <w:t>allows for withdrawal, at any time, of such an approval; and</w:t>
      </w:r>
    </w:p>
    <w:p w14:paraId="118A7AC9" w14:textId="77777777" w:rsidR="00BB7660" w:rsidRPr="00A00F6F" w:rsidRDefault="00BB7660" w:rsidP="00BB7660">
      <w:pPr>
        <w:pStyle w:val="paragraphsub"/>
      </w:pPr>
      <w:r w:rsidRPr="00A00F6F">
        <w:tab/>
        <w:t>(iii)</w:t>
      </w:r>
      <w:r w:rsidRPr="00A00F6F">
        <w:tab/>
        <w:t>is simple and straightforward to use; and</w:t>
      </w:r>
    </w:p>
    <w:p w14:paraId="089533DC" w14:textId="77777777" w:rsidR="00BB7660" w:rsidRPr="00A00F6F" w:rsidRDefault="00BB7660" w:rsidP="00BB7660">
      <w:pPr>
        <w:pStyle w:val="paragraphsub"/>
      </w:pPr>
      <w:r w:rsidRPr="00A00F6F">
        <w:tab/>
        <w:t>(iv)</w:t>
      </w:r>
      <w:r w:rsidRPr="00A00F6F">
        <w:tab/>
        <w:t>is prominently displayed; and</w:t>
      </w:r>
    </w:p>
    <w:p w14:paraId="5EF3334C" w14:textId="77777777" w:rsidR="00BB7660" w:rsidRPr="00A00F6F" w:rsidRDefault="00BB7660" w:rsidP="00BB7660">
      <w:pPr>
        <w:pStyle w:val="paragraphsub"/>
      </w:pPr>
      <w:r w:rsidRPr="00A00F6F">
        <w:tab/>
        <w:t>(v)</w:t>
      </w:r>
      <w:r w:rsidRPr="00A00F6F">
        <w:tab/>
        <w:t>as part of the withdrawal process, displays a message relating to the consequences of the withdrawal in accordance with the data standards.</w:t>
      </w:r>
    </w:p>
    <w:p w14:paraId="3303C32D" w14:textId="77777777" w:rsidR="00BB7660" w:rsidRPr="00A00F6F" w:rsidRDefault="00BB7660" w:rsidP="00BB7660">
      <w:pPr>
        <w:pStyle w:val="notetext"/>
      </w:pPr>
      <w:r w:rsidRPr="00A00F6F">
        <w:t>Note:</w:t>
      </w:r>
      <w:r w:rsidRPr="00A00F6F">
        <w:tab/>
        <w:t>This subrule is a civil penalty provision (see rule 9.8).</w:t>
      </w:r>
    </w:p>
    <w:p w14:paraId="326363A6" w14:textId="77777777" w:rsidR="00BB7660" w:rsidRPr="00A00F6F" w:rsidRDefault="00BB7660" w:rsidP="00BB7660">
      <w:pPr>
        <w:pStyle w:val="subsection"/>
      </w:pPr>
      <w:r w:rsidRPr="00A00F6F">
        <w:tab/>
        <w:t>(2)</w:t>
      </w:r>
      <w:r w:rsidRPr="00A00F6F">
        <w:tab/>
        <w:t>Where the data holder already provides a consumer dashboard for the relevant account holder under rule 1.15, the service under subrule (1) must be included in the consumer dashboard.</w:t>
      </w:r>
    </w:p>
    <w:p w14:paraId="29F2AA07" w14:textId="77777777" w:rsidR="00BB7660" w:rsidRPr="00A00F6F" w:rsidRDefault="00BB7660" w:rsidP="00BB7660">
      <w:pPr>
        <w:pStyle w:val="subsection"/>
      </w:pPr>
      <w:r w:rsidRPr="00A00F6F">
        <w:tab/>
        <w:t>(3)</w:t>
      </w:r>
      <w:r w:rsidRPr="00A00F6F">
        <w:tab/>
        <w:t xml:space="preserve">Where the data holder does not already provide a consumer dashboard for that relevant account holder under rule 1.15, the service under subrule (1) is the data holder’s </w:t>
      </w:r>
      <w:r w:rsidRPr="00A00F6F">
        <w:rPr>
          <w:b/>
          <w:i/>
        </w:rPr>
        <w:t>consumer dashboard</w:t>
      </w:r>
      <w:r w:rsidRPr="00A00F6F">
        <w:t xml:space="preserve"> for the relevant account holder.</w:t>
      </w:r>
    </w:p>
    <w:p w14:paraId="5D719666" w14:textId="77777777" w:rsidR="00BB7660" w:rsidRPr="00A00F6F" w:rsidRDefault="00BB7660" w:rsidP="00BB7660">
      <w:pPr>
        <w:pStyle w:val="subsection"/>
      </w:pPr>
      <w:r w:rsidRPr="00A00F6F">
        <w:tab/>
        <w:t>(4)</w:t>
      </w:r>
      <w:r w:rsidRPr="00A00F6F">
        <w:tab/>
        <w:t>A data holder does not contravene subrule (1) in relation to subparagraphs (1)(d)(iii) and (iv) so long as it takes reasonable steps to ensure that the functionality complies with those subparagraphs.</w:t>
      </w:r>
    </w:p>
    <w:p w14:paraId="69A3A84F" w14:textId="77777777" w:rsidR="00BB7660" w:rsidRPr="00A00F6F" w:rsidRDefault="00BB7660" w:rsidP="00BB7660">
      <w:pPr>
        <w:pStyle w:val="SubsectionHead"/>
      </w:pPr>
      <w:r w:rsidRPr="00A00F6F">
        <w:t>Common information on consumer dashboard</w:t>
      </w:r>
    </w:p>
    <w:p w14:paraId="467CD60F" w14:textId="77777777" w:rsidR="00BB7660" w:rsidRPr="00A00F6F" w:rsidRDefault="00BB7660" w:rsidP="00BB7660">
      <w:pPr>
        <w:pStyle w:val="subsection"/>
      </w:pPr>
      <w:r w:rsidRPr="00A00F6F">
        <w:tab/>
        <w:t>(5)</w:t>
      </w:r>
      <w:r w:rsidRPr="00A00F6F">
        <w:tab/>
        <w:t>For paragraph 1.15(1)(d), if a relevant account holder’s consumer dashboard contains details of approvals under this Division, the dashboards of the other joint account holders must contain those details.</w:t>
      </w:r>
    </w:p>
    <w:p w14:paraId="3E2CE4DA" w14:textId="77777777" w:rsidR="00BB7660" w:rsidRPr="00A00F6F" w:rsidRDefault="00BB7660" w:rsidP="00BB7660">
      <w:pPr>
        <w:pStyle w:val="ActHead5"/>
      </w:pPr>
      <w:bookmarkStart w:id="415" w:name="_Toc111132133"/>
      <w:r w:rsidRPr="00A00F6F">
        <w:t xml:space="preserve">4A.14 </w:t>
      </w:r>
      <w:r w:rsidR="00E64AC9">
        <w:t xml:space="preserve"> </w:t>
      </w:r>
      <w:r w:rsidRPr="00A00F6F">
        <w:t>Notification requirements for consumer data requests on joint accounts</w:t>
      </w:r>
      <w:bookmarkEnd w:id="415"/>
    </w:p>
    <w:p w14:paraId="5B544C25" w14:textId="77777777" w:rsidR="00BB7660" w:rsidRPr="00A00F6F" w:rsidRDefault="00BB7660" w:rsidP="00BB7660">
      <w:pPr>
        <w:pStyle w:val="subsection"/>
      </w:pPr>
      <w:r w:rsidRPr="00A00F6F">
        <w:tab/>
        <w:t>(1)</w:t>
      </w:r>
      <w:r w:rsidRPr="00A00F6F">
        <w:tab/>
        <w:t xml:space="preserve">For this rule, an </w:t>
      </w:r>
      <w:r w:rsidRPr="00A00F6F">
        <w:rPr>
          <w:b/>
          <w:i/>
        </w:rPr>
        <w:t xml:space="preserve">approval notification </w:t>
      </w:r>
      <w:r w:rsidRPr="00A00F6F">
        <w:t>is a notice given by the data holder:</w:t>
      </w:r>
    </w:p>
    <w:p w14:paraId="4BFA162F" w14:textId="77777777" w:rsidR="00BB7660" w:rsidRPr="00A00F6F" w:rsidRDefault="00BB7660" w:rsidP="00BB7660">
      <w:pPr>
        <w:pStyle w:val="paragraph"/>
      </w:pPr>
      <w:r w:rsidRPr="00A00F6F">
        <w:tab/>
        <w:t>(a)</w:t>
      </w:r>
      <w:r w:rsidRPr="00A00F6F">
        <w:tab/>
        <w:t>to a relevant account holder, to inform them that the requester has given, amended or withdrawn an authorisation, or that the authorisation has expired; or</w:t>
      </w:r>
    </w:p>
    <w:p w14:paraId="5431F4BF" w14:textId="77777777" w:rsidR="00BB7660" w:rsidRPr="00A00F6F" w:rsidRDefault="00BB7660" w:rsidP="00BB7660">
      <w:pPr>
        <w:pStyle w:val="paragraph"/>
      </w:pPr>
      <w:r w:rsidRPr="00A00F6F">
        <w:tab/>
        <w:t>(b)</w:t>
      </w:r>
      <w:r w:rsidRPr="00A00F6F">
        <w:tab/>
        <w:t>to the requester, to inform them that:</w:t>
      </w:r>
    </w:p>
    <w:p w14:paraId="1B871DE7" w14:textId="77777777" w:rsidR="00BB7660" w:rsidRPr="00A00F6F" w:rsidRDefault="00BB7660" w:rsidP="00BB7660">
      <w:pPr>
        <w:pStyle w:val="paragraphsub"/>
      </w:pPr>
      <w:r w:rsidRPr="00A00F6F">
        <w:tab/>
        <w:t>(i)</w:t>
      </w:r>
      <w:r w:rsidRPr="00A00F6F">
        <w:tab/>
        <w:t xml:space="preserve">one or more of the relevant account holders has not given their approval for disclosure within </w:t>
      </w:r>
      <w:r w:rsidRPr="00A00F6F">
        <w:rPr>
          <w:lang w:val="en-US"/>
        </w:rPr>
        <w:t>the time frame referred to in paragraph 4A.11(e); or</w:t>
      </w:r>
    </w:p>
    <w:p w14:paraId="2992EA94" w14:textId="77777777" w:rsidR="00BB7660" w:rsidRPr="00A00F6F" w:rsidRDefault="00BB7660" w:rsidP="00BB7660">
      <w:pPr>
        <w:pStyle w:val="paragraphsub"/>
      </w:pPr>
      <w:r w:rsidRPr="00A00F6F">
        <w:tab/>
        <w:t>(ii)</w:t>
      </w:r>
      <w:r w:rsidRPr="00A00F6F">
        <w:tab/>
        <w:t>a relevant account holder has withdrawn an approval previously given;</w:t>
      </w:r>
    </w:p>
    <w:p w14:paraId="043E0A6F" w14:textId="77777777" w:rsidR="00BB7660" w:rsidRPr="00A00F6F" w:rsidRDefault="00BB7660" w:rsidP="00BB7660">
      <w:pPr>
        <w:pStyle w:val="subsection20"/>
      </w:pPr>
      <w:r w:rsidRPr="00A00F6F">
        <w:tab/>
      </w:r>
      <w:r w:rsidRPr="00A00F6F">
        <w:tab/>
        <w:t>in accordance with the data standards.</w:t>
      </w:r>
    </w:p>
    <w:p w14:paraId="5B22EF8E" w14:textId="77777777" w:rsidR="00BB7660" w:rsidRPr="00A00F6F" w:rsidRDefault="00BB7660" w:rsidP="00BB7660">
      <w:pPr>
        <w:pStyle w:val="subsection"/>
      </w:pPr>
      <w:r w:rsidRPr="00A00F6F">
        <w:lastRenderedPageBreak/>
        <w:tab/>
        <w:t>(2)</w:t>
      </w:r>
      <w:r w:rsidRPr="00A00F6F">
        <w:tab/>
        <w:t>The data holder must make the appropriate approval notification to a joint account holder in relation to an event mentioned in subrule (1):</w:t>
      </w:r>
    </w:p>
    <w:p w14:paraId="664D135E" w14:textId="77777777" w:rsidR="00BB7660" w:rsidRPr="00A00F6F" w:rsidRDefault="00BB7660" w:rsidP="00BB7660">
      <w:pPr>
        <w:pStyle w:val="paragraph"/>
      </w:pPr>
      <w:r w:rsidRPr="00A00F6F">
        <w:tab/>
        <w:t>(a)</w:t>
      </w:r>
      <w:r w:rsidRPr="00A00F6F">
        <w:tab/>
        <w:t>as soon as practicable after the event occurs, unless the joint account holder has selected an alternative schedule of notifications; and</w:t>
      </w:r>
    </w:p>
    <w:p w14:paraId="35ECF5DC" w14:textId="77777777" w:rsidR="00BB7660" w:rsidRPr="00A00F6F" w:rsidRDefault="00BB7660" w:rsidP="00BB7660">
      <w:pPr>
        <w:pStyle w:val="paragraph"/>
      </w:pPr>
      <w:r w:rsidRPr="00A00F6F">
        <w:tab/>
        <w:t>(b)</w:t>
      </w:r>
      <w:r w:rsidRPr="00A00F6F">
        <w:tab/>
        <w:t>through its ordinary means of contacting the joint account holders.</w:t>
      </w:r>
    </w:p>
    <w:p w14:paraId="5EA0C44C" w14:textId="77777777" w:rsidR="00BB7660" w:rsidRPr="00A00F6F" w:rsidRDefault="00BB7660" w:rsidP="00BB7660">
      <w:pPr>
        <w:pStyle w:val="notetext"/>
      </w:pPr>
      <w:r w:rsidRPr="00A00F6F">
        <w:t>Note:</w:t>
      </w:r>
      <w:r w:rsidRPr="00A00F6F">
        <w:tab/>
        <w:t>This subrule is a civil penalty provision (see rule 9.8).</w:t>
      </w:r>
    </w:p>
    <w:p w14:paraId="58978D78" w14:textId="77777777" w:rsidR="00BB7660" w:rsidRPr="00A00F6F" w:rsidRDefault="00BB7660" w:rsidP="00BB7660">
      <w:pPr>
        <w:pStyle w:val="subsection"/>
      </w:pPr>
      <w:r w:rsidRPr="00A00F6F">
        <w:tab/>
        <w:t>(3)</w:t>
      </w:r>
      <w:r w:rsidRPr="00A00F6F">
        <w:tab/>
        <w:t>The data holder must, in accordance with any relevant data standards:</w:t>
      </w:r>
    </w:p>
    <w:p w14:paraId="491B2A15" w14:textId="77777777" w:rsidR="00BB7660" w:rsidRPr="00A00F6F" w:rsidRDefault="00BB7660" w:rsidP="00BB7660">
      <w:pPr>
        <w:pStyle w:val="paragraph"/>
      </w:pPr>
      <w:r w:rsidRPr="00A00F6F">
        <w:tab/>
        <w:t>(a)</w:t>
      </w:r>
      <w:r w:rsidRPr="00A00F6F">
        <w:tab/>
        <w:t>provide for alternative notification schedules (including reducing the frequency of notifications or not receiving notifications); and</w:t>
      </w:r>
    </w:p>
    <w:p w14:paraId="322A3A47" w14:textId="77777777" w:rsidR="00BB7660" w:rsidRPr="00A00F6F" w:rsidRDefault="00BB7660" w:rsidP="00BB7660">
      <w:pPr>
        <w:pStyle w:val="paragraph"/>
      </w:pPr>
      <w:r w:rsidRPr="00A00F6F">
        <w:tab/>
        <w:t>(b)</w:t>
      </w:r>
      <w:r w:rsidRPr="00A00F6F">
        <w:tab/>
        <w:t>give each joint account holder a means of selecting such an alternative, and of changing a selection.</w:t>
      </w:r>
    </w:p>
    <w:p w14:paraId="190A76AF" w14:textId="77777777" w:rsidR="00BB7660" w:rsidRPr="00A00F6F" w:rsidRDefault="00BB7660" w:rsidP="00BB7660">
      <w:pPr>
        <w:pStyle w:val="notetext"/>
      </w:pPr>
      <w:r w:rsidRPr="00A00F6F">
        <w:t>Note:</w:t>
      </w:r>
      <w:r w:rsidRPr="00A00F6F">
        <w:tab/>
        <w:t>This subrule is a civil penalty provision (see rule 9.8).</w:t>
      </w:r>
    </w:p>
    <w:p w14:paraId="4177D697" w14:textId="77777777" w:rsidR="00BB7660" w:rsidRPr="00A00F6F" w:rsidRDefault="00BB7660" w:rsidP="00BB7660">
      <w:pPr>
        <w:pStyle w:val="ActHead5"/>
      </w:pPr>
      <w:bookmarkStart w:id="416" w:name="_Toc111132134"/>
      <w:r w:rsidRPr="00A00F6F">
        <w:t>4A.15</w:t>
      </w:r>
      <w:r w:rsidR="00E64AC9">
        <w:t xml:space="preserve">  </w:t>
      </w:r>
      <w:r w:rsidRPr="00A00F6F">
        <w:t>Avoidance of harm</w:t>
      </w:r>
      <w:bookmarkEnd w:id="416"/>
    </w:p>
    <w:p w14:paraId="2D702F7B" w14:textId="77777777" w:rsidR="00BB7660" w:rsidRPr="00A00F6F" w:rsidRDefault="00BB7660" w:rsidP="00BB7660">
      <w:pPr>
        <w:pStyle w:val="subsection"/>
      </w:pPr>
      <w:r w:rsidRPr="00A00F6F">
        <w:tab/>
      </w:r>
      <w:r w:rsidRPr="00A00F6F">
        <w:tab/>
        <w:t>A data holder is not liable under these rules for a failure to comply with this Part if it considered that the relevant act or omission was necessary in order to prevent physical, psychological or financial harm or abuse to any person.</w:t>
      </w:r>
    </w:p>
    <w:p w14:paraId="43DA463E" w14:textId="77777777" w:rsidR="00BB7660" w:rsidRDefault="00BB7660" w:rsidP="00BB7660">
      <w:pPr>
        <w:pStyle w:val="ActHead2"/>
      </w:pPr>
      <w:bookmarkStart w:id="417" w:name="_Toc111132135"/>
      <w:r>
        <w:t>Part 5—Rules relating to accreditation etc.</w:t>
      </w:r>
      <w:bookmarkEnd w:id="396"/>
      <w:bookmarkEnd w:id="417"/>
    </w:p>
    <w:p w14:paraId="27C59A15" w14:textId="77777777" w:rsidR="00BB7660" w:rsidRPr="00641354" w:rsidRDefault="00BB7660" w:rsidP="00BB7660">
      <w:pPr>
        <w:pStyle w:val="ActHead3"/>
        <w:rPr>
          <w:color w:val="000000"/>
        </w:rPr>
      </w:pPr>
      <w:bookmarkStart w:id="418" w:name="_Toc11771627"/>
      <w:bookmarkStart w:id="419" w:name="_Toc111132136"/>
      <w:r>
        <w:rPr>
          <w:color w:val="000000"/>
        </w:rPr>
        <w:t>Division 5.1</w:t>
      </w:r>
      <w:r w:rsidRPr="00641354">
        <w:rPr>
          <w:color w:val="000000"/>
        </w:rPr>
        <w:t>—Preliminary</w:t>
      </w:r>
      <w:bookmarkEnd w:id="418"/>
      <w:bookmarkEnd w:id="419"/>
    </w:p>
    <w:p w14:paraId="62B4DE22" w14:textId="77777777" w:rsidR="00BB7660" w:rsidRPr="00641354" w:rsidRDefault="00BB7660" w:rsidP="00BB7660">
      <w:pPr>
        <w:pStyle w:val="ActHead5"/>
        <w:rPr>
          <w:color w:val="000000"/>
        </w:rPr>
      </w:pPr>
      <w:bookmarkStart w:id="420" w:name="_Toc11771628"/>
      <w:bookmarkStart w:id="421" w:name="_Toc111132137"/>
      <w:r>
        <w:rPr>
          <w:color w:val="000000"/>
        </w:rPr>
        <w:t>5.1</w:t>
      </w:r>
      <w:r w:rsidRPr="00641354">
        <w:rPr>
          <w:color w:val="000000"/>
        </w:rPr>
        <w:t xml:space="preserve">  Simplified outline of this Part</w:t>
      </w:r>
      <w:bookmarkEnd w:id="420"/>
      <w:bookmarkEnd w:id="421"/>
    </w:p>
    <w:p w14:paraId="4FBABBA2" w14:textId="77777777" w:rsidR="00BB7660" w:rsidRDefault="00BB7660" w:rsidP="00BB7660">
      <w:pPr>
        <w:pStyle w:val="SOText"/>
        <w:rPr>
          <w:color w:val="000000"/>
        </w:rPr>
      </w:pPr>
      <w:r>
        <w:rPr>
          <w:color w:val="000000"/>
        </w:rPr>
        <w:t xml:space="preserve">A person may apply under this Part to be an accredited person. The Data Recipient Accreditor </w:t>
      </w:r>
      <w:r w:rsidRPr="00005026">
        <w:t xml:space="preserve">may accredit </w:t>
      </w:r>
      <w:r>
        <w:rPr>
          <w:color w:val="000000"/>
        </w:rPr>
        <w:t>a person, under section 56CA of the Act, if satisfied that the person meets the criteria for accreditation specified in this Part. This Part also deals with:</w:t>
      </w:r>
    </w:p>
    <w:p w14:paraId="49BD044D" w14:textId="77777777" w:rsidR="00BB7660" w:rsidRDefault="00BB7660" w:rsidP="00BB7660">
      <w:pPr>
        <w:pStyle w:val="SOPara"/>
      </w:pPr>
      <w:r>
        <w:tab/>
      </w:r>
      <w:r>
        <w:sym w:font="Symbol" w:char="F0B7"/>
      </w:r>
      <w:r>
        <w:tab/>
        <w:t>how applications are dealt with by the Data Recipient Accreditor; and</w:t>
      </w:r>
    </w:p>
    <w:p w14:paraId="735ADEA1" w14:textId="77777777" w:rsidR="00BB7660" w:rsidRDefault="00BB7660" w:rsidP="00BB7660">
      <w:pPr>
        <w:pStyle w:val="SOPara"/>
      </w:pPr>
      <w:r>
        <w:tab/>
      </w:r>
      <w:r>
        <w:sym w:font="Symbol" w:char="F0B7"/>
      </w:r>
      <w:r>
        <w:tab/>
        <w:t>obligations of accredited persons; and</w:t>
      </w:r>
    </w:p>
    <w:p w14:paraId="001BAC78" w14:textId="77777777" w:rsidR="00BB7660" w:rsidRDefault="00BB7660" w:rsidP="00BB7660">
      <w:pPr>
        <w:pStyle w:val="SOPara"/>
      </w:pPr>
      <w:r>
        <w:tab/>
      </w:r>
      <w:r>
        <w:sym w:font="Symbol" w:char="F0B7"/>
      </w:r>
      <w:r>
        <w:tab/>
        <w:t>the transfer, suspension</w:t>
      </w:r>
      <w:r w:rsidRPr="000C3240">
        <w:rPr>
          <w:color w:val="000000" w:themeColor="text1"/>
        </w:rPr>
        <w:t>, surrender</w:t>
      </w:r>
      <w:r>
        <w:t xml:space="preserve"> and revocation of accreditations; and</w:t>
      </w:r>
    </w:p>
    <w:p w14:paraId="40B43350" w14:textId="77777777" w:rsidR="00BB7660" w:rsidRDefault="00BB7660" w:rsidP="00BB7660">
      <w:pPr>
        <w:pStyle w:val="SOPara"/>
      </w:pPr>
      <w:r>
        <w:tab/>
      </w:r>
      <w:r>
        <w:sym w:font="Symbol" w:char="F0B7"/>
      </w:r>
      <w:r>
        <w:tab/>
        <w:t>related functions of the Data Recipient Accreditor.</w:t>
      </w:r>
    </w:p>
    <w:p w14:paraId="5C2154FC" w14:textId="77777777" w:rsidR="00BB7660" w:rsidRDefault="00BB7660" w:rsidP="00BB7660">
      <w:pPr>
        <w:pStyle w:val="SOText"/>
        <w:rPr>
          <w:color w:val="000000"/>
        </w:rPr>
      </w:pPr>
      <w:r>
        <w:rPr>
          <w:color w:val="000000"/>
        </w:rPr>
        <w:t>This Part deals with how entries are added to the Register of Accredited Persons, and how that Register is updated, amended and corrected.</w:t>
      </w:r>
    </w:p>
    <w:p w14:paraId="05C6365F" w14:textId="77777777" w:rsidR="00BB7660" w:rsidRDefault="00BB7660" w:rsidP="00BB7660">
      <w:pPr>
        <w:pStyle w:val="ActHead3"/>
        <w:pageBreakBefore/>
      </w:pPr>
      <w:bookmarkStart w:id="422" w:name="_Toc11771629"/>
      <w:bookmarkStart w:id="423" w:name="_Toc111132138"/>
      <w:r>
        <w:lastRenderedPageBreak/>
        <w:t>Division 5.2—Rules relating to accreditation process</w:t>
      </w:r>
      <w:bookmarkEnd w:id="422"/>
      <w:bookmarkEnd w:id="423"/>
    </w:p>
    <w:p w14:paraId="2020806D" w14:textId="77777777" w:rsidR="00BB7660" w:rsidRPr="00A00F6F" w:rsidRDefault="00BB7660" w:rsidP="00BB7660">
      <w:pPr>
        <w:pStyle w:val="ActHead4"/>
      </w:pPr>
      <w:bookmarkStart w:id="424" w:name="_Toc56521536"/>
      <w:bookmarkStart w:id="425" w:name="_Toc111132139"/>
      <w:bookmarkStart w:id="426" w:name="_Toc11771630"/>
      <w:r w:rsidRPr="00A00F6F">
        <w:t>Subdivision 5.2.1A—Levels of accreditation</w:t>
      </w:r>
      <w:bookmarkEnd w:id="424"/>
      <w:bookmarkEnd w:id="425"/>
    </w:p>
    <w:p w14:paraId="19EBABFE" w14:textId="77777777" w:rsidR="00BB7660" w:rsidRPr="00A00F6F" w:rsidRDefault="00BB7660" w:rsidP="00BB7660">
      <w:pPr>
        <w:pStyle w:val="ActHead5"/>
      </w:pPr>
      <w:bookmarkStart w:id="427" w:name="_Toc56521537"/>
      <w:bookmarkStart w:id="428" w:name="_Toc111132140"/>
      <w:r w:rsidRPr="00A00F6F">
        <w:t>5.1A  Levels of accreditation</w:t>
      </w:r>
      <w:bookmarkEnd w:id="427"/>
      <w:bookmarkEnd w:id="428"/>
    </w:p>
    <w:p w14:paraId="0131F350" w14:textId="77777777" w:rsidR="00BB7660" w:rsidRPr="00A00F6F" w:rsidRDefault="00BB7660" w:rsidP="00BB7660">
      <w:pPr>
        <w:pStyle w:val="subsection"/>
      </w:pPr>
      <w:r w:rsidRPr="00A00F6F">
        <w:tab/>
      </w:r>
      <w:r w:rsidRPr="00A00F6F">
        <w:tab/>
        <w:t xml:space="preserve">Accreditation may be at either of the following </w:t>
      </w:r>
      <w:r w:rsidRPr="00A00F6F">
        <w:rPr>
          <w:i/>
        </w:rPr>
        <w:t>levels</w:t>
      </w:r>
      <w:r w:rsidRPr="00A00F6F">
        <w:t>:</w:t>
      </w:r>
    </w:p>
    <w:p w14:paraId="744FF4D7" w14:textId="77777777" w:rsidR="00BB7660" w:rsidRPr="00A00F6F" w:rsidRDefault="00BB7660" w:rsidP="00BB7660">
      <w:pPr>
        <w:pStyle w:val="paragraph"/>
      </w:pPr>
      <w:r w:rsidRPr="00A00F6F">
        <w:tab/>
        <w:t>(a)</w:t>
      </w:r>
      <w:r w:rsidRPr="00A00F6F">
        <w:tab/>
        <w:t>unrestricted;</w:t>
      </w:r>
    </w:p>
    <w:p w14:paraId="3A70BF76" w14:textId="77777777" w:rsidR="00BB7660" w:rsidRPr="00A00F6F" w:rsidRDefault="00BB7660" w:rsidP="00BB7660">
      <w:pPr>
        <w:pStyle w:val="paragraph"/>
      </w:pPr>
      <w:r w:rsidRPr="00A00F6F">
        <w:tab/>
        <w:t>(b)</w:t>
      </w:r>
      <w:r w:rsidRPr="00A00F6F">
        <w:tab/>
        <w:t>sponsored.</w:t>
      </w:r>
    </w:p>
    <w:p w14:paraId="126DF1B4" w14:textId="77777777" w:rsidR="00BB7660" w:rsidRPr="00A00F6F" w:rsidRDefault="00BB7660" w:rsidP="00BB7660">
      <w:pPr>
        <w:pStyle w:val="ActHead5"/>
      </w:pPr>
      <w:bookmarkStart w:id="429" w:name="_Toc56521540"/>
      <w:bookmarkStart w:id="430" w:name="_Toc111132141"/>
      <w:r w:rsidRPr="00A00F6F">
        <w:t>5.1B  Sponsored accreditation</w:t>
      </w:r>
      <w:bookmarkEnd w:id="429"/>
      <w:bookmarkEnd w:id="430"/>
    </w:p>
    <w:p w14:paraId="1EDE4615" w14:textId="77777777" w:rsidR="00BB7660" w:rsidRPr="00A00F6F" w:rsidRDefault="00BB7660" w:rsidP="00BB7660">
      <w:pPr>
        <w:pStyle w:val="subsection"/>
      </w:pPr>
      <w:r w:rsidRPr="00A00F6F">
        <w:tab/>
        <w:t>(1)</w:t>
      </w:r>
      <w:r w:rsidRPr="00A00F6F">
        <w:tab/>
        <w:t>This rule applies in relation to a person with sponsored accreditation.</w:t>
      </w:r>
    </w:p>
    <w:p w14:paraId="5033563D" w14:textId="77777777" w:rsidR="00BB7660" w:rsidRPr="00A00F6F" w:rsidRDefault="00BB7660" w:rsidP="00BB7660">
      <w:pPr>
        <w:pStyle w:val="subsection"/>
      </w:pPr>
      <w:r w:rsidRPr="00A00F6F">
        <w:tab/>
        <w:t>(2)</w:t>
      </w:r>
      <w:r w:rsidRPr="00A00F6F">
        <w:tab/>
        <w:t>The person must not make a consumer data request under these rules unless it has a registered sponsor.</w:t>
      </w:r>
    </w:p>
    <w:p w14:paraId="5C804E5B" w14:textId="77777777" w:rsidR="00BB7660" w:rsidRPr="00A00F6F" w:rsidRDefault="00BB7660" w:rsidP="00BB7660">
      <w:pPr>
        <w:pStyle w:val="notetext"/>
      </w:pPr>
      <w:r w:rsidRPr="00A00F6F">
        <w:t>Note:</w:t>
      </w:r>
      <w:r w:rsidRPr="00A00F6F">
        <w:tab/>
        <w:t>This subrule is a civil penalty provision (see rule 9.8).</w:t>
      </w:r>
    </w:p>
    <w:p w14:paraId="414ADDFD" w14:textId="77777777" w:rsidR="00BB7660" w:rsidRPr="00A00F6F" w:rsidRDefault="00BB7660" w:rsidP="00BB7660">
      <w:pPr>
        <w:pStyle w:val="subsection"/>
      </w:pPr>
      <w:r w:rsidRPr="00A00F6F">
        <w:tab/>
        <w:t>(3)</w:t>
      </w:r>
      <w:r w:rsidRPr="00A00F6F">
        <w:tab/>
        <w:t>The person must not make a consumer data request under these rules otherwise than:</w:t>
      </w:r>
    </w:p>
    <w:p w14:paraId="70330015" w14:textId="77777777" w:rsidR="00BB7660" w:rsidRPr="00A00F6F" w:rsidRDefault="00BB7660" w:rsidP="00BB7660">
      <w:pPr>
        <w:pStyle w:val="paragraph"/>
      </w:pPr>
      <w:r w:rsidRPr="00A00F6F">
        <w:tab/>
        <w:t>(a)</w:t>
      </w:r>
      <w:r w:rsidRPr="00A00F6F">
        <w:tab/>
        <w:t>to an accredited data recipient under rule 4.7A; or</w:t>
      </w:r>
    </w:p>
    <w:p w14:paraId="6F972946" w14:textId="77777777" w:rsidR="00BB7660" w:rsidRPr="00A00F6F" w:rsidRDefault="00BB7660" w:rsidP="00BB7660">
      <w:pPr>
        <w:pStyle w:val="paragraph"/>
      </w:pPr>
      <w:r w:rsidRPr="00A00F6F">
        <w:tab/>
        <w:t>(b)</w:t>
      </w:r>
      <w:r w:rsidRPr="00A00F6F">
        <w:tab/>
        <w:t>through a registered sponsor acting at its request under the sponsorship arrangement.</w:t>
      </w:r>
    </w:p>
    <w:p w14:paraId="1517682E" w14:textId="77777777" w:rsidR="00BB7660" w:rsidRPr="00A00F6F" w:rsidRDefault="00BB7660" w:rsidP="00BB7660">
      <w:pPr>
        <w:pStyle w:val="notetext"/>
      </w:pPr>
      <w:r w:rsidRPr="00A00F6F">
        <w:t>Note:</w:t>
      </w:r>
      <w:r w:rsidRPr="00A00F6F">
        <w:tab/>
        <w:t>This subrule is a civil penalty provision (see rule 9.8).</w:t>
      </w:r>
    </w:p>
    <w:p w14:paraId="3E046907" w14:textId="77777777" w:rsidR="00BB7660" w:rsidRPr="00A00F6F" w:rsidRDefault="00BB7660" w:rsidP="00BB7660">
      <w:pPr>
        <w:pStyle w:val="subsection"/>
      </w:pPr>
      <w:r w:rsidRPr="00A00F6F">
        <w:tab/>
        <w:t>(4)</w:t>
      </w:r>
      <w:r w:rsidRPr="00A00F6F">
        <w:tab/>
        <w:t>The person must not engage a provider in a CDR outsourcing arrangement to collect CDR data from a CDR participant on its behalf.</w:t>
      </w:r>
    </w:p>
    <w:p w14:paraId="4A3E13D9" w14:textId="77777777" w:rsidR="00BB7660" w:rsidRPr="00A00F6F" w:rsidRDefault="00BB7660" w:rsidP="00BB7660">
      <w:pPr>
        <w:pStyle w:val="notetext"/>
      </w:pPr>
      <w:r w:rsidRPr="00A00F6F">
        <w:t>Note:</w:t>
      </w:r>
      <w:r w:rsidRPr="00A00F6F">
        <w:tab/>
        <w:t>This subrule is a civil penalty provision (see rule 9.8).</w:t>
      </w:r>
    </w:p>
    <w:p w14:paraId="4A8C51A9" w14:textId="77777777" w:rsidR="00BB7660" w:rsidRPr="00A00F6F" w:rsidRDefault="00BB7660" w:rsidP="00BB7660">
      <w:pPr>
        <w:pStyle w:val="subsection"/>
      </w:pPr>
      <w:r w:rsidRPr="00A00F6F">
        <w:tab/>
        <w:t>(5)</w:t>
      </w:r>
      <w:r w:rsidRPr="00A00F6F">
        <w:tab/>
        <w:t xml:space="preserve">The person must not have a CDR representative. </w:t>
      </w:r>
    </w:p>
    <w:p w14:paraId="04259478" w14:textId="77777777" w:rsidR="00BB7660" w:rsidRPr="00A00F6F" w:rsidRDefault="00BB7660" w:rsidP="00BB7660">
      <w:pPr>
        <w:pStyle w:val="notetext"/>
      </w:pPr>
      <w:r w:rsidRPr="00A00F6F">
        <w:t>Note:</w:t>
      </w:r>
      <w:r w:rsidRPr="00A00F6F">
        <w:tab/>
        <w:t>This subrule is a civil penalty provision (see rule 9.8).</w:t>
      </w:r>
    </w:p>
    <w:p w14:paraId="30BD6B6E" w14:textId="77777777" w:rsidR="00BB7660" w:rsidRPr="00BC1D87" w:rsidRDefault="00BB7660" w:rsidP="00BB7660">
      <w:pPr>
        <w:pStyle w:val="subsection"/>
      </w:pPr>
      <w:r w:rsidRPr="00A00F6F">
        <w:tab/>
        <w:t>(6)</w:t>
      </w:r>
      <w:r w:rsidRPr="00A00F6F">
        <w:tab/>
        <w:t>If the person ceases to have any registered sponsor, then, for</w:t>
      </w:r>
      <w:r w:rsidRPr="009F28B3">
        <w:t xml:space="preserve"> </w:t>
      </w:r>
      <w:r w:rsidRPr="004A04A4">
        <w:rPr>
          <w:color w:val="0000FF"/>
        </w:rPr>
        <w:t>paragraph</w:t>
      </w:r>
      <w:r w:rsidRPr="00BC1D87">
        <w:rPr>
          <w:strike/>
          <w:color w:val="0000FF"/>
        </w:rPr>
        <w:t xml:space="preserve"> </w:t>
      </w:r>
      <w:r w:rsidR="00BC1D87" w:rsidRPr="00BC1D87">
        <w:rPr>
          <w:strike/>
          <w:color w:val="0000FF"/>
        </w:rPr>
        <w:t>subrule</w:t>
      </w:r>
      <w:r w:rsidR="00BC1D87" w:rsidRPr="009F28B3">
        <w:t xml:space="preserve"> </w:t>
      </w:r>
      <w:r w:rsidRPr="009F28B3">
        <w:t>4.</w:t>
      </w:r>
      <w:r w:rsidRPr="00BC1D87">
        <w:t>14(1)(f):</w:t>
      </w:r>
    </w:p>
    <w:p w14:paraId="6DCF1866" w14:textId="77777777" w:rsidR="00BB7660" w:rsidRPr="00A00F6F" w:rsidRDefault="00BB7660" w:rsidP="00BB7660">
      <w:pPr>
        <w:pStyle w:val="paragraph"/>
      </w:pPr>
      <w:r w:rsidRPr="00A00F6F">
        <w:tab/>
        <w:t>(a)</w:t>
      </w:r>
      <w:r w:rsidRPr="00A00F6F">
        <w:tab/>
        <w:t>any collection consents for the person expire; however</w:t>
      </w:r>
    </w:p>
    <w:p w14:paraId="3CE7FF29" w14:textId="77777777" w:rsidR="00BB7660" w:rsidRPr="00A00F6F" w:rsidRDefault="00BB7660" w:rsidP="00BB7660">
      <w:pPr>
        <w:pStyle w:val="paragraph"/>
      </w:pPr>
      <w:r w:rsidRPr="00A00F6F">
        <w:tab/>
        <w:t>(b)</w:t>
      </w:r>
      <w:r w:rsidRPr="00A00F6F">
        <w:tab/>
        <w:t xml:space="preserve">any use consents and disclosure consents continue in effect. </w:t>
      </w:r>
    </w:p>
    <w:p w14:paraId="2B349659" w14:textId="77777777" w:rsidR="00BB7660" w:rsidRPr="00A00F6F" w:rsidRDefault="00BB7660" w:rsidP="00BB7660">
      <w:pPr>
        <w:pStyle w:val="notetext"/>
      </w:pPr>
      <w:r w:rsidRPr="00A00F6F">
        <w:t>Note:</w:t>
      </w:r>
      <w:r w:rsidRPr="00A00F6F">
        <w:tab/>
        <w:t>It is also possible for the accreditation to be suspended or revoked under item 11 of subrule 5.17(1).</w:t>
      </w:r>
    </w:p>
    <w:p w14:paraId="1B788EA1" w14:textId="77777777" w:rsidR="00BB7660" w:rsidRPr="00A00F6F" w:rsidRDefault="00BB7660" w:rsidP="00BB7660">
      <w:pPr>
        <w:pStyle w:val="subsection"/>
      </w:pPr>
      <w:r w:rsidRPr="00A00F6F">
        <w:tab/>
        <w:t>(7)</w:t>
      </w:r>
      <w:r w:rsidRPr="00A00F6F">
        <w:tab/>
        <w:t>If the person has not had a registered sponsor for a period of 120 days, the accreditation is taken to have been surrendered.</w:t>
      </w:r>
    </w:p>
    <w:p w14:paraId="7B047619" w14:textId="77777777" w:rsidR="00BB7660" w:rsidRPr="00A00F6F" w:rsidRDefault="00BB7660" w:rsidP="00BB7660">
      <w:pPr>
        <w:pStyle w:val="notetext"/>
      </w:pPr>
      <w:r w:rsidRPr="00A00F6F">
        <w:t>Note:</w:t>
      </w:r>
      <w:r w:rsidRPr="00A00F6F">
        <w:tab/>
        <w:t xml:space="preserve">See subrule 4.14(2) and rule 5.23 for the effect of surrender of accreditation. </w:t>
      </w:r>
    </w:p>
    <w:p w14:paraId="7533A573" w14:textId="77777777" w:rsidR="00BB7660" w:rsidRPr="00A00F6F" w:rsidRDefault="00BB7660" w:rsidP="00BB7660">
      <w:pPr>
        <w:pStyle w:val="subsection"/>
      </w:pPr>
      <w:r w:rsidRPr="00A00F6F">
        <w:tab/>
        <w:t>(8)</w:t>
      </w:r>
      <w:r w:rsidRPr="00A00F6F">
        <w:tab/>
        <w:t xml:space="preserve">For this rule, a sponsor of the person is a </w:t>
      </w:r>
      <w:r w:rsidRPr="00B42D5B">
        <w:rPr>
          <w:b/>
          <w:i/>
        </w:rPr>
        <w:t>registered sponsor</w:t>
      </w:r>
      <w:r w:rsidRPr="00A00F6F">
        <w:t xml:space="preserve"> if:</w:t>
      </w:r>
    </w:p>
    <w:p w14:paraId="595F1D18" w14:textId="77777777" w:rsidR="00BB7660" w:rsidRPr="00A00F6F" w:rsidRDefault="00BB7660" w:rsidP="00BB7660">
      <w:pPr>
        <w:pStyle w:val="paragraph"/>
      </w:pPr>
      <w:r w:rsidRPr="00A00F6F">
        <w:tab/>
        <w:t>(a)</w:t>
      </w:r>
      <w:r w:rsidRPr="00A00F6F">
        <w:tab/>
        <w:t>the sponsor has notified the Data Recipient Accreditor in accordance with subrule 5.14(2); and</w:t>
      </w:r>
    </w:p>
    <w:p w14:paraId="30EC0659" w14:textId="77777777" w:rsidR="00BB7660" w:rsidRPr="00A00F6F" w:rsidRDefault="00BB7660" w:rsidP="00BB7660">
      <w:pPr>
        <w:pStyle w:val="paragraph"/>
      </w:pPr>
      <w:r w:rsidRPr="00A00F6F">
        <w:tab/>
        <w:t>(b)</w:t>
      </w:r>
      <w:r w:rsidRPr="00A00F6F">
        <w:tab/>
        <w:t>the Registrar has recorded on the Register of Accredited Persons that the person is an affiliate of the sponsor.</w:t>
      </w:r>
    </w:p>
    <w:p w14:paraId="69BC5BFF" w14:textId="77777777" w:rsidR="00BB7660" w:rsidRPr="00A00F6F" w:rsidRDefault="00BB7660" w:rsidP="00BB7660">
      <w:pPr>
        <w:pStyle w:val="notetext"/>
      </w:pPr>
      <w:r w:rsidRPr="00A00F6F">
        <w:lastRenderedPageBreak/>
        <w:t>Note:</w:t>
      </w:r>
      <w:r w:rsidRPr="00A00F6F">
        <w:tab/>
        <w:t>If the sponsorship arrangement terminates, the sponsor is no longer a registered sponsor for subrules (2) and (3), even if the Register has not yet been updated to reflect this.</w:t>
      </w:r>
    </w:p>
    <w:p w14:paraId="7A223367" w14:textId="77777777" w:rsidR="00BB7660" w:rsidRPr="00350945" w:rsidRDefault="00BB7660" w:rsidP="00BB7660">
      <w:pPr>
        <w:pStyle w:val="ActHead4"/>
      </w:pPr>
      <w:bookmarkStart w:id="431" w:name="_Toc111132142"/>
      <w:r>
        <w:t>Subdivision 5.2.1—Applying to be accredited person</w:t>
      </w:r>
      <w:bookmarkEnd w:id="426"/>
      <w:bookmarkEnd w:id="431"/>
    </w:p>
    <w:p w14:paraId="0D1AFA98" w14:textId="77777777" w:rsidR="00BB7660" w:rsidRDefault="00BB7660" w:rsidP="00BB7660">
      <w:pPr>
        <w:pStyle w:val="ActHead5"/>
      </w:pPr>
      <w:bookmarkStart w:id="432" w:name="_Toc11771631"/>
      <w:bookmarkStart w:id="433" w:name="_Toc111132143"/>
      <w:r>
        <w:t>5.2  Applying to be an accredited person</w:t>
      </w:r>
      <w:bookmarkEnd w:id="432"/>
      <w:bookmarkEnd w:id="433"/>
    </w:p>
    <w:p w14:paraId="5F0C5C94" w14:textId="77777777" w:rsidR="00BB7660" w:rsidRDefault="00BB7660" w:rsidP="00BB7660">
      <w:pPr>
        <w:pStyle w:val="subsection"/>
      </w:pPr>
      <w:r>
        <w:tab/>
        <w:t>(1)</w:t>
      </w:r>
      <w:r>
        <w:tab/>
        <w:t>A person may apply to the Data Recipient Accreditor to be an accredited person.</w:t>
      </w:r>
    </w:p>
    <w:p w14:paraId="78487EEA" w14:textId="77777777" w:rsidR="00BB7660" w:rsidRDefault="00BB7660" w:rsidP="00BB7660">
      <w:pPr>
        <w:pStyle w:val="subsection"/>
      </w:pPr>
      <w:r>
        <w:tab/>
        <w:t>(2)</w:t>
      </w:r>
      <w:r>
        <w:tab/>
        <w:t>The application must:</w:t>
      </w:r>
    </w:p>
    <w:p w14:paraId="1039DF75" w14:textId="77777777" w:rsidR="00BB7660" w:rsidRDefault="00BB7660" w:rsidP="00BB7660">
      <w:pPr>
        <w:pStyle w:val="paragraph"/>
      </w:pPr>
      <w:r>
        <w:tab/>
        <w:t>(a)</w:t>
      </w:r>
      <w:r>
        <w:tab/>
        <w:t xml:space="preserve">be in the form approved, by the Data Recipient Accreditor, for the purposes of this paragraph </w:t>
      </w:r>
      <w:r w:rsidRPr="00641354">
        <w:rPr>
          <w:color w:val="000000"/>
        </w:rPr>
        <w:t xml:space="preserve">(the </w:t>
      </w:r>
      <w:r w:rsidRPr="00641354">
        <w:rPr>
          <w:b/>
          <w:i/>
          <w:color w:val="000000"/>
        </w:rPr>
        <w:t>approved form</w:t>
      </w:r>
      <w:r w:rsidRPr="00641354">
        <w:rPr>
          <w:color w:val="000000"/>
        </w:rPr>
        <w:t>)</w:t>
      </w:r>
      <w:r>
        <w:t>; and</w:t>
      </w:r>
    </w:p>
    <w:p w14:paraId="173E3624" w14:textId="77777777" w:rsidR="00BB7660" w:rsidRPr="00A00F6F" w:rsidRDefault="00BB7660" w:rsidP="00BB7660">
      <w:pPr>
        <w:pStyle w:val="paragraph"/>
      </w:pPr>
      <w:r w:rsidRPr="00A00F6F">
        <w:tab/>
        <w:t>(aa)</w:t>
      </w:r>
      <w:r w:rsidRPr="00A00F6F">
        <w:tab/>
        <w:t>indicate the level of accreditation that is sought; and</w:t>
      </w:r>
    </w:p>
    <w:p w14:paraId="48AFC41E" w14:textId="77777777" w:rsidR="00BB7660" w:rsidRDefault="00BB7660" w:rsidP="00BB7660">
      <w:pPr>
        <w:pStyle w:val="paragraph"/>
      </w:pPr>
      <w:r>
        <w:tab/>
        <w:t>(b)</w:t>
      </w:r>
      <w:r>
        <w:tab/>
        <w:t xml:space="preserve">include any documentation or other information required by the </w:t>
      </w:r>
      <w:r w:rsidRPr="00641354">
        <w:rPr>
          <w:color w:val="000000"/>
        </w:rPr>
        <w:t>approved form</w:t>
      </w:r>
      <w:r>
        <w:t>; and</w:t>
      </w:r>
    </w:p>
    <w:p w14:paraId="1A037FDA"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(c)</w:t>
      </w:r>
      <w:r w:rsidRPr="000C3240">
        <w:rPr>
          <w:color w:val="000000" w:themeColor="text1"/>
        </w:rPr>
        <w:tab/>
        <w:t>state:</w:t>
      </w:r>
    </w:p>
    <w:p w14:paraId="134C9694" w14:textId="77777777" w:rsidR="00BB7660" w:rsidRPr="000C3240" w:rsidRDefault="00BB7660" w:rsidP="00BB7660">
      <w:pPr>
        <w:pStyle w:val="paragraphsub"/>
        <w:rPr>
          <w:color w:val="000000" w:themeColor="text1"/>
        </w:rPr>
      </w:pPr>
      <w:r w:rsidRPr="000C3240">
        <w:rPr>
          <w:color w:val="000000" w:themeColor="text1"/>
        </w:rPr>
        <w:tab/>
      </w:r>
      <w:r>
        <w:rPr>
          <w:color w:val="000000" w:themeColor="text1"/>
        </w:rPr>
        <w:t>(i)</w:t>
      </w:r>
      <w:r w:rsidRPr="000C3240">
        <w:rPr>
          <w:color w:val="000000" w:themeColor="text1"/>
        </w:rPr>
        <w:tab/>
        <w:t>the applicant’s address</w:t>
      </w:r>
      <w:r>
        <w:rPr>
          <w:color w:val="000000" w:themeColor="text1"/>
        </w:rPr>
        <w:t>es</w:t>
      </w:r>
      <w:r w:rsidRPr="000C3240">
        <w:rPr>
          <w:color w:val="000000" w:themeColor="text1"/>
        </w:rPr>
        <w:t xml:space="preserve"> for service; or</w:t>
      </w:r>
    </w:p>
    <w:p w14:paraId="7C397112" w14:textId="77777777" w:rsidR="00BB7660" w:rsidRPr="000C3240" w:rsidRDefault="00BB7660" w:rsidP="00BB7660">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if the applicant is a foreign entity:</w:t>
      </w:r>
    </w:p>
    <w:p w14:paraId="42B3C06A" w14:textId="77777777" w:rsidR="00BB7660" w:rsidRPr="000C3240" w:rsidRDefault="00BB7660" w:rsidP="00BB7660">
      <w:pPr>
        <w:pStyle w:val="paragraphsub-sub"/>
        <w:rPr>
          <w:color w:val="000000" w:themeColor="text1"/>
        </w:rPr>
      </w:pPr>
      <w:r w:rsidRPr="000C3240">
        <w:rPr>
          <w:color w:val="000000" w:themeColor="text1"/>
        </w:rPr>
        <w:tab/>
      </w:r>
      <w:r>
        <w:rPr>
          <w:color w:val="000000" w:themeColor="text1"/>
        </w:rPr>
        <w:t>(A)</w:t>
      </w:r>
      <w:r w:rsidRPr="000C3240">
        <w:rPr>
          <w:color w:val="000000" w:themeColor="text1"/>
        </w:rPr>
        <w:tab/>
        <w:t>the applicant’s local agent; and</w:t>
      </w:r>
    </w:p>
    <w:p w14:paraId="04E98C89" w14:textId="77777777" w:rsidR="00BB7660" w:rsidRPr="000C3240" w:rsidRDefault="00BB7660" w:rsidP="00BB7660">
      <w:pPr>
        <w:pStyle w:val="paragraphsub-sub"/>
        <w:rPr>
          <w:color w:val="000000" w:themeColor="text1"/>
        </w:rPr>
      </w:pPr>
      <w:r w:rsidRPr="000C3240">
        <w:rPr>
          <w:color w:val="000000" w:themeColor="text1"/>
        </w:rPr>
        <w:tab/>
      </w:r>
      <w:r>
        <w:rPr>
          <w:color w:val="000000" w:themeColor="text1"/>
        </w:rPr>
        <w:t>(B)</w:t>
      </w:r>
      <w:r w:rsidRPr="000C3240">
        <w:rPr>
          <w:color w:val="000000" w:themeColor="text1"/>
        </w:rPr>
        <w:tab/>
        <w:t>the local agent’s address</w:t>
      </w:r>
      <w:r>
        <w:rPr>
          <w:color w:val="000000" w:themeColor="text1"/>
        </w:rPr>
        <w:t>es</w:t>
      </w:r>
      <w:r w:rsidRPr="000C3240">
        <w:rPr>
          <w:color w:val="000000" w:themeColor="text1"/>
        </w:rPr>
        <w:t xml:space="preserve"> for service; and</w:t>
      </w:r>
    </w:p>
    <w:p w14:paraId="0EC11813" w14:textId="77777777" w:rsidR="00BB7660" w:rsidRDefault="00BB7660" w:rsidP="00BB7660">
      <w:pPr>
        <w:pStyle w:val="paragraph"/>
      </w:pPr>
      <w:r>
        <w:tab/>
        <w:t>(d)</w:t>
      </w:r>
      <w:r>
        <w:tab/>
        <w:t xml:space="preserve">describe the sorts of </w:t>
      </w:r>
      <w:r w:rsidRPr="00964EDA">
        <w:rPr>
          <w:color w:val="000000"/>
        </w:rPr>
        <w:t xml:space="preserve">goods </w:t>
      </w:r>
      <w:r>
        <w:t xml:space="preserve">or services </w:t>
      </w:r>
      <w:r w:rsidRPr="00EA6240">
        <w:t xml:space="preserve">using CDR data that </w:t>
      </w:r>
      <w:r>
        <w:t xml:space="preserve">the applicant intends </w:t>
      </w:r>
      <w:r w:rsidRPr="00EA6240">
        <w:t xml:space="preserve">to </w:t>
      </w:r>
      <w:r>
        <w:t>offer to CDR consumers if they are accredited; and</w:t>
      </w:r>
    </w:p>
    <w:p w14:paraId="20C53C23" w14:textId="77777777" w:rsidR="00BB7660" w:rsidRDefault="00BB7660" w:rsidP="00BB7660">
      <w:pPr>
        <w:pStyle w:val="paragraph"/>
        <w:rPr>
          <w:color w:val="000000" w:themeColor="text1"/>
        </w:rPr>
      </w:pPr>
      <w:r>
        <w:tab/>
        <w:t>(e)</w:t>
      </w:r>
      <w:r>
        <w:tab/>
        <w:t xml:space="preserve">if the applicant is not </w:t>
      </w:r>
      <w:r w:rsidRPr="000C3240">
        <w:rPr>
          <w:color w:val="000000" w:themeColor="text1"/>
        </w:rPr>
        <w:t>a person who was specified in a designation instrument (see paragraph 56AC(2)(b) of the Act)</w:t>
      </w:r>
      <w:r>
        <w:t>—</w:t>
      </w:r>
      <w:r w:rsidRPr="007E69B9">
        <w:t>indicate whether it is</w:t>
      </w:r>
      <w:r>
        <w:t xml:space="preserve"> </w:t>
      </w:r>
      <w:r w:rsidRPr="00BD2AB7">
        <w:t>or expects to be</w:t>
      </w:r>
      <w:r w:rsidRPr="007E69B9">
        <w:t xml:space="preserve"> the data holder of any CDR data that is specified in a designation instrument</w:t>
      </w:r>
      <w:r w:rsidRPr="000C3240">
        <w:rPr>
          <w:color w:val="000000" w:themeColor="text1"/>
        </w:rPr>
        <w:t>.</w:t>
      </w:r>
    </w:p>
    <w:p w14:paraId="49A0DD23" w14:textId="77777777" w:rsidR="00BB7660" w:rsidRDefault="00BB7660" w:rsidP="00BB7660">
      <w:pPr>
        <w:pStyle w:val="notetext"/>
        <w:rPr>
          <w:color w:val="000000"/>
        </w:rPr>
      </w:pPr>
      <w:r w:rsidRPr="00641354">
        <w:rPr>
          <w:color w:val="000000"/>
        </w:rPr>
        <w:t xml:space="preserve">Note 1: </w:t>
      </w:r>
      <w:r w:rsidRPr="00641354">
        <w:rPr>
          <w:color w:val="000000"/>
        </w:rPr>
        <w:tab/>
        <w:t>For paragraph</w:t>
      </w:r>
      <w:r>
        <w:rPr>
          <w:color w:val="000000"/>
        </w:rPr>
        <w:t xml:space="preserve"> (c)</w:t>
      </w:r>
      <w:r w:rsidRPr="00641354">
        <w:rPr>
          <w:color w:val="000000"/>
        </w:rPr>
        <w:t xml:space="preserve">, </w:t>
      </w:r>
      <w:r w:rsidRPr="006F4A42">
        <w:t>see rule </w:t>
      </w:r>
      <w:r>
        <w:t>1.7</w:t>
      </w:r>
      <w:r w:rsidRPr="006F4A42">
        <w:t xml:space="preserve"> for the meaning of “addresses for service”. T</w:t>
      </w:r>
      <w:r w:rsidRPr="00641354">
        <w:rPr>
          <w:color w:val="000000"/>
        </w:rPr>
        <w:t xml:space="preserve">he </w:t>
      </w:r>
      <w:r w:rsidRPr="006F4A42">
        <w:t xml:space="preserve">physical </w:t>
      </w:r>
      <w:r w:rsidRPr="00641354">
        <w:rPr>
          <w:color w:val="000000"/>
        </w:rPr>
        <w:t xml:space="preserve">address for service could be a registered office (within the meaning of the </w:t>
      </w:r>
      <w:r w:rsidRPr="00641354">
        <w:rPr>
          <w:i/>
          <w:color w:val="000000"/>
        </w:rPr>
        <w:t>Corporations Act 2001</w:t>
      </w:r>
      <w:r w:rsidRPr="00641354">
        <w:rPr>
          <w:color w:val="000000"/>
        </w:rPr>
        <w:t>).</w:t>
      </w:r>
    </w:p>
    <w:p w14:paraId="3B505A10" w14:textId="77777777" w:rsidR="00BB7660" w:rsidRPr="000C3240" w:rsidRDefault="00BB7660" w:rsidP="00BB7660">
      <w:pPr>
        <w:pStyle w:val="notetext"/>
      </w:pPr>
      <w:r w:rsidRPr="00B3173B">
        <w:t xml:space="preserve">Note 2: </w:t>
      </w:r>
      <w:r w:rsidRPr="00B3173B">
        <w:tab/>
        <w:t>For paragraph</w:t>
      </w:r>
      <w:r>
        <w:t> </w:t>
      </w:r>
      <w:r>
        <w:rPr>
          <w:color w:val="000000"/>
        </w:rPr>
        <w:t>(c)</w:t>
      </w:r>
      <w:r w:rsidRPr="00B3173B">
        <w:t>, changes to the address</w:t>
      </w:r>
      <w:r>
        <w:t>es</w:t>
      </w:r>
      <w:r w:rsidRPr="00B3173B">
        <w:t xml:space="preserve"> for service must be notified in accordance with</w:t>
      </w:r>
      <w:r w:rsidRPr="009F28B3">
        <w:t xml:space="preserve"> </w:t>
      </w:r>
      <w:r w:rsidR="00CF5A97" w:rsidRPr="009F28B3">
        <w:rPr>
          <w:color w:val="0000FF"/>
        </w:rPr>
        <w:t>paragraph 5.14(1)(c)</w:t>
      </w:r>
      <w:r w:rsidR="00CF5A97" w:rsidRPr="009F28B3">
        <w:rPr>
          <w:strike/>
          <w:color w:val="0000FF"/>
        </w:rPr>
        <w:t xml:space="preserve"> </w:t>
      </w:r>
      <w:r w:rsidRPr="009F28B3">
        <w:rPr>
          <w:strike/>
          <w:color w:val="0000FF"/>
        </w:rPr>
        <w:t>paragraph 5.14(c)</w:t>
      </w:r>
      <w:r w:rsidRPr="009F28B3">
        <w:rPr>
          <w:color w:val="0000FF"/>
        </w:rPr>
        <w:t>.</w:t>
      </w:r>
      <w:r w:rsidRPr="00B3173B">
        <w:t xml:space="preserve"> Documents may be served on an applicant in accordance with regulation 12 of the </w:t>
      </w:r>
      <w:r w:rsidRPr="00B3173B">
        <w:rPr>
          <w:i/>
        </w:rPr>
        <w:t>Competition and Consumer Regulations 2010</w:t>
      </w:r>
      <w:r w:rsidRPr="00B3173B">
        <w:t xml:space="preserve"> by the Commission, or in accordance with section 28A of the </w:t>
      </w:r>
      <w:r w:rsidRPr="00B3173B">
        <w:rPr>
          <w:i/>
        </w:rPr>
        <w:t xml:space="preserve">Acts Interpretation Act 1901 </w:t>
      </w:r>
      <w:r w:rsidRPr="00B3173B">
        <w:t xml:space="preserve">and section 9 of the </w:t>
      </w:r>
      <w:r w:rsidRPr="00B3173B">
        <w:rPr>
          <w:i/>
        </w:rPr>
        <w:t>Electronic Transactions Act 1999</w:t>
      </w:r>
      <w:r w:rsidRPr="00B3173B">
        <w:t>.</w:t>
      </w:r>
    </w:p>
    <w:p w14:paraId="149BE331" w14:textId="77777777" w:rsidR="00BB7660" w:rsidRDefault="00BB7660" w:rsidP="00BB7660">
      <w:pPr>
        <w:pStyle w:val="ActHead4"/>
        <w:pageBreakBefore/>
      </w:pPr>
      <w:bookmarkStart w:id="434" w:name="_Toc11771632"/>
      <w:bookmarkStart w:id="435" w:name="_Toc111132144"/>
      <w:r>
        <w:lastRenderedPageBreak/>
        <w:t>Subdivision 5.2.2—Consideration of application to be accredited person</w:t>
      </w:r>
      <w:bookmarkEnd w:id="434"/>
      <w:bookmarkEnd w:id="435"/>
    </w:p>
    <w:p w14:paraId="3B679E4D" w14:textId="77777777" w:rsidR="00BB7660" w:rsidRDefault="00BB7660" w:rsidP="00BB7660">
      <w:pPr>
        <w:pStyle w:val="ActHead5"/>
      </w:pPr>
      <w:bookmarkStart w:id="436" w:name="_Toc11771633"/>
      <w:bookmarkStart w:id="437" w:name="_Toc111132145"/>
      <w:r>
        <w:t>5.3</w:t>
      </w:r>
      <w:r w:rsidRPr="00195BA6">
        <w:t xml:space="preserve">  </w:t>
      </w:r>
      <w:r>
        <w:t xml:space="preserve">Data Recipient </w:t>
      </w:r>
      <w:r w:rsidRPr="00195BA6">
        <w:t>Accreditor may request further information</w:t>
      </w:r>
      <w:bookmarkEnd w:id="436"/>
      <w:bookmarkEnd w:id="437"/>
    </w:p>
    <w:p w14:paraId="1130BF1A" w14:textId="77777777" w:rsidR="00BB7660" w:rsidRPr="00005026" w:rsidRDefault="00BB7660" w:rsidP="00BB7660">
      <w:pPr>
        <w:pStyle w:val="subsection"/>
      </w:pPr>
      <w:r w:rsidRPr="00005026">
        <w:tab/>
      </w:r>
      <w:r>
        <w:t>(1)</w:t>
      </w:r>
      <w:r w:rsidRPr="00005026">
        <w:tab/>
        <w:t xml:space="preserve">The Data Recipient Accreditor may request that the accreditation applicant provide further information to support the application. </w:t>
      </w:r>
    </w:p>
    <w:p w14:paraId="161FF4BB" w14:textId="77777777" w:rsidR="00BB7660" w:rsidRPr="00005026" w:rsidRDefault="00BB7660" w:rsidP="00BB7660">
      <w:pPr>
        <w:pStyle w:val="subsection"/>
      </w:pPr>
      <w:r w:rsidRPr="00005026">
        <w:tab/>
      </w:r>
      <w:r>
        <w:t>(2)</w:t>
      </w:r>
      <w:r w:rsidRPr="00005026">
        <w:tab/>
        <w:t xml:space="preserve">Without limiting subrule </w:t>
      </w:r>
      <w:r>
        <w:t>(1)</w:t>
      </w:r>
      <w:r w:rsidRPr="00005026">
        <w:t xml:space="preserve">, the Data Recipient Accreditor may request the further information:  </w:t>
      </w:r>
    </w:p>
    <w:p w14:paraId="62FC6AD2" w14:textId="77777777" w:rsidR="00BB7660" w:rsidRPr="00005026" w:rsidRDefault="00BB7660" w:rsidP="00BB7660">
      <w:pPr>
        <w:pStyle w:val="paragraph"/>
      </w:pPr>
      <w:r w:rsidRPr="00005026">
        <w:tab/>
      </w:r>
      <w:r>
        <w:t>(a)</w:t>
      </w:r>
      <w:r w:rsidRPr="00005026">
        <w:tab/>
        <w:t>in writing; or</w:t>
      </w:r>
    </w:p>
    <w:p w14:paraId="089ADFAC" w14:textId="77777777" w:rsidR="00BB7660" w:rsidRPr="00005026" w:rsidRDefault="00BB7660" w:rsidP="00BB7660">
      <w:pPr>
        <w:pStyle w:val="paragraph"/>
      </w:pPr>
      <w:r w:rsidRPr="00005026">
        <w:tab/>
      </w:r>
      <w:r>
        <w:t>(b)</w:t>
      </w:r>
      <w:r w:rsidRPr="00005026">
        <w:tab/>
        <w:t>in an interview with the Data Recipient Accreditor; or</w:t>
      </w:r>
    </w:p>
    <w:p w14:paraId="388373BF" w14:textId="77777777" w:rsidR="00BB7660" w:rsidRPr="00005026" w:rsidRDefault="00BB7660" w:rsidP="00BB7660">
      <w:pPr>
        <w:pStyle w:val="paragraph"/>
      </w:pPr>
      <w:r w:rsidRPr="00005026">
        <w:tab/>
      </w:r>
      <w:r>
        <w:t>(c)</w:t>
      </w:r>
      <w:r w:rsidRPr="00005026">
        <w:tab/>
        <w:t>by phone, email, videoconferencing or any other form of electronic communication.</w:t>
      </w:r>
    </w:p>
    <w:p w14:paraId="25FC2AF3" w14:textId="77777777" w:rsidR="00BB7660" w:rsidRDefault="00BB7660" w:rsidP="00BB7660">
      <w:pPr>
        <w:pStyle w:val="notetext"/>
      </w:pPr>
      <w:r w:rsidRPr="00005026">
        <w:t>Note:</w:t>
      </w:r>
      <w:r w:rsidRPr="00005026">
        <w:tab/>
        <w:t>If the accreditation applicant does not provide the further information as requested under this rule, the Data Recipient Accreditor might not be in a position to be satisfied, under section 56CA of the Act, that the applicant meets the criteria for accreditation.</w:t>
      </w:r>
    </w:p>
    <w:p w14:paraId="56086778" w14:textId="77777777" w:rsidR="00BB7660" w:rsidRDefault="00BB7660" w:rsidP="00BB7660">
      <w:pPr>
        <w:pStyle w:val="ActHead5"/>
      </w:pPr>
      <w:bookmarkStart w:id="438" w:name="_Toc11771634"/>
      <w:bookmarkStart w:id="439" w:name="_Toc111132146"/>
      <w:r>
        <w:t>5.4  Data Recipient Accreditor may consult</w:t>
      </w:r>
      <w:bookmarkEnd w:id="438"/>
      <w:bookmarkEnd w:id="439"/>
    </w:p>
    <w:p w14:paraId="1B765378" w14:textId="77777777" w:rsidR="00BB7660" w:rsidRDefault="00BB7660" w:rsidP="00BB7660">
      <w:pPr>
        <w:pStyle w:val="subsection"/>
      </w:pPr>
      <w:r>
        <w:tab/>
        <w:t>(1)</w:t>
      </w:r>
      <w:r>
        <w:tab/>
        <w:t>When making a decision under this Part, the Data Recipient Accreditor may consult with:</w:t>
      </w:r>
    </w:p>
    <w:p w14:paraId="256CD326" w14:textId="77777777" w:rsidR="00BB7660" w:rsidRDefault="00BB7660" w:rsidP="00BB7660">
      <w:pPr>
        <w:pStyle w:val="paragraph"/>
      </w:pPr>
      <w:r>
        <w:tab/>
        <w:t>(a)</w:t>
      </w:r>
      <w:r>
        <w:tab/>
        <w:t xml:space="preserve">other </w:t>
      </w:r>
      <w:r w:rsidRPr="000C3240">
        <w:rPr>
          <w:color w:val="000000" w:themeColor="text1"/>
        </w:rPr>
        <w:t xml:space="preserve">Commonwealth, State or Territory authorities </w:t>
      </w:r>
      <w:r>
        <w:t>as relevant, including, but not limited to:</w:t>
      </w:r>
    </w:p>
    <w:p w14:paraId="5AED2741" w14:textId="77777777" w:rsidR="00BB7660" w:rsidRDefault="00BB7660" w:rsidP="00BB7660">
      <w:pPr>
        <w:pStyle w:val="paragraphsub"/>
      </w:pPr>
      <w:r>
        <w:tab/>
        <w:t>(i)</w:t>
      </w:r>
      <w:r>
        <w:tab/>
        <w:t>the Information Commissioner; and</w:t>
      </w:r>
    </w:p>
    <w:p w14:paraId="5707C945" w14:textId="77777777" w:rsidR="00BB7660" w:rsidRDefault="00BB7660" w:rsidP="00BB7660">
      <w:pPr>
        <w:pStyle w:val="paragraphsub"/>
      </w:pPr>
      <w:r>
        <w:tab/>
        <w:t>(ii)</w:t>
      </w:r>
      <w:r>
        <w:tab/>
        <w:t>the Australian Securities and Investments Commission; and</w:t>
      </w:r>
    </w:p>
    <w:p w14:paraId="60C1420B" w14:textId="77777777" w:rsidR="00BB7660" w:rsidRDefault="00BB7660" w:rsidP="00BB7660">
      <w:pPr>
        <w:pStyle w:val="paragraphsub"/>
      </w:pPr>
      <w:r>
        <w:tab/>
        <w:t>(iii)</w:t>
      </w:r>
      <w:r>
        <w:tab/>
      </w:r>
      <w:r w:rsidRPr="00641354">
        <w:t>the Australian Prudential Regulation Authority</w:t>
      </w:r>
      <w:r>
        <w:t>; and</w:t>
      </w:r>
    </w:p>
    <w:p w14:paraId="710F8200" w14:textId="77777777" w:rsidR="00BB7660" w:rsidRDefault="00BB7660" w:rsidP="00BB7660">
      <w:pPr>
        <w:pStyle w:val="paragraphsub"/>
      </w:pPr>
      <w:r>
        <w:tab/>
        <w:t>(iv)</w:t>
      </w:r>
      <w:r>
        <w:tab/>
        <w:t>the Australian Financial Complaints Authority; and</w:t>
      </w:r>
    </w:p>
    <w:p w14:paraId="7AFB2A50" w14:textId="77777777" w:rsidR="00BB7660" w:rsidRPr="00A00F6F" w:rsidRDefault="00BB7660" w:rsidP="00BB7660">
      <w:pPr>
        <w:pStyle w:val="paragraph"/>
      </w:pPr>
      <w:r>
        <w:tab/>
        <w:t>(b)</w:t>
      </w:r>
      <w:r>
        <w:tab/>
        <w:t>similar aut</w:t>
      </w:r>
      <w:r w:rsidRPr="00363CDE">
        <w:t>horities of foreign jurisdictions</w:t>
      </w:r>
      <w:r w:rsidRPr="00A00F6F">
        <w:t>; and</w:t>
      </w:r>
    </w:p>
    <w:p w14:paraId="10934A0F" w14:textId="77777777" w:rsidR="00BB7660" w:rsidRPr="00210486" w:rsidRDefault="00BB7660" w:rsidP="00BB7660">
      <w:pPr>
        <w:pStyle w:val="paragraph"/>
      </w:pPr>
      <w:r w:rsidRPr="00A00F6F">
        <w:tab/>
        <w:t>(c)</w:t>
      </w:r>
      <w:r w:rsidRPr="00A00F6F">
        <w:tab/>
        <w:t>an authority specified for the purpose of this rule in a sector Schedule</w:t>
      </w:r>
      <w:r w:rsidRPr="00210486">
        <w:t>.</w:t>
      </w:r>
    </w:p>
    <w:p w14:paraId="7D8CD2D3" w14:textId="77777777" w:rsidR="00BB7660" w:rsidRDefault="00BB7660" w:rsidP="00BB7660">
      <w:pPr>
        <w:pStyle w:val="subsection"/>
      </w:pPr>
      <w:r>
        <w:tab/>
        <w:t>(2)</w:t>
      </w:r>
      <w:r w:rsidRPr="007E69B9">
        <w:tab/>
        <w:t>The functions of the Australian Prudential Regulation Authority include providing the Data Recipient Accreditor with advice or assistance if consulted in accordance with this rule.</w:t>
      </w:r>
    </w:p>
    <w:p w14:paraId="1E80DD65" w14:textId="77777777" w:rsidR="00BB7660" w:rsidRPr="007E69B9" w:rsidRDefault="00BB7660" w:rsidP="00BB7660">
      <w:pPr>
        <w:pStyle w:val="subsection"/>
      </w:pPr>
      <w:r>
        <w:tab/>
        <w:t>(3)</w:t>
      </w:r>
      <w:r>
        <w:tab/>
      </w:r>
      <w:r w:rsidRPr="007E69B9">
        <w:t xml:space="preserve">The </w:t>
      </w:r>
      <w:r w:rsidRPr="00222FCC">
        <w:t xml:space="preserve">Australian Securities and Investments Commission </w:t>
      </w:r>
      <w:r>
        <w:t xml:space="preserve">may disclose information as reasonably necessary in order to </w:t>
      </w:r>
      <w:r w:rsidRPr="007E69B9">
        <w:t>provid</w:t>
      </w:r>
      <w:r>
        <w:t>e</w:t>
      </w:r>
      <w:r w:rsidRPr="007E69B9">
        <w:t xml:space="preserve"> the Data Recipient Accreditor with advice or assistance if consulted in accordance with this rule.</w:t>
      </w:r>
    </w:p>
    <w:p w14:paraId="50BA1F2B" w14:textId="77777777" w:rsidR="00BB7660" w:rsidRPr="00C94642" w:rsidRDefault="00BB7660" w:rsidP="00BB7660">
      <w:pPr>
        <w:pStyle w:val="ActHead5"/>
      </w:pPr>
      <w:bookmarkStart w:id="440" w:name="_Toc11771636"/>
      <w:bookmarkStart w:id="441" w:name="_Toc82167196"/>
      <w:bookmarkStart w:id="442" w:name="_Toc111132147"/>
      <w:r>
        <w:t>5.5  Criteria for accreditation</w:t>
      </w:r>
      <w:bookmarkEnd w:id="440"/>
      <w:bookmarkEnd w:id="441"/>
      <w:bookmarkEnd w:id="442"/>
    </w:p>
    <w:p w14:paraId="0F4A864C" w14:textId="77777777" w:rsidR="00BB7660" w:rsidRDefault="00BB7660" w:rsidP="00BB7660">
      <w:pPr>
        <w:pStyle w:val="notemargin"/>
      </w:pPr>
      <w:r>
        <w:t>Note:</w:t>
      </w:r>
      <w:r>
        <w:tab/>
        <w:t>Under subsection 56CA(1) of the Act, the Data Recipient Accreditor may, in writing, accredit a person if the Data Recipient Accreditor is satisfied that the person meets the criteria for accreditation specified in the consumer data rules.</w:t>
      </w:r>
    </w:p>
    <w:p w14:paraId="390EC4A3" w14:textId="77777777" w:rsidR="00BB7660" w:rsidRPr="007C39E2" w:rsidRDefault="00BB7660" w:rsidP="00BB7660">
      <w:pPr>
        <w:pStyle w:val="subsection"/>
      </w:pPr>
      <w:r>
        <w:rPr>
          <w:color w:val="000000"/>
        </w:rPr>
        <w:tab/>
      </w:r>
      <w:r>
        <w:rPr>
          <w:color w:val="000000"/>
        </w:rPr>
        <w:tab/>
      </w:r>
      <w:r w:rsidRPr="00BD2AB7">
        <w:t>The criteri</w:t>
      </w:r>
      <w:r>
        <w:t>on</w:t>
      </w:r>
      <w:r w:rsidRPr="00BD2AB7">
        <w:t xml:space="preserve"> for accreditation </w:t>
      </w:r>
      <w:r>
        <w:t xml:space="preserve">is </w:t>
      </w:r>
      <w:r w:rsidRPr="00BD2AB7">
        <w:t>that</w:t>
      </w:r>
      <w:r>
        <w:t xml:space="preserve"> </w:t>
      </w:r>
      <w:r w:rsidRPr="00BD2AB7">
        <w:t>the accreditation applicant</w:t>
      </w:r>
      <w:r w:rsidRPr="007C39E2">
        <w:t>:</w:t>
      </w:r>
    </w:p>
    <w:p w14:paraId="069A6F72" w14:textId="77777777" w:rsidR="00BB7660" w:rsidRPr="00083B86" w:rsidRDefault="00BB7660" w:rsidP="00BB7660">
      <w:pPr>
        <w:pStyle w:val="paragraph"/>
      </w:pPr>
      <w:r>
        <w:tab/>
        <w:t>(a)</w:t>
      </w:r>
      <w:r>
        <w:tab/>
      </w:r>
      <w:r w:rsidRPr="00083B86">
        <w:t xml:space="preserve">would, if accredited, be able to comply with the obligations </w:t>
      </w:r>
      <w:r w:rsidRPr="00005026">
        <w:t>set out in</w:t>
      </w:r>
      <w:r w:rsidRPr="00083B86">
        <w:t xml:space="preserve"> rule </w:t>
      </w:r>
      <w:r>
        <w:t>5.12</w:t>
      </w:r>
      <w:r w:rsidRPr="00083B86">
        <w:t>; or</w:t>
      </w:r>
    </w:p>
    <w:p w14:paraId="6DB20DCD" w14:textId="77777777" w:rsidR="00BB7660" w:rsidRPr="00083B86" w:rsidRDefault="00BB7660" w:rsidP="00BB7660">
      <w:pPr>
        <w:pStyle w:val="paragraph"/>
      </w:pPr>
      <w:r>
        <w:tab/>
        <w:t>(b)</w:t>
      </w:r>
      <w:r>
        <w:tab/>
      </w:r>
      <w:r w:rsidRPr="00083B86">
        <w:t>where a</w:t>
      </w:r>
      <w:r w:rsidRPr="00A00F6F">
        <w:t xml:space="preserve"> sector Schedule</w:t>
      </w:r>
      <w:r w:rsidRPr="00F214C6">
        <w:t xml:space="preserve"> </w:t>
      </w:r>
      <w:r w:rsidRPr="00083B86">
        <w:t>sets out criteria for streamlined accreditation in relation to the relevant designa</w:t>
      </w:r>
      <w:r>
        <w:t>ted sector―meets those criteria</w:t>
      </w:r>
      <w:r w:rsidRPr="0025444A">
        <w:t>.</w:t>
      </w:r>
    </w:p>
    <w:p w14:paraId="62C863D0" w14:textId="77777777" w:rsidR="00BB7660" w:rsidRPr="009C4B0C" w:rsidRDefault="00BB7660" w:rsidP="00BB7660">
      <w:pPr>
        <w:pStyle w:val="notetext"/>
      </w:pPr>
      <w:r w:rsidRPr="009C4B0C">
        <w:lastRenderedPageBreak/>
        <w:t>Note 1:</w:t>
      </w:r>
      <w:r w:rsidRPr="009C4B0C">
        <w:tab/>
        <w:t>For paragraph (b), for the banking sector, see clause 7.3 of Schedule 3.</w:t>
      </w:r>
    </w:p>
    <w:p w14:paraId="3CAA0398" w14:textId="77777777" w:rsidR="00BB7660" w:rsidRPr="00BD2AB7" w:rsidRDefault="00BB7660" w:rsidP="00BB7660">
      <w:pPr>
        <w:pStyle w:val="notetext"/>
      </w:pPr>
      <w:r w:rsidRPr="00BD2AB7">
        <w:t xml:space="preserve">Note </w:t>
      </w:r>
      <w:r>
        <w:t>2</w:t>
      </w:r>
      <w:r w:rsidRPr="00BD2AB7">
        <w:t>:</w:t>
      </w:r>
      <w:r w:rsidRPr="00BD2AB7">
        <w:tab/>
        <w:t xml:space="preserve">See Schedules to these rules for </w:t>
      </w:r>
      <w:r>
        <w:t xml:space="preserve">other circumstances in which </w:t>
      </w:r>
      <w:r w:rsidRPr="00BD2AB7">
        <w:t>this provision might operate differently for different designated sectors.</w:t>
      </w:r>
    </w:p>
    <w:p w14:paraId="6158C0AC" w14:textId="77777777" w:rsidR="00BB7660" w:rsidRDefault="00BB7660" w:rsidP="00BB7660">
      <w:pPr>
        <w:pStyle w:val="notetext"/>
      </w:pPr>
      <w:r w:rsidRPr="00BD2AB7">
        <w:t xml:space="preserve">Note </w:t>
      </w:r>
      <w:r>
        <w:t>3</w:t>
      </w:r>
      <w:r w:rsidRPr="00BD2AB7">
        <w:t>:</w:t>
      </w:r>
      <w:r w:rsidRPr="00BD2AB7">
        <w:tab/>
        <w:t xml:space="preserve">For the banking sector, see clause </w:t>
      </w:r>
      <w:r>
        <w:t>7.3</w:t>
      </w:r>
      <w:r w:rsidRPr="00BD2AB7">
        <w:t xml:space="preserve"> of </w:t>
      </w:r>
      <w:r>
        <w:t>Schedule 3</w:t>
      </w:r>
      <w:r w:rsidRPr="00BD2AB7">
        <w:t>.</w:t>
      </w:r>
    </w:p>
    <w:p w14:paraId="24E47A40" w14:textId="77777777" w:rsidR="00BB7660" w:rsidRPr="00E1300D" w:rsidRDefault="00BB7660" w:rsidP="00BB7660">
      <w:pPr>
        <w:pStyle w:val="ActHead5"/>
        <w:rPr>
          <w:color w:val="000000" w:themeColor="text1"/>
        </w:rPr>
      </w:pPr>
      <w:bookmarkStart w:id="443" w:name="_Toc111132148"/>
      <w:r>
        <w:rPr>
          <w:color w:val="000000" w:themeColor="text1"/>
        </w:rPr>
        <w:t>5.6</w:t>
      </w:r>
      <w:r w:rsidRPr="00E1300D">
        <w:rPr>
          <w:color w:val="000000" w:themeColor="text1"/>
        </w:rPr>
        <w:t xml:space="preserve">  Accreditation decision―accreditation number</w:t>
      </w:r>
      <w:bookmarkEnd w:id="443"/>
    </w:p>
    <w:p w14:paraId="6C32B513" w14:textId="77777777" w:rsidR="00BB7660" w:rsidRPr="00E1300D" w:rsidRDefault="00BB7660" w:rsidP="00BB7660">
      <w:pPr>
        <w:pStyle w:val="subsection"/>
        <w:rPr>
          <w:color w:val="000000" w:themeColor="text1"/>
        </w:rPr>
      </w:pPr>
      <w:r>
        <w:tab/>
      </w:r>
      <w:r w:rsidRPr="00E1300D">
        <w:rPr>
          <w:color w:val="000000" w:themeColor="text1"/>
        </w:rPr>
        <w:tab/>
        <w:t xml:space="preserve">The Data Recipient Accreditor must, if it accredits an accreditation applicant, give the applicant a unique number by which it may be identified as an accredited person (their </w:t>
      </w:r>
      <w:r w:rsidRPr="00E1300D">
        <w:rPr>
          <w:b/>
          <w:i/>
          <w:color w:val="000000" w:themeColor="text1"/>
        </w:rPr>
        <w:t>accreditation number</w:t>
      </w:r>
      <w:r w:rsidRPr="00E1300D">
        <w:rPr>
          <w:color w:val="000000" w:themeColor="text1"/>
        </w:rPr>
        <w:t>).</w:t>
      </w:r>
    </w:p>
    <w:p w14:paraId="70599335" w14:textId="77777777" w:rsidR="00BB7660" w:rsidRPr="000C3240" w:rsidRDefault="00BB7660" w:rsidP="00BB7660">
      <w:pPr>
        <w:pStyle w:val="ActHead5"/>
        <w:rPr>
          <w:color w:val="000000" w:themeColor="text1"/>
        </w:rPr>
      </w:pPr>
      <w:bookmarkStart w:id="444" w:name="_Toc11771638"/>
      <w:bookmarkStart w:id="445" w:name="_Toc111132149"/>
      <w:r>
        <w:rPr>
          <w:color w:val="000000" w:themeColor="text1"/>
        </w:rPr>
        <w:t>5.7</w:t>
      </w:r>
      <w:r w:rsidRPr="000C3240">
        <w:rPr>
          <w:color w:val="000000" w:themeColor="text1"/>
        </w:rPr>
        <w:t xml:space="preserve">  Accreditation decision—notifying accreditation applicant</w:t>
      </w:r>
      <w:bookmarkEnd w:id="444"/>
      <w:bookmarkEnd w:id="445"/>
    </w:p>
    <w:p w14:paraId="37715B74" w14:textId="77777777" w:rsidR="00BB7660" w:rsidRDefault="00BB7660" w:rsidP="00BB7660">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 xml:space="preserve">The Data Recipient Accreditor must notify an accreditation applicant, in writing, as soon as practicable after </w:t>
      </w:r>
      <w:r w:rsidRPr="00005026">
        <w:t>making a decision to accredit, or refuse</w:t>
      </w:r>
      <w:r w:rsidRPr="000C3240">
        <w:rPr>
          <w:color w:val="000000" w:themeColor="text1"/>
        </w:rPr>
        <w:t xml:space="preserve"> to accredit, the applicant under subsection 56CA(1) of the Act.</w:t>
      </w:r>
    </w:p>
    <w:p w14:paraId="12CE4D15"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 xml:space="preserve">If the Accreditor </w:t>
      </w:r>
      <w:r w:rsidRPr="003F3AC9">
        <w:t xml:space="preserve">decided to accredit </w:t>
      </w:r>
      <w:r w:rsidRPr="000C3240">
        <w:rPr>
          <w:color w:val="000000" w:themeColor="text1"/>
        </w:rPr>
        <w:t>the applicant, the notice must include the following:</w:t>
      </w:r>
    </w:p>
    <w:p w14:paraId="0F6FCD3D"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that fact;</w:t>
      </w:r>
    </w:p>
    <w:p w14:paraId="4F214FE3" w14:textId="77777777" w:rsidR="00BB7660" w:rsidRDefault="00BB7660" w:rsidP="00BB7660">
      <w:pPr>
        <w:pStyle w:val="paragraph"/>
      </w:pPr>
      <w:r>
        <w:tab/>
        <w:t>(b)</w:t>
      </w:r>
      <w:r>
        <w:tab/>
        <w:t>the level of accreditation;</w:t>
      </w:r>
    </w:p>
    <w:p w14:paraId="4C02902E" w14:textId="77777777" w:rsidR="00BB7660" w:rsidRPr="00E1300D" w:rsidRDefault="00BB7660" w:rsidP="00BB7660">
      <w:pPr>
        <w:pStyle w:val="paragraph"/>
        <w:rPr>
          <w:color w:val="000000" w:themeColor="text1"/>
        </w:rPr>
      </w:pPr>
      <w:r>
        <w:tab/>
      </w:r>
      <w:r>
        <w:rPr>
          <w:color w:val="000000" w:themeColor="text1"/>
        </w:rPr>
        <w:t>(c)</w:t>
      </w:r>
      <w:r w:rsidRPr="000C3240">
        <w:rPr>
          <w:color w:val="000000" w:themeColor="text1"/>
        </w:rPr>
        <w:tab/>
        <w:t>any conditions that were imposed when the accreditation decision was made</w:t>
      </w:r>
      <w:r w:rsidRPr="00E1300D">
        <w:rPr>
          <w:color w:val="000000" w:themeColor="text1"/>
        </w:rPr>
        <w:t>;</w:t>
      </w:r>
    </w:p>
    <w:p w14:paraId="196210F3" w14:textId="77777777" w:rsidR="00BB7660" w:rsidRPr="009F28B3" w:rsidRDefault="00BB7660" w:rsidP="00BB7660">
      <w:pPr>
        <w:pStyle w:val="paragraph"/>
      </w:pPr>
      <w:r>
        <w:tab/>
      </w:r>
      <w:r>
        <w:rPr>
          <w:color w:val="000000" w:themeColor="text1"/>
        </w:rPr>
        <w:t>(d)</w:t>
      </w:r>
      <w:r w:rsidRPr="00E1300D">
        <w:rPr>
          <w:color w:val="000000" w:themeColor="text1"/>
        </w:rPr>
        <w:tab/>
        <w:t xml:space="preserve">their accreditation </w:t>
      </w:r>
      <w:r w:rsidRPr="009F28B3">
        <w:t>number.</w:t>
      </w:r>
    </w:p>
    <w:p w14:paraId="623104C1" w14:textId="77777777" w:rsidR="00BB7660" w:rsidRPr="000C3240" w:rsidRDefault="00BB7660" w:rsidP="00BB7660">
      <w:pPr>
        <w:pStyle w:val="notetext"/>
        <w:rPr>
          <w:color w:val="000000" w:themeColor="text1"/>
        </w:rPr>
      </w:pPr>
      <w:r w:rsidRPr="000C3240">
        <w:rPr>
          <w:color w:val="000000" w:themeColor="text1"/>
        </w:rPr>
        <w:t>Note:</w:t>
      </w:r>
      <w:r w:rsidRPr="000C3240">
        <w:rPr>
          <w:color w:val="000000" w:themeColor="text1"/>
        </w:rPr>
        <w:tab/>
        <w:t>For paragraph </w:t>
      </w:r>
      <w:r>
        <w:rPr>
          <w:color w:val="000000" w:themeColor="text1"/>
        </w:rPr>
        <w:t>(c)</w:t>
      </w:r>
      <w:r w:rsidRPr="000C3240">
        <w:rPr>
          <w:color w:val="000000" w:themeColor="text1"/>
        </w:rPr>
        <w:t xml:space="preserve">, for conditions on accreditations, see </w:t>
      </w:r>
      <w:r>
        <w:rPr>
          <w:color w:val="000000" w:themeColor="text1"/>
        </w:rPr>
        <w:t>rule</w:t>
      </w:r>
      <w:r w:rsidRPr="000C3240">
        <w:rPr>
          <w:color w:val="000000" w:themeColor="text1"/>
        </w:rPr>
        <w:t> </w:t>
      </w:r>
      <w:r>
        <w:rPr>
          <w:color w:val="000000" w:themeColor="text1"/>
        </w:rPr>
        <w:t>5.10</w:t>
      </w:r>
      <w:r w:rsidRPr="000C3240">
        <w:rPr>
          <w:color w:val="000000" w:themeColor="text1"/>
        </w:rPr>
        <w:t>.</w:t>
      </w:r>
    </w:p>
    <w:p w14:paraId="0D904F16"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(3)</w:t>
      </w:r>
      <w:r w:rsidRPr="000C3240">
        <w:rPr>
          <w:color w:val="000000" w:themeColor="text1"/>
        </w:rPr>
        <w:tab/>
        <w:t xml:space="preserve">If the </w:t>
      </w:r>
      <w:r w:rsidRPr="003F3AC9">
        <w:t>Accreditor</w:t>
      </w:r>
      <w:r>
        <w:t xml:space="preserve"> </w:t>
      </w:r>
      <w:r w:rsidRPr="003F3AC9">
        <w:t>decided not to</w:t>
      </w:r>
      <w:r w:rsidRPr="000C3240">
        <w:rPr>
          <w:color w:val="000000" w:themeColor="text1"/>
        </w:rPr>
        <w:t xml:space="preserve"> accredit the applicant, the notice must include the following:</w:t>
      </w:r>
    </w:p>
    <w:p w14:paraId="7436B2D7"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that fact;</w:t>
      </w:r>
    </w:p>
    <w:p w14:paraId="7177D69E" w14:textId="77777777" w:rsidR="00BB7660" w:rsidRDefault="00BB7660" w:rsidP="00BB7660">
      <w:pPr>
        <w:pStyle w:val="paragraph"/>
        <w:rPr>
          <w:color w:val="000000" w:themeColor="text1"/>
        </w:rPr>
      </w:pPr>
      <w:r>
        <w:tab/>
      </w:r>
      <w:r>
        <w:rPr>
          <w:color w:val="000000" w:themeColor="text1"/>
        </w:rPr>
        <w:t>(b)</w:t>
      </w:r>
      <w:r w:rsidRPr="000C3240">
        <w:rPr>
          <w:color w:val="000000" w:themeColor="text1"/>
        </w:rPr>
        <w:tab/>
        <w:t>the applicant’s rights to have the decision to refuse reviewed by the Administrative Appeals Tribunal.</w:t>
      </w:r>
    </w:p>
    <w:p w14:paraId="1D7156A0" w14:textId="77777777" w:rsidR="00BB7660" w:rsidRPr="00005026" w:rsidRDefault="00BB7660" w:rsidP="00BB7660">
      <w:pPr>
        <w:pStyle w:val="ActHead5"/>
      </w:pPr>
      <w:bookmarkStart w:id="446" w:name="_Toc111132150"/>
      <w:r>
        <w:t>5.8</w:t>
      </w:r>
      <w:r w:rsidRPr="00005026">
        <w:t xml:space="preserve">  When accreditation takes effect</w:t>
      </w:r>
      <w:bookmarkEnd w:id="446"/>
    </w:p>
    <w:p w14:paraId="2014E8E8" w14:textId="77777777" w:rsidR="00BB7660" w:rsidRPr="00005026" w:rsidRDefault="00BB7660" w:rsidP="00BB7660">
      <w:pPr>
        <w:pStyle w:val="subsection"/>
        <w:rPr>
          <w:sz w:val="24"/>
          <w:szCs w:val="24"/>
        </w:rPr>
      </w:pPr>
      <w:r w:rsidRPr="00005026">
        <w:tab/>
      </w:r>
      <w:r w:rsidRPr="00005026">
        <w:tab/>
        <w:t>An accreditation takes effect when the fact that the Data Recipient Accreditor has decided to accredit the person is included in the Register of Accredited Persons.</w:t>
      </w:r>
    </w:p>
    <w:p w14:paraId="5D37C945" w14:textId="77777777" w:rsidR="00BB7660" w:rsidRPr="00956176" w:rsidRDefault="00BB7660" w:rsidP="00BB7660">
      <w:pPr>
        <w:pStyle w:val="ActHead5"/>
      </w:pPr>
      <w:bookmarkStart w:id="447" w:name="_Toc111132151"/>
      <w:r>
        <w:t>5.9</w:t>
      </w:r>
      <w:r w:rsidRPr="00956176">
        <w:t xml:space="preserve">  Default conditions on accreditation</w:t>
      </w:r>
      <w:bookmarkEnd w:id="447"/>
    </w:p>
    <w:p w14:paraId="403156B9" w14:textId="77777777" w:rsidR="00BB7660" w:rsidRPr="00956176" w:rsidRDefault="00BB7660" w:rsidP="00BB7660">
      <w:pPr>
        <w:pStyle w:val="subsection"/>
      </w:pPr>
      <w:r w:rsidRPr="00956176">
        <w:tab/>
      </w:r>
      <w:r w:rsidRPr="00956176">
        <w:tab/>
        <w:t xml:space="preserve">An accreditation is subject to the conditions set out in </w:t>
      </w:r>
      <w:r>
        <w:t>Schedule 1</w:t>
      </w:r>
      <w:r w:rsidRPr="00956176">
        <w:t>.</w:t>
      </w:r>
    </w:p>
    <w:p w14:paraId="3FD8DE4F" w14:textId="77777777" w:rsidR="00BB7660" w:rsidRDefault="00BB7660" w:rsidP="00BB7660">
      <w:pPr>
        <w:pStyle w:val="ActHead5"/>
      </w:pPr>
      <w:bookmarkStart w:id="448" w:name="_Toc11771639"/>
      <w:bookmarkStart w:id="449" w:name="_Toc111132152"/>
      <w:r>
        <w:t>5.10</w:t>
      </w:r>
      <w:r w:rsidRPr="00956176">
        <w:t xml:space="preserve">  Other conditions on accreditation</w:t>
      </w:r>
      <w:bookmarkEnd w:id="448"/>
      <w:bookmarkEnd w:id="449"/>
    </w:p>
    <w:p w14:paraId="7DD55423" w14:textId="77777777" w:rsidR="00BB7660" w:rsidRPr="004E01F4" w:rsidRDefault="00BB7660" w:rsidP="00BB7660">
      <w:pPr>
        <w:pStyle w:val="subsection"/>
        <w:tabs>
          <w:tab w:val="left" w:pos="300"/>
        </w:tabs>
      </w:pPr>
      <w:r w:rsidRPr="004E01F4">
        <w:tab/>
      </w:r>
      <w:r>
        <w:tab/>
      </w:r>
      <w:r w:rsidRPr="004E01F4">
        <w:t>(1)</w:t>
      </w:r>
      <w:r w:rsidRPr="004E01F4">
        <w:tab/>
        <w:t>The Data Recipient Accreditor may, in writing:</w:t>
      </w:r>
    </w:p>
    <w:p w14:paraId="7C09C1F1" w14:textId="77777777" w:rsidR="00BB7660" w:rsidRPr="004E01F4" w:rsidRDefault="00BB7660" w:rsidP="00BB7660">
      <w:pPr>
        <w:pStyle w:val="paragraph"/>
      </w:pPr>
      <w:r w:rsidRPr="004E01F4">
        <w:tab/>
        <w:t>(a)</w:t>
      </w:r>
      <w:r w:rsidRPr="004E01F4">
        <w:tab/>
        <w:t>impose any other condition on an accreditation; and</w:t>
      </w:r>
    </w:p>
    <w:p w14:paraId="1D6224E0" w14:textId="77777777" w:rsidR="00BB7660" w:rsidRPr="004E01F4" w:rsidRDefault="00BB7660" w:rsidP="00BB7660">
      <w:pPr>
        <w:pStyle w:val="paragraph"/>
      </w:pPr>
      <w:r w:rsidRPr="004E01F4">
        <w:tab/>
        <w:t>(b)</w:t>
      </w:r>
      <w:r w:rsidRPr="004E01F4">
        <w:tab/>
        <w:t>vary or remove any conditions imposed under this rule or rule 5.9.</w:t>
      </w:r>
    </w:p>
    <w:p w14:paraId="592D759F" w14:textId="77777777" w:rsidR="00BB7660" w:rsidRPr="004E01F4" w:rsidRDefault="00BB7660" w:rsidP="00BB7660">
      <w:pPr>
        <w:pStyle w:val="subsection"/>
      </w:pPr>
      <w:r w:rsidRPr="004E01F4">
        <w:t xml:space="preserve"> </w:t>
      </w:r>
      <w:r w:rsidRPr="004E01F4">
        <w:tab/>
        <w:t>(1A)</w:t>
      </w:r>
      <w:r w:rsidRPr="004E01F4">
        <w:tab/>
        <w:t xml:space="preserve">The Data Recipient Accreditor may exercise a power under subrule (1): </w:t>
      </w:r>
    </w:p>
    <w:p w14:paraId="40064335" w14:textId="77777777" w:rsidR="00BB7660" w:rsidRPr="004E01F4" w:rsidRDefault="00BB7660" w:rsidP="00BB7660">
      <w:pPr>
        <w:pStyle w:val="paragraph"/>
      </w:pPr>
      <w:r w:rsidRPr="004E01F4">
        <w:lastRenderedPageBreak/>
        <w:tab/>
        <w:t>(a)</w:t>
      </w:r>
      <w:r w:rsidRPr="004E01F4">
        <w:tab/>
        <w:t>at the time of accreditation under subsection 56CA(1) of the Act; or</w:t>
      </w:r>
    </w:p>
    <w:p w14:paraId="4B4D180D" w14:textId="77777777" w:rsidR="00BB7660" w:rsidRPr="004E01F4" w:rsidRDefault="00BB7660" w:rsidP="00BB7660">
      <w:pPr>
        <w:pStyle w:val="paragraph"/>
      </w:pPr>
      <w:r w:rsidRPr="004E01F4">
        <w:tab/>
        <w:t>(b)</w:t>
      </w:r>
      <w:r w:rsidRPr="004E01F4">
        <w:tab/>
        <w:t xml:space="preserve">at any time after accreditation. </w:t>
      </w:r>
    </w:p>
    <w:p w14:paraId="67A095B8" w14:textId="77777777" w:rsidR="00BB7660" w:rsidRPr="00641354" w:rsidRDefault="00BB7660" w:rsidP="00BB7660">
      <w:pPr>
        <w:pStyle w:val="subsection"/>
        <w:rPr>
          <w:color w:val="000000"/>
        </w:rPr>
      </w:pPr>
      <w:r w:rsidRPr="00641354">
        <w:rPr>
          <w:color w:val="000000"/>
        </w:rPr>
        <w:tab/>
      </w:r>
      <w:r>
        <w:rPr>
          <w:color w:val="000000"/>
        </w:rPr>
        <w:t>(2)</w:t>
      </w:r>
      <w:r w:rsidRPr="00641354">
        <w:rPr>
          <w:color w:val="000000"/>
        </w:rPr>
        <w:tab/>
        <w:t xml:space="preserve">Before </w:t>
      </w:r>
      <w:r>
        <w:rPr>
          <w:color w:val="000000"/>
        </w:rPr>
        <w:t>exercising a power</w:t>
      </w:r>
      <w:r w:rsidRPr="00641354">
        <w:rPr>
          <w:color w:val="000000"/>
        </w:rPr>
        <w:t xml:space="preserve"> under this </w:t>
      </w:r>
      <w:r>
        <w:rPr>
          <w:color w:val="000000"/>
        </w:rPr>
        <w:t>rule</w:t>
      </w:r>
      <w:r w:rsidRPr="00641354">
        <w:rPr>
          <w:color w:val="000000"/>
        </w:rPr>
        <w:t>, the Accreditor must:</w:t>
      </w:r>
    </w:p>
    <w:p w14:paraId="169C9C5F" w14:textId="77777777" w:rsidR="00BB7660" w:rsidRPr="00641354" w:rsidRDefault="00BB7660" w:rsidP="00BB7660">
      <w:pPr>
        <w:pStyle w:val="paragraph"/>
        <w:rPr>
          <w:color w:val="000000"/>
        </w:rPr>
      </w:pPr>
      <w:r w:rsidRPr="00641354">
        <w:rPr>
          <w:color w:val="000000"/>
        </w:rPr>
        <w:tab/>
      </w:r>
      <w:r>
        <w:rPr>
          <w:color w:val="000000"/>
        </w:rPr>
        <w:t>(a)</w:t>
      </w:r>
      <w:r w:rsidRPr="00641354">
        <w:rPr>
          <w:color w:val="000000"/>
        </w:rPr>
        <w:tab/>
        <w:t>inform the</w:t>
      </w:r>
      <w:r>
        <w:rPr>
          <w:color w:val="000000"/>
        </w:rPr>
        <w:t xml:space="preserve"> </w:t>
      </w:r>
      <w:r w:rsidRPr="000C3240">
        <w:rPr>
          <w:color w:val="000000" w:themeColor="text1"/>
        </w:rPr>
        <w:t>accreditation applicant or</w:t>
      </w:r>
      <w:r w:rsidRPr="00641354">
        <w:rPr>
          <w:color w:val="000000"/>
        </w:rPr>
        <w:t xml:space="preserve"> accredited person</w:t>
      </w:r>
      <w:r w:rsidRPr="000C3240">
        <w:rPr>
          <w:color w:val="000000" w:themeColor="text1"/>
        </w:rPr>
        <w:t>, as appropriate,</w:t>
      </w:r>
      <w:r w:rsidRPr="00641354">
        <w:rPr>
          <w:color w:val="000000"/>
        </w:rPr>
        <w:t xml:space="preserve"> of the proposed imposition or variation; and</w:t>
      </w:r>
    </w:p>
    <w:p w14:paraId="1127AAE7" w14:textId="77777777" w:rsidR="00BB7660" w:rsidRPr="00641354" w:rsidRDefault="00BB7660" w:rsidP="00BB7660">
      <w:pPr>
        <w:pStyle w:val="paragraph"/>
        <w:rPr>
          <w:color w:val="000000"/>
        </w:rPr>
      </w:pPr>
      <w:r w:rsidRPr="00641354">
        <w:rPr>
          <w:color w:val="000000"/>
        </w:rPr>
        <w:tab/>
      </w:r>
      <w:r>
        <w:rPr>
          <w:color w:val="000000"/>
        </w:rPr>
        <w:t>(b)</w:t>
      </w:r>
      <w:r w:rsidRPr="00641354">
        <w:rPr>
          <w:color w:val="000000"/>
        </w:rPr>
        <w:tab/>
        <w:t xml:space="preserve">give the </w:t>
      </w:r>
      <w:r w:rsidRPr="000C3240">
        <w:rPr>
          <w:color w:val="000000" w:themeColor="text1"/>
        </w:rPr>
        <w:t xml:space="preserve">accreditation applicant or </w:t>
      </w:r>
      <w:r w:rsidRPr="00641354">
        <w:rPr>
          <w:color w:val="000000"/>
        </w:rPr>
        <w:t>accredited person</w:t>
      </w:r>
      <w:r w:rsidRPr="000C3240">
        <w:rPr>
          <w:color w:val="000000" w:themeColor="text1"/>
        </w:rPr>
        <w:t>, as appropriate,</w:t>
      </w:r>
      <w:r w:rsidRPr="00641354">
        <w:rPr>
          <w:color w:val="000000"/>
        </w:rPr>
        <w:t xml:space="preserve"> a reasonable opportunity to be heard in relation to the proposal.</w:t>
      </w:r>
    </w:p>
    <w:p w14:paraId="39D410D9" w14:textId="77777777" w:rsidR="00BB7660" w:rsidRPr="000C3240" w:rsidRDefault="00BB7660" w:rsidP="00BB7660">
      <w:pPr>
        <w:pStyle w:val="notetext"/>
        <w:rPr>
          <w:color w:val="000000" w:themeColor="text1"/>
        </w:rPr>
      </w:pPr>
      <w:r w:rsidRPr="000C3240">
        <w:rPr>
          <w:color w:val="000000" w:themeColor="text1"/>
        </w:rPr>
        <w:t>Note 1:</w:t>
      </w:r>
      <w:r w:rsidRPr="000C3240">
        <w:rPr>
          <w:color w:val="000000" w:themeColor="text1"/>
        </w:rPr>
        <w:tab/>
        <w:t>Contravention of a condition could lead to suspension or revocation of accreditation</w:t>
      </w:r>
      <w:r>
        <w:rPr>
          <w:color w:val="000000" w:themeColor="text1"/>
        </w:rPr>
        <w:t>: s</w:t>
      </w:r>
      <w:r w:rsidRPr="000C3240">
        <w:rPr>
          <w:color w:val="000000" w:themeColor="text1"/>
        </w:rPr>
        <w:t xml:space="preserve">ee </w:t>
      </w:r>
      <w:r w:rsidRPr="0034500F">
        <w:rPr>
          <w:color w:val="000000" w:themeColor="text1"/>
        </w:rPr>
        <w:t>items</w:t>
      </w:r>
      <w:r>
        <w:t> </w:t>
      </w:r>
      <w:r w:rsidRPr="00CC5A54">
        <w:t xml:space="preserve">6 and 7 </w:t>
      </w:r>
      <w:r w:rsidRPr="000C3240">
        <w:rPr>
          <w:color w:val="000000" w:themeColor="text1"/>
        </w:rPr>
        <w:t xml:space="preserve">of the table to </w:t>
      </w:r>
      <w:r>
        <w:rPr>
          <w:color w:val="000000" w:themeColor="text1"/>
        </w:rPr>
        <w:t>rule</w:t>
      </w:r>
      <w:r w:rsidRPr="000C3240">
        <w:rPr>
          <w:color w:val="000000" w:themeColor="text1"/>
        </w:rPr>
        <w:t> </w:t>
      </w:r>
      <w:r>
        <w:rPr>
          <w:color w:val="000000" w:themeColor="text1"/>
        </w:rPr>
        <w:t>5.17</w:t>
      </w:r>
      <w:r w:rsidRPr="000C3240">
        <w:rPr>
          <w:color w:val="000000" w:themeColor="text1"/>
        </w:rPr>
        <w:t>.</w:t>
      </w:r>
    </w:p>
    <w:p w14:paraId="17971FC3" w14:textId="77777777" w:rsidR="00BB7660" w:rsidRDefault="00BB7660" w:rsidP="00BB7660">
      <w:pPr>
        <w:pStyle w:val="notetext"/>
        <w:rPr>
          <w:color w:val="000000" w:themeColor="text1"/>
        </w:rPr>
      </w:pPr>
      <w:r w:rsidRPr="000C3240">
        <w:rPr>
          <w:color w:val="000000" w:themeColor="text1"/>
        </w:rPr>
        <w:t>Note 2:</w:t>
      </w:r>
      <w:r w:rsidRPr="000C3240">
        <w:rPr>
          <w:color w:val="000000" w:themeColor="text1"/>
        </w:rPr>
        <w:tab/>
        <w:t xml:space="preserve">Applications may be made to the Administrative Appeals Tribunal to review a decision under this </w:t>
      </w:r>
      <w:r>
        <w:rPr>
          <w:color w:val="000000" w:themeColor="text1"/>
        </w:rPr>
        <w:t>rule: see paragraph 9.2(a)</w:t>
      </w:r>
      <w:r w:rsidRPr="000C3240">
        <w:rPr>
          <w:color w:val="000000" w:themeColor="text1"/>
        </w:rPr>
        <w:t>.</w:t>
      </w:r>
    </w:p>
    <w:p w14:paraId="1BAA47E5" w14:textId="77777777" w:rsidR="00BB7660" w:rsidRDefault="00BB7660" w:rsidP="00BB7660">
      <w:pPr>
        <w:pStyle w:val="subsection"/>
      </w:pPr>
      <w:r w:rsidRPr="00005026">
        <w:tab/>
      </w:r>
      <w:r>
        <w:t>(3)</w:t>
      </w:r>
      <w:r w:rsidRPr="00005026">
        <w:tab/>
        <w:t>If the reasons for imposing or varying a condition on an existing accreditation are such that</w:t>
      </w:r>
      <w:r>
        <w:t>, in the opinion of the Data Recipient Accreditor,</w:t>
      </w:r>
      <w:r w:rsidRPr="00005026">
        <w:t xml:space="preserve"> complying with subrule </w:t>
      </w:r>
      <w:r>
        <w:t>(2)</w:t>
      </w:r>
      <w:r w:rsidRPr="00005026">
        <w:t xml:space="preserve"> would create a real risk of:</w:t>
      </w:r>
    </w:p>
    <w:p w14:paraId="6E94DDAD" w14:textId="77777777" w:rsidR="00BB7660" w:rsidRPr="00005026" w:rsidRDefault="00BB7660" w:rsidP="00BB7660">
      <w:pPr>
        <w:pStyle w:val="paragraph"/>
      </w:pPr>
      <w:r w:rsidRPr="00005026">
        <w:tab/>
      </w:r>
      <w:r>
        <w:t>(a)</w:t>
      </w:r>
      <w:r w:rsidRPr="00005026">
        <w:tab/>
        <w:t>harm or abuse to an individual; or</w:t>
      </w:r>
    </w:p>
    <w:p w14:paraId="60092C9B" w14:textId="77777777" w:rsidR="00BB7660" w:rsidRPr="00005026" w:rsidRDefault="00BB7660" w:rsidP="00BB7660">
      <w:pPr>
        <w:pStyle w:val="paragraph"/>
      </w:pPr>
      <w:r w:rsidRPr="00005026">
        <w:tab/>
      </w:r>
      <w:r>
        <w:t>(b)</w:t>
      </w:r>
      <w:r w:rsidRPr="00005026">
        <w:tab/>
        <w:t>adversely impacting the security, integrity or stability of:</w:t>
      </w:r>
    </w:p>
    <w:p w14:paraId="5B0132C3" w14:textId="77777777" w:rsidR="00BB7660" w:rsidRPr="00005026" w:rsidRDefault="00BB7660" w:rsidP="00BB7660">
      <w:pPr>
        <w:pStyle w:val="paragraphsub"/>
      </w:pPr>
      <w:r w:rsidRPr="00005026">
        <w:tab/>
      </w:r>
      <w:r>
        <w:t>(i)</w:t>
      </w:r>
      <w:r w:rsidRPr="00005026">
        <w:tab/>
        <w:t>the Register of Accredited Persons; or</w:t>
      </w:r>
    </w:p>
    <w:p w14:paraId="580557BA" w14:textId="77777777" w:rsidR="00BB7660" w:rsidRPr="00005026" w:rsidRDefault="00BB7660" w:rsidP="00BB7660">
      <w:pPr>
        <w:pStyle w:val="paragraphsub"/>
      </w:pPr>
      <w:r w:rsidRPr="00005026">
        <w:tab/>
      </w:r>
      <w:r>
        <w:t>(ii)</w:t>
      </w:r>
      <w:r w:rsidRPr="00005026">
        <w:tab/>
        <w:t>information and communication technology systems that are used by CDR participants to disclose or collect CDR data;</w:t>
      </w:r>
    </w:p>
    <w:p w14:paraId="60036232" w14:textId="77777777" w:rsidR="00BB7660" w:rsidRPr="00005026" w:rsidRDefault="00BB7660" w:rsidP="00BB7660">
      <w:pPr>
        <w:pStyle w:val="subsection"/>
        <w:spacing w:before="40"/>
      </w:pPr>
      <w:r w:rsidRPr="00005026">
        <w:tab/>
      </w:r>
      <w:r w:rsidRPr="00005026">
        <w:tab/>
        <w:t>the Accreditor may impose or vary the condition without complying with that subrule, but must, as soon as practicable, give the accredited person a reasonable opportunity to be heard in relation to the imposition or variation.</w:t>
      </w:r>
    </w:p>
    <w:p w14:paraId="7CDAFA04" w14:textId="77777777" w:rsidR="00BB7660" w:rsidRPr="000C3240" w:rsidRDefault="00BB7660" w:rsidP="00BB7660">
      <w:pPr>
        <w:pStyle w:val="subsection"/>
        <w:rPr>
          <w:color w:val="000000" w:themeColor="text1"/>
        </w:rPr>
      </w:pPr>
      <w:r>
        <w:tab/>
      </w:r>
      <w:r>
        <w:rPr>
          <w:color w:val="000000" w:themeColor="text1"/>
        </w:rPr>
        <w:t>(4)</w:t>
      </w:r>
      <w:r w:rsidRPr="000C3240">
        <w:rPr>
          <w:color w:val="000000" w:themeColor="text1"/>
        </w:rPr>
        <w:tab/>
        <w:t xml:space="preserve">A condition </w:t>
      </w:r>
      <w:r>
        <w:rPr>
          <w:color w:val="000000" w:themeColor="text1"/>
        </w:rPr>
        <w:t xml:space="preserve">imposed under this rule, </w:t>
      </w:r>
      <w:r w:rsidRPr="000C3240">
        <w:rPr>
          <w:color w:val="000000" w:themeColor="text1"/>
        </w:rPr>
        <w:t xml:space="preserve">or </w:t>
      </w:r>
      <w:r>
        <w:rPr>
          <w:color w:val="000000" w:themeColor="text1"/>
        </w:rPr>
        <w:t xml:space="preserve">a </w:t>
      </w:r>
      <w:r w:rsidRPr="000C3240">
        <w:rPr>
          <w:color w:val="000000" w:themeColor="text1"/>
        </w:rPr>
        <w:t xml:space="preserve">variation </w:t>
      </w:r>
      <w:r>
        <w:rPr>
          <w:color w:val="000000" w:themeColor="text1"/>
        </w:rPr>
        <w:t xml:space="preserve">of such a condition, </w:t>
      </w:r>
      <w:r w:rsidRPr="00B24FE2">
        <w:t>must</w:t>
      </w:r>
      <w:r w:rsidRPr="000C3240">
        <w:rPr>
          <w:color w:val="000000" w:themeColor="text1"/>
        </w:rPr>
        <w:t xml:space="preserve"> include the time or date on which it takes effect.</w:t>
      </w:r>
    </w:p>
    <w:p w14:paraId="77B67432" w14:textId="77777777" w:rsidR="00BB7660" w:rsidRPr="000C3240" w:rsidRDefault="00BB7660" w:rsidP="00BB7660">
      <w:pPr>
        <w:pStyle w:val="notetext"/>
        <w:rPr>
          <w:color w:val="000000" w:themeColor="text1"/>
        </w:rPr>
      </w:pPr>
      <w:r w:rsidRPr="000C3240">
        <w:rPr>
          <w:color w:val="000000" w:themeColor="text1"/>
        </w:rPr>
        <w:t xml:space="preserve">Example: </w:t>
      </w:r>
      <w:r w:rsidRPr="000C3240">
        <w:rPr>
          <w:color w:val="000000" w:themeColor="text1"/>
        </w:rPr>
        <w:tab/>
        <w:t>A condition could ta</w:t>
      </w:r>
      <w:r>
        <w:rPr>
          <w:color w:val="000000" w:themeColor="text1"/>
        </w:rPr>
        <w:t>k</w:t>
      </w:r>
      <w:r w:rsidRPr="000C3240">
        <w:rPr>
          <w:color w:val="000000" w:themeColor="text1"/>
        </w:rPr>
        <w:t>e effect from when the accredited person receives notice of it.</w:t>
      </w:r>
    </w:p>
    <w:p w14:paraId="2D948F09" w14:textId="77777777" w:rsidR="00BB7660" w:rsidRPr="000C3240" w:rsidRDefault="00BB7660" w:rsidP="00BB7660">
      <w:pPr>
        <w:pStyle w:val="subsection"/>
        <w:rPr>
          <w:color w:val="000000" w:themeColor="text1"/>
        </w:rPr>
      </w:pPr>
      <w:r>
        <w:tab/>
      </w:r>
      <w:r>
        <w:rPr>
          <w:color w:val="000000" w:themeColor="text1"/>
        </w:rPr>
        <w:t>(5)</w:t>
      </w:r>
      <w:r w:rsidRPr="000C3240">
        <w:rPr>
          <w:color w:val="000000" w:themeColor="text1"/>
        </w:rPr>
        <w:tab/>
        <w:t>The Accreditor:</w:t>
      </w:r>
    </w:p>
    <w:p w14:paraId="37402343"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may, but need not, give public notice of </w:t>
      </w:r>
      <w:r w:rsidRPr="007554EF">
        <w:t xml:space="preserve">a condition or </w:t>
      </w:r>
      <w:r w:rsidRPr="000C3240">
        <w:rPr>
          <w:color w:val="000000" w:themeColor="text1"/>
        </w:rPr>
        <w:t>variation</w:t>
      </w:r>
      <w:r>
        <w:rPr>
          <w:color w:val="000000" w:themeColor="text1"/>
        </w:rPr>
        <w:t xml:space="preserve"> </w:t>
      </w:r>
      <w:r w:rsidRPr="007554EF">
        <w:t xml:space="preserve">imposed </w:t>
      </w:r>
      <w:r w:rsidRPr="00BD2AB7">
        <w:t xml:space="preserve">or removed </w:t>
      </w:r>
      <w:r w:rsidRPr="007554EF">
        <w:t>under this rule</w:t>
      </w:r>
      <w:r w:rsidRPr="000C3240">
        <w:rPr>
          <w:color w:val="000000" w:themeColor="text1"/>
        </w:rPr>
        <w:t>; and</w:t>
      </w:r>
    </w:p>
    <w:p w14:paraId="329596C2" w14:textId="77777777" w:rsidR="00BB7660" w:rsidRDefault="00BB7660" w:rsidP="00BB7660">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may do so in any way that the Accreditor thinks fit.</w:t>
      </w:r>
    </w:p>
    <w:p w14:paraId="2FC56D04" w14:textId="77777777" w:rsidR="00BB7660" w:rsidRPr="000C3240" w:rsidRDefault="00BB7660" w:rsidP="00BB7660">
      <w:pPr>
        <w:pStyle w:val="notetext"/>
      </w:pPr>
      <w:r>
        <w:t>Example:</w:t>
      </w:r>
      <w:r>
        <w:tab/>
        <w:t xml:space="preserve">The Accreditor could give public notice of </w:t>
      </w:r>
      <w:r w:rsidRPr="000C3240">
        <w:rPr>
          <w:color w:val="000000" w:themeColor="text1"/>
        </w:rPr>
        <w:t xml:space="preserve">a description of the effect of </w:t>
      </w:r>
      <w:r>
        <w:rPr>
          <w:color w:val="000000" w:themeColor="text1"/>
        </w:rPr>
        <w:t xml:space="preserve">the </w:t>
      </w:r>
      <w:r w:rsidRPr="000C3240">
        <w:rPr>
          <w:color w:val="000000" w:themeColor="text1"/>
        </w:rPr>
        <w:t>conditions</w:t>
      </w:r>
      <w:r>
        <w:rPr>
          <w:color w:val="000000" w:themeColor="text1"/>
        </w:rPr>
        <w:t>, rather than of the conditions themselves.</w:t>
      </w:r>
    </w:p>
    <w:p w14:paraId="43F3F271" w14:textId="77777777" w:rsidR="00BB7660" w:rsidRDefault="00BB7660" w:rsidP="00BB7660">
      <w:pPr>
        <w:pStyle w:val="ActHead5"/>
        <w:rPr>
          <w:color w:val="000000" w:themeColor="text1"/>
        </w:rPr>
      </w:pPr>
      <w:bookmarkStart w:id="450" w:name="_Toc11771640"/>
      <w:bookmarkStart w:id="451" w:name="_Toc111132153"/>
      <w:r>
        <w:rPr>
          <w:color w:val="000000" w:themeColor="text1"/>
        </w:rPr>
        <w:t>5.11</w:t>
      </w:r>
      <w:r w:rsidRPr="000C3240">
        <w:rPr>
          <w:color w:val="000000" w:themeColor="text1"/>
        </w:rPr>
        <w:t xml:space="preserve">  Notification</w:t>
      </w:r>
      <w:r>
        <w:rPr>
          <w:color w:val="000000" w:themeColor="text1"/>
        </w:rPr>
        <w:t xml:space="preserve"> to accredited person</w:t>
      </w:r>
      <w:r w:rsidRPr="000C3240">
        <w:rPr>
          <w:color w:val="000000" w:themeColor="text1"/>
        </w:rPr>
        <w:t xml:space="preserve"> relating to conditions</w:t>
      </w:r>
      <w:bookmarkEnd w:id="450"/>
      <w:bookmarkEnd w:id="451"/>
    </w:p>
    <w:p w14:paraId="00A8B78A"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Recipient Accreditor must notify the accredited person, in writing, as soon as practicable after the imposition</w:t>
      </w:r>
      <w:r>
        <w:rPr>
          <w:color w:val="000000" w:themeColor="text1"/>
        </w:rPr>
        <w:t>,</w:t>
      </w:r>
      <w:r w:rsidRPr="000C3240">
        <w:rPr>
          <w:color w:val="000000" w:themeColor="text1"/>
        </w:rPr>
        <w:t xml:space="preserve"> variation</w:t>
      </w:r>
      <w:r>
        <w:rPr>
          <w:color w:val="000000" w:themeColor="text1"/>
        </w:rPr>
        <w:t xml:space="preserve"> or removal </w:t>
      </w:r>
      <w:r w:rsidRPr="00BD2AB7">
        <w:t>of a condition on an accreditation</w:t>
      </w:r>
      <w:r w:rsidRPr="007C39E2">
        <w:t xml:space="preserve"> </w:t>
      </w:r>
      <w:r w:rsidRPr="00956176">
        <w:t xml:space="preserve">under rule </w:t>
      </w:r>
      <w:r>
        <w:t>5.10</w:t>
      </w:r>
      <w:r w:rsidRPr="000C3240">
        <w:rPr>
          <w:color w:val="000000" w:themeColor="text1"/>
        </w:rPr>
        <w:t>.</w:t>
      </w:r>
    </w:p>
    <w:p w14:paraId="6395DE7B" w14:textId="77777777" w:rsidR="00BB7660" w:rsidRDefault="00BB7660" w:rsidP="00BB7660">
      <w:pPr>
        <w:pStyle w:val="subsection"/>
        <w:rPr>
          <w:color w:val="000000" w:themeColor="text1"/>
        </w:rPr>
      </w:pPr>
      <w:r w:rsidRPr="000C3240">
        <w:rPr>
          <w:color w:val="000000" w:themeColor="text1"/>
        </w:rPr>
        <w:tab/>
      </w:r>
      <w:r>
        <w:rPr>
          <w:color w:val="000000" w:themeColor="text1"/>
        </w:rPr>
        <w:t>(2)</w:t>
      </w:r>
      <w:r w:rsidRPr="000C3240">
        <w:rPr>
          <w:color w:val="000000" w:themeColor="text1"/>
        </w:rPr>
        <w:tab/>
        <w:t>The notice must include the following:</w:t>
      </w:r>
    </w:p>
    <w:p w14:paraId="0784FB1E" w14:textId="77777777" w:rsidR="00BB7660" w:rsidRPr="000C3240" w:rsidRDefault="00BB7660" w:rsidP="00BB7660">
      <w:pPr>
        <w:pStyle w:val="paragraph"/>
      </w:pPr>
      <w:r>
        <w:tab/>
        <w:t>(a)</w:t>
      </w:r>
      <w:r>
        <w:tab/>
        <w:t>if a condition is imposed or varied:</w:t>
      </w:r>
    </w:p>
    <w:p w14:paraId="13A25218" w14:textId="77777777" w:rsidR="00BB7660" w:rsidRPr="000C3240" w:rsidRDefault="00BB7660" w:rsidP="00BB7660">
      <w:pPr>
        <w:pStyle w:val="paragraphsub"/>
      </w:pPr>
      <w:r>
        <w:tab/>
        <w:t>(i)</w:t>
      </w:r>
      <w:r>
        <w:tab/>
      </w:r>
      <w:r w:rsidRPr="000C3240">
        <w:t>the condition or the condition as varied;</w:t>
      </w:r>
    </w:p>
    <w:p w14:paraId="55340BEE" w14:textId="77777777" w:rsidR="00BB7660" w:rsidRDefault="00BB7660" w:rsidP="00BB7660">
      <w:pPr>
        <w:pStyle w:val="paragraphsub"/>
      </w:pPr>
      <w:r>
        <w:tab/>
        <w:t>(ii)</w:t>
      </w:r>
      <w:r>
        <w:tab/>
      </w:r>
      <w:r w:rsidRPr="00BD2AB7">
        <w:t>if applicable</w:t>
      </w:r>
      <w:r>
        <w:t>—</w:t>
      </w:r>
      <w:r w:rsidRPr="000C3240">
        <w:t xml:space="preserve">the applicant’s rights to have the decision reviewed by the </w:t>
      </w:r>
      <w:r>
        <w:t>Administrative Appeals Tribunal; and</w:t>
      </w:r>
    </w:p>
    <w:p w14:paraId="48BA7F8E" w14:textId="77777777" w:rsidR="00BB7660" w:rsidRPr="000C3240" w:rsidRDefault="00BB7660" w:rsidP="00BB7660">
      <w:pPr>
        <w:pStyle w:val="paragraph"/>
      </w:pPr>
      <w:r>
        <w:tab/>
        <w:t>(b)</w:t>
      </w:r>
      <w:r>
        <w:tab/>
        <w:t>if a condition is removed—that fact.</w:t>
      </w:r>
    </w:p>
    <w:p w14:paraId="35BC391D" w14:textId="77777777" w:rsidR="00BB7660" w:rsidRDefault="00BB7660" w:rsidP="00BB7660">
      <w:pPr>
        <w:pStyle w:val="ActHead4"/>
        <w:pageBreakBefore/>
      </w:pPr>
      <w:bookmarkStart w:id="452" w:name="_Toc11771641"/>
      <w:bookmarkStart w:id="453" w:name="_Toc111132154"/>
      <w:r>
        <w:lastRenderedPageBreak/>
        <w:t>Subdivision 5.2.3—Obligations of accredited person</w:t>
      </w:r>
      <w:bookmarkEnd w:id="452"/>
      <w:bookmarkEnd w:id="453"/>
    </w:p>
    <w:p w14:paraId="10E7CECD" w14:textId="77777777" w:rsidR="00BB7660" w:rsidRPr="00BD2AB7" w:rsidRDefault="00BB7660" w:rsidP="00BB7660">
      <w:pPr>
        <w:pStyle w:val="ActHead5"/>
      </w:pPr>
      <w:bookmarkStart w:id="454" w:name="_Toc11771642"/>
      <w:bookmarkStart w:id="455" w:name="_Toc82167204"/>
      <w:bookmarkStart w:id="456" w:name="_Toc111132155"/>
      <w:r>
        <w:t>5.12</w:t>
      </w:r>
      <w:r w:rsidRPr="00BD2AB7">
        <w:t xml:space="preserve">  Obligations of accredited person</w:t>
      </w:r>
      <w:bookmarkEnd w:id="454"/>
      <w:bookmarkEnd w:id="455"/>
      <w:bookmarkEnd w:id="456"/>
    </w:p>
    <w:p w14:paraId="27F549F8" w14:textId="77777777" w:rsidR="00BB7660" w:rsidRPr="00BD2AB7" w:rsidRDefault="00BB7660" w:rsidP="00BB7660">
      <w:pPr>
        <w:pStyle w:val="subsection"/>
      </w:pPr>
      <w:r>
        <w:tab/>
        <w:t>(1)</w:t>
      </w:r>
      <w:r>
        <w:tab/>
      </w:r>
      <w:r w:rsidRPr="00A00F6F">
        <w:t>An accredited person</w:t>
      </w:r>
      <w:r w:rsidRPr="00BD2AB7">
        <w:t xml:space="preserve"> must:</w:t>
      </w:r>
    </w:p>
    <w:p w14:paraId="08236B1D" w14:textId="77777777" w:rsidR="00BB7660" w:rsidRPr="006F4A42" w:rsidRDefault="00BB7660" w:rsidP="00BB7660">
      <w:pPr>
        <w:pStyle w:val="paragraph"/>
        <w:rPr>
          <w:szCs w:val="22"/>
        </w:rPr>
      </w:pPr>
      <w:r w:rsidRPr="006F4A42">
        <w:tab/>
      </w:r>
      <w:r>
        <w:t>(a)</w:t>
      </w:r>
      <w:r w:rsidRPr="006F4A42">
        <w:tab/>
        <w:t xml:space="preserve">take the steps outlined in </w:t>
      </w:r>
      <w:r>
        <w:t>Schedule 2</w:t>
      </w:r>
      <w:r w:rsidRPr="006F4A42">
        <w:t xml:space="preserve"> which relate to </w:t>
      </w:r>
      <w:r w:rsidRPr="006F4A42">
        <w:rPr>
          <w:szCs w:val="22"/>
        </w:rPr>
        <w:t>protecting CDR data from:</w:t>
      </w:r>
    </w:p>
    <w:p w14:paraId="51D0FDF8" w14:textId="77777777" w:rsidR="00BB7660" w:rsidRPr="006F4A42" w:rsidRDefault="00BB7660" w:rsidP="00BB7660">
      <w:pPr>
        <w:pStyle w:val="paragraphsub"/>
      </w:pPr>
      <w:r w:rsidRPr="006F4A42">
        <w:tab/>
      </w:r>
      <w:r>
        <w:t>(i)</w:t>
      </w:r>
      <w:r w:rsidRPr="006F4A42">
        <w:tab/>
        <w:t>misuse, interference and loss; and</w:t>
      </w:r>
    </w:p>
    <w:p w14:paraId="59ABE30A" w14:textId="77777777" w:rsidR="00BB7660" w:rsidRPr="006F4A42" w:rsidRDefault="00BB7660" w:rsidP="00BB7660">
      <w:pPr>
        <w:pStyle w:val="paragraphsub"/>
      </w:pPr>
      <w:r w:rsidRPr="006F4A42">
        <w:tab/>
      </w:r>
      <w:r>
        <w:t>(ii)</w:t>
      </w:r>
      <w:r w:rsidRPr="006F4A42">
        <w:tab/>
        <w:t>unauthorised access, modification or disclosure; and</w:t>
      </w:r>
    </w:p>
    <w:p w14:paraId="3231EF91" w14:textId="77777777" w:rsidR="00BB7660" w:rsidRDefault="00BB7660" w:rsidP="00BB7660">
      <w:pPr>
        <w:pStyle w:val="paragraph"/>
      </w:pPr>
      <w:r w:rsidRPr="00BD2AB7">
        <w:tab/>
      </w:r>
      <w:r>
        <w:t>(b)</w:t>
      </w:r>
      <w:r w:rsidRPr="00BD2AB7">
        <w:tab/>
        <w:t xml:space="preserve">have internal dispute resolution processes that meet the </w:t>
      </w:r>
      <w:r w:rsidRPr="00E1300D">
        <w:rPr>
          <w:color w:val="000000" w:themeColor="text1"/>
        </w:rPr>
        <w:t>internal dispute resolution requirements in relation to one or more designated sectors</w:t>
      </w:r>
      <w:r w:rsidRPr="00BD2AB7">
        <w:t>; and</w:t>
      </w:r>
    </w:p>
    <w:p w14:paraId="40C06DF5" w14:textId="77777777" w:rsidR="00BB7660" w:rsidRPr="00BD2AB7" w:rsidRDefault="00BB7660" w:rsidP="00BB7660">
      <w:pPr>
        <w:pStyle w:val="paragraph"/>
      </w:pPr>
      <w:r w:rsidRPr="00BD2AB7">
        <w:tab/>
      </w:r>
      <w:r>
        <w:t>(c)</w:t>
      </w:r>
      <w:r w:rsidRPr="00BD2AB7">
        <w:tab/>
        <w:t xml:space="preserve">be a member of </w:t>
      </w:r>
      <w:r>
        <w:t>a</w:t>
      </w:r>
      <w:r w:rsidRPr="00BD2AB7">
        <w:t xml:space="preserve"> recognised external dispute resolution scheme in relation to</w:t>
      </w:r>
      <w:r>
        <w:t xml:space="preserve"> </w:t>
      </w:r>
      <w:r w:rsidRPr="00736B2E">
        <w:t>CDR consumer complaints</w:t>
      </w:r>
      <w:r w:rsidRPr="00BD2AB7">
        <w:t>; and</w:t>
      </w:r>
    </w:p>
    <w:p w14:paraId="31473981" w14:textId="77777777" w:rsidR="00BB7660" w:rsidRDefault="00BB7660" w:rsidP="00BB7660">
      <w:pPr>
        <w:pStyle w:val="paragraph"/>
      </w:pPr>
      <w:r w:rsidRPr="00BD2AB7">
        <w:tab/>
      </w:r>
      <w:r>
        <w:t>(d)</w:t>
      </w:r>
      <w:r w:rsidRPr="00BD2AB7">
        <w:tab/>
        <w:t>have address</w:t>
      </w:r>
      <w:r>
        <w:t>es</w:t>
      </w:r>
      <w:r w:rsidRPr="00BD2AB7">
        <w:t xml:space="preserve"> for </w:t>
      </w:r>
      <w:r w:rsidRPr="00736B2E">
        <w:t>service</w:t>
      </w:r>
      <w:r w:rsidRPr="00BD2AB7">
        <w:t>; and</w:t>
      </w:r>
    </w:p>
    <w:p w14:paraId="1475DA1D" w14:textId="77777777" w:rsidR="00BB7660" w:rsidRDefault="00BB7660" w:rsidP="00BB7660">
      <w:pPr>
        <w:pStyle w:val="paragraph"/>
      </w:pPr>
      <w:r w:rsidRPr="00BD2AB7">
        <w:tab/>
      </w:r>
      <w:r>
        <w:t>(e)</w:t>
      </w:r>
      <w:r w:rsidRPr="00BD2AB7">
        <w:tab/>
        <w:t>if the applicant is a foreign entity—have a local agent that has address</w:t>
      </w:r>
      <w:r>
        <w:t>es</w:t>
      </w:r>
      <w:r w:rsidRPr="00BD2AB7">
        <w:t xml:space="preserve"> for service</w:t>
      </w:r>
      <w:r>
        <w:t>; and</w:t>
      </w:r>
    </w:p>
    <w:p w14:paraId="083D529F" w14:textId="77777777" w:rsidR="00BB7660" w:rsidRPr="00BD2AB7" w:rsidRDefault="00BB7660" w:rsidP="00BB7660">
      <w:pPr>
        <w:pStyle w:val="paragraph"/>
      </w:pPr>
      <w:r>
        <w:tab/>
      </w:r>
      <w:r w:rsidRPr="009A6052">
        <w:t>(f)</w:t>
      </w:r>
      <w:r w:rsidRPr="009A6052">
        <w:tab/>
        <w:t>ensure that it is licensed or otherwise authorised to use any CDR logo</w:t>
      </w:r>
      <w:r>
        <w:t xml:space="preserve">, including </w:t>
      </w:r>
      <w:r w:rsidRPr="009A6052">
        <w:t xml:space="preserve">as required by the </w:t>
      </w:r>
      <w:r>
        <w:t xml:space="preserve">data </w:t>
      </w:r>
      <w:r w:rsidRPr="009A6052">
        <w:t>standards</w:t>
      </w:r>
      <w:r w:rsidRPr="00F07699">
        <w:t>.</w:t>
      </w:r>
    </w:p>
    <w:p w14:paraId="33974733" w14:textId="77777777" w:rsidR="00BB7660" w:rsidRPr="00BD2AB7" w:rsidRDefault="00BB7660" w:rsidP="00BB7660">
      <w:pPr>
        <w:pStyle w:val="notetext"/>
      </w:pPr>
      <w:r w:rsidRPr="00BD2AB7">
        <w:t>Note 1:</w:t>
      </w:r>
      <w:r w:rsidRPr="00BD2AB7">
        <w:tab/>
        <w:t>See</w:t>
      </w:r>
      <w:r w:rsidRPr="00A00F6F">
        <w:t xml:space="preserve"> sector Schedules</w:t>
      </w:r>
      <w:r w:rsidRPr="00F214C6">
        <w:t xml:space="preserve"> </w:t>
      </w:r>
      <w:r w:rsidRPr="00BD2AB7">
        <w:t>for how this provision might operate differently for different designated sectors.</w:t>
      </w:r>
    </w:p>
    <w:p w14:paraId="4D933429" w14:textId="77777777" w:rsidR="00BB7660" w:rsidRDefault="00BB7660" w:rsidP="00BB7660">
      <w:pPr>
        <w:pStyle w:val="notetext"/>
      </w:pPr>
      <w:r w:rsidRPr="00BD2AB7">
        <w:t>Note 2:</w:t>
      </w:r>
      <w:r w:rsidRPr="00BD2AB7">
        <w:tab/>
        <w:t xml:space="preserve">For the banking sector, see clause </w:t>
      </w:r>
      <w:r>
        <w:t>7.4</w:t>
      </w:r>
      <w:r w:rsidRPr="00BD2AB7">
        <w:t xml:space="preserve"> of </w:t>
      </w:r>
      <w:r>
        <w:t>Schedule 3</w:t>
      </w:r>
      <w:r w:rsidRPr="00BD2AB7">
        <w:t>.</w:t>
      </w:r>
    </w:p>
    <w:p w14:paraId="2344F16C" w14:textId="77777777" w:rsidR="00BB7660" w:rsidRDefault="00BB7660" w:rsidP="00BB7660">
      <w:pPr>
        <w:pStyle w:val="notetext"/>
      </w:pPr>
      <w:r w:rsidRPr="006F4A42">
        <w:t>Note 3:</w:t>
      </w:r>
      <w:r w:rsidRPr="006F4A42">
        <w:tab/>
        <w:t>For paragraph </w:t>
      </w:r>
      <w:r>
        <w:t>(a)</w:t>
      </w:r>
      <w:r w:rsidRPr="006F4A42">
        <w:t xml:space="preserve">, the steps outlined in </w:t>
      </w:r>
      <w:r>
        <w:t>Schedule 2</w:t>
      </w:r>
      <w:r w:rsidRPr="006F4A42">
        <w:t xml:space="preserve"> relate to privacy safeguard 12 (see subsection 56EO(1) of the Act and rule </w:t>
      </w:r>
      <w:r>
        <w:t>7.11</w:t>
      </w:r>
      <w:r w:rsidRPr="006F4A42">
        <w:t xml:space="preserve"> of these rules).</w:t>
      </w:r>
    </w:p>
    <w:p w14:paraId="26EE7E9F" w14:textId="77777777" w:rsidR="00BB7660" w:rsidRPr="00A00F6F" w:rsidRDefault="00BB7660" w:rsidP="00BB7660">
      <w:pPr>
        <w:pStyle w:val="notetext"/>
      </w:pPr>
      <w:r w:rsidRPr="00A00F6F">
        <w:t>Note 4:</w:t>
      </w:r>
      <w:r w:rsidRPr="00A00F6F">
        <w:tab/>
        <w:t>For paragraph (b), see rule 1.7 for the meaning of “meets the internal dispute resolution requirements”.  See also:</w:t>
      </w:r>
    </w:p>
    <w:p w14:paraId="267C710E"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5.1 of Schedule 3;</w:t>
      </w:r>
    </w:p>
    <w:p w14:paraId="0F09F104"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5.1 of Schedule 4.</w:t>
      </w:r>
    </w:p>
    <w:p w14:paraId="0B6FF282" w14:textId="77777777" w:rsidR="00BB7660" w:rsidRDefault="00BB7660" w:rsidP="00BB7660">
      <w:pPr>
        <w:pStyle w:val="notetext"/>
      </w:pPr>
      <w:r w:rsidRPr="00E1300D">
        <w:rPr>
          <w:color w:val="000000" w:themeColor="text1"/>
        </w:rPr>
        <w:t>Note 5:</w:t>
      </w:r>
      <w:r w:rsidRPr="00E1300D">
        <w:rPr>
          <w:color w:val="000000" w:themeColor="text1"/>
        </w:rPr>
        <w:tab/>
      </w:r>
      <w:r w:rsidRPr="006F4A42">
        <w:t xml:space="preserve">For </w:t>
      </w:r>
      <w:r w:rsidRPr="00736B2E">
        <w:t xml:space="preserve">paragraphs </w:t>
      </w:r>
      <w:r>
        <w:t>(d)</w:t>
      </w:r>
      <w:r w:rsidRPr="00736B2E">
        <w:t xml:space="preserve"> and </w:t>
      </w:r>
      <w:r>
        <w:t>(e)</w:t>
      </w:r>
      <w:r w:rsidRPr="006F4A42">
        <w:t>, see rule </w:t>
      </w:r>
      <w:r>
        <w:t>1.7</w:t>
      </w:r>
      <w:r w:rsidRPr="006F4A42">
        <w:t xml:space="preserve"> for the meaning of “addresses for service”.</w:t>
      </w:r>
    </w:p>
    <w:p w14:paraId="60B726B6" w14:textId="77777777" w:rsidR="00BB7660" w:rsidRDefault="00BB7660" w:rsidP="00BB7660">
      <w:pPr>
        <w:pStyle w:val="notetext"/>
        <w:rPr>
          <w:color w:val="000000" w:themeColor="text1"/>
        </w:rPr>
      </w:pPr>
      <w:r w:rsidRPr="00E1300D">
        <w:rPr>
          <w:color w:val="000000" w:themeColor="text1"/>
        </w:rPr>
        <w:t>Note 6:</w:t>
      </w:r>
      <w:r w:rsidRPr="00E1300D">
        <w:rPr>
          <w:color w:val="000000" w:themeColor="text1"/>
        </w:rPr>
        <w:tab/>
        <w:t xml:space="preserve">This </w:t>
      </w:r>
      <w:r>
        <w:rPr>
          <w:color w:val="000000" w:themeColor="text1"/>
        </w:rPr>
        <w:t>sub</w:t>
      </w:r>
      <w:r w:rsidRPr="00E1300D">
        <w:rPr>
          <w:color w:val="000000" w:themeColor="text1"/>
        </w:rPr>
        <w:t>rule is a civil penalty provision (see rule </w:t>
      </w:r>
      <w:r>
        <w:rPr>
          <w:color w:val="000000" w:themeColor="text1"/>
        </w:rPr>
        <w:t>9.8</w:t>
      </w:r>
      <w:r w:rsidRPr="00E1300D">
        <w:rPr>
          <w:color w:val="000000" w:themeColor="text1"/>
        </w:rPr>
        <w:t>).</w:t>
      </w:r>
    </w:p>
    <w:p w14:paraId="6D550AE0" w14:textId="77777777" w:rsidR="00BB7660" w:rsidRPr="003F3AC9" w:rsidRDefault="00BB7660" w:rsidP="00BB7660">
      <w:pPr>
        <w:pStyle w:val="subsection"/>
      </w:pPr>
      <w:r w:rsidRPr="003F3AC9">
        <w:tab/>
      </w:r>
      <w:r>
        <w:t>(2)</w:t>
      </w:r>
      <w:r w:rsidRPr="003F3AC9">
        <w:tab/>
      </w:r>
      <w:r w:rsidRPr="00A00F6F">
        <w:t>An accredited person</w:t>
      </w:r>
      <w:r w:rsidRPr="00BD2AB7">
        <w:t xml:space="preserve"> </w:t>
      </w:r>
      <w:r w:rsidRPr="003F3AC9">
        <w:t>must:</w:t>
      </w:r>
    </w:p>
    <w:p w14:paraId="728F2FC1" w14:textId="77777777" w:rsidR="00BB7660" w:rsidRPr="003F3AC9" w:rsidRDefault="00BB7660" w:rsidP="00BB7660">
      <w:pPr>
        <w:pStyle w:val="paragraph"/>
      </w:pPr>
      <w:r w:rsidRPr="003F3AC9">
        <w:tab/>
      </w:r>
      <w:r>
        <w:t>(a)</w:t>
      </w:r>
      <w:r w:rsidRPr="003F3AC9">
        <w:tab/>
        <w:t>be, having regard to the fit and proper person criteria, a fit and proper person</w:t>
      </w:r>
      <w:r>
        <w:t xml:space="preserve"> to </w:t>
      </w:r>
      <w:r w:rsidRPr="00EA67BC">
        <w:t>be accredited at that level</w:t>
      </w:r>
      <w:r w:rsidRPr="003F3AC9">
        <w:t>; and</w:t>
      </w:r>
    </w:p>
    <w:p w14:paraId="7A27ED08" w14:textId="77777777" w:rsidR="00BB7660" w:rsidRPr="006D5CA7" w:rsidRDefault="00BB7660" w:rsidP="00BB7660">
      <w:pPr>
        <w:pStyle w:val="paragraph"/>
        <w:rPr>
          <w:color w:val="000000" w:themeColor="text1"/>
        </w:rPr>
      </w:pPr>
      <w:r w:rsidRPr="003F3AC9">
        <w:tab/>
      </w:r>
      <w:r>
        <w:t>(b)</w:t>
      </w:r>
      <w:r w:rsidRPr="003F3AC9">
        <w:tab/>
        <w:t>have adequate insurance, or a comparable guarantee</w:t>
      </w:r>
      <w:r>
        <w:t xml:space="preserve">, </w:t>
      </w:r>
      <w:r w:rsidRPr="003F3AC9">
        <w:t xml:space="preserve">in light of the risk of CDR consumers not being properly compensated for any loss that might reasonably be expected to arise from a breach of obligations under </w:t>
      </w:r>
      <w:r w:rsidRPr="006D5CA7">
        <w:rPr>
          <w:color w:val="000000" w:themeColor="text1"/>
        </w:rPr>
        <w:t>any of the following to the extent that they are relevant to the management of CDR data:</w:t>
      </w:r>
    </w:p>
    <w:p w14:paraId="68BD37BA" w14:textId="77777777" w:rsidR="00BB7660" w:rsidRPr="006D5CA7" w:rsidRDefault="00BB7660" w:rsidP="00BB7660">
      <w:pPr>
        <w:pStyle w:val="paragraphsub"/>
        <w:rPr>
          <w:color w:val="000000" w:themeColor="text1"/>
        </w:rPr>
      </w:pPr>
      <w:r w:rsidRPr="006D5CA7">
        <w:rPr>
          <w:color w:val="000000" w:themeColor="text1"/>
        </w:rPr>
        <w:tab/>
      </w:r>
      <w:r>
        <w:rPr>
          <w:color w:val="000000" w:themeColor="text1"/>
        </w:rPr>
        <w:t>(i)</w:t>
      </w:r>
      <w:r w:rsidRPr="006D5CA7">
        <w:rPr>
          <w:color w:val="000000" w:themeColor="text1"/>
        </w:rPr>
        <w:tab/>
        <w:t>the Act;</w:t>
      </w:r>
    </w:p>
    <w:p w14:paraId="3E0FC319" w14:textId="77777777" w:rsidR="00BB7660" w:rsidRPr="006D5CA7" w:rsidRDefault="00BB7660" w:rsidP="00BB7660">
      <w:pPr>
        <w:pStyle w:val="paragraphsub"/>
        <w:rPr>
          <w:color w:val="000000" w:themeColor="text1"/>
        </w:rPr>
      </w:pPr>
      <w:r w:rsidRPr="006D5CA7">
        <w:rPr>
          <w:color w:val="000000" w:themeColor="text1"/>
        </w:rPr>
        <w:tab/>
      </w:r>
      <w:r>
        <w:rPr>
          <w:color w:val="000000" w:themeColor="text1"/>
        </w:rPr>
        <w:t>(ii)</w:t>
      </w:r>
      <w:r w:rsidRPr="006D5CA7">
        <w:rPr>
          <w:color w:val="000000" w:themeColor="text1"/>
        </w:rPr>
        <w:tab/>
        <w:t>any regulation made for the purposes of the Act;</w:t>
      </w:r>
    </w:p>
    <w:p w14:paraId="7DBC5877" w14:textId="77777777" w:rsidR="00BB7660" w:rsidRPr="006D5CA7" w:rsidRDefault="00BB7660" w:rsidP="00BB7660">
      <w:pPr>
        <w:pStyle w:val="paragraphsub"/>
        <w:rPr>
          <w:color w:val="000000" w:themeColor="text1"/>
        </w:rPr>
      </w:pPr>
      <w:r w:rsidRPr="006D5CA7">
        <w:rPr>
          <w:color w:val="000000" w:themeColor="text1"/>
        </w:rPr>
        <w:tab/>
      </w:r>
      <w:r>
        <w:rPr>
          <w:color w:val="000000" w:themeColor="text1"/>
        </w:rPr>
        <w:t>(iii)</w:t>
      </w:r>
      <w:r w:rsidRPr="006D5CA7">
        <w:rPr>
          <w:color w:val="000000" w:themeColor="text1"/>
        </w:rPr>
        <w:tab/>
        <w:t>these rules.</w:t>
      </w:r>
    </w:p>
    <w:p w14:paraId="3D9ACAE3" w14:textId="77777777" w:rsidR="00BB7660" w:rsidRPr="00A23141" w:rsidRDefault="00BB7660" w:rsidP="00BB7660">
      <w:pPr>
        <w:pStyle w:val="ActHead5"/>
      </w:pPr>
      <w:bookmarkStart w:id="457" w:name="_Toc111132156"/>
      <w:r>
        <w:t>5.13</w:t>
      </w:r>
      <w:r w:rsidRPr="00A23141">
        <w:t xml:space="preserve"> </w:t>
      </w:r>
      <w:r w:rsidR="009F28B3">
        <w:t xml:space="preserve"> </w:t>
      </w:r>
      <w:r w:rsidRPr="00A23141">
        <w:t>Accredited person must comply with conditions</w:t>
      </w:r>
      <w:bookmarkEnd w:id="457"/>
      <w:r w:rsidRPr="00A23141">
        <w:t xml:space="preserve"> </w:t>
      </w:r>
    </w:p>
    <w:p w14:paraId="76663177" w14:textId="77777777" w:rsidR="00BB7660" w:rsidRPr="00A23141" w:rsidRDefault="00BB7660" w:rsidP="00BB7660">
      <w:pPr>
        <w:pStyle w:val="subsection"/>
      </w:pPr>
      <w:r w:rsidRPr="00A23141">
        <w:tab/>
      </w:r>
      <w:r w:rsidRPr="00A23141">
        <w:tab/>
        <w:t xml:space="preserve">An accredited person must comply with the conditions of their accreditation. </w:t>
      </w:r>
    </w:p>
    <w:p w14:paraId="49849B9D" w14:textId="77777777" w:rsidR="00BB7660" w:rsidRPr="00A23141" w:rsidRDefault="00BB7660" w:rsidP="00BB7660">
      <w:pPr>
        <w:pStyle w:val="notetext"/>
      </w:pPr>
      <w:r w:rsidRPr="00A23141">
        <w:lastRenderedPageBreak/>
        <w:t>Note 1:</w:t>
      </w:r>
      <w:r w:rsidRPr="00A23141">
        <w:tab/>
        <w:t xml:space="preserve">This rule applies to the default conditions set out in </w:t>
      </w:r>
      <w:r>
        <w:t>Schedule 1</w:t>
      </w:r>
      <w:r w:rsidRPr="00A23141">
        <w:t xml:space="preserve"> and any conditions imposed or varied under rule </w:t>
      </w:r>
      <w:r>
        <w:t>5.10</w:t>
      </w:r>
      <w:r w:rsidRPr="00A23141">
        <w:t>.</w:t>
      </w:r>
    </w:p>
    <w:p w14:paraId="7F52B9C3" w14:textId="77777777" w:rsidR="00BB7660" w:rsidRPr="00A23141" w:rsidRDefault="00BB7660" w:rsidP="00BB7660">
      <w:pPr>
        <w:pStyle w:val="notetext"/>
      </w:pPr>
      <w:r w:rsidRPr="00A23141">
        <w:t>Note 2:</w:t>
      </w:r>
      <w:r w:rsidRPr="00A23141">
        <w:tab/>
        <w:t>This rule is a civil penalty provision (see rule </w:t>
      </w:r>
      <w:r>
        <w:t>9.8</w:t>
      </w:r>
      <w:r w:rsidRPr="00A23141">
        <w:t>).</w:t>
      </w:r>
    </w:p>
    <w:p w14:paraId="23AD64FA" w14:textId="77777777" w:rsidR="00BB7660" w:rsidRDefault="00BB7660" w:rsidP="00BB7660">
      <w:pPr>
        <w:pStyle w:val="ActHead5"/>
      </w:pPr>
      <w:bookmarkStart w:id="458" w:name="_Toc11771643"/>
      <w:bookmarkStart w:id="459" w:name="_Toc111132157"/>
      <w:r>
        <w:t xml:space="preserve">5.14  </w:t>
      </w:r>
      <w:r w:rsidRPr="00BD2AB7">
        <w:t>N</w:t>
      </w:r>
      <w:r w:rsidRPr="00D83E42">
        <w:t xml:space="preserve">otification </w:t>
      </w:r>
      <w:r>
        <w:t>requirement</w:t>
      </w:r>
      <w:r w:rsidRPr="00BD2AB7">
        <w:t>s</w:t>
      </w:r>
      <w:bookmarkEnd w:id="458"/>
      <w:bookmarkEnd w:id="459"/>
    </w:p>
    <w:p w14:paraId="4E079D77" w14:textId="77777777" w:rsidR="00BB7660" w:rsidRPr="00A00F6F" w:rsidRDefault="00BB7660" w:rsidP="00BB7660">
      <w:pPr>
        <w:pStyle w:val="SubsectionHead"/>
      </w:pPr>
      <w:r w:rsidRPr="00A00F6F">
        <w:t>General</w:t>
      </w:r>
    </w:p>
    <w:p w14:paraId="1530C57C" w14:textId="77777777" w:rsidR="00BB7660" w:rsidRDefault="00BB7660" w:rsidP="00BB7660">
      <w:pPr>
        <w:pStyle w:val="subsection"/>
      </w:pPr>
      <w:r w:rsidRPr="00A00F6F">
        <w:tab/>
        <w:t>(1)</w:t>
      </w:r>
      <w:r>
        <w:tab/>
        <w:t xml:space="preserve">An accredited person must notify the Data Recipient Accreditor </w:t>
      </w:r>
      <w:r w:rsidRPr="00005026">
        <w:t>within 5 business days if any of the following occurs</w:t>
      </w:r>
      <w:r>
        <w:t>:</w:t>
      </w:r>
    </w:p>
    <w:p w14:paraId="0B14E511" w14:textId="77777777" w:rsidR="00BB7660" w:rsidRDefault="00BB7660" w:rsidP="00BB7660">
      <w:pPr>
        <w:pStyle w:val="paragraph"/>
      </w:pPr>
      <w:r>
        <w:tab/>
        <w:t>(a)</w:t>
      </w:r>
      <w:r>
        <w:tab/>
        <w:t xml:space="preserve">any material change in its circumstances that might affect its ability to </w:t>
      </w:r>
      <w:r w:rsidRPr="000C3240">
        <w:rPr>
          <w:color w:val="000000" w:themeColor="text1"/>
        </w:rPr>
        <w:t xml:space="preserve">comply with </w:t>
      </w:r>
      <w:r w:rsidRPr="007E69B9">
        <w:t>its obligations under this Subdivision</w:t>
      </w:r>
      <w:r>
        <w:t>;</w:t>
      </w:r>
    </w:p>
    <w:p w14:paraId="3BA46770" w14:textId="77777777" w:rsidR="00BB7660" w:rsidRDefault="00BB7660" w:rsidP="00BB7660">
      <w:pPr>
        <w:pStyle w:val="paragraph"/>
      </w:pPr>
      <w:r>
        <w:tab/>
        <w:t>(b)</w:t>
      </w:r>
      <w:r>
        <w:tab/>
        <w:t xml:space="preserve">any matter that could be relevant to a decision as to whether the person </w:t>
      </w:r>
      <w:r w:rsidRPr="00B24FE2">
        <w:t xml:space="preserve">is, having regard to the </w:t>
      </w:r>
      <w:r>
        <w:t>fit and proper person criteria</w:t>
      </w:r>
      <w:r w:rsidRPr="00B24FE2">
        <w:t>, a fit and proper person</w:t>
      </w:r>
      <w:r>
        <w:t xml:space="preserve"> to</w:t>
      </w:r>
      <w:r w:rsidRPr="00CF0686">
        <w:t xml:space="preserve"> </w:t>
      </w:r>
      <w:r w:rsidRPr="00724397">
        <w:t>be accredited at the person’s level of accreditation</w:t>
      </w:r>
      <w:r>
        <w:t>;</w:t>
      </w:r>
    </w:p>
    <w:p w14:paraId="2D20F840" w14:textId="77777777" w:rsidR="00BB7660" w:rsidRPr="007C39E2" w:rsidRDefault="00BB7660" w:rsidP="00BB7660">
      <w:pPr>
        <w:pStyle w:val="paragraph"/>
      </w:pPr>
      <w:r w:rsidRPr="00E71229">
        <w:tab/>
      </w:r>
      <w:r>
        <w:t>(c)</w:t>
      </w:r>
      <w:r w:rsidRPr="00E71229">
        <w:tab/>
        <w:t xml:space="preserve">there is a change to, or the accredited person becomes aware of an </w:t>
      </w:r>
      <w:r w:rsidRPr="00A804A8">
        <w:t>error</w:t>
      </w:r>
      <w:r w:rsidRPr="00E71229">
        <w:t xml:space="preserve"> in, any of the information provided to the Accreditor to be entered on the Register under rule </w:t>
      </w:r>
      <w:r>
        <w:t>5.24</w:t>
      </w:r>
      <w:r w:rsidRPr="00E71229">
        <w:t>.</w:t>
      </w:r>
    </w:p>
    <w:p w14:paraId="64E06A71" w14:textId="77777777" w:rsidR="00BB7660" w:rsidRDefault="00BB7660" w:rsidP="00BB7660">
      <w:pPr>
        <w:pStyle w:val="notetext"/>
        <w:rPr>
          <w:color w:val="000000" w:themeColor="text1"/>
        </w:rPr>
      </w:pPr>
      <w:r>
        <w:rPr>
          <w:color w:val="000000" w:themeColor="text1"/>
        </w:rPr>
        <w:t>Note</w:t>
      </w:r>
      <w:r w:rsidRPr="00E1300D">
        <w:rPr>
          <w:color w:val="000000" w:themeColor="text1"/>
        </w:rPr>
        <w:t>:</w:t>
      </w:r>
      <w:r w:rsidRPr="00E1300D">
        <w:rPr>
          <w:color w:val="000000" w:themeColor="text1"/>
        </w:rPr>
        <w:tab/>
        <w:t>Thi</w:t>
      </w:r>
      <w:r w:rsidRPr="009F28B3">
        <w:t xml:space="preserve">s </w:t>
      </w:r>
      <w:r w:rsidR="006839F4" w:rsidRPr="006839F4">
        <w:rPr>
          <w:color w:val="0000FF"/>
        </w:rPr>
        <w:t>subrule</w:t>
      </w:r>
      <w:r w:rsidR="006839F4" w:rsidRPr="006839F4">
        <w:rPr>
          <w:strike/>
          <w:color w:val="0000FF"/>
        </w:rPr>
        <w:t xml:space="preserve"> rule</w:t>
      </w:r>
      <w:r w:rsidR="00480C0F" w:rsidRPr="009F28B3">
        <w:t xml:space="preserve"> </w:t>
      </w:r>
      <w:r w:rsidRPr="00E1300D">
        <w:rPr>
          <w:color w:val="000000" w:themeColor="text1"/>
        </w:rPr>
        <w:t>is a civil penalty provision (see rule </w:t>
      </w:r>
      <w:r>
        <w:rPr>
          <w:color w:val="000000" w:themeColor="text1"/>
        </w:rPr>
        <w:t>9.8</w:t>
      </w:r>
      <w:r w:rsidRPr="00E1300D">
        <w:rPr>
          <w:color w:val="000000" w:themeColor="text1"/>
        </w:rPr>
        <w:t>).</w:t>
      </w:r>
    </w:p>
    <w:p w14:paraId="10605DED" w14:textId="77777777" w:rsidR="00BB7660" w:rsidRPr="00A00F6F" w:rsidRDefault="00BB7660" w:rsidP="00BB7660">
      <w:pPr>
        <w:pStyle w:val="SubsectionHead"/>
      </w:pPr>
      <w:r w:rsidRPr="00A00F6F">
        <w:t>Sponsors</w:t>
      </w:r>
    </w:p>
    <w:p w14:paraId="5BFFFDA6" w14:textId="77777777" w:rsidR="00BB7660" w:rsidRPr="00A00F6F" w:rsidRDefault="00BB7660" w:rsidP="00BB7660">
      <w:pPr>
        <w:pStyle w:val="subsection"/>
      </w:pPr>
      <w:r w:rsidRPr="00A00F6F">
        <w:tab/>
        <w:t>(2)</w:t>
      </w:r>
      <w:r w:rsidRPr="00A00F6F">
        <w:tab/>
        <w:t>An accredited person must notify the Data Recipient Accreditor as soon as practicable, but no later than 5 business days after either of the following occurs:</w:t>
      </w:r>
    </w:p>
    <w:p w14:paraId="06B2BE1F" w14:textId="77777777" w:rsidR="00BB7660" w:rsidRPr="00A00F6F" w:rsidRDefault="00BB7660" w:rsidP="00BB7660">
      <w:pPr>
        <w:pStyle w:val="paragraph"/>
      </w:pPr>
      <w:r w:rsidRPr="00A00F6F">
        <w:tab/>
        <w:t>(a)</w:t>
      </w:r>
      <w:r w:rsidRPr="00A00F6F">
        <w:tab/>
        <w:t xml:space="preserve">the person becomes a sponsor of an affiliate; </w:t>
      </w:r>
    </w:p>
    <w:p w14:paraId="1234658F" w14:textId="77777777" w:rsidR="00BB7660" w:rsidRPr="00A00F6F" w:rsidRDefault="00BB7660" w:rsidP="00BB7660">
      <w:pPr>
        <w:pStyle w:val="paragraph"/>
      </w:pPr>
      <w:r w:rsidRPr="00A00F6F">
        <w:tab/>
        <w:t>(b)</w:t>
      </w:r>
      <w:r w:rsidRPr="00A00F6F">
        <w:tab/>
        <w:t>where the accredited person is a sponsor of an affiliate―the sponsorship arrangement is suspended, expires, or is terminated.</w:t>
      </w:r>
    </w:p>
    <w:p w14:paraId="7F28DE8F" w14:textId="77777777" w:rsidR="00BB7660" w:rsidRPr="00A00F6F" w:rsidRDefault="00BB7660" w:rsidP="00BB7660">
      <w:pPr>
        <w:pStyle w:val="SubsectionHead"/>
      </w:pPr>
      <w:r w:rsidRPr="00A00F6F">
        <w:t>CDR Principals</w:t>
      </w:r>
    </w:p>
    <w:p w14:paraId="5DEF1C51" w14:textId="77777777" w:rsidR="00BB7660" w:rsidRPr="00A00F6F" w:rsidRDefault="00BB7660" w:rsidP="00BB7660">
      <w:pPr>
        <w:pStyle w:val="subsection"/>
      </w:pPr>
      <w:r w:rsidRPr="00A00F6F">
        <w:tab/>
        <w:t>(3)</w:t>
      </w:r>
      <w:r w:rsidRPr="00A00F6F">
        <w:tab/>
        <w:t>An accredited person that enters into a CDR representative arrangement as the</w:t>
      </w:r>
      <w:r w:rsidRPr="009F28B3">
        <w:t xml:space="preserve"> </w:t>
      </w:r>
      <w:r w:rsidRPr="004A04A4">
        <w:rPr>
          <w:color w:val="0000FF"/>
        </w:rPr>
        <w:t>CDR principal</w:t>
      </w:r>
      <w:r w:rsidR="00BC1D87" w:rsidRPr="00BC1D87">
        <w:rPr>
          <w:strike/>
          <w:color w:val="0000FF"/>
        </w:rPr>
        <w:t xml:space="preserve"> principal</w:t>
      </w:r>
      <w:r w:rsidRPr="009F28B3">
        <w:t xml:space="preserve"> </w:t>
      </w:r>
      <w:r w:rsidRPr="00BC1D87">
        <w:t>m</w:t>
      </w:r>
      <w:r w:rsidRPr="00A00F6F">
        <w:t>ust notify the Data Recipient Accreditor that they have done so as soon as practicable, but no later than 5 business days after the event.</w:t>
      </w:r>
    </w:p>
    <w:p w14:paraId="391E3FBE" w14:textId="77777777" w:rsidR="00BB7660" w:rsidRPr="00A00F6F" w:rsidRDefault="00BB7660" w:rsidP="00BB7660">
      <w:pPr>
        <w:pStyle w:val="subsection"/>
      </w:pPr>
      <w:r w:rsidRPr="00A00F6F">
        <w:tab/>
        <w:t>(4)</w:t>
      </w:r>
      <w:r w:rsidRPr="00A00F6F">
        <w:tab/>
        <w:t>The notification must include the following:</w:t>
      </w:r>
      <w:r w:rsidRPr="00A00F6F">
        <w:tab/>
      </w:r>
    </w:p>
    <w:p w14:paraId="58804093" w14:textId="77777777" w:rsidR="00BB7660" w:rsidRPr="00A00F6F" w:rsidRDefault="00BB7660" w:rsidP="00BB7660">
      <w:pPr>
        <w:pStyle w:val="paragraph"/>
      </w:pPr>
      <w:r w:rsidRPr="00A00F6F">
        <w:tab/>
        <w:t>(a)</w:t>
      </w:r>
      <w:r w:rsidRPr="00A00F6F">
        <w:tab/>
        <w:t>the date the arrangement was entered into;</w:t>
      </w:r>
    </w:p>
    <w:p w14:paraId="4B3A3E77" w14:textId="77777777" w:rsidR="00BB7660" w:rsidRPr="00A00F6F" w:rsidRDefault="00BB7660" w:rsidP="00BB7660">
      <w:pPr>
        <w:pStyle w:val="paragraph"/>
      </w:pPr>
      <w:r w:rsidRPr="00A00F6F">
        <w:tab/>
        <w:t>(b)</w:t>
      </w:r>
      <w:r w:rsidRPr="00A00F6F">
        <w:tab/>
        <w:t>the name and address of the CDR representative;</w:t>
      </w:r>
    </w:p>
    <w:p w14:paraId="147B26C3" w14:textId="77777777" w:rsidR="00BB7660" w:rsidRPr="00A00F6F" w:rsidRDefault="00BB7660" w:rsidP="00BB7660">
      <w:pPr>
        <w:pStyle w:val="paragraph"/>
      </w:pPr>
      <w:r w:rsidRPr="00A00F6F">
        <w:tab/>
        <w:t>(c)</w:t>
      </w:r>
      <w:r w:rsidRPr="00A00F6F">
        <w:tab/>
        <w:t>the ABN of the CDR representative or, if it is a foreign entity, another unique business identifier;</w:t>
      </w:r>
    </w:p>
    <w:p w14:paraId="538ABDE9" w14:textId="77777777" w:rsidR="00BB7660" w:rsidRPr="00A00F6F" w:rsidRDefault="00BB7660" w:rsidP="00BB7660">
      <w:pPr>
        <w:pStyle w:val="paragraph"/>
      </w:pPr>
      <w:r w:rsidRPr="00A00F6F">
        <w:tab/>
        <w:t>(d)</w:t>
      </w:r>
      <w:r w:rsidRPr="00A00F6F">
        <w:tab/>
        <w:t>the names and contact details of the directors or any persons responsible for the CDR representative;</w:t>
      </w:r>
    </w:p>
    <w:p w14:paraId="0CA480E5" w14:textId="77777777" w:rsidR="00BB7660" w:rsidRPr="00A00F6F" w:rsidRDefault="00BB7660" w:rsidP="00BB7660">
      <w:pPr>
        <w:pStyle w:val="paragraph"/>
      </w:pPr>
      <w:r w:rsidRPr="00A00F6F">
        <w:tab/>
        <w:t>(e)</w:t>
      </w:r>
      <w:r w:rsidRPr="00A00F6F">
        <w:tab/>
        <w:t xml:space="preserve">the nature of any goods and services to be provided by </w:t>
      </w:r>
      <w:r w:rsidR="00CF5A97" w:rsidRPr="00BC1D87">
        <w:rPr>
          <w:color w:val="0000FF"/>
        </w:rPr>
        <w:t>the</w:t>
      </w:r>
      <w:r w:rsidR="00CF5A97" w:rsidRPr="00270C3C">
        <w:rPr>
          <w:color w:val="0000FF"/>
        </w:rPr>
        <w:t xml:space="preserve"> </w:t>
      </w:r>
      <w:r w:rsidRPr="00A00F6F">
        <w:t>CDR representative using CDR data.</w:t>
      </w:r>
    </w:p>
    <w:p w14:paraId="1DF17E3A" w14:textId="77777777" w:rsidR="00BB7660" w:rsidRPr="00A00F6F" w:rsidRDefault="00BB7660" w:rsidP="00BB7660">
      <w:pPr>
        <w:pStyle w:val="subsection"/>
      </w:pPr>
      <w:r w:rsidRPr="00A00F6F">
        <w:tab/>
        <w:t>(5)</w:t>
      </w:r>
      <w:r w:rsidRPr="00A00F6F">
        <w:tab/>
        <w:t>An accredited person that is the</w:t>
      </w:r>
      <w:r w:rsidRPr="009F28B3">
        <w:t xml:space="preserve"> </w:t>
      </w:r>
      <w:r w:rsidRPr="004A04A4">
        <w:rPr>
          <w:color w:val="0000FF"/>
        </w:rPr>
        <w:t>CDR principal</w:t>
      </w:r>
      <w:r w:rsidR="00BC1D87" w:rsidRPr="00BC1D87">
        <w:rPr>
          <w:strike/>
          <w:color w:val="0000FF"/>
        </w:rPr>
        <w:t xml:space="preserve"> principal</w:t>
      </w:r>
      <w:r w:rsidRPr="009F28B3">
        <w:t xml:space="preserve"> </w:t>
      </w:r>
      <w:r w:rsidRPr="00A00F6F">
        <w:t>in a CDR representative arrangement must notify the Data Recipient Accreditor if the arrangement terminates or otherwise ends as soon as practicable, but no later than 5 business days after the event.</w:t>
      </w:r>
    </w:p>
    <w:p w14:paraId="548430EA" w14:textId="77777777" w:rsidR="00BB7660" w:rsidRPr="00E71229" w:rsidRDefault="00BB7660" w:rsidP="00BB7660">
      <w:pPr>
        <w:pStyle w:val="ActHead5"/>
      </w:pPr>
      <w:bookmarkStart w:id="460" w:name="_Toc111132158"/>
      <w:r>
        <w:lastRenderedPageBreak/>
        <w:t>5.15</w:t>
      </w:r>
      <w:r w:rsidRPr="00E71229">
        <w:t xml:space="preserve">  Provision of information to the Accreditation Registrar</w:t>
      </w:r>
      <w:bookmarkEnd w:id="460"/>
    </w:p>
    <w:p w14:paraId="6E556389" w14:textId="77777777" w:rsidR="00BB7660" w:rsidRPr="00E71229" w:rsidRDefault="00BB7660" w:rsidP="00BB7660">
      <w:pPr>
        <w:pStyle w:val="subsection"/>
      </w:pPr>
      <w:r w:rsidRPr="00E71229">
        <w:tab/>
      </w:r>
      <w:r w:rsidRPr="00E71229">
        <w:tab/>
        <w:t>The Data Recipient Accreditor must:</w:t>
      </w:r>
    </w:p>
    <w:p w14:paraId="5CD87980" w14:textId="77777777" w:rsidR="00BB7660" w:rsidRPr="00E71229" w:rsidRDefault="00BB7660" w:rsidP="00BB7660">
      <w:pPr>
        <w:pStyle w:val="paragraph"/>
      </w:pPr>
      <w:r w:rsidRPr="00E71229">
        <w:tab/>
      </w:r>
      <w:r>
        <w:t>(a)</w:t>
      </w:r>
      <w:r w:rsidRPr="00E71229">
        <w:tab/>
        <w:t xml:space="preserve">notify the Accreditation Registrar, in writing, as soon as practicable after: </w:t>
      </w:r>
    </w:p>
    <w:p w14:paraId="77BA11B7" w14:textId="77777777" w:rsidR="00BB7660" w:rsidRPr="00390072" w:rsidRDefault="00BB7660" w:rsidP="00BB7660">
      <w:pPr>
        <w:pStyle w:val="paragraphsub"/>
      </w:pPr>
      <w:r w:rsidRPr="00E71229">
        <w:tab/>
      </w:r>
      <w:r>
        <w:t>(i)</w:t>
      </w:r>
      <w:r w:rsidRPr="00E71229">
        <w:tab/>
        <w:t>an accreditation; or</w:t>
      </w:r>
    </w:p>
    <w:p w14:paraId="3846A11A" w14:textId="77777777" w:rsidR="00BB7660" w:rsidRPr="00E71229" w:rsidRDefault="00BB7660" w:rsidP="00BB7660">
      <w:pPr>
        <w:pStyle w:val="paragraphsub"/>
      </w:pPr>
      <w:r w:rsidRPr="00E71229">
        <w:tab/>
      </w:r>
      <w:r>
        <w:t>(ii)</w:t>
      </w:r>
      <w:r w:rsidRPr="00E71229">
        <w:tab/>
        <w:t>the imposition, variation or removal of a condition on an accreditation; or</w:t>
      </w:r>
    </w:p>
    <w:p w14:paraId="089F3399" w14:textId="77777777" w:rsidR="00BB7660" w:rsidRPr="00E71229" w:rsidRDefault="00BB7660" w:rsidP="00BB7660">
      <w:pPr>
        <w:pStyle w:val="paragraphsub"/>
      </w:pPr>
      <w:r w:rsidRPr="00E71229">
        <w:tab/>
      </w:r>
      <w:r>
        <w:t>(iii)</w:t>
      </w:r>
      <w:r w:rsidRPr="00E71229">
        <w:tab/>
        <w:t>a surrender, suspension or an extension of a suspension</w:t>
      </w:r>
      <w:r>
        <w:t>;</w:t>
      </w:r>
      <w:r w:rsidRPr="00E71229">
        <w:t xml:space="preserve"> or </w:t>
      </w:r>
    </w:p>
    <w:p w14:paraId="5E8B1D31" w14:textId="77777777" w:rsidR="00BB7660" w:rsidRPr="00E71229" w:rsidRDefault="00BB7660" w:rsidP="00BB7660">
      <w:pPr>
        <w:pStyle w:val="paragraphsub"/>
      </w:pPr>
      <w:r w:rsidRPr="00E71229">
        <w:tab/>
      </w:r>
      <w:r>
        <w:t>(iv)</w:t>
      </w:r>
      <w:r w:rsidRPr="00E71229">
        <w:tab/>
        <w:t xml:space="preserve">a suspension ceasing to have effect; or </w:t>
      </w:r>
    </w:p>
    <w:p w14:paraId="19EBCBE0" w14:textId="77777777" w:rsidR="00BB7660" w:rsidRPr="00E71229" w:rsidRDefault="00BB7660" w:rsidP="00BB7660">
      <w:pPr>
        <w:pStyle w:val="paragraphsub"/>
      </w:pPr>
      <w:r w:rsidRPr="00E71229">
        <w:tab/>
      </w:r>
      <w:r>
        <w:t>(v)</w:t>
      </w:r>
      <w:r w:rsidRPr="00E71229">
        <w:tab/>
        <w:t>a revocation of an accreditation; or</w:t>
      </w:r>
    </w:p>
    <w:p w14:paraId="05F91982" w14:textId="77777777" w:rsidR="00BB7660" w:rsidRPr="00A00F6F" w:rsidRDefault="00BB7660" w:rsidP="00BB7660">
      <w:pPr>
        <w:pStyle w:val="paragraphsub"/>
      </w:pPr>
      <w:r w:rsidRPr="00A00F6F">
        <w:tab/>
        <w:t>(vi)</w:t>
      </w:r>
      <w:r w:rsidRPr="00A00F6F">
        <w:tab/>
        <w:t>a notification under paragraph 5.14(1)(c), or subrule 5.14(2), (3) or (5); and</w:t>
      </w:r>
    </w:p>
    <w:p w14:paraId="40544E7E" w14:textId="77777777" w:rsidR="00BB7660" w:rsidRPr="00E71229" w:rsidRDefault="00BB7660" w:rsidP="00BB7660">
      <w:pPr>
        <w:pStyle w:val="paragraph"/>
      </w:pPr>
      <w:r w:rsidRPr="00E71229">
        <w:tab/>
      </w:r>
      <w:r>
        <w:t>(b)</w:t>
      </w:r>
      <w:r w:rsidRPr="00E71229">
        <w:tab/>
        <w:t>include in the notice</w:t>
      </w:r>
      <w:r>
        <w:t>:</w:t>
      </w:r>
    </w:p>
    <w:p w14:paraId="7D540F70" w14:textId="77777777" w:rsidR="00BB7660" w:rsidRPr="00E71229" w:rsidRDefault="00BB7660" w:rsidP="00BB7660">
      <w:pPr>
        <w:pStyle w:val="paragraphsub"/>
      </w:pPr>
      <w:r w:rsidRPr="00E71229">
        <w:tab/>
      </w:r>
      <w:r>
        <w:t>(i)</w:t>
      </w:r>
      <w:r w:rsidRPr="00E71229">
        <w:tab/>
        <w:t>any information the Registrar is required to enter into the Register</w:t>
      </w:r>
      <w:r>
        <w:t xml:space="preserve"> of Accredited Persons</w:t>
      </w:r>
      <w:r w:rsidRPr="00E71229">
        <w:t>; and</w:t>
      </w:r>
    </w:p>
    <w:p w14:paraId="1CE12976" w14:textId="77777777" w:rsidR="00BB7660" w:rsidRPr="00E71229" w:rsidRDefault="00BB7660" w:rsidP="00BB7660">
      <w:pPr>
        <w:pStyle w:val="paragraphsub"/>
      </w:pPr>
      <w:r w:rsidRPr="00E71229">
        <w:tab/>
      </w:r>
      <w:r>
        <w:t>(ii)</w:t>
      </w:r>
      <w:r w:rsidRPr="00E71229">
        <w:tab/>
        <w:t>any information the Registrar requires in order to amend an entry in the Register.</w:t>
      </w:r>
    </w:p>
    <w:p w14:paraId="05004B65" w14:textId="77777777" w:rsidR="00BB7660" w:rsidRPr="00F6256A" w:rsidRDefault="00BB7660" w:rsidP="00BB7660">
      <w:pPr>
        <w:pStyle w:val="paragraphsub"/>
      </w:pPr>
    </w:p>
    <w:p w14:paraId="775905A7" w14:textId="77777777" w:rsidR="00BB7660" w:rsidRDefault="00BB7660" w:rsidP="00BB7660">
      <w:pPr>
        <w:pStyle w:val="ActHead4"/>
        <w:pageBreakBefore/>
      </w:pPr>
      <w:bookmarkStart w:id="461" w:name="_Toc11771644"/>
      <w:bookmarkStart w:id="462" w:name="_Toc111132159"/>
      <w:r>
        <w:lastRenderedPageBreak/>
        <w:t>Subdivision 5.2.4—Transfer, suspension</w:t>
      </w:r>
      <w:r w:rsidRPr="000C3240">
        <w:rPr>
          <w:color w:val="000000" w:themeColor="text1"/>
        </w:rPr>
        <w:t>, surrender</w:t>
      </w:r>
      <w:r>
        <w:t xml:space="preserve"> and revocation of accreditation</w:t>
      </w:r>
      <w:bookmarkEnd w:id="461"/>
      <w:bookmarkEnd w:id="462"/>
    </w:p>
    <w:p w14:paraId="2D3ADF11" w14:textId="77777777" w:rsidR="00BB7660" w:rsidRDefault="00BB7660" w:rsidP="00BB7660">
      <w:pPr>
        <w:pStyle w:val="ActHead5"/>
      </w:pPr>
      <w:bookmarkStart w:id="463" w:name="_Toc11771645"/>
      <w:bookmarkStart w:id="464" w:name="_Toc111132160"/>
      <w:r>
        <w:t>5.16  Transfer of accreditation</w:t>
      </w:r>
      <w:bookmarkEnd w:id="463"/>
      <w:bookmarkEnd w:id="464"/>
    </w:p>
    <w:p w14:paraId="468C4B58" w14:textId="77777777" w:rsidR="00BB7660" w:rsidRPr="001E3BC0" w:rsidRDefault="00BB7660" w:rsidP="00BB7660">
      <w:pPr>
        <w:pStyle w:val="subsection"/>
      </w:pPr>
      <w:r>
        <w:tab/>
      </w:r>
      <w:r>
        <w:tab/>
        <w:t>An accreditation cannot be transferred.</w:t>
      </w:r>
    </w:p>
    <w:p w14:paraId="0F334357" w14:textId="77777777" w:rsidR="00BB7660" w:rsidRDefault="00BB7660" w:rsidP="00BB7660">
      <w:pPr>
        <w:pStyle w:val="ActHead5"/>
      </w:pPr>
      <w:bookmarkStart w:id="465" w:name="_Toc11771646"/>
      <w:bookmarkStart w:id="466" w:name="_Toc111132161"/>
      <w:r>
        <w:t>5.17  Revocation, suspension, or surrender of accreditation</w:t>
      </w:r>
      <w:bookmarkEnd w:id="465"/>
      <w:bookmarkEnd w:id="466"/>
    </w:p>
    <w:p w14:paraId="3CAB2850" w14:textId="77777777" w:rsidR="00BB7660" w:rsidRDefault="00BB7660" w:rsidP="00BB7660">
      <w:pPr>
        <w:pStyle w:val="subsection"/>
      </w:pPr>
      <w:r>
        <w:tab/>
      </w:r>
      <w:r>
        <w:rPr>
          <w:color w:val="000000" w:themeColor="text1"/>
        </w:rPr>
        <w:t>(1)</w:t>
      </w:r>
      <w:r>
        <w:tab/>
        <w:t>The table has effect:</w:t>
      </w:r>
    </w:p>
    <w:p w14:paraId="0D365863" w14:textId="77777777" w:rsidR="00BB7660" w:rsidRDefault="00BB7660" w:rsidP="00BB7660">
      <w:pPr>
        <w:pStyle w:val="subsection"/>
      </w:pPr>
    </w:p>
    <w:tbl>
      <w:tblPr>
        <w:tblStyle w:val="TableGrid"/>
        <w:tblW w:w="0" w:type="auto"/>
        <w:tblInd w:w="10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1"/>
        <w:gridCol w:w="4435"/>
        <w:gridCol w:w="3169"/>
      </w:tblGrid>
      <w:tr w:rsidR="00BB7660" w14:paraId="7FD74C9E" w14:textId="77777777" w:rsidTr="0051288D">
        <w:trPr>
          <w:cantSplit/>
          <w:tblHeader/>
        </w:trPr>
        <w:tc>
          <w:tcPr>
            <w:tcW w:w="601" w:type="dxa"/>
            <w:tcBorders>
              <w:top w:val="single" w:sz="12" w:space="0" w:color="auto"/>
              <w:bottom w:val="single" w:sz="2" w:space="0" w:color="auto"/>
              <w:right w:val="nil"/>
            </w:tcBorders>
          </w:tcPr>
          <w:p w14:paraId="78E980D7" w14:textId="77777777" w:rsidR="00BB7660" w:rsidRDefault="00BB7660" w:rsidP="0051288D">
            <w:pPr>
              <w:pStyle w:val="TableHeading"/>
            </w:pPr>
          </w:p>
        </w:tc>
        <w:tc>
          <w:tcPr>
            <w:tcW w:w="7604" w:type="dxa"/>
            <w:gridSpan w:val="2"/>
            <w:tcBorders>
              <w:top w:val="single" w:sz="12" w:space="0" w:color="auto"/>
              <w:left w:val="nil"/>
              <w:bottom w:val="single" w:sz="2" w:space="0" w:color="auto"/>
            </w:tcBorders>
          </w:tcPr>
          <w:p w14:paraId="31009EC2" w14:textId="77777777" w:rsidR="00BB7660" w:rsidRDefault="00BB7660" w:rsidP="0051288D">
            <w:pPr>
              <w:pStyle w:val="TableHeading"/>
            </w:pPr>
            <w:r>
              <w:t>Grounds for revocation</w:t>
            </w:r>
            <w:r w:rsidRPr="00CC5A54">
              <w:t xml:space="preserve">, suspension and surrender </w:t>
            </w:r>
            <w:r>
              <w:t>of accreditation as accredited person</w:t>
            </w:r>
          </w:p>
        </w:tc>
      </w:tr>
      <w:tr w:rsidR="00BB7660" w14:paraId="10AA091B" w14:textId="77777777" w:rsidTr="0051288D">
        <w:trPr>
          <w:cantSplit/>
          <w:tblHeader/>
        </w:trPr>
        <w:tc>
          <w:tcPr>
            <w:tcW w:w="601" w:type="dxa"/>
            <w:tcBorders>
              <w:top w:val="single" w:sz="2" w:space="0" w:color="auto"/>
              <w:bottom w:val="single" w:sz="12" w:space="0" w:color="auto"/>
              <w:right w:val="nil"/>
            </w:tcBorders>
          </w:tcPr>
          <w:p w14:paraId="01A348EE" w14:textId="77777777" w:rsidR="00BB7660" w:rsidRDefault="00BB7660" w:rsidP="0051288D">
            <w:pPr>
              <w:pStyle w:val="TableHeading"/>
            </w:pPr>
          </w:p>
        </w:tc>
        <w:tc>
          <w:tcPr>
            <w:tcW w:w="4435" w:type="dxa"/>
            <w:tcBorders>
              <w:top w:val="single" w:sz="2" w:space="0" w:color="auto"/>
              <w:left w:val="nil"/>
              <w:bottom w:val="single" w:sz="12" w:space="0" w:color="auto"/>
              <w:right w:val="nil"/>
            </w:tcBorders>
          </w:tcPr>
          <w:p w14:paraId="70318BEE" w14:textId="77777777" w:rsidR="00BB7660" w:rsidRDefault="00BB7660" w:rsidP="0051288D">
            <w:pPr>
              <w:pStyle w:val="TableHeading"/>
            </w:pPr>
            <w:r>
              <w:t>If:</w:t>
            </w:r>
          </w:p>
        </w:tc>
        <w:tc>
          <w:tcPr>
            <w:tcW w:w="3169" w:type="dxa"/>
            <w:tcBorders>
              <w:top w:val="single" w:sz="2" w:space="0" w:color="auto"/>
              <w:left w:val="nil"/>
              <w:bottom w:val="single" w:sz="12" w:space="0" w:color="auto"/>
            </w:tcBorders>
          </w:tcPr>
          <w:p w14:paraId="37D20F84" w14:textId="77777777" w:rsidR="00BB7660" w:rsidRDefault="00BB7660" w:rsidP="0051288D">
            <w:pPr>
              <w:pStyle w:val="TableHeading"/>
            </w:pPr>
            <w:r>
              <w:t>the Data Recipient Accreditor:</w:t>
            </w:r>
          </w:p>
        </w:tc>
      </w:tr>
      <w:tr w:rsidR="00BB7660" w14:paraId="40BF8389" w14:textId="77777777" w:rsidTr="0051288D">
        <w:trPr>
          <w:cantSplit/>
        </w:trPr>
        <w:tc>
          <w:tcPr>
            <w:tcW w:w="601" w:type="dxa"/>
            <w:tcBorders>
              <w:top w:val="single" w:sz="12" w:space="0" w:color="auto"/>
              <w:bottom w:val="single" w:sz="2" w:space="0" w:color="auto"/>
              <w:right w:val="nil"/>
            </w:tcBorders>
          </w:tcPr>
          <w:p w14:paraId="662C1597" w14:textId="77777777" w:rsidR="00BB7660" w:rsidRDefault="00BB7660" w:rsidP="0051288D">
            <w:pPr>
              <w:pStyle w:val="Tabletext"/>
            </w:pPr>
            <w:r>
              <w:t>1</w:t>
            </w:r>
          </w:p>
        </w:tc>
        <w:tc>
          <w:tcPr>
            <w:tcW w:w="4435" w:type="dxa"/>
            <w:tcBorders>
              <w:top w:val="single" w:sz="12" w:space="0" w:color="auto"/>
              <w:left w:val="nil"/>
              <w:bottom w:val="single" w:sz="2" w:space="0" w:color="auto"/>
              <w:right w:val="nil"/>
            </w:tcBorders>
          </w:tcPr>
          <w:p w14:paraId="44453851" w14:textId="77777777" w:rsidR="00BB7660" w:rsidRDefault="00BB7660" w:rsidP="0051288D">
            <w:pPr>
              <w:pStyle w:val="Tabletext"/>
            </w:pPr>
            <w:r>
              <w:t>an accredited person applies to the Data Recipient Accreditor, in writing, to surrender their accreditation;</w:t>
            </w:r>
          </w:p>
          <w:p w14:paraId="2E8E5BEF" w14:textId="77777777" w:rsidR="00BB7660" w:rsidRDefault="00BB7660" w:rsidP="0051288D">
            <w:pPr>
              <w:pStyle w:val="Tabletext"/>
            </w:pPr>
          </w:p>
        </w:tc>
        <w:tc>
          <w:tcPr>
            <w:tcW w:w="3169" w:type="dxa"/>
            <w:tcBorders>
              <w:top w:val="single" w:sz="12" w:space="0" w:color="auto"/>
              <w:left w:val="nil"/>
              <w:bottom w:val="single" w:sz="2" w:space="0" w:color="auto"/>
            </w:tcBorders>
          </w:tcPr>
          <w:p w14:paraId="2669B7DE" w14:textId="77777777" w:rsidR="00BB7660" w:rsidRDefault="00BB7660" w:rsidP="0051288D">
            <w:pPr>
              <w:pStyle w:val="Tabletext"/>
            </w:pPr>
            <w:r>
              <w:t>must</w:t>
            </w:r>
            <w:r w:rsidRPr="000C3240">
              <w:rPr>
                <w:color w:val="000000" w:themeColor="text1"/>
              </w:rPr>
              <w:t>, in writing,</w:t>
            </w:r>
            <w:r>
              <w:t xml:space="preserve"> accept that surrender.</w:t>
            </w:r>
          </w:p>
        </w:tc>
      </w:tr>
      <w:tr w:rsidR="00BB7660" w14:paraId="6D2DC145" w14:textId="77777777" w:rsidTr="0051288D">
        <w:trPr>
          <w:cantSplit/>
        </w:trPr>
        <w:tc>
          <w:tcPr>
            <w:tcW w:w="601" w:type="dxa"/>
            <w:tcBorders>
              <w:top w:val="single" w:sz="2" w:space="0" w:color="auto"/>
              <w:bottom w:val="single" w:sz="4" w:space="0" w:color="auto"/>
              <w:right w:val="nil"/>
            </w:tcBorders>
          </w:tcPr>
          <w:p w14:paraId="0E25E7FA" w14:textId="77777777" w:rsidR="00BB7660" w:rsidRDefault="00BB7660" w:rsidP="0051288D">
            <w:pPr>
              <w:pStyle w:val="Tabletext"/>
            </w:pPr>
            <w:r>
              <w:t>2</w:t>
            </w:r>
          </w:p>
        </w:tc>
        <w:tc>
          <w:tcPr>
            <w:tcW w:w="4435" w:type="dxa"/>
            <w:tcBorders>
              <w:top w:val="single" w:sz="2" w:space="0" w:color="auto"/>
              <w:left w:val="nil"/>
              <w:bottom w:val="single" w:sz="4" w:space="0" w:color="auto"/>
              <w:right w:val="nil"/>
            </w:tcBorders>
          </w:tcPr>
          <w:p w14:paraId="5F41270D" w14:textId="77777777" w:rsidR="00BB7660" w:rsidRDefault="00BB7660" w:rsidP="0051288D">
            <w:pPr>
              <w:pStyle w:val="Tabletext"/>
            </w:pPr>
            <w:r>
              <w:t xml:space="preserve">the Data Recipient Accreditor is satisfied that an accredited person’s accreditation was granted as the result of statements or other information, by the </w:t>
            </w:r>
            <w:r w:rsidRPr="000C3240">
              <w:rPr>
                <w:color w:val="000000" w:themeColor="text1"/>
              </w:rPr>
              <w:t xml:space="preserve">accreditation </w:t>
            </w:r>
            <w:r>
              <w:t>applicant or by any other person, that were false or misleading in a material particular;</w:t>
            </w:r>
          </w:p>
          <w:p w14:paraId="618417A1" w14:textId="77777777" w:rsidR="00BB7660" w:rsidRDefault="00BB7660" w:rsidP="0051288D">
            <w:pPr>
              <w:pStyle w:val="Tabletext"/>
            </w:pPr>
          </w:p>
        </w:tc>
        <w:tc>
          <w:tcPr>
            <w:tcW w:w="3169" w:type="dxa"/>
            <w:tcBorders>
              <w:top w:val="single" w:sz="2" w:space="0" w:color="auto"/>
              <w:left w:val="nil"/>
              <w:bottom w:val="single" w:sz="4" w:space="0" w:color="auto"/>
            </w:tcBorders>
          </w:tcPr>
          <w:p w14:paraId="238B69A3" w14:textId="77777777" w:rsidR="00BB7660" w:rsidRDefault="00BB7660" w:rsidP="0051288D">
            <w:pPr>
              <w:pStyle w:val="Tabletext"/>
            </w:pPr>
            <w:r>
              <w:t>may</w:t>
            </w:r>
            <w:r w:rsidRPr="000C3240">
              <w:rPr>
                <w:color w:val="000000" w:themeColor="text1"/>
              </w:rPr>
              <w:t>, in writing</w:t>
            </w:r>
            <w:r>
              <w:t>:</w:t>
            </w:r>
          </w:p>
          <w:p w14:paraId="36604624" w14:textId="77777777" w:rsidR="00BB7660" w:rsidRDefault="00BB7660" w:rsidP="0051288D">
            <w:pPr>
              <w:pStyle w:val="Tablea"/>
            </w:pPr>
            <w:r>
              <w:t>(a)</w:t>
            </w:r>
            <w:r>
              <w:tab/>
              <w:t>suspend; or</w:t>
            </w:r>
          </w:p>
          <w:p w14:paraId="266FA833" w14:textId="77777777" w:rsidR="00BB7660" w:rsidRDefault="00BB7660" w:rsidP="0051288D">
            <w:pPr>
              <w:pStyle w:val="Tablea"/>
            </w:pPr>
            <w:r>
              <w:t>(b)</w:t>
            </w:r>
            <w:r>
              <w:tab/>
              <w:t>revoke;</w:t>
            </w:r>
          </w:p>
          <w:p w14:paraId="24946D31" w14:textId="77777777" w:rsidR="00BB7660" w:rsidRDefault="00BB7660" w:rsidP="0051288D">
            <w:pPr>
              <w:pStyle w:val="Tabletext"/>
            </w:pPr>
            <w:r>
              <w:t>the person’s accreditation, as appropriate.</w:t>
            </w:r>
          </w:p>
        </w:tc>
      </w:tr>
      <w:tr w:rsidR="00BB7660" w14:paraId="2A947C41" w14:textId="77777777" w:rsidTr="0051288D">
        <w:trPr>
          <w:cantSplit/>
        </w:trPr>
        <w:tc>
          <w:tcPr>
            <w:tcW w:w="601" w:type="dxa"/>
            <w:tcBorders>
              <w:right w:val="nil"/>
            </w:tcBorders>
          </w:tcPr>
          <w:p w14:paraId="0F5C776B" w14:textId="77777777" w:rsidR="00BB7660" w:rsidRDefault="00BB7660" w:rsidP="0051288D">
            <w:pPr>
              <w:pStyle w:val="Tabletext"/>
            </w:pPr>
            <w:r>
              <w:t>3</w:t>
            </w:r>
          </w:p>
        </w:tc>
        <w:tc>
          <w:tcPr>
            <w:tcW w:w="4435" w:type="dxa"/>
            <w:tcBorders>
              <w:left w:val="nil"/>
              <w:right w:val="nil"/>
            </w:tcBorders>
          </w:tcPr>
          <w:p w14:paraId="695E0761" w14:textId="77777777" w:rsidR="00BB7660" w:rsidRPr="003F3AC9" w:rsidRDefault="00BB7660" w:rsidP="0051288D">
            <w:pPr>
              <w:pStyle w:val="Tabletext"/>
            </w:pPr>
            <w:r>
              <w:t xml:space="preserve">subject to items 6 and 7, the Data Recipient Accreditor is satisfied that </w:t>
            </w:r>
            <w:r w:rsidRPr="003F3AC9">
              <w:t>the accredited person or an associated person of the accredited person has been found to have contravened a law relevant to the management of CDR data;</w:t>
            </w:r>
          </w:p>
          <w:p w14:paraId="574E0754" w14:textId="77777777" w:rsidR="00BB7660" w:rsidRDefault="00BB7660" w:rsidP="0051288D">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“associated person” and “law relevant to the management of CDR data”.</w:t>
            </w:r>
          </w:p>
          <w:p w14:paraId="677BFB5A" w14:textId="77777777" w:rsidR="00BB7660" w:rsidRPr="00A00F6F" w:rsidRDefault="00BB7660" w:rsidP="0051288D">
            <w:pPr>
              <w:pStyle w:val="nDrafterComment"/>
              <w:rPr>
                <w:color w:val="auto"/>
              </w:rPr>
            </w:pPr>
          </w:p>
        </w:tc>
        <w:tc>
          <w:tcPr>
            <w:tcW w:w="3169" w:type="dxa"/>
            <w:tcBorders>
              <w:left w:val="nil"/>
            </w:tcBorders>
          </w:tcPr>
          <w:p w14:paraId="1A66A3BC" w14:textId="77777777" w:rsidR="00BB7660" w:rsidRDefault="00BB7660" w:rsidP="0051288D">
            <w:pPr>
              <w:pStyle w:val="Tabletext"/>
            </w:pPr>
            <w:r>
              <w:t>may</w:t>
            </w:r>
            <w:r w:rsidRPr="00BD2AB7">
              <w:t>, in writing</w:t>
            </w:r>
            <w:r>
              <w:t>:</w:t>
            </w:r>
          </w:p>
          <w:p w14:paraId="6EA41652" w14:textId="77777777" w:rsidR="00BB7660" w:rsidRDefault="00BB7660" w:rsidP="0051288D">
            <w:pPr>
              <w:pStyle w:val="Tablea"/>
            </w:pPr>
            <w:r>
              <w:t>(a)</w:t>
            </w:r>
            <w:r>
              <w:tab/>
              <w:t>suspend; or</w:t>
            </w:r>
          </w:p>
          <w:p w14:paraId="27F93C61" w14:textId="77777777" w:rsidR="00BB7660" w:rsidRDefault="00BB7660" w:rsidP="0051288D">
            <w:pPr>
              <w:pStyle w:val="Tablea"/>
            </w:pPr>
            <w:r>
              <w:t>(b)</w:t>
            </w:r>
            <w:r>
              <w:tab/>
              <w:t>revoke;</w:t>
            </w:r>
          </w:p>
          <w:p w14:paraId="1F8E20FE" w14:textId="77777777" w:rsidR="00BB7660" w:rsidRDefault="00BB7660" w:rsidP="0051288D">
            <w:pPr>
              <w:pStyle w:val="Tabletext"/>
            </w:pPr>
            <w:r>
              <w:t xml:space="preserve">the </w:t>
            </w:r>
            <w:r w:rsidRPr="00005026">
              <w:t xml:space="preserve">accredited </w:t>
            </w:r>
            <w:r>
              <w:t>person’s accreditation, as appropriate.</w:t>
            </w:r>
          </w:p>
        </w:tc>
      </w:tr>
      <w:tr w:rsidR="00BB7660" w14:paraId="30484138" w14:textId="77777777" w:rsidTr="0051288D">
        <w:trPr>
          <w:cantSplit/>
        </w:trPr>
        <w:tc>
          <w:tcPr>
            <w:tcW w:w="601" w:type="dxa"/>
            <w:tcBorders>
              <w:right w:val="nil"/>
            </w:tcBorders>
          </w:tcPr>
          <w:p w14:paraId="1D6F8422" w14:textId="77777777" w:rsidR="00BB7660" w:rsidRDefault="00BB7660" w:rsidP="0051288D">
            <w:pPr>
              <w:pStyle w:val="Tabletext"/>
            </w:pPr>
            <w:r>
              <w:t>4</w:t>
            </w:r>
          </w:p>
        </w:tc>
        <w:tc>
          <w:tcPr>
            <w:tcW w:w="4435" w:type="dxa"/>
            <w:tcBorders>
              <w:left w:val="nil"/>
              <w:right w:val="nil"/>
            </w:tcBorders>
          </w:tcPr>
          <w:p w14:paraId="5A2CE0DF" w14:textId="77777777" w:rsidR="00BB7660" w:rsidRDefault="00BB7660" w:rsidP="0051288D">
            <w:pPr>
              <w:pStyle w:val="Tabletext"/>
            </w:pPr>
            <w:r>
              <w:t xml:space="preserve">the Data Recipient Accreditor </w:t>
            </w:r>
            <w:r w:rsidRPr="000C3240">
              <w:rPr>
                <w:color w:val="000000" w:themeColor="text1"/>
              </w:rPr>
              <w:t xml:space="preserve">reasonably believes </w:t>
            </w:r>
            <w:r>
              <w:t>that revocation or suspension is necessary in order to:</w:t>
            </w:r>
          </w:p>
          <w:p w14:paraId="06BBA0A9" w14:textId="77777777" w:rsidR="00BB7660" w:rsidRDefault="00BB7660" w:rsidP="0051288D">
            <w:pPr>
              <w:pStyle w:val="Tablea"/>
            </w:pPr>
            <w:r>
              <w:t>(a)</w:t>
            </w:r>
            <w:r>
              <w:tab/>
              <w:t>protect consumers; or</w:t>
            </w:r>
          </w:p>
          <w:p w14:paraId="670F181B" w14:textId="77777777" w:rsidR="00BB7660" w:rsidRDefault="00BB7660" w:rsidP="0051288D">
            <w:pPr>
              <w:pStyle w:val="Tablea"/>
            </w:pPr>
            <w:r>
              <w:t>(b)</w:t>
            </w:r>
            <w:r>
              <w:tab/>
              <w:t>protect the security, integrity and stability of:</w:t>
            </w:r>
          </w:p>
          <w:p w14:paraId="491CC429" w14:textId="77777777" w:rsidR="00BB7660" w:rsidRPr="000C3240" w:rsidRDefault="00BB7660" w:rsidP="0051288D">
            <w:pPr>
              <w:pStyle w:val="Tablei"/>
            </w:pPr>
            <w:r w:rsidRPr="000C3240">
              <w:tab/>
              <w:t>(i)</w:t>
            </w:r>
            <w:r w:rsidRPr="000C3240">
              <w:tab/>
              <w:t>the Register of Accredited Persons</w:t>
            </w:r>
            <w:r>
              <w:t xml:space="preserve"> or the associated database</w:t>
            </w:r>
            <w:r w:rsidRPr="000C3240">
              <w:t>; or</w:t>
            </w:r>
          </w:p>
          <w:p w14:paraId="6F9E3880" w14:textId="77777777" w:rsidR="00BB7660" w:rsidRPr="000C3240" w:rsidRDefault="00BB7660" w:rsidP="0051288D">
            <w:pPr>
              <w:pStyle w:val="Tablei"/>
            </w:pPr>
            <w:r w:rsidRPr="000C3240">
              <w:tab/>
              <w:t>(ii)</w:t>
            </w:r>
            <w:r w:rsidRPr="000C3240">
              <w:tab/>
              <w:t>information and communication technology systems that are used by CDR participants to disclose or collect CDR data;</w:t>
            </w:r>
          </w:p>
          <w:p w14:paraId="23EA7E03" w14:textId="77777777" w:rsidR="00BB7660" w:rsidRPr="000C3240" w:rsidRDefault="00BB7660" w:rsidP="0051288D">
            <w:pPr>
              <w:pStyle w:val="notemargin"/>
              <w:rPr>
                <w:color w:val="000000" w:themeColor="text1"/>
              </w:rPr>
            </w:pPr>
            <w:r w:rsidRPr="000C3240">
              <w:rPr>
                <w:color w:val="000000" w:themeColor="text1"/>
              </w:rPr>
              <w:t>Note:</w:t>
            </w:r>
            <w:r w:rsidRPr="000C3240">
              <w:rPr>
                <w:color w:val="000000" w:themeColor="text1"/>
              </w:rPr>
              <w:tab/>
              <w:t xml:space="preserve">See </w:t>
            </w:r>
            <w:r>
              <w:rPr>
                <w:color w:val="000000" w:themeColor="text1"/>
              </w:rPr>
              <w:t>rule</w:t>
            </w:r>
            <w:r w:rsidRPr="000C3240">
              <w:rPr>
                <w:color w:val="000000" w:themeColor="text1"/>
              </w:rPr>
              <w:t> </w:t>
            </w:r>
            <w:r>
              <w:rPr>
                <w:color w:val="000000" w:themeColor="text1"/>
              </w:rPr>
              <w:t>1.7</w:t>
            </w:r>
            <w:r w:rsidRPr="000C3240">
              <w:rPr>
                <w:color w:val="000000" w:themeColor="text1"/>
              </w:rPr>
              <w:t xml:space="preserve"> for the meaning of “law relevant to the management of CDR data”.</w:t>
            </w:r>
          </w:p>
          <w:p w14:paraId="75F10823" w14:textId="77777777" w:rsidR="00BB7660" w:rsidRDefault="00BB7660" w:rsidP="0051288D">
            <w:pPr>
              <w:pStyle w:val="Tabletext"/>
            </w:pPr>
          </w:p>
        </w:tc>
        <w:tc>
          <w:tcPr>
            <w:tcW w:w="3169" w:type="dxa"/>
            <w:tcBorders>
              <w:left w:val="nil"/>
            </w:tcBorders>
          </w:tcPr>
          <w:p w14:paraId="3AD218C2" w14:textId="77777777" w:rsidR="00BB7660" w:rsidRDefault="00BB7660" w:rsidP="0051288D">
            <w:pPr>
              <w:pStyle w:val="Tabletext"/>
            </w:pPr>
            <w:r>
              <w:t>may</w:t>
            </w:r>
            <w:r w:rsidRPr="000C3240">
              <w:rPr>
                <w:color w:val="000000" w:themeColor="text1"/>
              </w:rPr>
              <w:t>, in writing</w:t>
            </w:r>
            <w:r>
              <w:t>:</w:t>
            </w:r>
          </w:p>
          <w:p w14:paraId="290C8FA3" w14:textId="77777777" w:rsidR="00BB7660" w:rsidRDefault="00BB7660" w:rsidP="0051288D">
            <w:pPr>
              <w:pStyle w:val="Tablea"/>
            </w:pPr>
            <w:r>
              <w:t>(a)</w:t>
            </w:r>
            <w:r>
              <w:tab/>
              <w:t>suspend; or</w:t>
            </w:r>
          </w:p>
          <w:p w14:paraId="61EF2CCA" w14:textId="77777777" w:rsidR="00BB7660" w:rsidRDefault="00BB7660" w:rsidP="0051288D">
            <w:pPr>
              <w:pStyle w:val="Tablea"/>
            </w:pPr>
            <w:r>
              <w:t>(b)</w:t>
            </w:r>
            <w:r>
              <w:tab/>
              <w:t>revoke;</w:t>
            </w:r>
          </w:p>
          <w:p w14:paraId="2F9633A6" w14:textId="77777777" w:rsidR="00BB7660" w:rsidRDefault="00BB7660" w:rsidP="0051288D">
            <w:pPr>
              <w:pStyle w:val="Tabletext"/>
            </w:pPr>
            <w:r>
              <w:t>the person’s accreditation, as appropriate.</w:t>
            </w:r>
          </w:p>
        </w:tc>
      </w:tr>
      <w:tr w:rsidR="00BB7660" w:rsidRPr="001C6090" w14:paraId="08477B19" w14:textId="77777777" w:rsidTr="0051288D">
        <w:trPr>
          <w:cantSplit/>
        </w:trPr>
        <w:tc>
          <w:tcPr>
            <w:tcW w:w="601" w:type="dxa"/>
            <w:tcBorders>
              <w:right w:val="nil"/>
            </w:tcBorders>
          </w:tcPr>
          <w:p w14:paraId="5EFAD9FB" w14:textId="77777777" w:rsidR="00BB7660" w:rsidRPr="004A04A4" w:rsidRDefault="00BB7660" w:rsidP="0051288D">
            <w:pPr>
              <w:pStyle w:val="Tabletext"/>
              <w:rPr>
                <w:color w:val="0000FF"/>
              </w:rPr>
            </w:pPr>
            <w:r w:rsidRPr="00A00F6F">
              <w:lastRenderedPageBreak/>
              <w:t>5</w:t>
            </w:r>
          </w:p>
        </w:tc>
        <w:tc>
          <w:tcPr>
            <w:tcW w:w="4435" w:type="dxa"/>
            <w:tcBorders>
              <w:left w:val="nil"/>
              <w:right w:val="nil"/>
            </w:tcBorders>
          </w:tcPr>
          <w:p w14:paraId="58896DD0" w14:textId="77777777" w:rsidR="00BB7660" w:rsidRPr="00A00F6F" w:rsidRDefault="00BB7660" w:rsidP="0051288D">
            <w:pPr>
              <w:pStyle w:val="Tabletext"/>
            </w:pPr>
            <w:r w:rsidRPr="00A00F6F">
              <w:t>the following are satisfied:</w:t>
            </w:r>
          </w:p>
          <w:p w14:paraId="2B46B987" w14:textId="77777777" w:rsidR="00BB7660" w:rsidRPr="00A00F6F" w:rsidRDefault="00BB7660" w:rsidP="0051288D">
            <w:pPr>
              <w:pStyle w:val="Tablea"/>
            </w:pPr>
            <w:r w:rsidRPr="00A00F6F">
              <w:t>(a)</w:t>
            </w:r>
            <w:r w:rsidRPr="00A00F6F">
              <w:tab/>
              <w:t>the accredited person, at the time of the accreditation, satisfied a condition that is relevant to a designated sector and is specified for this item in the sector Schedule;</w:t>
            </w:r>
          </w:p>
          <w:p w14:paraId="53483846" w14:textId="77777777" w:rsidR="00BB7660" w:rsidRPr="00A00F6F" w:rsidRDefault="00BB7660" w:rsidP="0051288D">
            <w:pPr>
              <w:pStyle w:val="Tablea"/>
            </w:pPr>
            <w:r w:rsidRPr="00A00F6F">
              <w:t>(b)</w:t>
            </w:r>
            <w:r w:rsidRPr="00A00F6F">
              <w:tab/>
              <w:t>the accredited person no longer satisfies the  condition;</w:t>
            </w:r>
          </w:p>
          <w:p w14:paraId="14A3B32B" w14:textId="77777777" w:rsidR="00BB7660" w:rsidRPr="004A04A4" w:rsidRDefault="00BB7660" w:rsidP="0051288D">
            <w:pPr>
              <w:pStyle w:val="nDrafterComment"/>
              <w:rPr>
                <w:strike/>
                <w:color w:val="0000FF"/>
              </w:rPr>
            </w:pPr>
          </w:p>
        </w:tc>
        <w:tc>
          <w:tcPr>
            <w:tcW w:w="3169" w:type="dxa"/>
            <w:tcBorders>
              <w:left w:val="nil"/>
            </w:tcBorders>
          </w:tcPr>
          <w:p w14:paraId="671D3503" w14:textId="77777777" w:rsidR="00BB7660" w:rsidRPr="00A00F6F" w:rsidRDefault="00BB7660" w:rsidP="0051288D">
            <w:pPr>
              <w:pStyle w:val="Tabletext"/>
            </w:pPr>
            <w:r w:rsidRPr="00A00F6F">
              <w:t>may, in writing:</w:t>
            </w:r>
          </w:p>
          <w:p w14:paraId="66879D5D" w14:textId="77777777" w:rsidR="00BB7660" w:rsidRPr="00A00F6F" w:rsidRDefault="00BB7660" w:rsidP="0051288D">
            <w:pPr>
              <w:pStyle w:val="Tablea"/>
            </w:pPr>
            <w:r w:rsidRPr="00A00F6F">
              <w:t>(a)</w:t>
            </w:r>
            <w:r w:rsidRPr="00A00F6F">
              <w:tab/>
              <w:t>suspend; or</w:t>
            </w:r>
          </w:p>
          <w:p w14:paraId="7BACDA7D" w14:textId="77777777" w:rsidR="00BB7660" w:rsidRPr="00A00F6F" w:rsidRDefault="00BB7660" w:rsidP="0051288D">
            <w:pPr>
              <w:pStyle w:val="Tablea"/>
            </w:pPr>
            <w:r w:rsidRPr="00A00F6F">
              <w:t>(b)</w:t>
            </w:r>
            <w:r w:rsidRPr="00A00F6F">
              <w:tab/>
              <w:t>revoke;</w:t>
            </w:r>
          </w:p>
          <w:p w14:paraId="3146E838" w14:textId="77777777" w:rsidR="00BB7660" w:rsidRPr="00A00F6F" w:rsidRDefault="00BB7660" w:rsidP="0051288D">
            <w:pPr>
              <w:pStyle w:val="Tabletext"/>
            </w:pPr>
            <w:r w:rsidRPr="00A00F6F">
              <w:t>the person’s accreditation, as appropriate.</w:t>
            </w:r>
          </w:p>
        </w:tc>
      </w:tr>
      <w:tr w:rsidR="00BB7660" w14:paraId="53A6B7A4" w14:textId="77777777" w:rsidTr="0051288D">
        <w:trPr>
          <w:cantSplit/>
        </w:trPr>
        <w:tc>
          <w:tcPr>
            <w:tcW w:w="601" w:type="dxa"/>
            <w:tcBorders>
              <w:bottom w:val="single" w:sz="4" w:space="0" w:color="auto"/>
              <w:right w:val="nil"/>
            </w:tcBorders>
          </w:tcPr>
          <w:p w14:paraId="394A1DE3" w14:textId="77777777" w:rsidR="00BB7660" w:rsidRDefault="00BB7660" w:rsidP="0051288D">
            <w:pPr>
              <w:pStyle w:val="Tabletext"/>
            </w:pPr>
            <w:r>
              <w:t>6</w:t>
            </w:r>
          </w:p>
        </w:tc>
        <w:tc>
          <w:tcPr>
            <w:tcW w:w="4435" w:type="dxa"/>
            <w:tcBorders>
              <w:left w:val="nil"/>
              <w:bottom w:val="single" w:sz="4" w:space="0" w:color="auto"/>
              <w:right w:val="nil"/>
            </w:tcBorders>
          </w:tcPr>
          <w:p w14:paraId="6B6962F5" w14:textId="77777777" w:rsidR="00BB7660" w:rsidRPr="00E53912" w:rsidRDefault="00BB7660" w:rsidP="0051288D">
            <w:pPr>
              <w:pStyle w:val="Tabletext"/>
            </w:pPr>
            <w:r w:rsidRPr="00E53912">
              <w:t xml:space="preserve">the Data Recipient Accreditor </w:t>
            </w:r>
            <w:r w:rsidRPr="00E53912">
              <w:rPr>
                <w:color w:val="000000" w:themeColor="text1"/>
              </w:rPr>
              <w:t xml:space="preserve">reasonably believes </w:t>
            </w:r>
            <w:r w:rsidRPr="00E53912">
              <w:t>that the accredited person has or may have contravened:</w:t>
            </w:r>
          </w:p>
          <w:p w14:paraId="45063482" w14:textId="77777777" w:rsidR="00BB7660" w:rsidRPr="00E53912" w:rsidRDefault="00BB7660" w:rsidP="0051288D">
            <w:pPr>
              <w:pStyle w:val="Tablea"/>
            </w:pPr>
            <w:r w:rsidRPr="00E53912">
              <w:t>(a)</w:t>
            </w:r>
            <w:r w:rsidRPr="00E53912">
              <w:tab/>
            </w:r>
            <w:r w:rsidRPr="00E53912">
              <w:rPr>
                <w:color w:val="000000" w:themeColor="text1"/>
              </w:rPr>
              <w:t xml:space="preserve">an offence provision of the Act or </w:t>
            </w:r>
            <w:r w:rsidRPr="00E53912">
              <w:t>a civil penalty provision of</w:t>
            </w:r>
            <w:r w:rsidRPr="00E53912">
              <w:rPr>
                <w:color w:val="000000" w:themeColor="text1"/>
              </w:rPr>
              <w:t xml:space="preserve"> the Act or</w:t>
            </w:r>
            <w:r w:rsidRPr="00E53912">
              <w:t xml:space="preserve"> these rules; or</w:t>
            </w:r>
          </w:p>
          <w:p w14:paraId="1A194176" w14:textId="77777777" w:rsidR="00BB7660" w:rsidRPr="00E53912" w:rsidRDefault="00BB7660" w:rsidP="0051288D">
            <w:pPr>
              <w:pStyle w:val="Tablea"/>
            </w:pPr>
            <w:r w:rsidRPr="00E53912">
              <w:t>(b)</w:t>
            </w:r>
            <w:r w:rsidRPr="00E53912">
              <w:tab/>
            </w:r>
            <w:r w:rsidRPr="00E53912">
              <w:rPr>
                <w:color w:val="000000" w:themeColor="text1"/>
              </w:rPr>
              <w:t>one or more data</w:t>
            </w:r>
            <w:r w:rsidRPr="00E53912">
              <w:t xml:space="preserve"> standards;</w:t>
            </w:r>
          </w:p>
          <w:p w14:paraId="55F1045D" w14:textId="77777777" w:rsidR="00BB7660" w:rsidRPr="00E53912" w:rsidRDefault="00BB7660" w:rsidP="0051288D">
            <w:pPr>
              <w:pStyle w:val="Tabletext"/>
            </w:pPr>
          </w:p>
        </w:tc>
        <w:tc>
          <w:tcPr>
            <w:tcW w:w="3169" w:type="dxa"/>
            <w:tcBorders>
              <w:left w:val="nil"/>
              <w:bottom w:val="single" w:sz="4" w:space="0" w:color="auto"/>
            </w:tcBorders>
          </w:tcPr>
          <w:p w14:paraId="1A413BFA" w14:textId="77777777" w:rsidR="00BB7660" w:rsidRDefault="00BB7660" w:rsidP="0051288D">
            <w:pPr>
              <w:pStyle w:val="Tabletext"/>
            </w:pPr>
            <w:r>
              <w:t>may</w:t>
            </w:r>
            <w:r w:rsidRPr="000C3240">
              <w:rPr>
                <w:color w:val="000000" w:themeColor="text1"/>
              </w:rPr>
              <w:t>, in writing,</w:t>
            </w:r>
            <w:r>
              <w:t xml:space="preserve"> suspend the person’s accreditation.</w:t>
            </w:r>
          </w:p>
        </w:tc>
      </w:tr>
      <w:tr w:rsidR="00BB7660" w14:paraId="53B9C4D4" w14:textId="77777777" w:rsidTr="0051288D">
        <w:trPr>
          <w:cantSplit/>
        </w:trPr>
        <w:tc>
          <w:tcPr>
            <w:tcW w:w="601" w:type="dxa"/>
            <w:tcBorders>
              <w:top w:val="single" w:sz="4" w:space="0" w:color="auto"/>
              <w:bottom w:val="single" w:sz="4" w:space="0" w:color="auto"/>
              <w:right w:val="nil"/>
            </w:tcBorders>
          </w:tcPr>
          <w:p w14:paraId="3DDFF5E8" w14:textId="77777777" w:rsidR="00BB7660" w:rsidRDefault="00BB7660" w:rsidP="0051288D">
            <w:pPr>
              <w:pStyle w:val="Tabletext"/>
            </w:pPr>
            <w:r>
              <w:t>7</w:t>
            </w:r>
          </w:p>
        </w:tc>
        <w:tc>
          <w:tcPr>
            <w:tcW w:w="4435" w:type="dxa"/>
            <w:tcBorders>
              <w:top w:val="single" w:sz="4" w:space="0" w:color="auto"/>
              <w:left w:val="nil"/>
              <w:bottom w:val="single" w:sz="4" w:space="0" w:color="auto"/>
              <w:right w:val="nil"/>
            </w:tcBorders>
          </w:tcPr>
          <w:p w14:paraId="53E98B43" w14:textId="77777777" w:rsidR="00BB7660" w:rsidRPr="00E53912" w:rsidRDefault="00BB7660" w:rsidP="0051288D">
            <w:pPr>
              <w:pStyle w:val="Tabletext"/>
            </w:pPr>
            <w:r w:rsidRPr="00E53912">
              <w:t>the accredited person has been found to have contravened:</w:t>
            </w:r>
          </w:p>
          <w:p w14:paraId="41907C35" w14:textId="77777777" w:rsidR="00BB7660" w:rsidRPr="00E53912" w:rsidRDefault="00BB7660" w:rsidP="0051288D">
            <w:pPr>
              <w:pStyle w:val="Tablea"/>
            </w:pPr>
            <w:r w:rsidRPr="00E53912">
              <w:t>(a)</w:t>
            </w:r>
            <w:r w:rsidRPr="00E53912">
              <w:tab/>
            </w:r>
            <w:r w:rsidRPr="00E53912">
              <w:rPr>
                <w:color w:val="000000" w:themeColor="text1"/>
              </w:rPr>
              <w:t xml:space="preserve">an offence provision of the Act or </w:t>
            </w:r>
            <w:r w:rsidRPr="00E53912">
              <w:t xml:space="preserve">a civil penalty provision of </w:t>
            </w:r>
            <w:r w:rsidRPr="00E53912">
              <w:rPr>
                <w:color w:val="000000" w:themeColor="text1"/>
              </w:rPr>
              <w:t>the Act or</w:t>
            </w:r>
            <w:r w:rsidRPr="00E53912">
              <w:t xml:space="preserve"> these rules; or</w:t>
            </w:r>
          </w:p>
          <w:p w14:paraId="5EF9C230" w14:textId="77777777" w:rsidR="00BB7660" w:rsidRPr="00E53912" w:rsidRDefault="00BB7660" w:rsidP="0051288D">
            <w:pPr>
              <w:pStyle w:val="Tablea"/>
            </w:pPr>
            <w:r w:rsidRPr="00E53912">
              <w:t>(b)</w:t>
            </w:r>
            <w:r w:rsidRPr="00E53912">
              <w:tab/>
            </w:r>
            <w:r w:rsidRPr="00E53912">
              <w:rPr>
                <w:color w:val="000000" w:themeColor="text1"/>
              </w:rPr>
              <w:t xml:space="preserve">one or more data </w:t>
            </w:r>
            <w:r w:rsidRPr="00E53912">
              <w:t>standards;</w:t>
            </w:r>
          </w:p>
          <w:p w14:paraId="2E9B8979" w14:textId="77777777" w:rsidR="00BB7660" w:rsidRPr="00E53912" w:rsidRDefault="00BB7660" w:rsidP="0051288D">
            <w:pPr>
              <w:pStyle w:val="Tabletext"/>
            </w:pPr>
          </w:p>
        </w:tc>
        <w:tc>
          <w:tcPr>
            <w:tcW w:w="3169" w:type="dxa"/>
            <w:tcBorders>
              <w:top w:val="single" w:sz="4" w:space="0" w:color="auto"/>
              <w:left w:val="nil"/>
              <w:bottom w:val="single" w:sz="4" w:space="0" w:color="auto"/>
            </w:tcBorders>
          </w:tcPr>
          <w:p w14:paraId="1FF5BF3A" w14:textId="77777777" w:rsidR="00BB7660" w:rsidRDefault="00BB7660" w:rsidP="0051288D">
            <w:pPr>
              <w:pStyle w:val="Tabletext"/>
            </w:pPr>
            <w:r>
              <w:t>may</w:t>
            </w:r>
            <w:r w:rsidRPr="000C3240">
              <w:rPr>
                <w:color w:val="000000" w:themeColor="text1"/>
              </w:rPr>
              <w:t>, in writing</w:t>
            </w:r>
            <w:r>
              <w:t>:</w:t>
            </w:r>
          </w:p>
          <w:p w14:paraId="31B5C680" w14:textId="77777777" w:rsidR="00BB7660" w:rsidRDefault="00BB7660" w:rsidP="0051288D">
            <w:pPr>
              <w:pStyle w:val="Tablea"/>
            </w:pPr>
            <w:r>
              <w:t>(a)</w:t>
            </w:r>
            <w:r>
              <w:tab/>
              <w:t>suspend; or</w:t>
            </w:r>
          </w:p>
          <w:p w14:paraId="258CD958" w14:textId="77777777" w:rsidR="00BB7660" w:rsidRDefault="00BB7660" w:rsidP="0051288D">
            <w:pPr>
              <w:pStyle w:val="Tablea"/>
            </w:pPr>
            <w:r>
              <w:t>(b)</w:t>
            </w:r>
            <w:r>
              <w:tab/>
              <w:t>revoke;</w:t>
            </w:r>
          </w:p>
          <w:p w14:paraId="277ACB54" w14:textId="77777777" w:rsidR="00BB7660" w:rsidRDefault="00BB7660" w:rsidP="0051288D">
            <w:pPr>
              <w:pStyle w:val="Tabletext"/>
            </w:pPr>
            <w:r>
              <w:t>the person’s accreditation, as appropriate.</w:t>
            </w:r>
          </w:p>
          <w:p w14:paraId="2CD71E7F" w14:textId="77777777" w:rsidR="00BB7660" w:rsidRDefault="00BB7660" w:rsidP="0051288D">
            <w:pPr>
              <w:pStyle w:val="Tabletext"/>
            </w:pPr>
          </w:p>
        </w:tc>
      </w:tr>
      <w:tr w:rsidR="00BB7660" w14:paraId="39BFDDC8" w14:textId="77777777" w:rsidTr="0051288D">
        <w:trPr>
          <w:cantSplit/>
        </w:trPr>
        <w:tc>
          <w:tcPr>
            <w:tcW w:w="601" w:type="dxa"/>
            <w:tcBorders>
              <w:top w:val="single" w:sz="4" w:space="0" w:color="auto"/>
              <w:bottom w:val="single" w:sz="4" w:space="0" w:color="auto"/>
              <w:right w:val="nil"/>
            </w:tcBorders>
          </w:tcPr>
          <w:p w14:paraId="18C0D8ED" w14:textId="77777777" w:rsidR="00BB7660" w:rsidRDefault="00BB7660" w:rsidP="0051288D">
            <w:pPr>
              <w:pStyle w:val="Tabletext"/>
            </w:pPr>
            <w:r>
              <w:t>8</w:t>
            </w:r>
          </w:p>
        </w:tc>
        <w:tc>
          <w:tcPr>
            <w:tcW w:w="4435" w:type="dxa"/>
            <w:tcBorders>
              <w:top w:val="single" w:sz="4" w:space="0" w:color="auto"/>
              <w:left w:val="nil"/>
              <w:bottom w:val="single" w:sz="4" w:space="0" w:color="auto"/>
              <w:right w:val="nil"/>
            </w:tcBorders>
          </w:tcPr>
          <w:p w14:paraId="394EC2C1" w14:textId="77777777" w:rsidR="00BB7660" w:rsidRDefault="00BB7660" w:rsidP="0051288D">
            <w:pPr>
              <w:pStyle w:val="Tabletext"/>
            </w:pPr>
            <w:r>
              <w:t xml:space="preserve">the Data Recipient Accreditor is no longer satisfied that the accredited person </w:t>
            </w:r>
            <w:r w:rsidRPr="000C3240">
              <w:rPr>
                <w:color w:val="000000" w:themeColor="text1"/>
              </w:rPr>
              <w:t xml:space="preserve">is, having regard to </w:t>
            </w:r>
            <w:r>
              <w:t>the fit and proper person criteria</w:t>
            </w:r>
            <w:r w:rsidRPr="000C3240">
              <w:rPr>
                <w:color w:val="000000" w:themeColor="text1"/>
              </w:rPr>
              <w:t>, a fit and proper person</w:t>
            </w:r>
            <w:r>
              <w:rPr>
                <w:color w:val="000000" w:themeColor="text1"/>
              </w:rPr>
              <w:t xml:space="preserve"> </w:t>
            </w:r>
            <w:r w:rsidRPr="00724397">
              <w:t>to be accredited at the person’s level of accreditation</w:t>
            </w:r>
            <w:r>
              <w:t>;</w:t>
            </w:r>
          </w:p>
          <w:p w14:paraId="1D924AF8" w14:textId="77777777" w:rsidR="00BB7660" w:rsidRDefault="00BB7660" w:rsidP="0051288D">
            <w:pPr>
              <w:pStyle w:val="Tabletext"/>
            </w:pPr>
          </w:p>
        </w:tc>
        <w:tc>
          <w:tcPr>
            <w:tcW w:w="3169" w:type="dxa"/>
            <w:tcBorders>
              <w:top w:val="single" w:sz="4" w:space="0" w:color="auto"/>
              <w:left w:val="nil"/>
              <w:bottom w:val="single" w:sz="4" w:space="0" w:color="auto"/>
            </w:tcBorders>
          </w:tcPr>
          <w:p w14:paraId="1052D24E" w14:textId="77777777" w:rsidR="00BB7660" w:rsidRDefault="00BB7660" w:rsidP="0051288D">
            <w:pPr>
              <w:pStyle w:val="Tabletext"/>
            </w:pPr>
            <w:r>
              <w:t>may</w:t>
            </w:r>
            <w:r w:rsidRPr="000C3240">
              <w:rPr>
                <w:color w:val="000000" w:themeColor="text1"/>
              </w:rPr>
              <w:t>, in writing</w:t>
            </w:r>
            <w:r>
              <w:t>:</w:t>
            </w:r>
          </w:p>
          <w:p w14:paraId="545AB561" w14:textId="77777777" w:rsidR="00BB7660" w:rsidRDefault="00BB7660" w:rsidP="0051288D">
            <w:pPr>
              <w:pStyle w:val="Tablea"/>
            </w:pPr>
            <w:r>
              <w:t>(a)</w:t>
            </w:r>
            <w:r>
              <w:tab/>
              <w:t>suspend; or</w:t>
            </w:r>
          </w:p>
          <w:p w14:paraId="36ED292C" w14:textId="77777777" w:rsidR="00BB7660" w:rsidRDefault="00BB7660" w:rsidP="0051288D">
            <w:pPr>
              <w:pStyle w:val="Tablea"/>
            </w:pPr>
            <w:r>
              <w:t>(b)</w:t>
            </w:r>
            <w:r>
              <w:tab/>
              <w:t>revoke;</w:t>
            </w:r>
          </w:p>
          <w:p w14:paraId="43515C25" w14:textId="77777777" w:rsidR="00BB7660" w:rsidRDefault="00BB7660" w:rsidP="0051288D">
            <w:pPr>
              <w:pStyle w:val="Tabletext"/>
            </w:pPr>
            <w:r>
              <w:t>the person’s accreditation, as appropriate.</w:t>
            </w:r>
          </w:p>
          <w:p w14:paraId="2348C525" w14:textId="77777777" w:rsidR="00BB7660" w:rsidRDefault="00BB7660" w:rsidP="0051288D">
            <w:pPr>
              <w:pStyle w:val="Tabletext"/>
            </w:pPr>
          </w:p>
        </w:tc>
      </w:tr>
      <w:tr w:rsidR="00BB7660" w14:paraId="3CF6FA28" w14:textId="77777777" w:rsidTr="0051288D">
        <w:trPr>
          <w:cantSplit/>
        </w:trPr>
        <w:tc>
          <w:tcPr>
            <w:tcW w:w="601" w:type="dxa"/>
            <w:tcBorders>
              <w:top w:val="single" w:sz="4" w:space="0" w:color="auto"/>
              <w:bottom w:val="single" w:sz="4" w:space="0" w:color="auto"/>
              <w:right w:val="nil"/>
            </w:tcBorders>
          </w:tcPr>
          <w:p w14:paraId="10AC041F" w14:textId="77777777" w:rsidR="00BB7660" w:rsidRPr="00E53912" w:rsidRDefault="00BB7660" w:rsidP="0051288D">
            <w:pPr>
              <w:pStyle w:val="Tabletext"/>
              <w:rPr>
                <w:color w:val="000000" w:themeColor="text1"/>
              </w:rPr>
            </w:pPr>
            <w:r w:rsidRPr="00E1300D">
              <w:rPr>
                <w:color w:val="000000" w:themeColor="text1"/>
              </w:rPr>
              <w:t>9</w:t>
            </w:r>
          </w:p>
        </w:tc>
        <w:tc>
          <w:tcPr>
            <w:tcW w:w="4435" w:type="dxa"/>
            <w:tcBorders>
              <w:top w:val="single" w:sz="4" w:space="0" w:color="auto"/>
              <w:left w:val="nil"/>
              <w:bottom w:val="single" w:sz="4" w:space="0" w:color="auto"/>
              <w:right w:val="nil"/>
            </w:tcBorders>
          </w:tcPr>
          <w:p w14:paraId="3226D129" w14:textId="77777777" w:rsidR="00BB7660" w:rsidRPr="00E1300D" w:rsidRDefault="00BB7660" w:rsidP="0051288D">
            <w:pPr>
              <w:pStyle w:val="Tabletext"/>
              <w:rPr>
                <w:color w:val="000000" w:themeColor="text1"/>
              </w:rPr>
            </w:pPr>
            <w:r w:rsidRPr="00E1300D">
              <w:rPr>
                <w:color w:val="000000" w:themeColor="text1"/>
              </w:rPr>
              <w:t>a relevant contract between the accredited person and a CDR consumer has been found to have a term that is unfair;</w:t>
            </w:r>
          </w:p>
          <w:p w14:paraId="1632D8B4" w14:textId="77777777" w:rsidR="00BB7660" w:rsidRPr="00E53912" w:rsidRDefault="00BB7660" w:rsidP="0051288D">
            <w:pPr>
              <w:pStyle w:val="Tabletext"/>
              <w:rPr>
                <w:color w:val="000000" w:themeColor="text1"/>
              </w:rPr>
            </w:pPr>
          </w:p>
        </w:tc>
        <w:tc>
          <w:tcPr>
            <w:tcW w:w="3169" w:type="dxa"/>
            <w:tcBorders>
              <w:top w:val="single" w:sz="4" w:space="0" w:color="auto"/>
              <w:left w:val="nil"/>
              <w:bottom w:val="single" w:sz="4" w:space="0" w:color="auto"/>
            </w:tcBorders>
          </w:tcPr>
          <w:p w14:paraId="37B03DD1" w14:textId="77777777" w:rsidR="00BB7660" w:rsidRPr="00E1300D" w:rsidRDefault="00BB7660" w:rsidP="0051288D">
            <w:pPr>
              <w:pStyle w:val="Tabletext"/>
              <w:rPr>
                <w:color w:val="000000" w:themeColor="text1"/>
              </w:rPr>
            </w:pPr>
            <w:r w:rsidRPr="00E1300D">
              <w:rPr>
                <w:color w:val="000000" w:themeColor="text1"/>
              </w:rPr>
              <w:t>may, in writing:</w:t>
            </w:r>
          </w:p>
          <w:p w14:paraId="7F405F40" w14:textId="77777777" w:rsidR="00BB7660" w:rsidRPr="00E1300D" w:rsidRDefault="00BB7660" w:rsidP="0051288D">
            <w:pPr>
              <w:pStyle w:val="Tablea"/>
              <w:rPr>
                <w:color w:val="000000" w:themeColor="text1"/>
              </w:rPr>
            </w:pPr>
            <w:r w:rsidRPr="00E1300D">
              <w:rPr>
                <w:color w:val="000000" w:themeColor="text1"/>
              </w:rPr>
              <w:t>(a)</w:t>
            </w:r>
            <w:r w:rsidRPr="00E1300D">
              <w:rPr>
                <w:color w:val="000000" w:themeColor="text1"/>
              </w:rPr>
              <w:tab/>
              <w:t>suspend; or</w:t>
            </w:r>
          </w:p>
          <w:p w14:paraId="639322C4" w14:textId="77777777" w:rsidR="00BB7660" w:rsidRPr="00E1300D" w:rsidRDefault="00BB7660" w:rsidP="0051288D">
            <w:pPr>
              <w:pStyle w:val="Tablea"/>
              <w:rPr>
                <w:color w:val="000000" w:themeColor="text1"/>
              </w:rPr>
            </w:pPr>
            <w:r w:rsidRPr="00E1300D">
              <w:rPr>
                <w:color w:val="000000" w:themeColor="text1"/>
              </w:rPr>
              <w:t>(b)</w:t>
            </w:r>
            <w:r w:rsidRPr="00E1300D">
              <w:rPr>
                <w:color w:val="000000" w:themeColor="text1"/>
              </w:rPr>
              <w:tab/>
              <w:t>revoke;</w:t>
            </w:r>
          </w:p>
          <w:p w14:paraId="1EA9B79C" w14:textId="77777777" w:rsidR="00BB7660" w:rsidRPr="00E1300D" w:rsidRDefault="00BB7660" w:rsidP="0051288D">
            <w:pPr>
              <w:pStyle w:val="Tabletext"/>
              <w:rPr>
                <w:color w:val="000000" w:themeColor="text1"/>
              </w:rPr>
            </w:pPr>
            <w:r w:rsidRPr="00E1300D">
              <w:rPr>
                <w:color w:val="000000" w:themeColor="text1"/>
              </w:rPr>
              <w:t>the person’s accreditation, as appropriate.</w:t>
            </w:r>
          </w:p>
          <w:p w14:paraId="6FF59F8E" w14:textId="77777777" w:rsidR="00BB7660" w:rsidRPr="00E1300D" w:rsidRDefault="00BB7660" w:rsidP="0051288D">
            <w:pPr>
              <w:pStyle w:val="Tabletext"/>
              <w:rPr>
                <w:color w:val="000000" w:themeColor="text1"/>
              </w:rPr>
            </w:pPr>
          </w:p>
        </w:tc>
      </w:tr>
      <w:tr w:rsidR="00BB7660" w14:paraId="173EFC1A" w14:textId="77777777" w:rsidTr="0051288D">
        <w:trPr>
          <w:cantSplit/>
        </w:trPr>
        <w:tc>
          <w:tcPr>
            <w:tcW w:w="601" w:type="dxa"/>
            <w:tcBorders>
              <w:top w:val="single" w:sz="4" w:space="0" w:color="auto"/>
              <w:bottom w:val="single" w:sz="4" w:space="0" w:color="auto"/>
              <w:right w:val="nil"/>
            </w:tcBorders>
          </w:tcPr>
          <w:p w14:paraId="69E795D6" w14:textId="77777777" w:rsidR="00BB7660" w:rsidRPr="00E1300D" w:rsidRDefault="00BB7660" w:rsidP="0051288D">
            <w:pPr>
              <w:pStyle w:val="Tabletext"/>
              <w:rPr>
                <w:color w:val="000000" w:themeColor="text1"/>
              </w:rPr>
            </w:pPr>
            <w:r w:rsidRPr="00E1300D">
              <w:rPr>
                <w:color w:val="000000" w:themeColor="text1"/>
              </w:rPr>
              <w:t>10</w:t>
            </w:r>
          </w:p>
        </w:tc>
        <w:tc>
          <w:tcPr>
            <w:tcW w:w="4435" w:type="dxa"/>
            <w:tcBorders>
              <w:top w:val="single" w:sz="4" w:space="0" w:color="auto"/>
              <w:left w:val="nil"/>
              <w:bottom w:val="single" w:sz="4" w:space="0" w:color="auto"/>
              <w:right w:val="nil"/>
            </w:tcBorders>
          </w:tcPr>
          <w:p w14:paraId="746C339E" w14:textId="77777777" w:rsidR="00BB7660" w:rsidRPr="00E1300D" w:rsidRDefault="00BB7660" w:rsidP="0051288D">
            <w:pPr>
              <w:pStyle w:val="Tabletext"/>
              <w:rPr>
                <w:color w:val="000000" w:themeColor="text1"/>
              </w:rPr>
            </w:pPr>
            <w:r w:rsidRPr="00E1300D">
              <w:rPr>
                <w:color w:val="000000" w:themeColor="text1"/>
              </w:rPr>
              <w:t>the Data Recipient Accreditor reasonably believes that a relevant contract between the accredited person and a CDR consumer has a term that is unfair;</w:t>
            </w:r>
          </w:p>
          <w:p w14:paraId="76051E6B" w14:textId="77777777" w:rsidR="00BB7660" w:rsidRPr="00E1300D" w:rsidRDefault="00BB7660" w:rsidP="0051288D">
            <w:pPr>
              <w:pStyle w:val="Tabletext"/>
              <w:rPr>
                <w:color w:val="000000" w:themeColor="text1"/>
              </w:rPr>
            </w:pPr>
          </w:p>
        </w:tc>
        <w:tc>
          <w:tcPr>
            <w:tcW w:w="3169" w:type="dxa"/>
            <w:tcBorders>
              <w:top w:val="single" w:sz="4" w:space="0" w:color="auto"/>
              <w:left w:val="nil"/>
              <w:bottom w:val="single" w:sz="4" w:space="0" w:color="auto"/>
            </w:tcBorders>
          </w:tcPr>
          <w:p w14:paraId="3D6CEFF9" w14:textId="77777777" w:rsidR="00BB7660" w:rsidRPr="00E1300D" w:rsidRDefault="00BB7660" w:rsidP="0051288D">
            <w:pPr>
              <w:pStyle w:val="Tabletext"/>
              <w:rPr>
                <w:color w:val="000000" w:themeColor="text1"/>
              </w:rPr>
            </w:pPr>
            <w:r w:rsidRPr="00E1300D">
              <w:rPr>
                <w:color w:val="000000" w:themeColor="text1"/>
              </w:rPr>
              <w:t>may, in writing, suspend the person’s accreditation.</w:t>
            </w:r>
          </w:p>
        </w:tc>
      </w:tr>
      <w:tr w:rsidR="00BB7660" w:rsidRPr="0046743D" w14:paraId="031471A7" w14:textId="77777777" w:rsidTr="0051288D">
        <w:trPr>
          <w:cantSplit/>
        </w:trPr>
        <w:tc>
          <w:tcPr>
            <w:tcW w:w="601" w:type="dxa"/>
            <w:tcBorders>
              <w:top w:val="single" w:sz="4" w:space="0" w:color="auto"/>
              <w:bottom w:val="single" w:sz="4" w:space="0" w:color="auto"/>
              <w:right w:val="nil"/>
            </w:tcBorders>
          </w:tcPr>
          <w:p w14:paraId="665A2059" w14:textId="77777777" w:rsidR="00BB7660" w:rsidRPr="004A04A4" w:rsidRDefault="00BB7660" w:rsidP="0051288D">
            <w:pPr>
              <w:pStyle w:val="Tabletext"/>
              <w:rPr>
                <w:color w:val="0000FF"/>
              </w:rPr>
            </w:pPr>
            <w:r w:rsidRPr="00A00F6F">
              <w:lastRenderedPageBreak/>
              <w:t>11</w:t>
            </w:r>
          </w:p>
        </w:tc>
        <w:tc>
          <w:tcPr>
            <w:tcW w:w="4435" w:type="dxa"/>
            <w:tcBorders>
              <w:top w:val="single" w:sz="4" w:space="0" w:color="auto"/>
              <w:left w:val="nil"/>
              <w:bottom w:val="single" w:sz="4" w:space="0" w:color="auto"/>
              <w:right w:val="nil"/>
            </w:tcBorders>
          </w:tcPr>
          <w:p w14:paraId="2A97EB4C" w14:textId="77777777" w:rsidR="00BB7660" w:rsidRPr="00A00F6F" w:rsidRDefault="00BB7660" w:rsidP="0051288D">
            <w:pPr>
              <w:pStyle w:val="Tabletext"/>
            </w:pPr>
            <w:r w:rsidRPr="00A00F6F">
              <w:t>for a person with sponsored accreditation:</w:t>
            </w:r>
          </w:p>
          <w:p w14:paraId="212A8AD8" w14:textId="77777777" w:rsidR="00BB7660" w:rsidRPr="00A00F6F" w:rsidRDefault="00BB7660" w:rsidP="0051288D">
            <w:pPr>
              <w:pStyle w:val="Tablea"/>
            </w:pPr>
            <w:r w:rsidRPr="00A00F6F">
              <w:t>(a)</w:t>
            </w:r>
            <w:r w:rsidRPr="00A00F6F">
              <w:tab/>
              <w:t>a sponsorship arrangement expires or terminates; or</w:t>
            </w:r>
          </w:p>
          <w:p w14:paraId="781D37D6" w14:textId="77777777" w:rsidR="00BB7660" w:rsidRPr="00A00F6F" w:rsidRDefault="00BB7660" w:rsidP="0051288D">
            <w:pPr>
              <w:pStyle w:val="Tablea"/>
            </w:pPr>
            <w:r w:rsidRPr="00A00F6F">
              <w:t>(b)</w:t>
            </w:r>
            <w:r w:rsidRPr="00A00F6F">
              <w:tab/>
              <w:t>the accreditation of a sponsor is suspended or revoked; or</w:t>
            </w:r>
          </w:p>
          <w:p w14:paraId="13F415DD" w14:textId="77777777" w:rsidR="00BB7660" w:rsidRPr="004A04A4" w:rsidRDefault="00BB7660" w:rsidP="0051288D">
            <w:pPr>
              <w:pStyle w:val="Tablea"/>
              <w:rPr>
                <w:color w:val="0000FF"/>
              </w:rPr>
            </w:pPr>
            <w:r w:rsidRPr="00A00F6F">
              <w:t>(c)</w:t>
            </w:r>
            <w:r w:rsidRPr="00A00F6F">
              <w:tab/>
              <w:t>the person has had a sponsor but now has none;</w:t>
            </w:r>
          </w:p>
        </w:tc>
        <w:tc>
          <w:tcPr>
            <w:tcW w:w="3169" w:type="dxa"/>
            <w:tcBorders>
              <w:top w:val="single" w:sz="4" w:space="0" w:color="auto"/>
              <w:left w:val="nil"/>
              <w:bottom w:val="single" w:sz="4" w:space="0" w:color="auto"/>
            </w:tcBorders>
          </w:tcPr>
          <w:p w14:paraId="15F78259" w14:textId="77777777" w:rsidR="00BB7660" w:rsidRPr="00A00F6F" w:rsidRDefault="00BB7660" w:rsidP="0051288D">
            <w:pPr>
              <w:pStyle w:val="Tabletext"/>
            </w:pPr>
            <w:r w:rsidRPr="00A00F6F">
              <w:t>may, in writing:</w:t>
            </w:r>
          </w:p>
          <w:p w14:paraId="5350599C" w14:textId="77777777" w:rsidR="00BB7660" w:rsidRPr="00A00F6F" w:rsidRDefault="00BB7660" w:rsidP="0051288D">
            <w:pPr>
              <w:pStyle w:val="Tablea"/>
            </w:pPr>
            <w:r w:rsidRPr="00A00F6F">
              <w:t>(a)</w:t>
            </w:r>
            <w:r w:rsidRPr="00A00F6F">
              <w:tab/>
              <w:t>suspend; or</w:t>
            </w:r>
          </w:p>
          <w:p w14:paraId="4C8AA83D" w14:textId="77777777" w:rsidR="00BB7660" w:rsidRPr="00A00F6F" w:rsidRDefault="00BB7660" w:rsidP="0051288D">
            <w:pPr>
              <w:pStyle w:val="Tablea"/>
            </w:pPr>
            <w:r w:rsidRPr="00A00F6F">
              <w:t>(b)</w:t>
            </w:r>
            <w:r w:rsidRPr="00A00F6F">
              <w:tab/>
              <w:t>revoke;</w:t>
            </w:r>
          </w:p>
          <w:p w14:paraId="7E64FB95" w14:textId="77777777" w:rsidR="00BB7660" w:rsidRPr="00A00F6F" w:rsidRDefault="00BB7660" w:rsidP="0051288D">
            <w:pPr>
              <w:pStyle w:val="Tabletext"/>
            </w:pPr>
            <w:r w:rsidRPr="00A00F6F">
              <w:t>the person’s accreditation, as appropriate.</w:t>
            </w:r>
          </w:p>
        </w:tc>
      </w:tr>
    </w:tbl>
    <w:p w14:paraId="4258C426" w14:textId="77777777" w:rsidR="00BB7660" w:rsidRPr="00E1300D" w:rsidRDefault="00BB7660" w:rsidP="00BB7660">
      <w:pPr>
        <w:pStyle w:val="subsection"/>
        <w:rPr>
          <w:color w:val="000000" w:themeColor="text1"/>
        </w:rPr>
      </w:pPr>
      <w:r>
        <w:tab/>
      </w:r>
      <w:r>
        <w:rPr>
          <w:color w:val="000000" w:themeColor="text1"/>
        </w:rPr>
        <w:t>(2)</w:t>
      </w:r>
      <w:r w:rsidRPr="00E1300D">
        <w:rPr>
          <w:color w:val="000000" w:themeColor="text1"/>
        </w:rPr>
        <w:tab/>
        <w:t>For items 9 and 10:</w:t>
      </w:r>
    </w:p>
    <w:p w14:paraId="6269AD49" w14:textId="77777777" w:rsidR="00BB7660" w:rsidRDefault="00BB7660" w:rsidP="00BB7660">
      <w:pPr>
        <w:pStyle w:val="paragraph"/>
      </w:pPr>
      <w:r w:rsidRPr="00724397">
        <w:tab/>
      </w:r>
      <w:r>
        <w:t>(a)</w:t>
      </w:r>
      <w:r w:rsidRPr="00724397">
        <w:tab/>
      </w:r>
      <w:r w:rsidRPr="00E1300D">
        <w:rPr>
          <w:b/>
          <w:i/>
          <w:color w:val="000000" w:themeColor="text1"/>
        </w:rPr>
        <w:t xml:space="preserve">relevant contract </w:t>
      </w:r>
      <w:r w:rsidRPr="00E1300D">
        <w:rPr>
          <w:color w:val="000000" w:themeColor="text1"/>
        </w:rPr>
        <w:t>means a</w:t>
      </w:r>
      <w:r w:rsidRPr="005C2347">
        <w:rPr>
          <w:color w:val="000000" w:themeColor="text1"/>
        </w:rPr>
        <w:t xml:space="preserve"> </w:t>
      </w:r>
      <w:r>
        <w:rPr>
          <w:color w:val="000000" w:themeColor="text1"/>
        </w:rPr>
        <w:t>standard form contract that is a consumer contract or a small business contract within the meaning of section 23 of the Australian Consumer Law</w:t>
      </w:r>
      <w:r w:rsidRPr="00E1300D">
        <w:rPr>
          <w:color w:val="000000" w:themeColor="text1"/>
        </w:rPr>
        <w:t xml:space="preserve"> that arises from a request by a CDR consumer under subrule </w:t>
      </w:r>
      <w:r>
        <w:t>4.3(1)</w:t>
      </w:r>
      <w:r w:rsidRPr="00E1300D">
        <w:rPr>
          <w:color w:val="000000" w:themeColor="text1"/>
        </w:rPr>
        <w:t>; and</w:t>
      </w:r>
    </w:p>
    <w:p w14:paraId="0B29C54E" w14:textId="77777777" w:rsidR="00BB7660" w:rsidRPr="00724397" w:rsidRDefault="00BB7660" w:rsidP="00BB7660">
      <w:pPr>
        <w:pStyle w:val="paragraph"/>
      </w:pPr>
      <w:r w:rsidRPr="00724397">
        <w:tab/>
      </w:r>
      <w:r>
        <w:t>(b)</w:t>
      </w:r>
      <w:r w:rsidRPr="00724397">
        <w:tab/>
      </w:r>
      <w:r w:rsidRPr="00724397">
        <w:rPr>
          <w:b/>
          <w:i/>
        </w:rPr>
        <w:t xml:space="preserve">unfair </w:t>
      </w:r>
      <w:r w:rsidRPr="00724397">
        <w:t>has the meaning</w:t>
      </w:r>
      <w:r>
        <w:t xml:space="preserve"> </w:t>
      </w:r>
      <w:r w:rsidRPr="00724397">
        <w:t>given by section 24 of the Australian Consumer Law; and</w:t>
      </w:r>
    </w:p>
    <w:p w14:paraId="5C82F782"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(c)</w:t>
      </w:r>
      <w:r w:rsidRPr="00E1300D">
        <w:rPr>
          <w:color w:val="000000" w:themeColor="text1"/>
        </w:rPr>
        <w:tab/>
      </w:r>
      <w:r w:rsidRPr="00E1300D">
        <w:rPr>
          <w:b/>
          <w:i/>
          <w:color w:val="000000" w:themeColor="text1"/>
        </w:rPr>
        <w:t xml:space="preserve">Australian Consumer Law </w:t>
      </w:r>
      <w:r w:rsidRPr="00E1300D">
        <w:rPr>
          <w:color w:val="000000" w:themeColor="text1"/>
        </w:rPr>
        <w:t>has the meaning given by section 130 of the Act.</w:t>
      </w:r>
    </w:p>
    <w:p w14:paraId="275E1C95" w14:textId="77777777" w:rsidR="00BB7660" w:rsidRPr="00641354" w:rsidRDefault="00BB7660" w:rsidP="00BB7660">
      <w:pPr>
        <w:pStyle w:val="ActHead5"/>
        <w:rPr>
          <w:color w:val="000000"/>
        </w:rPr>
      </w:pPr>
      <w:bookmarkStart w:id="467" w:name="_Toc11771647"/>
      <w:bookmarkStart w:id="468" w:name="_Toc111132162"/>
      <w:r>
        <w:rPr>
          <w:color w:val="000000"/>
        </w:rPr>
        <w:t>5.18</w:t>
      </w:r>
      <w:r w:rsidRPr="00641354">
        <w:rPr>
          <w:color w:val="000000"/>
        </w:rPr>
        <w:t xml:space="preserve">  Revocation of accreditation—process</w:t>
      </w:r>
      <w:bookmarkEnd w:id="467"/>
      <w:bookmarkEnd w:id="468"/>
    </w:p>
    <w:p w14:paraId="607B3840" w14:textId="77777777" w:rsidR="00BB7660" w:rsidRPr="009F28B3" w:rsidRDefault="00BB7660" w:rsidP="00BB7660">
      <w:pPr>
        <w:pStyle w:val="subsection"/>
      </w:pPr>
      <w:r w:rsidRPr="00641354">
        <w:rPr>
          <w:color w:val="000000"/>
        </w:rPr>
        <w:tab/>
      </w:r>
      <w:r>
        <w:rPr>
          <w:color w:val="000000"/>
        </w:rPr>
        <w:t>(1)</w:t>
      </w:r>
      <w:r w:rsidRPr="00641354">
        <w:rPr>
          <w:color w:val="000000"/>
        </w:rPr>
        <w:tab/>
      </w:r>
      <w:r w:rsidRPr="009F28B3">
        <w:t>Before revoking an accredited person’s accreditation under rule 5.17, the Data Recipient Accreditor must:</w:t>
      </w:r>
    </w:p>
    <w:p w14:paraId="7229CAF6" w14:textId="77777777" w:rsidR="00BB7660" w:rsidRPr="009F28B3" w:rsidRDefault="00BB7660" w:rsidP="00BB7660">
      <w:pPr>
        <w:pStyle w:val="paragraph"/>
      </w:pPr>
      <w:r w:rsidRPr="009F28B3">
        <w:tab/>
        <w:t>(a)</w:t>
      </w:r>
      <w:r w:rsidRPr="009F28B3">
        <w:tab/>
        <w:t>inform the accredited person and any associate of:</w:t>
      </w:r>
    </w:p>
    <w:p w14:paraId="485C25CB" w14:textId="77777777" w:rsidR="00BB7660" w:rsidRPr="009F28B3" w:rsidRDefault="00BB7660" w:rsidP="00BB7660">
      <w:pPr>
        <w:pStyle w:val="paragraphsub"/>
      </w:pPr>
      <w:r w:rsidRPr="009F28B3">
        <w:tab/>
        <w:t>(i)</w:t>
      </w:r>
      <w:r w:rsidRPr="009F28B3">
        <w:tab/>
        <w:t>the proposed revocation; and</w:t>
      </w:r>
    </w:p>
    <w:p w14:paraId="1222C247" w14:textId="77777777" w:rsidR="00BB7660" w:rsidRPr="009F28B3" w:rsidRDefault="00BB7660" w:rsidP="00BB7660">
      <w:pPr>
        <w:pStyle w:val="paragraphsub"/>
      </w:pPr>
      <w:r w:rsidRPr="009F28B3">
        <w:tab/>
        <w:t>(ii)</w:t>
      </w:r>
      <w:r w:rsidRPr="009F28B3">
        <w:tab/>
        <w:t>when it is proposed to take effect; and</w:t>
      </w:r>
    </w:p>
    <w:p w14:paraId="5A83D5FD" w14:textId="77777777" w:rsidR="00BB7660" w:rsidRPr="009F28B3" w:rsidRDefault="00BB7660" w:rsidP="00BB7660">
      <w:pPr>
        <w:pStyle w:val="paragraph"/>
      </w:pPr>
      <w:r w:rsidRPr="009F28B3">
        <w:tab/>
        <w:t>(b)</w:t>
      </w:r>
      <w:r w:rsidRPr="009F28B3">
        <w:tab/>
        <w:t>give the accredited person and any associate a reasonable opportunity to be heard in relation to the proposed revocation.</w:t>
      </w:r>
    </w:p>
    <w:p w14:paraId="0EB52D98" w14:textId="77777777" w:rsidR="00BB7660" w:rsidRPr="00641354" w:rsidRDefault="00BB7660" w:rsidP="00BB7660">
      <w:pPr>
        <w:pStyle w:val="subsection"/>
        <w:rPr>
          <w:color w:val="000000"/>
        </w:rPr>
      </w:pPr>
      <w:r w:rsidRPr="009F28B3">
        <w:tab/>
        <w:t>(2)</w:t>
      </w:r>
      <w:r w:rsidRPr="009F28B3">
        <w:tab/>
        <w:t>If the Accreditor revokes an accredited person’s accreditation</w:t>
      </w:r>
      <w:r w:rsidRPr="00641354">
        <w:rPr>
          <w:color w:val="000000"/>
        </w:rPr>
        <w:t xml:space="preserve"> under </w:t>
      </w:r>
      <w:r>
        <w:rPr>
          <w:color w:val="000000"/>
        </w:rPr>
        <w:t>rule</w:t>
      </w:r>
      <w:r w:rsidRPr="00641354">
        <w:rPr>
          <w:color w:val="000000"/>
        </w:rPr>
        <w:t> </w:t>
      </w:r>
      <w:r>
        <w:rPr>
          <w:color w:val="000000"/>
        </w:rPr>
        <w:t>5.17</w:t>
      </w:r>
      <w:r w:rsidRPr="00641354">
        <w:rPr>
          <w:color w:val="000000"/>
        </w:rPr>
        <w:t>, the Accreditor must notify the person</w:t>
      </w:r>
      <w:r w:rsidRPr="00A00F6F">
        <w:t xml:space="preserve"> and any associate</w:t>
      </w:r>
      <w:r w:rsidRPr="00641354">
        <w:rPr>
          <w:color w:val="000000"/>
        </w:rPr>
        <w:t>, in writing, of the revocation.</w:t>
      </w:r>
    </w:p>
    <w:p w14:paraId="57A2DC29" w14:textId="77777777" w:rsidR="00BB7660" w:rsidRPr="00641354" w:rsidRDefault="00BB7660" w:rsidP="00BB7660">
      <w:pPr>
        <w:pStyle w:val="notetext"/>
        <w:rPr>
          <w:color w:val="000000"/>
        </w:rPr>
      </w:pPr>
      <w:r w:rsidRPr="00641354">
        <w:rPr>
          <w:color w:val="000000"/>
        </w:rPr>
        <w:t>Note:</w:t>
      </w:r>
      <w:r w:rsidRPr="00641354">
        <w:rPr>
          <w:color w:val="000000"/>
        </w:rPr>
        <w:tab/>
        <w:t>The decision to revoke an accredited person’s accreditation can be reviewed by the Administrative Appeals Tribunal: see paragraph </w:t>
      </w:r>
      <w:r>
        <w:rPr>
          <w:color w:val="000000"/>
        </w:rPr>
        <w:t>9.2(b)</w:t>
      </w:r>
      <w:r w:rsidRPr="00641354">
        <w:rPr>
          <w:color w:val="000000"/>
        </w:rPr>
        <w:t>.</w:t>
      </w:r>
    </w:p>
    <w:p w14:paraId="1DE4F6B9" w14:textId="77777777" w:rsidR="00BB7660" w:rsidRPr="00A00F6F" w:rsidRDefault="00BB7660" w:rsidP="00BB7660">
      <w:pPr>
        <w:pStyle w:val="subsection"/>
      </w:pPr>
      <w:bookmarkStart w:id="469" w:name="_Toc11771648"/>
      <w:r w:rsidRPr="00A00F6F">
        <w:tab/>
        <w:t>(3)</w:t>
      </w:r>
      <w:r w:rsidRPr="00A00F6F">
        <w:tab/>
        <w:t xml:space="preserve">For this rule, each of the following is an </w:t>
      </w:r>
      <w:r w:rsidRPr="00A00F6F">
        <w:rPr>
          <w:b/>
          <w:i/>
        </w:rPr>
        <w:t xml:space="preserve">associate </w:t>
      </w:r>
      <w:r w:rsidRPr="00A00F6F">
        <w:t>of the accredited person:</w:t>
      </w:r>
    </w:p>
    <w:p w14:paraId="73D9EB46" w14:textId="77777777" w:rsidR="00BB7660" w:rsidRPr="00A00F6F" w:rsidRDefault="00BB7660" w:rsidP="00BB7660">
      <w:pPr>
        <w:pStyle w:val="paragraph"/>
      </w:pPr>
      <w:r w:rsidRPr="00A00F6F">
        <w:tab/>
        <w:t>(a)</w:t>
      </w:r>
      <w:r w:rsidRPr="00A00F6F">
        <w:tab/>
        <w:t>any sponsor;</w:t>
      </w:r>
    </w:p>
    <w:p w14:paraId="0A23D4FE" w14:textId="77777777" w:rsidR="00BB7660" w:rsidRPr="00A00F6F" w:rsidRDefault="00BB7660" w:rsidP="00BB7660">
      <w:pPr>
        <w:pStyle w:val="paragraph"/>
      </w:pPr>
      <w:r w:rsidRPr="00A00F6F">
        <w:tab/>
        <w:t>(b)</w:t>
      </w:r>
      <w:r w:rsidRPr="00A00F6F">
        <w:tab/>
        <w:t>any affiliate.</w:t>
      </w:r>
    </w:p>
    <w:p w14:paraId="1BAED1CB" w14:textId="77777777" w:rsidR="00BB7660" w:rsidRPr="00641354" w:rsidRDefault="00BB7660" w:rsidP="00BB7660">
      <w:pPr>
        <w:pStyle w:val="ActHead5"/>
        <w:rPr>
          <w:color w:val="000000"/>
        </w:rPr>
      </w:pPr>
      <w:bookmarkStart w:id="470" w:name="_Toc111132163"/>
      <w:r>
        <w:t>5.19  Suspension of accreditation</w:t>
      </w:r>
      <w:r w:rsidRPr="00641354">
        <w:rPr>
          <w:color w:val="000000"/>
        </w:rPr>
        <w:t>—duration</w:t>
      </w:r>
      <w:bookmarkEnd w:id="469"/>
      <w:bookmarkEnd w:id="470"/>
    </w:p>
    <w:p w14:paraId="1CB31118" w14:textId="77777777" w:rsidR="00BB7660" w:rsidRDefault="00BB7660" w:rsidP="00BB7660">
      <w:pPr>
        <w:pStyle w:val="subsection"/>
        <w:rPr>
          <w:color w:val="000000"/>
        </w:rPr>
      </w:pPr>
      <w:r w:rsidRPr="00641354">
        <w:rPr>
          <w:color w:val="000000"/>
        </w:rPr>
        <w:tab/>
      </w:r>
      <w:r>
        <w:rPr>
          <w:color w:val="000000"/>
        </w:rPr>
        <w:t>(1)</w:t>
      </w:r>
      <w:r>
        <w:rPr>
          <w:color w:val="000000"/>
        </w:rPr>
        <w:tab/>
        <w:t>Without limitation, t</w:t>
      </w:r>
      <w:r w:rsidRPr="00641354">
        <w:rPr>
          <w:color w:val="000000"/>
        </w:rPr>
        <w:t>he Data Recipient Accreditor</w:t>
      </w:r>
      <w:r>
        <w:rPr>
          <w:color w:val="000000"/>
        </w:rPr>
        <w:t xml:space="preserve">, </w:t>
      </w:r>
      <w:r w:rsidRPr="00641354">
        <w:rPr>
          <w:color w:val="000000"/>
        </w:rPr>
        <w:t xml:space="preserve">under </w:t>
      </w:r>
      <w:r>
        <w:rPr>
          <w:color w:val="000000"/>
        </w:rPr>
        <w:t>rule</w:t>
      </w:r>
      <w:r w:rsidRPr="00641354">
        <w:rPr>
          <w:color w:val="000000"/>
        </w:rPr>
        <w:t> </w:t>
      </w:r>
      <w:r>
        <w:rPr>
          <w:color w:val="000000"/>
        </w:rPr>
        <w:t>5.17:</w:t>
      </w:r>
    </w:p>
    <w:p w14:paraId="1CA38FFA" w14:textId="77777777" w:rsidR="00BB7660" w:rsidRPr="00641354" w:rsidRDefault="00BB7660" w:rsidP="00BB7660">
      <w:pPr>
        <w:pStyle w:val="paragraph"/>
      </w:pPr>
      <w:r>
        <w:tab/>
        <w:t>(a)</w:t>
      </w:r>
      <w:r>
        <w:tab/>
      </w:r>
      <w:r w:rsidRPr="00641354">
        <w:rPr>
          <w:color w:val="000000"/>
        </w:rPr>
        <w:t>may</w:t>
      </w:r>
      <w:r w:rsidRPr="00641354">
        <w:t xml:space="preserve"> suspend an accreditation:</w:t>
      </w:r>
    </w:p>
    <w:p w14:paraId="49D71D85" w14:textId="77777777" w:rsidR="00BB7660" w:rsidRPr="00641354" w:rsidRDefault="00BB7660" w:rsidP="00BB7660">
      <w:pPr>
        <w:pStyle w:val="paragraphsub"/>
      </w:pPr>
      <w:r>
        <w:tab/>
        <w:t>(i)</w:t>
      </w:r>
      <w:r>
        <w:tab/>
      </w:r>
      <w:r w:rsidRPr="00641354">
        <w:t>for a period of time that ends at a specified date; or</w:t>
      </w:r>
    </w:p>
    <w:p w14:paraId="5C945DE4" w14:textId="77777777" w:rsidR="00BB7660" w:rsidRDefault="00BB7660" w:rsidP="00BB7660">
      <w:pPr>
        <w:pStyle w:val="paragraphsub"/>
      </w:pPr>
      <w:r>
        <w:tab/>
        <w:t>(ii)</w:t>
      </w:r>
      <w:r>
        <w:tab/>
      </w:r>
      <w:r w:rsidRPr="00641354">
        <w:t>for a period of time that ends with the occurrence of a specified event</w:t>
      </w:r>
      <w:r>
        <w:t>; and</w:t>
      </w:r>
    </w:p>
    <w:p w14:paraId="42E2E738" w14:textId="77777777" w:rsidR="00BB7660" w:rsidRPr="00641354" w:rsidRDefault="00BB7660" w:rsidP="00BB7660">
      <w:pPr>
        <w:pStyle w:val="paragraph"/>
      </w:pPr>
      <w:r>
        <w:lastRenderedPageBreak/>
        <w:tab/>
        <w:t>(b)</w:t>
      </w:r>
      <w:r>
        <w:tab/>
      </w:r>
      <w:r w:rsidRPr="000374B5">
        <w:t>may, subject to the same conditions on which an accreditation was suspended, extend the suspension</w:t>
      </w:r>
      <w:r w:rsidRPr="000C3240">
        <w:rPr>
          <w:color w:val="000000" w:themeColor="text1"/>
        </w:rPr>
        <w:t>.</w:t>
      </w:r>
    </w:p>
    <w:p w14:paraId="15CD1EB2" w14:textId="77777777" w:rsidR="00BB7660" w:rsidRDefault="00BB7660" w:rsidP="00BB7660">
      <w:pPr>
        <w:pStyle w:val="subsection"/>
      </w:pPr>
      <w:r>
        <w:tab/>
        <w:t>(2)</w:t>
      </w:r>
      <w:r>
        <w:tab/>
        <w:t xml:space="preserve">The Data Recipient Accreditor may, </w:t>
      </w:r>
      <w:r w:rsidRPr="000C3240">
        <w:rPr>
          <w:color w:val="000000" w:themeColor="text1"/>
        </w:rPr>
        <w:t xml:space="preserve">in writing, </w:t>
      </w:r>
      <w:r>
        <w:t>at any time, remove a suspension.</w:t>
      </w:r>
    </w:p>
    <w:p w14:paraId="791F53D9" w14:textId="77777777" w:rsidR="00BB7660" w:rsidRPr="00641354" w:rsidRDefault="00BB7660" w:rsidP="00BB7660">
      <w:pPr>
        <w:pStyle w:val="ActHead5"/>
        <w:rPr>
          <w:color w:val="000000"/>
        </w:rPr>
      </w:pPr>
      <w:bookmarkStart w:id="471" w:name="_Toc11771649"/>
      <w:bookmarkStart w:id="472" w:name="_Toc111132164"/>
      <w:r>
        <w:rPr>
          <w:color w:val="000000"/>
        </w:rPr>
        <w:t>5.20</w:t>
      </w:r>
      <w:r w:rsidRPr="00641354">
        <w:rPr>
          <w:color w:val="000000"/>
        </w:rPr>
        <w:t xml:space="preserve">  </w:t>
      </w:r>
      <w:r>
        <w:rPr>
          <w:color w:val="000000"/>
        </w:rPr>
        <w:t>General process for s</w:t>
      </w:r>
      <w:r w:rsidRPr="00641354">
        <w:rPr>
          <w:color w:val="000000"/>
        </w:rPr>
        <w:t>uspension of accreditation</w:t>
      </w:r>
      <w:r>
        <w:rPr>
          <w:color w:val="000000"/>
        </w:rPr>
        <w:t xml:space="preserve"> or extension of suspension</w:t>
      </w:r>
      <w:bookmarkEnd w:id="471"/>
      <w:bookmarkEnd w:id="472"/>
    </w:p>
    <w:p w14:paraId="41E0AD15" w14:textId="77777777" w:rsidR="00BB7660" w:rsidRDefault="00BB7660" w:rsidP="00BB7660">
      <w:pPr>
        <w:pStyle w:val="subsection"/>
      </w:pPr>
      <w:r>
        <w:tab/>
        <w:t>(1)</w:t>
      </w:r>
      <w:r>
        <w:tab/>
        <w:t>This rule applies subject to rule 5.21.</w:t>
      </w:r>
    </w:p>
    <w:p w14:paraId="635CE534" w14:textId="77777777" w:rsidR="00BB7660" w:rsidRDefault="00BB7660" w:rsidP="00BB7660">
      <w:pPr>
        <w:pStyle w:val="subsection"/>
      </w:pPr>
      <w:r w:rsidRPr="00641354">
        <w:rPr>
          <w:color w:val="000000"/>
        </w:rPr>
        <w:tab/>
      </w:r>
      <w:r>
        <w:rPr>
          <w:color w:val="000000"/>
        </w:rPr>
        <w:t>(2)</w:t>
      </w:r>
      <w:r w:rsidRPr="00641354">
        <w:rPr>
          <w:color w:val="000000"/>
        </w:rPr>
        <w:tab/>
      </w:r>
      <w:r>
        <w:rPr>
          <w:color w:val="000000" w:themeColor="text1"/>
        </w:rPr>
        <w:t>B</w:t>
      </w:r>
      <w:r w:rsidRPr="00641354">
        <w:rPr>
          <w:color w:val="000000"/>
        </w:rPr>
        <w:t xml:space="preserve">efore suspending an </w:t>
      </w:r>
      <w:r w:rsidRPr="000C3240">
        <w:rPr>
          <w:color w:val="000000" w:themeColor="text1"/>
        </w:rPr>
        <w:t xml:space="preserve">accreditation </w:t>
      </w:r>
      <w:r w:rsidRPr="00641354">
        <w:rPr>
          <w:color w:val="000000"/>
        </w:rPr>
        <w:t xml:space="preserve">under </w:t>
      </w:r>
      <w:r>
        <w:rPr>
          <w:color w:val="000000"/>
        </w:rPr>
        <w:t>rule</w:t>
      </w:r>
      <w:r w:rsidRPr="00641354">
        <w:rPr>
          <w:color w:val="000000"/>
        </w:rPr>
        <w:t> </w:t>
      </w:r>
      <w:r>
        <w:rPr>
          <w:color w:val="000000"/>
        </w:rPr>
        <w:t>5.17</w:t>
      </w:r>
      <w:r w:rsidRPr="00641354">
        <w:rPr>
          <w:color w:val="000000"/>
        </w:rPr>
        <w:t xml:space="preserve">, </w:t>
      </w:r>
      <w:r w:rsidRPr="000C3240">
        <w:rPr>
          <w:color w:val="000000" w:themeColor="text1"/>
        </w:rPr>
        <w:t xml:space="preserve">or extending a suspension, </w:t>
      </w:r>
      <w:r w:rsidRPr="00641354">
        <w:rPr>
          <w:color w:val="000000"/>
        </w:rPr>
        <w:t>the Data Recipient Accreditor must</w:t>
      </w:r>
      <w:r>
        <w:t>:</w:t>
      </w:r>
    </w:p>
    <w:p w14:paraId="7DD1EF47" w14:textId="77777777" w:rsidR="00BB7660" w:rsidRDefault="00BB7660" w:rsidP="00BB7660">
      <w:pPr>
        <w:pStyle w:val="paragraph"/>
        <w:rPr>
          <w:color w:val="000000"/>
        </w:rPr>
      </w:pPr>
      <w:r w:rsidRPr="00641354">
        <w:rPr>
          <w:color w:val="000000"/>
        </w:rPr>
        <w:tab/>
      </w:r>
      <w:r>
        <w:rPr>
          <w:color w:val="000000"/>
        </w:rPr>
        <w:t>(a)</w:t>
      </w:r>
      <w:r w:rsidRPr="00641354">
        <w:rPr>
          <w:color w:val="000000"/>
        </w:rPr>
        <w:tab/>
        <w:t>inform the accredited person of</w:t>
      </w:r>
      <w:r>
        <w:rPr>
          <w:color w:val="000000"/>
        </w:rPr>
        <w:t>:</w:t>
      </w:r>
    </w:p>
    <w:p w14:paraId="79D56C81" w14:textId="77777777" w:rsidR="00BB7660" w:rsidRDefault="00BB7660" w:rsidP="00BB7660">
      <w:pPr>
        <w:pStyle w:val="paragraphsub"/>
      </w:pPr>
      <w:r>
        <w:tab/>
        <w:t>(i)</w:t>
      </w:r>
      <w:r>
        <w:tab/>
      </w:r>
      <w:r w:rsidRPr="00641354">
        <w:t xml:space="preserve">the proposed suspension </w:t>
      </w:r>
      <w:r w:rsidRPr="000C3240">
        <w:rPr>
          <w:color w:val="000000" w:themeColor="text1"/>
        </w:rPr>
        <w:t xml:space="preserve">or extension </w:t>
      </w:r>
      <w:r w:rsidRPr="00641354">
        <w:t>(including the proposed duration); and</w:t>
      </w:r>
    </w:p>
    <w:p w14:paraId="0BB0787E" w14:textId="77777777" w:rsidR="00BB7660" w:rsidRPr="00641354" w:rsidRDefault="00BB7660" w:rsidP="00BB7660">
      <w:pPr>
        <w:pStyle w:val="paragraphsub"/>
      </w:pPr>
      <w:r>
        <w:tab/>
        <w:t>(ii)</w:t>
      </w:r>
      <w:r w:rsidRPr="007E69B9">
        <w:tab/>
        <w:t>in the case of a suspension—when it is proposed to take effect; and</w:t>
      </w:r>
    </w:p>
    <w:p w14:paraId="0C0B3558" w14:textId="77777777" w:rsidR="00BB7660" w:rsidRDefault="00BB7660" w:rsidP="00BB7660">
      <w:pPr>
        <w:pStyle w:val="paragraph"/>
        <w:rPr>
          <w:color w:val="000000"/>
        </w:rPr>
      </w:pPr>
      <w:r w:rsidRPr="00641354">
        <w:rPr>
          <w:color w:val="000000"/>
        </w:rPr>
        <w:tab/>
      </w:r>
      <w:r>
        <w:rPr>
          <w:color w:val="000000"/>
        </w:rPr>
        <w:t>(b)</w:t>
      </w:r>
      <w:r w:rsidRPr="00641354">
        <w:rPr>
          <w:color w:val="000000"/>
        </w:rPr>
        <w:tab/>
        <w:t>give the accredited person a reasonable opportunity to be heard in relation to the proposed suspension</w:t>
      </w:r>
      <w:r>
        <w:rPr>
          <w:color w:val="000000"/>
        </w:rPr>
        <w:t xml:space="preserve"> </w:t>
      </w:r>
      <w:r w:rsidRPr="000C3240">
        <w:rPr>
          <w:color w:val="000000" w:themeColor="text1"/>
        </w:rPr>
        <w:t>or extension</w:t>
      </w:r>
      <w:r w:rsidRPr="00641354">
        <w:rPr>
          <w:color w:val="000000"/>
        </w:rPr>
        <w:t>.</w:t>
      </w:r>
    </w:p>
    <w:p w14:paraId="250A33F5" w14:textId="77777777" w:rsidR="00BB7660" w:rsidRDefault="00BB7660" w:rsidP="00BB7660">
      <w:pPr>
        <w:pStyle w:val="subsection"/>
        <w:rPr>
          <w:color w:val="000000"/>
        </w:rPr>
      </w:pPr>
      <w:r w:rsidRPr="00641354">
        <w:rPr>
          <w:color w:val="000000"/>
        </w:rPr>
        <w:tab/>
      </w:r>
      <w:r>
        <w:rPr>
          <w:color w:val="000000"/>
        </w:rPr>
        <w:t>(3)</w:t>
      </w:r>
      <w:r w:rsidRPr="00641354">
        <w:rPr>
          <w:color w:val="000000"/>
        </w:rPr>
        <w:tab/>
        <w:t xml:space="preserve">If the Accreditor suspends an accredited person’s accreditation under </w:t>
      </w:r>
      <w:r>
        <w:rPr>
          <w:color w:val="000000"/>
        </w:rPr>
        <w:t>rule</w:t>
      </w:r>
      <w:r w:rsidRPr="00641354">
        <w:rPr>
          <w:color w:val="000000"/>
        </w:rPr>
        <w:t> </w:t>
      </w:r>
      <w:r>
        <w:rPr>
          <w:color w:val="000000"/>
        </w:rPr>
        <w:t>5.17</w:t>
      </w:r>
      <w:r w:rsidRPr="00641354">
        <w:rPr>
          <w:color w:val="000000"/>
        </w:rPr>
        <w:t>, the Accreditor must notify the person, in writing, of the suspension and the period of the suspension.</w:t>
      </w:r>
    </w:p>
    <w:p w14:paraId="13780052" w14:textId="77777777" w:rsidR="00BB7660" w:rsidRPr="00641354" w:rsidRDefault="00BB7660" w:rsidP="00BB7660">
      <w:pPr>
        <w:pStyle w:val="notetext"/>
        <w:rPr>
          <w:color w:val="000000"/>
        </w:rPr>
      </w:pPr>
      <w:r w:rsidRPr="00641354">
        <w:rPr>
          <w:color w:val="000000"/>
        </w:rPr>
        <w:t>Note:</w:t>
      </w:r>
      <w:r w:rsidRPr="00641354">
        <w:rPr>
          <w:color w:val="000000"/>
        </w:rPr>
        <w:tab/>
        <w:t xml:space="preserve">The decision to </w:t>
      </w:r>
      <w:r w:rsidRPr="000C3240">
        <w:rPr>
          <w:color w:val="000000" w:themeColor="text1"/>
        </w:rPr>
        <w:t xml:space="preserve">suspend </w:t>
      </w:r>
      <w:r w:rsidRPr="00641354">
        <w:rPr>
          <w:color w:val="000000"/>
        </w:rPr>
        <w:t>an accredited person’s accreditation can be reviewed by the Administrative Appeals Tribunal: see paragraph </w:t>
      </w:r>
      <w:r>
        <w:rPr>
          <w:color w:val="000000"/>
        </w:rPr>
        <w:t>9.2(b)</w:t>
      </w:r>
      <w:r w:rsidRPr="00641354">
        <w:rPr>
          <w:color w:val="000000"/>
        </w:rPr>
        <w:t>.</w:t>
      </w:r>
    </w:p>
    <w:p w14:paraId="7DB0F3BF"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(4)</w:t>
      </w:r>
      <w:r w:rsidRPr="000C3240">
        <w:rPr>
          <w:color w:val="000000" w:themeColor="text1"/>
        </w:rPr>
        <w:tab/>
        <w:t>If the Accreditor extends a suspension, the Accreditor must notify the person, in writing, of the extension and the period of the suspension as extended.</w:t>
      </w:r>
    </w:p>
    <w:p w14:paraId="0883DBCE" w14:textId="77777777" w:rsidR="00BB7660" w:rsidRDefault="00BB7660" w:rsidP="00BB7660">
      <w:pPr>
        <w:pStyle w:val="notetext"/>
        <w:rPr>
          <w:color w:val="000000" w:themeColor="text1"/>
        </w:rPr>
      </w:pPr>
      <w:r w:rsidRPr="000C3240">
        <w:rPr>
          <w:color w:val="000000" w:themeColor="text1"/>
        </w:rPr>
        <w:t>Note:</w:t>
      </w:r>
      <w:r w:rsidRPr="000C3240">
        <w:rPr>
          <w:color w:val="000000" w:themeColor="text1"/>
        </w:rPr>
        <w:tab/>
        <w:t>The decision to extend a suspension can be reviewed by the Administrative Appeals Tribunal: see paragraph </w:t>
      </w:r>
      <w:r>
        <w:rPr>
          <w:color w:val="000000" w:themeColor="text1"/>
        </w:rPr>
        <w:t>9.2(b)</w:t>
      </w:r>
      <w:r w:rsidRPr="000C3240">
        <w:rPr>
          <w:color w:val="000000" w:themeColor="text1"/>
        </w:rPr>
        <w:t>.</w:t>
      </w:r>
    </w:p>
    <w:p w14:paraId="4594133A" w14:textId="77777777" w:rsidR="00BB7660" w:rsidRDefault="00BB7660" w:rsidP="00BB7660">
      <w:pPr>
        <w:pStyle w:val="ActHead5"/>
      </w:pPr>
      <w:bookmarkStart w:id="473" w:name="_Toc11771650"/>
      <w:bookmarkStart w:id="474" w:name="_Toc111132165"/>
      <w:r>
        <w:t>5.21  P</w:t>
      </w:r>
      <w:r w:rsidRPr="00641354">
        <w:rPr>
          <w:color w:val="000000"/>
        </w:rPr>
        <w:t>rocess</w:t>
      </w:r>
      <w:r>
        <w:t xml:space="preserve"> for urgent suspensions or extensions</w:t>
      </w:r>
      <w:bookmarkEnd w:id="473"/>
      <w:bookmarkEnd w:id="474"/>
    </w:p>
    <w:p w14:paraId="5CB2640C" w14:textId="77777777" w:rsidR="00BB7660" w:rsidRDefault="00BB7660" w:rsidP="00BB7660">
      <w:pPr>
        <w:pStyle w:val="subsection"/>
        <w:rPr>
          <w:color w:val="000000" w:themeColor="text1"/>
        </w:rPr>
      </w:pPr>
      <w:r w:rsidRPr="00595E3D">
        <w:rPr>
          <w:color w:val="000000" w:themeColor="text1"/>
        </w:rPr>
        <w:tab/>
      </w:r>
      <w:r>
        <w:rPr>
          <w:color w:val="000000" w:themeColor="text1"/>
        </w:rPr>
        <w:t>(1)</w:t>
      </w:r>
      <w:r w:rsidRPr="00595E3D">
        <w:rPr>
          <w:color w:val="000000" w:themeColor="text1"/>
        </w:rPr>
        <w:tab/>
      </w:r>
      <w:r>
        <w:rPr>
          <w:color w:val="000000" w:themeColor="text1"/>
        </w:rPr>
        <w:t>This rule applies if:</w:t>
      </w:r>
    </w:p>
    <w:p w14:paraId="42B5013E" w14:textId="77777777" w:rsidR="00BB7660" w:rsidRDefault="00BB7660" w:rsidP="00BB7660">
      <w:pPr>
        <w:pStyle w:val="paragraph"/>
      </w:pPr>
      <w:r>
        <w:tab/>
        <w:t>(a)</w:t>
      </w:r>
      <w:r>
        <w:tab/>
        <w:t xml:space="preserve">the Data Recipient Accreditor proposes to </w:t>
      </w:r>
      <w:r w:rsidRPr="00595E3D">
        <w:t>suspen</w:t>
      </w:r>
      <w:r>
        <w:t>d an accreditation, or extend a suspension,</w:t>
      </w:r>
      <w:r w:rsidRPr="00595E3D">
        <w:t xml:space="preserve"> on urgent grounds</w:t>
      </w:r>
      <w:r>
        <w:t>; and</w:t>
      </w:r>
    </w:p>
    <w:p w14:paraId="34FD7C0B" w14:textId="77777777" w:rsidR="00BB7660" w:rsidRDefault="00BB7660" w:rsidP="00BB7660">
      <w:pPr>
        <w:pStyle w:val="paragraph"/>
      </w:pPr>
      <w:r>
        <w:tab/>
        <w:t>(b)</w:t>
      </w:r>
      <w:r>
        <w:tab/>
        <w:t>in the opinion of the Data Recipient Accreditor, because of the urgency, it is not possible to comply with rule 5.20 prior to the suspension or extension.</w:t>
      </w:r>
    </w:p>
    <w:p w14:paraId="7B8C87A3" w14:textId="77777777" w:rsidR="00BB7660" w:rsidRDefault="00BB7660" w:rsidP="00BB7660">
      <w:pPr>
        <w:pStyle w:val="subsection"/>
      </w:pPr>
      <w:r>
        <w:tab/>
        <w:t>(2)</w:t>
      </w:r>
      <w:r>
        <w:tab/>
        <w:t>The Accreditor may suspend the accreditation, or extend the suspension, without first complying with rule 5.20.</w:t>
      </w:r>
    </w:p>
    <w:p w14:paraId="593C69A8" w14:textId="77777777" w:rsidR="00BB7660" w:rsidRPr="00595E3D" w:rsidRDefault="00BB7660" w:rsidP="00BB7660">
      <w:pPr>
        <w:pStyle w:val="subsection"/>
      </w:pPr>
      <w:r>
        <w:tab/>
        <w:t>(3)</w:t>
      </w:r>
      <w:r>
        <w:tab/>
        <w:t>However, as soon as practicable after suspending the accreditation or extending the suspension, the Accreditor must</w:t>
      </w:r>
      <w:r w:rsidRPr="00595E3D">
        <w:t>:</w:t>
      </w:r>
    </w:p>
    <w:p w14:paraId="7DAE2C2B" w14:textId="77777777" w:rsidR="00BB7660" w:rsidRPr="00595E3D" w:rsidRDefault="00BB7660" w:rsidP="00BB7660">
      <w:pPr>
        <w:pStyle w:val="paragraph"/>
        <w:rPr>
          <w:color w:val="000000" w:themeColor="text1"/>
        </w:rPr>
      </w:pPr>
      <w:r w:rsidRPr="00595E3D">
        <w:rPr>
          <w:color w:val="000000" w:themeColor="text1"/>
        </w:rPr>
        <w:tab/>
      </w:r>
      <w:r>
        <w:rPr>
          <w:color w:val="000000" w:themeColor="text1"/>
        </w:rPr>
        <w:t>(a)</w:t>
      </w:r>
      <w:r w:rsidRPr="00595E3D">
        <w:rPr>
          <w:color w:val="000000" w:themeColor="text1"/>
        </w:rPr>
        <w:tab/>
      </w:r>
      <w:r>
        <w:rPr>
          <w:color w:val="000000" w:themeColor="text1"/>
        </w:rPr>
        <w:t>inform the accredited person of the suspension or extension</w:t>
      </w:r>
      <w:r w:rsidRPr="00595E3D">
        <w:rPr>
          <w:color w:val="000000" w:themeColor="text1"/>
        </w:rPr>
        <w:t xml:space="preserve">; </w:t>
      </w:r>
      <w:r>
        <w:rPr>
          <w:color w:val="000000" w:themeColor="text1"/>
        </w:rPr>
        <w:t>and</w:t>
      </w:r>
    </w:p>
    <w:p w14:paraId="1DE15B2B" w14:textId="77777777" w:rsidR="00BB7660" w:rsidRPr="00B6392A" w:rsidRDefault="00BB7660" w:rsidP="00BB7660">
      <w:pPr>
        <w:pStyle w:val="paragraph"/>
      </w:pPr>
      <w:r w:rsidRPr="00595E3D">
        <w:rPr>
          <w:color w:val="000000" w:themeColor="text1"/>
        </w:rPr>
        <w:tab/>
      </w:r>
      <w:r>
        <w:rPr>
          <w:color w:val="000000" w:themeColor="text1"/>
        </w:rPr>
        <w:t>(b)</w:t>
      </w:r>
      <w:r w:rsidRPr="00595E3D">
        <w:rPr>
          <w:color w:val="000000" w:themeColor="text1"/>
        </w:rPr>
        <w:tab/>
      </w:r>
      <w:r>
        <w:rPr>
          <w:color w:val="000000" w:themeColor="text1"/>
        </w:rPr>
        <w:t>give the accredited person a reasonable opportunity to be heard in relation to whether the suspension should be removed</w:t>
      </w:r>
      <w:r w:rsidRPr="00595E3D">
        <w:rPr>
          <w:color w:val="000000" w:themeColor="text1"/>
        </w:rPr>
        <w:t>.</w:t>
      </w:r>
    </w:p>
    <w:p w14:paraId="697349AD" w14:textId="77777777" w:rsidR="00BB7660" w:rsidRPr="007E69B9" w:rsidRDefault="00BB7660" w:rsidP="00BB7660">
      <w:pPr>
        <w:pStyle w:val="ActHead5"/>
      </w:pPr>
      <w:bookmarkStart w:id="475" w:name="_Toc11771651"/>
      <w:bookmarkStart w:id="476" w:name="_Toc111132166"/>
      <w:r>
        <w:lastRenderedPageBreak/>
        <w:t>5.22</w:t>
      </w:r>
      <w:r w:rsidRPr="007E69B9">
        <w:t xml:space="preserve">  When </w:t>
      </w:r>
      <w:r w:rsidRPr="00005026">
        <w:t xml:space="preserve">surrender, </w:t>
      </w:r>
      <w:r w:rsidRPr="007E69B9">
        <w:t>revocation or suspension takes effect</w:t>
      </w:r>
      <w:bookmarkEnd w:id="475"/>
      <w:bookmarkEnd w:id="476"/>
    </w:p>
    <w:p w14:paraId="06DE4F83" w14:textId="77777777" w:rsidR="00BB7660" w:rsidRDefault="00BB7660" w:rsidP="00BB7660">
      <w:pPr>
        <w:pStyle w:val="subsection"/>
      </w:pPr>
      <w:r w:rsidRPr="00005026">
        <w:tab/>
      </w:r>
      <w:r w:rsidRPr="00005026">
        <w:tab/>
        <w:t>A surrender, revocation or suspension takes effect when the fact that the accreditation has been surrendered, revoked or suspended is included in the Register of Accredited Persons.</w:t>
      </w:r>
    </w:p>
    <w:p w14:paraId="199D0A04" w14:textId="77777777" w:rsidR="00BB7660" w:rsidRDefault="00BB7660" w:rsidP="00BB7660">
      <w:pPr>
        <w:pStyle w:val="ActHead5"/>
      </w:pPr>
      <w:bookmarkStart w:id="477" w:name="_Toc11771653"/>
      <w:bookmarkStart w:id="478" w:name="_Toc111132167"/>
      <w:r>
        <w:t>5.23</w:t>
      </w:r>
      <w:r w:rsidRPr="00A10C92">
        <w:t xml:space="preserve">  Consequences of surrender, suspension or revocation of accreditation</w:t>
      </w:r>
      <w:bookmarkEnd w:id="477"/>
      <w:bookmarkEnd w:id="478"/>
    </w:p>
    <w:p w14:paraId="3896027C" w14:textId="77777777" w:rsidR="00BB7660" w:rsidRPr="002C34FA" w:rsidRDefault="00BB7660" w:rsidP="00BB7660">
      <w:pPr>
        <w:pStyle w:val="SubsectionHead"/>
      </w:pPr>
      <w:r w:rsidRPr="002C34FA">
        <w:t>Application of rule</w:t>
      </w:r>
    </w:p>
    <w:p w14:paraId="6DEA3060" w14:textId="77777777" w:rsidR="00BB7660" w:rsidRDefault="00BB7660" w:rsidP="00BB7660">
      <w:pPr>
        <w:pStyle w:val="subsection"/>
      </w:pPr>
      <w:r>
        <w:tab/>
        <w:t>(1)</w:t>
      </w:r>
      <w:r>
        <w:tab/>
        <w:t xml:space="preserve">This rule applies if an accredited person’s accreditation is </w:t>
      </w:r>
      <w:r w:rsidRPr="006F4A42">
        <w:t xml:space="preserve">surrendered, </w:t>
      </w:r>
      <w:r>
        <w:t>suspended or revoked.</w:t>
      </w:r>
    </w:p>
    <w:p w14:paraId="4C4ED134" w14:textId="77777777" w:rsidR="00BB7660" w:rsidRPr="002C34FA" w:rsidRDefault="00BB7660" w:rsidP="00BB7660">
      <w:pPr>
        <w:pStyle w:val="SubsectionHead"/>
      </w:pPr>
      <w:r w:rsidRPr="002C34FA">
        <w:t>O</w:t>
      </w:r>
      <w:r w:rsidRPr="00005026">
        <w:t>ngoing o</w:t>
      </w:r>
      <w:r w:rsidRPr="002C34FA">
        <w:t xml:space="preserve">bligations </w:t>
      </w:r>
      <w:r w:rsidRPr="00005026">
        <w:t>following surrender, suspension or revocation of an accreditation</w:t>
      </w:r>
    </w:p>
    <w:p w14:paraId="06BC9B53" w14:textId="77777777" w:rsidR="00BB7660" w:rsidRPr="00E1300D" w:rsidRDefault="00BB7660" w:rsidP="00BB7660">
      <w:pPr>
        <w:pStyle w:val="subsection"/>
        <w:rPr>
          <w:color w:val="000000" w:themeColor="text1"/>
        </w:rPr>
      </w:pPr>
      <w:r>
        <w:tab/>
        <w:t>(2)</w:t>
      </w:r>
      <w:r>
        <w:tab/>
      </w:r>
      <w:r w:rsidRPr="00E1300D">
        <w:rPr>
          <w:color w:val="000000" w:themeColor="text1"/>
        </w:rPr>
        <w:t>If the person’s accreditation has been surrendered or revoked, the person must comply with the following provisions as if the person still were an accredited data recipient:</w:t>
      </w:r>
    </w:p>
    <w:p w14:paraId="0C9F740E"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(a)</w:t>
      </w:r>
      <w:r w:rsidRPr="00E1300D">
        <w:rPr>
          <w:color w:val="000000" w:themeColor="text1"/>
        </w:rPr>
        <w:tab/>
        <w:t>section 56EI of the Act (privacy safeguard 6);</w:t>
      </w:r>
    </w:p>
    <w:p w14:paraId="5C33F9B4"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(b)</w:t>
      </w:r>
      <w:r w:rsidRPr="00E1300D">
        <w:rPr>
          <w:color w:val="000000" w:themeColor="text1"/>
        </w:rPr>
        <w:tab/>
        <w:t>section 56EJ of the Act (privacy safeguard 7);</w:t>
      </w:r>
    </w:p>
    <w:p w14:paraId="50FF4635" w14:textId="77777777" w:rsidR="00BB7660" w:rsidRPr="00E1300D" w:rsidRDefault="00BB7660" w:rsidP="00BB7660">
      <w:pPr>
        <w:pStyle w:val="paragraph"/>
        <w:rPr>
          <w:color w:val="000000" w:themeColor="text1"/>
        </w:rPr>
      </w:pPr>
      <w:r w:rsidRPr="00E1300D">
        <w:rPr>
          <w:color w:val="000000" w:themeColor="text1"/>
        </w:rPr>
        <w:tab/>
      </w:r>
      <w:r>
        <w:rPr>
          <w:color w:val="000000" w:themeColor="text1"/>
        </w:rPr>
        <w:t>(c)</w:t>
      </w:r>
      <w:r w:rsidRPr="00E1300D">
        <w:rPr>
          <w:color w:val="000000" w:themeColor="text1"/>
        </w:rPr>
        <w:tab/>
        <w:t>section 56EO of the Act (privacy safeguard 12).</w:t>
      </w:r>
    </w:p>
    <w:p w14:paraId="6C353498" w14:textId="77777777" w:rsidR="00BB7660" w:rsidRPr="00E1300D" w:rsidRDefault="00BB7660" w:rsidP="00BB7660">
      <w:pPr>
        <w:pStyle w:val="notetext"/>
        <w:rPr>
          <w:color w:val="000000" w:themeColor="text1"/>
        </w:rPr>
      </w:pPr>
      <w:r w:rsidRPr="00E1300D">
        <w:rPr>
          <w:color w:val="000000" w:themeColor="text1"/>
        </w:rPr>
        <w:t>Note:</w:t>
      </w:r>
      <w:r w:rsidRPr="00E1300D">
        <w:rPr>
          <w:color w:val="000000" w:themeColor="text1"/>
        </w:rPr>
        <w:tab/>
        <w:t xml:space="preserve">This subrule </w:t>
      </w:r>
      <w:r>
        <w:rPr>
          <w:color w:val="000000" w:themeColor="text1"/>
        </w:rPr>
        <w:t xml:space="preserve">is </w:t>
      </w:r>
      <w:r w:rsidRPr="00E1300D">
        <w:rPr>
          <w:color w:val="000000" w:themeColor="text1"/>
        </w:rPr>
        <w:t>a civil penalty provision (see rule </w:t>
      </w:r>
      <w:r>
        <w:rPr>
          <w:color w:val="000000" w:themeColor="text1"/>
        </w:rPr>
        <w:t>9.8</w:t>
      </w:r>
      <w:r w:rsidRPr="00E1300D">
        <w:rPr>
          <w:color w:val="000000" w:themeColor="text1"/>
        </w:rPr>
        <w:t>).</w:t>
      </w:r>
    </w:p>
    <w:p w14:paraId="502FA726" w14:textId="77777777" w:rsidR="00BB7660" w:rsidRDefault="00BB7660" w:rsidP="00BB7660">
      <w:pPr>
        <w:pStyle w:val="subsection"/>
      </w:pPr>
      <w:r>
        <w:tab/>
        <w:t>(3)</w:t>
      </w:r>
      <w:r>
        <w:tab/>
        <w:t>The person:</w:t>
      </w:r>
    </w:p>
    <w:p w14:paraId="4F2C476D" w14:textId="77777777" w:rsidR="00BB7660" w:rsidRDefault="00BB7660" w:rsidP="00BB7660">
      <w:pPr>
        <w:pStyle w:val="paragraph"/>
      </w:pPr>
      <w:r>
        <w:tab/>
        <w:t>(a)</w:t>
      </w:r>
      <w:r>
        <w:tab/>
        <w:t>must not</w:t>
      </w:r>
      <w:r w:rsidRPr="000C3240">
        <w:rPr>
          <w:color w:val="000000" w:themeColor="text1"/>
        </w:rPr>
        <w:t xml:space="preserve">, after the revocation </w:t>
      </w:r>
      <w:r>
        <w:rPr>
          <w:color w:val="000000" w:themeColor="text1"/>
        </w:rPr>
        <w:t xml:space="preserve">or surrender, </w:t>
      </w:r>
      <w:r w:rsidRPr="000C3240">
        <w:rPr>
          <w:color w:val="000000" w:themeColor="text1"/>
        </w:rPr>
        <w:t xml:space="preserve">or while the </w:t>
      </w:r>
      <w:r w:rsidRPr="006F4A42">
        <w:t>accreditation</w:t>
      </w:r>
      <w:r w:rsidRPr="000C3240">
        <w:rPr>
          <w:color w:val="000000" w:themeColor="text1"/>
        </w:rPr>
        <w:t xml:space="preserve"> is suspended,</w:t>
      </w:r>
      <w:r>
        <w:t xml:space="preserve"> </w:t>
      </w:r>
      <w:r w:rsidRPr="007E69B9">
        <w:t xml:space="preserve">seek to </w:t>
      </w:r>
      <w:r w:rsidRPr="000C3240">
        <w:rPr>
          <w:color w:val="000000" w:themeColor="text1"/>
        </w:rPr>
        <w:t xml:space="preserve">collect </w:t>
      </w:r>
      <w:r>
        <w:t>any, or any further, CDR data under these rules; and</w:t>
      </w:r>
    </w:p>
    <w:p w14:paraId="70BD0CA4" w14:textId="77777777" w:rsidR="00BB7660" w:rsidRDefault="00BB7660" w:rsidP="00BB7660">
      <w:pPr>
        <w:pStyle w:val="paragraph"/>
      </w:pPr>
      <w:r>
        <w:tab/>
        <w:t>(b)</w:t>
      </w:r>
      <w:r>
        <w:tab/>
        <w:t xml:space="preserve">if the person has collected any CDR data under these rules—must notify </w:t>
      </w:r>
      <w:r w:rsidRPr="000C3240">
        <w:rPr>
          <w:color w:val="000000" w:themeColor="text1"/>
        </w:rPr>
        <w:t xml:space="preserve">each </w:t>
      </w:r>
      <w:r>
        <w:t>person who has consented to the accredited person collecting CDR data for which they are a CDR consumer:</w:t>
      </w:r>
    </w:p>
    <w:p w14:paraId="1F9AECEF" w14:textId="77777777" w:rsidR="00BB7660" w:rsidRDefault="00BB7660" w:rsidP="00BB7660">
      <w:pPr>
        <w:pStyle w:val="paragraphsub"/>
      </w:pPr>
      <w:r>
        <w:tab/>
        <w:t>(i)</w:t>
      </w:r>
      <w:r>
        <w:tab/>
        <w:t xml:space="preserve">that their accreditation has been </w:t>
      </w:r>
      <w:r w:rsidRPr="006F4A42">
        <w:t xml:space="preserve">surrendered, </w:t>
      </w:r>
      <w:r>
        <w:t>suspended or revoked, as the case may be; and</w:t>
      </w:r>
    </w:p>
    <w:p w14:paraId="15806252" w14:textId="77777777" w:rsidR="00BB7660" w:rsidRPr="003F3AC9" w:rsidRDefault="00BB7660" w:rsidP="00BB7660">
      <w:pPr>
        <w:pStyle w:val="paragraphsub"/>
      </w:pPr>
      <w:r>
        <w:tab/>
        <w:t>(ii)</w:t>
      </w:r>
      <w:r>
        <w:tab/>
        <w:t>in the case of a suspension—</w:t>
      </w:r>
      <w:r w:rsidRPr="003F3AC9">
        <w:t>of the following:</w:t>
      </w:r>
    </w:p>
    <w:p w14:paraId="7948A0ED" w14:textId="77777777" w:rsidR="00BB7660" w:rsidRPr="003F3AC9" w:rsidRDefault="00BB7660" w:rsidP="00BB7660">
      <w:pPr>
        <w:pStyle w:val="paragraphsub-sub"/>
      </w:pPr>
      <w:r w:rsidRPr="003F3AC9">
        <w:tab/>
      </w:r>
      <w:r>
        <w:t>(A)</w:t>
      </w:r>
      <w:r w:rsidRPr="003F3AC9">
        <w:tab/>
        <w:t>that any consents to collect and to use CDR data may be withdrawn at any time; and</w:t>
      </w:r>
    </w:p>
    <w:p w14:paraId="7252ACB0" w14:textId="77777777" w:rsidR="00BB7660" w:rsidRDefault="00BB7660" w:rsidP="00BB7660">
      <w:pPr>
        <w:pStyle w:val="paragraphsub-sub"/>
      </w:pPr>
      <w:r w:rsidRPr="003F3AC9">
        <w:tab/>
      </w:r>
      <w:r>
        <w:t>(B)</w:t>
      </w:r>
      <w:r w:rsidRPr="003F3AC9">
        <w:tab/>
        <w:t>the effect of any such withdrawal</w:t>
      </w:r>
      <w:r>
        <w:t>.</w:t>
      </w:r>
    </w:p>
    <w:p w14:paraId="68B7E13C" w14:textId="77777777" w:rsidR="00BB7660" w:rsidRPr="003F3AC9" w:rsidRDefault="00BB7660" w:rsidP="00BB7660">
      <w:pPr>
        <w:pStyle w:val="notetext"/>
      </w:pPr>
      <w:r w:rsidRPr="003F3AC9">
        <w:t xml:space="preserve">Note 1: </w:t>
      </w:r>
      <w:r w:rsidRPr="003F3AC9">
        <w:tab/>
        <w:t>If an accredited person’s accreditation is suspended, they remain an accredited person, and continue to be subject to the obligations of an accredited person whose accreditation has not been suspended.</w:t>
      </w:r>
    </w:p>
    <w:p w14:paraId="71489A07" w14:textId="77777777" w:rsidR="00BB7660" w:rsidRPr="00E1300D" w:rsidRDefault="00BB7660" w:rsidP="00BB7660">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0949F994" w14:textId="77777777" w:rsidR="00BB7660" w:rsidRDefault="00BB7660" w:rsidP="00BB7660">
      <w:pPr>
        <w:pStyle w:val="subsection"/>
      </w:pPr>
      <w:r>
        <w:tab/>
        <w:t>(4)</w:t>
      </w:r>
      <w:r>
        <w:tab/>
        <w:t>If:</w:t>
      </w:r>
    </w:p>
    <w:p w14:paraId="75F86021" w14:textId="77777777" w:rsidR="00BB7660" w:rsidRDefault="00BB7660" w:rsidP="00BB7660">
      <w:pPr>
        <w:pStyle w:val="paragraph"/>
      </w:pPr>
      <w:r>
        <w:tab/>
        <w:t>(a)</w:t>
      </w:r>
      <w:r>
        <w:tab/>
        <w:t xml:space="preserve">the person’s accreditation has been </w:t>
      </w:r>
      <w:r w:rsidRPr="006F4A42">
        <w:t xml:space="preserve">surrendered or </w:t>
      </w:r>
      <w:r>
        <w:t>revoked; and</w:t>
      </w:r>
    </w:p>
    <w:p w14:paraId="548CC920" w14:textId="77777777" w:rsidR="00BB7660" w:rsidRPr="00B24FE2" w:rsidRDefault="00BB7660" w:rsidP="00BB7660">
      <w:pPr>
        <w:pStyle w:val="paragraph"/>
      </w:pPr>
      <w:r>
        <w:tab/>
        <w:t>(b)</w:t>
      </w:r>
      <w:r>
        <w:tab/>
        <w:t xml:space="preserve">the person has </w:t>
      </w:r>
      <w:r w:rsidRPr="000C3240">
        <w:rPr>
          <w:color w:val="000000" w:themeColor="text1"/>
        </w:rPr>
        <w:t xml:space="preserve">collected </w:t>
      </w:r>
      <w:r>
        <w:t xml:space="preserve">CDR data under these rules; </w:t>
      </w:r>
      <w:r w:rsidRPr="00B24FE2">
        <w:t>and</w:t>
      </w:r>
    </w:p>
    <w:p w14:paraId="380CA346" w14:textId="77777777" w:rsidR="00BB7660" w:rsidRPr="00005026" w:rsidRDefault="00BB7660" w:rsidP="00BB7660">
      <w:pPr>
        <w:pStyle w:val="paragraph"/>
      </w:pPr>
      <w:r>
        <w:tab/>
        <w:t>(c)</w:t>
      </w:r>
      <w:r w:rsidRPr="00B24FE2">
        <w:tab/>
        <w:t xml:space="preserve">the person is not required to </w:t>
      </w:r>
      <w:r w:rsidRPr="00B24FE2">
        <w:rPr>
          <w:szCs w:val="22"/>
          <w:shd w:val="clear" w:color="auto" w:fill="FFFFFF"/>
        </w:rPr>
        <w:t>retain that CDR data by or under an Australian law or a court/tribunal order;</w:t>
      </w:r>
      <w:r w:rsidRPr="00B24FE2">
        <w:t xml:space="preserve"> </w:t>
      </w:r>
      <w:r w:rsidRPr="00005026">
        <w:t>and</w:t>
      </w:r>
    </w:p>
    <w:p w14:paraId="57E07551" w14:textId="77777777" w:rsidR="00BB7660" w:rsidRPr="00005026" w:rsidRDefault="00BB7660" w:rsidP="00BB7660">
      <w:pPr>
        <w:pStyle w:val="paragraph"/>
      </w:pPr>
      <w:r w:rsidRPr="00005026">
        <w:tab/>
      </w:r>
      <w:r>
        <w:t>(d)</w:t>
      </w:r>
      <w:r w:rsidRPr="00005026">
        <w:tab/>
        <w:t>the CDR data does not relate to any current or anticipated:</w:t>
      </w:r>
    </w:p>
    <w:p w14:paraId="590189CD" w14:textId="77777777" w:rsidR="00BB7660" w:rsidRPr="00005026" w:rsidRDefault="00BB7660" w:rsidP="00BB7660">
      <w:pPr>
        <w:pStyle w:val="paragraphsub"/>
      </w:pPr>
      <w:r w:rsidRPr="00005026">
        <w:lastRenderedPageBreak/>
        <w:tab/>
      </w:r>
      <w:r>
        <w:t>(i)</w:t>
      </w:r>
      <w:r w:rsidRPr="00005026">
        <w:tab/>
        <w:t>legal proceedings; or</w:t>
      </w:r>
    </w:p>
    <w:p w14:paraId="2B107476" w14:textId="77777777" w:rsidR="00BB7660" w:rsidRPr="00005026" w:rsidRDefault="00BB7660" w:rsidP="00BB7660">
      <w:pPr>
        <w:pStyle w:val="paragraphsub"/>
      </w:pPr>
      <w:r w:rsidRPr="00005026">
        <w:tab/>
      </w:r>
      <w:r>
        <w:t>(ii)</w:t>
      </w:r>
      <w:r w:rsidRPr="00005026">
        <w:tab/>
        <w:t>dispute resolution proceedings;</w:t>
      </w:r>
    </w:p>
    <w:p w14:paraId="3150976E" w14:textId="77777777" w:rsidR="00BB7660" w:rsidRDefault="00BB7660" w:rsidP="00BB7660">
      <w:pPr>
        <w:pStyle w:val="paragraph"/>
      </w:pPr>
      <w:r w:rsidRPr="00005026">
        <w:tab/>
      </w:r>
      <w:r w:rsidRPr="00005026">
        <w:tab/>
        <w:t>to which the person is a party;</w:t>
      </w:r>
      <w:r>
        <w:t xml:space="preserve"> and</w:t>
      </w:r>
    </w:p>
    <w:p w14:paraId="7BCE1227" w14:textId="77777777" w:rsidR="00BB7660" w:rsidRDefault="00BB7660" w:rsidP="00BB7660">
      <w:pPr>
        <w:pStyle w:val="paragraph"/>
      </w:pPr>
      <w:r>
        <w:tab/>
        <w:t>(e)</w:t>
      </w:r>
      <w:r>
        <w:tab/>
        <w:t>where there is a CDR consumer for the CDR data, the CDR data does not relate to any current or anticipated:</w:t>
      </w:r>
    </w:p>
    <w:p w14:paraId="2B9B4F0A" w14:textId="77777777" w:rsidR="00BB7660" w:rsidRDefault="00BB7660" w:rsidP="00BB7660">
      <w:pPr>
        <w:pStyle w:val="paragraphsub"/>
      </w:pPr>
      <w:r>
        <w:tab/>
        <w:t>(i)</w:t>
      </w:r>
      <w:r>
        <w:tab/>
        <w:t>legal proceedings; or</w:t>
      </w:r>
    </w:p>
    <w:p w14:paraId="003409A1" w14:textId="77777777" w:rsidR="00BB7660" w:rsidRDefault="00BB7660" w:rsidP="00BB7660">
      <w:pPr>
        <w:pStyle w:val="paragraphsub"/>
      </w:pPr>
      <w:r>
        <w:tab/>
        <w:t>(ii)</w:t>
      </w:r>
      <w:r>
        <w:tab/>
        <w:t>dispute resolution proceedings;</w:t>
      </w:r>
    </w:p>
    <w:p w14:paraId="6762148B" w14:textId="77777777" w:rsidR="00BB7660" w:rsidRPr="00005026" w:rsidRDefault="00BB7660" w:rsidP="00BB7660">
      <w:pPr>
        <w:pStyle w:val="paragraph"/>
      </w:pPr>
      <w:r>
        <w:tab/>
      </w:r>
      <w:r>
        <w:tab/>
      </w:r>
      <w:r w:rsidRPr="00357921">
        <w:t>to which the CDR consumer is a party;</w:t>
      </w:r>
    </w:p>
    <w:p w14:paraId="38BAF509" w14:textId="77777777" w:rsidR="00BB7660" w:rsidRDefault="00BB7660" w:rsidP="00BB7660">
      <w:pPr>
        <w:pStyle w:val="subsection"/>
        <w:spacing w:before="40"/>
      </w:pPr>
      <w:r w:rsidRPr="00005026">
        <w:tab/>
      </w:r>
      <w:r w:rsidRPr="00005026">
        <w:tab/>
        <w:t xml:space="preserve">the person must </w:t>
      </w:r>
      <w:r>
        <w:t>delete</w:t>
      </w:r>
      <w:r w:rsidRPr="00005026">
        <w:t xml:space="preserve"> or de</w:t>
      </w:r>
      <w:r w:rsidRPr="00005026">
        <w:noBreakHyphen/>
        <w:t xml:space="preserve">identify that data by taking the steps specified in </w:t>
      </w:r>
      <w:r w:rsidRPr="00086F26">
        <w:t>rule </w:t>
      </w:r>
      <w:r>
        <w:t>7.12 or 7.13</w:t>
      </w:r>
      <w:r w:rsidRPr="00086F26">
        <w:t>, as appropriate</w:t>
      </w:r>
      <w:r w:rsidRPr="00005026">
        <w:t>.</w:t>
      </w:r>
    </w:p>
    <w:p w14:paraId="775728A4" w14:textId="77777777" w:rsidR="00BB7660" w:rsidRPr="00DA031E" w:rsidRDefault="00BB7660" w:rsidP="00BB7660">
      <w:pPr>
        <w:pStyle w:val="notetext"/>
      </w:pPr>
      <w:r w:rsidRPr="00DA031E">
        <w:t>Note</w:t>
      </w:r>
      <w:r>
        <w:t xml:space="preserve"> 1</w:t>
      </w:r>
      <w:r w:rsidRPr="00DA031E">
        <w:t>:</w:t>
      </w:r>
      <w:r w:rsidRPr="00DA031E">
        <w:tab/>
        <w:t>In addition:</w:t>
      </w:r>
    </w:p>
    <w:p w14:paraId="65BF1BA1" w14:textId="77777777" w:rsidR="00BB7660" w:rsidRDefault="00BB7660" w:rsidP="00BB7660">
      <w:pPr>
        <w:pStyle w:val="notepara"/>
      </w:pPr>
      <w:r w:rsidRPr="00DA031E">
        <w:sym w:font="Symbol" w:char="F0B7"/>
      </w:r>
      <w:r w:rsidRPr="00DA031E">
        <w:tab/>
        <w:t>if an accreditation is revoked</w:t>
      </w:r>
      <w:r>
        <w:t xml:space="preserve"> or surrendered:</w:t>
      </w:r>
    </w:p>
    <w:p w14:paraId="6F93D9A9" w14:textId="77777777" w:rsidR="00BB7660" w:rsidRDefault="00BB7660" w:rsidP="00BB7660">
      <w:pPr>
        <w:pStyle w:val="notepara"/>
        <w:ind w:left="2921"/>
      </w:pPr>
      <w:r>
        <w:t>–</w:t>
      </w:r>
      <w:r>
        <w:tab/>
      </w:r>
      <w:r w:rsidRPr="00DA031E">
        <w:t>any consents to collect</w:t>
      </w:r>
      <w:r>
        <w:t xml:space="preserve"> </w:t>
      </w:r>
      <w:r w:rsidRPr="00E1300D">
        <w:rPr>
          <w:color w:val="000000" w:themeColor="text1"/>
        </w:rPr>
        <w:t>and use</w:t>
      </w:r>
      <w:r w:rsidRPr="00DA031E">
        <w:t xml:space="preserve"> CDR data expire: see</w:t>
      </w:r>
      <w:r w:rsidRPr="009F28B3">
        <w:t xml:space="preserve"> </w:t>
      </w:r>
      <w:r w:rsidRPr="004A04A4">
        <w:rPr>
          <w:color w:val="0000FF"/>
        </w:rPr>
        <w:t>subrules 4.14(2) and 4</w:t>
      </w:r>
      <w:r w:rsidR="0034635F">
        <w:rPr>
          <w:color w:val="0000FF"/>
        </w:rPr>
        <w:t>.20K</w:t>
      </w:r>
      <w:r w:rsidRPr="004A04A4">
        <w:rPr>
          <w:color w:val="0000FF"/>
        </w:rPr>
        <w:t>(2)</w:t>
      </w:r>
      <w:r w:rsidR="00BC1D87" w:rsidRPr="00BC1D87">
        <w:rPr>
          <w:strike/>
          <w:color w:val="0000FF"/>
        </w:rPr>
        <w:t xml:space="preserve"> subrule 4.14(2)</w:t>
      </w:r>
      <w:r w:rsidRPr="00DA031E">
        <w:t>; and</w:t>
      </w:r>
    </w:p>
    <w:p w14:paraId="161210FF" w14:textId="77777777" w:rsidR="00BB7660" w:rsidRDefault="00BB7660" w:rsidP="00BB7660">
      <w:pPr>
        <w:pStyle w:val="notepara"/>
        <w:ind w:left="2921"/>
      </w:pPr>
      <w:r>
        <w:t>–</w:t>
      </w:r>
      <w:r>
        <w:tab/>
        <w:t>any authorisations to disclose CDR data expire: see subrule 4.26(2); and</w:t>
      </w:r>
    </w:p>
    <w:p w14:paraId="4E22CFFE" w14:textId="77777777" w:rsidR="00BB7660" w:rsidRDefault="00BB7660" w:rsidP="00BB7660">
      <w:pPr>
        <w:pStyle w:val="notepara"/>
      </w:pPr>
      <w:r w:rsidRPr="00712434">
        <w:sym w:font="Symbol" w:char="F0B7"/>
      </w:r>
      <w:r w:rsidRPr="00712434">
        <w:tab/>
        <w:t>if an accreditation is suspended, the accredited person is not able to collect data while the suspension is in effect.</w:t>
      </w:r>
    </w:p>
    <w:p w14:paraId="28921672" w14:textId="77777777" w:rsidR="00BB7660" w:rsidRDefault="00BB7660" w:rsidP="00BB7660">
      <w:pPr>
        <w:pStyle w:val="notetext"/>
        <w:rPr>
          <w:color w:val="000000" w:themeColor="text1"/>
        </w:rPr>
      </w:pPr>
      <w:r w:rsidRPr="003F3AC9">
        <w:t>Note 2:</w:t>
      </w:r>
      <w:r w:rsidRPr="003F3AC9">
        <w:tab/>
        <w:t xml:space="preserve">This subrule </w:t>
      </w:r>
      <w:r>
        <w:t xml:space="preserve">is </w:t>
      </w:r>
      <w:r w:rsidRPr="003F3AC9">
        <w:t>a civil penalty provision (see rule </w:t>
      </w:r>
      <w:r>
        <w:t>9.8</w:t>
      </w:r>
      <w:r w:rsidRPr="00E1300D">
        <w:rPr>
          <w:color w:val="000000" w:themeColor="text1"/>
        </w:rPr>
        <w:t>).</w:t>
      </w:r>
    </w:p>
    <w:p w14:paraId="0773DEB9" w14:textId="77777777" w:rsidR="00BB7660" w:rsidRDefault="00BB7660" w:rsidP="00BB7660">
      <w:pPr>
        <w:pStyle w:val="subsection"/>
      </w:pPr>
      <w:r>
        <w:tab/>
        <w:t>(5)</w:t>
      </w:r>
      <w:r>
        <w:tab/>
        <w:t>For the purposes of paragraph (4)(e), if paragraphs (4)(a) to (d) apply in relation to the CDR data of the CDR consumer, the person may:</w:t>
      </w:r>
    </w:p>
    <w:p w14:paraId="03340161" w14:textId="77777777" w:rsidR="00BB7660" w:rsidRDefault="00BB7660" w:rsidP="00BB7660">
      <w:pPr>
        <w:pStyle w:val="paragraph"/>
      </w:pPr>
      <w:r>
        <w:tab/>
        <w:t>(a)</w:t>
      </w:r>
      <w:r>
        <w:tab/>
        <w:t>request the CDR consumer to state whether or not such proceedings are current or anticipated; and</w:t>
      </w:r>
    </w:p>
    <w:p w14:paraId="7D25931E" w14:textId="77777777" w:rsidR="00BB7660" w:rsidRPr="00E1300D" w:rsidRDefault="00BB7660" w:rsidP="00BB7660">
      <w:pPr>
        <w:pStyle w:val="paragraph"/>
        <w:rPr>
          <w:color w:val="000000" w:themeColor="text1"/>
        </w:rPr>
      </w:pPr>
      <w:r>
        <w:tab/>
        <w:t>(b)</w:t>
      </w:r>
      <w:r>
        <w:tab/>
        <w:t>rely on that statement.</w:t>
      </w:r>
    </w:p>
    <w:p w14:paraId="2589DE8A" w14:textId="77777777" w:rsidR="00BB7660" w:rsidRDefault="00BB7660" w:rsidP="00BB7660">
      <w:pPr>
        <w:pStyle w:val="ActHead3"/>
        <w:pageBreakBefore/>
      </w:pPr>
      <w:bookmarkStart w:id="479" w:name="_Toc11771655"/>
      <w:bookmarkStart w:id="480" w:name="_Toc111132168"/>
      <w:r>
        <w:lastRenderedPageBreak/>
        <w:t>Division 5.3—Rules relating to Register of Accredited Persons</w:t>
      </w:r>
      <w:bookmarkEnd w:id="479"/>
      <w:bookmarkEnd w:id="480"/>
    </w:p>
    <w:p w14:paraId="352B0942" w14:textId="77777777" w:rsidR="00BB7660" w:rsidRDefault="00BB7660" w:rsidP="00BB7660">
      <w:pPr>
        <w:pStyle w:val="ActHead5"/>
      </w:pPr>
      <w:bookmarkStart w:id="481" w:name="_Toc11771656"/>
      <w:bookmarkStart w:id="482" w:name="_Toc111132169"/>
      <w:r>
        <w:t>5.24  Maintaining the Register of Accredited Persons</w:t>
      </w:r>
      <w:bookmarkEnd w:id="481"/>
      <w:bookmarkEnd w:id="482"/>
    </w:p>
    <w:p w14:paraId="4F0EFA7F" w14:textId="77777777" w:rsidR="00BB7660" w:rsidRDefault="00BB7660" w:rsidP="00BB7660">
      <w:pPr>
        <w:pStyle w:val="subsection"/>
      </w:pPr>
      <w:r w:rsidRPr="001D69E9">
        <w:tab/>
      </w:r>
      <w:r w:rsidRPr="001D69E9">
        <w:tab/>
        <w:t xml:space="preserve">The </w:t>
      </w:r>
      <w:r>
        <w:t xml:space="preserve">Accreditation </w:t>
      </w:r>
      <w:r w:rsidRPr="001D69E9">
        <w:t>Registrar must enter the following details on the Register of Accredited Persons:</w:t>
      </w:r>
    </w:p>
    <w:p w14:paraId="0CACCBF5" w14:textId="77777777" w:rsidR="00BB7660" w:rsidRPr="007E69B9" w:rsidRDefault="00BB7660" w:rsidP="00BB7660">
      <w:pPr>
        <w:pStyle w:val="paragraph"/>
      </w:pPr>
      <w:r w:rsidRPr="007E69B9">
        <w:tab/>
      </w:r>
      <w:r>
        <w:t>(a)</w:t>
      </w:r>
      <w:r w:rsidRPr="007E69B9">
        <w:tab/>
        <w:t>the following details about the accredited person:</w:t>
      </w:r>
    </w:p>
    <w:p w14:paraId="5C19261B" w14:textId="77777777" w:rsidR="00BB7660" w:rsidRDefault="00BB7660" w:rsidP="00BB7660">
      <w:pPr>
        <w:pStyle w:val="paragraphsub"/>
      </w:pPr>
      <w:r w:rsidRPr="007E69B9">
        <w:tab/>
      </w:r>
      <w:r>
        <w:t>(i)</w:t>
      </w:r>
      <w:r w:rsidRPr="007E69B9">
        <w:tab/>
        <w:t>the accredited person’s name;</w:t>
      </w:r>
    </w:p>
    <w:p w14:paraId="4BD7CB2D" w14:textId="77777777" w:rsidR="00BB7660" w:rsidRPr="00E1300D" w:rsidRDefault="00BB7660" w:rsidP="00BB7660">
      <w:pPr>
        <w:pStyle w:val="paragraphsub"/>
        <w:rPr>
          <w:color w:val="000000" w:themeColor="text1"/>
        </w:rPr>
      </w:pPr>
      <w:r>
        <w:tab/>
      </w:r>
      <w:r>
        <w:rPr>
          <w:color w:val="000000" w:themeColor="text1"/>
        </w:rPr>
        <w:t>(ii)</w:t>
      </w:r>
      <w:r w:rsidRPr="00E1300D">
        <w:rPr>
          <w:color w:val="000000" w:themeColor="text1"/>
        </w:rPr>
        <w:tab/>
        <w:t>the accredited person’s accreditation number;</w:t>
      </w:r>
    </w:p>
    <w:p w14:paraId="309A505F" w14:textId="77777777" w:rsidR="00BB7660" w:rsidRPr="007E69B9" w:rsidRDefault="00BB7660" w:rsidP="00BB7660">
      <w:pPr>
        <w:pStyle w:val="paragraphsub"/>
      </w:pPr>
      <w:r w:rsidRPr="007E69B9">
        <w:tab/>
      </w:r>
      <w:r>
        <w:t>(iii)</w:t>
      </w:r>
      <w:r w:rsidRPr="007E69B9">
        <w:tab/>
        <w:t>the accredited person’s address</w:t>
      </w:r>
      <w:r>
        <w:t>es</w:t>
      </w:r>
      <w:r w:rsidRPr="007E69B9">
        <w:t xml:space="preserve"> for service;</w:t>
      </w:r>
    </w:p>
    <w:p w14:paraId="2B0A09E1" w14:textId="77777777" w:rsidR="00BB7660" w:rsidRPr="007E69B9" w:rsidRDefault="00BB7660" w:rsidP="00BB7660">
      <w:pPr>
        <w:pStyle w:val="paragraphsub"/>
      </w:pPr>
      <w:r w:rsidRPr="007E69B9">
        <w:tab/>
      </w:r>
      <w:r>
        <w:t>(iv)</w:t>
      </w:r>
      <w:r w:rsidRPr="007E69B9">
        <w:tab/>
        <w:t>if the accredited person is a foreign entity—the name and address</w:t>
      </w:r>
      <w:r>
        <w:t>es</w:t>
      </w:r>
      <w:r w:rsidRPr="007E69B9">
        <w:t xml:space="preserve"> for service of the accredited person’s local agent;</w:t>
      </w:r>
    </w:p>
    <w:p w14:paraId="3B29CD83" w14:textId="77777777" w:rsidR="00BB7660" w:rsidRDefault="00BB7660" w:rsidP="00BB7660">
      <w:pPr>
        <w:pStyle w:val="paragraph"/>
      </w:pPr>
      <w:r>
        <w:tab/>
        <w:t>(b)</w:t>
      </w:r>
      <w:r>
        <w:tab/>
        <w:t>the level of the person’s accreditation;</w:t>
      </w:r>
    </w:p>
    <w:p w14:paraId="4DBDED16" w14:textId="77777777" w:rsidR="00BB7660" w:rsidRPr="00A00F6F" w:rsidRDefault="00BB7660" w:rsidP="00BB7660">
      <w:pPr>
        <w:pStyle w:val="paragraph"/>
      </w:pPr>
      <w:r w:rsidRPr="00A00F6F">
        <w:tab/>
        <w:t>(ba)</w:t>
      </w:r>
      <w:r w:rsidRPr="00A00F6F">
        <w:tab/>
        <w:t>for a person with sponsored accreditation—any sponsor;</w:t>
      </w:r>
    </w:p>
    <w:p w14:paraId="0A3D3E4F" w14:textId="77777777" w:rsidR="00BB7660" w:rsidRPr="00A00F6F" w:rsidRDefault="00BB7660" w:rsidP="00BB7660">
      <w:pPr>
        <w:pStyle w:val="paragraph"/>
      </w:pPr>
      <w:r w:rsidRPr="00A00F6F">
        <w:tab/>
        <w:t>(bb)</w:t>
      </w:r>
      <w:r w:rsidRPr="00A00F6F">
        <w:tab/>
        <w:t>for a sponsor—each affiliate;</w:t>
      </w:r>
    </w:p>
    <w:p w14:paraId="6A8C23F4" w14:textId="77777777" w:rsidR="00BB7660" w:rsidRPr="00A00F6F" w:rsidRDefault="00BB7660" w:rsidP="00BB7660">
      <w:pPr>
        <w:pStyle w:val="paragraph"/>
      </w:pPr>
      <w:r w:rsidRPr="00A00F6F">
        <w:tab/>
        <w:t>(bc)</w:t>
      </w:r>
      <w:r w:rsidRPr="00A00F6F">
        <w:tab/>
        <w:t>the name, ABN and business address of any CDR representative;</w:t>
      </w:r>
    </w:p>
    <w:p w14:paraId="1D4C3DE1" w14:textId="77777777" w:rsidR="00BB7660" w:rsidRPr="001D69E9" w:rsidRDefault="00BB7660" w:rsidP="00BB7660">
      <w:pPr>
        <w:pStyle w:val="paragraph"/>
      </w:pPr>
      <w:r>
        <w:tab/>
        <w:t>(c)</w:t>
      </w:r>
      <w:r w:rsidRPr="001D69E9">
        <w:tab/>
        <w:t xml:space="preserve">either: </w:t>
      </w:r>
    </w:p>
    <w:p w14:paraId="10EEAC58" w14:textId="77777777" w:rsidR="00BB7660" w:rsidRPr="001D69E9" w:rsidRDefault="00BB7660" w:rsidP="00BB7660">
      <w:pPr>
        <w:pStyle w:val="paragraphsub"/>
      </w:pPr>
      <w:r w:rsidRPr="001D69E9">
        <w:tab/>
      </w:r>
      <w:r>
        <w:t>(i)</w:t>
      </w:r>
      <w:r w:rsidRPr="001D69E9">
        <w:tab/>
        <w:t>any conditions on the accreditation; or</w:t>
      </w:r>
    </w:p>
    <w:p w14:paraId="2F566A03" w14:textId="77777777" w:rsidR="00BB7660" w:rsidRPr="001D69E9" w:rsidRDefault="00BB7660" w:rsidP="00BB7660">
      <w:pPr>
        <w:pStyle w:val="paragraphsub"/>
      </w:pPr>
      <w:r w:rsidRPr="001D69E9">
        <w:tab/>
      </w:r>
      <w:r>
        <w:t>(ii)</w:t>
      </w:r>
      <w:r w:rsidRPr="001D69E9">
        <w:tab/>
      </w:r>
      <w:r w:rsidRPr="001151F8">
        <w:t>if the Data Recipient Accreditor so directs—</w:t>
      </w:r>
      <w:r w:rsidRPr="001D69E9">
        <w:t>a description of the effect of any such conditions;</w:t>
      </w:r>
    </w:p>
    <w:p w14:paraId="212DB7DA" w14:textId="77777777" w:rsidR="00BB7660" w:rsidRDefault="00BB7660" w:rsidP="00BB7660">
      <w:pPr>
        <w:pStyle w:val="paragraph"/>
      </w:pPr>
      <w:r>
        <w:tab/>
        <w:t>(d)</w:t>
      </w:r>
      <w:r>
        <w:tab/>
        <w:t>if the accreditation has been revoked—</w:t>
      </w:r>
      <w:r w:rsidRPr="000C3240">
        <w:rPr>
          <w:color w:val="000000" w:themeColor="text1"/>
        </w:rPr>
        <w:t>that fact</w:t>
      </w:r>
      <w:r>
        <w:rPr>
          <w:color w:val="000000" w:themeColor="text1"/>
        </w:rPr>
        <w:t xml:space="preserve"> </w:t>
      </w:r>
      <w:r w:rsidRPr="000C3240">
        <w:rPr>
          <w:color w:val="000000" w:themeColor="text1"/>
        </w:rPr>
        <w:t>and the date of the revocation</w:t>
      </w:r>
      <w:r>
        <w:rPr>
          <w:color w:val="000000" w:themeColor="text1"/>
        </w:rPr>
        <w:t>;</w:t>
      </w:r>
    </w:p>
    <w:p w14:paraId="71F2F9F6" w14:textId="77777777" w:rsidR="00BB7660" w:rsidRPr="000C3240" w:rsidRDefault="00BB7660" w:rsidP="00BB7660">
      <w:pPr>
        <w:pStyle w:val="paragraph"/>
        <w:rPr>
          <w:color w:val="000000" w:themeColor="text1"/>
        </w:rPr>
      </w:pPr>
      <w:r>
        <w:tab/>
        <w:t>(e)</w:t>
      </w:r>
      <w:r>
        <w:tab/>
        <w:t>if the accreditation has been suspended—</w:t>
      </w:r>
      <w:r>
        <w:rPr>
          <w:color w:val="000000" w:themeColor="text1"/>
        </w:rPr>
        <w:t>that fact and</w:t>
      </w:r>
      <w:r w:rsidRPr="000C3240">
        <w:rPr>
          <w:color w:val="000000" w:themeColor="text1"/>
        </w:rPr>
        <w:t xml:space="preserve"> the </w:t>
      </w:r>
      <w:r>
        <w:rPr>
          <w:color w:val="000000" w:themeColor="text1"/>
        </w:rPr>
        <w:t>period of the suspension;</w:t>
      </w:r>
    </w:p>
    <w:p w14:paraId="116C556C" w14:textId="77777777" w:rsidR="00BB7660" w:rsidRPr="000C3240" w:rsidRDefault="00BB7660" w:rsidP="00BB7660">
      <w:pPr>
        <w:pStyle w:val="paragraph"/>
        <w:rPr>
          <w:color w:val="000000" w:themeColor="text1"/>
        </w:rPr>
      </w:pPr>
      <w:r w:rsidRPr="000C3240">
        <w:rPr>
          <w:color w:val="000000" w:themeColor="text1"/>
        </w:rPr>
        <w:tab/>
      </w:r>
      <w:r>
        <w:rPr>
          <w:color w:val="000000" w:themeColor="text1"/>
        </w:rPr>
        <w:t>(f)</w:t>
      </w:r>
      <w:r w:rsidRPr="000C3240">
        <w:rPr>
          <w:color w:val="000000" w:themeColor="text1"/>
        </w:rPr>
        <w:tab/>
        <w:t>if a decision to suspend an accreditation has been revoked, or the suspension otherwise is no longer in effect:</w:t>
      </w:r>
    </w:p>
    <w:p w14:paraId="0415B7E0" w14:textId="77777777" w:rsidR="00BB7660" w:rsidRPr="000C3240" w:rsidRDefault="00BB7660" w:rsidP="00BB7660">
      <w:pPr>
        <w:pStyle w:val="paragraphsub"/>
        <w:rPr>
          <w:color w:val="000000" w:themeColor="text1"/>
        </w:rPr>
      </w:pPr>
      <w:r w:rsidRPr="000C3240">
        <w:rPr>
          <w:color w:val="000000" w:themeColor="text1"/>
        </w:rPr>
        <w:tab/>
      </w:r>
      <w:r>
        <w:rPr>
          <w:color w:val="000000" w:themeColor="text1"/>
        </w:rPr>
        <w:t>(i)</w:t>
      </w:r>
      <w:r w:rsidRPr="000C3240">
        <w:rPr>
          <w:color w:val="000000" w:themeColor="text1"/>
        </w:rPr>
        <w:tab/>
        <w:t>that fact; and</w:t>
      </w:r>
    </w:p>
    <w:p w14:paraId="503BC339" w14:textId="77777777" w:rsidR="00BB7660" w:rsidRDefault="00BB7660" w:rsidP="00BB7660">
      <w:pPr>
        <w:pStyle w:val="paragraphsub"/>
        <w:rPr>
          <w:color w:val="000000" w:themeColor="text1"/>
        </w:rPr>
      </w:pPr>
      <w:r w:rsidRPr="000C3240">
        <w:rPr>
          <w:color w:val="000000" w:themeColor="text1"/>
        </w:rPr>
        <w:tab/>
      </w:r>
      <w:r>
        <w:rPr>
          <w:color w:val="000000" w:themeColor="text1"/>
        </w:rPr>
        <w:t>(ii)</w:t>
      </w:r>
      <w:r w:rsidRPr="000C3240">
        <w:rPr>
          <w:color w:val="000000" w:themeColor="text1"/>
        </w:rPr>
        <w:tab/>
        <w:t>the date from which the accreditation is once more in effect</w:t>
      </w:r>
      <w:r>
        <w:rPr>
          <w:color w:val="000000" w:themeColor="text1"/>
        </w:rPr>
        <w:t>;</w:t>
      </w:r>
    </w:p>
    <w:p w14:paraId="1FBD3A0D" w14:textId="77777777" w:rsidR="00BB7660" w:rsidRPr="001D69E9" w:rsidRDefault="00BB7660" w:rsidP="00BB7660">
      <w:pPr>
        <w:pStyle w:val="paragraph"/>
      </w:pPr>
      <w:r w:rsidRPr="001D69E9">
        <w:tab/>
      </w:r>
      <w:r>
        <w:t>(g)</w:t>
      </w:r>
      <w:r w:rsidRPr="001D69E9">
        <w:tab/>
        <w:t xml:space="preserve">if the accreditation is surrendered—that fact and the date of the surrender; </w:t>
      </w:r>
    </w:p>
    <w:p w14:paraId="3968BE1E" w14:textId="77777777" w:rsidR="00BB7660" w:rsidRPr="001D69E9" w:rsidRDefault="00BB7660" w:rsidP="00BB7660">
      <w:pPr>
        <w:pStyle w:val="paragraph"/>
      </w:pPr>
      <w:r w:rsidRPr="001D69E9">
        <w:tab/>
      </w:r>
      <w:r>
        <w:t>(h)</w:t>
      </w:r>
      <w:r w:rsidRPr="001D69E9">
        <w:tab/>
        <w:t xml:space="preserve">each brand name under which the accredited person provides goods or services where, in order to provide the good or service, the accredited person needs to access a CDR consumer’s CDR data; </w:t>
      </w:r>
    </w:p>
    <w:p w14:paraId="025263FD" w14:textId="77777777" w:rsidR="00BB7660" w:rsidRPr="001D08C5" w:rsidRDefault="00BB7660" w:rsidP="00BB7660">
      <w:pPr>
        <w:pStyle w:val="paragraph"/>
      </w:pPr>
      <w:r w:rsidRPr="001D08C5">
        <w:tab/>
      </w:r>
      <w:r>
        <w:t>(i)</w:t>
      </w:r>
      <w:r w:rsidRPr="001D08C5">
        <w:tab/>
        <w:t>a hyperlink to each of the following:</w:t>
      </w:r>
    </w:p>
    <w:p w14:paraId="2DD28148" w14:textId="77777777" w:rsidR="00BB7660" w:rsidRPr="001D08C5" w:rsidRDefault="00BB7660" w:rsidP="00BB7660">
      <w:pPr>
        <w:pStyle w:val="paragraphsub"/>
      </w:pPr>
      <w:r w:rsidRPr="001D08C5">
        <w:tab/>
      </w:r>
      <w:r>
        <w:t>(i)</w:t>
      </w:r>
      <w:r w:rsidRPr="001D08C5">
        <w:tab/>
        <w:t xml:space="preserve">the relevant web site address of the accredited person; </w:t>
      </w:r>
    </w:p>
    <w:p w14:paraId="7FB66C9D" w14:textId="77777777" w:rsidR="00BB7660" w:rsidRPr="001D08C5" w:rsidRDefault="00BB7660" w:rsidP="00BB7660">
      <w:pPr>
        <w:pStyle w:val="paragraphsub"/>
      </w:pPr>
      <w:r w:rsidRPr="001D08C5">
        <w:tab/>
      </w:r>
      <w:r>
        <w:t>(ii)</w:t>
      </w:r>
      <w:r w:rsidRPr="001D08C5">
        <w:tab/>
        <w:t xml:space="preserve">the accredited person’s CDR policy; </w:t>
      </w:r>
    </w:p>
    <w:p w14:paraId="1471C27E" w14:textId="77777777" w:rsidR="00BB7660" w:rsidRPr="001D08C5" w:rsidRDefault="00BB7660" w:rsidP="00BB7660">
      <w:pPr>
        <w:pStyle w:val="paragraphsub"/>
      </w:pPr>
      <w:r w:rsidRPr="001D08C5">
        <w:tab/>
      </w:r>
      <w:r>
        <w:t>(iii)</w:t>
      </w:r>
      <w:r w:rsidRPr="001D08C5">
        <w:tab/>
        <w:t>if the accredited person has a CDR policy for a brand name under which the accredited person provides goods or services where, in order to provide the good or service, the accredited person needs to access a CDR consumer’s CDR data―that policy.</w:t>
      </w:r>
    </w:p>
    <w:p w14:paraId="6B3F0E33" w14:textId="77777777" w:rsidR="00BB7660" w:rsidRPr="000C3240" w:rsidRDefault="00BB7660" w:rsidP="00BB7660">
      <w:pPr>
        <w:pStyle w:val="notetext"/>
        <w:rPr>
          <w:color w:val="000000" w:themeColor="text1"/>
        </w:rPr>
      </w:pPr>
      <w:r w:rsidRPr="006F4A42">
        <w:t>Note 1:</w:t>
      </w:r>
      <w:r w:rsidRPr="006F4A42">
        <w:tab/>
        <w:t>For paragraphs </w:t>
      </w:r>
      <w:r>
        <w:t>(a)</w:t>
      </w:r>
      <w:r w:rsidRPr="006F4A42">
        <w:t>, see rule </w:t>
      </w:r>
      <w:r>
        <w:t>1.7</w:t>
      </w:r>
      <w:r w:rsidRPr="006F4A42">
        <w:t xml:space="preserve"> for the meaning of “addresses for service”.</w:t>
      </w:r>
    </w:p>
    <w:p w14:paraId="6D109DBB" w14:textId="77777777" w:rsidR="00BB7660" w:rsidRPr="00956176" w:rsidRDefault="00BB7660" w:rsidP="00BB7660">
      <w:pPr>
        <w:pStyle w:val="notetext"/>
      </w:pPr>
      <w:r w:rsidRPr="00E53912">
        <w:rPr>
          <w:color w:val="000000" w:themeColor="text1"/>
        </w:rPr>
        <w:t>Note 3:</w:t>
      </w:r>
      <w:r w:rsidRPr="00E53912">
        <w:rPr>
          <w:color w:val="000000" w:themeColor="text1"/>
        </w:rPr>
        <w:tab/>
        <w:t xml:space="preserve">For paragraphs </w:t>
      </w:r>
      <w:r>
        <w:rPr>
          <w:color w:val="000000" w:themeColor="text1"/>
        </w:rPr>
        <w:t>(a)</w:t>
      </w:r>
      <w:r w:rsidRPr="00E53912">
        <w:rPr>
          <w:color w:val="000000" w:themeColor="text1"/>
        </w:rPr>
        <w:t xml:space="preserve"> to </w:t>
      </w:r>
      <w:r>
        <w:rPr>
          <w:color w:val="000000" w:themeColor="text1"/>
        </w:rPr>
        <w:t>(g),</w:t>
      </w:r>
      <w:r w:rsidRPr="00E53912">
        <w:rPr>
          <w:color w:val="000000" w:themeColor="text1"/>
        </w:rPr>
        <w:t xml:space="preserve"> see rule </w:t>
      </w:r>
      <w:r>
        <w:rPr>
          <w:color w:val="000000" w:themeColor="text1"/>
        </w:rPr>
        <w:t>5.15</w:t>
      </w:r>
      <w:r w:rsidRPr="00E53912">
        <w:rPr>
          <w:color w:val="000000" w:themeColor="text1"/>
        </w:rPr>
        <w:t>.</w:t>
      </w:r>
    </w:p>
    <w:p w14:paraId="317FFBA8" w14:textId="77777777" w:rsidR="00BB7660" w:rsidRPr="0013792B" w:rsidRDefault="00BB7660" w:rsidP="00BB7660">
      <w:pPr>
        <w:pStyle w:val="ActHead5"/>
      </w:pPr>
      <w:bookmarkStart w:id="483" w:name="_Toc17199933"/>
      <w:bookmarkStart w:id="484" w:name="_Toc111132170"/>
      <w:r>
        <w:lastRenderedPageBreak/>
        <w:t>5.25</w:t>
      </w:r>
      <w:r w:rsidRPr="0013792B">
        <w:t xml:space="preserve">  Other information to be kept in association with Register of Accredited Persons</w:t>
      </w:r>
      <w:bookmarkEnd w:id="483"/>
      <w:bookmarkEnd w:id="484"/>
    </w:p>
    <w:p w14:paraId="15E62517" w14:textId="77777777" w:rsidR="00BB7660" w:rsidRPr="00A00F6F" w:rsidRDefault="00BB7660" w:rsidP="00BB7660">
      <w:pPr>
        <w:pStyle w:val="subsection"/>
      </w:pPr>
      <w:r w:rsidRPr="00A00F6F">
        <w:tab/>
        <w:t>(1)</w:t>
      </w:r>
      <w:r w:rsidRPr="00A00F6F">
        <w:tab/>
        <w:t>The Accreditation Registrar must create and maintain, in association with the Register of Accredited Persons, a database that includes such information as the Accreditation Registrar considers is required in order for requests under these rules to be processed in accordance with these rules and the data standards, including:</w:t>
      </w:r>
    </w:p>
    <w:p w14:paraId="39299AA7" w14:textId="77777777" w:rsidR="00BB7660" w:rsidRPr="00A00F6F" w:rsidRDefault="00BB7660" w:rsidP="00BB7660">
      <w:pPr>
        <w:pStyle w:val="paragraph"/>
      </w:pPr>
      <w:r w:rsidRPr="00A00F6F">
        <w:tab/>
        <w:t>(a)</w:t>
      </w:r>
      <w:r w:rsidRPr="00A00F6F">
        <w:tab/>
        <w:t>a list of data holders; and</w:t>
      </w:r>
    </w:p>
    <w:p w14:paraId="0C1ED475" w14:textId="77777777" w:rsidR="00BB7660" w:rsidRPr="00A00F6F" w:rsidRDefault="00BB7660" w:rsidP="00BB7660">
      <w:pPr>
        <w:pStyle w:val="paragraph"/>
      </w:pPr>
      <w:r w:rsidRPr="00A00F6F">
        <w:tab/>
        <w:t>(b)</w:t>
      </w:r>
      <w:r w:rsidRPr="00A00F6F">
        <w:tab/>
        <w:t>for each data holder, where relevant:</w:t>
      </w:r>
    </w:p>
    <w:p w14:paraId="15C9538A" w14:textId="77777777" w:rsidR="00BB7660" w:rsidRPr="00A00F6F" w:rsidRDefault="00BB7660" w:rsidP="00BB7660">
      <w:pPr>
        <w:pStyle w:val="paragraphsub"/>
      </w:pPr>
      <w:r w:rsidRPr="00A00F6F">
        <w:tab/>
        <w:t>(i)</w:t>
      </w:r>
      <w:r w:rsidRPr="00A00F6F">
        <w:tab/>
        <w:t>each brand name under which the data holder offers products in relation to which consumer data requests may be made under these rules; and</w:t>
      </w:r>
    </w:p>
    <w:p w14:paraId="67969019" w14:textId="77777777" w:rsidR="00BB7660" w:rsidRPr="00A00F6F" w:rsidRDefault="00BB7660" w:rsidP="00BB7660">
      <w:pPr>
        <w:pStyle w:val="paragraphsub"/>
      </w:pPr>
      <w:r w:rsidRPr="00A00F6F">
        <w:tab/>
        <w:t>(ii)</w:t>
      </w:r>
      <w:r w:rsidRPr="00A00F6F">
        <w:tab/>
        <w:t>a hyperlink to:</w:t>
      </w:r>
    </w:p>
    <w:p w14:paraId="16230D6A" w14:textId="77777777" w:rsidR="00BB7660" w:rsidRPr="00A00F6F" w:rsidRDefault="00BB7660" w:rsidP="00BB7660">
      <w:pPr>
        <w:pStyle w:val="paragraphsub-sub"/>
      </w:pPr>
      <w:r w:rsidRPr="00A00F6F">
        <w:tab/>
        <w:t>(A)</w:t>
      </w:r>
      <w:r w:rsidRPr="00A00F6F">
        <w:tab/>
        <w:t>the relevant web site address of the data holder; and</w:t>
      </w:r>
    </w:p>
    <w:p w14:paraId="59C6586C" w14:textId="77777777" w:rsidR="00BB7660" w:rsidRPr="00A00F6F" w:rsidRDefault="00BB7660" w:rsidP="00BB7660">
      <w:pPr>
        <w:pStyle w:val="paragraphsub-sub"/>
      </w:pPr>
      <w:r w:rsidRPr="00A00F6F">
        <w:tab/>
        <w:t>(B)</w:t>
      </w:r>
      <w:r w:rsidRPr="00A00F6F">
        <w:tab/>
        <w:t>the data holder’s CDR policy; and</w:t>
      </w:r>
    </w:p>
    <w:p w14:paraId="293B1AED" w14:textId="77777777" w:rsidR="00BB7660" w:rsidRPr="00A00F6F" w:rsidRDefault="00BB7660" w:rsidP="00BB7660">
      <w:pPr>
        <w:pStyle w:val="paragraphsub-sub"/>
      </w:pPr>
      <w:r w:rsidRPr="00A00F6F">
        <w:tab/>
        <w:t>(C)</w:t>
      </w:r>
      <w:r w:rsidRPr="00A00F6F">
        <w:tab/>
        <w:t>if the data holder has a CDR policy for a brand name under which the data holder offers products in relation to which consumer data requests may be made under these rules―that policy; and</w:t>
      </w:r>
    </w:p>
    <w:p w14:paraId="5B84BAF5" w14:textId="77777777" w:rsidR="00BB7660" w:rsidRPr="00A00F6F" w:rsidRDefault="00BB7660" w:rsidP="00BB7660">
      <w:pPr>
        <w:pStyle w:val="paragraphsub"/>
      </w:pPr>
      <w:r w:rsidRPr="00A00F6F">
        <w:tab/>
        <w:t>(iii)</w:t>
      </w:r>
      <w:r w:rsidRPr="00A00F6F">
        <w:tab/>
        <w:t>the universal resource identifier for the data holder’s product data request service.</w:t>
      </w:r>
    </w:p>
    <w:p w14:paraId="0E052013" w14:textId="77777777" w:rsidR="00BB7660" w:rsidRPr="00A00F6F" w:rsidRDefault="00BB7660" w:rsidP="00BB7660">
      <w:pPr>
        <w:pStyle w:val="notetext"/>
      </w:pPr>
      <w:r w:rsidRPr="00A00F6F">
        <w:t>Note:</w:t>
      </w:r>
      <w:r w:rsidRPr="00A00F6F">
        <w:tab/>
        <w:t xml:space="preserve">For subparagraph (b)(i), for the banking </w:t>
      </w:r>
      <w:r w:rsidRPr="009F28B3">
        <w:t>sector, see Part 6 of Schedule</w:t>
      </w:r>
      <w:r w:rsidRPr="00A00F6F">
        <w:rPr>
          <w:bCs/>
          <w:lang w:val="en-US"/>
        </w:rPr>
        <w:t xml:space="preserve"> 3</w:t>
      </w:r>
      <w:r w:rsidRPr="00A00F6F">
        <w:t xml:space="preserve"> for the staged application of these rules.</w:t>
      </w:r>
    </w:p>
    <w:p w14:paraId="75AC2EEC" w14:textId="77777777" w:rsidR="00BB7660" w:rsidRPr="0013792B" w:rsidRDefault="00BB7660" w:rsidP="00BB7660">
      <w:pPr>
        <w:pStyle w:val="SubsectionHead"/>
      </w:pPr>
      <w:r w:rsidRPr="0013792B">
        <w:t>Accreditation Registrar may request further information</w:t>
      </w:r>
    </w:p>
    <w:p w14:paraId="69911283" w14:textId="77777777" w:rsidR="00BB7660" w:rsidRPr="0020066B" w:rsidRDefault="00BB7660" w:rsidP="00BB7660">
      <w:pPr>
        <w:pStyle w:val="subsection"/>
      </w:pPr>
      <w:r w:rsidRPr="0020066B">
        <w:tab/>
      </w:r>
      <w:r>
        <w:t>(2)</w:t>
      </w:r>
      <w:r w:rsidRPr="0020066B">
        <w:tab/>
        <w:t>The Accreditation Registrar may:</w:t>
      </w:r>
    </w:p>
    <w:p w14:paraId="7D801250" w14:textId="77777777" w:rsidR="00BB7660" w:rsidRPr="0020066B" w:rsidRDefault="00BB7660" w:rsidP="00BB7660">
      <w:pPr>
        <w:pStyle w:val="paragraph"/>
      </w:pPr>
      <w:r w:rsidRPr="0020066B">
        <w:tab/>
      </w:r>
      <w:r>
        <w:t>(a)</w:t>
      </w:r>
      <w:r w:rsidRPr="0020066B">
        <w:tab/>
        <w:t xml:space="preserve">request a data </w:t>
      </w:r>
      <w:r w:rsidRPr="0054321A">
        <w:t>holder or</w:t>
      </w:r>
      <w:r w:rsidRPr="0020066B">
        <w:t xml:space="preserve"> accredited person to provide the information referred to in subrule </w:t>
      </w:r>
      <w:r>
        <w:t>(1)</w:t>
      </w:r>
      <w:r w:rsidRPr="0020066B">
        <w:t>, or updates to that information; and</w:t>
      </w:r>
    </w:p>
    <w:p w14:paraId="354B8864" w14:textId="77777777" w:rsidR="00BB7660" w:rsidRPr="0020066B" w:rsidRDefault="00BB7660" w:rsidP="00BB7660">
      <w:pPr>
        <w:pStyle w:val="paragraph"/>
      </w:pPr>
      <w:r w:rsidRPr="0020066B">
        <w:tab/>
      </w:r>
      <w:r>
        <w:t>(b)</w:t>
      </w:r>
      <w:r w:rsidRPr="0020066B">
        <w:tab/>
        <w:t>specify the form in which the information or updates are to be provided.</w:t>
      </w:r>
    </w:p>
    <w:p w14:paraId="2DBC2B96" w14:textId="77777777" w:rsidR="00BB7660" w:rsidRPr="00C02000" w:rsidRDefault="00BB7660" w:rsidP="00BB7660">
      <w:pPr>
        <w:pStyle w:val="subsection"/>
      </w:pPr>
      <w:r w:rsidRPr="00C02000">
        <w:tab/>
      </w:r>
      <w:r>
        <w:t>(3)</w:t>
      </w:r>
      <w:r w:rsidRPr="00C02000">
        <w:tab/>
      </w:r>
      <w:r w:rsidRPr="00EF1C66">
        <w:t xml:space="preserve">The data holder or </w:t>
      </w:r>
      <w:r w:rsidRPr="00C02000">
        <w:t xml:space="preserve">accredited person must comply with a request under subrule </w:t>
      </w:r>
      <w:r>
        <w:t>(2)</w:t>
      </w:r>
      <w:r w:rsidRPr="00C02000">
        <w:t>.</w:t>
      </w:r>
    </w:p>
    <w:p w14:paraId="26E0E95E" w14:textId="77777777" w:rsidR="00BB7660" w:rsidRPr="00C02000" w:rsidRDefault="00BB7660" w:rsidP="00BB7660">
      <w:pPr>
        <w:pStyle w:val="subsection"/>
      </w:pPr>
      <w:r w:rsidRPr="00C02000">
        <w:tab/>
      </w:r>
      <w:r w:rsidRPr="00C02000">
        <w:tab/>
        <w:t>Civil penalty:</w:t>
      </w:r>
    </w:p>
    <w:p w14:paraId="1D6586C1" w14:textId="77777777" w:rsidR="00BB7660" w:rsidRPr="00C02000" w:rsidRDefault="00BB7660" w:rsidP="00BB7660">
      <w:pPr>
        <w:pStyle w:val="paragraph"/>
      </w:pPr>
      <w:r w:rsidRPr="00C02000">
        <w:tab/>
        <w:t>(a)</w:t>
      </w:r>
      <w:r w:rsidRPr="00C02000">
        <w:tab/>
        <w:t>for an individual―$50,000; and</w:t>
      </w:r>
    </w:p>
    <w:p w14:paraId="5AEF5827" w14:textId="77777777" w:rsidR="00BB7660" w:rsidRPr="00C02000" w:rsidRDefault="00BB7660" w:rsidP="00BB7660">
      <w:pPr>
        <w:pStyle w:val="paragraph"/>
      </w:pPr>
      <w:r w:rsidRPr="00C02000">
        <w:tab/>
        <w:t>(b)</w:t>
      </w:r>
      <w:r w:rsidRPr="00C02000">
        <w:tab/>
        <w:t>for a body corporate―$250,000.</w:t>
      </w:r>
    </w:p>
    <w:p w14:paraId="2B15B94B" w14:textId="77777777" w:rsidR="00BB7660" w:rsidRPr="00956176" w:rsidRDefault="00BB7660" w:rsidP="00BB7660">
      <w:pPr>
        <w:pStyle w:val="SubsectionHead"/>
      </w:pPr>
      <w:r w:rsidRPr="00956176">
        <w:t>Obligation to inform Accreditation Registrar to keep information up</w:t>
      </w:r>
      <w:r w:rsidRPr="00956176">
        <w:noBreakHyphen/>
        <w:t>to</w:t>
      </w:r>
      <w:r w:rsidRPr="00956176">
        <w:noBreakHyphen/>
        <w:t>date</w:t>
      </w:r>
    </w:p>
    <w:p w14:paraId="7B724603" w14:textId="77777777" w:rsidR="00BB7660" w:rsidRPr="007C39E2" w:rsidRDefault="00BB7660" w:rsidP="00BB7660">
      <w:pPr>
        <w:pStyle w:val="subsection"/>
      </w:pPr>
      <w:r w:rsidRPr="00956176">
        <w:tab/>
      </w:r>
      <w:r>
        <w:t>(4)</w:t>
      </w:r>
      <w:r w:rsidRPr="00956176">
        <w:tab/>
        <w:t>Subrule </w:t>
      </w:r>
      <w:r>
        <w:t>(5)</w:t>
      </w:r>
      <w:r w:rsidRPr="00956176">
        <w:t xml:space="preserve"> applies if</w:t>
      </w:r>
      <w:r>
        <w:t xml:space="preserve"> </w:t>
      </w:r>
      <w:r w:rsidRPr="007C39E2">
        <w:t>a data holder or an accredited person:</w:t>
      </w:r>
    </w:p>
    <w:p w14:paraId="69F4E423" w14:textId="77777777" w:rsidR="00BB7660" w:rsidRPr="007C39E2" w:rsidRDefault="00BB7660" w:rsidP="00BB7660">
      <w:pPr>
        <w:pStyle w:val="paragraph"/>
      </w:pPr>
      <w:r w:rsidRPr="007C39E2">
        <w:tab/>
      </w:r>
      <w:r>
        <w:t>(a)</w:t>
      </w:r>
      <w:r w:rsidRPr="007C39E2">
        <w:tab/>
        <w:t>has provided information to the Accreditation Registrar in accordance with this rule; and</w:t>
      </w:r>
    </w:p>
    <w:p w14:paraId="72E10713" w14:textId="77777777" w:rsidR="00BB7660" w:rsidRPr="007C39E2" w:rsidRDefault="00BB7660" w:rsidP="00BB7660">
      <w:pPr>
        <w:pStyle w:val="paragraph"/>
      </w:pPr>
      <w:r w:rsidRPr="007C39E2">
        <w:tab/>
      </w:r>
      <w:r>
        <w:t>(b)</w:t>
      </w:r>
      <w:r w:rsidRPr="007C39E2">
        <w:tab/>
        <w:t>becomes aware that the information:</w:t>
      </w:r>
    </w:p>
    <w:p w14:paraId="3DD9677A" w14:textId="77777777" w:rsidR="00BB7660" w:rsidRPr="007C39E2" w:rsidRDefault="00BB7660" w:rsidP="00BB7660">
      <w:pPr>
        <w:pStyle w:val="paragraphsub"/>
      </w:pPr>
      <w:r w:rsidRPr="007C39E2">
        <w:tab/>
      </w:r>
      <w:r>
        <w:t>(i)</w:t>
      </w:r>
      <w:r w:rsidRPr="007C39E2">
        <w:tab/>
        <w:t>is out of date; or</w:t>
      </w:r>
    </w:p>
    <w:p w14:paraId="58638BA9" w14:textId="77777777" w:rsidR="00BB7660" w:rsidRPr="007C39E2" w:rsidRDefault="00BB7660" w:rsidP="00BB7660">
      <w:pPr>
        <w:pStyle w:val="paragraphsub"/>
      </w:pPr>
      <w:r w:rsidRPr="007C39E2">
        <w:lastRenderedPageBreak/>
        <w:tab/>
      </w:r>
      <w:r>
        <w:t>(ii)</w:t>
      </w:r>
      <w:r w:rsidRPr="007C39E2">
        <w:tab/>
        <w:t>needs to be amended in order for product data requests and consumer data requests made under these rules to be processed in accordance with these rules and the data standards.</w:t>
      </w:r>
    </w:p>
    <w:p w14:paraId="7DF1B226" w14:textId="77777777" w:rsidR="00BB7660" w:rsidRDefault="00BB7660" w:rsidP="00BB7660">
      <w:pPr>
        <w:pStyle w:val="subsection"/>
      </w:pPr>
      <w:r w:rsidRPr="007C39E2">
        <w:tab/>
      </w:r>
      <w:r>
        <w:t>(5)</w:t>
      </w:r>
      <w:r w:rsidRPr="007C39E2">
        <w:tab/>
        <w:t>The data holder or accredited person, as appropriate, must inform the Accreditation Registrar of the amendment that should be made to the database</w:t>
      </w:r>
      <w:r w:rsidRPr="00AF356E">
        <w:t xml:space="preserve"> </w:t>
      </w:r>
      <w:r w:rsidRPr="007C39E2">
        <w:t xml:space="preserve">in the form approved by the Registrar for the purposes of this </w:t>
      </w:r>
      <w:r>
        <w:t>subrule and as soon as practicable after the data holder or accredited person becomes aware of either of the matters mentioned in paragraph (4)(b)</w:t>
      </w:r>
      <w:r w:rsidRPr="007C39E2">
        <w:t>.</w:t>
      </w:r>
    </w:p>
    <w:p w14:paraId="3C4C6141" w14:textId="77777777" w:rsidR="00BB7660" w:rsidRPr="005F3D40" w:rsidRDefault="00BB7660" w:rsidP="00BB7660">
      <w:pPr>
        <w:pStyle w:val="subsection"/>
        <w:rPr>
          <w:color w:val="000000" w:themeColor="text1"/>
        </w:rPr>
      </w:pPr>
      <w:r>
        <w:tab/>
      </w:r>
      <w:r>
        <w:tab/>
      </w:r>
      <w:r w:rsidRPr="005F3D40">
        <w:rPr>
          <w:color w:val="000000" w:themeColor="text1"/>
        </w:rPr>
        <w:t>Civil penalty:</w:t>
      </w:r>
    </w:p>
    <w:p w14:paraId="593BC16B" w14:textId="77777777" w:rsidR="00BB7660" w:rsidRPr="005F3D40" w:rsidRDefault="00BB7660" w:rsidP="00BB7660">
      <w:pPr>
        <w:pStyle w:val="paragraph"/>
        <w:rPr>
          <w:color w:val="000000" w:themeColor="text1"/>
        </w:rPr>
      </w:pPr>
      <w:r w:rsidRPr="005F3D40">
        <w:rPr>
          <w:color w:val="000000" w:themeColor="text1"/>
        </w:rPr>
        <w:tab/>
        <w:t>(a)</w:t>
      </w:r>
      <w:r w:rsidRPr="005F3D40">
        <w:rPr>
          <w:color w:val="000000" w:themeColor="text1"/>
        </w:rPr>
        <w:tab/>
        <w:t>for an individual―$50,000; and</w:t>
      </w:r>
    </w:p>
    <w:p w14:paraId="647818A9" w14:textId="77777777" w:rsidR="00BB7660" w:rsidRDefault="00BB7660" w:rsidP="00BB7660">
      <w:pPr>
        <w:pStyle w:val="paragraph"/>
      </w:pPr>
      <w:r w:rsidRPr="005F3D40">
        <w:rPr>
          <w:color w:val="000000" w:themeColor="text1"/>
        </w:rPr>
        <w:tab/>
        <w:t>(b)</w:t>
      </w:r>
      <w:r w:rsidRPr="005F3D40">
        <w:rPr>
          <w:color w:val="000000" w:themeColor="text1"/>
        </w:rPr>
        <w:tab/>
        <w:t>for a body corporate―$250,000.</w:t>
      </w:r>
    </w:p>
    <w:p w14:paraId="6E56EFB9" w14:textId="77777777" w:rsidR="00BB7660" w:rsidRPr="0070205C" w:rsidRDefault="00BB7660" w:rsidP="00BB7660">
      <w:pPr>
        <w:pStyle w:val="ActHead5"/>
      </w:pPr>
      <w:bookmarkStart w:id="485" w:name="_Toc11771657"/>
      <w:bookmarkStart w:id="486" w:name="_Toc111132171"/>
      <w:r>
        <w:t>5.26</w:t>
      </w:r>
      <w:r w:rsidRPr="007C39E2">
        <w:t xml:space="preserve">  Amendment and correction of entries in Register of Accredited Persons</w:t>
      </w:r>
      <w:bookmarkEnd w:id="485"/>
      <w:r w:rsidRPr="007C39E2">
        <w:t xml:space="preserve"> </w:t>
      </w:r>
      <w:r w:rsidRPr="0070205C">
        <w:t>and database</w:t>
      </w:r>
      <w:bookmarkEnd w:id="486"/>
    </w:p>
    <w:p w14:paraId="18376E5E" w14:textId="77777777" w:rsidR="00BB7660" w:rsidRPr="0070205C" w:rsidRDefault="00BB7660" w:rsidP="00BB7660">
      <w:pPr>
        <w:pStyle w:val="subsection"/>
      </w:pPr>
      <w:r w:rsidRPr="0070205C">
        <w:tab/>
      </w:r>
      <w:r w:rsidRPr="0070205C">
        <w:tab/>
        <w:t>The Accreditation Registrar:</w:t>
      </w:r>
    </w:p>
    <w:p w14:paraId="2191BDD4" w14:textId="77777777" w:rsidR="00BB7660" w:rsidRPr="001D08C5" w:rsidRDefault="00BB7660" w:rsidP="00BB7660">
      <w:pPr>
        <w:pStyle w:val="paragraph"/>
      </w:pPr>
      <w:r w:rsidRPr="001D08C5">
        <w:tab/>
      </w:r>
      <w:r>
        <w:t>(a)</w:t>
      </w:r>
      <w:r w:rsidRPr="001D08C5">
        <w:tab/>
        <w:t>must, as soon as practicable after receiving information from the Data Recipient Accreditor that must be entered on the Register, enter that information on the Register;</w:t>
      </w:r>
      <w:r>
        <w:t xml:space="preserve"> and</w:t>
      </w:r>
    </w:p>
    <w:p w14:paraId="6F2C31E6" w14:textId="77777777" w:rsidR="00BB7660" w:rsidRPr="001D08C5" w:rsidRDefault="00BB7660" w:rsidP="00BB7660">
      <w:pPr>
        <w:pStyle w:val="paragraph"/>
      </w:pPr>
      <w:r w:rsidRPr="001D08C5">
        <w:tab/>
      </w:r>
      <w:r>
        <w:t>(b)</w:t>
      </w:r>
      <w:r w:rsidRPr="001D08C5">
        <w:tab/>
        <w:t>must, as soon as practicable after receiving information from the Data Recipient Accreditor that requires the Registrar to update information on the Register, update the Register;</w:t>
      </w:r>
      <w:r>
        <w:t xml:space="preserve"> and</w:t>
      </w:r>
    </w:p>
    <w:p w14:paraId="0D833420" w14:textId="77777777" w:rsidR="00BB7660" w:rsidRPr="0070205C" w:rsidRDefault="00BB7660" w:rsidP="00BB7660">
      <w:pPr>
        <w:pStyle w:val="paragraph"/>
      </w:pPr>
      <w:r w:rsidRPr="0070205C">
        <w:tab/>
      </w:r>
      <w:r>
        <w:t>(c)</w:t>
      </w:r>
      <w:r w:rsidRPr="0070205C">
        <w:tab/>
        <w:t xml:space="preserve">may, to the extent the </w:t>
      </w:r>
      <w:r w:rsidRPr="009F28B3">
        <w:t>Accreditation Registrar considers necessary, amend the database referred to in subrule 5.25(1) to ref</w:t>
      </w:r>
      <w:r w:rsidRPr="0070205C">
        <w:t>lect any amendment the Registrar has been informed of in accordance with rule </w:t>
      </w:r>
      <w:r w:rsidRPr="0018423B">
        <w:rPr>
          <w:bCs/>
          <w:lang w:val="en-US"/>
        </w:rPr>
        <w:t>5.25</w:t>
      </w:r>
      <w:r w:rsidRPr="0070205C">
        <w:t>; and</w:t>
      </w:r>
    </w:p>
    <w:p w14:paraId="7D7374EE" w14:textId="77777777" w:rsidR="00BB7660" w:rsidRPr="007C39E2" w:rsidRDefault="00BB7660" w:rsidP="00BB7660">
      <w:pPr>
        <w:pStyle w:val="paragraph"/>
      </w:pPr>
      <w:r w:rsidRPr="0070205C">
        <w:tab/>
      </w:r>
      <w:r>
        <w:t>(d)</w:t>
      </w:r>
      <w:r w:rsidRPr="0070205C">
        <w:tab/>
        <w:t xml:space="preserve">may </w:t>
      </w:r>
      <w:r w:rsidRPr="0070205C">
        <w:rPr>
          <w:color w:val="000000" w:themeColor="text1"/>
        </w:rPr>
        <w:t xml:space="preserve">make clerical </w:t>
      </w:r>
      <w:r w:rsidRPr="0070205C">
        <w:t>amend</w:t>
      </w:r>
      <w:r w:rsidRPr="0070205C">
        <w:rPr>
          <w:color w:val="000000" w:themeColor="text1"/>
        </w:rPr>
        <w:t>ments to</w:t>
      </w:r>
      <w:r w:rsidRPr="0070205C">
        <w:t xml:space="preserve"> entries in the Register or database as appropriate to ensure the accuracy of the Register or database.</w:t>
      </w:r>
    </w:p>
    <w:p w14:paraId="5159CF56" w14:textId="77777777" w:rsidR="00BB7660" w:rsidRPr="0020066B" w:rsidRDefault="00BB7660" w:rsidP="00BB7660">
      <w:pPr>
        <w:pStyle w:val="ActHead5"/>
      </w:pPr>
      <w:bookmarkStart w:id="487" w:name="_Toc111132172"/>
      <w:r>
        <w:t>5.27</w:t>
      </w:r>
      <w:r w:rsidRPr="0020066B">
        <w:t xml:space="preserve">  Publication or availability of specified information in the Register of Accredited Persons</w:t>
      </w:r>
      <w:bookmarkEnd w:id="487"/>
    </w:p>
    <w:p w14:paraId="7D740043" w14:textId="77777777" w:rsidR="00BB7660" w:rsidRPr="0020066B" w:rsidRDefault="00BB7660" w:rsidP="00BB7660">
      <w:pPr>
        <w:pStyle w:val="subsection"/>
      </w:pPr>
      <w:r w:rsidRPr="0020066B">
        <w:tab/>
      </w:r>
      <w:r w:rsidRPr="0020066B">
        <w:tab/>
        <w:t>For paragraph 56CE(4)(c) of the Act, the Accreditation Registrar must, in the manner the Registrar thinks fit, make the following information publicly available:</w:t>
      </w:r>
    </w:p>
    <w:p w14:paraId="663B0B5D" w14:textId="77777777" w:rsidR="00BB7660" w:rsidRPr="0020066B" w:rsidRDefault="00BB7660" w:rsidP="00BB7660">
      <w:pPr>
        <w:pStyle w:val="paragraph"/>
      </w:pPr>
      <w:r w:rsidRPr="0020066B">
        <w:tab/>
      </w:r>
      <w:r>
        <w:t>(a)</w:t>
      </w:r>
      <w:r w:rsidRPr="0020066B">
        <w:tab/>
        <w:t>the information referred to in rule </w:t>
      </w:r>
      <w:r>
        <w:t>5.24</w:t>
      </w:r>
      <w:r w:rsidRPr="0020066B">
        <w:t>;</w:t>
      </w:r>
    </w:p>
    <w:p w14:paraId="022FE6E6" w14:textId="77777777" w:rsidR="00BB7660" w:rsidRPr="0020066B" w:rsidRDefault="00BB7660" w:rsidP="00BB7660">
      <w:pPr>
        <w:pStyle w:val="paragraph"/>
      </w:pPr>
      <w:r w:rsidRPr="0020066B">
        <w:tab/>
      </w:r>
      <w:r>
        <w:t>(b)</w:t>
      </w:r>
      <w:r w:rsidRPr="0020066B">
        <w:tab/>
        <w:t>the information referred to in paragraphs </w:t>
      </w:r>
      <w:r>
        <w:t>5.25(1)(a) and</w:t>
      </w:r>
      <w:r w:rsidRPr="0020066B">
        <w:t xml:space="preserve"> </w:t>
      </w:r>
      <w:r>
        <w:t>(b)</w:t>
      </w:r>
      <w:r w:rsidRPr="0020066B">
        <w:t>.</w:t>
      </w:r>
    </w:p>
    <w:p w14:paraId="02B9BF8E" w14:textId="77777777" w:rsidR="00CF5A97" w:rsidRPr="00CF5A97" w:rsidRDefault="00CF5A97" w:rsidP="00CF5A97">
      <w:pPr>
        <w:pStyle w:val="notetext"/>
        <w:rPr>
          <w:strike/>
          <w:color w:val="0000FF"/>
        </w:rPr>
      </w:pPr>
      <w:r w:rsidRPr="00CF5A97">
        <w:rPr>
          <w:strike/>
          <w:color w:val="0000FF"/>
        </w:rPr>
        <w:t>Note:</w:t>
      </w:r>
      <w:r w:rsidRPr="00CF5A97">
        <w:rPr>
          <w:strike/>
          <w:color w:val="0000FF"/>
        </w:rPr>
        <w:tab/>
        <w:t>For the banking sector, see subclause 6.3(3) of Schedule 3 for other information the Accreditation Registrar must make publicly available.</w:t>
      </w:r>
    </w:p>
    <w:p w14:paraId="2AF64E55" w14:textId="77777777" w:rsidR="00BB7660" w:rsidRPr="001D08C5" w:rsidRDefault="00BB7660" w:rsidP="00BB7660">
      <w:pPr>
        <w:pStyle w:val="ActHead5"/>
      </w:pPr>
      <w:bookmarkStart w:id="488" w:name="_Toc111132173"/>
      <w:r>
        <w:t>5.28</w:t>
      </w:r>
      <w:r w:rsidRPr="001D08C5">
        <w:t xml:space="preserve">  Making information available to the Commission, the Information Commissioner and the Data Recipient Accreditor</w:t>
      </w:r>
      <w:bookmarkEnd w:id="488"/>
    </w:p>
    <w:p w14:paraId="4627CFA4" w14:textId="77777777" w:rsidR="00BB7660" w:rsidRPr="001D08C5" w:rsidRDefault="00BB7660" w:rsidP="00BB7660">
      <w:pPr>
        <w:pStyle w:val="subsection"/>
      </w:pPr>
      <w:r w:rsidRPr="001D08C5">
        <w:tab/>
      </w:r>
      <w:r w:rsidRPr="001D08C5">
        <w:tab/>
        <w:t>The Accreditation Registrar must make available to the Commission, the Information Commissioner and the Data Recipient Accreditor, on request:</w:t>
      </w:r>
    </w:p>
    <w:p w14:paraId="0055A4B1" w14:textId="77777777" w:rsidR="00BB7660" w:rsidRPr="001D08C5" w:rsidRDefault="00BB7660" w:rsidP="00BB7660">
      <w:pPr>
        <w:pStyle w:val="paragraph"/>
      </w:pPr>
      <w:r w:rsidRPr="001D08C5">
        <w:tab/>
      </w:r>
      <w:r>
        <w:t>(a)</w:t>
      </w:r>
      <w:r w:rsidRPr="001D08C5">
        <w:tab/>
        <w:t xml:space="preserve">all or part of the Register </w:t>
      </w:r>
      <w:r>
        <w:t xml:space="preserve">of Accredited Persons </w:t>
      </w:r>
      <w:r w:rsidRPr="001D08C5">
        <w:t>or the associated database; or</w:t>
      </w:r>
    </w:p>
    <w:p w14:paraId="709BD32B" w14:textId="77777777" w:rsidR="00BB7660" w:rsidRPr="001D08C5" w:rsidRDefault="00BB7660" w:rsidP="00BB7660">
      <w:pPr>
        <w:pStyle w:val="paragraph"/>
      </w:pPr>
      <w:r w:rsidRPr="001D08C5">
        <w:lastRenderedPageBreak/>
        <w:tab/>
      </w:r>
      <w:r>
        <w:t>(b)</w:t>
      </w:r>
      <w:r w:rsidRPr="001D08C5">
        <w:tab/>
        <w:t>specified information in the Register or the associated database; or</w:t>
      </w:r>
    </w:p>
    <w:p w14:paraId="250113A8" w14:textId="77777777" w:rsidR="00BB7660" w:rsidRPr="001D08C5" w:rsidRDefault="00BB7660" w:rsidP="00BB7660">
      <w:pPr>
        <w:pStyle w:val="paragraph"/>
      </w:pPr>
      <w:r w:rsidRPr="001D08C5">
        <w:tab/>
      </w:r>
      <w:r>
        <w:t>(c)</w:t>
      </w:r>
      <w:r w:rsidRPr="001D08C5">
        <w:tab/>
        <w:t>any information held by the Registrar in relation to the Register or the associated database.</w:t>
      </w:r>
    </w:p>
    <w:p w14:paraId="355BDFA3" w14:textId="77777777" w:rsidR="00BB7660" w:rsidRPr="001D08C5" w:rsidRDefault="00BB7660" w:rsidP="00BB7660">
      <w:pPr>
        <w:pStyle w:val="ActHead5"/>
      </w:pPr>
      <w:bookmarkStart w:id="489" w:name="_Toc111132174"/>
      <w:r>
        <w:t>5.29</w:t>
      </w:r>
      <w:r w:rsidRPr="001D08C5">
        <w:t xml:space="preserve">  Publication of specified information by the Commission</w:t>
      </w:r>
      <w:bookmarkEnd w:id="489"/>
    </w:p>
    <w:p w14:paraId="209F2E42" w14:textId="77777777" w:rsidR="00BB7660" w:rsidRPr="001D08C5" w:rsidRDefault="00BB7660" w:rsidP="00BB7660">
      <w:pPr>
        <w:pStyle w:val="subsection"/>
      </w:pPr>
      <w:r w:rsidRPr="001D08C5">
        <w:tab/>
      </w:r>
      <w:r w:rsidRPr="001D08C5">
        <w:tab/>
        <w:t>The Commission may publish information made available to it by the Accreditation Registrar relating to the performance and availability of systems to respon</w:t>
      </w:r>
      <w:r>
        <w:t>d to requests under these rules.</w:t>
      </w:r>
    </w:p>
    <w:p w14:paraId="15BE5CBE" w14:textId="77777777" w:rsidR="00BB7660" w:rsidRPr="00646E04" w:rsidRDefault="00BB7660" w:rsidP="00BB7660">
      <w:pPr>
        <w:pStyle w:val="ActHead5"/>
      </w:pPr>
      <w:bookmarkStart w:id="490" w:name="_Toc111132175"/>
      <w:r>
        <w:t xml:space="preserve">5.30  </w:t>
      </w:r>
      <w:r w:rsidRPr="00646E04">
        <w:t>Other functions of Accreditation Registrar</w:t>
      </w:r>
      <w:bookmarkEnd w:id="490"/>
    </w:p>
    <w:p w14:paraId="42F8926E" w14:textId="77777777" w:rsidR="00BB7660" w:rsidRDefault="00BB7660" w:rsidP="00BB7660">
      <w:pPr>
        <w:pStyle w:val="subsection"/>
      </w:pPr>
      <w:r>
        <w:tab/>
      </w:r>
      <w:r>
        <w:tab/>
      </w:r>
      <w:r w:rsidRPr="00646E04">
        <w:t>For paragraph 56CL(1)(b) of the Act, the other functions of the Accreditation Registrar include the following:</w:t>
      </w:r>
    </w:p>
    <w:p w14:paraId="551662A5" w14:textId="77777777" w:rsidR="00BB7660" w:rsidRPr="0020066B" w:rsidRDefault="00BB7660" w:rsidP="00BB7660">
      <w:pPr>
        <w:pStyle w:val="paragraph"/>
      </w:pPr>
      <w:r w:rsidRPr="0020066B">
        <w:tab/>
      </w:r>
      <w:r>
        <w:t>(a)</w:t>
      </w:r>
      <w:r w:rsidRPr="0020066B">
        <w:tab/>
        <w:t xml:space="preserve">enabling information included in the Register of Accredited Persons </w:t>
      </w:r>
      <w:r w:rsidRPr="007C39E2">
        <w:t xml:space="preserve">and associated database </w:t>
      </w:r>
      <w:r w:rsidRPr="0020066B">
        <w:t xml:space="preserve">to be communicated to data holders and accredited persons to facilitate </w:t>
      </w:r>
      <w:r w:rsidRPr="00086F26">
        <w:t xml:space="preserve">the making and </w:t>
      </w:r>
      <w:r w:rsidRPr="0020066B">
        <w:t>processing of requests under these rules in accordance with these rules and the data standards;</w:t>
      </w:r>
    </w:p>
    <w:p w14:paraId="56D3483B" w14:textId="77777777" w:rsidR="00BB7660" w:rsidRPr="003F3AC9" w:rsidRDefault="00BB7660" w:rsidP="00BB7660">
      <w:pPr>
        <w:pStyle w:val="paragraph"/>
      </w:pPr>
      <w:r w:rsidRPr="003F3AC9">
        <w:tab/>
      </w:r>
      <w:r>
        <w:t>(b)</w:t>
      </w:r>
      <w:r w:rsidRPr="003F3AC9">
        <w:tab/>
        <w:t>maintaining the security, integrity and stability of the Register and associated database</w:t>
      </w:r>
      <w:r w:rsidRPr="00086F26">
        <w:t xml:space="preserve">, including undertaking or facilitating any testing </w:t>
      </w:r>
      <w:r>
        <w:t>by CDR participants</w:t>
      </w:r>
      <w:r w:rsidRPr="00A00F6F">
        <w:t xml:space="preserve"> </w:t>
      </w:r>
      <w:r w:rsidRPr="00086F26">
        <w:t>for that purpose</w:t>
      </w:r>
      <w:r w:rsidRPr="003F3AC9">
        <w:t>;</w:t>
      </w:r>
    </w:p>
    <w:p w14:paraId="0286D5AE" w14:textId="77777777" w:rsidR="00BB7660" w:rsidRDefault="00BB7660" w:rsidP="00BB7660">
      <w:pPr>
        <w:pStyle w:val="paragraph"/>
      </w:pPr>
      <w:r w:rsidRPr="003F3AC9">
        <w:tab/>
      </w:r>
      <w:r>
        <w:t>(c)</w:t>
      </w:r>
      <w:r w:rsidRPr="003F3AC9">
        <w:tab/>
        <w:t>requesting a data holder or an accredited person to do specified things where that is necessary or convenient in order for the Accreditation Registrar to perform its functions or exercise its powers;</w:t>
      </w:r>
    </w:p>
    <w:p w14:paraId="09C02A50" w14:textId="77777777" w:rsidR="00BB7660" w:rsidRPr="00BF7C0A" w:rsidRDefault="00BB7660" w:rsidP="00BB7660">
      <w:pPr>
        <w:pStyle w:val="notetext"/>
      </w:pPr>
      <w:r w:rsidRPr="00623150">
        <w:t>Example:</w:t>
      </w:r>
      <w:r w:rsidRPr="00623150">
        <w:tab/>
        <w:t>The Accreditation Registrar could request data holders or accredited persons to undertake and complete testing where it is necessary or convenient for the Registrar to perform its</w:t>
      </w:r>
      <w:r>
        <w:t xml:space="preserve"> functions under paragraph (b).</w:t>
      </w:r>
    </w:p>
    <w:p w14:paraId="2C23F816" w14:textId="77777777" w:rsidR="00BB7660" w:rsidRDefault="00BB7660" w:rsidP="00BB7660">
      <w:pPr>
        <w:pStyle w:val="paragraph"/>
      </w:pPr>
      <w:r w:rsidRPr="00005026">
        <w:tab/>
      </w:r>
      <w:r>
        <w:t>(d)</w:t>
      </w:r>
      <w:r w:rsidRPr="00005026">
        <w:tab/>
        <w:t>informing the Data Recipient Accreditor of any failure of an accredited person to comply with a condition of its accreditation or to do things requested by the Registrar in the performance of its functions or the exercise of its powers</w:t>
      </w:r>
      <w:r>
        <w:t>.</w:t>
      </w:r>
    </w:p>
    <w:p w14:paraId="7AF1373A" w14:textId="77777777" w:rsidR="00BB7660" w:rsidRDefault="00BB7660" w:rsidP="00BB7660">
      <w:pPr>
        <w:pStyle w:val="notetext"/>
      </w:pPr>
      <w:r>
        <w:t>Note:</w:t>
      </w:r>
      <w:r>
        <w:tab/>
      </w:r>
      <w:r w:rsidRPr="00646E04">
        <w:t>The Accreditation Registrar has the power to do all things necessary or convenient to be done for or in connection with the performance of its functions. See subsection 56CL(2) of the Act.</w:t>
      </w:r>
    </w:p>
    <w:p w14:paraId="12E09576" w14:textId="77777777" w:rsidR="00BB7660" w:rsidRPr="0020066B" w:rsidRDefault="00BB7660" w:rsidP="00BB7660">
      <w:pPr>
        <w:pStyle w:val="ActHead5"/>
      </w:pPr>
      <w:bookmarkStart w:id="491" w:name="_Toc111132176"/>
      <w:r>
        <w:t>5.31</w:t>
      </w:r>
      <w:r w:rsidRPr="0020066B">
        <w:t xml:space="preserve">  Obligation to comply with Accreditation Registrar’s request</w:t>
      </w:r>
      <w:bookmarkEnd w:id="491"/>
    </w:p>
    <w:p w14:paraId="4CD28298" w14:textId="77777777" w:rsidR="00BB7660" w:rsidRPr="00540804" w:rsidRDefault="00BB7660" w:rsidP="00BB7660">
      <w:pPr>
        <w:pStyle w:val="subsection"/>
      </w:pPr>
      <w:r w:rsidRPr="0020066B">
        <w:tab/>
      </w:r>
      <w:r>
        <w:t>(1)</w:t>
      </w:r>
      <w:r w:rsidRPr="0020066B">
        <w:tab/>
        <w:t>The Accreditation Registrar may request a data holder</w:t>
      </w:r>
      <w:r>
        <w:t xml:space="preserve"> </w:t>
      </w:r>
      <w:r w:rsidRPr="00540804">
        <w:t>or an accredited person to do a specified thing in order to ensure the security, integrity and stability of the Register of Accredited Persons or associated database.</w:t>
      </w:r>
    </w:p>
    <w:p w14:paraId="42E8D9EF" w14:textId="77777777" w:rsidR="00BB7660" w:rsidRPr="00540804" w:rsidRDefault="00BB7660" w:rsidP="00BB7660">
      <w:pPr>
        <w:pStyle w:val="subsection"/>
      </w:pPr>
      <w:r w:rsidRPr="00540804">
        <w:tab/>
      </w:r>
      <w:r>
        <w:t>(2)</w:t>
      </w:r>
      <w:r w:rsidRPr="00540804">
        <w:tab/>
        <w:t>The data holder or accredited person must comply with such a request.</w:t>
      </w:r>
    </w:p>
    <w:p w14:paraId="79FD820F" w14:textId="77777777" w:rsidR="00BB7660" w:rsidRPr="00540804" w:rsidRDefault="00BB7660" w:rsidP="00BB7660">
      <w:pPr>
        <w:pStyle w:val="notetext"/>
      </w:pPr>
      <w:r w:rsidRPr="00540804">
        <w:t>Note:</w:t>
      </w:r>
      <w:r w:rsidRPr="00540804">
        <w:tab/>
        <w:t>This subrule is a civil penalty provision (see rule </w:t>
      </w:r>
      <w:r>
        <w:t>9.8</w:t>
      </w:r>
      <w:r w:rsidRPr="00540804">
        <w:t xml:space="preserve">). </w:t>
      </w:r>
    </w:p>
    <w:p w14:paraId="0D736A4B" w14:textId="77777777" w:rsidR="00BB7660" w:rsidRPr="0097565F" w:rsidRDefault="00BB7660" w:rsidP="00BB7660">
      <w:pPr>
        <w:pStyle w:val="ActHead5"/>
      </w:pPr>
      <w:bookmarkStart w:id="492" w:name="_Toc11771658"/>
      <w:bookmarkStart w:id="493" w:name="_Toc111132177"/>
      <w:r>
        <w:t>5.32</w:t>
      </w:r>
      <w:r w:rsidRPr="0097565F">
        <w:t xml:space="preserve">  Automated decision</w:t>
      </w:r>
      <w:r w:rsidRPr="0097565F">
        <w:noBreakHyphen/>
        <w:t>making</w:t>
      </w:r>
      <w:r>
        <w:t>—Accreditation Registrar</w:t>
      </w:r>
      <w:bookmarkEnd w:id="492"/>
      <w:bookmarkEnd w:id="493"/>
    </w:p>
    <w:p w14:paraId="1FC18801" w14:textId="77777777" w:rsidR="00BB7660" w:rsidRDefault="00BB7660" w:rsidP="00BB7660">
      <w:pPr>
        <w:pStyle w:val="subsection"/>
      </w:pPr>
      <w:r w:rsidRPr="0097565F">
        <w:tab/>
      </w:r>
      <w:r w:rsidRPr="0097565F">
        <w:tab/>
      </w:r>
      <w:r>
        <w:t xml:space="preserve">The Accreditation Registrar may </w:t>
      </w:r>
      <w:r w:rsidRPr="0097565F">
        <w:t>automate processes (including decision</w:t>
      </w:r>
      <w:r w:rsidRPr="0097565F">
        <w:noBreakHyphen/>
        <w:t>making) under these rules.</w:t>
      </w:r>
    </w:p>
    <w:p w14:paraId="5E8B5026" w14:textId="77777777" w:rsidR="00BB7660" w:rsidRPr="00CE5ECF" w:rsidRDefault="00BB7660" w:rsidP="00BB7660">
      <w:pPr>
        <w:pStyle w:val="ActHead5"/>
      </w:pPr>
      <w:bookmarkStart w:id="494" w:name="_Toc36136024"/>
      <w:bookmarkStart w:id="495" w:name="_Toc57219101"/>
      <w:bookmarkStart w:id="496" w:name="_Toc59549173"/>
      <w:bookmarkStart w:id="497" w:name="_Toc111132178"/>
      <w:r w:rsidRPr="00CE5ECF">
        <w:lastRenderedPageBreak/>
        <w:t>5.33  Temporary restriction on use of the Register in relation to data holder</w:t>
      </w:r>
      <w:bookmarkEnd w:id="494"/>
      <w:bookmarkEnd w:id="495"/>
      <w:bookmarkEnd w:id="496"/>
      <w:bookmarkEnd w:id="497"/>
    </w:p>
    <w:p w14:paraId="218EAE14" w14:textId="77777777" w:rsidR="00BB7660" w:rsidRPr="00CE5ECF" w:rsidRDefault="00BB7660" w:rsidP="00BB7660">
      <w:pPr>
        <w:pStyle w:val="subsection"/>
      </w:pPr>
      <w:r w:rsidRPr="00CE5ECF">
        <w:tab/>
        <w:t>(1)</w:t>
      </w:r>
      <w:r w:rsidRPr="00CE5ECF">
        <w:tab/>
        <w:t>The Accreditation Registrar may take steps to prevent the Register of Accredited Persons and associated database from being used to make consumer data requests to a data holder, for a period of up to</w:t>
      </w:r>
      <w:r w:rsidRPr="00CE5ECF">
        <w:rPr>
          <w:i/>
        </w:rPr>
        <w:t xml:space="preserve"> </w:t>
      </w:r>
      <w:r w:rsidRPr="00CE5ECF">
        <w:t>10 days, if the Accreditation Registrar reasonably believes it is necessary to do so in order to ensure the security, integrity and stability of the Register or associated database.</w:t>
      </w:r>
    </w:p>
    <w:p w14:paraId="79B8FACC" w14:textId="77777777" w:rsidR="00BB7660" w:rsidRPr="00CE5ECF" w:rsidRDefault="00BB7660" w:rsidP="00BB7660">
      <w:pPr>
        <w:pStyle w:val="subsection"/>
      </w:pPr>
      <w:r w:rsidRPr="00CE5ECF">
        <w:tab/>
        <w:t>(2)</w:t>
      </w:r>
      <w:r w:rsidRPr="00CE5ECF">
        <w:tab/>
        <w:t>The steps taken by the Accreditation Registrar may include amending the information in the associated database relating to a data holder that is used to facilitate the making and processing of requests.</w:t>
      </w:r>
    </w:p>
    <w:p w14:paraId="487A5387" w14:textId="77777777" w:rsidR="00BB7660" w:rsidRPr="00CE5ECF" w:rsidRDefault="00BB7660" w:rsidP="00BB7660">
      <w:pPr>
        <w:pStyle w:val="subsection"/>
      </w:pPr>
      <w:r w:rsidRPr="00CE5ECF">
        <w:tab/>
        <w:t>(3)</w:t>
      </w:r>
      <w:r w:rsidRPr="00CE5ECF">
        <w:tab/>
        <w:t>Before, or as soon as practicable after, taking steps under subrule (1), the Accreditation Registrar must:</w:t>
      </w:r>
    </w:p>
    <w:p w14:paraId="17E33FC8" w14:textId="77777777" w:rsidR="00BB7660" w:rsidRPr="00CE5ECF" w:rsidRDefault="00BB7660" w:rsidP="00BB7660">
      <w:pPr>
        <w:pStyle w:val="paragraph"/>
      </w:pPr>
      <w:r w:rsidRPr="00CE5ECF">
        <w:tab/>
        <w:t>(a)</w:t>
      </w:r>
      <w:r w:rsidRPr="00CE5ECF">
        <w:tab/>
        <w:t>inform the data holder of the steps to be taken, or that have been taken; and</w:t>
      </w:r>
    </w:p>
    <w:p w14:paraId="0412980D" w14:textId="77777777" w:rsidR="00BB7660" w:rsidRPr="00CE5ECF" w:rsidRDefault="00BB7660" w:rsidP="00BB7660">
      <w:pPr>
        <w:pStyle w:val="paragraph"/>
      </w:pPr>
      <w:r w:rsidRPr="00CE5ECF">
        <w:tab/>
        <w:t>(b)</w:t>
      </w:r>
      <w:r w:rsidRPr="00CE5ECF">
        <w:tab/>
        <w:t>give the data holder a reasonable opportunity to be heard in relation to the matter.</w:t>
      </w:r>
    </w:p>
    <w:p w14:paraId="585FEDA2" w14:textId="77777777" w:rsidR="00BB7660" w:rsidRPr="00CE5ECF" w:rsidRDefault="00BB7660" w:rsidP="00BB7660">
      <w:pPr>
        <w:pStyle w:val="subsection"/>
      </w:pPr>
      <w:r w:rsidRPr="00CE5ECF">
        <w:tab/>
        <w:t>(4)</w:t>
      </w:r>
      <w:r w:rsidRPr="00CE5ECF">
        <w:tab/>
        <w:t>Despite anything else in these rules, a data holder is not required to disclose CDR data in response to a request, where responding to the request would require the data holder to use the Register of Accredited Persons or associated database in a way that is not available to the data holder at that time by reason of steps taken under this rule.</w:t>
      </w:r>
    </w:p>
    <w:p w14:paraId="732C418E" w14:textId="77777777" w:rsidR="00BB7660" w:rsidRPr="00CE5ECF" w:rsidRDefault="00BB7660" w:rsidP="00BB7660">
      <w:pPr>
        <w:pStyle w:val="ActHead5"/>
      </w:pPr>
      <w:bookmarkStart w:id="498" w:name="_Toc36136025"/>
      <w:bookmarkStart w:id="499" w:name="_Toc57219102"/>
      <w:bookmarkStart w:id="500" w:name="_Toc59549174"/>
      <w:bookmarkStart w:id="501" w:name="_Toc111132179"/>
      <w:r w:rsidRPr="00CE5ECF">
        <w:t>5.34  Temporary direction to refrain from processing consumer data requests</w:t>
      </w:r>
      <w:bookmarkEnd w:id="498"/>
      <w:bookmarkEnd w:id="499"/>
      <w:bookmarkEnd w:id="500"/>
      <w:bookmarkEnd w:id="501"/>
    </w:p>
    <w:p w14:paraId="03DBDF66" w14:textId="77777777" w:rsidR="00BB7660" w:rsidRPr="00CE5ECF" w:rsidRDefault="00BB7660" w:rsidP="00BB7660">
      <w:pPr>
        <w:pStyle w:val="subsection"/>
      </w:pPr>
      <w:r w:rsidRPr="00CE5ECF">
        <w:tab/>
        <w:t>(1)</w:t>
      </w:r>
      <w:r w:rsidRPr="00CE5ECF">
        <w:tab/>
        <w:t>The Accreditation Registrar may, by written notice:</w:t>
      </w:r>
    </w:p>
    <w:p w14:paraId="2515F471" w14:textId="77777777" w:rsidR="00BB7660" w:rsidRPr="00CE5ECF" w:rsidRDefault="00BB7660" w:rsidP="00BB7660">
      <w:pPr>
        <w:pStyle w:val="paragraph"/>
      </w:pPr>
      <w:r w:rsidRPr="00CE5ECF">
        <w:tab/>
        <w:t>(a)</w:t>
      </w:r>
      <w:r w:rsidRPr="00CE5ECF">
        <w:tab/>
        <w:t>direct an accredited person not to make consumer data requests; or</w:t>
      </w:r>
    </w:p>
    <w:p w14:paraId="564F6938" w14:textId="77777777" w:rsidR="00BB7660" w:rsidRPr="00CE5ECF" w:rsidRDefault="00BB7660" w:rsidP="00BB7660">
      <w:pPr>
        <w:pStyle w:val="paragraph"/>
        <w:keepNext/>
      </w:pPr>
      <w:r w:rsidRPr="00CE5ECF">
        <w:tab/>
        <w:t>(b)</w:t>
      </w:r>
      <w:r w:rsidRPr="00CE5ECF">
        <w:tab/>
        <w:t>direct a data holder not to respond to consumer data requests;</w:t>
      </w:r>
    </w:p>
    <w:p w14:paraId="3F845ED6" w14:textId="77777777" w:rsidR="00BB7660" w:rsidRPr="00CE5ECF" w:rsidRDefault="00BB7660" w:rsidP="00BB7660">
      <w:pPr>
        <w:pStyle w:val="subsection"/>
        <w:spacing w:before="100"/>
      </w:pPr>
      <w:r w:rsidRPr="00CE5ECF">
        <w:tab/>
      </w:r>
      <w:r w:rsidRPr="00CE5ECF">
        <w:tab/>
        <w:t>for a period of up to</w:t>
      </w:r>
      <w:r w:rsidRPr="00CE5ECF">
        <w:rPr>
          <w:i/>
        </w:rPr>
        <w:t xml:space="preserve"> </w:t>
      </w:r>
      <w:r w:rsidRPr="00CE5ECF">
        <w:t>10 days, if the Accreditation Registrar reasonably believes it is necessary to do so in order to ensure the security, integrity and stability of the Register or associated database.</w:t>
      </w:r>
    </w:p>
    <w:p w14:paraId="54371B3F" w14:textId="77777777" w:rsidR="00BB7660" w:rsidRPr="00CE5ECF" w:rsidRDefault="00BB7660" w:rsidP="00BB7660">
      <w:pPr>
        <w:pStyle w:val="subsection"/>
      </w:pPr>
      <w:r w:rsidRPr="00CE5ECF">
        <w:tab/>
        <w:t>(2)</w:t>
      </w:r>
      <w:r w:rsidRPr="00CE5ECF">
        <w:tab/>
        <w:t>The notice must specify:</w:t>
      </w:r>
    </w:p>
    <w:p w14:paraId="611D221E" w14:textId="77777777" w:rsidR="00BB7660" w:rsidRPr="00CE5ECF" w:rsidRDefault="00BB7660" w:rsidP="00BB7660">
      <w:pPr>
        <w:pStyle w:val="paragraph"/>
      </w:pPr>
      <w:r w:rsidRPr="00CE5ECF">
        <w:tab/>
        <w:t>(a)</w:t>
      </w:r>
      <w:r w:rsidRPr="00CE5ECF">
        <w:tab/>
        <w:t>whether the direction applies to all consumer data requests or to requests made to a particular data holder or by a particular accredited person; and</w:t>
      </w:r>
    </w:p>
    <w:p w14:paraId="35B2B7C2" w14:textId="77777777" w:rsidR="00BB7660" w:rsidRPr="00CE5ECF" w:rsidRDefault="00BB7660" w:rsidP="00BB7660">
      <w:pPr>
        <w:pStyle w:val="paragraph"/>
      </w:pPr>
      <w:r w:rsidRPr="00CE5ECF">
        <w:tab/>
        <w:t>(b)</w:t>
      </w:r>
      <w:r w:rsidRPr="00CE5ECF">
        <w:tab/>
        <w:t>the period of application.</w:t>
      </w:r>
    </w:p>
    <w:p w14:paraId="244065AB" w14:textId="77777777" w:rsidR="00BB7660" w:rsidRPr="00CE5ECF" w:rsidRDefault="00BB7660" w:rsidP="00BB7660">
      <w:pPr>
        <w:pStyle w:val="subsection"/>
      </w:pPr>
      <w:r w:rsidRPr="00CE5ECF">
        <w:tab/>
        <w:t>(3)</w:t>
      </w:r>
      <w:r w:rsidRPr="00CE5ECF">
        <w:tab/>
        <w:t>Before, or as soon as practicable after, giving a direction, the Accreditation Registrar must give the accredited person or data holder a reasonable opportunity to be heard in relation to the matter.</w:t>
      </w:r>
    </w:p>
    <w:p w14:paraId="558922F1" w14:textId="77777777" w:rsidR="00BB7660" w:rsidRPr="00CE5ECF" w:rsidRDefault="00BB7660" w:rsidP="00BB7660">
      <w:pPr>
        <w:pStyle w:val="subsection"/>
      </w:pPr>
      <w:r w:rsidRPr="00CE5ECF">
        <w:tab/>
        <w:t>(4)</w:t>
      </w:r>
      <w:r w:rsidRPr="00CE5ECF">
        <w:tab/>
        <w:t>Despite anything else in these rules:</w:t>
      </w:r>
    </w:p>
    <w:p w14:paraId="090E5EE1" w14:textId="77777777" w:rsidR="00BB7660" w:rsidRPr="00CE5ECF" w:rsidRDefault="00BB7660" w:rsidP="00BB7660">
      <w:pPr>
        <w:pStyle w:val="paragraph"/>
      </w:pPr>
      <w:r w:rsidRPr="00CE5ECF">
        <w:tab/>
        <w:t>(a)</w:t>
      </w:r>
      <w:r w:rsidRPr="00CE5ECF">
        <w:tab/>
        <w:t>an accredited person must not make a consumer data request contrary to a direction it has received under this rule; and</w:t>
      </w:r>
    </w:p>
    <w:p w14:paraId="075AA3BA" w14:textId="77777777" w:rsidR="00BB7660" w:rsidRPr="00CE5ECF" w:rsidRDefault="00BB7660" w:rsidP="00BB7660">
      <w:pPr>
        <w:pStyle w:val="paragraph"/>
      </w:pPr>
      <w:r w:rsidRPr="00CE5ECF">
        <w:tab/>
        <w:t>(b)</w:t>
      </w:r>
      <w:r w:rsidRPr="00CE5ECF">
        <w:tab/>
        <w:t>a data holder must not disclose CDR data in response to a consumer data request contrary to a direction it has received under this rule.</w:t>
      </w:r>
    </w:p>
    <w:p w14:paraId="3B47BCB6" w14:textId="77777777" w:rsidR="00BB7660" w:rsidRPr="00CE5ECF" w:rsidRDefault="00BB7660" w:rsidP="00BB7660">
      <w:pPr>
        <w:pStyle w:val="subsection"/>
      </w:pPr>
      <w:r w:rsidRPr="00CE5ECF">
        <w:tab/>
      </w:r>
      <w:r w:rsidRPr="00CE5ECF">
        <w:tab/>
        <w:t>Civil penalty:</w:t>
      </w:r>
    </w:p>
    <w:p w14:paraId="4A1F570D" w14:textId="77777777" w:rsidR="00BB7660" w:rsidRPr="00CE5ECF" w:rsidRDefault="00BB7660" w:rsidP="00BB7660">
      <w:pPr>
        <w:pStyle w:val="paragraph"/>
      </w:pPr>
      <w:r w:rsidRPr="00CE5ECF">
        <w:tab/>
        <w:t>(a)</w:t>
      </w:r>
      <w:r w:rsidRPr="00CE5ECF">
        <w:tab/>
        <w:t>for an individual―$50,000; and</w:t>
      </w:r>
    </w:p>
    <w:p w14:paraId="2F5B6BC2" w14:textId="77777777" w:rsidR="00BB7660" w:rsidRDefault="00BB7660" w:rsidP="00BB7660">
      <w:pPr>
        <w:pStyle w:val="paragraph"/>
      </w:pPr>
      <w:r w:rsidRPr="00CE5ECF">
        <w:lastRenderedPageBreak/>
        <w:tab/>
        <w:t>(b)</w:t>
      </w:r>
      <w:r>
        <w:tab/>
        <w:t>for a body corporate―$250,000.</w:t>
      </w:r>
    </w:p>
    <w:p w14:paraId="4AF19890" w14:textId="77777777" w:rsidR="00BB7660" w:rsidRPr="00E64A41" w:rsidRDefault="00BB7660" w:rsidP="00BB7660">
      <w:pPr>
        <w:pStyle w:val="subsection"/>
        <w:sectPr w:rsidR="00BB7660" w:rsidRPr="00E64A41" w:rsidSect="0017207A">
          <w:headerReference w:type="even" r:id="rId25"/>
          <w:headerReference w:type="default" r:id="rId26"/>
          <w:footerReference w:type="even" r:id="rId27"/>
          <w:pgSz w:w="11907" w:h="16839" w:code="9"/>
          <w:pgMar w:top="2234" w:right="1797" w:bottom="1440" w:left="1797" w:header="720" w:footer="709" w:gutter="0"/>
          <w:pgNumType w:start="1"/>
          <w:cols w:space="708"/>
          <w:docGrid w:linePitch="360"/>
        </w:sectPr>
      </w:pPr>
    </w:p>
    <w:p w14:paraId="3176B18B" w14:textId="77777777" w:rsidR="00BB7660" w:rsidRDefault="00BB7660" w:rsidP="00BB7660">
      <w:pPr>
        <w:pStyle w:val="ActHead2"/>
      </w:pPr>
      <w:bookmarkStart w:id="502" w:name="_Toc11771659"/>
      <w:bookmarkStart w:id="503" w:name="_Toc111132180"/>
      <w:r>
        <w:lastRenderedPageBreak/>
        <w:t>Part 6—Rules relating to dispute resolution</w:t>
      </w:r>
      <w:bookmarkEnd w:id="502"/>
      <w:bookmarkEnd w:id="503"/>
    </w:p>
    <w:p w14:paraId="3185E42F" w14:textId="77777777" w:rsidR="00BB7660" w:rsidRPr="00E1300D" w:rsidRDefault="00BB7660" w:rsidP="00BB7660">
      <w:pPr>
        <w:pStyle w:val="ActHead5"/>
        <w:rPr>
          <w:color w:val="000000" w:themeColor="text1"/>
        </w:rPr>
      </w:pPr>
      <w:bookmarkStart w:id="504" w:name="_Toc111132181"/>
      <w:bookmarkStart w:id="505" w:name="_Toc11771660"/>
      <w:r>
        <w:rPr>
          <w:color w:val="000000" w:themeColor="text1"/>
        </w:rPr>
        <w:t>6.1</w:t>
      </w:r>
      <w:r w:rsidRPr="00E1300D">
        <w:rPr>
          <w:color w:val="000000" w:themeColor="text1"/>
        </w:rPr>
        <w:t xml:space="preserve">  Requirement for data holders―internal dispute resolution</w:t>
      </w:r>
      <w:bookmarkEnd w:id="504"/>
    </w:p>
    <w:p w14:paraId="788FABDF" w14:textId="77777777" w:rsidR="00BB7660" w:rsidRPr="00E1300D" w:rsidRDefault="00BB7660" w:rsidP="00BB7660">
      <w:pPr>
        <w:pStyle w:val="subsection"/>
        <w:rPr>
          <w:color w:val="000000" w:themeColor="text1"/>
        </w:rPr>
      </w:pPr>
      <w:r w:rsidRPr="00E1300D">
        <w:rPr>
          <w:color w:val="000000" w:themeColor="text1"/>
        </w:rPr>
        <w:tab/>
      </w:r>
      <w:r w:rsidRPr="00E1300D">
        <w:rPr>
          <w:color w:val="000000" w:themeColor="text1"/>
        </w:rPr>
        <w:tab/>
        <w:t xml:space="preserve">A data holder in relation to a particular designated sector must have internal dispute resolution </w:t>
      </w:r>
      <w:r w:rsidRPr="00814B1D">
        <w:t xml:space="preserve">processes </w:t>
      </w:r>
      <w:r w:rsidRPr="00E1300D">
        <w:rPr>
          <w:color w:val="000000" w:themeColor="text1"/>
        </w:rPr>
        <w:t>that meet the internal dispute resolution requirements in relation to that sector.</w:t>
      </w:r>
    </w:p>
    <w:p w14:paraId="3AC1912F" w14:textId="77777777" w:rsidR="00BB7660" w:rsidRPr="00A00F6F" w:rsidRDefault="00BB7660" w:rsidP="00BB7660">
      <w:pPr>
        <w:pStyle w:val="notetext"/>
      </w:pPr>
      <w:r w:rsidRPr="00A00F6F">
        <w:t>Note 1:</w:t>
      </w:r>
      <w:r w:rsidRPr="00A00F6F">
        <w:tab/>
        <w:t>See rule 1.7 for the meaning of “meets the internal dispute resolution requirements”.  See also:</w:t>
      </w:r>
    </w:p>
    <w:p w14:paraId="2EEB85A0"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banking sector—clause 5.1 of Schedule 3;</w:t>
      </w:r>
    </w:p>
    <w:p w14:paraId="1C7224E4"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t>for the energy sector—clause 5.1 of Schedule 4.</w:t>
      </w:r>
    </w:p>
    <w:p w14:paraId="61FE0988" w14:textId="77777777" w:rsidR="00BB7660" w:rsidRPr="00814B1D" w:rsidRDefault="00BB7660" w:rsidP="00BB7660">
      <w:pPr>
        <w:pStyle w:val="notetext"/>
      </w:pPr>
      <w:r w:rsidRPr="00E1300D">
        <w:rPr>
          <w:color w:val="000000" w:themeColor="text1"/>
        </w:rPr>
        <w:t>Note 2:</w:t>
      </w:r>
      <w:r w:rsidRPr="00E1300D">
        <w:rPr>
          <w:color w:val="000000" w:themeColor="text1"/>
        </w:rPr>
        <w:tab/>
      </w:r>
      <w:r w:rsidRPr="00814B1D">
        <w:t>An accredited person must also have internal dispute resolution processes that meet those internal dispute resolution requirements: see paragraph </w:t>
      </w:r>
      <w:r>
        <w:t>5.12(1)(b)</w:t>
      </w:r>
      <w:r w:rsidRPr="00814B1D">
        <w:t>.</w:t>
      </w:r>
    </w:p>
    <w:p w14:paraId="69C083EA" w14:textId="77777777" w:rsidR="00BB7660" w:rsidRDefault="00BB7660" w:rsidP="00BB7660">
      <w:pPr>
        <w:pStyle w:val="notetext"/>
        <w:rPr>
          <w:color w:val="000000" w:themeColor="text1"/>
        </w:rPr>
      </w:pPr>
      <w:r w:rsidRPr="00814B1D">
        <w:t>Note 3:</w:t>
      </w:r>
      <w:r w:rsidRPr="00814B1D">
        <w:tab/>
      </w:r>
      <w:r w:rsidRPr="00E1300D">
        <w:rPr>
          <w:color w:val="000000" w:themeColor="text1"/>
        </w:rPr>
        <w:t>This rule is a civil penalty provision (see rule </w:t>
      </w:r>
      <w:r>
        <w:rPr>
          <w:color w:val="000000" w:themeColor="text1"/>
        </w:rPr>
        <w:t>9.8</w:t>
      </w:r>
      <w:r w:rsidRPr="00E1300D">
        <w:rPr>
          <w:color w:val="000000" w:themeColor="text1"/>
        </w:rPr>
        <w:t>).</w:t>
      </w:r>
      <w:bookmarkEnd w:id="505"/>
    </w:p>
    <w:p w14:paraId="19919C39" w14:textId="77777777" w:rsidR="00BB7660" w:rsidRPr="001151F8" w:rsidRDefault="00BB7660" w:rsidP="00BB7660">
      <w:pPr>
        <w:pStyle w:val="ActHead5"/>
      </w:pPr>
      <w:bookmarkStart w:id="506" w:name="_Toc111132182"/>
      <w:r>
        <w:t>6.2</w:t>
      </w:r>
      <w:r w:rsidRPr="001151F8">
        <w:t xml:space="preserve">  Requirement for data holders―external dispute resolution</w:t>
      </w:r>
      <w:bookmarkEnd w:id="506"/>
    </w:p>
    <w:p w14:paraId="022305FC" w14:textId="77777777" w:rsidR="00BB7660" w:rsidRPr="001151F8" w:rsidRDefault="00BB7660" w:rsidP="00BB7660">
      <w:pPr>
        <w:pStyle w:val="subsection"/>
      </w:pPr>
      <w:r w:rsidRPr="001151F8">
        <w:tab/>
      </w:r>
      <w:r w:rsidRPr="001151F8">
        <w:tab/>
        <w:t>A data holder must be a member of a recognised external dispute resolution scheme in relation to CDR consumer complaints.</w:t>
      </w:r>
    </w:p>
    <w:p w14:paraId="14A94EC5" w14:textId="77777777" w:rsidR="00BB7660" w:rsidRPr="001151F8" w:rsidRDefault="00BB7660" w:rsidP="00BB7660">
      <w:pPr>
        <w:pStyle w:val="notetext"/>
      </w:pPr>
      <w:r w:rsidRPr="001151F8">
        <w:t>Note 1:</w:t>
      </w:r>
      <w:r w:rsidRPr="001151F8">
        <w:tab/>
        <w:t>See the definition of “recognised external dispute resolution scheme” in subrule </w:t>
      </w:r>
      <w:r>
        <w:t>1.7(1)</w:t>
      </w:r>
      <w:r w:rsidRPr="001151F8">
        <w:t>, and see subrule </w:t>
      </w:r>
      <w:r>
        <w:t>1.7(3)</w:t>
      </w:r>
      <w:r w:rsidRPr="001151F8">
        <w:t xml:space="preserve"> for the interpretation of references to “data holder”.</w:t>
      </w:r>
    </w:p>
    <w:p w14:paraId="3E3F9437" w14:textId="77777777" w:rsidR="00BB7660" w:rsidRPr="00A00F6F" w:rsidRDefault="00BB7660" w:rsidP="00BB7660">
      <w:pPr>
        <w:pStyle w:val="notetext"/>
      </w:pPr>
      <w:r w:rsidRPr="001151F8">
        <w:t>Note 2:</w:t>
      </w:r>
      <w:r w:rsidRPr="001151F8">
        <w:tab/>
      </w:r>
      <w:r w:rsidRPr="00814B1D">
        <w:t>An accredited person must also be a member of such a recognised external dispute resolution scheme: see paragraph </w:t>
      </w:r>
      <w:r>
        <w:t>5.12(1)(c)</w:t>
      </w:r>
      <w:r w:rsidRPr="00814B1D">
        <w:t>.</w:t>
      </w:r>
      <w:r>
        <w:t xml:space="preserve">  </w:t>
      </w:r>
      <w:r w:rsidRPr="00A00F6F">
        <w:t>See also clause 5.2 of Schedule 4.</w:t>
      </w:r>
    </w:p>
    <w:p w14:paraId="2825D8C0" w14:textId="77777777" w:rsidR="00BB7660" w:rsidRPr="00930BF8" w:rsidRDefault="00BB7660" w:rsidP="00BB7660">
      <w:pPr>
        <w:pStyle w:val="notetext"/>
      </w:pPr>
      <w:r w:rsidRPr="00930BF8">
        <w:t>Note 3:</w:t>
      </w:r>
      <w:r w:rsidRPr="00930BF8">
        <w:tab/>
        <w:t xml:space="preserve">This rule is a civil penalty provision (see rule 9.8). </w:t>
      </w:r>
    </w:p>
    <w:p w14:paraId="4EF8FE43" w14:textId="77777777" w:rsidR="00BB7660" w:rsidRPr="00E1300D" w:rsidRDefault="00BB7660" w:rsidP="00BB7660">
      <w:pPr>
        <w:pStyle w:val="notetext"/>
        <w:rPr>
          <w:color w:val="000000" w:themeColor="text1"/>
        </w:rPr>
      </w:pPr>
    </w:p>
    <w:p w14:paraId="7DC15E71" w14:textId="77777777" w:rsidR="00BB7660" w:rsidRPr="00E64A41" w:rsidRDefault="00BB7660" w:rsidP="00BB7660">
      <w:pPr>
        <w:pStyle w:val="subsection"/>
        <w:sectPr w:rsidR="00BB7660" w:rsidRPr="00E64A41" w:rsidSect="0051288D">
          <w:headerReference w:type="even" r:id="rId28"/>
          <w:headerReference w:type="default" r:id="rId29"/>
          <w:footerReference w:type="even" r:id="rId30"/>
          <w:pgSz w:w="11907" w:h="16839" w:code="9"/>
          <w:pgMar w:top="2234" w:right="1797" w:bottom="1440" w:left="1797" w:header="720" w:footer="709" w:gutter="0"/>
          <w:cols w:space="708"/>
          <w:docGrid w:linePitch="360"/>
        </w:sectPr>
      </w:pPr>
    </w:p>
    <w:p w14:paraId="7E5119E5" w14:textId="77777777" w:rsidR="00BB7660" w:rsidRDefault="00BB7660" w:rsidP="00BB7660">
      <w:pPr>
        <w:pStyle w:val="ActHead2"/>
      </w:pPr>
      <w:bookmarkStart w:id="507" w:name="_Toc11771663"/>
      <w:bookmarkStart w:id="508" w:name="_Toc111132183"/>
      <w:r>
        <w:lastRenderedPageBreak/>
        <w:t>Part 7—Rules relating to privacy safeguards</w:t>
      </w:r>
      <w:bookmarkEnd w:id="507"/>
      <w:bookmarkEnd w:id="508"/>
    </w:p>
    <w:p w14:paraId="085B6858" w14:textId="77777777" w:rsidR="00BB7660" w:rsidRPr="00B3173B" w:rsidRDefault="00BB7660" w:rsidP="00BB7660">
      <w:pPr>
        <w:pStyle w:val="ActHead3"/>
      </w:pPr>
      <w:bookmarkStart w:id="509" w:name="_Toc11771664"/>
      <w:bookmarkStart w:id="510" w:name="_Toc111132184"/>
      <w:r>
        <w:t>Division 7.1</w:t>
      </w:r>
      <w:r w:rsidRPr="00B3173B">
        <w:t>—Preliminary</w:t>
      </w:r>
      <w:bookmarkEnd w:id="509"/>
      <w:bookmarkEnd w:id="510"/>
    </w:p>
    <w:p w14:paraId="35BEBF14" w14:textId="77777777" w:rsidR="00BB7660" w:rsidRPr="00B3173B" w:rsidRDefault="00BB7660" w:rsidP="00BB7660">
      <w:pPr>
        <w:pStyle w:val="ActHead5"/>
      </w:pPr>
      <w:bookmarkStart w:id="511" w:name="_Toc11771665"/>
      <w:bookmarkStart w:id="512" w:name="_Toc111132185"/>
      <w:r>
        <w:t>7.1</w:t>
      </w:r>
      <w:r w:rsidRPr="00B3173B">
        <w:t xml:space="preserve">  Simplified outline of this Part</w:t>
      </w:r>
      <w:bookmarkEnd w:id="511"/>
      <w:bookmarkEnd w:id="512"/>
    </w:p>
    <w:p w14:paraId="71B52433" w14:textId="77777777" w:rsidR="00BB7660" w:rsidRPr="003F3AC9" w:rsidRDefault="00BB7660" w:rsidP="00BB7660">
      <w:pPr>
        <w:pStyle w:val="SOText"/>
      </w:pPr>
      <w:r>
        <w:rPr>
          <w:color w:val="000000"/>
        </w:rPr>
        <w:t xml:space="preserve">The privacy safeguards are an additional protection given to CDR data under </w:t>
      </w:r>
      <w:r w:rsidRPr="004A04A4">
        <w:rPr>
          <w:color w:val="0000FF"/>
        </w:rPr>
        <w:t>Part IVD</w:t>
      </w:r>
      <w:r w:rsidR="00BC1D87" w:rsidRPr="00BC1D87">
        <w:rPr>
          <w:strike/>
          <w:color w:val="0000FF"/>
        </w:rPr>
        <w:t xml:space="preserve"> PartIV</w:t>
      </w:r>
      <w:r w:rsidRPr="00BC1D87">
        <w:t xml:space="preserve"> o</w:t>
      </w:r>
      <w:r>
        <w:rPr>
          <w:color w:val="000000"/>
        </w:rPr>
        <w:t xml:space="preserve">f the Act. The privacy safeguards </w:t>
      </w:r>
      <w:r>
        <w:rPr>
          <w:color w:val="000000"/>
          <w:szCs w:val="22"/>
          <w:shd w:val="clear" w:color="auto" w:fill="FFFFFF"/>
        </w:rPr>
        <w:t>apply only to CDR data for which there are one or more CDR consumers (</w:t>
      </w:r>
      <w:r w:rsidRPr="001A26F9">
        <w:rPr>
          <w:szCs w:val="22"/>
          <w:shd w:val="clear" w:color="auto" w:fill="FFFFFF"/>
        </w:rPr>
        <w:t xml:space="preserve">such as </w:t>
      </w:r>
      <w:r>
        <w:rPr>
          <w:color w:val="000000"/>
          <w:szCs w:val="22"/>
          <w:shd w:val="clear" w:color="auto" w:fill="FFFFFF"/>
        </w:rPr>
        <w:t xml:space="preserve">required consumer </w:t>
      </w:r>
      <w:r w:rsidRPr="003F3AC9">
        <w:rPr>
          <w:szCs w:val="22"/>
          <w:shd w:val="clear" w:color="auto" w:fill="FFFFFF"/>
        </w:rPr>
        <w:t>data and voluntary consumer data); they do not apply to CDR data for which there are no CDR consumers (such as required product data and voluntary product data).</w:t>
      </w:r>
    </w:p>
    <w:p w14:paraId="4D3AB2BC" w14:textId="77777777" w:rsidR="00BB7660" w:rsidRPr="003F3AC9" w:rsidRDefault="00BB7660" w:rsidP="00BB7660">
      <w:pPr>
        <w:pStyle w:val="SOText"/>
      </w:pPr>
      <w:r w:rsidRPr="003F3AC9">
        <w:t>Several of the privacy safeguards depend on matters specified in these rules for their operation. This Part sets out the rules that relate to the privacy safeguards.</w:t>
      </w:r>
    </w:p>
    <w:p w14:paraId="5FE7BA06" w14:textId="77777777" w:rsidR="00BB7660" w:rsidRPr="003F3AC9" w:rsidRDefault="00BB7660" w:rsidP="00BB7660">
      <w:pPr>
        <w:pStyle w:val="SOText"/>
      </w:pPr>
      <w:r w:rsidRPr="003F3AC9">
        <w:t xml:space="preserve">This Part also sets out some additional civil penalty provisions </w:t>
      </w:r>
      <w:r w:rsidRPr="003F3AC9">
        <w:rPr>
          <w:szCs w:val="22"/>
          <w:shd w:val="clear" w:color="auto" w:fill="FFFFFF"/>
        </w:rPr>
        <w:t>that protect the privacy or confidentiality of CDR consumers’ CDR data</w:t>
      </w:r>
      <w:r w:rsidRPr="003F3AC9">
        <w:t>.</w:t>
      </w:r>
    </w:p>
    <w:p w14:paraId="57D86F51" w14:textId="77777777" w:rsidR="00BB7660" w:rsidRDefault="00BB7660" w:rsidP="00BB7660">
      <w:pPr>
        <w:pStyle w:val="ActHead3"/>
        <w:pageBreakBefore/>
      </w:pPr>
      <w:bookmarkStart w:id="513" w:name="_Toc11771666"/>
      <w:bookmarkStart w:id="514" w:name="_Toc111132186"/>
      <w:r>
        <w:lastRenderedPageBreak/>
        <w:t>Division 7.2—Rules relating to privacy safeguards</w:t>
      </w:r>
      <w:bookmarkEnd w:id="513"/>
      <w:bookmarkEnd w:id="514"/>
    </w:p>
    <w:p w14:paraId="253348EC" w14:textId="77777777" w:rsidR="00BB7660" w:rsidRDefault="00BB7660" w:rsidP="00BB7660">
      <w:pPr>
        <w:pStyle w:val="ActHead4"/>
      </w:pPr>
      <w:bookmarkStart w:id="515" w:name="_Toc11771667"/>
      <w:bookmarkStart w:id="516" w:name="_Toc111132187"/>
      <w:r>
        <w:t>Subdivision 7.2.1—Rules relating to consideration of CDR data privacy</w:t>
      </w:r>
      <w:bookmarkEnd w:id="515"/>
      <w:bookmarkEnd w:id="516"/>
    </w:p>
    <w:p w14:paraId="3B815F0D" w14:textId="77777777" w:rsidR="00BB7660" w:rsidRPr="00A00F6F" w:rsidRDefault="00BB7660" w:rsidP="00BB7660">
      <w:pPr>
        <w:pStyle w:val="ActHead5"/>
      </w:pPr>
      <w:bookmarkStart w:id="517" w:name="_Toc111132188"/>
      <w:bookmarkStart w:id="518" w:name="_Toc11771669"/>
      <w:r w:rsidRPr="00A00F6F">
        <w:t>7.2  Rule relating to privacy safeguard 1—open and transparent management of CDR data</w:t>
      </w:r>
      <w:bookmarkEnd w:id="517"/>
    </w:p>
    <w:p w14:paraId="6D283CFA" w14:textId="77777777" w:rsidR="00BB7660" w:rsidRPr="00A00F6F" w:rsidRDefault="00BB7660" w:rsidP="00BB7660">
      <w:pPr>
        <w:pStyle w:val="SubsectionHead"/>
      </w:pPr>
      <w:r w:rsidRPr="00A00F6F">
        <w:t>Policy about the management of CDR data</w:t>
      </w:r>
    </w:p>
    <w:p w14:paraId="3BB8390F" w14:textId="77777777" w:rsidR="00BB7660" w:rsidRPr="00A00F6F" w:rsidRDefault="00BB7660" w:rsidP="00BB7660">
      <w:pPr>
        <w:pStyle w:val="subsection"/>
      </w:pPr>
      <w:r w:rsidRPr="00A00F6F">
        <w:tab/>
        <w:t>(1)</w:t>
      </w:r>
      <w:r w:rsidRPr="00A00F6F">
        <w:tab/>
        <w:t>For paragraph 56ED(3)(b) of the Act, the Information Commissioner may approve a form for a CDR policy.</w:t>
      </w:r>
    </w:p>
    <w:p w14:paraId="2571C034" w14:textId="77777777" w:rsidR="00BB7660" w:rsidRPr="00A00F6F" w:rsidRDefault="00BB7660" w:rsidP="00BB7660">
      <w:pPr>
        <w:pStyle w:val="subsection"/>
      </w:pPr>
      <w:r w:rsidRPr="00A00F6F">
        <w:tab/>
        <w:t>(2)</w:t>
      </w:r>
      <w:r w:rsidRPr="00A00F6F">
        <w:tab/>
        <w:t>For paragraph 56ED(3)(b) of the Act, the CDR entity’s CDR policy must be in the form of a document that is distinct from any of the CDR entity’s privacy policies.</w:t>
      </w:r>
    </w:p>
    <w:p w14:paraId="17E756DF" w14:textId="77777777" w:rsidR="00BB7660" w:rsidRPr="00A00F6F" w:rsidRDefault="00BB7660" w:rsidP="00BB7660">
      <w:pPr>
        <w:pStyle w:val="SubsectionHead"/>
      </w:pPr>
      <w:r w:rsidRPr="00A00F6F">
        <w:t>Additional information for CDR policy</w:t>
      </w:r>
    </w:p>
    <w:p w14:paraId="20FC6388" w14:textId="77777777" w:rsidR="00BB7660" w:rsidRPr="00A00F6F" w:rsidRDefault="00BB7660" w:rsidP="00BB7660">
      <w:pPr>
        <w:pStyle w:val="subsection"/>
      </w:pPr>
      <w:r w:rsidRPr="00A00F6F">
        <w:tab/>
        <w:t>(3)</w:t>
      </w:r>
      <w:r w:rsidRPr="00A00F6F">
        <w:tab/>
        <w:t>In addition to the information referred to in subsection 56ED(4) of the Act, the data holder’s CDR policy must indicate:</w:t>
      </w:r>
    </w:p>
    <w:p w14:paraId="0D832CEE" w14:textId="77777777" w:rsidR="00BB7660" w:rsidRPr="00A00F6F" w:rsidRDefault="00BB7660" w:rsidP="00BB7660">
      <w:pPr>
        <w:pStyle w:val="paragraph"/>
      </w:pPr>
      <w:r w:rsidRPr="00A00F6F">
        <w:tab/>
        <w:t>(a)</w:t>
      </w:r>
      <w:r w:rsidRPr="00A00F6F">
        <w:tab/>
        <w:t>whether it accepts requests for:</w:t>
      </w:r>
    </w:p>
    <w:p w14:paraId="7C5F55BD" w14:textId="77777777" w:rsidR="00BB7660" w:rsidRPr="00A00F6F" w:rsidRDefault="00BB7660" w:rsidP="00BB7660">
      <w:pPr>
        <w:pStyle w:val="paragraphsub"/>
      </w:pPr>
      <w:r w:rsidRPr="00A00F6F">
        <w:tab/>
        <w:t>(i)</w:t>
      </w:r>
      <w:r w:rsidRPr="00A00F6F">
        <w:tab/>
        <w:t>voluntary product data; or</w:t>
      </w:r>
    </w:p>
    <w:p w14:paraId="70692519" w14:textId="77777777" w:rsidR="00BB7660" w:rsidRPr="00A00F6F" w:rsidRDefault="00BB7660" w:rsidP="00BB7660">
      <w:pPr>
        <w:pStyle w:val="paragraphsub"/>
      </w:pPr>
      <w:r w:rsidRPr="00A00F6F">
        <w:tab/>
        <w:t>(ii)</w:t>
      </w:r>
      <w:r w:rsidRPr="00A00F6F">
        <w:tab/>
        <w:t>voluntary consumer data; and</w:t>
      </w:r>
    </w:p>
    <w:p w14:paraId="0CC13096" w14:textId="77777777" w:rsidR="00BB7660" w:rsidRPr="00A00F6F" w:rsidRDefault="00BB7660" w:rsidP="00BB7660">
      <w:pPr>
        <w:pStyle w:val="paragraph"/>
      </w:pPr>
      <w:r w:rsidRPr="00A00F6F">
        <w:tab/>
        <w:t>(b)</w:t>
      </w:r>
      <w:r w:rsidRPr="00A00F6F">
        <w:tab/>
        <w:t>if so:</w:t>
      </w:r>
    </w:p>
    <w:p w14:paraId="6A71B1BF" w14:textId="77777777" w:rsidR="00BB7660" w:rsidRPr="00A00F6F" w:rsidRDefault="00BB7660" w:rsidP="00BB7660">
      <w:pPr>
        <w:pStyle w:val="paragraphsub"/>
      </w:pPr>
      <w:r w:rsidRPr="00A00F6F">
        <w:tab/>
        <w:t>(i)</w:t>
      </w:r>
      <w:r w:rsidRPr="00A00F6F">
        <w:tab/>
        <w:t>whether it charges fees for disclosure of such data; and</w:t>
      </w:r>
    </w:p>
    <w:p w14:paraId="26BCE2A0" w14:textId="77777777" w:rsidR="00BB7660" w:rsidRPr="00A00F6F" w:rsidRDefault="00BB7660" w:rsidP="00BB7660">
      <w:pPr>
        <w:pStyle w:val="paragraphsub"/>
      </w:pPr>
      <w:r w:rsidRPr="00A00F6F">
        <w:tab/>
        <w:t>(ii)</w:t>
      </w:r>
      <w:r w:rsidRPr="00A00F6F">
        <w:tab/>
        <w:t>if it does―how information about those fees can be obtained.</w:t>
      </w:r>
    </w:p>
    <w:p w14:paraId="374EDFBA" w14:textId="77777777" w:rsidR="00BB7660" w:rsidRPr="00A00F6F" w:rsidRDefault="00BB7660" w:rsidP="00BB7660">
      <w:pPr>
        <w:pStyle w:val="subsection"/>
      </w:pPr>
      <w:r w:rsidRPr="00A00F6F">
        <w:tab/>
        <w:t>(4)</w:t>
      </w:r>
      <w:r w:rsidRPr="00A00F6F">
        <w:tab/>
        <w:t>In addition to the information referred to in subsection 56ED(5) of the Act, the CDR policy of an accredited person who is or who may become an accredited data recipient of CDR data must include the following:</w:t>
      </w:r>
    </w:p>
    <w:p w14:paraId="67E9C6F9" w14:textId="77777777" w:rsidR="00BB7660" w:rsidRPr="00A00F6F" w:rsidRDefault="00BB7660" w:rsidP="00BB7660">
      <w:pPr>
        <w:pStyle w:val="paragraph"/>
      </w:pPr>
      <w:r w:rsidRPr="00A00F6F">
        <w:tab/>
        <w:t>(a)</w:t>
      </w:r>
      <w:r w:rsidRPr="00A00F6F">
        <w:tab/>
        <w:t>a statement indicating the consequences to the CDR consumer if they withdraw a consent to collect and use CDR data;</w:t>
      </w:r>
    </w:p>
    <w:p w14:paraId="0E832796" w14:textId="77777777" w:rsidR="00450A8A" w:rsidRPr="00270C3C" w:rsidRDefault="00BB7660" w:rsidP="00450A8A">
      <w:pPr>
        <w:pStyle w:val="paragraph"/>
        <w:shd w:val="clear" w:color="auto" w:fill="FFFFFF"/>
        <w:rPr>
          <w:strike/>
          <w:color w:val="0000FF"/>
          <w:szCs w:val="22"/>
        </w:rPr>
      </w:pPr>
      <w:r w:rsidRPr="00270C3C">
        <w:rPr>
          <w:strike/>
          <w:color w:val="0000FF"/>
        </w:rPr>
        <w:tab/>
      </w:r>
      <w:r w:rsidR="00450A8A" w:rsidRPr="00270C3C">
        <w:rPr>
          <w:strike/>
          <w:color w:val="0000FF"/>
          <w:szCs w:val="22"/>
        </w:rPr>
        <w:t>                    (aa)  include a list of the accredited persons with whom the accredited data recipient has a sponsorship arrangement; and</w:t>
      </w:r>
    </w:p>
    <w:p w14:paraId="589252E6" w14:textId="77777777" w:rsidR="00450A8A" w:rsidRPr="00270C3C" w:rsidRDefault="00450A8A" w:rsidP="00450A8A">
      <w:pPr>
        <w:pStyle w:val="paragraph"/>
        <w:shd w:val="clear" w:color="auto" w:fill="FFFFFF"/>
        <w:rPr>
          <w:strike/>
          <w:color w:val="0000FF"/>
          <w:szCs w:val="22"/>
        </w:rPr>
      </w:pPr>
      <w:r w:rsidRPr="00270C3C">
        <w:rPr>
          <w:strike/>
          <w:color w:val="0000FF"/>
          <w:szCs w:val="22"/>
        </w:rPr>
        <w:t>                   (ab)  for each such arrangement—include the nature of the services one party provides to the other party; and</w:t>
      </w:r>
    </w:p>
    <w:p w14:paraId="00831E3F" w14:textId="77777777" w:rsidR="00BB7660" w:rsidRPr="00A00F6F" w:rsidRDefault="00450A8A" w:rsidP="00450A8A">
      <w:pPr>
        <w:pStyle w:val="paragraph"/>
      </w:pPr>
      <w:r w:rsidRPr="00A00F6F">
        <w:t xml:space="preserve"> </w:t>
      </w:r>
      <w:r>
        <w:tab/>
      </w:r>
      <w:r w:rsidR="00BB7660" w:rsidRPr="00A00F6F">
        <w:t>(b)</w:t>
      </w:r>
      <w:r w:rsidR="00BB7660" w:rsidRPr="00A00F6F">
        <w:tab/>
        <w:t xml:space="preserve">a list of any other accredited persons with whom the accredited person has a sponsorship arrangement; </w:t>
      </w:r>
    </w:p>
    <w:p w14:paraId="412BFE73" w14:textId="77777777" w:rsidR="00BB7660" w:rsidRPr="00A00F6F" w:rsidRDefault="00BB7660" w:rsidP="00BB7660">
      <w:pPr>
        <w:pStyle w:val="paragraph"/>
      </w:pPr>
      <w:r w:rsidRPr="00A00F6F">
        <w:tab/>
        <w:t>(c)</w:t>
      </w:r>
      <w:r w:rsidRPr="00A00F6F">
        <w:tab/>
        <w:t>for each such arrangement—the nature of the services one party provides to the other party;</w:t>
      </w:r>
    </w:p>
    <w:p w14:paraId="4FCD5805" w14:textId="77777777" w:rsidR="00BB7660" w:rsidRPr="00A00F6F" w:rsidRDefault="00BB7660" w:rsidP="00BB7660">
      <w:pPr>
        <w:pStyle w:val="paragraph"/>
      </w:pPr>
      <w:r w:rsidRPr="00A00F6F">
        <w:tab/>
        <w:t>(d)</w:t>
      </w:r>
      <w:r w:rsidRPr="00A00F6F">
        <w:tab/>
        <w:t>a list of the CDR representatives of the accredited person;</w:t>
      </w:r>
    </w:p>
    <w:p w14:paraId="13B69FBF" w14:textId="77777777" w:rsidR="00BB7660" w:rsidRPr="009F28B3" w:rsidRDefault="00BB7660" w:rsidP="00BB7660">
      <w:pPr>
        <w:pStyle w:val="paragraph"/>
      </w:pPr>
      <w:r w:rsidRPr="009F28B3">
        <w:tab/>
        <w:t>(e)</w:t>
      </w:r>
      <w:r w:rsidRPr="009F28B3">
        <w:tab/>
        <w:t>for each CDR representative—the nature of the goods and services that the CDR representative provides to customers using CDR data;</w:t>
      </w:r>
    </w:p>
    <w:p w14:paraId="601B1363" w14:textId="77777777" w:rsidR="00BB7660" w:rsidRPr="004A04A4" w:rsidRDefault="00BB7660" w:rsidP="00BB7660">
      <w:pPr>
        <w:pStyle w:val="paragraph"/>
        <w:rPr>
          <w:color w:val="0000FF"/>
        </w:rPr>
      </w:pPr>
      <w:r w:rsidRPr="004A04A4">
        <w:rPr>
          <w:color w:val="0000FF"/>
        </w:rPr>
        <w:tab/>
        <w:t>(f)</w:t>
      </w:r>
      <w:r w:rsidRPr="004A04A4">
        <w:rPr>
          <w:color w:val="0000FF"/>
        </w:rPr>
        <w:tab/>
        <w:t xml:space="preserve">a list of the direct </w:t>
      </w:r>
      <w:r w:rsidR="003A63A8" w:rsidRPr="00F524AD">
        <w:rPr>
          <w:color w:val="0000FF"/>
        </w:rPr>
        <w:t xml:space="preserve">and indirect </w:t>
      </w:r>
      <w:r w:rsidRPr="004A04A4">
        <w:rPr>
          <w:color w:val="0000FF"/>
        </w:rPr>
        <w:t xml:space="preserve">OSPs of the accredited person </w:t>
      </w:r>
      <w:r w:rsidR="003A63A8" w:rsidRPr="00F524AD">
        <w:rPr>
          <w:color w:val="0000FF"/>
        </w:rPr>
        <w:t xml:space="preserve">and of any CDR representative </w:t>
      </w:r>
      <w:r w:rsidRPr="004A04A4">
        <w:rPr>
          <w:color w:val="0000FF"/>
        </w:rPr>
        <w:t>(whether based in Australia or based overseas, and whether or not any is an accredited person);</w:t>
      </w:r>
    </w:p>
    <w:p w14:paraId="09C3B53A" w14:textId="77777777" w:rsidR="00BC1D87" w:rsidRPr="00BC1D87" w:rsidRDefault="00BC1D87" w:rsidP="00BC1D87">
      <w:pPr>
        <w:pStyle w:val="paragraph"/>
        <w:rPr>
          <w:strike/>
          <w:color w:val="0000FF"/>
        </w:rPr>
      </w:pPr>
      <w:r w:rsidRPr="00BC1D87">
        <w:rPr>
          <w:strike/>
          <w:color w:val="0000FF"/>
        </w:rPr>
        <w:lastRenderedPageBreak/>
        <w:tab/>
        <w:t>(f)</w:t>
      </w:r>
      <w:r w:rsidRPr="00BC1D87">
        <w:rPr>
          <w:strike/>
          <w:color w:val="0000FF"/>
        </w:rPr>
        <w:tab/>
        <w:t>a list of the outsourced service providers of the accredited person (whether based in Australia or based overseas, and whether or not any is an accredited person);</w:t>
      </w:r>
    </w:p>
    <w:p w14:paraId="340C3A01" w14:textId="77777777" w:rsidR="00BB7660" w:rsidRPr="00A00F6F" w:rsidRDefault="00BB7660" w:rsidP="00BB7660">
      <w:pPr>
        <w:pStyle w:val="paragraph"/>
      </w:pPr>
      <w:r w:rsidRPr="00A00F6F">
        <w:tab/>
        <w:t>(g)</w:t>
      </w:r>
      <w:r w:rsidRPr="00A00F6F">
        <w:tab/>
        <w:t>for each such service provider:</w:t>
      </w:r>
    </w:p>
    <w:p w14:paraId="5419FA39" w14:textId="77777777" w:rsidR="00BB7660" w:rsidRPr="00A00F6F" w:rsidRDefault="00BB7660" w:rsidP="00BB7660">
      <w:pPr>
        <w:pStyle w:val="paragraphsub"/>
      </w:pPr>
      <w:r w:rsidRPr="00A00F6F">
        <w:tab/>
        <w:t>(i)</w:t>
      </w:r>
      <w:r w:rsidRPr="00A00F6F">
        <w:tab/>
        <w:t>the nature of the services it provides;</w:t>
      </w:r>
    </w:p>
    <w:p w14:paraId="03A14FF3" w14:textId="77777777" w:rsidR="00BB7660" w:rsidRPr="00A00F6F" w:rsidRDefault="00BB7660" w:rsidP="00BB7660">
      <w:pPr>
        <w:pStyle w:val="paragraphsub"/>
      </w:pPr>
      <w:r w:rsidRPr="00A00F6F">
        <w:tab/>
        <w:t>(ii)</w:t>
      </w:r>
      <w:r w:rsidRPr="00A00F6F">
        <w:tab/>
        <w:t>the CDR data or classes of CDR data that may be disclosed to it or collected by it;</w:t>
      </w:r>
    </w:p>
    <w:p w14:paraId="5E84DEB0" w14:textId="77777777" w:rsidR="00BB7660" w:rsidRPr="00A00F6F" w:rsidRDefault="00BB7660" w:rsidP="00BB7660">
      <w:pPr>
        <w:pStyle w:val="paragraph"/>
      </w:pPr>
      <w:r w:rsidRPr="00A00F6F">
        <w:tab/>
        <w:t>(h)</w:t>
      </w:r>
      <w:r w:rsidRPr="00A00F6F">
        <w:tab/>
        <w:t xml:space="preserve">if the </w:t>
      </w:r>
      <w:r w:rsidRPr="00A00F6F">
        <w:rPr>
          <w:szCs w:val="22"/>
          <w:shd w:val="clear" w:color="auto" w:fill="FFFFFF"/>
        </w:rPr>
        <w:t>accredited person</w:t>
      </w:r>
      <w:r w:rsidRPr="00A00F6F">
        <w:t xml:space="preserve"> wishes to undertake general research using the CDR data:</w:t>
      </w:r>
    </w:p>
    <w:p w14:paraId="2A5FF5BB" w14:textId="77777777" w:rsidR="00BB7660" w:rsidRPr="00A00F6F" w:rsidRDefault="00BB7660" w:rsidP="00BB7660">
      <w:pPr>
        <w:pStyle w:val="paragraphsub"/>
      </w:pPr>
      <w:r w:rsidRPr="00A00F6F">
        <w:tab/>
        <w:t>(i)</w:t>
      </w:r>
      <w:r w:rsidRPr="00A00F6F">
        <w:tab/>
        <w:t>a description of the research to be conducted;</w:t>
      </w:r>
    </w:p>
    <w:p w14:paraId="3E62E113" w14:textId="77777777" w:rsidR="00BB7660" w:rsidRPr="00A00F6F" w:rsidRDefault="00BB7660" w:rsidP="00BB7660">
      <w:pPr>
        <w:pStyle w:val="paragraphsub"/>
      </w:pPr>
      <w:r w:rsidRPr="00A00F6F">
        <w:tab/>
      </w:r>
      <w:r w:rsidRPr="004A04A4">
        <w:rPr>
          <w:color w:val="0000FF"/>
        </w:rPr>
        <w:t>(ii)</w:t>
      </w:r>
      <w:r w:rsidR="009F28B3" w:rsidRPr="009F28B3">
        <w:rPr>
          <w:strike/>
          <w:color w:val="0000FF"/>
        </w:rPr>
        <w:t xml:space="preserve"> (iii)</w:t>
      </w:r>
      <w:r w:rsidRPr="009F28B3">
        <w:tab/>
        <w:t>a</w:t>
      </w:r>
      <w:r w:rsidRPr="00A00F6F">
        <w:t xml:space="preserve"> description of any additional benefit to be provided to the CDR consumer for consenting to the use;</w:t>
      </w:r>
    </w:p>
    <w:p w14:paraId="72615D15" w14:textId="77777777" w:rsidR="00BB7660" w:rsidRPr="00A36226" w:rsidRDefault="00BB7660" w:rsidP="00BB7660">
      <w:pPr>
        <w:pStyle w:val="paragraph"/>
      </w:pPr>
      <w:r w:rsidRPr="00A36226">
        <w:tab/>
        <w:t>(i)</w:t>
      </w:r>
      <w:r w:rsidRPr="00A36226">
        <w:tab/>
        <w:t>if the accredited person is likely to disclose CDR data of a kind referred to in subsection 56ED(5) of the Act to</w:t>
      </w:r>
      <w:r w:rsidRPr="004A04A4">
        <w:rPr>
          <w:color w:val="0000FF"/>
          <w:shd w:val="clear" w:color="auto" w:fill="FFFFFF"/>
        </w:rPr>
        <w:t xml:space="preserve"> a direct or indirect OSP</w:t>
      </w:r>
      <w:r w:rsidR="00A36226" w:rsidRPr="00A36226">
        <w:rPr>
          <w:strike/>
          <w:color w:val="0000FF"/>
          <w:shd w:val="clear" w:color="auto" w:fill="FFFFFF"/>
        </w:rPr>
        <w:t xml:space="preserve"> such a service provider</w:t>
      </w:r>
      <w:r w:rsidRPr="00A36226">
        <w:t xml:space="preserve"> that:</w:t>
      </w:r>
    </w:p>
    <w:p w14:paraId="1C3CDDE6" w14:textId="77777777" w:rsidR="00BB7660" w:rsidRPr="00A36226" w:rsidRDefault="00BB7660" w:rsidP="00BB7660">
      <w:pPr>
        <w:pStyle w:val="paragraphsub"/>
      </w:pPr>
      <w:r w:rsidRPr="00A36226">
        <w:tab/>
        <w:t>(i)</w:t>
      </w:r>
      <w:r w:rsidRPr="00A36226">
        <w:tab/>
        <w:t>is based overseas; and</w:t>
      </w:r>
    </w:p>
    <w:p w14:paraId="6619905A" w14:textId="77777777" w:rsidR="00BB7660" w:rsidRPr="00A36226" w:rsidRDefault="00BB7660" w:rsidP="00BB7660">
      <w:pPr>
        <w:pStyle w:val="paragraphsub"/>
      </w:pPr>
      <w:r w:rsidRPr="00A36226">
        <w:tab/>
        <w:t>(ii)</w:t>
      </w:r>
      <w:r w:rsidRPr="00A36226">
        <w:tab/>
        <w:t>is not an accredited person;</w:t>
      </w:r>
    </w:p>
    <w:p w14:paraId="7DC3B7B1" w14:textId="77777777" w:rsidR="00BB7660" w:rsidRPr="00A36226" w:rsidRDefault="00BB7660" w:rsidP="00BB7660">
      <w:pPr>
        <w:pStyle w:val="paragraph"/>
      </w:pPr>
      <w:r w:rsidRPr="00A36226">
        <w:tab/>
      </w:r>
      <w:r w:rsidRPr="00A36226">
        <w:tab/>
        <w:t xml:space="preserve">—the countries in which such </w:t>
      </w:r>
      <w:r w:rsidRPr="009F28B3">
        <w:rPr>
          <w:color w:val="0000FF"/>
        </w:rPr>
        <w:t>direct or indirect OSPs</w:t>
      </w:r>
      <w:r w:rsidR="009F28B3">
        <w:rPr>
          <w:strike/>
          <w:color w:val="0000FF"/>
        </w:rPr>
        <w:t xml:space="preserve"> persons</w:t>
      </w:r>
      <w:r w:rsidRPr="00A36226">
        <w:t xml:space="preserve"> are likely to be based if it is practicable to specify those countries in the policy;</w:t>
      </w:r>
    </w:p>
    <w:p w14:paraId="586AE9D3" w14:textId="77777777" w:rsidR="00BB7660" w:rsidRPr="00A00F6F" w:rsidRDefault="00BB7660" w:rsidP="00BB7660">
      <w:pPr>
        <w:pStyle w:val="paragraph"/>
        <w:rPr>
          <w:shd w:val="clear" w:color="auto" w:fill="FFFFFF"/>
        </w:rPr>
      </w:pPr>
      <w:r w:rsidRPr="00A00F6F">
        <w:rPr>
          <w:shd w:val="clear" w:color="auto" w:fill="FFFFFF"/>
        </w:rPr>
        <w:tab/>
        <w:t>(j)</w:t>
      </w:r>
      <w:r w:rsidRPr="00A00F6F">
        <w:rPr>
          <w:shd w:val="clear" w:color="auto" w:fill="FFFFFF"/>
        </w:rPr>
        <w:tab/>
        <w:t>if applicable—the following information about de</w:t>
      </w:r>
      <w:r w:rsidRPr="00A00F6F">
        <w:rPr>
          <w:shd w:val="clear" w:color="auto" w:fill="FFFFFF"/>
        </w:rPr>
        <w:noBreakHyphen/>
        <w:t>identification of CDR data that is not redundant data:</w:t>
      </w:r>
    </w:p>
    <w:p w14:paraId="18992C7B" w14:textId="77777777" w:rsidR="00BB7660" w:rsidRPr="00A00F6F" w:rsidRDefault="00BB7660" w:rsidP="00BB7660">
      <w:pPr>
        <w:pStyle w:val="paragraphsub"/>
        <w:rPr>
          <w:shd w:val="clear" w:color="auto" w:fill="FFFFFF"/>
        </w:rPr>
      </w:pPr>
      <w:r w:rsidRPr="00A00F6F">
        <w:rPr>
          <w:shd w:val="clear" w:color="auto" w:fill="FFFFFF"/>
        </w:rPr>
        <w:tab/>
        <w:t>(i)</w:t>
      </w:r>
      <w:r w:rsidRPr="00A00F6F">
        <w:rPr>
          <w:shd w:val="clear" w:color="auto" w:fill="FFFFFF"/>
        </w:rPr>
        <w:tab/>
        <w:t>how the accredited person uses CDR data that has been de</w:t>
      </w:r>
      <w:r w:rsidRPr="00A00F6F">
        <w:rPr>
          <w:shd w:val="clear" w:color="auto" w:fill="FFFFFF"/>
        </w:rPr>
        <w:noBreakHyphen/>
        <w:t>identified in accordance with the CDR data de</w:t>
      </w:r>
      <w:r w:rsidRPr="00A00F6F">
        <w:rPr>
          <w:shd w:val="clear" w:color="auto" w:fill="FFFFFF"/>
        </w:rPr>
        <w:noBreakHyphen/>
        <w:t>identification process to provide goods or services to CDR consumers;</w:t>
      </w:r>
    </w:p>
    <w:p w14:paraId="474C2294" w14:textId="77777777" w:rsidR="00BB7660" w:rsidRPr="00A00F6F" w:rsidRDefault="00BB7660" w:rsidP="00BB7660">
      <w:pPr>
        <w:pStyle w:val="paragraphsub"/>
        <w:rPr>
          <w:shd w:val="clear" w:color="auto" w:fill="FFFFFF"/>
        </w:rPr>
      </w:pPr>
      <w:r w:rsidRPr="00A00F6F">
        <w:rPr>
          <w:shd w:val="clear" w:color="auto" w:fill="FFFFFF"/>
        </w:rPr>
        <w:tab/>
        <w:t>(ii)</w:t>
      </w:r>
      <w:r w:rsidRPr="00A00F6F">
        <w:rPr>
          <w:shd w:val="clear" w:color="auto" w:fill="FFFFFF"/>
        </w:rPr>
        <w:tab/>
        <w:t>the further information specified in subrule (5);</w:t>
      </w:r>
    </w:p>
    <w:p w14:paraId="4ED774F0" w14:textId="77777777" w:rsidR="00BB7660" w:rsidRPr="00A00F6F" w:rsidRDefault="00BB7660" w:rsidP="00BB7660">
      <w:pPr>
        <w:pStyle w:val="paragraph"/>
      </w:pPr>
      <w:r w:rsidRPr="00A00F6F">
        <w:tab/>
        <w:t>(k)</w:t>
      </w:r>
      <w:r w:rsidRPr="00A00F6F">
        <w:tab/>
        <w:t>the following information about deletion of redundant CDR data:</w:t>
      </w:r>
    </w:p>
    <w:p w14:paraId="3AADE79D" w14:textId="77777777" w:rsidR="00BB7660" w:rsidRPr="00A00F6F" w:rsidRDefault="00BB7660" w:rsidP="00BB7660">
      <w:pPr>
        <w:pStyle w:val="paragraphsub"/>
      </w:pPr>
      <w:r w:rsidRPr="00A00F6F">
        <w:tab/>
        <w:t>(i)</w:t>
      </w:r>
      <w:r w:rsidRPr="00A00F6F">
        <w:tab/>
        <w:t>when it deletes redundant data;</w:t>
      </w:r>
    </w:p>
    <w:p w14:paraId="3C9B565D" w14:textId="77777777" w:rsidR="00BB7660" w:rsidRPr="00A00F6F" w:rsidRDefault="00BB7660" w:rsidP="00BB7660">
      <w:pPr>
        <w:pStyle w:val="paragraphsub"/>
      </w:pPr>
      <w:r w:rsidRPr="00A00F6F">
        <w:tab/>
        <w:t>(ii)</w:t>
      </w:r>
      <w:r w:rsidRPr="00A00F6F">
        <w:tab/>
        <w:t>how a CDR consumer may elect for this to happen;</w:t>
      </w:r>
    </w:p>
    <w:p w14:paraId="2E4D0FF1" w14:textId="77777777" w:rsidR="00BB7660" w:rsidRPr="00A00F6F" w:rsidRDefault="00BB7660" w:rsidP="00BB7660">
      <w:pPr>
        <w:pStyle w:val="paragraphsub"/>
      </w:pPr>
      <w:r w:rsidRPr="00A00F6F">
        <w:tab/>
        <w:t>(iii)</w:t>
      </w:r>
      <w:r w:rsidRPr="00A00F6F">
        <w:tab/>
        <w:t>how it deletes redundant data;</w:t>
      </w:r>
    </w:p>
    <w:p w14:paraId="5D696871" w14:textId="77777777" w:rsidR="00BB7660" w:rsidRPr="00A00F6F" w:rsidRDefault="00BB7660" w:rsidP="00BB7660">
      <w:pPr>
        <w:pStyle w:val="paragraph"/>
      </w:pPr>
      <w:r w:rsidRPr="00A00F6F">
        <w:rPr>
          <w:shd w:val="clear" w:color="auto" w:fill="FFFFFF"/>
        </w:rPr>
        <w:tab/>
        <w:t>(l)</w:t>
      </w:r>
      <w:r w:rsidRPr="00A00F6F">
        <w:rPr>
          <w:shd w:val="clear" w:color="auto" w:fill="FFFFFF"/>
        </w:rPr>
        <w:tab/>
        <w:t>if applicable—</w:t>
      </w:r>
      <w:r w:rsidRPr="00A00F6F">
        <w:t>the following information about de</w:t>
      </w:r>
      <w:r w:rsidRPr="00A00F6F">
        <w:noBreakHyphen/>
        <w:t>identification of redundant CDR data:</w:t>
      </w:r>
    </w:p>
    <w:p w14:paraId="2FD8935D" w14:textId="77777777" w:rsidR="00BB7660" w:rsidRPr="00A00F6F" w:rsidRDefault="00BB7660" w:rsidP="00BB7660">
      <w:pPr>
        <w:pStyle w:val="paragraphsub"/>
      </w:pPr>
      <w:r w:rsidRPr="00A00F6F">
        <w:tab/>
        <w:t>(i)</w:t>
      </w:r>
      <w:r w:rsidRPr="00A00F6F">
        <w:tab/>
        <w:t>if the de</w:t>
      </w:r>
      <w:r w:rsidRPr="00A00F6F">
        <w:noBreakHyphen/>
        <w:t>identified data is used by the accredited person—examples of how the accredited person ordinarily uses de</w:t>
      </w:r>
      <w:r w:rsidRPr="00A00F6F">
        <w:noBreakHyphen/>
        <w:t>identified data; and</w:t>
      </w:r>
    </w:p>
    <w:p w14:paraId="229A283C" w14:textId="77777777" w:rsidR="00BB7660" w:rsidRPr="00A00F6F" w:rsidRDefault="00BB7660" w:rsidP="00BB7660">
      <w:pPr>
        <w:pStyle w:val="paragraphsub"/>
        <w:rPr>
          <w:shd w:val="clear" w:color="auto" w:fill="FFFFFF"/>
        </w:rPr>
      </w:pPr>
      <w:r w:rsidRPr="00A00F6F">
        <w:rPr>
          <w:shd w:val="clear" w:color="auto" w:fill="FFFFFF"/>
        </w:rPr>
        <w:tab/>
        <w:t>(ii)</w:t>
      </w:r>
      <w:r w:rsidRPr="00A00F6F">
        <w:rPr>
          <w:shd w:val="clear" w:color="auto" w:fill="FFFFFF"/>
        </w:rPr>
        <w:tab/>
        <w:t>the further information specified in subrule (5);</w:t>
      </w:r>
    </w:p>
    <w:p w14:paraId="0F064A49" w14:textId="77777777" w:rsidR="00BB7660" w:rsidRPr="00A00F6F" w:rsidRDefault="00BB7660" w:rsidP="00BB7660">
      <w:pPr>
        <w:pStyle w:val="paragraph"/>
        <w:rPr>
          <w:shd w:val="clear" w:color="auto" w:fill="FFFFFF"/>
        </w:rPr>
      </w:pPr>
      <w:r w:rsidRPr="00A00F6F">
        <w:rPr>
          <w:shd w:val="clear" w:color="auto" w:fill="FFFFFF"/>
        </w:rPr>
        <w:tab/>
        <w:t>(m)</w:t>
      </w:r>
      <w:r w:rsidRPr="00A00F6F">
        <w:rPr>
          <w:shd w:val="clear" w:color="auto" w:fill="FFFFFF"/>
        </w:rPr>
        <w:tab/>
        <w:t>the following information about the CDR consumer’s election to delete their CDR data:</w:t>
      </w:r>
    </w:p>
    <w:p w14:paraId="7F5C86BE" w14:textId="77777777" w:rsidR="00BB7660" w:rsidRPr="00A00F6F" w:rsidRDefault="00BB7660" w:rsidP="00BB7660">
      <w:pPr>
        <w:pStyle w:val="paragraphsub"/>
        <w:rPr>
          <w:shd w:val="clear" w:color="auto" w:fill="FFFFFF"/>
        </w:rPr>
      </w:pPr>
      <w:r w:rsidRPr="00A00F6F">
        <w:rPr>
          <w:shd w:val="clear" w:color="auto" w:fill="FFFFFF"/>
        </w:rPr>
        <w:tab/>
        <w:t>(i)</w:t>
      </w:r>
      <w:r w:rsidRPr="00A00F6F">
        <w:rPr>
          <w:shd w:val="clear" w:color="auto" w:fill="FFFFFF"/>
        </w:rPr>
        <w:tab/>
        <w:t>information about how the election operates and its effect;</w:t>
      </w:r>
    </w:p>
    <w:p w14:paraId="1BAA1805" w14:textId="77777777" w:rsidR="00BB7660" w:rsidRPr="00A00F6F" w:rsidRDefault="00BB7660" w:rsidP="00BB7660">
      <w:pPr>
        <w:pStyle w:val="paragraphsub"/>
        <w:rPr>
          <w:shd w:val="clear" w:color="auto" w:fill="FFFFFF"/>
        </w:rPr>
      </w:pPr>
      <w:r w:rsidRPr="00A00F6F">
        <w:rPr>
          <w:shd w:val="clear" w:color="auto" w:fill="FFFFFF"/>
        </w:rPr>
        <w:tab/>
        <w:t>(ii)</w:t>
      </w:r>
      <w:r w:rsidRPr="00A00F6F">
        <w:rPr>
          <w:shd w:val="clear" w:color="auto" w:fill="FFFFFF"/>
        </w:rPr>
        <w:tab/>
        <w:t>information about how CDR consumers can exercise the election.</w:t>
      </w:r>
    </w:p>
    <w:p w14:paraId="676827FE" w14:textId="77777777" w:rsidR="00BB7660" w:rsidRPr="004A04A4" w:rsidRDefault="00BB7660" w:rsidP="00BB7660">
      <w:pPr>
        <w:pStyle w:val="notetext"/>
        <w:rPr>
          <w:color w:val="0000FF"/>
        </w:rPr>
      </w:pPr>
      <w:r w:rsidRPr="004A04A4">
        <w:rPr>
          <w:color w:val="0000FF"/>
        </w:rPr>
        <w:t>Note 1:</w:t>
      </w:r>
      <w:r w:rsidRPr="004A04A4">
        <w:rPr>
          <w:color w:val="0000FF"/>
        </w:rPr>
        <w:tab/>
        <w:t>For paragraph (i), if the direct or indirect OSP is an accredited person who is based overseas, paragraph 56ED(5)(f) of the Act requires that accredited person to include similar information in the person’s CDR policy.</w:t>
      </w:r>
    </w:p>
    <w:p w14:paraId="21D3339C" w14:textId="77777777" w:rsidR="00BB7660" w:rsidRPr="004A04A4" w:rsidRDefault="00BB7660" w:rsidP="00BB7660">
      <w:pPr>
        <w:pStyle w:val="notetext"/>
        <w:rPr>
          <w:color w:val="0000FF"/>
        </w:rPr>
      </w:pPr>
      <w:r w:rsidRPr="004A04A4">
        <w:rPr>
          <w:color w:val="0000FF"/>
        </w:rPr>
        <w:t xml:space="preserve">Note 2: </w:t>
      </w:r>
      <w:r w:rsidRPr="004A04A4">
        <w:rPr>
          <w:color w:val="0000FF"/>
        </w:rPr>
        <w:tab/>
        <w:t>This subrule is a civil penalty provision (see rule 9.8).</w:t>
      </w:r>
    </w:p>
    <w:p w14:paraId="3E6FB692" w14:textId="77777777" w:rsidR="00A36226" w:rsidRPr="00A36226" w:rsidRDefault="00A36226" w:rsidP="00A36226">
      <w:pPr>
        <w:pStyle w:val="notetext"/>
        <w:rPr>
          <w:strike/>
          <w:color w:val="0000FF"/>
        </w:rPr>
      </w:pPr>
      <w:r w:rsidRPr="00A36226">
        <w:rPr>
          <w:strike/>
          <w:color w:val="0000FF"/>
        </w:rPr>
        <w:t>Note 1:</w:t>
      </w:r>
      <w:r w:rsidRPr="00A36226">
        <w:rPr>
          <w:strike/>
          <w:color w:val="0000FF"/>
        </w:rPr>
        <w:tab/>
        <w:t>The specified service providers are the accredited person’s “outsourced service providers”.</w:t>
      </w:r>
    </w:p>
    <w:p w14:paraId="5EBBE324" w14:textId="77777777" w:rsidR="00A36226" w:rsidRPr="00A36226" w:rsidRDefault="00A36226" w:rsidP="00A36226">
      <w:pPr>
        <w:pStyle w:val="notetext"/>
        <w:rPr>
          <w:strike/>
          <w:color w:val="0000FF"/>
        </w:rPr>
      </w:pPr>
      <w:r w:rsidRPr="00A36226">
        <w:rPr>
          <w:strike/>
          <w:color w:val="0000FF"/>
        </w:rPr>
        <w:lastRenderedPageBreak/>
        <w:t>Note 2:</w:t>
      </w:r>
      <w:r w:rsidRPr="00A36226">
        <w:rPr>
          <w:strike/>
          <w:color w:val="0000FF"/>
        </w:rPr>
        <w:tab/>
        <w:t>For paragraph (d), if the service provider is an accredited person who is based overseas, paragraph 56ED(5)(f) of the Act requires similar information to be contained in the accredited person’s CDR policy.</w:t>
      </w:r>
    </w:p>
    <w:p w14:paraId="6905CFB1" w14:textId="77777777" w:rsidR="00A36226" w:rsidRPr="00A36226" w:rsidRDefault="00A36226" w:rsidP="00A36226">
      <w:pPr>
        <w:pStyle w:val="notetext"/>
        <w:rPr>
          <w:strike/>
          <w:color w:val="0000FF"/>
        </w:rPr>
      </w:pPr>
      <w:r w:rsidRPr="00A36226">
        <w:rPr>
          <w:strike/>
          <w:color w:val="0000FF"/>
        </w:rPr>
        <w:t xml:space="preserve">Note 3: </w:t>
      </w:r>
      <w:r w:rsidRPr="00A36226">
        <w:rPr>
          <w:strike/>
          <w:color w:val="0000FF"/>
        </w:rPr>
        <w:tab/>
        <w:t>This subrule is a civil penalty provision (see rule 9.8).</w:t>
      </w:r>
    </w:p>
    <w:p w14:paraId="1EFD9D8F" w14:textId="77777777" w:rsidR="00BB7660" w:rsidRPr="00A00F6F" w:rsidRDefault="00BB7660" w:rsidP="00BB7660">
      <w:pPr>
        <w:pStyle w:val="subsection"/>
      </w:pPr>
      <w:r w:rsidRPr="00A00F6F">
        <w:tab/>
        <w:t>(5)</w:t>
      </w:r>
      <w:r w:rsidRPr="00A00F6F">
        <w:tab/>
        <w:t>Fo</w:t>
      </w:r>
      <w:r w:rsidRPr="009F28B3">
        <w:t xml:space="preserve">r </w:t>
      </w:r>
      <w:r w:rsidRPr="004A04A4">
        <w:rPr>
          <w:color w:val="0000FF"/>
        </w:rPr>
        <w:t>subparagraphs</w:t>
      </w:r>
      <w:r w:rsidRPr="00A00F6F">
        <w:t> </w:t>
      </w:r>
      <w:r w:rsidRPr="004A04A4">
        <w:rPr>
          <w:color w:val="0000FF"/>
        </w:rPr>
        <w:t>(4)(j)(ii) and (l)(ii)</w:t>
      </w:r>
      <w:r w:rsidR="000B010F" w:rsidRPr="000B010F">
        <w:rPr>
          <w:strike/>
          <w:color w:val="0000FF"/>
        </w:rPr>
        <w:t xml:space="preserve"> subparagraphs (4)(e)(ii) and (g)(ii)</w:t>
      </w:r>
      <w:r w:rsidRPr="00A00F6F">
        <w:t>, the further information is:</w:t>
      </w:r>
    </w:p>
    <w:p w14:paraId="02922BC7" w14:textId="77777777" w:rsidR="00BB7660" w:rsidRPr="00A00F6F" w:rsidRDefault="00BB7660" w:rsidP="00BB7660">
      <w:pPr>
        <w:pStyle w:val="paragraph"/>
        <w:rPr>
          <w:shd w:val="clear" w:color="auto" w:fill="FFFFFF"/>
        </w:rPr>
      </w:pPr>
      <w:r w:rsidRPr="00A00F6F">
        <w:rPr>
          <w:shd w:val="clear" w:color="auto" w:fill="FFFFFF"/>
        </w:rPr>
        <w:tab/>
        <w:t>(a)</w:t>
      </w:r>
      <w:r w:rsidRPr="00A00F6F">
        <w:rPr>
          <w:shd w:val="clear" w:color="auto" w:fill="FFFFFF"/>
        </w:rPr>
        <w:tab/>
        <w:t xml:space="preserve">how the </w:t>
      </w:r>
      <w:r w:rsidRPr="00A00F6F">
        <w:t>accredited person who is or who may become an accredited data recipient of CDR data</w:t>
      </w:r>
      <w:r w:rsidRPr="00A00F6F">
        <w:rPr>
          <w:shd w:val="clear" w:color="auto" w:fill="FFFFFF"/>
        </w:rPr>
        <w:t xml:space="preserve"> de</w:t>
      </w:r>
      <w:r w:rsidRPr="00A00F6F">
        <w:rPr>
          <w:shd w:val="clear" w:color="auto" w:fill="FFFFFF"/>
        </w:rPr>
        <w:noBreakHyphen/>
        <w:t>identifies CDR data, including a description of techniques that it uses to de</w:t>
      </w:r>
      <w:r w:rsidRPr="00A00F6F">
        <w:rPr>
          <w:shd w:val="clear" w:color="auto" w:fill="FFFFFF"/>
        </w:rPr>
        <w:noBreakHyphen/>
        <w:t>identify data; and</w:t>
      </w:r>
    </w:p>
    <w:p w14:paraId="3CA626F1" w14:textId="77777777" w:rsidR="00BB7660" w:rsidRPr="00A00F6F" w:rsidRDefault="00BB7660" w:rsidP="00BB7660">
      <w:pPr>
        <w:pStyle w:val="paragraph"/>
      </w:pPr>
      <w:r w:rsidRPr="00A00F6F">
        <w:tab/>
        <w:t>(b)</w:t>
      </w:r>
      <w:r w:rsidRPr="00A00F6F">
        <w:tab/>
        <w:t>if the accredited person ordinarily discloses (by sale or otherwise) de</w:t>
      </w:r>
      <w:r w:rsidRPr="00A00F6F">
        <w:noBreakHyphen/>
        <w:t>identified data to one or more other persons:</w:t>
      </w:r>
    </w:p>
    <w:p w14:paraId="4D30C77D" w14:textId="77777777" w:rsidR="00BB7660" w:rsidRPr="00A00F6F" w:rsidRDefault="00BB7660" w:rsidP="00BB7660">
      <w:pPr>
        <w:pStyle w:val="paragraphsub"/>
      </w:pPr>
      <w:r w:rsidRPr="00A00F6F">
        <w:tab/>
        <w:t>(i)</w:t>
      </w:r>
      <w:r w:rsidRPr="00A00F6F">
        <w:tab/>
        <w:t>that fact; and</w:t>
      </w:r>
    </w:p>
    <w:p w14:paraId="6361F261" w14:textId="77777777" w:rsidR="00BB7660" w:rsidRPr="00A00F6F" w:rsidRDefault="00BB7660" w:rsidP="00BB7660">
      <w:pPr>
        <w:pStyle w:val="paragraphsub"/>
      </w:pPr>
      <w:r w:rsidRPr="00A00F6F">
        <w:tab/>
        <w:t>(ii)</w:t>
      </w:r>
      <w:r w:rsidRPr="00A00F6F">
        <w:tab/>
        <w:t>to what classes of person it ordinarily discloses such data; and</w:t>
      </w:r>
    </w:p>
    <w:p w14:paraId="3F9C69A0" w14:textId="77777777" w:rsidR="00BB7660" w:rsidRPr="00A00F6F" w:rsidRDefault="00BB7660" w:rsidP="00BB7660">
      <w:pPr>
        <w:pStyle w:val="paragraphsub"/>
        <w:rPr>
          <w:shd w:val="clear" w:color="auto" w:fill="FFFFFF"/>
        </w:rPr>
      </w:pPr>
      <w:r w:rsidRPr="00A00F6F">
        <w:tab/>
        <w:t>(iii)</w:t>
      </w:r>
      <w:r w:rsidRPr="00A00F6F">
        <w:tab/>
        <w:t>why it so discloses such data</w:t>
      </w:r>
      <w:r w:rsidRPr="00A00F6F">
        <w:rPr>
          <w:shd w:val="clear" w:color="auto" w:fill="FFFFFF"/>
        </w:rPr>
        <w:t>.</w:t>
      </w:r>
    </w:p>
    <w:p w14:paraId="6E8CF8A9" w14:textId="77777777" w:rsidR="00BB7660" w:rsidRPr="00A00F6F" w:rsidRDefault="00BB7660" w:rsidP="00BB7660">
      <w:pPr>
        <w:pStyle w:val="subsection"/>
      </w:pPr>
      <w:r w:rsidRPr="00A00F6F">
        <w:tab/>
        <w:t>(6)</w:t>
      </w:r>
      <w:r w:rsidRPr="00A00F6F">
        <w:tab/>
        <w:t xml:space="preserve">In addition to the information referred to in paragraphs 56ED(4)(b) and (5)(d) of the Act, the CDR policy of the </w:t>
      </w:r>
      <w:r w:rsidRPr="00A00F6F">
        <w:rPr>
          <w:shd w:val="clear" w:color="auto" w:fill="FFFFFF"/>
        </w:rPr>
        <w:t xml:space="preserve">CDR entity (the </w:t>
      </w:r>
      <w:r w:rsidRPr="00A00F6F">
        <w:t>data holder or accredited person who is or who may become an accredited data recipient of CDR data)</w:t>
      </w:r>
      <w:r w:rsidRPr="00A00F6F">
        <w:rPr>
          <w:shd w:val="clear" w:color="auto" w:fill="FFFFFF"/>
        </w:rPr>
        <w:t xml:space="preserve"> </w:t>
      </w:r>
      <w:r w:rsidRPr="00A00F6F">
        <w:t>must include the following information in relation to the CDR entity's internal dispute resolution processes:</w:t>
      </w:r>
    </w:p>
    <w:p w14:paraId="312C6DEC" w14:textId="77777777" w:rsidR="00BB7660" w:rsidRPr="00A00F6F" w:rsidRDefault="00BB7660" w:rsidP="00BB7660">
      <w:pPr>
        <w:pStyle w:val="paragraph"/>
      </w:pPr>
      <w:r w:rsidRPr="00A00F6F">
        <w:tab/>
        <w:t>(a)</w:t>
      </w:r>
      <w:r w:rsidRPr="00A00F6F">
        <w:tab/>
        <w:t>where a CDR consumer complaint can be made;</w:t>
      </w:r>
    </w:p>
    <w:p w14:paraId="1081BA66" w14:textId="77777777" w:rsidR="00BB7660" w:rsidRPr="00A00F6F" w:rsidRDefault="00BB7660" w:rsidP="00BB7660">
      <w:pPr>
        <w:pStyle w:val="paragraph"/>
      </w:pPr>
      <w:r w:rsidRPr="00A00F6F">
        <w:tab/>
        <w:t>(b)</w:t>
      </w:r>
      <w:r w:rsidRPr="00A00F6F">
        <w:tab/>
        <w:t>how a CDR consumer complaint can be made;</w:t>
      </w:r>
    </w:p>
    <w:p w14:paraId="5BD88F5A" w14:textId="77777777" w:rsidR="00BB7660" w:rsidRPr="00A00F6F" w:rsidRDefault="00BB7660" w:rsidP="00BB7660">
      <w:pPr>
        <w:pStyle w:val="paragraph"/>
      </w:pPr>
      <w:r w:rsidRPr="00A00F6F">
        <w:tab/>
        <w:t>(c)</w:t>
      </w:r>
      <w:r w:rsidRPr="00A00F6F">
        <w:tab/>
        <w:t>when a CDR consumer complaint can be made;</w:t>
      </w:r>
    </w:p>
    <w:p w14:paraId="1E0067A8" w14:textId="77777777" w:rsidR="00BB7660" w:rsidRPr="00A00F6F" w:rsidRDefault="00BB7660" w:rsidP="00BB7660">
      <w:pPr>
        <w:pStyle w:val="paragraph"/>
      </w:pPr>
      <w:r w:rsidRPr="00A00F6F">
        <w:tab/>
        <w:t>(d)</w:t>
      </w:r>
      <w:r w:rsidRPr="00A00F6F">
        <w:tab/>
        <w:t>when acknowledgement of a CDR consumer complaint can be expected;</w:t>
      </w:r>
    </w:p>
    <w:p w14:paraId="10956A75" w14:textId="77777777" w:rsidR="00BB7660" w:rsidRPr="00A00F6F" w:rsidRDefault="00BB7660" w:rsidP="00BB7660">
      <w:pPr>
        <w:pStyle w:val="paragraph"/>
      </w:pPr>
      <w:r w:rsidRPr="00A00F6F">
        <w:tab/>
        <w:t>(e)</w:t>
      </w:r>
      <w:r w:rsidRPr="00A00F6F">
        <w:tab/>
        <w:t>what information is required to be provided by the complainant;</w:t>
      </w:r>
    </w:p>
    <w:p w14:paraId="4F21B67C" w14:textId="77777777" w:rsidR="00BB7660" w:rsidRPr="00A00F6F" w:rsidRDefault="00BB7660" w:rsidP="00BB7660">
      <w:pPr>
        <w:pStyle w:val="paragraph"/>
      </w:pPr>
      <w:r w:rsidRPr="00A00F6F">
        <w:tab/>
        <w:t>(f)</w:t>
      </w:r>
      <w:r w:rsidRPr="00A00F6F">
        <w:tab/>
        <w:t>the CDR entity’s process for handling CDR consumer complaints;</w:t>
      </w:r>
    </w:p>
    <w:p w14:paraId="5B62A4C9" w14:textId="77777777" w:rsidR="00BB7660" w:rsidRPr="00A00F6F" w:rsidRDefault="00BB7660" w:rsidP="00BB7660">
      <w:pPr>
        <w:pStyle w:val="paragraph"/>
      </w:pPr>
      <w:r w:rsidRPr="00A00F6F">
        <w:tab/>
        <w:t>(g)</w:t>
      </w:r>
      <w:r w:rsidRPr="00A00F6F">
        <w:tab/>
        <w:t>time periods associated with various stages in the CDR consumer complaint process;</w:t>
      </w:r>
    </w:p>
    <w:p w14:paraId="7258A8E1" w14:textId="77777777" w:rsidR="00BB7660" w:rsidRPr="00A00F6F" w:rsidRDefault="00BB7660" w:rsidP="00BB7660">
      <w:pPr>
        <w:pStyle w:val="paragraph"/>
      </w:pPr>
      <w:r w:rsidRPr="00A00F6F">
        <w:tab/>
        <w:t>(h)</w:t>
      </w:r>
      <w:r w:rsidRPr="00A00F6F">
        <w:tab/>
        <w:t>options for redress;</w:t>
      </w:r>
    </w:p>
    <w:p w14:paraId="4E53B53A" w14:textId="77777777" w:rsidR="00BB7660" w:rsidRPr="00A00F6F" w:rsidRDefault="00BB7660" w:rsidP="00BB7660">
      <w:pPr>
        <w:pStyle w:val="paragraph"/>
      </w:pPr>
      <w:r w:rsidRPr="00A00F6F">
        <w:tab/>
        <w:t>(i)</w:t>
      </w:r>
      <w:r w:rsidRPr="00A00F6F">
        <w:tab/>
        <w:t>options for review, both internally (if available) and externally.</w:t>
      </w:r>
    </w:p>
    <w:p w14:paraId="7C5C44B6" w14:textId="77777777" w:rsidR="00BB7660" w:rsidRPr="00A00F6F" w:rsidRDefault="00BB7660" w:rsidP="00BB7660">
      <w:pPr>
        <w:pStyle w:val="notetext"/>
      </w:pPr>
      <w:r w:rsidRPr="00A00F6F">
        <w:t>Note:</w:t>
      </w:r>
      <w:r w:rsidRPr="00A00F6F">
        <w:tab/>
        <w:t>This subrule is a civil penalty provision (see rule 9.8).</w:t>
      </w:r>
    </w:p>
    <w:p w14:paraId="7AC507BA" w14:textId="77777777" w:rsidR="00BB7660" w:rsidRPr="00A00F6F" w:rsidRDefault="00BB7660" w:rsidP="00BB7660">
      <w:pPr>
        <w:pStyle w:val="subsection"/>
      </w:pPr>
      <w:r w:rsidRPr="00A00F6F">
        <w:tab/>
        <w:t>(7)</w:t>
      </w:r>
      <w:r w:rsidRPr="00A00F6F">
        <w:tab/>
        <w:t>If an accredited person is who is or who may become an accredited data recipient of CDR data proposes to store CDR data other than in Australia or an external territory, its CDR policy must specify any country in which they propose to store CDR data.</w:t>
      </w:r>
    </w:p>
    <w:p w14:paraId="73C67675" w14:textId="77777777" w:rsidR="00BB7660" w:rsidRPr="00A00F6F" w:rsidRDefault="00BB7660" w:rsidP="00BB7660">
      <w:pPr>
        <w:pStyle w:val="notetext"/>
      </w:pPr>
      <w:r w:rsidRPr="00A00F6F">
        <w:t>Note:</w:t>
      </w:r>
      <w:r w:rsidRPr="00A00F6F">
        <w:tab/>
        <w:t>This subrule is a civil penalty provision (see rule 9.8).</w:t>
      </w:r>
    </w:p>
    <w:p w14:paraId="1FBB6B81" w14:textId="77777777" w:rsidR="00BB7660" w:rsidRPr="00A00F6F" w:rsidRDefault="00BB7660" w:rsidP="00BB7660">
      <w:pPr>
        <w:pStyle w:val="SubsectionHead"/>
      </w:pPr>
      <w:r w:rsidRPr="00A00F6F">
        <w:t>Availability of policy</w:t>
      </w:r>
    </w:p>
    <w:p w14:paraId="7417F739" w14:textId="77777777" w:rsidR="00BB7660" w:rsidRPr="00A00F6F" w:rsidRDefault="00BB7660" w:rsidP="00BB7660">
      <w:pPr>
        <w:pStyle w:val="subsection"/>
      </w:pPr>
      <w:r w:rsidRPr="00A00F6F">
        <w:tab/>
        <w:t>(8)</w:t>
      </w:r>
      <w:r w:rsidRPr="00A00F6F">
        <w:tab/>
        <w:t>For paragraph 56ED(7)(b) of the Act, the CDR entity must make its CDR policy readily available through each online service by means of which the CDR entity, or a CDR representative of the CDR entity, ordinarily deals with CDR consumers.</w:t>
      </w:r>
    </w:p>
    <w:p w14:paraId="56742ADC" w14:textId="77777777" w:rsidR="00BB7660" w:rsidRPr="00A00F6F" w:rsidRDefault="00BB7660" w:rsidP="00BB7660">
      <w:pPr>
        <w:pStyle w:val="notetext"/>
      </w:pPr>
      <w:r w:rsidRPr="00A00F6F">
        <w:t>Note:</w:t>
      </w:r>
      <w:r w:rsidRPr="00A00F6F">
        <w:tab/>
        <w:t>This subrule is a civil penalty provision (see rule 9.8).</w:t>
      </w:r>
    </w:p>
    <w:p w14:paraId="419D1C27" w14:textId="77777777" w:rsidR="00BB7660" w:rsidRPr="00A00F6F" w:rsidRDefault="00BB7660" w:rsidP="00BB7660">
      <w:pPr>
        <w:pStyle w:val="subsection"/>
      </w:pPr>
      <w:r w:rsidRPr="00A00F6F">
        <w:lastRenderedPageBreak/>
        <w:tab/>
        <w:t>(9)</w:t>
      </w:r>
      <w:r w:rsidRPr="00A00F6F">
        <w:tab/>
        <w:t>For subsection 56ED(8) of the Act, if a copy of the CDR entity’s policy is requested by a CDR consumer, the CDR entity must give the CDR consumer a copy:</w:t>
      </w:r>
    </w:p>
    <w:p w14:paraId="434DE307" w14:textId="77777777" w:rsidR="00BB7660" w:rsidRPr="00A00F6F" w:rsidRDefault="00BB7660" w:rsidP="00BB7660">
      <w:pPr>
        <w:pStyle w:val="paragraph"/>
      </w:pPr>
      <w:r w:rsidRPr="00A00F6F">
        <w:tab/>
        <w:t>(a)</w:t>
      </w:r>
      <w:r w:rsidRPr="00A00F6F">
        <w:tab/>
        <w:t>electronically; or</w:t>
      </w:r>
    </w:p>
    <w:p w14:paraId="1E0B5BBC" w14:textId="77777777" w:rsidR="00BB7660" w:rsidRPr="00A00F6F" w:rsidRDefault="00BB7660" w:rsidP="00BB7660">
      <w:pPr>
        <w:pStyle w:val="paragraph"/>
      </w:pPr>
      <w:r w:rsidRPr="00A00F6F">
        <w:tab/>
        <w:t>(b)</w:t>
      </w:r>
      <w:r w:rsidRPr="00A00F6F">
        <w:tab/>
        <w:t>in hard copy;</w:t>
      </w:r>
    </w:p>
    <w:p w14:paraId="34CB0D1F" w14:textId="77777777" w:rsidR="00BB7660" w:rsidRPr="00A00F6F" w:rsidRDefault="00BB7660" w:rsidP="00BB7660">
      <w:pPr>
        <w:pStyle w:val="subsection20"/>
      </w:pPr>
      <w:r w:rsidRPr="00A00F6F">
        <w:tab/>
      </w:r>
      <w:r w:rsidRPr="00A00F6F">
        <w:tab/>
        <w:t>as directed by the consumer.</w:t>
      </w:r>
    </w:p>
    <w:p w14:paraId="6CC31F39" w14:textId="77777777" w:rsidR="00BB7660" w:rsidRPr="00A00F6F" w:rsidRDefault="00BB7660" w:rsidP="00BB7660">
      <w:pPr>
        <w:pStyle w:val="notetext"/>
      </w:pPr>
      <w:r w:rsidRPr="00A00F6F">
        <w:t>Note:</w:t>
      </w:r>
      <w:r w:rsidRPr="00A00F6F">
        <w:tab/>
        <w:t>This subrule is a civil penalty provision (see rule 9.8).</w:t>
      </w:r>
    </w:p>
    <w:p w14:paraId="1491BA0E" w14:textId="77777777" w:rsidR="00BB7660" w:rsidRDefault="00BB7660" w:rsidP="00BB7660">
      <w:pPr>
        <w:pStyle w:val="ActHead5"/>
      </w:pPr>
      <w:bookmarkStart w:id="519" w:name="_Toc111132189"/>
      <w:r>
        <w:t>7.3  Rule</w:t>
      </w:r>
      <w:r w:rsidRPr="005C145A">
        <w:t xml:space="preserve"> relating to privacy safeguard 2—anonymity and pseudonymity</w:t>
      </w:r>
      <w:bookmarkEnd w:id="518"/>
      <w:bookmarkEnd w:id="519"/>
    </w:p>
    <w:p w14:paraId="359B77BD" w14:textId="77777777" w:rsidR="00BB7660" w:rsidRPr="005C6351" w:rsidRDefault="00BB7660" w:rsidP="00BB7660">
      <w:pPr>
        <w:pStyle w:val="subsection"/>
      </w:pPr>
      <w:r>
        <w:tab/>
      </w:r>
      <w:r w:rsidRPr="00A00F6F">
        <w:t>(1)</w:t>
      </w:r>
      <w:r w:rsidRPr="005C6351">
        <w:tab/>
      </w:r>
      <w:r w:rsidRPr="00086F26">
        <w:t>For subsection 56EE(3) of the Act, subsection 56EE(1) of the Act does not apply if:</w:t>
      </w:r>
      <w:r w:rsidRPr="005C6351">
        <w:t xml:space="preserve"> </w:t>
      </w:r>
    </w:p>
    <w:p w14:paraId="284D6088" w14:textId="77777777" w:rsidR="00BB7660" w:rsidRPr="00086F26" w:rsidRDefault="00BB7660" w:rsidP="00BB7660">
      <w:pPr>
        <w:pStyle w:val="paragraph"/>
      </w:pPr>
      <w:r w:rsidRPr="00086F26">
        <w:tab/>
      </w:r>
      <w:r>
        <w:t>(a)</w:t>
      </w:r>
      <w:r w:rsidRPr="00086F26">
        <w:tab/>
        <w:t xml:space="preserve">the </w:t>
      </w:r>
      <w:r w:rsidRPr="00A00F6F">
        <w:t xml:space="preserve">accredited person who is or may become an accredited data recipient of CDR data </w:t>
      </w:r>
      <w:r w:rsidRPr="00086F26">
        <w:t>is required or authorised by law or by a court/tribunal order to deal with an identified CDR consumer in relation to particular CDR data; or</w:t>
      </w:r>
    </w:p>
    <w:p w14:paraId="3B7D1733" w14:textId="77777777" w:rsidR="00BB7660" w:rsidRDefault="00BB7660" w:rsidP="00BB7660">
      <w:pPr>
        <w:pStyle w:val="paragraph"/>
      </w:pPr>
      <w:r w:rsidRPr="00086F26">
        <w:tab/>
      </w:r>
      <w:r>
        <w:t>(b)</w:t>
      </w:r>
      <w:r w:rsidRPr="00086F26">
        <w:tab/>
        <w:t>in relation to particular CDR data, it is impracticable for the accredited data recipient to deal with a CDR consumer that has not been identified.</w:t>
      </w:r>
    </w:p>
    <w:p w14:paraId="48EFD88B" w14:textId="77777777" w:rsidR="00BB7660" w:rsidRPr="00A00F6F" w:rsidRDefault="00BB7660" w:rsidP="00BB7660">
      <w:pPr>
        <w:pStyle w:val="subsection"/>
      </w:pPr>
      <w:r w:rsidRPr="00A00F6F">
        <w:tab/>
        <w:t>(2)</w:t>
      </w:r>
      <w:r w:rsidRPr="00A00F6F">
        <w:tab/>
        <w:t>A CDR principal breaches this subrule if its CDR representative fails to comply with section 56EE of the Act in relation to service data of a CDR consumer as if it were an accredited person.</w:t>
      </w:r>
    </w:p>
    <w:p w14:paraId="34531E3E"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73BC10E1" w14:textId="77777777" w:rsidR="00BB7660" w:rsidRPr="00A00F6F" w:rsidRDefault="00BB7660" w:rsidP="00BB7660">
      <w:pPr>
        <w:pStyle w:val="notetext"/>
      </w:pPr>
      <w:r w:rsidRPr="00A00F6F">
        <w:t>Note 2:</w:t>
      </w:r>
      <w:r w:rsidRPr="00A00F6F">
        <w:tab/>
        <w:t>This subrule is a civil penalty provision (see rule 9.8).</w:t>
      </w:r>
    </w:p>
    <w:p w14:paraId="10E07835" w14:textId="77777777" w:rsidR="00BB7660" w:rsidRPr="00A00F6F" w:rsidRDefault="00BB7660" w:rsidP="00BB7660">
      <w:pPr>
        <w:pStyle w:val="subsection"/>
      </w:pPr>
      <w:r w:rsidRPr="00A00F6F">
        <w:tab/>
        <w:t>(3)</w:t>
      </w:r>
      <w:r w:rsidRPr="00A00F6F">
        <w:tab/>
        <w:t>For subrule (2), it is irrelevant whether the action of the CDR representative in relation to the service data is in accordance with the CDR representative arrangement.</w:t>
      </w:r>
    </w:p>
    <w:p w14:paraId="0E705576" w14:textId="77777777" w:rsidR="00BB7660" w:rsidRPr="00A00F6F" w:rsidRDefault="00BB7660" w:rsidP="00BB7660">
      <w:pPr>
        <w:pStyle w:val="ActHead5"/>
      </w:pPr>
      <w:bookmarkStart w:id="520" w:name="_Toc111132190"/>
      <w:bookmarkStart w:id="521" w:name="_Toc11771670"/>
      <w:r w:rsidRPr="00A00F6F">
        <w:t>7.3A  Rule relating to privacy safeguard 4—destruction of unsolicited data—CDR representative</w:t>
      </w:r>
      <w:bookmarkEnd w:id="520"/>
    </w:p>
    <w:p w14:paraId="068B38EF" w14:textId="77777777" w:rsidR="00BB7660" w:rsidRPr="00A00F6F" w:rsidRDefault="00BB7660" w:rsidP="00BB7660">
      <w:pPr>
        <w:pStyle w:val="subsection"/>
      </w:pPr>
      <w:r w:rsidRPr="00A00F6F">
        <w:tab/>
        <w:t>(1)</w:t>
      </w:r>
      <w:r w:rsidRPr="00A00F6F">
        <w:tab/>
        <w:t>A CDR principal breaches this subrule if its CDR representative fails to comply with section 56EG of the Act in relation to service data of a CDR consumer as if;</w:t>
      </w:r>
    </w:p>
    <w:p w14:paraId="2613CA9E" w14:textId="77777777" w:rsidR="00BB7660" w:rsidRPr="00A00F6F" w:rsidRDefault="00BB7660" w:rsidP="00BB7660">
      <w:pPr>
        <w:pStyle w:val="paragraph"/>
      </w:pPr>
      <w:r w:rsidRPr="00A00F6F">
        <w:tab/>
        <w:t>(a)</w:t>
      </w:r>
      <w:r w:rsidRPr="00A00F6F">
        <w:tab/>
        <w:t>it were an accredited person; and</w:t>
      </w:r>
    </w:p>
    <w:p w14:paraId="6050E62A" w14:textId="77777777" w:rsidR="00BB7660" w:rsidRPr="00A00F6F" w:rsidRDefault="00BB7660" w:rsidP="00BB7660">
      <w:pPr>
        <w:pStyle w:val="paragraph"/>
      </w:pPr>
      <w:r w:rsidRPr="00A00F6F">
        <w:tab/>
        <w:t>(b)</w:t>
      </w:r>
      <w:r w:rsidRPr="00A00F6F">
        <w:tab/>
        <w:t xml:space="preserve">it had collected the service data. </w:t>
      </w:r>
    </w:p>
    <w:p w14:paraId="1A9AC023"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3DC9C140" w14:textId="77777777" w:rsidR="00BB7660" w:rsidRPr="00A00F6F" w:rsidRDefault="00BB7660" w:rsidP="00BB7660">
      <w:pPr>
        <w:pStyle w:val="notetext"/>
      </w:pPr>
      <w:r w:rsidRPr="00A00F6F">
        <w:t>Note 2:</w:t>
      </w:r>
      <w:r w:rsidRPr="00A00F6F">
        <w:tab/>
        <w:t>This subrule is a civil penalty provision (see rule 9.8).</w:t>
      </w:r>
    </w:p>
    <w:p w14:paraId="0007997B" w14:textId="77777777" w:rsidR="00BB7660" w:rsidRPr="00A00F6F" w:rsidRDefault="00BB7660" w:rsidP="00BB7660">
      <w:pPr>
        <w:pStyle w:val="subsection"/>
      </w:pPr>
      <w:r w:rsidRPr="00A00F6F">
        <w:tab/>
        <w:t>(2)</w:t>
      </w:r>
      <w:r w:rsidRPr="00A00F6F">
        <w:tab/>
        <w:t xml:space="preserve">For </w:t>
      </w:r>
      <w:r w:rsidRPr="006F7F91">
        <w:rPr>
          <w:color w:val="0000FF"/>
        </w:rPr>
        <w:t>subrule (</w:t>
      </w:r>
      <w:r w:rsidRPr="004A04A4">
        <w:rPr>
          <w:color w:val="0000FF"/>
        </w:rPr>
        <w:t>1)</w:t>
      </w:r>
      <w:r w:rsidR="006F7F91">
        <w:rPr>
          <w:strike/>
          <w:color w:val="0000FF"/>
        </w:rPr>
        <w:t xml:space="preserve"> subrule (2)</w:t>
      </w:r>
      <w:r w:rsidRPr="006F7F91">
        <w:t>, it</w:t>
      </w:r>
      <w:r w:rsidRPr="00A00F6F">
        <w:t xml:space="preserve"> is irrelevant whether the action of the CDR representative in relation to the service data is in accordance with the CDR representative arrangement.</w:t>
      </w:r>
    </w:p>
    <w:p w14:paraId="3E97C65F" w14:textId="77777777" w:rsidR="006526DD" w:rsidRPr="00F524AD" w:rsidRDefault="006526DD" w:rsidP="006526DD">
      <w:pPr>
        <w:pStyle w:val="ActHead5"/>
        <w:rPr>
          <w:color w:val="0000FF"/>
        </w:rPr>
      </w:pPr>
      <w:bookmarkStart w:id="522" w:name="_Toc111132191"/>
      <w:r w:rsidRPr="00F524AD">
        <w:rPr>
          <w:color w:val="0000FF"/>
        </w:rPr>
        <w:lastRenderedPageBreak/>
        <w:t>7.3B  Rule relating to privacy safeguard 4—destruction of unsolicited data—</w:t>
      </w:r>
      <w:r w:rsidR="00D44ED7" w:rsidRPr="00F524AD">
        <w:rPr>
          <w:color w:val="0000FF"/>
        </w:rPr>
        <w:t>outsourced service providers</w:t>
      </w:r>
      <w:bookmarkEnd w:id="522"/>
    </w:p>
    <w:p w14:paraId="5FA1F750" w14:textId="77777777" w:rsidR="00D44ED7" w:rsidRPr="00F524AD" w:rsidRDefault="006526DD" w:rsidP="00D44ED7">
      <w:pPr>
        <w:pStyle w:val="subsection"/>
        <w:rPr>
          <w:color w:val="0000FF"/>
        </w:rPr>
      </w:pPr>
      <w:r w:rsidRPr="00F524AD">
        <w:rPr>
          <w:color w:val="0000FF"/>
        </w:rPr>
        <w:tab/>
        <w:t>(1)</w:t>
      </w:r>
      <w:r w:rsidRPr="00F524AD">
        <w:rPr>
          <w:color w:val="0000FF"/>
        </w:rPr>
        <w:tab/>
        <w:t>A</w:t>
      </w:r>
      <w:r w:rsidR="00D44ED7" w:rsidRPr="00F524AD">
        <w:rPr>
          <w:color w:val="0000FF"/>
        </w:rPr>
        <w:t xml:space="preserve">n accredited person </w:t>
      </w:r>
      <w:r w:rsidRPr="00F524AD">
        <w:rPr>
          <w:color w:val="0000FF"/>
        </w:rPr>
        <w:t>breaches this subrule if</w:t>
      </w:r>
      <w:r w:rsidR="00D44ED7" w:rsidRPr="00F524AD">
        <w:rPr>
          <w:color w:val="0000FF"/>
        </w:rPr>
        <w:t xml:space="preserve"> a direct or indirect OSP of:</w:t>
      </w:r>
    </w:p>
    <w:p w14:paraId="6399A681" w14:textId="77777777" w:rsidR="00D44ED7" w:rsidRPr="00F524AD" w:rsidRDefault="00D44ED7" w:rsidP="00D44ED7">
      <w:pPr>
        <w:pStyle w:val="paragraph"/>
        <w:rPr>
          <w:color w:val="0000FF"/>
        </w:rPr>
      </w:pPr>
      <w:r w:rsidRPr="00F524AD">
        <w:rPr>
          <w:color w:val="0000FF"/>
        </w:rPr>
        <w:tab/>
        <w:t>(a)</w:t>
      </w:r>
      <w:r w:rsidRPr="00F524AD">
        <w:rPr>
          <w:color w:val="0000FF"/>
        </w:rPr>
        <w:tab/>
        <w:t>the accredited person; or</w:t>
      </w:r>
    </w:p>
    <w:p w14:paraId="18959907" w14:textId="77777777" w:rsidR="00D44ED7" w:rsidRPr="00F524AD" w:rsidRDefault="00D44ED7" w:rsidP="00D44ED7">
      <w:pPr>
        <w:pStyle w:val="paragraph"/>
        <w:rPr>
          <w:color w:val="0000FF"/>
        </w:rPr>
      </w:pPr>
      <w:r w:rsidRPr="00F524AD">
        <w:rPr>
          <w:color w:val="0000FF"/>
        </w:rPr>
        <w:tab/>
        <w:t>(b)</w:t>
      </w:r>
      <w:r w:rsidRPr="00F524AD">
        <w:rPr>
          <w:color w:val="0000FF"/>
        </w:rPr>
        <w:tab/>
        <w:t xml:space="preserve">a </w:t>
      </w:r>
      <w:r w:rsidR="006526DD" w:rsidRPr="00F524AD">
        <w:rPr>
          <w:color w:val="0000FF"/>
        </w:rPr>
        <w:t>CDR representative</w:t>
      </w:r>
      <w:r w:rsidRPr="00F524AD">
        <w:rPr>
          <w:color w:val="0000FF"/>
        </w:rPr>
        <w:t xml:space="preserve"> of the accredited person;</w:t>
      </w:r>
    </w:p>
    <w:p w14:paraId="3E1C662D" w14:textId="77777777" w:rsidR="006526DD" w:rsidRPr="00F524AD" w:rsidRDefault="006526DD" w:rsidP="00D44ED7">
      <w:pPr>
        <w:pStyle w:val="subsection2"/>
        <w:rPr>
          <w:color w:val="0000FF"/>
        </w:rPr>
      </w:pPr>
      <w:r w:rsidRPr="00F524AD">
        <w:rPr>
          <w:color w:val="0000FF"/>
        </w:rPr>
        <w:t>fails to comply with section 56EG of the Act in relation to service data of a CDR consumer as if;</w:t>
      </w:r>
    </w:p>
    <w:p w14:paraId="6288B4DF" w14:textId="77777777" w:rsidR="006526DD" w:rsidRPr="00F524AD" w:rsidRDefault="006526DD" w:rsidP="006526DD">
      <w:pPr>
        <w:pStyle w:val="paragraph"/>
        <w:rPr>
          <w:color w:val="0000FF"/>
        </w:rPr>
      </w:pPr>
      <w:r w:rsidRPr="00F524AD">
        <w:rPr>
          <w:color w:val="0000FF"/>
        </w:rPr>
        <w:tab/>
        <w:t>(</w:t>
      </w:r>
      <w:r w:rsidR="00D44ED7" w:rsidRPr="00F524AD">
        <w:rPr>
          <w:color w:val="0000FF"/>
        </w:rPr>
        <w:t>c</w:t>
      </w:r>
      <w:r w:rsidRPr="00F524AD">
        <w:rPr>
          <w:color w:val="0000FF"/>
        </w:rPr>
        <w:t>)</w:t>
      </w:r>
      <w:r w:rsidRPr="00F524AD">
        <w:rPr>
          <w:color w:val="0000FF"/>
        </w:rPr>
        <w:tab/>
        <w:t>it were an accredited person; and</w:t>
      </w:r>
    </w:p>
    <w:p w14:paraId="318FB7C3" w14:textId="77777777" w:rsidR="006526DD" w:rsidRPr="00F524AD" w:rsidRDefault="006526DD" w:rsidP="006526DD">
      <w:pPr>
        <w:pStyle w:val="paragraph"/>
        <w:rPr>
          <w:color w:val="0000FF"/>
        </w:rPr>
      </w:pPr>
      <w:r w:rsidRPr="00F524AD">
        <w:rPr>
          <w:color w:val="0000FF"/>
        </w:rPr>
        <w:tab/>
        <w:t>(</w:t>
      </w:r>
      <w:r w:rsidR="00D44ED7" w:rsidRPr="00F524AD">
        <w:rPr>
          <w:color w:val="0000FF"/>
        </w:rPr>
        <w:t>d</w:t>
      </w:r>
      <w:r w:rsidRPr="00F524AD">
        <w:rPr>
          <w:color w:val="0000FF"/>
        </w:rPr>
        <w:t>)</w:t>
      </w:r>
      <w:r w:rsidRPr="00F524AD">
        <w:rPr>
          <w:color w:val="0000FF"/>
        </w:rPr>
        <w:tab/>
        <w:t xml:space="preserve">it had collected the service data. </w:t>
      </w:r>
    </w:p>
    <w:p w14:paraId="71898B21" w14:textId="77777777" w:rsidR="006526DD" w:rsidRPr="00F524AD" w:rsidRDefault="006526DD" w:rsidP="006526DD">
      <w:pPr>
        <w:pStyle w:val="notetext"/>
        <w:rPr>
          <w:color w:val="0000FF"/>
        </w:rPr>
      </w:pPr>
      <w:r w:rsidRPr="00F524AD">
        <w:rPr>
          <w:color w:val="0000FF"/>
        </w:rPr>
        <w:t>Note 1:</w:t>
      </w:r>
      <w:r w:rsidRPr="00F524AD">
        <w:rPr>
          <w:color w:val="0000FF"/>
        </w:rPr>
        <w:tab/>
        <w:t>See rule 1.10 for the definition of “service data” in relation to a</w:t>
      </w:r>
      <w:r w:rsidR="00D44ED7" w:rsidRPr="00F524AD">
        <w:rPr>
          <w:color w:val="0000FF"/>
        </w:rPr>
        <w:t xml:space="preserve">n outsourcing </w:t>
      </w:r>
      <w:r w:rsidRPr="00F524AD">
        <w:rPr>
          <w:color w:val="0000FF"/>
        </w:rPr>
        <w:t xml:space="preserve"> CDR representative arrangement.</w:t>
      </w:r>
    </w:p>
    <w:p w14:paraId="44AB6248" w14:textId="77777777" w:rsidR="006526DD" w:rsidRPr="00F524AD" w:rsidRDefault="006526DD" w:rsidP="006526DD">
      <w:pPr>
        <w:pStyle w:val="notetext"/>
        <w:rPr>
          <w:color w:val="0000FF"/>
        </w:rPr>
      </w:pPr>
      <w:r w:rsidRPr="00F524AD">
        <w:rPr>
          <w:color w:val="0000FF"/>
        </w:rPr>
        <w:t>Note 2:</w:t>
      </w:r>
      <w:r w:rsidRPr="00F524AD">
        <w:rPr>
          <w:color w:val="0000FF"/>
        </w:rPr>
        <w:tab/>
        <w:t>This subrule is a civil penalty provision (see rule 9.8).</w:t>
      </w:r>
    </w:p>
    <w:p w14:paraId="7DE63034" w14:textId="77777777" w:rsidR="006526DD" w:rsidRPr="00F524AD" w:rsidRDefault="006526DD" w:rsidP="006526DD">
      <w:pPr>
        <w:pStyle w:val="subsection"/>
        <w:rPr>
          <w:color w:val="0000FF"/>
        </w:rPr>
      </w:pPr>
      <w:r w:rsidRPr="00F524AD">
        <w:rPr>
          <w:color w:val="0000FF"/>
        </w:rPr>
        <w:tab/>
        <w:t>(2)</w:t>
      </w:r>
      <w:r w:rsidRPr="00F524AD">
        <w:rPr>
          <w:color w:val="0000FF"/>
        </w:rPr>
        <w:tab/>
        <w:t xml:space="preserve">For subrule (1), it is irrelevant whether the action of the </w:t>
      </w:r>
      <w:r w:rsidR="00D44ED7" w:rsidRPr="00F524AD">
        <w:rPr>
          <w:color w:val="0000FF"/>
        </w:rPr>
        <w:t xml:space="preserve">direct or indirect OSP </w:t>
      </w:r>
      <w:r w:rsidRPr="00F524AD">
        <w:rPr>
          <w:color w:val="0000FF"/>
        </w:rPr>
        <w:t xml:space="preserve">in relation to the service data is in accordance with the </w:t>
      </w:r>
      <w:r w:rsidR="00D44ED7" w:rsidRPr="00F524AD">
        <w:rPr>
          <w:color w:val="0000FF"/>
        </w:rPr>
        <w:t>CDR outsourcing arrangement</w:t>
      </w:r>
      <w:r w:rsidRPr="00F524AD">
        <w:rPr>
          <w:color w:val="0000FF"/>
        </w:rPr>
        <w:t>.</w:t>
      </w:r>
    </w:p>
    <w:p w14:paraId="02D4491C" w14:textId="77777777" w:rsidR="00BB7660" w:rsidRDefault="00BB7660" w:rsidP="00BB7660">
      <w:pPr>
        <w:pStyle w:val="ActHead4"/>
        <w:pageBreakBefore/>
      </w:pPr>
      <w:bookmarkStart w:id="523" w:name="_Toc111132192"/>
      <w:r>
        <w:lastRenderedPageBreak/>
        <w:t>Subdivision 7.2.2—Rules relating to collecting CDR data</w:t>
      </w:r>
      <w:bookmarkEnd w:id="521"/>
      <w:bookmarkEnd w:id="523"/>
    </w:p>
    <w:p w14:paraId="2505615C" w14:textId="77777777" w:rsidR="00BB7660" w:rsidRPr="00A00F6F" w:rsidRDefault="00BB7660" w:rsidP="00BB7660">
      <w:pPr>
        <w:pStyle w:val="ActHead5"/>
      </w:pPr>
      <w:bookmarkStart w:id="524" w:name="_Toc11771671"/>
      <w:bookmarkStart w:id="525" w:name="_Toc111132193"/>
      <w:r w:rsidRPr="00A00F6F">
        <w:t>7.4  Rule relating to privacy safeguard 5—notifying of the collection of CDR data</w:t>
      </w:r>
      <w:bookmarkEnd w:id="524"/>
      <w:bookmarkEnd w:id="525"/>
    </w:p>
    <w:p w14:paraId="5A74C404" w14:textId="77777777" w:rsidR="00BB7660" w:rsidRPr="00A00F6F" w:rsidRDefault="00BB7660" w:rsidP="00BB7660">
      <w:pPr>
        <w:pStyle w:val="subsection"/>
      </w:pPr>
      <w:r w:rsidRPr="00A00F6F">
        <w:tab/>
        <w:t>(1)</w:t>
      </w:r>
      <w:r w:rsidRPr="00A00F6F">
        <w:tab/>
        <w:t>For section 56EH of the Act, and subject to subrule (2), an accredited data recipient that collected the CDR data in accordance with section 56EF of the Act as a result of a collection consent must update the person’s consumer dashboard as soon as practicable to indicate:</w:t>
      </w:r>
    </w:p>
    <w:p w14:paraId="4C90A3C5" w14:textId="77777777" w:rsidR="00BB7660" w:rsidRPr="00A00F6F" w:rsidRDefault="00BB7660" w:rsidP="00BB7660">
      <w:pPr>
        <w:pStyle w:val="paragraph"/>
      </w:pPr>
      <w:r w:rsidRPr="00A00F6F">
        <w:tab/>
        <w:t>(a)</w:t>
      </w:r>
      <w:r w:rsidRPr="00A00F6F">
        <w:tab/>
        <w:t>what CDR data was collected; and</w:t>
      </w:r>
    </w:p>
    <w:p w14:paraId="63E79FFF" w14:textId="77777777" w:rsidR="00BB7660" w:rsidRPr="00A00F6F" w:rsidRDefault="00BB7660" w:rsidP="00BB7660">
      <w:pPr>
        <w:pStyle w:val="paragraph"/>
      </w:pPr>
      <w:r w:rsidRPr="00A00F6F">
        <w:tab/>
        <w:t>(b)</w:t>
      </w:r>
      <w:r w:rsidRPr="00A00F6F">
        <w:tab/>
        <w:t>when the CDR data was collected; and</w:t>
      </w:r>
    </w:p>
    <w:p w14:paraId="47F1D4E6" w14:textId="77777777" w:rsidR="00BB7660" w:rsidRPr="00A00F6F" w:rsidRDefault="00BB7660" w:rsidP="00BB7660">
      <w:pPr>
        <w:pStyle w:val="paragraph"/>
      </w:pPr>
      <w:r w:rsidRPr="00A00F6F">
        <w:tab/>
        <w:t>(c)</w:t>
      </w:r>
      <w:r w:rsidRPr="00A00F6F">
        <w:tab/>
        <w:t>the CDR participant for the CDR data from which the CDR data was collected.</w:t>
      </w:r>
    </w:p>
    <w:p w14:paraId="23815E89" w14:textId="77777777" w:rsidR="00BB7660" w:rsidRPr="006B2062" w:rsidRDefault="00BB7660" w:rsidP="00BB7660">
      <w:pPr>
        <w:pStyle w:val="subsection"/>
        <w:rPr>
          <w:color w:val="0000FF"/>
        </w:rPr>
      </w:pPr>
      <w:bookmarkStart w:id="526" w:name="_Hlk111123301"/>
      <w:r w:rsidRPr="006B2062">
        <w:rPr>
          <w:color w:val="0000FF"/>
        </w:rPr>
        <w:tab/>
        <w:t>(2)</w:t>
      </w:r>
      <w:r w:rsidRPr="006B2062">
        <w:rPr>
          <w:color w:val="0000FF"/>
        </w:rPr>
        <w:tab/>
        <w:t>Where the CDR data was collected by a sponsor on behalf of an affiliate:</w:t>
      </w:r>
    </w:p>
    <w:p w14:paraId="35148596" w14:textId="77777777" w:rsidR="00973C46" w:rsidRPr="006B2062" w:rsidRDefault="00BB7660" w:rsidP="00BB7660">
      <w:pPr>
        <w:pStyle w:val="paragraph"/>
        <w:rPr>
          <w:color w:val="0000FF"/>
        </w:rPr>
      </w:pPr>
      <w:r w:rsidRPr="006B2062">
        <w:rPr>
          <w:color w:val="0000FF"/>
        </w:rPr>
        <w:tab/>
        <w:t>(a)</w:t>
      </w:r>
      <w:r w:rsidRPr="006B2062">
        <w:rPr>
          <w:color w:val="0000FF"/>
        </w:rPr>
        <w:tab/>
      </w:r>
      <w:r w:rsidR="00973C46" w:rsidRPr="006B2062">
        <w:rPr>
          <w:color w:val="0000FF"/>
        </w:rPr>
        <w:t xml:space="preserve">the sponsor is not required to provide </w:t>
      </w:r>
      <w:r w:rsidR="006B2062" w:rsidRPr="006B2062">
        <w:rPr>
          <w:color w:val="0000FF"/>
        </w:rPr>
        <w:t xml:space="preserve">the </w:t>
      </w:r>
      <w:r w:rsidR="00973C46" w:rsidRPr="006B2062">
        <w:rPr>
          <w:color w:val="0000FF"/>
        </w:rPr>
        <w:t>consumer dashboard; and</w:t>
      </w:r>
    </w:p>
    <w:p w14:paraId="6F55A0D5" w14:textId="77777777" w:rsidR="00973C46" w:rsidRPr="006B2062" w:rsidRDefault="00973C46" w:rsidP="00973C46">
      <w:pPr>
        <w:pStyle w:val="notetext"/>
        <w:rPr>
          <w:color w:val="0000FF"/>
        </w:rPr>
      </w:pPr>
      <w:r w:rsidRPr="006B2062">
        <w:rPr>
          <w:color w:val="0000FF"/>
        </w:rPr>
        <w:t>Note:</w:t>
      </w:r>
      <w:r w:rsidRPr="006B2062">
        <w:rPr>
          <w:color w:val="0000FF"/>
        </w:rPr>
        <w:tab/>
        <w:t>The affiliate, as an accredited person that makes the consumer request through the sponsor, is required to provide the consumer dashboard under subrule 1.14(1).</w:t>
      </w:r>
    </w:p>
    <w:p w14:paraId="4308074F" w14:textId="77777777" w:rsidR="00BB7660" w:rsidRPr="00973C46" w:rsidRDefault="00973C46" w:rsidP="00973C46">
      <w:pPr>
        <w:pStyle w:val="paragraph"/>
        <w:rPr>
          <w:color w:val="0000FF"/>
        </w:rPr>
      </w:pPr>
      <w:r w:rsidRPr="00973C46">
        <w:rPr>
          <w:color w:val="0000FF"/>
        </w:rPr>
        <w:tab/>
        <w:t>(b)</w:t>
      </w:r>
      <w:r w:rsidRPr="00973C46">
        <w:rPr>
          <w:color w:val="0000FF"/>
        </w:rPr>
        <w:tab/>
      </w:r>
      <w:r w:rsidR="00BB7660" w:rsidRPr="00973C46">
        <w:rPr>
          <w:color w:val="0000FF"/>
        </w:rPr>
        <w:t>the sponsor and the affiliate may choose which of them will be responsible for updating the consumer’s dashboard in accordance with subrule (1); and</w:t>
      </w:r>
    </w:p>
    <w:p w14:paraId="260D4C53" w14:textId="77777777" w:rsidR="00BB7660" w:rsidRPr="00973C46" w:rsidRDefault="00BB7660" w:rsidP="00BB7660">
      <w:pPr>
        <w:pStyle w:val="paragraph"/>
        <w:rPr>
          <w:color w:val="0000FF"/>
        </w:rPr>
      </w:pPr>
      <w:r w:rsidRPr="00973C46">
        <w:rPr>
          <w:color w:val="0000FF"/>
        </w:rPr>
        <w:tab/>
        <w:t>(</w:t>
      </w:r>
      <w:r w:rsidR="00973C46" w:rsidRPr="00973C46">
        <w:rPr>
          <w:color w:val="0000FF"/>
        </w:rPr>
        <w:t>c</w:t>
      </w:r>
      <w:r w:rsidRPr="00973C46">
        <w:rPr>
          <w:color w:val="0000FF"/>
        </w:rPr>
        <w:t>)</w:t>
      </w:r>
      <w:r w:rsidRPr="00973C46">
        <w:rPr>
          <w:color w:val="0000FF"/>
        </w:rPr>
        <w:tab/>
        <w:t>the dashboard must also indicate that the CDR data was collected by the sponsor on behalf of the affiliate.</w:t>
      </w:r>
    </w:p>
    <w:p w14:paraId="6735D1D5" w14:textId="77777777" w:rsidR="00BB7660" w:rsidRPr="00973C46" w:rsidRDefault="00BB7660" w:rsidP="00BB7660">
      <w:pPr>
        <w:pStyle w:val="notetext"/>
        <w:rPr>
          <w:color w:val="0000FF"/>
        </w:rPr>
      </w:pPr>
      <w:r w:rsidRPr="00973C46">
        <w:rPr>
          <w:color w:val="0000FF"/>
        </w:rPr>
        <w:t>Note 1:</w:t>
      </w:r>
      <w:r w:rsidRPr="00973C46">
        <w:rPr>
          <w:color w:val="0000FF"/>
        </w:rPr>
        <w:tab/>
        <w:t>See</w:t>
      </w:r>
      <w:r w:rsidR="00973C46">
        <w:rPr>
          <w:color w:val="0000FF"/>
        </w:rPr>
        <w:t xml:space="preserve"> also </w:t>
      </w:r>
      <w:r w:rsidRPr="00973C46">
        <w:rPr>
          <w:color w:val="0000FF"/>
        </w:rPr>
        <w:t>paragraph 1.14(3)(h</w:t>
      </w:r>
      <w:r w:rsidR="004B71FD" w:rsidRPr="00973C46">
        <w:rPr>
          <w:color w:val="0000FF"/>
        </w:rPr>
        <w:t>a</w:t>
      </w:r>
      <w:r w:rsidRPr="00973C46">
        <w:rPr>
          <w:color w:val="0000FF"/>
        </w:rPr>
        <w:t>).</w:t>
      </w:r>
    </w:p>
    <w:p w14:paraId="16BFD5BD" w14:textId="77777777" w:rsidR="00BB7660" w:rsidRPr="00F524AD" w:rsidRDefault="00BB7660" w:rsidP="00BB7660">
      <w:pPr>
        <w:pStyle w:val="notetext"/>
        <w:rPr>
          <w:color w:val="0000FF"/>
        </w:rPr>
      </w:pPr>
      <w:r w:rsidRPr="00F524AD">
        <w:rPr>
          <w:color w:val="0000FF"/>
        </w:rPr>
        <w:t>Note 2:</w:t>
      </w:r>
      <w:r w:rsidRPr="00F524AD">
        <w:rPr>
          <w:color w:val="0000FF"/>
        </w:rPr>
        <w:tab/>
        <w:t>See subrule 1.16(</w:t>
      </w:r>
      <w:r w:rsidR="00993434" w:rsidRPr="00F524AD">
        <w:rPr>
          <w:color w:val="0000FF"/>
        </w:rPr>
        <w:t>5</w:t>
      </w:r>
      <w:r w:rsidRPr="00F524AD">
        <w:rPr>
          <w:color w:val="0000FF"/>
        </w:rPr>
        <w:t>) for how this rule applies where the CDR data is collected by an accredited person acting as a direct or indirect OSP to the accredited data recipient.</w:t>
      </w:r>
    </w:p>
    <w:p w14:paraId="587762B7" w14:textId="77777777" w:rsidR="00973C46" w:rsidRPr="00973C46" w:rsidRDefault="00973C46" w:rsidP="00973C46">
      <w:pPr>
        <w:pStyle w:val="subsection"/>
        <w:rPr>
          <w:strike/>
          <w:color w:val="0000FF"/>
        </w:rPr>
      </w:pPr>
      <w:r w:rsidRPr="00973C46">
        <w:rPr>
          <w:strike/>
          <w:color w:val="0000FF"/>
        </w:rPr>
        <w:tab/>
        <w:t>(2)</w:t>
      </w:r>
      <w:r w:rsidRPr="00973C46">
        <w:rPr>
          <w:strike/>
          <w:color w:val="0000FF"/>
        </w:rPr>
        <w:tab/>
        <w:t>Where the CDR data was collected by a sponsor on behalf of an affiliate:</w:t>
      </w:r>
    </w:p>
    <w:p w14:paraId="7712E304" w14:textId="77777777" w:rsidR="00973C46" w:rsidRPr="00973C46" w:rsidRDefault="00973C46" w:rsidP="00973C46">
      <w:pPr>
        <w:pStyle w:val="paragraph"/>
        <w:rPr>
          <w:strike/>
          <w:color w:val="0000FF"/>
        </w:rPr>
      </w:pPr>
      <w:r w:rsidRPr="00973C46">
        <w:rPr>
          <w:strike/>
          <w:color w:val="0000FF"/>
        </w:rPr>
        <w:tab/>
        <w:t>(a)</w:t>
      </w:r>
      <w:r w:rsidRPr="00973C46">
        <w:rPr>
          <w:strike/>
          <w:color w:val="0000FF"/>
        </w:rPr>
        <w:tab/>
        <w:t>the sponsor and the affiliate may choose which of them will be responsible for updating the consumer’s dashboard in accordance with subrule (1); and</w:t>
      </w:r>
    </w:p>
    <w:p w14:paraId="2A9BF6CF" w14:textId="77777777" w:rsidR="00973C46" w:rsidRPr="00973C46" w:rsidRDefault="00973C46" w:rsidP="00973C46">
      <w:pPr>
        <w:pStyle w:val="paragraph"/>
        <w:rPr>
          <w:strike/>
          <w:color w:val="0000FF"/>
        </w:rPr>
      </w:pPr>
      <w:r w:rsidRPr="00973C46">
        <w:rPr>
          <w:strike/>
          <w:color w:val="0000FF"/>
        </w:rPr>
        <w:tab/>
        <w:t>(b)</w:t>
      </w:r>
      <w:r w:rsidRPr="00973C46">
        <w:rPr>
          <w:strike/>
          <w:color w:val="0000FF"/>
        </w:rPr>
        <w:tab/>
        <w:t>the dashboard must also indicate that the CDR data was collected by the sponsor on behalf of the affiliate.</w:t>
      </w:r>
    </w:p>
    <w:p w14:paraId="3C581B79" w14:textId="77777777" w:rsidR="00F524AD" w:rsidRPr="00973C46" w:rsidRDefault="00F524AD" w:rsidP="00F524AD">
      <w:pPr>
        <w:pStyle w:val="notetext0"/>
        <w:shd w:val="clear" w:color="auto" w:fill="FFFFFF"/>
        <w:spacing w:before="122" w:beforeAutospacing="0" w:after="0" w:afterAutospacing="0"/>
        <w:ind w:left="1985" w:hanging="851"/>
        <w:rPr>
          <w:strike/>
          <w:color w:val="0000FF"/>
          <w:sz w:val="18"/>
          <w:szCs w:val="18"/>
        </w:rPr>
      </w:pPr>
      <w:r w:rsidRPr="00973C46">
        <w:rPr>
          <w:strike/>
          <w:color w:val="0000FF"/>
          <w:sz w:val="18"/>
          <w:szCs w:val="18"/>
        </w:rPr>
        <w:t>Note 1:       See paragraph 1.14(3)(h).</w:t>
      </w:r>
    </w:p>
    <w:p w14:paraId="1B22B43F" w14:textId="77777777" w:rsidR="00F524AD" w:rsidRPr="00F524AD" w:rsidRDefault="00F524AD" w:rsidP="00F524AD">
      <w:pPr>
        <w:pStyle w:val="notetext0"/>
        <w:shd w:val="clear" w:color="auto" w:fill="FFFFFF"/>
        <w:spacing w:before="122" w:beforeAutospacing="0" w:after="0" w:afterAutospacing="0"/>
        <w:ind w:left="1985" w:hanging="851"/>
        <w:rPr>
          <w:strike/>
          <w:color w:val="0000FF"/>
          <w:sz w:val="18"/>
          <w:szCs w:val="18"/>
        </w:rPr>
      </w:pPr>
      <w:r w:rsidRPr="00F524AD">
        <w:rPr>
          <w:strike/>
          <w:color w:val="0000FF"/>
          <w:sz w:val="18"/>
          <w:szCs w:val="18"/>
        </w:rPr>
        <w:t>Note 2:       See rule 1.16 for how this rule applies in the case of a CDR outsourcing arrangement in which a provider collects CDR data on behalf of a principal.</w:t>
      </w:r>
    </w:p>
    <w:bookmarkEnd w:id="526"/>
    <w:p w14:paraId="1D698CB6" w14:textId="77777777" w:rsidR="00BB7660" w:rsidRPr="004A04A4" w:rsidRDefault="00BB7660" w:rsidP="00BB7660">
      <w:pPr>
        <w:pStyle w:val="notetext"/>
        <w:rPr>
          <w:color w:val="0000FF"/>
        </w:rPr>
      </w:pPr>
    </w:p>
    <w:p w14:paraId="7547E1F4" w14:textId="77777777" w:rsidR="00BB7660" w:rsidRDefault="00BB7660" w:rsidP="00BB7660">
      <w:pPr>
        <w:pStyle w:val="ActHead4"/>
        <w:pageBreakBefore/>
      </w:pPr>
      <w:bookmarkStart w:id="527" w:name="_Toc11771672"/>
      <w:bookmarkStart w:id="528" w:name="_Toc111132194"/>
      <w:r>
        <w:lastRenderedPageBreak/>
        <w:t>Subdivision 7.2.3—Rules relating to dealing with CDR data</w:t>
      </w:r>
      <w:bookmarkEnd w:id="527"/>
      <w:bookmarkEnd w:id="528"/>
    </w:p>
    <w:p w14:paraId="61B4448D" w14:textId="77777777" w:rsidR="00BB7660" w:rsidRPr="00724397" w:rsidRDefault="00BB7660" w:rsidP="00BB7660">
      <w:pPr>
        <w:pStyle w:val="ActHead5"/>
        <w:rPr>
          <w:i/>
        </w:rPr>
      </w:pPr>
      <w:bookmarkStart w:id="529" w:name="_Toc111132195"/>
      <w:r>
        <w:rPr>
          <w:color w:val="000000" w:themeColor="text1"/>
        </w:rPr>
        <w:t>7.5</w:t>
      </w:r>
      <w:r w:rsidRPr="005F3D40">
        <w:rPr>
          <w:color w:val="000000" w:themeColor="text1"/>
        </w:rPr>
        <w:t xml:space="preserve">  Meaning of </w:t>
      </w:r>
      <w:r w:rsidRPr="005F3D40">
        <w:rPr>
          <w:i/>
          <w:color w:val="000000" w:themeColor="text1"/>
        </w:rPr>
        <w:t xml:space="preserve">permitted use or </w:t>
      </w:r>
      <w:r w:rsidRPr="00C02086">
        <w:rPr>
          <w:i/>
        </w:rPr>
        <w:t xml:space="preserve">disclosure </w:t>
      </w:r>
      <w:r w:rsidRPr="00724397">
        <w:t>and</w:t>
      </w:r>
      <w:r w:rsidRPr="00724397">
        <w:rPr>
          <w:b w:val="0"/>
        </w:rPr>
        <w:t xml:space="preserve"> </w:t>
      </w:r>
      <w:r w:rsidRPr="00724397">
        <w:rPr>
          <w:i/>
        </w:rPr>
        <w:t>relates to direct marketing</w:t>
      </w:r>
      <w:bookmarkEnd w:id="529"/>
    </w:p>
    <w:p w14:paraId="5BB6B940" w14:textId="77777777" w:rsidR="00BB7660" w:rsidRPr="00C02086" w:rsidRDefault="00BB7660" w:rsidP="00BB7660">
      <w:pPr>
        <w:pStyle w:val="SubsectionHead"/>
      </w:pPr>
      <w:r w:rsidRPr="00C02086">
        <w:rPr>
          <w:b/>
        </w:rPr>
        <w:t>Permitted uses or disclosures</w:t>
      </w:r>
      <w:r w:rsidRPr="00C02086">
        <w:t xml:space="preserve"> that do not relate to direct marketing</w:t>
      </w:r>
    </w:p>
    <w:p w14:paraId="0BEDB8E6" w14:textId="77777777" w:rsidR="00BB7660" w:rsidRDefault="00BB7660" w:rsidP="00BB7660">
      <w:pPr>
        <w:pStyle w:val="subsection"/>
      </w:pPr>
      <w:r w:rsidRPr="00C02086">
        <w:tab/>
      </w:r>
      <w:r>
        <w:t>(1)</w:t>
      </w:r>
      <w:r w:rsidRPr="00C02086">
        <w:tab/>
        <w:t>For</w:t>
      </w:r>
      <w:r w:rsidRPr="006F7F91">
        <w:t xml:space="preserve"> </w:t>
      </w:r>
      <w:r w:rsidR="004B71FD" w:rsidRPr="00F524AD">
        <w:rPr>
          <w:color w:val="0000FF"/>
        </w:rPr>
        <w:t>these rules</w:t>
      </w:r>
      <w:r w:rsidR="00F524AD" w:rsidRPr="00F524AD">
        <w:rPr>
          <w:strike/>
          <w:color w:val="0000FF"/>
        </w:rPr>
        <w:t xml:space="preserve"> this Subdivision</w:t>
      </w:r>
      <w:r w:rsidRPr="00C02086">
        <w:t xml:space="preserve">, for an accredited data recipient that has collected CDR data under a consumer data request under </w:t>
      </w:r>
      <w:r>
        <w:t>Part 4</w:t>
      </w:r>
      <w:r w:rsidRPr="00C02086">
        <w:t xml:space="preserve"> on behalf of a CDR consumer, each of the following is a </w:t>
      </w:r>
      <w:r w:rsidRPr="00C02086">
        <w:rPr>
          <w:b/>
          <w:i/>
        </w:rPr>
        <w:t>permitted use or disclosure</w:t>
      </w:r>
      <w:r w:rsidRPr="00C02086">
        <w:t>:</w:t>
      </w:r>
    </w:p>
    <w:p w14:paraId="39DB1191" w14:textId="77777777" w:rsidR="00BB7660" w:rsidRPr="00F07699" w:rsidRDefault="00BB7660" w:rsidP="00BB7660">
      <w:pPr>
        <w:pStyle w:val="paragraph"/>
      </w:pPr>
      <w:r w:rsidRPr="00F07699">
        <w:tab/>
        <w:t>(a)</w:t>
      </w:r>
      <w:r w:rsidRPr="00F07699">
        <w:tab/>
        <w:t xml:space="preserve">using the CDR consumer’s CDR data to provide goods or services requested by the CDR consumer (the </w:t>
      </w:r>
      <w:r w:rsidRPr="00F07699">
        <w:rPr>
          <w:b/>
          <w:i/>
        </w:rPr>
        <w:t>existing goods or services</w:t>
      </w:r>
      <w:r w:rsidRPr="00F07699">
        <w:t>):</w:t>
      </w:r>
    </w:p>
    <w:p w14:paraId="243DC27E" w14:textId="77777777" w:rsidR="00BB7660" w:rsidRPr="00F07699" w:rsidRDefault="00BB7660" w:rsidP="00BB7660">
      <w:pPr>
        <w:pStyle w:val="paragraphsub"/>
      </w:pPr>
      <w:r w:rsidRPr="00F07699">
        <w:tab/>
        <w:t>(i)</w:t>
      </w:r>
      <w:r w:rsidRPr="00F07699">
        <w:tab/>
        <w:t>in compliance with the data minimisation principle; and</w:t>
      </w:r>
    </w:p>
    <w:p w14:paraId="705B14F1" w14:textId="77777777" w:rsidR="00BB7660" w:rsidRPr="00F07699" w:rsidRDefault="00BB7660" w:rsidP="00BB7660">
      <w:pPr>
        <w:pStyle w:val="paragraphsub"/>
      </w:pPr>
      <w:r w:rsidRPr="00F07699">
        <w:tab/>
        <w:t>(ii)</w:t>
      </w:r>
      <w:r w:rsidRPr="00F07699">
        <w:tab/>
        <w:t xml:space="preserve">in accordance with a current </w:t>
      </w:r>
      <w:r w:rsidRPr="00CE5ECF">
        <w:t xml:space="preserve">use </w:t>
      </w:r>
      <w:r w:rsidRPr="00F07699">
        <w:t>consent from the CDR consumer, other than a direct marketing consent;</w:t>
      </w:r>
    </w:p>
    <w:p w14:paraId="713F5217" w14:textId="77777777" w:rsidR="00BB7660" w:rsidRDefault="00BB7660" w:rsidP="00BB7660">
      <w:pPr>
        <w:pStyle w:val="paragraph"/>
      </w:pPr>
      <w:r w:rsidRPr="00880559">
        <w:tab/>
        <w:t>(aa)</w:t>
      </w:r>
      <w:r w:rsidRPr="00880559">
        <w:tab/>
        <w:t>in accordance with a current</w:t>
      </w:r>
      <w:r w:rsidRPr="006F7F91">
        <w:t xml:space="preserve"> </w:t>
      </w:r>
      <w:r w:rsidR="004B71FD" w:rsidRPr="00F524AD">
        <w:rPr>
          <w:color w:val="0000FF"/>
        </w:rPr>
        <w:t>de-identification</w:t>
      </w:r>
      <w:r w:rsidR="00450A8A" w:rsidRPr="00F524AD">
        <w:rPr>
          <w:strike/>
          <w:color w:val="0000FF"/>
        </w:rPr>
        <w:t xml:space="preserve"> use</w:t>
      </w:r>
      <w:r w:rsidR="00450A8A" w:rsidRPr="006F7F91">
        <w:t xml:space="preserve"> </w:t>
      </w:r>
      <w:r w:rsidRPr="006F7F91">
        <w:t>con</w:t>
      </w:r>
      <w:r w:rsidRPr="00880559">
        <w:t>sent, de</w:t>
      </w:r>
      <w:r w:rsidRPr="00880559">
        <w:noBreakHyphen/>
        <w:t>identifying the CDR consumer’s CDR data in accordance with the CDR data de</w:t>
      </w:r>
      <w:r w:rsidRPr="00880559">
        <w:noBreakHyphen/>
        <w:t>identification process and:</w:t>
      </w:r>
    </w:p>
    <w:p w14:paraId="253D35F7" w14:textId="77777777" w:rsidR="00BB7660" w:rsidRPr="00880559" w:rsidRDefault="00BB7660" w:rsidP="00BB7660">
      <w:pPr>
        <w:pStyle w:val="paragraphsub"/>
      </w:pPr>
      <w:r w:rsidRPr="00880559">
        <w:tab/>
        <w:t>(i)</w:t>
      </w:r>
      <w:r w:rsidRPr="00880559">
        <w:tab/>
        <w:t>using the de</w:t>
      </w:r>
      <w:r w:rsidRPr="00880559">
        <w:noBreakHyphen/>
        <w:t>identified data for general research; or</w:t>
      </w:r>
    </w:p>
    <w:p w14:paraId="384C1714" w14:textId="77777777" w:rsidR="00BB7660" w:rsidRPr="00880559" w:rsidRDefault="00BB7660" w:rsidP="00BB7660">
      <w:pPr>
        <w:pStyle w:val="paragraphsub"/>
      </w:pPr>
      <w:r w:rsidRPr="00880559">
        <w:tab/>
        <w:t>(ii)</w:t>
      </w:r>
      <w:r w:rsidRPr="00880559">
        <w:tab/>
        <w:t>disclosing (including by selling) the de</w:t>
      </w:r>
      <w:r w:rsidRPr="00880559">
        <w:noBreakHyphen/>
        <w:t>identified data;</w:t>
      </w:r>
    </w:p>
    <w:p w14:paraId="5A1E25A4" w14:textId="77777777" w:rsidR="00BB7660" w:rsidRPr="00CE5ECF" w:rsidRDefault="00BB7660" w:rsidP="00BB7660">
      <w:pPr>
        <w:pStyle w:val="paragraph"/>
      </w:pPr>
      <w:r w:rsidRPr="00CE5ECF">
        <w:tab/>
        <w:t>(b)</w:t>
      </w:r>
      <w:r w:rsidRPr="00CE5ECF">
        <w:tab/>
        <w:t xml:space="preserve">directly or indirectly deriving CDR data from the collected CDR data in order to use the data in accordance with paragraph (a) </w:t>
      </w:r>
      <w:r w:rsidRPr="00442213">
        <w:t>or</w:t>
      </w:r>
      <w:r w:rsidRPr="005C6351">
        <w:t xml:space="preserve"> </w:t>
      </w:r>
      <w:r w:rsidRPr="00CE5ECF">
        <w:t xml:space="preserve">(aa); </w:t>
      </w:r>
    </w:p>
    <w:p w14:paraId="5196FA71" w14:textId="77777777" w:rsidR="00BB7660" w:rsidRPr="00CE5ECF" w:rsidRDefault="00BB7660" w:rsidP="00BB7660">
      <w:pPr>
        <w:pStyle w:val="paragraph"/>
      </w:pPr>
      <w:r w:rsidRPr="00CE5ECF">
        <w:tab/>
        <w:t>(c)</w:t>
      </w:r>
      <w:r w:rsidRPr="00CE5ECF">
        <w:tab/>
        <w:t>for the purpose of providing the existing goods or services—disclosing, to the CDR consumer, any of their CDR data;</w:t>
      </w:r>
    </w:p>
    <w:p w14:paraId="2812902D" w14:textId="77777777" w:rsidR="00BB7660" w:rsidRPr="00CE5ECF" w:rsidRDefault="00BB7660" w:rsidP="00BB7660">
      <w:pPr>
        <w:pStyle w:val="paragraph"/>
      </w:pPr>
      <w:r w:rsidRPr="00CE5ECF">
        <w:tab/>
        <w:t>(ca)</w:t>
      </w:r>
      <w:r w:rsidRPr="00CE5ECF">
        <w:tab/>
        <w:t>subject to rule 7.5A, disclosing the CDR consumer’s CDR data in accordance with a current disclosure consent;</w:t>
      </w:r>
    </w:p>
    <w:p w14:paraId="6B31E0FE" w14:textId="77777777" w:rsidR="00BB7660" w:rsidRPr="004A04A4" w:rsidRDefault="00BB7660" w:rsidP="00BB7660">
      <w:pPr>
        <w:pStyle w:val="paragraph"/>
        <w:rPr>
          <w:color w:val="0000FF"/>
        </w:rPr>
      </w:pPr>
      <w:r w:rsidRPr="004A04A4">
        <w:rPr>
          <w:color w:val="0000FF"/>
        </w:rPr>
        <w:tab/>
        <w:t>(d)</w:t>
      </w:r>
      <w:r w:rsidRPr="004A04A4">
        <w:rPr>
          <w:color w:val="0000FF"/>
        </w:rPr>
        <w:tab/>
        <w:t>disclosing the CDR consumer’s CDR data to:</w:t>
      </w:r>
    </w:p>
    <w:p w14:paraId="73915786" w14:textId="77777777" w:rsidR="00BB7660" w:rsidRPr="004A04A4" w:rsidRDefault="00BB7660" w:rsidP="00BB7660">
      <w:pPr>
        <w:pStyle w:val="paragraphsub"/>
        <w:rPr>
          <w:color w:val="0000FF"/>
        </w:rPr>
      </w:pPr>
      <w:r w:rsidRPr="004A04A4">
        <w:rPr>
          <w:color w:val="0000FF"/>
        </w:rPr>
        <w:tab/>
        <w:t>(i)</w:t>
      </w:r>
      <w:r w:rsidRPr="004A04A4">
        <w:rPr>
          <w:color w:val="0000FF"/>
        </w:rPr>
        <w:tab/>
        <w:t>a direct or indirect OSP of the accredited data recipient; or</w:t>
      </w:r>
    </w:p>
    <w:p w14:paraId="29D79536" w14:textId="77777777" w:rsidR="00BB7660" w:rsidRPr="004A04A4" w:rsidRDefault="00BB7660" w:rsidP="00BB7660">
      <w:pPr>
        <w:pStyle w:val="paragraphsub"/>
        <w:rPr>
          <w:color w:val="0000FF"/>
        </w:rPr>
      </w:pPr>
      <w:r w:rsidRPr="004A04A4">
        <w:rPr>
          <w:color w:val="0000FF"/>
        </w:rPr>
        <w:tab/>
        <w:t>(ii)</w:t>
      </w:r>
      <w:r w:rsidRPr="004A04A4">
        <w:rPr>
          <w:color w:val="0000FF"/>
        </w:rPr>
        <w:tab/>
        <w:t xml:space="preserve">the other party in a sponsorship arrangement; </w:t>
      </w:r>
    </w:p>
    <w:p w14:paraId="4E83F0E3" w14:textId="77777777" w:rsidR="00BB7660" w:rsidRPr="004A04A4" w:rsidRDefault="00BB7660" w:rsidP="00BB7660">
      <w:pPr>
        <w:pStyle w:val="paragraph"/>
        <w:rPr>
          <w:color w:val="0000FF"/>
        </w:rPr>
      </w:pPr>
      <w:r w:rsidRPr="004A04A4">
        <w:rPr>
          <w:color w:val="0000FF"/>
        </w:rPr>
        <w:tab/>
      </w:r>
      <w:r w:rsidRPr="004A04A4">
        <w:rPr>
          <w:color w:val="0000FF"/>
        </w:rPr>
        <w:tab/>
        <w:t>where the disclosure is made:</w:t>
      </w:r>
    </w:p>
    <w:p w14:paraId="36BD1E1D" w14:textId="77777777" w:rsidR="00BB7660" w:rsidRPr="004A04A4" w:rsidRDefault="00BB7660" w:rsidP="00BB7660">
      <w:pPr>
        <w:pStyle w:val="paragraphsub"/>
        <w:rPr>
          <w:color w:val="0000FF"/>
        </w:rPr>
      </w:pPr>
      <w:r w:rsidRPr="004A04A4">
        <w:rPr>
          <w:color w:val="0000FF"/>
        </w:rPr>
        <w:tab/>
        <w:t>(</w:t>
      </w:r>
      <w:r w:rsidR="00450A8A">
        <w:rPr>
          <w:color w:val="0000FF"/>
        </w:rPr>
        <w:t>ii</w:t>
      </w:r>
      <w:r w:rsidRPr="004A04A4">
        <w:rPr>
          <w:color w:val="0000FF"/>
        </w:rPr>
        <w:t>i)</w:t>
      </w:r>
      <w:r w:rsidRPr="004A04A4">
        <w:rPr>
          <w:color w:val="0000FF"/>
        </w:rPr>
        <w:tab/>
        <w:t>for the purpose of doing the things referred to in paragraphs (a) to (ca); and</w:t>
      </w:r>
    </w:p>
    <w:p w14:paraId="10391CB9" w14:textId="77777777" w:rsidR="0082675C" w:rsidRDefault="00BB7660" w:rsidP="0082675C">
      <w:pPr>
        <w:pStyle w:val="paragraphsub"/>
        <w:rPr>
          <w:color w:val="0000FF"/>
        </w:rPr>
      </w:pPr>
      <w:r w:rsidRPr="004A04A4">
        <w:rPr>
          <w:color w:val="0000FF"/>
        </w:rPr>
        <w:tab/>
        <w:t>(i</w:t>
      </w:r>
      <w:r w:rsidR="00450A8A">
        <w:rPr>
          <w:color w:val="0000FF"/>
        </w:rPr>
        <w:t>v</w:t>
      </w:r>
      <w:r w:rsidRPr="004A04A4">
        <w:rPr>
          <w:color w:val="0000FF"/>
        </w:rPr>
        <w:t>)</w:t>
      </w:r>
      <w:r w:rsidRPr="004A04A4">
        <w:rPr>
          <w:color w:val="0000FF"/>
        </w:rPr>
        <w:tab/>
        <w:t>to the extent reasonably needed to do those things;</w:t>
      </w:r>
    </w:p>
    <w:p w14:paraId="7A0FA50B" w14:textId="77777777" w:rsidR="00450A8A" w:rsidRPr="00450A8A" w:rsidRDefault="00450A8A" w:rsidP="00450A8A">
      <w:pPr>
        <w:shd w:val="clear" w:color="auto" w:fill="FFFFFF"/>
        <w:spacing w:before="40" w:line="240" w:lineRule="auto"/>
        <w:ind w:left="1644" w:hanging="1644"/>
        <w:rPr>
          <w:rFonts w:eastAsia="Times New Roman" w:cs="Times New Roman"/>
          <w:strike/>
          <w:color w:val="0000FF"/>
          <w:szCs w:val="22"/>
          <w:lang w:eastAsia="en-AU"/>
        </w:rPr>
      </w:pPr>
      <w:r w:rsidRPr="00450A8A">
        <w:rPr>
          <w:rFonts w:eastAsia="Times New Roman" w:cs="Times New Roman"/>
          <w:strike/>
          <w:color w:val="0000FF"/>
          <w:szCs w:val="22"/>
          <w:lang w:eastAsia="en-AU"/>
        </w:rPr>
        <w:t>                     (d)  disclosing the CDR consumer’s CDR data to an outsourced service provider of the accredited data recipient under a CDR outsourcing arrangement, or to the other party in a sponsorship arrangement:</w:t>
      </w:r>
    </w:p>
    <w:p w14:paraId="453B8DE8" w14:textId="77777777" w:rsidR="00450A8A" w:rsidRPr="00450A8A" w:rsidRDefault="00450A8A" w:rsidP="00450A8A">
      <w:pPr>
        <w:shd w:val="clear" w:color="auto" w:fill="FFFFFF"/>
        <w:spacing w:before="40" w:line="240" w:lineRule="auto"/>
        <w:ind w:left="2098" w:hanging="2098"/>
        <w:rPr>
          <w:rFonts w:eastAsia="Times New Roman" w:cs="Times New Roman"/>
          <w:strike/>
          <w:color w:val="0000FF"/>
          <w:szCs w:val="22"/>
          <w:lang w:eastAsia="en-AU"/>
        </w:rPr>
      </w:pPr>
      <w:r w:rsidRPr="00450A8A">
        <w:rPr>
          <w:rFonts w:eastAsia="Times New Roman" w:cs="Times New Roman"/>
          <w:strike/>
          <w:color w:val="0000FF"/>
          <w:szCs w:val="22"/>
          <w:lang w:eastAsia="en-AU"/>
        </w:rPr>
        <w:t>                              (i)  for the purpose of doing the things referred to in paragraphs (a) to (c); and</w:t>
      </w:r>
    </w:p>
    <w:p w14:paraId="18BFE150" w14:textId="77777777" w:rsidR="00450A8A" w:rsidRPr="00450A8A" w:rsidRDefault="00450A8A" w:rsidP="00450A8A">
      <w:pPr>
        <w:shd w:val="clear" w:color="auto" w:fill="FFFFFF"/>
        <w:spacing w:before="40" w:line="240" w:lineRule="auto"/>
        <w:ind w:left="2098" w:hanging="2098"/>
        <w:rPr>
          <w:rFonts w:eastAsia="Times New Roman" w:cs="Times New Roman"/>
          <w:strike/>
          <w:color w:val="0000FF"/>
          <w:szCs w:val="22"/>
          <w:lang w:eastAsia="en-AU"/>
        </w:rPr>
      </w:pPr>
      <w:r w:rsidRPr="00450A8A">
        <w:rPr>
          <w:rFonts w:eastAsia="Times New Roman" w:cs="Times New Roman"/>
          <w:strike/>
          <w:color w:val="0000FF"/>
          <w:szCs w:val="22"/>
          <w:lang w:eastAsia="en-AU"/>
        </w:rPr>
        <w:t>                             (ii)  to the extent reasonably needed to do those things;</w:t>
      </w:r>
    </w:p>
    <w:p w14:paraId="14338059" w14:textId="77777777" w:rsidR="00BB7660" w:rsidRPr="00EC7544" w:rsidRDefault="00BB7660" w:rsidP="00BB7660">
      <w:pPr>
        <w:pStyle w:val="paragraph"/>
      </w:pPr>
      <w:r w:rsidRPr="00C02086">
        <w:tab/>
      </w:r>
      <w:r>
        <w:t>(e)</w:t>
      </w:r>
      <w:r w:rsidRPr="00C02086">
        <w:tab/>
        <w:t>disclosing (by sale or otherwise), to any person, CDR data that has been de</w:t>
      </w:r>
      <w:r w:rsidRPr="00C02086">
        <w:noBreakHyphen/>
        <w:t>identified in accordance with the CDR data de</w:t>
      </w:r>
      <w:r w:rsidRPr="00C02086">
        <w:noBreakHyphen/>
        <w:t>identification process</w:t>
      </w:r>
      <w:r w:rsidR="0082675C">
        <w:t xml:space="preserve"> </w:t>
      </w:r>
      <w:r w:rsidR="0082675C" w:rsidRPr="001E7DE3">
        <w:rPr>
          <w:color w:val="0000FF"/>
        </w:rPr>
        <w:t>on becoming redundant data</w:t>
      </w:r>
      <w:r w:rsidRPr="00EC7544">
        <w:t>;</w:t>
      </w:r>
    </w:p>
    <w:p w14:paraId="16CF9859" w14:textId="77777777" w:rsidR="00BB7660" w:rsidRDefault="00BB7660" w:rsidP="00BB7660">
      <w:pPr>
        <w:pStyle w:val="paragraph"/>
        <w:rPr>
          <w:color w:val="0000FF"/>
        </w:rPr>
      </w:pPr>
      <w:r w:rsidRPr="004A04A4">
        <w:rPr>
          <w:color w:val="0000FF"/>
        </w:rPr>
        <w:tab/>
        <w:t>(f)</w:t>
      </w:r>
      <w:r w:rsidRPr="004A04A4">
        <w:rPr>
          <w:color w:val="0000FF"/>
        </w:rPr>
        <w:tab/>
        <w:t>where the accredited data recipient collected the CDR data on behalf of another accredited person in its capacity as a direct or indirect OSP of that person—using or disclosing the CDR data in accordance with the relevant CDR outsourcing arrangement;</w:t>
      </w:r>
    </w:p>
    <w:p w14:paraId="351442C8" w14:textId="77777777" w:rsidR="002D629F" w:rsidRPr="002D629F" w:rsidRDefault="002D629F" w:rsidP="002D629F">
      <w:pPr>
        <w:pStyle w:val="paragraph"/>
        <w:rPr>
          <w:strike/>
          <w:color w:val="0000FF"/>
        </w:rPr>
      </w:pPr>
      <w:r w:rsidRPr="002D629F">
        <w:rPr>
          <w:strike/>
          <w:color w:val="0000FF"/>
        </w:rPr>
        <w:lastRenderedPageBreak/>
        <w:tab/>
        <w:t>(f)</w:t>
      </w:r>
      <w:r w:rsidRPr="002D629F">
        <w:rPr>
          <w:strike/>
          <w:color w:val="0000FF"/>
        </w:rPr>
        <w:tab/>
        <w:t>where the accredited data recipient collected the CDR data as a provider in a CDR outsourcing arrangement—disclosing service data to the principal under the arrangement;</w:t>
      </w:r>
    </w:p>
    <w:p w14:paraId="6552D230" w14:textId="77777777" w:rsidR="00BB7660" w:rsidRPr="00CE5ECF" w:rsidRDefault="00BB7660" w:rsidP="00BB7660">
      <w:pPr>
        <w:pStyle w:val="paragraph"/>
      </w:pPr>
      <w:r>
        <w:tab/>
      </w:r>
      <w:r w:rsidRPr="00CE5ECF">
        <w:t>(g)</w:t>
      </w:r>
      <w:r w:rsidRPr="00CE5ECF">
        <w:tab/>
        <w:t>disclosing CDR data to an accredited person if the CDR consumer has:</w:t>
      </w:r>
    </w:p>
    <w:p w14:paraId="35566BFB" w14:textId="77777777" w:rsidR="00BB7660" w:rsidRPr="00CE5ECF" w:rsidRDefault="00BB7660" w:rsidP="00BB7660">
      <w:pPr>
        <w:pStyle w:val="paragraphsub"/>
      </w:pPr>
      <w:r w:rsidRPr="00CE5ECF">
        <w:tab/>
        <w:t>(i)</w:t>
      </w:r>
      <w:r w:rsidRPr="00CE5ECF">
        <w:tab/>
        <w:t>given the accredited person:</w:t>
      </w:r>
    </w:p>
    <w:p w14:paraId="4F794F47" w14:textId="77777777" w:rsidR="00BB7660" w:rsidRPr="00CE5ECF" w:rsidRDefault="00BB7660" w:rsidP="00BB7660">
      <w:pPr>
        <w:pStyle w:val="paragraphsub-sub"/>
      </w:pPr>
      <w:r w:rsidRPr="00CE5ECF">
        <w:tab/>
        <w:t>(A)</w:t>
      </w:r>
      <w:r w:rsidRPr="00CE5ECF">
        <w:tab/>
        <w:t>a collection consent to collect the CDR data from the accredited data recipient; and</w:t>
      </w:r>
    </w:p>
    <w:p w14:paraId="7BE3417D" w14:textId="77777777" w:rsidR="00BB7660" w:rsidRPr="00CE5ECF" w:rsidRDefault="00BB7660" w:rsidP="00BB7660">
      <w:pPr>
        <w:pStyle w:val="paragraphsub-sub"/>
      </w:pPr>
      <w:r w:rsidRPr="00CE5ECF">
        <w:tab/>
        <w:t>(B)</w:t>
      </w:r>
      <w:r w:rsidRPr="00CE5ECF">
        <w:tab/>
        <w:t>a use consent; and</w:t>
      </w:r>
    </w:p>
    <w:p w14:paraId="58544B6D" w14:textId="77777777" w:rsidR="00BB7660" w:rsidRPr="00A00F6F" w:rsidRDefault="00BB7660" w:rsidP="00BB7660">
      <w:pPr>
        <w:pStyle w:val="paragraphsub"/>
      </w:pPr>
      <w:r w:rsidRPr="00CE5ECF">
        <w:tab/>
        <w:t>(ii)</w:t>
      </w:r>
      <w:r w:rsidRPr="00CE5ECF">
        <w:tab/>
        <w:t>given the accredited data recipient an AP disclosure consent to disclose the CDR</w:t>
      </w:r>
      <w:r>
        <w:t xml:space="preserve"> data to the accredited person</w:t>
      </w:r>
      <w:r w:rsidRPr="00A00F6F">
        <w:t>;</w:t>
      </w:r>
    </w:p>
    <w:p w14:paraId="34DE678B" w14:textId="77777777" w:rsidR="00BB7660" w:rsidRPr="00A00F6F" w:rsidRDefault="00BB7660" w:rsidP="00BB7660">
      <w:pPr>
        <w:pStyle w:val="paragraph"/>
      </w:pPr>
      <w:r w:rsidRPr="00A00F6F">
        <w:tab/>
        <w:t>(h)</w:t>
      </w:r>
      <w:r w:rsidRPr="00A00F6F">
        <w:tab/>
        <w:t xml:space="preserve">where the accredited data recipient is a CDR principal—disclosing the CDR data to a CDR representative for the purposes of a use or disclosure by the CDR representative that would be a permitted use or disclosure under </w:t>
      </w:r>
      <w:r w:rsidRPr="001E7DE3">
        <w:rPr>
          <w:color w:val="0000FF"/>
        </w:rPr>
        <w:t xml:space="preserve">paragraphs (a) to </w:t>
      </w:r>
      <w:r w:rsidR="0082675C" w:rsidRPr="001E7DE3">
        <w:rPr>
          <w:color w:val="0000FF"/>
        </w:rPr>
        <w:t>(d)</w:t>
      </w:r>
      <w:r w:rsidRPr="001E7DE3">
        <w:rPr>
          <w:strike/>
          <w:color w:val="0000FF"/>
        </w:rPr>
        <w:t xml:space="preserve"> </w:t>
      </w:r>
      <w:r w:rsidR="001E7DE3" w:rsidRPr="001E7DE3">
        <w:rPr>
          <w:strike/>
          <w:color w:val="0000FF"/>
        </w:rPr>
        <w:t>paragraphs (a) to (ca)</w:t>
      </w:r>
      <w:r w:rsidR="001E7DE3" w:rsidRPr="00A00F6F">
        <w:t xml:space="preserve"> </w:t>
      </w:r>
      <w:r w:rsidRPr="00A00F6F">
        <w:t>or paragraph (e) or (g)</w:t>
      </w:r>
      <w:r w:rsidRPr="004A04A4">
        <w:rPr>
          <w:color w:val="0000FF"/>
        </w:rPr>
        <w:t xml:space="preserve">, </w:t>
      </w:r>
      <w:r w:rsidRPr="00A00F6F">
        <w:t>if the CDR representative were an accredited data recipient that had collected the CDR data under the consumer data request.</w:t>
      </w:r>
    </w:p>
    <w:p w14:paraId="53371C42" w14:textId="77777777" w:rsidR="00BB7660" w:rsidRPr="00A00F6F" w:rsidRDefault="00BB7660" w:rsidP="00BB7660">
      <w:pPr>
        <w:pStyle w:val="subsection"/>
      </w:pPr>
      <w:r w:rsidRPr="00A00F6F">
        <w:tab/>
        <w:t>(2)</w:t>
      </w:r>
      <w:r w:rsidRPr="00A00F6F">
        <w:tab/>
        <w:t>However:</w:t>
      </w:r>
    </w:p>
    <w:p w14:paraId="0443E4E0" w14:textId="77777777" w:rsidR="00BB7660" w:rsidRPr="00A00F6F" w:rsidRDefault="00BB7660" w:rsidP="00BB7660">
      <w:pPr>
        <w:pStyle w:val="paragraph"/>
      </w:pPr>
      <w:r w:rsidRPr="00A00F6F">
        <w:tab/>
        <w:t>(a)</w:t>
      </w:r>
      <w:r w:rsidRPr="00A00F6F">
        <w:tab/>
        <w:t xml:space="preserve">a disclosure is not a </w:t>
      </w:r>
      <w:r w:rsidRPr="00A00F6F">
        <w:rPr>
          <w:b/>
          <w:i/>
        </w:rPr>
        <w:t>permitted use or disclosure</w:t>
      </w:r>
      <w:r w:rsidRPr="00A00F6F">
        <w:t xml:space="preserve"> unless it is done in accordance with the data standards; and</w:t>
      </w:r>
    </w:p>
    <w:p w14:paraId="3BB01122" w14:textId="77777777" w:rsidR="00BB7660" w:rsidRPr="00A00F6F" w:rsidRDefault="00BB7660" w:rsidP="00BB7660">
      <w:pPr>
        <w:pStyle w:val="paragraph"/>
      </w:pPr>
      <w:r w:rsidRPr="00A00F6F">
        <w:tab/>
        <w:t>(b)</w:t>
      </w:r>
      <w:r w:rsidRPr="00A00F6F">
        <w:tab/>
        <w:t xml:space="preserve">none of the </w:t>
      </w:r>
      <w:r w:rsidRPr="000A4F05">
        <w:t xml:space="preserve">uses </w:t>
      </w:r>
      <w:r w:rsidR="006F7F91" w:rsidRPr="000A4F05">
        <w:rPr>
          <w:strike/>
          <w:color w:val="0000FF"/>
        </w:rPr>
        <w:t>or disclosures</w:t>
      </w:r>
      <w:r w:rsidR="006F7F91" w:rsidRPr="000A4F05">
        <w:t xml:space="preserve"> </w:t>
      </w:r>
      <w:r w:rsidRPr="000A4F05">
        <w:t>of</w:t>
      </w:r>
      <w:r w:rsidRPr="00A00F6F">
        <w:t xml:space="preserve"> CDR data referred to in subrule 4.12(3) is a </w:t>
      </w:r>
      <w:r w:rsidRPr="00A00F6F">
        <w:rPr>
          <w:b/>
          <w:i/>
        </w:rPr>
        <w:t>permitted use or disclosure</w:t>
      </w:r>
      <w:r w:rsidRPr="00A00F6F">
        <w:t>.</w:t>
      </w:r>
    </w:p>
    <w:p w14:paraId="6C8E222F" w14:textId="77777777" w:rsidR="00526E06" w:rsidRDefault="00BB7660" w:rsidP="00BB7660">
      <w:pPr>
        <w:pStyle w:val="notetext"/>
        <w:rPr>
          <w:color w:val="0000FF"/>
        </w:rPr>
      </w:pPr>
      <w:r w:rsidRPr="004A04A4">
        <w:rPr>
          <w:color w:val="0000FF"/>
        </w:rPr>
        <w:t>Note:</w:t>
      </w:r>
      <w:r w:rsidRPr="004A04A4">
        <w:rPr>
          <w:color w:val="0000FF"/>
        </w:rPr>
        <w:tab/>
        <w:t>The same list of uses</w:t>
      </w:r>
      <w:r w:rsidR="000A4F05">
        <w:rPr>
          <w:color w:val="0000FF"/>
        </w:rPr>
        <w:t xml:space="preserve"> a</w:t>
      </w:r>
      <w:r w:rsidRPr="004A04A4">
        <w:rPr>
          <w:color w:val="0000FF"/>
        </w:rPr>
        <w:t>ppears in subrule 4</w:t>
      </w:r>
      <w:r w:rsidR="0034635F">
        <w:rPr>
          <w:color w:val="0000FF"/>
        </w:rPr>
        <w:t>.20F</w:t>
      </w:r>
      <w:r w:rsidRPr="004A04A4">
        <w:rPr>
          <w:color w:val="0000FF"/>
        </w:rPr>
        <w:t>(3).</w:t>
      </w:r>
    </w:p>
    <w:p w14:paraId="23C2674D" w14:textId="77777777" w:rsidR="00BB7660" w:rsidRPr="00C02086" w:rsidRDefault="00BB7660" w:rsidP="00BB7660">
      <w:pPr>
        <w:pStyle w:val="SubsectionHead"/>
      </w:pPr>
      <w:r w:rsidRPr="00C02086">
        <w:rPr>
          <w:b/>
        </w:rPr>
        <w:t>Permitted uses or disclosures</w:t>
      </w:r>
      <w:r w:rsidRPr="00C02086">
        <w:t xml:space="preserve"> that </w:t>
      </w:r>
      <w:r w:rsidRPr="00C02086">
        <w:rPr>
          <w:b/>
        </w:rPr>
        <w:t>relate to direct marketing</w:t>
      </w:r>
    </w:p>
    <w:p w14:paraId="7401C31F" w14:textId="77777777" w:rsidR="00BB7660" w:rsidRPr="00724397" w:rsidRDefault="00BB7660" w:rsidP="00BB7660">
      <w:pPr>
        <w:pStyle w:val="subsection"/>
      </w:pPr>
      <w:r w:rsidRPr="00724397">
        <w:tab/>
      </w:r>
      <w:r>
        <w:t>(3)</w:t>
      </w:r>
      <w:r w:rsidRPr="00724397">
        <w:tab/>
        <w:t xml:space="preserve">For </w:t>
      </w:r>
      <w:r w:rsidR="004B71FD" w:rsidRPr="009B680A">
        <w:rPr>
          <w:color w:val="0000FF"/>
        </w:rPr>
        <w:t>these rules</w:t>
      </w:r>
      <w:r w:rsidR="009B680A" w:rsidRPr="009B680A">
        <w:rPr>
          <w:strike/>
          <w:color w:val="0000FF"/>
        </w:rPr>
        <w:t xml:space="preserve"> this Subdivision</w:t>
      </w:r>
      <w:r w:rsidRPr="00724397">
        <w:t>, a use or disclosure of the CDR consumer’s CDR data</w:t>
      </w:r>
      <w:r w:rsidRPr="00D4216E">
        <w:t xml:space="preserve"> </w:t>
      </w:r>
      <w:r w:rsidRPr="00A00F6F">
        <w:t xml:space="preserve">by an accredited data recipient </w:t>
      </w:r>
      <w:r w:rsidRPr="00724397">
        <w:t xml:space="preserve">that is not itself a permitted use or disclosure under subrule (1) is nevertheless a </w:t>
      </w:r>
      <w:r w:rsidRPr="00724397">
        <w:rPr>
          <w:b/>
          <w:i/>
        </w:rPr>
        <w:t xml:space="preserve">permitted use or disclosure </w:t>
      </w:r>
      <w:r w:rsidRPr="00724397">
        <w:t xml:space="preserve">that </w:t>
      </w:r>
      <w:r w:rsidRPr="00724397">
        <w:rPr>
          <w:b/>
          <w:i/>
        </w:rPr>
        <w:t xml:space="preserve">relates to direct marketing </w:t>
      </w:r>
      <w:r w:rsidRPr="00724397">
        <w:t>if it consists of one of the following:</w:t>
      </w:r>
    </w:p>
    <w:p w14:paraId="02A7676A" w14:textId="77777777" w:rsidR="00BB7660" w:rsidRPr="00724397" w:rsidRDefault="00BB7660" w:rsidP="00BB7660">
      <w:pPr>
        <w:pStyle w:val="paragraph"/>
      </w:pPr>
      <w:r w:rsidRPr="00724397">
        <w:tab/>
      </w:r>
      <w:r>
        <w:t>(a)</w:t>
      </w:r>
      <w:r w:rsidRPr="00724397">
        <w:tab/>
        <w:t>in accordance with a direct marketing consent from the CDR consumer—sending to the CDR consumer:</w:t>
      </w:r>
    </w:p>
    <w:p w14:paraId="6B36F764" w14:textId="77777777" w:rsidR="00BB7660" w:rsidRPr="00724397" w:rsidRDefault="00BB7660" w:rsidP="00BB7660">
      <w:pPr>
        <w:pStyle w:val="paragraphsub"/>
      </w:pPr>
      <w:r w:rsidRPr="00724397">
        <w:tab/>
      </w:r>
      <w:r>
        <w:t>(i)</w:t>
      </w:r>
      <w:r w:rsidRPr="00724397">
        <w:tab/>
        <w:t>information about upgraded or alternative goods or services to existing goods or services; or</w:t>
      </w:r>
    </w:p>
    <w:p w14:paraId="36BDA5C7" w14:textId="77777777" w:rsidR="00BB7660" w:rsidRPr="00724397" w:rsidRDefault="00BB7660" w:rsidP="00BB7660">
      <w:pPr>
        <w:pStyle w:val="paragraphsub"/>
      </w:pPr>
      <w:r w:rsidRPr="00724397">
        <w:tab/>
      </w:r>
      <w:r>
        <w:t>(ii)</w:t>
      </w:r>
      <w:r w:rsidRPr="00724397">
        <w:tab/>
        <w:t>an offer to renew existing goods or services when they expire; or</w:t>
      </w:r>
    </w:p>
    <w:p w14:paraId="248D83CF" w14:textId="77777777" w:rsidR="00BB7660" w:rsidRDefault="00BB7660" w:rsidP="00BB7660">
      <w:pPr>
        <w:pStyle w:val="paragraphsub"/>
      </w:pPr>
      <w:r w:rsidRPr="00724397">
        <w:tab/>
      </w:r>
      <w:r>
        <w:t>(iii)</w:t>
      </w:r>
      <w:r w:rsidRPr="00724397">
        <w:tab/>
        <w:t>information about the benefits of existing goods or services;</w:t>
      </w:r>
      <w:r>
        <w:t xml:space="preserve"> </w:t>
      </w:r>
      <w:r w:rsidRPr="00CE5ECF">
        <w:t>; or</w:t>
      </w:r>
      <w:r>
        <w:t xml:space="preserve">   </w:t>
      </w:r>
    </w:p>
    <w:p w14:paraId="64065EBC" w14:textId="77777777" w:rsidR="00BB7660" w:rsidRPr="00CE5ECF" w:rsidRDefault="00BB7660" w:rsidP="00BB7660">
      <w:pPr>
        <w:pStyle w:val="paragraphsub"/>
      </w:pPr>
      <w:r>
        <w:tab/>
      </w:r>
      <w:r w:rsidRPr="00CE5ECF">
        <w:t>(iv)</w:t>
      </w:r>
      <w:r w:rsidRPr="00CE5ECF">
        <w:tab/>
        <w:t>information about other goods or services provided by another accredited person, if the accredited data recipient:</w:t>
      </w:r>
    </w:p>
    <w:p w14:paraId="636D3786" w14:textId="77777777" w:rsidR="00BB7660" w:rsidRPr="00CE5ECF" w:rsidRDefault="00BB7660" w:rsidP="00BB7660">
      <w:pPr>
        <w:pStyle w:val="paragraphsub-sub"/>
      </w:pPr>
      <w:r w:rsidRPr="00CE5ECF">
        <w:tab/>
        <w:t>(A)</w:t>
      </w:r>
      <w:r w:rsidRPr="00CE5ECF">
        <w:tab/>
        <w:t>reasonably believes that the CDR consumer might benefit from those other goods or services; and</w:t>
      </w:r>
    </w:p>
    <w:p w14:paraId="6FF7F8BA" w14:textId="77777777" w:rsidR="00BB7660" w:rsidRPr="00724397" w:rsidRDefault="00BB7660" w:rsidP="00BB7660">
      <w:pPr>
        <w:pStyle w:val="paragraphsub-sub"/>
      </w:pPr>
      <w:r w:rsidRPr="00CE5ECF">
        <w:tab/>
        <w:t xml:space="preserve">(B) </w:t>
      </w:r>
      <w:r w:rsidRPr="00CE5ECF">
        <w:tab/>
        <w:t>sends such information to the CDR consumer on no more than a reasonable number of occasions;</w:t>
      </w:r>
    </w:p>
    <w:p w14:paraId="170DEABD" w14:textId="77777777" w:rsidR="00BB7660" w:rsidRPr="00CE5ECF" w:rsidRDefault="00BB7660" w:rsidP="00BB7660">
      <w:pPr>
        <w:pStyle w:val="paragraph"/>
      </w:pPr>
      <w:r w:rsidRPr="00CE5ECF">
        <w:tab/>
        <w:t>(aa)</w:t>
      </w:r>
      <w:r w:rsidRPr="00CE5ECF">
        <w:tab/>
        <w:t>in accordance with a direct marketing consent from the CDR consumer—disclosing CDR data to an accredited person to enable the accredited person to provide the goods or services referred to in subparagraph (a)(iv), if the CDR consumer has:</w:t>
      </w:r>
    </w:p>
    <w:p w14:paraId="0BF30F2F" w14:textId="77777777" w:rsidR="00BB7660" w:rsidRPr="00CE5ECF" w:rsidRDefault="00BB7660" w:rsidP="00BB7660">
      <w:pPr>
        <w:pStyle w:val="paragraphsub"/>
      </w:pPr>
      <w:r w:rsidRPr="00CE5ECF">
        <w:tab/>
        <w:t>(i)</w:t>
      </w:r>
      <w:r w:rsidRPr="00CE5ECF">
        <w:tab/>
        <w:t>given the accredited person:</w:t>
      </w:r>
    </w:p>
    <w:p w14:paraId="069A2C3C" w14:textId="77777777" w:rsidR="00BB7660" w:rsidRPr="00CE5ECF" w:rsidRDefault="00BB7660" w:rsidP="00BB7660">
      <w:pPr>
        <w:pStyle w:val="paragraphsub-sub"/>
      </w:pPr>
      <w:r w:rsidRPr="00CE5ECF">
        <w:lastRenderedPageBreak/>
        <w:tab/>
        <w:t>(A)</w:t>
      </w:r>
      <w:r w:rsidRPr="00CE5ECF">
        <w:tab/>
        <w:t>a collection consent to collect the CDR data from the accredited data recipient; and</w:t>
      </w:r>
    </w:p>
    <w:p w14:paraId="639FA913" w14:textId="77777777" w:rsidR="00BB7660" w:rsidRPr="00CE5ECF" w:rsidRDefault="00BB7660" w:rsidP="00BB7660">
      <w:pPr>
        <w:pStyle w:val="paragraphsub-sub"/>
      </w:pPr>
      <w:r w:rsidRPr="00CE5ECF">
        <w:tab/>
        <w:t>(B)</w:t>
      </w:r>
      <w:r w:rsidRPr="00CE5ECF">
        <w:tab/>
        <w:t>a use consent; and</w:t>
      </w:r>
    </w:p>
    <w:p w14:paraId="7F262F57" w14:textId="77777777" w:rsidR="00BB7660" w:rsidRPr="00CE5ECF" w:rsidRDefault="00BB7660" w:rsidP="00BB7660">
      <w:pPr>
        <w:pStyle w:val="paragraphsub"/>
      </w:pPr>
      <w:r w:rsidRPr="00CE5ECF">
        <w:tab/>
        <w:t>(ii)</w:t>
      </w:r>
      <w:r w:rsidRPr="00CE5ECF">
        <w:tab/>
        <w:t>given the accredited data recipient a disclosure consent to disclose the CDR data to the accredited person;</w:t>
      </w:r>
    </w:p>
    <w:p w14:paraId="76F31CF4" w14:textId="77777777" w:rsidR="00BB7660" w:rsidRPr="00EA6240" w:rsidRDefault="00BB7660" w:rsidP="00BB7660">
      <w:pPr>
        <w:pStyle w:val="paragraph"/>
      </w:pPr>
      <w:r w:rsidRPr="00724397">
        <w:tab/>
      </w:r>
      <w:r>
        <w:t>(b)</w:t>
      </w:r>
      <w:r w:rsidRPr="00724397">
        <w:tab/>
        <w:t xml:space="preserve">using the CDR data in a way </w:t>
      </w:r>
      <w:r w:rsidRPr="00EA6240">
        <w:t xml:space="preserve">and to the extent </w:t>
      </w:r>
      <w:r w:rsidRPr="00724397">
        <w:t>that is reasonably needed in order to send to the CDR consumer something permitted under paragraph </w:t>
      </w:r>
      <w:r>
        <w:t>(a) or paragraph (aa)</w:t>
      </w:r>
      <w:r w:rsidRPr="00EA6240">
        <w:t xml:space="preserve"> (including by analysing the CDR data to identify the appropriate information to send);</w:t>
      </w:r>
    </w:p>
    <w:p w14:paraId="67AAC2AF" w14:textId="77777777" w:rsidR="00BB7660" w:rsidRPr="00724397" w:rsidRDefault="00BB7660" w:rsidP="00BB7660">
      <w:pPr>
        <w:pStyle w:val="paragraph"/>
      </w:pPr>
      <w:r w:rsidRPr="00724397">
        <w:tab/>
      </w:r>
      <w:r>
        <w:t>(c)</w:t>
      </w:r>
      <w:r w:rsidRPr="00724397">
        <w:tab/>
        <w:t>disclosing the CDR consumer’s CDR data to</w:t>
      </w:r>
      <w:r w:rsidRPr="006F7F91">
        <w:t xml:space="preserve"> </w:t>
      </w:r>
      <w:r w:rsidRPr="004A04A4">
        <w:rPr>
          <w:color w:val="0000FF"/>
        </w:rPr>
        <w:t>a direct or indirect OSP</w:t>
      </w:r>
      <w:r w:rsidR="006F7F91">
        <w:rPr>
          <w:strike/>
          <w:color w:val="0000FF"/>
        </w:rPr>
        <w:t xml:space="preserve"> an outsourced service provider</w:t>
      </w:r>
      <w:r w:rsidRPr="006F7F91">
        <w:t xml:space="preserve"> </w:t>
      </w:r>
      <w:r w:rsidRPr="00EC7544">
        <w:t>of the accredited data recipient</w:t>
      </w:r>
      <w:r w:rsidRPr="00724397">
        <w:t>:</w:t>
      </w:r>
    </w:p>
    <w:p w14:paraId="1CFBB221" w14:textId="77777777" w:rsidR="00BB7660" w:rsidRPr="00724397" w:rsidRDefault="00BB7660" w:rsidP="00BB7660">
      <w:pPr>
        <w:pStyle w:val="paragraphsub"/>
      </w:pPr>
      <w:r w:rsidRPr="00724397">
        <w:tab/>
      </w:r>
      <w:r>
        <w:t>(i)</w:t>
      </w:r>
      <w:r w:rsidRPr="00724397">
        <w:tab/>
        <w:t>for the purpose of doing the things referred to in paragraphs </w:t>
      </w:r>
      <w:r>
        <w:t>(a), (aa)</w:t>
      </w:r>
      <w:r w:rsidRPr="00724397">
        <w:t xml:space="preserve"> or </w:t>
      </w:r>
      <w:r>
        <w:t>(b)</w:t>
      </w:r>
      <w:r w:rsidRPr="00724397">
        <w:t>; and</w:t>
      </w:r>
    </w:p>
    <w:p w14:paraId="7EED6DCE" w14:textId="77777777" w:rsidR="00BB7660" w:rsidRPr="00A00F6F" w:rsidRDefault="00BB7660" w:rsidP="00BB7660">
      <w:pPr>
        <w:pStyle w:val="paragraphsub"/>
      </w:pPr>
      <w:r w:rsidRPr="00724397">
        <w:tab/>
      </w:r>
      <w:r>
        <w:t>(ii)</w:t>
      </w:r>
      <w:r w:rsidRPr="00724397">
        <w:tab/>
        <w:t>to the extent reason</w:t>
      </w:r>
      <w:r>
        <w:t>ably needed to do those things</w:t>
      </w:r>
      <w:r w:rsidRPr="00A00F6F">
        <w:t>;</w:t>
      </w:r>
    </w:p>
    <w:p w14:paraId="759A8586" w14:textId="77777777" w:rsidR="00BB7660" w:rsidRPr="00A00F6F" w:rsidRDefault="00BB7660" w:rsidP="00BB7660">
      <w:pPr>
        <w:pStyle w:val="paragraph"/>
      </w:pPr>
      <w:r w:rsidRPr="00A00F6F">
        <w:tab/>
        <w:t>(d)</w:t>
      </w:r>
      <w:r w:rsidRPr="00A00F6F">
        <w:tab/>
        <w:t>where the accredited data recipient is a CDR principal—disclosing the CDR data to a CDR representative for the purposes of a use or disclosure by the CDR representative that would be a permitted use or disclosure unde</w:t>
      </w:r>
      <w:r w:rsidRPr="006F7F91">
        <w:t xml:space="preserve">r </w:t>
      </w:r>
      <w:r w:rsidRPr="009B680A">
        <w:rPr>
          <w:color w:val="0000FF"/>
        </w:rPr>
        <w:t xml:space="preserve">paragraph </w:t>
      </w:r>
      <w:r w:rsidR="00526E06" w:rsidRPr="009B680A">
        <w:rPr>
          <w:color w:val="0000FF"/>
        </w:rPr>
        <w:t>(a), (b) or (c)</w:t>
      </w:r>
      <w:r w:rsidR="009B680A" w:rsidRPr="009B680A">
        <w:rPr>
          <w:strike/>
          <w:color w:val="0000FF"/>
        </w:rPr>
        <w:t xml:space="preserve"> paragraph (a) or (b)</w:t>
      </w:r>
      <w:r w:rsidRPr="006F7F91">
        <w:t xml:space="preserve"> </w:t>
      </w:r>
      <w:r w:rsidRPr="00A00F6F">
        <w:t>if the CDR representative were an accredited data recipient that had collected the CDR data under the consumer data request.</w:t>
      </w:r>
    </w:p>
    <w:p w14:paraId="4401521A" w14:textId="77777777" w:rsidR="00BB7660" w:rsidRDefault="00BB7660" w:rsidP="00BB7660">
      <w:pPr>
        <w:pStyle w:val="ActHead5"/>
      </w:pPr>
      <w:bookmarkStart w:id="530" w:name="_Toc57219117"/>
      <w:bookmarkStart w:id="531" w:name="_Toc59549175"/>
      <w:bookmarkStart w:id="532" w:name="_Toc111132196"/>
      <w:r w:rsidRPr="00CE5ECF">
        <w:t>7.5A  Limitation to disclosures of CDR data under a disclosure consent</w:t>
      </w:r>
      <w:bookmarkEnd w:id="530"/>
      <w:bookmarkEnd w:id="531"/>
      <w:bookmarkEnd w:id="532"/>
    </w:p>
    <w:p w14:paraId="01B782FF" w14:textId="77777777" w:rsidR="00BB7660" w:rsidRPr="00E2289C" w:rsidRDefault="00BB7660" w:rsidP="00BB7660">
      <w:pPr>
        <w:pStyle w:val="subsection"/>
      </w:pPr>
      <w:r w:rsidRPr="005C6351">
        <w:tab/>
      </w:r>
      <w:r w:rsidRPr="00A00F6F">
        <w:t>(1)</w:t>
      </w:r>
      <w:r w:rsidRPr="00A00F6F">
        <w:tab/>
      </w:r>
      <w:r w:rsidRPr="00E2289C">
        <w:t>Despite paragraph 7.5(1)</w:t>
      </w:r>
      <w:r>
        <w:t>(ca), disclosure of CDR data to</w:t>
      </w:r>
      <w:r w:rsidRPr="004E3E9C">
        <w:t xml:space="preserve"> a</w:t>
      </w:r>
      <w:r w:rsidRPr="00E2289C">
        <w:t xml:space="preserve">n accredited person </w:t>
      </w:r>
      <w:r w:rsidRPr="00450982">
        <w:t>under a</w:t>
      </w:r>
      <w:r>
        <w:t>n</w:t>
      </w:r>
      <w:r w:rsidRPr="00450982">
        <w:t xml:space="preserve"> </w:t>
      </w:r>
      <w:r>
        <w:t>AP</w:t>
      </w:r>
      <w:r w:rsidRPr="00450982">
        <w:t xml:space="preserve"> disclosure</w:t>
      </w:r>
      <w:r w:rsidRPr="00E2289C">
        <w:t xml:space="preserve"> consent is not a </w:t>
      </w:r>
      <w:r w:rsidRPr="00E2289C">
        <w:rPr>
          <w:b/>
          <w:i/>
        </w:rPr>
        <w:t xml:space="preserve">permitted use or disclosure </w:t>
      </w:r>
      <w:r w:rsidRPr="00E2289C">
        <w:t>until the earlier of the following:</w:t>
      </w:r>
    </w:p>
    <w:p w14:paraId="7829120D" w14:textId="77777777" w:rsidR="00BB7660" w:rsidRPr="00D34637" w:rsidRDefault="00BB7660" w:rsidP="00BB7660">
      <w:pPr>
        <w:pStyle w:val="paragraph"/>
      </w:pPr>
      <w:r w:rsidRPr="00D34637">
        <w:tab/>
        <w:t>(a)</w:t>
      </w:r>
      <w:r w:rsidRPr="00D34637">
        <w:tab/>
        <w:t>1 July 2021;</w:t>
      </w:r>
    </w:p>
    <w:p w14:paraId="5AA67D60" w14:textId="77777777" w:rsidR="00BB7660" w:rsidRPr="00E2289C" w:rsidRDefault="00BB7660" w:rsidP="00BB7660">
      <w:pPr>
        <w:pStyle w:val="paragraph"/>
      </w:pPr>
      <w:r w:rsidRPr="00E2289C">
        <w:tab/>
        <w:t>(b)</w:t>
      </w:r>
      <w:r w:rsidRPr="00E2289C">
        <w:tab/>
        <w:t>the day the Data Standards Chair makes the data standard about the matter referred to in subparagraph 8.11(1)(c)(iii).</w:t>
      </w:r>
    </w:p>
    <w:p w14:paraId="4024B7FF" w14:textId="77777777" w:rsidR="00BB7660" w:rsidRPr="00A00F6F" w:rsidRDefault="00BB7660" w:rsidP="00BB7660">
      <w:pPr>
        <w:pStyle w:val="subsection"/>
      </w:pPr>
      <w:r w:rsidRPr="00A00F6F">
        <w:tab/>
        <w:t>(2)</w:t>
      </w:r>
      <w:r w:rsidRPr="00A00F6F">
        <w:tab/>
        <w:t xml:space="preserve">Despite paragraph 7.5(1)(ca), disclosure of CDR data to a trusted adviser under a TA disclosure consent is not a </w:t>
      </w:r>
      <w:r w:rsidRPr="00A00F6F">
        <w:rPr>
          <w:b/>
          <w:i/>
        </w:rPr>
        <w:t xml:space="preserve">permitted use or disclosure </w:t>
      </w:r>
      <w:r w:rsidRPr="00A00F6F">
        <w:t>until the earlier of the following:</w:t>
      </w:r>
    </w:p>
    <w:p w14:paraId="5BB38F98" w14:textId="77777777" w:rsidR="00BB7660" w:rsidRPr="00A00F6F" w:rsidRDefault="00BB7660" w:rsidP="00BB7660">
      <w:pPr>
        <w:pStyle w:val="paragraph"/>
      </w:pPr>
      <w:r w:rsidRPr="00A00F6F">
        <w:tab/>
        <w:t>(a)</w:t>
      </w:r>
      <w:r w:rsidRPr="00A00F6F">
        <w:tab/>
        <w:t>1 February 2022;</w:t>
      </w:r>
    </w:p>
    <w:p w14:paraId="1298B1E2" w14:textId="77777777" w:rsidR="00BB7660" w:rsidRPr="00A00F6F" w:rsidRDefault="00BB7660" w:rsidP="00BB7660">
      <w:pPr>
        <w:pStyle w:val="paragraph"/>
      </w:pPr>
      <w:r w:rsidRPr="00A00F6F">
        <w:tab/>
        <w:t>(b)</w:t>
      </w:r>
      <w:r w:rsidRPr="00A00F6F">
        <w:tab/>
        <w:t>the day the Data Standards Chair makes the data standard about the matter referred to in subparagraph 8.11(1)(c)(iv).</w:t>
      </w:r>
    </w:p>
    <w:p w14:paraId="06ECE1A7" w14:textId="77777777" w:rsidR="00BB7660" w:rsidRPr="00A00F6F" w:rsidRDefault="00BB7660" w:rsidP="00BB7660">
      <w:pPr>
        <w:pStyle w:val="subsection"/>
      </w:pPr>
      <w:r w:rsidRPr="00A00F6F">
        <w:tab/>
        <w:t>(3)</w:t>
      </w:r>
      <w:r w:rsidRPr="00A00F6F">
        <w:tab/>
        <w:t xml:space="preserve">Despite paragraph 7.5(1)(ca), disclosure of a CDR insight under an insight disclosure consent is not a </w:t>
      </w:r>
      <w:r w:rsidRPr="00A00F6F">
        <w:rPr>
          <w:b/>
          <w:i/>
        </w:rPr>
        <w:t xml:space="preserve">permitted use or disclosure </w:t>
      </w:r>
      <w:r w:rsidRPr="00A00F6F">
        <w:t>until the earlier of the following:</w:t>
      </w:r>
    </w:p>
    <w:p w14:paraId="48998023" w14:textId="77777777" w:rsidR="00BB7660" w:rsidRPr="00A00F6F" w:rsidRDefault="00BB7660" w:rsidP="00BB7660">
      <w:pPr>
        <w:pStyle w:val="paragraph"/>
      </w:pPr>
      <w:r w:rsidRPr="00A00F6F">
        <w:tab/>
        <w:t>(a)</w:t>
      </w:r>
      <w:r w:rsidRPr="00A00F6F">
        <w:tab/>
        <w:t>1 February 2022;</w:t>
      </w:r>
    </w:p>
    <w:p w14:paraId="43D58898" w14:textId="77777777" w:rsidR="00BB7660" w:rsidRPr="00A00F6F" w:rsidRDefault="00BB7660" w:rsidP="00BB7660">
      <w:pPr>
        <w:pStyle w:val="paragraph"/>
      </w:pPr>
      <w:r w:rsidRPr="00A00F6F">
        <w:tab/>
        <w:t>(b)</w:t>
      </w:r>
      <w:r w:rsidRPr="00A00F6F">
        <w:tab/>
        <w:t>the day the Data Standards Chair makes the data standard about the matters referred to in subrule 8.11(1A).</w:t>
      </w:r>
    </w:p>
    <w:p w14:paraId="71E60CCD" w14:textId="77777777" w:rsidR="00BB7660" w:rsidRPr="00A00F6F" w:rsidRDefault="00BB7660" w:rsidP="00BB7660">
      <w:pPr>
        <w:pStyle w:val="subsection"/>
      </w:pPr>
      <w:r w:rsidRPr="00A00F6F">
        <w:tab/>
        <w:t>(4)</w:t>
      </w:r>
      <w:r w:rsidRPr="00A00F6F">
        <w:tab/>
        <w:t xml:space="preserve">Despite paragraph 7.5(1)(ca), disclosure of a CDR insight under an insight disclosure consent is not a </w:t>
      </w:r>
      <w:r w:rsidRPr="00A00F6F">
        <w:rPr>
          <w:b/>
          <w:i/>
        </w:rPr>
        <w:t>permitted use or disclosure</w:t>
      </w:r>
      <w:r w:rsidRPr="00A00F6F">
        <w:t xml:space="preserve"> if the CDR insight includes or reveals sensitive information within the meaning of the </w:t>
      </w:r>
      <w:r w:rsidRPr="00A00F6F">
        <w:rPr>
          <w:i/>
        </w:rPr>
        <w:t>Privacy Act 1988</w:t>
      </w:r>
      <w:r w:rsidRPr="00A00F6F">
        <w:t>.</w:t>
      </w:r>
    </w:p>
    <w:p w14:paraId="21860FA8" w14:textId="77777777" w:rsidR="0086179F" w:rsidRPr="0082401F" w:rsidRDefault="0086179F" w:rsidP="0086179F">
      <w:pPr>
        <w:pStyle w:val="subsection"/>
        <w:rPr>
          <w:color w:val="0000FF"/>
        </w:rPr>
      </w:pPr>
      <w:r w:rsidRPr="0082401F">
        <w:rPr>
          <w:color w:val="0000FF"/>
        </w:rPr>
        <w:lastRenderedPageBreak/>
        <w:tab/>
        <w:t>(5)</w:t>
      </w:r>
      <w:r w:rsidRPr="0082401F">
        <w:rPr>
          <w:color w:val="0000FF"/>
        </w:rPr>
        <w:tab/>
        <w:t xml:space="preserve">Despite paragraph 7.5(1)(ca), disclosure of CDR data in accordance with a business consumer disclosure consent is not a </w:t>
      </w:r>
      <w:r w:rsidRPr="0082401F">
        <w:rPr>
          <w:b/>
          <w:i/>
          <w:color w:val="0000FF"/>
        </w:rPr>
        <w:t xml:space="preserve">permitted use or disclosure </w:t>
      </w:r>
      <w:r w:rsidRPr="0082401F">
        <w:rPr>
          <w:color w:val="0000FF"/>
        </w:rPr>
        <w:t>until the earlier of the following:</w:t>
      </w:r>
    </w:p>
    <w:p w14:paraId="2F136B30" w14:textId="77777777" w:rsidR="0086179F" w:rsidRPr="0082401F" w:rsidRDefault="0086179F" w:rsidP="0086179F">
      <w:pPr>
        <w:pStyle w:val="paragraph"/>
        <w:rPr>
          <w:color w:val="0000FF"/>
        </w:rPr>
      </w:pPr>
      <w:r w:rsidRPr="0082401F">
        <w:rPr>
          <w:color w:val="0000FF"/>
        </w:rPr>
        <w:tab/>
        <w:t>(a)</w:t>
      </w:r>
      <w:r w:rsidRPr="0082401F">
        <w:rPr>
          <w:color w:val="0000FF"/>
        </w:rPr>
        <w:tab/>
        <w:t>[ date tba ];</w:t>
      </w:r>
    </w:p>
    <w:p w14:paraId="1703CB09" w14:textId="77777777" w:rsidR="0086179F" w:rsidRPr="0082401F" w:rsidRDefault="0086179F" w:rsidP="0086179F">
      <w:pPr>
        <w:pStyle w:val="paragraph"/>
        <w:rPr>
          <w:color w:val="0000FF"/>
        </w:rPr>
      </w:pPr>
      <w:r w:rsidRPr="0082401F">
        <w:rPr>
          <w:color w:val="0000FF"/>
        </w:rPr>
        <w:tab/>
        <w:t>(b)</w:t>
      </w:r>
      <w:r w:rsidRPr="0082401F">
        <w:rPr>
          <w:color w:val="0000FF"/>
        </w:rPr>
        <w:tab/>
        <w:t>the day the Data Standards Chair makes the data standard about the matters referred to in subrule 8.11(1)(c)(vi).</w:t>
      </w:r>
    </w:p>
    <w:p w14:paraId="0790CD66" w14:textId="77777777" w:rsidR="00BB7660" w:rsidRPr="004A04A4" w:rsidRDefault="00BB7660" w:rsidP="00BB7660">
      <w:pPr>
        <w:pStyle w:val="ActHead5"/>
        <w:rPr>
          <w:color w:val="0000FF"/>
        </w:rPr>
      </w:pPr>
      <w:bookmarkStart w:id="533" w:name="_Toc111132197"/>
      <w:r w:rsidRPr="004A04A4">
        <w:rPr>
          <w:color w:val="0000FF"/>
        </w:rPr>
        <w:t>7.6  Use or disclosure of CDR data by accredited data recipients and related persons</w:t>
      </w:r>
      <w:bookmarkEnd w:id="533"/>
    </w:p>
    <w:p w14:paraId="59246D36" w14:textId="77777777" w:rsidR="009B680A" w:rsidRPr="009B680A" w:rsidRDefault="009B680A" w:rsidP="00BB7660">
      <w:pPr>
        <w:pStyle w:val="subsection"/>
        <w:rPr>
          <w:b/>
          <w:bCs/>
          <w:strike/>
          <w:color w:val="0000FF"/>
          <w:shd w:val="clear" w:color="auto" w:fill="FFFFFF"/>
        </w:rPr>
      </w:pPr>
      <w:bookmarkStart w:id="534" w:name="_Toc96610636"/>
      <w:r w:rsidRPr="009B680A">
        <w:rPr>
          <w:b/>
          <w:bCs/>
          <w:strike/>
          <w:color w:val="0000FF"/>
          <w:shd w:val="clear" w:color="auto" w:fill="FFFFFF"/>
        </w:rPr>
        <w:t>7.6  Use or disclosure of CDR data by accredited data recipients, outsourced service providers and others</w:t>
      </w:r>
      <w:bookmarkEnd w:id="534"/>
    </w:p>
    <w:p w14:paraId="657EA26E" w14:textId="77777777" w:rsidR="00BB7660" w:rsidRPr="005F3D40" w:rsidRDefault="00BB7660" w:rsidP="00BB7660">
      <w:pPr>
        <w:pStyle w:val="subsection"/>
        <w:rPr>
          <w:color w:val="000000" w:themeColor="text1"/>
        </w:rPr>
      </w:pPr>
      <w:r w:rsidRPr="005F3D40">
        <w:rPr>
          <w:color w:val="000000" w:themeColor="text1"/>
        </w:rPr>
        <w:tab/>
      </w:r>
      <w:r>
        <w:rPr>
          <w:color w:val="000000" w:themeColor="text1"/>
        </w:rPr>
        <w:t>(1)</w:t>
      </w:r>
      <w:r w:rsidRPr="005F3D40">
        <w:rPr>
          <w:color w:val="000000" w:themeColor="text1"/>
        </w:rPr>
        <w:tab/>
        <w:t xml:space="preserve">Subject to the Act and these rules, an accredited data recipient that has collected CDR data under a consumer data request under </w:t>
      </w:r>
      <w:r>
        <w:rPr>
          <w:color w:val="000000" w:themeColor="text1"/>
        </w:rPr>
        <w:t>Part 4</w:t>
      </w:r>
      <w:r w:rsidRPr="005F3D40">
        <w:rPr>
          <w:color w:val="000000" w:themeColor="text1"/>
        </w:rPr>
        <w:t xml:space="preserve"> made on behalf of a CDR consumer must not use or disclose it, or CDR data directly or indirectly derived from it, other than for a permitted use or disclosure</w:t>
      </w:r>
      <w:r w:rsidRPr="0023590D">
        <w:t xml:space="preserve"> (whether or not one that relates to direct marketing)</w:t>
      </w:r>
      <w:r w:rsidRPr="005F3D40">
        <w:rPr>
          <w:color w:val="000000" w:themeColor="text1"/>
        </w:rPr>
        <w:t>.</w:t>
      </w:r>
    </w:p>
    <w:p w14:paraId="462A52CB" w14:textId="77777777" w:rsidR="00BB7660" w:rsidRDefault="00BB7660" w:rsidP="00BB7660">
      <w:pPr>
        <w:pStyle w:val="notetext"/>
      </w:pPr>
      <w:r w:rsidRPr="00E1300D">
        <w:t>Note:</w:t>
      </w:r>
      <w:r w:rsidRPr="00E1300D">
        <w:tab/>
        <w:t>This subrule is a civil penalty provision (see rule </w:t>
      </w:r>
      <w:r>
        <w:t>9.8</w:t>
      </w:r>
      <w:r w:rsidRPr="00E1300D">
        <w:t>).</w:t>
      </w:r>
    </w:p>
    <w:p w14:paraId="60B700BF" w14:textId="77777777" w:rsidR="00BB7660" w:rsidRPr="004A04A4" w:rsidRDefault="00BB7660" w:rsidP="00BB7660">
      <w:pPr>
        <w:pStyle w:val="subsection"/>
        <w:rPr>
          <w:color w:val="0000FF"/>
        </w:rPr>
      </w:pPr>
      <w:bookmarkStart w:id="535" w:name="_Toc11771673"/>
      <w:r w:rsidRPr="004A04A4">
        <w:rPr>
          <w:color w:val="0000FF"/>
        </w:rPr>
        <w:tab/>
        <w:t>(2)</w:t>
      </w:r>
      <w:r w:rsidRPr="004A04A4">
        <w:rPr>
          <w:color w:val="0000FF"/>
        </w:rPr>
        <w:tab/>
        <w:t>For this rule:</w:t>
      </w:r>
    </w:p>
    <w:p w14:paraId="67A498C5" w14:textId="77777777" w:rsidR="001C39EB" w:rsidRPr="009B680A" w:rsidRDefault="00BB7660" w:rsidP="00BB7660">
      <w:pPr>
        <w:pStyle w:val="paragraph"/>
        <w:rPr>
          <w:color w:val="0000FF"/>
        </w:rPr>
      </w:pPr>
      <w:r w:rsidRPr="004A04A4">
        <w:rPr>
          <w:color w:val="0000FF"/>
        </w:rPr>
        <w:tab/>
        <w:t>(a)</w:t>
      </w:r>
      <w:r w:rsidRPr="004A04A4">
        <w:rPr>
          <w:color w:val="0000FF"/>
        </w:rPr>
        <w:tab/>
        <w:t xml:space="preserve">any use or </w:t>
      </w:r>
      <w:r w:rsidRPr="009B680A">
        <w:rPr>
          <w:color w:val="0000FF"/>
        </w:rPr>
        <w:t>disclosure of service data by a direct or indirect OSP of</w:t>
      </w:r>
      <w:r w:rsidR="001C39EB" w:rsidRPr="009B680A">
        <w:rPr>
          <w:color w:val="0000FF"/>
        </w:rPr>
        <w:t>:</w:t>
      </w:r>
    </w:p>
    <w:p w14:paraId="3085A14C" w14:textId="77777777" w:rsidR="001C39EB" w:rsidRPr="009B680A" w:rsidRDefault="001C39EB" w:rsidP="001C39EB">
      <w:pPr>
        <w:pStyle w:val="paragraphsub"/>
        <w:rPr>
          <w:color w:val="0000FF"/>
        </w:rPr>
      </w:pPr>
      <w:r w:rsidRPr="009B680A">
        <w:rPr>
          <w:color w:val="0000FF"/>
        </w:rPr>
        <w:tab/>
        <w:t>(i)</w:t>
      </w:r>
      <w:r w:rsidRPr="009B680A">
        <w:rPr>
          <w:color w:val="0000FF"/>
        </w:rPr>
        <w:tab/>
      </w:r>
      <w:r w:rsidR="00BB7660" w:rsidRPr="009B680A">
        <w:rPr>
          <w:color w:val="0000FF"/>
        </w:rPr>
        <w:t>an accredited data recipient</w:t>
      </w:r>
      <w:r w:rsidRPr="009B680A">
        <w:rPr>
          <w:color w:val="0000FF"/>
        </w:rPr>
        <w:t>; or</w:t>
      </w:r>
    </w:p>
    <w:p w14:paraId="1189B163" w14:textId="77777777" w:rsidR="001C39EB" w:rsidRPr="009B680A" w:rsidRDefault="001C39EB" w:rsidP="001C39EB">
      <w:pPr>
        <w:pStyle w:val="paragraphsub"/>
        <w:rPr>
          <w:color w:val="0000FF"/>
        </w:rPr>
      </w:pPr>
      <w:r w:rsidRPr="009B680A">
        <w:rPr>
          <w:color w:val="0000FF"/>
        </w:rPr>
        <w:tab/>
        <w:t>(ii)</w:t>
      </w:r>
      <w:r w:rsidRPr="009B680A">
        <w:rPr>
          <w:color w:val="0000FF"/>
        </w:rPr>
        <w:tab/>
        <w:t>a CDR representative of the accredited data recipient;</w:t>
      </w:r>
    </w:p>
    <w:p w14:paraId="6A66CF18" w14:textId="77777777" w:rsidR="00BB7660" w:rsidRPr="001C39EB" w:rsidRDefault="001C39EB" w:rsidP="001C39EB">
      <w:pPr>
        <w:pStyle w:val="paragraph"/>
        <w:rPr>
          <w:color w:val="0000FF"/>
        </w:rPr>
      </w:pPr>
      <w:r w:rsidRPr="009B680A">
        <w:rPr>
          <w:color w:val="0000FF"/>
        </w:rPr>
        <w:tab/>
      </w:r>
      <w:r w:rsidRPr="009B680A">
        <w:rPr>
          <w:color w:val="0000FF"/>
        </w:rPr>
        <w:tab/>
      </w:r>
      <w:r w:rsidR="00BB7660" w:rsidRPr="009B680A">
        <w:rPr>
          <w:color w:val="0000FF"/>
        </w:rPr>
        <w:t>is taken to have been by the</w:t>
      </w:r>
      <w:r w:rsidR="00BB7660" w:rsidRPr="001C39EB">
        <w:rPr>
          <w:color w:val="0000FF"/>
        </w:rPr>
        <w:t xml:space="preserve"> accredited data recipient; and</w:t>
      </w:r>
    </w:p>
    <w:p w14:paraId="0523CB67" w14:textId="77777777" w:rsidR="00BB7660" w:rsidRPr="004A04A4" w:rsidRDefault="00BB7660" w:rsidP="00BB7660">
      <w:pPr>
        <w:pStyle w:val="paragraph"/>
        <w:rPr>
          <w:color w:val="0000FF"/>
        </w:rPr>
      </w:pPr>
      <w:r w:rsidRPr="004A04A4">
        <w:rPr>
          <w:color w:val="0000FF"/>
        </w:rPr>
        <w:tab/>
        <w:t>(b)</w:t>
      </w:r>
      <w:r w:rsidRPr="004A04A4">
        <w:rPr>
          <w:color w:val="0000FF"/>
        </w:rPr>
        <w:tab/>
        <w:t xml:space="preserve">it is irrelevant whether the use or disclosure is in accordance with the relevant </w:t>
      </w:r>
      <w:r w:rsidR="000A4F05">
        <w:rPr>
          <w:color w:val="0000FF"/>
        </w:rPr>
        <w:t>CDR outsourcing arrangement</w:t>
      </w:r>
      <w:r w:rsidRPr="004A04A4">
        <w:rPr>
          <w:color w:val="0000FF"/>
        </w:rPr>
        <w:t>.</w:t>
      </w:r>
    </w:p>
    <w:p w14:paraId="493ECF50" w14:textId="77777777" w:rsidR="00BB7660" w:rsidRPr="004A04A4" w:rsidRDefault="00BB7660" w:rsidP="00BB7660">
      <w:pPr>
        <w:pStyle w:val="notetext"/>
        <w:rPr>
          <w:color w:val="0000FF"/>
        </w:rPr>
      </w:pPr>
      <w:r w:rsidRPr="004A04A4">
        <w:rPr>
          <w:color w:val="0000FF"/>
        </w:rPr>
        <w:t>Note:</w:t>
      </w:r>
      <w:r w:rsidRPr="004A04A4">
        <w:rPr>
          <w:color w:val="0000FF"/>
        </w:rPr>
        <w:tab/>
        <w:t>See rule 1.10AA for the definition of “service data” in relation to a direct or indirect OSP.</w:t>
      </w:r>
    </w:p>
    <w:p w14:paraId="09A3FFF1" w14:textId="77777777" w:rsidR="009B680A" w:rsidRPr="009B680A" w:rsidRDefault="009B680A" w:rsidP="009B680A">
      <w:pPr>
        <w:shd w:val="clear" w:color="auto" w:fill="FFFFFF"/>
        <w:spacing w:before="180" w:line="240" w:lineRule="auto"/>
        <w:ind w:left="1134" w:hanging="1134"/>
        <w:rPr>
          <w:rFonts w:eastAsia="Times New Roman" w:cs="Times New Roman"/>
          <w:strike/>
          <w:color w:val="0000FF"/>
          <w:szCs w:val="22"/>
          <w:lang w:eastAsia="en-AU"/>
        </w:rPr>
      </w:pPr>
      <w:r w:rsidRPr="009B680A">
        <w:rPr>
          <w:rFonts w:eastAsia="Times New Roman" w:cs="Times New Roman"/>
          <w:strike/>
          <w:color w:val="0000FF"/>
          <w:szCs w:val="22"/>
          <w:lang w:eastAsia="en-AU"/>
        </w:rPr>
        <w:t>             (2)  For this rule:</w:t>
      </w:r>
    </w:p>
    <w:p w14:paraId="739E65CA"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(a)  any use or disclosure of service data by the provider in a CDR outsourcing arrangement is taken to have been by the principal under the arrangement; and</w:t>
      </w:r>
    </w:p>
    <w:p w14:paraId="1EB3DACA"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(b)  it is irrelevant whether the use or disclosure:</w:t>
      </w:r>
    </w:p>
    <w:p w14:paraId="74DD3A24" w14:textId="77777777" w:rsidR="009B680A" w:rsidRPr="009B680A" w:rsidRDefault="009B680A" w:rsidP="009B680A">
      <w:pPr>
        <w:shd w:val="clear" w:color="auto" w:fill="FFFFFF"/>
        <w:spacing w:before="40" w:line="240" w:lineRule="auto"/>
        <w:ind w:left="2098" w:hanging="2098"/>
        <w:rPr>
          <w:rFonts w:eastAsia="Times New Roman" w:cs="Times New Roman"/>
          <w:strike/>
          <w:color w:val="0000FF"/>
          <w:szCs w:val="22"/>
          <w:lang w:eastAsia="en-AU"/>
        </w:rPr>
      </w:pPr>
      <w:r w:rsidRPr="009B680A">
        <w:rPr>
          <w:rFonts w:eastAsia="Times New Roman" w:cs="Times New Roman"/>
          <w:strike/>
          <w:color w:val="0000FF"/>
          <w:szCs w:val="22"/>
          <w:lang w:eastAsia="en-AU"/>
        </w:rPr>
        <w:t>                              (i)  is in accordance with the arrangement; or</w:t>
      </w:r>
    </w:p>
    <w:p w14:paraId="660C7136" w14:textId="77777777" w:rsidR="009B680A" w:rsidRPr="009B680A" w:rsidRDefault="009B680A" w:rsidP="009B680A">
      <w:pPr>
        <w:shd w:val="clear" w:color="auto" w:fill="FFFFFF"/>
        <w:spacing w:before="40" w:line="240" w:lineRule="auto"/>
        <w:ind w:left="2098" w:hanging="2098"/>
        <w:rPr>
          <w:rFonts w:eastAsia="Times New Roman" w:cs="Times New Roman"/>
          <w:strike/>
          <w:color w:val="0000FF"/>
          <w:szCs w:val="22"/>
          <w:lang w:eastAsia="en-AU"/>
        </w:rPr>
      </w:pPr>
      <w:r w:rsidRPr="009B680A">
        <w:rPr>
          <w:rFonts w:eastAsia="Times New Roman" w:cs="Times New Roman"/>
          <w:strike/>
          <w:color w:val="0000FF"/>
          <w:szCs w:val="22"/>
          <w:lang w:eastAsia="en-AU"/>
        </w:rPr>
        <w:t>                             (ii)  is taken to have been by the provider by an application of this subrule to another CDR outsourcing arrangement in which it is the principal.</w:t>
      </w:r>
    </w:p>
    <w:p w14:paraId="06600175" w14:textId="77777777" w:rsidR="009B680A" w:rsidRPr="009B680A" w:rsidRDefault="009B680A" w:rsidP="009B680A">
      <w:pPr>
        <w:shd w:val="clear" w:color="auto" w:fill="FFFFFF"/>
        <w:spacing w:before="122" w:line="240" w:lineRule="auto"/>
        <w:ind w:left="1985" w:hanging="851"/>
        <w:rPr>
          <w:rFonts w:eastAsia="Times New Roman" w:cs="Times New Roman"/>
          <w:strike/>
          <w:color w:val="0000FF"/>
          <w:sz w:val="18"/>
          <w:szCs w:val="18"/>
          <w:lang w:eastAsia="en-AU"/>
        </w:rPr>
      </w:pPr>
      <w:r w:rsidRPr="009B680A">
        <w:rPr>
          <w:rFonts w:eastAsia="Times New Roman" w:cs="Times New Roman"/>
          <w:strike/>
          <w:color w:val="0000FF"/>
          <w:sz w:val="18"/>
          <w:szCs w:val="18"/>
          <w:lang w:eastAsia="en-AU"/>
        </w:rPr>
        <w:t>Note:          See rule 1.10AA for the definition of “service data” in relation to a CDR outsourcing arrangement.</w:t>
      </w:r>
    </w:p>
    <w:p w14:paraId="2C249B01" w14:textId="77777777" w:rsidR="00BB7660" w:rsidRPr="00A00F6F" w:rsidRDefault="00BB7660" w:rsidP="00BB7660">
      <w:pPr>
        <w:pStyle w:val="subsection"/>
      </w:pPr>
      <w:r w:rsidRPr="00A00F6F">
        <w:tab/>
        <w:t>(3)</w:t>
      </w:r>
      <w:r w:rsidRPr="00A00F6F">
        <w:tab/>
        <w:t>For this rule, any CDR data collected by an accredited person at the request of an affiliate is taken also to have been collected by the affiliate.</w:t>
      </w:r>
    </w:p>
    <w:p w14:paraId="135B435E" w14:textId="77777777" w:rsidR="00BB7660" w:rsidRPr="00A00F6F" w:rsidRDefault="00BB7660" w:rsidP="00BB7660">
      <w:pPr>
        <w:pStyle w:val="subsection"/>
        <w:tabs>
          <w:tab w:val="left" w:pos="1440"/>
          <w:tab w:val="left" w:pos="2160"/>
          <w:tab w:val="left" w:pos="3360"/>
        </w:tabs>
      </w:pPr>
      <w:r w:rsidRPr="00A00F6F">
        <w:tab/>
        <w:t>(4)</w:t>
      </w:r>
      <w:r w:rsidRPr="00A00F6F">
        <w:tab/>
        <w:t>For this rule:</w:t>
      </w:r>
    </w:p>
    <w:p w14:paraId="2F3423FF" w14:textId="77777777" w:rsidR="00BB7660" w:rsidRPr="00A00F6F" w:rsidRDefault="00BB7660" w:rsidP="00BB7660">
      <w:pPr>
        <w:pStyle w:val="paragraph"/>
      </w:pPr>
      <w:r w:rsidRPr="00A00F6F">
        <w:tab/>
        <w:t>(a)</w:t>
      </w:r>
      <w:r w:rsidRPr="00A00F6F">
        <w:tab/>
        <w:t>any use or disclosure of service data by a CDR representative is taken to have been by the CDR principal; and</w:t>
      </w:r>
    </w:p>
    <w:p w14:paraId="7E55C5F9" w14:textId="77777777" w:rsidR="00BB7660" w:rsidRPr="00A00F6F" w:rsidRDefault="00BB7660" w:rsidP="00BB7660">
      <w:pPr>
        <w:pStyle w:val="paragraph"/>
      </w:pPr>
      <w:r w:rsidRPr="00A00F6F">
        <w:lastRenderedPageBreak/>
        <w:tab/>
        <w:t>(b)</w:t>
      </w:r>
      <w:r w:rsidRPr="00A00F6F">
        <w:tab/>
        <w:t>it is irrelevant whether the use or disclosure is in accordance with the CDR representative arrangement.</w:t>
      </w:r>
    </w:p>
    <w:p w14:paraId="3B98E794" w14:textId="77777777" w:rsidR="00BB7660" w:rsidRPr="00A00F6F" w:rsidRDefault="00BB7660" w:rsidP="00BB7660">
      <w:pPr>
        <w:pStyle w:val="notetext"/>
      </w:pPr>
      <w:r w:rsidRPr="00A00F6F">
        <w:t>Note:</w:t>
      </w:r>
      <w:r w:rsidRPr="00A00F6F">
        <w:tab/>
        <w:t>See rule 1.10AA for the definition of “service data” in relation to a CDR representative arrangement.</w:t>
      </w:r>
    </w:p>
    <w:p w14:paraId="73F8F7FF" w14:textId="77777777" w:rsidR="00BB7660" w:rsidRPr="004A04A4" w:rsidRDefault="00BB7660" w:rsidP="00BB7660">
      <w:pPr>
        <w:pStyle w:val="subsection"/>
        <w:rPr>
          <w:color w:val="0000FF"/>
        </w:rPr>
      </w:pPr>
      <w:r w:rsidRPr="004A04A4">
        <w:rPr>
          <w:color w:val="0000FF"/>
        </w:rPr>
        <w:tab/>
        <w:t>(5)</w:t>
      </w:r>
      <w:r w:rsidRPr="004A04A4">
        <w:rPr>
          <w:color w:val="0000FF"/>
        </w:rPr>
        <w:tab/>
        <w:t>For this rule:</w:t>
      </w:r>
    </w:p>
    <w:p w14:paraId="314EECAC" w14:textId="77777777" w:rsidR="00BB7660" w:rsidRPr="004A04A4" w:rsidRDefault="00BB7660" w:rsidP="00BB7660">
      <w:pPr>
        <w:pStyle w:val="paragraph"/>
        <w:rPr>
          <w:color w:val="0000FF"/>
        </w:rPr>
      </w:pPr>
      <w:r w:rsidRPr="004A04A4">
        <w:rPr>
          <w:color w:val="0000FF"/>
        </w:rPr>
        <w:tab/>
        <w:t>(a)</w:t>
      </w:r>
      <w:r w:rsidRPr="004A04A4">
        <w:rPr>
          <w:color w:val="0000FF"/>
        </w:rPr>
        <w:tab/>
        <w:t>any collection of service data by a direct or indirect OSP of an accredited person is taken to have been by the accredited person; and</w:t>
      </w:r>
    </w:p>
    <w:p w14:paraId="3BDA3FDA" w14:textId="77777777" w:rsidR="00BB7660" w:rsidRPr="004A04A4" w:rsidRDefault="00BB7660" w:rsidP="00BB7660">
      <w:pPr>
        <w:pStyle w:val="paragraph"/>
        <w:rPr>
          <w:color w:val="0000FF"/>
        </w:rPr>
      </w:pPr>
      <w:r w:rsidRPr="004A04A4">
        <w:rPr>
          <w:color w:val="0000FF"/>
        </w:rPr>
        <w:tab/>
        <w:t>(b)</w:t>
      </w:r>
      <w:r w:rsidRPr="004A04A4">
        <w:rPr>
          <w:color w:val="0000FF"/>
        </w:rPr>
        <w:tab/>
        <w:t>it is irrelevant whether the collection is in accordance with the relevant CDR outsourcing arrangement.</w:t>
      </w:r>
    </w:p>
    <w:p w14:paraId="3ED05EF8" w14:textId="77777777" w:rsidR="00BB7660" w:rsidRPr="004A04A4" w:rsidRDefault="00BB7660" w:rsidP="00BB7660">
      <w:pPr>
        <w:pStyle w:val="notetext"/>
        <w:rPr>
          <w:color w:val="0000FF"/>
        </w:rPr>
      </w:pPr>
      <w:r w:rsidRPr="004A04A4">
        <w:rPr>
          <w:color w:val="0000FF"/>
        </w:rPr>
        <w:t>Note:</w:t>
      </w:r>
      <w:r w:rsidRPr="004A04A4">
        <w:rPr>
          <w:color w:val="0000FF"/>
        </w:rPr>
        <w:tab/>
        <w:t>See rule 1.10AA for the definition of “service data” in relation to a CDR outsourcing arrangement.</w:t>
      </w:r>
    </w:p>
    <w:p w14:paraId="5AD82297" w14:textId="77777777" w:rsidR="0082401F" w:rsidRPr="0082401F" w:rsidRDefault="0082401F" w:rsidP="0082401F">
      <w:pPr>
        <w:pStyle w:val="subsection"/>
        <w:rPr>
          <w:strike/>
          <w:color w:val="0000FF"/>
        </w:rPr>
      </w:pPr>
      <w:r w:rsidRPr="0082401F">
        <w:rPr>
          <w:strike/>
          <w:color w:val="0000FF"/>
        </w:rPr>
        <w:tab/>
        <w:t>(5)</w:t>
      </w:r>
      <w:r w:rsidRPr="0082401F">
        <w:rPr>
          <w:strike/>
          <w:color w:val="0000FF"/>
        </w:rPr>
        <w:tab/>
        <w:t>For this rule:</w:t>
      </w:r>
    </w:p>
    <w:p w14:paraId="30B3D42C" w14:textId="77777777" w:rsidR="0082401F" w:rsidRPr="0082401F" w:rsidRDefault="0082401F" w:rsidP="0082401F">
      <w:pPr>
        <w:pStyle w:val="paragraph"/>
        <w:rPr>
          <w:strike/>
          <w:color w:val="0000FF"/>
        </w:rPr>
      </w:pPr>
      <w:r w:rsidRPr="0082401F">
        <w:rPr>
          <w:strike/>
          <w:color w:val="0000FF"/>
        </w:rPr>
        <w:tab/>
        <w:t>(a)</w:t>
      </w:r>
      <w:r w:rsidRPr="0082401F">
        <w:rPr>
          <w:strike/>
          <w:color w:val="0000FF"/>
        </w:rPr>
        <w:tab/>
        <w:t>any collection of service data by the provider in a CDR outsourcing arrangement is taken to have been by the principal under the arrangement; and</w:t>
      </w:r>
    </w:p>
    <w:p w14:paraId="7DDF633D" w14:textId="77777777" w:rsidR="0082401F" w:rsidRPr="0082401F" w:rsidRDefault="0082401F" w:rsidP="0082401F">
      <w:pPr>
        <w:pStyle w:val="paragraph"/>
        <w:rPr>
          <w:strike/>
          <w:color w:val="0000FF"/>
        </w:rPr>
      </w:pPr>
      <w:r w:rsidRPr="0082401F">
        <w:rPr>
          <w:strike/>
          <w:color w:val="0000FF"/>
        </w:rPr>
        <w:tab/>
        <w:t>(b)</w:t>
      </w:r>
      <w:r w:rsidRPr="0082401F">
        <w:rPr>
          <w:strike/>
          <w:color w:val="0000FF"/>
        </w:rPr>
        <w:tab/>
        <w:t>it is irrelevant whether the collection is in accordance with the arrangement.</w:t>
      </w:r>
    </w:p>
    <w:p w14:paraId="7DEF1165" w14:textId="77777777" w:rsidR="0082401F" w:rsidRPr="0082401F" w:rsidRDefault="0082401F" w:rsidP="0082401F">
      <w:pPr>
        <w:pStyle w:val="notetext"/>
        <w:rPr>
          <w:strike/>
          <w:color w:val="0000FF"/>
        </w:rPr>
      </w:pPr>
      <w:r w:rsidRPr="0082401F">
        <w:rPr>
          <w:strike/>
          <w:color w:val="0000FF"/>
        </w:rPr>
        <w:t>Note:</w:t>
      </w:r>
      <w:r w:rsidRPr="0082401F">
        <w:rPr>
          <w:strike/>
          <w:color w:val="0000FF"/>
        </w:rPr>
        <w:tab/>
        <w:t>See rule 1.10AA for the definition of “service data” in relation to a CDR outsourcing arrangement.</w:t>
      </w:r>
    </w:p>
    <w:p w14:paraId="577B41CE" w14:textId="77777777" w:rsidR="00BB7660" w:rsidRDefault="00BB7660" w:rsidP="00BB7660">
      <w:pPr>
        <w:pStyle w:val="ActHead5"/>
      </w:pPr>
      <w:bookmarkStart w:id="536" w:name="_Toc111132198"/>
      <w:r>
        <w:t>7.7</w:t>
      </w:r>
      <w:r w:rsidRPr="00EA1E07">
        <w:t xml:space="preserve">  Rule relating to privacy safeguard 6—use or disclosure of CDR data by accredited data recipients</w:t>
      </w:r>
      <w:bookmarkEnd w:id="535"/>
      <w:bookmarkEnd w:id="536"/>
    </w:p>
    <w:p w14:paraId="2E986E41" w14:textId="77777777" w:rsidR="00BB7660" w:rsidRPr="005F3D40" w:rsidRDefault="00BB7660" w:rsidP="00BB7660">
      <w:pPr>
        <w:pStyle w:val="notemargin"/>
        <w:rPr>
          <w:color w:val="000000" w:themeColor="text1"/>
        </w:rPr>
      </w:pPr>
      <w:r w:rsidRPr="005F3D40">
        <w:rPr>
          <w:color w:val="000000" w:themeColor="text1"/>
        </w:rPr>
        <w:t>Note:</w:t>
      </w:r>
      <w:r w:rsidRPr="005F3D40">
        <w:rPr>
          <w:color w:val="000000" w:themeColor="text1"/>
        </w:rPr>
        <w:tab/>
        <w:t>Paragraph 56EI(1)(b) of the Act provides that a</w:t>
      </w:r>
      <w:r w:rsidRPr="005F3D40">
        <w:rPr>
          <w:color w:val="000000" w:themeColor="text1"/>
          <w:szCs w:val="22"/>
        </w:rPr>
        <w:t xml:space="preserve">n accredited data recipient of CDR data must not use or disclose it unless the use or disclosure is otherwise required, or authorised, under the consumer data rules. </w:t>
      </w:r>
      <w:r w:rsidRPr="005F3D40">
        <w:rPr>
          <w:color w:val="000000" w:themeColor="text1"/>
        </w:rPr>
        <w:t>This rule provides an authorisation for that paragraph.</w:t>
      </w:r>
    </w:p>
    <w:p w14:paraId="28CA751A" w14:textId="77777777" w:rsidR="00BB7660" w:rsidRPr="005F3D40" w:rsidRDefault="00BB7660" w:rsidP="00BB7660">
      <w:pPr>
        <w:pStyle w:val="notemargin"/>
        <w:rPr>
          <w:color w:val="000000" w:themeColor="text1"/>
        </w:rPr>
      </w:pPr>
      <w:r w:rsidRPr="005F3D40">
        <w:rPr>
          <w:color w:val="000000" w:themeColor="text1"/>
        </w:rPr>
        <w:tab/>
        <w:t>Section 56EI of the Act applies only in relation to CDR data for which there are one or more CDR consumers: subsection 56EB(1) of the Act.</w:t>
      </w:r>
    </w:p>
    <w:p w14:paraId="79FB36D7" w14:textId="77777777" w:rsidR="00BB7660" w:rsidRDefault="00BB7660" w:rsidP="00BB7660">
      <w:pPr>
        <w:pStyle w:val="subsection"/>
      </w:pPr>
      <w:r>
        <w:tab/>
      </w:r>
      <w:r>
        <w:tab/>
      </w:r>
      <w:r w:rsidRPr="000F7E54">
        <w:t>For paragraph 56EI(1)(b) of the Act, the use or disclosure of CDR data for which there is a CDR consumer by an accredited data recipient of the CDR data is authorised under these rules if it is a</w:t>
      </w:r>
      <w:r>
        <w:t xml:space="preserve"> permitted</w:t>
      </w:r>
      <w:r w:rsidRPr="000F7E54">
        <w:t xml:space="preserve"> use or disclosure</w:t>
      </w:r>
      <w:r w:rsidRPr="0023590D">
        <w:t>, other than one t</w:t>
      </w:r>
      <w:r>
        <w:t>hat relates to direct marketing</w:t>
      </w:r>
      <w:r w:rsidRPr="000F7E54">
        <w:t>.</w:t>
      </w:r>
    </w:p>
    <w:p w14:paraId="3573D27D" w14:textId="77777777" w:rsidR="00BB7660" w:rsidRPr="0023590D" w:rsidRDefault="00BB7660" w:rsidP="00BB7660">
      <w:pPr>
        <w:pStyle w:val="ActHead5"/>
      </w:pPr>
      <w:bookmarkStart w:id="537" w:name="_Toc111132199"/>
      <w:r>
        <w:t>7.8</w:t>
      </w:r>
      <w:r w:rsidRPr="0023590D">
        <w:t xml:space="preserve">  Rule relating to privacy safeguard 7—use or disclosure of CDR data for direct marketing by accredited data recipients</w:t>
      </w:r>
      <w:bookmarkEnd w:id="537"/>
    </w:p>
    <w:p w14:paraId="375ECCF8" w14:textId="77777777" w:rsidR="00BB7660" w:rsidRPr="0023590D" w:rsidRDefault="00BB7660" w:rsidP="00BB7660">
      <w:pPr>
        <w:pStyle w:val="notemargin"/>
      </w:pPr>
      <w:r w:rsidRPr="0023590D">
        <w:t>Note:</w:t>
      </w:r>
      <w:r w:rsidRPr="0023590D">
        <w:tab/>
        <w:t>Paragraph 56EJ(1)(b) of the Act provides that a</w:t>
      </w:r>
      <w:r w:rsidRPr="0023590D">
        <w:rPr>
          <w:szCs w:val="22"/>
        </w:rPr>
        <w:t xml:space="preserve">n accredited data recipient of CDR data must not use or disclose it for direct marketing unless the use or disclosure is authorised under the consumer data rules in accordance with a valid consent of a CDR consumer for the CDR data. </w:t>
      </w:r>
      <w:r w:rsidRPr="0023590D">
        <w:t>This rule provides an authorisation for that paragraph.</w:t>
      </w:r>
    </w:p>
    <w:p w14:paraId="4AEA0B7A" w14:textId="77777777" w:rsidR="00BB7660" w:rsidRPr="0023590D" w:rsidRDefault="00BB7660" w:rsidP="00BB7660">
      <w:pPr>
        <w:pStyle w:val="notemargin"/>
      </w:pPr>
      <w:r w:rsidRPr="0023590D">
        <w:tab/>
        <w:t>Section 56EJ of the Act applies only in relation to CDR data for which there are one or more CDR consumers: subsection 56EB(1) of the Act.</w:t>
      </w:r>
    </w:p>
    <w:p w14:paraId="0FC728CE" w14:textId="77777777" w:rsidR="00BB7660" w:rsidRDefault="00BB7660" w:rsidP="00BB7660">
      <w:pPr>
        <w:pStyle w:val="subsection"/>
      </w:pPr>
      <w:r w:rsidRPr="0023590D">
        <w:tab/>
      </w:r>
      <w:r w:rsidRPr="0023590D">
        <w:tab/>
        <w:t>For paragraph 56EJ(1)(b) of the Act, the use or disclosure of CDR data for which there is a CDR consumer by an accredited data recipient of the CDR data for direct marketing is authorised under these rules if it is a permitted use or disclosure that relates to direct marketing.</w:t>
      </w:r>
    </w:p>
    <w:p w14:paraId="66752660" w14:textId="77777777" w:rsidR="00BB7660" w:rsidRPr="00A00F6F" w:rsidRDefault="00BB7660" w:rsidP="00BB7660">
      <w:pPr>
        <w:pStyle w:val="ActHead5"/>
      </w:pPr>
      <w:bookmarkStart w:id="538" w:name="_Toc111132200"/>
      <w:r w:rsidRPr="00A00F6F">
        <w:lastRenderedPageBreak/>
        <w:t>7.8A  Rule relating to privacy safeguards 8 and 9—failure by CDR representative to comply with safeguards</w:t>
      </w:r>
      <w:bookmarkEnd w:id="538"/>
    </w:p>
    <w:p w14:paraId="374E0BEA" w14:textId="77777777" w:rsidR="00BB7660" w:rsidRPr="00A00F6F" w:rsidRDefault="00BB7660" w:rsidP="00BB7660">
      <w:pPr>
        <w:pStyle w:val="SubsectionHead"/>
      </w:pPr>
      <w:r w:rsidRPr="00A00F6F">
        <w:t>Privacy safeguard 8—overseas disclosure</w:t>
      </w:r>
    </w:p>
    <w:p w14:paraId="482BDE15" w14:textId="77777777" w:rsidR="00BB7660" w:rsidRPr="00A00F6F" w:rsidRDefault="00BB7660" w:rsidP="00BB7660">
      <w:pPr>
        <w:pStyle w:val="subsection"/>
      </w:pPr>
      <w:r w:rsidRPr="00A00F6F">
        <w:tab/>
        <w:t>(1)</w:t>
      </w:r>
      <w:r w:rsidRPr="00A00F6F">
        <w:tab/>
        <w:t>A CDR principal breaches this subrule if its CDR representative fails to comply with section 56EK of the Act in relation to service data of a CDR consumer as if it were an accredited data recipient of the service data.</w:t>
      </w:r>
    </w:p>
    <w:p w14:paraId="55F3AFCF"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00AC6C6C" w14:textId="77777777" w:rsidR="00BB7660" w:rsidRPr="00A00F6F" w:rsidRDefault="00BB7660" w:rsidP="00BB7660">
      <w:pPr>
        <w:pStyle w:val="notetext"/>
      </w:pPr>
      <w:r w:rsidRPr="00A00F6F">
        <w:t>Note 2:</w:t>
      </w:r>
      <w:r w:rsidRPr="00A00F6F">
        <w:tab/>
        <w:t>This subrule is a civil penalty provision (see rule 9.8).</w:t>
      </w:r>
    </w:p>
    <w:p w14:paraId="71C82500" w14:textId="77777777" w:rsidR="00BB7660" w:rsidRPr="00A00F6F" w:rsidRDefault="00BB7660" w:rsidP="00BB7660">
      <w:pPr>
        <w:pStyle w:val="SubsectionHead"/>
      </w:pPr>
      <w:r w:rsidRPr="00A00F6F">
        <w:t>Privacy safeguard 9—government related identifiers</w:t>
      </w:r>
    </w:p>
    <w:p w14:paraId="264072EE" w14:textId="77777777" w:rsidR="00BB7660" w:rsidRPr="00A00F6F" w:rsidRDefault="00BB7660" w:rsidP="00BB7660">
      <w:pPr>
        <w:pStyle w:val="subsection"/>
      </w:pPr>
      <w:r w:rsidRPr="00A00F6F">
        <w:tab/>
        <w:t>(2)</w:t>
      </w:r>
      <w:r w:rsidRPr="00A00F6F">
        <w:tab/>
        <w:t>A CDR principal breaches this subrule if its CDR representative fails to comply with section 56EL of the Act in relation to service data of a CDR consumer as if it were an accredited data recipient of the service data.</w:t>
      </w:r>
    </w:p>
    <w:p w14:paraId="1185D221"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55DB0245" w14:textId="77777777" w:rsidR="00BB7660" w:rsidRPr="00A00F6F" w:rsidRDefault="00BB7660" w:rsidP="00BB7660">
      <w:pPr>
        <w:pStyle w:val="notetext"/>
      </w:pPr>
      <w:r w:rsidRPr="00A00F6F">
        <w:t>Note 2:</w:t>
      </w:r>
      <w:r w:rsidRPr="00A00F6F">
        <w:tab/>
        <w:t>This subrule is a civil penalty provision (see rule 9.8).</w:t>
      </w:r>
    </w:p>
    <w:p w14:paraId="4DF2F971" w14:textId="77777777" w:rsidR="005C0B5F" w:rsidRPr="009B680A" w:rsidRDefault="005C0B5F" w:rsidP="005C0B5F">
      <w:pPr>
        <w:pStyle w:val="ActHead5"/>
        <w:rPr>
          <w:color w:val="0000FF"/>
        </w:rPr>
      </w:pPr>
      <w:bookmarkStart w:id="539" w:name="_Toc111132201"/>
      <w:bookmarkStart w:id="540" w:name="_Toc11771674"/>
      <w:r w:rsidRPr="009B680A">
        <w:rPr>
          <w:color w:val="0000FF"/>
        </w:rPr>
        <w:t>7.8B  Rule relating to privacy safeguards 8 and 9—failure by direct or indirect OSP to comply with safeguards</w:t>
      </w:r>
      <w:bookmarkEnd w:id="539"/>
    </w:p>
    <w:p w14:paraId="7D583EDC" w14:textId="77777777" w:rsidR="005C0B5F" w:rsidRPr="009B680A" w:rsidRDefault="005C0B5F" w:rsidP="005C0B5F">
      <w:pPr>
        <w:pStyle w:val="SubsectionHead"/>
        <w:rPr>
          <w:color w:val="0000FF"/>
        </w:rPr>
      </w:pPr>
      <w:r w:rsidRPr="009B680A">
        <w:rPr>
          <w:color w:val="0000FF"/>
        </w:rPr>
        <w:t>Privacy safeguard 8—overseas disclosure</w:t>
      </w:r>
    </w:p>
    <w:p w14:paraId="3D7083D2" w14:textId="77777777" w:rsidR="005C0B5F" w:rsidRPr="009B680A" w:rsidRDefault="005C0B5F" w:rsidP="005C0B5F">
      <w:pPr>
        <w:pStyle w:val="subsection"/>
        <w:rPr>
          <w:color w:val="0000FF"/>
        </w:rPr>
      </w:pPr>
      <w:r w:rsidRPr="009B680A">
        <w:rPr>
          <w:color w:val="0000FF"/>
        </w:rPr>
        <w:tab/>
        <w:t>(1)</w:t>
      </w:r>
      <w:r w:rsidRPr="009B680A">
        <w:rPr>
          <w:color w:val="0000FF"/>
        </w:rPr>
        <w:tab/>
        <w:t>An accredited person breaches this subrule if a direct or indirect OSP of:</w:t>
      </w:r>
    </w:p>
    <w:p w14:paraId="207DD98C" w14:textId="77777777" w:rsidR="005C0B5F" w:rsidRPr="009B680A" w:rsidRDefault="005C0B5F" w:rsidP="005C0B5F">
      <w:pPr>
        <w:pStyle w:val="paragraph"/>
        <w:rPr>
          <w:color w:val="0000FF"/>
        </w:rPr>
      </w:pPr>
      <w:r w:rsidRPr="009B680A">
        <w:rPr>
          <w:color w:val="0000FF"/>
        </w:rPr>
        <w:tab/>
        <w:t>(a)</w:t>
      </w:r>
      <w:r w:rsidRPr="009B680A">
        <w:rPr>
          <w:color w:val="0000FF"/>
        </w:rPr>
        <w:tab/>
        <w:t>the accredited person; or</w:t>
      </w:r>
    </w:p>
    <w:p w14:paraId="170F8390" w14:textId="77777777" w:rsidR="005C0B5F" w:rsidRPr="009B680A" w:rsidRDefault="005C0B5F" w:rsidP="005C0B5F">
      <w:pPr>
        <w:pStyle w:val="paragraph"/>
        <w:rPr>
          <w:color w:val="0000FF"/>
        </w:rPr>
      </w:pPr>
      <w:r w:rsidRPr="009B680A">
        <w:rPr>
          <w:color w:val="0000FF"/>
        </w:rPr>
        <w:tab/>
        <w:t>(b)</w:t>
      </w:r>
      <w:r w:rsidRPr="009B680A">
        <w:rPr>
          <w:color w:val="0000FF"/>
        </w:rPr>
        <w:tab/>
        <w:t>a CDR representative of the accredited person;</w:t>
      </w:r>
    </w:p>
    <w:p w14:paraId="4936EB87" w14:textId="77777777" w:rsidR="005C0B5F" w:rsidRPr="009B680A" w:rsidRDefault="005C0B5F" w:rsidP="005C0B5F">
      <w:pPr>
        <w:pStyle w:val="subsection2"/>
        <w:rPr>
          <w:color w:val="0000FF"/>
        </w:rPr>
      </w:pPr>
      <w:r w:rsidRPr="009B680A">
        <w:rPr>
          <w:color w:val="0000FF"/>
        </w:rPr>
        <w:t>fails to comply with section 56EK of the Act in relation to service data of a CDR consumer as if it were an accredited data recipient of the service data.</w:t>
      </w:r>
    </w:p>
    <w:p w14:paraId="5AF66711" w14:textId="77777777" w:rsidR="005C0B5F" w:rsidRPr="009B680A" w:rsidRDefault="005C0B5F" w:rsidP="005C0B5F">
      <w:pPr>
        <w:pStyle w:val="notetext"/>
        <w:rPr>
          <w:color w:val="0000FF"/>
        </w:rPr>
      </w:pPr>
      <w:r w:rsidRPr="009B680A">
        <w:rPr>
          <w:color w:val="0000FF"/>
        </w:rPr>
        <w:t>Note 1:</w:t>
      </w:r>
      <w:r w:rsidRPr="009B680A">
        <w:rPr>
          <w:color w:val="0000FF"/>
        </w:rPr>
        <w:tab/>
        <w:t>See rule 1.10AA for the definition of “service data” in relation to a CDR representative arrangement.</w:t>
      </w:r>
    </w:p>
    <w:p w14:paraId="39DCECE4" w14:textId="77777777" w:rsidR="005C0B5F" w:rsidRPr="009B680A" w:rsidRDefault="005C0B5F" w:rsidP="005C0B5F">
      <w:pPr>
        <w:pStyle w:val="notetext"/>
        <w:rPr>
          <w:color w:val="0000FF"/>
        </w:rPr>
      </w:pPr>
      <w:r w:rsidRPr="009B680A">
        <w:rPr>
          <w:color w:val="0000FF"/>
        </w:rPr>
        <w:t>Note 2:</w:t>
      </w:r>
      <w:r w:rsidRPr="009B680A">
        <w:rPr>
          <w:color w:val="0000FF"/>
        </w:rPr>
        <w:tab/>
        <w:t>This subrule is a civil penalty provision (see rule 9.8).</w:t>
      </w:r>
    </w:p>
    <w:p w14:paraId="6B78A803" w14:textId="77777777" w:rsidR="005C0B5F" w:rsidRPr="009B680A" w:rsidRDefault="005C0B5F" w:rsidP="005C0B5F">
      <w:pPr>
        <w:pStyle w:val="SubsectionHead"/>
        <w:rPr>
          <w:color w:val="0000FF"/>
        </w:rPr>
      </w:pPr>
      <w:r w:rsidRPr="009B680A">
        <w:rPr>
          <w:color w:val="0000FF"/>
        </w:rPr>
        <w:t>Privacy safeguard 9—government related identifiers</w:t>
      </w:r>
    </w:p>
    <w:p w14:paraId="0ED27C58" w14:textId="77777777" w:rsidR="005C0B5F" w:rsidRPr="009B680A" w:rsidRDefault="005C0B5F" w:rsidP="005C0B5F">
      <w:pPr>
        <w:pStyle w:val="subsection"/>
        <w:rPr>
          <w:color w:val="0000FF"/>
        </w:rPr>
      </w:pPr>
      <w:r w:rsidRPr="009B680A">
        <w:rPr>
          <w:color w:val="0000FF"/>
        </w:rPr>
        <w:tab/>
        <w:t>(2)</w:t>
      </w:r>
      <w:r w:rsidRPr="009B680A">
        <w:rPr>
          <w:color w:val="0000FF"/>
        </w:rPr>
        <w:tab/>
        <w:t>An accredited person breaches this subrule if a direct or indirect OSP of:</w:t>
      </w:r>
    </w:p>
    <w:p w14:paraId="3BF8FC2F" w14:textId="77777777" w:rsidR="005C0B5F" w:rsidRPr="009B680A" w:rsidRDefault="005C0B5F" w:rsidP="005C0B5F">
      <w:pPr>
        <w:pStyle w:val="paragraph"/>
        <w:rPr>
          <w:color w:val="0000FF"/>
        </w:rPr>
      </w:pPr>
      <w:r w:rsidRPr="009B680A">
        <w:rPr>
          <w:color w:val="0000FF"/>
        </w:rPr>
        <w:tab/>
        <w:t>(a)</w:t>
      </w:r>
      <w:r w:rsidRPr="009B680A">
        <w:rPr>
          <w:color w:val="0000FF"/>
        </w:rPr>
        <w:tab/>
        <w:t>the accredited person; or</w:t>
      </w:r>
    </w:p>
    <w:p w14:paraId="59EF6419" w14:textId="77777777" w:rsidR="005C0B5F" w:rsidRPr="009B680A" w:rsidRDefault="005C0B5F" w:rsidP="005C0B5F">
      <w:pPr>
        <w:pStyle w:val="paragraph"/>
        <w:rPr>
          <w:color w:val="0000FF"/>
        </w:rPr>
      </w:pPr>
      <w:r w:rsidRPr="009B680A">
        <w:rPr>
          <w:color w:val="0000FF"/>
        </w:rPr>
        <w:tab/>
        <w:t>(b)</w:t>
      </w:r>
      <w:r w:rsidRPr="009B680A">
        <w:rPr>
          <w:color w:val="0000FF"/>
        </w:rPr>
        <w:tab/>
        <w:t>a CDR representative of the accredited person;</w:t>
      </w:r>
    </w:p>
    <w:p w14:paraId="4FE008CB" w14:textId="77777777" w:rsidR="005C0B5F" w:rsidRPr="009B680A" w:rsidRDefault="005C0B5F" w:rsidP="005C0B5F">
      <w:pPr>
        <w:pStyle w:val="subsection2"/>
        <w:rPr>
          <w:color w:val="0000FF"/>
        </w:rPr>
      </w:pPr>
      <w:r w:rsidRPr="009B680A">
        <w:rPr>
          <w:color w:val="0000FF"/>
        </w:rPr>
        <w:t>fails to comply with section 56EL of the Act in relation to service data of a CDR consumer as if it were an accredited data recipient of the service data.</w:t>
      </w:r>
    </w:p>
    <w:p w14:paraId="60BE3B4C" w14:textId="77777777" w:rsidR="005C0B5F" w:rsidRPr="009B680A" w:rsidRDefault="005C0B5F" w:rsidP="005C0B5F">
      <w:pPr>
        <w:pStyle w:val="notetext"/>
        <w:rPr>
          <w:color w:val="0000FF"/>
        </w:rPr>
      </w:pPr>
      <w:r w:rsidRPr="009B680A">
        <w:rPr>
          <w:color w:val="0000FF"/>
        </w:rPr>
        <w:t>Note 1:</w:t>
      </w:r>
      <w:r w:rsidRPr="009B680A">
        <w:rPr>
          <w:color w:val="0000FF"/>
        </w:rPr>
        <w:tab/>
        <w:t>See rule 1.10AA for the definition of “service data” in relation to a CDR representative arrangement.</w:t>
      </w:r>
    </w:p>
    <w:p w14:paraId="7CF5AD7E" w14:textId="77777777" w:rsidR="005C0B5F" w:rsidRPr="009B680A" w:rsidRDefault="005C0B5F" w:rsidP="005C0B5F">
      <w:pPr>
        <w:pStyle w:val="notetext"/>
        <w:rPr>
          <w:color w:val="0000FF"/>
        </w:rPr>
      </w:pPr>
      <w:r w:rsidRPr="009B680A">
        <w:rPr>
          <w:color w:val="0000FF"/>
        </w:rPr>
        <w:t>Note 2:</w:t>
      </w:r>
      <w:r w:rsidRPr="009B680A">
        <w:rPr>
          <w:color w:val="0000FF"/>
        </w:rPr>
        <w:tab/>
        <w:t>This subrule is a civil penalty provision (see rule 9.8).</w:t>
      </w:r>
    </w:p>
    <w:p w14:paraId="780DC7A3" w14:textId="77777777" w:rsidR="00BB7660" w:rsidRDefault="00BB7660" w:rsidP="00BB7660">
      <w:pPr>
        <w:pStyle w:val="ActHead5"/>
      </w:pPr>
      <w:bookmarkStart w:id="541" w:name="_Toc111132202"/>
      <w:r>
        <w:lastRenderedPageBreak/>
        <w:t>7.9  Rule relating to privacy safeguard 10—notifying of the disclosure of CDR data</w:t>
      </w:r>
      <w:bookmarkEnd w:id="540"/>
      <w:bookmarkEnd w:id="541"/>
    </w:p>
    <w:p w14:paraId="43B0A4A3" w14:textId="77777777" w:rsidR="00BB7660" w:rsidRDefault="00BB7660" w:rsidP="00BB7660">
      <w:pPr>
        <w:pStyle w:val="subsection"/>
      </w:pPr>
      <w:r>
        <w:tab/>
        <w:t>(1)</w:t>
      </w:r>
      <w:r>
        <w:tab/>
        <w:t>For subsection 56EM(1) of the Act, a data holder that discloses CDR data to an accredited person as a result of</w:t>
      </w:r>
      <w:r w:rsidRPr="0020066B">
        <w:t xml:space="preserve"> </w:t>
      </w:r>
      <w:r>
        <w:t>a consumer data request must</w:t>
      </w:r>
      <w:r w:rsidRPr="00B1412F">
        <w:t>, as soon as practicable,</w:t>
      </w:r>
      <w:r>
        <w:t xml:space="preserve"> update each consumer dashboard that relates to the request to indicate:</w:t>
      </w:r>
    </w:p>
    <w:p w14:paraId="6AA8D4C2" w14:textId="77777777" w:rsidR="00BB7660" w:rsidRDefault="00BB7660" w:rsidP="00BB7660">
      <w:pPr>
        <w:pStyle w:val="paragraph"/>
      </w:pPr>
      <w:r>
        <w:tab/>
        <w:t>(a)</w:t>
      </w:r>
      <w:r>
        <w:tab/>
        <w:t xml:space="preserve">what CDR data </w:t>
      </w:r>
      <w:r w:rsidRPr="00B3173B">
        <w:t>was</w:t>
      </w:r>
      <w:r>
        <w:t xml:space="preserve"> disclosed; and</w:t>
      </w:r>
    </w:p>
    <w:p w14:paraId="69F7049E" w14:textId="77777777" w:rsidR="00BB7660" w:rsidRDefault="00BB7660" w:rsidP="00BB7660">
      <w:pPr>
        <w:pStyle w:val="paragraph"/>
      </w:pPr>
      <w:r>
        <w:tab/>
        <w:t>(b)</w:t>
      </w:r>
      <w:r>
        <w:tab/>
      </w:r>
      <w:r w:rsidRPr="000C3240">
        <w:rPr>
          <w:color w:val="000000" w:themeColor="text1"/>
        </w:rPr>
        <w:t>when the CDR data was disclosed</w:t>
      </w:r>
      <w:r>
        <w:t>; and</w:t>
      </w:r>
    </w:p>
    <w:p w14:paraId="4479220D" w14:textId="77777777" w:rsidR="00BB7660" w:rsidRDefault="00BB7660" w:rsidP="00BB7660">
      <w:pPr>
        <w:pStyle w:val="paragraph"/>
      </w:pPr>
      <w:r>
        <w:tab/>
        <w:t>(c)</w:t>
      </w:r>
      <w:r>
        <w:tab/>
        <w:t>the accredited data recipient, identified in accordance with any entry on the Register of Accredited Persons specified as being for that purpose.</w:t>
      </w:r>
    </w:p>
    <w:p w14:paraId="761C21D7" w14:textId="77777777" w:rsidR="00BB7660" w:rsidRDefault="00BB7660" w:rsidP="00BB7660">
      <w:pPr>
        <w:pStyle w:val="notetext"/>
      </w:pPr>
      <w:r w:rsidRPr="007E69B9">
        <w:t>Note 1:</w:t>
      </w:r>
      <w:r w:rsidRPr="007E69B9">
        <w:tab/>
        <w:t xml:space="preserve">For correction requests, see section 56EP of the Act (privacy safeguard 13) and </w:t>
      </w:r>
      <w:r>
        <w:t>Subdivision 7.2.5 of these rules.</w:t>
      </w:r>
    </w:p>
    <w:p w14:paraId="304B1C22" w14:textId="77777777" w:rsidR="00BB7660" w:rsidRPr="00A00F6F" w:rsidRDefault="00BB7660" w:rsidP="00BB7660">
      <w:pPr>
        <w:pStyle w:val="notetext"/>
      </w:pPr>
      <w:r w:rsidRPr="00A00F6F">
        <w:t>Note 2:</w:t>
      </w:r>
      <w:r w:rsidRPr="00A00F6F">
        <w:tab/>
        <w:t xml:space="preserve">If a consumer data request is made that relates to a joint account, the other joint account holder’s consumer dashboard may not be required to be similarly updated. See </w:t>
      </w:r>
      <w:r w:rsidRPr="004A04A4">
        <w:rPr>
          <w:color w:val="0000FF"/>
        </w:rPr>
        <w:t>rule 4A.13</w:t>
      </w:r>
      <w:r w:rsidR="0082401F" w:rsidRPr="006F7F91">
        <w:rPr>
          <w:strike/>
          <w:color w:val="0000FF"/>
        </w:rPr>
        <w:t xml:space="preserve"> clause 4A.13</w:t>
      </w:r>
      <w:r w:rsidRPr="006F7F91">
        <w:t>.</w:t>
      </w:r>
    </w:p>
    <w:p w14:paraId="4C8314E6" w14:textId="77777777" w:rsidR="00BB7660" w:rsidRPr="006F4A42" w:rsidRDefault="00BB7660" w:rsidP="00BB7660">
      <w:pPr>
        <w:pStyle w:val="notetext"/>
        <w:tabs>
          <w:tab w:val="left" w:pos="720"/>
          <w:tab w:val="left" w:pos="1440"/>
          <w:tab w:val="left" w:pos="2160"/>
          <w:tab w:val="left" w:pos="2880"/>
          <w:tab w:val="left" w:pos="3600"/>
          <w:tab w:val="left" w:pos="4184"/>
        </w:tabs>
      </w:pPr>
      <w:r w:rsidRPr="006F4A42">
        <w:t xml:space="preserve">Note 3: </w:t>
      </w:r>
      <w:r w:rsidRPr="006F4A42">
        <w:tab/>
        <w:t>See</w:t>
      </w:r>
      <w:r>
        <w:t xml:space="preserve"> </w:t>
      </w:r>
      <w:r w:rsidRPr="006F4A42">
        <w:t>paragraph </w:t>
      </w:r>
      <w:r>
        <w:t>1.15(3)(f)</w:t>
      </w:r>
      <w:r w:rsidRPr="006F4A42">
        <w:t>.</w:t>
      </w:r>
    </w:p>
    <w:p w14:paraId="5BC59F82" w14:textId="77777777" w:rsidR="00DF5748" w:rsidRPr="009B680A" w:rsidRDefault="00DF5748" w:rsidP="00DF5748">
      <w:pPr>
        <w:pStyle w:val="notetext"/>
        <w:rPr>
          <w:color w:val="0000FF"/>
        </w:rPr>
      </w:pPr>
      <w:bookmarkStart w:id="542" w:name="_Toc11771675"/>
      <w:r w:rsidRPr="009B680A">
        <w:rPr>
          <w:color w:val="0000FF"/>
        </w:rPr>
        <w:t>Note 4:</w:t>
      </w:r>
      <w:r w:rsidRPr="009B680A">
        <w:rPr>
          <w:color w:val="0000FF"/>
        </w:rPr>
        <w:tab/>
        <w:t>See subrule 1.16(</w:t>
      </w:r>
      <w:r w:rsidR="00993434" w:rsidRPr="009B680A">
        <w:rPr>
          <w:color w:val="0000FF"/>
        </w:rPr>
        <w:t>5</w:t>
      </w:r>
      <w:r w:rsidRPr="009B680A">
        <w:rPr>
          <w:color w:val="0000FF"/>
        </w:rPr>
        <w:t>) for how this rule applies where the CDR data is collected by an accredited person acting as a direct or indirect OSP to the accredited data recipient.</w:t>
      </w:r>
    </w:p>
    <w:p w14:paraId="478523E7" w14:textId="77777777" w:rsidR="009B680A" w:rsidRPr="009B680A" w:rsidRDefault="009B680A" w:rsidP="009B680A">
      <w:pPr>
        <w:pStyle w:val="notetext"/>
        <w:rPr>
          <w:strike/>
          <w:color w:val="0000FF"/>
        </w:rPr>
      </w:pPr>
      <w:r w:rsidRPr="009B680A">
        <w:rPr>
          <w:strike/>
          <w:color w:val="0000FF"/>
          <w:shd w:val="clear" w:color="auto" w:fill="FFFFFF"/>
        </w:rPr>
        <w:t>Note</w:t>
      </w:r>
      <w:r>
        <w:rPr>
          <w:strike/>
          <w:color w:val="0000FF"/>
          <w:shd w:val="clear" w:color="auto" w:fill="FFFFFF"/>
        </w:rPr>
        <w:t xml:space="preserve"> 4</w:t>
      </w:r>
      <w:r w:rsidRPr="009B680A">
        <w:rPr>
          <w:strike/>
          <w:color w:val="0000FF"/>
          <w:shd w:val="clear" w:color="auto" w:fill="FFFFFF"/>
        </w:rPr>
        <w:t>:</w:t>
      </w:r>
      <w:r w:rsidRPr="009B680A">
        <w:rPr>
          <w:strike/>
          <w:color w:val="0000FF"/>
          <w:shd w:val="clear" w:color="auto" w:fill="FFFFFF"/>
        </w:rPr>
        <w:tab/>
        <w:t>See rule 1.16 for how this rule applies in the case of a CDR outsourcing arrangement in which a provider collects CDR data on behalf of a principal.</w:t>
      </w:r>
    </w:p>
    <w:p w14:paraId="59BF416A" w14:textId="77777777" w:rsidR="00BB7660" w:rsidRPr="00CE5ECF" w:rsidRDefault="00BB7660" w:rsidP="00BB7660">
      <w:pPr>
        <w:pStyle w:val="subsection"/>
      </w:pPr>
      <w:r w:rsidRPr="00CE5ECF">
        <w:tab/>
        <w:t>(2)</w:t>
      </w:r>
      <w:r w:rsidRPr="00CE5ECF">
        <w:tab/>
        <w:t>For subsection 56EM(2) of the Act, an accredited data recipient that discloses CDR data to an accredited person must, as soon as practicable, update each consumer dashboard that relates to the request to indicate:</w:t>
      </w:r>
    </w:p>
    <w:p w14:paraId="193D59F3" w14:textId="77777777" w:rsidR="00BB7660" w:rsidRPr="00CE5ECF" w:rsidRDefault="00BB7660" w:rsidP="00BB7660">
      <w:pPr>
        <w:pStyle w:val="paragraph"/>
      </w:pPr>
      <w:r w:rsidRPr="00CE5ECF">
        <w:tab/>
        <w:t>(a)</w:t>
      </w:r>
      <w:r w:rsidRPr="00CE5ECF">
        <w:tab/>
        <w:t>what CDR data was disclosed; and</w:t>
      </w:r>
    </w:p>
    <w:p w14:paraId="61B07BF8" w14:textId="77777777" w:rsidR="00BB7660" w:rsidRPr="00CE5ECF" w:rsidRDefault="00BB7660" w:rsidP="00BB7660">
      <w:pPr>
        <w:pStyle w:val="paragraph"/>
      </w:pPr>
      <w:r w:rsidRPr="00CE5ECF">
        <w:tab/>
        <w:t>(b)</w:t>
      </w:r>
      <w:r w:rsidRPr="00CE5ECF">
        <w:tab/>
        <w:t>when the CDR data was disclosed; and</w:t>
      </w:r>
    </w:p>
    <w:p w14:paraId="4A90B7E1" w14:textId="77777777" w:rsidR="00BB7660" w:rsidRDefault="00BB7660" w:rsidP="00BB7660">
      <w:pPr>
        <w:pStyle w:val="paragraph"/>
      </w:pPr>
      <w:r w:rsidRPr="00CE5ECF">
        <w:tab/>
        <w:t>(c)</w:t>
      </w:r>
      <w:r w:rsidRPr="00CE5ECF">
        <w:tab/>
        <w:t>the accredited person, identified in accordance with any entry on the Register of Accredited Persons specified as being for that purpose</w:t>
      </w:r>
      <w:r w:rsidRPr="00450982">
        <w:t>.</w:t>
      </w:r>
    </w:p>
    <w:p w14:paraId="2CEB03F6" w14:textId="77777777" w:rsidR="00BB7660" w:rsidRPr="00A00F6F" w:rsidRDefault="00BB7660" w:rsidP="00BB7660">
      <w:pPr>
        <w:pStyle w:val="subsection"/>
      </w:pPr>
      <w:r w:rsidRPr="00A00F6F">
        <w:tab/>
        <w:t>(3)</w:t>
      </w:r>
      <w:r w:rsidRPr="00A00F6F">
        <w:tab/>
        <w:t>For subsection 56EM(2) of the Act, an accredited data recipient that discloses CDR data to a trusted adviser must, as soon as practicable, update each consumer dashboard that relates to the request to indicate:</w:t>
      </w:r>
    </w:p>
    <w:p w14:paraId="4F03CA4F" w14:textId="77777777" w:rsidR="00BB7660" w:rsidRPr="00A00F6F" w:rsidRDefault="00BB7660" w:rsidP="00BB7660">
      <w:pPr>
        <w:pStyle w:val="paragraph"/>
      </w:pPr>
      <w:r w:rsidRPr="00A00F6F">
        <w:tab/>
        <w:t>(a)</w:t>
      </w:r>
      <w:r w:rsidRPr="00A00F6F">
        <w:tab/>
        <w:t>what CDR data was disclosed; and</w:t>
      </w:r>
    </w:p>
    <w:p w14:paraId="5F751FA6" w14:textId="77777777" w:rsidR="00BB7660" w:rsidRPr="00A00F6F" w:rsidRDefault="00BB7660" w:rsidP="00BB7660">
      <w:pPr>
        <w:pStyle w:val="paragraph"/>
      </w:pPr>
      <w:r w:rsidRPr="00A00F6F">
        <w:tab/>
        <w:t>(b)</w:t>
      </w:r>
      <w:r w:rsidRPr="00A00F6F">
        <w:tab/>
        <w:t>when the CDR data was disclosed; and</w:t>
      </w:r>
    </w:p>
    <w:p w14:paraId="2B4C132D" w14:textId="77777777" w:rsidR="00BB7660" w:rsidRPr="00A00F6F" w:rsidRDefault="00BB7660" w:rsidP="00BB7660">
      <w:pPr>
        <w:pStyle w:val="paragraph"/>
      </w:pPr>
      <w:r w:rsidRPr="00A00F6F">
        <w:tab/>
        <w:t>(c)</w:t>
      </w:r>
      <w:r w:rsidRPr="00A00F6F">
        <w:tab/>
        <w:t>the trusted adviser.</w:t>
      </w:r>
    </w:p>
    <w:p w14:paraId="20886018" w14:textId="77777777" w:rsidR="00C56E91" w:rsidRPr="009B680A" w:rsidRDefault="00C56E91" w:rsidP="00C56E91">
      <w:pPr>
        <w:pStyle w:val="subsection"/>
        <w:rPr>
          <w:color w:val="0000FF"/>
        </w:rPr>
      </w:pPr>
      <w:r w:rsidRPr="009B680A">
        <w:rPr>
          <w:color w:val="0000FF"/>
        </w:rPr>
        <w:tab/>
        <w:t>(3A)</w:t>
      </w:r>
      <w:r w:rsidRPr="009B680A">
        <w:rPr>
          <w:color w:val="0000FF"/>
        </w:rPr>
        <w:tab/>
        <w:t>For subsection 56EM(2) of the Act, an accredited data recipient that discloses CDR data to a person in accordance with a business consumer disclosure consent must, as soon as practicable, update each consumer dashboard that relates to the request to indicate:</w:t>
      </w:r>
    </w:p>
    <w:p w14:paraId="2ADB3BC8" w14:textId="77777777" w:rsidR="00C56E91" w:rsidRPr="009B680A" w:rsidRDefault="00C56E91" w:rsidP="00C56E91">
      <w:pPr>
        <w:pStyle w:val="paragraph"/>
        <w:rPr>
          <w:color w:val="0000FF"/>
        </w:rPr>
      </w:pPr>
      <w:r w:rsidRPr="009B680A">
        <w:rPr>
          <w:color w:val="0000FF"/>
        </w:rPr>
        <w:tab/>
        <w:t>(a)</w:t>
      </w:r>
      <w:r w:rsidRPr="009B680A">
        <w:rPr>
          <w:color w:val="0000FF"/>
        </w:rPr>
        <w:tab/>
        <w:t>what CDR data was disclosed; and</w:t>
      </w:r>
    </w:p>
    <w:p w14:paraId="379130F0" w14:textId="77777777" w:rsidR="00C56E91" w:rsidRPr="009B680A" w:rsidRDefault="00C56E91" w:rsidP="00C56E91">
      <w:pPr>
        <w:pStyle w:val="paragraph"/>
        <w:rPr>
          <w:color w:val="0000FF"/>
        </w:rPr>
      </w:pPr>
      <w:r w:rsidRPr="009B680A">
        <w:rPr>
          <w:color w:val="0000FF"/>
        </w:rPr>
        <w:tab/>
        <w:t>(b)</w:t>
      </w:r>
      <w:r w:rsidRPr="009B680A">
        <w:rPr>
          <w:color w:val="0000FF"/>
        </w:rPr>
        <w:tab/>
        <w:t>when the CDR data was disclosed; and</w:t>
      </w:r>
    </w:p>
    <w:p w14:paraId="580F3363" w14:textId="77777777" w:rsidR="00C56E91" w:rsidRPr="009B680A" w:rsidRDefault="00C56E91" w:rsidP="00C56E91">
      <w:pPr>
        <w:pStyle w:val="paragraph"/>
        <w:rPr>
          <w:color w:val="0000FF"/>
        </w:rPr>
      </w:pPr>
      <w:r w:rsidRPr="009B680A">
        <w:rPr>
          <w:color w:val="0000FF"/>
        </w:rPr>
        <w:tab/>
        <w:t>(c)</w:t>
      </w:r>
      <w:r w:rsidRPr="009B680A">
        <w:rPr>
          <w:color w:val="0000FF"/>
        </w:rPr>
        <w:tab/>
        <w:t>the person to whom it was disclosed.</w:t>
      </w:r>
    </w:p>
    <w:p w14:paraId="5A3352C0" w14:textId="77777777" w:rsidR="00BB7660" w:rsidRPr="00A00F6F" w:rsidRDefault="00BB7660" w:rsidP="00BB7660">
      <w:pPr>
        <w:pStyle w:val="subsection"/>
      </w:pPr>
      <w:r w:rsidRPr="00A00F6F">
        <w:tab/>
        <w:t>(4)</w:t>
      </w:r>
      <w:r w:rsidRPr="00A00F6F">
        <w:tab/>
        <w:t>For subsection 56EM(2) of the Act, an accredited data recipient that discloses a CDR insight must, as soon as practicable, update each consumer dashboard that relates to the request to indicate:</w:t>
      </w:r>
    </w:p>
    <w:p w14:paraId="7DFA7E44" w14:textId="77777777" w:rsidR="00BB7660" w:rsidRPr="00A00F6F" w:rsidRDefault="00BB7660" w:rsidP="00BB7660">
      <w:pPr>
        <w:pStyle w:val="paragraph"/>
      </w:pPr>
      <w:r w:rsidRPr="00A00F6F">
        <w:lastRenderedPageBreak/>
        <w:tab/>
        <w:t>(a)</w:t>
      </w:r>
      <w:r w:rsidRPr="00A00F6F">
        <w:tab/>
        <w:t>what CDR data was disclosed; and</w:t>
      </w:r>
    </w:p>
    <w:p w14:paraId="0DCAF3D6" w14:textId="77777777" w:rsidR="00BB7660" w:rsidRPr="00A00F6F" w:rsidRDefault="00BB7660" w:rsidP="00BB7660">
      <w:pPr>
        <w:pStyle w:val="paragraph"/>
      </w:pPr>
      <w:r w:rsidRPr="00A00F6F">
        <w:tab/>
        <w:t>(b)</w:t>
      </w:r>
      <w:r w:rsidRPr="00A00F6F">
        <w:tab/>
        <w:t>when the CDR data was disclosed; and</w:t>
      </w:r>
    </w:p>
    <w:p w14:paraId="3DF91968" w14:textId="77777777" w:rsidR="00BB7660" w:rsidRPr="00A00F6F" w:rsidRDefault="00BB7660" w:rsidP="00BB7660">
      <w:pPr>
        <w:pStyle w:val="paragraph"/>
      </w:pPr>
      <w:r w:rsidRPr="00A00F6F">
        <w:tab/>
        <w:t>(c)</w:t>
      </w:r>
      <w:r w:rsidRPr="00A00F6F">
        <w:tab/>
        <w:t>the person to whom it was disclosed.</w:t>
      </w:r>
    </w:p>
    <w:p w14:paraId="18507B42" w14:textId="77777777" w:rsidR="00BB7660" w:rsidRPr="00A00F6F" w:rsidRDefault="00BB7660" w:rsidP="00BB7660">
      <w:pPr>
        <w:pStyle w:val="subsection"/>
      </w:pPr>
      <w:bookmarkStart w:id="543" w:name="_Hlk111124141"/>
      <w:r w:rsidRPr="00A00F6F">
        <w:tab/>
        <w:t>(5)</w:t>
      </w:r>
      <w:r w:rsidRPr="00A00F6F">
        <w:tab/>
        <w:t>For this rule, where an accredited data recipient is a CDR principal, a disclosure of service data by a CDR representative</w:t>
      </w:r>
      <w:r w:rsidRPr="006B2062">
        <w:t xml:space="preserve"> </w:t>
      </w:r>
      <w:r w:rsidR="004B1B1B" w:rsidRPr="006B2062">
        <w:rPr>
          <w:color w:val="0000FF"/>
        </w:rPr>
        <w:t xml:space="preserve">(including a disclosure by a direct or indirect OSP of the CDR representative of service data for the purposes of the CDR outsourcing arrangement) </w:t>
      </w:r>
      <w:r w:rsidRPr="00A00F6F">
        <w:t>is taken to be a disclosure by the CDR principal.</w:t>
      </w:r>
    </w:p>
    <w:p w14:paraId="62954999" w14:textId="77777777" w:rsidR="00BB7660" w:rsidRDefault="00BB7660" w:rsidP="00BB7660">
      <w:pPr>
        <w:pStyle w:val="ActHead4"/>
        <w:pageBreakBefore/>
      </w:pPr>
      <w:bookmarkStart w:id="544" w:name="_Toc111132203"/>
      <w:bookmarkEnd w:id="543"/>
      <w:r>
        <w:lastRenderedPageBreak/>
        <w:t>Subdivision 7.2.4—Rules relating to integrity and security of CDR data</w:t>
      </w:r>
      <w:bookmarkEnd w:id="542"/>
      <w:bookmarkEnd w:id="544"/>
    </w:p>
    <w:p w14:paraId="14355C62" w14:textId="77777777" w:rsidR="00BB7660" w:rsidRDefault="00BB7660" w:rsidP="00BB7660">
      <w:pPr>
        <w:pStyle w:val="ActHead5"/>
      </w:pPr>
      <w:bookmarkStart w:id="545" w:name="_Hlk111124153"/>
      <w:bookmarkStart w:id="546" w:name="_Toc11771676"/>
      <w:bookmarkStart w:id="547" w:name="_Toc111132204"/>
      <w:r>
        <w:t>7.10</w:t>
      </w:r>
      <w:r w:rsidRPr="00EB4377">
        <w:t xml:space="preserve">  </w:t>
      </w:r>
      <w:bookmarkEnd w:id="545"/>
      <w:r w:rsidRPr="00EB4377">
        <w:t>Rule relating to privacy safeguard 11—quality of CDR data</w:t>
      </w:r>
      <w:bookmarkEnd w:id="546"/>
      <w:bookmarkEnd w:id="547"/>
    </w:p>
    <w:p w14:paraId="5E25E15C" w14:textId="77777777" w:rsidR="00BB7660" w:rsidRPr="006B2062" w:rsidRDefault="00BB7660" w:rsidP="00BB7660">
      <w:pPr>
        <w:pStyle w:val="subsection"/>
      </w:pPr>
      <w:r w:rsidRPr="00EB4377">
        <w:tab/>
      </w:r>
      <w:r>
        <w:t>(1)</w:t>
      </w:r>
      <w:r w:rsidRPr="00EB4377">
        <w:tab/>
      </w:r>
      <w:r>
        <w:t xml:space="preserve">If a CDR participant makes a </w:t>
      </w:r>
      <w:r w:rsidRPr="00EB4377">
        <w:rPr>
          <w:color w:val="000000" w:themeColor="text1"/>
        </w:rPr>
        <w:t>disclosure of a kind referred to in paragraphs 56EN(3</w:t>
      </w:r>
      <w:r w:rsidRPr="006B2062">
        <w:t>)(a) and (b) of the Act to</w:t>
      </w:r>
      <w:r w:rsidR="0082401F" w:rsidRPr="006B2062">
        <w:t xml:space="preserve"> an accredited person</w:t>
      </w:r>
      <w:r w:rsidRPr="006B2062">
        <w:t>, the CDR participant must provide the CDR consumer on whose behalf the disclosure was made, by electronic means, with a written notice that:</w:t>
      </w:r>
    </w:p>
    <w:p w14:paraId="6E436461" w14:textId="77777777" w:rsidR="0082401F" w:rsidRPr="006B2062" w:rsidRDefault="0082401F" w:rsidP="0082401F">
      <w:pPr>
        <w:pStyle w:val="paragraph"/>
      </w:pPr>
      <w:r w:rsidRPr="006B2062">
        <w:tab/>
        <w:t>(a)</w:t>
      </w:r>
      <w:r w:rsidRPr="006B2062">
        <w:tab/>
        <w:t>identifies the accredited person to whom the CDR data was disclosed; and</w:t>
      </w:r>
    </w:p>
    <w:p w14:paraId="2A6ED4E7" w14:textId="77777777" w:rsidR="00BB7660" w:rsidRPr="006B2062" w:rsidRDefault="00BB7660" w:rsidP="00BB7660">
      <w:pPr>
        <w:pStyle w:val="paragraph"/>
      </w:pPr>
      <w:r w:rsidRPr="006B2062">
        <w:tab/>
        <w:t>(b)</w:t>
      </w:r>
      <w:r w:rsidRPr="006B2062">
        <w:tab/>
        <w:t>states the date of the disclosure; and</w:t>
      </w:r>
    </w:p>
    <w:p w14:paraId="78EA588A" w14:textId="77777777" w:rsidR="00BB7660" w:rsidRPr="006B2062" w:rsidRDefault="00BB7660" w:rsidP="00BB7660">
      <w:pPr>
        <w:pStyle w:val="paragraph"/>
      </w:pPr>
      <w:r w:rsidRPr="006B2062">
        <w:tab/>
        <w:t>(c)</w:t>
      </w:r>
      <w:r w:rsidRPr="006B2062">
        <w:tab/>
        <w:t>identifies the CDR data that was incorrect in the sense referred to in paragraph 56EN(3)(b) of the Act; and</w:t>
      </w:r>
    </w:p>
    <w:p w14:paraId="51538FEE" w14:textId="77777777" w:rsidR="0082401F" w:rsidRPr="006B2062" w:rsidRDefault="0082401F" w:rsidP="0082401F">
      <w:pPr>
        <w:pStyle w:val="paragraph"/>
      </w:pPr>
      <w:r w:rsidRPr="006B2062">
        <w:tab/>
        <w:t>(d)</w:t>
      </w:r>
      <w:r w:rsidRPr="006B2062">
        <w:tab/>
        <w:t>states that:</w:t>
      </w:r>
    </w:p>
    <w:p w14:paraId="0DC58996" w14:textId="77777777" w:rsidR="0082401F" w:rsidRPr="006B2062" w:rsidRDefault="0082401F" w:rsidP="0082401F">
      <w:pPr>
        <w:pStyle w:val="paragraphsub"/>
      </w:pPr>
      <w:r w:rsidRPr="006B2062">
        <w:tab/>
        <w:t>(i)</w:t>
      </w:r>
      <w:r w:rsidRPr="006B2062">
        <w:tab/>
        <w:t>the CDR consumer can request the CDR participant to disclose the corrected CDR data to the accredited person; and</w:t>
      </w:r>
    </w:p>
    <w:p w14:paraId="6E3BF716" w14:textId="77777777" w:rsidR="0082401F" w:rsidRPr="006B2062" w:rsidRDefault="0082401F" w:rsidP="0082401F">
      <w:pPr>
        <w:pStyle w:val="paragraphsub"/>
      </w:pPr>
      <w:r w:rsidRPr="006B2062">
        <w:tab/>
        <w:t>(ii)</w:t>
      </w:r>
      <w:r w:rsidRPr="006B2062">
        <w:tab/>
        <w:t>if such a request is made, the corrected CDR data will be so disclosed.</w:t>
      </w:r>
    </w:p>
    <w:p w14:paraId="0D82FEA8" w14:textId="77777777" w:rsidR="00BB7660" w:rsidRPr="006B2062" w:rsidRDefault="00BB7660" w:rsidP="00BB7660">
      <w:pPr>
        <w:pStyle w:val="notetext"/>
      </w:pPr>
      <w:r w:rsidRPr="006B2062">
        <w:t>Note 1:</w:t>
      </w:r>
      <w:r w:rsidRPr="006B2062">
        <w:tab/>
        <w:t>For paragraph (d), see subsection 56EN(4) of the Act.</w:t>
      </w:r>
    </w:p>
    <w:p w14:paraId="757029A7" w14:textId="77777777" w:rsidR="00BB7660" w:rsidRPr="006B2062" w:rsidRDefault="00BB7660" w:rsidP="00BB7660">
      <w:pPr>
        <w:pStyle w:val="notetext"/>
      </w:pPr>
      <w:r w:rsidRPr="006B2062">
        <w:t>Note 2:</w:t>
      </w:r>
      <w:r w:rsidRPr="006B2062">
        <w:tab/>
        <w:t>The written notice could be given through the CDR participant’s consumer dashboard (see rule 1.14 and rule 1.15).</w:t>
      </w:r>
    </w:p>
    <w:p w14:paraId="6AFAD577" w14:textId="77777777" w:rsidR="009B680A" w:rsidRPr="006B2062" w:rsidRDefault="009B680A" w:rsidP="009B680A">
      <w:pPr>
        <w:pStyle w:val="notetext0"/>
        <w:shd w:val="clear" w:color="auto" w:fill="FFFFFF"/>
        <w:spacing w:before="122" w:beforeAutospacing="0" w:after="0" w:afterAutospacing="0"/>
        <w:ind w:left="1985" w:hanging="851"/>
      </w:pPr>
      <w:r w:rsidRPr="006B2062">
        <w:t>Note 3:       See rule 1.16 for how this rule applies in the case of a CDR outsourcing arrangement in which a provider collects CDR data on behalf of a principal.</w:t>
      </w:r>
    </w:p>
    <w:p w14:paraId="33DC225A" w14:textId="77777777" w:rsidR="00BB7660" w:rsidRPr="006B2062" w:rsidRDefault="00BB7660" w:rsidP="00BB7660">
      <w:pPr>
        <w:pStyle w:val="subsection"/>
      </w:pPr>
      <w:r w:rsidRPr="006B2062">
        <w:tab/>
        <w:t>(2)</w:t>
      </w:r>
      <w:r w:rsidRPr="006B2062">
        <w:tab/>
        <w:t>A single notice may deal with one or more such disclosures.</w:t>
      </w:r>
    </w:p>
    <w:p w14:paraId="1F1EB4BC" w14:textId="77777777" w:rsidR="00BB7660" w:rsidRPr="006B2062" w:rsidRDefault="00BB7660" w:rsidP="00BB7660">
      <w:pPr>
        <w:pStyle w:val="subsection"/>
      </w:pPr>
      <w:r w:rsidRPr="006B2062">
        <w:tab/>
        <w:t>(3)</w:t>
      </w:r>
      <w:r w:rsidRPr="006B2062">
        <w:tab/>
        <w:t>The notice must be provided:</w:t>
      </w:r>
    </w:p>
    <w:p w14:paraId="78084232" w14:textId="77777777" w:rsidR="00BB7660" w:rsidRPr="00A522E0" w:rsidRDefault="00BB7660" w:rsidP="00BB7660">
      <w:pPr>
        <w:pStyle w:val="paragraph"/>
      </w:pPr>
      <w:r w:rsidRPr="00A522E0">
        <w:tab/>
        <w:t>(a)</w:t>
      </w:r>
      <w:r w:rsidRPr="00A522E0">
        <w:tab/>
        <w:t>as soon as practicable; and</w:t>
      </w:r>
    </w:p>
    <w:p w14:paraId="6FE07751" w14:textId="77777777" w:rsidR="00BB7660" w:rsidRPr="00A522E0" w:rsidRDefault="00BB7660" w:rsidP="00BB7660">
      <w:pPr>
        <w:pStyle w:val="paragraph"/>
      </w:pPr>
      <w:r w:rsidRPr="00A522E0">
        <w:tab/>
        <w:t>(b)</w:t>
      </w:r>
      <w:r w:rsidRPr="00A522E0">
        <w:tab/>
        <w:t>in any event—within 5 business days;</w:t>
      </w:r>
    </w:p>
    <w:p w14:paraId="114E41B5" w14:textId="77777777" w:rsidR="00BB7660" w:rsidRDefault="00BB7660" w:rsidP="00BB7660">
      <w:pPr>
        <w:pStyle w:val="subsection"/>
        <w:spacing w:before="40"/>
      </w:pPr>
      <w:r w:rsidRPr="00A522E0">
        <w:tab/>
      </w:r>
      <w:r w:rsidRPr="00A522E0">
        <w:tab/>
        <w:t>after the CDR participant becomes aware of the matter referred to in paragraph 56EN(3)(b) of the Act.</w:t>
      </w:r>
    </w:p>
    <w:p w14:paraId="023B8A29" w14:textId="77777777" w:rsidR="00BB7660" w:rsidRPr="00A00F6F" w:rsidRDefault="00BB7660" w:rsidP="00BB7660">
      <w:pPr>
        <w:pStyle w:val="ActHead5"/>
      </w:pPr>
      <w:bookmarkStart w:id="548" w:name="_Toc111132205"/>
      <w:bookmarkStart w:id="549" w:name="_Toc11771677"/>
      <w:r w:rsidRPr="00A00F6F">
        <w:t>7.10A  Rule relating to privacy safeguard 11—quality of data—CDR representative</w:t>
      </w:r>
      <w:bookmarkEnd w:id="548"/>
    </w:p>
    <w:p w14:paraId="412FEC5C" w14:textId="77777777" w:rsidR="00BB7660" w:rsidRPr="00A00F6F" w:rsidRDefault="00BB7660" w:rsidP="00BB7660">
      <w:pPr>
        <w:pStyle w:val="subsection"/>
      </w:pPr>
      <w:r w:rsidRPr="00A00F6F">
        <w:tab/>
        <w:t>(1)</w:t>
      </w:r>
      <w:r w:rsidRPr="00A00F6F">
        <w:tab/>
        <w:t>A CDR principal breaches this subrule if its CDR representative fails to comply with subsection 56EN(2) of the Act in relation to service data of a CDR consumer as if it were an accredited person.</w:t>
      </w:r>
    </w:p>
    <w:p w14:paraId="668B585E"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0ACA01EB" w14:textId="77777777" w:rsidR="00BB7660" w:rsidRPr="00A00F6F" w:rsidRDefault="00BB7660" w:rsidP="00BB7660">
      <w:pPr>
        <w:pStyle w:val="notetext"/>
      </w:pPr>
      <w:r w:rsidRPr="00A00F6F">
        <w:t>Note 2:</w:t>
      </w:r>
      <w:r w:rsidRPr="00A00F6F">
        <w:tab/>
        <w:t>This subrule is a civil penalty provision (see rule 9.8).</w:t>
      </w:r>
    </w:p>
    <w:p w14:paraId="02B839D7" w14:textId="77777777" w:rsidR="00BB7660" w:rsidRPr="00A00F6F" w:rsidRDefault="00BB7660" w:rsidP="00BB7660">
      <w:pPr>
        <w:pStyle w:val="subsection"/>
      </w:pPr>
      <w:r w:rsidRPr="00A00F6F">
        <w:tab/>
        <w:t>(2)</w:t>
      </w:r>
      <w:r w:rsidRPr="00A00F6F">
        <w:tab/>
        <w:t xml:space="preserve">For </w:t>
      </w:r>
      <w:r w:rsidRPr="006F7F91">
        <w:rPr>
          <w:color w:val="0000FF"/>
        </w:rPr>
        <w:t>subrule</w:t>
      </w:r>
      <w:r w:rsidRPr="00A00F6F">
        <w:t xml:space="preserve"> </w:t>
      </w:r>
      <w:r w:rsidRPr="006F7F91">
        <w:rPr>
          <w:color w:val="0000FF"/>
        </w:rPr>
        <w:t>(1</w:t>
      </w:r>
      <w:r w:rsidR="006F7F91">
        <w:rPr>
          <w:color w:val="0000FF"/>
        </w:rPr>
        <w:t>)</w:t>
      </w:r>
      <w:r w:rsidR="006F7F91">
        <w:rPr>
          <w:strike/>
          <w:color w:val="0000FF"/>
        </w:rPr>
        <w:t xml:space="preserve"> subrule (2)</w:t>
      </w:r>
      <w:r w:rsidRPr="00A00F6F">
        <w:t>, it is irrelevant whether the action of the CDR representative in relation to the service data is in accordance with the CDR representative arrangement.</w:t>
      </w:r>
    </w:p>
    <w:p w14:paraId="708F99AF" w14:textId="77777777" w:rsidR="00BB7660" w:rsidRDefault="00BB7660" w:rsidP="00BB7660">
      <w:pPr>
        <w:pStyle w:val="ActHead5"/>
      </w:pPr>
      <w:bookmarkStart w:id="550" w:name="_Toc111132206"/>
      <w:r>
        <w:lastRenderedPageBreak/>
        <w:t>7.11  Rule relating to privacy safeguard 12—</w:t>
      </w:r>
      <w:r w:rsidRPr="008D2414">
        <w:t>security of CDR data</w:t>
      </w:r>
      <w:bookmarkEnd w:id="549"/>
      <w:bookmarkEnd w:id="550"/>
    </w:p>
    <w:p w14:paraId="5007D1B3" w14:textId="77777777" w:rsidR="00BB7660" w:rsidRDefault="00BB7660" w:rsidP="00BB7660">
      <w:pPr>
        <w:pStyle w:val="subsection"/>
      </w:pPr>
      <w:r>
        <w:tab/>
      </w:r>
      <w:r w:rsidRPr="00A00F6F">
        <w:t>(1)</w:t>
      </w:r>
      <w:r w:rsidRPr="00A00F6F">
        <w:tab/>
      </w:r>
      <w:r>
        <w:t>For subsection 56EO(1) of the Act, the steps are set out in Schedule 2.</w:t>
      </w:r>
    </w:p>
    <w:p w14:paraId="5704ABFF" w14:textId="77777777" w:rsidR="00BB7660" w:rsidRDefault="00BB7660" w:rsidP="00BB7660">
      <w:pPr>
        <w:pStyle w:val="notetext"/>
      </w:pPr>
      <w:r>
        <w:t>Note:</w:t>
      </w:r>
      <w:r>
        <w:tab/>
        <w:t>Broadly speaking, the steps are for an accredited data recipient of CDR data to:</w:t>
      </w:r>
    </w:p>
    <w:p w14:paraId="69474C05" w14:textId="77777777" w:rsidR="00BB7660" w:rsidRDefault="00BB7660" w:rsidP="00BB7660">
      <w:pPr>
        <w:pStyle w:val="notepara"/>
      </w:pPr>
      <w:r>
        <w:sym w:font="Symbol" w:char="F0B7"/>
      </w:r>
      <w:r w:rsidRPr="009C2562">
        <w:tab/>
      </w:r>
      <w:r>
        <w:t>define and implement security governance in relation to CDR data; and</w:t>
      </w:r>
    </w:p>
    <w:p w14:paraId="6F3C5BB7" w14:textId="77777777" w:rsidR="00BB7660" w:rsidRDefault="00BB7660" w:rsidP="00BB7660">
      <w:pPr>
        <w:pStyle w:val="notepara"/>
      </w:pPr>
      <w:r>
        <w:sym w:font="Symbol" w:char="F0B7"/>
      </w:r>
      <w:r w:rsidRPr="009C2562">
        <w:tab/>
      </w:r>
      <w:r>
        <w:t>define the boundaries of the CDR data environment; and</w:t>
      </w:r>
    </w:p>
    <w:p w14:paraId="79977E01" w14:textId="77777777" w:rsidR="00BB7660" w:rsidRDefault="00BB7660" w:rsidP="00BB7660">
      <w:pPr>
        <w:pStyle w:val="notepara"/>
      </w:pPr>
      <w:r>
        <w:sym w:font="Symbol" w:char="F0B7"/>
      </w:r>
      <w:r w:rsidRPr="009C2562">
        <w:tab/>
      </w:r>
      <w:r>
        <w:t>have and maintain an i</w:t>
      </w:r>
      <w:r w:rsidRPr="00CD6E65">
        <w:t>nformation security capability</w:t>
      </w:r>
      <w:r>
        <w:t>; and</w:t>
      </w:r>
    </w:p>
    <w:p w14:paraId="43C9D663" w14:textId="77777777" w:rsidR="00BB7660" w:rsidRDefault="00BB7660" w:rsidP="00BB7660">
      <w:pPr>
        <w:pStyle w:val="notepara"/>
      </w:pPr>
      <w:r>
        <w:sym w:font="Symbol" w:char="F0B7"/>
      </w:r>
      <w:r w:rsidRPr="009C2562">
        <w:tab/>
      </w:r>
      <w:r>
        <w:t>implement a formal controls assessment program; and</w:t>
      </w:r>
    </w:p>
    <w:p w14:paraId="31326EB4" w14:textId="77777777" w:rsidR="00BB7660" w:rsidRDefault="00BB7660" w:rsidP="00BB7660">
      <w:pPr>
        <w:pStyle w:val="notepara"/>
      </w:pPr>
      <w:r>
        <w:sym w:font="Symbol" w:char="F0B7"/>
      </w:r>
      <w:r w:rsidRPr="009C2562">
        <w:tab/>
      </w:r>
      <w:r>
        <w:t>m</w:t>
      </w:r>
      <w:r w:rsidRPr="00B04F55">
        <w:t>ana</w:t>
      </w:r>
      <w:r>
        <w:t>ge and report security incidents.</w:t>
      </w:r>
    </w:p>
    <w:p w14:paraId="76CDC7F4" w14:textId="77777777" w:rsidR="004B1B1B" w:rsidRPr="006B2062" w:rsidRDefault="004B1B1B" w:rsidP="004B1B1B">
      <w:pPr>
        <w:pStyle w:val="subsection"/>
        <w:rPr>
          <w:color w:val="0000FF"/>
        </w:rPr>
      </w:pPr>
      <w:r w:rsidRPr="006B2062">
        <w:rPr>
          <w:color w:val="0000FF"/>
        </w:rPr>
        <w:tab/>
        <w:t>(2)</w:t>
      </w:r>
      <w:r w:rsidRPr="006B2062">
        <w:rPr>
          <w:color w:val="0000FF"/>
        </w:rPr>
        <w:tab/>
        <w:t>For this rule, where an accredited data recipient is a chain principal, a failure by a direct or indirect OSP to comply with Schedule 2 in relation to service data is taken to be a failure by the accredited data recipient.</w:t>
      </w:r>
    </w:p>
    <w:p w14:paraId="4F7CD04E" w14:textId="77777777" w:rsidR="004B1B1B" w:rsidRPr="006B2062" w:rsidRDefault="004B1B1B" w:rsidP="004B1B1B">
      <w:pPr>
        <w:pStyle w:val="subsection"/>
        <w:rPr>
          <w:color w:val="0000FF"/>
        </w:rPr>
      </w:pPr>
      <w:r w:rsidRPr="006B2062">
        <w:rPr>
          <w:color w:val="0000FF"/>
        </w:rPr>
        <w:tab/>
        <w:t>(3)</w:t>
      </w:r>
      <w:r w:rsidRPr="006B2062">
        <w:rPr>
          <w:color w:val="0000FF"/>
        </w:rPr>
        <w:tab/>
        <w:t>For this rule, where an accredited data recipient is a CDR principal, a failure by:</w:t>
      </w:r>
    </w:p>
    <w:p w14:paraId="02501323" w14:textId="77777777" w:rsidR="004B1B1B" w:rsidRPr="006B2062" w:rsidRDefault="004B1B1B" w:rsidP="004B1B1B">
      <w:pPr>
        <w:pStyle w:val="paragraph"/>
        <w:rPr>
          <w:color w:val="0000FF"/>
        </w:rPr>
      </w:pPr>
      <w:r w:rsidRPr="006B2062">
        <w:rPr>
          <w:color w:val="0000FF"/>
        </w:rPr>
        <w:tab/>
        <w:t>(a)</w:t>
      </w:r>
      <w:r w:rsidRPr="006B2062">
        <w:rPr>
          <w:color w:val="0000FF"/>
        </w:rPr>
        <w:tab/>
        <w:t>the CDR representative; or</w:t>
      </w:r>
    </w:p>
    <w:p w14:paraId="54FACE2D" w14:textId="77777777" w:rsidR="004B1B1B" w:rsidRPr="006B2062" w:rsidRDefault="004B1B1B" w:rsidP="004B1B1B">
      <w:pPr>
        <w:pStyle w:val="paragraph"/>
        <w:rPr>
          <w:color w:val="0000FF"/>
        </w:rPr>
      </w:pPr>
      <w:r w:rsidRPr="006B2062">
        <w:rPr>
          <w:color w:val="0000FF"/>
        </w:rPr>
        <w:tab/>
        <w:t>(b)</w:t>
      </w:r>
      <w:r w:rsidRPr="006B2062">
        <w:rPr>
          <w:color w:val="0000FF"/>
        </w:rPr>
        <w:tab/>
        <w:t>any direct or indirect OSP of the CDR representative;</w:t>
      </w:r>
    </w:p>
    <w:p w14:paraId="34C4717D" w14:textId="77777777" w:rsidR="004B1B1B" w:rsidRPr="006B2062" w:rsidRDefault="004B1B1B" w:rsidP="004B1B1B">
      <w:pPr>
        <w:pStyle w:val="subsection2"/>
        <w:rPr>
          <w:color w:val="0000FF"/>
        </w:rPr>
      </w:pPr>
      <w:r w:rsidRPr="006B2062">
        <w:rPr>
          <w:color w:val="0000FF"/>
        </w:rPr>
        <w:t>to comply with Schedule 2 in relation to service data is taken to be a failure by the CDR principal.</w:t>
      </w:r>
    </w:p>
    <w:p w14:paraId="6F428A6B" w14:textId="77777777" w:rsidR="00BB7660" w:rsidRPr="006B2062" w:rsidRDefault="00BB7660" w:rsidP="00BB7660">
      <w:pPr>
        <w:pStyle w:val="subsection"/>
        <w:rPr>
          <w:strike/>
          <w:color w:val="0000FF"/>
        </w:rPr>
      </w:pPr>
      <w:r w:rsidRPr="006B2062">
        <w:rPr>
          <w:strike/>
          <w:color w:val="0000FF"/>
        </w:rPr>
        <w:tab/>
        <w:t>(2)</w:t>
      </w:r>
      <w:r w:rsidRPr="006B2062">
        <w:rPr>
          <w:strike/>
          <w:color w:val="0000FF"/>
        </w:rPr>
        <w:tab/>
        <w:t>For this rule, where an accredited data recipient is a CDR principal, a failure by a CDR representative to comply with Schedule 2 in relation to service data is taken to be a failure by the CDR principal.</w:t>
      </w:r>
    </w:p>
    <w:p w14:paraId="66C52C0C" w14:textId="77777777" w:rsidR="00BB7660" w:rsidRDefault="00BB7660" w:rsidP="00BB7660">
      <w:pPr>
        <w:pStyle w:val="ActHead5"/>
      </w:pPr>
      <w:bookmarkStart w:id="551" w:name="_Toc111132207"/>
      <w:r>
        <w:t>7.12  Rule</w:t>
      </w:r>
      <w:r w:rsidRPr="00005026">
        <w:t xml:space="preserve"> relating to privacy safeguard 12—de</w:t>
      </w:r>
      <w:r w:rsidRPr="00005026">
        <w:noBreakHyphen/>
        <w:t>identification of redundant data</w:t>
      </w:r>
      <w:bookmarkEnd w:id="551"/>
    </w:p>
    <w:p w14:paraId="3537A7E5" w14:textId="77777777" w:rsidR="00BB7660" w:rsidRPr="00005026" w:rsidRDefault="00BB7660" w:rsidP="00BB7660">
      <w:pPr>
        <w:pStyle w:val="subsection"/>
      </w:pPr>
      <w:r w:rsidRPr="00005026">
        <w:tab/>
      </w:r>
      <w:r>
        <w:t>(1)</w:t>
      </w:r>
      <w:r w:rsidRPr="00005026">
        <w:tab/>
        <w:t>For subsection 56EO(2) of the Act, this rule applies if:</w:t>
      </w:r>
    </w:p>
    <w:p w14:paraId="3330C65F" w14:textId="77777777" w:rsidR="00BB7660" w:rsidRDefault="00BB7660" w:rsidP="00BB7660">
      <w:pPr>
        <w:pStyle w:val="paragraph"/>
      </w:pPr>
      <w:r w:rsidRPr="00005026">
        <w:tab/>
      </w:r>
      <w:r>
        <w:t>(a)</w:t>
      </w:r>
      <w:r w:rsidRPr="00005026">
        <w:tab/>
        <w:t xml:space="preserve">the accredited </w:t>
      </w:r>
      <w:r w:rsidRPr="00B30263">
        <w:t>data recipient</w:t>
      </w:r>
      <w:r>
        <w:t>, when it</w:t>
      </w:r>
      <w:r w:rsidRPr="00005026">
        <w:t xml:space="preserve"> asked for consent to collect and use the CDR data, gave the CDR consumer the statement referred to in paragraph </w:t>
      </w:r>
      <w:r>
        <w:t>4.17(1)(b) or (c)</w:t>
      </w:r>
      <w:r w:rsidRPr="00005026">
        <w:t>; and</w:t>
      </w:r>
    </w:p>
    <w:p w14:paraId="7136FD9B" w14:textId="77777777" w:rsidR="00BB7660" w:rsidRPr="00005026" w:rsidRDefault="00BB7660" w:rsidP="00BB7660">
      <w:pPr>
        <w:pStyle w:val="paragraph"/>
      </w:pPr>
      <w:r w:rsidRPr="00005026">
        <w:tab/>
      </w:r>
      <w:r>
        <w:t>(b)</w:t>
      </w:r>
      <w:r w:rsidRPr="00005026">
        <w:tab/>
        <w:t xml:space="preserve">the CDR consumer </w:t>
      </w:r>
      <w:r w:rsidRPr="006D5CA7">
        <w:rPr>
          <w:color w:val="000000" w:themeColor="text1"/>
        </w:rPr>
        <w:t>has not elected</w:t>
      </w:r>
      <w:r w:rsidRPr="00005026">
        <w:t xml:space="preserve">, in accordance with </w:t>
      </w:r>
      <w:r>
        <w:t>rule 4.16</w:t>
      </w:r>
      <w:r w:rsidRPr="00005026">
        <w:t xml:space="preserve">, that their redundant data should be </w:t>
      </w:r>
      <w:r>
        <w:t>delet</w:t>
      </w:r>
      <w:r w:rsidRPr="00005026">
        <w:t>ed; and</w:t>
      </w:r>
    </w:p>
    <w:p w14:paraId="65AC0E01" w14:textId="77777777" w:rsidR="00BB7660" w:rsidRDefault="00BB7660" w:rsidP="00BB7660">
      <w:pPr>
        <w:pStyle w:val="paragraph"/>
      </w:pPr>
      <w:r w:rsidRPr="0041531E">
        <w:tab/>
      </w:r>
      <w:r>
        <w:t>(c)</w:t>
      </w:r>
      <w:r w:rsidRPr="0041531E">
        <w:tab/>
        <w:t>in the case of a statement referred to in paragraph </w:t>
      </w:r>
      <w:r>
        <w:t>4.17(1)(c)</w:t>
      </w:r>
      <w:r w:rsidRPr="0041531E">
        <w:t>―the accredited person thinks it appropriate in the circumstances to de</w:t>
      </w:r>
      <w:r w:rsidRPr="0041531E">
        <w:noBreakHyphen/>
        <w:t xml:space="preserve">identify rather than </w:t>
      </w:r>
      <w:r>
        <w:t>delete</w:t>
      </w:r>
      <w:r w:rsidRPr="0041531E">
        <w:t xml:space="preserve"> the redundant data.</w:t>
      </w:r>
    </w:p>
    <w:p w14:paraId="14A22F62" w14:textId="77777777" w:rsidR="00BB7660" w:rsidRDefault="00BB7660" w:rsidP="00BB7660">
      <w:pPr>
        <w:pStyle w:val="notetext"/>
      </w:pPr>
      <w:r w:rsidRPr="00876012">
        <w:t>Note</w:t>
      </w:r>
      <w:r>
        <w:t xml:space="preserve"> </w:t>
      </w:r>
      <w:r w:rsidRPr="00814B1D">
        <w:t>1</w:t>
      </w:r>
      <w:r w:rsidRPr="00876012">
        <w:t>:</w:t>
      </w:r>
      <w:r w:rsidRPr="00876012">
        <w:tab/>
        <w:t xml:space="preserve">The CDR </w:t>
      </w:r>
      <w:r w:rsidRPr="00E53912">
        <w:rPr>
          <w:color w:val="000000" w:themeColor="text1"/>
        </w:rPr>
        <w:t>data</w:t>
      </w:r>
      <w:r w:rsidRPr="00876012">
        <w:t xml:space="preserve"> de</w:t>
      </w:r>
      <w:r w:rsidRPr="00876012">
        <w:noBreakHyphen/>
        <w:t xml:space="preserve">identification process is set out in rule </w:t>
      </w:r>
      <w:r>
        <w:t>1.17</w:t>
      </w:r>
      <w:r w:rsidRPr="00876012">
        <w:t>.</w:t>
      </w:r>
    </w:p>
    <w:p w14:paraId="2D006F1C" w14:textId="77777777" w:rsidR="00BB7660" w:rsidRDefault="00BB7660" w:rsidP="00BB7660">
      <w:pPr>
        <w:pStyle w:val="notetext"/>
      </w:pPr>
      <w:r w:rsidRPr="00814B1D">
        <w:t>Note 2:</w:t>
      </w:r>
      <w:r w:rsidRPr="00814B1D">
        <w:tab/>
        <w:t xml:space="preserve">If this rule does not apply, rule </w:t>
      </w:r>
      <w:r>
        <w:t>7.13</w:t>
      </w:r>
      <w:r w:rsidRPr="00814B1D">
        <w:t xml:space="preserve"> applies: see subrule </w:t>
      </w:r>
      <w:r>
        <w:t>7.13(1)</w:t>
      </w:r>
      <w:r w:rsidRPr="00814B1D">
        <w:t>.</w:t>
      </w:r>
    </w:p>
    <w:p w14:paraId="04B35AF8" w14:textId="77777777" w:rsidR="00BB7660" w:rsidRPr="009B680A" w:rsidRDefault="00BB7660" w:rsidP="00BB7660">
      <w:pPr>
        <w:pStyle w:val="subsection"/>
        <w:rPr>
          <w:color w:val="0000FF"/>
        </w:rPr>
      </w:pPr>
      <w:r w:rsidRPr="009B680A">
        <w:rPr>
          <w:color w:val="0000FF"/>
        </w:rPr>
        <w:tab/>
        <w:t>(2)</w:t>
      </w:r>
      <w:r w:rsidRPr="009B680A">
        <w:rPr>
          <w:color w:val="0000FF"/>
        </w:rPr>
        <w:tab/>
        <w:t>The steps are:</w:t>
      </w:r>
    </w:p>
    <w:p w14:paraId="6FB58EBE" w14:textId="77777777" w:rsidR="00BB7660" w:rsidRPr="009B680A" w:rsidRDefault="00BB7660" w:rsidP="00BB7660">
      <w:pPr>
        <w:pStyle w:val="paragraph"/>
        <w:rPr>
          <w:color w:val="0000FF"/>
        </w:rPr>
      </w:pPr>
      <w:r w:rsidRPr="009B680A">
        <w:rPr>
          <w:color w:val="0000FF"/>
        </w:rPr>
        <w:tab/>
        <w:t>(a)</w:t>
      </w:r>
      <w:r w:rsidRPr="009B680A">
        <w:rPr>
          <w:color w:val="0000FF"/>
        </w:rPr>
        <w:tab/>
        <w:t>to apply the CDR data de</w:t>
      </w:r>
      <w:r w:rsidRPr="009B680A">
        <w:rPr>
          <w:color w:val="0000FF"/>
        </w:rPr>
        <w:noBreakHyphen/>
        <w:t>identification process to the redundant data; and</w:t>
      </w:r>
    </w:p>
    <w:p w14:paraId="23320723" w14:textId="77777777" w:rsidR="00BB7660" w:rsidRPr="009B680A" w:rsidRDefault="00BB7660" w:rsidP="00BB7660">
      <w:pPr>
        <w:pStyle w:val="paragraph"/>
        <w:rPr>
          <w:color w:val="0000FF"/>
        </w:rPr>
      </w:pPr>
      <w:r w:rsidRPr="009B680A">
        <w:rPr>
          <w:color w:val="0000FF"/>
        </w:rPr>
        <w:tab/>
        <w:t>(b)</w:t>
      </w:r>
      <w:r w:rsidRPr="009B680A">
        <w:rPr>
          <w:color w:val="0000FF"/>
        </w:rPr>
        <w:tab/>
        <w:t>direct any direct OSP</w:t>
      </w:r>
      <w:r w:rsidR="009B680A">
        <w:rPr>
          <w:color w:val="0000FF"/>
        </w:rPr>
        <w:t xml:space="preserve"> o</w:t>
      </w:r>
      <w:r w:rsidRPr="009B680A">
        <w:rPr>
          <w:color w:val="0000FF"/>
        </w:rPr>
        <w:t>r CDR representative of the accredited data recipient that had been provided with a copy of the redundant data:</w:t>
      </w:r>
    </w:p>
    <w:p w14:paraId="514883C9" w14:textId="77777777" w:rsidR="00BB7660" w:rsidRPr="009B680A" w:rsidRDefault="009B680A" w:rsidP="009B680A">
      <w:pPr>
        <w:pStyle w:val="paragraphsub"/>
        <w:rPr>
          <w:color w:val="0000FF"/>
        </w:rPr>
      </w:pPr>
      <w:r w:rsidRPr="009B680A">
        <w:rPr>
          <w:color w:val="0000FF"/>
        </w:rPr>
        <w:tab/>
        <w:t>(i)</w:t>
      </w:r>
      <w:r w:rsidRPr="009B680A">
        <w:rPr>
          <w:color w:val="0000FF"/>
        </w:rPr>
        <w:tab/>
      </w:r>
      <w:r w:rsidR="00BB7660" w:rsidRPr="009B680A">
        <w:rPr>
          <w:color w:val="0000FF"/>
        </w:rPr>
        <w:t>to</w:t>
      </w:r>
      <w:r w:rsidR="001E7F54" w:rsidRPr="009B680A">
        <w:rPr>
          <w:color w:val="0000FF"/>
        </w:rPr>
        <w:t xml:space="preserve"> </w:t>
      </w:r>
      <w:r w:rsidR="00BB7660" w:rsidRPr="009B680A">
        <w:rPr>
          <w:color w:val="0000FF"/>
        </w:rPr>
        <w:t>delete the redundant data, as well as any CDR data that has been directly or indirectly derived from it, and notify the accredited data recipient of the deletion; and</w:t>
      </w:r>
    </w:p>
    <w:p w14:paraId="65F48717" w14:textId="77777777" w:rsidR="00BB7660" w:rsidRPr="006B2062" w:rsidRDefault="00BB7660" w:rsidP="00BB7660">
      <w:pPr>
        <w:pStyle w:val="paragraphsub"/>
        <w:rPr>
          <w:color w:val="0000FF"/>
        </w:rPr>
      </w:pPr>
      <w:r w:rsidRPr="009B680A">
        <w:rPr>
          <w:color w:val="0000FF"/>
        </w:rPr>
        <w:tab/>
        <w:t>(ii)</w:t>
      </w:r>
      <w:r w:rsidRPr="009B680A">
        <w:rPr>
          <w:color w:val="0000FF"/>
        </w:rPr>
        <w:tab/>
        <w:t>if the direct OSP</w:t>
      </w:r>
      <w:r w:rsidR="00592D3B" w:rsidRPr="00592D3B">
        <w:rPr>
          <w:color w:val="0000FF"/>
          <w:szCs w:val="22"/>
          <w:shd w:val="clear" w:color="auto" w:fill="FFFFFF"/>
        </w:rPr>
        <w:t xml:space="preserve"> </w:t>
      </w:r>
      <w:r w:rsidRPr="00592D3B">
        <w:rPr>
          <w:color w:val="0000FF"/>
        </w:rPr>
        <w:t xml:space="preserve">or CDR representative has provided any such data to another </w:t>
      </w:r>
      <w:r w:rsidRPr="006B2062">
        <w:rPr>
          <w:color w:val="0000FF"/>
        </w:rPr>
        <w:t>person―to:</w:t>
      </w:r>
    </w:p>
    <w:p w14:paraId="70EF6BB9" w14:textId="77777777" w:rsidR="00BB7660" w:rsidRPr="006B2062" w:rsidRDefault="00BB7660" w:rsidP="00BB7660">
      <w:pPr>
        <w:pStyle w:val="paragraphsub-sub"/>
        <w:rPr>
          <w:color w:val="0000FF"/>
        </w:rPr>
      </w:pPr>
      <w:r w:rsidRPr="006B2062">
        <w:rPr>
          <w:color w:val="0000FF"/>
        </w:rPr>
        <w:tab/>
        <w:t>(A)</w:t>
      </w:r>
      <w:r w:rsidRPr="006B2062">
        <w:rPr>
          <w:color w:val="0000FF"/>
        </w:rPr>
        <w:tab/>
        <w:t xml:space="preserve">direct the person to </w:t>
      </w:r>
      <w:r w:rsidR="001E7F54" w:rsidRPr="006B2062">
        <w:rPr>
          <w:color w:val="0000FF"/>
        </w:rPr>
        <w:t>comply with</w:t>
      </w:r>
      <w:r w:rsidR="00E333D4" w:rsidRPr="006B2062">
        <w:rPr>
          <w:strike/>
          <w:color w:val="0000FF"/>
          <w:szCs w:val="22"/>
          <w:shd w:val="clear" w:color="auto" w:fill="FFFFFF"/>
        </w:rPr>
        <w:t> </w:t>
      </w:r>
      <w:r w:rsidRPr="006B2062">
        <w:rPr>
          <w:color w:val="0000FF"/>
        </w:rPr>
        <w:t>subparagraph (i) in relation to that data; and</w:t>
      </w:r>
    </w:p>
    <w:p w14:paraId="2C048767" w14:textId="77777777" w:rsidR="00592D3B" w:rsidRPr="006B2062" w:rsidRDefault="00592D3B" w:rsidP="00592D3B">
      <w:pPr>
        <w:pStyle w:val="paragraphsub-sub"/>
        <w:rPr>
          <w:color w:val="0000FF"/>
        </w:rPr>
      </w:pPr>
      <w:r w:rsidRPr="006B2062">
        <w:rPr>
          <w:color w:val="0000FF"/>
        </w:rPr>
        <w:lastRenderedPageBreak/>
        <w:tab/>
        <w:t>(B)</w:t>
      </w:r>
      <w:r w:rsidRPr="006B2062">
        <w:rPr>
          <w:color w:val="0000FF"/>
        </w:rPr>
        <w:tab/>
        <w:t>direct any other person to which it has disclosed service data under a further CDR outsourcing arrangement to take corresponding steps.</w:t>
      </w:r>
    </w:p>
    <w:p w14:paraId="44CB432C" w14:textId="77777777" w:rsidR="00BB7660" w:rsidRPr="009B680A" w:rsidRDefault="00BB7660" w:rsidP="00BB7660">
      <w:pPr>
        <w:pStyle w:val="notetext"/>
        <w:rPr>
          <w:color w:val="0000FF"/>
        </w:rPr>
      </w:pPr>
      <w:r w:rsidRPr="009B680A">
        <w:rPr>
          <w:color w:val="0000FF"/>
        </w:rPr>
        <w:t>Note:</w:t>
      </w:r>
      <w:r w:rsidRPr="009B680A">
        <w:rPr>
          <w:color w:val="0000FF"/>
        </w:rPr>
        <w:tab/>
        <w:t>If the redundant data cannot be de</w:t>
      </w:r>
      <w:r w:rsidRPr="009B680A">
        <w:rPr>
          <w:color w:val="0000FF"/>
        </w:rPr>
        <w:noBreakHyphen/>
        <w:t>identified in accordance with the CDR data de</w:t>
      </w:r>
      <w:r w:rsidRPr="009B680A">
        <w:rPr>
          <w:color w:val="0000FF"/>
        </w:rPr>
        <w:noBreakHyphen/>
        <w:t>identification process, it must be deleted in accordance with the CDR data deletion process: see subrule 1.17(4).</w:t>
      </w:r>
    </w:p>
    <w:p w14:paraId="44DCD722" w14:textId="77777777" w:rsidR="00BB7660" w:rsidRPr="004A04A4" w:rsidRDefault="00BB7660" w:rsidP="00BB7660">
      <w:pPr>
        <w:pStyle w:val="subsection"/>
        <w:rPr>
          <w:color w:val="0000FF"/>
        </w:rPr>
      </w:pPr>
      <w:r w:rsidRPr="004A04A4">
        <w:rPr>
          <w:color w:val="0000FF"/>
        </w:rPr>
        <w:tab/>
        <w:t>(3)</w:t>
      </w:r>
      <w:r w:rsidRPr="004A04A4">
        <w:rPr>
          <w:color w:val="0000FF"/>
        </w:rPr>
        <w:tab/>
        <w:t>For this rule, where an accredited data recipient is a CDR principal, a failure by a CDR representative to comply with subsection 56EO(2) of the Act in relation to service data as if:</w:t>
      </w:r>
    </w:p>
    <w:p w14:paraId="67361F9F" w14:textId="77777777" w:rsidR="00BB7660" w:rsidRPr="004A04A4" w:rsidRDefault="00BB7660" w:rsidP="00BB7660">
      <w:pPr>
        <w:pStyle w:val="paragraph"/>
        <w:rPr>
          <w:color w:val="0000FF"/>
        </w:rPr>
      </w:pPr>
      <w:r w:rsidRPr="004A04A4">
        <w:rPr>
          <w:color w:val="0000FF"/>
        </w:rPr>
        <w:tab/>
        <w:t>(a)</w:t>
      </w:r>
      <w:r w:rsidRPr="004A04A4">
        <w:rPr>
          <w:color w:val="0000FF"/>
        </w:rPr>
        <w:tab/>
        <w:t>it were a CDR entity; and</w:t>
      </w:r>
    </w:p>
    <w:p w14:paraId="226802A9" w14:textId="77777777" w:rsidR="00BB7660" w:rsidRPr="004A04A4" w:rsidRDefault="00BB7660" w:rsidP="00BB7660">
      <w:pPr>
        <w:pStyle w:val="paragraph"/>
        <w:rPr>
          <w:color w:val="0000FF"/>
        </w:rPr>
      </w:pPr>
      <w:r w:rsidRPr="004A04A4">
        <w:rPr>
          <w:color w:val="0000FF"/>
        </w:rPr>
        <w:tab/>
        <w:t>(b)</w:t>
      </w:r>
      <w:r w:rsidRPr="004A04A4">
        <w:rPr>
          <w:color w:val="0000FF"/>
        </w:rPr>
        <w:tab/>
        <w:t>the references in this rule to provisions in Division 4.3 were references to the corresponding provisions in Division 4.3A;</w:t>
      </w:r>
    </w:p>
    <w:p w14:paraId="0B3AD674" w14:textId="77777777" w:rsidR="00BB7660" w:rsidRDefault="00BB7660" w:rsidP="00BB7660">
      <w:pPr>
        <w:pStyle w:val="subsection2"/>
        <w:rPr>
          <w:color w:val="0000FF"/>
        </w:rPr>
      </w:pPr>
      <w:r w:rsidRPr="004A04A4">
        <w:rPr>
          <w:color w:val="0000FF"/>
        </w:rPr>
        <w:tab/>
        <w:t>is taken to be a failure by the CDR principal.</w:t>
      </w:r>
    </w:p>
    <w:p w14:paraId="6B41D76F" w14:textId="77777777" w:rsidR="009B680A" w:rsidRPr="009B680A" w:rsidRDefault="009B680A" w:rsidP="009B680A">
      <w:pPr>
        <w:shd w:val="clear" w:color="auto" w:fill="FFFFFF"/>
        <w:spacing w:before="180" w:line="240" w:lineRule="auto"/>
        <w:ind w:left="1134" w:hanging="1134"/>
        <w:rPr>
          <w:rFonts w:eastAsia="Times New Roman" w:cs="Times New Roman"/>
          <w:strike/>
          <w:color w:val="0000FF"/>
          <w:szCs w:val="22"/>
          <w:lang w:eastAsia="en-AU"/>
        </w:rPr>
      </w:pPr>
      <w:r w:rsidRPr="009B680A">
        <w:rPr>
          <w:rFonts w:eastAsia="Times New Roman" w:cs="Times New Roman"/>
          <w:strike/>
          <w:color w:val="0000FF"/>
          <w:szCs w:val="22"/>
          <w:lang w:eastAsia="en-AU"/>
        </w:rPr>
        <w:t>             (2)  The steps are:</w:t>
      </w:r>
    </w:p>
    <w:p w14:paraId="57F2BF79"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(a)  to apply the CDR data de</w:t>
      </w:r>
      <w:r w:rsidRPr="009B680A">
        <w:rPr>
          <w:rFonts w:eastAsia="Times New Roman" w:cs="Times New Roman"/>
          <w:strike/>
          <w:color w:val="0000FF"/>
          <w:szCs w:val="22"/>
          <w:lang w:eastAsia="en-AU"/>
        </w:rPr>
        <w:noBreakHyphen/>
        <w:t>identification process to the redundant data; and</w:t>
      </w:r>
    </w:p>
    <w:p w14:paraId="16A8726E"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(b)  direct any outsourced service provider or CDR representative of the accredited data recipient that had been provided with a copy of the redundant data:</w:t>
      </w:r>
    </w:p>
    <w:p w14:paraId="573AA7E6" w14:textId="77777777" w:rsidR="009B680A" w:rsidRPr="009B680A" w:rsidRDefault="009B680A" w:rsidP="009B680A">
      <w:pPr>
        <w:shd w:val="clear" w:color="auto" w:fill="FFFFFF"/>
        <w:spacing w:before="40" w:line="240" w:lineRule="auto"/>
        <w:ind w:left="2098" w:hanging="2098"/>
        <w:rPr>
          <w:rFonts w:eastAsia="Times New Roman" w:cs="Times New Roman"/>
          <w:strike/>
          <w:color w:val="0000FF"/>
          <w:szCs w:val="22"/>
          <w:lang w:eastAsia="en-AU"/>
        </w:rPr>
      </w:pPr>
      <w:r w:rsidRPr="009B680A">
        <w:rPr>
          <w:rFonts w:eastAsia="Times New Roman" w:cs="Times New Roman"/>
          <w:strike/>
          <w:color w:val="0000FF"/>
          <w:szCs w:val="22"/>
          <w:lang w:eastAsia="en-AU"/>
        </w:rPr>
        <w:t>                              (i)  either to:</w:t>
      </w:r>
    </w:p>
    <w:p w14:paraId="0047F667" w14:textId="77777777" w:rsidR="009B680A" w:rsidRPr="009B680A" w:rsidRDefault="009B680A" w:rsidP="009B680A">
      <w:pPr>
        <w:shd w:val="clear" w:color="auto" w:fill="FFFFFF"/>
        <w:spacing w:before="40" w:line="240" w:lineRule="auto"/>
        <w:ind w:left="2835" w:hanging="2835"/>
        <w:rPr>
          <w:rFonts w:eastAsia="Times New Roman" w:cs="Times New Roman"/>
          <w:strike/>
          <w:color w:val="0000FF"/>
          <w:szCs w:val="22"/>
          <w:lang w:eastAsia="en-AU"/>
        </w:rPr>
      </w:pPr>
      <w:r w:rsidRPr="009B680A">
        <w:rPr>
          <w:rFonts w:eastAsia="Times New Roman" w:cs="Times New Roman"/>
          <w:strike/>
          <w:color w:val="0000FF"/>
          <w:szCs w:val="22"/>
          <w:lang w:eastAsia="en-AU"/>
        </w:rPr>
        <w:t>                                        (A)  return the redundant data to the accredited data recipient; or</w:t>
      </w:r>
    </w:p>
    <w:p w14:paraId="63C48AB5" w14:textId="77777777" w:rsidR="009B680A" w:rsidRPr="009B680A" w:rsidRDefault="009B680A" w:rsidP="009B680A">
      <w:pPr>
        <w:shd w:val="clear" w:color="auto" w:fill="FFFFFF"/>
        <w:spacing w:before="40" w:line="240" w:lineRule="auto"/>
        <w:ind w:left="2835" w:hanging="2835"/>
        <w:rPr>
          <w:rFonts w:eastAsia="Times New Roman" w:cs="Times New Roman"/>
          <w:strike/>
          <w:color w:val="0000FF"/>
          <w:szCs w:val="22"/>
          <w:lang w:eastAsia="en-AU"/>
        </w:rPr>
      </w:pPr>
      <w:r w:rsidRPr="009B680A">
        <w:rPr>
          <w:rFonts w:eastAsia="Times New Roman" w:cs="Times New Roman"/>
          <w:strike/>
          <w:color w:val="0000FF"/>
          <w:szCs w:val="22"/>
          <w:lang w:eastAsia="en-AU"/>
        </w:rPr>
        <w:t>                                        (B)  delete the redundant data, as well as any CDR data that has been directly or indirectly derived from it, and notify the accredited data recipient of the deletion; and</w:t>
      </w:r>
    </w:p>
    <w:p w14:paraId="060A31ED" w14:textId="77777777" w:rsidR="009B680A" w:rsidRPr="009B680A" w:rsidRDefault="009B680A" w:rsidP="009B680A">
      <w:pPr>
        <w:shd w:val="clear" w:color="auto" w:fill="FFFFFF"/>
        <w:spacing w:before="40" w:line="240" w:lineRule="auto"/>
        <w:ind w:left="2098" w:hanging="2098"/>
        <w:rPr>
          <w:rFonts w:eastAsia="Times New Roman" w:cs="Times New Roman"/>
          <w:strike/>
          <w:color w:val="0000FF"/>
          <w:szCs w:val="22"/>
          <w:lang w:eastAsia="en-AU"/>
        </w:rPr>
      </w:pPr>
      <w:r w:rsidRPr="009B680A">
        <w:rPr>
          <w:rFonts w:eastAsia="Times New Roman" w:cs="Times New Roman"/>
          <w:strike/>
          <w:color w:val="0000FF"/>
          <w:szCs w:val="22"/>
          <w:lang w:eastAsia="en-AU"/>
        </w:rPr>
        <w:t>                             (ii)  if the outsourced service provider or CDR representative has provided any such data to another person―to:</w:t>
      </w:r>
    </w:p>
    <w:p w14:paraId="502A0FBD" w14:textId="77777777" w:rsidR="009B680A" w:rsidRPr="009B680A" w:rsidRDefault="009B680A" w:rsidP="009B680A">
      <w:pPr>
        <w:shd w:val="clear" w:color="auto" w:fill="FFFFFF"/>
        <w:spacing w:before="40" w:line="240" w:lineRule="auto"/>
        <w:ind w:left="2835" w:hanging="2835"/>
        <w:rPr>
          <w:rFonts w:eastAsia="Times New Roman" w:cs="Times New Roman"/>
          <w:strike/>
          <w:color w:val="0000FF"/>
          <w:szCs w:val="22"/>
          <w:lang w:eastAsia="en-AU"/>
        </w:rPr>
      </w:pPr>
      <w:r w:rsidRPr="009B680A">
        <w:rPr>
          <w:rFonts w:eastAsia="Times New Roman" w:cs="Times New Roman"/>
          <w:strike/>
          <w:color w:val="0000FF"/>
          <w:szCs w:val="22"/>
          <w:lang w:eastAsia="en-AU"/>
        </w:rPr>
        <w:t>                                        (A)  direct the person to take either of the steps referred to in subparagraph (i) in relation to that data; and</w:t>
      </w:r>
    </w:p>
    <w:p w14:paraId="78AA99CD" w14:textId="77777777" w:rsidR="009B680A" w:rsidRPr="009B680A" w:rsidRDefault="009B680A" w:rsidP="009B680A">
      <w:pPr>
        <w:shd w:val="clear" w:color="auto" w:fill="FFFFFF"/>
        <w:spacing w:before="40" w:line="240" w:lineRule="auto"/>
        <w:ind w:left="2835" w:hanging="2835"/>
        <w:rPr>
          <w:rFonts w:eastAsia="Times New Roman" w:cs="Times New Roman"/>
          <w:strike/>
          <w:color w:val="0000FF"/>
          <w:szCs w:val="22"/>
          <w:lang w:eastAsia="en-AU"/>
        </w:rPr>
      </w:pPr>
      <w:r w:rsidRPr="009B680A">
        <w:rPr>
          <w:rFonts w:eastAsia="Times New Roman" w:cs="Times New Roman"/>
          <w:strike/>
          <w:color w:val="0000FF"/>
          <w:szCs w:val="22"/>
          <w:lang w:eastAsia="en-AU"/>
        </w:rPr>
        <w:t>                                        (B)  cause similar directions to be made to any person to whom such data has been further disclosed.</w:t>
      </w:r>
    </w:p>
    <w:p w14:paraId="43DB4D00" w14:textId="77777777" w:rsidR="009B680A" w:rsidRPr="009B680A" w:rsidRDefault="009B680A" w:rsidP="009B680A">
      <w:pPr>
        <w:shd w:val="clear" w:color="auto" w:fill="FFFFFF"/>
        <w:spacing w:before="122" w:line="240" w:lineRule="auto"/>
        <w:ind w:left="1985" w:hanging="851"/>
        <w:rPr>
          <w:rFonts w:eastAsia="Times New Roman" w:cs="Times New Roman"/>
          <w:strike/>
          <w:color w:val="0000FF"/>
          <w:sz w:val="18"/>
          <w:szCs w:val="18"/>
          <w:lang w:eastAsia="en-AU"/>
        </w:rPr>
      </w:pPr>
      <w:r w:rsidRPr="009B680A">
        <w:rPr>
          <w:rFonts w:eastAsia="Times New Roman" w:cs="Times New Roman"/>
          <w:strike/>
          <w:color w:val="0000FF"/>
          <w:sz w:val="18"/>
          <w:szCs w:val="18"/>
          <w:lang w:eastAsia="en-AU"/>
        </w:rPr>
        <w:t>Note:          If the redundant data cannot be de</w:t>
      </w:r>
      <w:r w:rsidRPr="009B680A">
        <w:rPr>
          <w:rFonts w:eastAsia="Times New Roman" w:cs="Times New Roman"/>
          <w:strike/>
          <w:color w:val="0000FF"/>
          <w:sz w:val="18"/>
          <w:szCs w:val="18"/>
          <w:lang w:eastAsia="en-AU"/>
        </w:rPr>
        <w:noBreakHyphen/>
        <w:t>identified in accordance with the CDR data de</w:t>
      </w:r>
      <w:r w:rsidRPr="009B680A">
        <w:rPr>
          <w:rFonts w:eastAsia="Times New Roman" w:cs="Times New Roman"/>
          <w:strike/>
          <w:color w:val="0000FF"/>
          <w:sz w:val="18"/>
          <w:szCs w:val="18"/>
          <w:lang w:eastAsia="en-AU"/>
        </w:rPr>
        <w:noBreakHyphen/>
        <w:t>identification process, it must be deleted in accordance with the CDR data deletion process: see subrule 1.17(4).</w:t>
      </w:r>
    </w:p>
    <w:p w14:paraId="4F25D8D5" w14:textId="77777777" w:rsidR="009B680A" w:rsidRPr="009B680A" w:rsidRDefault="009B680A" w:rsidP="009B680A">
      <w:pPr>
        <w:pStyle w:val="subsection"/>
        <w:rPr>
          <w:strike/>
          <w:color w:val="0000FF"/>
        </w:rPr>
      </w:pPr>
      <w:r w:rsidRPr="009B680A">
        <w:rPr>
          <w:strike/>
          <w:color w:val="0000FF"/>
          <w:szCs w:val="22"/>
          <w:shd w:val="clear" w:color="auto" w:fill="FFFFFF"/>
        </w:rPr>
        <w:t>           (3)  For this rule, where an accredited data recipient is a CDR principal, a failure by a CDR representative to comply with subsection 56EO(2) of the Act in relation to service data as if it were a CDR entity is taken to be a failure by the CDR principal.</w:t>
      </w:r>
    </w:p>
    <w:p w14:paraId="79FC496E" w14:textId="77777777" w:rsidR="00BB7660" w:rsidRPr="00005026" w:rsidRDefault="00BB7660" w:rsidP="00BB7660">
      <w:pPr>
        <w:pStyle w:val="ActHead5"/>
      </w:pPr>
      <w:bookmarkStart w:id="552" w:name="_Toc111132208"/>
      <w:r>
        <w:t>7.13  Rule</w:t>
      </w:r>
      <w:r w:rsidRPr="00005026">
        <w:t xml:space="preserve"> relating to privacy safeguard 12—</w:t>
      </w:r>
      <w:r>
        <w:t>deletion</w:t>
      </w:r>
      <w:r w:rsidRPr="00005026">
        <w:t xml:space="preserve"> of redundant data</w:t>
      </w:r>
      <w:bookmarkEnd w:id="552"/>
    </w:p>
    <w:p w14:paraId="5E99E9EF" w14:textId="77777777" w:rsidR="00BB7660" w:rsidRPr="00005026" w:rsidRDefault="00BB7660" w:rsidP="00BB7660">
      <w:pPr>
        <w:pStyle w:val="subsection"/>
      </w:pPr>
      <w:r w:rsidRPr="00005026">
        <w:tab/>
      </w:r>
      <w:r>
        <w:t>(1)</w:t>
      </w:r>
      <w:r w:rsidRPr="00005026">
        <w:tab/>
        <w:t>For subsection 56EO(2) of the Act, this rule applies if rule </w:t>
      </w:r>
      <w:r>
        <w:t>7.12</w:t>
      </w:r>
      <w:r w:rsidRPr="00005026">
        <w:t xml:space="preserve"> does not apply.</w:t>
      </w:r>
    </w:p>
    <w:p w14:paraId="51B06218" w14:textId="77777777" w:rsidR="00BB7660" w:rsidRDefault="00BB7660" w:rsidP="00BB7660">
      <w:pPr>
        <w:pStyle w:val="subsection"/>
      </w:pPr>
      <w:r w:rsidRPr="00005026">
        <w:tab/>
      </w:r>
      <w:r>
        <w:t>(2)</w:t>
      </w:r>
      <w:r w:rsidRPr="00005026">
        <w:tab/>
        <w:t xml:space="preserve">The </w:t>
      </w:r>
      <w:r w:rsidRPr="00A40A96">
        <w:t>step is to apply the CDR data deletion process to the redundant data</w:t>
      </w:r>
      <w:r>
        <w:t>.</w:t>
      </w:r>
    </w:p>
    <w:p w14:paraId="76B01E9D" w14:textId="77777777" w:rsidR="00BB7660" w:rsidRPr="00E53912" w:rsidRDefault="00BB7660" w:rsidP="00BB7660">
      <w:pPr>
        <w:pStyle w:val="notetext"/>
        <w:rPr>
          <w:color w:val="000000" w:themeColor="text1"/>
        </w:rPr>
      </w:pPr>
      <w:r w:rsidRPr="00E53912">
        <w:rPr>
          <w:color w:val="000000" w:themeColor="text1"/>
        </w:rPr>
        <w:t>Note:</w:t>
      </w:r>
      <w:r w:rsidRPr="00E53912">
        <w:rPr>
          <w:color w:val="000000" w:themeColor="text1"/>
        </w:rPr>
        <w:tab/>
        <w:t>See rule </w:t>
      </w:r>
      <w:r>
        <w:rPr>
          <w:color w:val="000000" w:themeColor="text1"/>
        </w:rPr>
        <w:t>1.18</w:t>
      </w:r>
      <w:r w:rsidRPr="00E53912">
        <w:rPr>
          <w:color w:val="000000" w:themeColor="text1"/>
        </w:rPr>
        <w:t xml:space="preserve"> for the CDR data deletion process.</w:t>
      </w:r>
    </w:p>
    <w:p w14:paraId="5D935C74" w14:textId="77777777" w:rsidR="00BB7660" w:rsidRPr="00964EDA" w:rsidRDefault="00BB7660" w:rsidP="00BB7660">
      <w:pPr>
        <w:pStyle w:val="ActHead4"/>
        <w:pageBreakBefore/>
        <w:rPr>
          <w:color w:val="000000"/>
        </w:rPr>
      </w:pPr>
      <w:bookmarkStart w:id="553" w:name="_Toc11771678"/>
      <w:bookmarkStart w:id="554" w:name="_Toc111132209"/>
      <w:r>
        <w:rPr>
          <w:color w:val="000000"/>
        </w:rPr>
        <w:lastRenderedPageBreak/>
        <w:t>Subdivision 7.2.5</w:t>
      </w:r>
      <w:r w:rsidRPr="00964EDA">
        <w:rPr>
          <w:color w:val="000000"/>
        </w:rPr>
        <w:t>—Rules relating to correction of CDR data</w:t>
      </w:r>
      <w:bookmarkEnd w:id="553"/>
      <w:bookmarkEnd w:id="554"/>
    </w:p>
    <w:p w14:paraId="794EABDF" w14:textId="77777777" w:rsidR="00BB7660" w:rsidRPr="00964EDA" w:rsidRDefault="00BB7660" w:rsidP="00BB7660">
      <w:pPr>
        <w:pStyle w:val="ActHead5"/>
        <w:rPr>
          <w:color w:val="000000"/>
        </w:rPr>
      </w:pPr>
      <w:bookmarkStart w:id="555" w:name="_Toc11771679"/>
      <w:bookmarkStart w:id="556" w:name="_Toc111132210"/>
      <w:r>
        <w:rPr>
          <w:color w:val="000000"/>
        </w:rPr>
        <w:t>7.14</w:t>
      </w:r>
      <w:r w:rsidRPr="00964EDA">
        <w:rPr>
          <w:color w:val="000000"/>
        </w:rPr>
        <w:t xml:space="preserve">  No fee for responding to or actioning correction request</w:t>
      </w:r>
      <w:bookmarkEnd w:id="555"/>
      <w:bookmarkEnd w:id="556"/>
    </w:p>
    <w:p w14:paraId="5A249321" w14:textId="77777777" w:rsidR="00BB7660" w:rsidRDefault="00BB7660" w:rsidP="00BB7660">
      <w:pPr>
        <w:pStyle w:val="subsection"/>
      </w:pPr>
      <w:r>
        <w:tab/>
        <w:t>(1)</w:t>
      </w:r>
      <w:r>
        <w:tab/>
      </w:r>
      <w:r w:rsidRPr="00964EDA">
        <w:t xml:space="preserve">A </w:t>
      </w:r>
      <w:r w:rsidRPr="00E1300D">
        <w:rPr>
          <w:color w:val="000000" w:themeColor="text1"/>
        </w:rPr>
        <w:t xml:space="preserve">data holder must not charge a </w:t>
      </w:r>
      <w:r w:rsidRPr="00964EDA">
        <w:t>fee for responding to or actioning a request</w:t>
      </w:r>
      <w:r>
        <w:t xml:space="preserve"> </w:t>
      </w:r>
      <w:r w:rsidRPr="00E1300D">
        <w:rPr>
          <w:color w:val="000000" w:themeColor="text1"/>
        </w:rPr>
        <w:t>under subsection 56EP(1) of the Act</w:t>
      </w:r>
      <w:r w:rsidRPr="00964EDA">
        <w:t>.</w:t>
      </w:r>
    </w:p>
    <w:p w14:paraId="482D426A" w14:textId="77777777" w:rsidR="00BB7660" w:rsidRPr="00E1300D" w:rsidRDefault="00BB7660" w:rsidP="00BB7660">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0B59A5CB" w14:textId="77777777" w:rsidR="00BB7660" w:rsidRPr="00E1300D" w:rsidRDefault="00BB7660" w:rsidP="00BB7660">
      <w:pPr>
        <w:pStyle w:val="subsection"/>
        <w:rPr>
          <w:color w:val="000000" w:themeColor="text1"/>
        </w:rPr>
      </w:pPr>
      <w:r w:rsidRPr="00E1300D">
        <w:rPr>
          <w:color w:val="000000" w:themeColor="text1"/>
        </w:rPr>
        <w:tab/>
      </w:r>
      <w:r>
        <w:rPr>
          <w:color w:val="000000" w:themeColor="text1"/>
        </w:rPr>
        <w:t>(2)</w:t>
      </w:r>
      <w:r w:rsidRPr="00E1300D">
        <w:rPr>
          <w:color w:val="000000" w:themeColor="text1"/>
        </w:rPr>
        <w:tab/>
        <w:t>An accredited data recipient must not charge a fee for responding to or actioning a request under subsection 56EP(2) of the Act.</w:t>
      </w:r>
    </w:p>
    <w:p w14:paraId="093A0297" w14:textId="77777777" w:rsidR="00BB7660" w:rsidRPr="00E1300D" w:rsidRDefault="00BB7660" w:rsidP="00BB7660">
      <w:pPr>
        <w:pStyle w:val="notetext"/>
        <w:rPr>
          <w:color w:val="000000" w:themeColor="text1"/>
        </w:rPr>
      </w:pPr>
      <w:r w:rsidRPr="00E1300D">
        <w:rPr>
          <w:color w:val="000000" w:themeColor="text1"/>
        </w:rPr>
        <w:t>Note:</w:t>
      </w:r>
      <w:r w:rsidRPr="00E1300D">
        <w:rPr>
          <w:color w:val="000000" w:themeColor="text1"/>
        </w:rPr>
        <w:tab/>
        <w:t>This subrule is a civil penalty provision (see rule </w:t>
      </w:r>
      <w:r>
        <w:rPr>
          <w:color w:val="000000" w:themeColor="text1"/>
        </w:rPr>
        <w:t>9.8</w:t>
      </w:r>
      <w:r w:rsidRPr="00E1300D">
        <w:rPr>
          <w:color w:val="000000" w:themeColor="text1"/>
        </w:rPr>
        <w:t>).</w:t>
      </w:r>
    </w:p>
    <w:p w14:paraId="118203EB" w14:textId="77777777" w:rsidR="00BB7660" w:rsidRPr="00EF3347" w:rsidRDefault="00BB7660" w:rsidP="00BB7660">
      <w:pPr>
        <w:pStyle w:val="ActHead5"/>
        <w:rPr>
          <w:color w:val="000000"/>
        </w:rPr>
      </w:pPr>
      <w:bookmarkStart w:id="557" w:name="_Toc11771680"/>
      <w:bookmarkStart w:id="558" w:name="_Toc111132211"/>
      <w:r>
        <w:rPr>
          <w:color w:val="000000"/>
        </w:rPr>
        <w:t>7.15</w:t>
      </w:r>
      <w:r w:rsidRPr="00EF3347">
        <w:rPr>
          <w:color w:val="000000"/>
        </w:rPr>
        <w:t xml:space="preserve">  Rule relating to privacy safeguard 13—steps to be taken when responding to correction request</w:t>
      </w:r>
      <w:bookmarkEnd w:id="557"/>
      <w:bookmarkEnd w:id="558"/>
    </w:p>
    <w:p w14:paraId="43DD1687" w14:textId="77777777" w:rsidR="00BB7660" w:rsidRPr="00EF3347" w:rsidRDefault="00BB7660" w:rsidP="00BB7660">
      <w:pPr>
        <w:pStyle w:val="subsection"/>
        <w:rPr>
          <w:color w:val="000000"/>
        </w:rPr>
      </w:pPr>
      <w:r w:rsidRPr="00EF3347">
        <w:rPr>
          <w:color w:val="000000"/>
        </w:rPr>
        <w:tab/>
      </w:r>
      <w:r w:rsidRPr="00EF3347">
        <w:rPr>
          <w:color w:val="000000"/>
        </w:rPr>
        <w:tab/>
        <w:t xml:space="preserve">The recipient </w:t>
      </w:r>
      <w:r>
        <w:rPr>
          <w:color w:val="000000"/>
        </w:rPr>
        <w:t xml:space="preserve">of a request under </w:t>
      </w:r>
      <w:r w:rsidRPr="00EF3347">
        <w:rPr>
          <w:color w:val="000000"/>
        </w:rPr>
        <w:t xml:space="preserve">subsection 56EP(1) </w:t>
      </w:r>
      <w:r>
        <w:rPr>
          <w:color w:val="000000"/>
        </w:rPr>
        <w:t xml:space="preserve">or </w:t>
      </w:r>
      <w:r w:rsidRPr="00EF3347">
        <w:rPr>
          <w:color w:val="000000"/>
        </w:rPr>
        <w:t>(2) of the Act must:</w:t>
      </w:r>
    </w:p>
    <w:p w14:paraId="13B60FD0" w14:textId="77777777" w:rsidR="00BB7660" w:rsidRPr="00EF3347" w:rsidRDefault="00BB7660" w:rsidP="00BB7660">
      <w:pPr>
        <w:pStyle w:val="paragraph"/>
        <w:rPr>
          <w:color w:val="000000"/>
        </w:rPr>
      </w:pPr>
      <w:r w:rsidRPr="00EF3347">
        <w:rPr>
          <w:color w:val="000000"/>
        </w:rPr>
        <w:tab/>
      </w:r>
      <w:r>
        <w:rPr>
          <w:color w:val="000000"/>
        </w:rPr>
        <w:t>(a)</w:t>
      </w:r>
      <w:r w:rsidRPr="00EF3347">
        <w:rPr>
          <w:color w:val="000000"/>
        </w:rPr>
        <w:tab/>
        <w:t>acknowledge receipt of the request as soon as practicable; and</w:t>
      </w:r>
    </w:p>
    <w:p w14:paraId="4A895F13" w14:textId="77777777" w:rsidR="00BB7660" w:rsidRDefault="00BB7660" w:rsidP="00BB7660">
      <w:pPr>
        <w:pStyle w:val="paragraph"/>
        <w:rPr>
          <w:color w:val="000000"/>
        </w:rPr>
      </w:pPr>
      <w:r w:rsidRPr="00EF3347">
        <w:rPr>
          <w:color w:val="000000"/>
        </w:rPr>
        <w:tab/>
      </w:r>
      <w:r>
        <w:rPr>
          <w:color w:val="000000"/>
        </w:rPr>
        <w:t>(b)</w:t>
      </w:r>
      <w:r w:rsidRPr="00EF3347">
        <w:rPr>
          <w:color w:val="000000"/>
        </w:rPr>
        <w:tab/>
        <w:t>within 10 business days after receipt of the request</w:t>
      </w:r>
      <w:r>
        <w:rPr>
          <w:color w:val="000000"/>
        </w:rPr>
        <w:t>, and to the extent that the recipient considers appropriate in relation to the CDR data that was the subject of the request:</w:t>
      </w:r>
    </w:p>
    <w:p w14:paraId="131144CE" w14:textId="77777777" w:rsidR="00BB7660" w:rsidRDefault="00BB7660" w:rsidP="00BB7660">
      <w:pPr>
        <w:pStyle w:val="paragraphsub"/>
        <w:rPr>
          <w:color w:val="000000"/>
        </w:rPr>
      </w:pPr>
      <w:r w:rsidRPr="00EF3347">
        <w:rPr>
          <w:color w:val="000000"/>
        </w:rPr>
        <w:tab/>
      </w:r>
      <w:r>
        <w:rPr>
          <w:color w:val="000000"/>
        </w:rPr>
        <w:t>(i)</w:t>
      </w:r>
      <w:r w:rsidRPr="00EF3347">
        <w:rPr>
          <w:color w:val="000000"/>
        </w:rPr>
        <w:tab/>
      </w:r>
      <w:r w:rsidRPr="00E1300D">
        <w:rPr>
          <w:color w:val="000000" w:themeColor="text1"/>
        </w:rPr>
        <w:t xml:space="preserve">correct </w:t>
      </w:r>
      <w:r w:rsidRPr="00EF3347">
        <w:rPr>
          <w:color w:val="000000"/>
        </w:rPr>
        <w:t>the data;</w:t>
      </w:r>
      <w:r>
        <w:rPr>
          <w:color w:val="000000"/>
        </w:rPr>
        <w:t xml:space="preserve"> or</w:t>
      </w:r>
    </w:p>
    <w:p w14:paraId="188951B4" w14:textId="77777777" w:rsidR="00BB7660" w:rsidRDefault="00BB7660" w:rsidP="00BB7660">
      <w:pPr>
        <w:pStyle w:val="paragraphsub"/>
        <w:rPr>
          <w:color w:val="000000"/>
        </w:rPr>
      </w:pPr>
      <w:r w:rsidRPr="00EF3347">
        <w:rPr>
          <w:color w:val="000000"/>
        </w:rPr>
        <w:tab/>
      </w:r>
      <w:r>
        <w:rPr>
          <w:color w:val="000000"/>
        </w:rPr>
        <w:t>(ii)</w:t>
      </w:r>
      <w:r w:rsidRPr="00EF3347">
        <w:rPr>
          <w:color w:val="000000"/>
        </w:rPr>
        <w:tab/>
      </w:r>
      <w:r>
        <w:rPr>
          <w:color w:val="000000"/>
        </w:rPr>
        <w:t>do both of the following:</w:t>
      </w:r>
    </w:p>
    <w:p w14:paraId="67102913" w14:textId="77777777" w:rsidR="00BB7660" w:rsidRDefault="00BB7660" w:rsidP="00BB7660">
      <w:pPr>
        <w:pStyle w:val="paragraphsub-sub"/>
      </w:pPr>
      <w:r>
        <w:tab/>
        <w:t>(A)</w:t>
      </w:r>
      <w:r>
        <w:tab/>
      </w:r>
      <w:r w:rsidRPr="00EF3347">
        <w:t xml:space="preserve">include a statement with the data to ensure that, having regard to the purpose for which </w:t>
      </w:r>
      <w:r>
        <w:t xml:space="preserve">it </w:t>
      </w:r>
      <w:r w:rsidRPr="00EF3347">
        <w:t>is held, the data is accurate, up to date, complete and not misleading</w:t>
      </w:r>
      <w:r>
        <w:t>;</w:t>
      </w:r>
    </w:p>
    <w:p w14:paraId="7204B110" w14:textId="77777777" w:rsidR="00BB7660" w:rsidRDefault="00BB7660" w:rsidP="00BB7660">
      <w:pPr>
        <w:pStyle w:val="paragraphsub-sub"/>
      </w:pPr>
      <w:r>
        <w:tab/>
        <w:t>(B)</w:t>
      </w:r>
      <w:r>
        <w:tab/>
      </w:r>
      <w:r w:rsidRPr="00A804A8">
        <w:t xml:space="preserve">where practicable, </w:t>
      </w:r>
      <w:r>
        <w:t>attach</w:t>
      </w:r>
      <w:r w:rsidRPr="00EF3347">
        <w:t xml:space="preserve"> an electronic link to a digital record of the data</w:t>
      </w:r>
      <w:r>
        <w:t xml:space="preserve"> in such a way that the </w:t>
      </w:r>
      <w:r w:rsidRPr="00EF3347">
        <w:t xml:space="preserve">statement </w:t>
      </w:r>
      <w:r>
        <w:t xml:space="preserve">will be </w:t>
      </w:r>
      <w:r w:rsidRPr="00EF3347">
        <w:t>apparent to any users of the data; and</w:t>
      </w:r>
    </w:p>
    <w:p w14:paraId="3909B9FC" w14:textId="77777777" w:rsidR="00BB7660" w:rsidRDefault="00BB7660" w:rsidP="00BB7660">
      <w:pPr>
        <w:pStyle w:val="paragraph"/>
        <w:rPr>
          <w:color w:val="000000"/>
        </w:rPr>
      </w:pPr>
      <w:r>
        <w:tab/>
        <w:t>(c)</w:t>
      </w:r>
      <w:r>
        <w:tab/>
      </w:r>
      <w:r w:rsidRPr="00EF3347">
        <w:rPr>
          <w:color w:val="000000"/>
        </w:rPr>
        <w:t>give the requester a written notice, by electronic means, that</w:t>
      </w:r>
      <w:r>
        <w:rPr>
          <w:color w:val="000000"/>
        </w:rPr>
        <w:t>:</w:t>
      </w:r>
    </w:p>
    <w:p w14:paraId="4530C619" w14:textId="77777777" w:rsidR="00BB7660" w:rsidRDefault="00BB7660" w:rsidP="00BB7660">
      <w:pPr>
        <w:pStyle w:val="paragraphsub"/>
      </w:pPr>
      <w:r>
        <w:tab/>
        <w:t>(i)</w:t>
      </w:r>
      <w:r>
        <w:tab/>
        <w:t>indicates what the recipient did in response to the request; and</w:t>
      </w:r>
    </w:p>
    <w:p w14:paraId="7B2C86D8" w14:textId="77777777" w:rsidR="00BB7660" w:rsidRPr="00E1300D" w:rsidRDefault="00BB7660" w:rsidP="00BB7660">
      <w:pPr>
        <w:pStyle w:val="paragraphsub"/>
        <w:rPr>
          <w:color w:val="000000" w:themeColor="text1"/>
        </w:rPr>
      </w:pPr>
      <w:r>
        <w:tab/>
      </w:r>
      <w:r>
        <w:rPr>
          <w:color w:val="000000" w:themeColor="text1"/>
        </w:rPr>
        <w:t>(ii)</w:t>
      </w:r>
      <w:r w:rsidRPr="00E1300D">
        <w:rPr>
          <w:color w:val="000000" w:themeColor="text1"/>
        </w:rPr>
        <w:tab/>
        <w:t>if the recipient did not think it appropriate to do either of the things referred to in subparagraphs </w:t>
      </w:r>
      <w:r>
        <w:rPr>
          <w:color w:val="000000" w:themeColor="text1"/>
        </w:rPr>
        <w:t>(b)(i)</w:t>
      </w:r>
      <w:r w:rsidRPr="00E1300D">
        <w:rPr>
          <w:color w:val="000000" w:themeColor="text1"/>
        </w:rPr>
        <w:t xml:space="preserve"> or </w:t>
      </w:r>
      <w:r>
        <w:rPr>
          <w:color w:val="000000" w:themeColor="text1"/>
        </w:rPr>
        <w:t>(ii)</w:t>
      </w:r>
      <w:r w:rsidRPr="00E1300D">
        <w:rPr>
          <w:color w:val="000000" w:themeColor="text1"/>
        </w:rPr>
        <w:t>―states why a correction or statement is unnecessary or inappropriate; and</w:t>
      </w:r>
    </w:p>
    <w:p w14:paraId="763DFD88" w14:textId="77777777" w:rsidR="00BB7660" w:rsidRPr="00EF3347" w:rsidRDefault="00BB7660" w:rsidP="00BB7660">
      <w:pPr>
        <w:pStyle w:val="paragraphsub"/>
      </w:pPr>
      <w:r>
        <w:tab/>
        <w:t>(iii)</w:t>
      </w:r>
      <w:r>
        <w:tab/>
      </w:r>
      <w:r w:rsidRPr="00EF3347">
        <w:t>set</w:t>
      </w:r>
      <w:r>
        <w:t>s</w:t>
      </w:r>
      <w:r w:rsidRPr="00EF3347">
        <w:t xml:space="preserve"> out the complaint mechanisms available to the requester.</w:t>
      </w:r>
    </w:p>
    <w:p w14:paraId="43344E5B" w14:textId="77777777" w:rsidR="00BB7660" w:rsidRPr="009E5F63" w:rsidRDefault="00BB7660" w:rsidP="00BB7660">
      <w:pPr>
        <w:pStyle w:val="notetext"/>
      </w:pPr>
      <w:r w:rsidRPr="009E5F63">
        <w:t>Note 1:</w:t>
      </w:r>
      <w:r w:rsidRPr="009E5F63">
        <w:tab/>
        <w:t>In relation to subparagraph </w:t>
      </w:r>
      <w:r>
        <w:t>(c)(iii)</w:t>
      </w:r>
      <w:r w:rsidRPr="009E5F63">
        <w:t xml:space="preserve">, see </w:t>
      </w:r>
      <w:r>
        <w:t>Part 6</w:t>
      </w:r>
      <w:r w:rsidRPr="009E5F63">
        <w:t>.</w:t>
      </w:r>
    </w:p>
    <w:p w14:paraId="48AECDF4" w14:textId="77777777" w:rsidR="00BB7660" w:rsidRDefault="00BB7660" w:rsidP="00BB7660">
      <w:pPr>
        <w:pStyle w:val="notetext"/>
      </w:pPr>
      <w:r w:rsidRPr="009E5F63">
        <w:t>Note 2:</w:t>
      </w:r>
      <w:r w:rsidRPr="009E5F63">
        <w:tab/>
        <w:t>The written notice could be given through the accredited person’s or the data holder’s consumer dashboard (see rules </w:t>
      </w:r>
      <w:r>
        <w:t>1.14</w:t>
      </w:r>
      <w:r w:rsidRPr="009E5F63">
        <w:t xml:space="preserve"> and </w:t>
      </w:r>
      <w:r>
        <w:t>1.15</w:t>
      </w:r>
      <w:r w:rsidRPr="009E5F63">
        <w:t>).</w:t>
      </w:r>
    </w:p>
    <w:p w14:paraId="751FDBC2" w14:textId="77777777" w:rsidR="00BB7660" w:rsidRPr="00A00F6F" w:rsidRDefault="00BB7660" w:rsidP="00BB7660">
      <w:pPr>
        <w:pStyle w:val="notetext"/>
      </w:pPr>
      <w:r w:rsidRPr="00A00F6F">
        <w:t>Note 3:</w:t>
      </w:r>
      <w:r w:rsidRPr="00A00F6F">
        <w:tab/>
        <w:t>See also, in relation to the energy sector, clause 6.1 of Schedule 4.</w:t>
      </w:r>
    </w:p>
    <w:p w14:paraId="623EA4AD" w14:textId="77777777" w:rsidR="00BB7660" w:rsidRPr="00A00F6F" w:rsidRDefault="00BB7660" w:rsidP="00BB7660">
      <w:pPr>
        <w:pStyle w:val="ActHead5"/>
      </w:pPr>
      <w:bookmarkStart w:id="559" w:name="_Toc111132212"/>
      <w:r w:rsidRPr="00A00F6F">
        <w:t>7.16  Rule relating to privacy safeguard 13—correction of data—CDR representative</w:t>
      </w:r>
      <w:bookmarkEnd w:id="559"/>
    </w:p>
    <w:p w14:paraId="18405CCA" w14:textId="77777777" w:rsidR="00BB7660" w:rsidRPr="00A00F6F" w:rsidRDefault="00BB7660" w:rsidP="00BB7660">
      <w:pPr>
        <w:pStyle w:val="subsection"/>
      </w:pPr>
      <w:r w:rsidRPr="00A00F6F">
        <w:tab/>
        <w:t>(1)</w:t>
      </w:r>
      <w:r w:rsidRPr="00A00F6F">
        <w:tab/>
        <w:t>A CDR principal breaches this subrule if its CDR representative fails to comply with subsection 56EP(2) of the Act in relation to service data of a CDR consumer as if it were an accredited person.</w:t>
      </w:r>
    </w:p>
    <w:p w14:paraId="78345FFC" w14:textId="77777777" w:rsidR="00BB7660" w:rsidRPr="00A00F6F" w:rsidRDefault="00BB7660" w:rsidP="00BB7660">
      <w:pPr>
        <w:pStyle w:val="notetext"/>
      </w:pPr>
      <w:r w:rsidRPr="00A00F6F">
        <w:t>Note 1:</w:t>
      </w:r>
      <w:r w:rsidRPr="00A00F6F">
        <w:tab/>
        <w:t>See rule 1.10AA for the definition of “service data” in relation to a CDR representative arrangement.</w:t>
      </w:r>
    </w:p>
    <w:p w14:paraId="0C534601" w14:textId="77777777" w:rsidR="00BB7660" w:rsidRPr="00A00F6F" w:rsidRDefault="00BB7660" w:rsidP="00BB7660">
      <w:pPr>
        <w:pStyle w:val="notetext"/>
      </w:pPr>
      <w:r w:rsidRPr="00A00F6F">
        <w:lastRenderedPageBreak/>
        <w:t>Note 2:</w:t>
      </w:r>
      <w:r w:rsidRPr="00A00F6F">
        <w:tab/>
        <w:t>This subrule is a civil penalty provision (see rule 9.8).</w:t>
      </w:r>
    </w:p>
    <w:p w14:paraId="71B146CA" w14:textId="77777777" w:rsidR="00BB7660" w:rsidRPr="00A00F6F" w:rsidRDefault="00BB7660" w:rsidP="00BB7660">
      <w:pPr>
        <w:pStyle w:val="subsection"/>
      </w:pPr>
      <w:r w:rsidRPr="00A00F6F">
        <w:tab/>
        <w:t>(2)</w:t>
      </w:r>
      <w:r w:rsidRPr="00A00F6F">
        <w:tab/>
        <w:t xml:space="preserve">For </w:t>
      </w:r>
      <w:r w:rsidRPr="006F7F91">
        <w:rPr>
          <w:color w:val="0000FF"/>
        </w:rPr>
        <w:t>subrule</w:t>
      </w:r>
      <w:r w:rsidRPr="00A00F6F">
        <w:t xml:space="preserve"> </w:t>
      </w:r>
      <w:r w:rsidRPr="004A04A4">
        <w:rPr>
          <w:color w:val="0000FF"/>
        </w:rPr>
        <w:t>(1)</w:t>
      </w:r>
      <w:r w:rsidR="0082401F" w:rsidRPr="0082401F">
        <w:rPr>
          <w:strike/>
          <w:color w:val="0000FF"/>
        </w:rPr>
        <w:t xml:space="preserve"> </w:t>
      </w:r>
      <w:r w:rsidR="006F7F91">
        <w:rPr>
          <w:strike/>
          <w:color w:val="0000FF"/>
        </w:rPr>
        <w:t xml:space="preserve">subrule </w:t>
      </w:r>
      <w:r w:rsidR="0082401F" w:rsidRPr="0082401F">
        <w:rPr>
          <w:strike/>
          <w:color w:val="0000FF"/>
        </w:rPr>
        <w:t>(2)</w:t>
      </w:r>
      <w:r w:rsidRPr="00A00F6F">
        <w:t>, it is irrelevant whether the action of the CDR representative in relation to the service data is in accordance with the CDR representative arrangement.</w:t>
      </w:r>
    </w:p>
    <w:p w14:paraId="38F59697" w14:textId="77777777" w:rsidR="00BB7660" w:rsidRDefault="00BB7660" w:rsidP="00BB7660">
      <w:pPr>
        <w:pStyle w:val="ActHead2"/>
      </w:pPr>
      <w:bookmarkStart w:id="560" w:name="_Toc11771681"/>
      <w:bookmarkStart w:id="561" w:name="_Toc111132213"/>
      <w:r>
        <w:t>Part 8—Rules relating to data standards</w:t>
      </w:r>
      <w:bookmarkEnd w:id="560"/>
      <w:bookmarkEnd w:id="561"/>
    </w:p>
    <w:p w14:paraId="409EE537" w14:textId="77777777" w:rsidR="00BB7660" w:rsidRPr="00B3173B" w:rsidRDefault="00BB7660" w:rsidP="00BB7660">
      <w:pPr>
        <w:pStyle w:val="ActHead3"/>
      </w:pPr>
      <w:bookmarkStart w:id="562" w:name="_Toc11771682"/>
      <w:bookmarkStart w:id="563" w:name="_Toc111132214"/>
      <w:r>
        <w:t>Division 8.1</w:t>
      </w:r>
      <w:r w:rsidRPr="00B3173B">
        <w:t>—</w:t>
      </w:r>
      <w:bookmarkEnd w:id="562"/>
      <w:r>
        <w:t>Preliminary</w:t>
      </w:r>
      <w:bookmarkEnd w:id="563"/>
    </w:p>
    <w:p w14:paraId="2ACC37F6" w14:textId="77777777" w:rsidR="00BB7660" w:rsidRPr="00B3173B" w:rsidRDefault="00BB7660" w:rsidP="00BB7660">
      <w:pPr>
        <w:pStyle w:val="ActHead5"/>
      </w:pPr>
      <w:bookmarkStart w:id="564" w:name="_Toc11771683"/>
      <w:bookmarkStart w:id="565" w:name="_Toc111132215"/>
      <w:r>
        <w:t>8.1</w:t>
      </w:r>
      <w:r w:rsidRPr="00B3173B">
        <w:t xml:space="preserve">  Simplified outline of this Part</w:t>
      </w:r>
      <w:bookmarkEnd w:id="564"/>
      <w:bookmarkEnd w:id="565"/>
    </w:p>
    <w:p w14:paraId="778BAF0E" w14:textId="77777777" w:rsidR="00BB7660" w:rsidRDefault="00BB7660" w:rsidP="00BB7660">
      <w:pPr>
        <w:pStyle w:val="SOText"/>
        <w:rPr>
          <w:color w:val="000000"/>
        </w:rPr>
      </w:pPr>
      <w:r>
        <w:rPr>
          <w:color w:val="000000"/>
        </w:rPr>
        <w:t>Product data requests and consumer data requests under these rules are made in accordance with data standards, which are made under Division 6 of Part IVD of the Act.</w:t>
      </w:r>
    </w:p>
    <w:p w14:paraId="44C7B25C" w14:textId="77777777" w:rsidR="00BB7660" w:rsidRDefault="00BB7660" w:rsidP="00BB7660">
      <w:pPr>
        <w:pStyle w:val="SOText"/>
        <w:rPr>
          <w:color w:val="000000"/>
        </w:rPr>
      </w:pPr>
      <w:r>
        <w:rPr>
          <w:color w:val="000000"/>
        </w:rPr>
        <w:t>This Part of these rules sets out rules relating to data standards.</w:t>
      </w:r>
    </w:p>
    <w:p w14:paraId="3C123A14" w14:textId="77777777" w:rsidR="00BB7660" w:rsidRDefault="00BB7660" w:rsidP="00BB7660">
      <w:pPr>
        <w:pStyle w:val="SOText"/>
      </w:pPr>
      <w:r>
        <w:rPr>
          <w:color w:val="000000"/>
        </w:rPr>
        <w:t>The Data Standards Chair is established by the Act and is responsible for making data standards. The Data Standards Chair is required to establish</w:t>
      </w:r>
      <w:r w:rsidRPr="009C6022">
        <w:t xml:space="preserve"> </w:t>
      </w:r>
      <w:r w:rsidRPr="00A00F6F">
        <w:t>Data Standards Advisory Committees</w:t>
      </w:r>
      <w:r w:rsidRPr="00E7752E">
        <w:t xml:space="preserve"> </w:t>
      </w:r>
      <w:r>
        <w:t>to advise the Chair about data standards.</w:t>
      </w:r>
    </w:p>
    <w:p w14:paraId="224AF61F" w14:textId="77777777" w:rsidR="00BB7660" w:rsidRPr="00641354" w:rsidRDefault="00BB7660" w:rsidP="00BB7660">
      <w:pPr>
        <w:pStyle w:val="SOText"/>
        <w:rPr>
          <w:color w:val="000000"/>
        </w:rPr>
      </w:pPr>
      <w:r>
        <w:t>This Part also sets out procedural requirements for making, amending and reviewing data standards, and specifies data standards that the Data Standards Chair is required to make. These are all binding data standards.</w:t>
      </w:r>
    </w:p>
    <w:p w14:paraId="30D0C979" w14:textId="77777777" w:rsidR="00BB7660" w:rsidRPr="00F02FA2" w:rsidRDefault="00BB7660" w:rsidP="00BB7660">
      <w:pPr>
        <w:pStyle w:val="notemargin"/>
      </w:pPr>
    </w:p>
    <w:p w14:paraId="54CDE200" w14:textId="77777777" w:rsidR="00BB7660" w:rsidRPr="00A00F6F" w:rsidRDefault="00BB7660" w:rsidP="00BB7660">
      <w:pPr>
        <w:pStyle w:val="ActHead3"/>
      </w:pPr>
      <w:bookmarkStart w:id="566" w:name="_Toc11771684"/>
      <w:bookmarkStart w:id="567" w:name="_Toc111132216"/>
      <w:r>
        <w:t xml:space="preserve">Division 8.2—Data Standards Advisory </w:t>
      </w:r>
      <w:bookmarkEnd w:id="566"/>
      <w:r w:rsidRPr="00A00F6F">
        <w:t>Committee</w:t>
      </w:r>
      <w:bookmarkStart w:id="568" w:name="_Toc11771685"/>
      <w:r w:rsidRPr="00A00F6F">
        <w:t>s</w:t>
      </w:r>
      <w:bookmarkEnd w:id="567"/>
    </w:p>
    <w:p w14:paraId="7963F8EE" w14:textId="77777777" w:rsidR="00BB7660" w:rsidRPr="00A00F6F" w:rsidRDefault="00BB7660" w:rsidP="00BB7660">
      <w:pPr>
        <w:pStyle w:val="ActHead5"/>
      </w:pPr>
      <w:bookmarkStart w:id="569" w:name="_Toc111132217"/>
      <w:r w:rsidRPr="00A00F6F">
        <w:t xml:space="preserve">8.2  Establishment of Data Standards Advisory </w:t>
      </w:r>
      <w:bookmarkEnd w:id="568"/>
      <w:r w:rsidRPr="00A00F6F">
        <w:t>Committee</w:t>
      </w:r>
      <w:bookmarkEnd w:id="569"/>
    </w:p>
    <w:p w14:paraId="0B51C7FD" w14:textId="77777777" w:rsidR="00BB7660" w:rsidRPr="00A00F6F" w:rsidRDefault="00BB7660" w:rsidP="00BB7660">
      <w:pPr>
        <w:pStyle w:val="subsection"/>
      </w:pPr>
      <w:r w:rsidRPr="00A00F6F">
        <w:tab/>
        <w:t>(1)</w:t>
      </w:r>
      <w:r w:rsidRPr="00A00F6F">
        <w:tab/>
        <w:t xml:space="preserve">The Data Standards Chair must, by written instrument, establish and maintain a committee to advise the Chair about data standards in relation to each designated sector (a </w:t>
      </w:r>
      <w:r w:rsidRPr="00A00F6F">
        <w:rPr>
          <w:b/>
          <w:i/>
        </w:rPr>
        <w:t>Data Standards Advisory Committee</w:t>
      </w:r>
      <w:r w:rsidRPr="00A00F6F">
        <w:t>).</w:t>
      </w:r>
    </w:p>
    <w:p w14:paraId="5B71DC65" w14:textId="77777777" w:rsidR="00BB7660" w:rsidRPr="00A00F6F" w:rsidRDefault="00BB7660" w:rsidP="00BB7660">
      <w:pPr>
        <w:pStyle w:val="notetext"/>
        <w:rPr>
          <w:shd w:val="clear" w:color="auto" w:fill="FFFFFF"/>
        </w:rPr>
      </w:pPr>
      <w:r w:rsidRPr="00A00F6F">
        <w:rPr>
          <w:shd w:val="clear" w:color="auto" w:fill="FFFFFF"/>
        </w:rPr>
        <w:t>Note:</w:t>
      </w:r>
      <w:r w:rsidRPr="00A00F6F">
        <w:rPr>
          <w:shd w:val="clear" w:color="auto" w:fill="FFFFFF"/>
        </w:rPr>
        <w:tab/>
        <w:t>For variation and revocation, see subsection 33(3) of the </w:t>
      </w:r>
      <w:r w:rsidRPr="00A00F6F">
        <w:rPr>
          <w:i/>
          <w:iCs/>
          <w:shd w:val="clear" w:color="auto" w:fill="FFFFFF"/>
        </w:rPr>
        <w:t>Acts Interpretation Act 1901</w:t>
      </w:r>
      <w:r w:rsidRPr="00A00F6F">
        <w:rPr>
          <w:iCs/>
        </w:rPr>
        <w:t xml:space="preserve"> and paragraph 13(1)(a) of the </w:t>
      </w:r>
      <w:r w:rsidRPr="00A00F6F">
        <w:rPr>
          <w:i/>
          <w:iCs/>
        </w:rPr>
        <w:t>Legislation Act 2003</w:t>
      </w:r>
      <w:r w:rsidRPr="00A00F6F">
        <w:rPr>
          <w:shd w:val="clear" w:color="auto" w:fill="FFFFFF"/>
        </w:rPr>
        <w:t>.</w:t>
      </w:r>
    </w:p>
    <w:p w14:paraId="3A210454" w14:textId="77777777" w:rsidR="00BB7660" w:rsidRPr="00A00F6F" w:rsidRDefault="00BB7660" w:rsidP="00BB7660">
      <w:pPr>
        <w:pStyle w:val="subsection"/>
        <w:rPr>
          <w:shd w:val="clear" w:color="auto" w:fill="FFFFFF"/>
        </w:rPr>
      </w:pPr>
      <w:r w:rsidRPr="00A00F6F">
        <w:rPr>
          <w:shd w:val="clear" w:color="auto" w:fill="FFFFFF"/>
        </w:rPr>
        <w:tab/>
        <w:t>(2)</w:t>
      </w:r>
      <w:r w:rsidRPr="00A00F6F">
        <w:rPr>
          <w:shd w:val="clear" w:color="auto" w:fill="FFFFFF"/>
        </w:rPr>
        <w:tab/>
        <w:t>To avoid doubt, a Data Standards Advisory Committee may be appointed to cover more than one designated sector.</w:t>
      </w:r>
      <w:r w:rsidRPr="00A00F6F">
        <w:rPr>
          <w:shd w:val="clear" w:color="auto" w:fill="FFFFFF"/>
        </w:rPr>
        <w:tab/>
      </w:r>
    </w:p>
    <w:p w14:paraId="1FAFEB1A" w14:textId="77777777" w:rsidR="00BB7660" w:rsidRDefault="00BB7660" w:rsidP="00BB7660">
      <w:pPr>
        <w:pStyle w:val="ActHead5"/>
      </w:pPr>
      <w:bookmarkStart w:id="570" w:name="_Toc11771686"/>
      <w:bookmarkStart w:id="571" w:name="_Toc111132218"/>
      <w:r>
        <w:t xml:space="preserve">8.3  Functions of Data Standards Advisory </w:t>
      </w:r>
      <w:bookmarkEnd w:id="570"/>
      <w:r>
        <w:t>Committee</w:t>
      </w:r>
      <w:bookmarkEnd w:id="571"/>
    </w:p>
    <w:p w14:paraId="3ADAFD17" w14:textId="77777777" w:rsidR="00BB7660" w:rsidRDefault="00BB7660" w:rsidP="00BB7660">
      <w:pPr>
        <w:pStyle w:val="subsection"/>
      </w:pPr>
      <w:r>
        <w:tab/>
      </w:r>
      <w:r>
        <w:tab/>
        <w:t xml:space="preserve">The function </w:t>
      </w:r>
      <w:r w:rsidRPr="00C144A3">
        <w:t>of</w:t>
      </w:r>
      <w:r w:rsidRPr="00A00F6F">
        <w:t xml:space="preserve"> a</w:t>
      </w:r>
      <w:r>
        <w:t xml:space="preserve"> </w:t>
      </w:r>
      <w:r w:rsidRPr="00A00F6F">
        <w:t>Data Standards Advisory Committee</w:t>
      </w:r>
      <w:r w:rsidRPr="008D47AA">
        <w:t xml:space="preserve"> </w:t>
      </w:r>
      <w:r>
        <w:t>is to advise the Data Standards Chair about:</w:t>
      </w:r>
    </w:p>
    <w:p w14:paraId="7E2C417B" w14:textId="77777777" w:rsidR="00BB7660" w:rsidRDefault="00BB7660" w:rsidP="00BB7660">
      <w:pPr>
        <w:pStyle w:val="paragraph"/>
      </w:pPr>
      <w:r>
        <w:tab/>
        <w:t>(a)</w:t>
      </w:r>
      <w:r>
        <w:tab/>
        <w:t>any matters identified in the instrument establishing the Committee; and</w:t>
      </w:r>
    </w:p>
    <w:p w14:paraId="02D8FBA1" w14:textId="77777777" w:rsidR="00BB7660" w:rsidRDefault="00BB7660" w:rsidP="00BB7660">
      <w:pPr>
        <w:pStyle w:val="paragraph"/>
      </w:pPr>
      <w:r>
        <w:tab/>
        <w:t>(b)</w:t>
      </w:r>
      <w:r>
        <w:tab/>
        <w:t>any other matter referred to the Committee by the Chair.</w:t>
      </w:r>
    </w:p>
    <w:p w14:paraId="593A1159" w14:textId="77777777" w:rsidR="00BB7660" w:rsidRDefault="00BB7660" w:rsidP="00BB7660">
      <w:pPr>
        <w:pStyle w:val="ActHead5"/>
      </w:pPr>
      <w:bookmarkStart w:id="572" w:name="_Toc11771687"/>
      <w:bookmarkStart w:id="573" w:name="_Toc111132219"/>
      <w:r>
        <w:lastRenderedPageBreak/>
        <w:t xml:space="preserve">8.4  Appointment to Data Standards Advisory </w:t>
      </w:r>
      <w:bookmarkEnd w:id="572"/>
      <w:r>
        <w:t>Committee</w:t>
      </w:r>
      <w:bookmarkEnd w:id="573"/>
    </w:p>
    <w:p w14:paraId="23B87693" w14:textId="77777777" w:rsidR="00BB7660" w:rsidRPr="000C3240" w:rsidRDefault="00BB7660" w:rsidP="00BB7660">
      <w:pPr>
        <w:pStyle w:val="subsection"/>
        <w:rPr>
          <w:color w:val="000000" w:themeColor="text1"/>
        </w:rPr>
      </w:pPr>
      <w:r w:rsidRPr="000C3240">
        <w:rPr>
          <w:color w:val="000000" w:themeColor="text1"/>
        </w:rPr>
        <w:tab/>
      </w:r>
      <w:r>
        <w:rPr>
          <w:color w:val="000000" w:themeColor="text1"/>
        </w:rPr>
        <w:t>(1)</w:t>
      </w:r>
      <w:r w:rsidRPr="000C3240">
        <w:rPr>
          <w:color w:val="000000" w:themeColor="text1"/>
        </w:rPr>
        <w:tab/>
        <w:t>The Data Standards Chair:</w:t>
      </w:r>
    </w:p>
    <w:p w14:paraId="76A9BDD1" w14:textId="77777777" w:rsidR="00BB7660" w:rsidRDefault="00BB7660" w:rsidP="00BB7660">
      <w:pPr>
        <w:pStyle w:val="paragraph"/>
        <w:rPr>
          <w:color w:val="000000" w:themeColor="text1"/>
        </w:rPr>
      </w:pPr>
      <w:r w:rsidRPr="000C3240">
        <w:rPr>
          <w:color w:val="000000" w:themeColor="text1"/>
        </w:rPr>
        <w:tab/>
      </w:r>
      <w:r>
        <w:rPr>
          <w:color w:val="000000" w:themeColor="text1"/>
        </w:rPr>
        <w:t>(a)</w:t>
      </w:r>
      <w:r w:rsidRPr="000C3240">
        <w:rPr>
          <w:color w:val="000000" w:themeColor="text1"/>
        </w:rPr>
        <w:tab/>
        <w:t xml:space="preserve">must appoint to </w:t>
      </w:r>
      <w:r w:rsidRPr="00A00F6F">
        <w:t>a Data Standards Advisory Committee</w:t>
      </w:r>
      <w:r>
        <w:rPr>
          <w:color w:val="000000" w:themeColor="text1"/>
        </w:rPr>
        <w:t>:</w:t>
      </w:r>
    </w:p>
    <w:p w14:paraId="68E3E1A6" w14:textId="77777777" w:rsidR="00BB7660" w:rsidRPr="00E53912" w:rsidRDefault="00BB7660" w:rsidP="00BB7660">
      <w:pPr>
        <w:pStyle w:val="paragraphsub"/>
        <w:rPr>
          <w:color w:val="000000" w:themeColor="text1"/>
        </w:rPr>
      </w:pPr>
      <w:r w:rsidRPr="00E53912">
        <w:rPr>
          <w:color w:val="000000" w:themeColor="text1"/>
        </w:rPr>
        <w:tab/>
      </w:r>
      <w:r>
        <w:rPr>
          <w:color w:val="000000" w:themeColor="text1"/>
        </w:rPr>
        <w:t>(i)</w:t>
      </w:r>
      <w:r w:rsidRPr="00E53912">
        <w:rPr>
          <w:color w:val="000000" w:themeColor="text1"/>
        </w:rPr>
        <w:tab/>
        <w:t>1 or more consumer representatives; and</w:t>
      </w:r>
    </w:p>
    <w:p w14:paraId="09549EB6" w14:textId="77777777" w:rsidR="00BB7660" w:rsidRPr="00E53912" w:rsidRDefault="00BB7660" w:rsidP="00BB7660">
      <w:pPr>
        <w:pStyle w:val="paragraphsub"/>
        <w:rPr>
          <w:color w:val="000000" w:themeColor="text1"/>
        </w:rPr>
      </w:pPr>
      <w:r w:rsidRPr="00E53912">
        <w:rPr>
          <w:color w:val="000000" w:themeColor="text1"/>
        </w:rPr>
        <w:tab/>
      </w:r>
      <w:r>
        <w:rPr>
          <w:color w:val="000000" w:themeColor="text1"/>
        </w:rPr>
        <w:t>(ii)</w:t>
      </w:r>
      <w:r w:rsidRPr="00E53912">
        <w:rPr>
          <w:color w:val="000000" w:themeColor="text1"/>
        </w:rPr>
        <w:tab/>
        <w:t>1 or more privacy representatives; and</w:t>
      </w:r>
    </w:p>
    <w:p w14:paraId="0E5953D5" w14:textId="77777777" w:rsidR="00BB7660" w:rsidRDefault="00BB7660" w:rsidP="00BB7660">
      <w:pPr>
        <w:pStyle w:val="paragraph"/>
        <w:rPr>
          <w:color w:val="000000" w:themeColor="text1"/>
        </w:rPr>
      </w:pPr>
      <w:r w:rsidRPr="000C3240">
        <w:rPr>
          <w:color w:val="000000" w:themeColor="text1"/>
        </w:rPr>
        <w:tab/>
      </w:r>
      <w:r>
        <w:rPr>
          <w:color w:val="000000" w:themeColor="text1"/>
        </w:rPr>
        <w:t>(b)</w:t>
      </w:r>
      <w:r w:rsidRPr="000C3240">
        <w:rPr>
          <w:color w:val="000000" w:themeColor="text1"/>
        </w:rPr>
        <w:tab/>
        <w:t xml:space="preserve">may appoint others to the </w:t>
      </w:r>
      <w:r>
        <w:rPr>
          <w:color w:val="000000" w:themeColor="text1"/>
        </w:rPr>
        <w:t>Committee</w:t>
      </w:r>
      <w:r w:rsidRPr="000C3240">
        <w:rPr>
          <w:color w:val="000000" w:themeColor="text1"/>
        </w:rPr>
        <w:t xml:space="preserve"> as the Chair sees fit.</w:t>
      </w:r>
    </w:p>
    <w:p w14:paraId="13F1D033" w14:textId="77777777" w:rsidR="00BB7660" w:rsidRPr="000C3240" w:rsidRDefault="00BB7660" w:rsidP="00BB7660">
      <w:pPr>
        <w:pStyle w:val="subsection"/>
      </w:pPr>
      <w:r>
        <w:tab/>
        <w:t>(2)</w:t>
      </w:r>
      <w:r>
        <w:tab/>
        <w:t>An appointment must be in writing</w:t>
      </w:r>
      <w:r>
        <w:rPr>
          <w:color w:val="000000" w:themeColor="text1"/>
        </w:rPr>
        <w:t>.</w:t>
      </w:r>
    </w:p>
    <w:p w14:paraId="3ECCE262" w14:textId="77777777" w:rsidR="00BB7660" w:rsidRDefault="00BB7660" w:rsidP="00BB7660">
      <w:pPr>
        <w:pStyle w:val="subsection"/>
      </w:pPr>
      <w:r>
        <w:tab/>
        <w:t>(3)</w:t>
      </w:r>
      <w:r>
        <w:tab/>
        <w:t xml:space="preserve">The Chair may determine </w:t>
      </w:r>
      <w:r w:rsidRPr="00963BBD">
        <w:t xml:space="preserve">the terms and conditions of </w:t>
      </w:r>
      <w:r>
        <w:t>an</w:t>
      </w:r>
      <w:r w:rsidRPr="00963BBD">
        <w:t xml:space="preserve"> appointment</w:t>
      </w:r>
      <w:r>
        <w:t xml:space="preserve"> in writing</w:t>
      </w:r>
      <w:r w:rsidRPr="00963BBD">
        <w:t>.</w:t>
      </w:r>
    </w:p>
    <w:p w14:paraId="5515A9BC" w14:textId="77777777" w:rsidR="00BB7660" w:rsidRDefault="00BB7660" w:rsidP="00BB7660">
      <w:pPr>
        <w:pStyle w:val="notetext"/>
        <w:rPr>
          <w:iCs/>
        </w:rPr>
      </w:pPr>
      <w:r>
        <w:t>Note:</w:t>
      </w:r>
      <w:r>
        <w:tab/>
        <w:t xml:space="preserve">An appointee may be reappointed: see section 33AA of the </w:t>
      </w:r>
      <w:r>
        <w:rPr>
          <w:i/>
        </w:rPr>
        <w:t xml:space="preserve">Act Interpretation Act 1901 </w:t>
      </w:r>
      <w:r>
        <w:rPr>
          <w:iCs/>
        </w:rPr>
        <w:t xml:space="preserve">and paragraph 13(1)(a) of the </w:t>
      </w:r>
      <w:r>
        <w:rPr>
          <w:i/>
          <w:iCs/>
        </w:rPr>
        <w:t>Legislation Act 2003</w:t>
      </w:r>
      <w:r>
        <w:rPr>
          <w:iCs/>
        </w:rPr>
        <w:t>.</w:t>
      </w:r>
    </w:p>
    <w:p w14:paraId="3B1D6CDC" w14:textId="77777777" w:rsidR="00BB7660" w:rsidRDefault="00BB7660" w:rsidP="00BB7660">
      <w:pPr>
        <w:pStyle w:val="ActHead5"/>
      </w:pPr>
      <w:bookmarkStart w:id="574" w:name="_Toc11771688"/>
      <w:bookmarkStart w:id="575" w:name="_Toc111132220"/>
      <w:r>
        <w:t>8.5  Termination of appointment and resignation</w:t>
      </w:r>
      <w:bookmarkEnd w:id="574"/>
      <w:bookmarkEnd w:id="575"/>
    </w:p>
    <w:p w14:paraId="72E60C69" w14:textId="77777777" w:rsidR="00BB7660" w:rsidRPr="00963BBD" w:rsidRDefault="00BB7660" w:rsidP="00BB7660">
      <w:pPr>
        <w:pStyle w:val="subsection"/>
      </w:pPr>
      <w:r>
        <w:tab/>
        <w:t>(1)</w:t>
      </w:r>
      <w:r>
        <w:tab/>
      </w:r>
      <w:r w:rsidRPr="00963BBD">
        <w:t>The</w:t>
      </w:r>
      <w:r w:rsidRPr="0066619D">
        <w:rPr>
          <w:color w:val="000000" w:themeColor="text1"/>
        </w:rPr>
        <w:t xml:space="preserve"> </w:t>
      </w:r>
      <w:r w:rsidRPr="000C3240">
        <w:rPr>
          <w:color w:val="000000" w:themeColor="text1"/>
        </w:rPr>
        <w:t>Data Standards</w:t>
      </w:r>
      <w:r w:rsidRPr="00963BBD">
        <w:t xml:space="preserve"> </w:t>
      </w:r>
      <w:r>
        <w:t>Chair</w:t>
      </w:r>
      <w:r w:rsidRPr="00963BBD">
        <w:t xml:space="preserve"> may, </w:t>
      </w:r>
      <w:r>
        <w:t>by writing</w:t>
      </w:r>
      <w:r w:rsidRPr="00963BBD">
        <w:t xml:space="preserve">, terminate </w:t>
      </w:r>
      <w:r>
        <w:t>an</w:t>
      </w:r>
      <w:r w:rsidRPr="00963BBD">
        <w:t xml:space="preserve"> appointment</w:t>
      </w:r>
      <w:r>
        <w:t xml:space="preserve"> to </w:t>
      </w:r>
      <w:r w:rsidRPr="00A00F6F">
        <w:t>a Data Standards Advisory Committee</w:t>
      </w:r>
      <w:r w:rsidRPr="008D47AA">
        <w:t xml:space="preserve"> </w:t>
      </w:r>
      <w:r w:rsidRPr="00963BBD">
        <w:t>at any time.</w:t>
      </w:r>
    </w:p>
    <w:p w14:paraId="7E7705D6" w14:textId="77777777" w:rsidR="00BB7660" w:rsidRDefault="00BB7660" w:rsidP="00BB7660">
      <w:pPr>
        <w:pStyle w:val="subsection"/>
      </w:pPr>
      <w:r>
        <w:tab/>
        <w:t>(2)</w:t>
      </w:r>
      <w:r>
        <w:tab/>
      </w:r>
      <w:r w:rsidRPr="00963BBD">
        <w:t xml:space="preserve">An appointee </w:t>
      </w:r>
      <w:r>
        <w:t xml:space="preserve">to </w:t>
      </w:r>
      <w:r w:rsidRPr="00A00F6F">
        <w:t>a Committee</w:t>
      </w:r>
      <w:r w:rsidRPr="00963BBD">
        <w:t xml:space="preserve"> may resign his or her appointment by giving the </w:t>
      </w:r>
      <w:r>
        <w:t>Chair</w:t>
      </w:r>
      <w:r w:rsidRPr="00963BBD">
        <w:t xml:space="preserve"> a written resignation.</w:t>
      </w:r>
    </w:p>
    <w:p w14:paraId="3727DFF3" w14:textId="77777777" w:rsidR="00BB7660" w:rsidRPr="00963BBD" w:rsidRDefault="00BB7660" w:rsidP="00BB7660">
      <w:pPr>
        <w:pStyle w:val="subsection"/>
      </w:pPr>
      <w:r>
        <w:tab/>
        <w:t>(3)</w:t>
      </w:r>
      <w:r>
        <w:tab/>
      </w:r>
      <w:r w:rsidRPr="00963BBD">
        <w:t xml:space="preserve">The resignation takes effect on the day it is received by the </w:t>
      </w:r>
      <w:r>
        <w:t xml:space="preserve">Chair </w:t>
      </w:r>
      <w:r w:rsidRPr="00963BBD">
        <w:t>or, if a later day is specified in the resignation, on that later day.</w:t>
      </w:r>
    </w:p>
    <w:p w14:paraId="0FC734D6" w14:textId="77777777" w:rsidR="00BB7660" w:rsidRDefault="00BB7660" w:rsidP="00BB7660">
      <w:pPr>
        <w:pStyle w:val="ActHead5"/>
      </w:pPr>
      <w:bookmarkStart w:id="576" w:name="_Toc518546481"/>
      <w:bookmarkStart w:id="577" w:name="_Toc11771689"/>
      <w:bookmarkStart w:id="578" w:name="_Toc111132221"/>
      <w:r>
        <w:t xml:space="preserve">8.6  </w:t>
      </w:r>
      <w:r w:rsidRPr="00497605">
        <w:t xml:space="preserve">Procedural </w:t>
      </w:r>
      <w:bookmarkEnd w:id="576"/>
      <w:r>
        <w:t>directions</w:t>
      </w:r>
      <w:bookmarkEnd w:id="577"/>
      <w:bookmarkEnd w:id="578"/>
    </w:p>
    <w:p w14:paraId="6842BB20" w14:textId="77777777" w:rsidR="00BB7660" w:rsidRPr="00497605" w:rsidRDefault="00BB7660" w:rsidP="00BB7660">
      <w:pPr>
        <w:pStyle w:val="subsection"/>
      </w:pPr>
      <w:r>
        <w:tab/>
      </w:r>
      <w:r>
        <w:tab/>
      </w:r>
      <w:r w:rsidRPr="00497605">
        <w:t>The</w:t>
      </w:r>
      <w:r>
        <w:t xml:space="preserve"> Data Standards Chair </w:t>
      </w:r>
      <w:r w:rsidRPr="00497605">
        <w:t xml:space="preserve">may give </w:t>
      </w:r>
      <w:r w:rsidRPr="00A00F6F">
        <w:t>a Data Standards Advisory Committee</w:t>
      </w:r>
      <w:r w:rsidRPr="008D47AA">
        <w:t xml:space="preserve"> </w:t>
      </w:r>
      <w:r>
        <w:t xml:space="preserve">written </w:t>
      </w:r>
      <w:r w:rsidRPr="00497605">
        <w:t>directions as to:</w:t>
      </w:r>
    </w:p>
    <w:p w14:paraId="63119C1B" w14:textId="77777777" w:rsidR="00BB7660" w:rsidRPr="00497605" w:rsidRDefault="00BB7660" w:rsidP="00BB7660">
      <w:pPr>
        <w:pStyle w:val="paragraph"/>
      </w:pPr>
      <w:r>
        <w:tab/>
        <w:t>(a)</w:t>
      </w:r>
      <w:r>
        <w:tab/>
      </w:r>
      <w:r w:rsidRPr="00497605">
        <w:t xml:space="preserve">the way in which the </w:t>
      </w:r>
      <w:r>
        <w:t>Committee</w:t>
      </w:r>
      <w:r w:rsidRPr="00497605">
        <w:t xml:space="preserve"> is to carry out its functions; and</w:t>
      </w:r>
    </w:p>
    <w:p w14:paraId="359E9DB6" w14:textId="77777777" w:rsidR="00BB7660" w:rsidRPr="00497605" w:rsidRDefault="00BB7660" w:rsidP="00BB7660">
      <w:pPr>
        <w:pStyle w:val="paragraph"/>
      </w:pPr>
      <w:r>
        <w:tab/>
        <w:t>(b)</w:t>
      </w:r>
      <w:r>
        <w:tab/>
      </w:r>
      <w:r w:rsidRPr="00497605">
        <w:t>procedures to be followed in relation to meetings.</w:t>
      </w:r>
    </w:p>
    <w:p w14:paraId="21152A28" w14:textId="77777777" w:rsidR="00BB7660" w:rsidRPr="00497605" w:rsidRDefault="00BB7660" w:rsidP="00BB7660">
      <w:pPr>
        <w:pStyle w:val="notetext"/>
      </w:pPr>
      <w:r>
        <w:t>Note:</w:t>
      </w:r>
      <w:r>
        <w:tab/>
      </w:r>
      <w:r w:rsidRPr="00497605">
        <w:t>For variation and revocation, see subsection 33(3) of the </w:t>
      </w:r>
      <w:r w:rsidRPr="00497605">
        <w:rPr>
          <w:i/>
          <w:iCs/>
        </w:rPr>
        <w:t>Acts Interpretation Act 1901</w:t>
      </w:r>
      <w:r w:rsidRPr="00BD5418">
        <w:rPr>
          <w:iCs/>
        </w:rPr>
        <w:t xml:space="preserve"> </w:t>
      </w:r>
      <w:r>
        <w:rPr>
          <w:iCs/>
        </w:rPr>
        <w:t xml:space="preserve">and paragraph 13(1)(a) of the </w:t>
      </w:r>
      <w:r>
        <w:rPr>
          <w:i/>
          <w:iCs/>
        </w:rPr>
        <w:t>Legislation Act 2003</w:t>
      </w:r>
      <w:r w:rsidRPr="00497605">
        <w:t>.</w:t>
      </w:r>
    </w:p>
    <w:p w14:paraId="43FF0E9B" w14:textId="77777777" w:rsidR="00BB7660" w:rsidRDefault="00BB7660" w:rsidP="00BB7660">
      <w:pPr>
        <w:pStyle w:val="ActHead5"/>
      </w:pPr>
      <w:bookmarkStart w:id="579" w:name="_Toc11771690"/>
      <w:bookmarkStart w:id="580" w:name="_Toc111132222"/>
      <w:r>
        <w:t>8.7  Observers</w:t>
      </w:r>
      <w:bookmarkEnd w:id="579"/>
      <w:bookmarkEnd w:id="580"/>
    </w:p>
    <w:p w14:paraId="2AE0347D" w14:textId="77777777" w:rsidR="00BB7660" w:rsidRDefault="00BB7660" w:rsidP="00BB7660">
      <w:pPr>
        <w:pStyle w:val="subsection"/>
      </w:pPr>
      <w:r>
        <w:tab/>
        <w:t>(1)</w:t>
      </w:r>
      <w:r>
        <w:tab/>
      </w:r>
      <w:r w:rsidRPr="00B24FE2">
        <w:t xml:space="preserve">Any </w:t>
      </w:r>
      <w:r>
        <w:t>of the following:</w:t>
      </w:r>
    </w:p>
    <w:p w14:paraId="764A73A0" w14:textId="77777777" w:rsidR="00BB7660" w:rsidRPr="003367E7" w:rsidRDefault="00BB7660" w:rsidP="00BB7660">
      <w:pPr>
        <w:pStyle w:val="paragraph"/>
      </w:pPr>
      <w:r>
        <w:tab/>
        <w:t>(a)</w:t>
      </w:r>
      <w:r>
        <w:tab/>
        <w:t>the Commission;</w:t>
      </w:r>
    </w:p>
    <w:p w14:paraId="2142C7A0" w14:textId="77777777" w:rsidR="00BB7660" w:rsidRDefault="00BB7660" w:rsidP="00BB7660">
      <w:pPr>
        <w:pStyle w:val="paragraph"/>
      </w:pPr>
      <w:r>
        <w:tab/>
        <w:t>(b)</w:t>
      </w:r>
      <w:r>
        <w:tab/>
        <w:t>the Information Commissioner;</w:t>
      </w:r>
    </w:p>
    <w:p w14:paraId="19F0FA67" w14:textId="77777777" w:rsidR="00BB7660" w:rsidRPr="00BD2AB7" w:rsidRDefault="00BB7660" w:rsidP="00BB7660">
      <w:pPr>
        <w:pStyle w:val="paragraph"/>
      </w:pPr>
      <w:r>
        <w:tab/>
        <w:t>(c)</w:t>
      </w:r>
      <w:r w:rsidRPr="00BD2AB7">
        <w:tab/>
        <w:t>the Department of the Treasury;</w:t>
      </w:r>
    </w:p>
    <w:p w14:paraId="4CC2FA83" w14:textId="77777777" w:rsidR="00BB7660" w:rsidRDefault="00BB7660" w:rsidP="00BB7660">
      <w:pPr>
        <w:pStyle w:val="subsection"/>
        <w:spacing w:before="40"/>
      </w:pPr>
      <w:r>
        <w:tab/>
      </w:r>
      <w:r>
        <w:tab/>
        <w:t xml:space="preserve">may elect to be an observer on </w:t>
      </w:r>
      <w:r w:rsidRPr="00A00F6F">
        <w:t>a Data Standards Advisory Committee</w:t>
      </w:r>
      <w:r>
        <w:t>.</w:t>
      </w:r>
    </w:p>
    <w:p w14:paraId="6F115D29" w14:textId="77777777" w:rsidR="00BB7660" w:rsidRDefault="00BB7660" w:rsidP="00BB7660">
      <w:pPr>
        <w:pStyle w:val="subsection"/>
      </w:pPr>
      <w:r>
        <w:tab/>
        <w:t>(2)</w:t>
      </w:r>
      <w:r>
        <w:tab/>
        <w:t xml:space="preserve">The Data Standards Chair may invite any other person to act as an observer on </w:t>
      </w:r>
      <w:r w:rsidRPr="00A00F6F">
        <w:t>a Committee</w:t>
      </w:r>
      <w:r>
        <w:t>.</w:t>
      </w:r>
    </w:p>
    <w:p w14:paraId="082FEB7A" w14:textId="77777777" w:rsidR="00BB7660" w:rsidRDefault="00BB7660" w:rsidP="00BB7660">
      <w:pPr>
        <w:pStyle w:val="ActHead3"/>
        <w:pageBreakBefore/>
      </w:pPr>
      <w:bookmarkStart w:id="581" w:name="_Toc11771691"/>
      <w:bookmarkStart w:id="582" w:name="_Toc111132223"/>
      <w:r>
        <w:lastRenderedPageBreak/>
        <w:t>Division 8.3—Reviewing, developing and amending data standards</w:t>
      </w:r>
      <w:bookmarkEnd w:id="581"/>
      <w:bookmarkEnd w:id="582"/>
    </w:p>
    <w:p w14:paraId="31696B48" w14:textId="77777777" w:rsidR="00BB7660" w:rsidRPr="00964EDA" w:rsidRDefault="00BB7660" w:rsidP="00BB7660">
      <w:pPr>
        <w:pStyle w:val="ActHead5"/>
        <w:rPr>
          <w:color w:val="000000"/>
        </w:rPr>
      </w:pPr>
      <w:bookmarkStart w:id="583" w:name="_Toc11771692"/>
      <w:bookmarkStart w:id="584" w:name="_Toc111132224"/>
      <w:r>
        <w:rPr>
          <w:color w:val="000000"/>
        </w:rPr>
        <w:t>8.8</w:t>
      </w:r>
      <w:r w:rsidRPr="00964EDA">
        <w:rPr>
          <w:color w:val="000000"/>
        </w:rPr>
        <w:t xml:space="preserve">  Notification when developing or amending data standards</w:t>
      </w:r>
      <w:bookmarkEnd w:id="583"/>
      <w:bookmarkEnd w:id="584"/>
    </w:p>
    <w:p w14:paraId="34457955" w14:textId="77777777" w:rsidR="00BB7660" w:rsidRPr="00964EDA" w:rsidRDefault="00BB7660" w:rsidP="00BB7660">
      <w:pPr>
        <w:pStyle w:val="subsection"/>
        <w:rPr>
          <w:color w:val="000000"/>
        </w:rPr>
      </w:pPr>
      <w:r w:rsidRPr="00964EDA">
        <w:rPr>
          <w:color w:val="000000"/>
        </w:rPr>
        <w:tab/>
      </w:r>
      <w:r>
        <w:rPr>
          <w:color w:val="000000"/>
        </w:rPr>
        <w:t>(1)</w:t>
      </w:r>
      <w:r w:rsidRPr="00964EDA">
        <w:rPr>
          <w:color w:val="000000"/>
        </w:rPr>
        <w:tab/>
      </w:r>
      <w:r>
        <w:rPr>
          <w:color w:val="000000"/>
        </w:rPr>
        <w:t>Subject to subrule (2), t</w:t>
      </w:r>
      <w:r w:rsidRPr="00964EDA">
        <w:rPr>
          <w:color w:val="000000"/>
        </w:rPr>
        <w:t>he Data Standards Chair must notify the Commission</w:t>
      </w:r>
      <w:r>
        <w:rPr>
          <w:color w:val="000000"/>
        </w:rPr>
        <w:t xml:space="preserve"> </w:t>
      </w:r>
      <w:r w:rsidRPr="00CB249E">
        <w:t>and the Information Commissioner</w:t>
      </w:r>
      <w:r w:rsidRPr="00964EDA">
        <w:rPr>
          <w:color w:val="000000"/>
        </w:rPr>
        <w:t>, in writing, of a proposal to make or amend a data standard.</w:t>
      </w:r>
    </w:p>
    <w:p w14:paraId="684C72FD" w14:textId="77777777" w:rsidR="00BB7660" w:rsidRPr="00964EDA" w:rsidRDefault="00BB7660" w:rsidP="00BB7660">
      <w:pPr>
        <w:pStyle w:val="subsection"/>
        <w:rPr>
          <w:color w:val="000000"/>
        </w:rPr>
      </w:pPr>
      <w:r w:rsidRPr="00964EDA">
        <w:rPr>
          <w:color w:val="000000"/>
        </w:rPr>
        <w:tab/>
      </w:r>
      <w:r>
        <w:rPr>
          <w:color w:val="000000"/>
        </w:rPr>
        <w:t>(2)</w:t>
      </w:r>
      <w:r w:rsidRPr="00964EDA">
        <w:rPr>
          <w:color w:val="000000"/>
        </w:rPr>
        <w:tab/>
        <w:t xml:space="preserve">If the standard or amendment is urgent, the </w:t>
      </w:r>
      <w:r>
        <w:rPr>
          <w:color w:val="000000"/>
        </w:rPr>
        <w:t xml:space="preserve">Chair may instead notify the Commission </w:t>
      </w:r>
      <w:r w:rsidRPr="00CB249E">
        <w:t xml:space="preserve">and the Information Commissioner </w:t>
      </w:r>
      <w:r w:rsidRPr="00964EDA">
        <w:rPr>
          <w:color w:val="000000"/>
        </w:rPr>
        <w:t xml:space="preserve">after </w:t>
      </w:r>
      <w:r>
        <w:rPr>
          <w:color w:val="000000"/>
        </w:rPr>
        <w:t xml:space="preserve">it </w:t>
      </w:r>
      <w:r w:rsidRPr="00964EDA">
        <w:rPr>
          <w:color w:val="000000"/>
        </w:rPr>
        <w:t>has been made.</w:t>
      </w:r>
    </w:p>
    <w:p w14:paraId="57E44E31" w14:textId="77777777" w:rsidR="00BB7660" w:rsidRPr="00964EDA" w:rsidRDefault="00BB7660" w:rsidP="00BB7660">
      <w:pPr>
        <w:pStyle w:val="subsection"/>
        <w:rPr>
          <w:color w:val="000000"/>
        </w:rPr>
      </w:pPr>
      <w:r w:rsidRPr="00964EDA">
        <w:rPr>
          <w:color w:val="000000"/>
        </w:rPr>
        <w:tab/>
      </w:r>
      <w:r>
        <w:rPr>
          <w:color w:val="000000"/>
        </w:rPr>
        <w:t>(3)</w:t>
      </w:r>
      <w:r w:rsidRPr="00964EDA">
        <w:rPr>
          <w:color w:val="000000"/>
        </w:rPr>
        <w:tab/>
        <w:t xml:space="preserve">A failure to comply with this </w:t>
      </w:r>
      <w:r>
        <w:rPr>
          <w:color w:val="000000"/>
        </w:rPr>
        <w:t>rule</w:t>
      </w:r>
      <w:r w:rsidRPr="00964EDA">
        <w:rPr>
          <w:color w:val="000000"/>
        </w:rPr>
        <w:t xml:space="preserve"> does not affect the validity or enforceability of a data standard or an amendment to a data standard.</w:t>
      </w:r>
    </w:p>
    <w:p w14:paraId="6C98986C" w14:textId="77777777" w:rsidR="00BB7660" w:rsidRDefault="00BB7660" w:rsidP="00BB7660">
      <w:pPr>
        <w:pStyle w:val="ActHead5"/>
      </w:pPr>
      <w:bookmarkStart w:id="585" w:name="_Toc11771693"/>
      <w:bookmarkStart w:id="586" w:name="_Toc111132225"/>
      <w:r>
        <w:t>8.9  Consultation when developing or amending data standards</w:t>
      </w:r>
      <w:bookmarkEnd w:id="585"/>
      <w:bookmarkEnd w:id="586"/>
    </w:p>
    <w:p w14:paraId="351C5348" w14:textId="77777777" w:rsidR="00BB7660" w:rsidRDefault="00BB7660" w:rsidP="00BB7660">
      <w:pPr>
        <w:pStyle w:val="subsection"/>
      </w:pPr>
      <w:r>
        <w:tab/>
        <w:t>(1)</w:t>
      </w:r>
      <w:r>
        <w:tab/>
        <w:t xml:space="preserve">This rule does not apply in relation to: </w:t>
      </w:r>
    </w:p>
    <w:p w14:paraId="1AB3C84D" w14:textId="77777777" w:rsidR="00BB7660" w:rsidRDefault="00BB7660" w:rsidP="00BB7660">
      <w:pPr>
        <w:pStyle w:val="paragraph"/>
      </w:pPr>
      <w:r>
        <w:tab/>
        <w:t>(a)</w:t>
      </w:r>
      <w:r>
        <w:tab/>
        <w:t>a data standard or an amendment to a data standard that is made before 1 August 2020</w:t>
      </w:r>
      <w:r w:rsidRPr="00BA3E85">
        <w:t>;</w:t>
      </w:r>
      <w:r>
        <w:t xml:space="preserve"> or</w:t>
      </w:r>
    </w:p>
    <w:p w14:paraId="7E17EEF6" w14:textId="77777777" w:rsidR="00BB7660" w:rsidRPr="00BA3E85" w:rsidRDefault="00BB7660" w:rsidP="00BB7660">
      <w:pPr>
        <w:pStyle w:val="paragraph"/>
        <w:rPr>
          <w:color w:val="000000"/>
        </w:rPr>
      </w:pPr>
      <w:r>
        <w:tab/>
        <w:t>(b)</w:t>
      </w:r>
      <w:r>
        <w:tab/>
      </w:r>
      <w:r w:rsidRPr="00BA3E85">
        <w:t>an amendment to a data standard that is, in the opinion of the Data Standards Chair, minor or urgent</w:t>
      </w:r>
      <w:r>
        <w:t>.</w:t>
      </w:r>
    </w:p>
    <w:p w14:paraId="77374E06" w14:textId="77777777" w:rsidR="00BB7660" w:rsidRDefault="00BB7660" w:rsidP="00BB7660">
      <w:pPr>
        <w:pStyle w:val="subsection"/>
      </w:pPr>
      <w:r>
        <w:tab/>
        <w:t>(2)</w:t>
      </w:r>
      <w:r>
        <w:tab/>
        <w:t>Before making or amending a data standard, the Data Standards Chair must:</w:t>
      </w:r>
    </w:p>
    <w:p w14:paraId="1FB9235C" w14:textId="77777777" w:rsidR="00BB7660" w:rsidRDefault="00BB7660" w:rsidP="00BB7660">
      <w:pPr>
        <w:pStyle w:val="paragraph"/>
      </w:pPr>
      <w:r>
        <w:tab/>
        <w:t>(a)</w:t>
      </w:r>
      <w:r>
        <w:tab/>
        <w:t xml:space="preserve">prepare a draft of the proposed standard or amendment (the </w:t>
      </w:r>
      <w:r>
        <w:rPr>
          <w:b/>
          <w:i/>
        </w:rPr>
        <w:t>consultation draft</w:t>
      </w:r>
      <w:r>
        <w:t>); and</w:t>
      </w:r>
    </w:p>
    <w:p w14:paraId="1C8E388C" w14:textId="77777777" w:rsidR="00BB7660" w:rsidRPr="00964EDA" w:rsidRDefault="00BB7660" w:rsidP="00BB7660">
      <w:pPr>
        <w:pStyle w:val="paragraph"/>
        <w:rPr>
          <w:color w:val="000000"/>
        </w:rPr>
      </w:pPr>
      <w:r>
        <w:tab/>
        <w:t>(b)</w:t>
      </w:r>
      <w:r>
        <w:tab/>
        <w:t>consult with</w:t>
      </w:r>
      <w:r w:rsidRPr="00964EDA">
        <w:rPr>
          <w:color w:val="000000"/>
        </w:rPr>
        <w:t>:</w:t>
      </w:r>
    </w:p>
    <w:p w14:paraId="171C0836" w14:textId="77777777" w:rsidR="00BB7660" w:rsidRPr="00964EDA" w:rsidRDefault="00BB7660" w:rsidP="00BB7660">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and</w:t>
      </w:r>
    </w:p>
    <w:p w14:paraId="2973BFAF" w14:textId="77777777" w:rsidR="00BB7660" w:rsidRPr="00964EDA" w:rsidRDefault="00BB7660" w:rsidP="00BB7660">
      <w:pPr>
        <w:pStyle w:val="paragraphsub"/>
        <w:rPr>
          <w:color w:val="000000"/>
        </w:rPr>
      </w:pPr>
      <w:r w:rsidRPr="00964EDA">
        <w:rPr>
          <w:color w:val="000000"/>
        </w:rPr>
        <w:tab/>
      </w:r>
      <w:r>
        <w:rPr>
          <w:color w:val="000000"/>
        </w:rPr>
        <w:t>(ii)</w:t>
      </w:r>
      <w:r w:rsidRPr="00964EDA">
        <w:rPr>
          <w:color w:val="000000"/>
        </w:rPr>
        <w:tab/>
        <w:t>the Commission; and</w:t>
      </w:r>
    </w:p>
    <w:p w14:paraId="588D5BAA" w14:textId="77777777" w:rsidR="00BB7660" w:rsidRPr="00964EDA" w:rsidRDefault="00BB7660" w:rsidP="00BB7660">
      <w:pPr>
        <w:pStyle w:val="paragraphsub"/>
        <w:rPr>
          <w:color w:val="000000"/>
        </w:rPr>
      </w:pPr>
      <w:r w:rsidRPr="00964EDA">
        <w:rPr>
          <w:color w:val="000000"/>
        </w:rPr>
        <w:tab/>
      </w:r>
      <w:r>
        <w:rPr>
          <w:color w:val="000000"/>
        </w:rPr>
        <w:t>(iii)</w:t>
      </w:r>
      <w:r w:rsidRPr="00964EDA">
        <w:rPr>
          <w:color w:val="000000"/>
        </w:rPr>
        <w:tab/>
        <w:t>the Information Commissioner;</w:t>
      </w:r>
    </w:p>
    <w:p w14:paraId="42026059" w14:textId="77777777" w:rsidR="00BB7660" w:rsidRDefault="00BB7660" w:rsidP="00BB7660">
      <w:pPr>
        <w:pStyle w:val="paragraph"/>
      </w:pPr>
      <w:r>
        <w:tab/>
      </w:r>
      <w:r>
        <w:tab/>
        <w:t>on the consultation draft; and</w:t>
      </w:r>
    </w:p>
    <w:p w14:paraId="70371D22" w14:textId="77777777" w:rsidR="00BB7660" w:rsidRDefault="00BB7660" w:rsidP="00BB7660">
      <w:pPr>
        <w:pStyle w:val="paragraph"/>
      </w:pPr>
      <w:r>
        <w:tab/>
        <w:t>(c)</w:t>
      </w:r>
      <w:r>
        <w:tab/>
        <w:t>cause the consultation draft to be published on the website of the Data Standards Body; and</w:t>
      </w:r>
    </w:p>
    <w:p w14:paraId="0D658349" w14:textId="77777777" w:rsidR="00BB7660" w:rsidRPr="003F3AC9" w:rsidRDefault="00BB7660" w:rsidP="00BB7660">
      <w:pPr>
        <w:pStyle w:val="paragraph"/>
      </w:pPr>
      <w:r w:rsidRPr="003F3AC9">
        <w:tab/>
      </w:r>
      <w:r>
        <w:t>(d)</w:t>
      </w:r>
      <w:r w:rsidRPr="003F3AC9">
        <w:tab/>
        <w:t>invite submissions in relation to the consultation draft from interested members of the public to be made by a specified date that is no earlier than 28 days after the draft is published.</w:t>
      </w:r>
    </w:p>
    <w:p w14:paraId="0A6A4A95" w14:textId="77777777" w:rsidR="00BB7660" w:rsidRPr="003F3AC9" w:rsidRDefault="00BB7660" w:rsidP="00BB7660">
      <w:pPr>
        <w:pStyle w:val="subsection"/>
      </w:pPr>
      <w:r w:rsidRPr="003F3AC9">
        <w:tab/>
      </w:r>
      <w:r>
        <w:t>(3)</w:t>
      </w:r>
      <w:r w:rsidRPr="003F3AC9">
        <w:tab/>
        <w:t>The Data Standards Chair may extend the date for consultation.</w:t>
      </w:r>
    </w:p>
    <w:p w14:paraId="2ABBFF69" w14:textId="77777777" w:rsidR="00BB7660" w:rsidRDefault="00BB7660" w:rsidP="00BB7660">
      <w:pPr>
        <w:pStyle w:val="subsection"/>
      </w:pPr>
      <w:r>
        <w:tab/>
        <w:t>(4)</w:t>
      </w:r>
      <w:r>
        <w:tab/>
        <w:t>A failure to comply with this rule does not affect the validity or enforceability of a data standard or an amendment to a data standard.</w:t>
      </w:r>
    </w:p>
    <w:p w14:paraId="09422B5A" w14:textId="77777777" w:rsidR="00BB7660" w:rsidRDefault="00BB7660" w:rsidP="00BB7660">
      <w:pPr>
        <w:pStyle w:val="ActHead5"/>
      </w:pPr>
      <w:bookmarkStart w:id="587" w:name="_Toc11771694"/>
      <w:bookmarkStart w:id="588" w:name="_Toc111132226"/>
      <w:r>
        <w:t>8.10  Matters to have regard to when making or amending data standards</w:t>
      </w:r>
      <w:bookmarkEnd w:id="587"/>
      <w:bookmarkEnd w:id="588"/>
    </w:p>
    <w:p w14:paraId="4A85C4C1" w14:textId="77777777" w:rsidR="00BB7660" w:rsidRDefault="00BB7660" w:rsidP="00BB7660">
      <w:pPr>
        <w:pStyle w:val="subsection"/>
      </w:pPr>
      <w:r>
        <w:tab/>
      </w:r>
      <w:r>
        <w:tab/>
        <w:t>When making or amending a data standard, the Data Standards Chair must have regard to the following:</w:t>
      </w:r>
    </w:p>
    <w:p w14:paraId="08DA0EA3" w14:textId="77777777" w:rsidR="00BB7660" w:rsidRDefault="00BB7660" w:rsidP="00BB7660">
      <w:pPr>
        <w:pStyle w:val="paragraph"/>
      </w:pPr>
      <w:r>
        <w:tab/>
        <w:t>(a)</w:t>
      </w:r>
      <w:r>
        <w:tab/>
        <w:t xml:space="preserve">the advice </w:t>
      </w:r>
      <w:r w:rsidRPr="00964EDA">
        <w:rPr>
          <w:color w:val="000000"/>
        </w:rPr>
        <w:t xml:space="preserve">or submissions </w:t>
      </w:r>
      <w:r>
        <w:t>(if any) received from:</w:t>
      </w:r>
    </w:p>
    <w:p w14:paraId="3070339F" w14:textId="77777777" w:rsidR="00BB7660" w:rsidRPr="00964EDA" w:rsidRDefault="00BB7660" w:rsidP="00BB7660">
      <w:pPr>
        <w:pStyle w:val="paragraphsub"/>
        <w:rPr>
          <w:color w:val="000000"/>
        </w:rPr>
      </w:pPr>
      <w:r w:rsidRPr="00964EDA">
        <w:rPr>
          <w:color w:val="000000"/>
        </w:rPr>
        <w:tab/>
      </w:r>
      <w:r>
        <w:rPr>
          <w:color w:val="000000"/>
        </w:rPr>
        <w:t>(i)</w:t>
      </w:r>
      <w:r w:rsidRPr="00964EDA">
        <w:rPr>
          <w:color w:val="000000"/>
        </w:rPr>
        <w:tab/>
      </w:r>
      <w:r w:rsidRPr="00CB23DE">
        <w:t xml:space="preserve">the Data Standards Advisory </w:t>
      </w:r>
      <w:r>
        <w:t>Committee</w:t>
      </w:r>
      <w:r w:rsidRPr="00964EDA">
        <w:rPr>
          <w:color w:val="000000"/>
        </w:rPr>
        <w:t>; or</w:t>
      </w:r>
    </w:p>
    <w:p w14:paraId="5B791B46" w14:textId="77777777" w:rsidR="00BB7660" w:rsidRPr="00964EDA" w:rsidRDefault="00BB7660" w:rsidP="00BB7660">
      <w:pPr>
        <w:pStyle w:val="paragraphsub"/>
        <w:rPr>
          <w:color w:val="000000"/>
        </w:rPr>
      </w:pPr>
      <w:r w:rsidRPr="00964EDA">
        <w:rPr>
          <w:color w:val="000000"/>
        </w:rPr>
        <w:tab/>
      </w:r>
      <w:r>
        <w:rPr>
          <w:color w:val="000000"/>
        </w:rPr>
        <w:t>(ii)</w:t>
      </w:r>
      <w:r w:rsidRPr="00964EDA">
        <w:rPr>
          <w:color w:val="000000"/>
        </w:rPr>
        <w:tab/>
        <w:t>the Commission; or</w:t>
      </w:r>
    </w:p>
    <w:p w14:paraId="50183554" w14:textId="77777777" w:rsidR="00BB7660" w:rsidRDefault="00BB7660" w:rsidP="00BB7660">
      <w:pPr>
        <w:pStyle w:val="paragraphsub"/>
      </w:pPr>
      <w:r w:rsidRPr="00964EDA">
        <w:rPr>
          <w:color w:val="000000"/>
        </w:rPr>
        <w:tab/>
      </w:r>
      <w:r>
        <w:rPr>
          <w:color w:val="000000"/>
        </w:rPr>
        <w:t>(iii)</w:t>
      </w:r>
      <w:r w:rsidRPr="00964EDA">
        <w:rPr>
          <w:color w:val="000000"/>
        </w:rPr>
        <w:tab/>
        <w:t>the Information Commissioner;</w:t>
      </w:r>
    </w:p>
    <w:p w14:paraId="4BC2BCBE" w14:textId="77777777" w:rsidR="00BB7660" w:rsidRDefault="00BB7660" w:rsidP="00BB7660">
      <w:pPr>
        <w:pStyle w:val="paragraph"/>
      </w:pPr>
      <w:r>
        <w:lastRenderedPageBreak/>
        <w:tab/>
      </w:r>
      <w:r>
        <w:tab/>
        <w:t xml:space="preserve">on a draft of the proposed standard or amendment (the </w:t>
      </w:r>
      <w:r>
        <w:rPr>
          <w:b/>
          <w:i/>
        </w:rPr>
        <w:t>consultation draft</w:t>
      </w:r>
      <w:r>
        <w:t>);</w:t>
      </w:r>
    </w:p>
    <w:p w14:paraId="08CFAE14" w14:textId="77777777" w:rsidR="00BB7660" w:rsidRDefault="00BB7660" w:rsidP="00BB7660">
      <w:pPr>
        <w:pStyle w:val="paragraph"/>
      </w:pPr>
      <w:r>
        <w:tab/>
        <w:t>(b)</w:t>
      </w:r>
      <w:r>
        <w:tab/>
        <w:t xml:space="preserve">submissions (if any) received during the </w:t>
      </w:r>
      <w:r w:rsidRPr="00CB23DE">
        <w:t xml:space="preserve">public </w:t>
      </w:r>
      <w:r>
        <w:t>consultation (if any) that was undertaken in relation to the consultation draft in accordance with rule 8.9;</w:t>
      </w:r>
    </w:p>
    <w:p w14:paraId="2255DBB5" w14:textId="77777777" w:rsidR="00BB7660" w:rsidRDefault="00BB7660" w:rsidP="00BB7660">
      <w:pPr>
        <w:pStyle w:val="paragraph"/>
      </w:pPr>
      <w:r>
        <w:tab/>
        <w:t>(c)</w:t>
      </w:r>
      <w:r>
        <w:tab/>
        <w:t>any advice from any other relevant committee, advisory panel or consultative group that has been established by the Chair (see paragraph 56FH(2)(a) of the Act).</w:t>
      </w:r>
    </w:p>
    <w:p w14:paraId="52DA6932" w14:textId="77777777" w:rsidR="00BB7660" w:rsidRDefault="00BB7660" w:rsidP="00BB7660">
      <w:pPr>
        <w:pStyle w:val="ActHead3"/>
        <w:pageBreakBefore/>
      </w:pPr>
      <w:bookmarkStart w:id="589" w:name="_Toc11771695"/>
      <w:bookmarkStart w:id="590" w:name="_Toc111132227"/>
      <w:r>
        <w:lastRenderedPageBreak/>
        <w:t>Division 8.4—Data standards that must be made</w:t>
      </w:r>
      <w:bookmarkEnd w:id="589"/>
      <w:bookmarkEnd w:id="590"/>
    </w:p>
    <w:p w14:paraId="20029715" w14:textId="77777777" w:rsidR="00BB7660" w:rsidRDefault="00BB7660" w:rsidP="00BB7660">
      <w:pPr>
        <w:pStyle w:val="ActHead5"/>
      </w:pPr>
      <w:bookmarkStart w:id="591" w:name="_Toc11771696"/>
      <w:bookmarkStart w:id="592" w:name="_Toc111132228"/>
      <w:r>
        <w:t>8.11  Data standards that must be made</w:t>
      </w:r>
      <w:bookmarkEnd w:id="591"/>
      <w:bookmarkEnd w:id="592"/>
    </w:p>
    <w:p w14:paraId="1E6AB408" w14:textId="77777777" w:rsidR="00BB7660" w:rsidRDefault="00BB7660" w:rsidP="00BB7660">
      <w:pPr>
        <w:pStyle w:val="subsection"/>
      </w:pPr>
      <w:r>
        <w:tab/>
        <w:t>(1)</w:t>
      </w:r>
      <w:r>
        <w:tab/>
        <w:t>The Data Standards Chair must make one or more data standards about each of the following:</w:t>
      </w:r>
    </w:p>
    <w:p w14:paraId="7E89619B" w14:textId="77777777" w:rsidR="00BB7660" w:rsidRPr="003F3AC9" w:rsidRDefault="00BB7660" w:rsidP="00BB7660">
      <w:pPr>
        <w:pStyle w:val="paragraph"/>
      </w:pPr>
      <w:r w:rsidRPr="003F3AC9">
        <w:tab/>
      </w:r>
      <w:r>
        <w:t>(a)</w:t>
      </w:r>
      <w:r w:rsidRPr="003F3AC9">
        <w:tab/>
        <w:t>the processes for:</w:t>
      </w:r>
    </w:p>
    <w:p w14:paraId="77727B2E" w14:textId="77777777" w:rsidR="00BB7660" w:rsidRPr="003F3AC9" w:rsidRDefault="00BB7660" w:rsidP="00BB7660">
      <w:pPr>
        <w:pStyle w:val="paragraphsub"/>
      </w:pPr>
      <w:r w:rsidRPr="003F3AC9">
        <w:tab/>
      </w:r>
      <w:r>
        <w:t>(i)</w:t>
      </w:r>
      <w:r w:rsidRPr="003F3AC9">
        <w:tab/>
        <w:t>making and responding to product data requests and consumer data requests; and</w:t>
      </w:r>
    </w:p>
    <w:p w14:paraId="7DEC87EC" w14:textId="77777777" w:rsidR="00BB7660" w:rsidRPr="00A00F6F" w:rsidRDefault="00BB7660" w:rsidP="00BB7660">
      <w:pPr>
        <w:pStyle w:val="paragraphsub"/>
      </w:pPr>
      <w:r w:rsidRPr="003F3AC9">
        <w:tab/>
      </w:r>
      <w:r>
        <w:t>(ii)</w:t>
      </w:r>
      <w:r w:rsidRPr="003F3AC9">
        <w:tab/>
        <w:t>obtaining authorisations and consents, and withdrawal of authorisations and consents;</w:t>
      </w:r>
      <w:r w:rsidRPr="00A00F6F">
        <w:t xml:space="preserve"> and</w:t>
      </w:r>
    </w:p>
    <w:p w14:paraId="76275E72" w14:textId="77777777" w:rsidR="00BB7660" w:rsidRPr="00A00F6F" w:rsidRDefault="00BB7660" w:rsidP="00BB7660">
      <w:pPr>
        <w:pStyle w:val="paragraphsub"/>
      </w:pPr>
      <w:r w:rsidRPr="00A00F6F">
        <w:tab/>
        <w:t>(iii)</w:t>
      </w:r>
      <w:r w:rsidRPr="00A00F6F">
        <w:tab/>
        <w:t xml:space="preserve">making and responding to requests by the primary data holder for SR data under rules 1.22 and 1.23; </w:t>
      </w:r>
    </w:p>
    <w:p w14:paraId="5F5F230A" w14:textId="77777777" w:rsidR="00BB7660" w:rsidRPr="003F3AC9" w:rsidRDefault="00BB7660" w:rsidP="00BB7660">
      <w:pPr>
        <w:pStyle w:val="paragraph"/>
      </w:pPr>
      <w:r w:rsidRPr="003F3AC9">
        <w:tab/>
      </w:r>
      <w:r>
        <w:t>(b)</w:t>
      </w:r>
      <w:r w:rsidRPr="003F3AC9">
        <w:tab/>
        <w:t>the collection and use of CDR data, including requirements to be met by CDR participants in relation to seeking consent from CDR consumers;</w:t>
      </w:r>
    </w:p>
    <w:p w14:paraId="5FD01890" w14:textId="77777777" w:rsidR="00BB7660" w:rsidRPr="003F3AC9" w:rsidRDefault="00BB7660" w:rsidP="00BB7660">
      <w:pPr>
        <w:pStyle w:val="paragraph"/>
      </w:pPr>
      <w:r w:rsidRPr="003F3AC9">
        <w:tab/>
      </w:r>
      <w:r>
        <w:t>(c)</w:t>
      </w:r>
      <w:r w:rsidRPr="003F3AC9">
        <w:tab/>
        <w:t>the disclosure and security of CDR data, including:</w:t>
      </w:r>
    </w:p>
    <w:p w14:paraId="4D4B35A9" w14:textId="77777777" w:rsidR="00BB7660" w:rsidRPr="003F3AC9" w:rsidRDefault="00BB7660" w:rsidP="00BB7660">
      <w:pPr>
        <w:pStyle w:val="paragraphsub"/>
      </w:pPr>
      <w:r w:rsidRPr="003F3AC9">
        <w:tab/>
      </w:r>
      <w:r>
        <w:t>(i)</w:t>
      </w:r>
      <w:r w:rsidRPr="003F3AC9">
        <w:tab/>
        <w:t>authentication of CDR consumers to a standard which meets, in the opinion of the Chair, best practice security requirements; and</w:t>
      </w:r>
    </w:p>
    <w:p w14:paraId="59567D11" w14:textId="77777777" w:rsidR="00BB7660" w:rsidRDefault="00BB7660" w:rsidP="00BB7660">
      <w:pPr>
        <w:pStyle w:val="paragraphsub"/>
      </w:pPr>
      <w:r>
        <w:tab/>
        <w:t>(ii)</w:t>
      </w:r>
      <w:r>
        <w:tab/>
        <w:t xml:space="preserve">seeking authorisations to disclose CDR data in response </w:t>
      </w:r>
      <w:r w:rsidRPr="003F3AC9">
        <w:t xml:space="preserve">to </w:t>
      </w:r>
      <w:r>
        <w:t xml:space="preserve">consumer data requests; </w:t>
      </w:r>
      <w:r w:rsidRPr="00CE5ECF">
        <w:t>and</w:t>
      </w:r>
      <w:r>
        <w:t xml:space="preserve"> </w:t>
      </w:r>
    </w:p>
    <w:p w14:paraId="6608EBDC" w14:textId="77777777" w:rsidR="00BB7660" w:rsidRPr="000867EF" w:rsidRDefault="00BB7660" w:rsidP="00BB7660">
      <w:pPr>
        <w:pStyle w:val="paragraphsub"/>
      </w:pPr>
      <w:r>
        <w:tab/>
      </w:r>
      <w:r w:rsidRPr="00CE5ECF">
        <w:t>(iii)</w:t>
      </w:r>
      <w:r w:rsidRPr="00CE5ECF">
        <w:tab/>
        <w:t xml:space="preserve">consumer experience data standards for disclosure of CDR data to accredited </w:t>
      </w:r>
      <w:r w:rsidRPr="000867EF">
        <w:t>persons; and</w:t>
      </w:r>
    </w:p>
    <w:p w14:paraId="7F4D4C55" w14:textId="77777777" w:rsidR="00BB7660" w:rsidRPr="00A00F6F" w:rsidRDefault="00BB7660" w:rsidP="00BB7660">
      <w:pPr>
        <w:pStyle w:val="paragraphsub"/>
      </w:pPr>
      <w:r w:rsidRPr="00A00F6F">
        <w:tab/>
        <w:t>(iv)</w:t>
      </w:r>
      <w:r w:rsidRPr="00A00F6F">
        <w:tab/>
        <w:t>consumer experience data standards for disclosure of CDR data to trusted advisers;</w:t>
      </w:r>
    </w:p>
    <w:p w14:paraId="53764AEB" w14:textId="77777777" w:rsidR="00BB7660" w:rsidRPr="009B680A" w:rsidRDefault="00BB7660" w:rsidP="00BB7660">
      <w:pPr>
        <w:pStyle w:val="paragraphsub"/>
        <w:rPr>
          <w:color w:val="0000FF"/>
        </w:rPr>
      </w:pPr>
      <w:r w:rsidRPr="00A00F6F">
        <w:tab/>
        <w:t>(v)</w:t>
      </w:r>
      <w:r w:rsidRPr="00A00F6F">
        <w:tab/>
        <w:t>consumer experience data standards for disclosure of CDR insights</w:t>
      </w:r>
      <w:r w:rsidRPr="004026E2">
        <w:t>;</w:t>
      </w:r>
    </w:p>
    <w:p w14:paraId="7C2504E4" w14:textId="77777777" w:rsidR="000F17E2" w:rsidRPr="009B680A" w:rsidRDefault="000F17E2" w:rsidP="00BB7660">
      <w:pPr>
        <w:pStyle w:val="paragraphsub"/>
        <w:rPr>
          <w:color w:val="0000FF"/>
        </w:rPr>
      </w:pPr>
      <w:r w:rsidRPr="009B680A">
        <w:rPr>
          <w:color w:val="0000FF"/>
        </w:rPr>
        <w:tab/>
        <w:t>(vi)</w:t>
      </w:r>
      <w:r w:rsidRPr="009B680A">
        <w:rPr>
          <w:color w:val="0000FF"/>
        </w:rPr>
        <w:tab/>
        <w:t>consumer experience data standards for disclosure of CDR data to a person under a business consumer disclosure consent;</w:t>
      </w:r>
    </w:p>
    <w:p w14:paraId="333991C5" w14:textId="77777777" w:rsidR="00BB7660" w:rsidRDefault="00BB7660" w:rsidP="00BB7660">
      <w:pPr>
        <w:pStyle w:val="paragraph"/>
      </w:pPr>
      <w:r>
        <w:tab/>
        <w:t>(d)</w:t>
      </w:r>
      <w:r>
        <w:tab/>
      </w:r>
      <w:r w:rsidRPr="006F4A42">
        <w:t xml:space="preserve">the types of </w:t>
      </w:r>
      <w:r>
        <w:t xml:space="preserve">CDR data </w:t>
      </w:r>
      <w:r w:rsidRPr="00E53912">
        <w:rPr>
          <w:color w:val="000000" w:themeColor="text1"/>
        </w:rPr>
        <w:t>and descriptions of those types,</w:t>
      </w:r>
      <w:r>
        <w:t xml:space="preserve"> to be used by CDR participants in making and responding to requests;</w:t>
      </w:r>
    </w:p>
    <w:p w14:paraId="4299FE9E" w14:textId="77777777" w:rsidR="00BB7660" w:rsidRDefault="00BB7660" w:rsidP="00BB7660">
      <w:pPr>
        <w:pStyle w:val="paragraph"/>
      </w:pPr>
      <w:r>
        <w:tab/>
        <w:t>(e)</w:t>
      </w:r>
      <w:r>
        <w:tab/>
        <w:t>the formats in which CDR data is to be provided in response to requests;</w:t>
      </w:r>
    </w:p>
    <w:p w14:paraId="28C9DB40" w14:textId="77777777" w:rsidR="00BB7660" w:rsidRDefault="00BB7660" w:rsidP="00BB7660">
      <w:pPr>
        <w:pStyle w:val="paragraph"/>
      </w:pPr>
      <w:r>
        <w:tab/>
        <w:t>(f)</w:t>
      </w:r>
      <w:r>
        <w:tab/>
        <w:t>requirements to be met by CDR participants in relation to:</w:t>
      </w:r>
    </w:p>
    <w:p w14:paraId="62ECF6A5" w14:textId="77777777" w:rsidR="00BB7660" w:rsidRDefault="00BB7660" w:rsidP="00BB7660">
      <w:pPr>
        <w:pStyle w:val="paragraphsub"/>
      </w:pPr>
      <w:r>
        <w:tab/>
        <w:t>(i)</w:t>
      </w:r>
      <w:r>
        <w:tab/>
        <w:t>performance and availability of systems to respond to requests; and</w:t>
      </w:r>
    </w:p>
    <w:p w14:paraId="37BF1453" w14:textId="77777777" w:rsidR="00BB7660" w:rsidRDefault="00BB7660" w:rsidP="00BB7660">
      <w:pPr>
        <w:pStyle w:val="paragraphsub"/>
      </w:pPr>
      <w:r>
        <w:tab/>
        <w:t>(ii)</w:t>
      </w:r>
      <w:r>
        <w:tab/>
        <w:t>public reporting of information relating to compliance with those requirements;</w:t>
      </w:r>
    </w:p>
    <w:p w14:paraId="387B7BB6" w14:textId="77777777" w:rsidR="00BB7660" w:rsidRPr="003F3AC9" w:rsidRDefault="00BB7660" w:rsidP="00BB7660">
      <w:pPr>
        <w:pStyle w:val="paragraph"/>
      </w:pPr>
      <w:r>
        <w:tab/>
        <w:t>(g)</w:t>
      </w:r>
      <w:r>
        <w:tab/>
        <w:t xml:space="preserve">the processes for CDR participants to notify other CDR participants of </w:t>
      </w:r>
      <w:r w:rsidRPr="003F3AC9">
        <w:t>withdrawal of consent or authorisations by CDR consumers;</w:t>
      </w:r>
    </w:p>
    <w:p w14:paraId="7445BA7F" w14:textId="77777777" w:rsidR="00BB7660" w:rsidRDefault="00BB7660" w:rsidP="00BB7660">
      <w:pPr>
        <w:pStyle w:val="paragraph"/>
      </w:pPr>
      <w:r w:rsidRPr="003F3AC9">
        <w:tab/>
      </w:r>
      <w:r>
        <w:t>(h)</w:t>
      </w:r>
      <w:r w:rsidRPr="003F3AC9">
        <w:tab/>
        <w:t>the provision of administrative or ancillary services by CDR participants to facilitate the management and receipt of communications between CDR participants</w:t>
      </w:r>
      <w:r>
        <w:t>.</w:t>
      </w:r>
    </w:p>
    <w:p w14:paraId="3210A1FC" w14:textId="77777777" w:rsidR="00BB7660" w:rsidRPr="00A00F6F" w:rsidRDefault="00BB7660" w:rsidP="00BB7660">
      <w:pPr>
        <w:pStyle w:val="subsection"/>
      </w:pPr>
      <w:r w:rsidRPr="00A00F6F">
        <w:tab/>
        <w:t>(1A)</w:t>
      </w:r>
      <w:r w:rsidRPr="00A00F6F">
        <w:tab/>
        <w:t>The standards for the purposes of paragraph (1)(a)(ii) that relate to obtaining insight disclosure consents must include provisions that cover the following:</w:t>
      </w:r>
    </w:p>
    <w:p w14:paraId="43230029" w14:textId="77777777" w:rsidR="00BB7660" w:rsidRPr="004026E2" w:rsidRDefault="00BB7660" w:rsidP="00BB7660">
      <w:pPr>
        <w:pStyle w:val="paragraph"/>
        <w:rPr>
          <w:color w:val="0000FF"/>
        </w:rPr>
      </w:pPr>
      <w:r w:rsidRPr="004026E2">
        <w:rPr>
          <w:color w:val="0000FF"/>
        </w:rPr>
        <w:tab/>
        <w:t>(a)</w:t>
      </w:r>
      <w:r w:rsidRPr="004026E2">
        <w:rPr>
          <w:color w:val="0000FF"/>
        </w:rPr>
        <w:tab/>
        <w:t>how the accredited person or CDR representative can meet the requirement to explain a CDR insight in accordance with paragraph 4.11(3)(ca) or 4</w:t>
      </w:r>
      <w:r w:rsidR="0034635F" w:rsidRPr="004026E2">
        <w:rPr>
          <w:color w:val="0000FF"/>
        </w:rPr>
        <w:t>.20E</w:t>
      </w:r>
      <w:r w:rsidRPr="004026E2">
        <w:rPr>
          <w:color w:val="0000FF"/>
        </w:rPr>
        <w:t>(3)(g);</w:t>
      </w:r>
    </w:p>
    <w:p w14:paraId="30CA06E7" w14:textId="77777777" w:rsidR="0082401F" w:rsidRPr="004026E2" w:rsidRDefault="0082401F" w:rsidP="0082401F">
      <w:pPr>
        <w:pStyle w:val="paragraph"/>
        <w:rPr>
          <w:strike/>
          <w:color w:val="0000FF"/>
        </w:rPr>
      </w:pPr>
      <w:r w:rsidRPr="004026E2">
        <w:rPr>
          <w:strike/>
          <w:color w:val="0000FF"/>
        </w:rPr>
        <w:lastRenderedPageBreak/>
        <w:tab/>
        <w:t>(a)</w:t>
      </w:r>
      <w:r w:rsidRPr="004026E2">
        <w:rPr>
          <w:strike/>
          <w:color w:val="0000FF"/>
        </w:rPr>
        <w:tab/>
        <w:t>how the accredited person can meet the requirement to explain a CDR insight in accordance with paragraph 4.11(3)(ca);</w:t>
      </w:r>
    </w:p>
    <w:p w14:paraId="517795DF" w14:textId="77777777" w:rsidR="00BB7660" w:rsidRPr="00A00F6F" w:rsidRDefault="00BB7660" w:rsidP="00BB7660">
      <w:pPr>
        <w:pStyle w:val="paragraph"/>
      </w:pPr>
      <w:r w:rsidRPr="00A00F6F">
        <w:tab/>
        <w:t>(b)</w:t>
      </w:r>
      <w:r w:rsidRPr="00A00F6F">
        <w:tab/>
        <w:t>ensuring that the CDR consumer is made aware that their data will leave the CDR system when it is disclosed.</w:t>
      </w:r>
    </w:p>
    <w:p w14:paraId="73BD7090" w14:textId="77777777" w:rsidR="000F17E2" w:rsidRPr="009B680A" w:rsidRDefault="000F17E2" w:rsidP="000F17E2">
      <w:pPr>
        <w:pStyle w:val="subsection"/>
        <w:rPr>
          <w:color w:val="0000FF"/>
        </w:rPr>
      </w:pPr>
      <w:r w:rsidRPr="009B680A">
        <w:rPr>
          <w:color w:val="0000FF"/>
        </w:rPr>
        <w:tab/>
        <w:t>(1B)</w:t>
      </w:r>
      <w:r w:rsidRPr="009B680A">
        <w:rPr>
          <w:color w:val="0000FF"/>
        </w:rPr>
        <w:tab/>
        <w:t>The standards for the purposes of paragraph (1)(a)(ii) that relate to obtaining TA disclosure consents and business consumer disclosure consents must include provisions that cover ensuring that the CDR consumer is made aware that their data will leave the CDR system when it is disclosed.</w:t>
      </w:r>
    </w:p>
    <w:p w14:paraId="45943B60" w14:textId="77777777" w:rsidR="00BB7660" w:rsidRPr="003F3AC9" w:rsidRDefault="00BB7660" w:rsidP="00BB7660">
      <w:pPr>
        <w:pStyle w:val="subsection"/>
      </w:pPr>
      <w:r w:rsidRPr="003F3AC9">
        <w:tab/>
      </w:r>
      <w:r>
        <w:t>(2)</w:t>
      </w:r>
      <w:r w:rsidRPr="003F3AC9">
        <w:tab/>
        <w:t>Each such standard must indicate that it is binding and must specify the date on which it commences and the date by which it must be fully complied with.</w:t>
      </w:r>
    </w:p>
    <w:p w14:paraId="62B69D7A" w14:textId="77777777" w:rsidR="00BB7660" w:rsidRPr="00B3173B" w:rsidRDefault="00BB7660" w:rsidP="00BB7660">
      <w:pPr>
        <w:pStyle w:val="notetext"/>
      </w:pPr>
      <w:r w:rsidRPr="00B3173B">
        <w:t>Note:</w:t>
      </w:r>
      <w:r w:rsidRPr="00B3173B">
        <w:tab/>
        <w:t>See sections 56FD and 56FE</w:t>
      </w:r>
      <w:r>
        <w:t xml:space="preserve"> </w:t>
      </w:r>
      <w:r w:rsidRPr="00C560DF">
        <w:t>of the Act</w:t>
      </w:r>
      <w:r w:rsidRPr="00B3173B">
        <w:t xml:space="preserve"> for the legal effect of a binding data standard.</w:t>
      </w:r>
    </w:p>
    <w:p w14:paraId="12C435BA" w14:textId="77777777" w:rsidR="00BB7660" w:rsidRDefault="00BB7660" w:rsidP="00BB7660">
      <w:pPr>
        <w:pStyle w:val="subsection"/>
      </w:pPr>
      <w:r>
        <w:tab/>
        <w:t>(3)</w:t>
      </w:r>
      <w:r>
        <w:tab/>
        <w:t>The data standards must be subject to such consumer testing as the Data Standards Chair considers appropriate.</w:t>
      </w:r>
    </w:p>
    <w:p w14:paraId="0C4DE356" w14:textId="77777777" w:rsidR="00BB7660" w:rsidRDefault="00BB7660" w:rsidP="00BB7660">
      <w:pPr>
        <w:pStyle w:val="ActHead2"/>
        <w:pageBreakBefore/>
      </w:pPr>
      <w:bookmarkStart w:id="593" w:name="_Toc11771697"/>
      <w:bookmarkStart w:id="594" w:name="_Toc111132229"/>
      <w:r>
        <w:lastRenderedPageBreak/>
        <w:t>Part 9—Other matters</w:t>
      </w:r>
      <w:bookmarkEnd w:id="593"/>
      <w:bookmarkEnd w:id="594"/>
    </w:p>
    <w:p w14:paraId="231707A7" w14:textId="77777777" w:rsidR="00BB7660" w:rsidRPr="00B3173B" w:rsidRDefault="00BB7660" w:rsidP="00BB7660">
      <w:pPr>
        <w:pStyle w:val="ActHead3"/>
      </w:pPr>
      <w:bookmarkStart w:id="595" w:name="_Toc11771698"/>
      <w:bookmarkStart w:id="596" w:name="_Toc111132230"/>
      <w:r>
        <w:t>Division 9.1</w:t>
      </w:r>
      <w:r w:rsidRPr="00B3173B">
        <w:t>—Preliminary</w:t>
      </w:r>
      <w:bookmarkEnd w:id="595"/>
      <w:bookmarkEnd w:id="596"/>
    </w:p>
    <w:p w14:paraId="458D47FE" w14:textId="77777777" w:rsidR="00BB7660" w:rsidRPr="00B3173B" w:rsidRDefault="00BB7660" w:rsidP="00BB7660">
      <w:pPr>
        <w:pStyle w:val="ActHead5"/>
      </w:pPr>
      <w:bookmarkStart w:id="597" w:name="_Toc11771699"/>
      <w:bookmarkStart w:id="598" w:name="_Toc111132231"/>
      <w:r>
        <w:t>9.1</w:t>
      </w:r>
      <w:r w:rsidRPr="00B3173B">
        <w:t xml:space="preserve">  Simplified outline of this Part</w:t>
      </w:r>
      <w:bookmarkEnd w:id="597"/>
      <w:bookmarkEnd w:id="598"/>
    </w:p>
    <w:p w14:paraId="580FA933" w14:textId="77777777" w:rsidR="00BB7660" w:rsidRDefault="00BB7660" w:rsidP="00BB7660">
      <w:pPr>
        <w:pStyle w:val="SOText"/>
        <w:rPr>
          <w:color w:val="000000"/>
        </w:rPr>
      </w:pPr>
      <w:r>
        <w:rPr>
          <w:color w:val="000000"/>
        </w:rPr>
        <w:t>This Part deals with a range of miscellaneous matters, including:</w:t>
      </w:r>
    </w:p>
    <w:p w14:paraId="6BDADFC4" w14:textId="77777777" w:rsidR="00BB7660" w:rsidRDefault="00BB7660" w:rsidP="00BB7660">
      <w:pPr>
        <w:pStyle w:val="SOPara"/>
      </w:pPr>
      <w:r>
        <w:tab/>
      </w:r>
      <w:r>
        <w:sym w:font="Symbol" w:char="F0B7"/>
      </w:r>
      <w:r>
        <w:tab/>
        <w:t>decisions that can be reviewed by the Administrative Appeals Tribunal; and</w:t>
      </w:r>
    </w:p>
    <w:p w14:paraId="46C76507" w14:textId="77777777" w:rsidR="00BB7660" w:rsidRDefault="00BB7660" w:rsidP="00BB7660">
      <w:pPr>
        <w:pStyle w:val="SOPara"/>
      </w:pPr>
      <w:r>
        <w:tab/>
      </w:r>
      <w:r>
        <w:sym w:font="Symbol" w:char="F0B7"/>
      </w:r>
      <w:r>
        <w:tab/>
        <w:t>rules relating to reporting, record</w:t>
      </w:r>
      <w:r>
        <w:noBreakHyphen/>
        <w:t>keeping and auditing; and</w:t>
      </w:r>
    </w:p>
    <w:p w14:paraId="6A7B9D13" w14:textId="77777777" w:rsidR="00BB7660" w:rsidRPr="00641354" w:rsidRDefault="00BB7660" w:rsidP="00BB7660">
      <w:pPr>
        <w:pStyle w:val="SOPara"/>
      </w:pPr>
      <w:r>
        <w:tab/>
      </w:r>
      <w:r>
        <w:sym w:font="Symbol" w:char="F0B7"/>
      </w:r>
      <w:r>
        <w:tab/>
        <w:t xml:space="preserve">civil penalty provisions </w:t>
      </w:r>
      <w:r w:rsidRPr="00086F26">
        <w:t>of the consumer data rules</w:t>
      </w:r>
      <w:r>
        <w:t>, which are enforced under the enforcement provisions of the Act.</w:t>
      </w:r>
    </w:p>
    <w:p w14:paraId="2345D272" w14:textId="77777777" w:rsidR="00BB7660" w:rsidRDefault="00BB7660" w:rsidP="00BB7660">
      <w:pPr>
        <w:pStyle w:val="ActHead3"/>
        <w:pageBreakBefore/>
      </w:pPr>
      <w:bookmarkStart w:id="599" w:name="_Toc11771700"/>
      <w:bookmarkStart w:id="600" w:name="_Toc111132232"/>
      <w:r>
        <w:lastRenderedPageBreak/>
        <w:t>Division 9.2—Review of decisions</w:t>
      </w:r>
      <w:bookmarkEnd w:id="599"/>
      <w:bookmarkEnd w:id="600"/>
    </w:p>
    <w:p w14:paraId="48A73282" w14:textId="77777777" w:rsidR="00BB7660" w:rsidRDefault="00BB7660" w:rsidP="00BB7660">
      <w:pPr>
        <w:pStyle w:val="ActHead5"/>
      </w:pPr>
      <w:bookmarkStart w:id="601" w:name="_Toc11771701"/>
      <w:bookmarkStart w:id="602" w:name="_Toc111132233"/>
      <w:r>
        <w:t>9.2  Review of decisions by the Administrative Appeals Tribunal</w:t>
      </w:r>
      <w:bookmarkEnd w:id="601"/>
      <w:bookmarkEnd w:id="602"/>
    </w:p>
    <w:p w14:paraId="51498FEC" w14:textId="77777777" w:rsidR="00BB7660" w:rsidRDefault="00BB7660" w:rsidP="00BB7660">
      <w:pPr>
        <w:pStyle w:val="subsection"/>
      </w:pPr>
      <w:r>
        <w:tab/>
      </w:r>
      <w:r>
        <w:tab/>
        <w:t>Applications may be made to the Administrative Appeals Tribunal to review any of the following decisions:</w:t>
      </w:r>
    </w:p>
    <w:p w14:paraId="0E2343C1" w14:textId="77777777" w:rsidR="00BB7660" w:rsidRDefault="00BB7660" w:rsidP="00BB7660">
      <w:pPr>
        <w:pStyle w:val="paragraph"/>
      </w:pPr>
      <w:r>
        <w:tab/>
        <w:t>(a)</w:t>
      </w:r>
      <w:r>
        <w:tab/>
        <w:t>a decision of the Data Recipient Accreditor under rule 5.10 to:</w:t>
      </w:r>
    </w:p>
    <w:p w14:paraId="79EAEF9E" w14:textId="77777777" w:rsidR="00BB7660" w:rsidRDefault="00BB7660" w:rsidP="00BB7660">
      <w:pPr>
        <w:pStyle w:val="paragraphsub"/>
      </w:pPr>
      <w:r>
        <w:tab/>
        <w:t>(i)</w:t>
      </w:r>
      <w:r>
        <w:tab/>
        <w:t>impose a condition on an accreditation; or</w:t>
      </w:r>
    </w:p>
    <w:p w14:paraId="44F77C8E" w14:textId="77777777" w:rsidR="00BB7660" w:rsidRDefault="00BB7660" w:rsidP="00BB7660">
      <w:pPr>
        <w:pStyle w:val="paragraphsub"/>
      </w:pPr>
      <w:r>
        <w:tab/>
        <w:t>(ii)</w:t>
      </w:r>
      <w:r>
        <w:tab/>
        <w:t>vary a condition that has been imposed;</w:t>
      </w:r>
    </w:p>
    <w:p w14:paraId="65722CAC" w14:textId="77777777" w:rsidR="00BB7660" w:rsidRDefault="00BB7660" w:rsidP="00BB7660">
      <w:pPr>
        <w:pStyle w:val="paragraph"/>
      </w:pPr>
      <w:r>
        <w:tab/>
        <w:t>(b)</w:t>
      </w:r>
      <w:r>
        <w:tab/>
        <w:t>a decision of the Data Recipient Accreditor under rule 5.17 to:</w:t>
      </w:r>
    </w:p>
    <w:p w14:paraId="6828C190" w14:textId="77777777" w:rsidR="00BB7660" w:rsidRDefault="00BB7660" w:rsidP="00BB7660">
      <w:pPr>
        <w:pStyle w:val="paragraphsub"/>
      </w:pPr>
      <w:r>
        <w:tab/>
        <w:t>(i)</w:t>
      </w:r>
      <w:r>
        <w:tab/>
        <w:t>suspend</w:t>
      </w:r>
      <w:r w:rsidRPr="000C3240">
        <w:t xml:space="preserve"> an accreditation</w:t>
      </w:r>
      <w:r>
        <w:t>; or</w:t>
      </w:r>
    </w:p>
    <w:p w14:paraId="7E968D8C" w14:textId="77777777" w:rsidR="00BB7660" w:rsidRDefault="00BB7660" w:rsidP="00BB7660">
      <w:pPr>
        <w:pStyle w:val="paragraphsub"/>
      </w:pPr>
      <w:r>
        <w:tab/>
        <w:t>(ii)</w:t>
      </w:r>
      <w:r>
        <w:tab/>
      </w:r>
      <w:r w:rsidRPr="000C3240">
        <w:t>extend a suspension</w:t>
      </w:r>
      <w:r>
        <w:t>; or</w:t>
      </w:r>
    </w:p>
    <w:p w14:paraId="70C124B3" w14:textId="77777777" w:rsidR="00BB7660" w:rsidRPr="00F23160" w:rsidRDefault="00BB7660" w:rsidP="00BB7660">
      <w:pPr>
        <w:pStyle w:val="paragraphsub"/>
      </w:pPr>
      <w:r>
        <w:tab/>
        <w:t>(iii)</w:t>
      </w:r>
      <w:r>
        <w:tab/>
        <w:t>revoke an accreditation.</w:t>
      </w:r>
      <w:r w:rsidRPr="006F4A42">
        <w:t xml:space="preserve"> </w:t>
      </w:r>
    </w:p>
    <w:p w14:paraId="3CA9D626" w14:textId="77777777" w:rsidR="00BB7660" w:rsidRDefault="00BB7660" w:rsidP="00BB7660">
      <w:pPr>
        <w:pStyle w:val="ActHead3"/>
        <w:pageBreakBefore/>
      </w:pPr>
      <w:bookmarkStart w:id="603" w:name="_Toc11771702"/>
      <w:bookmarkStart w:id="604" w:name="_Toc111132234"/>
      <w:r>
        <w:lastRenderedPageBreak/>
        <w:t>Division 9.3—Reporting, record keeping and audit</w:t>
      </w:r>
      <w:bookmarkEnd w:id="603"/>
      <w:bookmarkEnd w:id="604"/>
    </w:p>
    <w:p w14:paraId="5A8931AA" w14:textId="77777777" w:rsidR="00BB7660" w:rsidRDefault="00BB7660" w:rsidP="00BB7660">
      <w:pPr>
        <w:pStyle w:val="ActHead4"/>
      </w:pPr>
      <w:bookmarkStart w:id="605" w:name="_Toc11771703"/>
      <w:bookmarkStart w:id="606" w:name="_Toc111132235"/>
      <w:r>
        <w:t>Subdivision 9.3.1—Reporting and record keeping</w:t>
      </w:r>
      <w:bookmarkEnd w:id="605"/>
      <w:bookmarkEnd w:id="606"/>
    </w:p>
    <w:p w14:paraId="5C4339FF" w14:textId="77777777" w:rsidR="00BB7660" w:rsidRDefault="00BB7660" w:rsidP="00BB7660">
      <w:pPr>
        <w:pStyle w:val="ActHead5"/>
      </w:pPr>
      <w:bookmarkStart w:id="607" w:name="_Toc11771704"/>
      <w:bookmarkStart w:id="608" w:name="_Toc111132236"/>
      <w:r>
        <w:t>9.3  Records to be kept and maintained</w:t>
      </w:r>
      <w:bookmarkEnd w:id="607"/>
      <w:bookmarkEnd w:id="608"/>
    </w:p>
    <w:p w14:paraId="1A14D36A" w14:textId="77777777" w:rsidR="00BB7660" w:rsidRPr="00F07699" w:rsidRDefault="00BB7660" w:rsidP="00BB7660">
      <w:pPr>
        <w:pStyle w:val="SubsectionHead"/>
      </w:pPr>
      <w:r w:rsidRPr="00F07699">
        <w:t>Records to be kept and maintained—data holder</w:t>
      </w:r>
    </w:p>
    <w:p w14:paraId="2BFF52F0" w14:textId="77777777" w:rsidR="00BB7660" w:rsidRPr="00F07699" w:rsidRDefault="00BB7660" w:rsidP="00BB7660">
      <w:pPr>
        <w:pStyle w:val="subsection"/>
      </w:pPr>
      <w:r w:rsidRPr="00F07699">
        <w:tab/>
        <w:t>(1)</w:t>
      </w:r>
      <w:r w:rsidRPr="00F07699">
        <w:tab/>
        <w:t>A data holder must keep and maintain records that record and explain the following:</w:t>
      </w:r>
    </w:p>
    <w:p w14:paraId="7D1D9B53" w14:textId="77777777" w:rsidR="00BB7660" w:rsidRPr="00A27D3A" w:rsidRDefault="00BB7660" w:rsidP="00BB7660">
      <w:pPr>
        <w:pStyle w:val="paragraph"/>
      </w:pPr>
      <w:r w:rsidRPr="00A27D3A">
        <w:tab/>
        <w:t>(a)</w:t>
      </w:r>
      <w:r w:rsidRPr="00A27D3A">
        <w:tab/>
        <w:t>authorisations given by CDR consumers to disclose CDR data;</w:t>
      </w:r>
    </w:p>
    <w:p w14:paraId="73DCACB2" w14:textId="77777777" w:rsidR="00BB7660" w:rsidRPr="00A27D3A" w:rsidRDefault="00BB7660" w:rsidP="00BB7660">
      <w:pPr>
        <w:pStyle w:val="paragraph"/>
      </w:pPr>
      <w:r w:rsidRPr="00A27D3A">
        <w:tab/>
        <w:t>(b)</w:t>
      </w:r>
      <w:r w:rsidRPr="00A27D3A">
        <w:tab/>
        <w:t>amendments to or withdrawals of authorisations to disclose CDR data;</w:t>
      </w:r>
    </w:p>
    <w:p w14:paraId="73DA1814" w14:textId="77777777" w:rsidR="00BB7660" w:rsidRDefault="00BB7660" w:rsidP="00BB7660">
      <w:pPr>
        <w:pStyle w:val="paragraph"/>
      </w:pPr>
      <w:r w:rsidRPr="00A27D3A">
        <w:tab/>
        <w:t>(c)</w:t>
      </w:r>
      <w:r w:rsidRPr="00A27D3A">
        <w:tab/>
        <w:t>notifications of withdrawals of consents to collect CDR data;</w:t>
      </w:r>
    </w:p>
    <w:p w14:paraId="10DABB5E" w14:textId="77777777" w:rsidR="00BB7660" w:rsidRPr="00A00F6F" w:rsidRDefault="00BB7660" w:rsidP="00BB7660">
      <w:pPr>
        <w:pStyle w:val="paragraph"/>
      </w:pPr>
      <w:r w:rsidRPr="00A00F6F">
        <w:tab/>
        <w:t>(ca)</w:t>
      </w:r>
      <w:r w:rsidRPr="00A00F6F">
        <w:tab/>
        <w:t xml:space="preserve">where the data holder is a primary data holder—any requests for SR data made under subrule 1.23(4) and responses received under subrule 1.23(5) or (6); </w:t>
      </w:r>
    </w:p>
    <w:p w14:paraId="3252C19E" w14:textId="77777777" w:rsidR="00BB7660" w:rsidRPr="00A00F6F" w:rsidRDefault="00BB7660" w:rsidP="00BB7660">
      <w:pPr>
        <w:pStyle w:val="paragraph"/>
      </w:pPr>
      <w:r w:rsidRPr="00A00F6F">
        <w:tab/>
        <w:t>(cb)</w:t>
      </w:r>
      <w:r w:rsidRPr="00A00F6F">
        <w:tab/>
        <w:t>where the data holder is a secondary data holder:</w:t>
      </w:r>
    </w:p>
    <w:p w14:paraId="2BDA9447" w14:textId="77777777" w:rsidR="00BB7660" w:rsidRPr="00A00F6F" w:rsidRDefault="00BB7660" w:rsidP="00BB7660">
      <w:pPr>
        <w:pStyle w:val="paragraphsub"/>
      </w:pPr>
      <w:r w:rsidRPr="00A00F6F">
        <w:tab/>
        <w:t>(i)</w:t>
      </w:r>
      <w:r w:rsidRPr="00A00F6F">
        <w:tab/>
        <w:t>any requests for SR data received under subrule 1.22(3) or 1.23(4) and responses given under subrule 1.22(4) or (5) or 1.23(5) or (6); and</w:t>
      </w:r>
    </w:p>
    <w:p w14:paraId="7B774560" w14:textId="77777777" w:rsidR="00BB7660" w:rsidRPr="00A00F6F" w:rsidRDefault="00BB7660" w:rsidP="00BB7660">
      <w:pPr>
        <w:pStyle w:val="paragraphsub"/>
      </w:pPr>
      <w:r w:rsidRPr="00A00F6F">
        <w:tab/>
        <w:t>(ii)</w:t>
      </w:r>
      <w:r w:rsidRPr="00A00F6F">
        <w:tab/>
        <w:t>where the data holder has refused to disclose requested SR data—the reasons relied upon to refuse to disclose the SR data, including any rule or data standard;</w:t>
      </w:r>
    </w:p>
    <w:p w14:paraId="29AD6F0F" w14:textId="77777777" w:rsidR="00BB7660" w:rsidRPr="00613049" w:rsidRDefault="00BB7660" w:rsidP="00BB7660">
      <w:pPr>
        <w:pStyle w:val="paragraph"/>
      </w:pPr>
      <w:r w:rsidRPr="00A27D3A">
        <w:tab/>
        <w:t>(d)</w:t>
      </w:r>
      <w:r w:rsidRPr="00A27D3A">
        <w:tab/>
        <w:t>disclosures of CDR data made in response to consumer data requests;</w:t>
      </w:r>
    </w:p>
    <w:p w14:paraId="7D8A5D99" w14:textId="77777777" w:rsidR="00BB7660" w:rsidRPr="00A27D3A" w:rsidRDefault="00BB7660" w:rsidP="00BB7660">
      <w:pPr>
        <w:pStyle w:val="paragraph"/>
      </w:pPr>
      <w:r w:rsidRPr="00A27D3A">
        <w:tab/>
        <w:t>(da)</w:t>
      </w:r>
      <w:r w:rsidRPr="00A27D3A">
        <w:tab/>
        <w:t>any written agreement of a kind referred to in subrule 2.4(5) the data holder has entered into;</w:t>
      </w:r>
    </w:p>
    <w:p w14:paraId="4035BDE7" w14:textId="77777777" w:rsidR="00BB7660" w:rsidRPr="00141BBD" w:rsidRDefault="00BB7660" w:rsidP="00BB7660">
      <w:pPr>
        <w:pStyle w:val="paragraph"/>
      </w:pPr>
      <w:r w:rsidRPr="00A27D3A">
        <w:tab/>
        <w:t>(e)</w:t>
      </w:r>
      <w:r w:rsidRPr="00A27D3A">
        <w:tab/>
        <w:t>instances where the data holder has refused to disclose requested CDR data and the rule or data standard relied upon to refuse to disclose the CDR data;</w:t>
      </w:r>
    </w:p>
    <w:p w14:paraId="68C3228E" w14:textId="77777777" w:rsidR="00BB7660" w:rsidRPr="00F9134D" w:rsidRDefault="00BB7660" w:rsidP="00BB7660">
      <w:pPr>
        <w:pStyle w:val="paragraph"/>
      </w:pPr>
      <w:r w:rsidRPr="00F9134D">
        <w:tab/>
        <w:t>(f)</w:t>
      </w:r>
      <w:r w:rsidRPr="00F9134D">
        <w:tab/>
        <w:t>CDR complaint data;</w:t>
      </w:r>
    </w:p>
    <w:p w14:paraId="2111810C" w14:textId="77777777" w:rsidR="00F9134D" w:rsidRPr="009B680A" w:rsidRDefault="00F9134D" w:rsidP="00F9134D">
      <w:pPr>
        <w:pStyle w:val="paragraph"/>
        <w:rPr>
          <w:color w:val="0000FF"/>
        </w:rPr>
      </w:pPr>
      <w:r w:rsidRPr="009B680A">
        <w:rPr>
          <w:color w:val="0000FF"/>
        </w:rPr>
        <w:tab/>
        <w:t>(fa)</w:t>
      </w:r>
      <w:r w:rsidRPr="009B680A">
        <w:rPr>
          <w:color w:val="0000FF"/>
        </w:rPr>
        <w:tab/>
        <w:t>CDR consumer complaints;</w:t>
      </w:r>
    </w:p>
    <w:p w14:paraId="37906C92" w14:textId="77777777" w:rsidR="00BB7660" w:rsidRPr="00A27D3A" w:rsidRDefault="00BB7660" w:rsidP="00BB7660">
      <w:pPr>
        <w:pStyle w:val="paragraph"/>
      </w:pPr>
      <w:r w:rsidRPr="00A27D3A">
        <w:tab/>
        <w:t>(g)</w:t>
      </w:r>
      <w:r w:rsidRPr="00A27D3A">
        <w:tab/>
        <w:t>the processes by which the data holder asks CDR consumers for their authorisation to disclose CDR data and for an amendment to their authorisation, including a video of each process.</w:t>
      </w:r>
    </w:p>
    <w:p w14:paraId="3AA1F442" w14:textId="77777777" w:rsidR="00BB7660" w:rsidRPr="00F07699" w:rsidRDefault="00BB7660" w:rsidP="00BB7660">
      <w:pPr>
        <w:pStyle w:val="subsection"/>
      </w:pPr>
      <w:r w:rsidRPr="00F07699">
        <w:tab/>
      </w:r>
      <w:r w:rsidRPr="00F07699">
        <w:tab/>
        <w:t>Civil penalty:</w:t>
      </w:r>
    </w:p>
    <w:p w14:paraId="72244BEF" w14:textId="77777777" w:rsidR="00BB7660" w:rsidRPr="00F07699" w:rsidRDefault="00BB7660" w:rsidP="00BB7660">
      <w:pPr>
        <w:pStyle w:val="paragraph"/>
      </w:pPr>
      <w:r w:rsidRPr="00F07699">
        <w:tab/>
        <w:t>(a)</w:t>
      </w:r>
      <w:r w:rsidRPr="00F07699">
        <w:tab/>
        <w:t>for an individual―$50,000; and</w:t>
      </w:r>
    </w:p>
    <w:p w14:paraId="7582065C" w14:textId="77777777" w:rsidR="00BB7660" w:rsidRDefault="00BB7660" w:rsidP="00BB7660">
      <w:pPr>
        <w:pStyle w:val="paragraph"/>
      </w:pPr>
      <w:r w:rsidRPr="00F07699">
        <w:tab/>
        <w:t>(b)</w:t>
      </w:r>
      <w:r w:rsidRPr="00F07699">
        <w:tab/>
        <w:t>for a body corporate―$250,000.</w:t>
      </w:r>
    </w:p>
    <w:p w14:paraId="183ADF0D" w14:textId="77777777" w:rsidR="00BB7660" w:rsidRPr="00F07699" w:rsidRDefault="00BB7660" w:rsidP="00BB7660">
      <w:pPr>
        <w:pStyle w:val="SubsectionHead"/>
      </w:pPr>
      <w:r w:rsidRPr="00F07699">
        <w:t>Records to be kept and maintained—accredited data recipient</w:t>
      </w:r>
    </w:p>
    <w:p w14:paraId="258BB14B" w14:textId="77777777" w:rsidR="00BB7660" w:rsidRPr="00F07699" w:rsidRDefault="00BB7660" w:rsidP="00BB7660">
      <w:pPr>
        <w:pStyle w:val="subsection"/>
      </w:pPr>
      <w:r w:rsidRPr="00F07699">
        <w:tab/>
        <w:t>(2)</w:t>
      </w:r>
      <w:r w:rsidRPr="00F07699">
        <w:tab/>
        <w:t>An accredited data recipient must keep and maintain records that record and explain the following:</w:t>
      </w:r>
    </w:p>
    <w:p w14:paraId="7B1D4D3B" w14:textId="77777777" w:rsidR="00BB7660" w:rsidRPr="00A27D3A" w:rsidRDefault="00BB7660" w:rsidP="00BB7660">
      <w:pPr>
        <w:pStyle w:val="paragraph"/>
      </w:pPr>
      <w:r w:rsidRPr="00A27D3A">
        <w:tab/>
        <w:t>(a)</w:t>
      </w:r>
      <w:r w:rsidRPr="00A27D3A">
        <w:tab/>
        <w:t xml:space="preserve">all consents, including, if applicable, the uses of the CDR data that the CDR consumer has consented to under any use consents; </w:t>
      </w:r>
    </w:p>
    <w:p w14:paraId="2E28B91C" w14:textId="77777777" w:rsidR="00BB7660" w:rsidRPr="00A27D3A" w:rsidRDefault="00BB7660" w:rsidP="00BB7660">
      <w:pPr>
        <w:pStyle w:val="paragraph"/>
      </w:pPr>
      <w:r w:rsidRPr="00A27D3A">
        <w:tab/>
        <w:t>(b)</w:t>
      </w:r>
      <w:r w:rsidRPr="00A27D3A">
        <w:tab/>
        <w:t>amendments to or withdrawals of consents by CDR consumers;</w:t>
      </w:r>
    </w:p>
    <w:p w14:paraId="6B523791" w14:textId="77777777" w:rsidR="00AF64EF" w:rsidRPr="009C4B0C" w:rsidRDefault="00AF64EF" w:rsidP="00AF64EF">
      <w:pPr>
        <w:pStyle w:val="paragraph"/>
      </w:pPr>
      <w:r w:rsidRPr="009C4B0C">
        <w:tab/>
        <w:t>(c)</w:t>
      </w:r>
      <w:r w:rsidRPr="009C4B0C">
        <w:tab/>
        <w:t>notifications of withdrawals of authorisations received from data holders;</w:t>
      </w:r>
    </w:p>
    <w:p w14:paraId="4C2AB20E" w14:textId="77777777" w:rsidR="00BB7660" w:rsidRPr="00F9134D" w:rsidRDefault="00BB7660" w:rsidP="00BB7660">
      <w:pPr>
        <w:pStyle w:val="paragraph"/>
      </w:pPr>
      <w:r w:rsidRPr="00F9134D">
        <w:tab/>
        <w:t>(d)</w:t>
      </w:r>
      <w:r w:rsidRPr="00F9134D">
        <w:tab/>
        <w:t>CDR complaint data;</w:t>
      </w:r>
    </w:p>
    <w:p w14:paraId="1CFDB102" w14:textId="77777777" w:rsidR="00F9134D" w:rsidRPr="009B680A" w:rsidRDefault="00F9134D" w:rsidP="00F9134D">
      <w:pPr>
        <w:pStyle w:val="paragraph"/>
        <w:rPr>
          <w:color w:val="0000FF"/>
        </w:rPr>
      </w:pPr>
      <w:r w:rsidRPr="009B680A">
        <w:rPr>
          <w:color w:val="0000FF"/>
        </w:rPr>
        <w:lastRenderedPageBreak/>
        <w:tab/>
        <w:t>(da)</w:t>
      </w:r>
      <w:r w:rsidRPr="009B680A">
        <w:rPr>
          <w:color w:val="0000FF"/>
        </w:rPr>
        <w:tab/>
        <w:t>CDR consumer complaints;</w:t>
      </w:r>
    </w:p>
    <w:p w14:paraId="4B7C5F1C" w14:textId="77777777" w:rsidR="00BB7660" w:rsidRPr="00A27D3A" w:rsidRDefault="00F9134D" w:rsidP="00F9134D">
      <w:pPr>
        <w:pStyle w:val="paragraph"/>
      </w:pPr>
      <w:r>
        <w:tab/>
      </w:r>
      <w:r w:rsidR="00BB7660" w:rsidRPr="00A27D3A">
        <w:t>(e)</w:t>
      </w:r>
      <w:r w:rsidR="00BB7660" w:rsidRPr="00A27D3A">
        <w:tab/>
        <w:t>collections of CDR data under these rules;</w:t>
      </w:r>
    </w:p>
    <w:p w14:paraId="7D5996A6" w14:textId="77777777" w:rsidR="00BB7660" w:rsidRPr="00A27D3A" w:rsidRDefault="00BB7660" w:rsidP="00BB7660">
      <w:pPr>
        <w:pStyle w:val="paragraph"/>
      </w:pPr>
      <w:r w:rsidRPr="00A27D3A">
        <w:tab/>
        <w:t>(ea)</w:t>
      </w:r>
      <w:r w:rsidRPr="00A27D3A">
        <w:tab/>
        <w:t>disclosures of CDR data to accredited persons under these rules, and the accredited persons to which any CDR data was disclosed;</w:t>
      </w:r>
    </w:p>
    <w:p w14:paraId="70F56A91" w14:textId="77777777" w:rsidR="00BB7660" w:rsidRPr="00A00F6F" w:rsidRDefault="00BB7660" w:rsidP="00BB7660">
      <w:pPr>
        <w:pStyle w:val="paragraph"/>
      </w:pPr>
      <w:r w:rsidRPr="00A00F6F">
        <w:tab/>
        <w:t>(eb)</w:t>
      </w:r>
      <w:r w:rsidRPr="00A00F6F">
        <w:tab/>
        <w:t>disclosures of CDR data to trusted advisers, and trusted advisers to whom CDR data was disclosed;</w:t>
      </w:r>
    </w:p>
    <w:p w14:paraId="12063E14" w14:textId="77777777" w:rsidR="00BB7660" w:rsidRPr="00A00F6F" w:rsidRDefault="00BB7660" w:rsidP="00BB7660">
      <w:pPr>
        <w:pStyle w:val="paragraph"/>
      </w:pPr>
      <w:r w:rsidRPr="00A00F6F">
        <w:tab/>
        <w:t>(ec)</w:t>
      </w:r>
      <w:r w:rsidRPr="00A00F6F">
        <w:tab/>
        <w:t>any steps taken for the purposes of subrule 1.10C(3) to confirm that a trusted adviser is a member of a class of trusted advisers;</w:t>
      </w:r>
    </w:p>
    <w:p w14:paraId="1488536B" w14:textId="77777777" w:rsidR="00BB7660" w:rsidRDefault="00BB7660" w:rsidP="00BB7660">
      <w:pPr>
        <w:pStyle w:val="paragraph"/>
      </w:pPr>
      <w:r w:rsidRPr="00A00F6F">
        <w:tab/>
        <w:t>(ed)</w:t>
      </w:r>
      <w:r w:rsidRPr="00A00F6F">
        <w:tab/>
        <w:t>disclosures of CDR insights, including a copy of each CDR insight disclosed, to whom it was disclosed and when;</w:t>
      </w:r>
    </w:p>
    <w:p w14:paraId="4CF4F4A8" w14:textId="77777777" w:rsidR="00910D82" w:rsidRPr="009B680A" w:rsidRDefault="005C7E70" w:rsidP="005C7E70">
      <w:pPr>
        <w:pStyle w:val="paragraph"/>
        <w:rPr>
          <w:color w:val="0000FF"/>
        </w:rPr>
      </w:pPr>
      <w:r w:rsidRPr="009B680A">
        <w:rPr>
          <w:color w:val="0000FF"/>
        </w:rPr>
        <w:tab/>
        <w:t>(e</w:t>
      </w:r>
      <w:r w:rsidR="0082401F">
        <w:rPr>
          <w:color w:val="0000FF"/>
        </w:rPr>
        <w:t>e</w:t>
      </w:r>
      <w:r w:rsidRPr="009B680A">
        <w:rPr>
          <w:color w:val="0000FF"/>
        </w:rPr>
        <w:t>)</w:t>
      </w:r>
      <w:r w:rsidRPr="009B680A">
        <w:rPr>
          <w:color w:val="0000FF"/>
        </w:rPr>
        <w:tab/>
        <w:t xml:space="preserve">disclosures of CDR </w:t>
      </w:r>
      <w:r w:rsidR="00910D82" w:rsidRPr="009B680A">
        <w:rPr>
          <w:color w:val="0000FF"/>
        </w:rPr>
        <w:t>data under a business consumer disclosure consent, and persons to whom the CDR data was disclosed;</w:t>
      </w:r>
    </w:p>
    <w:p w14:paraId="6C5AA121" w14:textId="77777777" w:rsidR="00910D82" w:rsidRPr="009B680A" w:rsidRDefault="00910D82" w:rsidP="00910D82">
      <w:pPr>
        <w:pStyle w:val="paragraph"/>
        <w:rPr>
          <w:color w:val="0000FF"/>
        </w:rPr>
      </w:pPr>
      <w:r w:rsidRPr="009B680A">
        <w:rPr>
          <w:color w:val="0000FF"/>
        </w:rPr>
        <w:tab/>
        <w:t>(e</w:t>
      </w:r>
      <w:r w:rsidR="0082401F">
        <w:rPr>
          <w:color w:val="0000FF"/>
        </w:rPr>
        <w:t>f</w:t>
      </w:r>
      <w:r w:rsidRPr="009B680A">
        <w:rPr>
          <w:color w:val="0000FF"/>
        </w:rPr>
        <w:t>)</w:t>
      </w:r>
      <w:r w:rsidRPr="009B680A">
        <w:rPr>
          <w:color w:val="0000FF"/>
        </w:rPr>
        <w:tab/>
        <w:t>any steps taken for the purposes of subrule 1.10A(6) to confirm that a CDR consumer is a CDR business consumer;</w:t>
      </w:r>
    </w:p>
    <w:p w14:paraId="6BE44F7E" w14:textId="77777777" w:rsidR="00BB7660" w:rsidRPr="00A27D3A" w:rsidRDefault="00BB7660" w:rsidP="00BB7660">
      <w:pPr>
        <w:pStyle w:val="paragraph"/>
      </w:pPr>
      <w:r w:rsidRPr="00A27D3A">
        <w:tab/>
        <w:t>(f)</w:t>
      </w:r>
      <w:r w:rsidRPr="00A27D3A">
        <w:tab/>
        <w:t>elections to delete and withdrawals of those elections;</w:t>
      </w:r>
    </w:p>
    <w:p w14:paraId="30CA932E" w14:textId="77777777" w:rsidR="00BB7660" w:rsidRPr="00A27D3A" w:rsidRDefault="00BB7660" w:rsidP="00BB7660">
      <w:pPr>
        <w:pStyle w:val="paragraph"/>
      </w:pPr>
      <w:r w:rsidRPr="00A27D3A">
        <w:tab/>
        <w:t>(g)</w:t>
      </w:r>
      <w:r w:rsidRPr="00A27D3A">
        <w:tab/>
        <w:t>the use of CDR data by the accredited data recipient;</w:t>
      </w:r>
    </w:p>
    <w:p w14:paraId="667D0FAB" w14:textId="77777777" w:rsidR="00BB7660" w:rsidRPr="00A27D3A" w:rsidRDefault="00BB7660" w:rsidP="00BB7660">
      <w:pPr>
        <w:pStyle w:val="paragraph"/>
      </w:pPr>
      <w:r w:rsidRPr="00A27D3A">
        <w:tab/>
        <w:t>(h)</w:t>
      </w:r>
      <w:r w:rsidRPr="00A27D3A">
        <w:tab/>
        <w:t>the processes by which the accredited data recipient asks CDR consumers for their consent and for an amendment to their consent, including a video of each process;</w:t>
      </w:r>
    </w:p>
    <w:p w14:paraId="66CF09A8" w14:textId="77777777" w:rsidR="00BB7660" w:rsidRPr="00A00F6F" w:rsidRDefault="00BB7660" w:rsidP="00BB7660">
      <w:pPr>
        <w:pStyle w:val="paragraph"/>
      </w:pPr>
      <w:r w:rsidRPr="00A00F6F">
        <w:tab/>
        <w:t>(i)</w:t>
      </w:r>
      <w:r w:rsidRPr="00A00F6F">
        <w:tab/>
        <w:t>if applicable:</w:t>
      </w:r>
    </w:p>
    <w:p w14:paraId="2FB25982" w14:textId="77777777" w:rsidR="00BB7660" w:rsidRPr="00CD2ED6" w:rsidRDefault="00BB7660" w:rsidP="00BB7660">
      <w:pPr>
        <w:pStyle w:val="paragraphsub"/>
      </w:pPr>
      <w:r w:rsidRPr="00A00F6F">
        <w:tab/>
        <w:t>(i)</w:t>
      </w:r>
      <w:r w:rsidRPr="00A00F6F">
        <w:tab/>
        <w:t>any sponsorship arrangement or CDR outsourcing arrangement to which the accredited data recipient is a party;</w:t>
      </w:r>
      <w:r w:rsidRPr="00CD2ED6">
        <w:t xml:space="preserve"> </w:t>
      </w:r>
      <w:r w:rsidRPr="004A04A4">
        <w:rPr>
          <w:color w:val="0000FF"/>
        </w:rPr>
        <w:t>and</w:t>
      </w:r>
    </w:p>
    <w:p w14:paraId="6820A425" w14:textId="77777777" w:rsidR="00BB7660" w:rsidRPr="00A00F6F" w:rsidRDefault="00BB7660" w:rsidP="00BB7660">
      <w:pPr>
        <w:pStyle w:val="paragraphsub"/>
      </w:pPr>
      <w:r w:rsidRPr="00CD2ED6">
        <w:tab/>
      </w:r>
      <w:r w:rsidRPr="00A00F6F">
        <w:t>(ii)</w:t>
      </w:r>
      <w:r w:rsidRPr="00A00F6F">
        <w:tab/>
        <w:t>the use and management by the other party to each such arrangement of CDR data collected by it or provided to it under the arrangement;</w:t>
      </w:r>
    </w:p>
    <w:p w14:paraId="47460A10" w14:textId="77777777" w:rsidR="00BB7660" w:rsidRPr="00F07699" w:rsidRDefault="00BB7660" w:rsidP="00BB7660">
      <w:pPr>
        <w:pStyle w:val="paragraph"/>
      </w:pPr>
      <w:r>
        <w:tab/>
      </w:r>
      <w:r w:rsidRPr="00F07699">
        <w:t>(j)</w:t>
      </w:r>
      <w:r w:rsidRPr="00F07699">
        <w:tab/>
        <w:t>if CDR data was de-identified in accordance with a consent referred to in paragraph 4.11(3)(e):</w:t>
      </w:r>
    </w:p>
    <w:p w14:paraId="64FCF3DB" w14:textId="77777777" w:rsidR="00BB7660" w:rsidRPr="00F07699" w:rsidRDefault="00BB7660" w:rsidP="00BB7660">
      <w:pPr>
        <w:pStyle w:val="paragraphsub"/>
      </w:pPr>
      <w:r w:rsidRPr="00F07699">
        <w:tab/>
        <w:t>(i)</w:t>
      </w:r>
      <w:r w:rsidRPr="00F07699">
        <w:tab/>
        <w:t>how the data was de</w:t>
      </w:r>
      <w:r w:rsidRPr="00F07699">
        <w:noBreakHyphen/>
        <w:t>identified; and</w:t>
      </w:r>
    </w:p>
    <w:p w14:paraId="572415EA" w14:textId="77777777" w:rsidR="00BB7660" w:rsidRPr="00F07699" w:rsidRDefault="00BB7660" w:rsidP="00BB7660">
      <w:pPr>
        <w:pStyle w:val="paragraphsub"/>
      </w:pPr>
      <w:r w:rsidRPr="00F07699">
        <w:tab/>
        <w:t>(ii)</w:t>
      </w:r>
      <w:r w:rsidRPr="00F07699">
        <w:tab/>
        <w:t>how the accredited data recipient used the de</w:t>
      </w:r>
      <w:r w:rsidRPr="00F07699">
        <w:noBreakHyphen/>
        <w:t>identified data; and</w:t>
      </w:r>
    </w:p>
    <w:p w14:paraId="1E69876E" w14:textId="77777777" w:rsidR="00BB7660" w:rsidRPr="00F07699" w:rsidRDefault="00BB7660" w:rsidP="00BB7660">
      <w:pPr>
        <w:pStyle w:val="paragraphsub"/>
      </w:pPr>
      <w:r w:rsidRPr="00F07699">
        <w:tab/>
        <w:t>(iii)</w:t>
      </w:r>
      <w:r w:rsidRPr="00F07699">
        <w:tab/>
        <w:t xml:space="preserve">if the accredited data recipient </w:t>
      </w:r>
      <w:r w:rsidRPr="00817301">
        <w:t>disclo</w:t>
      </w:r>
      <w:r w:rsidRPr="005C6351">
        <w:t>s</w:t>
      </w:r>
      <w:r w:rsidRPr="00817301">
        <w:t>ed</w:t>
      </w:r>
      <w:r w:rsidRPr="00F07699">
        <w:t xml:space="preserve"> (by sale or otherwise) the de</w:t>
      </w:r>
      <w:r w:rsidRPr="00F07699">
        <w:noBreakHyphen/>
        <w:t>identified data to another person as referred to in paragraph 4.15(b):</w:t>
      </w:r>
    </w:p>
    <w:p w14:paraId="517D3D22" w14:textId="77777777" w:rsidR="00BB7660" w:rsidRPr="00F07699" w:rsidRDefault="00BB7660" w:rsidP="00BB7660">
      <w:pPr>
        <w:pStyle w:val="paragraphsub-sub"/>
      </w:pPr>
      <w:r w:rsidRPr="00F07699">
        <w:tab/>
        <w:t>(A)</w:t>
      </w:r>
      <w:r w:rsidRPr="00F07699">
        <w:tab/>
        <w:t>to whom the data was so disclosed; and</w:t>
      </w:r>
    </w:p>
    <w:p w14:paraId="4C9F27B4" w14:textId="77777777" w:rsidR="00BB7660" w:rsidRDefault="00BB7660" w:rsidP="00BB7660">
      <w:pPr>
        <w:pStyle w:val="paragraphsub-sub"/>
      </w:pPr>
      <w:r w:rsidRPr="00F07699">
        <w:tab/>
        <w:t>(B)</w:t>
      </w:r>
      <w:r w:rsidRPr="00F07699">
        <w:tab/>
      </w:r>
      <w:r>
        <w:t>why the data was so disclosed;</w:t>
      </w:r>
    </w:p>
    <w:p w14:paraId="10C302E1" w14:textId="77777777" w:rsidR="00BB7660" w:rsidRPr="001B5F32" w:rsidRDefault="00BB7660" w:rsidP="00BB7660">
      <w:pPr>
        <w:pStyle w:val="paragraphsub"/>
      </w:pPr>
      <w:r w:rsidRPr="00572C56">
        <w:tab/>
      </w:r>
      <w:r w:rsidRPr="001B5F32">
        <w:t>(iv)</w:t>
      </w:r>
      <w:r w:rsidRPr="001B5F32">
        <w:tab/>
        <w:t>if the use is for general research―records of any additional benefit to be provided to the CDR consumer for consenting to the use;</w:t>
      </w:r>
    </w:p>
    <w:p w14:paraId="24522717" w14:textId="77777777" w:rsidR="00BB7660" w:rsidRPr="00A27D3A" w:rsidRDefault="00BB7660" w:rsidP="00BB7660">
      <w:pPr>
        <w:pStyle w:val="paragraph"/>
      </w:pPr>
      <w:r w:rsidRPr="00A27D3A">
        <w:tab/>
        <w:t>(k)</w:t>
      </w:r>
      <w:r w:rsidRPr="00A27D3A">
        <w:tab/>
        <w:t>records that are required to be made for the purposes of the CDR data de</w:t>
      </w:r>
      <w:r w:rsidRPr="00A27D3A">
        <w:noBreakHyphen/>
        <w:t>identification process when applied as part of privacy safeguard 12;</w:t>
      </w:r>
    </w:p>
    <w:p w14:paraId="7EB25D6A" w14:textId="77777777" w:rsidR="00BB7660" w:rsidRPr="00A27D3A" w:rsidRDefault="00BB7660" w:rsidP="00BB7660">
      <w:pPr>
        <w:pStyle w:val="paragraph"/>
      </w:pPr>
      <w:r w:rsidRPr="00A27D3A">
        <w:tab/>
        <w:t>(l)</w:t>
      </w:r>
      <w:r w:rsidRPr="00A27D3A">
        <w:tab/>
        <w:t>records of any matters that are required to be retained under Schedule 2 to these rules;</w:t>
      </w:r>
    </w:p>
    <w:p w14:paraId="1BB6B754" w14:textId="77777777" w:rsidR="00BB7660" w:rsidRPr="00F07699" w:rsidRDefault="00BB7660" w:rsidP="00BB7660">
      <w:pPr>
        <w:pStyle w:val="paragraph"/>
      </w:pPr>
      <w:r w:rsidRPr="00A27D3A">
        <w:tab/>
        <w:t>(m)</w:t>
      </w:r>
      <w:r w:rsidRPr="00A27D3A">
        <w:tab/>
        <w:t xml:space="preserve">any terms and conditions on which the accredited data recipient offers goods or services where the accredited data recipient collects or uses, or discloses to an accredited person, CDR data in order to provide </w:t>
      </w:r>
      <w:r w:rsidRPr="00F07699">
        <w:t>the good or service.</w:t>
      </w:r>
    </w:p>
    <w:p w14:paraId="4BA3C2E5" w14:textId="77777777" w:rsidR="00BB7660" w:rsidRPr="00F07699" w:rsidRDefault="00BB7660" w:rsidP="00BB7660">
      <w:pPr>
        <w:pStyle w:val="notetext"/>
      </w:pPr>
      <w:r w:rsidRPr="00F07699">
        <w:t>Note:</w:t>
      </w:r>
      <w:r w:rsidRPr="00F07699">
        <w:tab/>
        <w:t>For paragraph (k), see section 56EO of the Act and rule 7.12.</w:t>
      </w:r>
    </w:p>
    <w:p w14:paraId="64789991" w14:textId="77777777" w:rsidR="00BB7660" w:rsidRPr="00F07699" w:rsidRDefault="00BB7660" w:rsidP="00BB7660">
      <w:pPr>
        <w:pStyle w:val="subsection"/>
      </w:pPr>
      <w:r w:rsidRPr="00F07699">
        <w:tab/>
      </w:r>
      <w:r w:rsidRPr="00F07699">
        <w:tab/>
        <w:t>Civil penalty:</w:t>
      </w:r>
    </w:p>
    <w:p w14:paraId="01A8295E" w14:textId="77777777" w:rsidR="00BB7660" w:rsidRPr="00F07699" w:rsidRDefault="00BB7660" w:rsidP="00BB7660">
      <w:pPr>
        <w:pStyle w:val="paragraph"/>
      </w:pPr>
      <w:r w:rsidRPr="00F07699">
        <w:lastRenderedPageBreak/>
        <w:tab/>
        <w:t>(a)</w:t>
      </w:r>
      <w:r w:rsidRPr="00F07699">
        <w:tab/>
        <w:t>for an individual―$50,000; and</w:t>
      </w:r>
    </w:p>
    <w:p w14:paraId="2B47BEE3" w14:textId="77777777" w:rsidR="00BB7660" w:rsidRPr="00F07699" w:rsidRDefault="00BB7660" w:rsidP="00BB7660">
      <w:pPr>
        <w:pStyle w:val="paragraph"/>
      </w:pPr>
      <w:r w:rsidRPr="00F07699">
        <w:tab/>
        <w:t>(b)</w:t>
      </w:r>
      <w:r w:rsidRPr="00F07699">
        <w:tab/>
        <w:t>for a body corporate―$250,000.</w:t>
      </w:r>
    </w:p>
    <w:p w14:paraId="7A72C5BB" w14:textId="77777777" w:rsidR="00BB7660" w:rsidRDefault="00BB7660" w:rsidP="00BB7660">
      <w:pPr>
        <w:pStyle w:val="SubsectionHead"/>
      </w:pPr>
      <w:r w:rsidRPr="00A00F6F">
        <w:t>Records to be kept and maintained—CDR principal</w:t>
      </w:r>
    </w:p>
    <w:p w14:paraId="20189647" w14:textId="77777777" w:rsidR="00BB7660" w:rsidRPr="00A00F6F" w:rsidRDefault="00BB7660" w:rsidP="00BB7660">
      <w:pPr>
        <w:pStyle w:val="subsection"/>
      </w:pPr>
      <w:r w:rsidRPr="00A00F6F">
        <w:tab/>
        <w:t>(2A)</w:t>
      </w:r>
      <w:r w:rsidRPr="00A00F6F">
        <w:tab/>
        <w:t>An accredited data recipient that is a CDR principal must keep and maintain records that record and explain the following in relation to each CDR representative:</w:t>
      </w:r>
    </w:p>
    <w:p w14:paraId="6A49DCE9" w14:textId="77777777" w:rsidR="00BB7660" w:rsidRPr="00A00F6F" w:rsidRDefault="00BB7660" w:rsidP="00BB7660">
      <w:pPr>
        <w:pStyle w:val="paragraph"/>
      </w:pPr>
      <w:r w:rsidRPr="00A00F6F">
        <w:tab/>
        <w:t>(a)</w:t>
      </w:r>
      <w:r w:rsidRPr="00A00F6F">
        <w:tab/>
        <w:t>the CDR representative arrangement;</w:t>
      </w:r>
    </w:p>
    <w:p w14:paraId="2EACBC8C" w14:textId="77777777" w:rsidR="00BB7660" w:rsidRPr="00A00F6F" w:rsidRDefault="00BB7660" w:rsidP="00BB7660">
      <w:pPr>
        <w:pStyle w:val="paragraph"/>
      </w:pPr>
      <w:r w:rsidRPr="00A00F6F">
        <w:tab/>
        <w:t>(b)</w:t>
      </w:r>
      <w:r w:rsidRPr="00A00F6F">
        <w:tab/>
        <w:t xml:space="preserve">the management of data by the CDR representative; </w:t>
      </w:r>
    </w:p>
    <w:p w14:paraId="33CA21E6" w14:textId="77777777" w:rsidR="00BB7660" w:rsidRPr="00A00F6F" w:rsidRDefault="00BB7660" w:rsidP="00BB7660">
      <w:pPr>
        <w:pStyle w:val="paragraph"/>
      </w:pPr>
      <w:r w:rsidRPr="00A00F6F">
        <w:tab/>
        <w:t>(c)</w:t>
      </w:r>
      <w:r w:rsidRPr="00A00F6F">
        <w:tab/>
        <w:t>steps taken to ensure that the CDR representative complies with their requirements under the arrangement;</w:t>
      </w:r>
    </w:p>
    <w:p w14:paraId="6C8342A1" w14:textId="77777777" w:rsidR="00BB7660" w:rsidRPr="00A00F6F" w:rsidRDefault="00BB7660" w:rsidP="00BB7660">
      <w:pPr>
        <w:pStyle w:val="paragraph"/>
      </w:pPr>
      <w:r w:rsidRPr="00A00F6F">
        <w:tab/>
        <w:t>(d)</w:t>
      </w:r>
      <w:r w:rsidRPr="00A00F6F">
        <w:tab/>
        <w:t xml:space="preserve">all consents obtained by the CDR representative, including, if applicable, the uses of the CDR data that the CDR consumer has consented to under any use consents; </w:t>
      </w:r>
    </w:p>
    <w:p w14:paraId="029FFEAC" w14:textId="77777777" w:rsidR="00BB7660" w:rsidRPr="00A00F6F" w:rsidRDefault="00BB7660" w:rsidP="00BB7660">
      <w:pPr>
        <w:pStyle w:val="paragraph"/>
      </w:pPr>
      <w:r w:rsidRPr="00A00F6F">
        <w:tab/>
        <w:t>(e)</w:t>
      </w:r>
      <w:r w:rsidRPr="00A00F6F">
        <w:tab/>
        <w:t>amendments to or withdrawals of consents by CDR consumers;</w:t>
      </w:r>
    </w:p>
    <w:p w14:paraId="4EF9BA6A" w14:textId="77777777" w:rsidR="00BB7660" w:rsidRPr="00A00F6F" w:rsidRDefault="00BB7660" w:rsidP="00BB7660">
      <w:pPr>
        <w:pStyle w:val="paragraph"/>
      </w:pPr>
      <w:r w:rsidRPr="00A00F6F">
        <w:tab/>
        <w:t>(f)</w:t>
      </w:r>
      <w:r w:rsidRPr="00A00F6F">
        <w:tab/>
        <w:t>notifications of withdrawals of authorisations received from data holders;</w:t>
      </w:r>
    </w:p>
    <w:p w14:paraId="5D715B9C" w14:textId="77777777" w:rsidR="000F17E2" w:rsidRPr="00F9134D" w:rsidRDefault="000F17E2" w:rsidP="000F17E2">
      <w:pPr>
        <w:pStyle w:val="paragraph"/>
      </w:pPr>
      <w:r w:rsidRPr="00F9134D">
        <w:tab/>
        <w:t>(g)</w:t>
      </w:r>
      <w:r w:rsidRPr="00F9134D">
        <w:tab/>
        <w:t>CDR complaint data;</w:t>
      </w:r>
    </w:p>
    <w:p w14:paraId="60D45E1D" w14:textId="77777777" w:rsidR="00F9134D" w:rsidRPr="009B680A" w:rsidRDefault="00F9134D" w:rsidP="00F9134D">
      <w:pPr>
        <w:pStyle w:val="paragraph"/>
        <w:rPr>
          <w:color w:val="0000FF"/>
        </w:rPr>
      </w:pPr>
      <w:r w:rsidRPr="009B680A">
        <w:rPr>
          <w:color w:val="0000FF"/>
        </w:rPr>
        <w:tab/>
        <w:t>(ga)</w:t>
      </w:r>
      <w:r w:rsidRPr="009B680A">
        <w:rPr>
          <w:color w:val="0000FF"/>
        </w:rPr>
        <w:tab/>
        <w:t>CDR consumer complaints;</w:t>
      </w:r>
    </w:p>
    <w:p w14:paraId="4E2B74B2" w14:textId="77777777" w:rsidR="00BB7660" w:rsidRPr="00A00F6F" w:rsidRDefault="00BB7660" w:rsidP="00BB7660">
      <w:pPr>
        <w:pStyle w:val="paragraph"/>
      </w:pPr>
      <w:r w:rsidRPr="00A00F6F">
        <w:tab/>
        <w:t>(h)</w:t>
      </w:r>
      <w:r w:rsidRPr="00A00F6F">
        <w:tab/>
        <w:t>collections of CDR data under these rules;</w:t>
      </w:r>
    </w:p>
    <w:p w14:paraId="7428BBA9" w14:textId="77777777" w:rsidR="00BB7660" w:rsidRPr="00A00F6F" w:rsidRDefault="00BB7660" w:rsidP="00BB7660">
      <w:pPr>
        <w:pStyle w:val="paragraph"/>
      </w:pPr>
      <w:r w:rsidRPr="00A00F6F">
        <w:tab/>
        <w:t>(i)</w:t>
      </w:r>
      <w:r w:rsidRPr="00A00F6F">
        <w:tab/>
        <w:t>elections to delete and withdrawals of those elections;</w:t>
      </w:r>
    </w:p>
    <w:p w14:paraId="59B42AEB" w14:textId="77777777" w:rsidR="00BB7660" w:rsidRPr="00A00F6F" w:rsidRDefault="00BB7660" w:rsidP="00BB7660">
      <w:pPr>
        <w:pStyle w:val="paragraph"/>
      </w:pPr>
      <w:r w:rsidRPr="00A00F6F">
        <w:tab/>
        <w:t>(j)</w:t>
      </w:r>
      <w:r w:rsidRPr="00A00F6F">
        <w:tab/>
        <w:t>the use of CDR data by the CDR representative;</w:t>
      </w:r>
    </w:p>
    <w:p w14:paraId="6FDF6231" w14:textId="77777777" w:rsidR="00BB7660" w:rsidRPr="00A00F6F" w:rsidRDefault="00BB7660" w:rsidP="00BB7660">
      <w:pPr>
        <w:pStyle w:val="paragraph"/>
      </w:pPr>
      <w:r w:rsidRPr="00A00F6F">
        <w:tab/>
        <w:t>(k)</w:t>
      </w:r>
      <w:r w:rsidRPr="00A00F6F">
        <w:tab/>
        <w:t>the processes by which the CDR representative asks CDR consumers for their consent and for an amendment to their consent, including a video of each process;</w:t>
      </w:r>
    </w:p>
    <w:p w14:paraId="67C6F66C" w14:textId="77777777" w:rsidR="00BB7660" w:rsidRPr="00A00F6F" w:rsidRDefault="00BB7660" w:rsidP="00BB7660">
      <w:pPr>
        <w:pStyle w:val="paragraph"/>
      </w:pPr>
      <w:r w:rsidRPr="00A00F6F">
        <w:tab/>
        <w:t>(l)</w:t>
      </w:r>
      <w:r w:rsidRPr="00A00F6F">
        <w:tab/>
        <w:t xml:space="preserve">if CDR data was de-identified in accordance with a consent referred to in </w:t>
      </w:r>
      <w:r w:rsidRPr="004A04A4">
        <w:rPr>
          <w:color w:val="0000FF"/>
        </w:rPr>
        <w:t>paragraph</w:t>
      </w:r>
      <w:r w:rsidRPr="00A00F6F">
        <w:t xml:space="preserve"> </w:t>
      </w:r>
      <w:r w:rsidRPr="004A04A4">
        <w:rPr>
          <w:color w:val="0000FF"/>
        </w:rPr>
        <w:t>4</w:t>
      </w:r>
      <w:r w:rsidR="0034635F">
        <w:rPr>
          <w:color w:val="0000FF"/>
        </w:rPr>
        <w:t>.20E</w:t>
      </w:r>
      <w:r w:rsidRPr="004A04A4">
        <w:rPr>
          <w:color w:val="0000FF"/>
        </w:rPr>
        <w:t>(3)(i)</w:t>
      </w:r>
      <w:r w:rsidR="00CD2ED6" w:rsidRPr="00CD2ED6">
        <w:rPr>
          <w:strike/>
          <w:color w:val="0000FF"/>
        </w:rPr>
        <w:t xml:space="preserve"> </w:t>
      </w:r>
      <w:bookmarkStart w:id="609" w:name="_Hlk111104544"/>
      <w:r w:rsidR="00CD2ED6" w:rsidRPr="00CD2ED6">
        <w:rPr>
          <w:strike/>
          <w:color w:val="0000FF"/>
        </w:rPr>
        <w:t>paragraph 4.11(3)(e)</w:t>
      </w:r>
      <w:bookmarkEnd w:id="609"/>
      <w:r w:rsidRPr="00A00F6F">
        <w:t>:</w:t>
      </w:r>
    </w:p>
    <w:p w14:paraId="56E87A8E" w14:textId="77777777" w:rsidR="00BB7660" w:rsidRPr="00A00F6F" w:rsidRDefault="00BB7660" w:rsidP="00BB7660">
      <w:pPr>
        <w:pStyle w:val="paragraphsub"/>
      </w:pPr>
      <w:r w:rsidRPr="00A00F6F">
        <w:tab/>
        <w:t>(i)</w:t>
      </w:r>
      <w:r w:rsidRPr="00A00F6F">
        <w:tab/>
        <w:t>how the data was de</w:t>
      </w:r>
      <w:r w:rsidRPr="00A00F6F">
        <w:noBreakHyphen/>
        <w:t>identified; and</w:t>
      </w:r>
    </w:p>
    <w:p w14:paraId="2FB273F3" w14:textId="77777777" w:rsidR="00BB7660" w:rsidRPr="00A00F6F" w:rsidRDefault="00BB7660" w:rsidP="00BB7660">
      <w:pPr>
        <w:pStyle w:val="paragraphsub"/>
      </w:pPr>
      <w:r w:rsidRPr="00A00F6F">
        <w:tab/>
        <w:t>(ii)</w:t>
      </w:r>
      <w:r w:rsidRPr="00A00F6F">
        <w:tab/>
        <w:t>how the CDR representative used the de</w:t>
      </w:r>
      <w:r w:rsidRPr="00A00F6F">
        <w:noBreakHyphen/>
        <w:t>identified data; and</w:t>
      </w:r>
    </w:p>
    <w:p w14:paraId="6C170D5D" w14:textId="77777777" w:rsidR="00BB7660" w:rsidRPr="00A00F6F" w:rsidRDefault="00BB7660" w:rsidP="00BB7660">
      <w:pPr>
        <w:pStyle w:val="paragraphsub"/>
      </w:pPr>
      <w:r w:rsidRPr="00A00F6F">
        <w:tab/>
        <w:t>(iii)</w:t>
      </w:r>
      <w:r w:rsidRPr="00A00F6F">
        <w:tab/>
        <w:t>if the CDR representative disclosed (by sale or otherwise) the de</w:t>
      </w:r>
      <w:r w:rsidRPr="00A00F6F">
        <w:noBreakHyphen/>
        <w:t xml:space="preserve">identified data to another person as referred to in </w:t>
      </w:r>
      <w:r w:rsidRPr="004A04A4">
        <w:rPr>
          <w:color w:val="0000FF"/>
        </w:rPr>
        <w:t>paragraph 4</w:t>
      </w:r>
      <w:r w:rsidR="0034635F">
        <w:rPr>
          <w:color w:val="0000FF"/>
        </w:rPr>
        <w:t>.20L</w:t>
      </w:r>
      <w:r w:rsidRPr="004A04A4">
        <w:rPr>
          <w:color w:val="0000FF"/>
        </w:rPr>
        <w:t>(b)</w:t>
      </w:r>
      <w:r w:rsidR="00A54816" w:rsidRPr="00A54816">
        <w:rPr>
          <w:strike/>
          <w:color w:val="0000FF"/>
        </w:rPr>
        <w:t xml:space="preserve"> parag</w:t>
      </w:r>
      <w:r w:rsidR="00A54816" w:rsidRPr="00CD2ED6">
        <w:rPr>
          <w:strike/>
          <w:color w:val="0000FF"/>
        </w:rPr>
        <w:t>raph </w:t>
      </w:r>
      <w:r w:rsidR="00CD2ED6" w:rsidRPr="00CD2ED6">
        <w:rPr>
          <w:color w:val="0000FF"/>
        </w:rPr>
        <w:t>4.15(b)</w:t>
      </w:r>
      <w:r w:rsidRPr="00A00F6F">
        <w:t>:</w:t>
      </w:r>
    </w:p>
    <w:p w14:paraId="4B688BB1" w14:textId="77777777" w:rsidR="00BB7660" w:rsidRPr="00A00F6F" w:rsidRDefault="00BB7660" w:rsidP="00BB7660">
      <w:pPr>
        <w:pStyle w:val="paragraphsub-sub"/>
      </w:pPr>
      <w:r w:rsidRPr="00A00F6F">
        <w:tab/>
        <w:t>(A)</w:t>
      </w:r>
      <w:r w:rsidRPr="00A00F6F">
        <w:tab/>
        <w:t>to whom the data was so disclosed; and</w:t>
      </w:r>
    </w:p>
    <w:p w14:paraId="04C3D627" w14:textId="77777777" w:rsidR="00BB7660" w:rsidRPr="00A00F6F" w:rsidRDefault="00BB7660" w:rsidP="00BB7660">
      <w:pPr>
        <w:pStyle w:val="paragraphsub-sub"/>
      </w:pPr>
      <w:r w:rsidRPr="00A00F6F">
        <w:tab/>
        <w:t>(B)</w:t>
      </w:r>
      <w:r w:rsidRPr="00A00F6F">
        <w:tab/>
        <w:t>why the data was so disclosed;</w:t>
      </w:r>
    </w:p>
    <w:p w14:paraId="67FB4944" w14:textId="77777777" w:rsidR="00BB7660" w:rsidRPr="00A00F6F" w:rsidRDefault="00BB7660" w:rsidP="00BB7660">
      <w:pPr>
        <w:pStyle w:val="paragraphsub"/>
      </w:pPr>
      <w:r w:rsidRPr="00A00F6F">
        <w:tab/>
        <w:t>(iv)</w:t>
      </w:r>
      <w:r w:rsidRPr="00A00F6F">
        <w:tab/>
        <w:t>if the use is for general research―records of any additional benefit to be provided to the CDR consumer for consenting to the use;</w:t>
      </w:r>
    </w:p>
    <w:p w14:paraId="2E36B143" w14:textId="77777777" w:rsidR="00BB7660" w:rsidRPr="00A00F6F" w:rsidRDefault="00BB7660" w:rsidP="00BB7660">
      <w:pPr>
        <w:pStyle w:val="paragraph"/>
      </w:pPr>
      <w:r w:rsidRPr="00A00F6F">
        <w:tab/>
        <w:t>(m)</w:t>
      </w:r>
      <w:r w:rsidRPr="00A00F6F">
        <w:tab/>
        <w:t>records that are required to be made for the purposes of the CDR data de</w:t>
      </w:r>
      <w:r w:rsidRPr="00A00F6F">
        <w:noBreakHyphen/>
        <w:t>identification process when applied as part of privacy safeguard 12;</w:t>
      </w:r>
    </w:p>
    <w:p w14:paraId="033B1EFA" w14:textId="77777777" w:rsidR="00BB7660" w:rsidRPr="00A00F6F" w:rsidRDefault="00BB7660" w:rsidP="00BB7660">
      <w:pPr>
        <w:pStyle w:val="paragraph"/>
      </w:pPr>
      <w:r w:rsidRPr="00A00F6F">
        <w:tab/>
        <w:t>(n)</w:t>
      </w:r>
      <w:r w:rsidRPr="00A00F6F">
        <w:tab/>
        <w:t>records of any matters that are required to be retained under Schedule 2 to these rules;</w:t>
      </w:r>
    </w:p>
    <w:p w14:paraId="0E2002D0" w14:textId="77777777" w:rsidR="00BB7660" w:rsidRPr="00A00F6F" w:rsidRDefault="00BB7660" w:rsidP="00BB7660">
      <w:pPr>
        <w:pStyle w:val="paragraph"/>
      </w:pPr>
      <w:r w:rsidRPr="00A00F6F">
        <w:tab/>
        <w:t>(o)</w:t>
      </w:r>
      <w:r w:rsidRPr="00A00F6F">
        <w:tab/>
        <w:t>any terms and conditions on which the CDR representative offers goods or services where the CDR representative collects or uses, or discloses to an accredited person, CDR data in order to provide the good or service.</w:t>
      </w:r>
    </w:p>
    <w:p w14:paraId="7D189C8F" w14:textId="77777777" w:rsidR="00BB7660" w:rsidRPr="00A00F6F" w:rsidRDefault="00BB7660" w:rsidP="00BB7660">
      <w:pPr>
        <w:pStyle w:val="notetext"/>
      </w:pPr>
      <w:r w:rsidRPr="00A00F6F">
        <w:t>Note:</w:t>
      </w:r>
      <w:r w:rsidRPr="00A00F6F">
        <w:tab/>
        <w:t>For paragraph (k), see section 56EO of the Act and rule 7.12.</w:t>
      </w:r>
    </w:p>
    <w:p w14:paraId="343B173B" w14:textId="77777777" w:rsidR="00BB7660" w:rsidRPr="00A00F6F" w:rsidRDefault="00BB7660" w:rsidP="00BB7660">
      <w:pPr>
        <w:pStyle w:val="subsection"/>
      </w:pPr>
      <w:r w:rsidRPr="00A00F6F">
        <w:tab/>
      </w:r>
      <w:r w:rsidRPr="00A00F6F">
        <w:tab/>
        <w:t>Civil penalty:</w:t>
      </w:r>
    </w:p>
    <w:p w14:paraId="59F700E2" w14:textId="77777777" w:rsidR="00BB7660" w:rsidRPr="00A00F6F" w:rsidRDefault="00BB7660" w:rsidP="00BB7660">
      <w:pPr>
        <w:pStyle w:val="paragraph"/>
      </w:pPr>
      <w:r w:rsidRPr="00A00F6F">
        <w:lastRenderedPageBreak/>
        <w:tab/>
        <w:t>(a)</w:t>
      </w:r>
      <w:r w:rsidRPr="00A00F6F">
        <w:tab/>
        <w:t>for an individual―$50,000; and</w:t>
      </w:r>
    </w:p>
    <w:p w14:paraId="73E9BEC2" w14:textId="77777777" w:rsidR="00BB7660" w:rsidRPr="00A00F6F" w:rsidRDefault="00BB7660" w:rsidP="00BB7660">
      <w:pPr>
        <w:pStyle w:val="paragraph"/>
      </w:pPr>
      <w:r w:rsidRPr="00A00F6F">
        <w:tab/>
        <w:t>(b)</w:t>
      </w:r>
      <w:r w:rsidRPr="00A00F6F">
        <w:tab/>
        <w:t>for a body corporate―$250,000.</w:t>
      </w:r>
    </w:p>
    <w:p w14:paraId="6947FE74" w14:textId="77777777" w:rsidR="00BB7660" w:rsidRPr="003F3AC9" w:rsidRDefault="00BB7660" w:rsidP="00BB7660">
      <w:pPr>
        <w:pStyle w:val="SubsectionHead"/>
      </w:pPr>
      <w:r w:rsidRPr="003F3AC9">
        <w:t>Specificity of records</w:t>
      </w:r>
    </w:p>
    <w:p w14:paraId="09F98A3A" w14:textId="77777777" w:rsidR="00BB7660" w:rsidRPr="003F3AC9" w:rsidRDefault="00BB7660" w:rsidP="00BB7660">
      <w:pPr>
        <w:pStyle w:val="subsection"/>
      </w:pPr>
      <w:r w:rsidRPr="003F3AC9">
        <w:tab/>
      </w:r>
      <w:r>
        <w:t>(3)</w:t>
      </w:r>
      <w:r w:rsidRPr="003F3AC9">
        <w:tab/>
        <w:t>Each record referred to in this rule must include the date and time when the record was made and, if applicable, the date and time when the event described by the record occurred.</w:t>
      </w:r>
    </w:p>
    <w:p w14:paraId="45387DA1" w14:textId="77777777" w:rsidR="00BB7660" w:rsidRPr="0072242E" w:rsidRDefault="00BB7660" w:rsidP="00BB7660">
      <w:pPr>
        <w:pStyle w:val="SubsectionHead"/>
      </w:pPr>
      <w:r w:rsidRPr="0072242E">
        <w:t>Translation of records</w:t>
      </w:r>
    </w:p>
    <w:p w14:paraId="233869EC" w14:textId="77777777" w:rsidR="00BB7660" w:rsidRPr="0072242E" w:rsidRDefault="00BB7660" w:rsidP="00BB7660">
      <w:pPr>
        <w:pStyle w:val="subsection"/>
      </w:pPr>
      <w:r w:rsidRPr="0072242E">
        <w:tab/>
      </w:r>
      <w:r>
        <w:t>(4)</w:t>
      </w:r>
      <w:r w:rsidRPr="0072242E">
        <w:tab/>
        <w:t xml:space="preserve">Where a record referred to in this rule is kept in a language other than English, an English translation of the record must be made available within a reasonable time to a person who: </w:t>
      </w:r>
    </w:p>
    <w:p w14:paraId="464453CF" w14:textId="77777777" w:rsidR="00BB7660" w:rsidRPr="0072242E" w:rsidRDefault="00BB7660" w:rsidP="00BB7660">
      <w:pPr>
        <w:pStyle w:val="paragraph"/>
      </w:pPr>
      <w:r w:rsidRPr="0072242E">
        <w:tab/>
      </w:r>
      <w:r>
        <w:t>(a)</w:t>
      </w:r>
      <w:r w:rsidRPr="0072242E">
        <w:tab/>
        <w:t xml:space="preserve">is entitled to inspect the records under </w:t>
      </w:r>
      <w:r>
        <w:t>Subdivision 9.3.2</w:t>
      </w:r>
      <w:r w:rsidRPr="0072242E">
        <w:t>; and</w:t>
      </w:r>
    </w:p>
    <w:p w14:paraId="464FF435" w14:textId="77777777" w:rsidR="00BB7660" w:rsidRPr="0072242E" w:rsidRDefault="00BB7660" w:rsidP="00BB7660">
      <w:pPr>
        <w:pStyle w:val="paragraph"/>
      </w:pPr>
      <w:r w:rsidRPr="0072242E">
        <w:tab/>
      </w:r>
      <w:r>
        <w:t>(b)</w:t>
      </w:r>
      <w:r w:rsidRPr="0072242E">
        <w:tab/>
        <w:t xml:space="preserve">asks for the English translation. </w:t>
      </w:r>
    </w:p>
    <w:p w14:paraId="04585E17" w14:textId="77777777" w:rsidR="00BB7660" w:rsidRPr="00BE2511" w:rsidRDefault="00BB7660" w:rsidP="00BB7660">
      <w:pPr>
        <w:pStyle w:val="SubsectionHead"/>
      </w:pPr>
      <w:r>
        <w:t>Period for retention of records</w:t>
      </w:r>
    </w:p>
    <w:p w14:paraId="4D1E3ABF" w14:textId="77777777" w:rsidR="00BB7660" w:rsidRDefault="00BB7660" w:rsidP="00BB7660">
      <w:pPr>
        <w:pStyle w:val="subsection"/>
      </w:pPr>
      <w:r>
        <w:tab/>
        <w:t>(5)</w:t>
      </w:r>
      <w:r>
        <w:tab/>
        <w:t>Each record referred to in this rule must be kept for a period of 6 years beginning on the day the record was created.</w:t>
      </w:r>
    </w:p>
    <w:p w14:paraId="1BC0998A" w14:textId="77777777" w:rsidR="00BB7660" w:rsidRDefault="00BB7660" w:rsidP="00BB7660">
      <w:pPr>
        <w:pStyle w:val="subsection"/>
      </w:pPr>
      <w:r>
        <w:tab/>
      </w:r>
      <w:r>
        <w:tab/>
        <w:t>Civil penalty:</w:t>
      </w:r>
    </w:p>
    <w:p w14:paraId="46CF090A" w14:textId="77777777" w:rsidR="00BB7660" w:rsidRDefault="00BB7660" w:rsidP="00BB7660">
      <w:pPr>
        <w:pStyle w:val="paragraph"/>
      </w:pPr>
      <w:r>
        <w:tab/>
        <w:t>(a)</w:t>
      </w:r>
      <w:r>
        <w:tab/>
        <w:t>for an individual―$50,000; and</w:t>
      </w:r>
    </w:p>
    <w:p w14:paraId="0F9AB088" w14:textId="77777777" w:rsidR="00BB7660" w:rsidRPr="00E1300D" w:rsidRDefault="00BB7660" w:rsidP="00BB7660">
      <w:pPr>
        <w:pStyle w:val="paragraph"/>
      </w:pPr>
      <w:r>
        <w:tab/>
        <w:t>(b)</w:t>
      </w:r>
      <w:r>
        <w:tab/>
        <w:t>for a body corporate―$250,000.</w:t>
      </w:r>
    </w:p>
    <w:p w14:paraId="3C731A76" w14:textId="77777777" w:rsidR="00BB7660" w:rsidRDefault="00BB7660" w:rsidP="00BB7660">
      <w:pPr>
        <w:pStyle w:val="ActHead5"/>
      </w:pPr>
      <w:bookmarkStart w:id="610" w:name="_Toc11771705"/>
      <w:bookmarkStart w:id="611" w:name="_Toc111132237"/>
      <w:r>
        <w:t>9.4  Reporting requirements</w:t>
      </w:r>
      <w:bookmarkEnd w:id="610"/>
      <w:bookmarkEnd w:id="611"/>
    </w:p>
    <w:p w14:paraId="26CAFE88" w14:textId="77777777" w:rsidR="00BB7660" w:rsidRPr="00435823" w:rsidRDefault="00BB7660" w:rsidP="00BB7660">
      <w:pPr>
        <w:pStyle w:val="SubsectionHead"/>
      </w:pPr>
      <w:r>
        <w:t>Reports that must be prepared—data holder</w:t>
      </w:r>
    </w:p>
    <w:p w14:paraId="54935CD4" w14:textId="77777777" w:rsidR="00BB7660" w:rsidRDefault="00BB7660" w:rsidP="00BB7660">
      <w:pPr>
        <w:pStyle w:val="subsection"/>
      </w:pPr>
      <w:r>
        <w:tab/>
        <w:t>(1)</w:t>
      </w:r>
      <w:r>
        <w:tab/>
        <w:t>A data holder must prepare a report for each reporting period that:</w:t>
      </w:r>
    </w:p>
    <w:p w14:paraId="345D1E69" w14:textId="77777777" w:rsidR="00BB7660" w:rsidRPr="001151F8" w:rsidRDefault="00BB7660" w:rsidP="00BB7660">
      <w:pPr>
        <w:pStyle w:val="paragraph"/>
      </w:pPr>
      <w:r w:rsidRPr="001151F8">
        <w:tab/>
      </w:r>
      <w:r>
        <w:t>(a)</w:t>
      </w:r>
      <w:r w:rsidRPr="001151F8">
        <w:tab/>
        <w:t>is in the form approved by the Commission for the purposes of this rule; and</w:t>
      </w:r>
    </w:p>
    <w:p w14:paraId="73648379" w14:textId="77777777" w:rsidR="00BB7660" w:rsidRPr="0072242E" w:rsidRDefault="00BB7660" w:rsidP="00BB7660">
      <w:pPr>
        <w:pStyle w:val="paragraph"/>
      </w:pPr>
      <w:r w:rsidRPr="0072242E">
        <w:tab/>
      </w:r>
      <w:r>
        <w:t>(b)</w:t>
      </w:r>
      <w:r w:rsidRPr="0072242E">
        <w:tab/>
        <w:t>summarises the CDR complaint data that relates to that reporting period; and</w:t>
      </w:r>
    </w:p>
    <w:p w14:paraId="7214B749" w14:textId="77777777" w:rsidR="00BB7660" w:rsidRPr="0072242E" w:rsidRDefault="00BB7660" w:rsidP="00BB7660">
      <w:pPr>
        <w:pStyle w:val="paragraph"/>
      </w:pPr>
      <w:r w:rsidRPr="0072242E">
        <w:tab/>
      </w:r>
      <w:r>
        <w:t>(c)</w:t>
      </w:r>
      <w:r w:rsidRPr="0072242E">
        <w:tab/>
        <w:t>sets out the number (if any) of:</w:t>
      </w:r>
    </w:p>
    <w:p w14:paraId="1FC84EF4" w14:textId="77777777" w:rsidR="00BB7660" w:rsidRPr="0072242E" w:rsidRDefault="00BB7660" w:rsidP="00BB7660">
      <w:pPr>
        <w:pStyle w:val="paragraphsub"/>
      </w:pPr>
      <w:r w:rsidRPr="0072242E">
        <w:tab/>
      </w:r>
      <w:r>
        <w:t>(i)</w:t>
      </w:r>
      <w:r w:rsidRPr="0072242E">
        <w:tab/>
        <w:t>product data requests; and</w:t>
      </w:r>
    </w:p>
    <w:p w14:paraId="62899B9D" w14:textId="77777777" w:rsidR="00BB7660" w:rsidRPr="0072242E" w:rsidRDefault="00BB7660" w:rsidP="00BB7660">
      <w:pPr>
        <w:pStyle w:val="paragraphsub"/>
      </w:pPr>
      <w:r w:rsidRPr="0072242E">
        <w:tab/>
      </w:r>
      <w:r>
        <w:t>(ii)</w:t>
      </w:r>
      <w:r w:rsidRPr="0072242E">
        <w:tab/>
        <w:t>consumer data requests made by eligible CDR consumers; and</w:t>
      </w:r>
    </w:p>
    <w:p w14:paraId="5423BFFC" w14:textId="77777777" w:rsidR="00BB7660" w:rsidRPr="0072242E" w:rsidRDefault="00BB7660" w:rsidP="00BB7660">
      <w:pPr>
        <w:pStyle w:val="paragraphsub"/>
      </w:pPr>
      <w:r w:rsidRPr="0072242E">
        <w:tab/>
      </w:r>
      <w:r>
        <w:t>(iii)</w:t>
      </w:r>
      <w:r w:rsidRPr="0072242E">
        <w:tab/>
        <w:t>consumer data requests made by accredited persons</w:t>
      </w:r>
      <w:r>
        <w:t xml:space="preserve"> </w:t>
      </w:r>
      <w:r w:rsidRPr="00A23141">
        <w:t>on behalf of eligible CDR consumers</w:t>
      </w:r>
      <w:r w:rsidRPr="0072242E">
        <w:t>;</w:t>
      </w:r>
    </w:p>
    <w:p w14:paraId="7A88FA3D" w14:textId="77777777" w:rsidR="00BB7660" w:rsidRPr="0072242E" w:rsidRDefault="00BB7660" w:rsidP="00BB7660">
      <w:pPr>
        <w:pStyle w:val="paragraph"/>
      </w:pPr>
      <w:r w:rsidRPr="0072242E">
        <w:tab/>
      </w:r>
      <w:r w:rsidRPr="0072242E">
        <w:tab/>
        <w:t>received by the data holder during the reporting period; and</w:t>
      </w:r>
    </w:p>
    <w:p w14:paraId="73F4F23D" w14:textId="77777777" w:rsidR="00BB7660" w:rsidRPr="00CA7872" w:rsidRDefault="00BB7660" w:rsidP="00BB7660">
      <w:pPr>
        <w:pStyle w:val="paragraph"/>
      </w:pPr>
      <w:r w:rsidRPr="00CA7872">
        <w:tab/>
        <w:t>(d)</w:t>
      </w:r>
      <w:r w:rsidRPr="00CA7872">
        <w:tab/>
        <w:t>sets out, for each of the types of requests referred to in subparagraphs (c)(i), (ii) and (iii):</w:t>
      </w:r>
    </w:p>
    <w:p w14:paraId="16FE0693" w14:textId="77777777" w:rsidR="00BB7660" w:rsidRPr="00CA7872" w:rsidRDefault="00BB7660" w:rsidP="00BB7660">
      <w:pPr>
        <w:pStyle w:val="paragraphsub"/>
      </w:pPr>
      <w:r w:rsidRPr="00CA7872">
        <w:tab/>
        <w:t>(i)</w:t>
      </w:r>
      <w:r w:rsidRPr="00CA7872">
        <w:tab/>
        <w:t>the number of times the data holder has refused to disclose CDR data; and</w:t>
      </w:r>
    </w:p>
    <w:p w14:paraId="2A4EE4FC" w14:textId="77777777" w:rsidR="00BB7660" w:rsidRPr="00CA7872" w:rsidRDefault="00BB7660" w:rsidP="00BB7660">
      <w:pPr>
        <w:pStyle w:val="paragraphsub"/>
      </w:pPr>
      <w:r w:rsidRPr="00CA7872">
        <w:tab/>
        <w:t>(ii)</w:t>
      </w:r>
      <w:r w:rsidRPr="00CA7872">
        <w:tab/>
        <w:t>the rule or data standard relied upon to refuse to disclose that data; and</w:t>
      </w:r>
    </w:p>
    <w:p w14:paraId="2FB35823" w14:textId="77777777" w:rsidR="00BB7660" w:rsidRPr="00CA7872" w:rsidRDefault="00BB7660" w:rsidP="00BB7660">
      <w:pPr>
        <w:pStyle w:val="paragraphsub"/>
      </w:pPr>
      <w:r w:rsidRPr="00CA7872">
        <w:lastRenderedPageBreak/>
        <w:tab/>
        <w:t>(iii)</w:t>
      </w:r>
      <w:r w:rsidRPr="00CA7872">
        <w:tab/>
        <w:t>the number of times the data holder has relied on each of those rules or data standards as a ground of refusal.</w:t>
      </w:r>
    </w:p>
    <w:p w14:paraId="0E490039" w14:textId="77777777" w:rsidR="00BB7660" w:rsidRPr="00CA7872" w:rsidRDefault="00BB7660" w:rsidP="00BB7660">
      <w:pPr>
        <w:pStyle w:val="notetext"/>
      </w:pPr>
      <w:r w:rsidRPr="00CA7872">
        <w:t>Note:</w:t>
      </w:r>
      <w:r w:rsidRPr="00CA7872">
        <w:tab/>
        <w:t xml:space="preserve">For the meaning of </w:t>
      </w:r>
      <w:r w:rsidRPr="00CA7872">
        <w:rPr>
          <w:b/>
          <w:i/>
        </w:rPr>
        <w:t xml:space="preserve">product data request </w:t>
      </w:r>
      <w:r w:rsidRPr="00CA7872">
        <w:t xml:space="preserve">see rule 2.3. For the meaning of </w:t>
      </w:r>
      <w:r w:rsidRPr="00CA7872">
        <w:rPr>
          <w:b/>
          <w:i/>
        </w:rPr>
        <w:t xml:space="preserve">consumer data request </w:t>
      </w:r>
      <w:r w:rsidRPr="00CA7872">
        <w:t>see rule 3.3 (requests made by CDR consumers) and rules 4.4 and 4.7A (r</w:t>
      </w:r>
      <w:r>
        <w:t>equests by accredited persons).</w:t>
      </w:r>
    </w:p>
    <w:p w14:paraId="219A4574" w14:textId="77777777" w:rsidR="00BB7660" w:rsidRDefault="00BB7660" w:rsidP="00BB7660">
      <w:pPr>
        <w:pStyle w:val="subsection"/>
      </w:pPr>
      <w:r>
        <w:tab/>
      </w:r>
      <w:r>
        <w:tab/>
        <w:t>Civil penalty:</w:t>
      </w:r>
    </w:p>
    <w:p w14:paraId="36673634" w14:textId="77777777" w:rsidR="00BB7660" w:rsidRDefault="00BB7660" w:rsidP="00BB7660">
      <w:pPr>
        <w:pStyle w:val="paragraph"/>
      </w:pPr>
      <w:r>
        <w:tab/>
        <w:t>(a)</w:t>
      </w:r>
      <w:r>
        <w:tab/>
        <w:t>for an individual―$50,000; and</w:t>
      </w:r>
    </w:p>
    <w:p w14:paraId="3097322C" w14:textId="77777777" w:rsidR="00BB7660" w:rsidRPr="00E1300D" w:rsidRDefault="00BB7660" w:rsidP="00BB7660">
      <w:pPr>
        <w:pStyle w:val="paragraph"/>
      </w:pPr>
      <w:r>
        <w:tab/>
        <w:t>(b)</w:t>
      </w:r>
      <w:r>
        <w:tab/>
        <w:t>for a body corporate―$250,000.</w:t>
      </w:r>
    </w:p>
    <w:p w14:paraId="336C8E30" w14:textId="77777777" w:rsidR="00BB7660" w:rsidRPr="00A00F6F" w:rsidRDefault="00BB7660" w:rsidP="00BB7660">
      <w:pPr>
        <w:pStyle w:val="SubsectionHead"/>
      </w:pPr>
      <w:r w:rsidRPr="00A00F6F">
        <w:t>Reports that must be prepared—secondary data holder</w:t>
      </w:r>
    </w:p>
    <w:p w14:paraId="669796DC" w14:textId="77777777" w:rsidR="00BB7660" w:rsidRPr="00A00F6F" w:rsidRDefault="00BB7660" w:rsidP="00BB7660">
      <w:pPr>
        <w:pStyle w:val="subsection"/>
      </w:pPr>
      <w:r w:rsidRPr="00A00F6F">
        <w:tab/>
        <w:t>(1A)</w:t>
      </w:r>
      <w:r w:rsidRPr="00A00F6F">
        <w:tab/>
        <w:t>A secondary data holder must prepare a report for each reporting period that:</w:t>
      </w:r>
    </w:p>
    <w:p w14:paraId="60836470" w14:textId="77777777" w:rsidR="00BB7660" w:rsidRPr="00A00F6F" w:rsidRDefault="00BB7660" w:rsidP="00BB7660">
      <w:pPr>
        <w:pStyle w:val="paragraph"/>
      </w:pPr>
      <w:r w:rsidRPr="00A00F6F">
        <w:tab/>
        <w:t>(a)</w:t>
      </w:r>
      <w:r w:rsidRPr="00A00F6F">
        <w:tab/>
        <w:t>is in the form approved by the Commission for the purposes of this rule; and</w:t>
      </w:r>
    </w:p>
    <w:p w14:paraId="2BB119D2" w14:textId="77777777" w:rsidR="00BB7660" w:rsidRPr="00A00F6F" w:rsidRDefault="00BB7660" w:rsidP="00BB7660">
      <w:pPr>
        <w:pStyle w:val="paragraph"/>
      </w:pPr>
      <w:r w:rsidRPr="00A00F6F">
        <w:tab/>
        <w:t>(b)</w:t>
      </w:r>
      <w:r w:rsidRPr="00A00F6F">
        <w:tab/>
        <w:t>sets out the number (if any) of requests for SR data under subrule 1.22(3) or 1.23(4) received by the data holder from the primary data holder during the reporting period; and</w:t>
      </w:r>
    </w:p>
    <w:p w14:paraId="44384DCD" w14:textId="77777777" w:rsidR="00BB7660" w:rsidRPr="00A00F6F" w:rsidRDefault="00BB7660" w:rsidP="00BB7660">
      <w:pPr>
        <w:pStyle w:val="paragraph"/>
      </w:pPr>
      <w:r w:rsidRPr="00A00F6F">
        <w:tab/>
        <w:t>(c)</w:t>
      </w:r>
      <w:r w:rsidRPr="00A00F6F">
        <w:tab/>
        <w:t>sets out:</w:t>
      </w:r>
    </w:p>
    <w:p w14:paraId="3F0D9A5F" w14:textId="77777777" w:rsidR="00BB7660" w:rsidRPr="00A00F6F" w:rsidRDefault="00BB7660" w:rsidP="00BB7660">
      <w:pPr>
        <w:pStyle w:val="paragraphsub"/>
      </w:pPr>
      <w:r w:rsidRPr="00A00F6F">
        <w:tab/>
        <w:t>(i)</w:t>
      </w:r>
      <w:r w:rsidRPr="00A00F6F">
        <w:tab/>
        <w:t>the number of times the data holder has refused to disclose SR data; and</w:t>
      </w:r>
    </w:p>
    <w:p w14:paraId="07E813BE" w14:textId="77777777" w:rsidR="00BB7660" w:rsidRPr="00A00F6F" w:rsidRDefault="00BB7660" w:rsidP="00BB7660">
      <w:pPr>
        <w:pStyle w:val="paragraphsub"/>
      </w:pPr>
      <w:r w:rsidRPr="00A00F6F">
        <w:tab/>
        <w:t>(ii)</w:t>
      </w:r>
      <w:r w:rsidRPr="00A00F6F">
        <w:tab/>
        <w:t>the reasons for the refusals to disclose that data, including any rule or data standard relied upon; and</w:t>
      </w:r>
    </w:p>
    <w:p w14:paraId="6D4A22B5" w14:textId="77777777" w:rsidR="00BB7660" w:rsidRPr="00A00F6F" w:rsidRDefault="00BB7660" w:rsidP="00BB7660">
      <w:pPr>
        <w:pStyle w:val="paragraphsub"/>
      </w:pPr>
      <w:r w:rsidRPr="00A00F6F">
        <w:tab/>
        <w:t>(iii)</w:t>
      </w:r>
      <w:r w:rsidRPr="00A00F6F">
        <w:tab/>
        <w:t>the number of times the data holder has relied on each of those reasons for refusal.</w:t>
      </w:r>
    </w:p>
    <w:p w14:paraId="50226CEB" w14:textId="77777777" w:rsidR="00BB7660" w:rsidRPr="00A00F6F" w:rsidRDefault="00BB7660" w:rsidP="00BB7660">
      <w:pPr>
        <w:pStyle w:val="subsection"/>
      </w:pPr>
      <w:r w:rsidRPr="00A00F6F">
        <w:tab/>
      </w:r>
      <w:r w:rsidRPr="00A00F6F">
        <w:tab/>
        <w:t>Civil penalty:</w:t>
      </w:r>
    </w:p>
    <w:p w14:paraId="53B95441" w14:textId="77777777" w:rsidR="00BB7660" w:rsidRPr="00A00F6F" w:rsidRDefault="00BB7660" w:rsidP="00BB7660">
      <w:pPr>
        <w:pStyle w:val="paragraph"/>
      </w:pPr>
      <w:r w:rsidRPr="00A00F6F">
        <w:tab/>
        <w:t>(a)</w:t>
      </w:r>
      <w:r w:rsidRPr="00A00F6F">
        <w:tab/>
        <w:t>for an individual―$50,000; and</w:t>
      </w:r>
    </w:p>
    <w:p w14:paraId="07E21623" w14:textId="77777777" w:rsidR="00BB7660" w:rsidRPr="00A00F6F" w:rsidRDefault="00BB7660" w:rsidP="00BB7660">
      <w:pPr>
        <w:pStyle w:val="paragraph"/>
      </w:pPr>
      <w:r w:rsidRPr="00A00F6F">
        <w:tab/>
        <w:t>(b)</w:t>
      </w:r>
      <w:r w:rsidRPr="00A00F6F">
        <w:tab/>
        <w:t>for a body corporate―$250,000.</w:t>
      </w:r>
    </w:p>
    <w:p w14:paraId="0777EC00" w14:textId="77777777" w:rsidR="00BB7660" w:rsidRDefault="00BB7660" w:rsidP="00BB7660">
      <w:pPr>
        <w:pStyle w:val="SubsectionHead"/>
      </w:pPr>
      <w:r>
        <w:t>Reports that must be prepared—accredited data recipient</w:t>
      </w:r>
    </w:p>
    <w:p w14:paraId="1EA560B8" w14:textId="77777777" w:rsidR="00BB7660" w:rsidRDefault="00BB7660" w:rsidP="00BB7660">
      <w:pPr>
        <w:pStyle w:val="subsection"/>
      </w:pPr>
      <w:r>
        <w:tab/>
        <w:t>(2)</w:t>
      </w:r>
      <w:r>
        <w:tab/>
        <w:t>An accredited data recipient must prepare a report for each reporting period that:</w:t>
      </w:r>
    </w:p>
    <w:p w14:paraId="497C2678" w14:textId="77777777" w:rsidR="00BB7660" w:rsidRPr="001151F8" w:rsidRDefault="00BB7660" w:rsidP="00BB7660">
      <w:pPr>
        <w:pStyle w:val="paragraph"/>
      </w:pPr>
      <w:r w:rsidRPr="001151F8">
        <w:tab/>
      </w:r>
      <w:r>
        <w:t>(a)</w:t>
      </w:r>
      <w:r w:rsidRPr="001151F8">
        <w:tab/>
        <w:t>is in the form approved by the Commission for the purposes of this rule; and</w:t>
      </w:r>
    </w:p>
    <w:p w14:paraId="3ADCA934" w14:textId="77777777" w:rsidR="00BB7660" w:rsidRDefault="00BB7660" w:rsidP="00BB7660">
      <w:pPr>
        <w:pStyle w:val="paragraph"/>
      </w:pPr>
      <w:r>
        <w:tab/>
        <w:t>(b)</w:t>
      </w:r>
      <w:r>
        <w:tab/>
        <w:t xml:space="preserve">summarises the </w:t>
      </w:r>
      <w:r w:rsidRPr="00964EDA">
        <w:rPr>
          <w:color w:val="000000"/>
        </w:rPr>
        <w:t xml:space="preserve">CDR complaint data that relates to that </w:t>
      </w:r>
      <w:r>
        <w:t>reporting period; and</w:t>
      </w:r>
    </w:p>
    <w:p w14:paraId="3E54010A" w14:textId="77777777" w:rsidR="00BB7660" w:rsidRDefault="00BB7660" w:rsidP="00BB7660">
      <w:pPr>
        <w:pStyle w:val="paragraph"/>
      </w:pPr>
      <w:r>
        <w:tab/>
        <w:t>(c)</w:t>
      </w:r>
      <w:r>
        <w:tab/>
        <w:t xml:space="preserve">describes any </w:t>
      </w:r>
      <w:r w:rsidRPr="00B3173B">
        <w:t xml:space="preserve">goods or </w:t>
      </w:r>
      <w:r>
        <w:t>services that they offer to CDR consumers using CDR data that were not:</w:t>
      </w:r>
    </w:p>
    <w:p w14:paraId="37B8AB9C" w14:textId="77777777" w:rsidR="00BB7660" w:rsidRDefault="00BB7660" w:rsidP="00BB7660">
      <w:pPr>
        <w:pStyle w:val="paragraphsub"/>
      </w:pPr>
      <w:r>
        <w:tab/>
        <w:t>(i)</w:t>
      </w:r>
      <w:r>
        <w:tab/>
        <w:t>described in the relevant application to be an accredited person; or</w:t>
      </w:r>
    </w:p>
    <w:p w14:paraId="429C4462" w14:textId="77777777" w:rsidR="00BB7660" w:rsidRDefault="00BB7660" w:rsidP="00BB7660">
      <w:pPr>
        <w:pStyle w:val="paragraphsub"/>
      </w:pPr>
      <w:r>
        <w:tab/>
        <w:t>(ii)</w:t>
      </w:r>
      <w:r>
        <w:tab/>
        <w:t>previously included in a report prepared under this rule; and</w:t>
      </w:r>
    </w:p>
    <w:p w14:paraId="7FF82CBA" w14:textId="77777777" w:rsidR="00BB7660" w:rsidRPr="0072242E" w:rsidRDefault="00BB7660" w:rsidP="00BB7660">
      <w:pPr>
        <w:pStyle w:val="paragraph"/>
      </w:pPr>
      <w:r>
        <w:tab/>
        <w:t>(d)</w:t>
      </w:r>
      <w:r>
        <w:tab/>
      </w:r>
      <w:r w:rsidRPr="0072242E">
        <w:t xml:space="preserve">in relation to any good or service that is required to be described under paragraph </w:t>
      </w:r>
      <w:r>
        <w:t>(c)</w:t>
      </w:r>
      <w:r w:rsidRPr="0072242E">
        <w:t>:</w:t>
      </w:r>
    </w:p>
    <w:p w14:paraId="6ED8E68F" w14:textId="77777777" w:rsidR="00BB7660" w:rsidRPr="0072242E" w:rsidRDefault="00BB7660" w:rsidP="00BB7660">
      <w:pPr>
        <w:pStyle w:val="paragraphsub"/>
      </w:pPr>
      <w:r>
        <w:tab/>
        <w:t>(i)</w:t>
      </w:r>
      <w:r>
        <w:tab/>
      </w:r>
      <w:r w:rsidRPr="0072242E">
        <w:t xml:space="preserve">describes the CDR data that </w:t>
      </w:r>
      <w:r>
        <w:t xml:space="preserve">is needed </w:t>
      </w:r>
      <w:r w:rsidRPr="0072242E">
        <w:t>in order to offer the good or service to CDR consumers; and</w:t>
      </w:r>
    </w:p>
    <w:p w14:paraId="1211FA0F" w14:textId="77777777" w:rsidR="00BB7660" w:rsidRPr="0072242E" w:rsidRDefault="00BB7660" w:rsidP="00BB7660">
      <w:pPr>
        <w:pStyle w:val="paragraphsub"/>
      </w:pPr>
      <w:r>
        <w:tab/>
        <w:t>(ii)</w:t>
      </w:r>
      <w:r>
        <w:tab/>
      </w:r>
      <w:r w:rsidRPr="0072242E">
        <w:t xml:space="preserve">explains why that data is </w:t>
      </w:r>
      <w:r>
        <w:t xml:space="preserve">needed </w:t>
      </w:r>
      <w:r w:rsidRPr="0072242E">
        <w:t>in order to offer the good or service to CDR consumers; and</w:t>
      </w:r>
    </w:p>
    <w:p w14:paraId="56B2B989" w14:textId="77777777" w:rsidR="00BB7660" w:rsidRPr="0072242E" w:rsidRDefault="00BB7660" w:rsidP="00BB7660">
      <w:pPr>
        <w:pStyle w:val="paragraph"/>
      </w:pPr>
      <w:r>
        <w:lastRenderedPageBreak/>
        <w:tab/>
        <w:t>(e)</w:t>
      </w:r>
      <w:r>
        <w:tab/>
      </w:r>
      <w:r w:rsidRPr="0072242E">
        <w:t xml:space="preserve">describes any material changes that have been made to any goods or services offered by the accredited data recipient since the previous reporting period, including any changes to the matters referred to in paragraph </w:t>
      </w:r>
      <w:r>
        <w:t>(c)</w:t>
      </w:r>
      <w:r w:rsidRPr="0072242E">
        <w:t>; and</w:t>
      </w:r>
    </w:p>
    <w:p w14:paraId="21849D6E" w14:textId="77777777" w:rsidR="00BB7660" w:rsidRDefault="00BB7660" w:rsidP="00BB7660">
      <w:pPr>
        <w:pStyle w:val="paragraph"/>
      </w:pPr>
      <w:r w:rsidRPr="00CA7872">
        <w:tab/>
        <w:t>(f)</w:t>
      </w:r>
      <w:r w:rsidRPr="00CA7872">
        <w:tab/>
        <w:t>sets out the following:</w:t>
      </w:r>
    </w:p>
    <w:p w14:paraId="77984492" w14:textId="77777777" w:rsidR="00BB7660" w:rsidRPr="00A00F6F" w:rsidRDefault="00BB7660" w:rsidP="00BB7660">
      <w:pPr>
        <w:pStyle w:val="paragraphsub"/>
      </w:pPr>
      <w:r w:rsidRPr="00A00F6F">
        <w:tab/>
        <w:t>(i)</w:t>
      </w:r>
      <w:r w:rsidRPr="00A00F6F">
        <w:tab/>
        <w:t>the number of consumer data requests made by the accredited data recipient during the reporting period, distinguishing</w:t>
      </w:r>
    </w:p>
    <w:p w14:paraId="278B9D69" w14:textId="77777777" w:rsidR="00BB7660" w:rsidRPr="00A00F6F" w:rsidRDefault="00BB7660" w:rsidP="00BB7660">
      <w:pPr>
        <w:pStyle w:val="paragraphsub-sub"/>
      </w:pPr>
      <w:r w:rsidRPr="00A00F6F">
        <w:tab/>
        <w:t>(A)</w:t>
      </w:r>
      <w:r w:rsidRPr="00A00F6F">
        <w:tab/>
        <w:t>in the case of a sponsor—between requests made on its own behalf and those made on behalf of affiliates; and</w:t>
      </w:r>
    </w:p>
    <w:p w14:paraId="32228F1A" w14:textId="77777777" w:rsidR="00BB7660" w:rsidRPr="00A00F6F" w:rsidRDefault="00BB7660" w:rsidP="00BB7660">
      <w:pPr>
        <w:pStyle w:val="paragraphsub-sub"/>
      </w:pPr>
      <w:r w:rsidRPr="00A00F6F">
        <w:tab/>
        <w:t>(B)</w:t>
      </w:r>
      <w:r w:rsidRPr="00A00F6F">
        <w:tab/>
        <w:t>in the case of an affiliate—between those made to its sponsors and those made to other accredited persons;</w:t>
      </w:r>
    </w:p>
    <w:p w14:paraId="72D896A2" w14:textId="77777777" w:rsidR="00BB7660" w:rsidRPr="00CA7872" w:rsidRDefault="00BB7660" w:rsidP="00BB7660">
      <w:pPr>
        <w:pStyle w:val="paragraphsub"/>
      </w:pPr>
      <w:r w:rsidRPr="00CA7872">
        <w:tab/>
        <w:t>(ii)</w:t>
      </w:r>
      <w:r w:rsidRPr="00CA7872">
        <w:tab/>
        <w:t>the proportion of CDR consumers who, at the date of the report, had exercised the election to delete, by reference to each brand of the accredited person;</w:t>
      </w:r>
    </w:p>
    <w:p w14:paraId="7A17BBE9" w14:textId="77777777" w:rsidR="00BB7660" w:rsidRPr="00A00F6F" w:rsidRDefault="00BB7660" w:rsidP="00BB7660">
      <w:pPr>
        <w:pStyle w:val="paragraphsub"/>
      </w:pPr>
      <w:r w:rsidRPr="00A00F6F">
        <w:tab/>
        <w:t>(iii)</w:t>
      </w:r>
      <w:r w:rsidRPr="00A00F6F">
        <w:tab/>
        <w:t>the number of consumer data requests the accredited data recipient received from an accredited person on behalf of a CDR consumer during the reporting period, distinguishing, in the case of a sponsor, between requests from affiliates and those from other accredited persons;</w:t>
      </w:r>
    </w:p>
    <w:p w14:paraId="7B90CB9B" w14:textId="77777777" w:rsidR="00BB7660" w:rsidRPr="00CA7872" w:rsidRDefault="00BB7660" w:rsidP="00BB7660">
      <w:pPr>
        <w:pStyle w:val="paragraphsub"/>
      </w:pPr>
      <w:r w:rsidRPr="00CA7872">
        <w:tab/>
        <w:t>(iv)</w:t>
      </w:r>
      <w:r w:rsidRPr="00CA7872">
        <w:tab/>
        <w:t>the number of times the accredited data recipient disclosed consumer data to an accredited person in response to such a consumer data request during the reporting period;</w:t>
      </w:r>
    </w:p>
    <w:p w14:paraId="7CE00426" w14:textId="77777777" w:rsidR="00BB7660" w:rsidRPr="005C6351" w:rsidRDefault="00BB7660" w:rsidP="00BB7660">
      <w:pPr>
        <w:pStyle w:val="paragraphsub"/>
      </w:pPr>
      <w:r w:rsidRPr="00CA7872">
        <w:tab/>
        <w:t>(v)</w:t>
      </w:r>
      <w:r w:rsidRPr="00CA7872">
        <w:tab/>
        <w:t>the total number of CDR consumers the accredited data recipient provided goods or services to using CDR data during the reporting period</w:t>
      </w:r>
      <w:r w:rsidRPr="005C6351">
        <w:t>;</w:t>
      </w:r>
    </w:p>
    <w:p w14:paraId="390C15F9" w14:textId="77777777" w:rsidR="00BB7660" w:rsidRPr="00A00F6F" w:rsidRDefault="00BB7660" w:rsidP="00BB7660">
      <w:pPr>
        <w:pStyle w:val="paragraphsub"/>
      </w:pPr>
      <w:r w:rsidRPr="00A00F6F">
        <w:rPr>
          <w:rFonts w:eastAsia="Calibri"/>
        </w:rPr>
        <w:tab/>
        <w:t>(vi)</w:t>
      </w:r>
      <w:r w:rsidRPr="00A00F6F">
        <w:rPr>
          <w:rFonts w:eastAsia="Calibri"/>
        </w:rPr>
        <w:tab/>
        <w:t xml:space="preserve">the number of </w:t>
      </w:r>
      <w:r w:rsidRPr="00A00F6F">
        <w:t xml:space="preserve">consents received from CDR consumers </w:t>
      </w:r>
      <w:r w:rsidRPr="00A00F6F">
        <w:rPr>
          <w:rFonts w:eastAsia="Calibri"/>
        </w:rPr>
        <w:t>during the reporting period</w:t>
      </w:r>
      <w:r w:rsidRPr="00A00F6F">
        <w:t xml:space="preserve"> to disclose CDR data to trusted advisers;</w:t>
      </w:r>
    </w:p>
    <w:p w14:paraId="1FB3C827" w14:textId="77777777" w:rsidR="00BB7660" w:rsidRPr="00A00F6F" w:rsidRDefault="00BB7660" w:rsidP="00BB7660">
      <w:pPr>
        <w:pStyle w:val="paragraphsub"/>
      </w:pPr>
      <w:r w:rsidRPr="00A00F6F">
        <w:tab/>
        <w:t>(vii)</w:t>
      </w:r>
      <w:r w:rsidRPr="00A00F6F">
        <w:tab/>
        <w:t>for each class of trusted advisers—the number of trusted advisers to whom CDR data was disclosed during the reporting period;</w:t>
      </w:r>
    </w:p>
    <w:p w14:paraId="4F1239B6" w14:textId="77777777" w:rsidR="00BB7660" w:rsidRDefault="00BB7660" w:rsidP="00BB7660">
      <w:pPr>
        <w:pStyle w:val="paragraphsub"/>
        <w:rPr>
          <w:rFonts w:eastAsia="Calibri"/>
        </w:rPr>
      </w:pPr>
      <w:r w:rsidRPr="00A00F6F">
        <w:rPr>
          <w:rFonts w:eastAsia="Calibri"/>
        </w:rPr>
        <w:tab/>
        <w:t>(viii)</w:t>
      </w:r>
      <w:r w:rsidRPr="00A00F6F">
        <w:rPr>
          <w:rFonts w:eastAsia="Calibri"/>
        </w:rPr>
        <w:tab/>
        <w:t xml:space="preserve">the number of insight disclosure </w:t>
      </w:r>
      <w:r w:rsidRPr="00A00F6F">
        <w:t xml:space="preserve">consents received from CDR consumers </w:t>
      </w:r>
      <w:r w:rsidRPr="00A00F6F">
        <w:rPr>
          <w:rFonts w:eastAsia="Calibri"/>
        </w:rPr>
        <w:t>during the reporting period;</w:t>
      </w:r>
    </w:p>
    <w:p w14:paraId="093CE824" w14:textId="77777777" w:rsidR="009631EA" w:rsidRPr="009B680A" w:rsidRDefault="009631EA" w:rsidP="009631EA">
      <w:pPr>
        <w:pStyle w:val="paragraphsub"/>
        <w:rPr>
          <w:rFonts w:eastAsia="Calibri"/>
          <w:color w:val="0000FF"/>
        </w:rPr>
      </w:pPr>
      <w:r w:rsidRPr="009B680A">
        <w:rPr>
          <w:rFonts w:eastAsia="Calibri"/>
          <w:color w:val="0000FF"/>
        </w:rPr>
        <w:tab/>
        <w:t>(viiia)</w:t>
      </w:r>
      <w:r w:rsidRPr="009B680A">
        <w:rPr>
          <w:rFonts w:eastAsia="Calibri"/>
          <w:color w:val="0000FF"/>
        </w:rPr>
        <w:tab/>
        <w:t xml:space="preserve">the number of business consumer disclosure consents </w:t>
      </w:r>
      <w:r w:rsidRPr="009B680A">
        <w:rPr>
          <w:color w:val="0000FF"/>
        </w:rPr>
        <w:t xml:space="preserve">received from CDR consumers </w:t>
      </w:r>
      <w:r w:rsidRPr="009B680A">
        <w:rPr>
          <w:rFonts w:eastAsia="Calibri"/>
          <w:color w:val="0000FF"/>
        </w:rPr>
        <w:t>during the reporting period;</w:t>
      </w:r>
    </w:p>
    <w:p w14:paraId="00A26B93" w14:textId="77777777" w:rsidR="00BB7660" w:rsidRPr="00A00F6F" w:rsidRDefault="00BB7660" w:rsidP="00BB7660">
      <w:pPr>
        <w:pStyle w:val="paragraphsub"/>
      </w:pPr>
      <w:r w:rsidRPr="00A00F6F">
        <w:rPr>
          <w:rFonts w:eastAsia="Calibri"/>
        </w:rPr>
        <w:tab/>
        <w:t>(ix)</w:t>
      </w:r>
      <w:r w:rsidRPr="00A00F6F">
        <w:rPr>
          <w:rFonts w:eastAsia="Calibri"/>
        </w:rPr>
        <w:tab/>
        <w:t>in the case of a sponsor or an affiliate—the number of sponsorship arrangements to which it was a party during the period.</w:t>
      </w:r>
    </w:p>
    <w:p w14:paraId="7205863F" w14:textId="77777777" w:rsidR="00BB7660" w:rsidRDefault="00BB7660" w:rsidP="00BB7660">
      <w:pPr>
        <w:pStyle w:val="subsection"/>
      </w:pPr>
      <w:r>
        <w:tab/>
      </w:r>
      <w:r>
        <w:tab/>
        <w:t>Civil penalty:</w:t>
      </w:r>
    </w:p>
    <w:p w14:paraId="58FC004B" w14:textId="77777777" w:rsidR="00BB7660" w:rsidRDefault="00BB7660" w:rsidP="00BB7660">
      <w:pPr>
        <w:pStyle w:val="paragraph"/>
      </w:pPr>
      <w:r>
        <w:tab/>
        <w:t>(a)</w:t>
      </w:r>
      <w:r>
        <w:tab/>
        <w:t>for an individual―$50,000; and</w:t>
      </w:r>
    </w:p>
    <w:p w14:paraId="56A427B8" w14:textId="77777777" w:rsidR="00BB7660" w:rsidRPr="00E1300D" w:rsidRDefault="00BB7660" w:rsidP="00BB7660">
      <w:pPr>
        <w:pStyle w:val="paragraph"/>
      </w:pPr>
      <w:r>
        <w:tab/>
        <w:t>(b)</w:t>
      </w:r>
      <w:r>
        <w:tab/>
        <w:t>for a body corporate―$250,000.</w:t>
      </w:r>
    </w:p>
    <w:p w14:paraId="72949BF3" w14:textId="77777777" w:rsidR="00BB7660" w:rsidRPr="00A00F6F" w:rsidRDefault="00BB7660" w:rsidP="00BB7660">
      <w:pPr>
        <w:pStyle w:val="SubsectionHead"/>
      </w:pPr>
      <w:r w:rsidRPr="00A00F6F">
        <w:t xml:space="preserve">Reports that must be prepared—CDR principal </w:t>
      </w:r>
    </w:p>
    <w:p w14:paraId="4A2FBEE0" w14:textId="77777777" w:rsidR="00BB7660" w:rsidRPr="00A00F6F" w:rsidRDefault="00BB7660" w:rsidP="00BB7660">
      <w:pPr>
        <w:pStyle w:val="subsection"/>
      </w:pPr>
      <w:r w:rsidRPr="00A00F6F">
        <w:tab/>
        <w:t>(2A)</w:t>
      </w:r>
      <w:r w:rsidRPr="00A00F6F">
        <w:tab/>
        <w:t>An accredited data recipient that is a CDR principal must prepare a report for each reporting period that is in the form approved by the Commission for the purposes of this rule and, in relation to each CDR representative:</w:t>
      </w:r>
    </w:p>
    <w:p w14:paraId="24BA6C1F" w14:textId="77777777" w:rsidR="00BB7660" w:rsidRPr="00A00F6F" w:rsidRDefault="00BB7660" w:rsidP="00BB7660">
      <w:pPr>
        <w:pStyle w:val="paragraph"/>
      </w:pPr>
      <w:r w:rsidRPr="00A00F6F">
        <w:tab/>
        <w:t>(a)</w:t>
      </w:r>
      <w:r w:rsidRPr="00A00F6F">
        <w:tab/>
        <w:t>summarises the CDR complaint data that relates to that reporting period; and</w:t>
      </w:r>
    </w:p>
    <w:p w14:paraId="1ED2A573" w14:textId="77777777" w:rsidR="00BB7660" w:rsidRPr="00A00F6F" w:rsidRDefault="00BB7660" w:rsidP="00BB7660">
      <w:pPr>
        <w:pStyle w:val="paragraph"/>
      </w:pPr>
      <w:r w:rsidRPr="00A00F6F">
        <w:lastRenderedPageBreak/>
        <w:tab/>
        <w:t>(b)</w:t>
      </w:r>
      <w:r w:rsidRPr="00A00F6F">
        <w:tab/>
        <w:t>describes any goods or services that the CDR representative offers to CDR consumers using CDR data that were not:</w:t>
      </w:r>
    </w:p>
    <w:p w14:paraId="1221EB7F" w14:textId="77777777" w:rsidR="00BB7660" w:rsidRPr="004A04A4" w:rsidRDefault="00BB7660" w:rsidP="00BB7660">
      <w:pPr>
        <w:pStyle w:val="paragraphsub"/>
        <w:rPr>
          <w:color w:val="0000FF"/>
        </w:rPr>
      </w:pPr>
      <w:r w:rsidRPr="004A04A4">
        <w:rPr>
          <w:color w:val="0000FF"/>
        </w:rPr>
        <w:tab/>
        <w:t>(i)</w:t>
      </w:r>
      <w:r w:rsidRPr="004A04A4">
        <w:rPr>
          <w:color w:val="0000FF"/>
        </w:rPr>
        <w:tab/>
        <w:t>described in the notification of the CDR representative under subrule 5.14(4); or</w:t>
      </w:r>
    </w:p>
    <w:p w14:paraId="3A541BE3" w14:textId="77777777" w:rsidR="005F5224" w:rsidRPr="005F5224" w:rsidRDefault="005F5224" w:rsidP="005F5224">
      <w:pPr>
        <w:pStyle w:val="paragraphsub"/>
        <w:rPr>
          <w:strike/>
          <w:color w:val="0000FF"/>
        </w:rPr>
      </w:pPr>
      <w:r w:rsidRPr="005F5224">
        <w:rPr>
          <w:strike/>
          <w:color w:val="0000FF"/>
        </w:rPr>
        <w:tab/>
        <w:t>(i)</w:t>
      </w:r>
      <w:r w:rsidRPr="005F5224">
        <w:rPr>
          <w:strike/>
          <w:color w:val="0000FF"/>
        </w:rPr>
        <w:tab/>
        <w:t>described in the relevant application to be a CDR representative; or</w:t>
      </w:r>
    </w:p>
    <w:p w14:paraId="47BEA882" w14:textId="77777777" w:rsidR="00BB7660" w:rsidRPr="00A00F6F" w:rsidRDefault="00BB7660" w:rsidP="00BB7660">
      <w:pPr>
        <w:pStyle w:val="paragraphsub"/>
      </w:pPr>
      <w:r w:rsidRPr="00A00F6F">
        <w:tab/>
        <w:t>(ii)</w:t>
      </w:r>
      <w:r w:rsidRPr="00A00F6F">
        <w:tab/>
        <w:t>previously included in a report prepared under this rule; and</w:t>
      </w:r>
    </w:p>
    <w:p w14:paraId="78536348" w14:textId="77777777" w:rsidR="00BB7660" w:rsidRPr="00A00F6F" w:rsidRDefault="00BB7660" w:rsidP="00BB7660">
      <w:pPr>
        <w:pStyle w:val="paragraph"/>
      </w:pPr>
      <w:r w:rsidRPr="00A00F6F">
        <w:tab/>
        <w:t>(c)</w:t>
      </w:r>
      <w:r w:rsidRPr="00A00F6F">
        <w:tab/>
        <w:t>in relation to any good or service that is required to be described under paragraph (b):</w:t>
      </w:r>
    </w:p>
    <w:p w14:paraId="3214BC1D" w14:textId="77777777" w:rsidR="00BB7660" w:rsidRPr="00A00F6F" w:rsidRDefault="00BB7660" w:rsidP="00BB7660">
      <w:pPr>
        <w:pStyle w:val="paragraphsub"/>
      </w:pPr>
      <w:r w:rsidRPr="00A00F6F">
        <w:tab/>
        <w:t>(i)</w:t>
      </w:r>
      <w:r w:rsidRPr="00A00F6F">
        <w:tab/>
        <w:t>describes the CDR data that is needed in order to offer the good or service to CDR consumers; and</w:t>
      </w:r>
    </w:p>
    <w:p w14:paraId="60818138" w14:textId="77777777" w:rsidR="00BB7660" w:rsidRPr="00A00F6F" w:rsidRDefault="00BB7660" w:rsidP="00BB7660">
      <w:pPr>
        <w:pStyle w:val="paragraphsub"/>
      </w:pPr>
      <w:r w:rsidRPr="00A00F6F">
        <w:tab/>
        <w:t>(ii)</w:t>
      </w:r>
      <w:r w:rsidRPr="00A00F6F">
        <w:tab/>
        <w:t>explains why that data is needed in order to offer the good or service to CDR consumers; and</w:t>
      </w:r>
    </w:p>
    <w:p w14:paraId="634735A1" w14:textId="77777777" w:rsidR="00BB7660" w:rsidRPr="00A00F6F" w:rsidRDefault="00BB7660" w:rsidP="00BB7660">
      <w:pPr>
        <w:pStyle w:val="paragraph"/>
      </w:pPr>
      <w:r w:rsidRPr="00A00F6F">
        <w:tab/>
        <w:t>(d)</w:t>
      </w:r>
      <w:r w:rsidRPr="00A00F6F">
        <w:tab/>
        <w:t>describes any material changes that have been made to any goods or services offered by the CDR representative since the previous reporting period, including any changes to the matters referred to in paragraph (b); and</w:t>
      </w:r>
    </w:p>
    <w:p w14:paraId="3DE15E18" w14:textId="77777777" w:rsidR="00BB7660" w:rsidRPr="00A00F6F" w:rsidRDefault="00BB7660" w:rsidP="00BB7660">
      <w:pPr>
        <w:pStyle w:val="paragraph"/>
      </w:pPr>
      <w:r w:rsidRPr="00A00F6F">
        <w:tab/>
        <w:t>(e)</w:t>
      </w:r>
      <w:r w:rsidRPr="00A00F6F">
        <w:tab/>
        <w:t>sets out the following:</w:t>
      </w:r>
    </w:p>
    <w:p w14:paraId="09E39B2F" w14:textId="77777777" w:rsidR="00BB7660" w:rsidRPr="00A00F6F" w:rsidRDefault="00BB7660" w:rsidP="00BB7660">
      <w:pPr>
        <w:pStyle w:val="paragraphsub"/>
      </w:pPr>
      <w:r w:rsidRPr="00A00F6F">
        <w:tab/>
        <w:t>(i)</w:t>
      </w:r>
      <w:r w:rsidRPr="00A00F6F">
        <w:tab/>
        <w:t>the number of consumer data requests made by the accredited data recipient on behalf of the CDR representative during the reporting period;</w:t>
      </w:r>
    </w:p>
    <w:p w14:paraId="7BC51317" w14:textId="77777777" w:rsidR="00BB7660" w:rsidRPr="00A00F6F" w:rsidRDefault="00BB7660" w:rsidP="00BB7660">
      <w:pPr>
        <w:pStyle w:val="paragraphsub"/>
      </w:pPr>
      <w:r w:rsidRPr="00A00F6F">
        <w:tab/>
        <w:t>(ii)</w:t>
      </w:r>
      <w:r w:rsidRPr="00A00F6F">
        <w:tab/>
        <w:t>the number of consumer data requests made by the CDR representative to the CDR principal during the reporting period;</w:t>
      </w:r>
    </w:p>
    <w:p w14:paraId="527A6253" w14:textId="77777777" w:rsidR="00BB7660" w:rsidRPr="00CD2ED6" w:rsidRDefault="00BB7660" w:rsidP="00BB7660">
      <w:pPr>
        <w:pStyle w:val="paragraphsub"/>
      </w:pPr>
      <w:r w:rsidRPr="00A00F6F">
        <w:tab/>
        <w:t>(iii)</w:t>
      </w:r>
      <w:r w:rsidRPr="00A00F6F">
        <w:tab/>
        <w:t>the proportion of CDR consumers who, at the date of the report, had exercised the election to delete, by reference to each brand of the CDR representativ</w:t>
      </w:r>
      <w:r w:rsidRPr="00CD2ED6">
        <w:t>e;</w:t>
      </w:r>
    </w:p>
    <w:p w14:paraId="3C1AE57E" w14:textId="77777777" w:rsidR="009631EA" w:rsidRPr="00CD2ED6" w:rsidRDefault="00BB7660" w:rsidP="00BB7660">
      <w:pPr>
        <w:pStyle w:val="paragraphsub"/>
        <w:rPr>
          <w:color w:val="0000FF"/>
        </w:rPr>
      </w:pPr>
      <w:r w:rsidRPr="00CD2ED6">
        <w:tab/>
        <w:t>(iv)</w:t>
      </w:r>
      <w:r w:rsidRPr="00CD2ED6">
        <w:tab/>
        <w:t>the total number of CDR consumers the CDR representative provided goods or services t</w:t>
      </w:r>
      <w:r w:rsidRPr="00A00F6F">
        <w:t>o using CDR data during the reporting period</w:t>
      </w:r>
      <w:r w:rsidR="009631EA" w:rsidRPr="00CD2ED6">
        <w:rPr>
          <w:color w:val="0000FF"/>
        </w:rPr>
        <w:t>;</w:t>
      </w:r>
    </w:p>
    <w:p w14:paraId="6EE2D65B" w14:textId="77777777" w:rsidR="00984A4A" w:rsidRPr="00CD2ED6" w:rsidRDefault="00984A4A" w:rsidP="00984A4A">
      <w:pPr>
        <w:pStyle w:val="paragraphsub"/>
        <w:rPr>
          <w:color w:val="0000FF"/>
        </w:rPr>
      </w:pPr>
      <w:r w:rsidRPr="00CD2ED6">
        <w:rPr>
          <w:rFonts w:eastAsia="Calibri"/>
          <w:color w:val="0000FF"/>
        </w:rPr>
        <w:tab/>
        <w:t>(v)</w:t>
      </w:r>
      <w:r w:rsidRPr="00CD2ED6">
        <w:rPr>
          <w:rFonts w:eastAsia="Calibri"/>
          <w:color w:val="0000FF"/>
        </w:rPr>
        <w:tab/>
        <w:t xml:space="preserve">the number of </w:t>
      </w:r>
      <w:r w:rsidRPr="00CD2ED6">
        <w:rPr>
          <w:color w:val="0000FF"/>
        </w:rPr>
        <w:t xml:space="preserve">consents the CDR representative received from CDR consumers </w:t>
      </w:r>
      <w:r w:rsidRPr="00CD2ED6">
        <w:rPr>
          <w:rFonts w:eastAsia="Calibri"/>
          <w:color w:val="0000FF"/>
        </w:rPr>
        <w:t>during the reporting period</w:t>
      </w:r>
      <w:r w:rsidRPr="00CD2ED6">
        <w:rPr>
          <w:color w:val="0000FF"/>
        </w:rPr>
        <w:t xml:space="preserve"> to disclose CDR data to trusted advisers;</w:t>
      </w:r>
    </w:p>
    <w:p w14:paraId="0F465B1F" w14:textId="77777777" w:rsidR="00984A4A" w:rsidRPr="00CD2ED6" w:rsidRDefault="00984A4A" w:rsidP="00984A4A">
      <w:pPr>
        <w:pStyle w:val="paragraphsub"/>
        <w:rPr>
          <w:color w:val="0000FF"/>
        </w:rPr>
      </w:pPr>
      <w:r w:rsidRPr="00CD2ED6">
        <w:rPr>
          <w:color w:val="0000FF"/>
        </w:rPr>
        <w:tab/>
        <w:t>(vi)</w:t>
      </w:r>
      <w:r w:rsidRPr="00CD2ED6">
        <w:rPr>
          <w:color w:val="0000FF"/>
        </w:rPr>
        <w:tab/>
        <w:t>for each class of trusted advisers—the number of trusted advisers to whom CDR data was disclosed by the CDR representative during the reporting period;</w:t>
      </w:r>
    </w:p>
    <w:p w14:paraId="192263B2" w14:textId="77777777" w:rsidR="00984A4A" w:rsidRPr="00CD2ED6" w:rsidRDefault="00984A4A" w:rsidP="00984A4A">
      <w:pPr>
        <w:pStyle w:val="paragraphsub"/>
        <w:rPr>
          <w:rFonts w:eastAsia="Calibri"/>
          <w:color w:val="0000FF"/>
        </w:rPr>
      </w:pPr>
      <w:r w:rsidRPr="00CD2ED6">
        <w:rPr>
          <w:rFonts w:eastAsia="Calibri"/>
          <w:color w:val="0000FF"/>
        </w:rPr>
        <w:tab/>
        <w:t>(vii)</w:t>
      </w:r>
      <w:r w:rsidRPr="00CD2ED6">
        <w:rPr>
          <w:rFonts w:eastAsia="Calibri"/>
          <w:color w:val="0000FF"/>
        </w:rPr>
        <w:tab/>
        <w:t xml:space="preserve">the number of insight disclosure </w:t>
      </w:r>
      <w:r w:rsidRPr="00CD2ED6">
        <w:rPr>
          <w:color w:val="0000FF"/>
        </w:rPr>
        <w:t xml:space="preserve">consents the CDR representative received from CDR consumers </w:t>
      </w:r>
      <w:r w:rsidRPr="00CD2ED6">
        <w:rPr>
          <w:rFonts w:eastAsia="Calibri"/>
          <w:color w:val="0000FF"/>
        </w:rPr>
        <w:t>during the reporting period;</w:t>
      </w:r>
    </w:p>
    <w:p w14:paraId="57575651" w14:textId="77777777" w:rsidR="009631EA" w:rsidRPr="00CD2ED6" w:rsidRDefault="009631EA" w:rsidP="009631EA">
      <w:pPr>
        <w:pStyle w:val="paragraphsub"/>
        <w:rPr>
          <w:rFonts w:eastAsia="Calibri"/>
        </w:rPr>
      </w:pPr>
      <w:r w:rsidRPr="00CD2ED6">
        <w:rPr>
          <w:rFonts w:eastAsia="Calibri"/>
          <w:color w:val="0000FF"/>
        </w:rPr>
        <w:tab/>
        <w:t>(v</w:t>
      </w:r>
      <w:r w:rsidR="00984A4A" w:rsidRPr="00CD2ED6">
        <w:rPr>
          <w:rFonts w:eastAsia="Calibri"/>
          <w:color w:val="0000FF"/>
        </w:rPr>
        <w:t>iii</w:t>
      </w:r>
      <w:r w:rsidRPr="00CD2ED6">
        <w:rPr>
          <w:rFonts w:eastAsia="Calibri"/>
          <w:color w:val="0000FF"/>
        </w:rPr>
        <w:t>)</w:t>
      </w:r>
      <w:r w:rsidRPr="00CD2ED6">
        <w:rPr>
          <w:rFonts w:eastAsia="Calibri"/>
          <w:color w:val="0000FF"/>
        </w:rPr>
        <w:tab/>
        <w:t xml:space="preserve">the number of business consumer disclosure consents </w:t>
      </w:r>
      <w:r w:rsidR="00984A4A" w:rsidRPr="00CD2ED6">
        <w:rPr>
          <w:color w:val="0000FF"/>
        </w:rPr>
        <w:t xml:space="preserve">the CDR representative received </w:t>
      </w:r>
      <w:r w:rsidRPr="00CD2ED6">
        <w:rPr>
          <w:color w:val="0000FF"/>
        </w:rPr>
        <w:t xml:space="preserve">from CDR consumers </w:t>
      </w:r>
      <w:r w:rsidRPr="00CD2ED6">
        <w:rPr>
          <w:rFonts w:eastAsia="Calibri"/>
          <w:color w:val="0000FF"/>
        </w:rPr>
        <w:t>during the reporting period</w:t>
      </w:r>
      <w:r w:rsidR="00984A4A" w:rsidRPr="00CD2ED6">
        <w:rPr>
          <w:rFonts w:eastAsia="Calibri"/>
        </w:rPr>
        <w:t>.</w:t>
      </w:r>
    </w:p>
    <w:p w14:paraId="4C97332C" w14:textId="77777777" w:rsidR="00BB7660" w:rsidRPr="00A00F6F" w:rsidRDefault="00BB7660" w:rsidP="00BB7660">
      <w:pPr>
        <w:pStyle w:val="subsection"/>
      </w:pPr>
      <w:r w:rsidRPr="00CD2ED6">
        <w:tab/>
      </w:r>
      <w:r w:rsidRPr="00A00F6F">
        <w:tab/>
        <w:t>Civil penalty:</w:t>
      </w:r>
      <w:r w:rsidR="00CD2ED6">
        <w:t>1</w:t>
      </w:r>
    </w:p>
    <w:p w14:paraId="5F92FF57" w14:textId="77777777" w:rsidR="00BB7660" w:rsidRPr="00A00F6F" w:rsidRDefault="00BB7660" w:rsidP="00BB7660">
      <w:pPr>
        <w:pStyle w:val="paragraph"/>
      </w:pPr>
      <w:r w:rsidRPr="00A00F6F">
        <w:tab/>
        <w:t>(a)</w:t>
      </w:r>
      <w:r w:rsidRPr="00A00F6F">
        <w:tab/>
        <w:t>for an individual―$50,000; and</w:t>
      </w:r>
    </w:p>
    <w:p w14:paraId="255A9D13" w14:textId="77777777" w:rsidR="00BB7660" w:rsidRPr="00A00F6F" w:rsidRDefault="00BB7660" w:rsidP="00BB7660">
      <w:pPr>
        <w:pStyle w:val="paragraph"/>
      </w:pPr>
      <w:r w:rsidRPr="00A00F6F">
        <w:tab/>
        <w:t>(b)</w:t>
      </w:r>
      <w:r w:rsidRPr="00A00F6F">
        <w:tab/>
        <w:t>for a body corporate―$250,000.</w:t>
      </w:r>
    </w:p>
    <w:p w14:paraId="2048AE08" w14:textId="77777777" w:rsidR="00BB7660" w:rsidRDefault="00BB7660" w:rsidP="00BB7660">
      <w:pPr>
        <w:pStyle w:val="SubsectionHead"/>
      </w:pPr>
      <w:r>
        <w:t>Provision of reports</w:t>
      </w:r>
    </w:p>
    <w:p w14:paraId="1F49315D" w14:textId="77777777" w:rsidR="00BB7660" w:rsidRDefault="00BB7660" w:rsidP="00BB7660">
      <w:pPr>
        <w:pStyle w:val="subsection"/>
      </w:pPr>
      <w:r>
        <w:tab/>
        <w:t>(3)</w:t>
      </w:r>
      <w:r>
        <w:tab/>
        <w:t>Each report must be submitted to:</w:t>
      </w:r>
    </w:p>
    <w:p w14:paraId="55F78910" w14:textId="77777777" w:rsidR="00BB7660" w:rsidRDefault="00BB7660" w:rsidP="00BB7660">
      <w:pPr>
        <w:pStyle w:val="paragraph"/>
      </w:pPr>
      <w:r>
        <w:tab/>
        <w:t>(a)</w:t>
      </w:r>
      <w:r>
        <w:tab/>
        <w:t>the Commission; and</w:t>
      </w:r>
    </w:p>
    <w:p w14:paraId="14520135" w14:textId="77777777" w:rsidR="00BB7660" w:rsidRDefault="00BB7660" w:rsidP="00BB7660">
      <w:pPr>
        <w:pStyle w:val="paragraph"/>
      </w:pPr>
      <w:r>
        <w:lastRenderedPageBreak/>
        <w:tab/>
        <w:t>(b)</w:t>
      </w:r>
      <w:r>
        <w:tab/>
        <w:t>the Information Commissioner;</w:t>
      </w:r>
    </w:p>
    <w:p w14:paraId="2905124A" w14:textId="77777777" w:rsidR="00BB7660" w:rsidRDefault="00BB7660" w:rsidP="00BB7660">
      <w:pPr>
        <w:pStyle w:val="subsection"/>
        <w:spacing w:before="40"/>
      </w:pPr>
      <w:r>
        <w:tab/>
      </w:r>
      <w:r>
        <w:tab/>
        <w:t>within 30 days after the end of each reporting period.</w:t>
      </w:r>
    </w:p>
    <w:p w14:paraId="429B7806" w14:textId="77777777" w:rsidR="00BB7660" w:rsidRDefault="00BB7660" w:rsidP="00BB7660">
      <w:pPr>
        <w:pStyle w:val="subsection"/>
      </w:pPr>
      <w:r>
        <w:tab/>
      </w:r>
      <w:r>
        <w:tab/>
        <w:t>Civil penalty:</w:t>
      </w:r>
    </w:p>
    <w:p w14:paraId="61586188" w14:textId="77777777" w:rsidR="00BB7660" w:rsidRDefault="00BB7660" w:rsidP="00BB7660">
      <w:pPr>
        <w:pStyle w:val="paragraph"/>
      </w:pPr>
      <w:r>
        <w:tab/>
        <w:t>(a)</w:t>
      </w:r>
      <w:r>
        <w:tab/>
        <w:t>for an individual―$50,000; and</w:t>
      </w:r>
    </w:p>
    <w:p w14:paraId="16A29911" w14:textId="77777777" w:rsidR="00BB7660" w:rsidRPr="00E1300D" w:rsidRDefault="00BB7660" w:rsidP="00BB7660">
      <w:pPr>
        <w:pStyle w:val="paragraph"/>
      </w:pPr>
      <w:r>
        <w:tab/>
        <w:t>(b)</w:t>
      </w:r>
      <w:r>
        <w:tab/>
        <w:t>for a body corporate―$250,000.</w:t>
      </w:r>
    </w:p>
    <w:p w14:paraId="76D6E1E9" w14:textId="77777777" w:rsidR="00BB7660" w:rsidRDefault="00BB7660" w:rsidP="00BB7660">
      <w:pPr>
        <w:pStyle w:val="subsection"/>
      </w:pPr>
      <w:r>
        <w:tab/>
        <w:t>(4)</w:t>
      </w:r>
      <w:r>
        <w:tab/>
        <w:t>Either the Commission or the Information Commissioner may:</w:t>
      </w:r>
    </w:p>
    <w:p w14:paraId="2CA5A573" w14:textId="77777777" w:rsidR="00BB7660" w:rsidRDefault="00BB7660" w:rsidP="00BB7660">
      <w:pPr>
        <w:pStyle w:val="paragraph"/>
      </w:pPr>
      <w:r>
        <w:tab/>
        <w:t>(a)</w:t>
      </w:r>
      <w:r>
        <w:tab/>
        <w:t xml:space="preserve">publish any report received </w:t>
      </w:r>
      <w:r w:rsidRPr="008D47AA">
        <w:t>under this rule; or</w:t>
      </w:r>
    </w:p>
    <w:p w14:paraId="69C905B7" w14:textId="77777777" w:rsidR="00BB7660" w:rsidRDefault="00BB7660" w:rsidP="00BB7660">
      <w:pPr>
        <w:pStyle w:val="paragraph"/>
      </w:pPr>
      <w:r>
        <w:tab/>
        <w:t>(b)</w:t>
      </w:r>
      <w:r>
        <w:tab/>
        <w:t>require an accredited data recipient to publish, on its website, a report that it has prepared under subrule (2)</w:t>
      </w:r>
      <w:r w:rsidRPr="00A00F6F">
        <w:t xml:space="preserve"> or (2A)</w:t>
      </w:r>
      <w:r>
        <w:t>.</w:t>
      </w:r>
    </w:p>
    <w:p w14:paraId="5FED2E9F" w14:textId="77777777" w:rsidR="00BB7660" w:rsidRDefault="00BB7660" w:rsidP="00BB7660">
      <w:pPr>
        <w:pStyle w:val="subsection"/>
      </w:pPr>
      <w:r>
        <w:tab/>
        <w:t>(5)</w:t>
      </w:r>
      <w:r>
        <w:tab/>
        <w:t xml:space="preserve">For this rule, the </w:t>
      </w:r>
      <w:r w:rsidRPr="00724C80">
        <w:rPr>
          <w:b/>
          <w:i/>
        </w:rPr>
        <w:t>reporting periods</w:t>
      </w:r>
      <w:r>
        <w:t xml:space="preserve"> are:</w:t>
      </w:r>
    </w:p>
    <w:p w14:paraId="29226E3E" w14:textId="77777777" w:rsidR="00BB7660" w:rsidRDefault="00BB7660" w:rsidP="00BB7660">
      <w:pPr>
        <w:pStyle w:val="paragraph"/>
      </w:pPr>
      <w:r>
        <w:tab/>
        <w:t>(a)</w:t>
      </w:r>
      <w:r>
        <w:tab/>
        <w:t>1 January to 30 June of each year; and</w:t>
      </w:r>
    </w:p>
    <w:p w14:paraId="28EC0A41" w14:textId="77777777" w:rsidR="00BB7660" w:rsidRDefault="00BB7660" w:rsidP="00BB7660">
      <w:pPr>
        <w:pStyle w:val="paragraph"/>
      </w:pPr>
      <w:r>
        <w:tab/>
        <w:t>(b)</w:t>
      </w:r>
      <w:r>
        <w:tab/>
        <w:t>1 July to 31 December of each year.</w:t>
      </w:r>
    </w:p>
    <w:p w14:paraId="02522F44" w14:textId="77777777" w:rsidR="00BB7660" w:rsidRDefault="00BB7660" w:rsidP="00BB7660">
      <w:pPr>
        <w:pStyle w:val="ActHead5"/>
      </w:pPr>
      <w:bookmarkStart w:id="612" w:name="_Toc11771706"/>
      <w:bookmarkStart w:id="613" w:name="_Toc111132238"/>
      <w:r>
        <w:t>9.5  Requests from CDR consumers for copies of records</w:t>
      </w:r>
      <w:bookmarkEnd w:id="612"/>
      <w:bookmarkEnd w:id="613"/>
    </w:p>
    <w:p w14:paraId="25EBFA67" w14:textId="77777777" w:rsidR="00BB7660" w:rsidRDefault="00BB7660" w:rsidP="00BB7660">
      <w:pPr>
        <w:pStyle w:val="SubsectionHead"/>
      </w:pPr>
      <w:r>
        <w:t>Requests to data holders of CDR data</w:t>
      </w:r>
    </w:p>
    <w:p w14:paraId="68F20BD2" w14:textId="77777777" w:rsidR="00BB7660" w:rsidRPr="009749EC" w:rsidRDefault="00BB7660" w:rsidP="00BB7660">
      <w:pPr>
        <w:pStyle w:val="subsection"/>
      </w:pPr>
      <w:r>
        <w:tab/>
        <w:t>(1)</w:t>
      </w:r>
      <w:r>
        <w:tab/>
        <w:t xml:space="preserve">A CDR consumer may request </w:t>
      </w:r>
      <w:r w:rsidRPr="009749EC">
        <w:t>a data holder for copies of records relating to the information referred to in paragraphs </w:t>
      </w:r>
      <w:r>
        <w:t>9.3(1)(a)</w:t>
      </w:r>
      <w:r w:rsidRPr="009749EC">
        <w:t>,</w:t>
      </w:r>
      <w:r>
        <w:t xml:space="preserve"> (b),</w:t>
      </w:r>
      <w:r w:rsidRPr="009749EC">
        <w:t xml:space="preserve"> </w:t>
      </w:r>
      <w:r>
        <w:t>(d)</w:t>
      </w:r>
      <w:r w:rsidRPr="009749EC">
        <w:t xml:space="preserve"> and </w:t>
      </w:r>
      <w:r>
        <w:t>(f)</w:t>
      </w:r>
      <w:r w:rsidRPr="009749EC">
        <w:t xml:space="preserve"> that relates to the CDR consumer.</w:t>
      </w:r>
    </w:p>
    <w:p w14:paraId="28BC764B" w14:textId="77777777" w:rsidR="00BB7660" w:rsidRDefault="00BB7660" w:rsidP="00BB7660">
      <w:pPr>
        <w:pStyle w:val="SubsectionHead"/>
      </w:pPr>
      <w:r w:rsidRPr="009749EC">
        <w:t>Requests to accredited data recipients</w:t>
      </w:r>
    </w:p>
    <w:p w14:paraId="6112F083" w14:textId="77777777" w:rsidR="00BB7660" w:rsidRPr="00A00F6F" w:rsidRDefault="00BB7660" w:rsidP="00BB7660">
      <w:pPr>
        <w:pStyle w:val="subsection"/>
      </w:pPr>
      <w:r w:rsidRPr="00A00F6F">
        <w:tab/>
        <w:t>(2)</w:t>
      </w:r>
      <w:r w:rsidRPr="00A00F6F">
        <w:tab/>
        <w:t>A CDR consumer may request an accredited data recipient for copies of records relating to the information referred to in:</w:t>
      </w:r>
    </w:p>
    <w:p w14:paraId="2EA1C68E" w14:textId="77777777" w:rsidR="00BB7660" w:rsidRPr="00A00F6F" w:rsidRDefault="00BB7660" w:rsidP="00BB7660">
      <w:pPr>
        <w:pStyle w:val="paragraph"/>
      </w:pPr>
      <w:r w:rsidRPr="00A00F6F">
        <w:tab/>
        <w:t>(a)</w:t>
      </w:r>
      <w:r w:rsidRPr="00A00F6F">
        <w:tab/>
        <w:t>paragraphs 9.3(2)(a), (b), (c), (d), (e), (ea), (eb), (ec), (ed), (f) and (m); and</w:t>
      </w:r>
    </w:p>
    <w:p w14:paraId="0F4AFDD2" w14:textId="77777777" w:rsidR="00BB7660" w:rsidRPr="00A00F6F" w:rsidRDefault="00BB7660" w:rsidP="00BB7660">
      <w:pPr>
        <w:pStyle w:val="paragraph"/>
      </w:pPr>
      <w:r w:rsidRPr="00A00F6F">
        <w:tab/>
        <w:t>(b)</w:t>
      </w:r>
      <w:r w:rsidRPr="00A00F6F">
        <w:tab/>
        <w:t>paragraphs 9.3(2A)(d), (e), (f), (g), (h), (i) and (o);</w:t>
      </w:r>
    </w:p>
    <w:p w14:paraId="4AF818A9" w14:textId="77777777" w:rsidR="00BB7660" w:rsidRPr="00A00F6F" w:rsidRDefault="00BB7660" w:rsidP="00BB7660">
      <w:pPr>
        <w:pStyle w:val="subsection20"/>
      </w:pPr>
      <w:r w:rsidRPr="00A00F6F">
        <w:tab/>
      </w:r>
      <w:r w:rsidRPr="00A00F6F">
        <w:tab/>
        <w:t>that relates to the CDR consumer.</w:t>
      </w:r>
    </w:p>
    <w:p w14:paraId="2AD6EE27" w14:textId="77777777" w:rsidR="00BB7660" w:rsidRPr="00435823" w:rsidRDefault="00BB7660" w:rsidP="00BB7660">
      <w:pPr>
        <w:pStyle w:val="SubsectionHead"/>
        <w:rPr>
          <w:b/>
        </w:rPr>
      </w:pPr>
      <w:r>
        <w:t>Form for requests</w:t>
      </w:r>
    </w:p>
    <w:p w14:paraId="127B1115" w14:textId="77777777" w:rsidR="00BB7660" w:rsidRDefault="00BB7660" w:rsidP="00BB7660">
      <w:pPr>
        <w:pStyle w:val="subsection"/>
      </w:pPr>
      <w:r>
        <w:tab/>
        <w:t>(3)</w:t>
      </w:r>
      <w:r>
        <w:tab/>
        <w:t>A request under this rule must be in the form (if any) approved by the Commission for the purposes of this subrule.</w:t>
      </w:r>
    </w:p>
    <w:p w14:paraId="164B0DFA" w14:textId="77777777" w:rsidR="00BB7660" w:rsidRDefault="00BB7660" w:rsidP="00BB7660">
      <w:pPr>
        <w:pStyle w:val="SubsectionHead"/>
      </w:pPr>
      <w:r>
        <w:t>Dealing with requests under this rule</w:t>
      </w:r>
    </w:p>
    <w:p w14:paraId="5863DDE6" w14:textId="77777777" w:rsidR="00BB7660" w:rsidRDefault="00BB7660" w:rsidP="00BB7660">
      <w:pPr>
        <w:pStyle w:val="subsection"/>
      </w:pPr>
      <w:r>
        <w:tab/>
        <w:t>(4)</w:t>
      </w:r>
      <w:r>
        <w:tab/>
        <w:t>A person who receives a request under this rule must provide the requested copies, in the form (if any) approved by the Commission for the purposes of this rule, as soon as practicable, but no later than 10 business days, after receiving the request.</w:t>
      </w:r>
    </w:p>
    <w:p w14:paraId="0A44B599" w14:textId="77777777" w:rsidR="00BB7660" w:rsidRDefault="00BB7660" w:rsidP="00BB7660">
      <w:pPr>
        <w:pStyle w:val="subsection"/>
      </w:pPr>
      <w:r>
        <w:tab/>
      </w:r>
      <w:r>
        <w:tab/>
        <w:t>Civil penalty:</w:t>
      </w:r>
    </w:p>
    <w:p w14:paraId="08F7576C" w14:textId="77777777" w:rsidR="00BB7660" w:rsidRDefault="00BB7660" w:rsidP="00BB7660">
      <w:pPr>
        <w:pStyle w:val="paragraph"/>
      </w:pPr>
      <w:r>
        <w:tab/>
        <w:t>(a)</w:t>
      </w:r>
      <w:r>
        <w:tab/>
        <w:t>for an individual―$50,000; and</w:t>
      </w:r>
    </w:p>
    <w:p w14:paraId="13E17D7D" w14:textId="77777777" w:rsidR="00BB7660" w:rsidRPr="00E1300D" w:rsidRDefault="00BB7660" w:rsidP="00BB7660">
      <w:pPr>
        <w:pStyle w:val="paragraph"/>
      </w:pPr>
      <w:r>
        <w:tab/>
        <w:t>(b)</w:t>
      </w:r>
      <w:r>
        <w:tab/>
        <w:t>for a body corporate―$250,000.</w:t>
      </w:r>
    </w:p>
    <w:p w14:paraId="4C97E12D" w14:textId="77777777" w:rsidR="00BB7660" w:rsidRDefault="00BB7660" w:rsidP="00BB7660">
      <w:pPr>
        <w:pStyle w:val="subsection"/>
      </w:pPr>
      <w:r>
        <w:tab/>
        <w:t>(5)</w:t>
      </w:r>
      <w:r>
        <w:tab/>
        <w:t xml:space="preserve">A </w:t>
      </w:r>
      <w:r w:rsidRPr="00E1300D">
        <w:rPr>
          <w:color w:val="000000" w:themeColor="text1"/>
        </w:rPr>
        <w:t xml:space="preserve">data holder must not charge a </w:t>
      </w:r>
      <w:r>
        <w:t xml:space="preserve">fee for making or responding to a request </w:t>
      </w:r>
      <w:r w:rsidRPr="00E1300D">
        <w:rPr>
          <w:color w:val="000000" w:themeColor="text1"/>
        </w:rPr>
        <w:t>under subrule </w:t>
      </w:r>
      <w:r>
        <w:rPr>
          <w:color w:val="000000" w:themeColor="text1"/>
        </w:rPr>
        <w:t>(1)</w:t>
      </w:r>
      <w:r>
        <w:t>.</w:t>
      </w:r>
    </w:p>
    <w:p w14:paraId="79A66119" w14:textId="77777777" w:rsidR="00BB7660" w:rsidRDefault="00BB7660" w:rsidP="00BB7660">
      <w:pPr>
        <w:pStyle w:val="subsection"/>
      </w:pPr>
      <w:r>
        <w:lastRenderedPageBreak/>
        <w:tab/>
      </w:r>
      <w:r>
        <w:tab/>
        <w:t>Civil penalty:</w:t>
      </w:r>
    </w:p>
    <w:p w14:paraId="7EE7EF8B" w14:textId="77777777" w:rsidR="00BB7660" w:rsidRDefault="00BB7660" w:rsidP="00BB7660">
      <w:pPr>
        <w:pStyle w:val="paragraph"/>
      </w:pPr>
      <w:r>
        <w:tab/>
        <w:t>(a)</w:t>
      </w:r>
      <w:r>
        <w:tab/>
        <w:t>for an individual―$50,000; and</w:t>
      </w:r>
    </w:p>
    <w:p w14:paraId="22DDA441" w14:textId="77777777" w:rsidR="00BB7660" w:rsidRPr="00E1300D" w:rsidRDefault="00BB7660" w:rsidP="00BB7660">
      <w:pPr>
        <w:pStyle w:val="paragraph"/>
      </w:pPr>
      <w:r>
        <w:tab/>
        <w:t>(b)</w:t>
      </w:r>
      <w:r>
        <w:tab/>
        <w:t>for a body corporate―$250,000.</w:t>
      </w:r>
    </w:p>
    <w:p w14:paraId="2BF315BA" w14:textId="77777777" w:rsidR="00BB7660" w:rsidRDefault="00BB7660" w:rsidP="00BB7660">
      <w:pPr>
        <w:pStyle w:val="subsection"/>
      </w:pPr>
      <w:r>
        <w:tab/>
        <w:t>(6)</w:t>
      </w:r>
      <w:r>
        <w:tab/>
        <w:t>A</w:t>
      </w:r>
      <w:r w:rsidRPr="00E1300D">
        <w:rPr>
          <w:color w:val="000000" w:themeColor="text1"/>
        </w:rPr>
        <w:t>n accredited data recipient must not charge a</w:t>
      </w:r>
      <w:r>
        <w:t xml:space="preserve"> fee for making or responding to a request</w:t>
      </w:r>
      <w:r w:rsidRPr="00E1300D">
        <w:rPr>
          <w:color w:val="000000" w:themeColor="text1"/>
        </w:rPr>
        <w:t xml:space="preserve"> under subrule </w:t>
      </w:r>
      <w:r>
        <w:rPr>
          <w:color w:val="000000" w:themeColor="text1"/>
        </w:rPr>
        <w:t>(2)</w:t>
      </w:r>
      <w:r>
        <w:t>.</w:t>
      </w:r>
    </w:p>
    <w:p w14:paraId="27953852" w14:textId="77777777" w:rsidR="00BB7660" w:rsidRDefault="00BB7660" w:rsidP="00BB7660">
      <w:pPr>
        <w:pStyle w:val="subsection"/>
      </w:pPr>
      <w:r>
        <w:tab/>
      </w:r>
      <w:r>
        <w:tab/>
        <w:t>Civil penalty:</w:t>
      </w:r>
    </w:p>
    <w:p w14:paraId="229E5AA9" w14:textId="77777777" w:rsidR="00BB7660" w:rsidRDefault="00BB7660" w:rsidP="00BB7660">
      <w:pPr>
        <w:pStyle w:val="paragraph"/>
      </w:pPr>
      <w:r>
        <w:tab/>
        <w:t>(a)</w:t>
      </w:r>
      <w:r>
        <w:tab/>
        <w:t>for an individual―$50,000; and</w:t>
      </w:r>
    </w:p>
    <w:p w14:paraId="3008DA11" w14:textId="77777777" w:rsidR="00BB7660" w:rsidRPr="00E1300D" w:rsidRDefault="00BB7660" w:rsidP="00BB7660">
      <w:pPr>
        <w:pStyle w:val="paragraph"/>
      </w:pPr>
      <w:r>
        <w:tab/>
        <w:t>(b)</w:t>
      </w:r>
      <w:r>
        <w:tab/>
        <w:t>for a body corporate―$250,000.</w:t>
      </w:r>
    </w:p>
    <w:p w14:paraId="5EA27B64" w14:textId="77777777" w:rsidR="00BB7660" w:rsidRDefault="00BB7660" w:rsidP="00BB7660">
      <w:pPr>
        <w:pStyle w:val="ActHead4"/>
        <w:pageBreakBefore/>
      </w:pPr>
      <w:bookmarkStart w:id="614" w:name="_Toc11771707"/>
      <w:bookmarkStart w:id="615" w:name="_Toc111132239"/>
      <w:r>
        <w:lastRenderedPageBreak/>
        <w:t>Subdivision 9.3.2—Audits</w:t>
      </w:r>
      <w:bookmarkEnd w:id="614"/>
      <w:bookmarkEnd w:id="615"/>
    </w:p>
    <w:p w14:paraId="1A649488" w14:textId="77777777" w:rsidR="00BB7660" w:rsidRDefault="00BB7660" w:rsidP="00BB7660">
      <w:pPr>
        <w:pStyle w:val="ActHead5"/>
      </w:pPr>
      <w:bookmarkStart w:id="616" w:name="_Toc11771708"/>
      <w:bookmarkStart w:id="617" w:name="_Toc111132240"/>
      <w:r>
        <w:t>9.6  Audits</w:t>
      </w:r>
      <w:r w:rsidRPr="00EA1E07">
        <w:t xml:space="preserve"> by the Commission and the Information Commissioner</w:t>
      </w:r>
      <w:bookmarkEnd w:id="616"/>
      <w:bookmarkEnd w:id="617"/>
    </w:p>
    <w:p w14:paraId="1FA2D9C9" w14:textId="77777777" w:rsidR="00BB7660" w:rsidRDefault="00BB7660" w:rsidP="00BB7660">
      <w:pPr>
        <w:pStyle w:val="subsection"/>
      </w:pPr>
      <w:r>
        <w:tab/>
        <w:t>(1)</w:t>
      </w:r>
      <w:r>
        <w:tab/>
        <w:t>The Commission may, at any time, audit the compliance of any CDR participant with any or all of the following:</w:t>
      </w:r>
    </w:p>
    <w:p w14:paraId="4589A639" w14:textId="77777777" w:rsidR="00BB7660" w:rsidRDefault="00BB7660" w:rsidP="00BB7660">
      <w:pPr>
        <w:pStyle w:val="paragraph"/>
      </w:pPr>
      <w:r>
        <w:tab/>
        <w:t>(a)</w:t>
      </w:r>
      <w:r>
        <w:tab/>
        <w:t xml:space="preserve">Part IVD of the Act, including </w:t>
      </w:r>
      <w:r w:rsidRPr="000C3240">
        <w:rPr>
          <w:color w:val="000000" w:themeColor="text1"/>
        </w:rPr>
        <w:t>Division 5 of Part IVD</w:t>
      </w:r>
      <w:r>
        <w:rPr>
          <w:color w:val="000000" w:themeColor="text1"/>
        </w:rPr>
        <w:t xml:space="preserve"> to the extent that it relates to these rules</w:t>
      </w:r>
      <w:r>
        <w:t>;</w:t>
      </w:r>
    </w:p>
    <w:p w14:paraId="4CBAA702" w14:textId="77777777" w:rsidR="00BB7660" w:rsidRDefault="00BB7660" w:rsidP="00BB7660">
      <w:pPr>
        <w:pStyle w:val="paragraph"/>
      </w:pPr>
      <w:r>
        <w:tab/>
        <w:t>(b)</w:t>
      </w:r>
      <w:r>
        <w:tab/>
        <w:t>these rules;</w:t>
      </w:r>
    </w:p>
    <w:p w14:paraId="2FA5CA73" w14:textId="77777777" w:rsidR="00BB7660" w:rsidRPr="002352F7" w:rsidRDefault="00BB7660" w:rsidP="00BB7660">
      <w:pPr>
        <w:pStyle w:val="paragraph"/>
      </w:pPr>
      <w:r>
        <w:tab/>
        <w:t>(c)</w:t>
      </w:r>
      <w:r>
        <w:tab/>
        <w:t>the data standards.</w:t>
      </w:r>
    </w:p>
    <w:p w14:paraId="065465A3" w14:textId="77777777" w:rsidR="00BB7660" w:rsidRDefault="00BB7660" w:rsidP="00BB7660">
      <w:pPr>
        <w:pStyle w:val="subsection"/>
      </w:pPr>
      <w:r>
        <w:tab/>
        <w:t>(2)</w:t>
      </w:r>
      <w:r>
        <w:tab/>
        <w:t>The Information Commissioner may, at any time, audit the compliance of any CDR participant with any or all of the following:</w:t>
      </w:r>
    </w:p>
    <w:p w14:paraId="6ECBD91B" w14:textId="77777777" w:rsidR="00BB7660" w:rsidRDefault="00BB7660" w:rsidP="00BB7660">
      <w:pPr>
        <w:pStyle w:val="paragraph"/>
      </w:pPr>
      <w:r>
        <w:tab/>
        <w:t>(a)</w:t>
      </w:r>
      <w:r>
        <w:tab/>
        <w:t>the privacy safeguards (Division 5 of Part IVD of the Act);</w:t>
      </w:r>
    </w:p>
    <w:p w14:paraId="1D54D82C" w14:textId="77777777" w:rsidR="00BB7660" w:rsidRDefault="00BB7660" w:rsidP="00BB7660">
      <w:pPr>
        <w:pStyle w:val="paragraph"/>
      </w:pPr>
      <w:r>
        <w:tab/>
        <w:t>(b)</w:t>
      </w:r>
      <w:r>
        <w:tab/>
        <w:t>these rules to the extent that they relate to:</w:t>
      </w:r>
    </w:p>
    <w:p w14:paraId="5AF5D119" w14:textId="77777777" w:rsidR="00BB7660" w:rsidRDefault="00BB7660" w:rsidP="00BB7660">
      <w:pPr>
        <w:pStyle w:val="paragraphsub"/>
      </w:pPr>
      <w:r>
        <w:tab/>
        <w:t>(i)</w:t>
      </w:r>
      <w:r>
        <w:tab/>
        <w:t>the privacy safeguards (see in particular Part 7 of these rules); or</w:t>
      </w:r>
    </w:p>
    <w:p w14:paraId="23638001" w14:textId="77777777" w:rsidR="00BB7660" w:rsidRDefault="00BB7660" w:rsidP="00BB7660">
      <w:pPr>
        <w:pStyle w:val="paragraphsub"/>
      </w:pPr>
      <w:r>
        <w:tab/>
        <w:t>(ii)</w:t>
      </w:r>
      <w:r>
        <w:tab/>
        <w:t>the privacy and confidentiality of CDR data.</w:t>
      </w:r>
    </w:p>
    <w:p w14:paraId="3B326AA0" w14:textId="77777777" w:rsidR="00BB7660" w:rsidRPr="00F365ED" w:rsidRDefault="00BB7660" w:rsidP="00BB7660">
      <w:pPr>
        <w:pStyle w:val="subsection"/>
      </w:pPr>
      <w:r>
        <w:tab/>
        <w:t>(3)</w:t>
      </w:r>
      <w:r w:rsidRPr="00F365ED">
        <w:tab/>
        <w:t xml:space="preserve">For the purposes of conducting an audit </w:t>
      </w:r>
      <w:r w:rsidRPr="002D3298">
        <w:t xml:space="preserve">or otherwise monitoring the compliance of the CDR participant with the provisions mentioned in subrules </w:t>
      </w:r>
      <w:r>
        <w:t>(1)</w:t>
      </w:r>
      <w:r w:rsidRPr="002D3298">
        <w:t xml:space="preserve"> and </w:t>
      </w:r>
      <w:r>
        <w:t>(2)</w:t>
      </w:r>
      <w:r w:rsidRPr="00F365ED">
        <w:t>, the Commission, or the Information Commissioner, may give a CDR participant a written notice that requests the CDR participant to produce</w:t>
      </w:r>
      <w:r w:rsidRPr="00EC5815">
        <w:t>, within the time specified in the notice</w:t>
      </w:r>
      <w:r w:rsidRPr="00F365ED">
        <w:t>:</w:t>
      </w:r>
    </w:p>
    <w:p w14:paraId="183141D0" w14:textId="77777777" w:rsidR="00BB7660" w:rsidRPr="00F365ED" w:rsidRDefault="00BB7660" w:rsidP="00BB7660">
      <w:pPr>
        <w:pStyle w:val="paragraph"/>
      </w:pPr>
      <w:r w:rsidRPr="00F365ED">
        <w:tab/>
      </w:r>
      <w:r>
        <w:t>(a)</w:t>
      </w:r>
      <w:r w:rsidRPr="00F365ED">
        <w:tab/>
        <w:t>copies of records that are required by this Division to be kept; or</w:t>
      </w:r>
    </w:p>
    <w:p w14:paraId="34B67931" w14:textId="77777777" w:rsidR="00BB7660" w:rsidRPr="00F365ED" w:rsidRDefault="00BB7660" w:rsidP="00BB7660">
      <w:pPr>
        <w:pStyle w:val="paragraph"/>
      </w:pPr>
      <w:r w:rsidRPr="00F365ED">
        <w:tab/>
      </w:r>
      <w:r>
        <w:t>(b)</w:t>
      </w:r>
      <w:r w:rsidRPr="00F365ED">
        <w:tab/>
        <w:t>information from such records.</w:t>
      </w:r>
    </w:p>
    <w:p w14:paraId="57542238" w14:textId="77777777" w:rsidR="00BB7660" w:rsidRPr="00A276A9" w:rsidRDefault="00BB7660" w:rsidP="00BB7660">
      <w:pPr>
        <w:pStyle w:val="subsection"/>
      </w:pPr>
      <w:r w:rsidRPr="00F365ED">
        <w:tab/>
      </w:r>
      <w:r>
        <w:t>(4)</w:t>
      </w:r>
      <w:r w:rsidRPr="00F365ED">
        <w:tab/>
      </w:r>
      <w:r w:rsidRPr="00A276A9">
        <w:t xml:space="preserve">The CDR participant must comply with a request under subrule </w:t>
      </w:r>
      <w:r>
        <w:t>(3)</w:t>
      </w:r>
      <w:r w:rsidRPr="00A276A9">
        <w:t>.</w:t>
      </w:r>
    </w:p>
    <w:p w14:paraId="51B19AE1" w14:textId="77777777" w:rsidR="00BB7660" w:rsidRDefault="00BB7660" w:rsidP="00BB7660">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258F9018" w14:textId="77777777" w:rsidR="00BB7660" w:rsidRDefault="00BB7660" w:rsidP="00BB7660">
      <w:pPr>
        <w:pStyle w:val="ActHead5"/>
      </w:pPr>
      <w:bookmarkStart w:id="618" w:name="_Toc11771709"/>
      <w:bookmarkStart w:id="619" w:name="_Toc111132241"/>
      <w:r>
        <w:t>9.7  Audits by the Data Recipient Accreditor</w:t>
      </w:r>
      <w:bookmarkEnd w:id="618"/>
      <w:bookmarkEnd w:id="619"/>
    </w:p>
    <w:p w14:paraId="0F97A0D8" w14:textId="77777777" w:rsidR="00BB7660" w:rsidRDefault="00BB7660" w:rsidP="00BB7660">
      <w:pPr>
        <w:pStyle w:val="subsection"/>
        <w:rPr>
          <w:sz w:val="20"/>
        </w:rPr>
      </w:pPr>
      <w:r>
        <w:tab/>
        <w:t>(1)</w:t>
      </w:r>
      <w:r>
        <w:tab/>
        <w:t>The Data Recipient Accreditor may, at any time, audit the compliance of an accredited data recipient with any or all of the following:</w:t>
      </w:r>
    </w:p>
    <w:p w14:paraId="470233D1" w14:textId="77777777" w:rsidR="00BB7660" w:rsidRDefault="00BB7660" w:rsidP="00BB7660">
      <w:pPr>
        <w:pStyle w:val="paragraph"/>
      </w:pPr>
      <w:r>
        <w:tab/>
        <w:t>(a)</w:t>
      </w:r>
      <w:r>
        <w:tab/>
        <w:t>the obligations under rule 5.12;</w:t>
      </w:r>
    </w:p>
    <w:p w14:paraId="3A8ABF5A" w14:textId="77777777" w:rsidR="00BB7660" w:rsidRDefault="00BB7660" w:rsidP="00BB7660">
      <w:pPr>
        <w:pStyle w:val="paragraph"/>
      </w:pPr>
      <w:r>
        <w:tab/>
        <w:t>(b)</w:t>
      </w:r>
      <w:r>
        <w:tab/>
        <w:t>any conditions imposed on their accreditation.</w:t>
      </w:r>
    </w:p>
    <w:p w14:paraId="77DBC525" w14:textId="77777777" w:rsidR="00BB7660" w:rsidRPr="00210486" w:rsidRDefault="00BB7660" w:rsidP="00BB7660">
      <w:pPr>
        <w:pStyle w:val="subsection"/>
      </w:pPr>
      <w:r w:rsidRPr="00A276A9">
        <w:tab/>
      </w:r>
      <w:r>
        <w:t>(2)</w:t>
      </w:r>
      <w:r w:rsidRPr="00A276A9">
        <w:tab/>
        <w:t xml:space="preserve">For the purposes of conducting an audit </w:t>
      </w:r>
      <w:r w:rsidRPr="002D3298">
        <w:t>or otherwise monitoring the compliance of the</w:t>
      </w:r>
      <w:r w:rsidRPr="00CD2ED6">
        <w:t xml:space="preserve"> </w:t>
      </w:r>
      <w:r w:rsidR="0071213B" w:rsidRPr="00E333D4">
        <w:rPr>
          <w:color w:val="0000FF"/>
        </w:rPr>
        <w:t>accredited data recipient</w:t>
      </w:r>
      <w:r w:rsidR="00E333D4" w:rsidRPr="00E333D4">
        <w:rPr>
          <w:strike/>
          <w:color w:val="0000FF"/>
        </w:rPr>
        <w:t xml:space="preserve"> CDR participant</w:t>
      </w:r>
      <w:r w:rsidRPr="00CD2ED6">
        <w:t xml:space="preserve"> </w:t>
      </w:r>
      <w:r w:rsidRPr="002D3298">
        <w:t xml:space="preserve">with the criteria and conditions mentioned in subrule </w:t>
      </w:r>
      <w:r>
        <w:t>(1)</w:t>
      </w:r>
      <w:r w:rsidRPr="00A276A9">
        <w:t xml:space="preserve">, the Data Recipient Accreditor may give an accredited data recipient a written </w:t>
      </w:r>
      <w:r w:rsidRPr="00210486">
        <w:t>notice that requests the accredited data recipient to produce:</w:t>
      </w:r>
    </w:p>
    <w:p w14:paraId="45271A65" w14:textId="77777777" w:rsidR="00BB7660" w:rsidRPr="00210486" w:rsidRDefault="00BB7660" w:rsidP="00BB7660">
      <w:pPr>
        <w:pStyle w:val="paragraph"/>
      </w:pPr>
      <w:r w:rsidRPr="00210486">
        <w:tab/>
        <w:t>(a)</w:t>
      </w:r>
      <w:r w:rsidRPr="00210486">
        <w:tab/>
        <w:t>copies of records that are required by this Division to be kept; or</w:t>
      </w:r>
    </w:p>
    <w:p w14:paraId="082C7B92" w14:textId="77777777" w:rsidR="00BB7660" w:rsidRPr="00210486" w:rsidRDefault="00BB7660" w:rsidP="00BB7660">
      <w:pPr>
        <w:pStyle w:val="paragraph"/>
      </w:pPr>
      <w:r w:rsidRPr="00210486">
        <w:tab/>
        <w:t>(b)</w:t>
      </w:r>
      <w:r w:rsidRPr="00210486">
        <w:tab/>
        <w:t>information from such records.</w:t>
      </w:r>
    </w:p>
    <w:p w14:paraId="2D8D5294" w14:textId="77777777" w:rsidR="00BB7660" w:rsidRPr="00A276A9" w:rsidRDefault="00BB7660" w:rsidP="00BB7660">
      <w:pPr>
        <w:pStyle w:val="subsection"/>
      </w:pPr>
      <w:r w:rsidRPr="00A276A9">
        <w:tab/>
      </w:r>
      <w:r>
        <w:t>(3)</w:t>
      </w:r>
      <w:r w:rsidRPr="00A276A9">
        <w:tab/>
        <w:t>The accredited data recipient must comply</w:t>
      </w:r>
      <w:r>
        <w:t xml:space="preserve"> with</w:t>
      </w:r>
      <w:r w:rsidRPr="00A276A9">
        <w:t xml:space="preserve"> a request under subrule </w:t>
      </w:r>
      <w:r>
        <w:t>(2)</w:t>
      </w:r>
      <w:r w:rsidRPr="00A276A9">
        <w:t xml:space="preserve">. </w:t>
      </w:r>
    </w:p>
    <w:p w14:paraId="21A5B6A2" w14:textId="77777777" w:rsidR="00BB7660" w:rsidRPr="00A276A9" w:rsidRDefault="00BB7660" w:rsidP="00BB7660">
      <w:pPr>
        <w:pStyle w:val="notetext"/>
      </w:pPr>
      <w:r w:rsidRPr="00A276A9">
        <w:t>Note:</w:t>
      </w:r>
      <w:r w:rsidRPr="00A276A9">
        <w:tab/>
        <w:t xml:space="preserve">This </w:t>
      </w:r>
      <w:r>
        <w:t>sub</w:t>
      </w:r>
      <w:r w:rsidRPr="00A276A9">
        <w:t>rule is a civil penalty provision (see rule </w:t>
      </w:r>
      <w:r>
        <w:rPr>
          <w:bCs/>
          <w:lang w:val="en-US"/>
        </w:rPr>
        <w:t>9.8</w:t>
      </w:r>
      <w:r w:rsidRPr="00A276A9">
        <w:t>).</w:t>
      </w:r>
    </w:p>
    <w:p w14:paraId="6D5C2789" w14:textId="77777777" w:rsidR="00BB7660" w:rsidRPr="006E6044" w:rsidRDefault="00BB7660" w:rsidP="00BB7660">
      <w:pPr>
        <w:pStyle w:val="subsection"/>
      </w:pPr>
      <w:r>
        <w:lastRenderedPageBreak/>
        <w:tab/>
        <w:t>(4)</w:t>
      </w:r>
      <w:r>
        <w:tab/>
        <w:t>The Data Recipient Accreditor must provide a copy of any audit report to the Commission and the Information Commissioner.</w:t>
      </w:r>
    </w:p>
    <w:p w14:paraId="0365A5F0" w14:textId="77777777" w:rsidR="00BB7660" w:rsidRDefault="00BB7660" w:rsidP="00BB7660">
      <w:pPr>
        <w:pStyle w:val="ActHead3"/>
        <w:pageBreakBefore/>
      </w:pPr>
      <w:bookmarkStart w:id="620" w:name="_Toc11771710"/>
      <w:bookmarkStart w:id="621" w:name="_Toc111132242"/>
      <w:r>
        <w:lastRenderedPageBreak/>
        <w:t>Division 9.4—Civil penalty provisions</w:t>
      </w:r>
      <w:bookmarkEnd w:id="620"/>
      <w:bookmarkEnd w:id="621"/>
    </w:p>
    <w:p w14:paraId="6D9BA2B4" w14:textId="77777777" w:rsidR="005F5224" w:rsidRDefault="005F5224" w:rsidP="005F5224">
      <w:pPr>
        <w:pStyle w:val="ActHead5"/>
      </w:pPr>
      <w:bookmarkStart w:id="622" w:name="_Toc111132243"/>
      <w:bookmarkStart w:id="623" w:name="_Hlk86242071"/>
      <w:r>
        <w:t>9.8  Civil penalty provisions</w:t>
      </w:r>
      <w:bookmarkEnd w:id="622"/>
    </w:p>
    <w:p w14:paraId="06BDCE47" w14:textId="77777777" w:rsidR="005F5224" w:rsidRPr="005F5224" w:rsidRDefault="005F5224" w:rsidP="005F5224">
      <w:pPr>
        <w:pStyle w:val="subsection"/>
        <w:rPr>
          <w:color w:val="00B050"/>
        </w:rPr>
      </w:pPr>
      <w:r w:rsidRPr="005F5224">
        <w:rPr>
          <w:color w:val="00B050"/>
        </w:rPr>
        <w:tab/>
      </w:r>
      <w:r w:rsidR="00195095">
        <w:rPr>
          <w:color w:val="00B050"/>
        </w:rPr>
        <w:t>(6)</w:t>
      </w:r>
      <w:r w:rsidRPr="005F5224">
        <w:rPr>
          <w:color w:val="00B050"/>
        </w:rPr>
        <w:tab/>
      </w:r>
    </w:p>
    <w:p w14:paraId="3A9F2913" w14:textId="77777777" w:rsidR="005F5224" w:rsidRPr="00CD2ED6" w:rsidRDefault="005F5224" w:rsidP="005F5224">
      <w:pPr>
        <w:pStyle w:val="subsection"/>
        <w:rPr>
          <w:color w:val="0000FF"/>
        </w:rPr>
      </w:pPr>
      <w:r w:rsidRPr="00CD2ED6">
        <w:rPr>
          <w:color w:val="0000FF"/>
        </w:rPr>
        <w:tab/>
      </w:r>
      <w:r w:rsidRPr="00CD2ED6">
        <w:rPr>
          <w:color w:val="0000FF"/>
        </w:rPr>
        <w:tab/>
        <w:t>For section 56BL of the Act, the following provisions of these rules are civil penalty provisions (within the meaning of the Regulatory Powers Act):</w:t>
      </w:r>
    </w:p>
    <w:p w14:paraId="06F788FC" w14:textId="77777777" w:rsidR="005F5224" w:rsidRPr="00CD2ED6" w:rsidRDefault="005F5224" w:rsidP="005F5224">
      <w:pPr>
        <w:pStyle w:val="paragraph"/>
        <w:rPr>
          <w:color w:val="0000FF"/>
        </w:rPr>
      </w:pPr>
      <w:r w:rsidRPr="00CD2ED6">
        <w:rPr>
          <w:color w:val="0000FF"/>
        </w:rPr>
        <w:tab/>
      </w:r>
      <w:r w:rsidR="00195095">
        <w:rPr>
          <w:color w:val="0000FF"/>
        </w:rPr>
        <w:t>(a)</w:t>
      </w:r>
      <w:r w:rsidRPr="00CD2ED6">
        <w:rPr>
          <w:color w:val="0000FF"/>
        </w:rPr>
        <w:tab/>
        <w:t>subrule 1.12(1); </w:t>
      </w:r>
    </w:p>
    <w:p w14:paraId="614EDF2C" w14:textId="77777777" w:rsidR="005F5224" w:rsidRPr="00CD2ED6" w:rsidRDefault="005F5224" w:rsidP="005F5224">
      <w:pPr>
        <w:pStyle w:val="paragraph"/>
        <w:rPr>
          <w:color w:val="0000FF"/>
        </w:rPr>
      </w:pPr>
      <w:r w:rsidRPr="00CD2ED6">
        <w:rPr>
          <w:color w:val="0000FF"/>
        </w:rPr>
        <w:tab/>
      </w:r>
      <w:r w:rsidR="00195095">
        <w:rPr>
          <w:color w:val="0000FF"/>
        </w:rPr>
        <w:t>(b)</w:t>
      </w:r>
      <w:r w:rsidRPr="00CD2ED6">
        <w:rPr>
          <w:color w:val="0000FF"/>
        </w:rPr>
        <w:tab/>
        <w:t>subrule 1.13(1);</w:t>
      </w:r>
    </w:p>
    <w:p w14:paraId="29D47A98" w14:textId="77777777" w:rsidR="005F5224" w:rsidRPr="00CD2ED6" w:rsidRDefault="005F5224" w:rsidP="005F5224">
      <w:pPr>
        <w:pStyle w:val="paragraph"/>
        <w:rPr>
          <w:color w:val="0000FF"/>
        </w:rPr>
      </w:pPr>
      <w:r w:rsidRPr="00CD2ED6">
        <w:rPr>
          <w:color w:val="0000FF"/>
        </w:rPr>
        <w:tab/>
      </w:r>
      <w:r w:rsidR="00195095">
        <w:rPr>
          <w:color w:val="0000FF"/>
        </w:rPr>
        <w:t>(c)</w:t>
      </w:r>
      <w:r w:rsidRPr="00CD2ED6">
        <w:rPr>
          <w:color w:val="0000FF"/>
        </w:rPr>
        <w:tab/>
        <w:t>subrule 1.14(1);</w:t>
      </w:r>
    </w:p>
    <w:p w14:paraId="576FEA5D" w14:textId="77777777" w:rsidR="005F5224" w:rsidRPr="00CD2ED6" w:rsidRDefault="005F5224" w:rsidP="005F5224">
      <w:pPr>
        <w:pStyle w:val="paragraph"/>
        <w:rPr>
          <w:color w:val="0000FF"/>
        </w:rPr>
      </w:pPr>
      <w:r w:rsidRPr="00CD2ED6">
        <w:rPr>
          <w:color w:val="0000FF"/>
        </w:rPr>
        <w:tab/>
      </w:r>
      <w:r w:rsidR="00195095">
        <w:rPr>
          <w:color w:val="0000FF"/>
        </w:rPr>
        <w:t>(d)</w:t>
      </w:r>
      <w:r w:rsidRPr="00CD2ED6">
        <w:rPr>
          <w:color w:val="0000FF"/>
        </w:rPr>
        <w:tab/>
        <w:t>subrule 1.15(1);</w:t>
      </w:r>
    </w:p>
    <w:p w14:paraId="7B7EE71F" w14:textId="77777777" w:rsidR="005F5224" w:rsidRPr="00CD2ED6" w:rsidRDefault="005F5224" w:rsidP="005F5224">
      <w:pPr>
        <w:pStyle w:val="paragraph"/>
        <w:rPr>
          <w:color w:val="0000FF"/>
        </w:rPr>
      </w:pPr>
      <w:r w:rsidRPr="00CD2ED6">
        <w:rPr>
          <w:color w:val="0000FF"/>
        </w:rPr>
        <w:tab/>
      </w:r>
      <w:r w:rsidR="00195095">
        <w:rPr>
          <w:color w:val="0000FF"/>
        </w:rPr>
        <w:t>(e)</w:t>
      </w:r>
      <w:r w:rsidRPr="00CD2ED6">
        <w:rPr>
          <w:color w:val="0000FF"/>
        </w:rPr>
        <w:tab/>
        <w:t>subrule 1.15(5)</w:t>
      </w:r>
    </w:p>
    <w:p w14:paraId="4E757B55" w14:textId="77777777" w:rsidR="005F5224" w:rsidRPr="00CD2ED6" w:rsidRDefault="005F5224" w:rsidP="005F5224">
      <w:pPr>
        <w:pStyle w:val="paragraph"/>
        <w:rPr>
          <w:color w:val="0000FF"/>
        </w:rPr>
      </w:pPr>
      <w:r w:rsidRPr="00CD2ED6">
        <w:rPr>
          <w:color w:val="0000FF"/>
        </w:rPr>
        <w:tab/>
      </w:r>
      <w:r w:rsidR="00195095">
        <w:rPr>
          <w:color w:val="0000FF"/>
        </w:rPr>
        <w:t>(f)</w:t>
      </w:r>
      <w:r w:rsidRPr="00CD2ED6">
        <w:rPr>
          <w:color w:val="0000FF"/>
        </w:rPr>
        <w:tab/>
        <w:t>subrule 1.15(7)</w:t>
      </w:r>
    </w:p>
    <w:p w14:paraId="0C095B73" w14:textId="77777777" w:rsidR="005F5224" w:rsidRPr="00CD2ED6" w:rsidRDefault="005F5224" w:rsidP="005F5224">
      <w:pPr>
        <w:pStyle w:val="paragraph"/>
        <w:rPr>
          <w:color w:val="0000FF"/>
        </w:rPr>
      </w:pPr>
      <w:r w:rsidRPr="00CD2ED6">
        <w:rPr>
          <w:color w:val="0000FF"/>
        </w:rPr>
        <w:tab/>
      </w:r>
      <w:r w:rsidR="00195095">
        <w:rPr>
          <w:color w:val="0000FF"/>
        </w:rPr>
        <w:t>(g)</w:t>
      </w:r>
      <w:r w:rsidRPr="00CD2ED6">
        <w:rPr>
          <w:color w:val="0000FF"/>
        </w:rPr>
        <w:tab/>
        <w:t>subrule 1.16(2);</w:t>
      </w:r>
    </w:p>
    <w:p w14:paraId="5E061002" w14:textId="77777777" w:rsidR="005F5224" w:rsidRPr="00CD2ED6" w:rsidRDefault="005F5224" w:rsidP="005F5224">
      <w:pPr>
        <w:pStyle w:val="paragraph"/>
        <w:rPr>
          <w:color w:val="0000FF"/>
        </w:rPr>
      </w:pPr>
      <w:r w:rsidRPr="00CD2ED6">
        <w:rPr>
          <w:color w:val="0000FF"/>
        </w:rPr>
        <w:tab/>
      </w:r>
      <w:r w:rsidR="00195095">
        <w:rPr>
          <w:color w:val="0000FF"/>
        </w:rPr>
        <w:t>(h)</w:t>
      </w:r>
      <w:r w:rsidRPr="00CD2ED6">
        <w:rPr>
          <w:color w:val="0000FF"/>
        </w:rPr>
        <w:tab/>
        <w:t>subrule 1.16(4);</w:t>
      </w:r>
    </w:p>
    <w:p w14:paraId="29A116A3" w14:textId="77777777" w:rsidR="005F5224" w:rsidRPr="00CD2ED6" w:rsidRDefault="005F5224" w:rsidP="005F5224">
      <w:pPr>
        <w:pStyle w:val="paragraph"/>
        <w:rPr>
          <w:color w:val="0000FF"/>
        </w:rPr>
      </w:pPr>
      <w:r w:rsidRPr="00CD2ED6">
        <w:rPr>
          <w:color w:val="0000FF"/>
        </w:rPr>
        <w:tab/>
      </w:r>
      <w:r w:rsidR="00195095">
        <w:rPr>
          <w:color w:val="0000FF"/>
        </w:rPr>
        <w:t>(i)</w:t>
      </w:r>
      <w:r w:rsidRPr="00CD2ED6">
        <w:rPr>
          <w:color w:val="0000FF"/>
        </w:rPr>
        <w:tab/>
        <w:t>subrule 1.16A(2); </w:t>
      </w:r>
    </w:p>
    <w:p w14:paraId="23EE3300" w14:textId="77777777" w:rsidR="005F5224" w:rsidRPr="00CD2ED6" w:rsidRDefault="005F5224" w:rsidP="005F5224">
      <w:pPr>
        <w:pStyle w:val="paragraph"/>
        <w:rPr>
          <w:color w:val="0000FF"/>
        </w:rPr>
      </w:pPr>
      <w:r w:rsidRPr="00CD2ED6">
        <w:rPr>
          <w:color w:val="0000FF"/>
        </w:rPr>
        <w:tab/>
      </w:r>
      <w:r w:rsidR="00195095">
        <w:rPr>
          <w:color w:val="0000FF"/>
        </w:rPr>
        <w:t>(j)</w:t>
      </w:r>
      <w:r w:rsidRPr="00CD2ED6">
        <w:rPr>
          <w:color w:val="0000FF"/>
        </w:rPr>
        <w:tab/>
        <w:t>subrule 1.16A(4); </w:t>
      </w:r>
    </w:p>
    <w:p w14:paraId="04273AEE" w14:textId="77777777" w:rsidR="005F5224" w:rsidRPr="00CD2ED6" w:rsidRDefault="005F5224" w:rsidP="005F5224">
      <w:pPr>
        <w:pStyle w:val="paragraph"/>
        <w:rPr>
          <w:color w:val="0000FF"/>
        </w:rPr>
      </w:pPr>
      <w:r w:rsidRPr="00CD2ED6">
        <w:rPr>
          <w:color w:val="0000FF"/>
        </w:rPr>
        <w:tab/>
      </w:r>
      <w:r w:rsidR="00195095">
        <w:rPr>
          <w:color w:val="0000FF"/>
        </w:rPr>
        <w:t>(k)</w:t>
      </w:r>
      <w:r w:rsidRPr="00CD2ED6">
        <w:rPr>
          <w:color w:val="0000FF"/>
        </w:rPr>
        <w:tab/>
        <w:t>subrule 1.20(2);</w:t>
      </w:r>
    </w:p>
    <w:p w14:paraId="700C6B37" w14:textId="77777777" w:rsidR="005F5224" w:rsidRPr="00CD2ED6" w:rsidRDefault="005F5224" w:rsidP="005F5224">
      <w:pPr>
        <w:pStyle w:val="paragraph"/>
        <w:rPr>
          <w:color w:val="0000FF"/>
        </w:rPr>
      </w:pPr>
      <w:r w:rsidRPr="00CD2ED6">
        <w:rPr>
          <w:color w:val="0000FF"/>
        </w:rPr>
        <w:tab/>
      </w:r>
      <w:r w:rsidR="00195095">
        <w:rPr>
          <w:color w:val="0000FF"/>
        </w:rPr>
        <w:t>(l)</w:t>
      </w:r>
      <w:r w:rsidRPr="00CD2ED6">
        <w:rPr>
          <w:color w:val="0000FF"/>
        </w:rPr>
        <w:tab/>
        <w:t>subrule 1.22(3);</w:t>
      </w:r>
    </w:p>
    <w:p w14:paraId="277A0402" w14:textId="77777777" w:rsidR="005F5224" w:rsidRPr="00CD2ED6" w:rsidRDefault="005F5224" w:rsidP="005F5224">
      <w:pPr>
        <w:pStyle w:val="paragraph"/>
        <w:rPr>
          <w:color w:val="0000FF"/>
        </w:rPr>
      </w:pPr>
      <w:r w:rsidRPr="00CD2ED6">
        <w:rPr>
          <w:color w:val="0000FF"/>
        </w:rPr>
        <w:tab/>
      </w:r>
      <w:r w:rsidR="00195095">
        <w:rPr>
          <w:color w:val="0000FF"/>
        </w:rPr>
        <w:t>(m)</w:t>
      </w:r>
      <w:r w:rsidRPr="00CD2ED6">
        <w:rPr>
          <w:color w:val="0000FF"/>
        </w:rPr>
        <w:tab/>
        <w:t>subrule 1.22(4);</w:t>
      </w:r>
    </w:p>
    <w:p w14:paraId="0EF89147" w14:textId="77777777" w:rsidR="005F5224" w:rsidRPr="00CD2ED6" w:rsidRDefault="005F5224" w:rsidP="005F5224">
      <w:pPr>
        <w:pStyle w:val="paragraph"/>
        <w:rPr>
          <w:color w:val="0000FF"/>
        </w:rPr>
      </w:pPr>
      <w:r w:rsidRPr="00CD2ED6">
        <w:rPr>
          <w:color w:val="0000FF"/>
        </w:rPr>
        <w:tab/>
      </w:r>
      <w:r w:rsidR="00195095">
        <w:rPr>
          <w:color w:val="0000FF"/>
        </w:rPr>
        <w:t>(n)</w:t>
      </w:r>
      <w:r w:rsidRPr="00CD2ED6">
        <w:rPr>
          <w:color w:val="0000FF"/>
        </w:rPr>
        <w:tab/>
        <w:t>subrule 1.22(5);</w:t>
      </w:r>
    </w:p>
    <w:p w14:paraId="70EA0E62" w14:textId="77777777" w:rsidR="005F5224" w:rsidRPr="00CD2ED6" w:rsidRDefault="005F5224" w:rsidP="005F5224">
      <w:pPr>
        <w:pStyle w:val="paragraph"/>
        <w:rPr>
          <w:color w:val="0000FF"/>
        </w:rPr>
      </w:pPr>
      <w:r w:rsidRPr="00CD2ED6">
        <w:rPr>
          <w:color w:val="0000FF"/>
        </w:rPr>
        <w:tab/>
      </w:r>
      <w:r w:rsidR="00195095">
        <w:rPr>
          <w:color w:val="0000FF"/>
        </w:rPr>
        <w:t>(o)</w:t>
      </w:r>
      <w:r w:rsidRPr="00CD2ED6">
        <w:rPr>
          <w:color w:val="0000FF"/>
        </w:rPr>
        <w:tab/>
        <w:t xml:space="preserve">subrule 1.23(4): </w:t>
      </w:r>
    </w:p>
    <w:p w14:paraId="5E36AB47" w14:textId="77777777" w:rsidR="005F5224" w:rsidRPr="00CD2ED6" w:rsidRDefault="005F5224" w:rsidP="005F5224">
      <w:pPr>
        <w:pStyle w:val="paragraph"/>
        <w:rPr>
          <w:color w:val="0000FF"/>
        </w:rPr>
      </w:pPr>
      <w:r w:rsidRPr="00CD2ED6">
        <w:rPr>
          <w:color w:val="0000FF"/>
        </w:rPr>
        <w:tab/>
      </w:r>
      <w:r w:rsidR="00195095">
        <w:rPr>
          <w:color w:val="0000FF"/>
        </w:rPr>
        <w:t>(p)</w:t>
      </w:r>
      <w:r w:rsidRPr="00CD2ED6">
        <w:rPr>
          <w:color w:val="0000FF"/>
        </w:rPr>
        <w:tab/>
        <w:t>subrule 1.23(5);</w:t>
      </w:r>
    </w:p>
    <w:p w14:paraId="7255AF5C" w14:textId="77777777" w:rsidR="005F5224" w:rsidRPr="00CD2ED6" w:rsidRDefault="005F5224" w:rsidP="005F5224">
      <w:pPr>
        <w:pStyle w:val="paragraph"/>
        <w:rPr>
          <w:color w:val="0000FF"/>
        </w:rPr>
      </w:pPr>
      <w:r w:rsidRPr="00CD2ED6">
        <w:rPr>
          <w:color w:val="0000FF"/>
        </w:rPr>
        <w:tab/>
      </w:r>
      <w:r w:rsidR="00195095">
        <w:rPr>
          <w:color w:val="0000FF"/>
        </w:rPr>
        <w:t>(q)</w:t>
      </w:r>
      <w:r w:rsidRPr="00CD2ED6">
        <w:rPr>
          <w:color w:val="0000FF"/>
        </w:rPr>
        <w:tab/>
        <w:t>subrule 1.23(6);</w:t>
      </w:r>
    </w:p>
    <w:p w14:paraId="5C356431" w14:textId="77777777" w:rsidR="005F5224" w:rsidRPr="00CD2ED6" w:rsidRDefault="005F5224" w:rsidP="005F5224">
      <w:pPr>
        <w:pStyle w:val="paragraph"/>
        <w:rPr>
          <w:color w:val="0000FF"/>
        </w:rPr>
      </w:pPr>
      <w:r w:rsidRPr="00CD2ED6">
        <w:rPr>
          <w:color w:val="0000FF"/>
        </w:rPr>
        <w:tab/>
      </w:r>
      <w:r w:rsidR="00195095">
        <w:rPr>
          <w:color w:val="0000FF"/>
        </w:rPr>
        <w:t>(r)</w:t>
      </w:r>
      <w:r w:rsidRPr="00CD2ED6">
        <w:rPr>
          <w:color w:val="0000FF"/>
        </w:rPr>
        <w:tab/>
        <w:t>rule 1.25;</w:t>
      </w:r>
    </w:p>
    <w:p w14:paraId="07518ABD" w14:textId="77777777" w:rsidR="005F5224" w:rsidRPr="00CD2ED6" w:rsidRDefault="005F5224" w:rsidP="005F5224">
      <w:pPr>
        <w:pStyle w:val="paragraph"/>
        <w:rPr>
          <w:color w:val="0000FF"/>
        </w:rPr>
      </w:pPr>
      <w:r w:rsidRPr="00CD2ED6">
        <w:rPr>
          <w:color w:val="0000FF"/>
        </w:rPr>
        <w:tab/>
      </w:r>
      <w:r w:rsidR="00195095">
        <w:rPr>
          <w:color w:val="0000FF"/>
        </w:rPr>
        <w:t>(s)</w:t>
      </w:r>
      <w:r w:rsidRPr="00CD2ED6">
        <w:rPr>
          <w:color w:val="0000FF"/>
        </w:rPr>
        <w:tab/>
        <w:t>subrule 2.4(2A);</w:t>
      </w:r>
      <w:r w:rsidRPr="00CD2ED6">
        <w:rPr>
          <w:color w:val="0000FF"/>
        </w:rPr>
        <w:tab/>
      </w:r>
    </w:p>
    <w:p w14:paraId="5E442D74" w14:textId="77777777" w:rsidR="005F5224" w:rsidRPr="00CD2ED6" w:rsidRDefault="005F5224" w:rsidP="005F5224">
      <w:pPr>
        <w:pStyle w:val="paragraph"/>
        <w:rPr>
          <w:color w:val="0000FF"/>
        </w:rPr>
      </w:pPr>
      <w:r w:rsidRPr="00CD2ED6">
        <w:rPr>
          <w:color w:val="0000FF"/>
        </w:rPr>
        <w:tab/>
      </w:r>
      <w:r w:rsidR="00195095">
        <w:rPr>
          <w:color w:val="0000FF"/>
        </w:rPr>
        <w:t>(t)</w:t>
      </w:r>
      <w:r w:rsidRPr="00CD2ED6">
        <w:rPr>
          <w:color w:val="0000FF"/>
        </w:rPr>
        <w:tab/>
        <w:t>subrule 2.4(3);</w:t>
      </w:r>
    </w:p>
    <w:p w14:paraId="7890AF34" w14:textId="77777777" w:rsidR="005F5224" w:rsidRPr="00CD2ED6" w:rsidRDefault="005F5224" w:rsidP="005F5224">
      <w:pPr>
        <w:pStyle w:val="paragraph"/>
        <w:rPr>
          <w:color w:val="0000FF"/>
        </w:rPr>
      </w:pPr>
      <w:r w:rsidRPr="00CD2ED6">
        <w:rPr>
          <w:color w:val="0000FF"/>
        </w:rPr>
        <w:tab/>
      </w:r>
      <w:r w:rsidR="00195095">
        <w:rPr>
          <w:color w:val="0000FF"/>
        </w:rPr>
        <w:t>(u)</w:t>
      </w:r>
      <w:r w:rsidRPr="00CD2ED6">
        <w:rPr>
          <w:color w:val="0000FF"/>
        </w:rPr>
        <w:tab/>
        <w:t>rule 2.6;</w:t>
      </w:r>
    </w:p>
    <w:p w14:paraId="619E4597" w14:textId="77777777" w:rsidR="005F5224" w:rsidRPr="00CD2ED6" w:rsidRDefault="005F5224" w:rsidP="005F5224">
      <w:pPr>
        <w:pStyle w:val="paragraph"/>
        <w:rPr>
          <w:color w:val="0000FF"/>
        </w:rPr>
      </w:pPr>
      <w:r w:rsidRPr="00CD2ED6">
        <w:rPr>
          <w:color w:val="0000FF"/>
        </w:rPr>
        <w:tab/>
      </w:r>
      <w:r w:rsidR="00195095">
        <w:rPr>
          <w:color w:val="0000FF"/>
        </w:rPr>
        <w:t>(v)</w:t>
      </w:r>
      <w:r w:rsidRPr="00CD2ED6">
        <w:rPr>
          <w:color w:val="0000FF"/>
        </w:rPr>
        <w:tab/>
        <w:t>subrule 3.4(3);</w:t>
      </w:r>
    </w:p>
    <w:p w14:paraId="0FE09AAF" w14:textId="77777777" w:rsidR="005F5224" w:rsidRPr="00CD2ED6" w:rsidRDefault="005F5224" w:rsidP="005F5224">
      <w:pPr>
        <w:pStyle w:val="paragraph"/>
        <w:rPr>
          <w:color w:val="0000FF"/>
        </w:rPr>
      </w:pPr>
      <w:r w:rsidRPr="00CD2ED6">
        <w:rPr>
          <w:color w:val="0000FF"/>
        </w:rPr>
        <w:tab/>
      </w:r>
      <w:r w:rsidR="00195095">
        <w:rPr>
          <w:color w:val="0000FF"/>
        </w:rPr>
        <w:t>(w)</w:t>
      </w:r>
      <w:r w:rsidRPr="00CD2ED6">
        <w:rPr>
          <w:color w:val="0000FF"/>
        </w:rPr>
        <w:tab/>
        <w:t>subrule 4.3(5);</w:t>
      </w:r>
    </w:p>
    <w:p w14:paraId="369AE379" w14:textId="77777777" w:rsidR="005F5224" w:rsidRPr="00CD2ED6" w:rsidRDefault="005F5224" w:rsidP="005F5224">
      <w:pPr>
        <w:pStyle w:val="paragraph"/>
        <w:rPr>
          <w:color w:val="0000FF"/>
        </w:rPr>
      </w:pPr>
      <w:r w:rsidRPr="00CD2ED6">
        <w:rPr>
          <w:color w:val="0000FF"/>
        </w:rPr>
        <w:tab/>
      </w:r>
      <w:r w:rsidR="00195095">
        <w:rPr>
          <w:color w:val="0000FF"/>
        </w:rPr>
        <w:t>(x)</w:t>
      </w:r>
      <w:r w:rsidRPr="00CD2ED6">
        <w:rPr>
          <w:color w:val="0000FF"/>
        </w:rPr>
        <w:tab/>
        <w:t>subrule 4.4(3);</w:t>
      </w:r>
    </w:p>
    <w:p w14:paraId="6F155FC3" w14:textId="77777777" w:rsidR="005F5224" w:rsidRPr="00CD2ED6" w:rsidRDefault="005F5224" w:rsidP="005F5224">
      <w:pPr>
        <w:pStyle w:val="paragraph"/>
        <w:rPr>
          <w:color w:val="0000FF"/>
        </w:rPr>
      </w:pPr>
      <w:r w:rsidRPr="00CD2ED6">
        <w:rPr>
          <w:color w:val="0000FF"/>
        </w:rPr>
        <w:tab/>
      </w:r>
      <w:r w:rsidR="00195095">
        <w:rPr>
          <w:color w:val="0000FF"/>
        </w:rPr>
        <w:t>(y)</w:t>
      </w:r>
      <w:r w:rsidRPr="00CD2ED6">
        <w:rPr>
          <w:color w:val="0000FF"/>
        </w:rPr>
        <w:tab/>
        <w:t>subrule 4.5(2);</w:t>
      </w:r>
    </w:p>
    <w:p w14:paraId="2207AEA2" w14:textId="77777777" w:rsidR="005F5224" w:rsidRPr="00CD2ED6" w:rsidRDefault="005F5224" w:rsidP="005F5224">
      <w:pPr>
        <w:pStyle w:val="paragraph"/>
        <w:rPr>
          <w:color w:val="0000FF"/>
        </w:rPr>
      </w:pPr>
      <w:r w:rsidRPr="00CD2ED6">
        <w:rPr>
          <w:color w:val="0000FF"/>
        </w:rPr>
        <w:tab/>
      </w:r>
      <w:r w:rsidR="00195095">
        <w:rPr>
          <w:color w:val="0000FF"/>
        </w:rPr>
        <w:t>(z)</w:t>
      </w:r>
      <w:r w:rsidRPr="00CD2ED6">
        <w:rPr>
          <w:color w:val="0000FF"/>
        </w:rPr>
        <w:tab/>
        <w:t>subrule 4.5(3);</w:t>
      </w:r>
    </w:p>
    <w:p w14:paraId="1BC33AD2" w14:textId="77777777" w:rsidR="005F5224" w:rsidRPr="00CD2ED6" w:rsidRDefault="005F5224" w:rsidP="005F5224">
      <w:pPr>
        <w:pStyle w:val="paragraph"/>
        <w:rPr>
          <w:color w:val="0000FF"/>
        </w:rPr>
      </w:pPr>
      <w:r w:rsidRPr="00CD2ED6">
        <w:rPr>
          <w:color w:val="0000FF"/>
        </w:rPr>
        <w:tab/>
      </w:r>
      <w:r w:rsidR="00195095">
        <w:rPr>
          <w:color w:val="0000FF"/>
        </w:rPr>
        <w:t>(aa)</w:t>
      </w:r>
      <w:r w:rsidRPr="00CD2ED6">
        <w:rPr>
          <w:color w:val="0000FF"/>
        </w:rPr>
        <w:tab/>
        <w:t>subrule 4.6(3);</w:t>
      </w:r>
    </w:p>
    <w:p w14:paraId="2BB44615" w14:textId="77777777" w:rsidR="005F5224" w:rsidRPr="00CD2ED6" w:rsidRDefault="005F5224" w:rsidP="005F5224">
      <w:pPr>
        <w:pStyle w:val="paragraph"/>
        <w:rPr>
          <w:color w:val="0000FF"/>
        </w:rPr>
      </w:pPr>
      <w:r w:rsidRPr="00CD2ED6">
        <w:rPr>
          <w:color w:val="0000FF"/>
        </w:rPr>
        <w:tab/>
      </w:r>
      <w:r w:rsidR="00195095">
        <w:rPr>
          <w:color w:val="0000FF"/>
        </w:rPr>
        <w:t>(bb)</w:t>
      </w:r>
      <w:r w:rsidRPr="00CD2ED6">
        <w:rPr>
          <w:color w:val="0000FF"/>
        </w:rPr>
        <w:tab/>
        <w:t>subrule 4.6(4);</w:t>
      </w:r>
    </w:p>
    <w:p w14:paraId="3DF16B85" w14:textId="77777777" w:rsidR="005F5224" w:rsidRPr="00CD2ED6" w:rsidRDefault="005F5224" w:rsidP="005F5224">
      <w:pPr>
        <w:pStyle w:val="paragraph"/>
        <w:rPr>
          <w:color w:val="0000FF"/>
        </w:rPr>
      </w:pPr>
      <w:r w:rsidRPr="00CD2ED6">
        <w:rPr>
          <w:color w:val="0000FF"/>
        </w:rPr>
        <w:tab/>
      </w:r>
      <w:r w:rsidR="00195095">
        <w:rPr>
          <w:color w:val="0000FF"/>
        </w:rPr>
        <w:t>(cc)</w:t>
      </w:r>
      <w:r w:rsidRPr="00CD2ED6">
        <w:rPr>
          <w:color w:val="0000FF"/>
        </w:rPr>
        <w:tab/>
        <w:t>subrule 4.7B(3)</w:t>
      </w:r>
    </w:p>
    <w:p w14:paraId="71B6A9A0" w14:textId="77777777" w:rsidR="005F5224" w:rsidRPr="00CD2ED6" w:rsidRDefault="005F5224" w:rsidP="005F5224">
      <w:pPr>
        <w:pStyle w:val="paragraph"/>
        <w:rPr>
          <w:color w:val="0000FF"/>
        </w:rPr>
      </w:pPr>
      <w:r w:rsidRPr="00CD2ED6">
        <w:rPr>
          <w:color w:val="0000FF"/>
        </w:rPr>
        <w:tab/>
      </w:r>
      <w:r w:rsidR="00195095">
        <w:rPr>
          <w:color w:val="0000FF"/>
        </w:rPr>
        <w:t>(dd)</w:t>
      </w:r>
      <w:r w:rsidRPr="00CD2ED6">
        <w:rPr>
          <w:color w:val="0000FF"/>
        </w:rPr>
        <w:tab/>
        <w:t>subrule 4.13(2);</w:t>
      </w:r>
    </w:p>
    <w:p w14:paraId="079656F0" w14:textId="77777777" w:rsidR="005F5224" w:rsidRPr="00CD2ED6" w:rsidRDefault="005F5224" w:rsidP="005F5224">
      <w:pPr>
        <w:pStyle w:val="paragraph"/>
        <w:rPr>
          <w:color w:val="0000FF"/>
        </w:rPr>
      </w:pPr>
      <w:r w:rsidRPr="00CD2ED6">
        <w:rPr>
          <w:color w:val="0000FF"/>
        </w:rPr>
        <w:tab/>
      </w:r>
      <w:r w:rsidR="00195095">
        <w:rPr>
          <w:color w:val="0000FF"/>
        </w:rPr>
        <w:t>(ee)</w:t>
      </w:r>
      <w:r w:rsidRPr="00CD2ED6">
        <w:rPr>
          <w:color w:val="0000FF"/>
        </w:rPr>
        <w:tab/>
        <w:t>subrule 4.18(1);</w:t>
      </w:r>
    </w:p>
    <w:p w14:paraId="2D91F9C0" w14:textId="77777777" w:rsidR="005F5224" w:rsidRPr="00CD2ED6" w:rsidRDefault="005F5224" w:rsidP="005F5224">
      <w:pPr>
        <w:pStyle w:val="paragraph"/>
        <w:rPr>
          <w:color w:val="0000FF"/>
        </w:rPr>
      </w:pPr>
      <w:r w:rsidRPr="00CD2ED6">
        <w:rPr>
          <w:color w:val="0000FF"/>
        </w:rPr>
        <w:tab/>
      </w:r>
      <w:r w:rsidR="00195095">
        <w:rPr>
          <w:color w:val="0000FF"/>
        </w:rPr>
        <w:t>(ff)</w:t>
      </w:r>
      <w:r w:rsidRPr="00CD2ED6">
        <w:rPr>
          <w:color w:val="0000FF"/>
        </w:rPr>
        <w:tab/>
        <w:t>subrule 4.18AA(2);</w:t>
      </w:r>
    </w:p>
    <w:p w14:paraId="5426F5F1" w14:textId="77777777" w:rsidR="005F5224" w:rsidRPr="00CD2ED6" w:rsidRDefault="005F5224" w:rsidP="005F5224">
      <w:pPr>
        <w:pStyle w:val="paragraph"/>
        <w:rPr>
          <w:color w:val="0000FF"/>
        </w:rPr>
      </w:pPr>
      <w:r w:rsidRPr="00CD2ED6">
        <w:rPr>
          <w:color w:val="0000FF"/>
        </w:rPr>
        <w:tab/>
      </w:r>
      <w:r w:rsidR="00195095">
        <w:rPr>
          <w:color w:val="0000FF"/>
        </w:rPr>
        <w:t>(gg)</w:t>
      </w:r>
      <w:r w:rsidRPr="00CD2ED6">
        <w:rPr>
          <w:color w:val="0000FF"/>
        </w:rPr>
        <w:tab/>
        <w:t>subrule 4.18A(2);</w:t>
      </w:r>
    </w:p>
    <w:p w14:paraId="75B60B6B" w14:textId="77777777" w:rsidR="005F5224" w:rsidRPr="00CD2ED6" w:rsidRDefault="005F5224" w:rsidP="005F5224">
      <w:pPr>
        <w:pStyle w:val="paragraph"/>
        <w:rPr>
          <w:color w:val="0000FF"/>
        </w:rPr>
      </w:pPr>
      <w:r w:rsidRPr="00CD2ED6">
        <w:rPr>
          <w:color w:val="0000FF"/>
        </w:rPr>
        <w:tab/>
      </w:r>
      <w:r w:rsidR="00195095">
        <w:rPr>
          <w:color w:val="0000FF"/>
        </w:rPr>
        <w:t>(hh)</w:t>
      </w:r>
      <w:r w:rsidRPr="00CD2ED6">
        <w:rPr>
          <w:color w:val="0000FF"/>
        </w:rPr>
        <w:tab/>
        <w:t>subrule 4.18B(2);</w:t>
      </w:r>
    </w:p>
    <w:p w14:paraId="63E10526" w14:textId="77777777" w:rsidR="005F5224" w:rsidRPr="00CD2ED6" w:rsidRDefault="005F5224" w:rsidP="005F5224">
      <w:pPr>
        <w:pStyle w:val="paragraph"/>
        <w:rPr>
          <w:color w:val="0000FF"/>
        </w:rPr>
      </w:pPr>
      <w:r w:rsidRPr="00CD2ED6">
        <w:rPr>
          <w:color w:val="0000FF"/>
        </w:rPr>
        <w:tab/>
      </w:r>
      <w:r w:rsidR="00195095">
        <w:rPr>
          <w:color w:val="0000FF"/>
        </w:rPr>
        <w:t>(ii)</w:t>
      </w:r>
      <w:r w:rsidRPr="00CD2ED6">
        <w:rPr>
          <w:color w:val="0000FF"/>
        </w:rPr>
        <w:tab/>
        <w:t>subrule 4.18B(3);</w:t>
      </w:r>
    </w:p>
    <w:p w14:paraId="4A8F779E" w14:textId="77777777" w:rsidR="005F5224" w:rsidRPr="00CD2ED6" w:rsidRDefault="005F5224" w:rsidP="005F5224">
      <w:pPr>
        <w:pStyle w:val="paragraph"/>
        <w:rPr>
          <w:color w:val="0000FF"/>
        </w:rPr>
      </w:pPr>
      <w:r w:rsidRPr="00CD2ED6">
        <w:rPr>
          <w:color w:val="0000FF"/>
        </w:rPr>
        <w:tab/>
      </w:r>
      <w:r w:rsidR="00195095">
        <w:rPr>
          <w:color w:val="0000FF"/>
        </w:rPr>
        <w:t>(jj)</w:t>
      </w:r>
      <w:r w:rsidRPr="00CD2ED6">
        <w:rPr>
          <w:color w:val="0000FF"/>
        </w:rPr>
        <w:tab/>
        <w:t>subrule 4.18C(2);</w:t>
      </w:r>
    </w:p>
    <w:p w14:paraId="7CECC90D" w14:textId="77777777" w:rsidR="005F5224" w:rsidRPr="00CD2ED6" w:rsidRDefault="005F5224" w:rsidP="005F5224">
      <w:pPr>
        <w:pStyle w:val="paragraph"/>
        <w:rPr>
          <w:color w:val="0000FF"/>
        </w:rPr>
      </w:pPr>
      <w:r w:rsidRPr="00CD2ED6">
        <w:rPr>
          <w:color w:val="0000FF"/>
        </w:rPr>
        <w:lastRenderedPageBreak/>
        <w:tab/>
      </w:r>
      <w:r w:rsidR="00195095">
        <w:rPr>
          <w:color w:val="0000FF"/>
        </w:rPr>
        <w:t>(kk)</w:t>
      </w:r>
      <w:r w:rsidRPr="00CD2ED6">
        <w:rPr>
          <w:color w:val="0000FF"/>
        </w:rPr>
        <w:tab/>
        <w:t>rule 4.19;</w:t>
      </w:r>
    </w:p>
    <w:p w14:paraId="22EA0411" w14:textId="77777777" w:rsidR="005F5224" w:rsidRPr="00CD2ED6" w:rsidRDefault="005F5224" w:rsidP="005F5224">
      <w:pPr>
        <w:pStyle w:val="paragraph"/>
        <w:rPr>
          <w:color w:val="0000FF"/>
        </w:rPr>
      </w:pPr>
      <w:r w:rsidRPr="00CD2ED6">
        <w:rPr>
          <w:color w:val="0000FF"/>
        </w:rPr>
        <w:tab/>
      </w:r>
      <w:r w:rsidR="00195095">
        <w:rPr>
          <w:color w:val="0000FF"/>
        </w:rPr>
        <w:t>(ll)</w:t>
      </w:r>
      <w:r w:rsidRPr="00CD2ED6">
        <w:rPr>
          <w:color w:val="0000FF"/>
        </w:rPr>
        <w:tab/>
        <w:t>subrule 4.20(2);</w:t>
      </w:r>
    </w:p>
    <w:p w14:paraId="06AABBE6" w14:textId="77777777" w:rsidR="005F5224" w:rsidRPr="00CD2ED6" w:rsidRDefault="005F5224" w:rsidP="005F5224">
      <w:pPr>
        <w:pStyle w:val="paragraph"/>
        <w:rPr>
          <w:color w:val="0000FF"/>
        </w:rPr>
      </w:pPr>
      <w:r w:rsidRPr="00CD2ED6">
        <w:rPr>
          <w:color w:val="0000FF"/>
        </w:rPr>
        <w:tab/>
      </w:r>
      <w:r w:rsidR="00195095">
        <w:rPr>
          <w:color w:val="0000FF"/>
        </w:rPr>
        <w:t>(mm)</w:t>
      </w:r>
      <w:r w:rsidRPr="00CD2ED6">
        <w:rPr>
          <w:color w:val="0000FF"/>
        </w:rPr>
        <w:tab/>
        <w:t>subrule 4.20J(2);</w:t>
      </w:r>
    </w:p>
    <w:p w14:paraId="5EF7111D" w14:textId="77777777" w:rsidR="005F5224" w:rsidRPr="00CD2ED6" w:rsidRDefault="005F5224" w:rsidP="005F5224">
      <w:pPr>
        <w:pStyle w:val="paragraph"/>
        <w:rPr>
          <w:color w:val="0000FF"/>
        </w:rPr>
      </w:pPr>
      <w:r w:rsidRPr="00CD2ED6">
        <w:rPr>
          <w:color w:val="0000FF"/>
        </w:rPr>
        <w:tab/>
      </w:r>
      <w:r w:rsidR="00195095">
        <w:rPr>
          <w:color w:val="0000FF"/>
        </w:rPr>
        <w:t>(nn)</w:t>
      </w:r>
      <w:r w:rsidRPr="00CD2ED6">
        <w:rPr>
          <w:color w:val="0000FF"/>
        </w:rPr>
        <w:tab/>
        <w:t>subrule 4.20J(3);</w:t>
      </w:r>
    </w:p>
    <w:p w14:paraId="475865F8" w14:textId="77777777" w:rsidR="005F5224" w:rsidRPr="00CD2ED6" w:rsidRDefault="005F5224" w:rsidP="005F5224">
      <w:pPr>
        <w:pStyle w:val="paragraph"/>
        <w:rPr>
          <w:color w:val="0000FF"/>
        </w:rPr>
      </w:pPr>
      <w:r w:rsidRPr="00CD2ED6">
        <w:rPr>
          <w:color w:val="0000FF"/>
        </w:rPr>
        <w:tab/>
      </w:r>
      <w:r w:rsidR="00195095">
        <w:rPr>
          <w:color w:val="0000FF"/>
        </w:rPr>
        <w:t>(oo)</w:t>
      </w:r>
      <w:r w:rsidRPr="00CD2ED6">
        <w:rPr>
          <w:color w:val="0000FF"/>
        </w:rPr>
        <w:tab/>
        <w:t>subrule 4.20O(1);</w:t>
      </w:r>
    </w:p>
    <w:p w14:paraId="254CAC2B" w14:textId="77777777" w:rsidR="005F5224" w:rsidRPr="00CD2ED6" w:rsidRDefault="005F5224" w:rsidP="005F5224">
      <w:pPr>
        <w:pStyle w:val="paragraph"/>
        <w:rPr>
          <w:color w:val="0000FF"/>
        </w:rPr>
      </w:pPr>
      <w:r w:rsidRPr="00CD2ED6">
        <w:rPr>
          <w:color w:val="0000FF"/>
        </w:rPr>
        <w:tab/>
      </w:r>
      <w:r w:rsidR="00195095">
        <w:rPr>
          <w:color w:val="0000FF"/>
        </w:rPr>
        <w:t>(pp)</w:t>
      </w:r>
      <w:r w:rsidRPr="00CD2ED6">
        <w:rPr>
          <w:color w:val="0000FF"/>
        </w:rPr>
        <w:tab/>
        <w:t>subrule 4.20P(2);</w:t>
      </w:r>
    </w:p>
    <w:p w14:paraId="0975B5A1" w14:textId="77777777" w:rsidR="005F5224" w:rsidRPr="00CD2ED6" w:rsidRDefault="005F5224" w:rsidP="005F5224">
      <w:pPr>
        <w:pStyle w:val="paragraph"/>
        <w:rPr>
          <w:color w:val="0000FF"/>
        </w:rPr>
      </w:pPr>
      <w:r w:rsidRPr="00CD2ED6">
        <w:rPr>
          <w:color w:val="0000FF"/>
        </w:rPr>
        <w:tab/>
      </w:r>
      <w:r w:rsidR="00195095">
        <w:rPr>
          <w:color w:val="0000FF"/>
        </w:rPr>
        <w:t>(qq)</w:t>
      </w:r>
      <w:r w:rsidRPr="00CD2ED6">
        <w:rPr>
          <w:color w:val="0000FF"/>
        </w:rPr>
        <w:tab/>
        <w:t>subrule 4.20Q(2);</w:t>
      </w:r>
    </w:p>
    <w:p w14:paraId="03C5AA53" w14:textId="77777777" w:rsidR="005F5224" w:rsidRPr="00CD2ED6" w:rsidRDefault="005F5224" w:rsidP="005F5224">
      <w:pPr>
        <w:pStyle w:val="paragraph"/>
        <w:rPr>
          <w:color w:val="0000FF"/>
        </w:rPr>
      </w:pPr>
      <w:r w:rsidRPr="00CD2ED6">
        <w:rPr>
          <w:color w:val="0000FF"/>
        </w:rPr>
        <w:tab/>
      </w:r>
      <w:r w:rsidR="00195095">
        <w:rPr>
          <w:color w:val="0000FF"/>
        </w:rPr>
        <w:t>(rr)</w:t>
      </w:r>
      <w:r w:rsidRPr="00CD2ED6">
        <w:rPr>
          <w:color w:val="0000FF"/>
        </w:rPr>
        <w:tab/>
        <w:t>subrule 4.20R(2);</w:t>
      </w:r>
    </w:p>
    <w:p w14:paraId="5123D48B" w14:textId="77777777" w:rsidR="005F5224" w:rsidRPr="00CD2ED6" w:rsidRDefault="005F5224" w:rsidP="005F5224">
      <w:pPr>
        <w:pStyle w:val="paragraph"/>
        <w:rPr>
          <w:color w:val="0000FF"/>
        </w:rPr>
      </w:pPr>
      <w:r w:rsidRPr="00CD2ED6">
        <w:rPr>
          <w:color w:val="0000FF"/>
        </w:rPr>
        <w:tab/>
      </w:r>
      <w:r w:rsidR="00195095">
        <w:rPr>
          <w:color w:val="0000FF"/>
        </w:rPr>
        <w:t>(ss)</w:t>
      </w:r>
      <w:r w:rsidRPr="00CD2ED6">
        <w:rPr>
          <w:color w:val="0000FF"/>
        </w:rPr>
        <w:tab/>
        <w:t>subrule 4.20R(3);</w:t>
      </w:r>
    </w:p>
    <w:p w14:paraId="669DC0A5" w14:textId="77777777" w:rsidR="005F5224" w:rsidRPr="00CD2ED6" w:rsidRDefault="005F5224" w:rsidP="005F5224">
      <w:pPr>
        <w:pStyle w:val="paragraph"/>
        <w:rPr>
          <w:color w:val="0000FF"/>
        </w:rPr>
      </w:pPr>
      <w:r w:rsidRPr="00CD2ED6">
        <w:rPr>
          <w:color w:val="0000FF"/>
        </w:rPr>
        <w:tab/>
      </w:r>
      <w:r w:rsidR="00195095">
        <w:rPr>
          <w:color w:val="0000FF"/>
        </w:rPr>
        <w:t>(tt)</w:t>
      </w:r>
      <w:r w:rsidRPr="00CD2ED6">
        <w:rPr>
          <w:color w:val="0000FF"/>
        </w:rPr>
        <w:tab/>
        <w:t>subrule 4.20S(2);</w:t>
      </w:r>
    </w:p>
    <w:p w14:paraId="4CF46636" w14:textId="77777777" w:rsidR="005F5224" w:rsidRPr="00CD2ED6" w:rsidRDefault="005F5224" w:rsidP="005F5224">
      <w:pPr>
        <w:pStyle w:val="paragraph"/>
        <w:rPr>
          <w:color w:val="0000FF"/>
        </w:rPr>
      </w:pPr>
      <w:r w:rsidRPr="00CD2ED6">
        <w:rPr>
          <w:color w:val="0000FF"/>
        </w:rPr>
        <w:tab/>
      </w:r>
      <w:r w:rsidR="00195095">
        <w:rPr>
          <w:color w:val="0000FF"/>
        </w:rPr>
        <w:t>(uu)</w:t>
      </w:r>
      <w:r w:rsidRPr="00CD2ED6">
        <w:rPr>
          <w:color w:val="0000FF"/>
        </w:rPr>
        <w:tab/>
        <w:t>rule 4.20T;</w:t>
      </w:r>
    </w:p>
    <w:p w14:paraId="57021183" w14:textId="77777777" w:rsidR="005F5224" w:rsidRPr="00CD2ED6" w:rsidRDefault="005F5224" w:rsidP="005F5224">
      <w:pPr>
        <w:pStyle w:val="paragraph"/>
        <w:rPr>
          <w:color w:val="0000FF"/>
        </w:rPr>
      </w:pPr>
      <w:r w:rsidRPr="00CD2ED6">
        <w:rPr>
          <w:color w:val="0000FF"/>
        </w:rPr>
        <w:tab/>
      </w:r>
      <w:r w:rsidR="00195095">
        <w:rPr>
          <w:color w:val="0000FF"/>
        </w:rPr>
        <w:t>(vv)</w:t>
      </w:r>
      <w:r w:rsidRPr="00CD2ED6">
        <w:rPr>
          <w:color w:val="0000FF"/>
        </w:rPr>
        <w:tab/>
        <w:t>subrule 4.20U(2);</w:t>
      </w:r>
    </w:p>
    <w:p w14:paraId="0566BE03" w14:textId="77777777" w:rsidR="005F5224" w:rsidRPr="00CD2ED6" w:rsidRDefault="005F5224" w:rsidP="005F5224">
      <w:pPr>
        <w:pStyle w:val="paragraph"/>
        <w:rPr>
          <w:color w:val="0000FF"/>
        </w:rPr>
      </w:pPr>
      <w:r w:rsidRPr="00CD2ED6">
        <w:rPr>
          <w:color w:val="0000FF"/>
        </w:rPr>
        <w:tab/>
      </w:r>
      <w:r w:rsidR="00195095">
        <w:rPr>
          <w:color w:val="0000FF"/>
        </w:rPr>
        <w:t>(ww)</w:t>
      </w:r>
      <w:r w:rsidRPr="00CD2ED6">
        <w:rPr>
          <w:color w:val="0000FF"/>
        </w:rPr>
        <w:tab/>
        <w:t>subrule 4.22A(1)</w:t>
      </w:r>
    </w:p>
    <w:p w14:paraId="51943063" w14:textId="77777777" w:rsidR="005F5224" w:rsidRPr="00CD2ED6" w:rsidRDefault="005F5224" w:rsidP="005F5224">
      <w:pPr>
        <w:pStyle w:val="paragraph"/>
        <w:rPr>
          <w:color w:val="0000FF"/>
        </w:rPr>
      </w:pPr>
      <w:r w:rsidRPr="00CD2ED6">
        <w:rPr>
          <w:color w:val="0000FF"/>
        </w:rPr>
        <w:tab/>
      </w:r>
      <w:r w:rsidR="00195095">
        <w:rPr>
          <w:color w:val="0000FF"/>
        </w:rPr>
        <w:t>(xx)</w:t>
      </w:r>
      <w:r w:rsidRPr="00CD2ED6">
        <w:rPr>
          <w:color w:val="0000FF"/>
        </w:rPr>
        <w:tab/>
        <w:t>subrule 4.25(2);</w:t>
      </w:r>
    </w:p>
    <w:p w14:paraId="3D1121C1" w14:textId="77777777" w:rsidR="005F5224" w:rsidRPr="00CD2ED6" w:rsidRDefault="005F5224" w:rsidP="005F5224">
      <w:pPr>
        <w:pStyle w:val="paragraph"/>
        <w:rPr>
          <w:color w:val="0000FF"/>
        </w:rPr>
      </w:pPr>
      <w:r w:rsidRPr="00CD2ED6">
        <w:rPr>
          <w:color w:val="0000FF"/>
        </w:rPr>
        <w:tab/>
      </w:r>
      <w:r w:rsidR="00195095">
        <w:rPr>
          <w:color w:val="0000FF"/>
        </w:rPr>
        <w:t>(yy)</w:t>
      </w:r>
      <w:r w:rsidRPr="00CD2ED6">
        <w:rPr>
          <w:color w:val="0000FF"/>
        </w:rPr>
        <w:tab/>
        <w:t>rule 4.26A;</w:t>
      </w:r>
    </w:p>
    <w:p w14:paraId="5548B025" w14:textId="77777777" w:rsidR="005F5224" w:rsidRPr="00CD2ED6" w:rsidRDefault="005F5224" w:rsidP="005F5224">
      <w:pPr>
        <w:pStyle w:val="paragraph"/>
        <w:rPr>
          <w:color w:val="0000FF"/>
        </w:rPr>
      </w:pPr>
      <w:r w:rsidRPr="00CD2ED6">
        <w:rPr>
          <w:color w:val="0000FF"/>
        </w:rPr>
        <w:tab/>
      </w:r>
      <w:r w:rsidR="00195095">
        <w:rPr>
          <w:color w:val="0000FF"/>
        </w:rPr>
        <w:t>(zz)</w:t>
      </w:r>
      <w:r w:rsidRPr="00CD2ED6">
        <w:rPr>
          <w:color w:val="0000FF"/>
        </w:rPr>
        <w:tab/>
        <w:t>rule 4.27;</w:t>
      </w:r>
    </w:p>
    <w:p w14:paraId="609A5CC6" w14:textId="77777777" w:rsidR="005F5224" w:rsidRPr="00CD2ED6" w:rsidRDefault="005F5224" w:rsidP="005F5224">
      <w:pPr>
        <w:pStyle w:val="paragraph"/>
        <w:rPr>
          <w:color w:val="0000FF"/>
        </w:rPr>
      </w:pPr>
      <w:r w:rsidRPr="00CD2ED6">
        <w:rPr>
          <w:color w:val="0000FF"/>
        </w:rPr>
        <w:tab/>
      </w:r>
      <w:r w:rsidR="00195095">
        <w:rPr>
          <w:color w:val="0000FF"/>
        </w:rPr>
        <w:t>(aaa)</w:t>
      </w:r>
      <w:r w:rsidRPr="00CD2ED6">
        <w:rPr>
          <w:color w:val="0000FF"/>
        </w:rPr>
        <w:tab/>
        <w:t>subrule 4.28(2);</w:t>
      </w:r>
    </w:p>
    <w:p w14:paraId="1CE5EFE6" w14:textId="77777777" w:rsidR="005F5224" w:rsidRPr="00CD2ED6" w:rsidRDefault="005F5224" w:rsidP="005F5224">
      <w:pPr>
        <w:pStyle w:val="paragraph"/>
        <w:rPr>
          <w:color w:val="0000FF"/>
        </w:rPr>
      </w:pPr>
      <w:r w:rsidRPr="00CD2ED6">
        <w:rPr>
          <w:color w:val="0000FF"/>
        </w:rPr>
        <w:tab/>
      </w:r>
      <w:r w:rsidR="00195095">
        <w:rPr>
          <w:color w:val="0000FF"/>
        </w:rPr>
        <w:t>(bbb)</w:t>
      </w:r>
      <w:r w:rsidRPr="00CD2ED6">
        <w:rPr>
          <w:color w:val="0000FF"/>
        </w:rPr>
        <w:tab/>
        <w:t>subrule 4A.6(1); </w:t>
      </w:r>
    </w:p>
    <w:p w14:paraId="3C310779" w14:textId="77777777" w:rsidR="005F5224" w:rsidRPr="00CD2ED6" w:rsidRDefault="005F5224" w:rsidP="005F5224">
      <w:pPr>
        <w:pStyle w:val="paragraph"/>
        <w:rPr>
          <w:color w:val="0000FF"/>
        </w:rPr>
      </w:pPr>
      <w:r w:rsidRPr="00CD2ED6">
        <w:rPr>
          <w:color w:val="0000FF"/>
        </w:rPr>
        <w:tab/>
      </w:r>
      <w:r w:rsidR="00195095">
        <w:rPr>
          <w:color w:val="0000FF"/>
        </w:rPr>
        <w:t>(ccc)</w:t>
      </w:r>
      <w:r w:rsidRPr="00CD2ED6">
        <w:rPr>
          <w:color w:val="0000FF"/>
        </w:rPr>
        <w:tab/>
        <w:t>subrule 4A.7(3); </w:t>
      </w:r>
    </w:p>
    <w:p w14:paraId="3FF87A49" w14:textId="77777777" w:rsidR="005F5224" w:rsidRPr="00CD2ED6" w:rsidRDefault="005F5224" w:rsidP="005F5224">
      <w:pPr>
        <w:pStyle w:val="paragraph"/>
        <w:rPr>
          <w:color w:val="0000FF"/>
        </w:rPr>
      </w:pPr>
      <w:r w:rsidRPr="00CD2ED6">
        <w:rPr>
          <w:color w:val="0000FF"/>
        </w:rPr>
        <w:tab/>
      </w:r>
      <w:r w:rsidR="00195095">
        <w:rPr>
          <w:color w:val="0000FF"/>
        </w:rPr>
        <w:t>(ddd)</w:t>
      </w:r>
      <w:r w:rsidRPr="00CD2ED6">
        <w:rPr>
          <w:color w:val="0000FF"/>
        </w:rPr>
        <w:tab/>
        <w:t>subrule 4A.8(2); </w:t>
      </w:r>
    </w:p>
    <w:p w14:paraId="3A780761" w14:textId="77777777" w:rsidR="005F5224" w:rsidRPr="00CD2ED6" w:rsidRDefault="005F5224" w:rsidP="005F5224">
      <w:pPr>
        <w:pStyle w:val="paragraph"/>
        <w:rPr>
          <w:color w:val="0000FF"/>
        </w:rPr>
      </w:pPr>
      <w:r w:rsidRPr="00CD2ED6">
        <w:rPr>
          <w:color w:val="0000FF"/>
        </w:rPr>
        <w:tab/>
      </w:r>
      <w:r w:rsidR="00195095">
        <w:rPr>
          <w:color w:val="0000FF"/>
        </w:rPr>
        <w:t>(eee)</w:t>
      </w:r>
      <w:r w:rsidRPr="00CD2ED6">
        <w:rPr>
          <w:color w:val="0000FF"/>
        </w:rPr>
        <w:tab/>
        <w:t>subrule 4A.8(3); </w:t>
      </w:r>
    </w:p>
    <w:p w14:paraId="29BFEB4F" w14:textId="77777777" w:rsidR="005F5224" w:rsidRPr="00CD2ED6" w:rsidRDefault="005F5224" w:rsidP="005F5224">
      <w:pPr>
        <w:pStyle w:val="paragraph"/>
        <w:rPr>
          <w:color w:val="0000FF"/>
        </w:rPr>
      </w:pPr>
      <w:r w:rsidRPr="00CD2ED6">
        <w:rPr>
          <w:color w:val="0000FF"/>
        </w:rPr>
        <w:tab/>
      </w:r>
      <w:r w:rsidR="00195095">
        <w:rPr>
          <w:color w:val="0000FF"/>
        </w:rPr>
        <w:t>(fff)</w:t>
      </w:r>
      <w:r w:rsidRPr="00CD2ED6">
        <w:rPr>
          <w:color w:val="0000FF"/>
        </w:rPr>
        <w:tab/>
        <w:t>subrule 4A.13(1); </w:t>
      </w:r>
    </w:p>
    <w:p w14:paraId="42B2EBB9" w14:textId="77777777" w:rsidR="005F5224" w:rsidRPr="00CD2ED6" w:rsidRDefault="005F5224" w:rsidP="005F5224">
      <w:pPr>
        <w:pStyle w:val="paragraph"/>
        <w:rPr>
          <w:color w:val="0000FF"/>
        </w:rPr>
      </w:pPr>
      <w:r w:rsidRPr="00CD2ED6">
        <w:rPr>
          <w:color w:val="0000FF"/>
        </w:rPr>
        <w:tab/>
      </w:r>
      <w:r w:rsidR="00195095">
        <w:rPr>
          <w:color w:val="0000FF"/>
        </w:rPr>
        <w:t>(ggg)</w:t>
      </w:r>
      <w:r w:rsidRPr="00CD2ED6">
        <w:rPr>
          <w:color w:val="0000FF"/>
        </w:rPr>
        <w:tab/>
        <w:t>subrule 4A.14(2); </w:t>
      </w:r>
    </w:p>
    <w:p w14:paraId="6509F09F" w14:textId="77777777" w:rsidR="005F5224" w:rsidRPr="00CD2ED6" w:rsidRDefault="005F5224" w:rsidP="005F5224">
      <w:pPr>
        <w:pStyle w:val="paragraph"/>
        <w:rPr>
          <w:color w:val="0000FF"/>
        </w:rPr>
      </w:pPr>
      <w:r w:rsidRPr="00CD2ED6">
        <w:rPr>
          <w:color w:val="0000FF"/>
        </w:rPr>
        <w:tab/>
      </w:r>
      <w:r w:rsidR="00195095">
        <w:rPr>
          <w:color w:val="0000FF"/>
        </w:rPr>
        <w:t>(hhh)</w:t>
      </w:r>
      <w:r w:rsidRPr="00CD2ED6">
        <w:rPr>
          <w:color w:val="0000FF"/>
        </w:rPr>
        <w:tab/>
        <w:t>subrule 4A.14(3); </w:t>
      </w:r>
    </w:p>
    <w:p w14:paraId="4960EA7D" w14:textId="77777777" w:rsidR="005F5224" w:rsidRPr="00CD2ED6" w:rsidRDefault="005F5224" w:rsidP="005F5224">
      <w:pPr>
        <w:pStyle w:val="paragraph"/>
        <w:rPr>
          <w:color w:val="0000FF"/>
        </w:rPr>
      </w:pPr>
      <w:r w:rsidRPr="00CD2ED6">
        <w:rPr>
          <w:color w:val="0000FF"/>
        </w:rPr>
        <w:tab/>
      </w:r>
      <w:r w:rsidR="00195095">
        <w:rPr>
          <w:color w:val="0000FF"/>
        </w:rPr>
        <w:t>(iii)</w:t>
      </w:r>
      <w:r w:rsidRPr="00CD2ED6">
        <w:rPr>
          <w:color w:val="0000FF"/>
        </w:rPr>
        <w:tab/>
        <w:t>subrule 5.1B(2); </w:t>
      </w:r>
    </w:p>
    <w:p w14:paraId="26109860" w14:textId="77777777" w:rsidR="005F5224" w:rsidRPr="00CD2ED6" w:rsidRDefault="005F5224" w:rsidP="005F5224">
      <w:pPr>
        <w:pStyle w:val="paragraph"/>
        <w:rPr>
          <w:color w:val="0000FF"/>
        </w:rPr>
      </w:pPr>
      <w:r w:rsidRPr="00CD2ED6">
        <w:rPr>
          <w:color w:val="0000FF"/>
        </w:rPr>
        <w:tab/>
      </w:r>
      <w:r w:rsidR="00195095">
        <w:rPr>
          <w:color w:val="0000FF"/>
        </w:rPr>
        <w:t>(jjj)</w:t>
      </w:r>
      <w:r w:rsidRPr="00CD2ED6">
        <w:rPr>
          <w:color w:val="0000FF"/>
        </w:rPr>
        <w:tab/>
        <w:t>subrule 5.1B(3); </w:t>
      </w:r>
    </w:p>
    <w:p w14:paraId="65B261FB" w14:textId="77777777" w:rsidR="005F5224" w:rsidRPr="00CD2ED6" w:rsidRDefault="005F5224" w:rsidP="005F5224">
      <w:pPr>
        <w:pStyle w:val="paragraph"/>
        <w:rPr>
          <w:color w:val="0000FF"/>
        </w:rPr>
      </w:pPr>
      <w:r w:rsidRPr="00CD2ED6">
        <w:rPr>
          <w:color w:val="0000FF"/>
        </w:rPr>
        <w:tab/>
      </w:r>
      <w:r w:rsidR="00195095">
        <w:rPr>
          <w:color w:val="0000FF"/>
        </w:rPr>
        <w:t>(kkk)</w:t>
      </w:r>
      <w:r w:rsidRPr="00CD2ED6">
        <w:rPr>
          <w:color w:val="0000FF"/>
        </w:rPr>
        <w:tab/>
        <w:t>subrule 5.1B(4); </w:t>
      </w:r>
    </w:p>
    <w:p w14:paraId="0765C27D" w14:textId="77777777" w:rsidR="005F5224" w:rsidRPr="00CD2ED6" w:rsidRDefault="005F5224" w:rsidP="005F5224">
      <w:pPr>
        <w:pStyle w:val="paragraph"/>
        <w:rPr>
          <w:color w:val="0000FF"/>
        </w:rPr>
      </w:pPr>
      <w:r w:rsidRPr="00CD2ED6">
        <w:rPr>
          <w:color w:val="0000FF"/>
        </w:rPr>
        <w:tab/>
      </w:r>
      <w:r w:rsidR="00195095">
        <w:rPr>
          <w:color w:val="0000FF"/>
        </w:rPr>
        <w:t>(lll)</w:t>
      </w:r>
      <w:r w:rsidRPr="00CD2ED6">
        <w:rPr>
          <w:color w:val="0000FF"/>
        </w:rPr>
        <w:tab/>
        <w:t>subrule 5.1B(5); </w:t>
      </w:r>
    </w:p>
    <w:p w14:paraId="65E2E2E4" w14:textId="77777777" w:rsidR="005F5224" w:rsidRPr="00CD2ED6" w:rsidRDefault="005F5224" w:rsidP="005F5224">
      <w:pPr>
        <w:pStyle w:val="paragraph"/>
        <w:rPr>
          <w:color w:val="0000FF"/>
        </w:rPr>
      </w:pPr>
      <w:r w:rsidRPr="00CD2ED6">
        <w:rPr>
          <w:color w:val="0000FF"/>
        </w:rPr>
        <w:tab/>
      </w:r>
      <w:r w:rsidR="00195095">
        <w:rPr>
          <w:color w:val="0000FF"/>
        </w:rPr>
        <w:t>(mmm)</w:t>
      </w:r>
      <w:r w:rsidRPr="00CD2ED6">
        <w:rPr>
          <w:color w:val="0000FF"/>
        </w:rPr>
        <w:tab/>
        <w:t>subrule 5.12(1);</w:t>
      </w:r>
    </w:p>
    <w:p w14:paraId="4C27287B" w14:textId="77777777" w:rsidR="005F5224" w:rsidRPr="00CD2ED6" w:rsidRDefault="005F5224" w:rsidP="005F5224">
      <w:pPr>
        <w:pStyle w:val="paragraph"/>
        <w:rPr>
          <w:color w:val="0000FF"/>
        </w:rPr>
      </w:pPr>
      <w:r w:rsidRPr="00CD2ED6">
        <w:rPr>
          <w:color w:val="0000FF"/>
        </w:rPr>
        <w:tab/>
      </w:r>
      <w:r w:rsidR="00195095">
        <w:rPr>
          <w:color w:val="0000FF"/>
        </w:rPr>
        <w:t>(nnn)</w:t>
      </w:r>
      <w:r w:rsidRPr="00CD2ED6">
        <w:rPr>
          <w:color w:val="0000FF"/>
        </w:rPr>
        <w:tab/>
        <w:t>rule 5.13;</w:t>
      </w:r>
    </w:p>
    <w:p w14:paraId="1548E6DB" w14:textId="77777777" w:rsidR="005F5224" w:rsidRPr="00CD2ED6" w:rsidRDefault="005F5224" w:rsidP="005F5224">
      <w:pPr>
        <w:pStyle w:val="paragraph"/>
        <w:rPr>
          <w:color w:val="0000FF"/>
        </w:rPr>
      </w:pPr>
      <w:r w:rsidRPr="00CD2ED6">
        <w:rPr>
          <w:color w:val="0000FF"/>
        </w:rPr>
        <w:tab/>
      </w:r>
      <w:r w:rsidR="00195095">
        <w:rPr>
          <w:color w:val="0000FF"/>
        </w:rPr>
        <w:t>(ooo)</w:t>
      </w:r>
      <w:r w:rsidRPr="00CD2ED6">
        <w:rPr>
          <w:color w:val="0000FF"/>
        </w:rPr>
        <w:tab/>
        <w:t>subrule 5.14(1);</w:t>
      </w:r>
    </w:p>
    <w:p w14:paraId="28CD0FD0" w14:textId="77777777" w:rsidR="005F5224" w:rsidRPr="00CD2ED6" w:rsidRDefault="005F5224" w:rsidP="005F5224">
      <w:pPr>
        <w:pStyle w:val="paragraph"/>
        <w:rPr>
          <w:color w:val="0000FF"/>
        </w:rPr>
      </w:pPr>
      <w:r w:rsidRPr="00CD2ED6">
        <w:rPr>
          <w:color w:val="0000FF"/>
        </w:rPr>
        <w:tab/>
      </w:r>
      <w:r w:rsidR="00195095">
        <w:rPr>
          <w:color w:val="0000FF"/>
        </w:rPr>
        <w:t>(ppp)</w:t>
      </w:r>
      <w:r w:rsidRPr="00CD2ED6">
        <w:rPr>
          <w:color w:val="0000FF"/>
        </w:rPr>
        <w:tab/>
        <w:t>subrule 5.23(2);</w:t>
      </w:r>
    </w:p>
    <w:p w14:paraId="5DE47780" w14:textId="77777777" w:rsidR="005F5224" w:rsidRPr="00CD2ED6" w:rsidRDefault="005F5224" w:rsidP="005F5224">
      <w:pPr>
        <w:pStyle w:val="paragraph"/>
        <w:rPr>
          <w:color w:val="0000FF"/>
        </w:rPr>
      </w:pPr>
      <w:r w:rsidRPr="00CD2ED6">
        <w:rPr>
          <w:color w:val="0000FF"/>
        </w:rPr>
        <w:tab/>
      </w:r>
      <w:r w:rsidR="00195095">
        <w:rPr>
          <w:color w:val="0000FF"/>
        </w:rPr>
        <w:t>(qqq)</w:t>
      </w:r>
      <w:r w:rsidRPr="00CD2ED6">
        <w:rPr>
          <w:color w:val="0000FF"/>
        </w:rPr>
        <w:tab/>
        <w:t>subrule 5.23(3);</w:t>
      </w:r>
    </w:p>
    <w:p w14:paraId="20C95AA5" w14:textId="77777777" w:rsidR="005F5224" w:rsidRPr="00CD2ED6" w:rsidRDefault="005F5224" w:rsidP="005F5224">
      <w:pPr>
        <w:pStyle w:val="paragraph"/>
        <w:rPr>
          <w:color w:val="0000FF"/>
        </w:rPr>
      </w:pPr>
      <w:r w:rsidRPr="00CD2ED6">
        <w:rPr>
          <w:color w:val="0000FF"/>
        </w:rPr>
        <w:tab/>
      </w:r>
      <w:r w:rsidR="00195095">
        <w:rPr>
          <w:color w:val="0000FF"/>
        </w:rPr>
        <w:t>(rrr)</w:t>
      </w:r>
      <w:r w:rsidRPr="00CD2ED6">
        <w:rPr>
          <w:color w:val="0000FF"/>
        </w:rPr>
        <w:tab/>
        <w:t xml:space="preserve">subrule 5.23(4); </w:t>
      </w:r>
    </w:p>
    <w:p w14:paraId="67A72A0E" w14:textId="77777777" w:rsidR="005F5224" w:rsidRPr="00CD2ED6" w:rsidRDefault="005F5224" w:rsidP="005F5224">
      <w:pPr>
        <w:pStyle w:val="paragraph"/>
        <w:rPr>
          <w:color w:val="0000FF"/>
        </w:rPr>
      </w:pPr>
      <w:r w:rsidRPr="00CD2ED6">
        <w:rPr>
          <w:color w:val="0000FF"/>
        </w:rPr>
        <w:tab/>
      </w:r>
      <w:r w:rsidR="00195095">
        <w:rPr>
          <w:color w:val="0000FF"/>
        </w:rPr>
        <w:t>(sss)</w:t>
      </w:r>
      <w:r w:rsidRPr="00CD2ED6">
        <w:rPr>
          <w:color w:val="0000FF"/>
        </w:rPr>
        <w:tab/>
        <w:t>subrule 5.31(2);</w:t>
      </w:r>
    </w:p>
    <w:p w14:paraId="13054B2F" w14:textId="77777777" w:rsidR="005F5224" w:rsidRPr="00CD2ED6" w:rsidRDefault="005F5224" w:rsidP="005F5224">
      <w:pPr>
        <w:pStyle w:val="paragraph"/>
        <w:rPr>
          <w:color w:val="0000FF"/>
        </w:rPr>
      </w:pPr>
      <w:r w:rsidRPr="00CD2ED6">
        <w:rPr>
          <w:color w:val="0000FF"/>
        </w:rPr>
        <w:tab/>
      </w:r>
      <w:r w:rsidR="00195095">
        <w:rPr>
          <w:color w:val="0000FF"/>
        </w:rPr>
        <w:t>(ttt)</w:t>
      </w:r>
      <w:r w:rsidRPr="00CD2ED6">
        <w:rPr>
          <w:color w:val="0000FF"/>
        </w:rPr>
        <w:tab/>
        <w:t>rule 6.1;</w:t>
      </w:r>
    </w:p>
    <w:p w14:paraId="4D21F35C" w14:textId="77777777" w:rsidR="005F5224" w:rsidRPr="00CD2ED6" w:rsidRDefault="005F5224" w:rsidP="005F5224">
      <w:pPr>
        <w:pStyle w:val="paragraph"/>
        <w:rPr>
          <w:color w:val="0000FF"/>
        </w:rPr>
      </w:pPr>
      <w:r w:rsidRPr="00CD2ED6">
        <w:rPr>
          <w:color w:val="0000FF"/>
        </w:rPr>
        <w:tab/>
      </w:r>
      <w:r w:rsidR="00195095">
        <w:rPr>
          <w:color w:val="0000FF"/>
        </w:rPr>
        <w:t>(uuu)</w:t>
      </w:r>
      <w:r w:rsidRPr="00CD2ED6">
        <w:rPr>
          <w:color w:val="0000FF"/>
        </w:rPr>
        <w:tab/>
        <w:t>rule 6.2;</w:t>
      </w:r>
    </w:p>
    <w:p w14:paraId="2A81ED7C" w14:textId="77777777" w:rsidR="005F5224" w:rsidRPr="00CD2ED6" w:rsidRDefault="005F5224" w:rsidP="005F5224">
      <w:pPr>
        <w:pStyle w:val="paragraph"/>
        <w:rPr>
          <w:color w:val="0000FF"/>
        </w:rPr>
      </w:pPr>
      <w:r w:rsidRPr="00CD2ED6">
        <w:rPr>
          <w:color w:val="0000FF"/>
        </w:rPr>
        <w:tab/>
      </w:r>
      <w:r w:rsidR="00195095">
        <w:rPr>
          <w:color w:val="0000FF"/>
        </w:rPr>
        <w:t>(vvv)</w:t>
      </w:r>
      <w:r w:rsidRPr="00CD2ED6">
        <w:rPr>
          <w:color w:val="0000FF"/>
        </w:rPr>
        <w:tab/>
        <w:t>subrule 7.2(4);</w:t>
      </w:r>
    </w:p>
    <w:p w14:paraId="55807873" w14:textId="77777777" w:rsidR="005F5224" w:rsidRPr="00CD2ED6" w:rsidRDefault="005F5224" w:rsidP="005F5224">
      <w:pPr>
        <w:pStyle w:val="paragraph"/>
        <w:rPr>
          <w:color w:val="0000FF"/>
        </w:rPr>
      </w:pPr>
      <w:r w:rsidRPr="00CD2ED6">
        <w:rPr>
          <w:color w:val="0000FF"/>
        </w:rPr>
        <w:tab/>
      </w:r>
      <w:r w:rsidR="00195095">
        <w:rPr>
          <w:color w:val="0000FF"/>
        </w:rPr>
        <w:t>(www)</w:t>
      </w:r>
      <w:r w:rsidRPr="00CD2ED6">
        <w:rPr>
          <w:color w:val="0000FF"/>
        </w:rPr>
        <w:tab/>
        <w:t>subrule 7.2(6);</w:t>
      </w:r>
    </w:p>
    <w:p w14:paraId="3C99BBC7" w14:textId="77777777" w:rsidR="005F5224" w:rsidRPr="00CD2ED6" w:rsidRDefault="005F5224" w:rsidP="005F5224">
      <w:pPr>
        <w:pStyle w:val="paragraph"/>
        <w:rPr>
          <w:color w:val="0000FF"/>
        </w:rPr>
      </w:pPr>
      <w:r w:rsidRPr="00CD2ED6">
        <w:rPr>
          <w:color w:val="0000FF"/>
        </w:rPr>
        <w:tab/>
      </w:r>
      <w:r w:rsidR="00195095">
        <w:rPr>
          <w:color w:val="0000FF"/>
        </w:rPr>
        <w:t>(xxx)</w:t>
      </w:r>
      <w:r w:rsidRPr="00CD2ED6">
        <w:rPr>
          <w:color w:val="0000FF"/>
        </w:rPr>
        <w:tab/>
        <w:t>subrule 7.2(7);</w:t>
      </w:r>
    </w:p>
    <w:p w14:paraId="70C59FA0" w14:textId="77777777" w:rsidR="005F5224" w:rsidRPr="00CD2ED6" w:rsidRDefault="005F5224" w:rsidP="005F5224">
      <w:pPr>
        <w:pStyle w:val="paragraph"/>
        <w:rPr>
          <w:color w:val="0000FF"/>
        </w:rPr>
      </w:pPr>
      <w:r w:rsidRPr="00CD2ED6">
        <w:rPr>
          <w:color w:val="0000FF"/>
        </w:rPr>
        <w:tab/>
      </w:r>
      <w:r w:rsidR="00195095">
        <w:rPr>
          <w:color w:val="0000FF"/>
        </w:rPr>
        <w:t>(yyy)</w:t>
      </w:r>
      <w:r w:rsidRPr="00CD2ED6">
        <w:rPr>
          <w:color w:val="0000FF"/>
        </w:rPr>
        <w:tab/>
        <w:t>subrule 7.2(8);</w:t>
      </w:r>
    </w:p>
    <w:p w14:paraId="6889B143" w14:textId="77777777" w:rsidR="005F5224" w:rsidRPr="00CD2ED6" w:rsidRDefault="005F5224" w:rsidP="005F5224">
      <w:pPr>
        <w:pStyle w:val="paragraph"/>
        <w:rPr>
          <w:color w:val="0000FF"/>
        </w:rPr>
      </w:pPr>
      <w:r w:rsidRPr="00CD2ED6">
        <w:rPr>
          <w:color w:val="0000FF"/>
        </w:rPr>
        <w:tab/>
      </w:r>
      <w:r w:rsidR="00195095">
        <w:rPr>
          <w:color w:val="0000FF"/>
        </w:rPr>
        <w:t>(zzz)</w:t>
      </w:r>
      <w:r w:rsidRPr="00CD2ED6">
        <w:rPr>
          <w:color w:val="0000FF"/>
        </w:rPr>
        <w:tab/>
        <w:t>subrule 7.2(9);</w:t>
      </w:r>
    </w:p>
    <w:p w14:paraId="0562462A" w14:textId="77777777" w:rsidR="005F5224" w:rsidRPr="00CD2ED6" w:rsidRDefault="005F5224" w:rsidP="005F5224">
      <w:pPr>
        <w:pStyle w:val="paragraph"/>
        <w:rPr>
          <w:color w:val="0000FF"/>
        </w:rPr>
      </w:pPr>
      <w:r w:rsidRPr="00CD2ED6">
        <w:rPr>
          <w:color w:val="0000FF"/>
        </w:rPr>
        <w:tab/>
      </w:r>
      <w:r w:rsidR="00195095">
        <w:rPr>
          <w:color w:val="0000FF"/>
        </w:rPr>
        <w:t>(aaaa)</w:t>
      </w:r>
      <w:r w:rsidRPr="00CD2ED6">
        <w:rPr>
          <w:color w:val="0000FF"/>
        </w:rPr>
        <w:tab/>
        <w:t>subrule 7.3(2); </w:t>
      </w:r>
    </w:p>
    <w:p w14:paraId="262A5F2C" w14:textId="77777777" w:rsidR="005F5224" w:rsidRPr="00CD2ED6" w:rsidRDefault="005F5224" w:rsidP="005F5224">
      <w:pPr>
        <w:pStyle w:val="paragraph"/>
        <w:rPr>
          <w:color w:val="0000FF"/>
        </w:rPr>
      </w:pPr>
      <w:r w:rsidRPr="00CD2ED6">
        <w:rPr>
          <w:color w:val="0000FF"/>
        </w:rPr>
        <w:lastRenderedPageBreak/>
        <w:tab/>
      </w:r>
      <w:r w:rsidR="00195095">
        <w:rPr>
          <w:color w:val="0000FF"/>
        </w:rPr>
        <w:t>(bbbb)</w:t>
      </w:r>
      <w:r w:rsidRPr="00CD2ED6">
        <w:rPr>
          <w:color w:val="0000FF"/>
        </w:rPr>
        <w:tab/>
        <w:t>subrule 7.3A(1); </w:t>
      </w:r>
    </w:p>
    <w:p w14:paraId="4291F160" w14:textId="77777777" w:rsidR="005F5224" w:rsidRPr="00CD2ED6" w:rsidRDefault="005F5224" w:rsidP="005F5224">
      <w:pPr>
        <w:pStyle w:val="paragraph"/>
        <w:rPr>
          <w:color w:val="0000FF"/>
        </w:rPr>
      </w:pPr>
      <w:r w:rsidRPr="00CD2ED6">
        <w:rPr>
          <w:color w:val="0000FF"/>
        </w:rPr>
        <w:tab/>
      </w:r>
      <w:r w:rsidR="00195095">
        <w:rPr>
          <w:color w:val="0000FF"/>
        </w:rPr>
        <w:t>(cccc)</w:t>
      </w:r>
      <w:r w:rsidRPr="00CD2ED6">
        <w:rPr>
          <w:color w:val="0000FF"/>
        </w:rPr>
        <w:tab/>
        <w:t>oooa)</w:t>
      </w:r>
      <w:r w:rsidRPr="00CD2ED6">
        <w:rPr>
          <w:color w:val="0000FF"/>
        </w:rPr>
        <w:tab/>
        <w:t>subrule 7.3B(1); </w:t>
      </w:r>
    </w:p>
    <w:p w14:paraId="73E5DA45" w14:textId="77777777" w:rsidR="005F5224" w:rsidRPr="00CD2ED6" w:rsidRDefault="005F5224" w:rsidP="005F5224">
      <w:pPr>
        <w:pStyle w:val="paragraph"/>
        <w:rPr>
          <w:color w:val="0000FF"/>
        </w:rPr>
      </w:pPr>
      <w:r w:rsidRPr="00CD2ED6">
        <w:rPr>
          <w:color w:val="0000FF"/>
        </w:rPr>
        <w:tab/>
      </w:r>
      <w:r w:rsidR="00195095">
        <w:rPr>
          <w:color w:val="0000FF"/>
        </w:rPr>
        <w:t>(dddd)</w:t>
      </w:r>
      <w:r w:rsidRPr="00CD2ED6">
        <w:rPr>
          <w:color w:val="0000FF"/>
        </w:rPr>
        <w:tab/>
        <w:t>subrule 7.6(1);</w:t>
      </w:r>
    </w:p>
    <w:p w14:paraId="53F38692" w14:textId="77777777" w:rsidR="005F5224" w:rsidRPr="00CD2ED6" w:rsidRDefault="005F5224" w:rsidP="005F5224">
      <w:pPr>
        <w:pStyle w:val="paragraph"/>
        <w:rPr>
          <w:color w:val="0000FF"/>
        </w:rPr>
      </w:pPr>
      <w:r w:rsidRPr="00CD2ED6">
        <w:rPr>
          <w:color w:val="0000FF"/>
        </w:rPr>
        <w:tab/>
      </w:r>
      <w:r w:rsidR="00195095">
        <w:rPr>
          <w:color w:val="0000FF"/>
        </w:rPr>
        <w:t>(eeee)</w:t>
      </w:r>
      <w:r w:rsidRPr="00CD2ED6">
        <w:rPr>
          <w:color w:val="0000FF"/>
        </w:rPr>
        <w:tab/>
        <w:t>subrule 7.8A(1); </w:t>
      </w:r>
    </w:p>
    <w:p w14:paraId="407E7278" w14:textId="77777777" w:rsidR="005F5224" w:rsidRPr="00CD2ED6" w:rsidRDefault="005F5224" w:rsidP="005F5224">
      <w:pPr>
        <w:pStyle w:val="paragraph"/>
        <w:rPr>
          <w:color w:val="0000FF"/>
        </w:rPr>
      </w:pPr>
      <w:r w:rsidRPr="00CD2ED6">
        <w:rPr>
          <w:color w:val="0000FF"/>
        </w:rPr>
        <w:tab/>
      </w:r>
      <w:r w:rsidR="00195095">
        <w:rPr>
          <w:color w:val="0000FF"/>
        </w:rPr>
        <w:t>(ffff)</w:t>
      </w:r>
      <w:r w:rsidRPr="00CD2ED6">
        <w:rPr>
          <w:color w:val="0000FF"/>
        </w:rPr>
        <w:tab/>
        <w:t>subrule 7.8A(2); </w:t>
      </w:r>
    </w:p>
    <w:p w14:paraId="4DFA40DB" w14:textId="77777777" w:rsidR="005F5224" w:rsidRPr="00CD2ED6" w:rsidRDefault="005F5224" w:rsidP="005F5224">
      <w:pPr>
        <w:pStyle w:val="paragraph"/>
        <w:rPr>
          <w:color w:val="0000FF"/>
        </w:rPr>
      </w:pPr>
      <w:r w:rsidRPr="00CD2ED6">
        <w:rPr>
          <w:color w:val="0000FF"/>
        </w:rPr>
        <w:tab/>
      </w:r>
      <w:r w:rsidR="00195095">
        <w:rPr>
          <w:color w:val="0000FF"/>
        </w:rPr>
        <w:t>(gggg)</w:t>
      </w:r>
      <w:r w:rsidRPr="00CD2ED6">
        <w:rPr>
          <w:color w:val="0000FF"/>
        </w:rPr>
        <w:tab/>
        <w:t>rrra)</w:t>
      </w:r>
      <w:r w:rsidRPr="00CD2ED6">
        <w:rPr>
          <w:color w:val="0000FF"/>
        </w:rPr>
        <w:tab/>
        <w:t>subrule 7.8B(1); </w:t>
      </w:r>
    </w:p>
    <w:p w14:paraId="1496F48B" w14:textId="77777777" w:rsidR="005F5224" w:rsidRPr="00CD2ED6" w:rsidRDefault="005F5224" w:rsidP="005F5224">
      <w:pPr>
        <w:pStyle w:val="paragraph"/>
        <w:rPr>
          <w:color w:val="0000FF"/>
        </w:rPr>
      </w:pPr>
      <w:r w:rsidRPr="00CD2ED6">
        <w:rPr>
          <w:color w:val="0000FF"/>
        </w:rPr>
        <w:tab/>
      </w:r>
      <w:r w:rsidR="00195095">
        <w:rPr>
          <w:color w:val="0000FF"/>
        </w:rPr>
        <w:t>(hhhh)</w:t>
      </w:r>
      <w:r w:rsidRPr="00CD2ED6">
        <w:rPr>
          <w:color w:val="0000FF"/>
        </w:rPr>
        <w:tab/>
        <w:t>rrrb)</w:t>
      </w:r>
      <w:r w:rsidRPr="00CD2ED6">
        <w:rPr>
          <w:color w:val="0000FF"/>
        </w:rPr>
        <w:tab/>
        <w:t>subrule 7.8B(2); </w:t>
      </w:r>
    </w:p>
    <w:p w14:paraId="7E3029F2" w14:textId="77777777" w:rsidR="005F5224" w:rsidRPr="00CD2ED6" w:rsidRDefault="005F5224" w:rsidP="005F5224">
      <w:pPr>
        <w:pStyle w:val="paragraph"/>
        <w:rPr>
          <w:color w:val="0000FF"/>
        </w:rPr>
      </w:pPr>
      <w:r w:rsidRPr="00CD2ED6">
        <w:rPr>
          <w:color w:val="0000FF"/>
        </w:rPr>
        <w:tab/>
      </w:r>
      <w:r w:rsidR="00195095">
        <w:rPr>
          <w:color w:val="0000FF"/>
        </w:rPr>
        <w:t>(iiii)</w:t>
      </w:r>
      <w:r w:rsidRPr="00CD2ED6">
        <w:rPr>
          <w:color w:val="0000FF"/>
        </w:rPr>
        <w:tab/>
        <w:t>subrule 7.10A(1); </w:t>
      </w:r>
    </w:p>
    <w:p w14:paraId="18C624A0" w14:textId="77777777" w:rsidR="005F5224" w:rsidRPr="00CD2ED6" w:rsidRDefault="005F5224" w:rsidP="005F5224">
      <w:pPr>
        <w:pStyle w:val="paragraph"/>
        <w:rPr>
          <w:color w:val="0000FF"/>
        </w:rPr>
      </w:pPr>
      <w:r w:rsidRPr="00CD2ED6">
        <w:rPr>
          <w:color w:val="0000FF"/>
        </w:rPr>
        <w:tab/>
      </w:r>
      <w:r w:rsidR="00195095">
        <w:rPr>
          <w:color w:val="0000FF"/>
        </w:rPr>
        <w:t>(jjjj)</w:t>
      </w:r>
      <w:r w:rsidRPr="00CD2ED6">
        <w:rPr>
          <w:color w:val="0000FF"/>
        </w:rPr>
        <w:tab/>
        <w:t>subrule 7.10A(1); </w:t>
      </w:r>
    </w:p>
    <w:p w14:paraId="0477BD69" w14:textId="77777777" w:rsidR="005F5224" w:rsidRPr="00CD2ED6" w:rsidRDefault="005F5224" w:rsidP="005F5224">
      <w:pPr>
        <w:pStyle w:val="paragraph"/>
        <w:rPr>
          <w:color w:val="0000FF"/>
        </w:rPr>
      </w:pPr>
      <w:r w:rsidRPr="00CD2ED6">
        <w:rPr>
          <w:color w:val="0000FF"/>
        </w:rPr>
        <w:tab/>
      </w:r>
      <w:r w:rsidR="00195095">
        <w:rPr>
          <w:color w:val="0000FF"/>
        </w:rPr>
        <w:t>(kkkk)</w:t>
      </w:r>
      <w:r w:rsidRPr="00CD2ED6">
        <w:rPr>
          <w:color w:val="0000FF"/>
        </w:rPr>
        <w:tab/>
        <w:t>subrule 7.14(1);</w:t>
      </w:r>
    </w:p>
    <w:p w14:paraId="00AA09DD" w14:textId="77777777" w:rsidR="005F5224" w:rsidRPr="00CD2ED6" w:rsidRDefault="005F5224" w:rsidP="005F5224">
      <w:pPr>
        <w:pStyle w:val="paragraph"/>
        <w:rPr>
          <w:color w:val="0000FF"/>
        </w:rPr>
      </w:pPr>
      <w:r w:rsidRPr="00CD2ED6">
        <w:rPr>
          <w:color w:val="0000FF"/>
        </w:rPr>
        <w:tab/>
      </w:r>
      <w:r w:rsidR="00195095">
        <w:rPr>
          <w:color w:val="0000FF"/>
        </w:rPr>
        <w:t>(llll)</w:t>
      </w:r>
      <w:r w:rsidRPr="00CD2ED6">
        <w:rPr>
          <w:color w:val="0000FF"/>
        </w:rPr>
        <w:tab/>
        <w:t>subrule 7.14(2);</w:t>
      </w:r>
    </w:p>
    <w:p w14:paraId="164916EA" w14:textId="77777777" w:rsidR="005F5224" w:rsidRPr="00CD2ED6" w:rsidRDefault="005F5224" w:rsidP="005F5224">
      <w:pPr>
        <w:pStyle w:val="paragraph"/>
        <w:rPr>
          <w:color w:val="0000FF"/>
        </w:rPr>
      </w:pPr>
      <w:r w:rsidRPr="00CD2ED6">
        <w:rPr>
          <w:color w:val="0000FF"/>
        </w:rPr>
        <w:tab/>
      </w:r>
      <w:r w:rsidR="00195095">
        <w:rPr>
          <w:color w:val="0000FF"/>
        </w:rPr>
        <w:t>(mmmm)</w:t>
      </w:r>
      <w:r w:rsidRPr="00CD2ED6">
        <w:rPr>
          <w:color w:val="0000FF"/>
        </w:rPr>
        <w:tab/>
        <w:t>subrule 7.16(1); </w:t>
      </w:r>
    </w:p>
    <w:p w14:paraId="0D00C842" w14:textId="77777777" w:rsidR="005F5224" w:rsidRPr="00CD2ED6" w:rsidRDefault="005F5224" w:rsidP="005F5224">
      <w:pPr>
        <w:pStyle w:val="paragraph"/>
        <w:rPr>
          <w:color w:val="0000FF"/>
        </w:rPr>
      </w:pPr>
      <w:r w:rsidRPr="00CD2ED6">
        <w:rPr>
          <w:color w:val="0000FF"/>
        </w:rPr>
        <w:tab/>
      </w:r>
      <w:r w:rsidR="00195095">
        <w:rPr>
          <w:color w:val="0000FF"/>
        </w:rPr>
        <w:t>(nnnn)</w:t>
      </w:r>
      <w:r w:rsidRPr="00CD2ED6">
        <w:rPr>
          <w:color w:val="0000FF"/>
        </w:rPr>
        <w:tab/>
        <w:t>subrule 9.6(4);</w:t>
      </w:r>
    </w:p>
    <w:p w14:paraId="720F4242" w14:textId="77777777" w:rsidR="005F5224" w:rsidRPr="00CD2ED6" w:rsidRDefault="005F5224" w:rsidP="005F5224">
      <w:pPr>
        <w:pStyle w:val="paragraph"/>
        <w:rPr>
          <w:color w:val="0000FF"/>
        </w:rPr>
      </w:pPr>
      <w:r w:rsidRPr="00CD2ED6">
        <w:rPr>
          <w:color w:val="0000FF"/>
        </w:rPr>
        <w:tab/>
      </w:r>
      <w:r w:rsidR="00195095">
        <w:rPr>
          <w:color w:val="0000FF"/>
        </w:rPr>
        <w:t>(oooo)</w:t>
      </w:r>
      <w:r w:rsidRPr="00CD2ED6">
        <w:rPr>
          <w:color w:val="0000FF"/>
        </w:rPr>
        <w:tab/>
        <w:t>subrule 9.7(3).</w:t>
      </w:r>
    </w:p>
    <w:p w14:paraId="4E6DE1F6" w14:textId="77777777" w:rsidR="005F5224" w:rsidRPr="00CD2ED6" w:rsidRDefault="005F5224" w:rsidP="005F5224">
      <w:pPr>
        <w:pStyle w:val="notetext"/>
        <w:rPr>
          <w:color w:val="0000FF"/>
        </w:rPr>
      </w:pPr>
      <w:r w:rsidRPr="00CD2ED6">
        <w:rPr>
          <w:color w:val="0000FF"/>
        </w:rPr>
        <w:t>Note:</w:t>
      </w:r>
      <w:r w:rsidRPr="00CD2ED6">
        <w:rPr>
          <w:color w:val="0000FF"/>
        </w:rPr>
        <w:tab/>
      </w:r>
      <w:r w:rsidRPr="00CD2ED6">
        <w:rPr>
          <w:bCs/>
          <w:color w:val="0000FF"/>
          <w:lang w:val="en-US"/>
        </w:rPr>
        <w:t xml:space="preserve">Subrules </w:t>
      </w:r>
      <w:r w:rsidRPr="00CD2ED6">
        <w:rPr>
          <w:color w:val="0000FF"/>
        </w:rPr>
        <w:t xml:space="preserve">2.5(2), 3.5(2), 4.7(3), 5.25(3), 5.25(5), 5.34(4), </w:t>
      </w:r>
      <w:r w:rsidRPr="00CD2ED6">
        <w:rPr>
          <w:bCs/>
          <w:color w:val="0000FF"/>
          <w:lang w:val="en-US"/>
        </w:rPr>
        <w:t>9.3(1), 9.3(2), 9.3(2A), 9.3(5), 9.4(1) ), 9.4(1A), 9.4</w:t>
      </w:r>
      <w:r w:rsidRPr="00CD2ED6">
        <w:rPr>
          <w:color w:val="0000FF"/>
        </w:rPr>
        <w:t>(2)</w:t>
      </w:r>
      <w:r w:rsidRPr="00CD2ED6">
        <w:rPr>
          <w:bCs/>
          <w:color w:val="0000FF"/>
          <w:lang w:val="en-US"/>
        </w:rPr>
        <w:t xml:space="preserve"> 9.4</w:t>
      </w:r>
      <w:r w:rsidRPr="00CD2ED6">
        <w:rPr>
          <w:color w:val="0000FF"/>
        </w:rPr>
        <w:t>(2A)</w:t>
      </w:r>
      <w:r w:rsidRPr="00CD2ED6">
        <w:rPr>
          <w:bCs/>
          <w:color w:val="0000FF"/>
          <w:lang w:val="en-US"/>
        </w:rPr>
        <w:t xml:space="preserve">, 9.4(3), 9.5(4), 9.5(5) and 9.5(6) are also civil penalty provisions within the meaning of the Regulatory Powers Act. </w:t>
      </w:r>
    </w:p>
    <w:p w14:paraId="688285E3" w14:textId="77777777" w:rsidR="00BB7660" w:rsidRPr="005F5224" w:rsidRDefault="00BB7660" w:rsidP="00BB7660">
      <w:pPr>
        <w:pStyle w:val="ActHead5"/>
        <w:rPr>
          <w:strike/>
          <w:color w:val="0000FF"/>
        </w:rPr>
      </w:pPr>
      <w:bookmarkStart w:id="624" w:name="_Toc111132244"/>
      <w:r w:rsidRPr="005F5224">
        <w:rPr>
          <w:strike/>
          <w:color w:val="0000FF"/>
        </w:rPr>
        <w:t>9.8  Civil penalty provisions</w:t>
      </w:r>
      <w:bookmarkEnd w:id="624"/>
    </w:p>
    <w:bookmarkEnd w:id="623"/>
    <w:p w14:paraId="72574867" w14:textId="77777777" w:rsidR="00BB7660" w:rsidRPr="005F5224" w:rsidRDefault="00BB7660" w:rsidP="00BB7660">
      <w:pPr>
        <w:pStyle w:val="subsection"/>
        <w:rPr>
          <w:strike/>
          <w:color w:val="0000FF"/>
        </w:rPr>
      </w:pPr>
      <w:r w:rsidRPr="005F5224">
        <w:rPr>
          <w:strike/>
          <w:color w:val="0000FF"/>
        </w:rPr>
        <w:tab/>
      </w:r>
      <w:r w:rsidRPr="005F5224">
        <w:rPr>
          <w:strike/>
          <w:color w:val="0000FF"/>
        </w:rPr>
        <w:tab/>
        <w:t>For section 56BL of the Act, the following provisions of these rules are civil penalty provisions (within the meaning of the Regulatory Powers Act):</w:t>
      </w:r>
    </w:p>
    <w:p w14:paraId="198189B0" w14:textId="77777777" w:rsidR="00BB7660" w:rsidRPr="005F5224" w:rsidRDefault="00BB7660" w:rsidP="00BB7660">
      <w:pPr>
        <w:pStyle w:val="paragraph"/>
        <w:rPr>
          <w:strike/>
          <w:color w:val="0000FF"/>
        </w:rPr>
      </w:pPr>
      <w:r w:rsidRPr="005F5224">
        <w:rPr>
          <w:strike/>
          <w:color w:val="0000FF"/>
        </w:rPr>
        <w:tab/>
        <w:t>(a)</w:t>
      </w:r>
      <w:r w:rsidRPr="005F5224">
        <w:rPr>
          <w:strike/>
          <w:color w:val="0000FF"/>
        </w:rPr>
        <w:tab/>
        <w:t>subrule 1.12(1); </w:t>
      </w:r>
    </w:p>
    <w:p w14:paraId="198BD891" w14:textId="77777777" w:rsidR="00BB7660" w:rsidRPr="005F5224" w:rsidRDefault="00BB7660" w:rsidP="00BB7660">
      <w:pPr>
        <w:pStyle w:val="paragraph"/>
        <w:rPr>
          <w:strike/>
          <w:color w:val="0000FF"/>
        </w:rPr>
      </w:pPr>
      <w:r w:rsidRPr="005F5224">
        <w:rPr>
          <w:strike/>
          <w:color w:val="0000FF"/>
        </w:rPr>
        <w:tab/>
        <w:t>(b)</w:t>
      </w:r>
      <w:r w:rsidRPr="005F5224">
        <w:rPr>
          <w:strike/>
          <w:color w:val="0000FF"/>
        </w:rPr>
        <w:tab/>
        <w:t>subrule 1.13(1);</w:t>
      </w:r>
    </w:p>
    <w:p w14:paraId="24FFEBEC" w14:textId="77777777" w:rsidR="00BB7660" w:rsidRPr="005F5224" w:rsidRDefault="00BB7660" w:rsidP="00BB7660">
      <w:pPr>
        <w:pStyle w:val="paragraph"/>
        <w:rPr>
          <w:strike/>
          <w:color w:val="0000FF"/>
        </w:rPr>
      </w:pPr>
      <w:r w:rsidRPr="005F5224">
        <w:rPr>
          <w:strike/>
          <w:color w:val="0000FF"/>
        </w:rPr>
        <w:tab/>
        <w:t>(c)</w:t>
      </w:r>
      <w:r w:rsidRPr="005F5224">
        <w:rPr>
          <w:strike/>
          <w:color w:val="0000FF"/>
        </w:rPr>
        <w:tab/>
        <w:t>subrule 1.14(1);</w:t>
      </w:r>
    </w:p>
    <w:p w14:paraId="090A8DE3" w14:textId="77777777" w:rsidR="00BB7660" w:rsidRPr="005F5224" w:rsidRDefault="00BB7660" w:rsidP="00BB7660">
      <w:pPr>
        <w:pStyle w:val="paragraph"/>
        <w:rPr>
          <w:strike/>
          <w:color w:val="0000FF"/>
        </w:rPr>
      </w:pPr>
      <w:r w:rsidRPr="005F5224">
        <w:rPr>
          <w:strike/>
          <w:color w:val="0000FF"/>
        </w:rPr>
        <w:tab/>
        <w:t>(d)</w:t>
      </w:r>
      <w:r w:rsidRPr="005F5224">
        <w:rPr>
          <w:strike/>
          <w:color w:val="0000FF"/>
        </w:rPr>
        <w:tab/>
        <w:t>subrule 1.15(1);</w:t>
      </w:r>
    </w:p>
    <w:p w14:paraId="74F1E613" w14:textId="77777777" w:rsidR="00BB7660" w:rsidRPr="005F5224" w:rsidRDefault="00BB7660" w:rsidP="00BB7660">
      <w:pPr>
        <w:pStyle w:val="paragraph"/>
        <w:rPr>
          <w:strike/>
          <w:color w:val="0000FF"/>
        </w:rPr>
      </w:pPr>
      <w:r w:rsidRPr="005F5224">
        <w:rPr>
          <w:strike/>
          <w:color w:val="0000FF"/>
        </w:rPr>
        <w:tab/>
        <w:t>(e)</w:t>
      </w:r>
      <w:r w:rsidRPr="005F5224">
        <w:rPr>
          <w:strike/>
          <w:color w:val="0000FF"/>
        </w:rPr>
        <w:tab/>
        <w:t>subrule 1.15(5)</w:t>
      </w:r>
    </w:p>
    <w:p w14:paraId="7F1451F9" w14:textId="77777777" w:rsidR="00BB7660" w:rsidRPr="005F5224" w:rsidRDefault="00BB7660" w:rsidP="00BB7660">
      <w:pPr>
        <w:pStyle w:val="paragraph"/>
        <w:rPr>
          <w:strike/>
          <w:color w:val="0000FF"/>
        </w:rPr>
      </w:pPr>
      <w:r w:rsidRPr="005F5224">
        <w:rPr>
          <w:strike/>
          <w:color w:val="0000FF"/>
        </w:rPr>
        <w:tab/>
        <w:t>(f)</w:t>
      </w:r>
      <w:r w:rsidRPr="005F5224">
        <w:rPr>
          <w:strike/>
          <w:color w:val="0000FF"/>
        </w:rPr>
        <w:tab/>
        <w:t>subrule 1.15(7)</w:t>
      </w:r>
    </w:p>
    <w:p w14:paraId="4999AD06" w14:textId="77777777" w:rsidR="00BB7660" w:rsidRPr="005F5224" w:rsidRDefault="00BB7660" w:rsidP="00BB7660">
      <w:pPr>
        <w:pStyle w:val="paragraph"/>
        <w:rPr>
          <w:strike/>
          <w:color w:val="0000FF"/>
        </w:rPr>
      </w:pPr>
      <w:r w:rsidRPr="005F5224">
        <w:rPr>
          <w:strike/>
          <w:color w:val="0000FF"/>
        </w:rPr>
        <w:tab/>
        <w:t>(g)</w:t>
      </w:r>
      <w:r w:rsidRPr="005F5224">
        <w:rPr>
          <w:strike/>
          <w:color w:val="0000FF"/>
        </w:rPr>
        <w:tab/>
        <w:t>subrule 1.16(</w:t>
      </w:r>
      <w:r w:rsidR="00930B3F" w:rsidRPr="005F5224">
        <w:rPr>
          <w:strike/>
          <w:color w:val="0000FF"/>
        </w:rPr>
        <w:t>2</w:t>
      </w:r>
      <w:r w:rsidRPr="005F5224">
        <w:rPr>
          <w:strike/>
          <w:color w:val="0000FF"/>
        </w:rPr>
        <w:t>);</w:t>
      </w:r>
    </w:p>
    <w:p w14:paraId="278FAADA" w14:textId="77777777" w:rsidR="00BB7660" w:rsidRPr="005F5224" w:rsidRDefault="00BB7660" w:rsidP="00BB7660">
      <w:pPr>
        <w:pStyle w:val="paragraph"/>
        <w:rPr>
          <w:strike/>
          <w:color w:val="0000FF"/>
        </w:rPr>
      </w:pPr>
      <w:r w:rsidRPr="005F5224">
        <w:rPr>
          <w:strike/>
          <w:color w:val="0000FF"/>
        </w:rPr>
        <w:tab/>
        <w:t>(h)</w:t>
      </w:r>
      <w:r w:rsidRPr="005F5224">
        <w:rPr>
          <w:strike/>
          <w:color w:val="0000FF"/>
        </w:rPr>
        <w:tab/>
        <w:t>subrule 1.16A(2); </w:t>
      </w:r>
    </w:p>
    <w:p w14:paraId="4D9A47B5" w14:textId="77777777" w:rsidR="00BB7660" w:rsidRPr="005F5224" w:rsidRDefault="00BB7660" w:rsidP="00BB7660">
      <w:pPr>
        <w:pStyle w:val="paragraph"/>
        <w:rPr>
          <w:strike/>
          <w:color w:val="0000FF"/>
        </w:rPr>
      </w:pPr>
      <w:r w:rsidRPr="005F5224">
        <w:rPr>
          <w:strike/>
          <w:color w:val="0000FF"/>
        </w:rPr>
        <w:tab/>
        <w:t>(i)</w:t>
      </w:r>
      <w:r w:rsidRPr="005F5224">
        <w:rPr>
          <w:strike/>
          <w:color w:val="0000FF"/>
        </w:rPr>
        <w:tab/>
        <w:t>subrule 1.20(2);</w:t>
      </w:r>
    </w:p>
    <w:p w14:paraId="32BDD4C7" w14:textId="77777777" w:rsidR="00BB7660" w:rsidRPr="005F5224" w:rsidRDefault="00BB7660" w:rsidP="00BB7660">
      <w:pPr>
        <w:pStyle w:val="paragraph"/>
        <w:rPr>
          <w:strike/>
          <w:color w:val="0000FF"/>
        </w:rPr>
      </w:pPr>
      <w:r w:rsidRPr="005F5224">
        <w:rPr>
          <w:strike/>
          <w:color w:val="0000FF"/>
        </w:rPr>
        <w:tab/>
        <w:t>(j)</w:t>
      </w:r>
      <w:r w:rsidRPr="005F5224">
        <w:rPr>
          <w:strike/>
          <w:color w:val="0000FF"/>
        </w:rPr>
        <w:tab/>
        <w:t>subrule 1.22(3);</w:t>
      </w:r>
    </w:p>
    <w:p w14:paraId="3798B0F5" w14:textId="77777777" w:rsidR="00BB7660" w:rsidRPr="005F5224" w:rsidRDefault="00BB7660" w:rsidP="00BB7660">
      <w:pPr>
        <w:pStyle w:val="paragraph"/>
        <w:rPr>
          <w:strike/>
          <w:color w:val="0000FF"/>
        </w:rPr>
      </w:pPr>
      <w:r w:rsidRPr="005F5224">
        <w:rPr>
          <w:strike/>
          <w:color w:val="0000FF"/>
        </w:rPr>
        <w:tab/>
        <w:t>(k)</w:t>
      </w:r>
      <w:r w:rsidRPr="005F5224">
        <w:rPr>
          <w:strike/>
          <w:color w:val="0000FF"/>
        </w:rPr>
        <w:tab/>
        <w:t>subrule 1.22(4);</w:t>
      </w:r>
    </w:p>
    <w:p w14:paraId="77C97899" w14:textId="77777777" w:rsidR="00BB7660" w:rsidRPr="005F5224" w:rsidRDefault="00BB7660" w:rsidP="00BB7660">
      <w:pPr>
        <w:pStyle w:val="paragraph"/>
        <w:rPr>
          <w:strike/>
          <w:color w:val="0000FF"/>
        </w:rPr>
      </w:pPr>
      <w:r w:rsidRPr="005F5224">
        <w:rPr>
          <w:strike/>
          <w:color w:val="0000FF"/>
        </w:rPr>
        <w:tab/>
        <w:t>(l)</w:t>
      </w:r>
      <w:r w:rsidRPr="005F5224">
        <w:rPr>
          <w:strike/>
          <w:color w:val="0000FF"/>
        </w:rPr>
        <w:tab/>
        <w:t>subrule 1.22(5);</w:t>
      </w:r>
    </w:p>
    <w:p w14:paraId="07247E5F" w14:textId="77777777" w:rsidR="00BB7660" w:rsidRPr="005F5224" w:rsidRDefault="00BB7660" w:rsidP="00BB7660">
      <w:pPr>
        <w:pStyle w:val="paragraph"/>
        <w:rPr>
          <w:strike/>
          <w:color w:val="0000FF"/>
        </w:rPr>
      </w:pPr>
      <w:r w:rsidRPr="005F5224">
        <w:rPr>
          <w:strike/>
          <w:color w:val="0000FF"/>
        </w:rPr>
        <w:tab/>
        <w:t>(m)</w:t>
      </w:r>
      <w:r w:rsidRPr="005F5224">
        <w:rPr>
          <w:strike/>
          <w:color w:val="0000FF"/>
        </w:rPr>
        <w:tab/>
        <w:t xml:space="preserve">subrule 1.23(4): </w:t>
      </w:r>
    </w:p>
    <w:p w14:paraId="1E10AE7F" w14:textId="77777777" w:rsidR="00BB7660" w:rsidRPr="005F5224" w:rsidRDefault="00BB7660" w:rsidP="00BB7660">
      <w:pPr>
        <w:pStyle w:val="paragraph"/>
        <w:rPr>
          <w:strike/>
          <w:color w:val="0000FF"/>
        </w:rPr>
      </w:pPr>
      <w:r w:rsidRPr="005F5224">
        <w:rPr>
          <w:strike/>
          <w:color w:val="0000FF"/>
        </w:rPr>
        <w:tab/>
        <w:t>(n)</w:t>
      </w:r>
      <w:r w:rsidRPr="005F5224">
        <w:rPr>
          <w:strike/>
          <w:color w:val="0000FF"/>
        </w:rPr>
        <w:tab/>
        <w:t>subrule 1.23(5);</w:t>
      </w:r>
    </w:p>
    <w:p w14:paraId="01030985" w14:textId="77777777" w:rsidR="00BB7660" w:rsidRPr="005F5224" w:rsidRDefault="00BB7660" w:rsidP="00BB7660">
      <w:pPr>
        <w:pStyle w:val="paragraph"/>
        <w:rPr>
          <w:strike/>
          <w:color w:val="0000FF"/>
        </w:rPr>
      </w:pPr>
      <w:r w:rsidRPr="005F5224">
        <w:rPr>
          <w:strike/>
          <w:color w:val="0000FF"/>
        </w:rPr>
        <w:tab/>
        <w:t>(o)</w:t>
      </w:r>
      <w:r w:rsidRPr="005F5224">
        <w:rPr>
          <w:strike/>
          <w:color w:val="0000FF"/>
        </w:rPr>
        <w:tab/>
        <w:t>subrule 1.23(6);</w:t>
      </w:r>
    </w:p>
    <w:p w14:paraId="6C90DC73" w14:textId="77777777" w:rsidR="00BB7660" w:rsidRPr="005F5224" w:rsidRDefault="00BB7660" w:rsidP="00BB7660">
      <w:pPr>
        <w:pStyle w:val="paragraph"/>
        <w:rPr>
          <w:strike/>
          <w:color w:val="0000FF"/>
        </w:rPr>
      </w:pPr>
      <w:r w:rsidRPr="005F5224">
        <w:rPr>
          <w:strike/>
          <w:color w:val="0000FF"/>
        </w:rPr>
        <w:tab/>
        <w:t>(p)</w:t>
      </w:r>
      <w:r w:rsidRPr="005F5224">
        <w:rPr>
          <w:strike/>
          <w:color w:val="0000FF"/>
        </w:rPr>
        <w:tab/>
        <w:t>rule 1.25;</w:t>
      </w:r>
    </w:p>
    <w:p w14:paraId="0C661D45" w14:textId="77777777" w:rsidR="00BB7660" w:rsidRPr="005F5224" w:rsidRDefault="00BB7660" w:rsidP="00BB7660">
      <w:pPr>
        <w:pStyle w:val="paragraph"/>
        <w:rPr>
          <w:strike/>
          <w:color w:val="0000FF"/>
        </w:rPr>
      </w:pPr>
      <w:r w:rsidRPr="005F5224">
        <w:rPr>
          <w:strike/>
          <w:color w:val="0000FF"/>
        </w:rPr>
        <w:tab/>
        <w:t>(q)</w:t>
      </w:r>
      <w:r w:rsidRPr="005F5224">
        <w:rPr>
          <w:strike/>
          <w:color w:val="0000FF"/>
        </w:rPr>
        <w:tab/>
        <w:t>subrule 2.4(2A);</w:t>
      </w:r>
      <w:r w:rsidRPr="005F5224">
        <w:rPr>
          <w:strike/>
          <w:color w:val="0000FF"/>
        </w:rPr>
        <w:tab/>
      </w:r>
    </w:p>
    <w:p w14:paraId="447D97E3" w14:textId="77777777" w:rsidR="00BB7660" w:rsidRPr="005F5224" w:rsidRDefault="00BB7660" w:rsidP="00BB7660">
      <w:pPr>
        <w:pStyle w:val="paragraph"/>
        <w:rPr>
          <w:strike/>
          <w:color w:val="0000FF"/>
        </w:rPr>
      </w:pPr>
      <w:r w:rsidRPr="005F5224">
        <w:rPr>
          <w:strike/>
          <w:color w:val="0000FF"/>
        </w:rPr>
        <w:tab/>
        <w:t>(r)</w:t>
      </w:r>
      <w:r w:rsidRPr="005F5224">
        <w:rPr>
          <w:strike/>
          <w:color w:val="0000FF"/>
        </w:rPr>
        <w:tab/>
        <w:t>subrule 2.4(3);</w:t>
      </w:r>
    </w:p>
    <w:p w14:paraId="2138C5AB" w14:textId="77777777" w:rsidR="00BB7660" w:rsidRPr="005F5224" w:rsidRDefault="00BB7660" w:rsidP="00BB7660">
      <w:pPr>
        <w:pStyle w:val="paragraph"/>
        <w:rPr>
          <w:strike/>
          <w:color w:val="0000FF"/>
        </w:rPr>
      </w:pPr>
      <w:r w:rsidRPr="005F5224">
        <w:rPr>
          <w:strike/>
          <w:color w:val="0000FF"/>
        </w:rPr>
        <w:tab/>
        <w:t>(s)</w:t>
      </w:r>
      <w:r w:rsidRPr="005F5224">
        <w:rPr>
          <w:strike/>
          <w:color w:val="0000FF"/>
        </w:rPr>
        <w:tab/>
        <w:t>rule 2.6;</w:t>
      </w:r>
    </w:p>
    <w:p w14:paraId="1A0401AC" w14:textId="77777777" w:rsidR="00BB7660" w:rsidRPr="005F5224" w:rsidRDefault="00BB7660" w:rsidP="00BB7660">
      <w:pPr>
        <w:pStyle w:val="paragraph"/>
        <w:rPr>
          <w:strike/>
          <w:color w:val="0000FF"/>
        </w:rPr>
      </w:pPr>
      <w:r w:rsidRPr="005F5224">
        <w:rPr>
          <w:strike/>
          <w:color w:val="0000FF"/>
        </w:rPr>
        <w:tab/>
        <w:t>(t)</w:t>
      </w:r>
      <w:r w:rsidRPr="005F5224">
        <w:rPr>
          <w:strike/>
          <w:color w:val="0000FF"/>
        </w:rPr>
        <w:tab/>
        <w:t>subrule 3.4(3);</w:t>
      </w:r>
    </w:p>
    <w:p w14:paraId="26C0E114" w14:textId="77777777" w:rsidR="00BB7660" w:rsidRPr="005F5224" w:rsidRDefault="00BB7660" w:rsidP="00BB7660">
      <w:pPr>
        <w:pStyle w:val="paragraph"/>
        <w:rPr>
          <w:strike/>
          <w:color w:val="0000FF"/>
        </w:rPr>
      </w:pPr>
      <w:r w:rsidRPr="005F5224">
        <w:rPr>
          <w:strike/>
          <w:color w:val="0000FF"/>
        </w:rPr>
        <w:tab/>
        <w:t>(u)</w:t>
      </w:r>
      <w:r w:rsidRPr="005F5224">
        <w:rPr>
          <w:strike/>
          <w:color w:val="0000FF"/>
        </w:rPr>
        <w:tab/>
        <w:t>subrule 4.3(5);</w:t>
      </w:r>
    </w:p>
    <w:p w14:paraId="50877B94" w14:textId="77777777" w:rsidR="00BB7660" w:rsidRPr="005F5224" w:rsidRDefault="00BB7660" w:rsidP="00BB7660">
      <w:pPr>
        <w:pStyle w:val="paragraph"/>
        <w:rPr>
          <w:strike/>
          <w:color w:val="0000FF"/>
        </w:rPr>
      </w:pPr>
      <w:r w:rsidRPr="005F5224">
        <w:rPr>
          <w:strike/>
          <w:color w:val="0000FF"/>
        </w:rPr>
        <w:tab/>
        <w:t>(w)</w:t>
      </w:r>
      <w:r w:rsidRPr="005F5224">
        <w:rPr>
          <w:strike/>
          <w:color w:val="0000FF"/>
        </w:rPr>
        <w:tab/>
        <w:t>subrule 4.4(3);</w:t>
      </w:r>
    </w:p>
    <w:p w14:paraId="789CC942" w14:textId="77777777" w:rsidR="00BB7660" w:rsidRPr="005F5224" w:rsidRDefault="00BB7660" w:rsidP="00BB7660">
      <w:pPr>
        <w:pStyle w:val="paragraph"/>
        <w:rPr>
          <w:strike/>
          <w:color w:val="0000FF"/>
        </w:rPr>
      </w:pPr>
      <w:r w:rsidRPr="005F5224">
        <w:rPr>
          <w:strike/>
          <w:color w:val="0000FF"/>
        </w:rPr>
        <w:lastRenderedPageBreak/>
        <w:tab/>
        <w:t>(x)</w:t>
      </w:r>
      <w:r w:rsidRPr="005F5224">
        <w:rPr>
          <w:strike/>
          <w:color w:val="0000FF"/>
        </w:rPr>
        <w:tab/>
        <w:t>subrule 4.5(2);</w:t>
      </w:r>
    </w:p>
    <w:p w14:paraId="31E1E9C8" w14:textId="77777777" w:rsidR="00BB7660" w:rsidRPr="005F5224" w:rsidRDefault="00BB7660" w:rsidP="00BB7660">
      <w:pPr>
        <w:pStyle w:val="paragraph"/>
        <w:rPr>
          <w:strike/>
          <w:color w:val="0000FF"/>
        </w:rPr>
      </w:pPr>
      <w:r w:rsidRPr="005F5224">
        <w:rPr>
          <w:strike/>
          <w:color w:val="0000FF"/>
        </w:rPr>
        <w:tab/>
        <w:t>(y)</w:t>
      </w:r>
      <w:r w:rsidRPr="005F5224">
        <w:rPr>
          <w:strike/>
          <w:color w:val="0000FF"/>
        </w:rPr>
        <w:tab/>
        <w:t>subrule 4.5(3);</w:t>
      </w:r>
    </w:p>
    <w:p w14:paraId="42D25A6C" w14:textId="77777777" w:rsidR="00BB7660" w:rsidRPr="005F5224" w:rsidRDefault="00BB7660" w:rsidP="00BB7660">
      <w:pPr>
        <w:pStyle w:val="paragraph"/>
        <w:rPr>
          <w:strike/>
          <w:color w:val="0000FF"/>
        </w:rPr>
      </w:pPr>
      <w:r w:rsidRPr="005F5224">
        <w:rPr>
          <w:strike/>
          <w:color w:val="0000FF"/>
        </w:rPr>
        <w:tab/>
        <w:t>(z)</w:t>
      </w:r>
      <w:r w:rsidRPr="005F5224">
        <w:rPr>
          <w:strike/>
          <w:color w:val="0000FF"/>
        </w:rPr>
        <w:tab/>
        <w:t>subrule 4.6(3);</w:t>
      </w:r>
    </w:p>
    <w:p w14:paraId="1AE3C6FD" w14:textId="77777777" w:rsidR="00BB7660" w:rsidRPr="005F5224" w:rsidRDefault="00BB7660" w:rsidP="00BB7660">
      <w:pPr>
        <w:pStyle w:val="paragraph"/>
        <w:rPr>
          <w:strike/>
          <w:color w:val="0000FF"/>
        </w:rPr>
      </w:pPr>
      <w:r w:rsidRPr="005F5224">
        <w:rPr>
          <w:strike/>
          <w:color w:val="0000FF"/>
        </w:rPr>
        <w:tab/>
        <w:t>(aa)</w:t>
      </w:r>
      <w:r w:rsidRPr="005F5224">
        <w:rPr>
          <w:strike/>
          <w:color w:val="0000FF"/>
        </w:rPr>
        <w:tab/>
        <w:t>subrule 4.6(4);</w:t>
      </w:r>
    </w:p>
    <w:p w14:paraId="2F55A503" w14:textId="77777777" w:rsidR="00BB7660" w:rsidRPr="005F5224" w:rsidRDefault="00BB7660" w:rsidP="00BB7660">
      <w:pPr>
        <w:pStyle w:val="paragraph"/>
        <w:rPr>
          <w:strike/>
          <w:color w:val="0000FF"/>
        </w:rPr>
      </w:pPr>
      <w:r w:rsidRPr="005F5224">
        <w:rPr>
          <w:strike/>
          <w:color w:val="0000FF"/>
        </w:rPr>
        <w:tab/>
        <w:t>(bb)</w:t>
      </w:r>
      <w:r w:rsidRPr="005F5224">
        <w:rPr>
          <w:strike/>
          <w:color w:val="0000FF"/>
        </w:rPr>
        <w:tab/>
        <w:t>subrule 4.7B(3)</w:t>
      </w:r>
    </w:p>
    <w:p w14:paraId="03A83A69" w14:textId="77777777" w:rsidR="00BB7660" w:rsidRPr="005F5224" w:rsidRDefault="00BB7660" w:rsidP="00BB7660">
      <w:pPr>
        <w:pStyle w:val="paragraph"/>
        <w:rPr>
          <w:strike/>
          <w:color w:val="0000FF"/>
        </w:rPr>
      </w:pPr>
      <w:r w:rsidRPr="005F5224">
        <w:rPr>
          <w:strike/>
          <w:color w:val="0000FF"/>
        </w:rPr>
        <w:tab/>
        <w:t>(cc)</w:t>
      </w:r>
      <w:r w:rsidRPr="005F5224">
        <w:rPr>
          <w:strike/>
          <w:color w:val="0000FF"/>
        </w:rPr>
        <w:tab/>
        <w:t>subrule 4.13(2);</w:t>
      </w:r>
    </w:p>
    <w:p w14:paraId="67D58B36" w14:textId="77777777" w:rsidR="00BB7660" w:rsidRPr="005F5224" w:rsidRDefault="00BB7660" w:rsidP="00BB7660">
      <w:pPr>
        <w:pStyle w:val="paragraph"/>
        <w:rPr>
          <w:strike/>
          <w:color w:val="0000FF"/>
        </w:rPr>
      </w:pPr>
      <w:r w:rsidRPr="005F5224">
        <w:rPr>
          <w:strike/>
          <w:color w:val="0000FF"/>
        </w:rPr>
        <w:tab/>
        <w:t>(dd)</w:t>
      </w:r>
      <w:r w:rsidRPr="005F5224">
        <w:rPr>
          <w:strike/>
          <w:color w:val="0000FF"/>
        </w:rPr>
        <w:tab/>
        <w:t>subrule 4.18(1);</w:t>
      </w:r>
    </w:p>
    <w:p w14:paraId="064A71E2" w14:textId="77777777" w:rsidR="00BB7660" w:rsidRPr="005F5224" w:rsidRDefault="00681844" w:rsidP="00681844">
      <w:pPr>
        <w:pStyle w:val="paragraph"/>
        <w:rPr>
          <w:strike/>
          <w:color w:val="0000FF"/>
        </w:rPr>
      </w:pPr>
      <w:r w:rsidRPr="005F5224">
        <w:rPr>
          <w:strike/>
          <w:color w:val="0000FF"/>
        </w:rPr>
        <w:tab/>
      </w:r>
      <w:r w:rsidR="00BB7660" w:rsidRPr="005F5224">
        <w:rPr>
          <w:strike/>
          <w:color w:val="0000FF"/>
        </w:rPr>
        <w:t>(ee)</w:t>
      </w:r>
      <w:r w:rsidR="00BB7660" w:rsidRPr="005F5224">
        <w:rPr>
          <w:strike/>
          <w:color w:val="0000FF"/>
        </w:rPr>
        <w:tab/>
        <w:t>subrule 4.18A(2);</w:t>
      </w:r>
    </w:p>
    <w:p w14:paraId="70FFA7B7" w14:textId="77777777" w:rsidR="00BB7660" w:rsidRPr="005F5224" w:rsidRDefault="00BB7660" w:rsidP="00BB7660">
      <w:pPr>
        <w:pStyle w:val="paragraph"/>
        <w:rPr>
          <w:strike/>
          <w:color w:val="0000FF"/>
        </w:rPr>
      </w:pPr>
      <w:r w:rsidRPr="005F5224">
        <w:rPr>
          <w:strike/>
          <w:color w:val="0000FF"/>
        </w:rPr>
        <w:tab/>
        <w:t>(ff)</w:t>
      </w:r>
      <w:r w:rsidRPr="005F5224">
        <w:rPr>
          <w:strike/>
          <w:color w:val="0000FF"/>
        </w:rPr>
        <w:tab/>
        <w:t>subrule 4.18B(2);</w:t>
      </w:r>
    </w:p>
    <w:p w14:paraId="1AD215AA" w14:textId="77777777" w:rsidR="00BB7660" w:rsidRPr="005F5224" w:rsidRDefault="00BB7660" w:rsidP="00BB7660">
      <w:pPr>
        <w:pStyle w:val="paragraph"/>
        <w:rPr>
          <w:strike/>
          <w:color w:val="0000FF"/>
        </w:rPr>
      </w:pPr>
      <w:r w:rsidRPr="005F5224">
        <w:rPr>
          <w:strike/>
          <w:color w:val="0000FF"/>
        </w:rPr>
        <w:tab/>
        <w:t>(gg)</w:t>
      </w:r>
      <w:r w:rsidRPr="005F5224">
        <w:rPr>
          <w:strike/>
          <w:color w:val="0000FF"/>
        </w:rPr>
        <w:tab/>
        <w:t>subrule 4.18B(3);</w:t>
      </w:r>
    </w:p>
    <w:p w14:paraId="0895C9BE" w14:textId="77777777" w:rsidR="00BB7660" w:rsidRPr="005F5224" w:rsidRDefault="00BB7660" w:rsidP="00BB7660">
      <w:pPr>
        <w:pStyle w:val="paragraph"/>
        <w:rPr>
          <w:strike/>
          <w:color w:val="0000FF"/>
        </w:rPr>
      </w:pPr>
      <w:r w:rsidRPr="005F5224">
        <w:rPr>
          <w:strike/>
          <w:color w:val="0000FF"/>
        </w:rPr>
        <w:tab/>
        <w:t>(hh)</w:t>
      </w:r>
      <w:r w:rsidRPr="005F5224">
        <w:rPr>
          <w:strike/>
          <w:color w:val="0000FF"/>
        </w:rPr>
        <w:tab/>
        <w:t>subrule 4.18C(2);</w:t>
      </w:r>
    </w:p>
    <w:p w14:paraId="75692D3A" w14:textId="77777777" w:rsidR="00BB7660" w:rsidRPr="005F5224" w:rsidRDefault="00BB7660" w:rsidP="00BB7660">
      <w:pPr>
        <w:pStyle w:val="paragraph"/>
        <w:rPr>
          <w:strike/>
          <w:color w:val="0000FF"/>
        </w:rPr>
      </w:pPr>
      <w:r w:rsidRPr="005F5224">
        <w:rPr>
          <w:strike/>
          <w:color w:val="0000FF"/>
        </w:rPr>
        <w:tab/>
        <w:t>(ii)</w:t>
      </w:r>
      <w:r w:rsidRPr="005F5224">
        <w:rPr>
          <w:strike/>
          <w:color w:val="0000FF"/>
        </w:rPr>
        <w:tab/>
        <w:t>rule 4.19;</w:t>
      </w:r>
    </w:p>
    <w:p w14:paraId="5EF8F48B" w14:textId="77777777" w:rsidR="00BB7660" w:rsidRPr="005F5224" w:rsidRDefault="00BB7660" w:rsidP="00BB7660">
      <w:pPr>
        <w:pStyle w:val="paragraph"/>
        <w:rPr>
          <w:strike/>
          <w:color w:val="0000FF"/>
        </w:rPr>
      </w:pPr>
      <w:r w:rsidRPr="005F5224">
        <w:rPr>
          <w:strike/>
          <w:color w:val="0000FF"/>
        </w:rPr>
        <w:tab/>
        <w:t>(jj)</w:t>
      </w:r>
      <w:r w:rsidRPr="005F5224">
        <w:rPr>
          <w:strike/>
          <w:color w:val="0000FF"/>
        </w:rPr>
        <w:tab/>
        <w:t>subrule 4.20(2);</w:t>
      </w:r>
    </w:p>
    <w:p w14:paraId="0FCA56AF" w14:textId="77777777" w:rsidR="00BB7660" w:rsidRPr="005F5224" w:rsidRDefault="00BB7660" w:rsidP="00BB7660">
      <w:pPr>
        <w:pStyle w:val="paragraph"/>
        <w:rPr>
          <w:strike/>
          <w:color w:val="0000FF"/>
        </w:rPr>
      </w:pPr>
      <w:r w:rsidRPr="005F5224">
        <w:rPr>
          <w:strike/>
          <w:color w:val="0000FF"/>
        </w:rPr>
        <w:tab/>
        <w:t>(kk)</w:t>
      </w:r>
      <w:r w:rsidRPr="005F5224">
        <w:rPr>
          <w:strike/>
          <w:color w:val="0000FF"/>
        </w:rPr>
        <w:tab/>
        <w:t>subrule 4.22A(1)</w:t>
      </w:r>
    </w:p>
    <w:p w14:paraId="606C3769" w14:textId="77777777" w:rsidR="00BB7660" w:rsidRPr="005F5224" w:rsidRDefault="00BB7660" w:rsidP="00BB7660">
      <w:pPr>
        <w:pStyle w:val="paragraph"/>
        <w:rPr>
          <w:strike/>
          <w:color w:val="0000FF"/>
        </w:rPr>
      </w:pPr>
      <w:r w:rsidRPr="005F5224">
        <w:rPr>
          <w:strike/>
          <w:color w:val="0000FF"/>
        </w:rPr>
        <w:tab/>
        <w:t>(ll)</w:t>
      </w:r>
      <w:r w:rsidRPr="005F5224">
        <w:rPr>
          <w:strike/>
          <w:color w:val="0000FF"/>
        </w:rPr>
        <w:tab/>
        <w:t>subrule 4.25(2);</w:t>
      </w:r>
    </w:p>
    <w:p w14:paraId="3296AE0F" w14:textId="77777777" w:rsidR="00BB7660" w:rsidRPr="005F5224" w:rsidRDefault="00BB7660" w:rsidP="00BB7660">
      <w:pPr>
        <w:pStyle w:val="paragraph"/>
        <w:rPr>
          <w:strike/>
          <w:color w:val="0000FF"/>
        </w:rPr>
      </w:pPr>
      <w:r w:rsidRPr="005F5224">
        <w:rPr>
          <w:strike/>
          <w:color w:val="0000FF"/>
        </w:rPr>
        <w:tab/>
        <w:t>(mm)</w:t>
      </w:r>
      <w:r w:rsidRPr="005F5224">
        <w:rPr>
          <w:strike/>
          <w:color w:val="0000FF"/>
        </w:rPr>
        <w:tab/>
        <w:t>rule 4.27;</w:t>
      </w:r>
    </w:p>
    <w:p w14:paraId="59A0330A" w14:textId="77777777" w:rsidR="00BB7660" w:rsidRPr="005F5224" w:rsidRDefault="00BB7660" w:rsidP="00BB7660">
      <w:pPr>
        <w:pStyle w:val="paragraph"/>
        <w:rPr>
          <w:strike/>
          <w:color w:val="0000FF"/>
        </w:rPr>
      </w:pPr>
      <w:r w:rsidRPr="005F5224">
        <w:rPr>
          <w:strike/>
          <w:color w:val="0000FF"/>
        </w:rPr>
        <w:tab/>
        <w:t>(nn)</w:t>
      </w:r>
      <w:r w:rsidRPr="005F5224">
        <w:rPr>
          <w:strike/>
          <w:color w:val="0000FF"/>
        </w:rPr>
        <w:tab/>
        <w:t>subrule 4.28(2);</w:t>
      </w:r>
    </w:p>
    <w:p w14:paraId="71D2EC4F" w14:textId="77777777" w:rsidR="00BB7660" w:rsidRPr="005F5224" w:rsidRDefault="00BB7660" w:rsidP="00BB7660">
      <w:pPr>
        <w:pStyle w:val="paragraph"/>
        <w:rPr>
          <w:strike/>
          <w:color w:val="0000FF"/>
        </w:rPr>
      </w:pPr>
      <w:r w:rsidRPr="005F5224">
        <w:rPr>
          <w:strike/>
          <w:color w:val="0000FF"/>
        </w:rPr>
        <w:tab/>
        <w:t>(oo)</w:t>
      </w:r>
      <w:r w:rsidRPr="005F5224">
        <w:rPr>
          <w:strike/>
          <w:color w:val="0000FF"/>
        </w:rPr>
        <w:tab/>
        <w:t>subrule 4A.6(1); </w:t>
      </w:r>
    </w:p>
    <w:p w14:paraId="43C07F32" w14:textId="77777777" w:rsidR="00BB7660" w:rsidRPr="005F5224" w:rsidRDefault="00BB7660" w:rsidP="00BB7660">
      <w:pPr>
        <w:pStyle w:val="paragraph"/>
        <w:rPr>
          <w:strike/>
          <w:color w:val="0000FF"/>
        </w:rPr>
      </w:pPr>
      <w:r w:rsidRPr="005F5224">
        <w:rPr>
          <w:strike/>
          <w:color w:val="0000FF"/>
        </w:rPr>
        <w:tab/>
        <w:t>(pp)</w:t>
      </w:r>
      <w:r w:rsidRPr="005F5224">
        <w:rPr>
          <w:strike/>
          <w:color w:val="0000FF"/>
        </w:rPr>
        <w:tab/>
        <w:t>subrule 4A.7(3); </w:t>
      </w:r>
    </w:p>
    <w:p w14:paraId="4ADC7B9A" w14:textId="77777777" w:rsidR="00BB7660" w:rsidRPr="005F5224" w:rsidRDefault="00BB7660" w:rsidP="00BB7660">
      <w:pPr>
        <w:pStyle w:val="paragraph"/>
        <w:rPr>
          <w:strike/>
          <w:color w:val="0000FF"/>
        </w:rPr>
      </w:pPr>
      <w:r w:rsidRPr="005F5224">
        <w:rPr>
          <w:strike/>
          <w:color w:val="0000FF"/>
        </w:rPr>
        <w:tab/>
        <w:t>(qq)</w:t>
      </w:r>
      <w:r w:rsidRPr="005F5224">
        <w:rPr>
          <w:strike/>
          <w:color w:val="0000FF"/>
        </w:rPr>
        <w:tab/>
        <w:t>subrule 4A.8(2); </w:t>
      </w:r>
    </w:p>
    <w:p w14:paraId="077EA601" w14:textId="77777777" w:rsidR="00BB7660" w:rsidRPr="005F5224" w:rsidRDefault="00BB7660" w:rsidP="00BB7660">
      <w:pPr>
        <w:pStyle w:val="paragraph"/>
        <w:rPr>
          <w:strike/>
          <w:color w:val="0000FF"/>
        </w:rPr>
      </w:pPr>
      <w:r w:rsidRPr="005F5224">
        <w:rPr>
          <w:strike/>
          <w:color w:val="0000FF"/>
        </w:rPr>
        <w:tab/>
        <w:t>(rr)</w:t>
      </w:r>
      <w:r w:rsidRPr="005F5224">
        <w:rPr>
          <w:strike/>
          <w:color w:val="0000FF"/>
        </w:rPr>
        <w:tab/>
        <w:t>subrule 4A.8(3); </w:t>
      </w:r>
    </w:p>
    <w:p w14:paraId="20B32CC9" w14:textId="77777777" w:rsidR="00BB7660" w:rsidRPr="005F5224" w:rsidRDefault="00BB7660" w:rsidP="00BB7660">
      <w:pPr>
        <w:pStyle w:val="paragraph"/>
        <w:rPr>
          <w:strike/>
          <w:color w:val="0000FF"/>
        </w:rPr>
      </w:pPr>
      <w:r w:rsidRPr="005F5224">
        <w:rPr>
          <w:strike/>
          <w:color w:val="0000FF"/>
        </w:rPr>
        <w:tab/>
        <w:t>(ss)</w:t>
      </w:r>
      <w:r w:rsidRPr="005F5224">
        <w:rPr>
          <w:strike/>
          <w:color w:val="0000FF"/>
        </w:rPr>
        <w:tab/>
        <w:t>subrule 4A.13(1); </w:t>
      </w:r>
    </w:p>
    <w:p w14:paraId="14C9EC3F" w14:textId="77777777" w:rsidR="00BB7660" w:rsidRPr="005F5224" w:rsidRDefault="00BB7660" w:rsidP="00BB7660">
      <w:pPr>
        <w:pStyle w:val="paragraph"/>
        <w:rPr>
          <w:strike/>
          <w:color w:val="0000FF"/>
        </w:rPr>
      </w:pPr>
      <w:r w:rsidRPr="005F5224">
        <w:rPr>
          <w:strike/>
          <w:color w:val="0000FF"/>
        </w:rPr>
        <w:tab/>
        <w:t>(tt)</w:t>
      </w:r>
      <w:r w:rsidRPr="005F5224">
        <w:rPr>
          <w:strike/>
          <w:color w:val="0000FF"/>
        </w:rPr>
        <w:tab/>
        <w:t>subrule 4A.14(2); </w:t>
      </w:r>
    </w:p>
    <w:p w14:paraId="2178DC78" w14:textId="77777777" w:rsidR="00BB7660" w:rsidRPr="005F5224" w:rsidRDefault="00BB7660" w:rsidP="00BB7660">
      <w:pPr>
        <w:pStyle w:val="paragraph"/>
        <w:rPr>
          <w:strike/>
          <w:color w:val="0000FF"/>
        </w:rPr>
      </w:pPr>
      <w:r w:rsidRPr="005F5224">
        <w:rPr>
          <w:strike/>
          <w:color w:val="0000FF"/>
        </w:rPr>
        <w:tab/>
        <w:t>(uu)</w:t>
      </w:r>
      <w:r w:rsidRPr="005F5224">
        <w:rPr>
          <w:strike/>
          <w:color w:val="0000FF"/>
        </w:rPr>
        <w:tab/>
        <w:t>subrule 4A.14(3); </w:t>
      </w:r>
    </w:p>
    <w:p w14:paraId="34AEA82F" w14:textId="77777777" w:rsidR="00BB7660" w:rsidRPr="005F5224" w:rsidRDefault="00BB7660" w:rsidP="00BB7660">
      <w:pPr>
        <w:pStyle w:val="paragraph"/>
        <w:rPr>
          <w:strike/>
          <w:color w:val="0000FF"/>
        </w:rPr>
      </w:pPr>
      <w:r w:rsidRPr="005F5224">
        <w:rPr>
          <w:strike/>
          <w:color w:val="0000FF"/>
        </w:rPr>
        <w:tab/>
        <w:t>(vv)</w:t>
      </w:r>
      <w:r w:rsidRPr="005F5224">
        <w:rPr>
          <w:strike/>
          <w:color w:val="0000FF"/>
        </w:rPr>
        <w:tab/>
        <w:t>subrule 5.1B(2); </w:t>
      </w:r>
    </w:p>
    <w:p w14:paraId="2B76DC95" w14:textId="77777777" w:rsidR="00BB7660" w:rsidRPr="005F5224" w:rsidRDefault="00BB7660" w:rsidP="00BB7660">
      <w:pPr>
        <w:pStyle w:val="paragraph"/>
        <w:rPr>
          <w:strike/>
          <w:color w:val="0000FF"/>
        </w:rPr>
      </w:pPr>
      <w:r w:rsidRPr="005F5224">
        <w:rPr>
          <w:strike/>
          <w:color w:val="0000FF"/>
        </w:rPr>
        <w:tab/>
        <w:t>(ww)</w:t>
      </w:r>
      <w:r w:rsidRPr="005F5224">
        <w:rPr>
          <w:strike/>
          <w:color w:val="0000FF"/>
        </w:rPr>
        <w:tab/>
        <w:t>subrule 5.1B(3); </w:t>
      </w:r>
    </w:p>
    <w:p w14:paraId="09F8FAE0" w14:textId="77777777" w:rsidR="00BB7660" w:rsidRPr="005F5224" w:rsidRDefault="00BB7660" w:rsidP="00BB7660">
      <w:pPr>
        <w:pStyle w:val="paragraph"/>
        <w:rPr>
          <w:strike/>
          <w:color w:val="0000FF"/>
        </w:rPr>
      </w:pPr>
      <w:r w:rsidRPr="005F5224">
        <w:rPr>
          <w:strike/>
          <w:color w:val="0000FF"/>
        </w:rPr>
        <w:tab/>
        <w:t>(xx)</w:t>
      </w:r>
      <w:r w:rsidRPr="005F5224">
        <w:rPr>
          <w:strike/>
          <w:color w:val="0000FF"/>
        </w:rPr>
        <w:tab/>
        <w:t>subrule 5.1B(4); </w:t>
      </w:r>
    </w:p>
    <w:p w14:paraId="2FBD2670" w14:textId="77777777" w:rsidR="00BB7660" w:rsidRPr="005F5224" w:rsidRDefault="00BB7660" w:rsidP="00BB7660">
      <w:pPr>
        <w:pStyle w:val="paragraph"/>
        <w:rPr>
          <w:strike/>
          <w:color w:val="0000FF"/>
        </w:rPr>
      </w:pPr>
      <w:r w:rsidRPr="005F5224">
        <w:rPr>
          <w:strike/>
          <w:color w:val="0000FF"/>
        </w:rPr>
        <w:tab/>
        <w:t>(yy)</w:t>
      </w:r>
      <w:r w:rsidRPr="005F5224">
        <w:rPr>
          <w:strike/>
          <w:color w:val="0000FF"/>
        </w:rPr>
        <w:tab/>
        <w:t>subrule 5.1B(5); </w:t>
      </w:r>
    </w:p>
    <w:p w14:paraId="06785FF9" w14:textId="77777777" w:rsidR="00BB7660" w:rsidRPr="005F5224" w:rsidRDefault="00BB7660" w:rsidP="00BB7660">
      <w:pPr>
        <w:pStyle w:val="paragraph"/>
        <w:rPr>
          <w:strike/>
          <w:color w:val="0000FF"/>
        </w:rPr>
      </w:pPr>
      <w:r w:rsidRPr="005F5224">
        <w:rPr>
          <w:strike/>
          <w:color w:val="0000FF"/>
        </w:rPr>
        <w:tab/>
        <w:t>(zz)</w:t>
      </w:r>
      <w:r w:rsidRPr="005F5224">
        <w:rPr>
          <w:strike/>
          <w:color w:val="0000FF"/>
        </w:rPr>
        <w:tab/>
        <w:t>subrule 5.12(1);</w:t>
      </w:r>
    </w:p>
    <w:p w14:paraId="5306794C" w14:textId="77777777" w:rsidR="00BB7660" w:rsidRPr="005F5224" w:rsidRDefault="00BB7660" w:rsidP="00BB7660">
      <w:pPr>
        <w:pStyle w:val="paragraph"/>
        <w:rPr>
          <w:strike/>
          <w:color w:val="0000FF"/>
        </w:rPr>
      </w:pPr>
      <w:r w:rsidRPr="005F5224">
        <w:rPr>
          <w:strike/>
          <w:color w:val="0000FF"/>
        </w:rPr>
        <w:tab/>
        <w:t>(aaa)</w:t>
      </w:r>
      <w:r w:rsidRPr="005F5224">
        <w:rPr>
          <w:strike/>
          <w:color w:val="0000FF"/>
        </w:rPr>
        <w:tab/>
        <w:t>rule 5.13;</w:t>
      </w:r>
    </w:p>
    <w:p w14:paraId="3A682809" w14:textId="77777777" w:rsidR="00BB7660" w:rsidRPr="005F5224" w:rsidRDefault="00BB7660" w:rsidP="00BB7660">
      <w:pPr>
        <w:pStyle w:val="paragraph"/>
        <w:rPr>
          <w:strike/>
          <w:color w:val="0000FF"/>
        </w:rPr>
      </w:pPr>
      <w:r w:rsidRPr="005F5224">
        <w:rPr>
          <w:strike/>
          <w:color w:val="0000FF"/>
        </w:rPr>
        <w:tab/>
        <w:t>(bbb)</w:t>
      </w:r>
      <w:r w:rsidRPr="005F5224">
        <w:rPr>
          <w:strike/>
          <w:color w:val="0000FF"/>
        </w:rPr>
        <w:tab/>
        <w:t>subrule 5.14(1);</w:t>
      </w:r>
    </w:p>
    <w:p w14:paraId="48D4A96D" w14:textId="77777777" w:rsidR="00BB7660" w:rsidRPr="005F5224" w:rsidRDefault="00BB7660" w:rsidP="00BB7660">
      <w:pPr>
        <w:pStyle w:val="paragraph"/>
        <w:rPr>
          <w:strike/>
          <w:color w:val="0000FF"/>
        </w:rPr>
      </w:pPr>
      <w:r w:rsidRPr="005F5224">
        <w:rPr>
          <w:strike/>
          <w:color w:val="0000FF"/>
        </w:rPr>
        <w:tab/>
        <w:t>(ccc)</w:t>
      </w:r>
      <w:r w:rsidRPr="005F5224">
        <w:rPr>
          <w:strike/>
          <w:color w:val="0000FF"/>
        </w:rPr>
        <w:tab/>
        <w:t>subrule 5.23(2);</w:t>
      </w:r>
    </w:p>
    <w:p w14:paraId="2174915E" w14:textId="77777777" w:rsidR="00BB7660" w:rsidRPr="005F5224" w:rsidRDefault="00BB7660" w:rsidP="00BB7660">
      <w:pPr>
        <w:pStyle w:val="paragraph"/>
        <w:rPr>
          <w:strike/>
          <w:color w:val="0000FF"/>
        </w:rPr>
      </w:pPr>
      <w:r w:rsidRPr="005F5224">
        <w:rPr>
          <w:strike/>
          <w:color w:val="0000FF"/>
        </w:rPr>
        <w:tab/>
        <w:t>(ddd)</w:t>
      </w:r>
      <w:r w:rsidRPr="005F5224">
        <w:rPr>
          <w:strike/>
          <w:color w:val="0000FF"/>
        </w:rPr>
        <w:tab/>
        <w:t>subrule 5.23(3);</w:t>
      </w:r>
    </w:p>
    <w:p w14:paraId="0FF983AA" w14:textId="77777777" w:rsidR="00BB7660" w:rsidRPr="005F5224" w:rsidRDefault="00BB7660" w:rsidP="00BB7660">
      <w:pPr>
        <w:pStyle w:val="paragraph"/>
        <w:rPr>
          <w:strike/>
          <w:color w:val="0000FF"/>
        </w:rPr>
      </w:pPr>
      <w:r w:rsidRPr="005F5224">
        <w:rPr>
          <w:strike/>
          <w:color w:val="0000FF"/>
        </w:rPr>
        <w:tab/>
        <w:t>(eee)</w:t>
      </w:r>
      <w:r w:rsidRPr="005F5224">
        <w:rPr>
          <w:strike/>
          <w:color w:val="0000FF"/>
        </w:rPr>
        <w:tab/>
        <w:t xml:space="preserve">subrule 5.23(4); </w:t>
      </w:r>
    </w:p>
    <w:p w14:paraId="723CD34B" w14:textId="77777777" w:rsidR="00BB7660" w:rsidRPr="005F5224" w:rsidRDefault="00BB7660" w:rsidP="00BB7660">
      <w:pPr>
        <w:pStyle w:val="paragraph"/>
        <w:rPr>
          <w:strike/>
          <w:color w:val="0000FF"/>
        </w:rPr>
      </w:pPr>
      <w:r w:rsidRPr="005F5224">
        <w:rPr>
          <w:strike/>
          <w:color w:val="0000FF"/>
        </w:rPr>
        <w:tab/>
        <w:t>(fff)</w:t>
      </w:r>
      <w:r w:rsidRPr="005F5224">
        <w:rPr>
          <w:strike/>
          <w:color w:val="0000FF"/>
        </w:rPr>
        <w:tab/>
        <w:t>subrule 5.31(2);</w:t>
      </w:r>
    </w:p>
    <w:p w14:paraId="2282C97A" w14:textId="77777777" w:rsidR="00BB7660" w:rsidRPr="005F5224" w:rsidRDefault="00BB7660" w:rsidP="00BB7660">
      <w:pPr>
        <w:pStyle w:val="paragraph"/>
        <w:rPr>
          <w:strike/>
          <w:color w:val="0000FF"/>
        </w:rPr>
      </w:pPr>
      <w:r w:rsidRPr="005F5224">
        <w:rPr>
          <w:strike/>
          <w:color w:val="0000FF"/>
        </w:rPr>
        <w:tab/>
        <w:t>(ggg)</w:t>
      </w:r>
      <w:r w:rsidRPr="005F5224">
        <w:rPr>
          <w:strike/>
          <w:color w:val="0000FF"/>
        </w:rPr>
        <w:tab/>
        <w:t>rule 6.1;</w:t>
      </w:r>
    </w:p>
    <w:p w14:paraId="0E781016" w14:textId="77777777" w:rsidR="00BB7660" w:rsidRPr="005F5224" w:rsidRDefault="00BB7660" w:rsidP="00BB7660">
      <w:pPr>
        <w:pStyle w:val="paragraph"/>
        <w:rPr>
          <w:strike/>
          <w:color w:val="0000FF"/>
        </w:rPr>
      </w:pPr>
      <w:r w:rsidRPr="005F5224">
        <w:rPr>
          <w:strike/>
          <w:color w:val="0000FF"/>
        </w:rPr>
        <w:tab/>
        <w:t>(hhh)</w:t>
      </w:r>
      <w:r w:rsidRPr="005F5224">
        <w:rPr>
          <w:strike/>
          <w:color w:val="0000FF"/>
        </w:rPr>
        <w:tab/>
        <w:t>rule 6.2;</w:t>
      </w:r>
    </w:p>
    <w:p w14:paraId="2F0DC966" w14:textId="77777777" w:rsidR="00BB7660" w:rsidRPr="005F5224" w:rsidRDefault="00BB7660" w:rsidP="00BB7660">
      <w:pPr>
        <w:pStyle w:val="paragraph"/>
        <w:rPr>
          <w:strike/>
          <w:color w:val="0000FF"/>
        </w:rPr>
      </w:pPr>
      <w:r w:rsidRPr="005F5224">
        <w:rPr>
          <w:strike/>
          <w:color w:val="0000FF"/>
        </w:rPr>
        <w:tab/>
        <w:t>(iii)</w:t>
      </w:r>
      <w:r w:rsidRPr="005F5224">
        <w:rPr>
          <w:strike/>
          <w:color w:val="0000FF"/>
        </w:rPr>
        <w:tab/>
        <w:t>subrule 7.2(4);</w:t>
      </w:r>
    </w:p>
    <w:p w14:paraId="3EF42ABE" w14:textId="77777777" w:rsidR="00BB7660" w:rsidRPr="005F5224" w:rsidRDefault="00BB7660" w:rsidP="00BB7660">
      <w:pPr>
        <w:pStyle w:val="paragraph"/>
        <w:rPr>
          <w:strike/>
          <w:color w:val="0000FF"/>
        </w:rPr>
      </w:pPr>
      <w:r w:rsidRPr="005F5224">
        <w:rPr>
          <w:strike/>
          <w:color w:val="0000FF"/>
        </w:rPr>
        <w:tab/>
        <w:t>(jjj)</w:t>
      </w:r>
      <w:r w:rsidRPr="005F5224">
        <w:rPr>
          <w:strike/>
          <w:color w:val="0000FF"/>
        </w:rPr>
        <w:tab/>
        <w:t>subrule 7.2(6);</w:t>
      </w:r>
    </w:p>
    <w:p w14:paraId="381888F3" w14:textId="77777777" w:rsidR="00BB7660" w:rsidRPr="005F5224" w:rsidRDefault="00BB7660" w:rsidP="00BB7660">
      <w:pPr>
        <w:pStyle w:val="paragraph"/>
        <w:rPr>
          <w:strike/>
          <w:color w:val="0000FF"/>
        </w:rPr>
      </w:pPr>
      <w:r w:rsidRPr="005F5224">
        <w:rPr>
          <w:strike/>
          <w:color w:val="0000FF"/>
        </w:rPr>
        <w:tab/>
        <w:t>(kkk)</w:t>
      </w:r>
      <w:r w:rsidRPr="005F5224">
        <w:rPr>
          <w:strike/>
          <w:color w:val="0000FF"/>
        </w:rPr>
        <w:tab/>
        <w:t>subrule 7.2(7);</w:t>
      </w:r>
    </w:p>
    <w:p w14:paraId="204AA886" w14:textId="77777777" w:rsidR="00BB7660" w:rsidRPr="005F5224" w:rsidRDefault="00BB7660" w:rsidP="00BB7660">
      <w:pPr>
        <w:pStyle w:val="paragraph"/>
        <w:rPr>
          <w:strike/>
          <w:color w:val="0000FF"/>
        </w:rPr>
      </w:pPr>
      <w:r w:rsidRPr="005F5224">
        <w:rPr>
          <w:strike/>
          <w:color w:val="0000FF"/>
        </w:rPr>
        <w:tab/>
        <w:t>(lll)</w:t>
      </w:r>
      <w:r w:rsidRPr="005F5224">
        <w:rPr>
          <w:strike/>
          <w:color w:val="0000FF"/>
        </w:rPr>
        <w:tab/>
        <w:t>subrule 7.2(8);</w:t>
      </w:r>
    </w:p>
    <w:p w14:paraId="6B2FD2C7" w14:textId="77777777" w:rsidR="00BB7660" w:rsidRPr="005F5224" w:rsidRDefault="00BB7660" w:rsidP="00BB7660">
      <w:pPr>
        <w:pStyle w:val="paragraph"/>
        <w:rPr>
          <w:strike/>
          <w:color w:val="0000FF"/>
        </w:rPr>
      </w:pPr>
      <w:r w:rsidRPr="005F5224">
        <w:rPr>
          <w:strike/>
          <w:color w:val="0000FF"/>
        </w:rPr>
        <w:tab/>
        <w:t>(mmm)</w:t>
      </w:r>
      <w:r w:rsidRPr="005F5224">
        <w:rPr>
          <w:strike/>
          <w:color w:val="0000FF"/>
        </w:rPr>
        <w:tab/>
        <w:t>subrule 7.2(9);</w:t>
      </w:r>
    </w:p>
    <w:p w14:paraId="24B5FBAE" w14:textId="77777777" w:rsidR="00BB7660" w:rsidRPr="005F5224" w:rsidRDefault="00BB7660" w:rsidP="00BB7660">
      <w:pPr>
        <w:pStyle w:val="paragraph"/>
        <w:rPr>
          <w:strike/>
          <w:color w:val="0000FF"/>
        </w:rPr>
      </w:pPr>
      <w:r w:rsidRPr="005F5224">
        <w:rPr>
          <w:strike/>
          <w:color w:val="0000FF"/>
        </w:rPr>
        <w:tab/>
        <w:t>(nnn)</w:t>
      </w:r>
      <w:r w:rsidRPr="005F5224">
        <w:rPr>
          <w:strike/>
          <w:color w:val="0000FF"/>
        </w:rPr>
        <w:tab/>
        <w:t>subrule 7.3(2); </w:t>
      </w:r>
    </w:p>
    <w:p w14:paraId="7484FE86" w14:textId="77777777" w:rsidR="00BB7660" w:rsidRPr="005F5224" w:rsidRDefault="00BB7660" w:rsidP="00BB7660">
      <w:pPr>
        <w:pStyle w:val="paragraph"/>
        <w:rPr>
          <w:strike/>
          <w:color w:val="0000FF"/>
        </w:rPr>
      </w:pPr>
      <w:r w:rsidRPr="005F5224">
        <w:rPr>
          <w:strike/>
          <w:color w:val="0000FF"/>
        </w:rPr>
        <w:lastRenderedPageBreak/>
        <w:tab/>
        <w:t>(ooo)</w:t>
      </w:r>
      <w:r w:rsidRPr="005F5224">
        <w:rPr>
          <w:strike/>
          <w:color w:val="0000FF"/>
        </w:rPr>
        <w:tab/>
        <w:t>subrule 7.3A(1); </w:t>
      </w:r>
    </w:p>
    <w:p w14:paraId="2D25635A" w14:textId="77777777" w:rsidR="00BB7660" w:rsidRPr="005F5224" w:rsidRDefault="00BB7660" w:rsidP="00BB7660">
      <w:pPr>
        <w:pStyle w:val="paragraph"/>
        <w:rPr>
          <w:strike/>
          <w:color w:val="0000FF"/>
        </w:rPr>
      </w:pPr>
      <w:r w:rsidRPr="005F5224">
        <w:rPr>
          <w:strike/>
          <w:color w:val="0000FF"/>
        </w:rPr>
        <w:tab/>
        <w:t>(ppp)</w:t>
      </w:r>
      <w:r w:rsidRPr="005F5224">
        <w:rPr>
          <w:strike/>
          <w:color w:val="0000FF"/>
        </w:rPr>
        <w:tab/>
        <w:t>subrule 7.6(1);</w:t>
      </w:r>
    </w:p>
    <w:p w14:paraId="0E61332A" w14:textId="77777777" w:rsidR="00BB7660" w:rsidRPr="005F5224" w:rsidRDefault="00BB7660" w:rsidP="00BB7660">
      <w:pPr>
        <w:pStyle w:val="paragraph"/>
        <w:rPr>
          <w:strike/>
          <w:color w:val="0000FF"/>
        </w:rPr>
      </w:pPr>
      <w:r w:rsidRPr="005F5224">
        <w:rPr>
          <w:strike/>
          <w:color w:val="0000FF"/>
        </w:rPr>
        <w:tab/>
        <w:t>(qqq)</w:t>
      </w:r>
      <w:r w:rsidRPr="005F5224">
        <w:rPr>
          <w:strike/>
          <w:color w:val="0000FF"/>
        </w:rPr>
        <w:tab/>
        <w:t>subrule 7.8A(1); </w:t>
      </w:r>
    </w:p>
    <w:p w14:paraId="41F47FF7" w14:textId="77777777" w:rsidR="00BB7660" w:rsidRPr="005F5224" w:rsidRDefault="00BB7660" w:rsidP="00BB7660">
      <w:pPr>
        <w:pStyle w:val="paragraph"/>
        <w:rPr>
          <w:strike/>
          <w:color w:val="0000FF"/>
        </w:rPr>
      </w:pPr>
      <w:r w:rsidRPr="005F5224">
        <w:rPr>
          <w:strike/>
          <w:color w:val="0000FF"/>
        </w:rPr>
        <w:tab/>
        <w:t>(rrr)</w:t>
      </w:r>
      <w:r w:rsidRPr="005F5224">
        <w:rPr>
          <w:strike/>
          <w:color w:val="0000FF"/>
        </w:rPr>
        <w:tab/>
        <w:t>subrule 7.8A(2); </w:t>
      </w:r>
    </w:p>
    <w:p w14:paraId="5BDDF8ED" w14:textId="77777777" w:rsidR="005C0B5F" w:rsidRPr="005F5224" w:rsidRDefault="005C0B5F" w:rsidP="005C0B5F">
      <w:pPr>
        <w:pStyle w:val="paragraph"/>
        <w:rPr>
          <w:strike/>
          <w:color w:val="0000FF"/>
        </w:rPr>
      </w:pPr>
      <w:r w:rsidRPr="005F5224">
        <w:rPr>
          <w:strike/>
          <w:color w:val="0000FF"/>
        </w:rPr>
        <w:tab/>
        <w:t>(sss)</w:t>
      </w:r>
      <w:r w:rsidRPr="005F5224">
        <w:rPr>
          <w:strike/>
          <w:color w:val="0000FF"/>
        </w:rPr>
        <w:tab/>
        <w:t>subrule 7.10A(1); </w:t>
      </w:r>
    </w:p>
    <w:p w14:paraId="6DA37FE6" w14:textId="77777777" w:rsidR="00BB7660" w:rsidRPr="005F5224" w:rsidRDefault="00BB7660" w:rsidP="00BB7660">
      <w:pPr>
        <w:pStyle w:val="paragraph"/>
        <w:rPr>
          <w:strike/>
          <w:color w:val="0000FF"/>
        </w:rPr>
      </w:pPr>
      <w:r w:rsidRPr="005F5224">
        <w:rPr>
          <w:strike/>
          <w:color w:val="0000FF"/>
        </w:rPr>
        <w:tab/>
        <w:t>(sss)</w:t>
      </w:r>
      <w:r w:rsidRPr="005F5224">
        <w:rPr>
          <w:strike/>
          <w:color w:val="0000FF"/>
        </w:rPr>
        <w:tab/>
        <w:t>subrule 7.10A(1); </w:t>
      </w:r>
    </w:p>
    <w:p w14:paraId="346E98A9" w14:textId="77777777" w:rsidR="00BB7660" w:rsidRPr="005F5224" w:rsidRDefault="00BB7660" w:rsidP="00BB7660">
      <w:pPr>
        <w:pStyle w:val="paragraph"/>
        <w:rPr>
          <w:strike/>
          <w:color w:val="0000FF"/>
        </w:rPr>
      </w:pPr>
      <w:r w:rsidRPr="005F5224">
        <w:rPr>
          <w:strike/>
          <w:color w:val="0000FF"/>
        </w:rPr>
        <w:tab/>
        <w:t>(ttt)</w:t>
      </w:r>
      <w:r w:rsidRPr="005F5224">
        <w:rPr>
          <w:strike/>
          <w:color w:val="0000FF"/>
        </w:rPr>
        <w:tab/>
        <w:t>subrule 7.14(1);</w:t>
      </w:r>
    </w:p>
    <w:p w14:paraId="11E359D9" w14:textId="77777777" w:rsidR="00BB7660" w:rsidRPr="005F5224" w:rsidRDefault="00BB7660" w:rsidP="00BB7660">
      <w:pPr>
        <w:pStyle w:val="paragraph"/>
        <w:rPr>
          <w:strike/>
          <w:color w:val="0000FF"/>
        </w:rPr>
      </w:pPr>
      <w:r w:rsidRPr="005F5224">
        <w:rPr>
          <w:strike/>
          <w:color w:val="0000FF"/>
        </w:rPr>
        <w:tab/>
        <w:t>(uuu)</w:t>
      </w:r>
      <w:r w:rsidRPr="005F5224">
        <w:rPr>
          <w:strike/>
          <w:color w:val="0000FF"/>
        </w:rPr>
        <w:tab/>
        <w:t>subrule 7.14(2);</w:t>
      </w:r>
    </w:p>
    <w:p w14:paraId="59FA9420" w14:textId="77777777" w:rsidR="00BB7660" w:rsidRPr="005F5224" w:rsidRDefault="00BB7660" w:rsidP="00BB7660">
      <w:pPr>
        <w:pStyle w:val="paragraph"/>
        <w:rPr>
          <w:strike/>
          <w:color w:val="0000FF"/>
        </w:rPr>
      </w:pPr>
      <w:r w:rsidRPr="005F5224">
        <w:rPr>
          <w:strike/>
          <w:color w:val="0000FF"/>
        </w:rPr>
        <w:tab/>
        <w:t>(vvv)</w:t>
      </w:r>
      <w:r w:rsidRPr="005F5224">
        <w:rPr>
          <w:strike/>
          <w:color w:val="0000FF"/>
        </w:rPr>
        <w:tab/>
        <w:t>subrule 7.16(1); </w:t>
      </w:r>
    </w:p>
    <w:p w14:paraId="7D117599" w14:textId="77777777" w:rsidR="00BB7660" w:rsidRPr="005F5224" w:rsidRDefault="00BB7660" w:rsidP="00BB7660">
      <w:pPr>
        <w:pStyle w:val="paragraph"/>
        <w:rPr>
          <w:strike/>
          <w:color w:val="0000FF"/>
        </w:rPr>
      </w:pPr>
      <w:r w:rsidRPr="005F5224">
        <w:rPr>
          <w:strike/>
          <w:color w:val="0000FF"/>
        </w:rPr>
        <w:tab/>
        <w:t>(www)</w:t>
      </w:r>
      <w:r w:rsidRPr="005F5224">
        <w:rPr>
          <w:strike/>
          <w:color w:val="0000FF"/>
        </w:rPr>
        <w:tab/>
        <w:t>subrule 9.6(4);</w:t>
      </w:r>
    </w:p>
    <w:p w14:paraId="21D976F4" w14:textId="77777777" w:rsidR="00BB7660" w:rsidRPr="005F5224" w:rsidRDefault="00BB7660" w:rsidP="00BB7660">
      <w:pPr>
        <w:pStyle w:val="paragraph"/>
        <w:rPr>
          <w:strike/>
          <w:color w:val="0000FF"/>
        </w:rPr>
      </w:pPr>
      <w:r w:rsidRPr="005F5224">
        <w:rPr>
          <w:strike/>
          <w:color w:val="0000FF"/>
        </w:rPr>
        <w:tab/>
        <w:t>(xxx)</w:t>
      </w:r>
      <w:r w:rsidRPr="005F5224">
        <w:rPr>
          <w:strike/>
          <w:color w:val="0000FF"/>
        </w:rPr>
        <w:tab/>
        <w:t>subrule 9.7(3).</w:t>
      </w:r>
    </w:p>
    <w:p w14:paraId="4A2877DD" w14:textId="77777777" w:rsidR="00BB7660" w:rsidRPr="0019492B" w:rsidRDefault="00BB7660" w:rsidP="0019492B">
      <w:pPr>
        <w:pStyle w:val="notetext"/>
        <w:rPr>
          <w:strike/>
          <w:color w:val="0000FF"/>
        </w:rPr>
        <w:sectPr w:rsidR="00BB7660" w:rsidRPr="0019492B" w:rsidSect="0051288D">
          <w:headerReference w:type="default" r:id="rId31"/>
          <w:pgSz w:w="11907" w:h="16839" w:code="9"/>
          <w:pgMar w:top="2234" w:right="1797" w:bottom="1440" w:left="1797" w:header="720" w:footer="709" w:gutter="0"/>
          <w:cols w:space="708"/>
          <w:docGrid w:linePitch="360"/>
        </w:sectPr>
      </w:pPr>
      <w:r w:rsidRPr="005F5224">
        <w:rPr>
          <w:strike/>
          <w:color w:val="0000FF"/>
        </w:rPr>
        <w:t>Note:</w:t>
      </w:r>
      <w:r w:rsidRPr="005F5224">
        <w:rPr>
          <w:strike/>
          <w:color w:val="0000FF"/>
        </w:rPr>
        <w:tab/>
      </w:r>
      <w:r w:rsidRPr="005F5224">
        <w:rPr>
          <w:bCs/>
          <w:strike/>
          <w:color w:val="0000FF"/>
          <w:lang w:val="en-US"/>
        </w:rPr>
        <w:t xml:space="preserve">Subrules </w:t>
      </w:r>
      <w:r w:rsidRPr="005F5224">
        <w:rPr>
          <w:strike/>
          <w:color w:val="0000FF"/>
        </w:rPr>
        <w:t xml:space="preserve">2.5(2), 3.5(2), 4.7(3), 5.25(3), 5.25(5), 5.34(4), </w:t>
      </w:r>
      <w:r w:rsidRPr="005F5224">
        <w:rPr>
          <w:bCs/>
          <w:strike/>
          <w:color w:val="0000FF"/>
          <w:lang w:val="en-US"/>
        </w:rPr>
        <w:t>9.3(1), 9.3(2), 9.3(2A), 9.3(5), 9.4(1) ), 9.4(1A), 9.4</w:t>
      </w:r>
      <w:r w:rsidRPr="005F5224">
        <w:rPr>
          <w:strike/>
          <w:color w:val="0000FF"/>
        </w:rPr>
        <w:t>(2)</w:t>
      </w:r>
      <w:r w:rsidRPr="005F5224">
        <w:rPr>
          <w:bCs/>
          <w:strike/>
          <w:color w:val="0000FF"/>
          <w:lang w:val="en-US"/>
        </w:rPr>
        <w:t xml:space="preserve"> 9.4</w:t>
      </w:r>
      <w:r w:rsidRPr="005F5224">
        <w:rPr>
          <w:strike/>
          <w:color w:val="0000FF"/>
        </w:rPr>
        <w:t>(2A)</w:t>
      </w:r>
      <w:r w:rsidRPr="005F5224">
        <w:rPr>
          <w:bCs/>
          <w:strike/>
          <w:color w:val="0000FF"/>
          <w:lang w:val="en-US"/>
        </w:rPr>
        <w:t>, 9.4(3), 9.5(4), 9.5(5) and 9.5(6) are also civil penalty provisions within the meaning of the Regulatory Powers Act</w:t>
      </w:r>
    </w:p>
    <w:p w14:paraId="0D8B3663" w14:textId="77777777" w:rsidR="00BB7660" w:rsidRDefault="00BB7660" w:rsidP="00BB7660">
      <w:pPr>
        <w:pStyle w:val="ActHead6"/>
      </w:pPr>
      <w:bookmarkStart w:id="625" w:name="_Toc111132245"/>
      <w:r>
        <w:lastRenderedPageBreak/>
        <w:t>Schedule 1</w:t>
      </w:r>
      <w:r w:rsidRPr="00956176">
        <w:t>—Default conditions on accreditations</w:t>
      </w:r>
      <w:bookmarkEnd w:id="625"/>
    </w:p>
    <w:p w14:paraId="30B22EB6" w14:textId="77777777" w:rsidR="00BB7660" w:rsidRPr="00956176" w:rsidRDefault="00BB7660" w:rsidP="00BB7660">
      <w:pPr>
        <w:pStyle w:val="ActHead2"/>
      </w:pPr>
      <w:bookmarkStart w:id="626" w:name="_Toc111132246"/>
      <w:r>
        <w:t>Part 1</w:t>
      </w:r>
      <w:r w:rsidRPr="00956176">
        <w:t>—Preliminary</w:t>
      </w:r>
      <w:bookmarkEnd w:id="626"/>
    </w:p>
    <w:p w14:paraId="3EB6BF2E" w14:textId="77777777" w:rsidR="00BB7660" w:rsidRPr="00956176" w:rsidRDefault="00BB7660" w:rsidP="00BB7660">
      <w:pPr>
        <w:pStyle w:val="ActHead5"/>
      </w:pPr>
      <w:bookmarkStart w:id="627" w:name="_Toc111132247"/>
      <w:r>
        <w:t>1.1</w:t>
      </w:r>
      <w:r w:rsidRPr="00956176">
        <w:t xml:space="preserve">  Purpose of Schedule</w:t>
      </w:r>
      <w:bookmarkEnd w:id="627"/>
    </w:p>
    <w:p w14:paraId="03D110FF" w14:textId="77777777" w:rsidR="00BB7660" w:rsidRPr="00956176" w:rsidRDefault="00BB7660" w:rsidP="00BB7660">
      <w:pPr>
        <w:pStyle w:val="subsection"/>
      </w:pPr>
      <w:r w:rsidRPr="00956176">
        <w:tab/>
      </w:r>
      <w:r w:rsidRPr="00956176">
        <w:tab/>
        <w:t>This Schedule sets out the default conditions on accreditations, for rule </w:t>
      </w:r>
      <w:r>
        <w:t xml:space="preserve">5.9 </w:t>
      </w:r>
      <w:r w:rsidRPr="00E1300D">
        <w:rPr>
          <w:color w:val="000000" w:themeColor="text1"/>
        </w:rPr>
        <w:t>of these rules</w:t>
      </w:r>
      <w:r w:rsidRPr="00956176">
        <w:t>.</w:t>
      </w:r>
    </w:p>
    <w:p w14:paraId="0685AC7B" w14:textId="77777777" w:rsidR="00BB7660" w:rsidRDefault="00BB7660" w:rsidP="00BB7660">
      <w:pPr>
        <w:pStyle w:val="ActHead2"/>
      </w:pPr>
      <w:bookmarkStart w:id="628" w:name="_Toc111132248"/>
      <w:r>
        <w:t>Part 2</w:t>
      </w:r>
      <w:r w:rsidRPr="00956176">
        <w:t>—Default conditions on accreditations</w:t>
      </w:r>
      <w:bookmarkEnd w:id="628"/>
    </w:p>
    <w:p w14:paraId="513693BE" w14:textId="77777777" w:rsidR="00BB7660" w:rsidRPr="00A00F6F" w:rsidRDefault="00BB7660" w:rsidP="00BB7660">
      <w:pPr>
        <w:pStyle w:val="ActHead5"/>
      </w:pPr>
      <w:bookmarkStart w:id="629" w:name="_Toc111132249"/>
      <w:bookmarkStart w:id="630" w:name="_Toc17450943"/>
      <w:r w:rsidRPr="00A00F6F">
        <w:t>2.1  Ongoing reporting obligation on accredited persons without streamlined accreditation</w:t>
      </w:r>
      <w:bookmarkEnd w:id="629"/>
    </w:p>
    <w:bookmarkEnd w:id="630"/>
    <w:p w14:paraId="35CECE8B" w14:textId="77777777" w:rsidR="00BB7660" w:rsidRPr="00A00F6F" w:rsidRDefault="00BB7660" w:rsidP="00BB7660">
      <w:pPr>
        <w:pStyle w:val="subsection"/>
      </w:pPr>
      <w:r w:rsidRPr="00A00F6F">
        <w:tab/>
        <w:t>(1A)</w:t>
      </w:r>
      <w:r w:rsidRPr="00A00F6F">
        <w:tab/>
        <w:t>This clause applies to an accredited person other than one with streamlined accreditation under rule 5.5.</w:t>
      </w:r>
    </w:p>
    <w:p w14:paraId="59D68143" w14:textId="77777777" w:rsidR="00BB7660" w:rsidRPr="00ED5E97" w:rsidRDefault="00BB7660" w:rsidP="00BB7660">
      <w:pPr>
        <w:pStyle w:val="subsection"/>
      </w:pPr>
      <w:r w:rsidRPr="00ED5E97">
        <w:tab/>
        <w:t>(1)</w:t>
      </w:r>
      <w:r w:rsidRPr="00ED5E97">
        <w:tab/>
        <w:t>In this clause:</w:t>
      </w:r>
    </w:p>
    <w:p w14:paraId="1529CE38" w14:textId="77777777" w:rsidR="00BB7660" w:rsidRDefault="00BB7660" w:rsidP="00BB7660">
      <w:pPr>
        <w:pStyle w:val="Definition"/>
      </w:pPr>
      <w:r w:rsidRPr="00CD2ED6">
        <w:rPr>
          <w:b/>
          <w:i/>
        </w:rPr>
        <w:t>ASAE</w:t>
      </w:r>
      <w:r w:rsidRPr="00ED5E97">
        <w:t xml:space="preserve"> followed by a number means the standard with</w:t>
      </w:r>
      <w:r>
        <w:t xml:space="preserve"> that number issued by the Auditing and Assurance Standards Board of the Australian Government (AUASB). </w:t>
      </w:r>
    </w:p>
    <w:p w14:paraId="7FD8FCE0" w14:textId="77777777" w:rsidR="00BB7660" w:rsidRPr="009C4B0C" w:rsidRDefault="00BB7660" w:rsidP="00BB7660">
      <w:pPr>
        <w:pStyle w:val="Definition"/>
      </w:pPr>
      <w:r w:rsidRPr="009C4B0C">
        <w:rPr>
          <w:b/>
          <w:i/>
        </w:rPr>
        <w:t>approved</w:t>
      </w:r>
      <w:r w:rsidRPr="009C4B0C">
        <w:t xml:space="preserve"> means approved for the purposes of this clause in guidelines issued by the Data Recipient Accreditor.</w:t>
      </w:r>
    </w:p>
    <w:p w14:paraId="426A28F7" w14:textId="77777777" w:rsidR="00BB7660" w:rsidRPr="00A00F6F" w:rsidRDefault="00BB7660" w:rsidP="00BB7660">
      <w:pPr>
        <w:pStyle w:val="Definition"/>
      </w:pPr>
      <w:r w:rsidRPr="00A00F6F">
        <w:rPr>
          <w:b/>
          <w:i/>
        </w:rPr>
        <w:t xml:space="preserve">assurance report </w:t>
      </w:r>
      <w:r w:rsidRPr="00A00F6F">
        <w:t>means:</w:t>
      </w:r>
    </w:p>
    <w:p w14:paraId="7DB274DA" w14:textId="77777777" w:rsidR="00BB7660" w:rsidRPr="00A00F6F" w:rsidRDefault="00BB7660" w:rsidP="00BB7660">
      <w:pPr>
        <w:pStyle w:val="paragraph"/>
      </w:pPr>
      <w:r w:rsidRPr="00A00F6F">
        <w:tab/>
        <w:t>(a)</w:t>
      </w:r>
      <w:r w:rsidRPr="00A00F6F">
        <w:tab/>
        <w:t xml:space="preserve">for a person with unrestricted accreditation—a report that is made in accordance with: </w:t>
      </w:r>
    </w:p>
    <w:p w14:paraId="4239C954" w14:textId="77777777" w:rsidR="00BB7660" w:rsidRPr="00A00F6F" w:rsidRDefault="00BB7660" w:rsidP="00BB7660">
      <w:pPr>
        <w:pStyle w:val="paragraphsub"/>
      </w:pPr>
      <w:r w:rsidRPr="00A00F6F">
        <w:tab/>
        <w:t>(i)</w:t>
      </w:r>
      <w:r w:rsidRPr="00A00F6F">
        <w:tab/>
        <w:t>ASAE 3150; or</w:t>
      </w:r>
    </w:p>
    <w:p w14:paraId="3DED785A" w14:textId="77777777" w:rsidR="00BB7660" w:rsidRPr="00A00F6F" w:rsidRDefault="00BB7660" w:rsidP="00BB7660">
      <w:pPr>
        <w:pStyle w:val="paragraphsub"/>
      </w:pPr>
      <w:r w:rsidRPr="00A00F6F">
        <w:tab/>
        <w:t>(ii)</w:t>
      </w:r>
      <w:r w:rsidRPr="00A00F6F">
        <w:tab/>
        <w:t>an approved standard, report or framework; and</w:t>
      </w:r>
      <w:r w:rsidRPr="00A00F6F">
        <w:tab/>
      </w:r>
    </w:p>
    <w:p w14:paraId="5A2EF08E" w14:textId="77777777" w:rsidR="0071213B" w:rsidRPr="00AC36D6" w:rsidRDefault="0071213B" w:rsidP="0071213B">
      <w:pPr>
        <w:pStyle w:val="notetext"/>
        <w:rPr>
          <w:color w:val="0000FF"/>
        </w:rPr>
      </w:pPr>
      <w:r w:rsidRPr="00AC36D6">
        <w:rPr>
          <w:color w:val="0000FF"/>
        </w:rPr>
        <w:t>Note:</w:t>
      </w:r>
      <w:r w:rsidRPr="00AC36D6">
        <w:rPr>
          <w:color w:val="0000FF"/>
        </w:rPr>
        <w:tab/>
        <w:t xml:space="preserve">See the </w:t>
      </w:r>
      <w:r w:rsidRPr="00AC36D6">
        <w:rPr>
          <w:i/>
          <w:color w:val="0000FF"/>
        </w:rPr>
        <w:t>CDR Accreditation Guidelines</w:t>
      </w:r>
      <w:r w:rsidRPr="00AC36D6">
        <w:rPr>
          <w:color w:val="0000FF"/>
        </w:rPr>
        <w:t>, which could in 2022</w:t>
      </w:r>
      <w:r w:rsidR="00AC36D6" w:rsidRPr="00AC36D6">
        <w:rPr>
          <w:color w:val="0000FF"/>
        </w:rPr>
        <w:t xml:space="preserve"> </w:t>
      </w:r>
      <w:r w:rsidRPr="00AC36D6">
        <w:rPr>
          <w:color w:val="0000FF"/>
        </w:rPr>
        <w:t>be downloaded from the Commission’s website (</w:t>
      </w:r>
      <w:r w:rsidRPr="00AC36D6">
        <w:rPr>
          <w:rStyle w:val="Hyperlink"/>
          <w:u w:val="none"/>
        </w:rPr>
        <w:t>https://www.accc.gov.au</w:t>
      </w:r>
      <w:r w:rsidRPr="00AC36D6">
        <w:rPr>
          <w:color w:val="0000FF"/>
        </w:rPr>
        <w:t>).</w:t>
      </w:r>
    </w:p>
    <w:p w14:paraId="55CF6BF3" w14:textId="77777777" w:rsidR="0071213B" w:rsidRPr="00AC36D6" w:rsidRDefault="0071213B" w:rsidP="0071213B">
      <w:pPr>
        <w:pStyle w:val="notetext"/>
        <w:rPr>
          <w:rFonts w:eastAsiaTheme="minorHAnsi"/>
          <w:color w:val="0000FF"/>
        </w:rPr>
      </w:pPr>
      <w:r w:rsidRPr="00AC36D6">
        <w:rPr>
          <w:color w:val="0000FF"/>
        </w:rPr>
        <w:tab/>
        <w:t xml:space="preserve">ASAE 3150 </w:t>
      </w:r>
      <w:r w:rsidRPr="00AC36D6">
        <w:rPr>
          <w:rFonts w:eastAsiaTheme="minorHAnsi"/>
          <w:color w:val="0000FF"/>
        </w:rPr>
        <w:t xml:space="preserve">could in </w:t>
      </w:r>
      <w:r w:rsidRPr="00AC36D6">
        <w:rPr>
          <w:color w:val="0000FF"/>
        </w:rPr>
        <w:t xml:space="preserve">2022 </w:t>
      </w:r>
      <w:r w:rsidRPr="00AC36D6">
        <w:rPr>
          <w:rFonts w:eastAsiaTheme="minorHAnsi"/>
          <w:color w:val="0000FF"/>
        </w:rPr>
        <w:t>be downloaded from the Auditing and Assurance Standards Board’s website (https://www.auasb.gov.au/admin/file/content102/c3/Jan15_ASAE_3150_Assurance_Engagements_on_Controls.pdf).</w:t>
      </w:r>
    </w:p>
    <w:p w14:paraId="116D267E" w14:textId="77777777" w:rsidR="00AC36D6" w:rsidRPr="00AC36D6" w:rsidRDefault="00AC36D6" w:rsidP="00AC36D6">
      <w:pPr>
        <w:pStyle w:val="notetext0"/>
        <w:shd w:val="clear" w:color="auto" w:fill="FFFFFF"/>
        <w:spacing w:before="122" w:beforeAutospacing="0" w:after="0" w:afterAutospacing="0"/>
        <w:ind w:left="1985" w:hanging="851"/>
        <w:rPr>
          <w:strike/>
          <w:color w:val="0000FF"/>
          <w:sz w:val="18"/>
          <w:szCs w:val="18"/>
        </w:rPr>
      </w:pPr>
      <w:r w:rsidRPr="00AC36D6">
        <w:rPr>
          <w:strike/>
          <w:color w:val="0000FF"/>
          <w:sz w:val="18"/>
          <w:szCs w:val="18"/>
        </w:rPr>
        <w:t>Note:          See the </w:t>
      </w:r>
      <w:r w:rsidRPr="00AC36D6">
        <w:rPr>
          <w:i/>
          <w:iCs/>
          <w:strike/>
          <w:color w:val="0000FF"/>
          <w:sz w:val="18"/>
          <w:szCs w:val="18"/>
        </w:rPr>
        <w:t>CDR Accreditation Guidelines</w:t>
      </w:r>
      <w:r w:rsidRPr="00AC36D6">
        <w:rPr>
          <w:strike/>
          <w:color w:val="0000FF"/>
          <w:sz w:val="18"/>
          <w:szCs w:val="18"/>
        </w:rPr>
        <w:t>, which could in 2020 be downloaded from the Commission’s website (</w:t>
      </w:r>
      <w:r w:rsidRPr="00AC36D6">
        <w:rPr>
          <w:rStyle w:val="Hyperlink"/>
          <w:strike/>
          <w:sz w:val="18"/>
          <w:szCs w:val="18"/>
        </w:rPr>
        <w:t>https://www.accc.gov.au</w:t>
      </w:r>
      <w:r w:rsidRPr="00AC36D6">
        <w:rPr>
          <w:strike/>
          <w:color w:val="0000FF"/>
          <w:sz w:val="18"/>
          <w:szCs w:val="18"/>
        </w:rPr>
        <w:t>).</w:t>
      </w:r>
    </w:p>
    <w:p w14:paraId="236A61C1" w14:textId="77777777" w:rsidR="00AC36D6" w:rsidRPr="00AC36D6" w:rsidRDefault="00AC36D6" w:rsidP="00AC36D6">
      <w:pPr>
        <w:pStyle w:val="notetext0"/>
        <w:shd w:val="clear" w:color="auto" w:fill="FFFFFF"/>
        <w:spacing w:before="122" w:beforeAutospacing="0" w:after="0" w:afterAutospacing="0"/>
        <w:ind w:left="1985" w:hanging="851"/>
        <w:rPr>
          <w:strike/>
          <w:color w:val="0000FF"/>
          <w:sz w:val="18"/>
          <w:szCs w:val="18"/>
        </w:rPr>
      </w:pPr>
      <w:r w:rsidRPr="00AC36D6">
        <w:rPr>
          <w:strike/>
          <w:color w:val="0000FF"/>
          <w:sz w:val="18"/>
          <w:szCs w:val="18"/>
        </w:rPr>
        <w:t>                   ASAE 3150 could in 2020 be downloaded from the Auditing and Assurance Standards Board’s website (https://www.auasb.gov.au/admin/file/content102/c3/Jan15_ASAE_3150_Assurance_Engagements_on_Controls.pdf).</w:t>
      </w:r>
    </w:p>
    <w:p w14:paraId="4334E282" w14:textId="77777777" w:rsidR="00BB7660" w:rsidRPr="00A00F6F" w:rsidRDefault="00AC36D6" w:rsidP="00AC36D6">
      <w:pPr>
        <w:pStyle w:val="paragraph"/>
      </w:pPr>
      <w:r w:rsidRPr="00A00F6F">
        <w:t xml:space="preserve"> </w:t>
      </w:r>
      <w:r w:rsidR="005F5224">
        <w:tab/>
      </w:r>
      <w:r w:rsidR="00BB7660" w:rsidRPr="00A00F6F">
        <w:t>(b)</w:t>
      </w:r>
      <w:r w:rsidR="00BB7660" w:rsidRPr="00A00F6F">
        <w:tab/>
        <w:t>for a person with sponsored accreditation—an assessment of its capacity to comply with Schedule 2 that is made in accordance with any approved requirements;</w:t>
      </w:r>
    </w:p>
    <w:p w14:paraId="5EE2744F" w14:textId="77777777" w:rsidR="00BB7660" w:rsidRPr="00A00F6F" w:rsidRDefault="00BB7660" w:rsidP="00BB7660">
      <w:pPr>
        <w:pStyle w:val="subsection2"/>
      </w:pPr>
      <w:r w:rsidRPr="00A00F6F">
        <w:t xml:space="preserve">that does not include the information that must be provided in an attestation statement. </w:t>
      </w:r>
    </w:p>
    <w:p w14:paraId="3094E7CC" w14:textId="77777777" w:rsidR="00BB7660" w:rsidRPr="00A00F6F" w:rsidRDefault="00BB7660" w:rsidP="00BB7660">
      <w:pPr>
        <w:pStyle w:val="Definition"/>
      </w:pPr>
      <w:r w:rsidRPr="00A00F6F">
        <w:rPr>
          <w:b/>
          <w:i/>
        </w:rPr>
        <w:t>attestation statement</w:t>
      </w:r>
      <w:r w:rsidRPr="00A00F6F">
        <w:t xml:space="preserve"> means:</w:t>
      </w:r>
    </w:p>
    <w:p w14:paraId="5B8D4291" w14:textId="77777777" w:rsidR="00BB7660" w:rsidRPr="00A00F6F" w:rsidRDefault="00BB7660" w:rsidP="00BB7660">
      <w:pPr>
        <w:pStyle w:val="paragraph"/>
      </w:pPr>
      <w:r w:rsidRPr="00A00F6F">
        <w:lastRenderedPageBreak/>
        <w:tab/>
        <w:t>(a)</w:t>
      </w:r>
      <w:r w:rsidRPr="00A00F6F">
        <w:tab/>
        <w:t>for a person with unrestricted accreditation—a statement in the form of a responsible party’s statement on controls and system description that is made in accordance with ASAE 3150; and</w:t>
      </w:r>
    </w:p>
    <w:p w14:paraId="553F9D20" w14:textId="77777777" w:rsidR="00BB7660" w:rsidRPr="00A00F6F" w:rsidRDefault="00BB7660" w:rsidP="00BB7660">
      <w:pPr>
        <w:pStyle w:val="paragraph"/>
      </w:pPr>
      <w:r w:rsidRPr="00A00F6F">
        <w:tab/>
        <w:t>(b)</w:t>
      </w:r>
      <w:r w:rsidRPr="00A00F6F">
        <w:tab/>
        <w:t>for a person with sponsored accreditation—a statement about its compliance with Schedule 2 that is made in accordance with any approved requirements.</w:t>
      </w:r>
    </w:p>
    <w:p w14:paraId="047BB669" w14:textId="77777777" w:rsidR="00BB7660" w:rsidRDefault="00BB7660" w:rsidP="00BB7660">
      <w:pPr>
        <w:pStyle w:val="SubsectionHead"/>
      </w:pPr>
      <w:r>
        <w:t>Attestation statements</w:t>
      </w:r>
    </w:p>
    <w:p w14:paraId="19118F32" w14:textId="77777777" w:rsidR="00BB7660" w:rsidRDefault="00BB7660" w:rsidP="00BB7660">
      <w:pPr>
        <w:pStyle w:val="subsection"/>
      </w:pPr>
      <w:r>
        <w:tab/>
        <w:t>(2)</w:t>
      </w:r>
      <w:r>
        <w:tab/>
        <w:t>The accredited person must provide an attestation statement to the Data Recipient Accreditor within 3 months after the end of:</w:t>
      </w:r>
    </w:p>
    <w:p w14:paraId="51AF3BB8" w14:textId="77777777" w:rsidR="00BB7660" w:rsidRDefault="00BB7660" w:rsidP="00BB7660">
      <w:pPr>
        <w:pStyle w:val="paragraph"/>
      </w:pPr>
      <w:r>
        <w:tab/>
        <w:t>(a)</w:t>
      </w:r>
      <w:r>
        <w:tab/>
        <w:t>the first reporting period; and</w:t>
      </w:r>
    </w:p>
    <w:p w14:paraId="4A92D16B" w14:textId="77777777" w:rsidR="00BB7660" w:rsidRDefault="00BB7660" w:rsidP="00BB7660">
      <w:pPr>
        <w:pStyle w:val="paragraph"/>
      </w:pPr>
      <w:r>
        <w:tab/>
        <w:t>(b)</w:t>
      </w:r>
      <w:r>
        <w:tab/>
        <w:t>every second reporting period thereafter;</w:t>
      </w:r>
    </w:p>
    <w:p w14:paraId="7D78CBF6" w14:textId="77777777" w:rsidR="00BB7660" w:rsidRDefault="00BB7660" w:rsidP="00BB7660">
      <w:pPr>
        <w:pStyle w:val="subsection"/>
        <w:spacing w:before="40"/>
      </w:pPr>
      <w:r>
        <w:tab/>
      </w:r>
      <w:r>
        <w:tab/>
        <w:t xml:space="preserve">that covers the reporting period. </w:t>
      </w:r>
    </w:p>
    <w:p w14:paraId="1E359142" w14:textId="77777777" w:rsidR="00BB7660" w:rsidRDefault="00BB7660" w:rsidP="00BB7660">
      <w:pPr>
        <w:pStyle w:val="SubsectionHead"/>
      </w:pPr>
      <w:r>
        <w:t>Assurance reports</w:t>
      </w:r>
    </w:p>
    <w:p w14:paraId="0812523E" w14:textId="77777777" w:rsidR="00BB7660" w:rsidRDefault="00BB7660" w:rsidP="00BB7660">
      <w:pPr>
        <w:pStyle w:val="subsection"/>
      </w:pPr>
      <w:r>
        <w:tab/>
        <w:t>(3)</w:t>
      </w:r>
      <w:r>
        <w:tab/>
        <w:t>The accredited person must provide an assurance report to the Data Recipient Accreditor within 3 months after the end of:</w:t>
      </w:r>
    </w:p>
    <w:p w14:paraId="41E9D004" w14:textId="77777777" w:rsidR="00BB7660" w:rsidRDefault="00BB7660" w:rsidP="00BB7660">
      <w:pPr>
        <w:pStyle w:val="paragraph"/>
      </w:pPr>
      <w:r>
        <w:tab/>
        <w:t>(a)</w:t>
      </w:r>
      <w:r>
        <w:tab/>
        <w:t>the reporting period after the first reporting period; and</w:t>
      </w:r>
    </w:p>
    <w:p w14:paraId="41DE0BD6" w14:textId="77777777" w:rsidR="00BB7660" w:rsidRDefault="00BB7660" w:rsidP="00BB7660">
      <w:pPr>
        <w:pStyle w:val="paragraph"/>
      </w:pPr>
      <w:r>
        <w:tab/>
        <w:t>(b)</w:t>
      </w:r>
      <w:r>
        <w:tab/>
        <w:t>every second reporting period thereafter;</w:t>
      </w:r>
    </w:p>
    <w:p w14:paraId="7E78D72C" w14:textId="77777777" w:rsidR="00BB7660" w:rsidRDefault="00BB7660" w:rsidP="00BB7660">
      <w:pPr>
        <w:pStyle w:val="subsection"/>
        <w:spacing w:before="40"/>
      </w:pPr>
      <w:r>
        <w:tab/>
      </w:r>
      <w:r>
        <w:tab/>
        <w:t>that covers the reporting period.</w:t>
      </w:r>
    </w:p>
    <w:p w14:paraId="7CE3A94B" w14:textId="77777777" w:rsidR="00BB7660" w:rsidRPr="00CA7872" w:rsidRDefault="00BB7660" w:rsidP="00BB7660">
      <w:pPr>
        <w:pStyle w:val="SubsectionHead"/>
      </w:pPr>
      <w:r w:rsidRPr="00CA7872">
        <w:t>Reporting periods</w:t>
      </w:r>
    </w:p>
    <w:p w14:paraId="44E29B41" w14:textId="77777777" w:rsidR="00BB7660" w:rsidRPr="00CA7872" w:rsidRDefault="00BB7660" w:rsidP="00BB7660">
      <w:pPr>
        <w:pStyle w:val="subsection"/>
      </w:pPr>
      <w:r w:rsidRPr="00CA7872">
        <w:tab/>
        <w:t>(4)</w:t>
      </w:r>
      <w:r w:rsidRPr="00CA7872">
        <w:tab/>
        <w:t xml:space="preserve">For this clause, subject to subclause (5), a </w:t>
      </w:r>
      <w:r w:rsidRPr="00CA7872">
        <w:rPr>
          <w:b/>
          <w:i/>
        </w:rPr>
        <w:t>reporting period</w:t>
      </w:r>
      <w:r w:rsidRPr="00CA7872">
        <w:t xml:space="preserve"> for an accredited person is either a financial year or a calendar year, as determined for the accredited person by the Data Recipient Accreditor.</w:t>
      </w:r>
    </w:p>
    <w:p w14:paraId="446AF3F0" w14:textId="77777777" w:rsidR="00BB7660" w:rsidRPr="00CA7872" w:rsidRDefault="00BB7660" w:rsidP="00BB7660">
      <w:pPr>
        <w:pStyle w:val="subsection"/>
      </w:pPr>
      <w:r w:rsidRPr="00CA7872">
        <w:tab/>
        <w:t>(5)</w:t>
      </w:r>
      <w:r w:rsidRPr="00CA7872">
        <w:tab/>
        <w:t xml:space="preserve">However the </w:t>
      </w:r>
      <w:r w:rsidRPr="00CA7872">
        <w:rPr>
          <w:b/>
          <w:i/>
        </w:rPr>
        <w:t>first</w:t>
      </w:r>
      <w:r w:rsidRPr="00CA7872">
        <w:t xml:space="preserve"> reporting period for an accredited person is taken to be the period that:  </w:t>
      </w:r>
    </w:p>
    <w:p w14:paraId="561D2A88" w14:textId="77777777" w:rsidR="00BB7660" w:rsidRPr="00CA7872" w:rsidRDefault="00BB7660" w:rsidP="00BB7660">
      <w:pPr>
        <w:pStyle w:val="paragraph"/>
      </w:pPr>
      <w:r w:rsidRPr="00CA7872">
        <w:tab/>
        <w:t>(a)</w:t>
      </w:r>
      <w:r w:rsidRPr="00CA7872">
        <w:tab/>
        <w:t>if the accreditation decision takes effect within 3 months before the end of a reporting period—starts on the day the accreditation takes effect and ends on the last day of the following reporting period; and</w:t>
      </w:r>
    </w:p>
    <w:p w14:paraId="37F59646" w14:textId="77777777" w:rsidR="00BB7660" w:rsidRPr="00CA7872" w:rsidRDefault="00BB7660" w:rsidP="00BB7660">
      <w:pPr>
        <w:pStyle w:val="paragraph"/>
      </w:pPr>
      <w:r w:rsidRPr="00CA7872">
        <w:tab/>
        <w:t>(b)</w:t>
      </w:r>
      <w:r w:rsidRPr="00CA7872">
        <w:tab/>
        <w:t>otherwise—starts on the day the accreditation decision takes effect and ends on the last day of that reporting period.</w:t>
      </w:r>
    </w:p>
    <w:p w14:paraId="6392C05D" w14:textId="77777777" w:rsidR="00BB7660" w:rsidRPr="007F68A3" w:rsidRDefault="00BB7660" w:rsidP="00BB7660">
      <w:pPr>
        <w:pStyle w:val="notetext"/>
      </w:pPr>
      <w:r w:rsidRPr="007F68A3">
        <w:t>Example 1:</w:t>
      </w:r>
      <w:r w:rsidRPr="007F68A3">
        <w:tab/>
        <w:t>For paragraph (a) if an accreditation decision takes effect on 30 May 2022, the first reporting period starts on 30 May 2022</w:t>
      </w:r>
      <w:r>
        <w:t xml:space="preserve"> and</w:t>
      </w:r>
      <w:r w:rsidRPr="007F68A3">
        <w:t xml:space="preserve"> ends on 30 June 2023.</w:t>
      </w:r>
    </w:p>
    <w:p w14:paraId="0FEA8DD3" w14:textId="77777777" w:rsidR="00BB7660" w:rsidRPr="00C02000" w:rsidRDefault="00BB7660" w:rsidP="00BB7660">
      <w:pPr>
        <w:pStyle w:val="notetext"/>
      </w:pPr>
      <w:r w:rsidRPr="007F68A3">
        <w:t>Example 2:</w:t>
      </w:r>
      <w:r w:rsidRPr="007F68A3">
        <w:tab/>
        <w:t>For paragraph (b) if an accreditation decision takes effect on 1 January 2023, the first reporting period starts on 1 January 2023 and ends on 30 June 2023.</w:t>
      </w:r>
    </w:p>
    <w:p w14:paraId="344F898E" w14:textId="77777777" w:rsidR="00BB7660" w:rsidRPr="00A00F6F" w:rsidRDefault="00BB7660" w:rsidP="00BB7660">
      <w:pPr>
        <w:pStyle w:val="ActHead5"/>
      </w:pPr>
      <w:bookmarkStart w:id="631" w:name="_Toc111132250"/>
      <w:r w:rsidRPr="00A00F6F">
        <w:t>2.2  Conditions on sponsors and potential sponsors</w:t>
      </w:r>
      <w:bookmarkEnd w:id="631"/>
    </w:p>
    <w:p w14:paraId="6A5CE560" w14:textId="77777777" w:rsidR="00BB7660" w:rsidRPr="00A00F6F" w:rsidRDefault="00BB7660" w:rsidP="00BB7660">
      <w:pPr>
        <w:pStyle w:val="subsection"/>
      </w:pPr>
      <w:r w:rsidRPr="00A00F6F">
        <w:tab/>
        <w:t>(1)</w:t>
      </w:r>
      <w:r w:rsidRPr="00A00F6F">
        <w:tab/>
        <w:t>An accredited person that proposes to become the sponsor of a person that has, or proposes to apply for, sponsored accreditation must:</w:t>
      </w:r>
    </w:p>
    <w:p w14:paraId="08D87715" w14:textId="77777777" w:rsidR="00BB7660" w:rsidRPr="00A00F6F" w:rsidRDefault="00BB7660" w:rsidP="00BB7660">
      <w:pPr>
        <w:pStyle w:val="paragraph"/>
      </w:pPr>
      <w:r w:rsidRPr="00A00F6F">
        <w:tab/>
        <w:t>(a)</w:t>
      </w:r>
      <w:r w:rsidRPr="00A00F6F">
        <w:tab/>
        <w:t>have in place a defined third-party management framework that:</w:t>
      </w:r>
    </w:p>
    <w:p w14:paraId="735D26FC" w14:textId="77777777" w:rsidR="00BB7660" w:rsidRPr="00A00F6F" w:rsidRDefault="00BB7660" w:rsidP="00BB7660">
      <w:pPr>
        <w:pStyle w:val="paragraphsub"/>
      </w:pPr>
      <w:r w:rsidRPr="00A00F6F">
        <w:tab/>
        <w:t>(i)</w:t>
      </w:r>
      <w:r w:rsidRPr="00A00F6F">
        <w:tab/>
        <w:t>will ensure that the person maintains appropriate</w:t>
      </w:r>
      <w:r w:rsidRPr="00A00F6F">
        <w:rPr>
          <w:szCs w:val="22"/>
          <w:lang w:eastAsia="en-US"/>
        </w:rPr>
        <w:t xml:space="preserve"> information security capabilities as an affiliate; and</w:t>
      </w:r>
    </w:p>
    <w:p w14:paraId="57AD80E4" w14:textId="77777777" w:rsidR="00BB7660" w:rsidRPr="00A00F6F" w:rsidRDefault="00BB7660" w:rsidP="00BB7660">
      <w:pPr>
        <w:pStyle w:val="paragraphsub"/>
      </w:pPr>
      <w:r w:rsidRPr="00A00F6F">
        <w:lastRenderedPageBreak/>
        <w:tab/>
        <w:t>(ii)</w:t>
      </w:r>
      <w:r w:rsidRPr="00A00F6F">
        <w:tab/>
        <w:t>includes requirements and activities relating to the following matters as they relate to information security:</w:t>
      </w:r>
    </w:p>
    <w:p w14:paraId="363681AC" w14:textId="77777777" w:rsidR="00BB7660" w:rsidRPr="00A00F6F" w:rsidRDefault="00BB7660" w:rsidP="00BB7660">
      <w:pPr>
        <w:pStyle w:val="paragraphsub-sub"/>
      </w:pPr>
      <w:r w:rsidRPr="00A00F6F">
        <w:tab/>
        <w:t>(A)</w:t>
      </w:r>
      <w:r w:rsidRPr="00A00F6F">
        <w:tab/>
        <w:t>due diligence prior to establishing new relationships or contracts; and</w:t>
      </w:r>
    </w:p>
    <w:p w14:paraId="64196AF7" w14:textId="77777777" w:rsidR="00BB7660" w:rsidRPr="00A00F6F" w:rsidRDefault="00BB7660" w:rsidP="00BB7660">
      <w:pPr>
        <w:pStyle w:val="paragraphsub-sub"/>
      </w:pPr>
      <w:r w:rsidRPr="00A00F6F">
        <w:tab/>
        <w:t>(B)</w:t>
      </w:r>
      <w:r w:rsidRPr="00A00F6F">
        <w:tab/>
        <w:t>annual review and assurance activities; and</w:t>
      </w:r>
    </w:p>
    <w:p w14:paraId="3E296A82" w14:textId="77777777" w:rsidR="00BB7660" w:rsidRPr="00A00F6F" w:rsidRDefault="00BB7660" w:rsidP="00BB7660">
      <w:pPr>
        <w:pStyle w:val="paragraphsub-sub"/>
      </w:pPr>
      <w:r w:rsidRPr="00A00F6F">
        <w:tab/>
        <w:t>(C)</w:t>
      </w:r>
      <w:r w:rsidRPr="00A00F6F">
        <w:tab/>
        <w:t>reporting requirements; and</w:t>
      </w:r>
    </w:p>
    <w:p w14:paraId="55E7E2D4" w14:textId="77777777" w:rsidR="00BB7660" w:rsidRPr="00A00F6F" w:rsidRDefault="00BB7660" w:rsidP="00BB7660">
      <w:pPr>
        <w:pStyle w:val="paragraph"/>
      </w:pPr>
      <w:r w:rsidRPr="00A00F6F">
        <w:tab/>
        <w:t>(b)</w:t>
      </w:r>
      <w:r w:rsidRPr="00A00F6F">
        <w:tab/>
        <w:t>provide the person with any appropriate assistance or training in technical and compliance matters relating to Schedule 2.</w:t>
      </w:r>
    </w:p>
    <w:p w14:paraId="3BF5C48B" w14:textId="77777777" w:rsidR="00BB7660" w:rsidRPr="00A00F6F" w:rsidRDefault="00BB7660" w:rsidP="00BB7660">
      <w:pPr>
        <w:pStyle w:val="subsection"/>
      </w:pPr>
      <w:r w:rsidRPr="00A00F6F">
        <w:tab/>
        <w:t>(2)</w:t>
      </w:r>
      <w:r w:rsidRPr="00A00F6F">
        <w:tab/>
        <w:t>The sponsor of an affiliate must:</w:t>
      </w:r>
    </w:p>
    <w:p w14:paraId="5E81E70E" w14:textId="77777777" w:rsidR="00BB7660" w:rsidRPr="00A00F6F" w:rsidRDefault="00BB7660" w:rsidP="00BB7660">
      <w:pPr>
        <w:pStyle w:val="paragraph"/>
      </w:pPr>
      <w:r w:rsidRPr="00A00F6F">
        <w:tab/>
        <w:t>(a)</w:t>
      </w:r>
      <w:r w:rsidRPr="00A00F6F">
        <w:tab/>
        <w:t>maintain the management framework and manage its relationship with the affiliate in accordance with it;</w:t>
      </w:r>
      <w:r w:rsidRPr="00670E81">
        <w:rPr>
          <w:color w:val="0000FF"/>
        </w:rPr>
        <w:t xml:space="preserve"> </w:t>
      </w:r>
      <w:r w:rsidRPr="004A04A4">
        <w:rPr>
          <w:color w:val="0000FF"/>
        </w:rPr>
        <w:t>and</w:t>
      </w:r>
    </w:p>
    <w:p w14:paraId="3889E6C4" w14:textId="77777777" w:rsidR="00BB7660" w:rsidRPr="00A00F6F" w:rsidRDefault="00BB7660" w:rsidP="00BB7660">
      <w:pPr>
        <w:pStyle w:val="paragraph"/>
      </w:pPr>
      <w:r w:rsidRPr="00A00F6F">
        <w:tab/>
        <w:t>(b)</w:t>
      </w:r>
      <w:r w:rsidRPr="00A00F6F">
        <w:tab/>
        <w:t>continue to provide any appropriate assistance or training in such technical and compliance matters; and</w:t>
      </w:r>
    </w:p>
    <w:p w14:paraId="1D66CF83" w14:textId="77777777" w:rsidR="00BB7660" w:rsidRPr="00A00F6F" w:rsidRDefault="00BB7660" w:rsidP="00BB7660">
      <w:pPr>
        <w:pStyle w:val="paragraph"/>
      </w:pPr>
      <w:r w:rsidRPr="00A00F6F">
        <w:tab/>
        <w:t>(c)</w:t>
      </w:r>
      <w:r w:rsidRPr="00A00F6F">
        <w:tab/>
        <w:t>take reasonable steps to ensure that the affiliate, as an accredited person, complies with its obligations under Schedule 2.</w:t>
      </w:r>
      <w:bookmarkStart w:id="632" w:name="_Toc11771711"/>
    </w:p>
    <w:p w14:paraId="53ECA91E" w14:textId="77777777" w:rsidR="006B2062" w:rsidRDefault="006B2062" w:rsidP="006B2062">
      <w:pPr>
        <w:pStyle w:val="subsection"/>
        <w:sectPr w:rsidR="006B2062" w:rsidSect="0051288D">
          <w:headerReference w:type="default" r:id="rId32"/>
          <w:pgSz w:w="11907" w:h="16839" w:code="9"/>
          <w:pgMar w:top="2234" w:right="1797" w:bottom="1440" w:left="1797" w:header="720" w:footer="709" w:gutter="0"/>
          <w:cols w:space="708"/>
          <w:docGrid w:linePitch="360"/>
        </w:sectPr>
      </w:pPr>
    </w:p>
    <w:p w14:paraId="3920BDAA" w14:textId="77777777" w:rsidR="00BB7660" w:rsidRPr="00D4216E" w:rsidRDefault="00BB7660" w:rsidP="00BB7660">
      <w:pPr>
        <w:pStyle w:val="ActHead6"/>
        <w:pageBreakBefore/>
      </w:pPr>
      <w:bookmarkStart w:id="633" w:name="_Toc111132251"/>
      <w:r>
        <w:rPr>
          <w:color w:val="000000" w:themeColor="text1"/>
        </w:rPr>
        <w:lastRenderedPageBreak/>
        <w:t>Schedule 2</w:t>
      </w:r>
      <w:r w:rsidRPr="00A34C1D">
        <w:rPr>
          <w:color w:val="000000" w:themeColor="text1"/>
        </w:rPr>
        <w:t>—</w:t>
      </w:r>
      <w:r>
        <w:rPr>
          <w:color w:val="000000" w:themeColor="text1"/>
        </w:rPr>
        <w:t>Steps for privacy safeguard 12</w:t>
      </w:r>
      <w:r>
        <w:rPr>
          <w:rFonts w:cs="Arial"/>
          <w:color w:val="000000" w:themeColor="text1"/>
        </w:rPr>
        <w:t>—</w:t>
      </w:r>
      <w:r>
        <w:t xml:space="preserve">security </w:t>
      </w:r>
      <w:r w:rsidRPr="00D4216E">
        <w:t>of CDR data held by accredited data recipients</w:t>
      </w:r>
      <w:bookmarkEnd w:id="632"/>
      <w:bookmarkEnd w:id="633"/>
    </w:p>
    <w:p w14:paraId="3818ED76" w14:textId="77777777" w:rsidR="00BB7660" w:rsidRPr="009B680A" w:rsidRDefault="00BB7660" w:rsidP="00BB7660">
      <w:pPr>
        <w:pStyle w:val="ActHead2"/>
      </w:pPr>
      <w:bookmarkStart w:id="634" w:name="_Toc11771712"/>
      <w:bookmarkStart w:id="635" w:name="_Toc111132252"/>
      <w:r w:rsidRPr="00D4216E">
        <w:t>Part 1—</w:t>
      </w:r>
      <w:r w:rsidRPr="009B680A">
        <w:t>Steps for privacy safeguard 12</w:t>
      </w:r>
      <w:bookmarkEnd w:id="634"/>
      <w:bookmarkEnd w:id="635"/>
    </w:p>
    <w:p w14:paraId="2F5AA561" w14:textId="77777777" w:rsidR="00BB7660" w:rsidRPr="009B680A" w:rsidRDefault="00BB7660" w:rsidP="00BB7660">
      <w:pPr>
        <w:pStyle w:val="ActHead5"/>
      </w:pPr>
      <w:bookmarkStart w:id="636" w:name="_Toc11771713"/>
      <w:bookmarkStart w:id="637" w:name="_Toc111132253"/>
      <w:r w:rsidRPr="009B680A">
        <w:t>1.1  Purpose of Part</w:t>
      </w:r>
      <w:bookmarkEnd w:id="636"/>
      <w:bookmarkEnd w:id="637"/>
    </w:p>
    <w:p w14:paraId="43874817" w14:textId="77777777" w:rsidR="00BB7660" w:rsidRPr="009B680A" w:rsidRDefault="00BB7660" w:rsidP="00BB7660">
      <w:pPr>
        <w:pStyle w:val="subsection"/>
      </w:pPr>
      <w:r w:rsidRPr="009B680A">
        <w:tab/>
      </w:r>
      <w:r w:rsidRPr="009B680A">
        <w:tab/>
        <w:t>This Part sets out steps for the purpose of subsection 56EO(1) of the Act, which relate to privacy safeguard 12 (see rule 7.11 and paragraph 5.12(1)(a) of these rules).</w:t>
      </w:r>
    </w:p>
    <w:p w14:paraId="37E569A1" w14:textId="77777777" w:rsidR="00BB7660" w:rsidRPr="00D4216E" w:rsidRDefault="00BB7660" w:rsidP="00BB7660">
      <w:pPr>
        <w:pStyle w:val="notetext"/>
      </w:pPr>
      <w:r w:rsidRPr="009B680A">
        <w:t>Note:</w:t>
      </w:r>
      <w:r w:rsidRPr="009B680A">
        <w:tab/>
        <w:t>An accredited data recipient</w:t>
      </w:r>
      <w:r w:rsidRPr="00D4216E">
        <w:t xml:space="preserve"> must take the steps set out in this Schedule to protect CDR data </w:t>
      </w:r>
      <w:r w:rsidRPr="00D4216E">
        <w:rPr>
          <w:iCs/>
        </w:rPr>
        <w:t>from misuse, interference and loss, and unauthorised access, modification or disclosure,</w:t>
      </w:r>
      <w:r w:rsidRPr="00D4216E">
        <w:rPr>
          <w:i/>
          <w:iCs/>
        </w:rPr>
        <w:t xml:space="preserve"> </w:t>
      </w:r>
      <w:r w:rsidRPr="00D4216E">
        <w:t>under subsection 56EO(1) of the Act. Subsection 56EO(1) is a civil penalty provision (see section 56EU of the Act).</w:t>
      </w:r>
    </w:p>
    <w:p w14:paraId="77122611" w14:textId="77777777" w:rsidR="00BB7660" w:rsidRPr="00D4216E" w:rsidRDefault="00BB7660" w:rsidP="00BB7660">
      <w:pPr>
        <w:pStyle w:val="ActHead5"/>
      </w:pPr>
      <w:bookmarkStart w:id="638" w:name="_Toc11771714"/>
      <w:bookmarkStart w:id="639" w:name="_Toc111132254"/>
      <w:r w:rsidRPr="00D4216E">
        <w:t>1.2  Interpretation</w:t>
      </w:r>
      <w:bookmarkEnd w:id="638"/>
      <w:bookmarkEnd w:id="639"/>
    </w:p>
    <w:p w14:paraId="0E4B5F8D" w14:textId="77777777" w:rsidR="00BB7660" w:rsidRPr="00D4216E" w:rsidRDefault="00BB7660" w:rsidP="00BB7660">
      <w:pPr>
        <w:pStyle w:val="subsection"/>
      </w:pPr>
      <w:r w:rsidRPr="00D4216E">
        <w:tab/>
      </w:r>
      <w:r w:rsidRPr="00D4216E">
        <w:tab/>
        <w:t>In this Schedule:</w:t>
      </w:r>
    </w:p>
    <w:p w14:paraId="7C9D63FC" w14:textId="77777777" w:rsidR="00BB7660" w:rsidRPr="00D4216E" w:rsidRDefault="00BB7660" w:rsidP="00BB7660">
      <w:pPr>
        <w:pStyle w:val="Definition"/>
      </w:pPr>
      <w:r w:rsidRPr="00D4216E">
        <w:rPr>
          <w:b/>
          <w:i/>
        </w:rPr>
        <w:t>CDR data environment</w:t>
      </w:r>
      <w:r w:rsidRPr="00D4216E">
        <w:t xml:space="preserve"> means the information technology systems used for, and processes that relate to, the management of CDR data.</w:t>
      </w:r>
    </w:p>
    <w:p w14:paraId="3D11AA7E" w14:textId="77777777" w:rsidR="00BB7660" w:rsidRPr="00D4216E" w:rsidRDefault="00BB7660" w:rsidP="00BB7660">
      <w:pPr>
        <w:pStyle w:val="Definition"/>
      </w:pPr>
      <w:r w:rsidRPr="00D4216E">
        <w:rPr>
          <w:b/>
          <w:i/>
        </w:rPr>
        <w:t>information security capability</w:t>
      </w:r>
      <w:r w:rsidRPr="00D4216E">
        <w:t>, of an accredited data recipient:</w:t>
      </w:r>
    </w:p>
    <w:p w14:paraId="69C665A2" w14:textId="77777777" w:rsidR="00BB7660" w:rsidRPr="00D4216E" w:rsidRDefault="00BB7660" w:rsidP="00BB7660">
      <w:pPr>
        <w:pStyle w:val="paragraph"/>
      </w:pPr>
      <w:r w:rsidRPr="00D4216E">
        <w:tab/>
        <w:t>(a)</w:t>
      </w:r>
      <w:r w:rsidRPr="00D4216E">
        <w:tab/>
        <w:t>means the accredited data recipient’s ability to manage the security of its CDR data environment in practice through the implementation and operation of processes and controls; and</w:t>
      </w:r>
    </w:p>
    <w:p w14:paraId="7B35EB17" w14:textId="77777777" w:rsidR="00BB7660" w:rsidRPr="00D4216E" w:rsidRDefault="00BB7660" w:rsidP="00BB7660">
      <w:pPr>
        <w:pStyle w:val="paragraph"/>
        <w:rPr>
          <w:b/>
          <w:i/>
        </w:rPr>
      </w:pPr>
      <w:r w:rsidRPr="00D4216E">
        <w:tab/>
        <w:t>(b)</w:t>
      </w:r>
      <w:r w:rsidRPr="00D4216E">
        <w:tab/>
        <w:t>includes the accredited data recipient being able to allocate adequate budget and resources, and provide for management oversight.</w:t>
      </w:r>
    </w:p>
    <w:p w14:paraId="5E88B921" w14:textId="77777777" w:rsidR="00BB7660" w:rsidRPr="00D4216E" w:rsidRDefault="00BB7660" w:rsidP="00BB7660">
      <w:pPr>
        <w:pStyle w:val="Definition"/>
      </w:pPr>
      <w:r w:rsidRPr="00D4216E">
        <w:rPr>
          <w:b/>
          <w:i/>
        </w:rPr>
        <w:t>senior management</w:t>
      </w:r>
      <w:r w:rsidRPr="00D4216E">
        <w:t>, of an accredited data recipient that is a body corporate, means:</w:t>
      </w:r>
    </w:p>
    <w:p w14:paraId="3E3316DB" w14:textId="77777777" w:rsidR="00BB7660" w:rsidRPr="00D4216E" w:rsidRDefault="00BB7660" w:rsidP="00BB7660">
      <w:pPr>
        <w:pStyle w:val="paragraph"/>
      </w:pPr>
      <w:r w:rsidRPr="00D4216E">
        <w:tab/>
        <w:t>(a)</w:t>
      </w:r>
      <w:r w:rsidRPr="00D4216E">
        <w:tab/>
        <w:t>the accredited data recipient’s directors; and</w:t>
      </w:r>
    </w:p>
    <w:p w14:paraId="4900B0AA" w14:textId="77777777" w:rsidR="00BB7660" w:rsidRPr="00D4216E" w:rsidRDefault="00BB7660" w:rsidP="00BB7660">
      <w:pPr>
        <w:pStyle w:val="paragraph"/>
      </w:pPr>
      <w:r w:rsidRPr="00D4216E">
        <w:tab/>
        <w:t>(b)</w:t>
      </w:r>
      <w:r w:rsidRPr="00D4216E">
        <w:tab/>
        <w:t>any person who is an associated person, within the meaning of paragraph (a) of the definition of that term, of the accredited data recipient.</w:t>
      </w:r>
    </w:p>
    <w:p w14:paraId="3A86532F" w14:textId="77777777" w:rsidR="00BB7660" w:rsidRPr="00D4216E" w:rsidRDefault="00BB7660" w:rsidP="00BB7660">
      <w:pPr>
        <w:pStyle w:val="ActHead5"/>
      </w:pPr>
      <w:bookmarkStart w:id="640" w:name="_Toc11771715"/>
      <w:bookmarkStart w:id="641" w:name="_Toc111132255"/>
      <w:r w:rsidRPr="00D4216E">
        <w:t>1.3  Step 1—Define and implement security governance in relation to CDR data</w:t>
      </w:r>
      <w:bookmarkEnd w:id="640"/>
      <w:bookmarkEnd w:id="641"/>
    </w:p>
    <w:p w14:paraId="4E31FB5B" w14:textId="77777777" w:rsidR="00BB7660" w:rsidRPr="00D4216E" w:rsidRDefault="00BB7660" w:rsidP="00BB7660">
      <w:pPr>
        <w:pStyle w:val="subsection"/>
      </w:pPr>
      <w:r w:rsidRPr="00D4216E">
        <w:tab/>
        <w:t>(1)</w:t>
      </w:r>
      <w:r w:rsidRPr="00D4216E">
        <w:tab/>
        <w:t>An accredited data recipient of CDR data must establish a formal governance framework for managing information security risks relating to CDR data setting out the policies, processes, roles and responsibilities required to facilitate the oversight and management of information security.</w:t>
      </w:r>
    </w:p>
    <w:p w14:paraId="6E849E42" w14:textId="77777777" w:rsidR="00BB7660" w:rsidRPr="00D4216E" w:rsidRDefault="00BB7660" w:rsidP="00BB7660">
      <w:pPr>
        <w:pStyle w:val="subsection"/>
      </w:pPr>
      <w:r w:rsidRPr="00D4216E">
        <w:tab/>
        <w:t>(2)</w:t>
      </w:r>
      <w:r w:rsidRPr="00D4216E">
        <w:tab/>
        <w:t>The accredited data recipient must clearly document its practices and procedures relating to information security and management of CDR data, including the specific responsibilities of senior management.</w:t>
      </w:r>
    </w:p>
    <w:p w14:paraId="70B83FC3" w14:textId="77777777" w:rsidR="00BB7660" w:rsidRPr="00D4216E" w:rsidRDefault="00BB7660" w:rsidP="00BB7660">
      <w:pPr>
        <w:pStyle w:val="subsection"/>
      </w:pPr>
      <w:r w:rsidRPr="00D4216E">
        <w:tab/>
        <w:t>(3)</w:t>
      </w:r>
      <w:r w:rsidRPr="00D4216E">
        <w:tab/>
        <w:t>The accredited data recipient must have and maintain an information security policy that details:</w:t>
      </w:r>
    </w:p>
    <w:p w14:paraId="67730A5B" w14:textId="77777777" w:rsidR="00BB7660" w:rsidRPr="00D4216E" w:rsidRDefault="00BB7660" w:rsidP="00BB7660">
      <w:pPr>
        <w:pStyle w:val="paragraph"/>
      </w:pPr>
      <w:r w:rsidRPr="00D4216E">
        <w:lastRenderedPageBreak/>
        <w:tab/>
        <w:t>(a)</w:t>
      </w:r>
      <w:r w:rsidRPr="00D4216E">
        <w:tab/>
        <w:t>its information security risk posture setting out the exposure and potential for harm to the accredited data recipient’s information assets, including CDR data that it holds, from security threats; and</w:t>
      </w:r>
    </w:p>
    <w:p w14:paraId="43614244" w14:textId="77777777" w:rsidR="00BB7660" w:rsidRPr="00D4216E" w:rsidRDefault="00BB7660" w:rsidP="00BB7660">
      <w:pPr>
        <w:pStyle w:val="paragraph"/>
      </w:pPr>
      <w:r w:rsidRPr="00D4216E">
        <w:tab/>
        <w:t>(b)</w:t>
      </w:r>
      <w:r w:rsidRPr="00D4216E">
        <w:tab/>
        <w:t>how its information security practices and procedures, and its information security controls, are designed, implemented and operated to mitigate those risks.</w:t>
      </w:r>
    </w:p>
    <w:p w14:paraId="0537F230" w14:textId="77777777" w:rsidR="00BB7660" w:rsidRPr="00D4216E" w:rsidRDefault="00BB7660" w:rsidP="00BB7660">
      <w:pPr>
        <w:pStyle w:val="subsection"/>
      </w:pPr>
      <w:r w:rsidRPr="00D4216E">
        <w:tab/>
        <w:t>(4)</w:t>
      </w:r>
      <w:r w:rsidRPr="00D4216E">
        <w:tab/>
        <w:t>The accredited data recipient must review and update the framework for appropriateness:</w:t>
      </w:r>
    </w:p>
    <w:p w14:paraId="4E52D9DA" w14:textId="77777777" w:rsidR="00BB7660" w:rsidRPr="00D4216E" w:rsidRDefault="00BB7660" w:rsidP="00BB7660">
      <w:pPr>
        <w:pStyle w:val="paragraph"/>
      </w:pPr>
      <w:r w:rsidRPr="00D4216E">
        <w:tab/>
        <w:t>(a)</w:t>
      </w:r>
      <w:r w:rsidRPr="00D4216E">
        <w:tab/>
        <w:t>in response to material changes to both the extent and nature of threats to its CDR data environment and its operating environment; or</w:t>
      </w:r>
    </w:p>
    <w:p w14:paraId="5B7C65CC" w14:textId="77777777" w:rsidR="00BB7660" w:rsidRPr="00D4216E" w:rsidRDefault="00BB7660" w:rsidP="00BB7660">
      <w:pPr>
        <w:pStyle w:val="paragraph"/>
      </w:pPr>
      <w:r w:rsidRPr="00D4216E">
        <w:tab/>
        <w:t>(b)</w:t>
      </w:r>
      <w:r w:rsidRPr="00D4216E">
        <w:tab/>
        <w:t>where no such material changes occur—at least annually.</w:t>
      </w:r>
    </w:p>
    <w:p w14:paraId="4E5A28A3" w14:textId="77777777" w:rsidR="00BB7660" w:rsidRPr="00D4216E" w:rsidRDefault="00BB7660" w:rsidP="00BB7660">
      <w:pPr>
        <w:pStyle w:val="ActHead5"/>
      </w:pPr>
      <w:bookmarkStart w:id="642" w:name="_Toc11771716"/>
      <w:bookmarkStart w:id="643" w:name="_Toc111132256"/>
      <w:r w:rsidRPr="00D4216E">
        <w:t>1.4  Step 2—Define the boundaries of the CDR data environment</w:t>
      </w:r>
      <w:bookmarkEnd w:id="642"/>
      <w:bookmarkEnd w:id="643"/>
    </w:p>
    <w:p w14:paraId="73D5D3C6" w14:textId="77777777" w:rsidR="00BB7660" w:rsidRPr="00D4216E" w:rsidRDefault="00BB7660" w:rsidP="00BB7660">
      <w:pPr>
        <w:pStyle w:val="subsection"/>
      </w:pPr>
      <w:r w:rsidRPr="00D4216E">
        <w:tab/>
        <w:t>(1)</w:t>
      </w:r>
      <w:r w:rsidRPr="00D4216E">
        <w:tab/>
        <w:t>An accredited data recipient must assess, define and document the boundaries of its CDR data environment.</w:t>
      </w:r>
    </w:p>
    <w:p w14:paraId="6D2A359C" w14:textId="77777777" w:rsidR="00BB7660" w:rsidRPr="00D4216E" w:rsidRDefault="00BB7660" w:rsidP="00BB7660">
      <w:pPr>
        <w:pStyle w:val="subsection"/>
      </w:pPr>
      <w:r w:rsidRPr="00D4216E">
        <w:tab/>
        <w:t>(2)</w:t>
      </w:r>
      <w:r w:rsidRPr="00D4216E">
        <w:tab/>
        <w:t>The accredited data recipient must review the boundaries of its CDR data environment for completeness and accuracy:</w:t>
      </w:r>
    </w:p>
    <w:p w14:paraId="0757840E" w14:textId="77777777" w:rsidR="00BB7660" w:rsidRPr="00D4216E" w:rsidRDefault="00BB7660" w:rsidP="00BB7660">
      <w:pPr>
        <w:pStyle w:val="paragraph"/>
      </w:pPr>
      <w:r w:rsidRPr="00D4216E">
        <w:tab/>
        <w:t>(a)</w:t>
      </w:r>
      <w:r w:rsidRPr="00D4216E">
        <w:tab/>
        <w:t>as soon as practicable when it becomes aware of material changes to the extent and nature of threats to its CDR data environment; or</w:t>
      </w:r>
    </w:p>
    <w:p w14:paraId="4371D398" w14:textId="77777777" w:rsidR="00BB7660" w:rsidRPr="00D4216E" w:rsidRDefault="00BB7660" w:rsidP="00BB7660">
      <w:pPr>
        <w:pStyle w:val="paragraph"/>
      </w:pPr>
      <w:r w:rsidRPr="00D4216E">
        <w:tab/>
        <w:t>(b)</w:t>
      </w:r>
      <w:r w:rsidRPr="00D4216E">
        <w:tab/>
        <w:t>where no such material changes occur—at least annually.</w:t>
      </w:r>
    </w:p>
    <w:p w14:paraId="00CF4524" w14:textId="77777777" w:rsidR="00BB7660" w:rsidRPr="00D4216E" w:rsidRDefault="00BB7660" w:rsidP="00BB7660">
      <w:pPr>
        <w:pStyle w:val="ActHead5"/>
      </w:pPr>
      <w:bookmarkStart w:id="644" w:name="_Toc11771717"/>
      <w:bookmarkStart w:id="645" w:name="_Toc111132257"/>
      <w:r w:rsidRPr="00D4216E">
        <w:t>1.5  Step 3—Have and maintain an information security capability</w:t>
      </w:r>
      <w:bookmarkEnd w:id="644"/>
      <w:bookmarkEnd w:id="645"/>
    </w:p>
    <w:p w14:paraId="2A9C1E2B" w14:textId="77777777" w:rsidR="00BB7660" w:rsidRPr="00D4216E" w:rsidRDefault="00BB7660" w:rsidP="00BB7660">
      <w:pPr>
        <w:pStyle w:val="subsection"/>
      </w:pPr>
      <w:r w:rsidRPr="00D4216E">
        <w:tab/>
        <w:t>(1)</w:t>
      </w:r>
      <w:r w:rsidRPr="00D4216E">
        <w:tab/>
        <w:t>The accredited data recipient must have and maintain an information security capability that:</w:t>
      </w:r>
    </w:p>
    <w:p w14:paraId="423E11EB" w14:textId="77777777" w:rsidR="00BB7660" w:rsidRPr="00D4216E" w:rsidRDefault="00BB7660" w:rsidP="00BB7660">
      <w:pPr>
        <w:pStyle w:val="paragraph"/>
      </w:pPr>
      <w:r w:rsidRPr="00D4216E">
        <w:tab/>
        <w:t>(a)</w:t>
      </w:r>
      <w:r w:rsidRPr="00D4216E">
        <w:tab/>
        <w:t xml:space="preserve">complies with the </w:t>
      </w:r>
      <w:r w:rsidRPr="00A00F6F">
        <w:t>applicable</w:t>
      </w:r>
      <w:r w:rsidRPr="00D4216E">
        <w:t xml:space="preserve"> information security controls specified in Part 2 of this Schedule;</w:t>
      </w:r>
      <w:r>
        <w:t xml:space="preserve"> and</w:t>
      </w:r>
    </w:p>
    <w:p w14:paraId="62422F7C" w14:textId="77777777" w:rsidR="00BB7660" w:rsidRPr="00D4216E" w:rsidRDefault="00BB7660" w:rsidP="00BB7660">
      <w:pPr>
        <w:pStyle w:val="paragraph"/>
      </w:pPr>
      <w:r w:rsidRPr="00D4216E">
        <w:tab/>
        <w:t>(b)</w:t>
      </w:r>
      <w:r w:rsidRPr="00D4216E">
        <w:tab/>
        <w:t>is appropriate and adapted to respond to risks to information security, having regard to:</w:t>
      </w:r>
    </w:p>
    <w:p w14:paraId="202498BE" w14:textId="77777777" w:rsidR="00BB7660" w:rsidRPr="00D4216E" w:rsidRDefault="00BB7660" w:rsidP="00BB7660">
      <w:pPr>
        <w:pStyle w:val="paragraphsub"/>
      </w:pPr>
      <w:r w:rsidRPr="00D4216E">
        <w:tab/>
        <w:t>(i)</w:t>
      </w:r>
      <w:r w:rsidRPr="00D4216E">
        <w:tab/>
        <w:t xml:space="preserve">the extent and nature of threats to CDR data that it holds; and </w:t>
      </w:r>
    </w:p>
    <w:p w14:paraId="37046BB1" w14:textId="77777777" w:rsidR="00BB7660" w:rsidRPr="00D4216E" w:rsidRDefault="00BB7660" w:rsidP="00BB7660">
      <w:pPr>
        <w:pStyle w:val="paragraphsub"/>
      </w:pPr>
      <w:r w:rsidRPr="00D4216E">
        <w:tab/>
        <w:t>(ii)</w:t>
      </w:r>
      <w:r w:rsidRPr="00D4216E">
        <w:tab/>
        <w:t xml:space="preserve">the extent and nature of CDR data that it holds; and </w:t>
      </w:r>
    </w:p>
    <w:p w14:paraId="3FA447C2" w14:textId="77777777" w:rsidR="00BB7660" w:rsidRPr="00D4216E" w:rsidRDefault="00BB7660" w:rsidP="00BB7660">
      <w:pPr>
        <w:pStyle w:val="paragraphsub"/>
      </w:pPr>
      <w:r w:rsidRPr="00D4216E">
        <w:tab/>
        <w:t>(iii)</w:t>
      </w:r>
      <w:r w:rsidRPr="00D4216E">
        <w:tab/>
        <w:t>the potential loss or damage to one or more CDR consumers if all or part of the consumer’s data were to be:</w:t>
      </w:r>
    </w:p>
    <w:p w14:paraId="1C61AAE1" w14:textId="77777777" w:rsidR="00BB7660" w:rsidRPr="00D4216E" w:rsidRDefault="00BB7660" w:rsidP="00BB7660">
      <w:pPr>
        <w:pStyle w:val="paragraphsub-sub"/>
      </w:pPr>
      <w:r w:rsidRPr="00D4216E">
        <w:tab/>
        <w:t>(A)</w:t>
      </w:r>
      <w:r w:rsidRPr="00D4216E">
        <w:tab/>
        <w:t>misused, interfered with or lost; or</w:t>
      </w:r>
    </w:p>
    <w:p w14:paraId="69E54590" w14:textId="77777777" w:rsidR="00BB7660" w:rsidRPr="00D4216E" w:rsidRDefault="00BB7660" w:rsidP="00BB7660">
      <w:pPr>
        <w:pStyle w:val="paragraphsub-sub"/>
      </w:pPr>
      <w:r w:rsidRPr="00D4216E">
        <w:tab/>
        <w:t>(B)</w:t>
      </w:r>
      <w:r w:rsidRPr="00D4216E">
        <w:tab/>
        <w:t>accessed, modified or disclosed without authorisation.</w:t>
      </w:r>
    </w:p>
    <w:p w14:paraId="1BAA9EA0" w14:textId="77777777" w:rsidR="00BB7660" w:rsidRPr="00D4216E" w:rsidRDefault="00BB7660" w:rsidP="00BB7660">
      <w:pPr>
        <w:pStyle w:val="subsection"/>
      </w:pPr>
      <w:r w:rsidRPr="00D4216E">
        <w:tab/>
        <w:t>(2)</w:t>
      </w:r>
      <w:r w:rsidRPr="00D4216E">
        <w:tab/>
        <w:t>The accredited data recipient must review and adjust its information security capability:</w:t>
      </w:r>
    </w:p>
    <w:p w14:paraId="7B941685" w14:textId="77777777" w:rsidR="00BB7660" w:rsidRPr="00D4216E" w:rsidRDefault="00BB7660" w:rsidP="00BB7660">
      <w:pPr>
        <w:pStyle w:val="paragraph"/>
      </w:pPr>
      <w:r w:rsidRPr="00D4216E">
        <w:tab/>
        <w:t>(a)</w:t>
      </w:r>
      <w:r w:rsidRPr="00D4216E">
        <w:tab/>
        <w:t>in response to material changes to both the nature and extent of threats and its CDR data environment; or</w:t>
      </w:r>
    </w:p>
    <w:p w14:paraId="7B30E792" w14:textId="77777777" w:rsidR="00BB7660" w:rsidRPr="00D4216E" w:rsidRDefault="00BB7660" w:rsidP="00BB7660">
      <w:pPr>
        <w:pStyle w:val="paragraph"/>
      </w:pPr>
      <w:r w:rsidRPr="00D4216E">
        <w:tab/>
        <w:t>(b)</w:t>
      </w:r>
      <w:r w:rsidRPr="00D4216E">
        <w:tab/>
        <w:t>where no such material changes occur—at least annually.</w:t>
      </w:r>
    </w:p>
    <w:p w14:paraId="1E30C49A" w14:textId="77777777" w:rsidR="00BB7660" w:rsidRPr="00CD6E65" w:rsidRDefault="00BB7660" w:rsidP="00BB7660">
      <w:pPr>
        <w:pStyle w:val="ActHead5"/>
      </w:pPr>
      <w:bookmarkStart w:id="646" w:name="_Toc11771718"/>
      <w:bookmarkStart w:id="647" w:name="_Toc111132258"/>
      <w:r>
        <w:lastRenderedPageBreak/>
        <w:t>1.6  Step 4—Implement a formal controls assessment program</w:t>
      </w:r>
      <w:bookmarkEnd w:id="646"/>
      <w:bookmarkEnd w:id="647"/>
    </w:p>
    <w:p w14:paraId="4FF30576" w14:textId="77777777" w:rsidR="00BB7660" w:rsidRDefault="00BB7660" w:rsidP="00BB7660">
      <w:pPr>
        <w:pStyle w:val="subsection"/>
      </w:pPr>
      <w:r>
        <w:tab/>
        <w:t>(1)</w:t>
      </w:r>
      <w:r>
        <w:tab/>
        <w:t>An accredited data recipient must establish and implement a testing program to review and assess the effectiveness of its information security capability which:</w:t>
      </w:r>
    </w:p>
    <w:p w14:paraId="39255E94" w14:textId="77777777" w:rsidR="00BB7660" w:rsidRPr="00CD6E65" w:rsidRDefault="00BB7660" w:rsidP="00BB7660">
      <w:pPr>
        <w:pStyle w:val="paragraph"/>
      </w:pPr>
      <w:r>
        <w:tab/>
        <w:t>(a)</w:t>
      </w:r>
      <w:r>
        <w:tab/>
        <w:t>is appropriate having regard to the factors set out in paragraph 1.5(1)(b); and</w:t>
      </w:r>
    </w:p>
    <w:p w14:paraId="69AA1E04" w14:textId="77777777" w:rsidR="00BB7660" w:rsidRDefault="00BB7660" w:rsidP="00BB7660">
      <w:pPr>
        <w:pStyle w:val="paragraph"/>
      </w:pPr>
      <w:r>
        <w:tab/>
        <w:t>(b)</w:t>
      </w:r>
      <w:r>
        <w:tab/>
        <w:t>requires testing at a frequency, and to an extent, that is appropriate having regard to:</w:t>
      </w:r>
    </w:p>
    <w:p w14:paraId="3E4E7FE1" w14:textId="77777777" w:rsidR="00BB7660" w:rsidRPr="00EF501E" w:rsidRDefault="00BB7660" w:rsidP="00BB7660">
      <w:pPr>
        <w:pStyle w:val="paragraphsub"/>
      </w:pPr>
      <w:r>
        <w:tab/>
        <w:t>(i)</w:t>
      </w:r>
      <w:r w:rsidRPr="00EF501E">
        <w:tab/>
      </w:r>
      <w:r>
        <w:t>t</w:t>
      </w:r>
      <w:r w:rsidRPr="00CD6E65">
        <w:t>he rate at which vulnerabilities and threats change</w:t>
      </w:r>
      <w:r>
        <w:t>;</w:t>
      </w:r>
      <w:r w:rsidRPr="00CD6E65">
        <w:t xml:space="preserve"> </w:t>
      </w:r>
      <w:r>
        <w:t>and</w:t>
      </w:r>
      <w:r w:rsidRPr="00EF501E">
        <w:t xml:space="preserve"> </w:t>
      </w:r>
    </w:p>
    <w:p w14:paraId="648CC150" w14:textId="77777777" w:rsidR="00BB7660" w:rsidRDefault="00BB7660" w:rsidP="00BB7660">
      <w:pPr>
        <w:pStyle w:val="paragraphsub"/>
      </w:pPr>
      <w:r w:rsidRPr="00EF501E">
        <w:tab/>
      </w:r>
      <w:r>
        <w:t>(ii)</w:t>
      </w:r>
      <w:r w:rsidRPr="00EF501E">
        <w:tab/>
      </w:r>
      <w:r>
        <w:t>material changes to the boundaries of its CDR data environment; and</w:t>
      </w:r>
    </w:p>
    <w:p w14:paraId="06E10D75" w14:textId="77777777" w:rsidR="00BB7660" w:rsidRDefault="00BB7660" w:rsidP="00BB7660">
      <w:pPr>
        <w:pStyle w:val="paragraphsub"/>
      </w:pPr>
      <w:r>
        <w:tab/>
        <w:t>(iii)</w:t>
      </w:r>
      <w:r>
        <w:tab/>
        <w:t>the likelihood of failure of controls having regard to the results of previous testing.</w:t>
      </w:r>
    </w:p>
    <w:p w14:paraId="02CDEA7E" w14:textId="77777777" w:rsidR="00BB7660" w:rsidRDefault="00BB7660" w:rsidP="00BB7660">
      <w:pPr>
        <w:pStyle w:val="subsection"/>
      </w:pPr>
      <w:r w:rsidRPr="00133F4F">
        <w:tab/>
      </w:r>
      <w:r>
        <w:t>(2)</w:t>
      </w:r>
      <w:r w:rsidRPr="00133F4F">
        <w:tab/>
        <w:t>The accredited data recipient must monitor and evaluate</w:t>
      </w:r>
      <w:r>
        <w:t xml:space="preserve"> the design, implementation and operating effectiveness of its security controls relating to the </w:t>
      </w:r>
      <w:r w:rsidRPr="00133F4F">
        <w:t>management of CDR data in accordance with its obligations under Part IVD of the Act and these rules</w:t>
      </w:r>
      <w:r>
        <w:t>, and having regard to</w:t>
      </w:r>
      <w:r w:rsidRPr="00133F4F">
        <w:t xml:space="preserve"> </w:t>
      </w:r>
      <w:r>
        <w:t xml:space="preserve">the information security controls </w:t>
      </w:r>
      <w:r w:rsidRPr="00872423">
        <w:t xml:space="preserve">in </w:t>
      </w:r>
      <w:r>
        <w:t>Part 2</w:t>
      </w:r>
      <w:r w:rsidRPr="00872423">
        <w:t xml:space="preserve"> of this Schedule</w:t>
      </w:r>
      <w:r w:rsidRPr="00133F4F">
        <w:t>.</w:t>
      </w:r>
    </w:p>
    <w:p w14:paraId="30A9A4F6" w14:textId="77777777" w:rsidR="00BB7660" w:rsidRPr="00CD6E65" w:rsidRDefault="00BB7660" w:rsidP="00BB7660">
      <w:pPr>
        <w:pStyle w:val="subsection"/>
      </w:pPr>
      <w:r>
        <w:tab/>
        <w:t>(3)</w:t>
      </w:r>
      <w:r>
        <w:tab/>
        <w:t xml:space="preserve">The accredited data recipient </w:t>
      </w:r>
      <w:r w:rsidRPr="00CD6E65">
        <w:t>must escalate and repo</w:t>
      </w:r>
      <w:r>
        <w:t>rt</w:t>
      </w:r>
      <w:r w:rsidRPr="00CD6E65">
        <w:t xml:space="preserve"> to senior management</w:t>
      </w:r>
      <w:r>
        <w:t xml:space="preserve"> the results of </w:t>
      </w:r>
      <w:r w:rsidRPr="00CD6E65">
        <w:t>any testing that identif</w:t>
      </w:r>
      <w:r>
        <w:t>ies</w:t>
      </w:r>
      <w:r w:rsidRPr="00CD6E65">
        <w:t xml:space="preserve"> </w:t>
      </w:r>
      <w:r>
        <w:t xml:space="preserve">design, implementation or operational deficiencies in </w:t>
      </w:r>
      <w:r w:rsidRPr="00CD6E65">
        <w:t>information security control</w:t>
      </w:r>
      <w:r>
        <w:t>s relevant to its CDR data environment.</w:t>
      </w:r>
    </w:p>
    <w:p w14:paraId="772A4C41" w14:textId="77777777" w:rsidR="00BB7660" w:rsidRPr="00CD6E65" w:rsidRDefault="00BB7660" w:rsidP="00BB7660">
      <w:pPr>
        <w:pStyle w:val="subsection"/>
      </w:pPr>
      <w:r>
        <w:tab/>
        <w:t>(4)</w:t>
      </w:r>
      <w:r>
        <w:tab/>
        <w:t xml:space="preserve">The accredited data recipient </w:t>
      </w:r>
      <w:r w:rsidRPr="00CD6E65">
        <w:t xml:space="preserve">must ensure that testing is conducted by appropriately skilled </w:t>
      </w:r>
      <w:r>
        <w:t>persons who are independent from the performance of controls over the CDR data environment.</w:t>
      </w:r>
    </w:p>
    <w:p w14:paraId="2CBC571F" w14:textId="77777777" w:rsidR="00BB7660" w:rsidRDefault="00BB7660" w:rsidP="00BB7660">
      <w:pPr>
        <w:pStyle w:val="subsection"/>
      </w:pPr>
      <w:r>
        <w:tab/>
        <w:t>(5)</w:t>
      </w:r>
      <w:r>
        <w:tab/>
        <w:t xml:space="preserve">The accredited data recipient </w:t>
      </w:r>
      <w:r w:rsidRPr="00CD6E65">
        <w:t>must review the sufficiency of its testing program</w:t>
      </w:r>
      <w:r>
        <w:t xml:space="preserve"> referred to in subclause (1):</w:t>
      </w:r>
    </w:p>
    <w:p w14:paraId="5066FD54" w14:textId="77777777" w:rsidR="00BB7660" w:rsidRDefault="00BB7660" w:rsidP="00BB7660">
      <w:pPr>
        <w:pStyle w:val="paragraph"/>
      </w:pPr>
      <w:r>
        <w:tab/>
        <w:t>(a)</w:t>
      </w:r>
      <w:r>
        <w:tab/>
      </w:r>
      <w:r w:rsidRPr="00CD6E65">
        <w:t xml:space="preserve">when there is a material change to </w:t>
      </w:r>
      <w:r>
        <w:t>the nature and extent of threats to its CDR data environment or to the boundaries of its CDR data environment—as soon as practicable; or</w:t>
      </w:r>
    </w:p>
    <w:p w14:paraId="1A115AC8" w14:textId="77777777" w:rsidR="00BB7660" w:rsidRDefault="00BB7660" w:rsidP="00BB7660">
      <w:pPr>
        <w:pStyle w:val="paragraph"/>
      </w:pPr>
      <w:r>
        <w:tab/>
        <w:t>(b)</w:t>
      </w:r>
      <w:r>
        <w:tab/>
        <w:t>where no such material changes occur—</w:t>
      </w:r>
      <w:r w:rsidRPr="00CD6E65">
        <w:t>at least annually.</w:t>
      </w:r>
    </w:p>
    <w:p w14:paraId="26D46746" w14:textId="77777777" w:rsidR="00BB7660" w:rsidRPr="00817A63" w:rsidRDefault="00BB7660" w:rsidP="00BB7660">
      <w:pPr>
        <w:pStyle w:val="ActHead5"/>
      </w:pPr>
      <w:bookmarkStart w:id="648" w:name="_Toc11771719"/>
      <w:bookmarkStart w:id="649" w:name="_Toc111132259"/>
      <w:r>
        <w:t>1.7  Step</w:t>
      </w:r>
      <w:r w:rsidRPr="00817A63">
        <w:t xml:space="preserve"> 5</w:t>
      </w:r>
      <w:r>
        <w:t>—</w:t>
      </w:r>
      <w:r w:rsidRPr="00817A63">
        <w:t>Manage and report security incidents</w:t>
      </w:r>
      <w:bookmarkEnd w:id="648"/>
      <w:bookmarkEnd w:id="649"/>
    </w:p>
    <w:p w14:paraId="3D8AC03F" w14:textId="77777777" w:rsidR="00BB7660" w:rsidRPr="00CD6E65" w:rsidRDefault="00BB7660" w:rsidP="00BB7660">
      <w:pPr>
        <w:pStyle w:val="subsection"/>
      </w:pPr>
      <w:r>
        <w:tab/>
        <w:t>(1)</w:t>
      </w:r>
      <w:r>
        <w:tab/>
        <w:t xml:space="preserve">An accredited data recipient </w:t>
      </w:r>
      <w:r w:rsidRPr="00CD6E65">
        <w:t xml:space="preserve">must have </w:t>
      </w:r>
      <w:r>
        <w:t>procedures and practices</w:t>
      </w:r>
      <w:r w:rsidRPr="00CD6E65">
        <w:t xml:space="preserve"> in place to detect, record, and respond to information securit</w:t>
      </w:r>
      <w:r>
        <w:t xml:space="preserve">y incidents </w:t>
      </w:r>
      <w:r w:rsidRPr="00005026">
        <w:t>as soon as practicable</w:t>
      </w:r>
      <w:r>
        <w:t>.</w:t>
      </w:r>
    </w:p>
    <w:p w14:paraId="0EFE063C" w14:textId="77777777" w:rsidR="00BB7660" w:rsidRPr="00CD6E65" w:rsidRDefault="00BB7660" w:rsidP="00BB7660">
      <w:pPr>
        <w:pStyle w:val="subsection"/>
      </w:pPr>
      <w:r>
        <w:tab/>
        <w:t>(2)</w:t>
      </w:r>
      <w:r>
        <w:tab/>
        <w:t xml:space="preserve">The accredited data recipient </w:t>
      </w:r>
      <w:r w:rsidRPr="00CD6E65">
        <w:t xml:space="preserve">must </w:t>
      </w:r>
      <w:r>
        <w:t xml:space="preserve">create and </w:t>
      </w:r>
      <w:r w:rsidRPr="00CD6E65">
        <w:t xml:space="preserve">maintain plans to respond to information security incidents that </w:t>
      </w:r>
      <w:r>
        <w:t xml:space="preserve">it </w:t>
      </w:r>
      <w:r w:rsidRPr="00CD6E65">
        <w:t>considers could plausibly occur (</w:t>
      </w:r>
      <w:r w:rsidRPr="00EE2EA1">
        <w:rPr>
          <w:b/>
          <w:i/>
        </w:rPr>
        <w:t>CDR data security response plans</w:t>
      </w:r>
      <w:r>
        <w:t>).</w:t>
      </w:r>
    </w:p>
    <w:p w14:paraId="4241DB00" w14:textId="77777777" w:rsidR="00BB7660" w:rsidRPr="00CD6E65" w:rsidRDefault="00BB7660" w:rsidP="00BB7660">
      <w:pPr>
        <w:pStyle w:val="subsection"/>
      </w:pPr>
      <w:r>
        <w:tab/>
        <w:t>(3)</w:t>
      </w:r>
      <w:r>
        <w:tab/>
        <w:t xml:space="preserve">The accredited data recipient’s </w:t>
      </w:r>
      <w:r w:rsidRPr="00CD6E65">
        <w:t xml:space="preserve">CDR data security response plans must include </w:t>
      </w:r>
      <w:r>
        <w:t>procedures</w:t>
      </w:r>
      <w:r w:rsidRPr="00CD6E65">
        <w:t xml:space="preserve"> for: </w:t>
      </w:r>
    </w:p>
    <w:p w14:paraId="737B7978" w14:textId="77777777" w:rsidR="00BB7660" w:rsidRDefault="00BB7660" w:rsidP="00BB7660">
      <w:pPr>
        <w:pStyle w:val="paragraph"/>
      </w:pPr>
      <w:r>
        <w:tab/>
        <w:t>(a)</w:t>
      </w:r>
      <w:r>
        <w:tab/>
        <w:t>m</w:t>
      </w:r>
      <w:r w:rsidRPr="00CD6E65">
        <w:t>anaging all relevant stages of an incident, from detection to post-incident review</w:t>
      </w:r>
      <w:r>
        <w:t>;</w:t>
      </w:r>
      <w:r w:rsidRPr="00CD6E65">
        <w:t xml:space="preserve"> </w:t>
      </w:r>
      <w:r>
        <w:t>and</w:t>
      </w:r>
    </w:p>
    <w:p w14:paraId="62EFF511" w14:textId="77777777" w:rsidR="00BB7660" w:rsidRPr="00005026" w:rsidRDefault="00BB7660" w:rsidP="00BB7660">
      <w:pPr>
        <w:pStyle w:val="paragraph"/>
      </w:pPr>
      <w:r>
        <w:lastRenderedPageBreak/>
        <w:tab/>
        <w:t>(b)</w:t>
      </w:r>
      <w:r>
        <w:tab/>
        <w:t xml:space="preserve">notifying CDR data security breaches to the Information Commissioner and to CDR consumers as required under Part IIIC of the </w:t>
      </w:r>
      <w:r>
        <w:rPr>
          <w:i/>
        </w:rPr>
        <w:t>Privacy Act 1988</w:t>
      </w:r>
      <w:r w:rsidRPr="00005026">
        <w:t>; and</w:t>
      </w:r>
    </w:p>
    <w:p w14:paraId="2A996C69" w14:textId="77777777" w:rsidR="00BB7660" w:rsidRPr="00005026" w:rsidRDefault="00BB7660" w:rsidP="00BB7660">
      <w:pPr>
        <w:pStyle w:val="paragraph"/>
      </w:pPr>
      <w:r w:rsidRPr="00005026">
        <w:tab/>
      </w:r>
      <w:r>
        <w:t>(c)</w:t>
      </w:r>
      <w:r w:rsidRPr="00005026">
        <w:tab/>
        <w:t xml:space="preserve">notifying information security incidents to the Australian Cyber Security Centre </w:t>
      </w:r>
      <w:r w:rsidRPr="007115C0">
        <w:t>as soon as</w:t>
      </w:r>
      <w:r w:rsidRPr="00005026">
        <w:t xml:space="preserve"> practicable and in any case no later than 30 days after the accredited data recipient becomes aware of the security incident.</w:t>
      </w:r>
    </w:p>
    <w:p w14:paraId="5AE0CCD0" w14:textId="77777777" w:rsidR="00BB7660" w:rsidRPr="00751616" w:rsidRDefault="00BB7660" w:rsidP="00BB7660">
      <w:pPr>
        <w:pStyle w:val="notetext"/>
      </w:pPr>
      <w:r>
        <w:t>Note:</w:t>
      </w:r>
      <w:r>
        <w:tab/>
        <w:t xml:space="preserve">For paragraph (3)(b), see section 56ES of the Act for the extended application of Part IIIC of the </w:t>
      </w:r>
      <w:r>
        <w:rPr>
          <w:i/>
        </w:rPr>
        <w:t>Privacy Act 1988</w:t>
      </w:r>
      <w:r>
        <w:t>.</w:t>
      </w:r>
    </w:p>
    <w:p w14:paraId="7D1E2B24" w14:textId="77777777" w:rsidR="00BB7660" w:rsidRDefault="00BB7660" w:rsidP="00BB7660">
      <w:pPr>
        <w:pStyle w:val="subsection"/>
      </w:pPr>
      <w:r>
        <w:tab/>
        <w:t>(4)</w:t>
      </w:r>
      <w:r>
        <w:tab/>
        <w:t xml:space="preserve">The accredited data recipient </w:t>
      </w:r>
      <w:r w:rsidRPr="00CD6E65">
        <w:t xml:space="preserve">must review and test its </w:t>
      </w:r>
      <w:r>
        <w:t xml:space="preserve">CDR data </w:t>
      </w:r>
      <w:r w:rsidRPr="00CD6E65">
        <w:t>security response plans</w:t>
      </w:r>
      <w:r>
        <w:t>:</w:t>
      </w:r>
    </w:p>
    <w:p w14:paraId="0969ED48" w14:textId="77777777" w:rsidR="00BB7660" w:rsidRDefault="00BB7660" w:rsidP="00BB7660">
      <w:pPr>
        <w:pStyle w:val="paragraph"/>
      </w:pPr>
      <w:r>
        <w:tab/>
        <w:t>(a)</w:t>
      </w:r>
      <w:r>
        <w:tab/>
        <w:t>when there is a material change to the nature and extent of threats to its CDR data environment or to the boundaries of its CDR data environment—as soon as practicable;</w:t>
      </w:r>
      <w:r w:rsidRPr="00CD6E65">
        <w:t xml:space="preserve"> </w:t>
      </w:r>
      <w:r>
        <w:t>and</w:t>
      </w:r>
    </w:p>
    <w:p w14:paraId="3FC09788" w14:textId="77777777" w:rsidR="00BB7660" w:rsidRDefault="00BB7660" w:rsidP="00BB7660">
      <w:pPr>
        <w:pStyle w:val="paragraph"/>
      </w:pPr>
      <w:r>
        <w:tab/>
        <w:t>(b)</w:t>
      </w:r>
      <w:r>
        <w:tab/>
        <w:t>where no such material changes occur—at least annually.</w:t>
      </w:r>
    </w:p>
    <w:p w14:paraId="5A8214F8" w14:textId="77777777" w:rsidR="00BB7660" w:rsidRPr="00005026" w:rsidRDefault="00BB7660" w:rsidP="00BB7660">
      <w:pPr>
        <w:pStyle w:val="subsection"/>
      </w:pPr>
      <w:r w:rsidRPr="00005026">
        <w:tab/>
      </w:r>
      <w:r>
        <w:t>(5)</w:t>
      </w:r>
      <w:r w:rsidRPr="00005026">
        <w:tab/>
        <w:t>In this clause:</w:t>
      </w:r>
    </w:p>
    <w:p w14:paraId="4B6B62C2" w14:textId="77777777" w:rsidR="00BB7660" w:rsidRPr="00005026" w:rsidRDefault="00BB7660" w:rsidP="00BB7660">
      <w:pPr>
        <w:pStyle w:val="Definition"/>
      </w:pPr>
      <w:r w:rsidRPr="00005026">
        <w:rPr>
          <w:b/>
          <w:i/>
        </w:rPr>
        <w:t xml:space="preserve">Australian Cyber Security Centre </w:t>
      </w:r>
      <w:r w:rsidRPr="00005026">
        <w:t>means the cyber security function within the Australian Signals Directorate.</w:t>
      </w:r>
    </w:p>
    <w:p w14:paraId="5352A55B" w14:textId="77777777" w:rsidR="00BB7660" w:rsidRDefault="00BB7660" w:rsidP="00BB7660">
      <w:pPr>
        <w:pStyle w:val="subsection"/>
        <w:sectPr w:rsidR="00BB7660" w:rsidSect="0051288D">
          <w:headerReference w:type="default" r:id="rId33"/>
          <w:pgSz w:w="11907" w:h="16839" w:code="9"/>
          <w:pgMar w:top="2234" w:right="1797" w:bottom="1440" w:left="1797" w:header="720" w:footer="709" w:gutter="0"/>
          <w:cols w:space="708"/>
          <w:docGrid w:linePitch="360"/>
        </w:sectPr>
      </w:pPr>
    </w:p>
    <w:p w14:paraId="249E662F" w14:textId="77777777" w:rsidR="00BB7660" w:rsidRPr="005D541E" w:rsidRDefault="00BB7660" w:rsidP="00BB7660">
      <w:pPr>
        <w:pStyle w:val="ActHead2"/>
        <w:pageBreakBefore/>
      </w:pPr>
      <w:bookmarkStart w:id="650" w:name="_Toc11771720"/>
      <w:bookmarkStart w:id="651" w:name="_Toc111132260"/>
      <w:r w:rsidRPr="005D541E">
        <w:lastRenderedPageBreak/>
        <w:t>Part 2—Minimum information security controls</w:t>
      </w:r>
      <w:bookmarkEnd w:id="650"/>
      <w:bookmarkEnd w:id="651"/>
    </w:p>
    <w:p w14:paraId="6BC2CF8B" w14:textId="77777777" w:rsidR="00BB7660" w:rsidRPr="005D541E" w:rsidRDefault="00BB7660" w:rsidP="00BB7660">
      <w:pPr>
        <w:pStyle w:val="ActHead5"/>
      </w:pPr>
      <w:bookmarkStart w:id="652" w:name="_Toc11771721"/>
      <w:bookmarkStart w:id="653" w:name="_Toc111132261"/>
      <w:r w:rsidRPr="005D541E">
        <w:t>2.1  Purpose of Part</w:t>
      </w:r>
      <w:bookmarkEnd w:id="652"/>
      <w:bookmarkEnd w:id="653"/>
    </w:p>
    <w:p w14:paraId="2BA109B9" w14:textId="77777777" w:rsidR="00BB7660" w:rsidRPr="005D541E" w:rsidRDefault="00BB7660" w:rsidP="00BB7660">
      <w:pPr>
        <w:pStyle w:val="subsection"/>
      </w:pPr>
      <w:r w:rsidRPr="005D541E">
        <w:tab/>
      </w:r>
      <w:r w:rsidRPr="005D541E">
        <w:tab/>
        <w:t>This Part sets out the information security controls, for the purpose of paragraph 1.5(1)(a) of this Schedule.</w:t>
      </w:r>
    </w:p>
    <w:p w14:paraId="5BFECC5B" w14:textId="77777777" w:rsidR="00BB7660" w:rsidRPr="005D541E" w:rsidRDefault="00BB7660" w:rsidP="00BB7660">
      <w:pPr>
        <w:pStyle w:val="ActHead5"/>
      </w:pPr>
      <w:bookmarkStart w:id="654" w:name="_Toc11771722"/>
      <w:bookmarkStart w:id="655" w:name="_Toc111132262"/>
      <w:r w:rsidRPr="005D541E">
        <w:t>2.2  Information security controls</w:t>
      </w:r>
      <w:bookmarkEnd w:id="654"/>
      <w:bookmarkEnd w:id="655"/>
    </w:p>
    <w:p w14:paraId="58F2AA34" w14:textId="77777777" w:rsidR="00BB7660" w:rsidRPr="005D541E" w:rsidRDefault="00BB7660" w:rsidP="00BB7660">
      <w:pPr>
        <w:pStyle w:val="subsection"/>
      </w:pPr>
      <w:r w:rsidRPr="005D541E">
        <w:tab/>
      </w:r>
      <w:r w:rsidRPr="005D541E">
        <w:tab/>
        <w:t>The information security controls are set out in the following table:</w:t>
      </w:r>
      <w:bookmarkStart w:id="656" w:name="_Toc11771723"/>
    </w:p>
    <w:p w14:paraId="7078835A" w14:textId="77777777" w:rsidR="00BB7660" w:rsidRPr="005D541E" w:rsidRDefault="00BB7660" w:rsidP="00BB7660">
      <w:pPr>
        <w:pStyle w:val="ActHead6"/>
      </w:pPr>
    </w:p>
    <w:tbl>
      <w:tblPr>
        <w:tblStyle w:val="TableGrid"/>
        <w:tblW w:w="5780" w:type="pct"/>
        <w:tblLook w:val="04A0" w:firstRow="1" w:lastRow="0" w:firstColumn="1" w:lastColumn="0" w:noHBand="0" w:noVBand="1"/>
      </w:tblPr>
      <w:tblGrid>
        <w:gridCol w:w="450"/>
        <w:gridCol w:w="2241"/>
        <w:gridCol w:w="499"/>
        <w:gridCol w:w="5715"/>
        <w:gridCol w:w="6302"/>
      </w:tblGrid>
      <w:tr w:rsidR="005D541E" w:rsidRPr="005D541E" w14:paraId="072D9B62" w14:textId="77777777" w:rsidTr="0051288D">
        <w:trPr>
          <w:tblHeader/>
        </w:trPr>
        <w:tc>
          <w:tcPr>
            <w:tcW w:w="148" w:type="pct"/>
          </w:tcPr>
          <w:p w14:paraId="5A53F434" w14:textId="77777777" w:rsidR="00BB7660" w:rsidRPr="005D541E" w:rsidRDefault="00BB7660" w:rsidP="0051288D">
            <w:pPr>
              <w:pStyle w:val="TableHeading"/>
            </w:pPr>
          </w:p>
        </w:tc>
        <w:tc>
          <w:tcPr>
            <w:tcW w:w="737" w:type="pct"/>
          </w:tcPr>
          <w:p w14:paraId="61CC46EE" w14:textId="77777777" w:rsidR="00BB7660" w:rsidRPr="005D541E" w:rsidRDefault="00BB7660" w:rsidP="0051288D">
            <w:pPr>
              <w:pStyle w:val="TableHeading"/>
            </w:pPr>
            <w:r w:rsidRPr="005D541E">
              <w:t>Control requirements</w:t>
            </w:r>
          </w:p>
        </w:tc>
        <w:tc>
          <w:tcPr>
            <w:tcW w:w="164" w:type="pct"/>
          </w:tcPr>
          <w:p w14:paraId="74CA02B5" w14:textId="77777777" w:rsidR="00BB7660" w:rsidRPr="005D541E" w:rsidRDefault="00BB7660" w:rsidP="0051288D">
            <w:pPr>
              <w:pStyle w:val="TableHeading"/>
            </w:pPr>
          </w:p>
        </w:tc>
        <w:tc>
          <w:tcPr>
            <w:tcW w:w="1879" w:type="pct"/>
          </w:tcPr>
          <w:p w14:paraId="04D6C953" w14:textId="77777777" w:rsidR="00BB7660" w:rsidRPr="005D541E" w:rsidRDefault="00BB7660" w:rsidP="0051288D">
            <w:pPr>
              <w:pStyle w:val="TableHeading"/>
            </w:pPr>
            <w:r w:rsidRPr="005D541E">
              <w:t>Minimum controls</w:t>
            </w:r>
          </w:p>
        </w:tc>
        <w:tc>
          <w:tcPr>
            <w:tcW w:w="2072" w:type="pct"/>
          </w:tcPr>
          <w:p w14:paraId="3EF63A76" w14:textId="77777777" w:rsidR="00BB7660" w:rsidRPr="005D541E" w:rsidRDefault="00BB7660" w:rsidP="0051288D">
            <w:pPr>
              <w:pStyle w:val="TableHeading"/>
            </w:pPr>
            <w:r w:rsidRPr="005D541E">
              <w:t>Description of minimum controls</w:t>
            </w:r>
          </w:p>
        </w:tc>
      </w:tr>
      <w:tr w:rsidR="005D541E" w:rsidRPr="005D541E" w14:paraId="12E0399F" w14:textId="77777777" w:rsidTr="0051288D">
        <w:trPr>
          <w:trHeight w:val="33"/>
        </w:trPr>
        <w:tc>
          <w:tcPr>
            <w:tcW w:w="148" w:type="pct"/>
            <w:vMerge w:val="restart"/>
          </w:tcPr>
          <w:p w14:paraId="7BAEC242" w14:textId="77777777" w:rsidR="00BB7660" w:rsidRPr="005D541E" w:rsidRDefault="00BB7660" w:rsidP="0051288D">
            <w:pPr>
              <w:pStyle w:val="Tabletext"/>
            </w:pPr>
            <w:r w:rsidRPr="005D541E">
              <w:t>(1)</w:t>
            </w:r>
          </w:p>
        </w:tc>
        <w:tc>
          <w:tcPr>
            <w:tcW w:w="737" w:type="pct"/>
            <w:vMerge w:val="restart"/>
          </w:tcPr>
          <w:p w14:paraId="7A5F5F00" w14:textId="77777777" w:rsidR="00BB7660" w:rsidRPr="005D541E" w:rsidRDefault="00BB7660" w:rsidP="0051288D">
            <w:pPr>
              <w:pStyle w:val="Tabletext"/>
            </w:pPr>
            <w:r w:rsidRPr="005D541E">
              <w:t>An accredited data recipient must have processes in place to limit the risk of inappropriate or unauthorised access to its CDR data environment.</w:t>
            </w:r>
          </w:p>
        </w:tc>
        <w:tc>
          <w:tcPr>
            <w:tcW w:w="164" w:type="pct"/>
          </w:tcPr>
          <w:p w14:paraId="37CC7B1C" w14:textId="77777777" w:rsidR="00BB7660" w:rsidRPr="005D541E" w:rsidRDefault="00BB7660" w:rsidP="0051288D">
            <w:pPr>
              <w:pStyle w:val="Tabletext"/>
              <w:rPr>
                <w:lang w:eastAsia="en-US"/>
              </w:rPr>
            </w:pPr>
            <w:r w:rsidRPr="005D541E">
              <w:t>(a)</w:t>
            </w:r>
          </w:p>
        </w:tc>
        <w:tc>
          <w:tcPr>
            <w:tcW w:w="1879" w:type="pct"/>
          </w:tcPr>
          <w:p w14:paraId="3A9BC19B" w14:textId="77777777" w:rsidR="00BB7660" w:rsidRPr="005D541E" w:rsidRDefault="00BB7660" w:rsidP="0051288D">
            <w:pPr>
              <w:pStyle w:val="Tabletext"/>
              <w:rPr>
                <w:lang w:eastAsia="en-US"/>
              </w:rPr>
            </w:pPr>
            <w:r w:rsidRPr="005D541E">
              <w:rPr>
                <w:lang w:eastAsia="en-US"/>
              </w:rPr>
              <w:t>Multi-factor authentication or equivalent control</w:t>
            </w:r>
          </w:p>
        </w:tc>
        <w:tc>
          <w:tcPr>
            <w:tcW w:w="2072" w:type="pct"/>
          </w:tcPr>
          <w:p w14:paraId="045F2863" w14:textId="77777777" w:rsidR="00BB7660" w:rsidRPr="005D541E" w:rsidRDefault="00BB7660" w:rsidP="0051288D">
            <w:pPr>
              <w:pStyle w:val="Tabletext"/>
              <w:rPr>
                <w:lang w:eastAsia="en-US"/>
              </w:rPr>
            </w:pPr>
            <w:r w:rsidRPr="005D541E">
              <w:rPr>
                <w:lang w:eastAsia="en-US"/>
              </w:rPr>
              <w:t>Multi-factor authentication or equivalent control is required for all access to CDR data.</w:t>
            </w:r>
          </w:p>
          <w:p w14:paraId="519CFF9B" w14:textId="77777777" w:rsidR="00BB7660" w:rsidRPr="005D541E" w:rsidRDefault="00BB7660" w:rsidP="0051288D">
            <w:pPr>
              <w:pStyle w:val="notemargin"/>
            </w:pPr>
            <w:r w:rsidRPr="005D541E">
              <w:t xml:space="preserve">Note:       This minimum control does not apply to access to CDR data by CDR consumers. </w:t>
            </w:r>
          </w:p>
          <w:p w14:paraId="0F06CC81" w14:textId="77777777" w:rsidR="00BB7660" w:rsidRPr="005D541E" w:rsidRDefault="00BB7660" w:rsidP="0051288D">
            <w:pPr>
              <w:pStyle w:val="Tabletext"/>
              <w:rPr>
                <w:lang w:eastAsia="en-US"/>
              </w:rPr>
            </w:pPr>
          </w:p>
        </w:tc>
      </w:tr>
      <w:tr w:rsidR="005D541E" w:rsidRPr="005D541E" w14:paraId="7454A8E2" w14:textId="77777777" w:rsidTr="0051288D">
        <w:trPr>
          <w:trHeight w:val="31"/>
        </w:trPr>
        <w:tc>
          <w:tcPr>
            <w:tcW w:w="148" w:type="pct"/>
            <w:vMerge/>
          </w:tcPr>
          <w:p w14:paraId="3F0F4A8D" w14:textId="77777777" w:rsidR="00BB7660" w:rsidRPr="005D541E" w:rsidRDefault="00BB7660" w:rsidP="0051288D">
            <w:pPr>
              <w:pStyle w:val="Tabletext"/>
            </w:pPr>
          </w:p>
        </w:tc>
        <w:tc>
          <w:tcPr>
            <w:tcW w:w="737" w:type="pct"/>
            <w:vMerge/>
          </w:tcPr>
          <w:p w14:paraId="48ABC921" w14:textId="77777777" w:rsidR="00BB7660" w:rsidRPr="005D541E" w:rsidRDefault="00BB7660" w:rsidP="0051288D">
            <w:pPr>
              <w:pStyle w:val="Tabletext"/>
            </w:pPr>
          </w:p>
        </w:tc>
        <w:tc>
          <w:tcPr>
            <w:tcW w:w="164" w:type="pct"/>
          </w:tcPr>
          <w:p w14:paraId="014FE2E4" w14:textId="77777777" w:rsidR="00BB7660" w:rsidRPr="005D541E" w:rsidRDefault="00BB7660" w:rsidP="0051288D">
            <w:pPr>
              <w:pStyle w:val="Tabletext"/>
            </w:pPr>
            <w:r w:rsidRPr="005D541E">
              <w:t>(b)</w:t>
            </w:r>
          </w:p>
        </w:tc>
        <w:tc>
          <w:tcPr>
            <w:tcW w:w="1879" w:type="pct"/>
          </w:tcPr>
          <w:p w14:paraId="70BFE784" w14:textId="77777777" w:rsidR="00BB7660" w:rsidRPr="005D541E" w:rsidRDefault="00BB7660" w:rsidP="0051288D">
            <w:pPr>
              <w:pStyle w:val="Tabletext"/>
            </w:pPr>
            <w:r w:rsidRPr="005D541E">
              <w:t xml:space="preserve">Restrict administrative privileges </w:t>
            </w:r>
          </w:p>
        </w:tc>
        <w:tc>
          <w:tcPr>
            <w:tcW w:w="2072" w:type="pct"/>
          </w:tcPr>
          <w:p w14:paraId="0D21B6FB" w14:textId="77777777" w:rsidR="00BB7660" w:rsidRPr="005D541E" w:rsidRDefault="00BB7660" w:rsidP="0051288D">
            <w:pPr>
              <w:pStyle w:val="Tabletext"/>
              <w:rPr>
                <w:rFonts w:cs="Arial"/>
              </w:rPr>
            </w:pPr>
            <w:r w:rsidRPr="005D541E">
              <w:rPr>
                <w:rFonts w:cs="Arial"/>
              </w:rPr>
              <w:t>Administrative privileges are granted only on an as needs basis for users to perform their duties and only for the period they are required for.</w:t>
            </w:r>
          </w:p>
          <w:p w14:paraId="61757C25" w14:textId="77777777" w:rsidR="00BB7660" w:rsidRPr="005D541E" w:rsidRDefault="00BB7660" w:rsidP="0051288D">
            <w:pPr>
              <w:pStyle w:val="Tabletext"/>
              <w:rPr>
                <w:rFonts w:cs="Arial"/>
              </w:rPr>
            </w:pPr>
            <w:r w:rsidRPr="005D541E">
              <w:rPr>
                <w:rFonts w:cs="Arial"/>
              </w:rPr>
              <w:t>Privileges granted on an ongoing basis are regularly reviewed to confirm their ongoing need.</w:t>
            </w:r>
          </w:p>
          <w:p w14:paraId="732883C9" w14:textId="77777777" w:rsidR="00BB7660" w:rsidRPr="005D541E" w:rsidRDefault="00BB7660" w:rsidP="0051288D">
            <w:pPr>
              <w:pStyle w:val="Tabletext"/>
              <w:rPr>
                <w:rFonts w:cs="Arial"/>
              </w:rPr>
            </w:pPr>
          </w:p>
        </w:tc>
      </w:tr>
      <w:tr w:rsidR="005D541E" w:rsidRPr="005D541E" w14:paraId="6FD55E3D" w14:textId="77777777" w:rsidTr="0051288D">
        <w:trPr>
          <w:trHeight w:val="31"/>
        </w:trPr>
        <w:tc>
          <w:tcPr>
            <w:tcW w:w="148" w:type="pct"/>
            <w:vMerge/>
          </w:tcPr>
          <w:p w14:paraId="6EDFD179" w14:textId="77777777" w:rsidR="00BB7660" w:rsidRPr="005D541E" w:rsidRDefault="00BB7660" w:rsidP="0051288D">
            <w:pPr>
              <w:pStyle w:val="Tabletext"/>
            </w:pPr>
          </w:p>
        </w:tc>
        <w:tc>
          <w:tcPr>
            <w:tcW w:w="737" w:type="pct"/>
            <w:vMerge/>
          </w:tcPr>
          <w:p w14:paraId="1B73F40A" w14:textId="77777777" w:rsidR="00BB7660" w:rsidRPr="005D541E" w:rsidRDefault="00BB7660" w:rsidP="0051288D">
            <w:pPr>
              <w:pStyle w:val="Tabletext"/>
            </w:pPr>
          </w:p>
        </w:tc>
        <w:tc>
          <w:tcPr>
            <w:tcW w:w="164" w:type="pct"/>
          </w:tcPr>
          <w:p w14:paraId="4A65D875" w14:textId="77777777" w:rsidR="00BB7660" w:rsidRPr="005D541E" w:rsidRDefault="00BB7660" w:rsidP="0051288D">
            <w:pPr>
              <w:pStyle w:val="Tabletext"/>
            </w:pPr>
            <w:r w:rsidRPr="005D541E">
              <w:t>(c)</w:t>
            </w:r>
          </w:p>
        </w:tc>
        <w:tc>
          <w:tcPr>
            <w:tcW w:w="1879" w:type="pct"/>
          </w:tcPr>
          <w:p w14:paraId="402DDC84" w14:textId="77777777" w:rsidR="00BB7660" w:rsidRPr="005D541E" w:rsidRDefault="00BB7660" w:rsidP="0051288D">
            <w:pPr>
              <w:pStyle w:val="Tabletext"/>
            </w:pPr>
            <w:r w:rsidRPr="005D541E">
              <w:t>Audit logging and monitoring</w:t>
            </w:r>
          </w:p>
        </w:tc>
        <w:tc>
          <w:tcPr>
            <w:tcW w:w="2072" w:type="pct"/>
          </w:tcPr>
          <w:p w14:paraId="3A718FE4" w14:textId="77777777" w:rsidR="00BB7660" w:rsidRPr="005D541E" w:rsidRDefault="00BB7660" w:rsidP="0051288D">
            <w:pPr>
              <w:pStyle w:val="Tabletext"/>
              <w:rPr>
                <w:rFonts w:cs="Arial"/>
              </w:rPr>
            </w:pPr>
            <w:r w:rsidRPr="005D541E">
              <w:rPr>
                <w:rFonts w:cs="Arial"/>
              </w:rPr>
              <w:t>Critical events are identified, logged and retained to help ensure traceability and accountability of actions. These logs are reviewed regularly to identify irregularities and deviations from expected processing.</w:t>
            </w:r>
          </w:p>
          <w:p w14:paraId="31A9F2CC" w14:textId="77777777" w:rsidR="00BB7660" w:rsidRPr="005D541E" w:rsidRDefault="00BB7660" w:rsidP="0051288D">
            <w:pPr>
              <w:pStyle w:val="notemargin"/>
            </w:pPr>
            <w:r w:rsidRPr="005D541E">
              <w:t>Note:</w:t>
            </w:r>
            <w:r w:rsidRPr="005D541E">
              <w:tab/>
              <w:t>In relation to retention, see paragraph 9.3(2)(l) of these rules.</w:t>
            </w:r>
          </w:p>
          <w:p w14:paraId="5FD45533" w14:textId="77777777" w:rsidR="00BB7660" w:rsidRPr="005D541E" w:rsidRDefault="00BB7660" w:rsidP="0051288D">
            <w:pPr>
              <w:pStyle w:val="Tabletext"/>
              <w:rPr>
                <w:rFonts w:cs="Arial"/>
                <w:i/>
              </w:rPr>
            </w:pPr>
          </w:p>
        </w:tc>
      </w:tr>
      <w:tr w:rsidR="005D541E" w:rsidRPr="005D541E" w14:paraId="38A66771" w14:textId="77777777" w:rsidTr="0051288D">
        <w:trPr>
          <w:trHeight w:val="31"/>
        </w:trPr>
        <w:tc>
          <w:tcPr>
            <w:tcW w:w="148" w:type="pct"/>
            <w:vMerge/>
          </w:tcPr>
          <w:p w14:paraId="678D4CC2" w14:textId="77777777" w:rsidR="00BB7660" w:rsidRPr="005D541E" w:rsidRDefault="00BB7660" w:rsidP="0051288D">
            <w:pPr>
              <w:pStyle w:val="Tabletext"/>
            </w:pPr>
          </w:p>
        </w:tc>
        <w:tc>
          <w:tcPr>
            <w:tcW w:w="737" w:type="pct"/>
            <w:vMerge/>
          </w:tcPr>
          <w:p w14:paraId="32C69F65" w14:textId="77777777" w:rsidR="00BB7660" w:rsidRPr="005D541E" w:rsidRDefault="00BB7660" w:rsidP="0051288D">
            <w:pPr>
              <w:pStyle w:val="Tabletext"/>
            </w:pPr>
          </w:p>
        </w:tc>
        <w:tc>
          <w:tcPr>
            <w:tcW w:w="164" w:type="pct"/>
          </w:tcPr>
          <w:p w14:paraId="08DDB545" w14:textId="77777777" w:rsidR="00BB7660" w:rsidRPr="005D541E" w:rsidRDefault="00BB7660" w:rsidP="0051288D">
            <w:pPr>
              <w:pStyle w:val="Tabletext"/>
            </w:pPr>
            <w:r w:rsidRPr="005D541E">
              <w:t>(d)</w:t>
            </w:r>
          </w:p>
        </w:tc>
        <w:tc>
          <w:tcPr>
            <w:tcW w:w="1879" w:type="pct"/>
          </w:tcPr>
          <w:p w14:paraId="3C7FC7CC" w14:textId="77777777" w:rsidR="00BB7660" w:rsidRPr="005D541E" w:rsidRDefault="00BB7660" w:rsidP="0051288D">
            <w:pPr>
              <w:pStyle w:val="Tabletext"/>
            </w:pPr>
            <w:r w:rsidRPr="005D541E">
              <w:t>Access security</w:t>
            </w:r>
          </w:p>
        </w:tc>
        <w:tc>
          <w:tcPr>
            <w:tcW w:w="2072" w:type="pct"/>
          </w:tcPr>
          <w:p w14:paraId="0D20ABA3" w14:textId="77777777" w:rsidR="00BB7660" w:rsidRPr="005D541E" w:rsidRDefault="00BB7660" w:rsidP="0051288D">
            <w:pPr>
              <w:pStyle w:val="Tabletext"/>
              <w:rPr>
                <w:rFonts w:cs="Arial"/>
              </w:rPr>
            </w:pPr>
            <w:r w:rsidRPr="005D541E">
              <w:rPr>
                <w:rFonts w:cs="Arial"/>
              </w:rPr>
              <w:t xml:space="preserve">Processes, including automatic processes, are implemented to limit unauthorised access to the CDR data environment. At the minimum these include: </w:t>
            </w:r>
          </w:p>
          <w:p w14:paraId="39654D7A" w14:textId="77777777" w:rsidR="00BB7660" w:rsidRPr="005D541E" w:rsidRDefault="00BB7660" w:rsidP="0051288D">
            <w:pPr>
              <w:pStyle w:val="Tablea"/>
            </w:pPr>
            <w:r w:rsidRPr="005D541E">
              <w:t>(a)</w:t>
            </w:r>
            <w:r w:rsidRPr="005D541E">
              <w:tab/>
              <w:t>provision and timely revocation for users who no longer need access; and</w:t>
            </w:r>
          </w:p>
          <w:p w14:paraId="7E5A232C" w14:textId="77777777" w:rsidR="00BB7660" w:rsidRPr="005D541E" w:rsidRDefault="00BB7660" w:rsidP="0051288D">
            <w:pPr>
              <w:pStyle w:val="Tablea"/>
            </w:pPr>
            <w:r w:rsidRPr="005D541E">
              <w:t>(b)</w:t>
            </w:r>
            <w:r w:rsidRPr="005D541E">
              <w:tab/>
              <w:t>monitoring and review of the appropriateness of user access privileges on at least a quarterly basis.</w:t>
            </w:r>
          </w:p>
          <w:p w14:paraId="630457BA" w14:textId="77777777" w:rsidR="00BB7660" w:rsidRPr="005D541E" w:rsidRDefault="00BB7660" w:rsidP="0051288D">
            <w:pPr>
              <w:pStyle w:val="Tablea"/>
            </w:pPr>
          </w:p>
        </w:tc>
      </w:tr>
      <w:tr w:rsidR="005D541E" w:rsidRPr="005D541E" w14:paraId="52AF137D" w14:textId="77777777" w:rsidTr="0051288D">
        <w:trPr>
          <w:trHeight w:val="31"/>
        </w:trPr>
        <w:tc>
          <w:tcPr>
            <w:tcW w:w="148" w:type="pct"/>
            <w:vMerge/>
          </w:tcPr>
          <w:p w14:paraId="62DB30F7" w14:textId="77777777" w:rsidR="00BB7660" w:rsidRPr="005D541E" w:rsidRDefault="00BB7660" w:rsidP="0051288D">
            <w:pPr>
              <w:pStyle w:val="Tabletext"/>
            </w:pPr>
          </w:p>
        </w:tc>
        <w:tc>
          <w:tcPr>
            <w:tcW w:w="737" w:type="pct"/>
            <w:vMerge/>
          </w:tcPr>
          <w:p w14:paraId="0DF2688C" w14:textId="77777777" w:rsidR="00BB7660" w:rsidRPr="005D541E" w:rsidRDefault="00BB7660" w:rsidP="0051288D">
            <w:pPr>
              <w:pStyle w:val="Tabletext"/>
            </w:pPr>
          </w:p>
        </w:tc>
        <w:tc>
          <w:tcPr>
            <w:tcW w:w="164" w:type="pct"/>
          </w:tcPr>
          <w:p w14:paraId="27A17D28" w14:textId="77777777" w:rsidR="00BB7660" w:rsidRPr="005D541E" w:rsidRDefault="00BB7660" w:rsidP="0051288D">
            <w:pPr>
              <w:pStyle w:val="Tabletext"/>
            </w:pPr>
            <w:r w:rsidRPr="005D541E">
              <w:t>(e)</w:t>
            </w:r>
          </w:p>
        </w:tc>
        <w:tc>
          <w:tcPr>
            <w:tcW w:w="1879" w:type="pct"/>
          </w:tcPr>
          <w:p w14:paraId="794B2724" w14:textId="77777777" w:rsidR="00BB7660" w:rsidRPr="005D541E" w:rsidRDefault="00BB7660" w:rsidP="0051288D">
            <w:pPr>
              <w:pStyle w:val="Tabletext"/>
            </w:pPr>
            <w:r w:rsidRPr="005D541E">
              <w:t xml:space="preserve">Limit physical access </w:t>
            </w:r>
          </w:p>
        </w:tc>
        <w:tc>
          <w:tcPr>
            <w:tcW w:w="2072" w:type="pct"/>
          </w:tcPr>
          <w:p w14:paraId="53299872" w14:textId="77777777" w:rsidR="00BB7660" w:rsidRPr="005D541E" w:rsidRDefault="00BB7660" w:rsidP="0051288D">
            <w:pPr>
              <w:pStyle w:val="Tabletext"/>
              <w:rPr>
                <w:rFonts w:cs="Arial"/>
              </w:rPr>
            </w:pPr>
            <w:r w:rsidRPr="005D541E">
              <w:rPr>
                <w:rFonts w:cs="Arial"/>
              </w:rPr>
              <w:t>Physical access to facilities where CDR data is stored, hosted or accessed (including server rooms, communications rooms, and premises of business operation) is restricted to authorised individuals.</w:t>
            </w:r>
          </w:p>
          <w:p w14:paraId="7DCA3DBA" w14:textId="77777777" w:rsidR="00BB7660" w:rsidRPr="005D541E" w:rsidRDefault="00BB7660" w:rsidP="0051288D">
            <w:pPr>
              <w:pStyle w:val="Tabletext"/>
              <w:rPr>
                <w:rFonts w:cs="Arial"/>
              </w:rPr>
            </w:pPr>
          </w:p>
        </w:tc>
      </w:tr>
      <w:tr w:rsidR="005D541E" w:rsidRPr="005D541E" w14:paraId="2638682A" w14:textId="77777777" w:rsidTr="0051288D">
        <w:trPr>
          <w:trHeight w:val="31"/>
        </w:trPr>
        <w:tc>
          <w:tcPr>
            <w:tcW w:w="148" w:type="pct"/>
            <w:vMerge/>
          </w:tcPr>
          <w:p w14:paraId="218B7343" w14:textId="77777777" w:rsidR="00BB7660" w:rsidRPr="005D541E" w:rsidRDefault="00BB7660" w:rsidP="0051288D">
            <w:pPr>
              <w:pStyle w:val="Tabletext"/>
            </w:pPr>
          </w:p>
        </w:tc>
        <w:tc>
          <w:tcPr>
            <w:tcW w:w="737" w:type="pct"/>
            <w:vMerge/>
          </w:tcPr>
          <w:p w14:paraId="7DD18470" w14:textId="77777777" w:rsidR="00BB7660" w:rsidRPr="005D541E" w:rsidRDefault="00BB7660" w:rsidP="0051288D">
            <w:pPr>
              <w:pStyle w:val="Tabletext"/>
            </w:pPr>
          </w:p>
        </w:tc>
        <w:tc>
          <w:tcPr>
            <w:tcW w:w="164" w:type="pct"/>
          </w:tcPr>
          <w:p w14:paraId="69D2B83E" w14:textId="77777777" w:rsidR="00BB7660" w:rsidRPr="005D541E" w:rsidRDefault="00BB7660" w:rsidP="0051288D">
            <w:pPr>
              <w:pStyle w:val="Tabletext"/>
            </w:pPr>
            <w:r w:rsidRPr="005D541E">
              <w:t>(f)</w:t>
            </w:r>
          </w:p>
        </w:tc>
        <w:tc>
          <w:tcPr>
            <w:tcW w:w="1879" w:type="pct"/>
          </w:tcPr>
          <w:p w14:paraId="53F31098" w14:textId="77777777" w:rsidR="00BB7660" w:rsidRPr="005D541E" w:rsidRDefault="00BB7660" w:rsidP="0051288D">
            <w:pPr>
              <w:pStyle w:val="Tabletext"/>
            </w:pPr>
            <w:r w:rsidRPr="005D541E">
              <w:t>Role based access</w:t>
            </w:r>
          </w:p>
        </w:tc>
        <w:tc>
          <w:tcPr>
            <w:tcW w:w="2072" w:type="pct"/>
          </w:tcPr>
          <w:p w14:paraId="2ED06A8A" w14:textId="77777777" w:rsidR="00BB7660" w:rsidRPr="005D541E" w:rsidRDefault="00BB7660" w:rsidP="0051288D">
            <w:pPr>
              <w:pStyle w:val="Tabletext"/>
              <w:rPr>
                <w:rFonts w:cs="Arial"/>
              </w:rPr>
            </w:pPr>
            <w:r w:rsidRPr="005D541E">
              <w:rPr>
                <w:rFonts w:cs="Arial"/>
              </w:rPr>
              <w:t>Role</w:t>
            </w:r>
            <w:r w:rsidRPr="005D541E">
              <w:rPr>
                <w:rFonts w:cs="Arial"/>
              </w:rPr>
              <w:noBreakHyphen/>
              <w:t>based access is implemented to limit user access rights to only that necessary for personnel to perform their assigned responsibilities. Role</w:t>
            </w:r>
            <w:r w:rsidRPr="005D541E">
              <w:rPr>
                <w:rFonts w:cs="Arial"/>
              </w:rPr>
              <w:noBreakHyphen/>
              <w:t>based access is assigned in accordance with the principle of least necessary privileges and segregation of duties.</w:t>
            </w:r>
          </w:p>
          <w:p w14:paraId="0C940960" w14:textId="77777777" w:rsidR="00BB7660" w:rsidRPr="005D541E" w:rsidRDefault="00BB7660" w:rsidP="0051288D">
            <w:pPr>
              <w:pStyle w:val="Tabletext"/>
              <w:rPr>
                <w:rFonts w:cs="Arial"/>
              </w:rPr>
            </w:pPr>
          </w:p>
        </w:tc>
      </w:tr>
      <w:tr w:rsidR="005D541E" w:rsidRPr="005D541E" w14:paraId="6130F137" w14:textId="77777777" w:rsidTr="0051288D">
        <w:trPr>
          <w:trHeight w:val="31"/>
        </w:trPr>
        <w:tc>
          <w:tcPr>
            <w:tcW w:w="148" w:type="pct"/>
            <w:vMerge/>
          </w:tcPr>
          <w:p w14:paraId="5D00E740" w14:textId="77777777" w:rsidR="00BB7660" w:rsidRPr="005D541E" w:rsidRDefault="00BB7660" w:rsidP="0051288D">
            <w:pPr>
              <w:pStyle w:val="Tabletext"/>
            </w:pPr>
          </w:p>
        </w:tc>
        <w:tc>
          <w:tcPr>
            <w:tcW w:w="737" w:type="pct"/>
            <w:vMerge/>
          </w:tcPr>
          <w:p w14:paraId="06B473D8" w14:textId="77777777" w:rsidR="00BB7660" w:rsidRPr="005D541E" w:rsidRDefault="00BB7660" w:rsidP="0051288D">
            <w:pPr>
              <w:pStyle w:val="Tabletext"/>
            </w:pPr>
          </w:p>
        </w:tc>
        <w:tc>
          <w:tcPr>
            <w:tcW w:w="164" w:type="pct"/>
          </w:tcPr>
          <w:p w14:paraId="53CCE708" w14:textId="77777777" w:rsidR="00BB7660" w:rsidRPr="005D541E" w:rsidRDefault="00BB7660" w:rsidP="0051288D">
            <w:pPr>
              <w:pStyle w:val="Tabletext"/>
            </w:pPr>
            <w:r w:rsidRPr="005D541E">
              <w:t>(g)</w:t>
            </w:r>
          </w:p>
        </w:tc>
        <w:tc>
          <w:tcPr>
            <w:tcW w:w="1879" w:type="pct"/>
          </w:tcPr>
          <w:p w14:paraId="76C7F545" w14:textId="77777777" w:rsidR="00BB7660" w:rsidRPr="005D541E" w:rsidRDefault="00BB7660" w:rsidP="0051288D">
            <w:pPr>
              <w:pStyle w:val="Tabletext"/>
            </w:pPr>
            <w:r w:rsidRPr="005D541E">
              <w:t>Unique IDs</w:t>
            </w:r>
          </w:p>
        </w:tc>
        <w:tc>
          <w:tcPr>
            <w:tcW w:w="2072" w:type="pct"/>
          </w:tcPr>
          <w:p w14:paraId="70195053" w14:textId="77777777" w:rsidR="00BB7660" w:rsidRPr="005D541E" w:rsidRDefault="00BB7660" w:rsidP="0051288D">
            <w:pPr>
              <w:pStyle w:val="Tabletext"/>
              <w:rPr>
                <w:rFonts w:cs="Arial"/>
              </w:rPr>
            </w:pPr>
            <w:r w:rsidRPr="005D541E">
              <w:rPr>
                <w:rFonts w:cs="Arial"/>
              </w:rPr>
              <w:t>Use of generic, shared and/or default accounts is restricted to those necessary to run a service or a system. Where generic, shared and/or default accounts are used, actions performed using these accounts are monitored and logs are retained.</w:t>
            </w:r>
          </w:p>
          <w:p w14:paraId="162B6E86" w14:textId="77777777" w:rsidR="00BB7660" w:rsidRPr="005D541E" w:rsidRDefault="00BB7660" w:rsidP="0051288D">
            <w:pPr>
              <w:pStyle w:val="notemargin"/>
            </w:pPr>
            <w:r w:rsidRPr="005D541E">
              <w:t>Note:</w:t>
            </w:r>
            <w:r w:rsidRPr="005D541E">
              <w:tab/>
              <w:t>In relation to retention, see paragraph 9.3(2)(l) of these rules.</w:t>
            </w:r>
          </w:p>
          <w:p w14:paraId="1B3BD396" w14:textId="77777777" w:rsidR="00BB7660" w:rsidRPr="005D541E" w:rsidRDefault="00BB7660" w:rsidP="0051288D">
            <w:pPr>
              <w:pStyle w:val="Tabletext"/>
              <w:rPr>
                <w:rFonts w:cs="Arial"/>
              </w:rPr>
            </w:pPr>
          </w:p>
        </w:tc>
      </w:tr>
      <w:tr w:rsidR="005D541E" w:rsidRPr="005D541E" w14:paraId="22BFD5C3" w14:textId="77777777" w:rsidTr="0051288D">
        <w:trPr>
          <w:trHeight w:val="31"/>
        </w:trPr>
        <w:tc>
          <w:tcPr>
            <w:tcW w:w="148" w:type="pct"/>
            <w:vMerge/>
          </w:tcPr>
          <w:p w14:paraId="2DA2AF03" w14:textId="77777777" w:rsidR="00BB7660" w:rsidRPr="005D541E" w:rsidRDefault="00BB7660" w:rsidP="0051288D">
            <w:pPr>
              <w:pStyle w:val="Tabletext"/>
            </w:pPr>
          </w:p>
        </w:tc>
        <w:tc>
          <w:tcPr>
            <w:tcW w:w="737" w:type="pct"/>
            <w:vMerge/>
          </w:tcPr>
          <w:p w14:paraId="5520CC5F" w14:textId="77777777" w:rsidR="00BB7660" w:rsidRPr="005D541E" w:rsidRDefault="00BB7660" w:rsidP="0051288D">
            <w:pPr>
              <w:pStyle w:val="Tabletext"/>
            </w:pPr>
          </w:p>
        </w:tc>
        <w:tc>
          <w:tcPr>
            <w:tcW w:w="164" w:type="pct"/>
          </w:tcPr>
          <w:p w14:paraId="664D40E3" w14:textId="77777777" w:rsidR="00BB7660" w:rsidRPr="005D541E" w:rsidRDefault="00BB7660" w:rsidP="0051288D">
            <w:pPr>
              <w:pStyle w:val="Tabletext"/>
            </w:pPr>
            <w:r w:rsidRPr="005D541E">
              <w:t>(h)</w:t>
            </w:r>
          </w:p>
        </w:tc>
        <w:tc>
          <w:tcPr>
            <w:tcW w:w="1879" w:type="pct"/>
          </w:tcPr>
          <w:p w14:paraId="3CBF1F47" w14:textId="77777777" w:rsidR="00BB7660" w:rsidRPr="005D541E" w:rsidRDefault="00BB7660" w:rsidP="0051288D">
            <w:pPr>
              <w:pStyle w:val="Tabletext"/>
            </w:pPr>
            <w:r w:rsidRPr="005D541E">
              <w:t>Password authentication</w:t>
            </w:r>
          </w:p>
        </w:tc>
        <w:tc>
          <w:tcPr>
            <w:tcW w:w="2072" w:type="pct"/>
          </w:tcPr>
          <w:p w14:paraId="0B1FC655" w14:textId="77777777" w:rsidR="00BB7660" w:rsidRPr="005D541E" w:rsidRDefault="00BB7660" w:rsidP="0051288D">
            <w:pPr>
              <w:pStyle w:val="Tabletext"/>
              <w:rPr>
                <w:rFonts w:cs="Arial"/>
              </w:rPr>
            </w:pPr>
            <w:r w:rsidRPr="005D541E">
              <w:rPr>
                <w:rFonts w:cs="Arial"/>
              </w:rPr>
              <w:t>Strong authentication mechanisms are enforced prior to allowing users to access systems within the CDR data environment, including, but not limited to, general security requirements relating to password complexity, account lockout, password history, and password ageing.</w:t>
            </w:r>
          </w:p>
          <w:p w14:paraId="5D084EB1" w14:textId="77777777" w:rsidR="00BB7660" w:rsidRPr="005D541E" w:rsidRDefault="00BB7660" w:rsidP="0051288D">
            <w:pPr>
              <w:pStyle w:val="Tabletext"/>
              <w:rPr>
                <w:rFonts w:cs="Arial"/>
              </w:rPr>
            </w:pPr>
          </w:p>
        </w:tc>
      </w:tr>
      <w:tr w:rsidR="005D541E" w:rsidRPr="005D541E" w14:paraId="6EB647E8" w14:textId="77777777" w:rsidTr="0051288D">
        <w:trPr>
          <w:trHeight w:val="31"/>
        </w:trPr>
        <w:tc>
          <w:tcPr>
            <w:tcW w:w="148" w:type="pct"/>
            <w:vMerge/>
          </w:tcPr>
          <w:p w14:paraId="34785E2D" w14:textId="77777777" w:rsidR="00BB7660" w:rsidRPr="005D541E" w:rsidRDefault="00BB7660" w:rsidP="0051288D">
            <w:pPr>
              <w:pStyle w:val="Tabletext"/>
            </w:pPr>
          </w:p>
        </w:tc>
        <w:tc>
          <w:tcPr>
            <w:tcW w:w="737" w:type="pct"/>
            <w:vMerge/>
          </w:tcPr>
          <w:p w14:paraId="08C1B101" w14:textId="77777777" w:rsidR="00BB7660" w:rsidRPr="005D541E" w:rsidRDefault="00BB7660" w:rsidP="0051288D">
            <w:pPr>
              <w:pStyle w:val="Tabletext"/>
            </w:pPr>
          </w:p>
        </w:tc>
        <w:tc>
          <w:tcPr>
            <w:tcW w:w="164" w:type="pct"/>
          </w:tcPr>
          <w:p w14:paraId="09B01FE0" w14:textId="77777777" w:rsidR="00BB7660" w:rsidRPr="005D541E" w:rsidRDefault="00BB7660" w:rsidP="0051288D">
            <w:pPr>
              <w:pStyle w:val="Tabletext"/>
            </w:pPr>
            <w:r w:rsidRPr="005D541E">
              <w:t>(i)</w:t>
            </w:r>
          </w:p>
        </w:tc>
        <w:tc>
          <w:tcPr>
            <w:tcW w:w="1879" w:type="pct"/>
          </w:tcPr>
          <w:p w14:paraId="44C383CE" w14:textId="77777777" w:rsidR="00BB7660" w:rsidRPr="005D541E" w:rsidRDefault="00BB7660" w:rsidP="0051288D">
            <w:pPr>
              <w:pStyle w:val="Tabletext"/>
            </w:pPr>
            <w:r w:rsidRPr="005D541E">
              <w:t>Encryption in transit</w:t>
            </w:r>
          </w:p>
        </w:tc>
        <w:tc>
          <w:tcPr>
            <w:tcW w:w="2072" w:type="pct"/>
          </w:tcPr>
          <w:p w14:paraId="1BA44EDA" w14:textId="77777777" w:rsidR="00BB7660" w:rsidRPr="005D541E" w:rsidRDefault="00BB7660" w:rsidP="0051288D">
            <w:pPr>
              <w:pStyle w:val="Tabletext"/>
            </w:pPr>
            <w:r w:rsidRPr="005D541E">
              <w:t>Implement robust network security controls to help protect data in transit, including: encrypting data in transit and authenticating access to data in accordance with the data standards (if any) and industry best practice, implementing processes to audit data access and use, and implementing processes to verify the identity of communications.</w:t>
            </w:r>
          </w:p>
          <w:p w14:paraId="0971D2F2" w14:textId="77777777" w:rsidR="00BB7660" w:rsidRPr="005D541E" w:rsidRDefault="00BB7660" w:rsidP="0051288D">
            <w:pPr>
              <w:pStyle w:val="Tabletext"/>
              <w:tabs>
                <w:tab w:val="left" w:pos="1905"/>
              </w:tabs>
            </w:pPr>
            <w:r w:rsidRPr="005D541E">
              <w:tab/>
            </w:r>
          </w:p>
        </w:tc>
      </w:tr>
      <w:tr w:rsidR="005D541E" w:rsidRPr="005D541E" w14:paraId="70411CE1" w14:textId="77777777" w:rsidTr="0051288D">
        <w:trPr>
          <w:trHeight w:val="64"/>
        </w:trPr>
        <w:tc>
          <w:tcPr>
            <w:tcW w:w="148" w:type="pct"/>
            <w:vMerge w:val="restart"/>
          </w:tcPr>
          <w:p w14:paraId="61F17FBF" w14:textId="77777777" w:rsidR="00BB7660" w:rsidRPr="005D541E" w:rsidRDefault="00BB7660" w:rsidP="0051288D">
            <w:pPr>
              <w:pStyle w:val="Tabletext"/>
            </w:pPr>
            <w:r w:rsidRPr="005D541E">
              <w:t>(2)</w:t>
            </w:r>
          </w:p>
        </w:tc>
        <w:tc>
          <w:tcPr>
            <w:tcW w:w="737" w:type="pct"/>
            <w:vMerge w:val="restart"/>
          </w:tcPr>
          <w:p w14:paraId="08BEB4F5" w14:textId="77777777" w:rsidR="00BB7660" w:rsidRPr="005D541E" w:rsidRDefault="00BB7660" w:rsidP="0051288D">
            <w:pPr>
              <w:pStyle w:val="Tabletext"/>
              <w:rPr>
                <w:rFonts w:cs="Arial"/>
              </w:rPr>
            </w:pPr>
            <w:r w:rsidRPr="005D541E">
              <w:rPr>
                <w:rFonts w:cs="Arial"/>
              </w:rPr>
              <w:t>An accredited data recipient of CDR data must take steps to secure their network and systems within the CDR data environment.</w:t>
            </w:r>
          </w:p>
        </w:tc>
        <w:tc>
          <w:tcPr>
            <w:tcW w:w="164" w:type="pct"/>
          </w:tcPr>
          <w:p w14:paraId="1730C411" w14:textId="77777777" w:rsidR="00BB7660" w:rsidRPr="005D541E" w:rsidRDefault="00BB7660" w:rsidP="0051288D">
            <w:pPr>
              <w:pStyle w:val="Tabletext"/>
            </w:pPr>
            <w:r w:rsidRPr="005D541E">
              <w:t>(a)</w:t>
            </w:r>
          </w:p>
        </w:tc>
        <w:tc>
          <w:tcPr>
            <w:tcW w:w="1879" w:type="pct"/>
          </w:tcPr>
          <w:p w14:paraId="44DE8855" w14:textId="77777777" w:rsidR="00BB7660" w:rsidRPr="005D541E" w:rsidRDefault="00BB7660" w:rsidP="0051288D">
            <w:pPr>
              <w:pStyle w:val="Tabletext"/>
            </w:pPr>
            <w:r w:rsidRPr="005D541E">
              <w:t>Encryption</w:t>
            </w:r>
          </w:p>
        </w:tc>
        <w:tc>
          <w:tcPr>
            <w:tcW w:w="2072" w:type="pct"/>
          </w:tcPr>
          <w:p w14:paraId="2820FBA6" w14:textId="77777777" w:rsidR="00BB7660" w:rsidRPr="005D541E" w:rsidRDefault="00BB7660" w:rsidP="0051288D">
            <w:pPr>
              <w:pStyle w:val="Tabletext"/>
              <w:rPr>
                <w:rFonts w:cs="Arial"/>
              </w:rPr>
            </w:pPr>
            <w:r w:rsidRPr="005D541E">
              <w:rPr>
                <w:rFonts w:cs="Arial"/>
              </w:rPr>
              <w:t xml:space="preserve">Encryption methods are utilised to secure CDR data at rest by encrypting file systems, end-user devices, portable storage media and backup media. Cryptographic keys are securely stored, backed-up and retained. </w:t>
            </w:r>
          </w:p>
          <w:p w14:paraId="1462CFD2" w14:textId="77777777" w:rsidR="00BB7660" w:rsidRPr="005D541E" w:rsidRDefault="00BB7660" w:rsidP="0051288D">
            <w:pPr>
              <w:pStyle w:val="Tabletext"/>
              <w:rPr>
                <w:rFonts w:cs="Arial"/>
              </w:rPr>
            </w:pPr>
            <w:r w:rsidRPr="005D541E">
              <w:rPr>
                <w:rFonts w:cs="Arial"/>
              </w:rPr>
              <w:t>Appropriate user authentication controls (consistent with control requirement 1) are in place for access to encryption solutions and cryptographic keys.</w:t>
            </w:r>
          </w:p>
          <w:p w14:paraId="2DCB6DD4" w14:textId="77777777" w:rsidR="00BB7660" w:rsidRPr="005D541E" w:rsidRDefault="00BB7660" w:rsidP="0051288D">
            <w:pPr>
              <w:pStyle w:val="Tabletext"/>
              <w:rPr>
                <w:rFonts w:cs="Arial"/>
              </w:rPr>
            </w:pPr>
          </w:p>
        </w:tc>
      </w:tr>
      <w:tr w:rsidR="005D541E" w:rsidRPr="005D541E" w14:paraId="0BF29F30" w14:textId="77777777" w:rsidTr="0051288D">
        <w:trPr>
          <w:trHeight w:val="62"/>
        </w:trPr>
        <w:tc>
          <w:tcPr>
            <w:tcW w:w="148" w:type="pct"/>
            <w:vMerge/>
          </w:tcPr>
          <w:p w14:paraId="0CFDCCCB" w14:textId="77777777" w:rsidR="00BB7660" w:rsidRPr="005D541E" w:rsidRDefault="00BB7660" w:rsidP="0051288D">
            <w:pPr>
              <w:pStyle w:val="Tabletext"/>
            </w:pPr>
          </w:p>
        </w:tc>
        <w:tc>
          <w:tcPr>
            <w:tcW w:w="737" w:type="pct"/>
            <w:vMerge/>
          </w:tcPr>
          <w:p w14:paraId="7FA62E55" w14:textId="77777777" w:rsidR="00BB7660" w:rsidRPr="005D541E" w:rsidRDefault="00BB7660" w:rsidP="0051288D">
            <w:pPr>
              <w:pStyle w:val="Tabletext"/>
            </w:pPr>
          </w:p>
        </w:tc>
        <w:tc>
          <w:tcPr>
            <w:tcW w:w="164" w:type="pct"/>
          </w:tcPr>
          <w:p w14:paraId="254C61A0" w14:textId="77777777" w:rsidR="00BB7660" w:rsidRPr="005D541E" w:rsidRDefault="00BB7660" w:rsidP="0051288D">
            <w:pPr>
              <w:pStyle w:val="Tabletext"/>
              <w:rPr>
                <w:rFonts w:cs="Arial"/>
              </w:rPr>
            </w:pPr>
            <w:r w:rsidRPr="005D541E">
              <w:t>(b)</w:t>
            </w:r>
          </w:p>
        </w:tc>
        <w:tc>
          <w:tcPr>
            <w:tcW w:w="1879" w:type="pct"/>
          </w:tcPr>
          <w:p w14:paraId="7E49FC94" w14:textId="77777777" w:rsidR="00BB7660" w:rsidRPr="005D541E" w:rsidRDefault="00BB7660" w:rsidP="0051288D">
            <w:pPr>
              <w:pStyle w:val="Tabletext"/>
              <w:rPr>
                <w:rFonts w:cs="Arial"/>
              </w:rPr>
            </w:pPr>
            <w:r w:rsidRPr="005D541E">
              <w:rPr>
                <w:rFonts w:cs="Arial"/>
              </w:rPr>
              <w:t>Firewalls</w:t>
            </w:r>
          </w:p>
        </w:tc>
        <w:tc>
          <w:tcPr>
            <w:tcW w:w="2072" w:type="pct"/>
          </w:tcPr>
          <w:p w14:paraId="776BC893" w14:textId="77777777" w:rsidR="00BB7660" w:rsidRPr="005D541E" w:rsidRDefault="00BB7660" w:rsidP="0051288D">
            <w:pPr>
              <w:pStyle w:val="Tabletext"/>
              <w:rPr>
                <w:rFonts w:cs="Arial"/>
              </w:rPr>
            </w:pPr>
            <w:r w:rsidRPr="005D541E">
              <w:rPr>
                <w:rFonts w:cs="Arial"/>
              </w:rPr>
              <w:t xml:space="preserve">Firewalls are used to limit traffic from untrusted sources. This could be achieved by implementing a combination of strategies including, but not limited to: </w:t>
            </w:r>
          </w:p>
          <w:p w14:paraId="7CFAB7B2" w14:textId="77777777" w:rsidR="00BB7660" w:rsidRPr="005D541E" w:rsidRDefault="00BB7660" w:rsidP="0051288D">
            <w:pPr>
              <w:pStyle w:val="Tablea"/>
            </w:pPr>
            <w:r w:rsidRPr="005D541E">
              <w:rPr>
                <w:rFonts w:cs="Arial"/>
              </w:rPr>
              <w:t>(</w:t>
            </w:r>
            <w:r w:rsidRPr="005D541E">
              <w:t>a)</w:t>
            </w:r>
            <w:r w:rsidRPr="005D541E">
              <w:tab/>
              <w:t>restricting all access from untrusted networks; and</w:t>
            </w:r>
          </w:p>
          <w:p w14:paraId="39661117" w14:textId="77777777" w:rsidR="00BB7660" w:rsidRPr="005D541E" w:rsidRDefault="00BB7660" w:rsidP="0051288D">
            <w:pPr>
              <w:pStyle w:val="Tablea"/>
            </w:pPr>
            <w:r w:rsidRPr="005D541E">
              <w:t>(b)</w:t>
            </w:r>
            <w:r w:rsidRPr="005D541E">
              <w:tab/>
              <w:t>denying all traffic aside from necessary protocols; and</w:t>
            </w:r>
          </w:p>
          <w:p w14:paraId="1BAA68B6" w14:textId="77777777" w:rsidR="00BB7660" w:rsidRPr="005D541E" w:rsidRDefault="00BB7660" w:rsidP="0051288D">
            <w:pPr>
              <w:pStyle w:val="Tablea"/>
            </w:pPr>
            <w:r w:rsidRPr="005D541E">
              <w:t>(c)</w:t>
            </w:r>
            <w:r w:rsidRPr="005D541E">
              <w:tab/>
              <w:t>restricting access to configuring firewalls, and review configurations on a regular basis.</w:t>
            </w:r>
          </w:p>
          <w:p w14:paraId="737FE149" w14:textId="77777777" w:rsidR="00BB7660" w:rsidRPr="005D541E" w:rsidRDefault="00BB7660" w:rsidP="0051288D">
            <w:pPr>
              <w:pStyle w:val="nDrafterComment"/>
              <w:rPr>
                <w:rFonts w:cs="Arial"/>
                <w:color w:val="auto"/>
              </w:rPr>
            </w:pPr>
          </w:p>
        </w:tc>
      </w:tr>
      <w:tr w:rsidR="005D541E" w:rsidRPr="005D541E" w14:paraId="2BB7ED4F" w14:textId="77777777" w:rsidTr="0051288D">
        <w:trPr>
          <w:trHeight w:val="62"/>
        </w:trPr>
        <w:tc>
          <w:tcPr>
            <w:tcW w:w="148" w:type="pct"/>
            <w:vMerge/>
          </w:tcPr>
          <w:p w14:paraId="75D1BD0A" w14:textId="77777777" w:rsidR="00BB7660" w:rsidRPr="005D541E" w:rsidRDefault="00BB7660" w:rsidP="0051288D">
            <w:pPr>
              <w:pStyle w:val="Tabletext"/>
            </w:pPr>
          </w:p>
        </w:tc>
        <w:tc>
          <w:tcPr>
            <w:tcW w:w="737" w:type="pct"/>
            <w:vMerge/>
          </w:tcPr>
          <w:p w14:paraId="0A4E2937" w14:textId="77777777" w:rsidR="00BB7660" w:rsidRPr="005D541E" w:rsidRDefault="00BB7660" w:rsidP="0051288D">
            <w:pPr>
              <w:pStyle w:val="Tabletext"/>
            </w:pPr>
          </w:p>
        </w:tc>
        <w:tc>
          <w:tcPr>
            <w:tcW w:w="164" w:type="pct"/>
          </w:tcPr>
          <w:p w14:paraId="738FCAC4" w14:textId="77777777" w:rsidR="00BB7660" w:rsidRPr="005D541E" w:rsidRDefault="00BB7660" w:rsidP="0051288D">
            <w:pPr>
              <w:pStyle w:val="Tabletext"/>
              <w:rPr>
                <w:rFonts w:cs="Arial"/>
              </w:rPr>
            </w:pPr>
            <w:r w:rsidRPr="005D541E">
              <w:t>(c)</w:t>
            </w:r>
          </w:p>
        </w:tc>
        <w:tc>
          <w:tcPr>
            <w:tcW w:w="1879" w:type="pct"/>
          </w:tcPr>
          <w:p w14:paraId="6E62AC59" w14:textId="77777777" w:rsidR="00BB7660" w:rsidRPr="005D541E" w:rsidRDefault="00BB7660" w:rsidP="0051288D">
            <w:pPr>
              <w:pStyle w:val="Tabletext"/>
              <w:rPr>
                <w:rFonts w:cs="Arial"/>
              </w:rPr>
            </w:pPr>
            <w:r w:rsidRPr="005D541E">
              <w:rPr>
                <w:rFonts w:cs="Arial"/>
              </w:rPr>
              <w:t>Server hardening</w:t>
            </w:r>
          </w:p>
        </w:tc>
        <w:tc>
          <w:tcPr>
            <w:tcW w:w="2072" w:type="pct"/>
          </w:tcPr>
          <w:p w14:paraId="5A7AC8F1" w14:textId="77777777" w:rsidR="00BB7660" w:rsidRPr="005D541E" w:rsidRDefault="00BB7660" w:rsidP="0051288D">
            <w:pPr>
              <w:pStyle w:val="Tabletext"/>
              <w:rPr>
                <w:rFonts w:cs="Arial"/>
              </w:rPr>
            </w:pPr>
            <w:r w:rsidRPr="005D541E">
              <w:rPr>
                <w:rFonts w:cs="Arial"/>
              </w:rPr>
              <w:t>Processes are in place to harden servers running applications, databases and operating systems in accordance with accepted industry standards.</w:t>
            </w:r>
          </w:p>
          <w:p w14:paraId="337BB412" w14:textId="77777777" w:rsidR="00BB7660" w:rsidRPr="005D541E" w:rsidRDefault="00BB7660" w:rsidP="0051288D">
            <w:pPr>
              <w:pStyle w:val="Tabletext"/>
              <w:rPr>
                <w:rFonts w:cs="Arial"/>
              </w:rPr>
            </w:pPr>
          </w:p>
        </w:tc>
      </w:tr>
      <w:tr w:rsidR="005D541E" w:rsidRPr="005D541E" w14:paraId="67322283" w14:textId="77777777" w:rsidTr="0051288D">
        <w:trPr>
          <w:trHeight w:val="62"/>
        </w:trPr>
        <w:tc>
          <w:tcPr>
            <w:tcW w:w="148" w:type="pct"/>
            <w:vMerge/>
          </w:tcPr>
          <w:p w14:paraId="4A17B036" w14:textId="77777777" w:rsidR="00BB7660" w:rsidRPr="005D541E" w:rsidRDefault="00BB7660" w:rsidP="0051288D">
            <w:pPr>
              <w:pStyle w:val="Tabletext"/>
            </w:pPr>
          </w:p>
        </w:tc>
        <w:tc>
          <w:tcPr>
            <w:tcW w:w="737" w:type="pct"/>
            <w:vMerge/>
          </w:tcPr>
          <w:p w14:paraId="09CFF085" w14:textId="77777777" w:rsidR="00BB7660" w:rsidRPr="005D541E" w:rsidRDefault="00BB7660" w:rsidP="0051288D">
            <w:pPr>
              <w:pStyle w:val="Tabletext"/>
            </w:pPr>
          </w:p>
        </w:tc>
        <w:tc>
          <w:tcPr>
            <w:tcW w:w="164" w:type="pct"/>
          </w:tcPr>
          <w:p w14:paraId="094ADD2F" w14:textId="77777777" w:rsidR="00BB7660" w:rsidRPr="005D541E" w:rsidRDefault="00BB7660" w:rsidP="0051288D">
            <w:pPr>
              <w:pStyle w:val="Tabletext"/>
              <w:rPr>
                <w:rFonts w:cs="Arial"/>
              </w:rPr>
            </w:pPr>
            <w:r w:rsidRPr="005D541E">
              <w:t>(d)</w:t>
            </w:r>
          </w:p>
        </w:tc>
        <w:tc>
          <w:tcPr>
            <w:tcW w:w="1879" w:type="pct"/>
          </w:tcPr>
          <w:p w14:paraId="181416C3" w14:textId="77777777" w:rsidR="00BB7660" w:rsidRPr="005D541E" w:rsidRDefault="00BB7660" w:rsidP="0051288D">
            <w:pPr>
              <w:pStyle w:val="Tabletext"/>
              <w:rPr>
                <w:rFonts w:cs="Arial"/>
              </w:rPr>
            </w:pPr>
            <w:r w:rsidRPr="005D541E">
              <w:rPr>
                <w:rFonts w:cs="Arial"/>
              </w:rPr>
              <w:t>End-user devices</w:t>
            </w:r>
          </w:p>
        </w:tc>
        <w:tc>
          <w:tcPr>
            <w:tcW w:w="2072" w:type="pct"/>
          </w:tcPr>
          <w:p w14:paraId="55BA03A4" w14:textId="77777777" w:rsidR="00BB7660" w:rsidRPr="005D541E" w:rsidRDefault="00BB7660" w:rsidP="0051288D">
            <w:pPr>
              <w:pStyle w:val="Tabletext"/>
              <w:rPr>
                <w:rFonts w:cs="Arial"/>
              </w:rPr>
            </w:pPr>
            <w:r w:rsidRPr="005D541E">
              <w:rPr>
                <w:rFonts w:cs="Arial"/>
              </w:rPr>
              <w:t>End-user devices, including bring</w:t>
            </w:r>
            <w:r w:rsidRPr="005D541E">
              <w:rPr>
                <w:rFonts w:cs="Arial"/>
              </w:rPr>
              <w:noBreakHyphen/>
              <w:t>your</w:t>
            </w:r>
            <w:r w:rsidRPr="005D541E">
              <w:rPr>
                <w:rFonts w:cs="Arial"/>
              </w:rPr>
              <w:noBreakHyphen/>
              <w:t>own</w:t>
            </w:r>
            <w:r w:rsidRPr="005D541E">
              <w:rPr>
                <w:rFonts w:cs="Arial"/>
              </w:rPr>
              <w:noBreakHyphen/>
              <w:t>device (BYOD) systems, are hardened in accordance with accepted industry standards.</w:t>
            </w:r>
          </w:p>
          <w:p w14:paraId="5C2A8B62" w14:textId="77777777" w:rsidR="00BB7660" w:rsidRPr="005D541E" w:rsidRDefault="00BB7660" w:rsidP="0051288D">
            <w:pPr>
              <w:pStyle w:val="nDrafterComment"/>
              <w:rPr>
                <w:rFonts w:cs="Arial"/>
                <w:color w:val="auto"/>
              </w:rPr>
            </w:pPr>
          </w:p>
        </w:tc>
      </w:tr>
      <w:tr w:rsidR="005D541E" w:rsidRPr="005D541E" w14:paraId="1C74CEFE" w14:textId="77777777" w:rsidTr="0051288D">
        <w:trPr>
          <w:trHeight w:val="62"/>
        </w:trPr>
        <w:tc>
          <w:tcPr>
            <w:tcW w:w="148" w:type="pct"/>
            <w:vMerge/>
          </w:tcPr>
          <w:p w14:paraId="0962FBB9" w14:textId="77777777" w:rsidR="00BB7660" w:rsidRPr="005D541E" w:rsidRDefault="00BB7660" w:rsidP="0051288D">
            <w:pPr>
              <w:pStyle w:val="Tabletext"/>
            </w:pPr>
          </w:p>
        </w:tc>
        <w:tc>
          <w:tcPr>
            <w:tcW w:w="737" w:type="pct"/>
            <w:vMerge/>
          </w:tcPr>
          <w:p w14:paraId="355F8C8C" w14:textId="77777777" w:rsidR="00BB7660" w:rsidRPr="005D541E" w:rsidRDefault="00BB7660" w:rsidP="0051288D">
            <w:pPr>
              <w:pStyle w:val="Tabletext"/>
            </w:pPr>
          </w:p>
        </w:tc>
        <w:tc>
          <w:tcPr>
            <w:tcW w:w="164" w:type="pct"/>
          </w:tcPr>
          <w:p w14:paraId="2D9FB45F" w14:textId="77777777" w:rsidR="00BB7660" w:rsidRPr="005D541E" w:rsidRDefault="00BB7660" w:rsidP="0051288D">
            <w:pPr>
              <w:pStyle w:val="Tabletext"/>
              <w:rPr>
                <w:rFonts w:cs="Arial"/>
              </w:rPr>
            </w:pPr>
            <w:r w:rsidRPr="005D541E">
              <w:t>(e)</w:t>
            </w:r>
          </w:p>
        </w:tc>
        <w:tc>
          <w:tcPr>
            <w:tcW w:w="1879" w:type="pct"/>
          </w:tcPr>
          <w:p w14:paraId="62D76E5C" w14:textId="77777777" w:rsidR="00BB7660" w:rsidRPr="005D541E" w:rsidRDefault="00BB7660" w:rsidP="0051288D">
            <w:pPr>
              <w:pStyle w:val="Tabletext"/>
            </w:pPr>
            <w:r w:rsidRPr="005D541E">
              <w:t>Data Segregation</w:t>
            </w:r>
          </w:p>
        </w:tc>
        <w:tc>
          <w:tcPr>
            <w:tcW w:w="2072" w:type="pct"/>
          </w:tcPr>
          <w:p w14:paraId="7DB1B50E" w14:textId="77777777" w:rsidR="00BB7660" w:rsidRPr="005D541E" w:rsidRDefault="00BB7660" w:rsidP="0051288D">
            <w:pPr>
              <w:pStyle w:val="Tabletext"/>
            </w:pPr>
            <w:r w:rsidRPr="005D541E">
              <w:t>CDR data that is stored or hosted on behalf of an accredited data recipient or CDR representative is segregated from other CDR data to ensure it is accessible only by the accredited data recipient for whom consent was given and remains directly attributable to that accredited data recipient.</w:t>
            </w:r>
          </w:p>
          <w:p w14:paraId="257BE109" w14:textId="77777777" w:rsidR="00BB7660" w:rsidRPr="005D541E" w:rsidRDefault="00BB7660" w:rsidP="0051288D">
            <w:pPr>
              <w:pStyle w:val="Tabletext"/>
            </w:pPr>
          </w:p>
        </w:tc>
      </w:tr>
      <w:tr w:rsidR="005D541E" w:rsidRPr="005D541E" w14:paraId="267A5CF7" w14:textId="77777777" w:rsidTr="0051288D">
        <w:tc>
          <w:tcPr>
            <w:tcW w:w="148" w:type="pct"/>
            <w:vMerge w:val="restart"/>
          </w:tcPr>
          <w:p w14:paraId="4835AD01" w14:textId="77777777" w:rsidR="00BB7660" w:rsidRPr="005D541E" w:rsidRDefault="00BB7660" w:rsidP="0051288D">
            <w:pPr>
              <w:pStyle w:val="Tabletext"/>
            </w:pPr>
            <w:r w:rsidRPr="005D541E">
              <w:t>(3)</w:t>
            </w:r>
          </w:p>
        </w:tc>
        <w:tc>
          <w:tcPr>
            <w:tcW w:w="737" w:type="pct"/>
            <w:vMerge w:val="restart"/>
          </w:tcPr>
          <w:p w14:paraId="4E3AEB2F" w14:textId="77777777" w:rsidR="00BB7660" w:rsidRPr="005D541E" w:rsidRDefault="00BB7660" w:rsidP="0051288D">
            <w:pPr>
              <w:pStyle w:val="Tabletext"/>
              <w:rPr>
                <w:rFonts w:cs="Arial"/>
              </w:rPr>
            </w:pPr>
            <w:r w:rsidRPr="005D541E">
              <w:rPr>
                <w:rFonts w:cs="Arial"/>
              </w:rPr>
              <w:t>An accredited data recipient must securely manage information assets within the CDR data environment over their lifecycle.</w:t>
            </w:r>
          </w:p>
          <w:p w14:paraId="455D5286" w14:textId="77777777" w:rsidR="00BB7660" w:rsidRPr="005D541E" w:rsidRDefault="00BB7660" w:rsidP="0051288D">
            <w:pPr>
              <w:pStyle w:val="Tabletext"/>
              <w:rPr>
                <w:rFonts w:cs="Arial"/>
              </w:rPr>
            </w:pPr>
          </w:p>
        </w:tc>
        <w:tc>
          <w:tcPr>
            <w:tcW w:w="164" w:type="pct"/>
          </w:tcPr>
          <w:p w14:paraId="2833C076" w14:textId="77777777" w:rsidR="00BB7660" w:rsidRPr="005D541E" w:rsidRDefault="00BB7660" w:rsidP="0051288D">
            <w:pPr>
              <w:pStyle w:val="Tabletext"/>
              <w:rPr>
                <w:rFonts w:cs="Arial"/>
              </w:rPr>
            </w:pPr>
            <w:r w:rsidRPr="005D541E">
              <w:t>(a)</w:t>
            </w:r>
          </w:p>
        </w:tc>
        <w:tc>
          <w:tcPr>
            <w:tcW w:w="1879" w:type="pct"/>
          </w:tcPr>
          <w:p w14:paraId="646B4A47" w14:textId="77777777" w:rsidR="00BB7660" w:rsidRPr="005D541E" w:rsidRDefault="00BB7660" w:rsidP="0051288D">
            <w:pPr>
              <w:pStyle w:val="Tabletext"/>
              <w:rPr>
                <w:rFonts w:cs="Arial"/>
              </w:rPr>
            </w:pPr>
            <w:r w:rsidRPr="005D541E">
              <w:rPr>
                <w:rFonts w:cs="Arial"/>
              </w:rPr>
              <w:t>Data loss prevention</w:t>
            </w:r>
          </w:p>
        </w:tc>
        <w:tc>
          <w:tcPr>
            <w:tcW w:w="2072" w:type="pct"/>
          </w:tcPr>
          <w:p w14:paraId="030D76B7" w14:textId="77777777" w:rsidR="00BB7660" w:rsidRPr="005D541E" w:rsidRDefault="00BB7660" w:rsidP="0051288D">
            <w:pPr>
              <w:pStyle w:val="Tabletext"/>
            </w:pPr>
            <w:r w:rsidRPr="005D541E">
              <w:t>Data loss and leakage prevention mechanisms are implemented to prevent data leaving the CDR data environment, including, but not limited to:</w:t>
            </w:r>
          </w:p>
          <w:p w14:paraId="368FF3B1" w14:textId="77777777" w:rsidR="00BB7660" w:rsidRPr="005D541E" w:rsidRDefault="00BB7660" w:rsidP="0051288D">
            <w:pPr>
              <w:pStyle w:val="Tablea"/>
            </w:pPr>
            <w:r w:rsidRPr="005D541E">
              <w:t>(a)</w:t>
            </w:r>
            <w:r w:rsidRPr="005D541E">
              <w:tab/>
              <w:t>blocking access to unapproved cloud computing services; and</w:t>
            </w:r>
          </w:p>
          <w:p w14:paraId="4B84A365" w14:textId="77777777" w:rsidR="00BB7660" w:rsidRPr="005D541E" w:rsidRDefault="00BB7660" w:rsidP="0051288D">
            <w:pPr>
              <w:pStyle w:val="Tablea"/>
            </w:pPr>
            <w:r w:rsidRPr="005D541E">
              <w:t>(b)</w:t>
            </w:r>
            <w:r w:rsidRPr="005D541E">
              <w:tab/>
              <w:t>logging and monitoring the recipient, file size and frequency of outbound emails; and</w:t>
            </w:r>
          </w:p>
          <w:p w14:paraId="3A7D3F38" w14:textId="77777777" w:rsidR="00BB7660" w:rsidRPr="005D541E" w:rsidRDefault="00BB7660" w:rsidP="0051288D">
            <w:pPr>
              <w:pStyle w:val="Tablea"/>
            </w:pPr>
            <w:r w:rsidRPr="005D541E">
              <w:t xml:space="preserve">(c) </w:t>
            </w:r>
            <w:r w:rsidRPr="005D541E">
              <w:tab/>
              <w:t>email filtering and blocking methods that block emails with CDR data in text and attachments; and</w:t>
            </w:r>
          </w:p>
          <w:p w14:paraId="71EF25E7" w14:textId="77777777" w:rsidR="00BB7660" w:rsidRPr="005D541E" w:rsidRDefault="00BB7660" w:rsidP="0051288D">
            <w:pPr>
              <w:pStyle w:val="Tablea"/>
            </w:pPr>
            <w:r w:rsidRPr="005D541E">
              <w:t xml:space="preserve">(d) </w:t>
            </w:r>
            <w:r w:rsidRPr="005D541E">
              <w:tab/>
              <w:t>blocking data write access to portable storage media.</w:t>
            </w:r>
          </w:p>
          <w:p w14:paraId="7E8DF198" w14:textId="77777777" w:rsidR="00BB7660" w:rsidRPr="005D541E" w:rsidRDefault="00BB7660" w:rsidP="0051288D">
            <w:pPr>
              <w:pStyle w:val="Tablea"/>
            </w:pPr>
          </w:p>
        </w:tc>
      </w:tr>
      <w:tr w:rsidR="005D541E" w:rsidRPr="005D541E" w14:paraId="2C162FA8" w14:textId="77777777" w:rsidTr="0051288D">
        <w:tc>
          <w:tcPr>
            <w:tcW w:w="148" w:type="pct"/>
            <w:vMerge/>
          </w:tcPr>
          <w:p w14:paraId="3F4D363D" w14:textId="77777777" w:rsidR="00BB7660" w:rsidRPr="005D541E" w:rsidRDefault="00BB7660" w:rsidP="0051288D">
            <w:pPr>
              <w:pStyle w:val="Tabletext"/>
            </w:pPr>
          </w:p>
        </w:tc>
        <w:tc>
          <w:tcPr>
            <w:tcW w:w="737" w:type="pct"/>
            <w:vMerge/>
          </w:tcPr>
          <w:p w14:paraId="10269915" w14:textId="77777777" w:rsidR="00BB7660" w:rsidRPr="005D541E" w:rsidRDefault="00BB7660" w:rsidP="0051288D">
            <w:pPr>
              <w:pStyle w:val="Tabletext"/>
              <w:rPr>
                <w:rFonts w:cs="Arial"/>
              </w:rPr>
            </w:pPr>
          </w:p>
        </w:tc>
        <w:tc>
          <w:tcPr>
            <w:tcW w:w="164" w:type="pct"/>
          </w:tcPr>
          <w:p w14:paraId="33CB62B7" w14:textId="77777777" w:rsidR="00BB7660" w:rsidRPr="005D541E" w:rsidRDefault="00BB7660" w:rsidP="0051288D">
            <w:pPr>
              <w:pStyle w:val="Tabletext"/>
              <w:rPr>
                <w:rFonts w:cs="Arial"/>
              </w:rPr>
            </w:pPr>
            <w:r w:rsidRPr="005D541E">
              <w:t>(b)</w:t>
            </w:r>
          </w:p>
        </w:tc>
        <w:tc>
          <w:tcPr>
            <w:tcW w:w="1879" w:type="pct"/>
          </w:tcPr>
          <w:p w14:paraId="1C96E724" w14:textId="77777777" w:rsidR="00BB7660" w:rsidRPr="005D541E" w:rsidRDefault="00BB7660" w:rsidP="0051288D">
            <w:pPr>
              <w:pStyle w:val="Tabletext"/>
              <w:rPr>
                <w:rFonts w:cs="Arial"/>
              </w:rPr>
            </w:pPr>
            <w:r w:rsidRPr="005D541E">
              <w:rPr>
                <w:rFonts w:cs="Arial"/>
              </w:rPr>
              <w:t>CDR data in non-production environments</w:t>
            </w:r>
          </w:p>
        </w:tc>
        <w:tc>
          <w:tcPr>
            <w:tcW w:w="2072" w:type="pct"/>
          </w:tcPr>
          <w:p w14:paraId="642E0FB1" w14:textId="77777777" w:rsidR="00BB7660" w:rsidRPr="005D541E" w:rsidRDefault="00BB7660" w:rsidP="0051288D">
            <w:pPr>
              <w:pStyle w:val="Tabletext"/>
              <w:rPr>
                <w:rFonts w:cs="Arial"/>
              </w:rPr>
            </w:pPr>
            <w:r w:rsidRPr="005D541E">
              <w:rPr>
                <w:rFonts w:cs="Arial"/>
              </w:rPr>
              <w:t xml:space="preserve">CDR data is secured from unauthorised access by masking data, prior to being made available in non-production environments. </w:t>
            </w:r>
          </w:p>
          <w:p w14:paraId="561CDB4E" w14:textId="77777777" w:rsidR="00BB7660" w:rsidRPr="005D541E" w:rsidRDefault="00BB7660" w:rsidP="0051288D">
            <w:pPr>
              <w:pStyle w:val="Tabletext"/>
              <w:rPr>
                <w:rFonts w:cs="Arial"/>
              </w:rPr>
            </w:pPr>
          </w:p>
        </w:tc>
      </w:tr>
      <w:tr w:rsidR="005D541E" w:rsidRPr="005D541E" w14:paraId="0B63C608" w14:textId="77777777" w:rsidTr="0051288D">
        <w:tc>
          <w:tcPr>
            <w:tcW w:w="148" w:type="pct"/>
            <w:vMerge/>
          </w:tcPr>
          <w:p w14:paraId="6A2EFE38" w14:textId="77777777" w:rsidR="00BB7660" w:rsidRPr="005D541E" w:rsidRDefault="00BB7660" w:rsidP="0051288D">
            <w:pPr>
              <w:pStyle w:val="Tabletext"/>
            </w:pPr>
          </w:p>
        </w:tc>
        <w:tc>
          <w:tcPr>
            <w:tcW w:w="737" w:type="pct"/>
            <w:vMerge/>
          </w:tcPr>
          <w:p w14:paraId="27DBA168" w14:textId="77777777" w:rsidR="00BB7660" w:rsidRPr="005D541E" w:rsidRDefault="00BB7660" w:rsidP="0051288D">
            <w:pPr>
              <w:pStyle w:val="Tabletext"/>
              <w:rPr>
                <w:rFonts w:cs="Arial"/>
              </w:rPr>
            </w:pPr>
          </w:p>
        </w:tc>
        <w:tc>
          <w:tcPr>
            <w:tcW w:w="164" w:type="pct"/>
          </w:tcPr>
          <w:p w14:paraId="2FCBDE4F" w14:textId="77777777" w:rsidR="00BB7660" w:rsidRPr="005D541E" w:rsidRDefault="00BB7660" w:rsidP="0051288D">
            <w:pPr>
              <w:pStyle w:val="Tabletext"/>
              <w:rPr>
                <w:rFonts w:cs="Arial"/>
              </w:rPr>
            </w:pPr>
            <w:r w:rsidRPr="005D541E">
              <w:t>(c)</w:t>
            </w:r>
          </w:p>
        </w:tc>
        <w:tc>
          <w:tcPr>
            <w:tcW w:w="1879" w:type="pct"/>
          </w:tcPr>
          <w:p w14:paraId="3B1C5A23" w14:textId="77777777" w:rsidR="00BB7660" w:rsidRPr="005D541E" w:rsidRDefault="00BB7660" w:rsidP="0051288D">
            <w:pPr>
              <w:pStyle w:val="Tabletext"/>
              <w:rPr>
                <w:rFonts w:cs="Arial"/>
              </w:rPr>
            </w:pPr>
            <w:r w:rsidRPr="005D541E">
              <w:rPr>
                <w:rFonts w:cs="Arial"/>
              </w:rPr>
              <w:t>Information asset lifecycle (as it relates to CDR data)</w:t>
            </w:r>
          </w:p>
        </w:tc>
        <w:tc>
          <w:tcPr>
            <w:tcW w:w="2072" w:type="pct"/>
          </w:tcPr>
          <w:p w14:paraId="49BAB799" w14:textId="77777777" w:rsidR="00BB7660" w:rsidRPr="005D541E" w:rsidRDefault="00BB7660" w:rsidP="0051288D">
            <w:pPr>
              <w:pStyle w:val="Tabletext"/>
            </w:pPr>
            <w:r w:rsidRPr="005D541E">
              <w:t>The accredited data recipient must document and implement processes that relate to the management of CDR data over its lifecycle, including an information classification and handling policy (which must address the confidentiality and sensitivity of CDR data) and processes relating to CDR data backup, retention, and, in accordance with rules 7.12 and 7.13, deletion and de</w:t>
            </w:r>
            <w:r w:rsidRPr="005D541E">
              <w:noBreakHyphen/>
              <w:t>identification.</w:t>
            </w:r>
          </w:p>
          <w:p w14:paraId="1B223BFB" w14:textId="77777777" w:rsidR="00BB7660" w:rsidRPr="005D541E" w:rsidRDefault="00BB7660" w:rsidP="0051288D">
            <w:pPr>
              <w:pStyle w:val="Tabletext"/>
            </w:pPr>
          </w:p>
        </w:tc>
      </w:tr>
      <w:tr w:rsidR="005D541E" w:rsidRPr="005D541E" w14:paraId="62F877BB" w14:textId="77777777" w:rsidTr="0051288D">
        <w:trPr>
          <w:trHeight w:val="389"/>
        </w:trPr>
        <w:tc>
          <w:tcPr>
            <w:tcW w:w="148" w:type="pct"/>
            <w:vMerge w:val="restart"/>
          </w:tcPr>
          <w:p w14:paraId="0DB0DD14" w14:textId="77777777" w:rsidR="00BB7660" w:rsidRPr="005D541E" w:rsidRDefault="00BB7660" w:rsidP="0051288D">
            <w:pPr>
              <w:pStyle w:val="Tabletext"/>
            </w:pPr>
            <w:r w:rsidRPr="005D541E">
              <w:t>(4)</w:t>
            </w:r>
          </w:p>
        </w:tc>
        <w:tc>
          <w:tcPr>
            <w:tcW w:w="737" w:type="pct"/>
            <w:vMerge w:val="restart"/>
          </w:tcPr>
          <w:p w14:paraId="551DF645" w14:textId="77777777" w:rsidR="00BB7660" w:rsidRPr="005D541E" w:rsidRDefault="00BB7660" w:rsidP="0051288D">
            <w:pPr>
              <w:pStyle w:val="Tabletext"/>
              <w:rPr>
                <w:rFonts w:cs="Arial"/>
              </w:rPr>
            </w:pPr>
            <w:r w:rsidRPr="005D541E">
              <w:rPr>
                <w:rFonts w:cs="Arial"/>
              </w:rPr>
              <w:t xml:space="preserve">An accredited data recipient must implement a formal vulnerability </w:t>
            </w:r>
            <w:r w:rsidRPr="005D541E">
              <w:rPr>
                <w:rFonts w:cs="Arial"/>
              </w:rPr>
              <w:lastRenderedPageBreak/>
              <w:t>management program to identify, track and remediate vulnerabilities within the CDR data environment in a timely manner.</w:t>
            </w:r>
          </w:p>
        </w:tc>
        <w:tc>
          <w:tcPr>
            <w:tcW w:w="164" w:type="pct"/>
          </w:tcPr>
          <w:p w14:paraId="797DA322" w14:textId="77777777" w:rsidR="00BB7660" w:rsidRPr="005D541E" w:rsidRDefault="00BB7660" w:rsidP="0051288D">
            <w:pPr>
              <w:pStyle w:val="Tabletext"/>
              <w:rPr>
                <w:rFonts w:cs="Arial"/>
              </w:rPr>
            </w:pPr>
            <w:r w:rsidRPr="005D541E">
              <w:lastRenderedPageBreak/>
              <w:t>(a)</w:t>
            </w:r>
          </w:p>
        </w:tc>
        <w:tc>
          <w:tcPr>
            <w:tcW w:w="1879" w:type="pct"/>
          </w:tcPr>
          <w:p w14:paraId="63E84909" w14:textId="77777777" w:rsidR="00BB7660" w:rsidRPr="005D541E" w:rsidRDefault="00BB7660" w:rsidP="0051288D">
            <w:pPr>
              <w:pStyle w:val="Tabletext"/>
              <w:rPr>
                <w:rFonts w:cs="Arial"/>
              </w:rPr>
            </w:pPr>
            <w:r w:rsidRPr="005D541E">
              <w:rPr>
                <w:rFonts w:cs="Arial"/>
              </w:rPr>
              <w:t>Security patching</w:t>
            </w:r>
          </w:p>
        </w:tc>
        <w:tc>
          <w:tcPr>
            <w:tcW w:w="2072" w:type="pct"/>
          </w:tcPr>
          <w:p w14:paraId="6146B782" w14:textId="77777777" w:rsidR="00BB7660" w:rsidRPr="005D541E" w:rsidRDefault="00BB7660" w:rsidP="0051288D">
            <w:pPr>
              <w:pStyle w:val="Tabletext"/>
              <w:rPr>
                <w:rFonts w:cs="Arial"/>
              </w:rPr>
            </w:pPr>
            <w:r w:rsidRPr="005D541E">
              <w:rPr>
                <w:rFonts w:cs="Arial"/>
              </w:rPr>
              <w:t>A formal program is implemented for identifying, assessing the risk of and applying security patches to applications and operating as soon as practicable.</w:t>
            </w:r>
          </w:p>
          <w:p w14:paraId="70FADCE0" w14:textId="77777777" w:rsidR="00BB7660" w:rsidRPr="005D541E" w:rsidRDefault="00BB7660" w:rsidP="0051288D">
            <w:pPr>
              <w:pStyle w:val="Tabletext"/>
              <w:rPr>
                <w:rFonts w:cs="Arial"/>
              </w:rPr>
            </w:pPr>
          </w:p>
        </w:tc>
      </w:tr>
      <w:tr w:rsidR="005D541E" w:rsidRPr="005D541E" w14:paraId="44AD86E7" w14:textId="77777777" w:rsidTr="0051288D">
        <w:trPr>
          <w:trHeight w:val="388"/>
        </w:trPr>
        <w:tc>
          <w:tcPr>
            <w:tcW w:w="148" w:type="pct"/>
            <w:vMerge/>
          </w:tcPr>
          <w:p w14:paraId="71163299" w14:textId="77777777" w:rsidR="00BB7660" w:rsidRPr="005D541E" w:rsidRDefault="00BB7660" w:rsidP="0051288D">
            <w:pPr>
              <w:pStyle w:val="Tabletext"/>
            </w:pPr>
          </w:p>
        </w:tc>
        <w:tc>
          <w:tcPr>
            <w:tcW w:w="737" w:type="pct"/>
            <w:vMerge/>
          </w:tcPr>
          <w:p w14:paraId="7BA00679" w14:textId="77777777" w:rsidR="00BB7660" w:rsidRPr="005D541E" w:rsidRDefault="00BB7660" w:rsidP="0051288D">
            <w:pPr>
              <w:pStyle w:val="Tabletext"/>
              <w:rPr>
                <w:rFonts w:cs="Arial"/>
              </w:rPr>
            </w:pPr>
          </w:p>
        </w:tc>
        <w:tc>
          <w:tcPr>
            <w:tcW w:w="164" w:type="pct"/>
          </w:tcPr>
          <w:p w14:paraId="45254991" w14:textId="77777777" w:rsidR="00BB7660" w:rsidRPr="005D541E" w:rsidRDefault="00BB7660" w:rsidP="0051288D">
            <w:pPr>
              <w:pStyle w:val="Tabletext"/>
              <w:rPr>
                <w:rFonts w:cs="Arial"/>
              </w:rPr>
            </w:pPr>
            <w:r w:rsidRPr="005D541E">
              <w:t>(b)</w:t>
            </w:r>
          </w:p>
        </w:tc>
        <w:tc>
          <w:tcPr>
            <w:tcW w:w="1879" w:type="pct"/>
          </w:tcPr>
          <w:p w14:paraId="42841206" w14:textId="77777777" w:rsidR="00BB7660" w:rsidRPr="005D541E" w:rsidRDefault="00BB7660" w:rsidP="0051288D">
            <w:pPr>
              <w:pStyle w:val="Tabletext"/>
              <w:rPr>
                <w:rFonts w:cs="Arial"/>
              </w:rPr>
            </w:pPr>
            <w:r w:rsidRPr="005D541E">
              <w:rPr>
                <w:rFonts w:cs="Arial"/>
              </w:rPr>
              <w:t>Secure coding</w:t>
            </w:r>
          </w:p>
        </w:tc>
        <w:tc>
          <w:tcPr>
            <w:tcW w:w="2072" w:type="pct"/>
          </w:tcPr>
          <w:p w14:paraId="5FB43B8E" w14:textId="77777777" w:rsidR="00BB7660" w:rsidRPr="005D541E" w:rsidRDefault="00BB7660" w:rsidP="0051288D">
            <w:pPr>
              <w:pStyle w:val="Tabletext"/>
              <w:rPr>
                <w:rFonts w:cs="Arial"/>
              </w:rPr>
            </w:pPr>
            <w:r w:rsidRPr="005D541E">
              <w:rPr>
                <w:rFonts w:cs="Arial"/>
              </w:rPr>
              <w:t>Changes to the accredited data recipient’s systems (including its CDR data environment) are designed and developed consistent with industry accepted secure coding practices, and are appropriately tested prior to release into the production environment.</w:t>
            </w:r>
          </w:p>
          <w:p w14:paraId="205DAC73" w14:textId="77777777" w:rsidR="00BB7660" w:rsidRPr="005D541E" w:rsidRDefault="00BB7660" w:rsidP="0051288D">
            <w:pPr>
              <w:pStyle w:val="Tabletext"/>
              <w:rPr>
                <w:rFonts w:cs="Arial"/>
              </w:rPr>
            </w:pPr>
          </w:p>
        </w:tc>
      </w:tr>
      <w:tr w:rsidR="005D541E" w:rsidRPr="005D541E" w14:paraId="3B5B495D" w14:textId="77777777" w:rsidTr="0051288D">
        <w:trPr>
          <w:trHeight w:val="388"/>
        </w:trPr>
        <w:tc>
          <w:tcPr>
            <w:tcW w:w="148" w:type="pct"/>
            <w:vMerge/>
          </w:tcPr>
          <w:p w14:paraId="501D1E90" w14:textId="77777777" w:rsidR="00BB7660" w:rsidRPr="005D541E" w:rsidRDefault="00BB7660" w:rsidP="0051288D">
            <w:pPr>
              <w:pStyle w:val="Tabletext"/>
            </w:pPr>
          </w:p>
        </w:tc>
        <w:tc>
          <w:tcPr>
            <w:tcW w:w="737" w:type="pct"/>
            <w:vMerge/>
          </w:tcPr>
          <w:p w14:paraId="082A6191" w14:textId="77777777" w:rsidR="00BB7660" w:rsidRPr="005D541E" w:rsidRDefault="00BB7660" w:rsidP="0051288D">
            <w:pPr>
              <w:pStyle w:val="Tabletext"/>
              <w:rPr>
                <w:rFonts w:cs="Arial"/>
              </w:rPr>
            </w:pPr>
          </w:p>
        </w:tc>
        <w:tc>
          <w:tcPr>
            <w:tcW w:w="164" w:type="pct"/>
          </w:tcPr>
          <w:p w14:paraId="5CEDB6B0" w14:textId="77777777" w:rsidR="00BB7660" w:rsidRPr="005D541E" w:rsidRDefault="00BB7660" w:rsidP="0051288D">
            <w:pPr>
              <w:pStyle w:val="Tabletext"/>
              <w:rPr>
                <w:rFonts w:cs="Arial"/>
              </w:rPr>
            </w:pPr>
            <w:r w:rsidRPr="005D541E">
              <w:t>(c)</w:t>
            </w:r>
          </w:p>
        </w:tc>
        <w:tc>
          <w:tcPr>
            <w:tcW w:w="1879" w:type="pct"/>
          </w:tcPr>
          <w:p w14:paraId="268674ED" w14:textId="77777777" w:rsidR="00BB7660" w:rsidRPr="005D541E" w:rsidRDefault="00BB7660" w:rsidP="0051288D">
            <w:pPr>
              <w:pStyle w:val="Tabletext"/>
              <w:rPr>
                <w:rFonts w:cs="Arial"/>
              </w:rPr>
            </w:pPr>
            <w:r w:rsidRPr="005D541E">
              <w:rPr>
                <w:rFonts w:cs="Arial"/>
              </w:rPr>
              <w:t>Vulnerability management</w:t>
            </w:r>
          </w:p>
        </w:tc>
        <w:tc>
          <w:tcPr>
            <w:tcW w:w="2072" w:type="pct"/>
          </w:tcPr>
          <w:p w14:paraId="0F406CA9" w14:textId="77777777" w:rsidR="00BB7660" w:rsidRPr="005D541E" w:rsidRDefault="00BB7660" w:rsidP="0051288D">
            <w:pPr>
              <w:pStyle w:val="Tabletext"/>
              <w:rPr>
                <w:rFonts w:cs="Arial"/>
              </w:rPr>
            </w:pPr>
            <w:r w:rsidRPr="005D541E">
              <w:rPr>
                <w:rFonts w:cs="Arial"/>
              </w:rPr>
              <w:t>A formal vulnerability management program is designed and implemented, which includes regular vulnerability scanning and penetration testing on systems within the CDR data environment.</w:t>
            </w:r>
          </w:p>
          <w:p w14:paraId="35954A97" w14:textId="77777777" w:rsidR="00BB7660" w:rsidRPr="005D541E" w:rsidRDefault="00BB7660" w:rsidP="0051288D">
            <w:pPr>
              <w:pStyle w:val="Tabletext"/>
              <w:rPr>
                <w:rFonts w:cs="Arial"/>
              </w:rPr>
            </w:pPr>
          </w:p>
        </w:tc>
      </w:tr>
      <w:tr w:rsidR="005D541E" w:rsidRPr="005D541E" w14:paraId="1F3D6FD9" w14:textId="77777777" w:rsidTr="0051288D">
        <w:trPr>
          <w:trHeight w:val="318"/>
        </w:trPr>
        <w:tc>
          <w:tcPr>
            <w:tcW w:w="148" w:type="pct"/>
            <w:vMerge w:val="restart"/>
          </w:tcPr>
          <w:p w14:paraId="381A4BB4" w14:textId="77777777" w:rsidR="00BB7660" w:rsidRPr="005D541E" w:rsidRDefault="00BB7660" w:rsidP="0051288D">
            <w:pPr>
              <w:pStyle w:val="Tabletext"/>
            </w:pPr>
            <w:r w:rsidRPr="005D541E">
              <w:t>(5)</w:t>
            </w:r>
          </w:p>
        </w:tc>
        <w:tc>
          <w:tcPr>
            <w:tcW w:w="737" w:type="pct"/>
            <w:vMerge w:val="restart"/>
          </w:tcPr>
          <w:p w14:paraId="63D706D7" w14:textId="77777777" w:rsidR="00BB7660" w:rsidRPr="005D541E" w:rsidRDefault="00BB7660" w:rsidP="0051288D">
            <w:pPr>
              <w:pStyle w:val="Tabletext"/>
              <w:rPr>
                <w:rFonts w:cs="Arial"/>
              </w:rPr>
            </w:pPr>
            <w:r w:rsidRPr="005D541E">
              <w:rPr>
                <w:rFonts w:cs="Arial"/>
              </w:rPr>
              <w:t>An accredited data recipient must take steps to limit prevent, detect and remove malware in regards to their CDR data environment.</w:t>
            </w:r>
          </w:p>
        </w:tc>
        <w:tc>
          <w:tcPr>
            <w:tcW w:w="164" w:type="pct"/>
          </w:tcPr>
          <w:p w14:paraId="4B2E46C3" w14:textId="77777777" w:rsidR="00BB7660" w:rsidRPr="005D541E" w:rsidRDefault="00BB7660" w:rsidP="0051288D">
            <w:pPr>
              <w:pStyle w:val="Tabletext"/>
              <w:rPr>
                <w:rFonts w:cs="Arial"/>
              </w:rPr>
            </w:pPr>
            <w:r w:rsidRPr="005D541E">
              <w:t>(a)</w:t>
            </w:r>
          </w:p>
        </w:tc>
        <w:tc>
          <w:tcPr>
            <w:tcW w:w="1879" w:type="pct"/>
          </w:tcPr>
          <w:p w14:paraId="495D8CD1" w14:textId="77777777" w:rsidR="00BB7660" w:rsidRPr="005D541E" w:rsidRDefault="00BB7660" w:rsidP="0051288D">
            <w:pPr>
              <w:pStyle w:val="Tabletext"/>
              <w:rPr>
                <w:rFonts w:cs="Arial"/>
              </w:rPr>
            </w:pPr>
            <w:r w:rsidRPr="005D541E">
              <w:rPr>
                <w:rFonts w:cs="Arial"/>
              </w:rPr>
              <w:t>Anti-malware anti-virus</w:t>
            </w:r>
          </w:p>
        </w:tc>
        <w:tc>
          <w:tcPr>
            <w:tcW w:w="2072" w:type="pct"/>
          </w:tcPr>
          <w:p w14:paraId="24F00FEF" w14:textId="77777777" w:rsidR="00BB7660" w:rsidRPr="005D541E" w:rsidRDefault="00BB7660" w:rsidP="0051288D">
            <w:pPr>
              <w:pStyle w:val="Tabletext"/>
              <w:rPr>
                <w:rFonts w:cs="Arial"/>
              </w:rPr>
            </w:pPr>
            <w:r w:rsidRPr="005D541E">
              <w:rPr>
                <w:rFonts w:cs="Arial"/>
              </w:rPr>
              <w:t>Anti-virus and anti-malware solutions are implemented on endpoint devices and on servers to detect and remove malware from the CDR data environment and are updated on a regular basis. End-user systems are updated with the latest virus definitions when they connect to the network. Reports or dashboards highlighting compliance metrics are regularly generated and monitored, and non-compliant items are actioned as soon as practicable.</w:t>
            </w:r>
          </w:p>
          <w:p w14:paraId="28A00DC8" w14:textId="77777777" w:rsidR="00BB7660" w:rsidRPr="005D541E" w:rsidRDefault="00BB7660" w:rsidP="0051288D">
            <w:pPr>
              <w:pStyle w:val="Tabletext"/>
              <w:rPr>
                <w:rFonts w:cs="Arial"/>
              </w:rPr>
            </w:pPr>
          </w:p>
        </w:tc>
      </w:tr>
      <w:tr w:rsidR="005D541E" w:rsidRPr="005D541E" w14:paraId="4CF36F12" w14:textId="77777777" w:rsidTr="0051288D">
        <w:trPr>
          <w:trHeight w:val="317"/>
        </w:trPr>
        <w:tc>
          <w:tcPr>
            <w:tcW w:w="148" w:type="pct"/>
            <w:vMerge/>
          </w:tcPr>
          <w:p w14:paraId="12F8A888" w14:textId="77777777" w:rsidR="00BB7660" w:rsidRPr="005D541E" w:rsidRDefault="00BB7660" w:rsidP="0051288D">
            <w:pPr>
              <w:pStyle w:val="Tabletext"/>
            </w:pPr>
          </w:p>
        </w:tc>
        <w:tc>
          <w:tcPr>
            <w:tcW w:w="737" w:type="pct"/>
            <w:vMerge/>
          </w:tcPr>
          <w:p w14:paraId="686634EF" w14:textId="77777777" w:rsidR="00BB7660" w:rsidRPr="005D541E" w:rsidRDefault="00BB7660" w:rsidP="0051288D">
            <w:pPr>
              <w:pStyle w:val="Tabletext"/>
              <w:rPr>
                <w:rFonts w:cs="Arial"/>
              </w:rPr>
            </w:pPr>
          </w:p>
        </w:tc>
        <w:tc>
          <w:tcPr>
            <w:tcW w:w="164" w:type="pct"/>
          </w:tcPr>
          <w:p w14:paraId="34099243" w14:textId="77777777" w:rsidR="00BB7660" w:rsidRPr="005D541E" w:rsidRDefault="00BB7660" w:rsidP="0051288D">
            <w:pPr>
              <w:pStyle w:val="Tabletext"/>
              <w:rPr>
                <w:rFonts w:cs="Arial"/>
              </w:rPr>
            </w:pPr>
            <w:r w:rsidRPr="005D541E">
              <w:t>(b)</w:t>
            </w:r>
          </w:p>
        </w:tc>
        <w:tc>
          <w:tcPr>
            <w:tcW w:w="1879" w:type="pct"/>
          </w:tcPr>
          <w:p w14:paraId="6E3CDB38" w14:textId="77777777" w:rsidR="00BB7660" w:rsidRPr="005D541E" w:rsidRDefault="00BB7660" w:rsidP="0051288D">
            <w:pPr>
              <w:pStyle w:val="Tabletext"/>
              <w:rPr>
                <w:rFonts w:cs="Arial"/>
              </w:rPr>
            </w:pPr>
            <w:r w:rsidRPr="005D541E">
              <w:rPr>
                <w:rFonts w:cs="Arial"/>
              </w:rPr>
              <w:t>Web and email content filtering</w:t>
            </w:r>
          </w:p>
        </w:tc>
        <w:tc>
          <w:tcPr>
            <w:tcW w:w="2072" w:type="pct"/>
          </w:tcPr>
          <w:p w14:paraId="2FB2ED1B" w14:textId="77777777" w:rsidR="00BB7660" w:rsidRPr="005D541E" w:rsidRDefault="00BB7660" w:rsidP="0051288D">
            <w:pPr>
              <w:pStyle w:val="Tabletext"/>
              <w:rPr>
                <w:rFonts w:cs="Arial"/>
              </w:rPr>
            </w:pPr>
            <w:r w:rsidRPr="005D541E">
              <w:rPr>
                <w:rFonts w:cs="Arial"/>
              </w:rPr>
              <w:t>Solutions are implemented to identify, quarantine and block suspicious content arising from email and the web.</w:t>
            </w:r>
          </w:p>
          <w:p w14:paraId="7E3EDEBA" w14:textId="77777777" w:rsidR="00BB7660" w:rsidRPr="005D541E" w:rsidRDefault="00BB7660" w:rsidP="0051288D">
            <w:pPr>
              <w:pStyle w:val="Tabletext"/>
              <w:rPr>
                <w:rFonts w:cs="Arial"/>
              </w:rPr>
            </w:pPr>
          </w:p>
        </w:tc>
      </w:tr>
      <w:tr w:rsidR="005D541E" w:rsidRPr="005D541E" w14:paraId="11A4951A" w14:textId="77777777" w:rsidTr="0051288D">
        <w:trPr>
          <w:trHeight w:val="317"/>
        </w:trPr>
        <w:tc>
          <w:tcPr>
            <w:tcW w:w="148" w:type="pct"/>
            <w:vMerge/>
          </w:tcPr>
          <w:p w14:paraId="31F8D5CA" w14:textId="77777777" w:rsidR="00BB7660" w:rsidRPr="005D541E" w:rsidRDefault="00BB7660" w:rsidP="0051288D">
            <w:pPr>
              <w:pStyle w:val="Tabletext"/>
            </w:pPr>
          </w:p>
        </w:tc>
        <w:tc>
          <w:tcPr>
            <w:tcW w:w="737" w:type="pct"/>
            <w:vMerge/>
          </w:tcPr>
          <w:p w14:paraId="322E6E77" w14:textId="77777777" w:rsidR="00BB7660" w:rsidRPr="005D541E" w:rsidRDefault="00BB7660" w:rsidP="0051288D">
            <w:pPr>
              <w:pStyle w:val="Tabletext"/>
              <w:rPr>
                <w:rFonts w:cs="Arial"/>
              </w:rPr>
            </w:pPr>
          </w:p>
        </w:tc>
        <w:tc>
          <w:tcPr>
            <w:tcW w:w="164" w:type="pct"/>
          </w:tcPr>
          <w:p w14:paraId="3A509B08" w14:textId="77777777" w:rsidR="00BB7660" w:rsidRPr="005D541E" w:rsidRDefault="00BB7660" w:rsidP="0051288D">
            <w:pPr>
              <w:pStyle w:val="Tabletext"/>
              <w:rPr>
                <w:rFonts w:cs="Arial"/>
              </w:rPr>
            </w:pPr>
            <w:r w:rsidRPr="005D541E">
              <w:t>(c)</w:t>
            </w:r>
          </w:p>
        </w:tc>
        <w:tc>
          <w:tcPr>
            <w:tcW w:w="1879" w:type="pct"/>
          </w:tcPr>
          <w:p w14:paraId="4158468A" w14:textId="77777777" w:rsidR="00BB7660" w:rsidRPr="005D541E" w:rsidRDefault="00BB7660" w:rsidP="0051288D">
            <w:pPr>
              <w:pStyle w:val="Tabletext"/>
              <w:rPr>
                <w:rFonts w:cs="Arial"/>
              </w:rPr>
            </w:pPr>
            <w:r w:rsidRPr="005D541E">
              <w:rPr>
                <w:rFonts w:cs="Arial"/>
              </w:rPr>
              <w:t>Application whitelisting</w:t>
            </w:r>
          </w:p>
        </w:tc>
        <w:tc>
          <w:tcPr>
            <w:tcW w:w="2072" w:type="pct"/>
          </w:tcPr>
          <w:p w14:paraId="729704A8" w14:textId="77777777" w:rsidR="00BB7660" w:rsidRPr="005D541E" w:rsidRDefault="00BB7660" w:rsidP="0051288D">
            <w:pPr>
              <w:pStyle w:val="Tabletext"/>
              <w:rPr>
                <w:rFonts w:cs="Arial"/>
              </w:rPr>
            </w:pPr>
            <w:r w:rsidRPr="005D541E">
              <w:rPr>
                <w:rFonts w:cs="Arial"/>
              </w:rPr>
              <w:t xml:space="preserve">Download of executables and installation of software on infrastructure and end-user devices (including on BYOD devices) is restricted to authorised software only. </w:t>
            </w:r>
          </w:p>
          <w:p w14:paraId="269A89C8" w14:textId="77777777" w:rsidR="00BB7660" w:rsidRPr="005D541E" w:rsidRDefault="00BB7660" w:rsidP="0051288D">
            <w:pPr>
              <w:pStyle w:val="Tabletext"/>
              <w:rPr>
                <w:rFonts w:cs="Arial"/>
              </w:rPr>
            </w:pPr>
          </w:p>
        </w:tc>
      </w:tr>
      <w:tr w:rsidR="005D541E" w:rsidRPr="005D541E" w14:paraId="55A855DB" w14:textId="77777777" w:rsidTr="0051288D">
        <w:trPr>
          <w:trHeight w:val="318"/>
        </w:trPr>
        <w:tc>
          <w:tcPr>
            <w:tcW w:w="148" w:type="pct"/>
            <w:vMerge w:val="restart"/>
          </w:tcPr>
          <w:p w14:paraId="71F8B8F2" w14:textId="77777777" w:rsidR="00BB7660" w:rsidRPr="005D541E" w:rsidRDefault="00BB7660" w:rsidP="0051288D">
            <w:pPr>
              <w:pStyle w:val="Tabletext"/>
            </w:pPr>
            <w:r w:rsidRPr="005D541E">
              <w:t>(6)</w:t>
            </w:r>
          </w:p>
        </w:tc>
        <w:tc>
          <w:tcPr>
            <w:tcW w:w="737" w:type="pct"/>
            <w:vMerge w:val="restart"/>
          </w:tcPr>
          <w:p w14:paraId="6DDC0616" w14:textId="77777777" w:rsidR="00BB7660" w:rsidRPr="005D541E" w:rsidRDefault="00BB7660" w:rsidP="0051288D">
            <w:pPr>
              <w:pStyle w:val="Tabletext"/>
              <w:rPr>
                <w:rFonts w:cs="Arial"/>
              </w:rPr>
            </w:pPr>
            <w:r w:rsidRPr="005D541E">
              <w:rPr>
                <w:rFonts w:cs="Arial"/>
              </w:rPr>
              <w:t xml:space="preserve">An accredited data recipient must implement a formal information security </w:t>
            </w:r>
            <w:r w:rsidRPr="005D541E">
              <w:rPr>
                <w:rFonts w:cs="Arial"/>
              </w:rPr>
              <w:lastRenderedPageBreak/>
              <w:t>training and awareness program for all personnel interacting with CDR data.</w:t>
            </w:r>
          </w:p>
        </w:tc>
        <w:tc>
          <w:tcPr>
            <w:tcW w:w="164" w:type="pct"/>
          </w:tcPr>
          <w:p w14:paraId="2CE262AB" w14:textId="77777777" w:rsidR="00BB7660" w:rsidRPr="005D541E" w:rsidRDefault="00BB7660" w:rsidP="0051288D">
            <w:pPr>
              <w:pStyle w:val="Tabletext"/>
              <w:rPr>
                <w:rFonts w:cs="Arial"/>
              </w:rPr>
            </w:pPr>
            <w:r w:rsidRPr="005D541E">
              <w:lastRenderedPageBreak/>
              <w:t>(a)</w:t>
            </w:r>
          </w:p>
        </w:tc>
        <w:tc>
          <w:tcPr>
            <w:tcW w:w="1879" w:type="pct"/>
          </w:tcPr>
          <w:p w14:paraId="03F00A86" w14:textId="77777777" w:rsidR="00BB7660" w:rsidRPr="005D541E" w:rsidRDefault="00BB7660" w:rsidP="0051288D">
            <w:pPr>
              <w:pStyle w:val="Tabletext"/>
              <w:rPr>
                <w:rFonts w:cs="Arial"/>
              </w:rPr>
            </w:pPr>
            <w:r w:rsidRPr="005D541E">
              <w:rPr>
                <w:rFonts w:cs="Arial"/>
              </w:rPr>
              <w:t xml:space="preserve">Security training and awareness </w:t>
            </w:r>
          </w:p>
        </w:tc>
        <w:tc>
          <w:tcPr>
            <w:tcW w:w="2072" w:type="pct"/>
          </w:tcPr>
          <w:p w14:paraId="2AD06656" w14:textId="77777777" w:rsidR="00BB7660" w:rsidRPr="005D541E" w:rsidRDefault="00BB7660" w:rsidP="0051288D">
            <w:pPr>
              <w:pStyle w:val="Tabletext"/>
              <w:rPr>
                <w:rFonts w:cs="Arial"/>
              </w:rPr>
            </w:pPr>
            <w:r w:rsidRPr="005D541E">
              <w:rPr>
                <w:rFonts w:cs="Arial"/>
              </w:rPr>
              <w:t xml:space="preserve">All users undergo mandatory security and privacy training prior to interacting with the CDR data environment, with ‘refresher courses’ provided at least annually. </w:t>
            </w:r>
          </w:p>
          <w:p w14:paraId="17F2B8CD" w14:textId="77777777" w:rsidR="00BB7660" w:rsidRPr="005D541E" w:rsidRDefault="00BB7660" w:rsidP="0051288D">
            <w:pPr>
              <w:pStyle w:val="Tabletext"/>
              <w:rPr>
                <w:rFonts w:cs="Arial"/>
              </w:rPr>
            </w:pPr>
          </w:p>
        </w:tc>
      </w:tr>
      <w:tr w:rsidR="005D541E" w:rsidRPr="005D541E" w14:paraId="226501BF" w14:textId="77777777" w:rsidTr="0051288D">
        <w:trPr>
          <w:trHeight w:val="317"/>
        </w:trPr>
        <w:tc>
          <w:tcPr>
            <w:tcW w:w="148" w:type="pct"/>
            <w:vMerge/>
          </w:tcPr>
          <w:p w14:paraId="35F2940B" w14:textId="77777777" w:rsidR="00BB7660" w:rsidRPr="005D541E" w:rsidRDefault="00BB7660" w:rsidP="0051288D">
            <w:pPr>
              <w:pStyle w:val="Tabletext"/>
            </w:pPr>
          </w:p>
        </w:tc>
        <w:tc>
          <w:tcPr>
            <w:tcW w:w="737" w:type="pct"/>
            <w:vMerge/>
          </w:tcPr>
          <w:p w14:paraId="36262989" w14:textId="77777777" w:rsidR="00BB7660" w:rsidRPr="005D541E" w:rsidRDefault="00BB7660" w:rsidP="0051288D">
            <w:pPr>
              <w:pStyle w:val="Tabletext"/>
              <w:rPr>
                <w:rFonts w:cs="Arial"/>
              </w:rPr>
            </w:pPr>
          </w:p>
        </w:tc>
        <w:tc>
          <w:tcPr>
            <w:tcW w:w="164" w:type="pct"/>
          </w:tcPr>
          <w:p w14:paraId="711447CE" w14:textId="77777777" w:rsidR="00BB7660" w:rsidRPr="005D541E" w:rsidRDefault="00BB7660" w:rsidP="0051288D">
            <w:pPr>
              <w:pStyle w:val="Tabletext"/>
              <w:rPr>
                <w:rFonts w:cs="Arial"/>
              </w:rPr>
            </w:pPr>
            <w:r w:rsidRPr="005D541E">
              <w:t>(b)</w:t>
            </w:r>
          </w:p>
        </w:tc>
        <w:tc>
          <w:tcPr>
            <w:tcW w:w="1879" w:type="pct"/>
          </w:tcPr>
          <w:p w14:paraId="32139E47" w14:textId="77777777" w:rsidR="00BB7660" w:rsidRPr="005D541E" w:rsidRDefault="00BB7660" w:rsidP="0051288D">
            <w:pPr>
              <w:pStyle w:val="Tabletext"/>
              <w:rPr>
                <w:rFonts w:cs="Arial"/>
              </w:rPr>
            </w:pPr>
            <w:r w:rsidRPr="005D541E">
              <w:rPr>
                <w:rFonts w:cs="Arial"/>
              </w:rPr>
              <w:t>Acceptable use of technology</w:t>
            </w:r>
          </w:p>
        </w:tc>
        <w:tc>
          <w:tcPr>
            <w:tcW w:w="2072" w:type="pct"/>
          </w:tcPr>
          <w:p w14:paraId="35ABC7C2" w14:textId="77777777" w:rsidR="00BB7660" w:rsidRPr="005D541E" w:rsidRDefault="00BB7660" w:rsidP="0051288D">
            <w:pPr>
              <w:pStyle w:val="Tabletext"/>
              <w:rPr>
                <w:rFonts w:cs="Arial"/>
              </w:rPr>
            </w:pPr>
            <w:r w:rsidRPr="005D541E">
              <w:rPr>
                <w:rFonts w:cs="Arial"/>
              </w:rPr>
              <w:t>A policy relating to the CDR data environment is created, implemented, communicated and agreed to by all personnel prior to being able to access the CDR data environment. This policy sets out the responsibilities of these personnel in interacting with the CDR data environment and is regularly made aware to personnel.</w:t>
            </w:r>
          </w:p>
          <w:p w14:paraId="1A1B3FA3" w14:textId="77777777" w:rsidR="00BB7660" w:rsidRPr="005D541E" w:rsidRDefault="00BB7660" w:rsidP="0051288D">
            <w:pPr>
              <w:pStyle w:val="Tabletext"/>
              <w:rPr>
                <w:rFonts w:cs="Arial"/>
              </w:rPr>
            </w:pPr>
          </w:p>
        </w:tc>
      </w:tr>
      <w:tr w:rsidR="005D541E" w:rsidRPr="005D541E" w14:paraId="5F24945F" w14:textId="77777777" w:rsidTr="0051288D">
        <w:trPr>
          <w:trHeight w:val="317"/>
        </w:trPr>
        <w:tc>
          <w:tcPr>
            <w:tcW w:w="148" w:type="pct"/>
            <w:vMerge/>
          </w:tcPr>
          <w:p w14:paraId="1800B256" w14:textId="77777777" w:rsidR="00BB7660" w:rsidRPr="005D541E" w:rsidRDefault="00BB7660" w:rsidP="0051288D">
            <w:pPr>
              <w:pStyle w:val="Tabletext"/>
            </w:pPr>
          </w:p>
        </w:tc>
        <w:tc>
          <w:tcPr>
            <w:tcW w:w="737" w:type="pct"/>
            <w:vMerge/>
          </w:tcPr>
          <w:p w14:paraId="6DC65EB0" w14:textId="77777777" w:rsidR="00BB7660" w:rsidRPr="005D541E" w:rsidRDefault="00BB7660" w:rsidP="0051288D">
            <w:pPr>
              <w:pStyle w:val="Tabletext"/>
              <w:rPr>
                <w:rFonts w:cs="Arial"/>
              </w:rPr>
            </w:pPr>
          </w:p>
        </w:tc>
        <w:tc>
          <w:tcPr>
            <w:tcW w:w="164" w:type="pct"/>
          </w:tcPr>
          <w:p w14:paraId="6E2B70C8" w14:textId="77777777" w:rsidR="00BB7660" w:rsidRPr="005D541E" w:rsidRDefault="00BB7660" w:rsidP="0051288D">
            <w:pPr>
              <w:pStyle w:val="Tabletext"/>
              <w:rPr>
                <w:rFonts w:cs="Arial"/>
              </w:rPr>
            </w:pPr>
            <w:r w:rsidRPr="005D541E">
              <w:t>(c)</w:t>
            </w:r>
          </w:p>
        </w:tc>
        <w:tc>
          <w:tcPr>
            <w:tcW w:w="1879" w:type="pct"/>
          </w:tcPr>
          <w:p w14:paraId="1392A9C3" w14:textId="77777777" w:rsidR="00BB7660" w:rsidRPr="005D541E" w:rsidRDefault="00BB7660" w:rsidP="0051288D">
            <w:pPr>
              <w:pStyle w:val="Tabletext"/>
              <w:rPr>
                <w:rFonts w:cs="Arial"/>
              </w:rPr>
            </w:pPr>
            <w:r w:rsidRPr="005D541E">
              <w:rPr>
                <w:rFonts w:cs="Arial"/>
              </w:rPr>
              <w:t>Human resource security</w:t>
            </w:r>
          </w:p>
        </w:tc>
        <w:tc>
          <w:tcPr>
            <w:tcW w:w="2072" w:type="pct"/>
          </w:tcPr>
          <w:p w14:paraId="7C87501D" w14:textId="77777777" w:rsidR="00BB7660" w:rsidRPr="005D541E" w:rsidRDefault="00BB7660" w:rsidP="0051288D">
            <w:pPr>
              <w:pStyle w:val="Tabletext"/>
              <w:rPr>
                <w:rFonts w:cs="Arial"/>
              </w:rPr>
            </w:pPr>
            <w:r w:rsidRPr="005D541E">
              <w:rPr>
                <w:rFonts w:cs="Arial"/>
              </w:rPr>
              <w:t>Background checks are performed on all personnel prior to being able to access the CDR data environment. These may include, but are not limited to, reference checks and police checks.</w:t>
            </w:r>
          </w:p>
          <w:p w14:paraId="6E19642A" w14:textId="77777777" w:rsidR="00BB7660" w:rsidRPr="005D541E" w:rsidRDefault="00BB7660" w:rsidP="0051288D">
            <w:pPr>
              <w:pStyle w:val="Tabletext"/>
              <w:rPr>
                <w:rFonts w:cs="Arial"/>
              </w:rPr>
            </w:pPr>
          </w:p>
        </w:tc>
      </w:tr>
    </w:tbl>
    <w:p w14:paraId="195CD6C2" w14:textId="77777777" w:rsidR="00BB7660" w:rsidRPr="005D541E" w:rsidRDefault="00BB7660" w:rsidP="00BB7660">
      <w:pPr>
        <w:pStyle w:val="ItemHead"/>
      </w:pPr>
    </w:p>
    <w:p w14:paraId="19A78694" w14:textId="77777777" w:rsidR="00BB7660" w:rsidRPr="005D541E" w:rsidRDefault="00BB7660" w:rsidP="00BB7660">
      <w:pPr>
        <w:pStyle w:val="Item"/>
      </w:pPr>
    </w:p>
    <w:p w14:paraId="4AE294C9" w14:textId="77777777" w:rsidR="00BB7660" w:rsidRPr="005D541E" w:rsidRDefault="00BB7660" w:rsidP="00BB7660">
      <w:pPr>
        <w:pStyle w:val="subsection"/>
        <w:sectPr w:rsidR="00BB7660" w:rsidRPr="005D541E" w:rsidSect="0051288D">
          <w:pgSz w:w="16839" w:h="11907" w:orient="landscape" w:code="9"/>
          <w:pgMar w:top="1797" w:right="2234" w:bottom="1797" w:left="1440" w:header="720" w:footer="709" w:gutter="0"/>
          <w:cols w:space="708"/>
          <w:docGrid w:linePitch="360"/>
        </w:sectPr>
      </w:pPr>
    </w:p>
    <w:p w14:paraId="7172C59F" w14:textId="77777777" w:rsidR="00BB7660" w:rsidRPr="005D541E" w:rsidRDefault="00BB7660" w:rsidP="00BB7660">
      <w:pPr>
        <w:pStyle w:val="ActHead6"/>
      </w:pPr>
    </w:p>
    <w:p w14:paraId="5B146676" w14:textId="77777777" w:rsidR="00BB7660" w:rsidRPr="005D541E" w:rsidRDefault="00BB7660" w:rsidP="00BB7660">
      <w:pPr>
        <w:pStyle w:val="ActHead6"/>
      </w:pPr>
      <w:bookmarkStart w:id="657" w:name="_Toc111132263"/>
      <w:r w:rsidRPr="005D541E">
        <w:t>Schedule 3—Provisions relevant to the banking sector</w:t>
      </w:r>
      <w:bookmarkEnd w:id="656"/>
      <w:bookmarkEnd w:id="657"/>
    </w:p>
    <w:p w14:paraId="38ABA6E4" w14:textId="77777777" w:rsidR="00BB7660" w:rsidRPr="005D541E" w:rsidRDefault="00BB7660" w:rsidP="00BB7660">
      <w:pPr>
        <w:pStyle w:val="ActHead2"/>
      </w:pPr>
      <w:bookmarkStart w:id="658" w:name="_Toc11771724"/>
      <w:bookmarkStart w:id="659" w:name="_Toc111132264"/>
      <w:r w:rsidRPr="005D541E">
        <w:t>Part 1—Preliminary</w:t>
      </w:r>
      <w:bookmarkEnd w:id="658"/>
      <w:bookmarkEnd w:id="659"/>
    </w:p>
    <w:p w14:paraId="2C2E537E" w14:textId="77777777" w:rsidR="00BB7660" w:rsidRPr="005D541E" w:rsidRDefault="00BB7660" w:rsidP="00BB7660">
      <w:pPr>
        <w:pStyle w:val="ActHead5"/>
      </w:pPr>
      <w:bookmarkStart w:id="660" w:name="_Toc11771725"/>
      <w:bookmarkStart w:id="661" w:name="_Toc111132265"/>
      <w:r w:rsidRPr="005D541E">
        <w:t>1.1  Simplified outline of this Schedule</w:t>
      </w:r>
      <w:bookmarkEnd w:id="660"/>
      <w:bookmarkEnd w:id="661"/>
    </w:p>
    <w:p w14:paraId="0845DA60" w14:textId="77777777" w:rsidR="00BB7660" w:rsidRPr="005D541E" w:rsidRDefault="00BB7660" w:rsidP="00BB7660">
      <w:pPr>
        <w:pStyle w:val="SOText"/>
      </w:pPr>
      <w:r w:rsidRPr="005D541E">
        <w:t>This Schedule deals with how these rules apply in relation to the banking sector.</w:t>
      </w:r>
    </w:p>
    <w:p w14:paraId="7AD740EE" w14:textId="77777777" w:rsidR="00BB7660" w:rsidRPr="005D541E" w:rsidRDefault="00BB7660" w:rsidP="00BB7660">
      <w:pPr>
        <w:pStyle w:val="SOText"/>
      </w:pPr>
      <w:r w:rsidRPr="005D541E">
        <w:t>Some defined terms apply only in relation to the banking sector. These are defined in Part 1 of this Schedule.</w:t>
      </w:r>
    </w:p>
    <w:p w14:paraId="2EE2E32C" w14:textId="77777777" w:rsidR="00BB7660" w:rsidRPr="005D541E" w:rsidRDefault="00BB7660" w:rsidP="00BB7660">
      <w:pPr>
        <w:pStyle w:val="SOText"/>
      </w:pPr>
      <w:r w:rsidRPr="005D541E">
        <w:t>Part 2 of this Schedule deals with eligible CDR consumers in relation to the banking sector.</w:t>
      </w:r>
    </w:p>
    <w:p w14:paraId="5131DA70" w14:textId="77777777" w:rsidR="00BB7660" w:rsidRPr="005D541E" w:rsidRDefault="00BB7660" w:rsidP="00BB7660">
      <w:pPr>
        <w:pStyle w:val="SOText"/>
      </w:pPr>
      <w:r w:rsidRPr="005D541E">
        <w:t>Part 3 of this Schedule deals with CDR data that can or must be disclosed when product data requests and consumer data requests are made in relation to the banking sector.</w:t>
      </w:r>
    </w:p>
    <w:p w14:paraId="0095D129" w14:textId="77777777" w:rsidR="00BB7660" w:rsidRPr="005D541E" w:rsidRDefault="00BB7660" w:rsidP="00BB7660">
      <w:pPr>
        <w:pStyle w:val="SOText"/>
      </w:pPr>
      <w:r w:rsidRPr="005D541E">
        <w:t>Part 5 of this Schedule deals with internal dispute resolution requirements in relation to the banking sector.</w:t>
      </w:r>
    </w:p>
    <w:p w14:paraId="0E85B68A" w14:textId="77777777" w:rsidR="00BB7660" w:rsidRPr="005D541E" w:rsidRDefault="00BB7660" w:rsidP="00BB7660">
      <w:pPr>
        <w:pStyle w:val="SOText"/>
      </w:pPr>
      <w:r w:rsidRPr="005D541E">
        <w:t>Part 6 of these rules deals with the staged application of these rules to the banking sector. Over time, as set out in this Part, these rules will apply to a progressively broader range of data holders within the banking sector, and to a progressively broader range of banking products.</w:t>
      </w:r>
    </w:p>
    <w:p w14:paraId="3AB878CB" w14:textId="77777777" w:rsidR="00BB7660" w:rsidRPr="005D541E" w:rsidRDefault="00BB7660" w:rsidP="00BB7660">
      <w:pPr>
        <w:pStyle w:val="SOText"/>
      </w:pPr>
      <w:r w:rsidRPr="005D541E">
        <w:t>Part 7 deals with provisions of these rules that apply differently in relation to the banking sector.</w:t>
      </w:r>
    </w:p>
    <w:p w14:paraId="51FECC9D" w14:textId="77777777" w:rsidR="00BB7660" w:rsidRPr="005D541E" w:rsidRDefault="00BB7660" w:rsidP="00BB7660">
      <w:pPr>
        <w:pStyle w:val="ActHead5"/>
      </w:pPr>
      <w:bookmarkStart w:id="662" w:name="_Toc11771726"/>
      <w:bookmarkStart w:id="663" w:name="_Toc111132266"/>
      <w:r w:rsidRPr="005D541E">
        <w:t>1.2  Interpretation</w:t>
      </w:r>
      <w:bookmarkEnd w:id="662"/>
      <w:bookmarkEnd w:id="663"/>
    </w:p>
    <w:p w14:paraId="36FC827F" w14:textId="77777777" w:rsidR="00BB7660" w:rsidRPr="005D541E" w:rsidRDefault="00BB7660" w:rsidP="00BB7660">
      <w:pPr>
        <w:pStyle w:val="subsection"/>
      </w:pPr>
      <w:r w:rsidRPr="005D541E">
        <w:tab/>
      </w:r>
      <w:r w:rsidRPr="005D541E">
        <w:tab/>
        <w:t>In this Schedule:</w:t>
      </w:r>
    </w:p>
    <w:p w14:paraId="1027055A" w14:textId="77777777" w:rsidR="00BB7660" w:rsidRDefault="00BB7660" w:rsidP="00BB7660">
      <w:pPr>
        <w:pStyle w:val="Definition"/>
      </w:pPr>
      <w:r>
        <w:rPr>
          <w:b/>
          <w:i/>
        </w:rPr>
        <w:t xml:space="preserve">account data </w:t>
      </w:r>
      <w:r>
        <w:t>has the meaning given by clause 1.3 of this Schedule.</w:t>
      </w:r>
    </w:p>
    <w:p w14:paraId="4404FE8C" w14:textId="77777777" w:rsidR="00BB7660" w:rsidRPr="00A605C3" w:rsidRDefault="00BB7660" w:rsidP="00BB7660">
      <w:pPr>
        <w:pStyle w:val="Definition"/>
      </w:pPr>
      <w:r>
        <w:rPr>
          <w:b/>
          <w:i/>
        </w:rPr>
        <w:t xml:space="preserve">accredited ADI </w:t>
      </w:r>
      <w:r>
        <w:t>has the meaning given by clause 6.2 of this Schedule.</w:t>
      </w:r>
    </w:p>
    <w:p w14:paraId="0EA62B30" w14:textId="77777777" w:rsidR="00BB7660" w:rsidRPr="00DA53C7" w:rsidRDefault="00BB7660" w:rsidP="00BB7660">
      <w:pPr>
        <w:pStyle w:val="Definition"/>
      </w:pPr>
      <w:r w:rsidRPr="00DA53C7">
        <w:rPr>
          <w:b/>
          <w:i/>
        </w:rPr>
        <w:t xml:space="preserve">any other relevant ADI </w:t>
      </w:r>
      <w:r w:rsidRPr="00DA53C7">
        <w:t xml:space="preserve">has the meaning given by clause </w:t>
      </w:r>
      <w:r>
        <w:t>6.2</w:t>
      </w:r>
      <w:r w:rsidRPr="00DA53C7">
        <w:t xml:space="preserve"> of this Schedule.</w:t>
      </w:r>
    </w:p>
    <w:p w14:paraId="17D37A40" w14:textId="77777777" w:rsidR="00BB7660" w:rsidRPr="006B5200" w:rsidRDefault="00BB7660" w:rsidP="00BB7660">
      <w:pPr>
        <w:pStyle w:val="Definition"/>
        <w:rPr>
          <w:b/>
          <w:i/>
        </w:rPr>
      </w:pPr>
      <w:r>
        <w:rPr>
          <w:b/>
          <w:i/>
        </w:rPr>
        <w:t xml:space="preserve">associate </w:t>
      </w:r>
      <w:r>
        <w:t xml:space="preserve">has the meaning given by the </w:t>
      </w:r>
      <w:r w:rsidRPr="00965076">
        <w:t>banking</w:t>
      </w:r>
      <w:r>
        <w:t xml:space="preserve"> sector</w:t>
      </w:r>
      <w:r w:rsidRPr="00965076">
        <w:t xml:space="preserve"> designation</w:t>
      </w:r>
      <w:r>
        <w:t xml:space="preserve"> instrument.</w:t>
      </w:r>
    </w:p>
    <w:p w14:paraId="2705AA5D" w14:textId="77777777" w:rsidR="00BB7660" w:rsidRPr="006B5200" w:rsidRDefault="00BB7660" w:rsidP="00BB7660">
      <w:pPr>
        <w:pStyle w:val="Definition"/>
        <w:rPr>
          <w:b/>
          <w:i/>
        </w:rPr>
      </w:pPr>
      <w:r>
        <w:rPr>
          <w:b/>
          <w:i/>
        </w:rPr>
        <w:t xml:space="preserve">banking business </w:t>
      </w:r>
      <w:r>
        <w:t xml:space="preserve">has the meaning given by the </w:t>
      </w:r>
      <w:r w:rsidRPr="00965076">
        <w:t xml:space="preserve">banking </w:t>
      </w:r>
      <w:r>
        <w:t>sector</w:t>
      </w:r>
      <w:r w:rsidRPr="00965076">
        <w:t xml:space="preserve"> designation</w:t>
      </w:r>
      <w:r>
        <w:t xml:space="preserve"> instrument.</w:t>
      </w:r>
    </w:p>
    <w:p w14:paraId="1F6585B5" w14:textId="77777777" w:rsidR="00670E81" w:rsidRPr="009C4B0C" w:rsidRDefault="00670E81" w:rsidP="00670E81">
      <w:pPr>
        <w:pStyle w:val="Definition"/>
      </w:pPr>
      <w:r w:rsidRPr="009C4B0C">
        <w:rPr>
          <w:b/>
          <w:i/>
        </w:rPr>
        <w:t xml:space="preserve">banking sector </w:t>
      </w:r>
      <w:r w:rsidRPr="009C4B0C">
        <w:t>means the sector of the Australian economy that is designated by the banking sector designation instrument.</w:t>
      </w:r>
    </w:p>
    <w:p w14:paraId="14C73504" w14:textId="77777777" w:rsidR="00BB7660" w:rsidRPr="00A00F6F" w:rsidRDefault="00BB7660" w:rsidP="00BB7660">
      <w:pPr>
        <w:pStyle w:val="Definition"/>
      </w:pPr>
      <w:r w:rsidRPr="00A00F6F">
        <w:rPr>
          <w:b/>
          <w:i/>
        </w:rPr>
        <w:lastRenderedPageBreak/>
        <w:t xml:space="preserve">banking sector designation instrument </w:t>
      </w:r>
      <w:r w:rsidRPr="00A00F6F">
        <w:t xml:space="preserve">means the </w:t>
      </w:r>
      <w:r w:rsidRPr="00A00F6F">
        <w:rPr>
          <w:i/>
        </w:rPr>
        <w:t>Consumer Data Right (Authorised Deposit</w:t>
      </w:r>
      <w:r w:rsidRPr="00A00F6F">
        <w:rPr>
          <w:i/>
        </w:rPr>
        <w:noBreakHyphen/>
        <w:t>Taking Institutions) Designation 2019</w:t>
      </w:r>
      <w:r w:rsidRPr="00A00F6F">
        <w:t>.</w:t>
      </w:r>
    </w:p>
    <w:p w14:paraId="3949A023" w14:textId="77777777" w:rsidR="00BB7660" w:rsidRPr="00956176" w:rsidRDefault="00BB7660" w:rsidP="00BB7660">
      <w:pPr>
        <w:pStyle w:val="Definition"/>
      </w:pPr>
      <w:r w:rsidRPr="00956176">
        <w:rPr>
          <w:b/>
          <w:i/>
        </w:rPr>
        <w:t>customer data</w:t>
      </w:r>
      <w:r w:rsidRPr="00956176">
        <w:t xml:space="preserve"> has the meaning given by clause </w:t>
      </w:r>
      <w:r>
        <w:t>1.3</w:t>
      </w:r>
      <w:r w:rsidRPr="00956176">
        <w:t xml:space="preserve"> of this Schedule.</w:t>
      </w:r>
    </w:p>
    <w:p w14:paraId="589135B5" w14:textId="77777777" w:rsidR="00BB7660" w:rsidRPr="00956176" w:rsidRDefault="00BB7660" w:rsidP="00BB7660">
      <w:pPr>
        <w:pStyle w:val="Definition"/>
      </w:pPr>
      <w:r w:rsidRPr="00956176">
        <w:rPr>
          <w:b/>
          <w:i/>
        </w:rPr>
        <w:t xml:space="preserve">foreign ADI </w:t>
      </w:r>
      <w:r w:rsidRPr="00956176">
        <w:t xml:space="preserve">has the meaning given by the </w:t>
      </w:r>
      <w:r w:rsidRPr="00956176">
        <w:rPr>
          <w:i/>
        </w:rPr>
        <w:t>Banking Act 1959</w:t>
      </w:r>
      <w:r w:rsidRPr="00956176">
        <w:t>.</w:t>
      </w:r>
    </w:p>
    <w:p w14:paraId="55C6362C" w14:textId="77777777" w:rsidR="00BB7660" w:rsidRPr="00A605C3" w:rsidRDefault="00BB7660" w:rsidP="00BB7660">
      <w:pPr>
        <w:pStyle w:val="Definition"/>
      </w:pPr>
      <w:r w:rsidRPr="00B3173B">
        <w:rPr>
          <w:b/>
          <w:i/>
        </w:rPr>
        <w:t>initial</w:t>
      </w:r>
      <w:r>
        <w:rPr>
          <w:b/>
          <w:i/>
        </w:rPr>
        <w:t xml:space="preserve"> data holder </w:t>
      </w:r>
      <w:r>
        <w:t>has the meaning given by clause 6.2 of this Schedule.</w:t>
      </w:r>
    </w:p>
    <w:p w14:paraId="30191286" w14:textId="77777777" w:rsidR="00BB7660" w:rsidRPr="00924062" w:rsidRDefault="00BB7660" w:rsidP="00BB7660">
      <w:pPr>
        <w:pStyle w:val="Definition"/>
      </w:pPr>
      <w:r w:rsidRPr="00924062">
        <w:rPr>
          <w:b/>
          <w:i/>
        </w:rPr>
        <w:t xml:space="preserve">phase 1 product </w:t>
      </w:r>
      <w:r w:rsidRPr="00924062">
        <w:t xml:space="preserve">has the meaning given by </w:t>
      </w:r>
      <w:r>
        <w:t>clause 1.4</w:t>
      </w:r>
      <w:r w:rsidRPr="00924062">
        <w:t xml:space="preserve"> of this Schedule.</w:t>
      </w:r>
    </w:p>
    <w:p w14:paraId="4CE85EAB" w14:textId="77777777" w:rsidR="00BB7660" w:rsidRPr="00D96444" w:rsidRDefault="00BB7660" w:rsidP="00BB7660">
      <w:pPr>
        <w:pStyle w:val="Definition"/>
      </w:pPr>
      <w:r w:rsidRPr="00924062">
        <w:rPr>
          <w:b/>
          <w:i/>
        </w:rPr>
        <w:t xml:space="preserve">phase 2 product </w:t>
      </w:r>
      <w:r w:rsidRPr="00924062">
        <w:t xml:space="preserve">has the meaning given by </w:t>
      </w:r>
      <w:r>
        <w:t>clause 1.4</w:t>
      </w:r>
      <w:r w:rsidRPr="00924062">
        <w:t xml:space="preserve"> of this Schedule.</w:t>
      </w:r>
    </w:p>
    <w:p w14:paraId="0984A49C" w14:textId="77777777" w:rsidR="00BB7660" w:rsidRPr="00D96444" w:rsidRDefault="00BB7660" w:rsidP="00BB7660">
      <w:pPr>
        <w:pStyle w:val="Definition"/>
      </w:pPr>
      <w:r w:rsidRPr="00924062">
        <w:rPr>
          <w:b/>
          <w:i/>
        </w:rPr>
        <w:t xml:space="preserve">phase 3 product </w:t>
      </w:r>
      <w:r w:rsidRPr="00924062">
        <w:t xml:space="preserve">has the meaning given by </w:t>
      </w:r>
      <w:r>
        <w:t>clause 1.4</w:t>
      </w:r>
      <w:r w:rsidRPr="00924062">
        <w:t xml:space="preserve"> of this Schedule.</w:t>
      </w:r>
    </w:p>
    <w:p w14:paraId="40ABAA05" w14:textId="77777777" w:rsidR="00BB7660" w:rsidRDefault="00BB7660" w:rsidP="00BB7660">
      <w:pPr>
        <w:pStyle w:val="Definition"/>
      </w:pPr>
      <w:r>
        <w:rPr>
          <w:b/>
          <w:i/>
        </w:rPr>
        <w:t xml:space="preserve">product </w:t>
      </w:r>
      <w:r>
        <w:t xml:space="preserve">has the meaning given by the </w:t>
      </w:r>
      <w:r w:rsidRPr="00965076">
        <w:t xml:space="preserve">banking </w:t>
      </w:r>
      <w:r>
        <w:t>sector</w:t>
      </w:r>
      <w:r w:rsidRPr="00965076">
        <w:t xml:space="preserve"> designation</w:t>
      </w:r>
      <w:r>
        <w:t xml:space="preserve"> instrument.</w:t>
      </w:r>
    </w:p>
    <w:p w14:paraId="14A6683F" w14:textId="77777777" w:rsidR="00BB7660" w:rsidRPr="001C1B2B" w:rsidRDefault="00BB7660" w:rsidP="00BB7660">
      <w:pPr>
        <w:pStyle w:val="Definition"/>
      </w:pPr>
      <w:r>
        <w:rPr>
          <w:b/>
          <w:i/>
        </w:rPr>
        <w:t>product specific data</w:t>
      </w:r>
      <w:r>
        <w:t xml:space="preserve"> has the meaning given by clause 1.3 of this Schedule.</w:t>
      </w:r>
    </w:p>
    <w:p w14:paraId="4EF9F7FA" w14:textId="77777777" w:rsidR="00BB7660" w:rsidRPr="001C1B2B" w:rsidRDefault="00BB7660" w:rsidP="00BB7660">
      <w:pPr>
        <w:pStyle w:val="Definition"/>
      </w:pPr>
      <w:r>
        <w:rPr>
          <w:b/>
          <w:i/>
        </w:rPr>
        <w:t>transaction data</w:t>
      </w:r>
      <w:r>
        <w:t xml:space="preserve"> has the meaning given by clause 1.3 of this Schedule.</w:t>
      </w:r>
    </w:p>
    <w:p w14:paraId="66AB0969" w14:textId="77777777" w:rsidR="00BB7660" w:rsidRDefault="00BB7660" w:rsidP="00BB7660">
      <w:pPr>
        <w:pStyle w:val="ActHead5"/>
        <w:rPr>
          <w:i/>
        </w:rPr>
      </w:pPr>
      <w:bookmarkStart w:id="664" w:name="_Toc11771727"/>
      <w:bookmarkStart w:id="665" w:name="_Toc111132267"/>
      <w:r>
        <w:t xml:space="preserve">1.3  Meaning of </w:t>
      </w:r>
      <w:r>
        <w:rPr>
          <w:i/>
        </w:rPr>
        <w:t>customer data</w:t>
      </w:r>
      <w:r>
        <w:t xml:space="preserve">, </w:t>
      </w:r>
      <w:r>
        <w:rPr>
          <w:i/>
        </w:rPr>
        <w:t>account data</w:t>
      </w:r>
      <w:r>
        <w:t xml:space="preserve">, </w:t>
      </w:r>
      <w:r>
        <w:rPr>
          <w:i/>
        </w:rPr>
        <w:t xml:space="preserve">transaction data </w:t>
      </w:r>
      <w:r>
        <w:t xml:space="preserve">and </w:t>
      </w:r>
      <w:r>
        <w:rPr>
          <w:i/>
        </w:rPr>
        <w:t>product specific</w:t>
      </w:r>
      <w:r>
        <w:rPr>
          <w:b w:val="0"/>
          <w:i/>
        </w:rPr>
        <w:t xml:space="preserve"> </w:t>
      </w:r>
      <w:r>
        <w:rPr>
          <w:i/>
        </w:rPr>
        <w:t>data</w:t>
      </w:r>
      <w:bookmarkEnd w:id="664"/>
      <w:bookmarkEnd w:id="665"/>
    </w:p>
    <w:p w14:paraId="4A94E7F2" w14:textId="77777777" w:rsidR="00BB7660" w:rsidRDefault="00BB7660" w:rsidP="00BB7660">
      <w:pPr>
        <w:pStyle w:val="subsection"/>
      </w:pPr>
      <w:r>
        <w:tab/>
      </w:r>
      <w:r>
        <w:tab/>
        <w:t>For this Schedule, a term listed in column 1 of the table has the meaning given by column 2.</w:t>
      </w:r>
    </w:p>
    <w:p w14:paraId="4D9310D8" w14:textId="77777777" w:rsidR="00BB7660" w:rsidRDefault="00BB7660" w:rsidP="00BB7660">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BB7660" w14:paraId="1E70959A" w14:textId="77777777" w:rsidTr="0051288D">
        <w:trPr>
          <w:tblHeader/>
        </w:trPr>
        <w:tc>
          <w:tcPr>
            <w:tcW w:w="5000" w:type="pct"/>
            <w:gridSpan w:val="3"/>
            <w:tcBorders>
              <w:top w:val="single" w:sz="12" w:space="0" w:color="auto"/>
              <w:bottom w:val="single" w:sz="2" w:space="0" w:color="auto"/>
            </w:tcBorders>
          </w:tcPr>
          <w:p w14:paraId="1DFA17D2" w14:textId="77777777" w:rsidR="00BB7660" w:rsidRDefault="00BB7660" w:rsidP="0051288D">
            <w:pPr>
              <w:pStyle w:val="TableHeading"/>
              <w:jc w:val="center"/>
            </w:pPr>
            <w:r>
              <w:t xml:space="preserve">Meaning of </w:t>
            </w:r>
            <w:r>
              <w:rPr>
                <w:i/>
              </w:rPr>
              <w:t>customer data</w:t>
            </w:r>
            <w:r>
              <w:t xml:space="preserve">, </w:t>
            </w:r>
            <w:r>
              <w:rPr>
                <w:i/>
              </w:rPr>
              <w:t>account data</w:t>
            </w:r>
            <w:r>
              <w:t xml:space="preserve">, </w:t>
            </w:r>
            <w:r>
              <w:rPr>
                <w:i/>
              </w:rPr>
              <w:t xml:space="preserve">transaction data </w:t>
            </w:r>
            <w:r>
              <w:t xml:space="preserve">and </w:t>
            </w:r>
            <w:r>
              <w:rPr>
                <w:i/>
              </w:rPr>
              <w:t>product specific</w:t>
            </w:r>
            <w:r>
              <w:rPr>
                <w:b w:val="0"/>
                <w:i/>
              </w:rPr>
              <w:t xml:space="preserve"> </w:t>
            </w:r>
            <w:r>
              <w:rPr>
                <w:i/>
              </w:rPr>
              <w:t>data</w:t>
            </w:r>
          </w:p>
        </w:tc>
      </w:tr>
      <w:tr w:rsidR="00BB7660" w14:paraId="7B51C3EC" w14:textId="77777777" w:rsidTr="0051288D">
        <w:trPr>
          <w:tblHeader/>
        </w:trPr>
        <w:tc>
          <w:tcPr>
            <w:tcW w:w="256" w:type="pct"/>
            <w:tcBorders>
              <w:top w:val="single" w:sz="2" w:space="0" w:color="auto"/>
              <w:bottom w:val="single" w:sz="12" w:space="0" w:color="auto"/>
              <w:right w:val="nil"/>
            </w:tcBorders>
          </w:tcPr>
          <w:p w14:paraId="60280544" w14:textId="77777777" w:rsidR="00BB7660" w:rsidRDefault="00BB7660" w:rsidP="0051288D">
            <w:pPr>
              <w:pStyle w:val="TableHeading"/>
            </w:pPr>
          </w:p>
        </w:tc>
        <w:tc>
          <w:tcPr>
            <w:tcW w:w="1187" w:type="pct"/>
            <w:tcBorders>
              <w:top w:val="single" w:sz="2" w:space="0" w:color="auto"/>
              <w:left w:val="nil"/>
              <w:bottom w:val="single" w:sz="12" w:space="0" w:color="auto"/>
              <w:right w:val="nil"/>
            </w:tcBorders>
          </w:tcPr>
          <w:p w14:paraId="7A5EF71D" w14:textId="77777777" w:rsidR="00BB7660" w:rsidRDefault="00BB7660" w:rsidP="0051288D">
            <w:pPr>
              <w:pStyle w:val="TableHeading"/>
            </w:pPr>
            <w:r>
              <w:t>Column 1</w:t>
            </w:r>
          </w:p>
        </w:tc>
        <w:tc>
          <w:tcPr>
            <w:tcW w:w="3557" w:type="pct"/>
            <w:tcBorders>
              <w:top w:val="single" w:sz="2" w:space="0" w:color="auto"/>
              <w:left w:val="nil"/>
              <w:bottom w:val="single" w:sz="12" w:space="0" w:color="auto"/>
              <w:right w:val="nil"/>
            </w:tcBorders>
          </w:tcPr>
          <w:p w14:paraId="283B0594" w14:textId="77777777" w:rsidR="00BB7660" w:rsidRDefault="00BB7660" w:rsidP="0051288D">
            <w:pPr>
              <w:pStyle w:val="TableHeading"/>
            </w:pPr>
            <w:r>
              <w:t>Column 2</w:t>
            </w:r>
          </w:p>
        </w:tc>
      </w:tr>
      <w:tr w:rsidR="00BB7660" w14:paraId="0C81E1C5" w14:textId="77777777" w:rsidTr="0051288D">
        <w:tc>
          <w:tcPr>
            <w:tcW w:w="256" w:type="pct"/>
            <w:tcBorders>
              <w:top w:val="single" w:sz="12" w:space="0" w:color="auto"/>
              <w:bottom w:val="single" w:sz="2" w:space="0" w:color="auto"/>
              <w:right w:val="nil"/>
            </w:tcBorders>
          </w:tcPr>
          <w:p w14:paraId="0AD627AE" w14:textId="77777777" w:rsidR="00BB7660" w:rsidRDefault="00BB7660" w:rsidP="0051288D">
            <w:pPr>
              <w:pStyle w:val="Tabletext"/>
            </w:pPr>
            <w:r>
              <w:t>1</w:t>
            </w:r>
          </w:p>
        </w:tc>
        <w:tc>
          <w:tcPr>
            <w:tcW w:w="1187" w:type="pct"/>
            <w:tcBorders>
              <w:top w:val="single" w:sz="12" w:space="0" w:color="auto"/>
              <w:left w:val="nil"/>
              <w:bottom w:val="single" w:sz="2" w:space="0" w:color="auto"/>
              <w:right w:val="nil"/>
            </w:tcBorders>
          </w:tcPr>
          <w:p w14:paraId="54BCE3E6" w14:textId="77777777" w:rsidR="00BB7660" w:rsidRPr="000C3240" w:rsidRDefault="00BB7660" w:rsidP="0051288D">
            <w:pPr>
              <w:pStyle w:val="Tabletext"/>
              <w:rPr>
                <w:color w:val="000000" w:themeColor="text1"/>
              </w:rPr>
            </w:pPr>
            <w:r w:rsidRPr="00645EDE">
              <w:rPr>
                <w:b/>
                <w:i/>
              </w:rPr>
              <w:t>customer data</w:t>
            </w:r>
            <w:r w:rsidRPr="00645EDE">
              <w:t>, in relation to a particular person</w:t>
            </w:r>
          </w:p>
        </w:tc>
        <w:tc>
          <w:tcPr>
            <w:tcW w:w="3557" w:type="pct"/>
            <w:tcBorders>
              <w:top w:val="single" w:sz="12" w:space="0" w:color="auto"/>
              <w:left w:val="nil"/>
              <w:bottom w:val="single" w:sz="2" w:space="0" w:color="auto"/>
              <w:right w:val="nil"/>
            </w:tcBorders>
          </w:tcPr>
          <w:p w14:paraId="6D7FD667" w14:textId="77777777" w:rsidR="00BB7660" w:rsidRDefault="00BB7660" w:rsidP="0051288D">
            <w:pPr>
              <w:pStyle w:val="Tablea"/>
            </w:pPr>
            <w:r w:rsidRPr="00E1300D">
              <w:rPr>
                <w:color w:val="000000" w:themeColor="text1"/>
              </w:rPr>
              <w:t>(a)</w:t>
            </w:r>
            <w:r w:rsidRPr="00E1300D">
              <w:rPr>
                <w:color w:val="000000" w:themeColor="text1"/>
              </w:rPr>
              <w:tab/>
            </w:r>
            <w:r w:rsidRPr="006A44C9">
              <w:t>means</w:t>
            </w:r>
            <w:r>
              <w:t xml:space="preserve"> </w:t>
            </w:r>
            <w:r w:rsidRPr="00E1300D">
              <w:rPr>
                <w:color w:val="000000" w:themeColor="text1"/>
              </w:rPr>
              <w:t>information that identifies or is about the person; and</w:t>
            </w:r>
          </w:p>
          <w:p w14:paraId="5C51242E" w14:textId="77777777" w:rsidR="00BB7660" w:rsidRPr="00E1300D" w:rsidRDefault="00BB7660" w:rsidP="0051288D">
            <w:pPr>
              <w:pStyle w:val="Tablea"/>
              <w:rPr>
                <w:color w:val="000000" w:themeColor="text1"/>
              </w:rPr>
            </w:pPr>
            <w:r>
              <w:tab/>
              <w:t>(b)</w:t>
            </w:r>
            <w:r w:rsidRPr="00645EDE">
              <w:tab/>
            </w:r>
            <w:r w:rsidRPr="00E1300D">
              <w:rPr>
                <w:color w:val="000000" w:themeColor="text1"/>
              </w:rPr>
              <w:t>includes:</w:t>
            </w:r>
          </w:p>
          <w:p w14:paraId="2FE5CECE" w14:textId="77777777" w:rsidR="00BB7660" w:rsidRPr="00645EDE" w:rsidRDefault="00BB7660" w:rsidP="0051288D">
            <w:pPr>
              <w:pStyle w:val="Tablei"/>
            </w:pPr>
            <w:r w:rsidRPr="00E1300D">
              <w:rPr>
                <w:color w:val="000000" w:themeColor="text1"/>
              </w:rPr>
              <w:tab/>
              <w:t>(i)</w:t>
            </w:r>
            <w:r w:rsidRPr="00E1300D">
              <w:rPr>
                <w:color w:val="000000" w:themeColor="text1"/>
              </w:rPr>
              <w:tab/>
            </w:r>
            <w:r w:rsidRPr="00645EDE">
              <w:t>the person’s name; and</w:t>
            </w:r>
          </w:p>
          <w:p w14:paraId="1E3B835D" w14:textId="77777777" w:rsidR="00BB7660" w:rsidRDefault="00BB7660" w:rsidP="0051288D">
            <w:pPr>
              <w:pStyle w:val="Tablei"/>
            </w:pPr>
            <w:r w:rsidRPr="00645EDE">
              <w:tab/>
              <w:t>(</w:t>
            </w:r>
            <w:r>
              <w:t>ii</w:t>
            </w:r>
            <w:r w:rsidRPr="00645EDE">
              <w:t>)</w:t>
            </w:r>
            <w:r w:rsidRPr="00645EDE">
              <w:tab/>
              <w:t>the person’s contact details, including</w:t>
            </w:r>
            <w:r>
              <w:t xml:space="preserve"> their:</w:t>
            </w:r>
          </w:p>
          <w:p w14:paraId="6C2B480C" w14:textId="77777777" w:rsidR="00BB7660" w:rsidRDefault="00BB7660" w:rsidP="0051288D">
            <w:pPr>
              <w:pStyle w:val="TableAA"/>
            </w:pPr>
            <w:r>
              <w:tab/>
              <w:t>(A)</w:t>
            </w:r>
            <w:r>
              <w:tab/>
            </w:r>
            <w:r w:rsidRPr="00645EDE">
              <w:t>telephone number</w:t>
            </w:r>
            <w:r>
              <w:t>; and</w:t>
            </w:r>
          </w:p>
          <w:p w14:paraId="5377D637" w14:textId="77777777" w:rsidR="00BB7660" w:rsidRDefault="00BB7660" w:rsidP="0051288D">
            <w:pPr>
              <w:pStyle w:val="TableAA"/>
            </w:pPr>
            <w:r>
              <w:tab/>
              <w:t>(B)</w:t>
            </w:r>
            <w:r>
              <w:tab/>
            </w:r>
            <w:r w:rsidRPr="00645EDE">
              <w:t>email address</w:t>
            </w:r>
            <w:r>
              <w:t>; and</w:t>
            </w:r>
          </w:p>
          <w:p w14:paraId="3761DE83" w14:textId="77777777" w:rsidR="00BB7660" w:rsidRPr="00645EDE" w:rsidRDefault="00BB7660" w:rsidP="0051288D">
            <w:pPr>
              <w:pStyle w:val="TableAA"/>
            </w:pPr>
            <w:r>
              <w:tab/>
              <w:t>(C)</w:t>
            </w:r>
            <w:r>
              <w:tab/>
            </w:r>
            <w:r w:rsidRPr="00645EDE">
              <w:t>physical address; and</w:t>
            </w:r>
          </w:p>
          <w:p w14:paraId="40A21BF6" w14:textId="77777777" w:rsidR="00BB7660" w:rsidRPr="00645EDE" w:rsidRDefault="00BB7660" w:rsidP="0051288D">
            <w:pPr>
              <w:pStyle w:val="Tablei"/>
            </w:pPr>
            <w:r w:rsidRPr="00645EDE">
              <w:tab/>
              <w:t>(</w:t>
            </w:r>
            <w:r>
              <w:t>iii</w:t>
            </w:r>
            <w:r w:rsidRPr="00645EDE">
              <w:t>)</w:t>
            </w:r>
            <w:r w:rsidRPr="00645EDE">
              <w:tab/>
              <w:t>any information that:</w:t>
            </w:r>
          </w:p>
          <w:p w14:paraId="26177413" w14:textId="77777777" w:rsidR="00BB7660" w:rsidRPr="00645EDE" w:rsidRDefault="00BB7660" w:rsidP="0051288D">
            <w:pPr>
              <w:pStyle w:val="TableAA"/>
            </w:pPr>
            <w:r w:rsidRPr="00645EDE">
              <w:tab/>
              <w:t>(</w:t>
            </w:r>
            <w:r>
              <w:t>A</w:t>
            </w:r>
            <w:r w:rsidRPr="00645EDE">
              <w:t>)</w:t>
            </w:r>
            <w:r w:rsidRPr="00645EDE">
              <w:tab/>
              <w:t xml:space="preserve">the person provided at the time of acquiring a particular </w:t>
            </w:r>
            <w:r>
              <w:t>product</w:t>
            </w:r>
            <w:r w:rsidRPr="00645EDE">
              <w:t>; and</w:t>
            </w:r>
          </w:p>
          <w:p w14:paraId="6CCCD038" w14:textId="77777777" w:rsidR="00BB7660" w:rsidRPr="00645EDE" w:rsidRDefault="00BB7660" w:rsidP="0051288D">
            <w:pPr>
              <w:pStyle w:val="TableAA"/>
            </w:pPr>
            <w:r w:rsidRPr="00645EDE">
              <w:tab/>
              <w:t>(</w:t>
            </w:r>
            <w:r>
              <w:t>B</w:t>
            </w:r>
            <w:r w:rsidRPr="00645EDE">
              <w:t>)</w:t>
            </w:r>
            <w:r w:rsidRPr="00645EDE">
              <w:tab/>
              <w:t xml:space="preserve">relates to their eligibility to acquire that </w:t>
            </w:r>
            <w:r>
              <w:t>product</w:t>
            </w:r>
            <w:r w:rsidRPr="00645EDE">
              <w:t>; and</w:t>
            </w:r>
          </w:p>
          <w:p w14:paraId="085CF3F3" w14:textId="77777777" w:rsidR="00BB7660" w:rsidRPr="00645EDE" w:rsidRDefault="00BB7660" w:rsidP="0051288D">
            <w:pPr>
              <w:pStyle w:val="Tablei"/>
            </w:pPr>
            <w:r w:rsidRPr="00645EDE">
              <w:tab/>
              <w:t>(</w:t>
            </w:r>
            <w:r>
              <w:t>iv</w:t>
            </w:r>
            <w:r w:rsidRPr="00645EDE">
              <w:t>)</w:t>
            </w:r>
            <w:r w:rsidRPr="00645EDE">
              <w:tab/>
              <w:t>if the person operates a business—the following:</w:t>
            </w:r>
          </w:p>
          <w:p w14:paraId="710771A3" w14:textId="77777777" w:rsidR="00BB7660" w:rsidRPr="00645EDE" w:rsidRDefault="00BB7660" w:rsidP="0051288D">
            <w:pPr>
              <w:pStyle w:val="TableAA"/>
            </w:pPr>
            <w:r w:rsidRPr="00645EDE">
              <w:tab/>
              <w:t>(</w:t>
            </w:r>
            <w:r>
              <w:t>A</w:t>
            </w:r>
            <w:r w:rsidRPr="00645EDE">
              <w:t>)</w:t>
            </w:r>
            <w:r w:rsidRPr="00645EDE">
              <w:tab/>
              <w:t>the person’s business name;</w:t>
            </w:r>
            <w:r w:rsidRPr="009A0E68">
              <w:t xml:space="preserve"> </w:t>
            </w:r>
          </w:p>
          <w:p w14:paraId="459F7B8B" w14:textId="77777777" w:rsidR="00BB7660" w:rsidRPr="00645EDE" w:rsidRDefault="00BB7660" w:rsidP="0051288D">
            <w:pPr>
              <w:pStyle w:val="TableAA"/>
            </w:pPr>
            <w:r w:rsidRPr="00645EDE">
              <w:tab/>
              <w:t>(</w:t>
            </w:r>
            <w:r>
              <w:t>B</w:t>
            </w:r>
            <w:r w:rsidRPr="00645EDE">
              <w:t>)</w:t>
            </w:r>
            <w:r w:rsidRPr="00645EDE">
              <w:tab/>
              <w:t xml:space="preserve">the person’s ABN (within the meaning of the </w:t>
            </w:r>
            <w:r w:rsidRPr="00645EDE">
              <w:rPr>
                <w:i/>
              </w:rPr>
              <w:t>A New Tax System (Australian Business Number) Act 1999</w:t>
            </w:r>
            <w:r w:rsidRPr="00645EDE">
              <w:t>);</w:t>
            </w:r>
          </w:p>
          <w:p w14:paraId="12534AC2" w14:textId="77777777" w:rsidR="00BB7660" w:rsidRPr="00645EDE" w:rsidRDefault="00BB7660" w:rsidP="0051288D">
            <w:pPr>
              <w:pStyle w:val="TableAA"/>
            </w:pPr>
            <w:r w:rsidRPr="00645EDE">
              <w:tab/>
              <w:t>(</w:t>
            </w:r>
            <w:r>
              <w:t>C</w:t>
            </w:r>
            <w:r w:rsidRPr="00645EDE">
              <w:t>)</w:t>
            </w:r>
            <w:r w:rsidRPr="00645EDE">
              <w:tab/>
              <w:t xml:space="preserve">the person’s ACN (within the meaning of the </w:t>
            </w:r>
            <w:r w:rsidRPr="00645EDE">
              <w:rPr>
                <w:i/>
              </w:rPr>
              <w:t>Corporations Act 2001</w:t>
            </w:r>
            <w:r w:rsidRPr="00645EDE">
              <w:t>);</w:t>
            </w:r>
          </w:p>
          <w:p w14:paraId="20679DFD" w14:textId="77777777" w:rsidR="00BB7660" w:rsidRPr="00645EDE" w:rsidRDefault="00BB7660" w:rsidP="0051288D">
            <w:pPr>
              <w:pStyle w:val="TableAA"/>
            </w:pPr>
            <w:r w:rsidRPr="00645EDE">
              <w:tab/>
              <w:t>(</w:t>
            </w:r>
            <w:r>
              <w:t>D)</w:t>
            </w:r>
            <w:r>
              <w:tab/>
              <w:t xml:space="preserve">the </w:t>
            </w:r>
            <w:r w:rsidRPr="00645EDE">
              <w:t>type of business;</w:t>
            </w:r>
          </w:p>
          <w:p w14:paraId="4224BE83" w14:textId="77777777" w:rsidR="00BB7660" w:rsidRPr="00645EDE" w:rsidRDefault="00BB7660" w:rsidP="0051288D">
            <w:pPr>
              <w:pStyle w:val="TableAA"/>
            </w:pPr>
            <w:r w:rsidRPr="00645EDE">
              <w:tab/>
              <w:t>(</w:t>
            </w:r>
            <w:r>
              <w:t>E</w:t>
            </w:r>
            <w:r w:rsidRPr="00645EDE">
              <w:t>)</w:t>
            </w:r>
            <w:r w:rsidRPr="00645EDE">
              <w:tab/>
              <w:t>the date the business was</w:t>
            </w:r>
            <w:r>
              <w:t xml:space="preserve"> </w:t>
            </w:r>
            <w:r w:rsidRPr="00645EDE">
              <w:t>established;</w:t>
            </w:r>
          </w:p>
          <w:p w14:paraId="16AD8BFF" w14:textId="77777777" w:rsidR="00BB7660" w:rsidRPr="00645EDE" w:rsidRDefault="00BB7660" w:rsidP="0051288D">
            <w:pPr>
              <w:pStyle w:val="TableAA"/>
            </w:pPr>
            <w:r w:rsidRPr="00645EDE">
              <w:tab/>
              <w:t>(</w:t>
            </w:r>
            <w:r>
              <w:t>F</w:t>
            </w:r>
            <w:r w:rsidRPr="00645EDE">
              <w:t>)</w:t>
            </w:r>
            <w:r w:rsidRPr="00645EDE">
              <w:tab/>
              <w:t xml:space="preserve">the </w:t>
            </w:r>
            <w:r>
              <w:t>registration date</w:t>
            </w:r>
            <w:r w:rsidRPr="00645EDE">
              <w:t>;</w:t>
            </w:r>
          </w:p>
          <w:p w14:paraId="1AE07867" w14:textId="77777777" w:rsidR="00BB7660" w:rsidRPr="00645EDE" w:rsidRDefault="00BB7660" w:rsidP="0051288D">
            <w:pPr>
              <w:pStyle w:val="TableAA"/>
            </w:pPr>
            <w:r w:rsidRPr="00645EDE">
              <w:tab/>
              <w:t>(</w:t>
            </w:r>
            <w:r>
              <w:t>G</w:t>
            </w:r>
            <w:r w:rsidRPr="00645EDE">
              <w:t>)</w:t>
            </w:r>
            <w:r w:rsidRPr="00645EDE">
              <w:tab/>
              <w:t xml:space="preserve">the organisation type; </w:t>
            </w:r>
          </w:p>
          <w:p w14:paraId="3077B4D3" w14:textId="77777777" w:rsidR="00BB7660" w:rsidRPr="00645EDE" w:rsidRDefault="00BB7660" w:rsidP="0051288D">
            <w:pPr>
              <w:pStyle w:val="TableAA"/>
            </w:pPr>
            <w:r w:rsidRPr="00645EDE">
              <w:tab/>
              <w:t>(</w:t>
            </w:r>
            <w:r>
              <w:t>H</w:t>
            </w:r>
            <w:r w:rsidRPr="00645EDE">
              <w:t>)</w:t>
            </w:r>
            <w:r w:rsidRPr="00645EDE">
              <w:tab/>
              <w:t>the country of registration;</w:t>
            </w:r>
          </w:p>
          <w:p w14:paraId="7B60DF56" w14:textId="77777777" w:rsidR="00BB7660" w:rsidRPr="007C39E2" w:rsidRDefault="00BB7660" w:rsidP="0051288D">
            <w:pPr>
              <w:pStyle w:val="TableAA"/>
            </w:pPr>
            <w:r w:rsidRPr="00645EDE">
              <w:lastRenderedPageBreak/>
              <w:tab/>
              <w:t>(</w:t>
            </w:r>
            <w:r>
              <w:t>I</w:t>
            </w:r>
            <w:r w:rsidRPr="00645EDE">
              <w:t>)</w:t>
            </w:r>
            <w:r w:rsidRPr="00645EDE">
              <w:tab/>
              <w:t>whether the business is a charitable or not</w:t>
            </w:r>
            <w:r w:rsidRPr="00645EDE">
              <w:noBreakHyphen/>
              <w:t>for</w:t>
            </w:r>
            <w:r w:rsidRPr="00645EDE">
              <w:noBreakHyphen/>
              <w:t>profit organisation</w:t>
            </w:r>
            <w:r w:rsidRPr="00E1300D">
              <w:rPr>
                <w:color w:val="000000" w:themeColor="text1"/>
              </w:rPr>
              <w:t>; and</w:t>
            </w:r>
          </w:p>
          <w:p w14:paraId="4E64DA88" w14:textId="77777777" w:rsidR="00BB7660" w:rsidRDefault="00BB7660" w:rsidP="0051288D">
            <w:pPr>
              <w:pStyle w:val="Tablea"/>
            </w:pPr>
            <w:r w:rsidRPr="00E1300D">
              <w:rPr>
                <w:color w:val="000000" w:themeColor="text1"/>
              </w:rPr>
              <w:t xml:space="preserve">(c) </w:t>
            </w:r>
            <w:r w:rsidRPr="00E1300D">
              <w:rPr>
                <w:color w:val="000000" w:themeColor="text1"/>
              </w:rPr>
              <w:tab/>
            </w:r>
            <w:r>
              <w:t xml:space="preserve">if </w:t>
            </w:r>
            <w:r w:rsidRPr="00645EDE">
              <w:t>the person is an individual</w:t>
            </w:r>
            <w:r w:rsidRPr="00E1300D">
              <w:rPr>
                <w:color w:val="000000" w:themeColor="text1"/>
              </w:rPr>
              <w:t>―</w:t>
            </w:r>
            <w:r w:rsidRPr="00645EDE">
              <w:t xml:space="preserve">does not include the person’s date </w:t>
            </w:r>
            <w:r>
              <w:t>of birth.</w:t>
            </w:r>
          </w:p>
          <w:p w14:paraId="0E2069A7" w14:textId="77777777" w:rsidR="00BB7660" w:rsidRDefault="00BB7660" w:rsidP="0051288D">
            <w:pPr>
              <w:pStyle w:val="Tablea"/>
            </w:pPr>
          </w:p>
        </w:tc>
      </w:tr>
      <w:tr w:rsidR="00BB7660" w14:paraId="31A7F505" w14:textId="77777777" w:rsidTr="0051288D">
        <w:tc>
          <w:tcPr>
            <w:tcW w:w="256" w:type="pct"/>
            <w:tcBorders>
              <w:top w:val="single" w:sz="2" w:space="0" w:color="auto"/>
              <w:bottom w:val="single" w:sz="4" w:space="0" w:color="auto"/>
              <w:right w:val="nil"/>
            </w:tcBorders>
          </w:tcPr>
          <w:p w14:paraId="6DBEFB96" w14:textId="77777777" w:rsidR="00BB7660" w:rsidRDefault="00BB7660" w:rsidP="0051288D">
            <w:pPr>
              <w:pStyle w:val="Tabletext"/>
            </w:pPr>
            <w:r>
              <w:lastRenderedPageBreak/>
              <w:t>2</w:t>
            </w:r>
          </w:p>
        </w:tc>
        <w:tc>
          <w:tcPr>
            <w:tcW w:w="1187" w:type="pct"/>
            <w:tcBorders>
              <w:top w:val="single" w:sz="2" w:space="0" w:color="auto"/>
              <w:left w:val="nil"/>
              <w:bottom w:val="single" w:sz="4" w:space="0" w:color="auto"/>
              <w:right w:val="nil"/>
            </w:tcBorders>
          </w:tcPr>
          <w:p w14:paraId="52C68C19" w14:textId="77777777" w:rsidR="00BB7660" w:rsidRPr="002E2401" w:rsidRDefault="00BB7660" w:rsidP="0051288D">
            <w:pPr>
              <w:pStyle w:val="Tabletext"/>
            </w:pPr>
            <w:r w:rsidRPr="002E2401">
              <w:rPr>
                <w:b/>
                <w:i/>
              </w:rPr>
              <w:t>account data</w:t>
            </w:r>
            <w:r w:rsidRPr="002E2401">
              <w:t>, in relation to a particular account</w:t>
            </w:r>
          </w:p>
        </w:tc>
        <w:tc>
          <w:tcPr>
            <w:tcW w:w="3557" w:type="pct"/>
            <w:tcBorders>
              <w:top w:val="single" w:sz="2" w:space="0" w:color="auto"/>
              <w:left w:val="nil"/>
              <w:bottom w:val="single" w:sz="4" w:space="0" w:color="auto"/>
              <w:right w:val="nil"/>
            </w:tcBorders>
          </w:tcPr>
          <w:p w14:paraId="25F9766C" w14:textId="77777777" w:rsidR="00BB7660" w:rsidRDefault="00BB7660" w:rsidP="0051288D">
            <w:pPr>
              <w:pStyle w:val="Tablea"/>
            </w:pPr>
            <w:r w:rsidRPr="00E1300D">
              <w:rPr>
                <w:color w:val="000000" w:themeColor="text1"/>
              </w:rPr>
              <w:t>(a)</w:t>
            </w:r>
            <w:r w:rsidRPr="00E1300D">
              <w:rPr>
                <w:color w:val="000000" w:themeColor="text1"/>
              </w:rPr>
              <w:tab/>
            </w:r>
            <w:r w:rsidRPr="002E2401">
              <w:t>means</w:t>
            </w:r>
            <w:r>
              <w:t xml:space="preserve"> </w:t>
            </w:r>
            <w:r w:rsidRPr="00E1300D">
              <w:rPr>
                <w:color w:val="000000" w:themeColor="text1"/>
              </w:rPr>
              <w:t>information that identifies or is about the operation of the account; and</w:t>
            </w:r>
          </w:p>
          <w:p w14:paraId="6E40D0D1" w14:textId="77777777" w:rsidR="00BB7660" w:rsidRPr="00E1300D" w:rsidRDefault="00BB7660" w:rsidP="0051288D">
            <w:pPr>
              <w:pStyle w:val="Tablea"/>
              <w:rPr>
                <w:color w:val="000000" w:themeColor="text1"/>
              </w:rPr>
            </w:pPr>
            <w:r w:rsidRPr="00E1300D">
              <w:rPr>
                <w:color w:val="000000" w:themeColor="text1"/>
              </w:rPr>
              <w:t>(b)</w:t>
            </w:r>
            <w:r w:rsidRPr="00E1300D">
              <w:rPr>
                <w:color w:val="000000" w:themeColor="text1"/>
              </w:rPr>
              <w:tab/>
              <w:t>includes:</w:t>
            </w:r>
          </w:p>
          <w:p w14:paraId="4797DBFC" w14:textId="77777777" w:rsidR="00BB7660" w:rsidRDefault="00BB7660" w:rsidP="0051288D">
            <w:pPr>
              <w:pStyle w:val="Tablei"/>
            </w:pPr>
            <w:r w:rsidRPr="002E2401">
              <w:tab/>
              <w:t>(</w:t>
            </w:r>
            <w:r>
              <w:t>i</w:t>
            </w:r>
            <w:r w:rsidRPr="002E2401">
              <w:t>)</w:t>
            </w:r>
            <w:r w:rsidRPr="002E2401">
              <w:tab/>
            </w:r>
            <w:r>
              <w:t xml:space="preserve">the </w:t>
            </w:r>
            <w:r w:rsidRPr="002E2401">
              <w:t>account number</w:t>
            </w:r>
            <w:r w:rsidRPr="009E5F63">
              <w:t>, other than to the extent that an account number is masked (whether as required by law or in accordance with any applicable standard or industry practice)</w:t>
            </w:r>
            <w:r>
              <w:t>; and</w:t>
            </w:r>
          </w:p>
          <w:p w14:paraId="27DF2857" w14:textId="77777777" w:rsidR="00BB7660" w:rsidRPr="002E2401" w:rsidRDefault="00BB7660" w:rsidP="0051288D">
            <w:pPr>
              <w:pStyle w:val="Tablei"/>
            </w:pPr>
            <w:r>
              <w:tab/>
              <w:t>(ii)</w:t>
            </w:r>
            <w:r>
              <w:tab/>
              <w:t xml:space="preserve">the </w:t>
            </w:r>
            <w:r w:rsidRPr="002E2401">
              <w:t>account name; and</w:t>
            </w:r>
          </w:p>
          <w:p w14:paraId="371B6A9F" w14:textId="77777777" w:rsidR="00BB7660" w:rsidRPr="002E2401" w:rsidRDefault="00BB7660" w:rsidP="0051288D">
            <w:pPr>
              <w:pStyle w:val="Tablei"/>
            </w:pPr>
            <w:r w:rsidRPr="002E2401">
              <w:tab/>
              <w:t>(</w:t>
            </w:r>
            <w:r>
              <w:t>iii</w:t>
            </w:r>
            <w:r w:rsidRPr="002E2401">
              <w:t>)</w:t>
            </w:r>
            <w:r w:rsidRPr="002E2401">
              <w:tab/>
            </w:r>
            <w:r>
              <w:t>account balances</w:t>
            </w:r>
            <w:r w:rsidRPr="002E2401">
              <w:t>; and</w:t>
            </w:r>
          </w:p>
          <w:p w14:paraId="31D62782" w14:textId="77777777" w:rsidR="00BB7660" w:rsidRPr="002E2401" w:rsidRDefault="00BB7660" w:rsidP="0051288D">
            <w:pPr>
              <w:pStyle w:val="Tablei"/>
            </w:pPr>
            <w:r w:rsidRPr="002E2401">
              <w:tab/>
              <w:t>(</w:t>
            </w:r>
            <w:r>
              <w:t>iv</w:t>
            </w:r>
            <w:r w:rsidRPr="002E2401">
              <w:t>)</w:t>
            </w:r>
            <w:r w:rsidRPr="002E2401">
              <w:tab/>
              <w:t>any authorisations on the account, including:</w:t>
            </w:r>
          </w:p>
          <w:p w14:paraId="7FB68695" w14:textId="77777777" w:rsidR="00BB7660" w:rsidRPr="002E2401" w:rsidRDefault="00BB7660" w:rsidP="0051288D">
            <w:pPr>
              <w:pStyle w:val="TableAA"/>
            </w:pPr>
            <w:r w:rsidRPr="002E2401">
              <w:tab/>
              <w:t>(</w:t>
            </w:r>
            <w:r>
              <w:t>A</w:t>
            </w:r>
            <w:r w:rsidRPr="002E2401">
              <w:t>)</w:t>
            </w:r>
            <w:r w:rsidRPr="002E2401">
              <w:tab/>
              <w:t>direct debit deductions, including, to the extent available:</w:t>
            </w:r>
          </w:p>
          <w:p w14:paraId="1855F299" w14:textId="77777777" w:rsidR="00BB7660" w:rsidRPr="002E2401" w:rsidRDefault="00BB7660" w:rsidP="0051288D">
            <w:pPr>
              <w:pStyle w:val="TableAAA"/>
            </w:pPr>
            <w:r w:rsidRPr="002E2401">
              <w:t>(</w:t>
            </w:r>
            <w:r>
              <w:t>I</w:t>
            </w:r>
            <w:r w:rsidRPr="002E2401">
              <w:t>)</w:t>
            </w:r>
            <w:r w:rsidRPr="002E2401">
              <w:tab/>
              <w:t>identifying information for the merchant or party that has debited the account; and</w:t>
            </w:r>
          </w:p>
          <w:p w14:paraId="3448A3C9" w14:textId="77777777" w:rsidR="00BB7660" w:rsidRPr="002E2401" w:rsidRDefault="00BB7660" w:rsidP="0051288D">
            <w:pPr>
              <w:pStyle w:val="TableAAA"/>
            </w:pPr>
            <w:r w:rsidRPr="002E2401">
              <w:t>(</w:t>
            </w:r>
            <w:r>
              <w:t>II</w:t>
            </w:r>
            <w:r w:rsidRPr="002E2401">
              <w:t>)</w:t>
            </w:r>
            <w:r w:rsidRPr="002E2401">
              <w:tab/>
              <w:t xml:space="preserve">the amount the merchant or party has debited on </w:t>
            </w:r>
            <w:r>
              <w:t>the last</w:t>
            </w:r>
            <w:r w:rsidRPr="002E2401">
              <w:t xml:space="preserve"> occasion; and</w:t>
            </w:r>
          </w:p>
          <w:p w14:paraId="61C02571" w14:textId="77777777" w:rsidR="00BB7660" w:rsidRPr="002E2401" w:rsidRDefault="00BB7660" w:rsidP="0051288D">
            <w:pPr>
              <w:pStyle w:val="TableAAA"/>
            </w:pPr>
            <w:r w:rsidRPr="002E2401">
              <w:t>(</w:t>
            </w:r>
            <w:r>
              <w:t>III</w:t>
            </w:r>
            <w:r w:rsidRPr="002E2401">
              <w:t>)the date the merchant or party has debited the account; and</w:t>
            </w:r>
          </w:p>
          <w:p w14:paraId="23694E92" w14:textId="77777777" w:rsidR="00BB7660" w:rsidRPr="002E2401" w:rsidRDefault="00BB7660" w:rsidP="0051288D">
            <w:pPr>
              <w:pStyle w:val="TableAA"/>
            </w:pPr>
            <w:r w:rsidRPr="002E2401">
              <w:tab/>
              <w:t>(</w:t>
            </w:r>
            <w:r>
              <w:t>B</w:t>
            </w:r>
            <w:r w:rsidRPr="002E2401">
              <w:t>)</w:t>
            </w:r>
            <w:r w:rsidRPr="002E2401">
              <w:tab/>
              <w:t>scheduled payments (for example, regular payments, payments to billers and international payments); and</w:t>
            </w:r>
          </w:p>
          <w:p w14:paraId="19F80DCF" w14:textId="77777777" w:rsidR="00BB7660" w:rsidRPr="007C39E2" w:rsidRDefault="00BB7660" w:rsidP="0051288D">
            <w:pPr>
              <w:pStyle w:val="TableAA"/>
            </w:pPr>
            <w:r w:rsidRPr="002E2401">
              <w:tab/>
              <w:t>(</w:t>
            </w:r>
            <w:r>
              <w:t>C</w:t>
            </w:r>
            <w:r w:rsidRPr="002E2401">
              <w:t>)</w:t>
            </w:r>
            <w:r w:rsidRPr="002E2401">
              <w:tab/>
              <w:t>details of payees stored with the account, such as those entered by the customer in a payee address book</w:t>
            </w:r>
            <w:r>
              <w:t>.</w:t>
            </w:r>
          </w:p>
          <w:p w14:paraId="5C367EB6" w14:textId="77777777" w:rsidR="00BB7660" w:rsidRPr="002E2401" w:rsidRDefault="00BB7660" w:rsidP="0051288D">
            <w:pPr>
              <w:pStyle w:val="Tablea"/>
            </w:pPr>
          </w:p>
        </w:tc>
      </w:tr>
      <w:tr w:rsidR="00BB7660" w14:paraId="0F74513B" w14:textId="77777777" w:rsidTr="0051288D">
        <w:tc>
          <w:tcPr>
            <w:tcW w:w="256" w:type="pct"/>
            <w:tcBorders>
              <w:top w:val="single" w:sz="4" w:space="0" w:color="auto"/>
              <w:bottom w:val="single" w:sz="4" w:space="0" w:color="auto"/>
              <w:right w:val="nil"/>
            </w:tcBorders>
          </w:tcPr>
          <w:p w14:paraId="136F7FAF" w14:textId="77777777" w:rsidR="00BB7660" w:rsidRDefault="00BB7660" w:rsidP="0051288D">
            <w:pPr>
              <w:pStyle w:val="Tabletext"/>
            </w:pPr>
            <w:r>
              <w:t>3</w:t>
            </w:r>
          </w:p>
        </w:tc>
        <w:tc>
          <w:tcPr>
            <w:tcW w:w="1187" w:type="pct"/>
            <w:tcBorders>
              <w:top w:val="single" w:sz="4" w:space="0" w:color="auto"/>
              <w:left w:val="nil"/>
              <w:bottom w:val="single" w:sz="4" w:space="0" w:color="auto"/>
              <w:right w:val="nil"/>
            </w:tcBorders>
          </w:tcPr>
          <w:p w14:paraId="37821F43" w14:textId="77777777" w:rsidR="00BB7660" w:rsidRPr="000C3240" w:rsidRDefault="00BB7660" w:rsidP="0051288D">
            <w:pPr>
              <w:pStyle w:val="Tabletext"/>
              <w:rPr>
                <w:color w:val="000000" w:themeColor="text1"/>
              </w:rPr>
            </w:pPr>
            <w:r>
              <w:rPr>
                <w:b/>
                <w:i/>
              </w:rPr>
              <w:t>transaction data</w:t>
            </w:r>
            <w:r w:rsidRPr="000C3240">
              <w:rPr>
                <w:color w:val="000000" w:themeColor="text1"/>
              </w:rPr>
              <w:t>, in relation to a particular transaction</w:t>
            </w:r>
          </w:p>
        </w:tc>
        <w:tc>
          <w:tcPr>
            <w:tcW w:w="3557" w:type="pct"/>
            <w:tcBorders>
              <w:top w:val="single" w:sz="4" w:space="0" w:color="auto"/>
              <w:left w:val="nil"/>
              <w:bottom w:val="single" w:sz="4" w:space="0" w:color="auto"/>
              <w:right w:val="nil"/>
            </w:tcBorders>
          </w:tcPr>
          <w:p w14:paraId="15F61A25" w14:textId="77777777" w:rsidR="00BB7660" w:rsidRDefault="00BB7660" w:rsidP="0051288D">
            <w:pPr>
              <w:pStyle w:val="Tablea"/>
            </w:pPr>
            <w:r w:rsidRPr="00E1300D">
              <w:rPr>
                <w:color w:val="000000" w:themeColor="text1"/>
              </w:rPr>
              <w:t>(a)</w:t>
            </w:r>
            <w:r>
              <w:tab/>
              <w:t xml:space="preserve">means </w:t>
            </w:r>
            <w:r w:rsidRPr="00E1300D">
              <w:rPr>
                <w:color w:val="000000" w:themeColor="text1"/>
              </w:rPr>
              <w:t>information that identifies or describes the characteristics of the transaction; and</w:t>
            </w:r>
          </w:p>
          <w:p w14:paraId="1D55B7E3" w14:textId="77777777" w:rsidR="00BB7660" w:rsidRPr="00E1300D" w:rsidRDefault="00BB7660" w:rsidP="0051288D">
            <w:pPr>
              <w:pStyle w:val="Tablea"/>
              <w:rPr>
                <w:color w:val="000000" w:themeColor="text1"/>
              </w:rPr>
            </w:pPr>
            <w:r>
              <w:tab/>
              <w:t>(b)</w:t>
            </w:r>
            <w:r>
              <w:tab/>
            </w:r>
            <w:r w:rsidRPr="00E1300D">
              <w:rPr>
                <w:color w:val="000000" w:themeColor="text1"/>
              </w:rPr>
              <w:t>includes:</w:t>
            </w:r>
          </w:p>
          <w:p w14:paraId="7C7C4D03" w14:textId="77777777" w:rsidR="00BB7660" w:rsidRDefault="00BB7660" w:rsidP="0051288D">
            <w:pPr>
              <w:pStyle w:val="Tablei"/>
            </w:pPr>
            <w:r>
              <w:tab/>
              <w:t>(i)</w:t>
            </w:r>
            <w:r>
              <w:tab/>
              <w:t>the date on which the transaction occurred; and</w:t>
            </w:r>
          </w:p>
          <w:p w14:paraId="47A36C38" w14:textId="77777777" w:rsidR="00BB7660" w:rsidRDefault="00BB7660" w:rsidP="0051288D">
            <w:pPr>
              <w:pStyle w:val="Tablei"/>
            </w:pPr>
            <w:r>
              <w:tab/>
              <w:t>(ii)</w:t>
            </w:r>
            <w:r>
              <w:tab/>
              <w:t>any identifier for the counter-party to the transaction; and</w:t>
            </w:r>
          </w:p>
          <w:p w14:paraId="637B6B32" w14:textId="77777777" w:rsidR="00BB7660" w:rsidRDefault="00BB7660" w:rsidP="0051288D">
            <w:pPr>
              <w:pStyle w:val="Tablei"/>
            </w:pPr>
            <w:r>
              <w:tab/>
              <w:t>(iii)</w:t>
            </w:r>
            <w:r>
              <w:tab/>
              <w:t>if the counter-party is a merchant—any information that was provided by the merchant in relation to the transaction; and</w:t>
            </w:r>
          </w:p>
          <w:p w14:paraId="10CC489D" w14:textId="77777777" w:rsidR="00BB7660" w:rsidRDefault="00BB7660" w:rsidP="0051288D">
            <w:pPr>
              <w:pStyle w:val="Tablei"/>
            </w:pPr>
            <w:r>
              <w:tab/>
              <w:t>(iv)</w:t>
            </w:r>
            <w:r>
              <w:tab/>
              <w:t>the amount debited or credited pursuant to the transaction; and</w:t>
            </w:r>
          </w:p>
          <w:p w14:paraId="080A74A6" w14:textId="77777777" w:rsidR="00BB7660" w:rsidRDefault="00BB7660" w:rsidP="0051288D">
            <w:pPr>
              <w:pStyle w:val="Tablei"/>
            </w:pPr>
            <w:r>
              <w:tab/>
              <w:t>(v)</w:t>
            </w:r>
            <w:r>
              <w:tab/>
              <w:t>any description of the transaction; and</w:t>
            </w:r>
          </w:p>
          <w:p w14:paraId="1429ADF8" w14:textId="77777777" w:rsidR="00BB7660" w:rsidRPr="007C39E2" w:rsidRDefault="00BB7660" w:rsidP="0051288D">
            <w:pPr>
              <w:pStyle w:val="Tablei"/>
            </w:pPr>
            <w:r>
              <w:tab/>
              <w:t>(vi)</w:t>
            </w:r>
            <w:r>
              <w:tab/>
              <w:t>the “simple categorisation” of the transaction (for example, whether the transaction is a debit, a credit, a fee or interest).</w:t>
            </w:r>
          </w:p>
          <w:p w14:paraId="1E03B646" w14:textId="77777777" w:rsidR="00BB7660" w:rsidRDefault="00BB7660" w:rsidP="0051288D">
            <w:pPr>
              <w:pStyle w:val="Tablea"/>
            </w:pPr>
          </w:p>
        </w:tc>
      </w:tr>
      <w:tr w:rsidR="00BB7660" w14:paraId="6DACB44A" w14:textId="77777777" w:rsidTr="0051288D">
        <w:tc>
          <w:tcPr>
            <w:tcW w:w="256" w:type="pct"/>
            <w:tcBorders>
              <w:top w:val="single" w:sz="4" w:space="0" w:color="auto"/>
              <w:bottom w:val="single" w:sz="12" w:space="0" w:color="auto"/>
              <w:right w:val="nil"/>
            </w:tcBorders>
          </w:tcPr>
          <w:p w14:paraId="7C5D07F1" w14:textId="77777777" w:rsidR="00BB7660" w:rsidRDefault="00BB7660" w:rsidP="0051288D">
            <w:pPr>
              <w:pStyle w:val="Tabletext"/>
            </w:pPr>
            <w:r>
              <w:t>4</w:t>
            </w:r>
          </w:p>
        </w:tc>
        <w:tc>
          <w:tcPr>
            <w:tcW w:w="1187" w:type="pct"/>
            <w:tcBorders>
              <w:top w:val="single" w:sz="4" w:space="0" w:color="auto"/>
              <w:left w:val="nil"/>
              <w:bottom w:val="single" w:sz="12" w:space="0" w:color="auto"/>
              <w:right w:val="nil"/>
            </w:tcBorders>
          </w:tcPr>
          <w:p w14:paraId="18069BA5" w14:textId="77777777" w:rsidR="00BB7660" w:rsidRPr="000C3240" w:rsidRDefault="00BB7660" w:rsidP="0051288D">
            <w:pPr>
              <w:pStyle w:val="Tabletext"/>
              <w:rPr>
                <w:color w:val="000000" w:themeColor="text1"/>
              </w:rPr>
            </w:pPr>
            <w:r>
              <w:rPr>
                <w:b/>
                <w:i/>
              </w:rPr>
              <w:t>product specific data</w:t>
            </w:r>
            <w:r w:rsidRPr="000C3240">
              <w:rPr>
                <w:color w:val="000000" w:themeColor="text1"/>
              </w:rPr>
              <w:t xml:space="preserve">, in relation to a particular </w:t>
            </w:r>
            <w:r>
              <w:rPr>
                <w:color w:val="000000" w:themeColor="text1"/>
              </w:rPr>
              <w:t>product</w:t>
            </w:r>
          </w:p>
        </w:tc>
        <w:tc>
          <w:tcPr>
            <w:tcW w:w="3557" w:type="pct"/>
            <w:tcBorders>
              <w:top w:val="single" w:sz="4" w:space="0" w:color="auto"/>
              <w:left w:val="nil"/>
              <w:bottom w:val="single" w:sz="12" w:space="0" w:color="auto"/>
              <w:right w:val="nil"/>
            </w:tcBorders>
          </w:tcPr>
          <w:p w14:paraId="508DBC6B" w14:textId="77777777" w:rsidR="00BB7660" w:rsidRPr="00E1300D" w:rsidRDefault="00BB7660" w:rsidP="0051288D">
            <w:pPr>
              <w:pStyle w:val="Tablea"/>
              <w:rPr>
                <w:color w:val="000000" w:themeColor="text1"/>
              </w:rPr>
            </w:pPr>
            <w:r w:rsidRPr="00E1300D">
              <w:rPr>
                <w:color w:val="000000" w:themeColor="text1"/>
              </w:rPr>
              <w:t>(a)</w:t>
            </w:r>
            <w:r w:rsidRPr="00E1300D">
              <w:rPr>
                <w:color w:val="000000" w:themeColor="text1"/>
              </w:rPr>
              <w:tab/>
            </w:r>
            <w:r>
              <w:t xml:space="preserve">means </w:t>
            </w:r>
            <w:r w:rsidRPr="00E1300D">
              <w:rPr>
                <w:color w:val="000000" w:themeColor="text1"/>
              </w:rPr>
              <w:t>information that identifies or describes the characteristics of the product; and</w:t>
            </w:r>
          </w:p>
          <w:p w14:paraId="6882268A" w14:textId="77777777" w:rsidR="00BB7660" w:rsidRDefault="00BB7660" w:rsidP="0051288D">
            <w:pPr>
              <w:pStyle w:val="Tablea"/>
            </w:pPr>
            <w:r w:rsidRPr="00E1300D">
              <w:rPr>
                <w:color w:val="000000" w:themeColor="text1"/>
              </w:rPr>
              <w:lastRenderedPageBreak/>
              <w:t>(b)</w:t>
            </w:r>
            <w:r w:rsidRPr="00E1300D">
              <w:rPr>
                <w:color w:val="000000" w:themeColor="text1"/>
              </w:rPr>
              <w:tab/>
              <w:t xml:space="preserve">includes </w:t>
            </w:r>
            <w:r w:rsidRPr="000C3240">
              <w:rPr>
                <w:color w:val="000000" w:themeColor="text1"/>
              </w:rPr>
              <w:t>the following</w:t>
            </w:r>
            <w:r>
              <w:t xml:space="preserve"> data about</w:t>
            </w:r>
            <w:r w:rsidRPr="000C3240">
              <w:rPr>
                <w:color w:val="000000" w:themeColor="text1"/>
              </w:rPr>
              <w:t xml:space="preserve"> the </w:t>
            </w:r>
            <w:r>
              <w:t>product:</w:t>
            </w:r>
          </w:p>
          <w:p w14:paraId="640D7BE2" w14:textId="77777777" w:rsidR="00BB7660" w:rsidRDefault="00BB7660" w:rsidP="0051288D">
            <w:pPr>
              <w:pStyle w:val="Tablei"/>
            </w:pPr>
            <w:r>
              <w:tab/>
              <w:t>(i)</w:t>
            </w:r>
            <w:r>
              <w:tab/>
            </w:r>
            <w:r w:rsidRPr="000C3240">
              <w:rPr>
                <w:color w:val="000000" w:themeColor="text1"/>
              </w:rPr>
              <w:t xml:space="preserve">its </w:t>
            </w:r>
            <w:r>
              <w:t>type;</w:t>
            </w:r>
          </w:p>
          <w:p w14:paraId="745681B0" w14:textId="77777777" w:rsidR="00BB7660" w:rsidRDefault="00BB7660" w:rsidP="0051288D">
            <w:pPr>
              <w:pStyle w:val="Tablei"/>
            </w:pPr>
            <w:r>
              <w:tab/>
              <w:t>(ii)</w:t>
            </w:r>
            <w:r>
              <w:tab/>
            </w:r>
            <w:r w:rsidRPr="00B60065">
              <w:t xml:space="preserve">its </w:t>
            </w:r>
            <w:r>
              <w:t>name;</w:t>
            </w:r>
          </w:p>
          <w:p w14:paraId="35BA2F0E" w14:textId="77777777" w:rsidR="00BB7660" w:rsidRDefault="00BB7660" w:rsidP="0051288D">
            <w:pPr>
              <w:pStyle w:val="Tablei"/>
            </w:pPr>
            <w:r>
              <w:tab/>
              <w:t>(iii)</w:t>
            </w:r>
            <w:r>
              <w:tab/>
            </w:r>
            <w:r w:rsidRPr="00B60065">
              <w:t xml:space="preserve">its </w:t>
            </w:r>
            <w:r>
              <w:t>price, including fees, charges and interest rates (however described);</w:t>
            </w:r>
          </w:p>
          <w:p w14:paraId="42ABF823" w14:textId="77777777" w:rsidR="00BB7660" w:rsidRDefault="00BB7660" w:rsidP="0051288D">
            <w:pPr>
              <w:pStyle w:val="Tablei"/>
            </w:pPr>
            <w:r>
              <w:tab/>
              <w:t>(iv)</w:t>
            </w:r>
            <w:r>
              <w:tab/>
            </w:r>
            <w:r w:rsidRPr="00B60065">
              <w:t xml:space="preserve">associated </w:t>
            </w:r>
            <w:r>
              <w:t>features and benefits, including discounts and bundles;</w:t>
            </w:r>
          </w:p>
          <w:p w14:paraId="5A5B3E90" w14:textId="77777777" w:rsidR="00BB7660" w:rsidRDefault="00BB7660" w:rsidP="0051288D">
            <w:pPr>
              <w:pStyle w:val="Tablei"/>
            </w:pPr>
            <w:r>
              <w:tab/>
              <w:t>(v)</w:t>
            </w:r>
            <w:r>
              <w:tab/>
            </w:r>
            <w:r w:rsidRPr="00B60065">
              <w:t xml:space="preserve">associated </w:t>
            </w:r>
            <w:r>
              <w:t>terms and conditions;</w:t>
            </w:r>
          </w:p>
          <w:p w14:paraId="797C1112" w14:textId="77777777" w:rsidR="00BB7660" w:rsidRDefault="00BB7660" w:rsidP="0051288D">
            <w:pPr>
              <w:pStyle w:val="Tablei"/>
            </w:pPr>
            <w:r>
              <w:tab/>
              <w:t>(vi)</w:t>
            </w:r>
            <w:r>
              <w:tab/>
              <w:t>customer eligibility requirements.</w:t>
            </w:r>
          </w:p>
          <w:p w14:paraId="27A7DBEC" w14:textId="77777777" w:rsidR="00BB7660" w:rsidRPr="005C6351" w:rsidRDefault="00BB7660" w:rsidP="0051288D">
            <w:pPr>
              <w:pStyle w:val="nDrafterComment"/>
              <w:rPr>
                <w:color w:val="auto"/>
              </w:rPr>
            </w:pPr>
          </w:p>
        </w:tc>
      </w:tr>
    </w:tbl>
    <w:p w14:paraId="158D66A2" w14:textId="77777777" w:rsidR="00BB7660" w:rsidRPr="0000297B" w:rsidRDefault="00BB7660" w:rsidP="00BB7660">
      <w:pPr>
        <w:pStyle w:val="ActHead5"/>
        <w:rPr>
          <w:i/>
        </w:rPr>
      </w:pPr>
      <w:bookmarkStart w:id="666" w:name="_Toc111132268"/>
      <w:r>
        <w:lastRenderedPageBreak/>
        <w:t>1.4</w:t>
      </w:r>
      <w:r w:rsidRPr="0000297B">
        <w:t xml:space="preserve">  Meaning of </w:t>
      </w:r>
      <w:r w:rsidRPr="0000297B">
        <w:rPr>
          <w:i/>
        </w:rPr>
        <w:t>phase 1 product</w:t>
      </w:r>
      <w:r w:rsidRPr="0000297B">
        <w:t xml:space="preserve">, </w:t>
      </w:r>
      <w:r w:rsidRPr="0000297B">
        <w:rPr>
          <w:i/>
        </w:rPr>
        <w:t xml:space="preserve">phase 2 product </w:t>
      </w:r>
      <w:r w:rsidRPr="0000297B">
        <w:t xml:space="preserve">and </w:t>
      </w:r>
      <w:r w:rsidRPr="0000297B">
        <w:rPr>
          <w:i/>
        </w:rPr>
        <w:t>phase 3 product</w:t>
      </w:r>
      <w:bookmarkEnd w:id="666"/>
    </w:p>
    <w:p w14:paraId="6CA7101E" w14:textId="77777777" w:rsidR="00BB7660" w:rsidRPr="0000297B" w:rsidRDefault="00BB7660" w:rsidP="00BB7660">
      <w:pPr>
        <w:pStyle w:val="subsection"/>
      </w:pPr>
      <w:r w:rsidRPr="0000297B">
        <w:tab/>
      </w:r>
      <w:r w:rsidRPr="0000297B">
        <w:tab/>
        <w:t>For this Schedule, the table has effect:</w:t>
      </w:r>
    </w:p>
    <w:p w14:paraId="602242BC" w14:textId="77777777" w:rsidR="00BB7660" w:rsidRPr="00E91310" w:rsidRDefault="00BB7660" w:rsidP="00BB7660">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8"/>
        <w:gridCol w:w="1638"/>
        <w:gridCol w:w="6187"/>
      </w:tblGrid>
      <w:tr w:rsidR="00BB7660" w:rsidRPr="0000297B" w14:paraId="18345A13" w14:textId="77777777" w:rsidTr="0051288D">
        <w:trPr>
          <w:tblHeader/>
        </w:trPr>
        <w:tc>
          <w:tcPr>
            <w:tcW w:w="5000" w:type="pct"/>
            <w:gridSpan w:val="3"/>
            <w:tcBorders>
              <w:top w:val="single" w:sz="12" w:space="0" w:color="auto"/>
              <w:bottom w:val="single" w:sz="2" w:space="0" w:color="auto"/>
            </w:tcBorders>
          </w:tcPr>
          <w:p w14:paraId="1D671F9C" w14:textId="77777777" w:rsidR="00BB7660" w:rsidRPr="0000297B" w:rsidRDefault="00BB7660" w:rsidP="0051288D">
            <w:pPr>
              <w:pStyle w:val="TableHeading"/>
              <w:jc w:val="center"/>
            </w:pPr>
            <w:r w:rsidRPr="0000297B">
              <w:t xml:space="preserve">Meaning of </w:t>
            </w:r>
            <w:r w:rsidRPr="0000297B">
              <w:rPr>
                <w:i/>
              </w:rPr>
              <w:t>phase 1 product</w:t>
            </w:r>
            <w:r w:rsidRPr="0000297B">
              <w:t xml:space="preserve">, </w:t>
            </w:r>
            <w:r w:rsidRPr="0000297B">
              <w:rPr>
                <w:i/>
              </w:rPr>
              <w:t xml:space="preserve">phase 2 product </w:t>
            </w:r>
            <w:r w:rsidRPr="0000297B">
              <w:t xml:space="preserve">and </w:t>
            </w:r>
            <w:r w:rsidRPr="0000297B">
              <w:rPr>
                <w:i/>
              </w:rPr>
              <w:t>phase 3 product</w:t>
            </w:r>
          </w:p>
        </w:tc>
      </w:tr>
      <w:tr w:rsidR="00BB7660" w:rsidRPr="0000297B" w14:paraId="7C608E1C" w14:textId="77777777" w:rsidTr="0051288D">
        <w:trPr>
          <w:tblHeader/>
        </w:trPr>
        <w:tc>
          <w:tcPr>
            <w:tcW w:w="294" w:type="pct"/>
            <w:tcBorders>
              <w:top w:val="single" w:sz="2" w:space="0" w:color="auto"/>
              <w:bottom w:val="single" w:sz="12" w:space="0" w:color="auto"/>
              <w:right w:val="nil"/>
            </w:tcBorders>
          </w:tcPr>
          <w:p w14:paraId="2B70396F" w14:textId="77777777" w:rsidR="00BB7660" w:rsidRPr="0000297B" w:rsidRDefault="00BB7660" w:rsidP="0051288D">
            <w:pPr>
              <w:pStyle w:val="TableHeading"/>
            </w:pPr>
          </w:p>
        </w:tc>
        <w:tc>
          <w:tcPr>
            <w:tcW w:w="985" w:type="pct"/>
            <w:tcBorders>
              <w:top w:val="single" w:sz="2" w:space="0" w:color="auto"/>
              <w:left w:val="nil"/>
              <w:bottom w:val="single" w:sz="12" w:space="0" w:color="auto"/>
              <w:right w:val="nil"/>
            </w:tcBorders>
          </w:tcPr>
          <w:p w14:paraId="0B582973" w14:textId="77777777" w:rsidR="00BB7660" w:rsidRPr="0000297B" w:rsidRDefault="00BB7660" w:rsidP="0051288D">
            <w:pPr>
              <w:pStyle w:val="TableHeading"/>
            </w:pPr>
            <w:r w:rsidRPr="0000297B">
              <w:t>The following term:</w:t>
            </w:r>
          </w:p>
        </w:tc>
        <w:tc>
          <w:tcPr>
            <w:tcW w:w="3721" w:type="pct"/>
            <w:tcBorders>
              <w:top w:val="single" w:sz="2" w:space="0" w:color="auto"/>
              <w:left w:val="nil"/>
              <w:bottom w:val="single" w:sz="12" w:space="0" w:color="auto"/>
              <w:right w:val="nil"/>
            </w:tcBorders>
          </w:tcPr>
          <w:p w14:paraId="503AD740" w14:textId="77777777" w:rsidR="00BB7660" w:rsidRPr="0000297B" w:rsidRDefault="00BB7660" w:rsidP="0051288D">
            <w:pPr>
              <w:pStyle w:val="TableHeading"/>
            </w:pPr>
            <w:r w:rsidRPr="0000297B">
              <w:t>means a product that is publicly offered and is generally known as being of any of the following types:</w:t>
            </w:r>
          </w:p>
        </w:tc>
      </w:tr>
      <w:tr w:rsidR="00BB7660" w:rsidRPr="0000297B" w14:paraId="5BBFFF9F" w14:textId="77777777" w:rsidTr="0051288D">
        <w:tc>
          <w:tcPr>
            <w:tcW w:w="294" w:type="pct"/>
            <w:tcBorders>
              <w:top w:val="single" w:sz="12" w:space="0" w:color="auto"/>
              <w:bottom w:val="single" w:sz="2" w:space="0" w:color="auto"/>
              <w:right w:val="nil"/>
            </w:tcBorders>
          </w:tcPr>
          <w:p w14:paraId="1F38BC8A" w14:textId="77777777" w:rsidR="00BB7660" w:rsidRPr="0000297B" w:rsidRDefault="00BB7660" w:rsidP="0051288D">
            <w:pPr>
              <w:pStyle w:val="Tabletext"/>
            </w:pPr>
            <w:r w:rsidRPr="0000297B">
              <w:t>1</w:t>
            </w:r>
          </w:p>
        </w:tc>
        <w:tc>
          <w:tcPr>
            <w:tcW w:w="985" w:type="pct"/>
            <w:tcBorders>
              <w:top w:val="single" w:sz="12" w:space="0" w:color="auto"/>
              <w:left w:val="nil"/>
              <w:bottom w:val="single" w:sz="2" w:space="0" w:color="auto"/>
              <w:right w:val="nil"/>
            </w:tcBorders>
          </w:tcPr>
          <w:p w14:paraId="5EA5B10E" w14:textId="77777777" w:rsidR="00BB7660" w:rsidRPr="0000297B" w:rsidRDefault="00BB7660" w:rsidP="0051288D">
            <w:pPr>
              <w:pStyle w:val="Tabletext"/>
              <w:rPr>
                <w:b/>
                <w:i/>
              </w:rPr>
            </w:pPr>
            <w:r w:rsidRPr="0000297B">
              <w:rPr>
                <w:b/>
                <w:i/>
              </w:rPr>
              <w:t>phase 1 product</w:t>
            </w:r>
          </w:p>
        </w:tc>
        <w:tc>
          <w:tcPr>
            <w:tcW w:w="3721" w:type="pct"/>
            <w:tcBorders>
              <w:top w:val="single" w:sz="12" w:space="0" w:color="auto"/>
              <w:left w:val="nil"/>
              <w:bottom w:val="single" w:sz="2" w:space="0" w:color="auto"/>
              <w:right w:val="nil"/>
            </w:tcBorders>
          </w:tcPr>
          <w:p w14:paraId="15864566" w14:textId="77777777" w:rsidR="00BB7660" w:rsidRPr="0000297B" w:rsidRDefault="00BB7660" w:rsidP="0051288D">
            <w:pPr>
              <w:pStyle w:val="Tablea"/>
            </w:pPr>
            <w:r w:rsidRPr="0000297B">
              <w:tab/>
              <w:t>(a)</w:t>
            </w:r>
            <w:r w:rsidRPr="0000297B">
              <w:tab/>
              <w:t>a savings account;</w:t>
            </w:r>
          </w:p>
          <w:p w14:paraId="5B210F54" w14:textId="77777777" w:rsidR="00BB7660" w:rsidRPr="0000297B" w:rsidRDefault="00BB7660" w:rsidP="0051288D">
            <w:pPr>
              <w:pStyle w:val="Tablea"/>
            </w:pPr>
            <w:r w:rsidRPr="0000297B">
              <w:tab/>
              <w:t>(b)</w:t>
            </w:r>
            <w:r w:rsidRPr="0000297B">
              <w:tab/>
              <w:t>a call account;</w:t>
            </w:r>
          </w:p>
          <w:p w14:paraId="1E55E8FA" w14:textId="77777777" w:rsidR="00BB7660" w:rsidRPr="0000297B" w:rsidRDefault="00BB7660" w:rsidP="0051288D">
            <w:pPr>
              <w:pStyle w:val="Tablea"/>
            </w:pPr>
            <w:r w:rsidRPr="0000297B">
              <w:tab/>
              <w:t>(c)</w:t>
            </w:r>
            <w:r w:rsidRPr="0000297B">
              <w:tab/>
              <w:t>a term deposit;</w:t>
            </w:r>
          </w:p>
          <w:p w14:paraId="60D78208" w14:textId="77777777" w:rsidR="00BB7660" w:rsidRPr="0000297B" w:rsidRDefault="00BB7660" w:rsidP="0051288D">
            <w:pPr>
              <w:pStyle w:val="Tablea"/>
            </w:pPr>
            <w:r w:rsidRPr="0000297B">
              <w:tab/>
              <w:t>(d)</w:t>
            </w:r>
            <w:r w:rsidRPr="0000297B">
              <w:tab/>
              <w:t>a current account;</w:t>
            </w:r>
          </w:p>
          <w:p w14:paraId="46A4441F" w14:textId="77777777" w:rsidR="00BB7660" w:rsidRPr="0000297B" w:rsidRDefault="00BB7660" w:rsidP="0051288D">
            <w:pPr>
              <w:pStyle w:val="Tablea"/>
            </w:pPr>
            <w:r w:rsidRPr="0000297B">
              <w:tab/>
              <w:t>(e)</w:t>
            </w:r>
            <w:r w:rsidRPr="0000297B">
              <w:tab/>
              <w:t>a cheque account;</w:t>
            </w:r>
          </w:p>
          <w:p w14:paraId="26D64396" w14:textId="77777777" w:rsidR="00BB7660" w:rsidRPr="0000297B" w:rsidRDefault="00BB7660" w:rsidP="0051288D">
            <w:pPr>
              <w:pStyle w:val="Tablea"/>
            </w:pPr>
            <w:r w:rsidRPr="0000297B">
              <w:tab/>
              <w:t>(f)</w:t>
            </w:r>
            <w:r w:rsidRPr="0000297B">
              <w:tab/>
              <w:t>a debit card account;</w:t>
            </w:r>
          </w:p>
          <w:p w14:paraId="04EBA1AB" w14:textId="77777777" w:rsidR="00BB7660" w:rsidRPr="0000297B" w:rsidRDefault="00BB7660" w:rsidP="0051288D">
            <w:pPr>
              <w:pStyle w:val="Tablea"/>
            </w:pPr>
            <w:r w:rsidRPr="0000297B">
              <w:tab/>
              <w:t>(g)</w:t>
            </w:r>
            <w:r w:rsidRPr="0000297B">
              <w:tab/>
              <w:t>a transaction account;</w:t>
            </w:r>
          </w:p>
          <w:p w14:paraId="5EA5DE3B" w14:textId="77777777" w:rsidR="00BB7660" w:rsidRPr="0000297B" w:rsidRDefault="00BB7660" w:rsidP="0051288D">
            <w:pPr>
              <w:pStyle w:val="Tablea"/>
            </w:pPr>
            <w:r w:rsidRPr="0000297B">
              <w:tab/>
              <w:t>(h)</w:t>
            </w:r>
            <w:r w:rsidRPr="0000297B">
              <w:tab/>
              <w:t>a personal basic account;</w:t>
            </w:r>
          </w:p>
          <w:p w14:paraId="1C4B77B8" w14:textId="77777777" w:rsidR="00BB7660" w:rsidRPr="0000297B" w:rsidRDefault="00BB7660" w:rsidP="0051288D">
            <w:pPr>
              <w:pStyle w:val="Tablea"/>
            </w:pPr>
            <w:r w:rsidRPr="0000297B">
              <w:tab/>
              <w:t>(i)</w:t>
            </w:r>
            <w:r w:rsidRPr="0000297B">
              <w:tab/>
              <w:t>a GST or tax account;</w:t>
            </w:r>
          </w:p>
          <w:p w14:paraId="163C921B" w14:textId="77777777" w:rsidR="00BB7660" w:rsidRPr="0000297B" w:rsidRDefault="00BB7660" w:rsidP="0051288D">
            <w:pPr>
              <w:pStyle w:val="Tablea"/>
            </w:pPr>
            <w:r w:rsidRPr="0000297B">
              <w:t>(j)</w:t>
            </w:r>
            <w:r w:rsidRPr="0000297B">
              <w:tab/>
              <w:t>a personal credit or charge card account;</w:t>
            </w:r>
          </w:p>
          <w:p w14:paraId="2CBDDB7E" w14:textId="77777777" w:rsidR="00BB7660" w:rsidRPr="0000297B" w:rsidRDefault="00BB7660" w:rsidP="0051288D">
            <w:pPr>
              <w:pStyle w:val="Tablea"/>
            </w:pPr>
            <w:r w:rsidRPr="0000297B">
              <w:tab/>
              <w:t>(k)</w:t>
            </w:r>
            <w:r w:rsidRPr="0000297B">
              <w:tab/>
              <w:t>a business credit or charge card  account.</w:t>
            </w:r>
          </w:p>
          <w:p w14:paraId="0A9A47C5" w14:textId="77777777" w:rsidR="00BB7660" w:rsidRPr="0000297B" w:rsidRDefault="00BB7660" w:rsidP="0051288D">
            <w:pPr>
              <w:pStyle w:val="Tablea"/>
            </w:pPr>
            <w:r w:rsidRPr="0000297B">
              <w:tab/>
            </w:r>
          </w:p>
        </w:tc>
      </w:tr>
      <w:tr w:rsidR="00BB7660" w:rsidRPr="0000297B" w14:paraId="1FE77937" w14:textId="77777777" w:rsidTr="0051288D">
        <w:tc>
          <w:tcPr>
            <w:tcW w:w="294" w:type="pct"/>
            <w:tcBorders>
              <w:top w:val="single" w:sz="2" w:space="0" w:color="auto"/>
              <w:bottom w:val="single" w:sz="4" w:space="0" w:color="auto"/>
              <w:right w:val="nil"/>
            </w:tcBorders>
          </w:tcPr>
          <w:p w14:paraId="6FBE534C" w14:textId="77777777" w:rsidR="00BB7660" w:rsidRPr="0000297B" w:rsidRDefault="00BB7660" w:rsidP="0051288D">
            <w:pPr>
              <w:pStyle w:val="Tabletext"/>
            </w:pPr>
            <w:r w:rsidRPr="0000297B">
              <w:t>2</w:t>
            </w:r>
          </w:p>
        </w:tc>
        <w:tc>
          <w:tcPr>
            <w:tcW w:w="985" w:type="pct"/>
            <w:tcBorders>
              <w:top w:val="single" w:sz="2" w:space="0" w:color="auto"/>
              <w:left w:val="nil"/>
              <w:bottom w:val="single" w:sz="4" w:space="0" w:color="auto"/>
              <w:right w:val="nil"/>
            </w:tcBorders>
          </w:tcPr>
          <w:p w14:paraId="738E70F5" w14:textId="77777777" w:rsidR="00BB7660" w:rsidRPr="0000297B" w:rsidRDefault="00BB7660" w:rsidP="0051288D">
            <w:pPr>
              <w:pStyle w:val="Tabletext"/>
              <w:rPr>
                <w:b/>
                <w:i/>
              </w:rPr>
            </w:pPr>
            <w:r w:rsidRPr="0000297B">
              <w:rPr>
                <w:b/>
                <w:i/>
              </w:rPr>
              <w:t xml:space="preserve">phase 2 product </w:t>
            </w:r>
          </w:p>
          <w:p w14:paraId="3A906C01" w14:textId="77777777" w:rsidR="00BB7660" w:rsidRPr="0000297B" w:rsidRDefault="00BB7660" w:rsidP="0051288D">
            <w:pPr>
              <w:pStyle w:val="Tabletext"/>
            </w:pPr>
          </w:p>
        </w:tc>
        <w:tc>
          <w:tcPr>
            <w:tcW w:w="3721" w:type="pct"/>
            <w:tcBorders>
              <w:top w:val="single" w:sz="2" w:space="0" w:color="auto"/>
              <w:left w:val="nil"/>
              <w:bottom w:val="single" w:sz="4" w:space="0" w:color="auto"/>
              <w:right w:val="nil"/>
            </w:tcBorders>
          </w:tcPr>
          <w:p w14:paraId="518C25B9" w14:textId="77777777" w:rsidR="00BB7660" w:rsidRPr="0000297B" w:rsidRDefault="00BB7660" w:rsidP="0051288D">
            <w:pPr>
              <w:pStyle w:val="Tablea"/>
            </w:pPr>
            <w:r w:rsidRPr="0000297B">
              <w:tab/>
              <w:t>(a)</w:t>
            </w:r>
            <w:r w:rsidRPr="0000297B">
              <w:tab/>
              <w:t>a residential home loan;</w:t>
            </w:r>
          </w:p>
          <w:p w14:paraId="08900F5D" w14:textId="77777777" w:rsidR="00BB7660" w:rsidRPr="0000297B" w:rsidRDefault="00BB7660" w:rsidP="0051288D">
            <w:pPr>
              <w:pStyle w:val="Tablea"/>
            </w:pPr>
            <w:r w:rsidRPr="0000297B">
              <w:t>(b)</w:t>
            </w:r>
            <w:r w:rsidRPr="0000297B">
              <w:tab/>
              <w:t>a home loan for an investment property;</w:t>
            </w:r>
          </w:p>
          <w:p w14:paraId="19AA1E81" w14:textId="77777777" w:rsidR="00BB7660" w:rsidRPr="0000297B" w:rsidRDefault="00BB7660" w:rsidP="0051288D">
            <w:pPr>
              <w:pStyle w:val="Tablea"/>
            </w:pPr>
            <w:r w:rsidRPr="0000297B">
              <w:t>(c)</w:t>
            </w:r>
            <w:r w:rsidRPr="0000297B">
              <w:tab/>
              <w:t>a mortgage offset account;</w:t>
            </w:r>
          </w:p>
          <w:p w14:paraId="2E610BCA" w14:textId="77777777" w:rsidR="00BB7660" w:rsidRPr="0000297B" w:rsidRDefault="00BB7660" w:rsidP="0051288D">
            <w:pPr>
              <w:pStyle w:val="Tablea"/>
              <w:rPr>
                <w:rStyle w:val="CommentReference"/>
                <w:rFonts w:eastAsiaTheme="minorHAnsi" w:cstheme="minorBidi"/>
                <w:lang w:eastAsia="en-US"/>
              </w:rPr>
            </w:pPr>
            <w:r w:rsidRPr="0000297B">
              <w:t>(d)</w:t>
            </w:r>
            <w:r w:rsidRPr="0000297B">
              <w:tab/>
              <w:t>a personal loan.</w:t>
            </w:r>
          </w:p>
          <w:p w14:paraId="5C0DFE73" w14:textId="77777777" w:rsidR="00BB7660" w:rsidRPr="0000297B" w:rsidRDefault="00BB7660" w:rsidP="0051288D">
            <w:pPr>
              <w:pStyle w:val="Tablea"/>
            </w:pPr>
          </w:p>
        </w:tc>
      </w:tr>
      <w:tr w:rsidR="00BB7660" w:rsidRPr="0000297B" w14:paraId="7FE4420A" w14:textId="77777777" w:rsidTr="0051288D">
        <w:tc>
          <w:tcPr>
            <w:tcW w:w="294" w:type="pct"/>
            <w:tcBorders>
              <w:top w:val="single" w:sz="4" w:space="0" w:color="auto"/>
              <w:bottom w:val="single" w:sz="12" w:space="0" w:color="auto"/>
              <w:right w:val="nil"/>
            </w:tcBorders>
          </w:tcPr>
          <w:p w14:paraId="0E21FAFD" w14:textId="77777777" w:rsidR="00BB7660" w:rsidRPr="0000297B" w:rsidRDefault="00BB7660" w:rsidP="0051288D">
            <w:pPr>
              <w:pStyle w:val="Tabletext"/>
            </w:pPr>
            <w:r w:rsidRPr="0000297B">
              <w:t>3</w:t>
            </w:r>
          </w:p>
        </w:tc>
        <w:tc>
          <w:tcPr>
            <w:tcW w:w="985" w:type="pct"/>
            <w:tcBorders>
              <w:top w:val="single" w:sz="4" w:space="0" w:color="auto"/>
              <w:left w:val="nil"/>
              <w:bottom w:val="single" w:sz="12" w:space="0" w:color="auto"/>
              <w:right w:val="nil"/>
            </w:tcBorders>
          </w:tcPr>
          <w:p w14:paraId="48A684BE" w14:textId="77777777" w:rsidR="00BB7660" w:rsidRPr="0000297B" w:rsidRDefault="00BB7660" w:rsidP="0051288D">
            <w:pPr>
              <w:pStyle w:val="Tabletext"/>
            </w:pPr>
            <w:r w:rsidRPr="0000297B">
              <w:rPr>
                <w:b/>
                <w:i/>
              </w:rPr>
              <w:t>phase 3 product</w:t>
            </w:r>
          </w:p>
        </w:tc>
        <w:tc>
          <w:tcPr>
            <w:tcW w:w="3721" w:type="pct"/>
            <w:tcBorders>
              <w:top w:val="single" w:sz="4" w:space="0" w:color="auto"/>
              <w:left w:val="nil"/>
              <w:bottom w:val="single" w:sz="12" w:space="0" w:color="auto"/>
              <w:right w:val="nil"/>
            </w:tcBorders>
          </w:tcPr>
          <w:p w14:paraId="373F35C8" w14:textId="77777777" w:rsidR="00BB7660" w:rsidRPr="0000297B" w:rsidRDefault="00BB7660" w:rsidP="0051288D">
            <w:pPr>
              <w:pStyle w:val="Tablea"/>
            </w:pPr>
            <w:r w:rsidRPr="0000297B">
              <w:tab/>
              <w:t>(a)</w:t>
            </w:r>
            <w:r w:rsidRPr="0000297B">
              <w:tab/>
              <w:t>business finance;</w:t>
            </w:r>
          </w:p>
          <w:p w14:paraId="0EFEFB72" w14:textId="77777777" w:rsidR="00BB7660" w:rsidRPr="0000297B" w:rsidRDefault="00BB7660" w:rsidP="0051288D">
            <w:pPr>
              <w:pStyle w:val="Tablea"/>
            </w:pPr>
            <w:r w:rsidRPr="0000297B">
              <w:tab/>
              <w:t>(b)</w:t>
            </w:r>
            <w:r w:rsidRPr="0000297B">
              <w:tab/>
              <w:t>a loan for an investment;</w:t>
            </w:r>
          </w:p>
          <w:p w14:paraId="67010A52" w14:textId="77777777" w:rsidR="00BB7660" w:rsidRPr="0000297B" w:rsidRDefault="00BB7660" w:rsidP="0051288D">
            <w:pPr>
              <w:pStyle w:val="Tablea"/>
            </w:pPr>
            <w:r w:rsidRPr="0000297B">
              <w:tab/>
              <w:t>(c)</w:t>
            </w:r>
            <w:r w:rsidRPr="0000297B">
              <w:tab/>
              <w:t>a line of credit (personal);</w:t>
            </w:r>
          </w:p>
          <w:p w14:paraId="2DF5D7B0" w14:textId="77777777" w:rsidR="00BB7660" w:rsidRPr="0000297B" w:rsidRDefault="00BB7660" w:rsidP="0051288D">
            <w:pPr>
              <w:pStyle w:val="Tablea"/>
            </w:pPr>
            <w:r w:rsidRPr="0000297B">
              <w:tab/>
              <w:t>(d)</w:t>
            </w:r>
            <w:r w:rsidRPr="0000297B">
              <w:tab/>
              <w:t>a line of credit (business);</w:t>
            </w:r>
          </w:p>
          <w:p w14:paraId="4B6043FE" w14:textId="77777777" w:rsidR="00BB7660" w:rsidRPr="0000297B" w:rsidRDefault="00BB7660" w:rsidP="0051288D">
            <w:pPr>
              <w:pStyle w:val="Tablea"/>
            </w:pPr>
            <w:r w:rsidRPr="0000297B">
              <w:tab/>
              <w:t>(e)</w:t>
            </w:r>
            <w:r w:rsidRPr="0000297B">
              <w:tab/>
              <w:t>an overdraft (personal);</w:t>
            </w:r>
          </w:p>
          <w:p w14:paraId="471D44EF" w14:textId="77777777" w:rsidR="00BB7660" w:rsidRPr="0000297B" w:rsidRDefault="00BB7660" w:rsidP="0051288D">
            <w:pPr>
              <w:pStyle w:val="Tablea"/>
            </w:pPr>
            <w:r w:rsidRPr="0000297B">
              <w:tab/>
              <w:t>(f)</w:t>
            </w:r>
            <w:r w:rsidRPr="0000297B">
              <w:tab/>
              <w:t>an overdraft (business);</w:t>
            </w:r>
          </w:p>
          <w:p w14:paraId="48EA609C" w14:textId="77777777" w:rsidR="00BB7660" w:rsidRPr="0000297B" w:rsidRDefault="00BB7660" w:rsidP="0051288D">
            <w:pPr>
              <w:pStyle w:val="Tablea"/>
            </w:pPr>
            <w:r w:rsidRPr="0000297B">
              <w:tab/>
              <w:t>(g)</w:t>
            </w:r>
            <w:r w:rsidRPr="0000297B">
              <w:tab/>
              <w:t>asset finance (including leases);</w:t>
            </w:r>
          </w:p>
          <w:p w14:paraId="62892E11" w14:textId="77777777" w:rsidR="00BB7660" w:rsidRPr="0000297B" w:rsidRDefault="00BB7660" w:rsidP="0051288D">
            <w:pPr>
              <w:pStyle w:val="Tablea"/>
            </w:pPr>
            <w:r w:rsidRPr="0000297B">
              <w:lastRenderedPageBreak/>
              <w:tab/>
              <w:t>(h)</w:t>
            </w:r>
            <w:r w:rsidRPr="0000297B">
              <w:tab/>
              <w:t>a cash management account;</w:t>
            </w:r>
          </w:p>
          <w:p w14:paraId="43B92382" w14:textId="77777777" w:rsidR="00BB7660" w:rsidRPr="0000297B" w:rsidRDefault="00BB7660" w:rsidP="0051288D">
            <w:pPr>
              <w:pStyle w:val="Tablea"/>
            </w:pPr>
            <w:r w:rsidRPr="0000297B">
              <w:tab/>
              <w:t>(i)</w:t>
            </w:r>
            <w:r w:rsidRPr="0000297B">
              <w:tab/>
              <w:t>a farm management account;</w:t>
            </w:r>
          </w:p>
          <w:p w14:paraId="30940A32" w14:textId="77777777" w:rsidR="00BB7660" w:rsidRPr="0000297B" w:rsidRDefault="00BB7660" w:rsidP="0051288D">
            <w:pPr>
              <w:pStyle w:val="Tablea"/>
            </w:pPr>
            <w:r w:rsidRPr="0000297B">
              <w:tab/>
              <w:t>(j)</w:t>
            </w:r>
            <w:r w:rsidRPr="0000297B">
              <w:tab/>
              <w:t>a pensioner deeming account;</w:t>
            </w:r>
          </w:p>
          <w:p w14:paraId="3A57DD15" w14:textId="77777777" w:rsidR="00BB7660" w:rsidRPr="0000297B" w:rsidRDefault="00BB7660" w:rsidP="0051288D">
            <w:pPr>
              <w:pStyle w:val="Tablea"/>
            </w:pPr>
            <w:r w:rsidRPr="0000297B">
              <w:tab/>
              <w:t>(k)</w:t>
            </w:r>
            <w:r w:rsidRPr="0000297B">
              <w:tab/>
              <w:t>a retirement savings account;</w:t>
            </w:r>
          </w:p>
          <w:p w14:paraId="57C93BF4" w14:textId="77777777" w:rsidR="00BB7660" w:rsidRPr="0000297B" w:rsidRDefault="00BB7660" w:rsidP="0051288D">
            <w:pPr>
              <w:pStyle w:val="Tablea"/>
            </w:pPr>
            <w:r w:rsidRPr="0000297B">
              <w:tab/>
              <w:t>(l)</w:t>
            </w:r>
            <w:r w:rsidRPr="0000297B">
              <w:tab/>
              <w:t>a trust account;</w:t>
            </w:r>
          </w:p>
          <w:p w14:paraId="5E0DEADD" w14:textId="77777777" w:rsidR="00BB7660" w:rsidRPr="0000297B" w:rsidRDefault="00BB7660" w:rsidP="0051288D">
            <w:pPr>
              <w:pStyle w:val="Tablea"/>
            </w:pPr>
            <w:r w:rsidRPr="0000297B">
              <w:tab/>
              <w:t>(m)</w:t>
            </w:r>
            <w:r w:rsidRPr="0000297B">
              <w:tab/>
              <w:t>a foreign currency account;</w:t>
            </w:r>
          </w:p>
          <w:p w14:paraId="56F7F75A" w14:textId="77777777" w:rsidR="00BB7660" w:rsidRPr="0000297B" w:rsidRDefault="00BB7660" w:rsidP="0051288D">
            <w:pPr>
              <w:pStyle w:val="Tablea"/>
            </w:pPr>
            <w:r w:rsidRPr="0000297B">
              <w:tab/>
              <w:t>(n)</w:t>
            </w:r>
            <w:r w:rsidRPr="0000297B">
              <w:tab/>
              <w:t>a consumer lease.</w:t>
            </w:r>
          </w:p>
          <w:p w14:paraId="01D91416" w14:textId="77777777" w:rsidR="00BB7660" w:rsidRPr="0000297B" w:rsidRDefault="00BB7660" w:rsidP="0051288D">
            <w:pPr>
              <w:pStyle w:val="Tablea"/>
            </w:pPr>
          </w:p>
        </w:tc>
      </w:tr>
    </w:tbl>
    <w:p w14:paraId="72C686B9" w14:textId="77777777" w:rsidR="00BB7660" w:rsidRDefault="00BB7660" w:rsidP="00BB7660">
      <w:pPr>
        <w:pStyle w:val="paragraphsub-sub"/>
      </w:pPr>
    </w:p>
    <w:p w14:paraId="452B592C" w14:textId="77777777" w:rsidR="00BB7660" w:rsidRPr="003538AF" w:rsidRDefault="00132C8E" w:rsidP="00BB7660">
      <w:pPr>
        <w:pStyle w:val="ActHead5"/>
        <w:rPr>
          <w:color w:val="0000FF"/>
        </w:rPr>
      </w:pPr>
      <w:r w:rsidRPr="003538AF">
        <w:rPr>
          <w:color w:val="0000FF"/>
        </w:rPr>
        <w:t xml:space="preserve"> </w:t>
      </w:r>
      <w:bookmarkStart w:id="667" w:name="_Toc111132269"/>
      <w:r w:rsidR="00BB7660" w:rsidRPr="003538AF">
        <w:rPr>
          <w:color w:val="0000FF"/>
        </w:rPr>
        <w:t>1.5  Meaning of trial product</w:t>
      </w:r>
      <w:bookmarkEnd w:id="667"/>
      <w:r w:rsidR="00BB7660" w:rsidRPr="003538AF">
        <w:rPr>
          <w:color w:val="0000FF"/>
        </w:rPr>
        <w:t xml:space="preserve">  </w:t>
      </w:r>
    </w:p>
    <w:p w14:paraId="2B08D177" w14:textId="77777777" w:rsidR="00C45309" w:rsidRPr="003538AF" w:rsidRDefault="00C45309" w:rsidP="00C45309">
      <w:pPr>
        <w:pStyle w:val="SubsectionHead"/>
        <w:rPr>
          <w:color w:val="0000FF"/>
        </w:rPr>
      </w:pPr>
      <w:r w:rsidRPr="003538AF">
        <w:rPr>
          <w:color w:val="0000FF"/>
        </w:rPr>
        <w:t xml:space="preserve">Meaning of </w:t>
      </w:r>
      <w:r w:rsidRPr="003538AF">
        <w:rPr>
          <w:b/>
          <w:color w:val="0000FF"/>
        </w:rPr>
        <w:t xml:space="preserve">trial product </w:t>
      </w:r>
      <w:r w:rsidRPr="003538AF">
        <w:rPr>
          <w:color w:val="0000FF"/>
        </w:rPr>
        <w:t xml:space="preserve"> </w:t>
      </w:r>
    </w:p>
    <w:p w14:paraId="0C588BF7" w14:textId="77777777" w:rsidR="00C45309" w:rsidRPr="003538AF" w:rsidRDefault="00C45309" w:rsidP="00C45309">
      <w:pPr>
        <w:pStyle w:val="subsection"/>
        <w:rPr>
          <w:color w:val="0000FF"/>
        </w:rPr>
      </w:pPr>
      <w:r w:rsidRPr="003538AF">
        <w:rPr>
          <w:color w:val="0000FF"/>
        </w:rPr>
        <w:tab/>
      </w:r>
      <w:r w:rsidRPr="003538AF">
        <w:rPr>
          <w:color w:val="0000FF"/>
        </w:rPr>
        <w:tab/>
        <w:t>For paragraph 1.10E(a)</w:t>
      </w:r>
      <w:r w:rsidR="009D1E9E" w:rsidRPr="003538AF">
        <w:rPr>
          <w:color w:val="0000FF"/>
        </w:rPr>
        <w:t xml:space="preserve"> of these rules, phase 1, phase 2 and phase 3 product</w:t>
      </w:r>
      <w:r w:rsidR="00ED353F" w:rsidRPr="003538AF">
        <w:rPr>
          <w:color w:val="0000FF"/>
        </w:rPr>
        <w:t xml:space="preserve">s </w:t>
      </w:r>
      <w:r w:rsidRPr="003538AF">
        <w:rPr>
          <w:color w:val="0000FF"/>
        </w:rPr>
        <w:t xml:space="preserve"> </w:t>
      </w:r>
      <w:r w:rsidR="009D1E9E" w:rsidRPr="003538AF">
        <w:rPr>
          <w:color w:val="0000FF"/>
        </w:rPr>
        <w:t>are specified</w:t>
      </w:r>
      <w:r w:rsidRPr="003538AF">
        <w:rPr>
          <w:color w:val="0000FF"/>
        </w:rPr>
        <w:t>.</w:t>
      </w:r>
    </w:p>
    <w:p w14:paraId="3BFE2C04" w14:textId="77777777" w:rsidR="00BB7660" w:rsidRPr="00C378D9" w:rsidRDefault="00BB7660" w:rsidP="00BB7660">
      <w:pPr>
        <w:pStyle w:val="ActHead2"/>
        <w:pageBreakBefore/>
      </w:pPr>
      <w:bookmarkStart w:id="668" w:name="_Toc111132270"/>
      <w:r w:rsidRPr="00C378D9">
        <w:lastRenderedPageBreak/>
        <w:t>Part 2—Eligible CDR consumers—banking sector</w:t>
      </w:r>
      <w:bookmarkEnd w:id="668"/>
    </w:p>
    <w:p w14:paraId="20EB7284" w14:textId="77777777" w:rsidR="00BB7660" w:rsidRPr="00A00F6F" w:rsidRDefault="00BB7660" w:rsidP="00BB7660">
      <w:pPr>
        <w:pStyle w:val="ActHead5"/>
      </w:pPr>
      <w:bookmarkStart w:id="669" w:name="_Toc111132271"/>
      <w:r w:rsidRPr="00A00F6F">
        <w:t>2.1  Additional criteria for eligibility—banking sector</w:t>
      </w:r>
      <w:bookmarkEnd w:id="669"/>
    </w:p>
    <w:p w14:paraId="0394FC5C" w14:textId="77777777" w:rsidR="00BB7660" w:rsidRPr="00670E81" w:rsidRDefault="00BB7660" w:rsidP="00BB7660">
      <w:pPr>
        <w:pStyle w:val="subsection"/>
      </w:pPr>
      <w:r w:rsidRPr="00670E81">
        <w:tab/>
        <w:t>(1)</w:t>
      </w:r>
      <w:r w:rsidRPr="00670E81">
        <w:tab/>
        <w:t xml:space="preserve">For subrule 1.10B(1), the additional criterion for a CDR consumer to be </w:t>
      </w:r>
      <w:r w:rsidRPr="00670E81">
        <w:rPr>
          <w:b/>
          <w:i/>
        </w:rPr>
        <w:t>eligible</w:t>
      </w:r>
      <w:r w:rsidRPr="00670E81">
        <w:t>, in relation to a particular data holder in the banking sector at a particular time, is that the account is set up in such a way that it can be accessed online.</w:t>
      </w:r>
    </w:p>
    <w:p w14:paraId="05A21710" w14:textId="77777777" w:rsidR="00BB7660" w:rsidRPr="00A00F6F" w:rsidRDefault="00BB7660" w:rsidP="00BB7660">
      <w:pPr>
        <w:pStyle w:val="notetext"/>
      </w:pPr>
      <w:r w:rsidRPr="00A00F6F">
        <w:t>Note:</w:t>
      </w:r>
      <w:r w:rsidRPr="00A00F6F">
        <w:tab/>
        <w:t>Subrule 1.10B(1) provides criteria for account holders and secondary</w:t>
      </w:r>
      <w:r w:rsidRPr="00670E81">
        <w:t xml:space="preserve"> </w:t>
      </w:r>
      <w:r w:rsidRPr="004A04A4">
        <w:rPr>
          <w:color w:val="0000FF"/>
        </w:rPr>
        <w:t>users</w:t>
      </w:r>
      <w:r w:rsidR="00670E81">
        <w:rPr>
          <w:strike/>
          <w:color w:val="0000FF"/>
        </w:rPr>
        <w:t xml:space="preserve"> account holders</w:t>
      </w:r>
      <w:r w:rsidRPr="00670E81">
        <w:t xml:space="preserve"> </w:t>
      </w:r>
      <w:r w:rsidRPr="00A00F6F">
        <w:t>of the account to be eligible.</w:t>
      </w:r>
    </w:p>
    <w:p w14:paraId="365B78C9" w14:textId="77777777" w:rsidR="00BB7660" w:rsidRPr="00A00F6F" w:rsidRDefault="00BB7660" w:rsidP="00BB7660">
      <w:pPr>
        <w:pStyle w:val="subsection"/>
      </w:pPr>
      <w:r w:rsidRPr="00A00F6F">
        <w:tab/>
        <w:t>(2)</w:t>
      </w:r>
      <w:r w:rsidRPr="00A00F6F">
        <w:tab/>
        <w:t xml:space="preserve">For subrule 1.10B(2), the additional criterion for a CDR consumer who is a partner in a partnership to be </w:t>
      </w:r>
      <w:r w:rsidRPr="00A00F6F">
        <w:rPr>
          <w:b/>
          <w:i/>
        </w:rPr>
        <w:t>eligible</w:t>
      </w:r>
      <w:r w:rsidRPr="00A00F6F">
        <w:t>, in relation to a particular data holder in the banking sector at a particular time, is that the partnership account is set up in such a way that it can be accessed online.</w:t>
      </w:r>
    </w:p>
    <w:p w14:paraId="6E3584CB" w14:textId="77777777" w:rsidR="00BB7660" w:rsidRPr="00A00F6F" w:rsidRDefault="00BB7660" w:rsidP="00BB7660">
      <w:pPr>
        <w:pStyle w:val="notetext"/>
      </w:pPr>
      <w:r w:rsidRPr="00A00F6F">
        <w:t>Note:</w:t>
      </w:r>
      <w:r w:rsidRPr="00A00F6F">
        <w:tab/>
        <w:t>For a partnership account, subrule 1.10B(2) provides criteria for persons who are partners in the partnership (but who need not themselves be account holders or secondary</w:t>
      </w:r>
      <w:r w:rsidR="00670E81" w:rsidRPr="00670E81">
        <w:t xml:space="preserve"> </w:t>
      </w:r>
      <w:r w:rsidR="00670E81" w:rsidRPr="004A04A4">
        <w:rPr>
          <w:color w:val="0000FF"/>
        </w:rPr>
        <w:t>users</w:t>
      </w:r>
      <w:r w:rsidR="00670E81">
        <w:rPr>
          <w:strike/>
          <w:color w:val="0000FF"/>
        </w:rPr>
        <w:t xml:space="preserve"> account holders</w:t>
      </w:r>
      <w:r w:rsidRPr="00A00F6F">
        <w:t>) to be eligible.</w:t>
      </w:r>
    </w:p>
    <w:p w14:paraId="16344E6B" w14:textId="77777777" w:rsidR="00BB7660" w:rsidRPr="00B809E9" w:rsidRDefault="00BB7660" w:rsidP="00BB7660">
      <w:pPr>
        <w:pStyle w:val="ActHead5"/>
      </w:pPr>
      <w:bookmarkStart w:id="670" w:name="_Toc57219186"/>
      <w:bookmarkStart w:id="671" w:name="_Toc59549176"/>
      <w:bookmarkStart w:id="672" w:name="_Toc111132272"/>
      <w:r w:rsidRPr="00B809E9">
        <w:t xml:space="preserve">2.2  Meaning of </w:t>
      </w:r>
      <w:r w:rsidRPr="00B809E9">
        <w:rPr>
          <w:i/>
        </w:rPr>
        <w:t>account privileges</w:t>
      </w:r>
      <w:r w:rsidRPr="00B809E9">
        <w:t>—banking sector</w:t>
      </w:r>
      <w:bookmarkEnd w:id="670"/>
      <w:bookmarkEnd w:id="671"/>
      <w:bookmarkEnd w:id="672"/>
    </w:p>
    <w:p w14:paraId="6FB11D49" w14:textId="77777777" w:rsidR="00BB7660" w:rsidRPr="00B809E9" w:rsidRDefault="00BB7660" w:rsidP="00BB7660">
      <w:pPr>
        <w:pStyle w:val="subsection"/>
      </w:pPr>
      <w:r w:rsidRPr="00B809E9">
        <w:tab/>
        <w:t>(1)</w:t>
      </w:r>
      <w:r w:rsidRPr="00B809E9">
        <w:tab/>
        <w:t xml:space="preserve">This clause is made for the purposes of the definition of </w:t>
      </w:r>
      <w:r w:rsidRPr="00B809E9">
        <w:rPr>
          <w:b/>
          <w:i/>
        </w:rPr>
        <w:t xml:space="preserve">account privileges </w:t>
      </w:r>
      <w:r w:rsidRPr="00B809E9">
        <w:t>in subrule 1.7(1) of these rules.</w:t>
      </w:r>
    </w:p>
    <w:p w14:paraId="78BD5F1F" w14:textId="77777777" w:rsidR="00BB7660" w:rsidRPr="00B809E9" w:rsidRDefault="00BB7660" w:rsidP="00BB7660">
      <w:pPr>
        <w:pStyle w:val="subsection"/>
      </w:pPr>
      <w:r w:rsidRPr="00B809E9">
        <w:tab/>
        <w:t>(2)</w:t>
      </w:r>
      <w:r w:rsidRPr="00B809E9">
        <w:tab/>
        <w:t>For the banking sector, a person has account privileges in relation to an account with a data holder if:</w:t>
      </w:r>
    </w:p>
    <w:p w14:paraId="13F70DCB" w14:textId="77777777" w:rsidR="00BB7660" w:rsidRPr="00B809E9" w:rsidRDefault="00BB7660" w:rsidP="00BB7660">
      <w:pPr>
        <w:pStyle w:val="paragraph"/>
      </w:pPr>
      <w:r w:rsidRPr="00B809E9">
        <w:tab/>
        <w:t xml:space="preserve"> (a)</w:t>
      </w:r>
      <w:r w:rsidRPr="00B809E9">
        <w:tab/>
        <w:t>the account is for a phase 1, a phase 2 or a phase 3 product; and</w:t>
      </w:r>
    </w:p>
    <w:p w14:paraId="07D8DD05" w14:textId="77777777" w:rsidR="00BB7660" w:rsidRDefault="00BB7660" w:rsidP="00BB7660">
      <w:pPr>
        <w:pStyle w:val="paragraph"/>
      </w:pPr>
      <w:r w:rsidRPr="00B809E9">
        <w:tab/>
        <w:t xml:space="preserve"> (b)</w:t>
      </w:r>
      <w:r w:rsidRPr="00B809E9">
        <w:tab/>
        <w:t>the person is able to make transactions on the account.</w:t>
      </w:r>
    </w:p>
    <w:p w14:paraId="25A3CC1B" w14:textId="77777777" w:rsidR="00BB7660" w:rsidRPr="00A00F6F" w:rsidRDefault="00BB7660" w:rsidP="00BB7660">
      <w:pPr>
        <w:pStyle w:val="ActHead5"/>
      </w:pPr>
      <w:bookmarkStart w:id="673" w:name="_Toc111132273"/>
      <w:r w:rsidRPr="00A00F6F">
        <w:t>2.3  Consumer dashboard—application of rule 1.15</w:t>
      </w:r>
      <w:bookmarkEnd w:id="673"/>
    </w:p>
    <w:p w14:paraId="17D9DFA2" w14:textId="77777777" w:rsidR="00BB7660" w:rsidRPr="00A00F6F" w:rsidRDefault="00BB7660" w:rsidP="00BB7660">
      <w:pPr>
        <w:pStyle w:val="subsection"/>
        <w:rPr>
          <w:rFonts w:eastAsia="Calibri"/>
        </w:rPr>
      </w:pPr>
      <w:r w:rsidRPr="00A00F6F">
        <w:rPr>
          <w:rFonts w:eastAsia="Calibri"/>
        </w:rPr>
        <w:tab/>
      </w:r>
      <w:r w:rsidRPr="00A00F6F">
        <w:rPr>
          <w:rFonts w:eastAsia="Calibri"/>
        </w:rPr>
        <w:tab/>
        <w:t>For subrule 1.15(1), if a data holder receives a consumer data request from an accredited person on behalf of an eligible CDR consumer the data holder must provide the CDR consumer with the consumer dashboard.</w:t>
      </w:r>
    </w:p>
    <w:p w14:paraId="3967E416" w14:textId="77777777" w:rsidR="006B2062" w:rsidRDefault="006B2062" w:rsidP="006B2062">
      <w:pPr>
        <w:pStyle w:val="subsection"/>
        <w:sectPr w:rsidR="006B2062" w:rsidSect="0051288D">
          <w:headerReference w:type="default" r:id="rId34"/>
          <w:pgSz w:w="11907" w:h="16839" w:code="9"/>
          <w:pgMar w:top="2234" w:right="1797" w:bottom="1440" w:left="1797" w:header="720" w:footer="709" w:gutter="0"/>
          <w:cols w:space="708"/>
          <w:docGrid w:linePitch="360"/>
        </w:sectPr>
      </w:pPr>
      <w:bookmarkStart w:id="674" w:name="_Toc11771728"/>
    </w:p>
    <w:p w14:paraId="61A5E719" w14:textId="77777777" w:rsidR="00BB7660" w:rsidRDefault="00BB7660" w:rsidP="00BB7660">
      <w:pPr>
        <w:pStyle w:val="ActHead2"/>
        <w:pageBreakBefore/>
      </w:pPr>
      <w:bookmarkStart w:id="675" w:name="_Toc111132274"/>
      <w:r>
        <w:lastRenderedPageBreak/>
        <w:t>Part 3—CDR data that may be accessed under these rules—banking sector</w:t>
      </w:r>
      <w:bookmarkEnd w:id="674"/>
      <w:bookmarkEnd w:id="675"/>
    </w:p>
    <w:p w14:paraId="349F9262" w14:textId="77777777" w:rsidR="00BB7660" w:rsidRPr="004A04A4" w:rsidRDefault="00BB7660" w:rsidP="00BB7660">
      <w:pPr>
        <w:pStyle w:val="ActHead5"/>
        <w:rPr>
          <w:color w:val="0000FF"/>
        </w:rPr>
      </w:pPr>
      <w:bookmarkStart w:id="676" w:name="_Toc111132275"/>
      <w:r w:rsidRPr="004A04A4">
        <w:rPr>
          <w:color w:val="0000FF"/>
        </w:rPr>
        <w:t>3.1A  Application of Part</w:t>
      </w:r>
      <w:bookmarkEnd w:id="676"/>
    </w:p>
    <w:p w14:paraId="68BF8D72" w14:textId="77777777" w:rsidR="00BB7660" w:rsidRPr="004A04A4" w:rsidRDefault="00BB7660" w:rsidP="00BB7660">
      <w:pPr>
        <w:pStyle w:val="subsection"/>
        <w:rPr>
          <w:color w:val="0000FF"/>
        </w:rPr>
      </w:pPr>
      <w:r w:rsidRPr="004A04A4">
        <w:rPr>
          <w:color w:val="0000FF"/>
        </w:rPr>
        <w:tab/>
        <w:t>(1)</w:t>
      </w:r>
      <w:r w:rsidRPr="004A04A4">
        <w:rPr>
          <w:color w:val="0000FF"/>
        </w:rPr>
        <w:tab/>
        <w:t>Subject to subclause (2), this Part applies in relation to:</w:t>
      </w:r>
    </w:p>
    <w:p w14:paraId="17A23212" w14:textId="77777777" w:rsidR="00BB7660" w:rsidRPr="004A04A4" w:rsidRDefault="00BB7660" w:rsidP="00BB7660">
      <w:pPr>
        <w:pStyle w:val="paragraph"/>
        <w:rPr>
          <w:color w:val="0000FF"/>
        </w:rPr>
      </w:pPr>
      <w:r w:rsidRPr="004A04A4">
        <w:rPr>
          <w:color w:val="0000FF"/>
        </w:rPr>
        <w:tab/>
        <w:t>(a)</w:t>
      </w:r>
      <w:r w:rsidRPr="004A04A4">
        <w:rPr>
          <w:color w:val="0000FF"/>
        </w:rPr>
        <w:tab/>
        <w:t>phase 1 products; and</w:t>
      </w:r>
    </w:p>
    <w:p w14:paraId="4467A658" w14:textId="77777777" w:rsidR="00BB7660" w:rsidRPr="004A04A4" w:rsidRDefault="00BB7660" w:rsidP="00BB7660">
      <w:pPr>
        <w:pStyle w:val="paragraph"/>
        <w:rPr>
          <w:color w:val="0000FF"/>
        </w:rPr>
      </w:pPr>
      <w:r w:rsidRPr="004A04A4">
        <w:rPr>
          <w:color w:val="0000FF"/>
        </w:rPr>
        <w:tab/>
        <w:t>(b)</w:t>
      </w:r>
      <w:r w:rsidRPr="004A04A4">
        <w:rPr>
          <w:color w:val="0000FF"/>
        </w:rPr>
        <w:tab/>
        <w:t>phase 2 products; and</w:t>
      </w:r>
    </w:p>
    <w:p w14:paraId="57655496" w14:textId="77777777" w:rsidR="00BB7660" w:rsidRPr="004A04A4" w:rsidRDefault="00BB7660" w:rsidP="00BB7660">
      <w:pPr>
        <w:pStyle w:val="paragraph"/>
        <w:rPr>
          <w:color w:val="0000FF"/>
        </w:rPr>
      </w:pPr>
      <w:r w:rsidRPr="004A04A4">
        <w:rPr>
          <w:color w:val="0000FF"/>
        </w:rPr>
        <w:tab/>
        <w:t>(c)</w:t>
      </w:r>
      <w:r w:rsidRPr="004A04A4">
        <w:rPr>
          <w:color w:val="0000FF"/>
        </w:rPr>
        <w:tab/>
        <w:t>phase 3 products.</w:t>
      </w:r>
    </w:p>
    <w:p w14:paraId="656AD76E" w14:textId="77777777" w:rsidR="00BB7660" w:rsidRPr="001E2984" w:rsidRDefault="00BB7660" w:rsidP="00BB7660">
      <w:pPr>
        <w:pStyle w:val="notetext"/>
        <w:rPr>
          <w:color w:val="0000FF"/>
        </w:rPr>
      </w:pPr>
      <w:r w:rsidRPr="004A04A4">
        <w:rPr>
          <w:color w:val="0000FF"/>
        </w:rPr>
        <w:t>Note:</w:t>
      </w:r>
      <w:r w:rsidRPr="004A04A4">
        <w:rPr>
          <w:color w:val="0000FF"/>
        </w:rPr>
        <w:tab/>
        <w:t xml:space="preserve">See Part 6 of this </w:t>
      </w:r>
      <w:r w:rsidRPr="001E2984">
        <w:rPr>
          <w:color w:val="0000FF"/>
        </w:rPr>
        <w:t>Schedule for the staged application of these rules to the banking sector. CDR data relating to different phase products will become available at different times, in accordance with that Part.</w:t>
      </w:r>
    </w:p>
    <w:p w14:paraId="4ED7881A" w14:textId="77777777" w:rsidR="00BB7660" w:rsidRPr="009B680A" w:rsidRDefault="00BB7660" w:rsidP="00BB7660">
      <w:pPr>
        <w:pStyle w:val="SubsectionHead"/>
        <w:rPr>
          <w:color w:val="0000FF"/>
        </w:rPr>
      </w:pPr>
      <w:r w:rsidRPr="009B680A">
        <w:rPr>
          <w:color w:val="0000FF"/>
        </w:rPr>
        <w:t>Trial products</w:t>
      </w:r>
    </w:p>
    <w:p w14:paraId="3D8D31ED" w14:textId="77777777" w:rsidR="00BB7660" w:rsidRPr="009B680A" w:rsidRDefault="00BB7660" w:rsidP="00BB7660">
      <w:pPr>
        <w:pStyle w:val="subsection"/>
        <w:rPr>
          <w:color w:val="0000FF"/>
        </w:rPr>
      </w:pPr>
      <w:r w:rsidRPr="009B680A">
        <w:rPr>
          <w:color w:val="0000FF"/>
        </w:rPr>
        <w:tab/>
        <w:t>(2)</w:t>
      </w:r>
      <w:r w:rsidRPr="009B680A">
        <w:rPr>
          <w:color w:val="0000FF"/>
        </w:rPr>
        <w:tab/>
        <w:t>This Part does not apply in relation to a product while it is a trial product.</w:t>
      </w:r>
    </w:p>
    <w:p w14:paraId="6CC11AD3" w14:textId="77777777" w:rsidR="00BB7660" w:rsidRPr="009B680A" w:rsidRDefault="00BB7660" w:rsidP="00BB7660">
      <w:pPr>
        <w:pStyle w:val="notetext"/>
        <w:rPr>
          <w:color w:val="0000FF"/>
        </w:rPr>
      </w:pPr>
      <w:r w:rsidRPr="009B680A">
        <w:rPr>
          <w:color w:val="0000FF"/>
        </w:rPr>
        <w:t>Note:</w:t>
      </w:r>
      <w:r w:rsidRPr="009B680A">
        <w:rPr>
          <w:color w:val="0000FF"/>
        </w:rPr>
        <w:tab/>
      </w:r>
      <w:r w:rsidR="0023337C" w:rsidRPr="009B680A">
        <w:rPr>
          <w:color w:val="0000FF"/>
        </w:rPr>
        <w:t xml:space="preserve">If a trial product ceases to be a trial product in accordance with subclause 1.5(2), the data holder must comply with its obligations under this Part in relation to the product. </w:t>
      </w:r>
      <w:r w:rsidRPr="009B680A">
        <w:rPr>
          <w:color w:val="0000FF"/>
        </w:rPr>
        <w:t>The obligations cover any CDR data generated while the product was a trial product.</w:t>
      </w:r>
    </w:p>
    <w:p w14:paraId="472F06AA" w14:textId="77777777" w:rsidR="001E2984" w:rsidRPr="009B680A" w:rsidRDefault="001E2984" w:rsidP="001E2984">
      <w:pPr>
        <w:shd w:val="clear" w:color="auto" w:fill="FFFFFF"/>
        <w:spacing w:before="280" w:line="240" w:lineRule="auto"/>
        <w:ind w:left="1134" w:hanging="1134"/>
        <w:rPr>
          <w:rFonts w:eastAsia="Times New Roman" w:cs="Times New Roman"/>
          <w:b/>
          <w:bCs/>
          <w:strike/>
          <w:color w:val="0000FF"/>
          <w:sz w:val="24"/>
          <w:szCs w:val="24"/>
          <w:lang w:eastAsia="en-AU"/>
        </w:rPr>
      </w:pPr>
      <w:bookmarkStart w:id="677" w:name="_Toc96610711"/>
      <w:bookmarkStart w:id="678" w:name="_Toc11771729"/>
      <w:r w:rsidRPr="009B680A">
        <w:rPr>
          <w:rFonts w:eastAsia="Times New Roman" w:cs="Times New Roman"/>
          <w:b/>
          <w:bCs/>
          <w:strike/>
          <w:color w:val="0000FF"/>
          <w:sz w:val="24"/>
          <w:szCs w:val="24"/>
          <w:lang w:eastAsia="en-AU"/>
        </w:rPr>
        <w:t>3.1A  Application of Part</w:t>
      </w:r>
      <w:bookmarkEnd w:id="677"/>
    </w:p>
    <w:p w14:paraId="721F84E4" w14:textId="77777777" w:rsidR="001E2984" w:rsidRPr="009B680A" w:rsidRDefault="001E2984" w:rsidP="001E2984">
      <w:pPr>
        <w:shd w:val="clear" w:color="auto" w:fill="FFFFFF"/>
        <w:spacing w:before="180" w:line="240" w:lineRule="auto"/>
        <w:ind w:left="1134" w:hanging="1134"/>
        <w:rPr>
          <w:rFonts w:eastAsia="Times New Roman" w:cs="Times New Roman"/>
          <w:strike/>
          <w:color w:val="0000FF"/>
          <w:szCs w:val="22"/>
          <w:lang w:eastAsia="en-AU"/>
        </w:rPr>
      </w:pPr>
      <w:r w:rsidRPr="009B680A">
        <w:rPr>
          <w:rFonts w:eastAsia="Times New Roman" w:cs="Times New Roman"/>
          <w:strike/>
          <w:color w:val="0000FF"/>
          <w:szCs w:val="22"/>
          <w:lang w:eastAsia="en-AU"/>
        </w:rPr>
        <w:t>                   This Part applies in relation to:</w:t>
      </w:r>
    </w:p>
    <w:p w14:paraId="3E3A1690" w14:textId="77777777" w:rsidR="001E2984" w:rsidRPr="001E2984" w:rsidRDefault="001E2984" w:rsidP="001E2984">
      <w:pPr>
        <w:shd w:val="clear" w:color="auto" w:fill="FFFFFF"/>
        <w:spacing w:before="40" w:line="240" w:lineRule="auto"/>
        <w:ind w:left="1644" w:hanging="1644"/>
        <w:rPr>
          <w:rFonts w:eastAsia="Times New Roman" w:cs="Times New Roman"/>
          <w:strike/>
          <w:color w:val="0000FF"/>
          <w:szCs w:val="22"/>
          <w:lang w:eastAsia="en-AU"/>
        </w:rPr>
      </w:pPr>
      <w:r w:rsidRPr="001E2984">
        <w:rPr>
          <w:rFonts w:eastAsia="Times New Roman" w:cs="Times New Roman"/>
          <w:strike/>
          <w:color w:val="0000FF"/>
          <w:szCs w:val="22"/>
          <w:lang w:eastAsia="en-AU"/>
        </w:rPr>
        <w:t>                     (a)  phase 1 products; and</w:t>
      </w:r>
    </w:p>
    <w:p w14:paraId="55807657" w14:textId="77777777" w:rsidR="001E2984" w:rsidRPr="001E2984" w:rsidRDefault="001E2984" w:rsidP="001E2984">
      <w:pPr>
        <w:shd w:val="clear" w:color="auto" w:fill="FFFFFF"/>
        <w:spacing w:before="40" w:line="240" w:lineRule="auto"/>
        <w:ind w:left="1644" w:hanging="1644"/>
        <w:rPr>
          <w:rFonts w:eastAsia="Times New Roman" w:cs="Times New Roman"/>
          <w:strike/>
          <w:color w:val="0000FF"/>
          <w:szCs w:val="22"/>
          <w:lang w:eastAsia="en-AU"/>
        </w:rPr>
      </w:pPr>
      <w:r w:rsidRPr="001E2984">
        <w:rPr>
          <w:rFonts w:eastAsia="Times New Roman" w:cs="Times New Roman"/>
          <w:strike/>
          <w:color w:val="0000FF"/>
          <w:szCs w:val="22"/>
          <w:lang w:eastAsia="en-AU"/>
        </w:rPr>
        <w:t>                     (b)  phase 2 products; and</w:t>
      </w:r>
    </w:p>
    <w:p w14:paraId="3C48D441" w14:textId="77777777" w:rsidR="001E2984" w:rsidRPr="001E2984" w:rsidRDefault="001E2984" w:rsidP="001E2984">
      <w:pPr>
        <w:shd w:val="clear" w:color="auto" w:fill="FFFFFF"/>
        <w:spacing w:before="40" w:line="240" w:lineRule="auto"/>
        <w:ind w:left="1644" w:hanging="1644"/>
        <w:rPr>
          <w:rFonts w:eastAsia="Times New Roman" w:cs="Times New Roman"/>
          <w:strike/>
          <w:color w:val="0000FF"/>
          <w:szCs w:val="22"/>
          <w:lang w:eastAsia="en-AU"/>
        </w:rPr>
      </w:pPr>
      <w:r w:rsidRPr="001E2984">
        <w:rPr>
          <w:rFonts w:eastAsia="Times New Roman" w:cs="Times New Roman"/>
          <w:strike/>
          <w:color w:val="0000FF"/>
          <w:szCs w:val="22"/>
          <w:lang w:eastAsia="en-AU"/>
        </w:rPr>
        <w:t>                     (c)  phase 3 products.</w:t>
      </w:r>
    </w:p>
    <w:p w14:paraId="510383A0" w14:textId="77777777" w:rsidR="001E2984" w:rsidRPr="001E2984" w:rsidRDefault="001E2984" w:rsidP="001E2984">
      <w:pPr>
        <w:shd w:val="clear" w:color="auto" w:fill="FFFFFF"/>
        <w:spacing w:before="122" w:line="240" w:lineRule="auto"/>
        <w:ind w:left="1985" w:hanging="851"/>
        <w:rPr>
          <w:rFonts w:eastAsia="Times New Roman" w:cs="Times New Roman"/>
          <w:strike/>
          <w:color w:val="0000FF"/>
          <w:sz w:val="18"/>
          <w:szCs w:val="18"/>
          <w:lang w:eastAsia="en-AU"/>
        </w:rPr>
      </w:pPr>
      <w:r w:rsidRPr="001E2984">
        <w:rPr>
          <w:rFonts w:eastAsia="Times New Roman" w:cs="Times New Roman"/>
          <w:strike/>
          <w:color w:val="0000FF"/>
          <w:sz w:val="18"/>
          <w:szCs w:val="18"/>
          <w:lang w:eastAsia="en-AU"/>
        </w:rPr>
        <w:t>Note:          See Part 6 of this Schedule for the staged application of these rules to the banking sector. CDR data relating to different phase products will become available at different times, in accordance with that Part.</w:t>
      </w:r>
    </w:p>
    <w:p w14:paraId="0EDD6BF1" w14:textId="77777777" w:rsidR="00BB7660" w:rsidRDefault="00BB7660" w:rsidP="00BB7660">
      <w:pPr>
        <w:pStyle w:val="ActHead5"/>
      </w:pPr>
      <w:bookmarkStart w:id="679" w:name="_Toc111132276"/>
      <w:r>
        <w:rPr>
          <w:color w:val="000000"/>
        </w:rPr>
        <w:t>3.1</w:t>
      </w:r>
      <w:r w:rsidRPr="00641354">
        <w:rPr>
          <w:color w:val="000000"/>
        </w:rPr>
        <w:t xml:space="preserve">  </w:t>
      </w:r>
      <w:r w:rsidRPr="0023036E">
        <w:t xml:space="preserve">Meaning of </w:t>
      </w:r>
      <w:r w:rsidRPr="0023036E">
        <w:rPr>
          <w:i/>
        </w:rPr>
        <w:t>required product data</w:t>
      </w:r>
      <w:r w:rsidRPr="0023036E">
        <w:t xml:space="preserve"> and </w:t>
      </w:r>
      <w:r w:rsidRPr="0023036E">
        <w:rPr>
          <w:i/>
        </w:rPr>
        <w:t>voluntary product data</w:t>
      </w:r>
      <w:r w:rsidRPr="0023036E">
        <w:t>—banking sector</w:t>
      </w:r>
      <w:bookmarkEnd w:id="678"/>
      <w:bookmarkEnd w:id="679"/>
    </w:p>
    <w:p w14:paraId="5F82B5B8" w14:textId="77777777" w:rsidR="00BB7660" w:rsidRPr="0023036E" w:rsidRDefault="00BB7660" w:rsidP="00BB7660">
      <w:pPr>
        <w:pStyle w:val="subsection"/>
      </w:pPr>
      <w:r w:rsidRPr="0023036E">
        <w:tab/>
      </w:r>
      <w:r>
        <w:t>(1)</w:t>
      </w:r>
      <w:r w:rsidRPr="0023036E">
        <w:tab/>
        <w:t xml:space="preserve">For these rules, </w:t>
      </w:r>
      <w:r w:rsidRPr="0023036E">
        <w:rPr>
          <w:b/>
          <w:i/>
        </w:rPr>
        <w:t>required product data</w:t>
      </w:r>
      <w:r w:rsidRPr="0023036E">
        <w:t>,</w:t>
      </w:r>
      <w:r>
        <w:t xml:space="preserve"> </w:t>
      </w:r>
      <w:r w:rsidRPr="0023036E">
        <w:t xml:space="preserve">in relation to </w:t>
      </w:r>
      <w:r w:rsidRPr="00A00F6F">
        <w:t xml:space="preserve">a data holder in </w:t>
      </w:r>
      <w:r w:rsidRPr="0023036E">
        <w:t>the banking sector, means CDR data</w:t>
      </w:r>
      <w:r w:rsidRPr="00814B1D">
        <w:t xml:space="preserve"> for which there are no CDR consumers</w:t>
      </w:r>
      <w:r w:rsidRPr="0023036E">
        <w:t>:</w:t>
      </w:r>
    </w:p>
    <w:p w14:paraId="34824463" w14:textId="77777777" w:rsidR="00BB7660" w:rsidRPr="007E1269" w:rsidRDefault="00BB7660" w:rsidP="00BB7660">
      <w:pPr>
        <w:pStyle w:val="paragraph"/>
      </w:pPr>
      <w:r w:rsidRPr="007E1269">
        <w:tab/>
      </w:r>
      <w:r>
        <w:t>(a)</w:t>
      </w:r>
      <w:r w:rsidRPr="007E1269">
        <w:tab/>
      </w:r>
      <w:r w:rsidRPr="00814B1D">
        <w:t>that is</w:t>
      </w:r>
      <w:r w:rsidRPr="007E1269">
        <w:t xml:space="preserve"> within a class of information specified in the banking sector designation instrument; and</w:t>
      </w:r>
    </w:p>
    <w:p w14:paraId="04865D10" w14:textId="77777777" w:rsidR="00BB7660" w:rsidRPr="0023036E" w:rsidRDefault="00BB7660" w:rsidP="00BB7660">
      <w:pPr>
        <w:pStyle w:val="paragraph"/>
      </w:pPr>
      <w:r w:rsidRPr="0023036E">
        <w:tab/>
      </w:r>
      <w:r>
        <w:t>(b)</w:t>
      </w:r>
      <w:r w:rsidRPr="0023036E">
        <w:tab/>
      </w:r>
      <w:r w:rsidRPr="007E1269">
        <w:t xml:space="preserve">that is </w:t>
      </w:r>
      <w:r w:rsidRPr="0023036E">
        <w:t>about the eligibility criteria, terms and conditions, price, availability or performance of a product; and</w:t>
      </w:r>
    </w:p>
    <w:p w14:paraId="31ACF326" w14:textId="77777777" w:rsidR="00BB7660" w:rsidRPr="0023036E" w:rsidRDefault="00BB7660" w:rsidP="00BB7660">
      <w:pPr>
        <w:pStyle w:val="paragraph"/>
      </w:pPr>
      <w:r w:rsidRPr="0023036E">
        <w:tab/>
      </w:r>
      <w:r>
        <w:t>(c)</w:t>
      </w:r>
      <w:r w:rsidRPr="0023036E">
        <w:tab/>
        <w:t>in the case where the CDR data is about availability or performance—</w:t>
      </w:r>
      <w:r w:rsidRPr="007E1269">
        <w:t xml:space="preserve">that is </w:t>
      </w:r>
      <w:r w:rsidRPr="0023036E">
        <w:t>publicly available; and</w:t>
      </w:r>
    </w:p>
    <w:p w14:paraId="52F8C575" w14:textId="77777777" w:rsidR="00BB7660" w:rsidRPr="0023036E" w:rsidRDefault="00BB7660" w:rsidP="00BB7660">
      <w:pPr>
        <w:pStyle w:val="paragraph"/>
      </w:pPr>
      <w:r w:rsidRPr="0023036E">
        <w:tab/>
      </w:r>
      <w:r>
        <w:t>(d)</w:t>
      </w:r>
      <w:r w:rsidRPr="0023036E">
        <w:tab/>
      </w:r>
      <w:r w:rsidRPr="007E1269">
        <w:t xml:space="preserve">that is </w:t>
      </w:r>
      <w:r w:rsidRPr="0023036E">
        <w:t>product specific data about</w:t>
      </w:r>
      <w:r>
        <w:t xml:space="preserve"> </w:t>
      </w:r>
      <w:r w:rsidRPr="00814B1D">
        <w:t>a</w:t>
      </w:r>
      <w:r>
        <w:t xml:space="preserve"> </w:t>
      </w:r>
      <w:r w:rsidRPr="0023036E">
        <w:t>product; and</w:t>
      </w:r>
    </w:p>
    <w:p w14:paraId="2CBBEC60" w14:textId="77777777" w:rsidR="00BB7660" w:rsidRPr="0023036E" w:rsidRDefault="00BB7660" w:rsidP="00BB7660">
      <w:pPr>
        <w:pStyle w:val="paragraph"/>
      </w:pPr>
      <w:r w:rsidRPr="0023036E">
        <w:tab/>
      </w:r>
      <w:r>
        <w:t>(e)</w:t>
      </w:r>
      <w:r w:rsidRPr="0023036E">
        <w:tab/>
      </w:r>
      <w:r w:rsidRPr="007E1269">
        <w:t xml:space="preserve">that is </w:t>
      </w:r>
      <w:r w:rsidRPr="0023036E">
        <w:t>held in a digital form.</w:t>
      </w:r>
    </w:p>
    <w:p w14:paraId="4067F4AB" w14:textId="77777777" w:rsidR="00BB7660" w:rsidRPr="008E428F" w:rsidRDefault="00BB7660" w:rsidP="00BB7660">
      <w:pPr>
        <w:pStyle w:val="notetext"/>
      </w:pPr>
      <w:r w:rsidRPr="008E428F">
        <w:t xml:space="preserve">Note: </w:t>
      </w:r>
      <w:r w:rsidRPr="008E428F">
        <w:tab/>
        <w:t>Paragraphs </w:t>
      </w:r>
      <w:r>
        <w:t>(b)</w:t>
      </w:r>
      <w:r w:rsidRPr="008E428F">
        <w:t xml:space="preserve"> and </w:t>
      </w:r>
      <w:r>
        <w:t>(c)</w:t>
      </w:r>
      <w:r w:rsidRPr="008E428F">
        <w:t xml:space="preserve"> are based on subsection 56BF(1) of the Act.</w:t>
      </w:r>
    </w:p>
    <w:p w14:paraId="6F221D22" w14:textId="77777777" w:rsidR="00BB7660" w:rsidRDefault="00BB7660" w:rsidP="00BB7660">
      <w:pPr>
        <w:pStyle w:val="subsection"/>
      </w:pPr>
      <w:r w:rsidRPr="0023036E">
        <w:tab/>
      </w:r>
      <w:r>
        <w:t>(2)</w:t>
      </w:r>
      <w:r w:rsidRPr="0023036E">
        <w:tab/>
        <w:t xml:space="preserve">For these rules, </w:t>
      </w:r>
      <w:r w:rsidRPr="0023036E">
        <w:rPr>
          <w:b/>
          <w:i/>
        </w:rPr>
        <w:t>voluntary product data</w:t>
      </w:r>
      <w:r w:rsidRPr="0023036E">
        <w:t xml:space="preserve">, in relation to </w:t>
      </w:r>
      <w:r w:rsidRPr="00A00F6F">
        <w:t xml:space="preserve">a data holder in </w:t>
      </w:r>
      <w:r w:rsidRPr="0023036E">
        <w:t>the banking sector, means CDR data</w:t>
      </w:r>
      <w:r>
        <w:t xml:space="preserve"> </w:t>
      </w:r>
      <w:r w:rsidRPr="00814B1D">
        <w:t>for which there are no CDR consumers</w:t>
      </w:r>
      <w:r w:rsidRPr="007C39E2">
        <w:t>:</w:t>
      </w:r>
    </w:p>
    <w:p w14:paraId="0AC49977" w14:textId="77777777" w:rsidR="00BB7660" w:rsidRPr="00814B1D" w:rsidRDefault="00BB7660" w:rsidP="00BB7660">
      <w:pPr>
        <w:pStyle w:val="paragraph"/>
      </w:pPr>
      <w:r w:rsidRPr="00814B1D">
        <w:lastRenderedPageBreak/>
        <w:tab/>
      </w:r>
      <w:r>
        <w:t>(a)</w:t>
      </w:r>
      <w:r w:rsidRPr="00814B1D">
        <w:tab/>
        <w:t>that is within a class of information specified in the banking sector designation instrument; and</w:t>
      </w:r>
    </w:p>
    <w:p w14:paraId="3340244D" w14:textId="77777777" w:rsidR="00BB7660" w:rsidRDefault="00BB7660" w:rsidP="00BB7660">
      <w:pPr>
        <w:pStyle w:val="paragraph"/>
        <w:rPr>
          <w:color w:val="000000" w:themeColor="text1"/>
        </w:rPr>
      </w:pPr>
      <w:r>
        <w:tab/>
      </w:r>
      <w:r>
        <w:rPr>
          <w:color w:val="000000" w:themeColor="text1"/>
        </w:rPr>
        <w:t>(b)</w:t>
      </w:r>
      <w:r w:rsidRPr="00E53912">
        <w:rPr>
          <w:color w:val="000000" w:themeColor="text1"/>
        </w:rPr>
        <w:tab/>
        <w:t>that is</w:t>
      </w:r>
      <w:r>
        <w:rPr>
          <w:color w:val="000000" w:themeColor="text1"/>
        </w:rPr>
        <w:t xml:space="preserve"> </w:t>
      </w:r>
      <w:r w:rsidRPr="00814B1D">
        <w:t>product specific data</w:t>
      </w:r>
      <w:r w:rsidRPr="00E53912">
        <w:rPr>
          <w:color w:val="000000" w:themeColor="text1"/>
        </w:rPr>
        <w:t xml:space="preserve"> about a product; and</w:t>
      </w:r>
    </w:p>
    <w:p w14:paraId="3EBD6F0C" w14:textId="77777777" w:rsidR="00BB7660" w:rsidRDefault="00BB7660" w:rsidP="00BB7660">
      <w:pPr>
        <w:pStyle w:val="paragraph"/>
      </w:pPr>
      <w:r w:rsidRPr="007C39E2">
        <w:tab/>
      </w:r>
      <w:r>
        <w:t>(c)</w:t>
      </w:r>
      <w:r w:rsidRPr="007C39E2">
        <w:tab/>
        <w:t>that is not required product data.</w:t>
      </w:r>
    </w:p>
    <w:p w14:paraId="0459E75F" w14:textId="77777777" w:rsidR="00BB7660" w:rsidRPr="00A00F6F" w:rsidRDefault="00BB7660" w:rsidP="00BB7660">
      <w:pPr>
        <w:pStyle w:val="subsection"/>
      </w:pPr>
      <w:r w:rsidRPr="00A00F6F">
        <w:tab/>
        <w:t>(3)</w:t>
      </w:r>
      <w:r w:rsidRPr="00A00F6F">
        <w:tab/>
        <w:t xml:space="preserve">In this clause, a reference to a </w:t>
      </w:r>
      <w:r w:rsidRPr="00A00F6F">
        <w:rPr>
          <w:b/>
          <w:i/>
        </w:rPr>
        <w:t>product</w:t>
      </w:r>
      <w:r w:rsidRPr="00A00F6F">
        <w:t xml:space="preserve"> is a reference to a product offered by or on behalf of the data holder.</w:t>
      </w:r>
    </w:p>
    <w:p w14:paraId="080DC9FC" w14:textId="77777777" w:rsidR="00BB7660" w:rsidRDefault="00BB7660" w:rsidP="00BB7660">
      <w:pPr>
        <w:pStyle w:val="ActHead5"/>
      </w:pPr>
      <w:bookmarkStart w:id="680" w:name="_Toc11771730"/>
      <w:bookmarkStart w:id="681" w:name="_Toc111132277"/>
      <w:r>
        <w:t>3.2</w:t>
      </w:r>
      <w:r w:rsidRPr="0023036E">
        <w:t xml:space="preserve">  Meaning of </w:t>
      </w:r>
      <w:r w:rsidRPr="0023036E">
        <w:rPr>
          <w:i/>
        </w:rPr>
        <w:t>required consumer data</w:t>
      </w:r>
      <w:r w:rsidRPr="0023036E">
        <w:t xml:space="preserve"> and </w:t>
      </w:r>
      <w:r w:rsidRPr="0023036E">
        <w:rPr>
          <w:i/>
        </w:rPr>
        <w:t>voluntary consumer data</w:t>
      </w:r>
      <w:r w:rsidRPr="0023036E">
        <w:t>—banking sector</w:t>
      </w:r>
      <w:bookmarkEnd w:id="680"/>
      <w:bookmarkEnd w:id="681"/>
    </w:p>
    <w:p w14:paraId="140A6AF1" w14:textId="77777777" w:rsidR="00BB7660" w:rsidRPr="00105D54" w:rsidRDefault="00BB7660" w:rsidP="00BB7660">
      <w:pPr>
        <w:pStyle w:val="subsection"/>
      </w:pPr>
      <w:r w:rsidRPr="00105D54">
        <w:tab/>
      </w:r>
      <w:r>
        <w:t>(1)</w:t>
      </w:r>
      <w:r w:rsidRPr="00105D54">
        <w:tab/>
        <w:t xml:space="preserve">For these rules, subject to this clause, </w:t>
      </w:r>
      <w:r w:rsidRPr="00105D54">
        <w:rPr>
          <w:b/>
          <w:i/>
        </w:rPr>
        <w:t>required consumer data</w:t>
      </w:r>
      <w:r w:rsidRPr="00BF3A1C">
        <w:rPr>
          <w:i/>
        </w:rPr>
        <w:t>,</w:t>
      </w:r>
      <w:r w:rsidRPr="00105D54">
        <w:rPr>
          <w:b/>
          <w:i/>
        </w:rPr>
        <w:t xml:space="preserve"> </w:t>
      </w:r>
      <w:r w:rsidRPr="00105D54">
        <w:t>in relation to the banking sector</w:t>
      </w:r>
      <w:r w:rsidRPr="00814B1D">
        <w:t>, means CDR data for which there are one or more CDR consumers</w:t>
      </w:r>
      <w:r w:rsidRPr="00105D54">
        <w:t>:</w:t>
      </w:r>
    </w:p>
    <w:p w14:paraId="6EB56156" w14:textId="77777777" w:rsidR="00BB7660" w:rsidRPr="00814B1D" w:rsidRDefault="00BB7660" w:rsidP="00BB7660">
      <w:pPr>
        <w:pStyle w:val="paragraph"/>
      </w:pPr>
      <w:r w:rsidRPr="00814B1D">
        <w:tab/>
      </w:r>
      <w:r>
        <w:t>(a)</w:t>
      </w:r>
      <w:r w:rsidRPr="00814B1D">
        <w:tab/>
        <w:t>that is within a class of information specified in the banking sector designation instrument; and</w:t>
      </w:r>
    </w:p>
    <w:p w14:paraId="3F640C84" w14:textId="77777777" w:rsidR="00BB7660" w:rsidRPr="00105D54" w:rsidRDefault="00BB7660" w:rsidP="00BB7660">
      <w:pPr>
        <w:pStyle w:val="paragraph"/>
      </w:pPr>
      <w:r w:rsidRPr="00105D54">
        <w:tab/>
      </w:r>
      <w:r>
        <w:t>(b)</w:t>
      </w:r>
      <w:r w:rsidRPr="00105D54">
        <w:tab/>
      </w:r>
      <w:r w:rsidRPr="00814B1D">
        <w:t xml:space="preserve">that </w:t>
      </w:r>
      <w:r w:rsidRPr="00105D54">
        <w:t>is:</w:t>
      </w:r>
    </w:p>
    <w:p w14:paraId="7C40E98F" w14:textId="77777777" w:rsidR="00BB7660" w:rsidRPr="00105D54" w:rsidRDefault="00BB7660" w:rsidP="00BB7660">
      <w:pPr>
        <w:pStyle w:val="paragraphsub"/>
      </w:pPr>
      <w:r w:rsidRPr="00105D54">
        <w:tab/>
      </w:r>
      <w:r>
        <w:t>(i)</w:t>
      </w:r>
      <w:r w:rsidRPr="00105D54">
        <w:tab/>
        <w:t xml:space="preserve">customer data in relation to </w:t>
      </w:r>
      <w:r w:rsidRPr="00814B1D">
        <w:t xml:space="preserve">a CDR </w:t>
      </w:r>
      <w:r w:rsidRPr="00105D54">
        <w:t>consumer; or</w:t>
      </w:r>
    </w:p>
    <w:p w14:paraId="614D0956" w14:textId="77777777" w:rsidR="00BB7660" w:rsidRPr="00CA7872" w:rsidRDefault="00BB7660" w:rsidP="00BB7660">
      <w:pPr>
        <w:pStyle w:val="paragraphsub"/>
      </w:pPr>
      <w:r w:rsidRPr="00CA7872">
        <w:tab/>
        <w:t>(ii)</w:t>
      </w:r>
      <w:r w:rsidRPr="00CA7872">
        <w:tab/>
        <w:t>account data in relation to an account of any of the following types (whether or not the account can be accessed online, and, subject to subclauses (4) and (5), whether or not open):</w:t>
      </w:r>
    </w:p>
    <w:p w14:paraId="636C01C8" w14:textId="77777777" w:rsidR="00BB7660" w:rsidRPr="00CA7872" w:rsidRDefault="00BB7660" w:rsidP="00BB7660">
      <w:pPr>
        <w:pStyle w:val="paragraphsub-sub"/>
      </w:pPr>
      <w:r w:rsidRPr="00CA7872">
        <w:tab/>
        <w:t>(A)</w:t>
      </w:r>
      <w:r w:rsidRPr="00CA7872">
        <w:tab/>
        <w:t>an account held by a CDR consumer in their name alone;</w:t>
      </w:r>
    </w:p>
    <w:p w14:paraId="418D31D1" w14:textId="77777777" w:rsidR="00BB7660" w:rsidRPr="00CA7872" w:rsidRDefault="00BB7660" w:rsidP="00BB7660">
      <w:pPr>
        <w:pStyle w:val="paragraphsub-sub"/>
      </w:pPr>
      <w:r w:rsidRPr="00CA7872">
        <w:tab/>
        <w:t>(B)</w:t>
      </w:r>
      <w:r w:rsidRPr="00CA7872">
        <w:tab/>
        <w:t>a joint account;</w:t>
      </w:r>
    </w:p>
    <w:p w14:paraId="60BD08CC" w14:textId="77777777" w:rsidR="00BB7660" w:rsidRPr="00CA7872" w:rsidRDefault="00BB7660" w:rsidP="00BB7660">
      <w:pPr>
        <w:pStyle w:val="paragraphsub-sub"/>
      </w:pPr>
      <w:r w:rsidRPr="00CA7872">
        <w:tab/>
        <w:t>(C)</w:t>
      </w:r>
      <w:r w:rsidRPr="00CA7872">
        <w:tab/>
        <w:t>a partnership account; or</w:t>
      </w:r>
      <w:r w:rsidRPr="00CA7872">
        <w:tab/>
      </w:r>
    </w:p>
    <w:p w14:paraId="4F076D33" w14:textId="77777777" w:rsidR="00BB7660" w:rsidRPr="00105D54" w:rsidRDefault="00BB7660" w:rsidP="00BB7660">
      <w:pPr>
        <w:pStyle w:val="paragraphsub"/>
      </w:pPr>
      <w:r w:rsidRPr="00105D54">
        <w:tab/>
      </w:r>
      <w:r>
        <w:t>(iii)</w:t>
      </w:r>
      <w:r w:rsidRPr="00105D54">
        <w:tab/>
        <w:t xml:space="preserve">transaction data in relation to a transaction </w:t>
      </w:r>
      <w:r w:rsidRPr="00AB210C">
        <w:t xml:space="preserve">on any such </w:t>
      </w:r>
      <w:r w:rsidRPr="00105D54">
        <w:t>account; or</w:t>
      </w:r>
    </w:p>
    <w:p w14:paraId="6AF5175D" w14:textId="77777777" w:rsidR="00BB7660" w:rsidRDefault="00BB7660" w:rsidP="00BB7660">
      <w:pPr>
        <w:pStyle w:val="paragraphsub"/>
      </w:pPr>
      <w:r w:rsidRPr="00105D54">
        <w:tab/>
      </w:r>
      <w:r>
        <w:t>(iv)</w:t>
      </w:r>
      <w:r w:rsidRPr="00105D54">
        <w:tab/>
        <w:t xml:space="preserve">product specific data in relation to a product that </w:t>
      </w:r>
      <w:r w:rsidRPr="00814B1D">
        <w:t xml:space="preserve">a CDR </w:t>
      </w:r>
      <w:r w:rsidRPr="00105D54">
        <w:t>consumer uses</w:t>
      </w:r>
      <w:r>
        <w:t xml:space="preserve"> and that relates to any such account</w:t>
      </w:r>
      <w:r w:rsidRPr="00105D54">
        <w:t>; and</w:t>
      </w:r>
    </w:p>
    <w:p w14:paraId="578E42D2" w14:textId="77777777" w:rsidR="00BB7660" w:rsidRDefault="00BB7660" w:rsidP="00BB7660">
      <w:pPr>
        <w:pStyle w:val="paragraph"/>
      </w:pPr>
      <w:r w:rsidRPr="00105D54">
        <w:tab/>
      </w:r>
      <w:r>
        <w:t>(c)</w:t>
      </w:r>
      <w:r w:rsidRPr="00105D54">
        <w:tab/>
        <w:t xml:space="preserve">that is held by the data holder </w:t>
      </w:r>
      <w:r w:rsidRPr="008D4396">
        <w:t>in a digital form</w:t>
      </w:r>
      <w:r w:rsidRPr="007C39E2">
        <w:t>.</w:t>
      </w:r>
    </w:p>
    <w:p w14:paraId="07A64BD5" w14:textId="77777777" w:rsidR="00BB7660" w:rsidRDefault="00BB7660" w:rsidP="00BB7660">
      <w:pPr>
        <w:pStyle w:val="notetext"/>
      </w:pPr>
      <w:r>
        <w:t>Note 2</w:t>
      </w:r>
      <w:r w:rsidRPr="00384313">
        <w:t>:</w:t>
      </w:r>
      <w:r w:rsidRPr="00384313">
        <w:tab/>
      </w:r>
      <w:r>
        <w:t>For subparagraph (b)(iv), for a consumer data request, product specific data could include the following:</w:t>
      </w:r>
    </w:p>
    <w:p w14:paraId="11B7E02E" w14:textId="77777777" w:rsidR="00BB7660" w:rsidRDefault="00BB7660" w:rsidP="00BB7660">
      <w:pPr>
        <w:pStyle w:val="notepara"/>
      </w:pPr>
      <w:r w:rsidRPr="00000C1C">
        <w:sym w:font="Symbol" w:char="F0B7"/>
      </w:r>
      <w:r w:rsidRPr="00000C1C">
        <w:tab/>
      </w:r>
      <w:r>
        <w:t xml:space="preserve">any product prices that were negotiated individually with </w:t>
      </w:r>
      <w:r w:rsidRPr="00814B1D">
        <w:t xml:space="preserve">a CDR </w:t>
      </w:r>
      <w:r>
        <w:t>consumer;</w:t>
      </w:r>
    </w:p>
    <w:p w14:paraId="56200838" w14:textId="77777777" w:rsidR="00BB7660" w:rsidRDefault="00BB7660" w:rsidP="00BB7660">
      <w:pPr>
        <w:pStyle w:val="notepara"/>
      </w:pPr>
      <w:r w:rsidRPr="00000C1C">
        <w:sym w:font="Symbol" w:char="F0B7"/>
      </w:r>
      <w:r w:rsidRPr="00000C1C">
        <w:tab/>
      </w:r>
      <w:r>
        <w:t>the interest rates that are current at the time of the request, as well as any other interest rates applicable to the product, and any terms and conditions associated with those interest rates;</w:t>
      </w:r>
    </w:p>
    <w:p w14:paraId="25E83F6F" w14:textId="77777777" w:rsidR="00BB7660" w:rsidRDefault="00BB7660" w:rsidP="00BB7660">
      <w:pPr>
        <w:pStyle w:val="notepara"/>
      </w:pPr>
      <w:r w:rsidRPr="00000C1C">
        <w:sym w:font="Symbol" w:char="F0B7"/>
      </w:r>
      <w:r w:rsidRPr="00000C1C">
        <w:tab/>
      </w:r>
      <w:r>
        <w:t xml:space="preserve">any features and benefits negotiated individually with </w:t>
      </w:r>
      <w:r w:rsidRPr="00814B1D">
        <w:t xml:space="preserve">a CDR </w:t>
      </w:r>
      <w:r>
        <w:t>consumer.</w:t>
      </w:r>
    </w:p>
    <w:p w14:paraId="59D65F29" w14:textId="77777777" w:rsidR="00BB7660" w:rsidRPr="007C39E2" w:rsidRDefault="00BB7660" w:rsidP="00BB7660">
      <w:pPr>
        <w:pStyle w:val="notetext"/>
      </w:pPr>
      <w:r w:rsidRPr="007C39E2">
        <w:t xml:space="preserve">Note </w:t>
      </w:r>
      <w:r>
        <w:t>3</w:t>
      </w:r>
      <w:r w:rsidRPr="007C39E2">
        <w:t>:</w:t>
      </w:r>
      <w:r w:rsidRPr="007C39E2">
        <w:tab/>
        <w:t xml:space="preserve">So long as the CDR consumer is eligible to make a consumer data request in relation to a particular data holder, they will be able to make or cause to be made a consumer data request that relates to any account they have with the data holder, including closed </w:t>
      </w:r>
      <w:r>
        <w:t xml:space="preserve">accounts (subject to subclauses (4) and (5)) </w:t>
      </w:r>
      <w:r w:rsidRPr="007C39E2">
        <w:t>or accounts that cannot be accessed online.</w:t>
      </w:r>
    </w:p>
    <w:p w14:paraId="100D9FEF" w14:textId="77777777" w:rsidR="00BB7660" w:rsidRPr="007C39E2" w:rsidRDefault="00BB7660" w:rsidP="00BB7660">
      <w:pPr>
        <w:pStyle w:val="notetext"/>
      </w:pPr>
      <w:r w:rsidRPr="007C39E2">
        <w:t xml:space="preserve">Note </w:t>
      </w:r>
      <w:r>
        <w:t>4</w:t>
      </w:r>
      <w:r w:rsidRPr="007C39E2">
        <w:t>:</w:t>
      </w:r>
      <w:r w:rsidRPr="007C39E2">
        <w:tab/>
        <w:t>A person is not a data holder of CDR data that was held by or on behalf of them before the earliest holding day (see paragraph 56AJ(1)(b) of the Act). Accordingly, such data cannot be requested under these rules.</w:t>
      </w:r>
    </w:p>
    <w:p w14:paraId="75BD46D9" w14:textId="77777777" w:rsidR="00BB7660" w:rsidRPr="007C39E2" w:rsidRDefault="00BB7660" w:rsidP="00BB7660">
      <w:pPr>
        <w:pStyle w:val="subsection"/>
      </w:pPr>
      <w:r w:rsidRPr="007C39E2">
        <w:tab/>
      </w:r>
      <w:r>
        <w:t>(2)</w:t>
      </w:r>
      <w:r w:rsidRPr="007C39E2">
        <w:tab/>
        <w:t xml:space="preserve">For these rules, subject to this clause, CDR data is </w:t>
      </w:r>
      <w:r w:rsidRPr="007C39E2">
        <w:rPr>
          <w:b/>
          <w:i/>
        </w:rPr>
        <w:t xml:space="preserve">voluntary consumer data </w:t>
      </w:r>
      <w:r w:rsidRPr="007C39E2">
        <w:t>in relation to the banking sector if:</w:t>
      </w:r>
    </w:p>
    <w:p w14:paraId="7953E76B" w14:textId="77777777" w:rsidR="00BB7660" w:rsidRPr="007C39E2" w:rsidRDefault="00BB7660" w:rsidP="00BB7660">
      <w:pPr>
        <w:pStyle w:val="paragraph"/>
      </w:pPr>
      <w:r w:rsidRPr="007C39E2">
        <w:tab/>
      </w:r>
      <w:r>
        <w:t>(a)</w:t>
      </w:r>
      <w:r w:rsidRPr="007C39E2">
        <w:tab/>
        <w:t>there is a CDR consumer for the CDR data; and</w:t>
      </w:r>
    </w:p>
    <w:p w14:paraId="22E1E5FD" w14:textId="77777777" w:rsidR="00BB7660" w:rsidRPr="007C39E2" w:rsidRDefault="00BB7660" w:rsidP="00BB7660">
      <w:pPr>
        <w:pStyle w:val="paragraph"/>
      </w:pPr>
      <w:r w:rsidRPr="007C39E2">
        <w:tab/>
      </w:r>
      <w:r>
        <w:t>(b)</w:t>
      </w:r>
      <w:r w:rsidRPr="007C39E2">
        <w:tab/>
        <w:t>the CDR data is not required consumer data.</w:t>
      </w:r>
    </w:p>
    <w:p w14:paraId="4F40E6F6" w14:textId="77777777" w:rsidR="00BB7660" w:rsidRPr="00F07699" w:rsidRDefault="00BB7660" w:rsidP="00BB7660">
      <w:pPr>
        <w:pStyle w:val="subsection"/>
      </w:pPr>
      <w:r w:rsidRPr="00F07699">
        <w:tab/>
        <w:t>(3)</w:t>
      </w:r>
      <w:r w:rsidRPr="00F07699">
        <w:tab/>
        <w:t>For this clause</w:t>
      </w:r>
      <w:r w:rsidRPr="001643A3">
        <w:t>:</w:t>
      </w:r>
    </w:p>
    <w:p w14:paraId="07E95339" w14:textId="77777777" w:rsidR="00BB7660" w:rsidRPr="00BE51CD" w:rsidRDefault="00BB7660" w:rsidP="00BB7660">
      <w:pPr>
        <w:pStyle w:val="paragraph"/>
      </w:pPr>
      <w:r w:rsidRPr="00BE51CD">
        <w:lastRenderedPageBreak/>
        <w:tab/>
        <w:t>(a)</w:t>
      </w:r>
      <w:r w:rsidRPr="00BE51CD">
        <w:tab/>
        <w:t xml:space="preserve">CDR data is neither </w:t>
      </w:r>
      <w:r w:rsidRPr="00BE51CD">
        <w:rPr>
          <w:b/>
          <w:i/>
        </w:rPr>
        <w:t xml:space="preserve">required consumer data </w:t>
      </w:r>
      <w:r w:rsidRPr="00BE51CD">
        <w:t xml:space="preserve">nor </w:t>
      </w:r>
      <w:r w:rsidRPr="00BE51CD">
        <w:rPr>
          <w:b/>
          <w:i/>
        </w:rPr>
        <w:t>voluntary consumer data</w:t>
      </w:r>
      <w:r w:rsidRPr="00BE51CD">
        <w:t xml:space="preserve"> at a particular time if the data is:</w:t>
      </w:r>
    </w:p>
    <w:p w14:paraId="1D2A5BBF" w14:textId="77777777" w:rsidR="00BB7660" w:rsidRPr="00BE51CD" w:rsidRDefault="00BB7660" w:rsidP="00BB7660">
      <w:pPr>
        <w:pStyle w:val="paragraphsub"/>
      </w:pPr>
      <w:r w:rsidRPr="00BE51CD">
        <w:tab/>
        <w:t>(i)</w:t>
      </w:r>
      <w:r w:rsidRPr="00BE51CD">
        <w:tab/>
        <w:t>account data in relation to an account that is not any of the following:</w:t>
      </w:r>
    </w:p>
    <w:p w14:paraId="7D0E5E0A" w14:textId="77777777" w:rsidR="00BB7660" w:rsidRPr="00BE51CD" w:rsidRDefault="00BB7660" w:rsidP="00BB7660">
      <w:pPr>
        <w:pStyle w:val="paragraphsub-sub"/>
      </w:pPr>
      <w:r w:rsidRPr="00BE51CD">
        <w:tab/>
        <w:t>(A)</w:t>
      </w:r>
      <w:r w:rsidRPr="00BE51CD">
        <w:tab/>
        <w:t>an account held in the name of a single person;</w:t>
      </w:r>
    </w:p>
    <w:p w14:paraId="2B3A938E" w14:textId="77777777" w:rsidR="00BB7660" w:rsidRPr="00BE51CD" w:rsidRDefault="00BB7660" w:rsidP="00BB7660">
      <w:pPr>
        <w:pStyle w:val="paragraphsub-sub"/>
      </w:pPr>
      <w:r w:rsidRPr="00BE51CD">
        <w:tab/>
        <w:t>(B)</w:t>
      </w:r>
      <w:r w:rsidRPr="00BE51CD">
        <w:tab/>
        <w:t>a joint account;</w:t>
      </w:r>
    </w:p>
    <w:p w14:paraId="013B740C" w14:textId="77777777" w:rsidR="00BB7660" w:rsidRPr="00BE51CD" w:rsidRDefault="00BB7660" w:rsidP="00BB7660">
      <w:pPr>
        <w:pStyle w:val="paragraphsub-sub"/>
      </w:pPr>
      <w:r w:rsidRPr="00BE51CD">
        <w:tab/>
        <w:t>(C)</w:t>
      </w:r>
      <w:r w:rsidRPr="00BE51CD">
        <w:tab/>
        <w:t>a partnership account; or</w:t>
      </w:r>
    </w:p>
    <w:p w14:paraId="60DFB272" w14:textId="77777777" w:rsidR="00BB7660" w:rsidRPr="00BE51CD" w:rsidRDefault="00BB7660" w:rsidP="00BB7660">
      <w:pPr>
        <w:pStyle w:val="paragraphsub"/>
      </w:pPr>
      <w:r w:rsidRPr="00BE51CD">
        <w:tab/>
        <w:t>(ii)</w:t>
      </w:r>
      <w:r w:rsidRPr="00BE51CD">
        <w:tab/>
        <w:t>account data in relation to a joint account or partnership account for which any of the individuals who are</w:t>
      </w:r>
      <w:r w:rsidRPr="00BE51CD">
        <w:rPr>
          <w:u w:val="words"/>
        </w:rPr>
        <w:t xml:space="preserve"> </w:t>
      </w:r>
      <w:r w:rsidRPr="00BE51CD">
        <w:t>account holders is less than 18 years of age at that time; or</w:t>
      </w:r>
    </w:p>
    <w:p w14:paraId="00CDA133" w14:textId="77777777" w:rsidR="00BB7660" w:rsidRPr="00BE51CD" w:rsidRDefault="00BB7660" w:rsidP="00BB7660">
      <w:pPr>
        <w:pStyle w:val="paragraphsub"/>
      </w:pPr>
      <w:r w:rsidRPr="00BE51CD">
        <w:tab/>
        <w:t>(iv)</w:t>
      </w:r>
      <w:r w:rsidRPr="00BE51CD">
        <w:tab/>
        <w:t>transaction data in relation to a transaction on any such account; or</w:t>
      </w:r>
    </w:p>
    <w:p w14:paraId="6BADE20A" w14:textId="77777777" w:rsidR="00BB7660" w:rsidRPr="00BE51CD" w:rsidRDefault="00BB7660" w:rsidP="00BB7660">
      <w:pPr>
        <w:pStyle w:val="paragraphsub"/>
      </w:pPr>
      <w:r w:rsidRPr="00BE51CD">
        <w:tab/>
        <w:t>(v)</w:t>
      </w:r>
      <w:r w:rsidRPr="00BE51CD">
        <w:tab/>
        <w:t>product specific data in relation to a product relating to any such account; and</w:t>
      </w:r>
    </w:p>
    <w:p w14:paraId="08C5828A" w14:textId="77777777" w:rsidR="00BB7660" w:rsidRPr="00BE51CD" w:rsidRDefault="00BB7660" w:rsidP="00BB7660">
      <w:pPr>
        <w:pStyle w:val="paragraph"/>
      </w:pPr>
      <w:r w:rsidRPr="00BE51CD">
        <w:tab/>
        <w:t>(b)</w:t>
      </w:r>
      <w:r w:rsidRPr="00BE51CD">
        <w:tab/>
        <w:t xml:space="preserve">for a consumer data request made by or on behalf of a particular person, customer data in relation to any account holder or secondary user other than that person is neither </w:t>
      </w:r>
      <w:r w:rsidRPr="00BE51CD">
        <w:rPr>
          <w:b/>
          <w:i/>
        </w:rPr>
        <w:t xml:space="preserve">required consumer data </w:t>
      </w:r>
      <w:r w:rsidRPr="00BE51CD">
        <w:t xml:space="preserve">nor </w:t>
      </w:r>
      <w:r w:rsidRPr="00BE51CD">
        <w:rPr>
          <w:b/>
          <w:i/>
        </w:rPr>
        <w:t>voluntary consumer data</w:t>
      </w:r>
      <w:r w:rsidRPr="00BE51CD">
        <w:t>.</w:t>
      </w:r>
    </w:p>
    <w:p w14:paraId="1C2D8C2D" w14:textId="77777777" w:rsidR="00BB7660" w:rsidRPr="00BE51CD" w:rsidRDefault="00BB7660" w:rsidP="00BB7660">
      <w:pPr>
        <w:pStyle w:val="SubsectionHead"/>
      </w:pPr>
      <w:r w:rsidRPr="00BE51CD">
        <w:t xml:space="preserve">Exception to </w:t>
      </w:r>
      <w:r w:rsidRPr="00BE51CD">
        <w:rPr>
          <w:b/>
        </w:rPr>
        <w:t>required consumer data</w:t>
      </w:r>
      <w:r w:rsidRPr="00BE51CD">
        <w:t>―open accounts</w:t>
      </w:r>
    </w:p>
    <w:p w14:paraId="1A675BFD" w14:textId="77777777" w:rsidR="00BB7660" w:rsidRPr="00BE51CD" w:rsidRDefault="00BB7660" w:rsidP="00BB7660">
      <w:pPr>
        <w:pStyle w:val="subsection"/>
      </w:pPr>
      <w:r w:rsidRPr="00BE51CD">
        <w:tab/>
        <w:t>(4)</w:t>
      </w:r>
      <w:r w:rsidRPr="00BE51CD">
        <w:tab/>
        <w:t xml:space="preserve">Despite subclause (1), for an account that is open at a particular time, the following CDR data is not </w:t>
      </w:r>
      <w:r w:rsidRPr="00BE51CD">
        <w:rPr>
          <w:b/>
          <w:i/>
        </w:rPr>
        <w:t xml:space="preserve">required consumer data </w:t>
      </w:r>
      <w:r w:rsidRPr="00BE51CD">
        <w:t>at that time:</w:t>
      </w:r>
    </w:p>
    <w:p w14:paraId="0A40B0E3" w14:textId="77777777" w:rsidR="00BB7660" w:rsidRPr="00BE51CD" w:rsidRDefault="00BB7660" w:rsidP="00BB7660">
      <w:pPr>
        <w:pStyle w:val="paragraph"/>
      </w:pPr>
      <w:r w:rsidRPr="00BE51CD">
        <w:tab/>
        <w:t>(a)</w:t>
      </w:r>
      <w:r w:rsidRPr="00BE51CD">
        <w:tab/>
        <w:t>transaction data in relation to a transaction that occurred more than 7 years before that time;</w:t>
      </w:r>
    </w:p>
    <w:p w14:paraId="6ECE9BE0" w14:textId="77777777" w:rsidR="00BB7660" w:rsidRPr="00BE51CD" w:rsidRDefault="00BB7660" w:rsidP="00BB7660">
      <w:pPr>
        <w:pStyle w:val="paragraph"/>
      </w:pPr>
      <w:r w:rsidRPr="00BE51CD">
        <w:tab/>
        <w:t>(b)</w:t>
      </w:r>
      <w:r w:rsidRPr="00BE51CD">
        <w:tab/>
        <w:t>account data that relates to an authorisation on an account for a direct debit deduction that occurred more than 13 months before that time.</w:t>
      </w:r>
    </w:p>
    <w:p w14:paraId="073ECF0C" w14:textId="77777777" w:rsidR="00BB7660" w:rsidRPr="00BE51CD" w:rsidRDefault="00BB7660" w:rsidP="00BB7660">
      <w:pPr>
        <w:pStyle w:val="notetext"/>
      </w:pPr>
      <w:r w:rsidRPr="00BE51CD">
        <w:t>Note:</w:t>
      </w:r>
      <w:r w:rsidRPr="00BE51CD">
        <w:tab/>
        <w:t xml:space="preserve">As a result, such CDR data would be </w:t>
      </w:r>
      <w:r w:rsidRPr="00BE51CD">
        <w:rPr>
          <w:b/>
          <w:i/>
        </w:rPr>
        <w:t>voluntary consumer data</w:t>
      </w:r>
      <w:r w:rsidRPr="00BE51CD">
        <w:t>.</w:t>
      </w:r>
    </w:p>
    <w:p w14:paraId="0F99BDC7" w14:textId="77777777" w:rsidR="00BB7660" w:rsidRPr="00BE51CD" w:rsidRDefault="00BB7660" w:rsidP="00BB7660">
      <w:pPr>
        <w:pStyle w:val="SubsectionHead"/>
      </w:pPr>
      <w:r w:rsidRPr="00BE51CD">
        <w:t xml:space="preserve">Exception to </w:t>
      </w:r>
      <w:r w:rsidRPr="00BE51CD">
        <w:rPr>
          <w:b/>
        </w:rPr>
        <w:t>required consumer data</w:t>
      </w:r>
      <w:r w:rsidRPr="00BE51CD">
        <w:t>―closed accounts</w:t>
      </w:r>
    </w:p>
    <w:p w14:paraId="18123A89" w14:textId="77777777" w:rsidR="00BB7660" w:rsidRPr="00BE51CD" w:rsidRDefault="00BB7660" w:rsidP="00BB7660">
      <w:pPr>
        <w:pStyle w:val="subsection"/>
      </w:pPr>
      <w:r w:rsidRPr="00BE51CD">
        <w:tab/>
        <w:t>(5)</w:t>
      </w:r>
      <w:r w:rsidRPr="00BE51CD">
        <w:tab/>
        <w:t xml:space="preserve">Despite subclause (1), for an account that is closed at a particular time, the following CDR data is not </w:t>
      </w:r>
      <w:r w:rsidRPr="00BE51CD">
        <w:rPr>
          <w:b/>
          <w:i/>
        </w:rPr>
        <w:t xml:space="preserve">required consumer data </w:t>
      </w:r>
      <w:r w:rsidRPr="00BE51CD">
        <w:t>at that time:</w:t>
      </w:r>
    </w:p>
    <w:p w14:paraId="0E5C58F0" w14:textId="77777777" w:rsidR="00BB7660" w:rsidRPr="00BE51CD" w:rsidRDefault="00BB7660" w:rsidP="00BB7660">
      <w:pPr>
        <w:pStyle w:val="paragraph"/>
      </w:pPr>
      <w:r w:rsidRPr="00BE51CD">
        <w:tab/>
        <w:t>(a)</w:t>
      </w:r>
      <w:r w:rsidRPr="00BE51CD">
        <w:tab/>
        <w:t>account data that relates to an authorisation on an account for direct debit deductions;</w:t>
      </w:r>
    </w:p>
    <w:p w14:paraId="07CCA763" w14:textId="77777777" w:rsidR="00BB7660" w:rsidRPr="00BE51CD" w:rsidRDefault="00BB7660" w:rsidP="00BB7660">
      <w:pPr>
        <w:pStyle w:val="paragraph"/>
      </w:pPr>
      <w:r w:rsidRPr="00BE51CD">
        <w:tab/>
        <w:t>(b)</w:t>
      </w:r>
      <w:r w:rsidRPr="00BE51CD">
        <w:tab/>
        <w:t>where the account was closed no more than 24 months before that time―transaction data in relation to a transaction that occurred more than 12 months before the account was closed;</w:t>
      </w:r>
    </w:p>
    <w:p w14:paraId="513E3D48" w14:textId="77777777" w:rsidR="00BB7660" w:rsidRPr="00BE51CD" w:rsidRDefault="00BB7660" w:rsidP="00BB7660">
      <w:pPr>
        <w:pStyle w:val="paragraph"/>
      </w:pPr>
      <w:r w:rsidRPr="00BE51CD">
        <w:tab/>
        <w:t>(c)</w:t>
      </w:r>
      <w:r w:rsidRPr="00BE51CD">
        <w:tab/>
        <w:t>where the account was closed more than 24 months before that time:</w:t>
      </w:r>
    </w:p>
    <w:p w14:paraId="5BC1D576" w14:textId="77777777" w:rsidR="00BB7660" w:rsidRPr="00BE51CD" w:rsidRDefault="00BB7660" w:rsidP="00BB7660">
      <w:pPr>
        <w:pStyle w:val="paragraphsub"/>
      </w:pPr>
      <w:r w:rsidRPr="00BE51CD">
        <w:tab/>
        <w:t>(i)</w:t>
      </w:r>
      <w:r w:rsidRPr="00BE51CD">
        <w:tab/>
        <w:t>account data that relates to the account; and</w:t>
      </w:r>
    </w:p>
    <w:p w14:paraId="3626F5B2" w14:textId="77777777" w:rsidR="00BB7660" w:rsidRPr="00BE51CD" w:rsidRDefault="00BB7660" w:rsidP="00BB7660">
      <w:pPr>
        <w:pStyle w:val="paragraphsub"/>
      </w:pPr>
      <w:r w:rsidRPr="00BE51CD">
        <w:tab/>
        <w:t>(ii)</w:t>
      </w:r>
      <w:r w:rsidRPr="00BE51CD">
        <w:tab/>
        <w:t>transaction data that relates to any transaction on the account; and</w:t>
      </w:r>
    </w:p>
    <w:p w14:paraId="0FAC81BD" w14:textId="77777777" w:rsidR="00BB7660" w:rsidRPr="00BE51CD" w:rsidRDefault="00BB7660" w:rsidP="00BB7660">
      <w:pPr>
        <w:pStyle w:val="paragraphsub"/>
      </w:pPr>
      <w:r w:rsidRPr="00BE51CD">
        <w:tab/>
        <w:t>(iii)</w:t>
      </w:r>
      <w:r w:rsidRPr="00BE51CD">
        <w:tab/>
        <w:t>product specific data in relation to a product relating to any such account.</w:t>
      </w:r>
    </w:p>
    <w:p w14:paraId="67F9DB7E" w14:textId="77777777" w:rsidR="00BB7660" w:rsidRPr="0096277A" w:rsidRDefault="00BB7660" w:rsidP="00BB7660">
      <w:pPr>
        <w:pStyle w:val="notetext"/>
      </w:pPr>
      <w:r w:rsidRPr="00BE51CD">
        <w:t>Note:</w:t>
      </w:r>
      <w:r w:rsidRPr="00BE51CD">
        <w:tab/>
        <w:t xml:space="preserve">As a result, such CDR data would be </w:t>
      </w:r>
      <w:r w:rsidRPr="00BE51CD">
        <w:rPr>
          <w:b/>
          <w:i/>
        </w:rPr>
        <w:t>voluntary consumer data</w:t>
      </w:r>
      <w:r>
        <w:t>.</w:t>
      </w:r>
    </w:p>
    <w:p w14:paraId="77665493" w14:textId="77777777" w:rsidR="00BB7660" w:rsidRPr="00E1300D" w:rsidRDefault="00BB7660" w:rsidP="00BB7660">
      <w:pPr>
        <w:pStyle w:val="ActHead2"/>
        <w:pageBreakBefore/>
        <w:rPr>
          <w:color w:val="000000" w:themeColor="text1"/>
        </w:rPr>
      </w:pPr>
      <w:bookmarkStart w:id="682" w:name="_Ref48226337"/>
      <w:bookmarkStart w:id="683" w:name="_Toc111132278"/>
      <w:bookmarkEnd w:id="682"/>
      <w:r>
        <w:rPr>
          <w:color w:val="000000" w:themeColor="text1"/>
        </w:rPr>
        <w:lastRenderedPageBreak/>
        <w:t>Part 5</w:t>
      </w:r>
      <w:r w:rsidRPr="00E1300D">
        <w:rPr>
          <w:color w:val="000000" w:themeColor="text1"/>
        </w:rPr>
        <w:t>—Internal dispute resolution―banking sector</w:t>
      </w:r>
      <w:bookmarkEnd w:id="683"/>
    </w:p>
    <w:p w14:paraId="2BC78982" w14:textId="77777777" w:rsidR="003538AF" w:rsidRPr="005F5224" w:rsidRDefault="003538AF" w:rsidP="003538AF">
      <w:pPr>
        <w:pStyle w:val="notemargin"/>
        <w:rPr>
          <w:color w:val="0000FF"/>
        </w:rPr>
      </w:pPr>
      <w:r w:rsidRPr="005F5224">
        <w:rPr>
          <w:color w:val="0000FF"/>
        </w:rPr>
        <w:t>Note:</w:t>
      </w:r>
      <w:r w:rsidRPr="005F5224">
        <w:rPr>
          <w:color w:val="0000FF"/>
        </w:rPr>
        <w:tab/>
        <w:t>See the definition of “meet the internal dispute resolution requirements” in subrule 1.7(1) of these rules.  See also paragraph 5.12(b) of these rules, and rule 6.1 of these rules.</w:t>
      </w:r>
    </w:p>
    <w:p w14:paraId="20F30EAE" w14:textId="77777777" w:rsidR="00BB7660" w:rsidRPr="005F5224" w:rsidRDefault="00BB7660" w:rsidP="00BB7660">
      <w:pPr>
        <w:pStyle w:val="notemargin"/>
        <w:rPr>
          <w:strike/>
          <w:color w:val="0000FF"/>
        </w:rPr>
      </w:pPr>
      <w:r w:rsidRPr="005F5224">
        <w:rPr>
          <w:strike/>
          <w:color w:val="0000FF"/>
        </w:rPr>
        <w:t>Note:</w:t>
      </w:r>
      <w:r w:rsidRPr="005F5224">
        <w:rPr>
          <w:strike/>
          <w:color w:val="0000FF"/>
        </w:rPr>
        <w:tab/>
        <w:t>See the definition of “meet</w:t>
      </w:r>
      <w:r w:rsidR="003538AF" w:rsidRPr="005F5224">
        <w:rPr>
          <w:strike/>
          <w:color w:val="0000FF"/>
        </w:rPr>
        <w:t>s</w:t>
      </w:r>
      <w:r w:rsidRPr="005F5224">
        <w:rPr>
          <w:strike/>
          <w:color w:val="0000FF"/>
        </w:rPr>
        <w:t xml:space="preserve"> the internal dispute resolution requirements” in subrule 1.7(1) of these rules, paragraph 5.12(b) of these rules, and rule 6.1 of these rules.</w:t>
      </w:r>
    </w:p>
    <w:p w14:paraId="2786E382" w14:textId="77777777" w:rsidR="00BB7660" w:rsidRPr="00A00F6F" w:rsidRDefault="00BB7660" w:rsidP="00BB7660">
      <w:pPr>
        <w:pStyle w:val="ActHead5"/>
      </w:pPr>
      <w:bookmarkStart w:id="684" w:name="_Toc111132279"/>
      <w:bookmarkStart w:id="685" w:name="_Hlk86242513"/>
      <w:r w:rsidRPr="00A00F6F">
        <w:t>5.1  Meeting internal dispute resolution requirements―banking sector</w:t>
      </w:r>
      <w:bookmarkEnd w:id="684"/>
    </w:p>
    <w:p w14:paraId="7CD2B1D6" w14:textId="77777777" w:rsidR="00BB7660" w:rsidRPr="00A00F6F" w:rsidRDefault="00BB7660" w:rsidP="00BB7660">
      <w:pPr>
        <w:pStyle w:val="subsection"/>
      </w:pPr>
      <w:r w:rsidRPr="00A00F6F">
        <w:tab/>
        <w:t>(1)</w:t>
      </w:r>
      <w:r w:rsidRPr="00A00F6F">
        <w:tab/>
        <w:t xml:space="preserve">For the banking sector, a CDR participant </w:t>
      </w:r>
      <w:r w:rsidRPr="00A00F6F">
        <w:rPr>
          <w:b/>
          <w:i/>
        </w:rPr>
        <w:t>meets the internal dispute resolution requirements</w:t>
      </w:r>
      <w:r w:rsidRPr="00A00F6F">
        <w:t xml:space="preserve"> if its internal dispute resolution processes comply with provisions of Regulatory Guide 271 that deal with the following:</w:t>
      </w:r>
    </w:p>
    <w:p w14:paraId="39FD671D" w14:textId="77777777" w:rsidR="00BB7660" w:rsidRPr="00A00F6F" w:rsidRDefault="00BB7660" w:rsidP="00BB7660">
      <w:pPr>
        <w:pStyle w:val="paragraph"/>
      </w:pPr>
      <w:r w:rsidRPr="00A00F6F">
        <w:tab/>
        <w:t>(a)</w:t>
      </w:r>
      <w:r w:rsidRPr="00A00F6F">
        <w:tab/>
        <w:t>standards that its internal dispute resolution procedures or processes must meet regarding the following:</w:t>
      </w:r>
    </w:p>
    <w:p w14:paraId="49698D7D" w14:textId="77777777" w:rsidR="00BB7660" w:rsidRPr="00A00F6F" w:rsidRDefault="00BB7660" w:rsidP="00BB7660">
      <w:pPr>
        <w:pStyle w:val="paragraphsub"/>
      </w:pPr>
      <w:r w:rsidRPr="00A00F6F">
        <w:tab/>
        <w:t>(i)</w:t>
      </w:r>
      <w:r w:rsidRPr="00A00F6F">
        <w:tab/>
        <w:t xml:space="preserve">commitment and culture; </w:t>
      </w:r>
    </w:p>
    <w:p w14:paraId="7165D8F6" w14:textId="77777777" w:rsidR="00BB7660" w:rsidRPr="00A00F6F" w:rsidRDefault="00BB7660" w:rsidP="00BB7660">
      <w:pPr>
        <w:pStyle w:val="paragraphsub"/>
      </w:pPr>
      <w:r w:rsidRPr="00A00F6F">
        <w:tab/>
        <w:t>(ii)</w:t>
      </w:r>
      <w:r w:rsidRPr="00A00F6F">
        <w:tab/>
        <w:t>the enabling of complaints;</w:t>
      </w:r>
    </w:p>
    <w:p w14:paraId="6B414C6D" w14:textId="77777777" w:rsidR="00BB7660" w:rsidRPr="00A00F6F" w:rsidRDefault="00BB7660" w:rsidP="00BB7660">
      <w:pPr>
        <w:pStyle w:val="paragraphsub"/>
      </w:pPr>
      <w:r w:rsidRPr="00A00F6F">
        <w:tab/>
        <w:t>(iii)</w:t>
      </w:r>
      <w:r w:rsidRPr="00A00F6F">
        <w:tab/>
        <w:t>resourcing;</w:t>
      </w:r>
    </w:p>
    <w:p w14:paraId="431DE390" w14:textId="77777777" w:rsidR="00BB7660" w:rsidRPr="00A00F6F" w:rsidRDefault="00BB7660" w:rsidP="00BB7660">
      <w:pPr>
        <w:pStyle w:val="paragraphsub"/>
      </w:pPr>
      <w:r w:rsidRPr="00A00F6F">
        <w:tab/>
        <w:t>(iv)</w:t>
      </w:r>
      <w:r w:rsidRPr="00A00F6F">
        <w:tab/>
        <w:t>responsiveness;</w:t>
      </w:r>
    </w:p>
    <w:p w14:paraId="6CAFEFCA" w14:textId="77777777" w:rsidR="00BB7660" w:rsidRPr="00A00F6F" w:rsidRDefault="00BB7660" w:rsidP="00BB7660">
      <w:pPr>
        <w:pStyle w:val="paragraphsub"/>
      </w:pPr>
      <w:r w:rsidRPr="00A00F6F">
        <w:tab/>
        <w:t>(v)</w:t>
      </w:r>
      <w:r w:rsidRPr="00A00F6F">
        <w:tab/>
        <w:t>objectivity and fairness;</w:t>
      </w:r>
    </w:p>
    <w:p w14:paraId="348F087A" w14:textId="77777777" w:rsidR="00BB7660" w:rsidRPr="00A00F6F" w:rsidRDefault="00BB7660" w:rsidP="00BB7660">
      <w:pPr>
        <w:pStyle w:val="paragraphsub"/>
      </w:pPr>
      <w:r w:rsidRPr="00A00F6F">
        <w:tab/>
        <w:t>(vi)</w:t>
      </w:r>
      <w:r w:rsidRPr="00A00F6F">
        <w:tab/>
        <w:t>policy and procedures;</w:t>
      </w:r>
    </w:p>
    <w:p w14:paraId="6E44FFF7" w14:textId="77777777" w:rsidR="00BB7660" w:rsidRPr="00A00F6F" w:rsidRDefault="00BB7660" w:rsidP="00BB7660">
      <w:pPr>
        <w:pStyle w:val="paragraphsub"/>
      </w:pPr>
      <w:r w:rsidRPr="00A00F6F">
        <w:tab/>
        <w:t>(vii)</w:t>
      </w:r>
      <w:r w:rsidRPr="00A00F6F">
        <w:tab/>
        <w:t>data collection, analysis and internal reporting;</w:t>
      </w:r>
    </w:p>
    <w:p w14:paraId="681CAA27" w14:textId="77777777" w:rsidR="00BB7660" w:rsidRPr="00A00F6F" w:rsidRDefault="00BB7660" w:rsidP="00BB7660">
      <w:pPr>
        <w:pStyle w:val="paragraphsub"/>
      </w:pPr>
      <w:r w:rsidRPr="00A00F6F">
        <w:tab/>
        <w:t>(viii)</w:t>
      </w:r>
      <w:r w:rsidRPr="00A00F6F">
        <w:tab/>
        <w:t>continuous improvement;</w:t>
      </w:r>
    </w:p>
    <w:p w14:paraId="2EB88B16" w14:textId="77777777" w:rsidR="00BB7660" w:rsidRPr="00A00F6F" w:rsidRDefault="00BB7660" w:rsidP="00BB7660">
      <w:pPr>
        <w:pStyle w:val="paragraph"/>
      </w:pPr>
      <w:r w:rsidRPr="00A00F6F">
        <w:tab/>
        <w:t>(b)</w:t>
      </w:r>
      <w:r w:rsidRPr="00A00F6F">
        <w:tab/>
        <w:t>outsourcing internal dispute resolution processes;</w:t>
      </w:r>
    </w:p>
    <w:p w14:paraId="78BC9A90" w14:textId="77777777" w:rsidR="00BB7660" w:rsidRPr="00A00F6F" w:rsidRDefault="00BB7660" w:rsidP="00BB7660">
      <w:pPr>
        <w:pStyle w:val="paragraph"/>
        <w:rPr>
          <w:sz w:val="20"/>
        </w:rPr>
      </w:pPr>
      <w:r w:rsidRPr="00A00F6F">
        <w:tab/>
        <w:t>(c)</w:t>
      </w:r>
      <w:r w:rsidRPr="00A00F6F">
        <w:tab/>
        <w:t>acknowledgement of complaint;</w:t>
      </w:r>
    </w:p>
    <w:p w14:paraId="768282C4" w14:textId="77777777" w:rsidR="00BB7660" w:rsidRPr="00A00F6F" w:rsidRDefault="00BB7660" w:rsidP="00BB7660">
      <w:pPr>
        <w:pStyle w:val="paragraph"/>
      </w:pPr>
      <w:r w:rsidRPr="00A00F6F">
        <w:tab/>
        <w:t>(d)</w:t>
      </w:r>
      <w:r w:rsidRPr="00A00F6F">
        <w:tab/>
        <w:t>what an internal dispute resolution response must contain;</w:t>
      </w:r>
    </w:p>
    <w:p w14:paraId="07DF8E2C" w14:textId="77777777" w:rsidR="00BB7660" w:rsidRPr="00A00F6F" w:rsidRDefault="00BB7660" w:rsidP="00BB7660">
      <w:pPr>
        <w:pStyle w:val="paragraph"/>
      </w:pPr>
      <w:r w:rsidRPr="00A00F6F">
        <w:tab/>
        <w:t>(e)</w:t>
      </w:r>
      <w:r w:rsidRPr="00A00F6F">
        <w:tab/>
        <w:t>maximum timeframes for an internal dispute resolution response;</w:t>
      </w:r>
    </w:p>
    <w:p w14:paraId="265DCFEE" w14:textId="77777777" w:rsidR="00BB7660" w:rsidRPr="00A00F6F" w:rsidRDefault="00BB7660" w:rsidP="00BB7660">
      <w:pPr>
        <w:pStyle w:val="paragraph"/>
      </w:pPr>
      <w:r w:rsidRPr="00A00F6F">
        <w:tab/>
        <w:t>(f)</w:t>
      </w:r>
      <w:r w:rsidRPr="00A00F6F">
        <w:tab/>
        <w:t>internal dispute resolution response requirements for multi-tier internal dispute resolution processes;</w:t>
      </w:r>
    </w:p>
    <w:p w14:paraId="77FE9BCC" w14:textId="77777777" w:rsidR="00BB7660" w:rsidRPr="00A00F6F" w:rsidRDefault="00BB7660" w:rsidP="00BB7660">
      <w:pPr>
        <w:pStyle w:val="paragraph"/>
      </w:pPr>
      <w:r w:rsidRPr="00A00F6F">
        <w:tab/>
        <w:t>(g)</w:t>
      </w:r>
      <w:r w:rsidRPr="00A00F6F">
        <w:tab/>
        <w:t>the role of customer advocates;</w:t>
      </w:r>
    </w:p>
    <w:p w14:paraId="7DABE61B" w14:textId="77777777" w:rsidR="00BB7660" w:rsidRPr="00A00F6F" w:rsidRDefault="00BB7660" w:rsidP="00BB7660">
      <w:pPr>
        <w:pStyle w:val="paragraph"/>
      </w:pPr>
      <w:r w:rsidRPr="00A00F6F">
        <w:tab/>
        <w:t>(h)</w:t>
      </w:r>
      <w:r w:rsidRPr="00A00F6F">
        <w:tab/>
        <w:t>establishing links between internal dispute resolution processes and external dispute resolution;</w:t>
      </w:r>
    </w:p>
    <w:p w14:paraId="46A78388" w14:textId="77777777" w:rsidR="00BB7660" w:rsidRPr="00A00F6F" w:rsidRDefault="00BB7660" w:rsidP="00BB7660">
      <w:pPr>
        <w:pStyle w:val="paragraph"/>
      </w:pPr>
      <w:r w:rsidRPr="00A00F6F">
        <w:tab/>
        <w:t>(i)</w:t>
      </w:r>
      <w:r w:rsidRPr="00A00F6F">
        <w:tab/>
        <w:t>systemic issues.</w:t>
      </w:r>
    </w:p>
    <w:p w14:paraId="236DDDA3" w14:textId="77777777" w:rsidR="00BB7660" w:rsidRPr="00A00F6F" w:rsidRDefault="00BB7660" w:rsidP="00BB7660">
      <w:pPr>
        <w:pStyle w:val="subsection"/>
      </w:pPr>
      <w:r w:rsidRPr="00A00F6F">
        <w:tab/>
        <w:t>(2)</w:t>
      </w:r>
      <w:r w:rsidRPr="00A00F6F">
        <w:tab/>
        <w:t>In this clause:</w:t>
      </w:r>
    </w:p>
    <w:p w14:paraId="48DC78E7" w14:textId="77777777" w:rsidR="00BB7660" w:rsidRPr="00A00F6F" w:rsidRDefault="00BB7660" w:rsidP="00BB7660">
      <w:pPr>
        <w:pStyle w:val="Definition"/>
      </w:pPr>
      <w:r w:rsidRPr="00A00F6F">
        <w:rPr>
          <w:b/>
          <w:i/>
        </w:rPr>
        <w:t>Regulatory Guide 271</w:t>
      </w:r>
      <w:r w:rsidRPr="00A00F6F">
        <w:rPr>
          <w:rFonts w:eastAsia="Calibri"/>
          <w:b/>
        </w:rPr>
        <w:t xml:space="preserve"> </w:t>
      </w:r>
      <w:r w:rsidRPr="00A00F6F">
        <w:rPr>
          <w:rFonts w:eastAsia="Calibri"/>
        </w:rPr>
        <w:t xml:space="preserve">means </w:t>
      </w:r>
      <w:r w:rsidRPr="00A00F6F">
        <w:t>Regulatory Guide 271</w:t>
      </w:r>
      <w:r w:rsidRPr="00A00F6F">
        <w:rPr>
          <w:rFonts w:eastAsia="Calibri"/>
        </w:rPr>
        <w:t xml:space="preserve"> published by the Australian Securities &amp; Investments Commission, as in force from time to time and applied as if</w:t>
      </w:r>
      <w:r w:rsidRPr="00A00F6F">
        <w:t>:</w:t>
      </w:r>
    </w:p>
    <w:p w14:paraId="4D1702B8" w14:textId="77777777" w:rsidR="00BB7660" w:rsidRPr="00A00F6F" w:rsidRDefault="00BB7660" w:rsidP="00BB7660">
      <w:pPr>
        <w:pStyle w:val="paragraph"/>
      </w:pPr>
      <w:r w:rsidRPr="00A00F6F">
        <w:tab/>
        <w:t>(a)</w:t>
      </w:r>
      <w:r w:rsidR="00670E81">
        <w:t>0</w:t>
      </w:r>
      <w:r w:rsidRPr="00A00F6F">
        <w:tab/>
        <w:t>references to complaints were references to CDR consumer complaints; and</w:t>
      </w:r>
    </w:p>
    <w:p w14:paraId="06D02DA8" w14:textId="77777777" w:rsidR="00BB7660" w:rsidRPr="00A00F6F" w:rsidRDefault="00BB7660" w:rsidP="00BB7660">
      <w:pPr>
        <w:pStyle w:val="paragraph"/>
      </w:pPr>
      <w:r w:rsidRPr="00A00F6F">
        <w:tab/>
        <w:t>(b)</w:t>
      </w:r>
      <w:r w:rsidRPr="00A00F6F">
        <w:tab/>
        <w:t>references to financial firms and financial service providers were references to CDR participants.</w:t>
      </w:r>
    </w:p>
    <w:p w14:paraId="7B742D37" w14:textId="77777777" w:rsidR="00BB7660" w:rsidRPr="00A00F6F" w:rsidRDefault="00BB7660" w:rsidP="00BB7660">
      <w:pPr>
        <w:pStyle w:val="notetext"/>
        <w:rPr>
          <w:rFonts w:eastAsia="Calibri"/>
        </w:rPr>
      </w:pPr>
      <w:r w:rsidRPr="00A00F6F">
        <w:rPr>
          <w:rFonts w:eastAsia="Calibri"/>
        </w:rPr>
        <w:t>Note:</w:t>
      </w:r>
      <w:r w:rsidRPr="00A00F6F">
        <w:rPr>
          <w:rFonts w:eastAsia="Calibri"/>
        </w:rPr>
        <w:tab/>
      </w:r>
      <w:r w:rsidRPr="00A00F6F">
        <w:t>Regulatory Guide 271</w:t>
      </w:r>
      <w:r w:rsidRPr="00A00F6F">
        <w:rPr>
          <w:rFonts w:eastAsia="Calibri"/>
        </w:rPr>
        <w:t xml:space="preserve"> could in</w:t>
      </w:r>
      <w:r w:rsidRPr="00670E81">
        <w:rPr>
          <w:rFonts w:eastAsia="Calibri"/>
        </w:rPr>
        <w:t xml:space="preserve"> </w:t>
      </w:r>
      <w:r w:rsidR="003538AF" w:rsidRPr="00270C3C">
        <w:rPr>
          <w:rFonts w:eastAsia="Calibri"/>
          <w:color w:val="0000FF"/>
        </w:rPr>
        <w:t>2022</w:t>
      </w:r>
      <w:r w:rsidR="003538AF" w:rsidRPr="00270C3C">
        <w:rPr>
          <w:rFonts w:eastAsia="Calibri"/>
          <w:strike/>
          <w:color w:val="0000FF"/>
        </w:rPr>
        <w:t xml:space="preserve"> </w:t>
      </w:r>
      <w:r w:rsidRPr="00270C3C">
        <w:rPr>
          <w:rFonts w:eastAsia="Calibri"/>
          <w:strike/>
          <w:color w:val="0000FF"/>
        </w:rPr>
        <w:t>2021</w:t>
      </w:r>
      <w:r w:rsidRPr="00670E81">
        <w:rPr>
          <w:rFonts w:eastAsia="Calibri"/>
        </w:rPr>
        <w:t xml:space="preserve"> </w:t>
      </w:r>
      <w:r w:rsidRPr="00A00F6F">
        <w:rPr>
          <w:rFonts w:eastAsia="Calibri"/>
        </w:rPr>
        <w:t>be accessed from the Australian Securities &amp; Investments Commission’s website (https://asic.gov.au).</w:t>
      </w:r>
    </w:p>
    <w:p w14:paraId="32F7971C" w14:textId="77777777" w:rsidR="00BB7660" w:rsidRDefault="00BB7660" w:rsidP="00BB7660">
      <w:pPr>
        <w:pStyle w:val="ActHead2"/>
        <w:pageBreakBefore/>
      </w:pPr>
      <w:bookmarkStart w:id="686" w:name="_Toc11771743"/>
      <w:bookmarkStart w:id="687" w:name="_Toc111132280"/>
      <w:bookmarkEnd w:id="685"/>
      <w:r>
        <w:lastRenderedPageBreak/>
        <w:t>Part 6—Staged application of these rules to the banking sector</w:t>
      </w:r>
      <w:bookmarkEnd w:id="686"/>
      <w:bookmarkEnd w:id="687"/>
    </w:p>
    <w:p w14:paraId="5F6CD806" w14:textId="77777777" w:rsidR="00BB7660" w:rsidRPr="00961618" w:rsidRDefault="00BB7660" w:rsidP="00BB7660">
      <w:pPr>
        <w:pStyle w:val="ActHead3"/>
      </w:pPr>
      <w:bookmarkStart w:id="688" w:name="_Toc111132281"/>
      <w:r>
        <w:t>Division 6.1</w:t>
      </w:r>
      <w:r w:rsidRPr="0072242E">
        <w:t>—</w:t>
      </w:r>
      <w:r w:rsidRPr="00961618">
        <w:t>Preliminary</w:t>
      </w:r>
      <w:bookmarkEnd w:id="688"/>
    </w:p>
    <w:p w14:paraId="6DA849A0" w14:textId="77777777" w:rsidR="00BB7660" w:rsidRPr="00961618" w:rsidRDefault="00BB7660" w:rsidP="00BB7660">
      <w:pPr>
        <w:pStyle w:val="ActHead5"/>
      </w:pPr>
      <w:bookmarkStart w:id="689" w:name="_Toc111132282"/>
      <w:r>
        <w:t>6.1</w:t>
      </w:r>
      <w:r w:rsidRPr="00961618">
        <w:t xml:space="preserve">  Interpretation</w:t>
      </w:r>
      <w:bookmarkEnd w:id="689"/>
    </w:p>
    <w:p w14:paraId="6C1D6B18" w14:textId="77777777" w:rsidR="00BB7660" w:rsidRPr="00961618" w:rsidRDefault="00BB7660" w:rsidP="00BB7660">
      <w:pPr>
        <w:pStyle w:val="subsection"/>
      </w:pPr>
      <w:r w:rsidRPr="00961618">
        <w:tab/>
      </w:r>
      <w:r w:rsidRPr="00961618">
        <w:tab/>
        <w:t>In this Part:</w:t>
      </w:r>
    </w:p>
    <w:p w14:paraId="3FA26E2E" w14:textId="77777777" w:rsidR="00BB7660" w:rsidRPr="00961618" w:rsidRDefault="00BB7660" w:rsidP="00BB7660">
      <w:pPr>
        <w:pStyle w:val="Definition"/>
      </w:pPr>
      <w:r w:rsidRPr="00961618">
        <w:rPr>
          <w:b/>
          <w:i/>
        </w:rPr>
        <w:t xml:space="preserve">commencement table </w:t>
      </w:r>
      <w:r w:rsidRPr="00961618">
        <w:t>has the meaning given by clause </w:t>
      </w:r>
      <w:r>
        <w:t>6.6</w:t>
      </w:r>
      <w:r w:rsidRPr="00961618">
        <w:t>.</w:t>
      </w:r>
    </w:p>
    <w:p w14:paraId="5569BB4B" w14:textId="77777777" w:rsidR="00BB7660" w:rsidRPr="00961618" w:rsidRDefault="00BB7660" w:rsidP="00BB7660">
      <w:pPr>
        <w:pStyle w:val="Definition"/>
      </w:pPr>
      <w:r w:rsidRPr="00961618">
        <w:rPr>
          <w:b/>
          <w:i/>
        </w:rPr>
        <w:t xml:space="preserve">Phase 1 </w:t>
      </w:r>
      <w:r w:rsidRPr="00961618">
        <w:t>means phase 1 product.</w:t>
      </w:r>
    </w:p>
    <w:p w14:paraId="54430B41" w14:textId="77777777" w:rsidR="00BB7660" w:rsidRDefault="00BB7660" w:rsidP="00BB7660">
      <w:pPr>
        <w:pStyle w:val="Definition"/>
      </w:pPr>
      <w:r w:rsidRPr="00961618">
        <w:rPr>
          <w:b/>
          <w:i/>
        </w:rPr>
        <w:t xml:space="preserve">Phase 2 </w:t>
      </w:r>
      <w:r>
        <w:t>means phase 2 product.</w:t>
      </w:r>
    </w:p>
    <w:p w14:paraId="2B13A2BE" w14:textId="77777777" w:rsidR="00BB7660" w:rsidRPr="00EC5815" w:rsidRDefault="00BB7660" w:rsidP="00BB7660">
      <w:pPr>
        <w:pStyle w:val="ActHead5"/>
      </w:pPr>
      <w:bookmarkStart w:id="690" w:name="_Toc11771744"/>
      <w:bookmarkStart w:id="691" w:name="_Toc111132283"/>
      <w:r>
        <w:t xml:space="preserve">6.2  Meaning of </w:t>
      </w:r>
      <w:r w:rsidRPr="00961618">
        <w:rPr>
          <w:i/>
        </w:rPr>
        <w:t>initial data holder</w:t>
      </w:r>
      <w:r>
        <w:t>,</w:t>
      </w:r>
      <w:r>
        <w:rPr>
          <w:i/>
        </w:rPr>
        <w:t xml:space="preserve"> </w:t>
      </w:r>
      <w:r w:rsidRPr="00814B1D">
        <w:rPr>
          <w:i/>
        </w:rPr>
        <w:t>accredited ADI</w:t>
      </w:r>
      <w:r w:rsidRPr="00814B1D">
        <w:t xml:space="preserve">, </w:t>
      </w:r>
      <w:r w:rsidRPr="00814B1D">
        <w:rPr>
          <w:i/>
        </w:rPr>
        <w:t>any other relevant ADI</w:t>
      </w:r>
      <w:bookmarkEnd w:id="690"/>
      <w:r>
        <w:t xml:space="preserve"> and </w:t>
      </w:r>
      <w:r w:rsidRPr="00976E52">
        <w:rPr>
          <w:i/>
        </w:rPr>
        <w:t>accredited non</w:t>
      </w:r>
      <w:r w:rsidRPr="00976E52">
        <w:rPr>
          <w:i/>
        </w:rPr>
        <w:noBreakHyphen/>
        <w:t>ADI</w:t>
      </w:r>
      <w:bookmarkEnd w:id="691"/>
      <w:r>
        <w:t xml:space="preserve"> </w:t>
      </w:r>
    </w:p>
    <w:p w14:paraId="2B571C9B" w14:textId="77777777" w:rsidR="00BB7660" w:rsidRDefault="00BB7660" w:rsidP="00BB7660">
      <w:pPr>
        <w:pStyle w:val="subsection"/>
      </w:pPr>
      <w:r>
        <w:tab/>
      </w:r>
      <w:r>
        <w:tab/>
        <w:t>For this Part, a term listed in column 1 of the table has the meaning given by column 2.</w:t>
      </w:r>
    </w:p>
    <w:p w14:paraId="47F12805" w14:textId="77777777" w:rsidR="00BB7660" w:rsidRDefault="00BB7660" w:rsidP="00BB7660">
      <w:pPr>
        <w:pStyle w:val="subsection"/>
        <w:ind w:left="0" w:firstLine="0"/>
      </w:pP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4"/>
        <w:gridCol w:w="2088"/>
        <w:gridCol w:w="5761"/>
      </w:tblGrid>
      <w:tr w:rsidR="00BB7660" w:rsidRPr="00976E52" w14:paraId="5464C7EA" w14:textId="77777777" w:rsidTr="0051288D">
        <w:trPr>
          <w:tblHeader/>
        </w:trPr>
        <w:tc>
          <w:tcPr>
            <w:tcW w:w="5000" w:type="pct"/>
            <w:gridSpan w:val="3"/>
            <w:tcBorders>
              <w:top w:val="single" w:sz="12" w:space="0" w:color="auto"/>
              <w:bottom w:val="single" w:sz="2" w:space="0" w:color="auto"/>
            </w:tcBorders>
          </w:tcPr>
          <w:p w14:paraId="09992D20" w14:textId="77777777" w:rsidR="00BB7660" w:rsidRPr="005249F5" w:rsidRDefault="00BB7660" w:rsidP="0051288D">
            <w:pPr>
              <w:pStyle w:val="TableHeading"/>
              <w:jc w:val="center"/>
            </w:pPr>
            <w:r w:rsidRPr="005249F5">
              <w:t xml:space="preserve">Meaning of </w:t>
            </w:r>
            <w:r w:rsidRPr="005249F5">
              <w:rPr>
                <w:i/>
              </w:rPr>
              <w:t>initial data holder</w:t>
            </w:r>
            <w:r w:rsidRPr="005249F5">
              <w:t xml:space="preserve">, </w:t>
            </w:r>
            <w:r w:rsidRPr="005249F5">
              <w:rPr>
                <w:i/>
              </w:rPr>
              <w:t>accredited ADI</w:t>
            </w:r>
            <w:r w:rsidRPr="005249F5">
              <w:t xml:space="preserve">, </w:t>
            </w:r>
            <w:r w:rsidRPr="005249F5">
              <w:rPr>
                <w:i/>
              </w:rPr>
              <w:t xml:space="preserve">any other relevant ADI </w:t>
            </w:r>
            <w:r w:rsidRPr="005249F5">
              <w:t xml:space="preserve">and </w:t>
            </w:r>
            <w:r w:rsidRPr="005249F5">
              <w:rPr>
                <w:i/>
              </w:rPr>
              <w:t>accredited non</w:t>
            </w:r>
            <w:r w:rsidRPr="005249F5">
              <w:rPr>
                <w:i/>
              </w:rPr>
              <w:noBreakHyphen/>
              <w:t>ADI</w:t>
            </w:r>
          </w:p>
        </w:tc>
      </w:tr>
      <w:tr w:rsidR="00BB7660" w14:paraId="02257A3A" w14:textId="77777777" w:rsidTr="0051288D">
        <w:trPr>
          <w:tblHeader/>
        </w:trPr>
        <w:tc>
          <w:tcPr>
            <w:tcW w:w="279" w:type="pct"/>
            <w:tcBorders>
              <w:top w:val="single" w:sz="2" w:space="0" w:color="auto"/>
              <w:bottom w:val="single" w:sz="12" w:space="0" w:color="auto"/>
              <w:right w:val="nil"/>
            </w:tcBorders>
          </w:tcPr>
          <w:p w14:paraId="39564B0D" w14:textId="77777777" w:rsidR="00BB7660" w:rsidRDefault="00BB7660" w:rsidP="0051288D">
            <w:pPr>
              <w:pStyle w:val="TableHeading"/>
            </w:pPr>
          </w:p>
        </w:tc>
        <w:tc>
          <w:tcPr>
            <w:tcW w:w="1256" w:type="pct"/>
            <w:tcBorders>
              <w:top w:val="single" w:sz="2" w:space="0" w:color="auto"/>
              <w:left w:val="nil"/>
              <w:bottom w:val="single" w:sz="12" w:space="0" w:color="auto"/>
              <w:right w:val="nil"/>
            </w:tcBorders>
          </w:tcPr>
          <w:p w14:paraId="3E8A12E8" w14:textId="77777777" w:rsidR="00BB7660" w:rsidRDefault="00BB7660" w:rsidP="0051288D">
            <w:pPr>
              <w:pStyle w:val="TableHeading"/>
            </w:pPr>
            <w:r>
              <w:t>Column 1</w:t>
            </w:r>
          </w:p>
        </w:tc>
        <w:tc>
          <w:tcPr>
            <w:tcW w:w="3465" w:type="pct"/>
            <w:tcBorders>
              <w:top w:val="single" w:sz="2" w:space="0" w:color="auto"/>
              <w:left w:val="nil"/>
              <w:bottom w:val="single" w:sz="12" w:space="0" w:color="auto"/>
              <w:right w:val="nil"/>
            </w:tcBorders>
          </w:tcPr>
          <w:p w14:paraId="5204184F" w14:textId="77777777" w:rsidR="00BB7660" w:rsidRDefault="00BB7660" w:rsidP="0051288D">
            <w:pPr>
              <w:pStyle w:val="TableHeading"/>
            </w:pPr>
            <w:r>
              <w:t>Column 2</w:t>
            </w:r>
          </w:p>
        </w:tc>
      </w:tr>
      <w:tr w:rsidR="00BB7660" w14:paraId="00CB8296" w14:textId="77777777" w:rsidTr="0051288D">
        <w:tc>
          <w:tcPr>
            <w:tcW w:w="279" w:type="pct"/>
            <w:tcBorders>
              <w:top w:val="single" w:sz="2" w:space="0" w:color="auto"/>
              <w:bottom w:val="single" w:sz="4" w:space="0" w:color="auto"/>
              <w:right w:val="nil"/>
            </w:tcBorders>
          </w:tcPr>
          <w:p w14:paraId="72CEA948" w14:textId="77777777" w:rsidR="00BB7660" w:rsidRPr="00961618" w:rsidRDefault="00BB7660" w:rsidP="0051288D">
            <w:pPr>
              <w:pStyle w:val="Tabletext"/>
            </w:pPr>
            <w:r w:rsidRPr="00961618">
              <w:t>1</w:t>
            </w:r>
          </w:p>
        </w:tc>
        <w:tc>
          <w:tcPr>
            <w:tcW w:w="1256" w:type="pct"/>
            <w:tcBorders>
              <w:top w:val="single" w:sz="2" w:space="0" w:color="auto"/>
              <w:left w:val="nil"/>
              <w:bottom w:val="single" w:sz="4" w:space="0" w:color="auto"/>
              <w:right w:val="nil"/>
            </w:tcBorders>
          </w:tcPr>
          <w:p w14:paraId="7D41216C" w14:textId="77777777" w:rsidR="00BB7660" w:rsidRPr="00961618" w:rsidRDefault="00BB7660" w:rsidP="0051288D">
            <w:pPr>
              <w:pStyle w:val="Tabletext"/>
              <w:rPr>
                <w:b/>
                <w:i/>
              </w:rPr>
            </w:pPr>
            <w:r w:rsidRPr="00961618">
              <w:rPr>
                <w:b/>
                <w:i/>
              </w:rPr>
              <w:t>initial data holder</w:t>
            </w:r>
          </w:p>
        </w:tc>
        <w:tc>
          <w:tcPr>
            <w:tcW w:w="3465" w:type="pct"/>
            <w:tcBorders>
              <w:top w:val="single" w:sz="2" w:space="0" w:color="auto"/>
              <w:left w:val="nil"/>
              <w:bottom w:val="single" w:sz="4" w:space="0" w:color="auto"/>
              <w:right w:val="nil"/>
            </w:tcBorders>
          </w:tcPr>
          <w:p w14:paraId="46AC1D27" w14:textId="77777777" w:rsidR="00BB7660" w:rsidRPr="00961618" w:rsidRDefault="00BB7660" w:rsidP="0051288D">
            <w:pPr>
              <w:pStyle w:val="Tabletext"/>
            </w:pPr>
            <w:r w:rsidRPr="00961618">
              <w:t>Any of the following ADIs:</w:t>
            </w:r>
          </w:p>
          <w:p w14:paraId="53E730D1" w14:textId="77777777" w:rsidR="00BB7660" w:rsidRPr="00961618" w:rsidRDefault="00BB7660" w:rsidP="0051288D">
            <w:pPr>
              <w:pStyle w:val="Tablea"/>
            </w:pPr>
            <w:r w:rsidRPr="00961618">
              <w:t>(a)</w:t>
            </w:r>
            <w:r w:rsidRPr="00961618">
              <w:tab/>
              <w:t>Australia and New Zealand Banking Group Limited (ANZ);</w:t>
            </w:r>
          </w:p>
          <w:p w14:paraId="67489EFC" w14:textId="77777777" w:rsidR="00BB7660" w:rsidRPr="00961618" w:rsidRDefault="00BB7660" w:rsidP="0051288D">
            <w:pPr>
              <w:pStyle w:val="Tablea"/>
            </w:pPr>
            <w:r w:rsidRPr="00961618">
              <w:t>(b)</w:t>
            </w:r>
            <w:r w:rsidRPr="00961618">
              <w:tab/>
              <w:t>Commonwealth Bank of Australia (CBA);</w:t>
            </w:r>
          </w:p>
          <w:p w14:paraId="68081A50" w14:textId="77777777" w:rsidR="00BB7660" w:rsidRPr="00961618" w:rsidRDefault="00BB7660" w:rsidP="0051288D">
            <w:pPr>
              <w:pStyle w:val="Tablea"/>
            </w:pPr>
            <w:r w:rsidRPr="00961618">
              <w:t>(c)</w:t>
            </w:r>
            <w:r w:rsidRPr="00961618">
              <w:tab/>
              <w:t>National Australia Bank Limited (NAB);</w:t>
            </w:r>
          </w:p>
          <w:p w14:paraId="19E65711" w14:textId="77777777" w:rsidR="00BB7660" w:rsidRPr="00961618" w:rsidRDefault="00BB7660" w:rsidP="0051288D">
            <w:pPr>
              <w:pStyle w:val="Tablea"/>
            </w:pPr>
            <w:r w:rsidRPr="00961618">
              <w:t>(d)</w:t>
            </w:r>
            <w:r w:rsidRPr="00961618">
              <w:tab/>
              <w:t>Westpac Banking Corporation (Westpac).</w:t>
            </w:r>
          </w:p>
          <w:p w14:paraId="34A6DF26" w14:textId="77777777" w:rsidR="00BB7660" w:rsidRPr="00961618" w:rsidRDefault="00BB7660" w:rsidP="0051288D">
            <w:pPr>
              <w:pStyle w:val="Tablea"/>
            </w:pPr>
          </w:p>
        </w:tc>
      </w:tr>
      <w:tr w:rsidR="00BB7660" w14:paraId="69849123" w14:textId="77777777" w:rsidTr="0051288D">
        <w:tc>
          <w:tcPr>
            <w:tcW w:w="279" w:type="pct"/>
            <w:tcBorders>
              <w:top w:val="single" w:sz="2" w:space="0" w:color="auto"/>
              <w:bottom w:val="single" w:sz="4" w:space="0" w:color="auto"/>
              <w:right w:val="nil"/>
            </w:tcBorders>
          </w:tcPr>
          <w:p w14:paraId="1A5D5670" w14:textId="77777777" w:rsidR="00BB7660" w:rsidRPr="00961618" w:rsidRDefault="00BB7660" w:rsidP="0051288D">
            <w:pPr>
              <w:pStyle w:val="Tabletext"/>
            </w:pPr>
            <w:r w:rsidRPr="00961618">
              <w:t>2</w:t>
            </w:r>
          </w:p>
        </w:tc>
        <w:tc>
          <w:tcPr>
            <w:tcW w:w="1256" w:type="pct"/>
            <w:tcBorders>
              <w:top w:val="single" w:sz="2" w:space="0" w:color="auto"/>
              <w:left w:val="nil"/>
              <w:bottom w:val="single" w:sz="4" w:space="0" w:color="auto"/>
              <w:right w:val="nil"/>
            </w:tcBorders>
          </w:tcPr>
          <w:p w14:paraId="09C9C508" w14:textId="77777777" w:rsidR="00BB7660" w:rsidRDefault="00BB7660" w:rsidP="0051288D">
            <w:pPr>
              <w:pStyle w:val="Tabletext"/>
            </w:pPr>
            <w:r>
              <w:rPr>
                <w:b/>
                <w:i/>
              </w:rPr>
              <w:t>accredited ADI</w:t>
            </w:r>
          </w:p>
        </w:tc>
        <w:tc>
          <w:tcPr>
            <w:tcW w:w="3465" w:type="pct"/>
            <w:tcBorders>
              <w:top w:val="single" w:sz="2" w:space="0" w:color="auto"/>
              <w:left w:val="nil"/>
              <w:bottom w:val="single" w:sz="4" w:space="0" w:color="auto"/>
              <w:right w:val="nil"/>
            </w:tcBorders>
          </w:tcPr>
          <w:p w14:paraId="1C9887AE" w14:textId="77777777" w:rsidR="00BB7660" w:rsidRDefault="00BB7660" w:rsidP="0051288D">
            <w:pPr>
              <w:pStyle w:val="Tabletext"/>
            </w:pPr>
            <w:r>
              <w:t>An ADI that:</w:t>
            </w:r>
          </w:p>
          <w:p w14:paraId="2299F026" w14:textId="77777777" w:rsidR="00BB7660" w:rsidRPr="00EA1E07" w:rsidRDefault="00BB7660" w:rsidP="0051288D">
            <w:pPr>
              <w:pStyle w:val="Tablea"/>
            </w:pPr>
            <w:r>
              <w:t>(a)</w:t>
            </w:r>
            <w:r>
              <w:tab/>
              <w:t xml:space="preserve">is </w:t>
            </w:r>
            <w:r w:rsidRPr="00EA1E07">
              <w:t>an accredited person; and</w:t>
            </w:r>
          </w:p>
          <w:p w14:paraId="069E9A0B" w14:textId="77777777" w:rsidR="00BB7660" w:rsidRDefault="00BB7660" w:rsidP="0051288D">
            <w:pPr>
              <w:pStyle w:val="Tablea"/>
            </w:pPr>
            <w:r>
              <w:t>(b)</w:t>
            </w:r>
            <w:r>
              <w:tab/>
              <w:t>is not:</w:t>
            </w:r>
          </w:p>
          <w:p w14:paraId="0D88449F" w14:textId="77777777" w:rsidR="00BB7660" w:rsidRDefault="00BB7660" w:rsidP="0051288D">
            <w:pPr>
              <w:pStyle w:val="Tablei"/>
            </w:pPr>
            <w:r>
              <w:tab/>
              <w:t>(i)</w:t>
            </w:r>
            <w:r>
              <w:tab/>
            </w:r>
            <w:r w:rsidRPr="00B3173B">
              <w:t xml:space="preserve">an initial </w:t>
            </w:r>
            <w:r>
              <w:t>data holder; or</w:t>
            </w:r>
          </w:p>
          <w:p w14:paraId="3FBD2E76" w14:textId="77777777" w:rsidR="00BB7660" w:rsidRPr="00956176" w:rsidRDefault="00BB7660" w:rsidP="0051288D">
            <w:pPr>
              <w:pStyle w:val="Tablei"/>
            </w:pPr>
            <w:r w:rsidRPr="00956176">
              <w:tab/>
              <w:t>(ii)</w:t>
            </w:r>
            <w:r w:rsidRPr="00956176">
              <w:tab/>
              <w:t>a foreign ADI; or</w:t>
            </w:r>
          </w:p>
          <w:p w14:paraId="57AC4AE2" w14:textId="77777777" w:rsidR="00BB7660" w:rsidRPr="00956176" w:rsidRDefault="00BB7660" w:rsidP="0051288D">
            <w:pPr>
              <w:pStyle w:val="Tablei"/>
            </w:pPr>
            <w:r w:rsidRPr="00956176">
              <w:tab/>
              <w:t>(iii)</w:t>
            </w:r>
            <w:r w:rsidRPr="00956176">
              <w:tab/>
              <w:t>a foreign branch of a domestic bank.</w:t>
            </w:r>
          </w:p>
          <w:p w14:paraId="07C19260" w14:textId="77777777" w:rsidR="00BB7660" w:rsidRPr="00956176" w:rsidRDefault="00BB7660" w:rsidP="0051288D">
            <w:pPr>
              <w:pStyle w:val="notemargin"/>
            </w:pPr>
            <w:r w:rsidRPr="00956176">
              <w:t>Note:</w:t>
            </w:r>
            <w:r w:rsidRPr="00956176">
              <w:tab/>
              <w:t>A restricted ADI could be an “accredited ADI”. However, a restricted ADI could not be an “initial data holder”</w:t>
            </w:r>
            <w:r w:rsidRPr="00A00F6F">
              <w:t xml:space="preserve"> </w:t>
            </w:r>
            <w:r w:rsidRPr="00956176">
              <w:t>or “any other relevant ADI”.</w:t>
            </w:r>
          </w:p>
          <w:p w14:paraId="28193149" w14:textId="77777777" w:rsidR="00BB7660" w:rsidRDefault="00BB7660" w:rsidP="0051288D">
            <w:pPr>
              <w:pStyle w:val="notetext"/>
              <w:ind w:left="851"/>
            </w:pPr>
          </w:p>
        </w:tc>
      </w:tr>
      <w:tr w:rsidR="00BB7660" w:rsidRPr="009D1E9E" w14:paraId="6CABE38F" w14:textId="77777777" w:rsidTr="0051288D">
        <w:tc>
          <w:tcPr>
            <w:tcW w:w="279" w:type="pct"/>
            <w:tcBorders>
              <w:top w:val="single" w:sz="4" w:space="0" w:color="auto"/>
              <w:bottom w:val="single" w:sz="4" w:space="0" w:color="auto"/>
              <w:right w:val="nil"/>
            </w:tcBorders>
          </w:tcPr>
          <w:p w14:paraId="1DC0E0D5" w14:textId="77777777" w:rsidR="00BB7660" w:rsidRPr="009D1E9E" w:rsidRDefault="00BB7660" w:rsidP="0051288D">
            <w:pPr>
              <w:pStyle w:val="Tabletext"/>
            </w:pPr>
            <w:r w:rsidRPr="009D1E9E">
              <w:t>4</w:t>
            </w:r>
          </w:p>
        </w:tc>
        <w:tc>
          <w:tcPr>
            <w:tcW w:w="1256" w:type="pct"/>
            <w:tcBorders>
              <w:top w:val="single" w:sz="4" w:space="0" w:color="auto"/>
              <w:left w:val="nil"/>
              <w:bottom w:val="single" w:sz="4" w:space="0" w:color="auto"/>
              <w:right w:val="nil"/>
            </w:tcBorders>
          </w:tcPr>
          <w:p w14:paraId="0B7DFB30" w14:textId="77777777" w:rsidR="00BB7660" w:rsidRPr="009D1E9E" w:rsidRDefault="00BB7660" w:rsidP="0051288D">
            <w:pPr>
              <w:pStyle w:val="Tabletext"/>
              <w:rPr>
                <w:b/>
                <w:i/>
              </w:rPr>
            </w:pPr>
            <w:r w:rsidRPr="009D1E9E">
              <w:rPr>
                <w:b/>
                <w:i/>
              </w:rPr>
              <w:t>any other relevant ADI</w:t>
            </w:r>
          </w:p>
        </w:tc>
        <w:tc>
          <w:tcPr>
            <w:tcW w:w="3465" w:type="pct"/>
            <w:tcBorders>
              <w:top w:val="single" w:sz="4" w:space="0" w:color="auto"/>
              <w:left w:val="nil"/>
              <w:bottom w:val="single" w:sz="4" w:space="0" w:color="auto"/>
              <w:right w:val="nil"/>
            </w:tcBorders>
          </w:tcPr>
          <w:p w14:paraId="7B1A0F90" w14:textId="77777777" w:rsidR="00BB7660" w:rsidRPr="009D1E9E" w:rsidRDefault="00BB7660" w:rsidP="0051288D">
            <w:pPr>
              <w:pStyle w:val="Tabletext"/>
            </w:pPr>
            <w:r w:rsidRPr="009D1E9E">
              <w:t>An ADI that is not:</w:t>
            </w:r>
          </w:p>
          <w:p w14:paraId="31D4112F" w14:textId="77777777" w:rsidR="00BB7660" w:rsidRPr="009D1E9E" w:rsidRDefault="00BB7660" w:rsidP="0051288D">
            <w:pPr>
              <w:pStyle w:val="Tablea"/>
            </w:pPr>
            <w:r w:rsidRPr="009D1E9E">
              <w:t>(a)</w:t>
            </w:r>
            <w:r w:rsidRPr="009D1E9E">
              <w:tab/>
              <w:t>an initial data holder; or</w:t>
            </w:r>
          </w:p>
          <w:p w14:paraId="2FA3F3F1" w14:textId="77777777" w:rsidR="00BB7660" w:rsidRPr="009D1E9E" w:rsidRDefault="00BB7660" w:rsidP="0051288D">
            <w:pPr>
              <w:pStyle w:val="Tablea"/>
            </w:pPr>
            <w:r w:rsidRPr="009D1E9E">
              <w:t>(c)</w:t>
            </w:r>
            <w:r w:rsidRPr="009D1E9E">
              <w:tab/>
              <w:t>an accredited ADI; or</w:t>
            </w:r>
          </w:p>
          <w:p w14:paraId="3FD24369" w14:textId="77777777" w:rsidR="00BB7660" w:rsidRPr="009D1E9E" w:rsidRDefault="00BB7660" w:rsidP="0051288D">
            <w:pPr>
              <w:pStyle w:val="Tablea"/>
            </w:pPr>
            <w:r w:rsidRPr="009D1E9E">
              <w:t>(d)</w:t>
            </w:r>
            <w:r w:rsidRPr="009D1E9E">
              <w:tab/>
              <w:t>a foreign ADI; or</w:t>
            </w:r>
          </w:p>
          <w:p w14:paraId="0070EB57" w14:textId="77777777" w:rsidR="00BB7660" w:rsidRPr="009D1E9E" w:rsidRDefault="00BB7660" w:rsidP="0051288D">
            <w:pPr>
              <w:pStyle w:val="Tablea"/>
            </w:pPr>
            <w:r w:rsidRPr="009D1E9E">
              <w:tab/>
              <w:t>(e)</w:t>
            </w:r>
            <w:r w:rsidRPr="009D1E9E">
              <w:tab/>
              <w:t>a foreign bank branch of a domestic bank; or</w:t>
            </w:r>
          </w:p>
          <w:p w14:paraId="07011411" w14:textId="77777777" w:rsidR="00BB7660" w:rsidRPr="009D1E9E" w:rsidRDefault="00BB7660" w:rsidP="0051288D">
            <w:pPr>
              <w:pStyle w:val="Tablea"/>
            </w:pPr>
            <w:r w:rsidRPr="009D1E9E">
              <w:t>(f)</w:t>
            </w:r>
            <w:r w:rsidRPr="009D1E9E">
              <w:tab/>
              <w:t>a restricted ADI.</w:t>
            </w:r>
          </w:p>
          <w:p w14:paraId="4F6B9124" w14:textId="77777777" w:rsidR="00BB7660" w:rsidRPr="009D1E9E" w:rsidRDefault="00BB7660" w:rsidP="0051288D">
            <w:pPr>
              <w:pStyle w:val="Tablea"/>
            </w:pPr>
          </w:p>
        </w:tc>
      </w:tr>
      <w:tr w:rsidR="00BB7660" w:rsidRPr="00DA0F2B" w14:paraId="3B79DBAE" w14:textId="77777777" w:rsidTr="0051288D">
        <w:tc>
          <w:tcPr>
            <w:tcW w:w="279" w:type="pct"/>
            <w:tcBorders>
              <w:top w:val="single" w:sz="4" w:space="0" w:color="auto"/>
              <w:bottom w:val="single" w:sz="4" w:space="0" w:color="auto"/>
              <w:right w:val="nil"/>
            </w:tcBorders>
          </w:tcPr>
          <w:p w14:paraId="1945E66E" w14:textId="77777777" w:rsidR="00BB7660" w:rsidRPr="00DA0F2B" w:rsidRDefault="00BB7660" w:rsidP="0051288D">
            <w:pPr>
              <w:pStyle w:val="Tabletext"/>
              <w:rPr>
                <w:color w:val="0000FF"/>
              </w:rPr>
            </w:pPr>
            <w:bookmarkStart w:id="692" w:name="_Hlk111192570"/>
            <w:r w:rsidRPr="004A04A4">
              <w:rPr>
                <w:color w:val="0000FF"/>
              </w:rPr>
              <w:lastRenderedPageBreak/>
              <w:t>5</w:t>
            </w:r>
          </w:p>
        </w:tc>
        <w:tc>
          <w:tcPr>
            <w:tcW w:w="1256" w:type="pct"/>
            <w:tcBorders>
              <w:top w:val="single" w:sz="4" w:space="0" w:color="auto"/>
              <w:left w:val="nil"/>
              <w:bottom w:val="single" w:sz="4" w:space="0" w:color="auto"/>
              <w:right w:val="nil"/>
            </w:tcBorders>
          </w:tcPr>
          <w:p w14:paraId="29A5B8A5" w14:textId="77777777" w:rsidR="00BB7660" w:rsidRPr="000308B0" w:rsidRDefault="00BB7660" w:rsidP="0051288D">
            <w:pPr>
              <w:pStyle w:val="Tabletext"/>
              <w:rPr>
                <w:color w:val="0000FF"/>
              </w:rPr>
            </w:pPr>
            <w:r w:rsidRPr="000308B0">
              <w:rPr>
                <w:b/>
                <w:i/>
                <w:color w:val="0000FF"/>
              </w:rPr>
              <w:t>accredited non</w:t>
            </w:r>
            <w:r w:rsidRPr="000308B0">
              <w:rPr>
                <w:b/>
                <w:i/>
                <w:color w:val="0000FF"/>
              </w:rPr>
              <w:noBreakHyphen/>
              <w:t>ADI</w:t>
            </w:r>
            <w:r w:rsidRPr="000308B0">
              <w:rPr>
                <w:color w:val="0000FF"/>
              </w:rPr>
              <w:t xml:space="preserve">, in relation to </w:t>
            </w:r>
            <w:r w:rsidR="00F46CFF">
              <w:rPr>
                <w:color w:val="0000FF"/>
              </w:rPr>
              <w:t xml:space="preserve">the </w:t>
            </w:r>
            <w:r w:rsidRPr="000308B0">
              <w:rPr>
                <w:color w:val="0000FF"/>
              </w:rPr>
              <w:t>CDR data</w:t>
            </w:r>
            <w:r w:rsidR="00F46CFF">
              <w:rPr>
                <w:color w:val="0000FF"/>
              </w:rPr>
              <w:t xml:space="preserve"> mentioned in paragraph (a) of column 2</w:t>
            </w:r>
          </w:p>
        </w:tc>
        <w:tc>
          <w:tcPr>
            <w:tcW w:w="3465" w:type="pct"/>
            <w:tcBorders>
              <w:top w:val="single" w:sz="4" w:space="0" w:color="auto"/>
              <w:left w:val="nil"/>
              <w:bottom w:val="single" w:sz="4" w:space="0" w:color="auto"/>
              <w:right w:val="nil"/>
            </w:tcBorders>
          </w:tcPr>
          <w:p w14:paraId="55A94BA3" w14:textId="77777777" w:rsidR="00BB7660" w:rsidRPr="000308B0" w:rsidRDefault="00BB7660" w:rsidP="0051288D">
            <w:pPr>
              <w:pStyle w:val="Tabletext"/>
              <w:rPr>
                <w:color w:val="0000FF"/>
              </w:rPr>
            </w:pPr>
            <w:r w:rsidRPr="000308B0">
              <w:rPr>
                <w:color w:val="0000FF"/>
              </w:rPr>
              <w:t>An accredited person that:</w:t>
            </w:r>
          </w:p>
          <w:p w14:paraId="5AC780CF" w14:textId="77777777" w:rsidR="00BB7660" w:rsidRPr="000308B0" w:rsidRDefault="00BB7660" w:rsidP="0051288D">
            <w:pPr>
              <w:pStyle w:val="Tablea"/>
              <w:rPr>
                <w:color w:val="0000FF"/>
              </w:rPr>
            </w:pPr>
            <w:r w:rsidRPr="000308B0">
              <w:rPr>
                <w:color w:val="0000FF"/>
              </w:rPr>
              <w:t>(a)</w:t>
            </w:r>
            <w:r w:rsidRPr="000308B0">
              <w:rPr>
                <w:color w:val="0000FF"/>
              </w:rPr>
              <w:tab/>
              <w:t>has been a</w:t>
            </w:r>
            <w:r w:rsidR="00F46CFF">
              <w:rPr>
                <w:color w:val="0000FF"/>
              </w:rPr>
              <w:t xml:space="preserve"> data holder of CDR data, as a result of subsection 56AJ(3) of the Act, </w:t>
            </w:r>
            <w:r w:rsidRPr="000308B0">
              <w:rPr>
                <w:color w:val="0000FF"/>
              </w:rPr>
              <w:t xml:space="preserve">for at least 12 months; and </w:t>
            </w:r>
          </w:p>
          <w:p w14:paraId="32A561D0" w14:textId="77777777" w:rsidR="00BB7660" w:rsidRPr="000308B0" w:rsidRDefault="00BB7660" w:rsidP="0051288D">
            <w:pPr>
              <w:pStyle w:val="Tablea"/>
              <w:rPr>
                <w:color w:val="0000FF"/>
              </w:rPr>
            </w:pPr>
            <w:r w:rsidRPr="000308B0">
              <w:rPr>
                <w:color w:val="0000FF"/>
              </w:rPr>
              <w:t>(</w:t>
            </w:r>
            <w:r w:rsidR="00F46CFF">
              <w:rPr>
                <w:color w:val="0000FF"/>
              </w:rPr>
              <w:t>b</w:t>
            </w:r>
            <w:r w:rsidRPr="000308B0">
              <w:rPr>
                <w:color w:val="0000FF"/>
              </w:rPr>
              <w:t>)</w:t>
            </w:r>
            <w:r w:rsidRPr="000308B0">
              <w:rPr>
                <w:color w:val="0000FF"/>
              </w:rPr>
              <w:tab/>
              <w:t>is not an ADI.</w:t>
            </w:r>
          </w:p>
          <w:p w14:paraId="0DA62F86" w14:textId="77777777" w:rsidR="00BB7660" w:rsidRPr="000308B0" w:rsidRDefault="00BB7660" w:rsidP="0051288D">
            <w:pPr>
              <w:pStyle w:val="Tablea"/>
              <w:rPr>
                <w:color w:val="0000FF"/>
              </w:rPr>
            </w:pPr>
          </w:p>
        </w:tc>
      </w:tr>
      <w:bookmarkEnd w:id="692"/>
      <w:tr w:rsidR="00FE4B09" w:rsidRPr="00DA0F2B" w14:paraId="5EFE3A26" w14:textId="77777777" w:rsidTr="0051288D">
        <w:tc>
          <w:tcPr>
            <w:tcW w:w="279" w:type="pct"/>
            <w:tcBorders>
              <w:top w:val="single" w:sz="4" w:space="0" w:color="auto"/>
              <w:bottom w:val="single" w:sz="12" w:space="0" w:color="auto"/>
              <w:right w:val="nil"/>
            </w:tcBorders>
          </w:tcPr>
          <w:p w14:paraId="4CED7E4C" w14:textId="77777777" w:rsidR="00FE4B09" w:rsidRPr="00FE4B09" w:rsidRDefault="00FE4B09" w:rsidP="00FE4B09">
            <w:pPr>
              <w:pStyle w:val="Tabletext"/>
              <w:rPr>
                <w:strike/>
                <w:color w:val="0000FF"/>
              </w:rPr>
            </w:pPr>
            <w:r w:rsidRPr="00FE4B09">
              <w:rPr>
                <w:strike/>
                <w:color w:val="0000FF"/>
              </w:rPr>
              <w:t>5</w:t>
            </w:r>
          </w:p>
        </w:tc>
        <w:tc>
          <w:tcPr>
            <w:tcW w:w="1256" w:type="pct"/>
            <w:tcBorders>
              <w:top w:val="single" w:sz="4" w:space="0" w:color="auto"/>
              <w:left w:val="nil"/>
              <w:bottom w:val="single" w:sz="12" w:space="0" w:color="auto"/>
              <w:right w:val="nil"/>
            </w:tcBorders>
          </w:tcPr>
          <w:p w14:paraId="4E130C84" w14:textId="77777777" w:rsidR="00FE4B09" w:rsidRPr="00FE4B09" w:rsidRDefault="00FE4B09" w:rsidP="00FE4B09">
            <w:pPr>
              <w:pStyle w:val="Tabletext"/>
              <w:rPr>
                <w:b/>
                <w:i/>
                <w:strike/>
                <w:color w:val="0000FF"/>
              </w:rPr>
            </w:pPr>
            <w:r w:rsidRPr="00FE4B09">
              <w:rPr>
                <w:b/>
                <w:i/>
                <w:strike/>
                <w:color w:val="0000FF"/>
              </w:rPr>
              <w:t>accredited non</w:t>
            </w:r>
            <w:r w:rsidRPr="00FE4B09">
              <w:rPr>
                <w:b/>
                <w:i/>
                <w:strike/>
                <w:color w:val="0000FF"/>
              </w:rPr>
              <w:noBreakHyphen/>
              <w:t>ADI</w:t>
            </w:r>
          </w:p>
        </w:tc>
        <w:tc>
          <w:tcPr>
            <w:tcW w:w="3465" w:type="pct"/>
            <w:tcBorders>
              <w:top w:val="single" w:sz="4" w:space="0" w:color="auto"/>
              <w:left w:val="nil"/>
              <w:bottom w:val="single" w:sz="12" w:space="0" w:color="auto"/>
              <w:right w:val="nil"/>
            </w:tcBorders>
          </w:tcPr>
          <w:p w14:paraId="4BD3F4CD" w14:textId="77777777" w:rsidR="00FE4B09" w:rsidRPr="00FE4B09" w:rsidRDefault="00FE4B09" w:rsidP="00FE4B09">
            <w:pPr>
              <w:pStyle w:val="Tabletext"/>
              <w:rPr>
                <w:strike/>
                <w:color w:val="0000FF"/>
              </w:rPr>
            </w:pPr>
            <w:r w:rsidRPr="00FE4B09">
              <w:rPr>
                <w:strike/>
                <w:color w:val="0000FF"/>
              </w:rPr>
              <w:t>An accredited person that is:</w:t>
            </w:r>
          </w:p>
          <w:p w14:paraId="1D6335F1" w14:textId="77777777" w:rsidR="00FE4B09" w:rsidRPr="00FE4B09" w:rsidRDefault="00FE4B09" w:rsidP="00FE4B09">
            <w:pPr>
              <w:pStyle w:val="Tablea"/>
              <w:rPr>
                <w:strike/>
                <w:color w:val="0000FF"/>
              </w:rPr>
            </w:pPr>
            <w:r w:rsidRPr="00FE4B09">
              <w:rPr>
                <w:strike/>
                <w:color w:val="0000FF"/>
              </w:rPr>
              <w:t>(a)</w:t>
            </w:r>
            <w:r w:rsidRPr="00FE4B09">
              <w:rPr>
                <w:strike/>
                <w:color w:val="0000FF"/>
              </w:rPr>
              <w:tab/>
              <w:t>a data holder; but</w:t>
            </w:r>
          </w:p>
          <w:p w14:paraId="02190D63" w14:textId="77777777" w:rsidR="00FE4B09" w:rsidRPr="00FE4B09" w:rsidRDefault="00FE4B09" w:rsidP="00FE4B09">
            <w:pPr>
              <w:pStyle w:val="Tablea"/>
              <w:rPr>
                <w:strike/>
                <w:color w:val="0000FF"/>
              </w:rPr>
            </w:pPr>
            <w:r w:rsidRPr="00FE4B09">
              <w:rPr>
                <w:strike/>
                <w:color w:val="0000FF"/>
              </w:rPr>
              <w:t>(b)</w:t>
            </w:r>
            <w:r w:rsidRPr="00FE4B09">
              <w:rPr>
                <w:strike/>
                <w:color w:val="0000FF"/>
              </w:rPr>
              <w:tab/>
              <w:t>not an ADI.</w:t>
            </w:r>
          </w:p>
          <w:p w14:paraId="1623303C" w14:textId="77777777" w:rsidR="00FE4B09" w:rsidRPr="00FE4B09" w:rsidRDefault="00FE4B09" w:rsidP="00FE4B09">
            <w:pPr>
              <w:pStyle w:val="Tablea"/>
              <w:rPr>
                <w:strike/>
                <w:color w:val="0000FF"/>
              </w:rPr>
            </w:pPr>
          </w:p>
        </w:tc>
      </w:tr>
    </w:tbl>
    <w:p w14:paraId="5A09B82B" w14:textId="77777777" w:rsidR="00BB7660" w:rsidRDefault="00BB7660" w:rsidP="00BB7660">
      <w:pPr>
        <w:pStyle w:val="ActHead3"/>
        <w:pageBreakBefore/>
        <w:rPr>
          <w:color w:val="000000" w:themeColor="text1"/>
        </w:rPr>
      </w:pPr>
      <w:bookmarkStart w:id="693" w:name="_Toc111132284"/>
      <w:r>
        <w:rPr>
          <w:color w:val="000000" w:themeColor="text1"/>
        </w:rPr>
        <w:lastRenderedPageBreak/>
        <w:t>Division 6.2</w:t>
      </w:r>
      <w:r w:rsidRPr="0072242E">
        <w:rPr>
          <w:color w:val="000000" w:themeColor="text1"/>
        </w:rPr>
        <w:t>—Staged application of rules</w:t>
      </w:r>
      <w:bookmarkEnd w:id="693"/>
    </w:p>
    <w:p w14:paraId="41EB26D5" w14:textId="77777777" w:rsidR="00BB7660" w:rsidRPr="004166C9" w:rsidRDefault="00BB7660" w:rsidP="00BB7660">
      <w:pPr>
        <w:pStyle w:val="ActHead5"/>
      </w:pPr>
      <w:bookmarkStart w:id="694" w:name="_Toc111132285"/>
      <w:r>
        <w:t>6.4</w:t>
      </w:r>
      <w:r w:rsidRPr="004166C9">
        <w:t xml:space="preserve">  Staged application of rules―requirement to disclose CDR data</w:t>
      </w:r>
      <w:bookmarkEnd w:id="694"/>
    </w:p>
    <w:p w14:paraId="753D91B7" w14:textId="77777777" w:rsidR="00BB7660" w:rsidRPr="004166C9" w:rsidRDefault="00BB7660" w:rsidP="00BB7660">
      <w:pPr>
        <w:pStyle w:val="subsection"/>
      </w:pPr>
      <w:r w:rsidRPr="004166C9">
        <w:tab/>
      </w:r>
      <w:r>
        <w:t>(1)</w:t>
      </w:r>
      <w:r w:rsidRPr="004166C9">
        <w:tab/>
        <w:t>This clause applies if:</w:t>
      </w:r>
    </w:p>
    <w:p w14:paraId="560C1F9A" w14:textId="77777777" w:rsidR="00BB7660" w:rsidRPr="0087060A" w:rsidRDefault="00BB7660" w:rsidP="00BB7660">
      <w:pPr>
        <w:pStyle w:val="paragraph"/>
      </w:pPr>
      <w:r w:rsidRPr="0087060A">
        <w:tab/>
        <w:t>(a)</w:t>
      </w:r>
      <w:r w:rsidRPr="0087060A">
        <w:tab/>
        <w:t>a product data request or a consumer data request is made to a data holder of a kind referred to in column 1 of the commencement table; and</w:t>
      </w:r>
    </w:p>
    <w:p w14:paraId="2A25362E" w14:textId="77777777" w:rsidR="00BB7660" w:rsidRPr="004166C9" w:rsidRDefault="00BB7660" w:rsidP="00BB7660">
      <w:pPr>
        <w:pStyle w:val="paragraph"/>
      </w:pPr>
      <w:r w:rsidRPr="004166C9">
        <w:tab/>
      </w:r>
      <w:r>
        <w:t>(b)</w:t>
      </w:r>
      <w:r w:rsidRPr="004166C9">
        <w:tab/>
        <w:t>the request is made under a Part of these rules referred to in column 2 of the commencement table; and</w:t>
      </w:r>
    </w:p>
    <w:p w14:paraId="709C5761" w14:textId="77777777" w:rsidR="00BB7660" w:rsidRPr="004166C9" w:rsidRDefault="00BB7660" w:rsidP="00BB7660">
      <w:pPr>
        <w:pStyle w:val="paragraph"/>
      </w:pPr>
      <w:r w:rsidRPr="004166C9">
        <w:tab/>
      </w:r>
      <w:r>
        <w:t>(c)</w:t>
      </w:r>
      <w:r w:rsidRPr="004166C9">
        <w:tab/>
        <w:t xml:space="preserve">the request is </w:t>
      </w:r>
      <w:r w:rsidRPr="00F275B4">
        <w:t xml:space="preserve">made after the commencement of these rules and during </w:t>
      </w:r>
      <w:r w:rsidRPr="004166C9">
        <w:t xml:space="preserve">a period referred to in any of </w:t>
      </w:r>
      <w:r>
        <w:t>the other columns</w:t>
      </w:r>
      <w:r w:rsidRPr="004166C9">
        <w:t xml:space="preserve"> of the commencement table.</w:t>
      </w:r>
    </w:p>
    <w:p w14:paraId="38D107D2" w14:textId="77777777" w:rsidR="00BB7660" w:rsidRPr="004166C9" w:rsidRDefault="00BB7660" w:rsidP="00BB7660">
      <w:pPr>
        <w:pStyle w:val="subsection"/>
      </w:pPr>
      <w:r w:rsidRPr="004166C9">
        <w:tab/>
      </w:r>
      <w:r>
        <w:t>(2)</w:t>
      </w:r>
      <w:r w:rsidRPr="004166C9">
        <w:tab/>
        <w:t xml:space="preserve">Despite clause 3.1A of this Schedule, for the request, </w:t>
      </w:r>
      <w:r>
        <w:t>Part 3</w:t>
      </w:r>
      <w:r w:rsidRPr="004166C9">
        <w:t xml:space="preserve"> of this Schedule applies in relation to the kinds of product referred to in the relevant cell of the commencement table.</w:t>
      </w:r>
    </w:p>
    <w:p w14:paraId="4625C633" w14:textId="77777777" w:rsidR="00BB7660" w:rsidRPr="00A00F6F" w:rsidRDefault="00BB7660" w:rsidP="00BB7660">
      <w:pPr>
        <w:pStyle w:val="subsection"/>
      </w:pPr>
      <w:r w:rsidRPr="00A00F6F">
        <w:tab/>
        <w:t>(3)</w:t>
      </w:r>
      <w:r w:rsidRPr="00A00F6F">
        <w:tab/>
        <w:t xml:space="preserve">Where a table cell includes the term </w:t>
      </w:r>
      <w:r w:rsidRPr="00A00F6F">
        <w:rPr>
          <w:b/>
          <w:i/>
        </w:rPr>
        <w:t>JAE</w:t>
      </w:r>
      <w:r w:rsidRPr="00A00F6F">
        <w:rPr>
          <w:i/>
        </w:rPr>
        <w:t xml:space="preserve"> </w:t>
      </w:r>
      <w:r w:rsidRPr="00A00F6F">
        <w:t>(for “joint accounts excepted”), despite these rules, the data holder is not required to disclose required consumer data about a product that relates to joint accounts.</w:t>
      </w:r>
    </w:p>
    <w:p w14:paraId="3231743C" w14:textId="77777777" w:rsidR="00BB7660" w:rsidRPr="00A00F6F" w:rsidRDefault="00BB7660" w:rsidP="00BB7660">
      <w:pPr>
        <w:pStyle w:val="subsection"/>
      </w:pPr>
      <w:r w:rsidRPr="00A00F6F">
        <w:tab/>
        <w:t>(4)</w:t>
      </w:r>
      <w:r w:rsidRPr="00A00F6F">
        <w:tab/>
        <w:t xml:space="preserve">Where a table cell includes the term </w:t>
      </w:r>
      <w:r w:rsidRPr="00A00F6F">
        <w:rPr>
          <w:b/>
          <w:i/>
        </w:rPr>
        <w:t>CODE</w:t>
      </w:r>
      <w:r w:rsidRPr="00A00F6F">
        <w:rPr>
          <w:i/>
        </w:rPr>
        <w:t xml:space="preserve"> </w:t>
      </w:r>
      <w:r w:rsidRPr="00A00F6F">
        <w:t>(for “certain other data excepted”), despite these rules, the data holder is not required to disclose required consumer data about a phase 1 product that:</w:t>
      </w:r>
    </w:p>
    <w:p w14:paraId="2E44F63E" w14:textId="77777777" w:rsidR="00BB7660" w:rsidRPr="00A00F6F" w:rsidRDefault="00BB7660" w:rsidP="00BB7660">
      <w:pPr>
        <w:pStyle w:val="paragraph"/>
      </w:pPr>
      <w:r w:rsidRPr="00A00F6F">
        <w:tab/>
        <w:t>(a)</w:t>
      </w:r>
      <w:r w:rsidRPr="00A00F6F">
        <w:tab/>
        <w:t>relates to any of the following:</w:t>
      </w:r>
    </w:p>
    <w:p w14:paraId="26A77733" w14:textId="77777777" w:rsidR="00BB7660" w:rsidRPr="00A00F6F" w:rsidRDefault="00BB7660" w:rsidP="00BB7660">
      <w:pPr>
        <w:pStyle w:val="paragraphsub"/>
      </w:pPr>
      <w:r w:rsidRPr="00A00F6F">
        <w:tab/>
        <w:t>(i)</w:t>
      </w:r>
      <w:r w:rsidRPr="00A00F6F">
        <w:tab/>
        <w:t>closed accounts;</w:t>
      </w:r>
    </w:p>
    <w:p w14:paraId="0194AEBB" w14:textId="77777777" w:rsidR="00BB7660" w:rsidRPr="00A00F6F" w:rsidRDefault="00BB7660" w:rsidP="00BB7660">
      <w:pPr>
        <w:pStyle w:val="paragraphsub"/>
      </w:pPr>
      <w:r w:rsidRPr="00A00F6F">
        <w:tab/>
        <w:t>(ii)</w:t>
      </w:r>
      <w:r w:rsidRPr="00A00F6F">
        <w:tab/>
        <w:t>direct debits;</w:t>
      </w:r>
    </w:p>
    <w:p w14:paraId="3FFFEF2F" w14:textId="77777777" w:rsidR="00BB7660" w:rsidRPr="00A00F6F" w:rsidRDefault="00BB7660" w:rsidP="00BB7660">
      <w:pPr>
        <w:pStyle w:val="paragraphsub"/>
      </w:pPr>
      <w:r w:rsidRPr="00A00F6F">
        <w:tab/>
        <w:t>(iii)</w:t>
      </w:r>
      <w:r w:rsidRPr="00A00F6F">
        <w:tab/>
        <w:t>scheduled payments;</w:t>
      </w:r>
    </w:p>
    <w:p w14:paraId="5887C134" w14:textId="77777777" w:rsidR="00BB7660" w:rsidRPr="00A00F6F" w:rsidRDefault="00BB7660" w:rsidP="00BB7660">
      <w:pPr>
        <w:pStyle w:val="paragraphsub"/>
      </w:pPr>
      <w:r w:rsidRPr="00A00F6F">
        <w:tab/>
        <w:t>(iv)</w:t>
      </w:r>
      <w:r w:rsidRPr="00A00F6F">
        <w:tab/>
        <w:t>payees; or</w:t>
      </w:r>
    </w:p>
    <w:p w14:paraId="6B0BD91B" w14:textId="77777777" w:rsidR="00BB7660" w:rsidRPr="00A00F6F" w:rsidRDefault="00BB7660" w:rsidP="00BB7660">
      <w:pPr>
        <w:pStyle w:val="paragraph"/>
      </w:pPr>
      <w:r w:rsidRPr="00A00F6F">
        <w:tab/>
        <w:t>(b)</w:t>
      </w:r>
      <w:r w:rsidRPr="00A00F6F">
        <w:tab/>
        <w:t>is “get account detail” or “get customer detail” data within the meaning of the data standards.</w:t>
      </w:r>
    </w:p>
    <w:p w14:paraId="4094CC42" w14:textId="77777777" w:rsidR="00BB7660" w:rsidRPr="0087060A" w:rsidRDefault="00BB7660" w:rsidP="00BB7660">
      <w:pPr>
        <w:pStyle w:val="ActHead5"/>
      </w:pPr>
      <w:bookmarkStart w:id="695" w:name="_Toc50633245"/>
      <w:bookmarkStart w:id="696" w:name="_Toc57219222"/>
      <w:bookmarkStart w:id="697" w:name="_Toc57219453"/>
      <w:bookmarkStart w:id="698" w:name="_Toc59549199"/>
      <w:bookmarkStart w:id="699" w:name="_Toc111132286"/>
      <w:r w:rsidRPr="0087060A">
        <w:t>6.5  Authorisation to disclose CDR data before required to do so</w:t>
      </w:r>
      <w:bookmarkEnd w:id="695"/>
      <w:bookmarkEnd w:id="696"/>
      <w:bookmarkEnd w:id="697"/>
      <w:bookmarkEnd w:id="698"/>
      <w:bookmarkEnd w:id="699"/>
    </w:p>
    <w:p w14:paraId="276CC5BD" w14:textId="77777777" w:rsidR="00BB7660" w:rsidRPr="0087060A" w:rsidRDefault="00BB7660" w:rsidP="00BB7660">
      <w:pPr>
        <w:pStyle w:val="subsection"/>
        <w:rPr>
          <w:sz w:val="20"/>
        </w:rPr>
      </w:pPr>
      <w:r w:rsidRPr="0087060A">
        <w:tab/>
        <w:t>(1)</w:t>
      </w:r>
      <w:r w:rsidRPr="0087060A">
        <w:tab/>
        <w:t>This clause applies if:</w:t>
      </w:r>
    </w:p>
    <w:p w14:paraId="12EA9B43" w14:textId="77777777" w:rsidR="00BB7660" w:rsidRPr="0087060A" w:rsidRDefault="00BB7660" w:rsidP="00BB7660">
      <w:pPr>
        <w:pStyle w:val="paragraph"/>
      </w:pPr>
      <w:r w:rsidRPr="0087060A">
        <w:tab/>
        <w:t>(a)</w:t>
      </w:r>
      <w:r w:rsidRPr="0087060A">
        <w:tab/>
        <w:t xml:space="preserve">a request for disclosure of CDR data has been made in accordance with Part 2, Part 3 or Part 4 of these rules (the </w:t>
      </w:r>
      <w:r w:rsidRPr="0087060A">
        <w:rPr>
          <w:b/>
          <w:bCs/>
          <w:i/>
          <w:iCs/>
        </w:rPr>
        <w:t>relevant data request Part</w:t>
      </w:r>
      <w:r w:rsidRPr="0087060A">
        <w:t>); and</w:t>
      </w:r>
    </w:p>
    <w:p w14:paraId="4D530446" w14:textId="77777777" w:rsidR="00BB7660" w:rsidRPr="0087060A" w:rsidRDefault="00BB7660" w:rsidP="00BB7660">
      <w:pPr>
        <w:pStyle w:val="paragraph"/>
      </w:pPr>
      <w:r w:rsidRPr="0087060A">
        <w:tab/>
        <w:t>(b)</w:t>
      </w:r>
      <w:r w:rsidRPr="0087060A">
        <w:tab/>
        <w:t>the requested CDR data is any of the following:</w:t>
      </w:r>
    </w:p>
    <w:p w14:paraId="04D7CE58" w14:textId="77777777" w:rsidR="00BB7660" w:rsidRPr="0087060A" w:rsidRDefault="00BB7660" w:rsidP="00BB7660">
      <w:pPr>
        <w:pStyle w:val="paragraphsub"/>
      </w:pPr>
      <w:r w:rsidRPr="0087060A">
        <w:tab/>
        <w:t>(i)</w:t>
      </w:r>
      <w:r w:rsidRPr="0087060A">
        <w:tab/>
        <w:t>required product data;</w:t>
      </w:r>
    </w:p>
    <w:p w14:paraId="6613C26F" w14:textId="77777777" w:rsidR="00BB7660" w:rsidRPr="0087060A" w:rsidRDefault="00BB7660" w:rsidP="00BB7660">
      <w:pPr>
        <w:pStyle w:val="paragraphsub"/>
      </w:pPr>
      <w:r w:rsidRPr="0087060A">
        <w:tab/>
        <w:t>(ii)</w:t>
      </w:r>
      <w:r w:rsidRPr="0087060A">
        <w:tab/>
        <w:t>voluntary product data;</w:t>
      </w:r>
    </w:p>
    <w:p w14:paraId="1F170C92" w14:textId="77777777" w:rsidR="00BB7660" w:rsidRPr="0087060A" w:rsidRDefault="00BB7660" w:rsidP="00BB7660">
      <w:pPr>
        <w:pStyle w:val="paragraphsub"/>
      </w:pPr>
      <w:r w:rsidRPr="0087060A">
        <w:tab/>
        <w:t>(iii)</w:t>
      </w:r>
      <w:r w:rsidRPr="0087060A">
        <w:tab/>
        <w:t>required consumer data;</w:t>
      </w:r>
    </w:p>
    <w:p w14:paraId="5249F443" w14:textId="77777777" w:rsidR="00BB7660" w:rsidRPr="0087060A" w:rsidRDefault="00BB7660" w:rsidP="00BB7660">
      <w:pPr>
        <w:pStyle w:val="paragraphsub"/>
      </w:pPr>
      <w:r w:rsidRPr="0087060A">
        <w:tab/>
        <w:t>(iv)</w:t>
      </w:r>
      <w:r w:rsidRPr="0087060A">
        <w:tab/>
        <w:t>voluntary consumer data; and</w:t>
      </w:r>
    </w:p>
    <w:p w14:paraId="7A2C8328" w14:textId="77777777" w:rsidR="00BB7660" w:rsidRPr="0087060A" w:rsidRDefault="00BB7660" w:rsidP="00BB7660">
      <w:pPr>
        <w:pStyle w:val="paragraph"/>
      </w:pPr>
      <w:r w:rsidRPr="0087060A">
        <w:tab/>
        <w:t>(c)</w:t>
      </w:r>
      <w:r w:rsidRPr="0087060A">
        <w:tab/>
        <w:t>the requested CDR data includes some pre</w:t>
      </w:r>
      <w:r w:rsidRPr="0087060A">
        <w:noBreakHyphen/>
        <w:t>application CDR data.</w:t>
      </w:r>
    </w:p>
    <w:p w14:paraId="18B0870D" w14:textId="77777777" w:rsidR="00BB7660" w:rsidRPr="0087060A" w:rsidRDefault="00BB7660" w:rsidP="00BB7660">
      <w:pPr>
        <w:pStyle w:val="subsection"/>
      </w:pPr>
      <w:r w:rsidRPr="0087060A">
        <w:tab/>
        <w:t>(2)</w:t>
      </w:r>
      <w:r w:rsidRPr="0087060A">
        <w:tab/>
        <w:t>For these rules, the data holder may disclose any or all of the pre</w:t>
      </w:r>
      <w:r w:rsidRPr="0087060A">
        <w:noBreakHyphen/>
        <w:t>application CDR data in response to the request in accordance with the relevant data request Part.</w:t>
      </w:r>
    </w:p>
    <w:p w14:paraId="4739B864" w14:textId="77777777" w:rsidR="00BB7660" w:rsidRDefault="00BB7660" w:rsidP="00BB7660">
      <w:pPr>
        <w:pStyle w:val="subsection"/>
      </w:pPr>
      <w:r w:rsidRPr="0087060A">
        <w:lastRenderedPageBreak/>
        <w:tab/>
        <w:t>(3)</w:t>
      </w:r>
      <w:r w:rsidRPr="0087060A">
        <w:tab/>
        <w:t xml:space="preserve">In this clause, </w:t>
      </w:r>
      <w:r w:rsidRPr="0087060A">
        <w:rPr>
          <w:b/>
          <w:bCs/>
          <w:i/>
          <w:iCs/>
        </w:rPr>
        <w:t>pre-application CDR data</w:t>
      </w:r>
      <w:r w:rsidRPr="0087060A">
        <w:t xml:space="preserve"> means CDR data that, but for the operation of this Part, the data holder would be required or authorised by the relevant data request Part to disclose in response to the request.</w:t>
      </w:r>
    </w:p>
    <w:p w14:paraId="0C63B6CA" w14:textId="77777777" w:rsidR="00BB7660" w:rsidRDefault="00BB7660" w:rsidP="00BB7660">
      <w:pPr>
        <w:pStyle w:val="ActHead5"/>
        <w:pageBreakBefore/>
      </w:pPr>
      <w:bookmarkStart w:id="700" w:name="_Toc50633246"/>
      <w:bookmarkStart w:id="701" w:name="_Toc57219223"/>
      <w:bookmarkStart w:id="702" w:name="_Toc57219454"/>
      <w:bookmarkStart w:id="703" w:name="_Toc59549200"/>
      <w:bookmarkStart w:id="704" w:name="_Toc111132287"/>
      <w:r w:rsidRPr="00F07699">
        <w:lastRenderedPageBreak/>
        <w:t>6.6  Commencement table</w:t>
      </w:r>
      <w:bookmarkEnd w:id="700"/>
      <w:bookmarkEnd w:id="701"/>
      <w:bookmarkEnd w:id="702"/>
      <w:bookmarkEnd w:id="703"/>
      <w:bookmarkEnd w:id="704"/>
    </w:p>
    <w:p w14:paraId="68680A6B" w14:textId="77777777" w:rsidR="00BB7660" w:rsidRPr="00245D0D" w:rsidRDefault="00BB7660" w:rsidP="00BB7660">
      <w:pPr>
        <w:pStyle w:val="notemargin"/>
        <w:rPr>
          <w:color w:val="0000FF"/>
        </w:rPr>
      </w:pPr>
      <w:r w:rsidRPr="00245D0D">
        <w:rPr>
          <w:color w:val="0000FF"/>
        </w:rPr>
        <w:t>Note:</w:t>
      </w:r>
      <w:r w:rsidRPr="00245D0D">
        <w:rPr>
          <w:color w:val="0000FF"/>
        </w:rPr>
        <w:tab/>
        <w:t xml:space="preserve">The table set out in sub-clause (1) below does not actually have effect.  Instead, regulation 28RB of the </w:t>
      </w:r>
      <w:r w:rsidRPr="00245D0D">
        <w:rPr>
          <w:i/>
          <w:iCs/>
          <w:color w:val="0000FF"/>
        </w:rPr>
        <w:t>Competition and Consumer Regulations 2010</w:t>
      </w:r>
      <w:r w:rsidRPr="00245D0D">
        <w:rPr>
          <w:color w:val="0000FF"/>
        </w:rPr>
        <w:t xml:space="preserve"> modifies the Rules so that the commencement table in subclause (1) is to be read as though it were replaced by the new table set out in the Regulations. </w:t>
      </w:r>
    </w:p>
    <w:p w14:paraId="7A649D0F" w14:textId="77777777" w:rsidR="00BB7660" w:rsidRPr="00245D0D" w:rsidRDefault="00BB7660" w:rsidP="00BB7660">
      <w:pPr>
        <w:pStyle w:val="notemargin"/>
        <w:rPr>
          <w:color w:val="0000FF"/>
        </w:rPr>
      </w:pPr>
      <w:r w:rsidRPr="00245D0D">
        <w:rPr>
          <w:color w:val="0000FF"/>
        </w:rPr>
        <w:tab/>
        <w:t>The effect of the replacement table is to delay the start of Part 4 obligations for non-major ADIs from 1 July 2022 to 1 October 2022.</w:t>
      </w:r>
    </w:p>
    <w:p w14:paraId="00EA41C3" w14:textId="77777777" w:rsidR="00BB7660" w:rsidRPr="00D4216E" w:rsidRDefault="00BB7660" w:rsidP="00BB7660">
      <w:pPr>
        <w:pStyle w:val="subsection"/>
        <w:spacing w:after="120"/>
      </w:pPr>
      <w:r w:rsidRPr="00D4216E">
        <w:tab/>
      </w:r>
      <w:r w:rsidRPr="00D4216E">
        <w:tab/>
        <w:t>(1)</w:t>
      </w:r>
      <w:r w:rsidRPr="00D4216E">
        <w:tab/>
        <w:t xml:space="preserve">For this Part, the </w:t>
      </w:r>
      <w:r w:rsidRPr="00D4216E">
        <w:rPr>
          <w:b/>
          <w:i/>
        </w:rPr>
        <w:t xml:space="preserve">commencement table </w:t>
      </w:r>
      <w:r w:rsidRPr="00D4216E">
        <w:t>is: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139"/>
        <w:gridCol w:w="1134"/>
        <w:gridCol w:w="1016"/>
        <w:gridCol w:w="1016"/>
        <w:gridCol w:w="1016"/>
        <w:gridCol w:w="1058"/>
        <w:gridCol w:w="992"/>
        <w:gridCol w:w="993"/>
        <w:gridCol w:w="850"/>
      </w:tblGrid>
      <w:tr w:rsidR="00BB7660" w:rsidRPr="00D4216E" w14:paraId="1580C40D" w14:textId="77777777" w:rsidTr="0051288D">
        <w:trPr>
          <w:tblHeader/>
        </w:trPr>
        <w:tc>
          <w:tcPr>
            <w:tcW w:w="1139" w:type="dxa"/>
            <w:tcBorders>
              <w:top w:val="single" w:sz="18" w:space="0" w:color="auto"/>
              <w:bottom w:val="single" w:sz="18" w:space="0" w:color="auto"/>
            </w:tcBorders>
            <w:vAlign w:val="center"/>
          </w:tcPr>
          <w:p w14:paraId="35E98C50" w14:textId="77777777" w:rsidR="00BB7660" w:rsidRPr="004A04A4" w:rsidRDefault="00BB7660" w:rsidP="0051288D">
            <w:pPr>
              <w:pStyle w:val="TableHeading"/>
              <w:jc w:val="center"/>
              <w:rPr>
                <w:color w:val="0000FF"/>
                <w:szCs w:val="18"/>
              </w:rPr>
            </w:pPr>
            <w:r w:rsidRPr="00A00F6F">
              <w:rPr>
                <w:szCs w:val="18"/>
              </w:rPr>
              <w:t>Data holder</w:t>
            </w:r>
          </w:p>
        </w:tc>
        <w:tc>
          <w:tcPr>
            <w:tcW w:w="1134" w:type="dxa"/>
            <w:tcBorders>
              <w:top w:val="single" w:sz="18" w:space="0" w:color="auto"/>
              <w:bottom w:val="single" w:sz="18" w:space="0" w:color="auto"/>
            </w:tcBorders>
            <w:vAlign w:val="center"/>
          </w:tcPr>
          <w:p w14:paraId="5BB8B4ED" w14:textId="77777777" w:rsidR="00BB7660" w:rsidRPr="004A04A4" w:rsidRDefault="00BB7660" w:rsidP="0051288D">
            <w:pPr>
              <w:pStyle w:val="TableHeading"/>
              <w:jc w:val="center"/>
              <w:rPr>
                <w:color w:val="0000FF"/>
                <w:szCs w:val="18"/>
              </w:rPr>
            </w:pPr>
            <w:r w:rsidRPr="00A00F6F">
              <w:rPr>
                <w:szCs w:val="18"/>
              </w:rPr>
              <w:t>Data sharing obligations</w:t>
            </w:r>
          </w:p>
        </w:tc>
        <w:tc>
          <w:tcPr>
            <w:tcW w:w="1016" w:type="dxa"/>
            <w:tcBorders>
              <w:top w:val="single" w:sz="18" w:space="0" w:color="auto"/>
              <w:bottom w:val="single" w:sz="18" w:space="0" w:color="auto"/>
            </w:tcBorders>
            <w:shd w:val="clear" w:color="auto" w:fill="D9D9D9" w:themeFill="background1" w:themeFillShade="D9"/>
            <w:vAlign w:val="center"/>
          </w:tcPr>
          <w:p w14:paraId="5801C190" w14:textId="77777777" w:rsidR="00BB7660" w:rsidRPr="004A04A4" w:rsidRDefault="00BB7660" w:rsidP="0051288D">
            <w:pPr>
              <w:pStyle w:val="TableHeading"/>
              <w:jc w:val="center"/>
              <w:rPr>
                <w:color w:val="0000FF"/>
                <w:szCs w:val="18"/>
              </w:rPr>
            </w:pPr>
            <w:r w:rsidRPr="00A00F6F">
              <w:rPr>
                <w:szCs w:val="18"/>
              </w:rPr>
              <w:t xml:space="preserve">Start date </w:t>
            </w:r>
            <w:r w:rsidRPr="00A00F6F">
              <w:rPr>
                <w:szCs w:val="18"/>
              </w:rPr>
              <w:br/>
              <w:t>to</w:t>
            </w:r>
            <w:r w:rsidRPr="00A00F6F">
              <w:rPr>
                <w:szCs w:val="18"/>
              </w:rPr>
              <w:br/>
              <w:t>31 Jan 2021</w:t>
            </w:r>
          </w:p>
        </w:tc>
        <w:tc>
          <w:tcPr>
            <w:tcW w:w="1016" w:type="dxa"/>
            <w:tcBorders>
              <w:top w:val="single" w:sz="18" w:space="0" w:color="auto"/>
              <w:bottom w:val="single" w:sz="18" w:space="0" w:color="auto"/>
            </w:tcBorders>
            <w:vAlign w:val="center"/>
          </w:tcPr>
          <w:p w14:paraId="566B8681" w14:textId="77777777" w:rsidR="00BB7660" w:rsidRPr="004A04A4" w:rsidRDefault="00BB7660" w:rsidP="0051288D">
            <w:pPr>
              <w:pStyle w:val="TableHeading"/>
              <w:jc w:val="center"/>
              <w:rPr>
                <w:color w:val="0000FF"/>
                <w:szCs w:val="18"/>
              </w:rPr>
            </w:pPr>
            <w:r w:rsidRPr="00A00F6F">
              <w:rPr>
                <w:szCs w:val="18"/>
              </w:rPr>
              <w:t>1 Feb 2021</w:t>
            </w:r>
            <w:r w:rsidRPr="00A00F6F">
              <w:rPr>
                <w:szCs w:val="18"/>
              </w:rPr>
              <w:br/>
              <w:t>to</w:t>
            </w:r>
            <w:r w:rsidRPr="00A00F6F">
              <w:rPr>
                <w:szCs w:val="18"/>
              </w:rPr>
              <w:br/>
              <w:t>28 Feb 2021</w:t>
            </w:r>
          </w:p>
        </w:tc>
        <w:tc>
          <w:tcPr>
            <w:tcW w:w="1016" w:type="dxa"/>
            <w:tcBorders>
              <w:top w:val="single" w:sz="18" w:space="0" w:color="auto"/>
              <w:bottom w:val="single" w:sz="18" w:space="0" w:color="auto"/>
            </w:tcBorders>
            <w:shd w:val="clear" w:color="auto" w:fill="D9D9D9" w:themeFill="background1" w:themeFillShade="D9"/>
            <w:vAlign w:val="center"/>
          </w:tcPr>
          <w:p w14:paraId="7613F0DB" w14:textId="77777777" w:rsidR="00BB7660" w:rsidRPr="004A04A4" w:rsidRDefault="00BB7660" w:rsidP="0051288D">
            <w:pPr>
              <w:pStyle w:val="TableHeading"/>
              <w:jc w:val="center"/>
              <w:rPr>
                <w:color w:val="0000FF"/>
                <w:szCs w:val="18"/>
              </w:rPr>
            </w:pPr>
            <w:r w:rsidRPr="00A00F6F">
              <w:rPr>
                <w:szCs w:val="18"/>
              </w:rPr>
              <w:t>1 Mar 2021</w:t>
            </w:r>
            <w:r w:rsidRPr="00A00F6F">
              <w:rPr>
                <w:szCs w:val="18"/>
              </w:rPr>
              <w:br/>
              <w:t>to</w:t>
            </w:r>
            <w:r w:rsidRPr="00A00F6F">
              <w:rPr>
                <w:szCs w:val="18"/>
              </w:rPr>
              <w:br/>
              <w:t>30 Jun 2021</w:t>
            </w:r>
          </w:p>
        </w:tc>
        <w:tc>
          <w:tcPr>
            <w:tcW w:w="1058" w:type="dxa"/>
            <w:tcBorders>
              <w:top w:val="single" w:sz="18" w:space="0" w:color="auto"/>
              <w:bottom w:val="single" w:sz="18" w:space="0" w:color="auto"/>
            </w:tcBorders>
            <w:vAlign w:val="center"/>
          </w:tcPr>
          <w:p w14:paraId="760BF445" w14:textId="77777777" w:rsidR="00BB7660" w:rsidRPr="004A04A4" w:rsidRDefault="00BB7660" w:rsidP="0051288D">
            <w:pPr>
              <w:pStyle w:val="TableHeading"/>
              <w:jc w:val="center"/>
              <w:rPr>
                <w:color w:val="0000FF"/>
                <w:szCs w:val="18"/>
              </w:rPr>
            </w:pPr>
            <w:r w:rsidRPr="00A00F6F">
              <w:rPr>
                <w:szCs w:val="18"/>
              </w:rPr>
              <w:t>1 Jul 2021</w:t>
            </w:r>
            <w:r w:rsidRPr="00A00F6F">
              <w:rPr>
                <w:szCs w:val="18"/>
              </w:rPr>
              <w:br/>
              <w:t>to</w:t>
            </w:r>
            <w:r w:rsidRPr="00A00F6F">
              <w:rPr>
                <w:szCs w:val="18"/>
              </w:rPr>
              <w:br/>
              <w:t>31 Oct 2021</w:t>
            </w:r>
          </w:p>
        </w:tc>
        <w:tc>
          <w:tcPr>
            <w:tcW w:w="992" w:type="dxa"/>
            <w:tcBorders>
              <w:top w:val="single" w:sz="18" w:space="0" w:color="auto"/>
              <w:bottom w:val="single" w:sz="18" w:space="0" w:color="auto"/>
            </w:tcBorders>
            <w:shd w:val="clear" w:color="auto" w:fill="D9D9D9" w:themeFill="background1" w:themeFillShade="D9"/>
            <w:vAlign w:val="center"/>
          </w:tcPr>
          <w:p w14:paraId="43A6FEDE" w14:textId="77777777" w:rsidR="00BB7660" w:rsidRPr="004A04A4" w:rsidRDefault="00BB7660" w:rsidP="0051288D">
            <w:pPr>
              <w:pStyle w:val="TableHeading"/>
              <w:jc w:val="center"/>
              <w:rPr>
                <w:color w:val="0000FF"/>
                <w:szCs w:val="18"/>
              </w:rPr>
            </w:pPr>
            <w:r w:rsidRPr="00A00F6F">
              <w:rPr>
                <w:szCs w:val="18"/>
              </w:rPr>
              <w:t xml:space="preserve">1 Nov 2021 </w:t>
            </w:r>
            <w:r w:rsidRPr="00A00F6F">
              <w:rPr>
                <w:szCs w:val="18"/>
              </w:rPr>
              <w:br/>
              <w:t>to</w:t>
            </w:r>
            <w:r w:rsidRPr="00A00F6F">
              <w:rPr>
                <w:szCs w:val="18"/>
              </w:rPr>
              <w:br/>
              <w:t>31 Jan 2022</w:t>
            </w:r>
          </w:p>
        </w:tc>
        <w:tc>
          <w:tcPr>
            <w:tcW w:w="993" w:type="dxa"/>
            <w:tcBorders>
              <w:top w:val="single" w:sz="18" w:space="0" w:color="auto"/>
              <w:bottom w:val="single" w:sz="18" w:space="0" w:color="auto"/>
            </w:tcBorders>
            <w:vAlign w:val="center"/>
          </w:tcPr>
          <w:p w14:paraId="788C519A" w14:textId="77777777" w:rsidR="00BB7660" w:rsidRPr="00A00F6F" w:rsidRDefault="00BB7660" w:rsidP="0051288D">
            <w:pPr>
              <w:pStyle w:val="TableHeading"/>
              <w:jc w:val="center"/>
              <w:rPr>
                <w:szCs w:val="18"/>
              </w:rPr>
            </w:pPr>
            <w:r w:rsidRPr="00A00F6F">
              <w:rPr>
                <w:szCs w:val="18"/>
              </w:rPr>
              <w:t xml:space="preserve">1 Feb 2022 </w:t>
            </w:r>
            <w:r w:rsidRPr="00A00F6F">
              <w:rPr>
                <w:szCs w:val="18"/>
              </w:rPr>
              <w:br/>
              <w:t>to</w:t>
            </w:r>
          </w:p>
          <w:p w14:paraId="3A2381AC" w14:textId="77777777" w:rsidR="00BB7660" w:rsidRPr="00A00F6F" w:rsidRDefault="00BB7660" w:rsidP="0051288D">
            <w:pPr>
              <w:pStyle w:val="TableHeading"/>
              <w:jc w:val="center"/>
              <w:rPr>
                <w:szCs w:val="18"/>
              </w:rPr>
            </w:pPr>
            <w:r w:rsidRPr="00A00F6F">
              <w:rPr>
                <w:szCs w:val="18"/>
              </w:rPr>
              <w:t>30 Jun</w:t>
            </w:r>
          </w:p>
          <w:p w14:paraId="7F327FB8" w14:textId="77777777" w:rsidR="00BB7660" w:rsidRPr="004A04A4" w:rsidRDefault="00BB7660" w:rsidP="0051288D">
            <w:pPr>
              <w:pStyle w:val="TableHeading"/>
              <w:jc w:val="center"/>
              <w:rPr>
                <w:color w:val="0000FF"/>
                <w:szCs w:val="18"/>
              </w:rPr>
            </w:pPr>
            <w:r w:rsidRPr="00A00F6F">
              <w:rPr>
                <w:szCs w:val="18"/>
              </w:rPr>
              <w:t xml:space="preserve">2022 </w:t>
            </w:r>
          </w:p>
        </w:tc>
        <w:tc>
          <w:tcPr>
            <w:tcW w:w="850" w:type="dxa"/>
            <w:tcBorders>
              <w:top w:val="single" w:sz="18" w:space="0" w:color="auto"/>
              <w:bottom w:val="single" w:sz="18" w:space="0" w:color="auto"/>
            </w:tcBorders>
          </w:tcPr>
          <w:p w14:paraId="4F5AA6AF" w14:textId="77777777" w:rsidR="00BB7660" w:rsidRPr="00A00F6F" w:rsidRDefault="00BB7660" w:rsidP="0051288D">
            <w:pPr>
              <w:pStyle w:val="TableHeading"/>
              <w:jc w:val="center"/>
              <w:rPr>
                <w:szCs w:val="18"/>
              </w:rPr>
            </w:pPr>
          </w:p>
          <w:p w14:paraId="63B976B1" w14:textId="77777777" w:rsidR="00BB7660" w:rsidRPr="00A00F6F" w:rsidRDefault="00BB7660" w:rsidP="0051288D">
            <w:pPr>
              <w:pStyle w:val="TableHeading"/>
              <w:jc w:val="center"/>
              <w:rPr>
                <w:szCs w:val="18"/>
              </w:rPr>
            </w:pPr>
            <w:r w:rsidRPr="00A00F6F">
              <w:rPr>
                <w:szCs w:val="18"/>
              </w:rPr>
              <w:t>1 Jul 2022</w:t>
            </w:r>
          </w:p>
          <w:p w14:paraId="5D0B4C73" w14:textId="77777777" w:rsidR="00BB7660" w:rsidRPr="00A00F6F" w:rsidRDefault="00BB7660" w:rsidP="0051288D">
            <w:pPr>
              <w:pStyle w:val="TableHeading"/>
              <w:jc w:val="center"/>
              <w:rPr>
                <w:szCs w:val="18"/>
              </w:rPr>
            </w:pPr>
            <w:r w:rsidRPr="00A00F6F">
              <w:rPr>
                <w:szCs w:val="18"/>
              </w:rPr>
              <w:t xml:space="preserve"> onward</w:t>
            </w:r>
          </w:p>
        </w:tc>
      </w:tr>
      <w:tr w:rsidR="00BB7660" w:rsidRPr="00D4216E" w14:paraId="6A2CA626" w14:textId="77777777" w:rsidTr="0051288D">
        <w:tc>
          <w:tcPr>
            <w:tcW w:w="1139" w:type="dxa"/>
            <w:vMerge w:val="restart"/>
            <w:tcBorders>
              <w:top w:val="single" w:sz="18" w:space="0" w:color="auto"/>
            </w:tcBorders>
            <w:vAlign w:val="center"/>
          </w:tcPr>
          <w:p w14:paraId="07EDEC43" w14:textId="77777777" w:rsidR="00BB7660" w:rsidRPr="004A04A4" w:rsidRDefault="00BB7660" w:rsidP="0051288D">
            <w:pPr>
              <w:pStyle w:val="Tabletext"/>
              <w:rPr>
                <w:color w:val="0000FF"/>
                <w:szCs w:val="18"/>
              </w:rPr>
            </w:pPr>
            <w:r w:rsidRPr="00A00F6F">
              <w:rPr>
                <w:szCs w:val="18"/>
              </w:rPr>
              <w:t>Initial data holders (NAB, CBA, ANZ, Westpac branded products)</w:t>
            </w:r>
          </w:p>
        </w:tc>
        <w:tc>
          <w:tcPr>
            <w:tcW w:w="1134" w:type="dxa"/>
            <w:tcBorders>
              <w:top w:val="single" w:sz="18" w:space="0" w:color="auto"/>
              <w:bottom w:val="single" w:sz="2" w:space="0" w:color="auto"/>
            </w:tcBorders>
            <w:vAlign w:val="center"/>
          </w:tcPr>
          <w:p w14:paraId="4D8D6908" w14:textId="77777777" w:rsidR="00BB7660" w:rsidRPr="004A04A4" w:rsidRDefault="00BB7660" w:rsidP="0051288D">
            <w:pPr>
              <w:pStyle w:val="Tabletext"/>
              <w:rPr>
                <w:color w:val="0000FF"/>
                <w:szCs w:val="18"/>
              </w:rPr>
            </w:pPr>
            <w:r w:rsidRPr="00A00F6F">
              <w:rPr>
                <w:szCs w:val="18"/>
              </w:rPr>
              <w:t xml:space="preserve">Part 2 </w:t>
            </w:r>
          </w:p>
        </w:tc>
        <w:tc>
          <w:tcPr>
            <w:tcW w:w="1016" w:type="dxa"/>
            <w:tcBorders>
              <w:top w:val="single" w:sz="18" w:space="0" w:color="auto"/>
              <w:bottom w:val="single" w:sz="2" w:space="0" w:color="auto"/>
            </w:tcBorders>
            <w:shd w:val="clear" w:color="auto" w:fill="D9D9D9" w:themeFill="background1" w:themeFillShade="D9"/>
          </w:tcPr>
          <w:p w14:paraId="45033591" w14:textId="77777777" w:rsidR="00BB7660" w:rsidRPr="004A04A4" w:rsidRDefault="00BB7660" w:rsidP="0051288D">
            <w:pPr>
              <w:pStyle w:val="Tabletext"/>
              <w:rPr>
                <w:color w:val="0000FF"/>
                <w:szCs w:val="18"/>
              </w:rPr>
            </w:pPr>
            <w:r w:rsidRPr="00A00F6F">
              <w:rPr>
                <w:szCs w:val="18"/>
              </w:rPr>
              <w:t xml:space="preserve">All product phases </w:t>
            </w:r>
          </w:p>
        </w:tc>
        <w:tc>
          <w:tcPr>
            <w:tcW w:w="1016" w:type="dxa"/>
            <w:tcBorders>
              <w:top w:val="single" w:sz="18" w:space="0" w:color="auto"/>
              <w:bottom w:val="single" w:sz="2" w:space="0" w:color="auto"/>
            </w:tcBorders>
          </w:tcPr>
          <w:p w14:paraId="272AD777" w14:textId="77777777" w:rsidR="00BB7660" w:rsidRPr="004A04A4" w:rsidRDefault="00BB7660" w:rsidP="0051288D">
            <w:pPr>
              <w:pStyle w:val="Tabletext"/>
              <w:rPr>
                <w:color w:val="0000FF"/>
                <w:szCs w:val="18"/>
              </w:rPr>
            </w:pPr>
            <w:r w:rsidRPr="00A00F6F">
              <w:rPr>
                <w:szCs w:val="18"/>
              </w:rPr>
              <w:t xml:space="preserve">All product phases </w:t>
            </w:r>
          </w:p>
        </w:tc>
        <w:tc>
          <w:tcPr>
            <w:tcW w:w="1016" w:type="dxa"/>
            <w:tcBorders>
              <w:top w:val="single" w:sz="18" w:space="0" w:color="auto"/>
              <w:bottom w:val="single" w:sz="2" w:space="0" w:color="auto"/>
            </w:tcBorders>
            <w:shd w:val="clear" w:color="auto" w:fill="D9D9D9" w:themeFill="background1" w:themeFillShade="D9"/>
          </w:tcPr>
          <w:p w14:paraId="3198B744" w14:textId="77777777" w:rsidR="00BB7660" w:rsidRPr="004A04A4" w:rsidRDefault="00BB7660" w:rsidP="0051288D">
            <w:pPr>
              <w:pStyle w:val="Tabletext"/>
              <w:rPr>
                <w:color w:val="0000FF"/>
                <w:szCs w:val="18"/>
              </w:rPr>
            </w:pPr>
            <w:r w:rsidRPr="00A00F6F">
              <w:rPr>
                <w:szCs w:val="18"/>
              </w:rPr>
              <w:t xml:space="preserve">All product phases </w:t>
            </w:r>
          </w:p>
        </w:tc>
        <w:tc>
          <w:tcPr>
            <w:tcW w:w="1058" w:type="dxa"/>
            <w:tcBorders>
              <w:top w:val="single" w:sz="18" w:space="0" w:color="auto"/>
              <w:bottom w:val="single" w:sz="2" w:space="0" w:color="auto"/>
            </w:tcBorders>
          </w:tcPr>
          <w:p w14:paraId="4ABB66AC" w14:textId="77777777" w:rsidR="00BB7660" w:rsidRPr="004A04A4" w:rsidRDefault="00BB7660" w:rsidP="0051288D">
            <w:pPr>
              <w:pStyle w:val="Tabletext"/>
              <w:rPr>
                <w:color w:val="0000FF"/>
                <w:szCs w:val="18"/>
              </w:rPr>
            </w:pPr>
            <w:r w:rsidRPr="00A00F6F">
              <w:rPr>
                <w:szCs w:val="18"/>
              </w:rPr>
              <w:t xml:space="preserve">All product phases </w:t>
            </w:r>
          </w:p>
        </w:tc>
        <w:tc>
          <w:tcPr>
            <w:tcW w:w="992" w:type="dxa"/>
            <w:tcBorders>
              <w:top w:val="single" w:sz="18" w:space="0" w:color="auto"/>
              <w:bottom w:val="single" w:sz="2" w:space="0" w:color="auto"/>
            </w:tcBorders>
            <w:shd w:val="clear" w:color="auto" w:fill="D9D9D9" w:themeFill="background1" w:themeFillShade="D9"/>
          </w:tcPr>
          <w:p w14:paraId="125EAC74" w14:textId="77777777" w:rsidR="00BB7660" w:rsidRPr="004A04A4" w:rsidRDefault="00BB7660" w:rsidP="0051288D">
            <w:pPr>
              <w:pStyle w:val="Tabletext"/>
              <w:rPr>
                <w:color w:val="0000FF"/>
                <w:szCs w:val="18"/>
              </w:rPr>
            </w:pPr>
            <w:r w:rsidRPr="00A00F6F">
              <w:rPr>
                <w:szCs w:val="18"/>
              </w:rPr>
              <w:t xml:space="preserve">All product phases </w:t>
            </w:r>
          </w:p>
        </w:tc>
        <w:tc>
          <w:tcPr>
            <w:tcW w:w="993" w:type="dxa"/>
            <w:tcBorders>
              <w:top w:val="single" w:sz="18" w:space="0" w:color="auto"/>
              <w:bottom w:val="single" w:sz="2" w:space="0" w:color="auto"/>
            </w:tcBorders>
          </w:tcPr>
          <w:p w14:paraId="550A9B0E" w14:textId="77777777" w:rsidR="00BB7660" w:rsidRPr="004A04A4" w:rsidRDefault="00BB7660" w:rsidP="0051288D">
            <w:pPr>
              <w:pStyle w:val="Tabletext"/>
              <w:rPr>
                <w:color w:val="0000FF"/>
                <w:szCs w:val="18"/>
              </w:rPr>
            </w:pPr>
            <w:r w:rsidRPr="00A00F6F">
              <w:rPr>
                <w:szCs w:val="18"/>
              </w:rPr>
              <w:t xml:space="preserve">All product phases </w:t>
            </w:r>
          </w:p>
        </w:tc>
        <w:tc>
          <w:tcPr>
            <w:tcW w:w="850" w:type="dxa"/>
            <w:tcBorders>
              <w:top w:val="single" w:sz="18" w:space="0" w:color="auto"/>
              <w:bottom w:val="single" w:sz="2" w:space="0" w:color="auto"/>
            </w:tcBorders>
          </w:tcPr>
          <w:p w14:paraId="12EB5BC7" w14:textId="77777777" w:rsidR="00BB7660" w:rsidRPr="00A00F6F" w:rsidRDefault="00BB7660" w:rsidP="0051288D">
            <w:pPr>
              <w:pStyle w:val="Tabletext"/>
              <w:rPr>
                <w:szCs w:val="18"/>
              </w:rPr>
            </w:pPr>
            <w:r w:rsidRPr="00A00F6F">
              <w:rPr>
                <w:szCs w:val="18"/>
              </w:rPr>
              <w:t xml:space="preserve">All product phases </w:t>
            </w:r>
          </w:p>
        </w:tc>
      </w:tr>
      <w:tr w:rsidR="00BB7660" w:rsidRPr="00D4216E" w14:paraId="68A3F836" w14:textId="77777777" w:rsidTr="0051288D">
        <w:tc>
          <w:tcPr>
            <w:tcW w:w="1139" w:type="dxa"/>
            <w:vMerge/>
            <w:vAlign w:val="center"/>
          </w:tcPr>
          <w:p w14:paraId="4DEEFD3C" w14:textId="77777777" w:rsidR="00BB7660" w:rsidRPr="004A04A4" w:rsidRDefault="00BB7660" w:rsidP="0051288D">
            <w:pPr>
              <w:pStyle w:val="Tabletext"/>
              <w:rPr>
                <w:color w:val="0000FF"/>
                <w:szCs w:val="18"/>
              </w:rPr>
            </w:pPr>
          </w:p>
        </w:tc>
        <w:tc>
          <w:tcPr>
            <w:tcW w:w="1134" w:type="dxa"/>
            <w:tcBorders>
              <w:top w:val="single" w:sz="2" w:space="0" w:color="auto"/>
              <w:bottom w:val="single" w:sz="2" w:space="0" w:color="auto"/>
            </w:tcBorders>
            <w:vAlign w:val="center"/>
          </w:tcPr>
          <w:p w14:paraId="6475C32E" w14:textId="77777777" w:rsidR="00BB7660" w:rsidRPr="004A04A4" w:rsidRDefault="00BB7660" w:rsidP="0051288D">
            <w:pPr>
              <w:pStyle w:val="Tabletext"/>
              <w:rPr>
                <w:color w:val="0000FF"/>
                <w:szCs w:val="18"/>
              </w:rPr>
            </w:pPr>
            <w:r w:rsidRPr="00A00F6F">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14CDBA7E"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2" w:space="0" w:color="auto"/>
            </w:tcBorders>
            <w:vAlign w:val="center"/>
          </w:tcPr>
          <w:p w14:paraId="33783423"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2574FDAE" w14:textId="77777777" w:rsidR="00BB7660" w:rsidRPr="004A04A4" w:rsidRDefault="00BB7660" w:rsidP="0051288D">
            <w:pPr>
              <w:pStyle w:val="Tabletext"/>
              <w:rPr>
                <w:color w:val="0000FF"/>
                <w:szCs w:val="18"/>
              </w:rPr>
            </w:pPr>
            <w:r w:rsidRPr="00A00F6F">
              <w:rPr>
                <w:szCs w:val="18"/>
              </w:rPr>
              <w:t>-</w:t>
            </w:r>
          </w:p>
        </w:tc>
        <w:tc>
          <w:tcPr>
            <w:tcW w:w="1058" w:type="dxa"/>
            <w:tcBorders>
              <w:top w:val="single" w:sz="2" w:space="0" w:color="auto"/>
              <w:bottom w:val="single" w:sz="2" w:space="0" w:color="auto"/>
            </w:tcBorders>
            <w:vAlign w:val="center"/>
          </w:tcPr>
          <w:p w14:paraId="1434C352" w14:textId="77777777" w:rsidR="00BB7660" w:rsidRPr="004A04A4" w:rsidRDefault="00BB7660" w:rsidP="0051288D">
            <w:pPr>
              <w:pStyle w:val="Tabletext"/>
              <w:rPr>
                <w:color w:val="0000FF"/>
                <w:szCs w:val="18"/>
              </w:rPr>
            </w:pPr>
            <w:r w:rsidRPr="00A00F6F">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4735E2BA" w14:textId="77777777" w:rsidR="00BB7660" w:rsidRPr="004A04A4" w:rsidRDefault="00BB7660" w:rsidP="0051288D">
            <w:pPr>
              <w:pStyle w:val="Tabletext"/>
              <w:rPr>
                <w:color w:val="0000FF"/>
                <w:szCs w:val="18"/>
              </w:rPr>
            </w:pPr>
            <w:r w:rsidRPr="00A00F6F">
              <w:rPr>
                <w:szCs w:val="18"/>
              </w:rPr>
              <w:t>-</w:t>
            </w:r>
          </w:p>
        </w:tc>
        <w:tc>
          <w:tcPr>
            <w:tcW w:w="993" w:type="dxa"/>
            <w:tcBorders>
              <w:top w:val="single" w:sz="2" w:space="0" w:color="auto"/>
              <w:bottom w:val="single" w:sz="2" w:space="0" w:color="auto"/>
            </w:tcBorders>
            <w:vAlign w:val="center"/>
          </w:tcPr>
          <w:p w14:paraId="7947CD69" w14:textId="77777777" w:rsidR="00BB7660" w:rsidRPr="004A04A4" w:rsidRDefault="00BB7660" w:rsidP="0051288D">
            <w:pPr>
              <w:pStyle w:val="Tabletext"/>
              <w:rPr>
                <w:color w:val="0000FF"/>
                <w:szCs w:val="18"/>
              </w:rPr>
            </w:pPr>
            <w:r w:rsidRPr="00A00F6F">
              <w:rPr>
                <w:szCs w:val="18"/>
              </w:rPr>
              <w:t>-</w:t>
            </w:r>
          </w:p>
        </w:tc>
        <w:tc>
          <w:tcPr>
            <w:tcW w:w="850" w:type="dxa"/>
            <w:tcBorders>
              <w:top w:val="single" w:sz="2" w:space="0" w:color="auto"/>
              <w:bottom w:val="single" w:sz="2" w:space="0" w:color="auto"/>
            </w:tcBorders>
            <w:vAlign w:val="center"/>
          </w:tcPr>
          <w:p w14:paraId="52A03F29" w14:textId="77777777" w:rsidR="00BB7660" w:rsidRPr="00A00F6F" w:rsidRDefault="00BB7660" w:rsidP="0051288D">
            <w:pPr>
              <w:pStyle w:val="Tabletext"/>
              <w:rPr>
                <w:szCs w:val="18"/>
              </w:rPr>
            </w:pPr>
            <w:r w:rsidRPr="00A00F6F">
              <w:rPr>
                <w:szCs w:val="18"/>
              </w:rPr>
              <w:t>-</w:t>
            </w:r>
          </w:p>
        </w:tc>
      </w:tr>
      <w:tr w:rsidR="00BB7660" w:rsidRPr="00D4216E" w14:paraId="04A006F5" w14:textId="77777777" w:rsidTr="0051288D">
        <w:tc>
          <w:tcPr>
            <w:tcW w:w="1139" w:type="dxa"/>
            <w:vMerge/>
            <w:tcBorders>
              <w:bottom w:val="single" w:sz="12" w:space="0" w:color="auto"/>
            </w:tcBorders>
            <w:vAlign w:val="center"/>
          </w:tcPr>
          <w:p w14:paraId="7576142B" w14:textId="77777777" w:rsidR="00BB7660" w:rsidRPr="004A04A4" w:rsidRDefault="00BB7660" w:rsidP="0051288D">
            <w:pPr>
              <w:pStyle w:val="Tabletext"/>
              <w:rPr>
                <w:color w:val="0000FF"/>
                <w:szCs w:val="18"/>
              </w:rPr>
            </w:pPr>
          </w:p>
        </w:tc>
        <w:tc>
          <w:tcPr>
            <w:tcW w:w="1134" w:type="dxa"/>
            <w:tcBorders>
              <w:top w:val="single" w:sz="2" w:space="0" w:color="auto"/>
              <w:bottom w:val="single" w:sz="12" w:space="0" w:color="auto"/>
            </w:tcBorders>
            <w:vAlign w:val="center"/>
          </w:tcPr>
          <w:p w14:paraId="4DF0ACAE" w14:textId="77777777" w:rsidR="00BB7660" w:rsidRPr="004A04A4" w:rsidRDefault="00BB7660" w:rsidP="0051288D">
            <w:pPr>
              <w:pStyle w:val="Tabletext"/>
              <w:rPr>
                <w:color w:val="0000FF"/>
                <w:szCs w:val="18"/>
              </w:rPr>
            </w:pPr>
            <w:r w:rsidRPr="00A00F6F">
              <w:rPr>
                <w:szCs w:val="18"/>
              </w:rPr>
              <w:t xml:space="preserve">Part 4 </w:t>
            </w:r>
          </w:p>
        </w:tc>
        <w:tc>
          <w:tcPr>
            <w:tcW w:w="1016" w:type="dxa"/>
            <w:tcBorders>
              <w:top w:val="single" w:sz="2" w:space="0" w:color="auto"/>
              <w:bottom w:val="single" w:sz="12" w:space="0" w:color="auto"/>
            </w:tcBorders>
            <w:shd w:val="clear" w:color="auto" w:fill="D9D9D9" w:themeFill="background1" w:themeFillShade="D9"/>
          </w:tcPr>
          <w:p w14:paraId="251D812E" w14:textId="77777777" w:rsidR="00BB7660" w:rsidRPr="004A04A4" w:rsidRDefault="00BB7660" w:rsidP="0051288D">
            <w:pPr>
              <w:pStyle w:val="Tabletext"/>
              <w:rPr>
                <w:color w:val="0000FF"/>
                <w:szCs w:val="18"/>
              </w:rPr>
            </w:pPr>
            <w:r w:rsidRPr="00A00F6F">
              <w:rPr>
                <w:szCs w:val="18"/>
              </w:rPr>
              <w:t>Phase 1</w:t>
            </w:r>
            <w:r w:rsidRPr="00A00F6F">
              <w:rPr>
                <w:szCs w:val="18"/>
              </w:rPr>
              <w:br/>
              <w:t xml:space="preserve">Phase 2 </w:t>
            </w:r>
          </w:p>
        </w:tc>
        <w:tc>
          <w:tcPr>
            <w:tcW w:w="1016" w:type="dxa"/>
            <w:tcBorders>
              <w:top w:val="single" w:sz="2" w:space="0" w:color="auto"/>
              <w:bottom w:val="single" w:sz="12" w:space="0" w:color="auto"/>
            </w:tcBorders>
          </w:tcPr>
          <w:p w14:paraId="77F17FC0" w14:textId="77777777" w:rsidR="00BB7660" w:rsidRPr="004A04A4" w:rsidRDefault="00BB7660" w:rsidP="0051288D">
            <w:pPr>
              <w:pStyle w:val="Tabletext"/>
              <w:rPr>
                <w:color w:val="0000FF"/>
                <w:szCs w:val="18"/>
              </w:rPr>
            </w:pPr>
            <w:r w:rsidRPr="00A00F6F">
              <w:rPr>
                <w:szCs w:val="18"/>
              </w:rPr>
              <w:t>All product phases</w:t>
            </w:r>
          </w:p>
        </w:tc>
        <w:tc>
          <w:tcPr>
            <w:tcW w:w="1016" w:type="dxa"/>
            <w:tcBorders>
              <w:top w:val="single" w:sz="2" w:space="0" w:color="auto"/>
              <w:bottom w:val="single" w:sz="12" w:space="0" w:color="auto"/>
            </w:tcBorders>
            <w:shd w:val="clear" w:color="auto" w:fill="D9D9D9" w:themeFill="background1" w:themeFillShade="D9"/>
          </w:tcPr>
          <w:p w14:paraId="06BED1E1" w14:textId="77777777" w:rsidR="00BB7660" w:rsidRPr="004A04A4" w:rsidRDefault="00BB7660" w:rsidP="0051288D">
            <w:pPr>
              <w:pStyle w:val="Tabletext"/>
              <w:rPr>
                <w:color w:val="0000FF"/>
                <w:szCs w:val="18"/>
              </w:rPr>
            </w:pPr>
            <w:r w:rsidRPr="00A00F6F">
              <w:rPr>
                <w:szCs w:val="18"/>
              </w:rPr>
              <w:t xml:space="preserve">All product phases </w:t>
            </w:r>
          </w:p>
        </w:tc>
        <w:tc>
          <w:tcPr>
            <w:tcW w:w="1058" w:type="dxa"/>
            <w:tcBorders>
              <w:top w:val="single" w:sz="2" w:space="0" w:color="auto"/>
              <w:bottom w:val="single" w:sz="12" w:space="0" w:color="auto"/>
            </w:tcBorders>
          </w:tcPr>
          <w:p w14:paraId="61865238" w14:textId="77777777" w:rsidR="00BB7660" w:rsidRPr="004A04A4" w:rsidRDefault="00BB7660" w:rsidP="0051288D">
            <w:pPr>
              <w:pStyle w:val="Tabletext"/>
              <w:rPr>
                <w:color w:val="0000FF"/>
                <w:szCs w:val="18"/>
              </w:rPr>
            </w:pPr>
            <w:r w:rsidRPr="00A00F6F">
              <w:rPr>
                <w:szCs w:val="18"/>
              </w:rPr>
              <w:t xml:space="preserve">All product phases </w:t>
            </w:r>
          </w:p>
        </w:tc>
        <w:tc>
          <w:tcPr>
            <w:tcW w:w="992" w:type="dxa"/>
            <w:tcBorders>
              <w:top w:val="single" w:sz="2" w:space="0" w:color="auto"/>
              <w:bottom w:val="single" w:sz="12" w:space="0" w:color="auto"/>
            </w:tcBorders>
            <w:shd w:val="clear" w:color="auto" w:fill="D9D9D9" w:themeFill="background1" w:themeFillShade="D9"/>
          </w:tcPr>
          <w:p w14:paraId="790D11FF" w14:textId="77777777" w:rsidR="00BB7660" w:rsidRPr="004A04A4" w:rsidRDefault="00BB7660" w:rsidP="0051288D">
            <w:pPr>
              <w:pStyle w:val="Tabletext"/>
              <w:rPr>
                <w:color w:val="0000FF"/>
                <w:szCs w:val="18"/>
              </w:rPr>
            </w:pPr>
            <w:r w:rsidRPr="00A00F6F">
              <w:rPr>
                <w:szCs w:val="18"/>
              </w:rPr>
              <w:t xml:space="preserve">All product phases </w:t>
            </w:r>
          </w:p>
        </w:tc>
        <w:tc>
          <w:tcPr>
            <w:tcW w:w="993" w:type="dxa"/>
            <w:tcBorders>
              <w:top w:val="single" w:sz="2" w:space="0" w:color="auto"/>
              <w:bottom w:val="single" w:sz="12" w:space="0" w:color="auto"/>
            </w:tcBorders>
          </w:tcPr>
          <w:p w14:paraId="057853CF" w14:textId="77777777" w:rsidR="00BB7660" w:rsidRPr="004A04A4" w:rsidRDefault="00BB7660" w:rsidP="0051288D">
            <w:pPr>
              <w:pStyle w:val="Tabletext"/>
              <w:rPr>
                <w:color w:val="0000FF"/>
                <w:szCs w:val="18"/>
              </w:rPr>
            </w:pPr>
            <w:r w:rsidRPr="00A00F6F">
              <w:rPr>
                <w:szCs w:val="18"/>
              </w:rPr>
              <w:t xml:space="preserve">All product phases </w:t>
            </w:r>
          </w:p>
        </w:tc>
        <w:tc>
          <w:tcPr>
            <w:tcW w:w="850" w:type="dxa"/>
            <w:tcBorders>
              <w:top w:val="single" w:sz="2" w:space="0" w:color="auto"/>
              <w:bottom w:val="single" w:sz="12" w:space="0" w:color="auto"/>
            </w:tcBorders>
          </w:tcPr>
          <w:p w14:paraId="7433DC86" w14:textId="77777777" w:rsidR="00BB7660" w:rsidRPr="00A00F6F" w:rsidRDefault="00BB7660" w:rsidP="0051288D">
            <w:pPr>
              <w:pStyle w:val="Tabletext"/>
              <w:rPr>
                <w:szCs w:val="18"/>
              </w:rPr>
            </w:pPr>
            <w:r w:rsidRPr="00A00F6F">
              <w:rPr>
                <w:szCs w:val="18"/>
              </w:rPr>
              <w:t xml:space="preserve">All product phases </w:t>
            </w:r>
          </w:p>
        </w:tc>
      </w:tr>
      <w:tr w:rsidR="00BB7660" w:rsidRPr="00D4216E" w14:paraId="1E895708" w14:textId="77777777" w:rsidTr="0051288D">
        <w:tc>
          <w:tcPr>
            <w:tcW w:w="1139" w:type="dxa"/>
            <w:vMerge w:val="restart"/>
            <w:tcBorders>
              <w:top w:val="single" w:sz="12" w:space="0" w:color="auto"/>
            </w:tcBorders>
            <w:vAlign w:val="center"/>
          </w:tcPr>
          <w:p w14:paraId="0A37854D" w14:textId="77777777" w:rsidR="00BB7660" w:rsidRPr="004A04A4" w:rsidRDefault="00BB7660" w:rsidP="0051288D">
            <w:pPr>
              <w:pStyle w:val="Tabletext"/>
              <w:rPr>
                <w:color w:val="0000FF"/>
                <w:szCs w:val="18"/>
              </w:rPr>
            </w:pPr>
            <w:r w:rsidRPr="00A00F6F">
              <w:rPr>
                <w:szCs w:val="18"/>
              </w:rPr>
              <w:t>Any other relevant ADI and initial data holders for non-primary brands</w:t>
            </w:r>
          </w:p>
        </w:tc>
        <w:tc>
          <w:tcPr>
            <w:tcW w:w="1134" w:type="dxa"/>
            <w:tcBorders>
              <w:top w:val="single" w:sz="12" w:space="0" w:color="auto"/>
              <w:bottom w:val="single" w:sz="2" w:space="0" w:color="auto"/>
            </w:tcBorders>
            <w:vAlign w:val="center"/>
          </w:tcPr>
          <w:p w14:paraId="0F019977" w14:textId="77777777" w:rsidR="00BB7660" w:rsidRPr="004A04A4" w:rsidRDefault="00BB7660" w:rsidP="0051288D">
            <w:pPr>
              <w:pStyle w:val="Tabletext"/>
              <w:rPr>
                <w:color w:val="0000FF"/>
                <w:szCs w:val="18"/>
              </w:rPr>
            </w:pPr>
            <w:r w:rsidRPr="00A00F6F">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4B693070" w14:textId="77777777" w:rsidR="00BB7660" w:rsidRPr="004A04A4" w:rsidRDefault="00BB7660" w:rsidP="0051288D">
            <w:pPr>
              <w:pStyle w:val="Tabletext"/>
              <w:rPr>
                <w:color w:val="0000FF"/>
                <w:szCs w:val="18"/>
              </w:rPr>
            </w:pPr>
            <w:r w:rsidRPr="00A00F6F">
              <w:rPr>
                <w:szCs w:val="18"/>
              </w:rPr>
              <w:t>Phase 1</w:t>
            </w:r>
          </w:p>
        </w:tc>
        <w:tc>
          <w:tcPr>
            <w:tcW w:w="1016" w:type="dxa"/>
            <w:tcBorders>
              <w:top w:val="single" w:sz="12" w:space="0" w:color="auto"/>
              <w:bottom w:val="single" w:sz="2" w:space="0" w:color="auto"/>
            </w:tcBorders>
          </w:tcPr>
          <w:p w14:paraId="1D741A19" w14:textId="77777777" w:rsidR="00BB7660" w:rsidRPr="004A04A4" w:rsidRDefault="00BB7660" w:rsidP="0051288D">
            <w:pPr>
              <w:pStyle w:val="Tabletext"/>
              <w:rPr>
                <w:color w:val="0000FF"/>
                <w:szCs w:val="18"/>
              </w:rPr>
            </w:pPr>
            <w:r w:rsidRPr="00A00F6F">
              <w:rPr>
                <w:szCs w:val="18"/>
              </w:rPr>
              <w:t>Phase 1</w:t>
            </w:r>
            <w:r w:rsidRPr="00A00F6F">
              <w:rPr>
                <w:szCs w:val="18"/>
              </w:rPr>
              <w:br/>
              <w:t xml:space="preserve">Phase 2 </w:t>
            </w:r>
          </w:p>
        </w:tc>
        <w:tc>
          <w:tcPr>
            <w:tcW w:w="1016" w:type="dxa"/>
            <w:tcBorders>
              <w:top w:val="single" w:sz="12" w:space="0" w:color="auto"/>
              <w:bottom w:val="single" w:sz="2" w:space="0" w:color="auto"/>
            </w:tcBorders>
            <w:shd w:val="clear" w:color="auto" w:fill="D9D9D9" w:themeFill="background1" w:themeFillShade="D9"/>
          </w:tcPr>
          <w:p w14:paraId="0A19E9A8" w14:textId="77777777" w:rsidR="00BB7660" w:rsidRPr="004A04A4" w:rsidRDefault="00BB7660" w:rsidP="0051288D">
            <w:pPr>
              <w:pStyle w:val="Tabletext"/>
              <w:rPr>
                <w:color w:val="0000FF"/>
                <w:szCs w:val="18"/>
              </w:rPr>
            </w:pPr>
            <w:r w:rsidRPr="00A00F6F">
              <w:rPr>
                <w:szCs w:val="18"/>
              </w:rPr>
              <w:t>Phase 1</w:t>
            </w:r>
            <w:r w:rsidRPr="00A00F6F">
              <w:rPr>
                <w:szCs w:val="18"/>
              </w:rPr>
              <w:br/>
              <w:t xml:space="preserve">Phase 2 </w:t>
            </w:r>
          </w:p>
        </w:tc>
        <w:tc>
          <w:tcPr>
            <w:tcW w:w="1058" w:type="dxa"/>
            <w:tcBorders>
              <w:top w:val="single" w:sz="12" w:space="0" w:color="auto"/>
              <w:bottom w:val="single" w:sz="2" w:space="0" w:color="auto"/>
            </w:tcBorders>
          </w:tcPr>
          <w:p w14:paraId="1F258AD4" w14:textId="77777777" w:rsidR="00BB7660" w:rsidRPr="004A04A4" w:rsidRDefault="00BB7660" w:rsidP="0051288D">
            <w:pPr>
              <w:pStyle w:val="Tabletext"/>
              <w:rPr>
                <w:color w:val="0000FF"/>
                <w:szCs w:val="18"/>
              </w:rPr>
            </w:pPr>
            <w:r w:rsidRPr="00A00F6F">
              <w:rPr>
                <w:szCs w:val="18"/>
              </w:rPr>
              <w:t>All product phases</w:t>
            </w:r>
          </w:p>
        </w:tc>
        <w:tc>
          <w:tcPr>
            <w:tcW w:w="992" w:type="dxa"/>
            <w:tcBorders>
              <w:top w:val="single" w:sz="12" w:space="0" w:color="auto"/>
              <w:bottom w:val="single" w:sz="2" w:space="0" w:color="auto"/>
            </w:tcBorders>
            <w:shd w:val="clear" w:color="auto" w:fill="D9D9D9" w:themeFill="background1" w:themeFillShade="D9"/>
          </w:tcPr>
          <w:p w14:paraId="7E4BB4B6" w14:textId="77777777" w:rsidR="00BB7660" w:rsidRPr="004A04A4" w:rsidRDefault="00BB7660" w:rsidP="0051288D">
            <w:pPr>
              <w:pStyle w:val="Tabletext"/>
              <w:rPr>
                <w:color w:val="0000FF"/>
                <w:szCs w:val="18"/>
              </w:rPr>
            </w:pPr>
            <w:r w:rsidRPr="00A00F6F">
              <w:rPr>
                <w:szCs w:val="18"/>
              </w:rPr>
              <w:t xml:space="preserve">All product phases </w:t>
            </w:r>
          </w:p>
        </w:tc>
        <w:tc>
          <w:tcPr>
            <w:tcW w:w="993" w:type="dxa"/>
            <w:tcBorders>
              <w:top w:val="single" w:sz="12" w:space="0" w:color="auto"/>
              <w:bottom w:val="single" w:sz="2" w:space="0" w:color="auto"/>
            </w:tcBorders>
          </w:tcPr>
          <w:p w14:paraId="3960B82F" w14:textId="77777777" w:rsidR="00BB7660" w:rsidRPr="004A04A4" w:rsidRDefault="00BB7660" w:rsidP="0051288D">
            <w:pPr>
              <w:pStyle w:val="Tabletext"/>
              <w:rPr>
                <w:color w:val="0000FF"/>
                <w:szCs w:val="18"/>
              </w:rPr>
            </w:pPr>
            <w:r w:rsidRPr="00A00F6F">
              <w:rPr>
                <w:szCs w:val="18"/>
              </w:rPr>
              <w:t xml:space="preserve">All product phases </w:t>
            </w:r>
          </w:p>
        </w:tc>
        <w:tc>
          <w:tcPr>
            <w:tcW w:w="850" w:type="dxa"/>
            <w:tcBorders>
              <w:top w:val="single" w:sz="12" w:space="0" w:color="auto"/>
              <w:bottom w:val="single" w:sz="2" w:space="0" w:color="auto"/>
            </w:tcBorders>
          </w:tcPr>
          <w:p w14:paraId="4E86A589" w14:textId="77777777" w:rsidR="00BB7660" w:rsidRPr="00A00F6F" w:rsidRDefault="00BB7660" w:rsidP="0051288D">
            <w:pPr>
              <w:pStyle w:val="Tabletext"/>
              <w:rPr>
                <w:szCs w:val="18"/>
              </w:rPr>
            </w:pPr>
            <w:r w:rsidRPr="00A00F6F">
              <w:rPr>
                <w:szCs w:val="18"/>
              </w:rPr>
              <w:t xml:space="preserve">All product phases </w:t>
            </w:r>
          </w:p>
        </w:tc>
      </w:tr>
      <w:tr w:rsidR="00BB7660" w:rsidRPr="00D4216E" w14:paraId="55D5C42F" w14:textId="77777777" w:rsidTr="0051288D">
        <w:tc>
          <w:tcPr>
            <w:tcW w:w="1139" w:type="dxa"/>
            <w:vMerge/>
            <w:vAlign w:val="center"/>
          </w:tcPr>
          <w:p w14:paraId="15DC94B7" w14:textId="77777777" w:rsidR="00BB7660" w:rsidRPr="004A04A4" w:rsidRDefault="00BB7660" w:rsidP="0051288D">
            <w:pPr>
              <w:pStyle w:val="Tabletext"/>
              <w:rPr>
                <w:color w:val="0000FF"/>
                <w:szCs w:val="18"/>
              </w:rPr>
            </w:pPr>
          </w:p>
        </w:tc>
        <w:tc>
          <w:tcPr>
            <w:tcW w:w="1134" w:type="dxa"/>
            <w:tcBorders>
              <w:top w:val="single" w:sz="2" w:space="0" w:color="auto"/>
              <w:bottom w:val="single" w:sz="2" w:space="0" w:color="auto"/>
            </w:tcBorders>
            <w:vAlign w:val="center"/>
          </w:tcPr>
          <w:p w14:paraId="4A41FCE8" w14:textId="77777777" w:rsidR="00BB7660" w:rsidRPr="004A04A4" w:rsidRDefault="00BB7660" w:rsidP="0051288D">
            <w:pPr>
              <w:pStyle w:val="Tabletext"/>
              <w:rPr>
                <w:color w:val="0000FF"/>
                <w:szCs w:val="18"/>
              </w:rPr>
            </w:pPr>
            <w:r w:rsidRPr="00A00F6F">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6090349C"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2" w:space="0" w:color="auto"/>
            </w:tcBorders>
            <w:vAlign w:val="center"/>
          </w:tcPr>
          <w:p w14:paraId="173F26D5"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6CC16AE7" w14:textId="77777777" w:rsidR="00BB7660" w:rsidRPr="004A04A4" w:rsidRDefault="00BB7660" w:rsidP="0051288D">
            <w:pPr>
              <w:pStyle w:val="Tabletext"/>
              <w:rPr>
                <w:color w:val="0000FF"/>
                <w:szCs w:val="18"/>
              </w:rPr>
            </w:pPr>
            <w:r w:rsidRPr="00A00F6F">
              <w:rPr>
                <w:szCs w:val="18"/>
              </w:rPr>
              <w:t>-</w:t>
            </w:r>
          </w:p>
        </w:tc>
        <w:tc>
          <w:tcPr>
            <w:tcW w:w="1058" w:type="dxa"/>
            <w:tcBorders>
              <w:top w:val="single" w:sz="2" w:space="0" w:color="auto"/>
              <w:bottom w:val="single" w:sz="2" w:space="0" w:color="auto"/>
            </w:tcBorders>
            <w:vAlign w:val="center"/>
          </w:tcPr>
          <w:p w14:paraId="532F2298" w14:textId="77777777" w:rsidR="00BB7660" w:rsidRPr="004A04A4" w:rsidRDefault="00BB7660" w:rsidP="0051288D">
            <w:pPr>
              <w:pStyle w:val="Tabletext"/>
              <w:rPr>
                <w:color w:val="0000FF"/>
                <w:szCs w:val="18"/>
              </w:rPr>
            </w:pPr>
            <w:r w:rsidRPr="00A00F6F">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524EF2AA" w14:textId="77777777" w:rsidR="00BB7660" w:rsidRPr="004A04A4" w:rsidRDefault="00BB7660" w:rsidP="0051288D">
            <w:pPr>
              <w:pStyle w:val="Tabletext"/>
              <w:rPr>
                <w:color w:val="0000FF"/>
                <w:szCs w:val="18"/>
              </w:rPr>
            </w:pPr>
            <w:r w:rsidRPr="00A00F6F">
              <w:rPr>
                <w:szCs w:val="18"/>
              </w:rPr>
              <w:t>-</w:t>
            </w:r>
          </w:p>
        </w:tc>
        <w:tc>
          <w:tcPr>
            <w:tcW w:w="993" w:type="dxa"/>
            <w:tcBorders>
              <w:top w:val="single" w:sz="2" w:space="0" w:color="auto"/>
              <w:bottom w:val="single" w:sz="2" w:space="0" w:color="auto"/>
            </w:tcBorders>
            <w:vAlign w:val="center"/>
          </w:tcPr>
          <w:p w14:paraId="39C04E9B" w14:textId="77777777" w:rsidR="00BB7660" w:rsidRPr="004A04A4" w:rsidRDefault="00BB7660" w:rsidP="0051288D">
            <w:pPr>
              <w:pStyle w:val="Tabletext"/>
              <w:rPr>
                <w:color w:val="0000FF"/>
                <w:szCs w:val="18"/>
              </w:rPr>
            </w:pPr>
            <w:r w:rsidRPr="00A00F6F">
              <w:rPr>
                <w:szCs w:val="18"/>
              </w:rPr>
              <w:t>-</w:t>
            </w:r>
          </w:p>
        </w:tc>
        <w:tc>
          <w:tcPr>
            <w:tcW w:w="850" w:type="dxa"/>
            <w:tcBorders>
              <w:top w:val="single" w:sz="2" w:space="0" w:color="auto"/>
              <w:bottom w:val="single" w:sz="2" w:space="0" w:color="auto"/>
            </w:tcBorders>
            <w:vAlign w:val="center"/>
          </w:tcPr>
          <w:p w14:paraId="21946AE6" w14:textId="77777777" w:rsidR="00BB7660" w:rsidRPr="00A00F6F" w:rsidRDefault="00BB7660" w:rsidP="0051288D">
            <w:pPr>
              <w:pStyle w:val="Tabletext"/>
              <w:rPr>
                <w:szCs w:val="18"/>
              </w:rPr>
            </w:pPr>
            <w:r w:rsidRPr="00A00F6F">
              <w:rPr>
                <w:szCs w:val="18"/>
              </w:rPr>
              <w:t>-</w:t>
            </w:r>
          </w:p>
        </w:tc>
      </w:tr>
      <w:tr w:rsidR="00BB7660" w:rsidRPr="00D4216E" w14:paraId="02B0A4C0" w14:textId="77777777" w:rsidTr="0051288D">
        <w:tc>
          <w:tcPr>
            <w:tcW w:w="1139" w:type="dxa"/>
            <w:vMerge/>
            <w:tcBorders>
              <w:bottom w:val="single" w:sz="12" w:space="0" w:color="auto"/>
            </w:tcBorders>
            <w:vAlign w:val="center"/>
          </w:tcPr>
          <w:p w14:paraId="04D4159F" w14:textId="77777777" w:rsidR="00BB7660" w:rsidRPr="004A04A4" w:rsidRDefault="00BB7660" w:rsidP="0051288D">
            <w:pPr>
              <w:pStyle w:val="Tabletext"/>
              <w:rPr>
                <w:color w:val="0000FF"/>
                <w:szCs w:val="18"/>
              </w:rPr>
            </w:pPr>
          </w:p>
        </w:tc>
        <w:tc>
          <w:tcPr>
            <w:tcW w:w="1134" w:type="dxa"/>
            <w:tcBorders>
              <w:top w:val="single" w:sz="2" w:space="0" w:color="auto"/>
              <w:bottom w:val="single" w:sz="12" w:space="0" w:color="auto"/>
            </w:tcBorders>
            <w:vAlign w:val="center"/>
          </w:tcPr>
          <w:p w14:paraId="574E205E" w14:textId="77777777" w:rsidR="00BB7660" w:rsidRPr="004A04A4" w:rsidRDefault="00BB7660" w:rsidP="0051288D">
            <w:pPr>
              <w:pStyle w:val="Tabletext"/>
              <w:rPr>
                <w:color w:val="0000FF"/>
                <w:szCs w:val="18"/>
              </w:rPr>
            </w:pPr>
            <w:r w:rsidRPr="00A00F6F">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6B3CAB69"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12" w:space="0" w:color="auto"/>
            </w:tcBorders>
            <w:vAlign w:val="center"/>
          </w:tcPr>
          <w:p w14:paraId="1188BF40"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12" w:space="0" w:color="auto"/>
            </w:tcBorders>
            <w:shd w:val="clear" w:color="auto" w:fill="D9D9D9" w:themeFill="background1" w:themeFillShade="D9"/>
            <w:vAlign w:val="center"/>
          </w:tcPr>
          <w:p w14:paraId="461DC780" w14:textId="77777777" w:rsidR="00BB7660" w:rsidRPr="004A04A4" w:rsidRDefault="00BB7660" w:rsidP="0051288D">
            <w:pPr>
              <w:pStyle w:val="Tabletext"/>
              <w:rPr>
                <w:color w:val="0000FF"/>
                <w:szCs w:val="18"/>
              </w:rPr>
            </w:pPr>
            <w:r w:rsidRPr="00A00F6F">
              <w:rPr>
                <w:szCs w:val="18"/>
              </w:rPr>
              <w:t>-</w:t>
            </w:r>
          </w:p>
        </w:tc>
        <w:tc>
          <w:tcPr>
            <w:tcW w:w="1058" w:type="dxa"/>
            <w:tcBorders>
              <w:top w:val="single" w:sz="2" w:space="0" w:color="auto"/>
              <w:bottom w:val="single" w:sz="12" w:space="0" w:color="auto"/>
            </w:tcBorders>
          </w:tcPr>
          <w:p w14:paraId="7F7B5DC0" w14:textId="77777777" w:rsidR="00BB7660" w:rsidRPr="00A00F6F" w:rsidRDefault="00BB7660" w:rsidP="0051288D">
            <w:pPr>
              <w:pStyle w:val="Tabletext"/>
              <w:rPr>
                <w:szCs w:val="18"/>
              </w:rPr>
            </w:pPr>
            <w:r w:rsidRPr="00A00F6F">
              <w:rPr>
                <w:szCs w:val="18"/>
              </w:rPr>
              <w:t>Phase 1 JAE</w:t>
            </w:r>
          </w:p>
          <w:p w14:paraId="3AC8904D" w14:textId="77777777" w:rsidR="00BB7660" w:rsidRPr="004A04A4" w:rsidRDefault="00BB7660" w:rsidP="0051288D">
            <w:pPr>
              <w:pStyle w:val="Tabletext"/>
              <w:rPr>
                <w:color w:val="0000FF"/>
                <w:szCs w:val="18"/>
              </w:rPr>
            </w:pPr>
            <w:r w:rsidRPr="00A00F6F">
              <w:rPr>
                <w:szCs w:val="18"/>
              </w:rPr>
              <w:t xml:space="preserve">CODE  </w:t>
            </w:r>
          </w:p>
        </w:tc>
        <w:tc>
          <w:tcPr>
            <w:tcW w:w="992" w:type="dxa"/>
            <w:tcBorders>
              <w:top w:val="single" w:sz="2" w:space="0" w:color="auto"/>
              <w:bottom w:val="single" w:sz="12" w:space="0" w:color="auto"/>
            </w:tcBorders>
            <w:shd w:val="clear" w:color="auto" w:fill="D9D9D9" w:themeFill="background1" w:themeFillShade="D9"/>
          </w:tcPr>
          <w:p w14:paraId="3B54B60F" w14:textId="77777777" w:rsidR="00BB7660" w:rsidRPr="004A04A4" w:rsidRDefault="00BB7660" w:rsidP="0051288D">
            <w:pPr>
              <w:pStyle w:val="Tabletext"/>
              <w:rPr>
                <w:color w:val="0000FF"/>
                <w:szCs w:val="18"/>
              </w:rPr>
            </w:pPr>
            <w:r w:rsidRPr="00A00F6F">
              <w:rPr>
                <w:szCs w:val="18"/>
              </w:rPr>
              <w:t>Phase 1</w:t>
            </w:r>
            <w:r w:rsidRPr="00A00F6F">
              <w:rPr>
                <w:szCs w:val="18"/>
              </w:rPr>
              <w:br/>
              <w:t>Phase 2</w:t>
            </w:r>
            <w:r w:rsidRPr="00A00F6F">
              <w:rPr>
                <w:szCs w:val="18"/>
              </w:rPr>
              <w:br/>
              <w:t xml:space="preserve"> JAE</w:t>
            </w:r>
          </w:p>
        </w:tc>
        <w:tc>
          <w:tcPr>
            <w:tcW w:w="993" w:type="dxa"/>
            <w:tcBorders>
              <w:top w:val="single" w:sz="2" w:space="0" w:color="auto"/>
              <w:bottom w:val="single" w:sz="12" w:space="0" w:color="auto"/>
            </w:tcBorders>
          </w:tcPr>
          <w:p w14:paraId="3BD9405B" w14:textId="77777777" w:rsidR="00BB7660" w:rsidRPr="004A04A4" w:rsidRDefault="00BB7660" w:rsidP="0051288D">
            <w:pPr>
              <w:pStyle w:val="Tabletext"/>
              <w:rPr>
                <w:color w:val="0000FF"/>
                <w:szCs w:val="18"/>
              </w:rPr>
            </w:pPr>
            <w:r w:rsidRPr="00A00F6F">
              <w:rPr>
                <w:szCs w:val="18"/>
              </w:rPr>
              <w:t>All product phases</w:t>
            </w:r>
            <w:r w:rsidRPr="00A00F6F">
              <w:rPr>
                <w:szCs w:val="18"/>
              </w:rPr>
              <w:br/>
              <w:t>JAE</w:t>
            </w:r>
          </w:p>
        </w:tc>
        <w:tc>
          <w:tcPr>
            <w:tcW w:w="850" w:type="dxa"/>
            <w:tcBorders>
              <w:top w:val="single" w:sz="2" w:space="0" w:color="auto"/>
              <w:bottom w:val="single" w:sz="12" w:space="0" w:color="auto"/>
            </w:tcBorders>
          </w:tcPr>
          <w:p w14:paraId="1886B3E9" w14:textId="77777777" w:rsidR="00BB7660" w:rsidRPr="00A00F6F" w:rsidRDefault="00BB7660" w:rsidP="0051288D">
            <w:pPr>
              <w:pStyle w:val="Tabletext"/>
              <w:rPr>
                <w:szCs w:val="18"/>
              </w:rPr>
            </w:pPr>
            <w:r w:rsidRPr="00A00F6F">
              <w:rPr>
                <w:szCs w:val="18"/>
              </w:rPr>
              <w:t>All product phases</w:t>
            </w:r>
          </w:p>
        </w:tc>
      </w:tr>
      <w:tr w:rsidR="00BB7660" w:rsidRPr="00D4216E" w14:paraId="21355C08" w14:textId="77777777" w:rsidTr="0051288D">
        <w:tc>
          <w:tcPr>
            <w:tcW w:w="1139" w:type="dxa"/>
            <w:vMerge w:val="restart"/>
            <w:tcBorders>
              <w:top w:val="single" w:sz="12" w:space="0" w:color="auto"/>
            </w:tcBorders>
            <w:vAlign w:val="center"/>
          </w:tcPr>
          <w:p w14:paraId="4DAD0894" w14:textId="77777777" w:rsidR="00BB7660" w:rsidRPr="004A04A4" w:rsidRDefault="00BB7660" w:rsidP="0051288D">
            <w:pPr>
              <w:pStyle w:val="Tabletext"/>
              <w:rPr>
                <w:color w:val="0000FF"/>
                <w:szCs w:val="18"/>
              </w:rPr>
            </w:pPr>
            <w:r w:rsidRPr="00A00F6F">
              <w:rPr>
                <w:szCs w:val="18"/>
              </w:rPr>
              <w:t>Accredited ADI and accredited non-ADI (reciprocal data holder)</w:t>
            </w:r>
          </w:p>
        </w:tc>
        <w:tc>
          <w:tcPr>
            <w:tcW w:w="1134" w:type="dxa"/>
            <w:tcBorders>
              <w:top w:val="single" w:sz="12" w:space="0" w:color="auto"/>
              <w:bottom w:val="single" w:sz="2" w:space="0" w:color="auto"/>
            </w:tcBorders>
            <w:vAlign w:val="center"/>
          </w:tcPr>
          <w:p w14:paraId="022F03C4" w14:textId="77777777" w:rsidR="00BB7660" w:rsidRPr="004A04A4" w:rsidRDefault="00BB7660" w:rsidP="0051288D">
            <w:pPr>
              <w:pStyle w:val="Tabletext"/>
              <w:rPr>
                <w:color w:val="0000FF"/>
                <w:szCs w:val="18"/>
              </w:rPr>
            </w:pPr>
            <w:r w:rsidRPr="00A00F6F">
              <w:rPr>
                <w:szCs w:val="18"/>
              </w:rPr>
              <w:t xml:space="preserve">Part 2 </w:t>
            </w:r>
          </w:p>
        </w:tc>
        <w:tc>
          <w:tcPr>
            <w:tcW w:w="1016" w:type="dxa"/>
            <w:tcBorders>
              <w:top w:val="single" w:sz="12" w:space="0" w:color="auto"/>
              <w:bottom w:val="single" w:sz="2" w:space="0" w:color="auto"/>
            </w:tcBorders>
            <w:shd w:val="clear" w:color="auto" w:fill="D9D9D9" w:themeFill="background1" w:themeFillShade="D9"/>
          </w:tcPr>
          <w:p w14:paraId="60B03331" w14:textId="77777777" w:rsidR="00BB7660" w:rsidRPr="004A04A4" w:rsidRDefault="00BB7660" w:rsidP="0051288D">
            <w:pPr>
              <w:pStyle w:val="Tabletext"/>
              <w:rPr>
                <w:color w:val="0000FF"/>
                <w:szCs w:val="18"/>
              </w:rPr>
            </w:pPr>
            <w:r w:rsidRPr="00A00F6F">
              <w:rPr>
                <w:szCs w:val="18"/>
              </w:rPr>
              <w:t xml:space="preserve">All product phases </w:t>
            </w:r>
          </w:p>
        </w:tc>
        <w:tc>
          <w:tcPr>
            <w:tcW w:w="1016" w:type="dxa"/>
            <w:tcBorders>
              <w:top w:val="single" w:sz="12" w:space="0" w:color="auto"/>
              <w:bottom w:val="single" w:sz="2" w:space="0" w:color="auto"/>
            </w:tcBorders>
          </w:tcPr>
          <w:p w14:paraId="62A8D975" w14:textId="77777777" w:rsidR="00BB7660" w:rsidRPr="004A04A4" w:rsidRDefault="00BB7660" w:rsidP="0051288D">
            <w:pPr>
              <w:pStyle w:val="Tabletext"/>
              <w:rPr>
                <w:color w:val="0000FF"/>
                <w:szCs w:val="18"/>
              </w:rPr>
            </w:pPr>
            <w:r w:rsidRPr="00A00F6F">
              <w:rPr>
                <w:szCs w:val="18"/>
              </w:rPr>
              <w:t xml:space="preserve">All product phases </w:t>
            </w:r>
          </w:p>
        </w:tc>
        <w:tc>
          <w:tcPr>
            <w:tcW w:w="1016" w:type="dxa"/>
            <w:tcBorders>
              <w:top w:val="single" w:sz="12" w:space="0" w:color="auto"/>
              <w:bottom w:val="single" w:sz="2" w:space="0" w:color="auto"/>
            </w:tcBorders>
            <w:shd w:val="clear" w:color="auto" w:fill="D9D9D9" w:themeFill="background1" w:themeFillShade="D9"/>
          </w:tcPr>
          <w:p w14:paraId="02AB5B9D" w14:textId="77777777" w:rsidR="00BB7660" w:rsidRPr="004A04A4" w:rsidRDefault="00BB7660" w:rsidP="0051288D">
            <w:pPr>
              <w:pStyle w:val="Tabletext"/>
              <w:rPr>
                <w:color w:val="0000FF"/>
                <w:szCs w:val="18"/>
              </w:rPr>
            </w:pPr>
            <w:r w:rsidRPr="00A00F6F">
              <w:rPr>
                <w:szCs w:val="18"/>
              </w:rPr>
              <w:t xml:space="preserve">All product phases </w:t>
            </w:r>
          </w:p>
        </w:tc>
        <w:tc>
          <w:tcPr>
            <w:tcW w:w="1058" w:type="dxa"/>
            <w:tcBorders>
              <w:top w:val="single" w:sz="12" w:space="0" w:color="auto"/>
              <w:bottom w:val="single" w:sz="2" w:space="0" w:color="auto"/>
            </w:tcBorders>
          </w:tcPr>
          <w:p w14:paraId="02E63E0D" w14:textId="77777777" w:rsidR="00BB7660" w:rsidRPr="004A04A4" w:rsidRDefault="00BB7660" w:rsidP="0051288D">
            <w:pPr>
              <w:pStyle w:val="Tabletext"/>
              <w:rPr>
                <w:color w:val="0000FF"/>
                <w:szCs w:val="18"/>
              </w:rPr>
            </w:pPr>
            <w:r w:rsidRPr="00A00F6F">
              <w:rPr>
                <w:szCs w:val="18"/>
              </w:rPr>
              <w:t xml:space="preserve">All product phases </w:t>
            </w:r>
          </w:p>
        </w:tc>
        <w:tc>
          <w:tcPr>
            <w:tcW w:w="992" w:type="dxa"/>
            <w:tcBorders>
              <w:top w:val="single" w:sz="12" w:space="0" w:color="auto"/>
              <w:bottom w:val="single" w:sz="2" w:space="0" w:color="auto"/>
            </w:tcBorders>
            <w:shd w:val="clear" w:color="auto" w:fill="D9D9D9" w:themeFill="background1" w:themeFillShade="D9"/>
          </w:tcPr>
          <w:p w14:paraId="55E72C0D" w14:textId="77777777" w:rsidR="00BB7660" w:rsidRPr="004A04A4" w:rsidRDefault="00BB7660" w:rsidP="0051288D">
            <w:pPr>
              <w:pStyle w:val="Tabletext"/>
              <w:rPr>
                <w:color w:val="0000FF"/>
                <w:szCs w:val="18"/>
              </w:rPr>
            </w:pPr>
            <w:r w:rsidRPr="00A00F6F">
              <w:rPr>
                <w:szCs w:val="18"/>
              </w:rPr>
              <w:t xml:space="preserve">All product phases </w:t>
            </w:r>
          </w:p>
        </w:tc>
        <w:tc>
          <w:tcPr>
            <w:tcW w:w="993" w:type="dxa"/>
            <w:tcBorders>
              <w:top w:val="single" w:sz="12" w:space="0" w:color="auto"/>
              <w:bottom w:val="single" w:sz="2" w:space="0" w:color="auto"/>
            </w:tcBorders>
          </w:tcPr>
          <w:p w14:paraId="2091C975" w14:textId="77777777" w:rsidR="00BB7660" w:rsidRPr="004A04A4" w:rsidRDefault="00BB7660" w:rsidP="0051288D">
            <w:pPr>
              <w:pStyle w:val="Tabletext"/>
              <w:rPr>
                <w:color w:val="0000FF"/>
                <w:szCs w:val="18"/>
              </w:rPr>
            </w:pPr>
            <w:r w:rsidRPr="00A00F6F">
              <w:rPr>
                <w:szCs w:val="18"/>
              </w:rPr>
              <w:t xml:space="preserve">All product phases </w:t>
            </w:r>
          </w:p>
        </w:tc>
        <w:tc>
          <w:tcPr>
            <w:tcW w:w="850" w:type="dxa"/>
            <w:tcBorders>
              <w:top w:val="single" w:sz="12" w:space="0" w:color="auto"/>
              <w:bottom w:val="single" w:sz="2" w:space="0" w:color="auto"/>
            </w:tcBorders>
          </w:tcPr>
          <w:p w14:paraId="13EA5E6E" w14:textId="77777777" w:rsidR="00BB7660" w:rsidRPr="00A00F6F" w:rsidRDefault="00BB7660" w:rsidP="0051288D">
            <w:pPr>
              <w:pStyle w:val="Tabletext"/>
              <w:rPr>
                <w:szCs w:val="18"/>
              </w:rPr>
            </w:pPr>
            <w:r w:rsidRPr="00A00F6F">
              <w:rPr>
                <w:szCs w:val="18"/>
              </w:rPr>
              <w:t xml:space="preserve">All product phases </w:t>
            </w:r>
          </w:p>
        </w:tc>
      </w:tr>
      <w:tr w:rsidR="00BB7660" w:rsidRPr="00D4216E" w14:paraId="2829814C" w14:textId="77777777" w:rsidTr="0051288D">
        <w:tc>
          <w:tcPr>
            <w:tcW w:w="1139" w:type="dxa"/>
            <w:vMerge/>
            <w:vAlign w:val="center"/>
          </w:tcPr>
          <w:p w14:paraId="17186FFB" w14:textId="77777777" w:rsidR="00BB7660" w:rsidRPr="004A04A4" w:rsidRDefault="00BB7660" w:rsidP="0051288D">
            <w:pPr>
              <w:pStyle w:val="Tabletext"/>
              <w:rPr>
                <w:color w:val="0000FF"/>
                <w:szCs w:val="18"/>
              </w:rPr>
            </w:pPr>
          </w:p>
        </w:tc>
        <w:tc>
          <w:tcPr>
            <w:tcW w:w="1134" w:type="dxa"/>
            <w:tcBorders>
              <w:top w:val="single" w:sz="2" w:space="0" w:color="auto"/>
              <w:bottom w:val="single" w:sz="2" w:space="0" w:color="auto"/>
            </w:tcBorders>
            <w:vAlign w:val="center"/>
          </w:tcPr>
          <w:p w14:paraId="1F8CB831" w14:textId="77777777" w:rsidR="00BB7660" w:rsidRPr="004A04A4" w:rsidRDefault="00BB7660" w:rsidP="0051288D">
            <w:pPr>
              <w:pStyle w:val="Tabletext"/>
              <w:rPr>
                <w:color w:val="0000FF"/>
                <w:szCs w:val="18"/>
              </w:rPr>
            </w:pPr>
            <w:r w:rsidRPr="00A00F6F">
              <w:rPr>
                <w:szCs w:val="18"/>
              </w:rPr>
              <w:t xml:space="preserve">Part 3 </w:t>
            </w:r>
          </w:p>
        </w:tc>
        <w:tc>
          <w:tcPr>
            <w:tcW w:w="1016" w:type="dxa"/>
            <w:tcBorders>
              <w:top w:val="single" w:sz="2" w:space="0" w:color="auto"/>
              <w:bottom w:val="single" w:sz="2" w:space="0" w:color="auto"/>
            </w:tcBorders>
            <w:shd w:val="clear" w:color="auto" w:fill="D9D9D9" w:themeFill="background1" w:themeFillShade="D9"/>
            <w:vAlign w:val="center"/>
          </w:tcPr>
          <w:p w14:paraId="7482F8A1"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2" w:space="0" w:color="auto"/>
            </w:tcBorders>
            <w:vAlign w:val="center"/>
          </w:tcPr>
          <w:p w14:paraId="5F89279B"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2" w:space="0" w:color="auto"/>
            </w:tcBorders>
            <w:shd w:val="clear" w:color="auto" w:fill="D9D9D9" w:themeFill="background1" w:themeFillShade="D9"/>
            <w:vAlign w:val="center"/>
          </w:tcPr>
          <w:p w14:paraId="2BC14D89" w14:textId="77777777" w:rsidR="00BB7660" w:rsidRPr="004A04A4" w:rsidRDefault="00BB7660" w:rsidP="0051288D">
            <w:pPr>
              <w:pStyle w:val="Tabletext"/>
              <w:rPr>
                <w:color w:val="0000FF"/>
                <w:szCs w:val="18"/>
              </w:rPr>
            </w:pPr>
            <w:r w:rsidRPr="00A00F6F">
              <w:rPr>
                <w:szCs w:val="18"/>
              </w:rPr>
              <w:t>-</w:t>
            </w:r>
          </w:p>
        </w:tc>
        <w:tc>
          <w:tcPr>
            <w:tcW w:w="1058" w:type="dxa"/>
            <w:tcBorders>
              <w:top w:val="single" w:sz="2" w:space="0" w:color="auto"/>
              <w:bottom w:val="single" w:sz="2" w:space="0" w:color="auto"/>
            </w:tcBorders>
            <w:vAlign w:val="center"/>
          </w:tcPr>
          <w:p w14:paraId="31C84DA6" w14:textId="77777777" w:rsidR="00BB7660" w:rsidRPr="004A04A4" w:rsidRDefault="00BB7660" w:rsidP="0051288D">
            <w:pPr>
              <w:pStyle w:val="Tabletext"/>
              <w:rPr>
                <w:color w:val="0000FF"/>
                <w:szCs w:val="18"/>
              </w:rPr>
            </w:pPr>
            <w:r w:rsidRPr="00A00F6F">
              <w:rPr>
                <w:szCs w:val="18"/>
              </w:rPr>
              <w:t>-</w:t>
            </w:r>
          </w:p>
        </w:tc>
        <w:tc>
          <w:tcPr>
            <w:tcW w:w="992" w:type="dxa"/>
            <w:tcBorders>
              <w:top w:val="single" w:sz="2" w:space="0" w:color="auto"/>
              <w:bottom w:val="single" w:sz="2" w:space="0" w:color="auto"/>
            </w:tcBorders>
            <w:shd w:val="clear" w:color="auto" w:fill="D9D9D9" w:themeFill="background1" w:themeFillShade="D9"/>
            <w:vAlign w:val="center"/>
          </w:tcPr>
          <w:p w14:paraId="6C579AB7" w14:textId="77777777" w:rsidR="00BB7660" w:rsidRPr="004A04A4" w:rsidRDefault="00BB7660" w:rsidP="0051288D">
            <w:pPr>
              <w:pStyle w:val="Tabletext"/>
              <w:rPr>
                <w:strike/>
                <w:color w:val="0000FF"/>
                <w:szCs w:val="18"/>
              </w:rPr>
            </w:pPr>
            <w:r w:rsidRPr="00A00F6F">
              <w:rPr>
                <w:szCs w:val="18"/>
              </w:rPr>
              <w:t>-</w:t>
            </w:r>
          </w:p>
        </w:tc>
        <w:tc>
          <w:tcPr>
            <w:tcW w:w="993" w:type="dxa"/>
            <w:tcBorders>
              <w:top w:val="single" w:sz="2" w:space="0" w:color="auto"/>
              <w:bottom w:val="single" w:sz="2" w:space="0" w:color="auto"/>
            </w:tcBorders>
            <w:vAlign w:val="center"/>
          </w:tcPr>
          <w:p w14:paraId="77D74E45" w14:textId="77777777" w:rsidR="00BB7660" w:rsidRPr="004A04A4" w:rsidRDefault="00BB7660" w:rsidP="0051288D">
            <w:pPr>
              <w:pStyle w:val="Tabletext"/>
              <w:rPr>
                <w:strike/>
                <w:color w:val="0000FF"/>
                <w:szCs w:val="18"/>
              </w:rPr>
            </w:pPr>
            <w:r w:rsidRPr="00A00F6F">
              <w:rPr>
                <w:szCs w:val="18"/>
              </w:rPr>
              <w:t>-</w:t>
            </w:r>
          </w:p>
        </w:tc>
        <w:tc>
          <w:tcPr>
            <w:tcW w:w="850" w:type="dxa"/>
            <w:tcBorders>
              <w:top w:val="single" w:sz="2" w:space="0" w:color="auto"/>
              <w:bottom w:val="single" w:sz="2" w:space="0" w:color="auto"/>
            </w:tcBorders>
            <w:vAlign w:val="center"/>
          </w:tcPr>
          <w:p w14:paraId="19E2AD92" w14:textId="77777777" w:rsidR="00BB7660" w:rsidRPr="00A00F6F" w:rsidRDefault="00BB7660" w:rsidP="0051288D">
            <w:pPr>
              <w:pStyle w:val="Tabletext"/>
              <w:rPr>
                <w:szCs w:val="18"/>
              </w:rPr>
            </w:pPr>
            <w:r w:rsidRPr="00A00F6F">
              <w:rPr>
                <w:szCs w:val="18"/>
              </w:rPr>
              <w:t>-</w:t>
            </w:r>
          </w:p>
        </w:tc>
      </w:tr>
      <w:tr w:rsidR="00BB7660" w:rsidRPr="00D4216E" w14:paraId="4C060F30" w14:textId="77777777" w:rsidTr="0051288D">
        <w:tc>
          <w:tcPr>
            <w:tcW w:w="1139" w:type="dxa"/>
            <w:vMerge/>
            <w:tcBorders>
              <w:bottom w:val="single" w:sz="12" w:space="0" w:color="auto"/>
            </w:tcBorders>
            <w:vAlign w:val="center"/>
          </w:tcPr>
          <w:p w14:paraId="5B52107B" w14:textId="77777777" w:rsidR="00BB7660" w:rsidRPr="004A04A4" w:rsidRDefault="00BB7660" w:rsidP="0051288D">
            <w:pPr>
              <w:pStyle w:val="Tabletext"/>
              <w:rPr>
                <w:color w:val="0000FF"/>
                <w:szCs w:val="18"/>
              </w:rPr>
            </w:pPr>
          </w:p>
        </w:tc>
        <w:tc>
          <w:tcPr>
            <w:tcW w:w="1134" w:type="dxa"/>
            <w:tcBorders>
              <w:top w:val="single" w:sz="2" w:space="0" w:color="auto"/>
              <w:bottom w:val="single" w:sz="12" w:space="0" w:color="auto"/>
            </w:tcBorders>
            <w:vAlign w:val="center"/>
          </w:tcPr>
          <w:p w14:paraId="764F30A6" w14:textId="77777777" w:rsidR="00BB7660" w:rsidRPr="004A04A4" w:rsidRDefault="00BB7660" w:rsidP="0051288D">
            <w:pPr>
              <w:pStyle w:val="Tabletext"/>
              <w:rPr>
                <w:color w:val="0000FF"/>
                <w:szCs w:val="18"/>
              </w:rPr>
            </w:pPr>
            <w:r w:rsidRPr="00A00F6F">
              <w:rPr>
                <w:szCs w:val="18"/>
              </w:rPr>
              <w:t xml:space="preserve">Part 4 </w:t>
            </w:r>
          </w:p>
        </w:tc>
        <w:tc>
          <w:tcPr>
            <w:tcW w:w="1016" w:type="dxa"/>
            <w:tcBorders>
              <w:top w:val="single" w:sz="2" w:space="0" w:color="auto"/>
              <w:bottom w:val="single" w:sz="12" w:space="0" w:color="auto"/>
            </w:tcBorders>
            <w:shd w:val="clear" w:color="auto" w:fill="D9D9D9" w:themeFill="background1" w:themeFillShade="D9"/>
            <w:vAlign w:val="center"/>
          </w:tcPr>
          <w:p w14:paraId="570A34B5"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12" w:space="0" w:color="auto"/>
            </w:tcBorders>
            <w:vAlign w:val="center"/>
          </w:tcPr>
          <w:p w14:paraId="3D94ECE1" w14:textId="77777777" w:rsidR="00BB7660" w:rsidRPr="004A04A4" w:rsidRDefault="00BB7660" w:rsidP="0051288D">
            <w:pPr>
              <w:pStyle w:val="Tabletext"/>
              <w:rPr>
                <w:color w:val="0000FF"/>
                <w:szCs w:val="18"/>
              </w:rPr>
            </w:pPr>
            <w:r w:rsidRPr="00A00F6F">
              <w:rPr>
                <w:szCs w:val="18"/>
              </w:rPr>
              <w:t>-</w:t>
            </w:r>
          </w:p>
        </w:tc>
        <w:tc>
          <w:tcPr>
            <w:tcW w:w="1016" w:type="dxa"/>
            <w:tcBorders>
              <w:top w:val="single" w:sz="2" w:space="0" w:color="auto"/>
              <w:bottom w:val="single" w:sz="12" w:space="0" w:color="auto"/>
            </w:tcBorders>
            <w:shd w:val="clear" w:color="auto" w:fill="D9D9D9" w:themeFill="background1" w:themeFillShade="D9"/>
          </w:tcPr>
          <w:p w14:paraId="15504783" w14:textId="77777777" w:rsidR="00BB7660" w:rsidRPr="00A00F6F" w:rsidRDefault="00BB7660" w:rsidP="0051288D">
            <w:pPr>
              <w:pStyle w:val="Tabletext"/>
              <w:rPr>
                <w:szCs w:val="18"/>
              </w:rPr>
            </w:pPr>
            <w:r w:rsidRPr="00A00F6F">
              <w:rPr>
                <w:szCs w:val="18"/>
              </w:rPr>
              <w:t>Phase 1 JAE</w:t>
            </w:r>
          </w:p>
          <w:p w14:paraId="43D422EA" w14:textId="77777777" w:rsidR="00BB7660" w:rsidRPr="004A04A4" w:rsidRDefault="00BB7660" w:rsidP="0051288D">
            <w:pPr>
              <w:pStyle w:val="Tabletext"/>
              <w:rPr>
                <w:color w:val="0000FF"/>
                <w:szCs w:val="18"/>
              </w:rPr>
            </w:pPr>
            <w:r w:rsidRPr="00A00F6F">
              <w:rPr>
                <w:szCs w:val="18"/>
              </w:rPr>
              <w:t>CODE</w:t>
            </w:r>
          </w:p>
        </w:tc>
        <w:tc>
          <w:tcPr>
            <w:tcW w:w="1058" w:type="dxa"/>
            <w:tcBorders>
              <w:top w:val="single" w:sz="2" w:space="0" w:color="auto"/>
              <w:bottom w:val="single" w:sz="12" w:space="0" w:color="auto"/>
            </w:tcBorders>
          </w:tcPr>
          <w:p w14:paraId="3C4C38EF" w14:textId="77777777" w:rsidR="00BB7660" w:rsidRPr="004A04A4" w:rsidRDefault="00BB7660" w:rsidP="0051288D">
            <w:pPr>
              <w:pStyle w:val="Tabletext"/>
              <w:rPr>
                <w:color w:val="0000FF"/>
                <w:szCs w:val="18"/>
              </w:rPr>
            </w:pPr>
            <w:r w:rsidRPr="00A00F6F">
              <w:rPr>
                <w:szCs w:val="18"/>
              </w:rPr>
              <w:t>All product phases</w:t>
            </w:r>
            <w:r w:rsidRPr="00A00F6F">
              <w:rPr>
                <w:szCs w:val="18"/>
              </w:rPr>
              <w:br/>
              <w:t xml:space="preserve">JAE </w:t>
            </w:r>
          </w:p>
        </w:tc>
        <w:tc>
          <w:tcPr>
            <w:tcW w:w="992" w:type="dxa"/>
            <w:tcBorders>
              <w:top w:val="single" w:sz="2" w:space="0" w:color="auto"/>
              <w:bottom w:val="single" w:sz="12" w:space="0" w:color="auto"/>
            </w:tcBorders>
            <w:shd w:val="clear" w:color="auto" w:fill="D9D9D9" w:themeFill="background1" w:themeFillShade="D9"/>
          </w:tcPr>
          <w:p w14:paraId="5330FF11" w14:textId="77777777" w:rsidR="00BB7660" w:rsidRPr="004A04A4" w:rsidRDefault="00BB7660" w:rsidP="0051288D">
            <w:pPr>
              <w:pStyle w:val="Tabletext"/>
              <w:rPr>
                <w:color w:val="0000FF"/>
                <w:szCs w:val="18"/>
              </w:rPr>
            </w:pPr>
            <w:r w:rsidRPr="00A00F6F">
              <w:rPr>
                <w:szCs w:val="18"/>
              </w:rPr>
              <w:t>All product phases</w:t>
            </w:r>
            <w:r w:rsidRPr="00A00F6F">
              <w:rPr>
                <w:szCs w:val="18"/>
              </w:rPr>
              <w:br/>
              <w:t>JAE</w:t>
            </w:r>
          </w:p>
        </w:tc>
        <w:tc>
          <w:tcPr>
            <w:tcW w:w="993" w:type="dxa"/>
            <w:tcBorders>
              <w:top w:val="single" w:sz="2" w:space="0" w:color="auto"/>
              <w:bottom w:val="single" w:sz="12" w:space="0" w:color="auto"/>
            </w:tcBorders>
          </w:tcPr>
          <w:p w14:paraId="19B60BA4" w14:textId="77777777" w:rsidR="00BB7660" w:rsidRPr="004A04A4" w:rsidRDefault="00BB7660" w:rsidP="0051288D">
            <w:pPr>
              <w:pStyle w:val="Tabletext"/>
              <w:rPr>
                <w:color w:val="0000FF"/>
                <w:szCs w:val="18"/>
              </w:rPr>
            </w:pPr>
            <w:r w:rsidRPr="00A00F6F">
              <w:rPr>
                <w:szCs w:val="18"/>
              </w:rPr>
              <w:t>All product phases</w:t>
            </w:r>
            <w:r w:rsidRPr="00A00F6F">
              <w:rPr>
                <w:szCs w:val="18"/>
              </w:rPr>
              <w:br/>
              <w:t>JAE</w:t>
            </w:r>
          </w:p>
        </w:tc>
        <w:tc>
          <w:tcPr>
            <w:tcW w:w="850" w:type="dxa"/>
            <w:tcBorders>
              <w:top w:val="single" w:sz="2" w:space="0" w:color="auto"/>
              <w:bottom w:val="single" w:sz="12" w:space="0" w:color="auto"/>
            </w:tcBorders>
          </w:tcPr>
          <w:p w14:paraId="77E94B98" w14:textId="77777777" w:rsidR="00BB7660" w:rsidRPr="00A00F6F" w:rsidRDefault="00BB7660" w:rsidP="0051288D">
            <w:pPr>
              <w:pStyle w:val="Tabletext"/>
              <w:rPr>
                <w:szCs w:val="18"/>
              </w:rPr>
            </w:pPr>
            <w:r w:rsidRPr="00A00F6F">
              <w:rPr>
                <w:szCs w:val="18"/>
              </w:rPr>
              <w:t>All product phases</w:t>
            </w:r>
          </w:p>
        </w:tc>
      </w:tr>
    </w:tbl>
    <w:p w14:paraId="1F817FC7" w14:textId="77777777" w:rsidR="00BB7660" w:rsidRPr="005F5224" w:rsidRDefault="005F5224" w:rsidP="005F5224">
      <w:pPr>
        <w:pStyle w:val="notetext"/>
        <w:rPr>
          <w:color w:val="0000FF"/>
        </w:rPr>
      </w:pPr>
      <w:r w:rsidRPr="005F5224">
        <w:rPr>
          <w:color w:val="0000FF"/>
        </w:rPr>
        <w:t>Note:</w:t>
      </w:r>
      <w:r w:rsidRPr="005F5224">
        <w:rPr>
          <w:color w:val="0000FF"/>
        </w:rPr>
        <w:tab/>
      </w:r>
      <w:r w:rsidR="00BB7660" w:rsidRPr="005F5224">
        <w:rPr>
          <w:color w:val="0000FF"/>
        </w:rPr>
        <w:t>Part 2 of these rules deals with product reference data. Part 3 of these rules deals with consumer data requests made by eligible CDR consumers. Part 4 of these rules deals with consumer data requests made by accredited persons.</w:t>
      </w:r>
    </w:p>
    <w:p w14:paraId="460FB8E1" w14:textId="77777777" w:rsidR="00BB7660" w:rsidRPr="004A04A4" w:rsidRDefault="00BB7660" w:rsidP="00BB7660">
      <w:pPr>
        <w:pStyle w:val="subsection"/>
        <w:spacing w:after="120"/>
        <w:rPr>
          <w:color w:val="0000FF"/>
        </w:rPr>
      </w:pPr>
      <w:r w:rsidRPr="004A04A4">
        <w:rPr>
          <w:color w:val="0000FF"/>
        </w:rPr>
        <w:tab/>
        <w:t>(2)</w:t>
      </w:r>
      <w:r w:rsidRPr="004A04A4">
        <w:rPr>
          <w:color w:val="0000FF"/>
        </w:rPr>
        <w:tab/>
        <w:t xml:space="preserve">For this clause, the </w:t>
      </w:r>
      <w:r w:rsidRPr="004A04A4">
        <w:rPr>
          <w:b/>
          <w:i/>
          <w:color w:val="0000FF"/>
        </w:rPr>
        <w:t xml:space="preserve">start date </w:t>
      </w:r>
      <w:r w:rsidRPr="004A04A4">
        <w:rPr>
          <w:color w:val="0000FF"/>
        </w:rPr>
        <w:t xml:space="preserve">is the day the </w:t>
      </w:r>
      <w:r w:rsidRPr="004A04A4">
        <w:rPr>
          <w:i/>
          <w:color w:val="0000FF"/>
        </w:rPr>
        <w:t>Competition and Consumer (Consumer Data Right) Amendment Rules (No. 3) 2020</w:t>
      </w:r>
      <w:r w:rsidRPr="004A04A4">
        <w:rPr>
          <w:color w:val="0000FF"/>
        </w:rPr>
        <w:t xml:space="preserve"> commenced.</w:t>
      </w:r>
    </w:p>
    <w:p w14:paraId="6434636E" w14:textId="77777777" w:rsidR="00BB7660" w:rsidRPr="00D4216E" w:rsidRDefault="00BB7660" w:rsidP="00BB7660">
      <w:pPr>
        <w:pStyle w:val="ActHead5"/>
        <w:tabs>
          <w:tab w:val="center" w:pos="3929"/>
        </w:tabs>
      </w:pPr>
      <w:bookmarkStart w:id="705" w:name="_Toc57391204"/>
      <w:bookmarkStart w:id="706" w:name="_Toc59549201"/>
      <w:bookmarkStart w:id="707" w:name="_Toc111132288"/>
      <w:r w:rsidRPr="00D4216E">
        <w:t>6.7  Application of certain rules</w:t>
      </w:r>
      <w:bookmarkEnd w:id="705"/>
      <w:bookmarkEnd w:id="706"/>
      <w:bookmarkEnd w:id="707"/>
    </w:p>
    <w:p w14:paraId="48D76F0B" w14:textId="77777777" w:rsidR="00BB7660" w:rsidRPr="00D4216E" w:rsidRDefault="00BB7660" w:rsidP="00BB7660">
      <w:pPr>
        <w:pStyle w:val="subsection"/>
      </w:pPr>
      <w:r w:rsidRPr="00D4216E">
        <w:tab/>
        <w:t>(1)</w:t>
      </w:r>
      <w:r w:rsidRPr="00D4216E">
        <w:tab/>
        <w:t xml:space="preserve">In this clause, the </w:t>
      </w:r>
      <w:r w:rsidRPr="00D4216E">
        <w:rPr>
          <w:b/>
          <w:i/>
        </w:rPr>
        <w:t xml:space="preserve">affected provisions </w:t>
      </w:r>
      <w:r w:rsidRPr="00D4216E">
        <w:t>are provisions of these rules that impose obligations on data holders in relation to:</w:t>
      </w:r>
    </w:p>
    <w:p w14:paraId="0BCBCB0C" w14:textId="77777777" w:rsidR="00BB7660" w:rsidRPr="00D4216E" w:rsidRDefault="00BB7660" w:rsidP="00BB7660">
      <w:pPr>
        <w:pStyle w:val="paragraph"/>
      </w:pPr>
      <w:r w:rsidRPr="00D4216E">
        <w:lastRenderedPageBreak/>
        <w:tab/>
        <w:t>(a)</w:t>
      </w:r>
      <w:r w:rsidRPr="00D4216E">
        <w:tab/>
        <w:t>CDR consumers that are not individuals; or</w:t>
      </w:r>
    </w:p>
    <w:p w14:paraId="24393ADE" w14:textId="77777777" w:rsidR="00BB7660" w:rsidRPr="00D4216E" w:rsidRDefault="00BB7660" w:rsidP="00BB7660">
      <w:pPr>
        <w:pStyle w:val="paragraph"/>
      </w:pPr>
      <w:r w:rsidRPr="00D4216E">
        <w:tab/>
        <w:t>(b)</w:t>
      </w:r>
      <w:r w:rsidRPr="00D4216E">
        <w:tab/>
        <w:t>partnerships; or</w:t>
      </w:r>
    </w:p>
    <w:p w14:paraId="42941045" w14:textId="77777777" w:rsidR="00BB7660" w:rsidRPr="00D4216E" w:rsidRDefault="00BB7660" w:rsidP="00BB7660">
      <w:pPr>
        <w:pStyle w:val="paragraph"/>
      </w:pPr>
      <w:r w:rsidRPr="00D4216E">
        <w:tab/>
        <w:t>(c)</w:t>
      </w:r>
      <w:r w:rsidRPr="00D4216E">
        <w:tab/>
        <w:t>nominated representatives; or</w:t>
      </w:r>
    </w:p>
    <w:p w14:paraId="4540F4B1" w14:textId="77777777" w:rsidR="00BB7660" w:rsidRPr="00D4216E" w:rsidRDefault="00BB7660" w:rsidP="00BB7660">
      <w:pPr>
        <w:pStyle w:val="paragraph"/>
      </w:pPr>
      <w:r w:rsidRPr="00D4216E">
        <w:tab/>
        <w:t>(d)</w:t>
      </w:r>
      <w:r w:rsidRPr="00D4216E">
        <w:tab/>
        <w:t>secondary users.</w:t>
      </w:r>
    </w:p>
    <w:p w14:paraId="67F80B08" w14:textId="77777777" w:rsidR="00BB7660" w:rsidRPr="00D4216E" w:rsidRDefault="00BB7660" w:rsidP="00BB7660">
      <w:pPr>
        <w:pStyle w:val="subsection"/>
      </w:pPr>
      <w:r w:rsidRPr="00D4216E">
        <w:tab/>
        <w:t>(2)</w:t>
      </w:r>
      <w:r w:rsidRPr="00D4216E">
        <w:tab/>
        <w:t xml:space="preserve">The affected provisions apply in relation to initial data holders in respect of </w:t>
      </w:r>
      <w:r w:rsidRPr="00D4216E">
        <w:rPr>
          <w:szCs w:val="18"/>
        </w:rPr>
        <w:t>NAB, CBA, ANZ, Westpac branded products</w:t>
      </w:r>
      <w:r w:rsidRPr="00D4216E">
        <w:t xml:space="preserve"> on and from 1 November 2021.</w:t>
      </w:r>
    </w:p>
    <w:p w14:paraId="31CC1EDA" w14:textId="77777777" w:rsidR="00BB7660" w:rsidRPr="00D4216E" w:rsidRDefault="00BB7660" w:rsidP="00BB7660">
      <w:pPr>
        <w:pStyle w:val="subsection"/>
      </w:pPr>
      <w:r w:rsidRPr="00D4216E">
        <w:tab/>
        <w:t>(3)</w:t>
      </w:r>
      <w:r w:rsidRPr="00D4216E">
        <w:tab/>
        <w:t>Otherwise, the affected provisions apply in relation to data holders on and from 1 November 2022.</w:t>
      </w:r>
    </w:p>
    <w:p w14:paraId="7EC86F14" w14:textId="77777777" w:rsidR="00BB7660" w:rsidRPr="00D4216E" w:rsidRDefault="00BB7660" w:rsidP="00BB7660">
      <w:pPr>
        <w:pStyle w:val="ActHead2"/>
        <w:pageBreakBefore/>
      </w:pPr>
      <w:bookmarkStart w:id="708" w:name="_Toc11771748"/>
      <w:bookmarkStart w:id="709" w:name="_Toc111132289"/>
      <w:r w:rsidRPr="00D4216E">
        <w:lastRenderedPageBreak/>
        <w:t>Part 7—Other rules, and modifications of these rules, for the banking sector</w:t>
      </w:r>
      <w:bookmarkEnd w:id="708"/>
      <w:bookmarkEnd w:id="709"/>
    </w:p>
    <w:p w14:paraId="6A5A42F5" w14:textId="77777777" w:rsidR="00BB7660" w:rsidRPr="00D4216E" w:rsidRDefault="00BB7660" w:rsidP="00BB7660">
      <w:pPr>
        <w:pStyle w:val="ActHead5"/>
      </w:pPr>
      <w:bookmarkStart w:id="710" w:name="_Toc11771749"/>
      <w:bookmarkStart w:id="711" w:name="_Toc17301639"/>
      <w:bookmarkStart w:id="712" w:name="_Toc111132290"/>
      <w:r w:rsidRPr="00D4216E">
        <w:t>7.1  Laws relevant to the management of CDR data—banking sector</w:t>
      </w:r>
      <w:bookmarkEnd w:id="710"/>
      <w:bookmarkEnd w:id="711"/>
      <w:bookmarkEnd w:id="712"/>
    </w:p>
    <w:p w14:paraId="23C7920A" w14:textId="77777777" w:rsidR="00BB7660" w:rsidRPr="00D4216E" w:rsidRDefault="00BB7660" w:rsidP="00BB7660">
      <w:pPr>
        <w:pStyle w:val="subsection"/>
      </w:pPr>
      <w:r w:rsidRPr="00D4216E">
        <w:tab/>
      </w:r>
      <w:r w:rsidRPr="00D4216E">
        <w:tab/>
        <w:t xml:space="preserve">For paragraph (f) of the definition of “law relevant to the management of CDR data” in rule 1.7 of these rules, the </w:t>
      </w:r>
      <w:r w:rsidRPr="00D4216E">
        <w:rPr>
          <w:i/>
          <w:iCs/>
        </w:rPr>
        <w:t xml:space="preserve">Australian Securities and Investments Commission Act 2001 </w:t>
      </w:r>
      <w:r w:rsidRPr="00D4216E">
        <w:t>is a law relevant to the management of CDR data in relation to the banking sector.</w:t>
      </w:r>
    </w:p>
    <w:p w14:paraId="3A3A45BA" w14:textId="77777777" w:rsidR="00BB7660" w:rsidRPr="00D4216E" w:rsidRDefault="00BB7660" w:rsidP="00BB7660">
      <w:pPr>
        <w:pStyle w:val="ActHead5"/>
      </w:pPr>
      <w:bookmarkStart w:id="713" w:name="_Toc111132291"/>
      <w:r w:rsidRPr="00D4216E">
        <w:t>7.2  Conditions for accredited person to be data holder</w:t>
      </w:r>
      <w:bookmarkEnd w:id="713"/>
    </w:p>
    <w:p w14:paraId="6891BDF8" w14:textId="77777777" w:rsidR="00BB7660" w:rsidRPr="00D4216E" w:rsidRDefault="00BB7660" w:rsidP="00BB7660">
      <w:pPr>
        <w:pStyle w:val="subsection"/>
      </w:pPr>
      <w:r w:rsidRPr="00D4216E">
        <w:tab/>
        <w:t>(1)</w:t>
      </w:r>
      <w:r w:rsidRPr="00D4216E">
        <w:tab/>
        <w:t xml:space="preserve">For paragraph 56AJ(4)(c) of the Act, this clause sets out conditions for a person that has collected CDR data in accordance with a consumer data request under Part 4 of these rules to be a data holder (rather than an accredited data recipient) of that CDR data and any CDR data that it directly or indirectly derived from that CDR data (together, the </w:t>
      </w:r>
      <w:r w:rsidRPr="00D4216E">
        <w:rPr>
          <w:b/>
          <w:i/>
        </w:rPr>
        <w:t xml:space="preserve">relevant </w:t>
      </w:r>
      <w:r w:rsidRPr="00D4216E">
        <w:t>CDR data</w:t>
      </w:r>
      <w:r w:rsidRPr="00D4216E">
        <w:rPr>
          <w:b/>
        </w:rPr>
        <w:t>)</w:t>
      </w:r>
      <w:r w:rsidRPr="00D4216E">
        <w:t>.</w:t>
      </w:r>
    </w:p>
    <w:p w14:paraId="3A31C549" w14:textId="77777777" w:rsidR="00BB7660" w:rsidRPr="00D4216E" w:rsidRDefault="00BB7660" w:rsidP="00BB7660">
      <w:pPr>
        <w:pStyle w:val="subsection"/>
      </w:pPr>
      <w:r w:rsidRPr="00D4216E">
        <w:tab/>
        <w:t>(2)</w:t>
      </w:r>
      <w:r w:rsidRPr="00D4216E">
        <w:tab/>
        <w:t>The conditions are that:</w:t>
      </w:r>
    </w:p>
    <w:p w14:paraId="226A5478" w14:textId="77777777" w:rsidR="00BB7660" w:rsidRPr="00D4216E" w:rsidRDefault="00BB7660" w:rsidP="00BB7660">
      <w:pPr>
        <w:pStyle w:val="paragraph"/>
      </w:pPr>
      <w:r w:rsidRPr="00D4216E">
        <w:tab/>
        <w:t>(a)</w:t>
      </w:r>
      <w:r w:rsidRPr="00D4216E">
        <w:tab/>
        <w:t>the person is an ADI; and</w:t>
      </w:r>
    </w:p>
    <w:p w14:paraId="643735FD" w14:textId="77777777" w:rsidR="00BB7660" w:rsidRPr="00D4216E" w:rsidRDefault="00BB7660" w:rsidP="00BB7660">
      <w:pPr>
        <w:pStyle w:val="paragraph"/>
      </w:pPr>
      <w:r w:rsidRPr="00D4216E">
        <w:tab/>
        <w:t>(b)</w:t>
      </w:r>
      <w:r w:rsidRPr="00D4216E">
        <w:tab/>
        <w:t>the CDR consumer has acquired a product from the person; and</w:t>
      </w:r>
    </w:p>
    <w:p w14:paraId="351F262B" w14:textId="77777777" w:rsidR="00BB7660" w:rsidRPr="00D4216E" w:rsidRDefault="00BB7660" w:rsidP="00BB7660">
      <w:pPr>
        <w:pStyle w:val="paragraph"/>
      </w:pPr>
      <w:r w:rsidRPr="00D4216E">
        <w:tab/>
        <w:t>(c)</w:t>
      </w:r>
      <w:r w:rsidRPr="00D4216E">
        <w:tab/>
        <w:t>the person:</w:t>
      </w:r>
    </w:p>
    <w:p w14:paraId="070811BF" w14:textId="77777777" w:rsidR="00BB7660" w:rsidRPr="00D4216E" w:rsidRDefault="00BB7660" w:rsidP="00BB7660">
      <w:pPr>
        <w:pStyle w:val="paragraphsub"/>
      </w:pPr>
      <w:r w:rsidRPr="00D4216E">
        <w:tab/>
        <w:t>(i)</w:t>
      </w:r>
      <w:r w:rsidRPr="00D4216E">
        <w:tab/>
        <w:t>reasonably believes that the relevant CDR data is relevant to its provision of the product to the CDR consumer; and</w:t>
      </w:r>
    </w:p>
    <w:p w14:paraId="5B9D82DC" w14:textId="77777777" w:rsidR="00BB7660" w:rsidRPr="00D4216E" w:rsidRDefault="00BB7660" w:rsidP="00BB7660">
      <w:pPr>
        <w:pStyle w:val="paragraphsub"/>
      </w:pPr>
      <w:r w:rsidRPr="00D4216E">
        <w:tab/>
        <w:t>(ii)</w:t>
      </w:r>
      <w:r w:rsidRPr="00D4216E">
        <w:tab/>
        <w:t>has asked the CDR consumer to agree to the person being a data holder, rather than an accredited data recipient, of the relevant CDR data; and</w:t>
      </w:r>
    </w:p>
    <w:p w14:paraId="44B20DC9" w14:textId="77777777" w:rsidR="00BB7660" w:rsidRPr="00D4216E" w:rsidRDefault="00BB7660" w:rsidP="00BB7660">
      <w:pPr>
        <w:pStyle w:val="paragraphsub"/>
      </w:pPr>
      <w:r w:rsidRPr="00D4216E">
        <w:tab/>
        <w:t>(iii)</w:t>
      </w:r>
      <w:r w:rsidRPr="00D4216E">
        <w:tab/>
        <w:t>has explained to the CDR consumer:</w:t>
      </w:r>
    </w:p>
    <w:p w14:paraId="7DC7A604" w14:textId="77777777" w:rsidR="00BB7660" w:rsidRPr="00D4216E" w:rsidRDefault="00BB7660" w:rsidP="00BB7660">
      <w:pPr>
        <w:pStyle w:val="paragraphsub-sub"/>
      </w:pPr>
      <w:r w:rsidRPr="00D4216E">
        <w:tab/>
        <w:t>(A)</w:t>
      </w:r>
      <w:r w:rsidRPr="00D4216E">
        <w:tab/>
        <w:t>that, as a result, the privacy safeguards, to the extent that they apply to an accredited data recipient of CDR data, would no longer apply to the person in relation to the relevant CDR data; and</w:t>
      </w:r>
    </w:p>
    <w:p w14:paraId="6F38EB06" w14:textId="77777777" w:rsidR="00BB7660" w:rsidRPr="00D4216E" w:rsidRDefault="00BB7660" w:rsidP="00BB7660">
      <w:pPr>
        <w:pStyle w:val="paragraphsub-sub"/>
      </w:pPr>
      <w:r w:rsidRPr="00D4216E">
        <w:tab/>
        <w:t>(B)</w:t>
      </w:r>
      <w:r w:rsidRPr="00D4216E">
        <w:tab/>
        <w:t>the manner in which it proposes to treat the relevant CDR data; and</w:t>
      </w:r>
    </w:p>
    <w:p w14:paraId="759D43E1" w14:textId="77777777" w:rsidR="00BB7660" w:rsidRPr="00D4216E" w:rsidRDefault="00BB7660" w:rsidP="00BB7660">
      <w:pPr>
        <w:pStyle w:val="paragraphsub-sub"/>
      </w:pPr>
      <w:r w:rsidRPr="00D4216E">
        <w:tab/>
        <w:t>(C)</w:t>
      </w:r>
      <w:r w:rsidRPr="00D4216E">
        <w:tab/>
        <w:t>why it is entitled to provide the CDR consumer with this option; and</w:t>
      </w:r>
    </w:p>
    <w:p w14:paraId="2D4214F0" w14:textId="77777777" w:rsidR="00BB7660" w:rsidRPr="00D4216E" w:rsidRDefault="00BB7660" w:rsidP="00BB7660">
      <w:pPr>
        <w:pStyle w:val="paragraphsub"/>
      </w:pPr>
      <w:r w:rsidRPr="00D4216E">
        <w:tab/>
        <w:t>(iv)</w:t>
      </w:r>
      <w:r w:rsidRPr="00D4216E">
        <w:tab/>
        <w:t>has outlined the consequences, to the CDR consumer, of not agreeing to this; and</w:t>
      </w:r>
    </w:p>
    <w:p w14:paraId="5B29FAF3" w14:textId="77777777" w:rsidR="00BB7660" w:rsidRPr="00D4216E" w:rsidRDefault="00BB7660" w:rsidP="00BB7660">
      <w:pPr>
        <w:pStyle w:val="paragraph"/>
      </w:pPr>
      <w:r w:rsidRPr="00D4216E">
        <w:tab/>
        <w:t>(d)</w:t>
      </w:r>
      <w:r w:rsidRPr="00D4216E">
        <w:tab/>
        <w:t>the CDR consumer has agreed to the person being a data holder, rather than an accredited data recipient, of the relevant CDR data.</w:t>
      </w:r>
    </w:p>
    <w:p w14:paraId="748D2C38" w14:textId="77777777" w:rsidR="00BB7660" w:rsidRPr="00D4216E" w:rsidRDefault="00BB7660" w:rsidP="00BB7660">
      <w:pPr>
        <w:pStyle w:val="SubsectionHead"/>
      </w:pPr>
      <w:r w:rsidRPr="00D4216E">
        <w:t>Related modifications of these rules</w:t>
      </w:r>
    </w:p>
    <w:p w14:paraId="66E6486B" w14:textId="77777777" w:rsidR="00BB7660" w:rsidRPr="00D4216E" w:rsidRDefault="00BB7660" w:rsidP="00BB7660">
      <w:pPr>
        <w:pStyle w:val="subsection"/>
      </w:pPr>
      <w:r w:rsidRPr="00D4216E">
        <w:tab/>
        <w:t>(3)</w:t>
      </w:r>
      <w:r w:rsidRPr="00D4216E">
        <w:tab/>
        <w:t>If a person becomes a data holder, rather than an accredited data recipient, of CDR data as a result of subsection 56AJ(4) of the Act and this clause:</w:t>
      </w:r>
    </w:p>
    <w:p w14:paraId="2B751640" w14:textId="77777777" w:rsidR="00BB7660" w:rsidRPr="00D4216E" w:rsidRDefault="00BB7660" w:rsidP="00BB7660">
      <w:pPr>
        <w:pStyle w:val="paragraph"/>
      </w:pPr>
      <w:r w:rsidRPr="00D4216E">
        <w:tab/>
        <w:t>(b)</w:t>
      </w:r>
      <w:r w:rsidRPr="00D4216E">
        <w:tab/>
        <w:t>for paragraph 4.26(1)(h) of these rules, any authorisations to disclose CDR data in relation to the consumer data request expire; and</w:t>
      </w:r>
    </w:p>
    <w:p w14:paraId="45E365DF" w14:textId="77777777" w:rsidR="00BB7660" w:rsidRPr="00D4216E" w:rsidRDefault="00BB7660" w:rsidP="00BB7660">
      <w:pPr>
        <w:pStyle w:val="paragraph"/>
      </w:pPr>
      <w:r w:rsidRPr="00D4216E">
        <w:lastRenderedPageBreak/>
        <w:tab/>
        <w:t>(c)</w:t>
      </w:r>
      <w:r w:rsidRPr="00D4216E">
        <w:tab/>
        <w:t>if the person’s accreditation has been surrendered or revoked, the following do not apply to the person in relation to that CDR data:</w:t>
      </w:r>
    </w:p>
    <w:p w14:paraId="3FC806EF" w14:textId="77777777" w:rsidR="00BB7660" w:rsidRPr="00D4216E" w:rsidRDefault="00BB7660" w:rsidP="00BB7660">
      <w:pPr>
        <w:pStyle w:val="paragraphsub"/>
      </w:pPr>
      <w:r w:rsidRPr="00D4216E">
        <w:tab/>
        <w:t>(i)</w:t>
      </w:r>
      <w:r w:rsidRPr="00D4216E">
        <w:tab/>
        <w:t>subrule 5.23(2);</w:t>
      </w:r>
    </w:p>
    <w:p w14:paraId="77BEE061" w14:textId="77777777" w:rsidR="00BB7660" w:rsidRPr="00D4216E" w:rsidRDefault="00BB7660" w:rsidP="00BB7660">
      <w:pPr>
        <w:pStyle w:val="paragraphsub"/>
      </w:pPr>
      <w:r w:rsidRPr="00D4216E">
        <w:tab/>
        <w:t>(ii)</w:t>
      </w:r>
      <w:r w:rsidRPr="00D4216E">
        <w:tab/>
        <w:t>paragraph 5.23(3)(b).</w:t>
      </w:r>
    </w:p>
    <w:p w14:paraId="70B2D61B" w14:textId="77777777" w:rsidR="00BB7660" w:rsidRPr="00D4216E" w:rsidRDefault="00BB7660" w:rsidP="00BB7660">
      <w:pPr>
        <w:pStyle w:val="ActHead5"/>
      </w:pPr>
      <w:bookmarkStart w:id="714" w:name="_Toc111132292"/>
      <w:r w:rsidRPr="00D4216E">
        <w:t>7.3  Streamlined accreditation—banking sector</w:t>
      </w:r>
      <w:bookmarkEnd w:id="714"/>
    </w:p>
    <w:p w14:paraId="17CCC72B" w14:textId="77777777" w:rsidR="00BB7660" w:rsidRPr="00D4216E" w:rsidRDefault="00BB7660" w:rsidP="00BB7660">
      <w:pPr>
        <w:pStyle w:val="subsection"/>
      </w:pPr>
      <w:r w:rsidRPr="00D4216E">
        <w:tab/>
      </w:r>
      <w:r w:rsidRPr="00D4216E">
        <w:tab/>
        <w:t>For paragraph 5.5(b) of these rules, for the banking sector, the criteria for streamlined accreditation are that the accreditation applicant:</w:t>
      </w:r>
    </w:p>
    <w:p w14:paraId="26016BC1" w14:textId="77777777" w:rsidR="00BB7660" w:rsidRPr="00D4216E" w:rsidRDefault="00BB7660" w:rsidP="00BB7660">
      <w:pPr>
        <w:pStyle w:val="paragraph"/>
      </w:pPr>
      <w:r w:rsidRPr="00D4216E">
        <w:tab/>
        <w:t>(a)</w:t>
      </w:r>
      <w:r w:rsidRPr="00D4216E">
        <w:tab/>
        <w:t>is an ADI; but</w:t>
      </w:r>
    </w:p>
    <w:p w14:paraId="1F8F8842" w14:textId="77777777" w:rsidR="00BB7660" w:rsidRPr="00D4216E" w:rsidRDefault="00BB7660" w:rsidP="00BB7660">
      <w:pPr>
        <w:pStyle w:val="paragraph"/>
      </w:pPr>
      <w:r w:rsidRPr="00D4216E">
        <w:tab/>
        <w:t>(b)</w:t>
      </w:r>
      <w:r w:rsidRPr="00D4216E">
        <w:tab/>
        <w:t>is not a restricted ADI.</w:t>
      </w:r>
    </w:p>
    <w:p w14:paraId="606B07D8" w14:textId="77777777" w:rsidR="00BB7660" w:rsidRPr="00D4216E" w:rsidRDefault="00BB7660" w:rsidP="00BB7660">
      <w:pPr>
        <w:pStyle w:val="ActHead5"/>
      </w:pPr>
      <w:bookmarkStart w:id="715" w:name="_Toc11771750"/>
      <w:bookmarkStart w:id="716" w:name="_Toc111132293"/>
      <w:r w:rsidRPr="00D4216E">
        <w:t>7.4  Exemptions to accreditation criteria—banking sector</w:t>
      </w:r>
      <w:bookmarkEnd w:id="715"/>
      <w:bookmarkEnd w:id="716"/>
    </w:p>
    <w:p w14:paraId="0518C855" w14:textId="77777777" w:rsidR="00BB7660" w:rsidRPr="00D4216E" w:rsidRDefault="00BB7660" w:rsidP="00BB7660">
      <w:pPr>
        <w:pStyle w:val="subsection"/>
      </w:pPr>
      <w:r w:rsidRPr="00D4216E">
        <w:tab/>
        <w:t>(1)</w:t>
      </w:r>
      <w:r w:rsidRPr="00D4216E">
        <w:tab/>
        <w:t>This clause sets out how the accreditation criteria operate in relation to the banking sector, for the purposes of rule 5.12 of these rules.</w:t>
      </w:r>
    </w:p>
    <w:p w14:paraId="22CA16B5" w14:textId="77777777" w:rsidR="00BB7660" w:rsidRPr="00D4216E" w:rsidRDefault="00BB7660" w:rsidP="00BB7660">
      <w:pPr>
        <w:pStyle w:val="subsection"/>
      </w:pPr>
      <w:r w:rsidRPr="00D4216E">
        <w:tab/>
        <w:t>(2)</w:t>
      </w:r>
      <w:r w:rsidRPr="00D4216E">
        <w:tab/>
        <w:t>An accredited person that:</w:t>
      </w:r>
    </w:p>
    <w:p w14:paraId="3DD5EF93" w14:textId="77777777" w:rsidR="00BB7660" w:rsidRPr="00D4216E" w:rsidRDefault="00BB7660" w:rsidP="00BB7660">
      <w:pPr>
        <w:pStyle w:val="paragraph"/>
      </w:pPr>
      <w:r w:rsidRPr="00D4216E">
        <w:tab/>
        <w:t>(a)</w:t>
      </w:r>
      <w:r w:rsidRPr="00D4216E">
        <w:tab/>
        <w:t>is an ADI; but</w:t>
      </w:r>
    </w:p>
    <w:p w14:paraId="5354C1BA" w14:textId="77777777" w:rsidR="00BB7660" w:rsidRPr="00D4216E" w:rsidRDefault="00BB7660" w:rsidP="00BB7660">
      <w:pPr>
        <w:pStyle w:val="paragraph"/>
      </w:pPr>
      <w:r w:rsidRPr="00D4216E">
        <w:tab/>
        <w:t>(b)</w:t>
      </w:r>
      <w:r w:rsidRPr="00D4216E">
        <w:tab/>
        <w:t>is not a restricted ADI;</w:t>
      </w:r>
    </w:p>
    <w:p w14:paraId="7598E8EA" w14:textId="77777777" w:rsidR="00BB7660" w:rsidRPr="00D4216E" w:rsidRDefault="00BB7660" w:rsidP="00BB7660">
      <w:pPr>
        <w:pStyle w:val="subsection"/>
        <w:spacing w:before="40" w:after="100" w:afterAutospacing="1"/>
      </w:pPr>
      <w:r w:rsidRPr="00D4216E">
        <w:tab/>
      </w:r>
      <w:r w:rsidRPr="00D4216E">
        <w:tab/>
        <w:t>need not comply with paragraph 5.12(2)(b) of these rules.</w:t>
      </w:r>
    </w:p>
    <w:p w14:paraId="062C4BE0" w14:textId="77777777" w:rsidR="00BB7660" w:rsidRPr="00A00F6F" w:rsidRDefault="00BB7660" w:rsidP="00BB7660">
      <w:pPr>
        <w:pStyle w:val="ActHead5"/>
      </w:pPr>
      <w:bookmarkStart w:id="717" w:name="_Toc111132294"/>
      <w:r w:rsidRPr="00A00F6F">
        <w:t>7.5  Grounds for revocation, suspension and surrender of accreditation—banking sector</w:t>
      </w:r>
      <w:bookmarkEnd w:id="717"/>
    </w:p>
    <w:p w14:paraId="6C679562" w14:textId="77777777" w:rsidR="00BB7660" w:rsidRPr="00A00F6F" w:rsidRDefault="00BB7660" w:rsidP="00BB7660">
      <w:pPr>
        <w:pStyle w:val="subsection"/>
      </w:pPr>
      <w:r w:rsidRPr="00A00F6F">
        <w:tab/>
      </w:r>
      <w:r w:rsidRPr="00A00F6F">
        <w:tab/>
        <w:t>For item 5 of the table in rule 5.17:</w:t>
      </w:r>
    </w:p>
    <w:p w14:paraId="5CDAB59A" w14:textId="77777777" w:rsidR="00BB7660" w:rsidRPr="00A00F6F" w:rsidRDefault="00BB7660" w:rsidP="00BB7660">
      <w:pPr>
        <w:pStyle w:val="paragraph"/>
      </w:pPr>
      <w:r w:rsidRPr="00A00F6F">
        <w:tab/>
        <w:t>(b)</w:t>
      </w:r>
      <w:r w:rsidRPr="00A00F6F">
        <w:tab/>
        <w:t>the relevant condition is that the accredited person was, at the time of the accreditation, an ADI; and</w:t>
      </w:r>
    </w:p>
    <w:p w14:paraId="4D75CF74" w14:textId="77777777" w:rsidR="00BB7660" w:rsidRPr="00A00F6F" w:rsidRDefault="00BB7660" w:rsidP="00BB7660">
      <w:pPr>
        <w:pStyle w:val="paragraph"/>
      </w:pPr>
      <w:r w:rsidRPr="00A00F6F">
        <w:tab/>
        <w:t>(c)</w:t>
      </w:r>
      <w:r w:rsidRPr="00A00F6F">
        <w:tab/>
        <w:t>the accredited person ceases to satisfy the condition if  its authority to carry on banking business is no longer in force.</w:t>
      </w:r>
    </w:p>
    <w:p w14:paraId="109F3CD4" w14:textId="77777777" w:rsidR="00BB7660" w:rsidRDefault="00BB7660" w:rsidP="00BB7660">
      <w:pPr>
        <w:pStyle w:val="subsection"/>
        <w:sectPr w:rsidR="00BB7660" w:rsidSect="0051288D">
          <w:headerReference w:type="default" r:id="rId35"/>
          <w:pgSz w:w="11907" w:h="16839" w:code="9"/>
          <w:pgMar w:top="2234" w:right="1797" w:bottom="1440" w:left="1797" w:header="720" w:footer="709" w:gutter="0"/>
          <w:cols w:space="708"/>
          <w:docGrid w:linePitch="360"/>
        </w:sectPr>
      </w:pPr>
    </w:p>
    <w:p w14:paraId="47ED599F" w14:textId="77777777" w:rsidR="00BB7660" w:rsidRPr="00A00F6F" w:rsidRDefault="00BB7660" w:rsidP="00BB7660">
      <w:pPr>
        <w:pStyle w:val="ActHead1"/>
      </w:pPr>
      <w:bookmarkStart w:id="718" w:name="_Toc111132295"/>
      <w:r w:rsidRPr="00A00F6F">
        <w:lastRenderedPageBreak/>
        <w:t>Schedule 4—Provisions relevant to the energy sector</w:t>
      </w:r>
      <w:bookmarkEnd w:id="718"/>
    </w:p>
    <w:p w14:paraId="779402F9" w14:textId="77777777" w:rsidR="00BB7660" w:rsidRPr="00A00F6F" w:rsidRDefault="00195095" w:rsidP="00BB7660">
      <w:pPr>
        <w:pStyle w:val="ActHead2"/>
      </w:pPr>
      <w:bookmarkStart w:id="719" w:name="_Toc111132296"/>
      <w:r>
        <w:t>Part 1</w:t>
      </w:r>
      <w:r w:rsidR="00BB7660" w:rsidRPr="00A00F6F">
        <w:t>—Preliminary</w:t>
      </w:r>
      <w:bookmarkEnd w:id="719"/>
    </w:p>
    <w:p w14:paraId="0442FEF9" w14:textId="77777777" w:rsidR="00BB7660" w:rsidRPr="00A00F6F" w:rsidRDefault="00BB7660" w:rsidP="00BB7660">
      <w:pPr>
        <w:pStyle w:val="ActHead5"/>
      </w:pPr>
      <w:bookmarkStart w:id="720" w:name="_Toc111132297"/>
      <w:r w:rsidRPr="00A00F6F">
        <w:t>1.1  Simplified outline of this Schedule</w:t>
      </w:r>
      <w:bookmarkEnd w:id="720"/>
    </w:p>
    <w:p w14:paraId="193C5B52" w14:textId="77777777" w:rsidR="00BB7660" w:rsidRPr="00A00F6F" w:rsidRDefault="00BB7660" w:rsidP="00BB7660">
      <w:pPr>
        <w:pStyle w:val="SOText"/>
      </w:pPr>
      <w:r w:rsidRPr="00A00F6F">
        <w:t>This Schedule deals with how these rules apply in relation to the energy sector.</w:t>
      </w:r>
    </w:p>
    <w:p w14:paraId="3B88097E" w14:textId="77777777" w:rsidR="00BB7660" w:rsidRPr="00A00F6F" w:rsidRDefault="00BB7660" w:rsidP="00BB7660">
      <w:pPr>
        <w:pStyle w:val="SOText"/>
      </w:pPr>
      <w:r w:rsidRPr="00A00F6F">
        <w:t>Some defined terms apply only in relation to the energy sector. These are defined in Part 1 of this Schedule.</w:t>
      </w:r>
    </w:p>
    <w:p w14:paraId="6CE10328" w14:textId="77777777" w:rsidR="00BB7660" w:rsidRPr="00A00F6F" w:rsidRDefault="00BB7660" w:rsidP="00BB7660">
      <w:pPr>
        <w:pStyle w:val="SOText"/>
      </w:pPr>
      <w:r w:rsidRPr="00A00F6F">
        <w:t>Part 2 of this Schedule deals with eligible CDR consumers in relation to the energy sector.</w:t>
      </w:r>
    </w:p>
    <w:p w14:paraId="0F431450" w14:textId="77777777" w:rsidR="00BB7660" w:rsidRPr="00A00F6F" w:rsidRDefault="00BB7660" w:rsidP="00BB7660">
      <w:pPr>
        <w:pStyle w:val="SOText"/>
      </w:pPr>
      <w:r w:rsidRPr="00A00F6F">
        <w:t xml:space="preserve">Part 3 of this Schedule deals with CDR data that can or must be disclosed when product data requests and consumer data requests are made in relation to the energy sector. </w:t>
      </w:r>
    </w:p>
    <w:p w14:paraId="1B6F016E" w14:textId="77777777" w:rsidR="00BB7660" w:rsidRPr="00A00F6F" w:rsidRDefault="00BB7660" w:rsidP="00BB7660">
      <w:pPr>
        <w:pStyle w:val="SOText"/>
      </w:pPr>
      <w:r w:rsidRPr="00A00F6F">
        <w:t>Part 4 of this Schedule deals with the three agencies that have special functions in the energy sector. The AER and the Victorian agency hold product data and respond to product data requests. AEMO holds AEMO data.</w:t>
      </w:r>
    </w:p>
    <w:p w14:paraId="0C968D90" w14:textId="77777777" w:rsidR="00BB7660" w:rsidRPr="00A00F6F" w:rsidRDefault="00BB7660" w:rsidP="00BB7660">
      <w:pPr>
        <w:pStyle w:val="SOText"/>
      </w:pPr>
      <w:r w:rsidRPr="00A00F6F">
        <w:t>AEMO data is specified as SR data for these rules, so that AEMO is the secondary data holder for this CDR data, and the relevant retailer is specified as the primary data holder.  Division 1.5 of these rules applies to an SR data request.</w:t>
      </w:r>
    </w:p>
    <w:p w14:paraId="06C1946C" w14:textId="77777777" w:rsidR="00BB7660" w:rsidRPr="00A00F6F" w:rsidRDefault="00BB7660" w:rsidP="00BB7660">
      <w:pPr>
        <w:pStyle w:val="SOText"/>
      </w:pPr>
      <w:r w:rsidRPr="00A00F6F">
        <w:t>Part 5 of this Schedule deals with internal dispute resolution requirements in relation to the energy sector.</w:t>
      </w:r>
    </w:p>
    <w:p w14:paraId="4B67B52C" w14:textId="77777777" w:rsidR="00BB7660" w:rsidRPr="00A00F6F" w:rsidRDefault="00BB7660" w:rsidP="00BB7660">
      <w:pPr>
        <w:pStyle w:val="SOText"/>
      </w:pPr>
      <w:r w:rsidRPr="00A00F6F">
        <w:t>Part 6 of this Schedule deals with the correction of data in compliance with the privacy safeguards.</w:t>
      </w:r>
    </w:p>
    <w:p w14:paraId="649E2CD4" w14:textId="77777777" w:rsidR="00BB7660" w:rsidRPr="00A00F6F" w:rsidRDefault="00BB7660" w:rsidP="00BB7660">
      <w:pPr>
        <w:pStyle w:val="SOText"/>
      </w:pPr>
      <w:r w:rsidRPr="00A00F6F">
        <w:t>Part 7 of this Schedule deals with reporting and record keeping requirements of these rules that apply differently in relation to the energy sector.</w:t>
      </w:r>
    </w:p>
    <w:p w14:paraId="232AA4AC" w14:textId="77777777" w:rsidR="00BB7660" w:rsidRPr="00A00F6F" w:rsidRDefault="00BB7660" w:rsidP="00BB7660">
      <w:pPr>
        <w:pStyle w:val="SOText"/>
      </w:pPr>
      <w:r w:rsidRPr="00A00F6F">
        <w:t>Part 8 of this Schedule deals with the staged application of these rules to the energy sector. Over time, as set out in this Part, these rules will apply to a progressively broader range of data holders within the energy sector.</w:t>
      </w:r>
    </w:p>
    <w:p w14:paraId="35FC244A" w14:textId="77777777" w:rsidR="00BB7660" w:rsidRPr="00A00F6F" w:rsidRDefault="00BB7660" w:rsidP="00BB7660">
      <w:pPr>
        <w:pStyle w:val="SOText"/>
      </w:pPr>
      <w:r w:rsidRPr="00A00F6F">
        <w:t>Part 9 of this Schedule deals with other provisions of these rules that apply differently in relation to the energy sector.</w:t>
      </w:r>
    </w:p>
    <w:p w14:paraId="25090180" w14:textId="77777777" w:rsidR="00BB7660" w:rsidRPr="00A00F6F" w:rsidRDefault="00BB7660" w:rsidP="00BB7660">
      <w:pPr>
        <w:pStyle w:val="ActHead5"/>
      </w:pPr>
      <w:bookmarkStart w:id="721" w:name="_Toc111132298"/>
      <w:r w:rsidRPr="00A00F6F">
        <w:t>1.2  Interpretation</w:t>
      </w:r>
      <w:bookmarkEnd w:id="721"/>
    </w:p>
    <w:p w14:paraId="658B6470" w14:textId="77777777" w:rsidR="00BB7660" w:rsidRPr="00A00F6F" w:rsidRDefault="00BB7660" w:rsidP="00BB7660">
      <w:pPr>
        <w:pStyle w:val="subsection"/>
      </w:pPr>
      <w:r w:rsidRPr="00A00F6F">
        <w:tab/>
      </w:r>
      <w:r w:rsidRPr="00A00F6F">
        <w:tab/>
        <w:t>In this Schedule:</w:t>
      </w:r>
    </w:p>
    <w:p w14:paraId="2F990DD5" w14:textId="77777777" w:rsidR="00BB7660" w:rsidRPr="00A00F6F" w:rsidRDefault="00BB7660" w:rsidP="00BB7660">
      <w:pPr>
        <w:pStyle w:val="Definition"/>
      </w:pPr>
      <w:r w:rsidRPr="00A00F6F">
        <w:rPr>
          <w:b/>
          <w:bCs/>
          <w:i/>
          <w:iCs/>
        </w:rPr>
        <w:lastRenderedPageBreak/>
        <w:t>AEMO </w:t>
      </w:r>
      <w:r w:rsidRPr="00A00F6F">
        <w:t>means the Australian Energy Market Operator Limited (ACN 072 010 327).</w:t>
      </w:r>
    </w:p>
    <w:p w14:paraId="1DB4627F" w14:textId="77777777" w:rsidR="00BB7660" w:rsidRPr="00A00F6F" w:rsidRDefault="00BB7660" w:rsidP="00BB7660">
      <w:pPr>
        <w:pStyle w:val="Definition"/>
      </w:pPr>
      <w:r w:rsidRPr="00A00F6F">
        <w:rPr>
          <w:b/>
          <w:i/>
          <w:iCs/>
        </w:rPr>
        <w:t>AEMO data</w:t>
      </w:r>
      <w:r w:rsidRPr="00AE57B6">
        <w:t xml:space="preserve"> </w:t>
      </w:r>
      <w:r w:rsidRPr="00A00F6F">
        <w:t>means:</w:t>
      </w:r>
    </w:p>
    <w:p w14:paraId="2C336BDE" w14:textId="77777777" w:rsidR="00BB7660" w:rsidRPr="00A00F6F" w:rsidRDefault="00BB7660" w:rsidP="00BB7660">
      <w:pPr>
        <w:pStyle w:val="paragraph"/>
      </w:pPr>
      <w:r w:rsidRPr="00A00F6F">
        <w:tab/>
        <w:t>(a)</w:t>
      </w:r>
      <w:r w:rsidRPr="00A00F6F">
        <w:tab/>
        <w:t>in relation to a retailer:</w:t>
      </w:r>
    </w:p>
    <w:p w14:paraId="4BBDF34C" w14:textId="77777777" w:rsidR="00BB7660" w:rsidRPr="00A00F6F" w:rsidRDefault="00BB7660" w:rsidP="00BB7660">
      <w:pPr>
        <w:pStyle w:val="paragraphsub"/>
      </w:pPr>
      <w:r w:rsidRPr="00A00F6F">
        <w:tab/>
        <w:t>(i)</w:t>
      </w:r>
      <w:r w:rsidRPr="00A00F6F">
        <w:tab/>
        <w:t>NMI standing data; or</w:t>
      </w:r>
    </w:p>
    <w:p w14:paraId="512B87AB" w14:textId="77777777" w:rsidR="00BB7660" w:rsidRPr="00A00F6F" w:rsidRDefault="00BB7660" w:rsidP="00BB7660">
      <w:pPr>
        <w:pStyle w:val="paragraphsub"/>
      </w:pPr>
      <w:r w:rsidRPr="00A00F6F">
        <w:tab/>
        <w:t>(ii)</w:t>
      </w:r>
      <w:r w:rsidRPr="00A00F6F">
        <w:tab/>
        <w:t>metering data; or</w:t>
      </w:r>
    </w:p>
    <w:p w14:paraId="0E009BE4" w14:textId="77777777" w:rsidR="00BB7660" w:rsidRPr="00A00F6F" w:rsidRDefault="00BB7660" w:rsidP="00BB7660">
      <w:pPr>
        <w:pStyle w:val="paragraphsub"/>
      </w:pPr>
      <w:r w:rsidRPr="00A00F6F">
        <w:tab/>
        <w:t>(iii)</w:t>
      </w:r>
      <w:r w:rsidRPr="00A00F6F">
        <w:tab/>
        <w:t>DER register data;</w:t>
      </w:r>
    </w:p>
    <w:p w14:paraId="48693B77" w14:textId="77777777" w:rsidR="00BB7660" w:rsidRPr="00A00F6F" w:rsidRDefault="00BB7660" w:rsidP="00BB7660">
      <w:pPr>
        <w:pStyle w:val="paragraph"/>
      </w:pPr>
      <w:r w:rsidRPr="00A00F6F">
        <w:tab/>
      </w:r>
      <w:r w:rsidRPr="00A00F6F">
        <w:tab/>
        <w:t>that relates to an arrangement with the retailer; and</w:t>
      </w:r>
    </w:p>
    <w:p w14:paraId="081B2292" w14:textId="77777777" w:rsidR="00BB7660" w:rsidRPr="00A00F6F" w:rsidRDefault="00BB7660" w:rsidP="00BB7660">
      <w:pPr>
        <w:pStyle w:val="paragraph"/>
      </w:pPr>
      <w:r w:rsidRPr="00A00F6F">
        <w:tab/>
        <w:t>(b)</w:t>
      </w:r>
      <w:r w:rsidRPr="00A00F6F">
        <w:tab/>
        <w:t>in relation to a customer—information covered by paragraph (a) that relates to the arrangement relevant to the customer.</w:t>
      </w:r>
    </w:p>
    <w:p w14:paraId="1409E274" w14:textId="77777777" w:rsidR="00BB7660" w:rsidRPr="00A00F6F" w:rsidRDefault="00BB7660" w:rsidP="00BB7660">
      <w:pPr>
        <w:pStyle w:val="notetext"/>
      </w:pPr>
      <w:r w:rsidRPr="00A00F6F">
        <w:t>Note:</w:t>
      </w:r>
      <w:r w:rsidRPr="00A00F6F">
        <w:tab/>
        <w:t>This is data for which AEMO is the designated data holder under the energy sector designation instrument.</w:t>
      </w:r>
    </w:p>
    <w:p w14:paraId="5A414472" w14:textId="77777777" w:rsidR="00BB7660" w:rsidRPr="00A00F6F" w:rsidRDefault="00BB7660" w:rsidP="00BB7660">
      <w:pPr>
        <w:pStyle w:val="Definition"/>
      </w:pPr>
      <w:r w:rsidRPr="00A00F6F">
        <w:rPr>
          <w:b/>
          <w:i/>
        </w:rPr>
        <w:t>AER</w:t>
      </w:r>
      <w:r w:rsidRPr="00A00F6F">
        <w:t xml:space="preserve"> means the Australian Energy Regulator</w:t>
      </w:r>
    </w:p>
    <w:p w14:paraId="14EBAE1F" w14:textId="77777777" w:rsidR="00BB7660" w:rsidRPr="00A00F6F" w:rsidRDefault="00BB7660" w:rsidP="00BB7660">
      <w:pPr>
        <w:pStyle w:val="Definition"/>
      </w:pPr>
      <w:r w:rsidRPr="00A00F6F">
        <w:rPr>
          <w:b/>
          <w:i/>
        </w:rPr>
        <w:t>account data</w:t>
      </w:r>
      <w:r w:rsidRPr="00A00F6F">
        <w:t xml:space="preserve"> has the meaning given by clause 1.3 of this Schedule.</w:t>
      </w:r>
    </w:p>
    <w:p w14:paraId="30839389" w14:textId="77777777" w:rsidR="00BB7660" w:rsidRPr="00A00F6F" w:rsidRDefault="00BB7660" w:rsidP="00BB7660">
      <w:pPr>
        <w:pStyle w:val="Definition"/>
      </w:pPr>
      <w:r w:rsidRPr="00A00F6F">
        <w:rPr>
          <w:b/>
          <w:i/>
          <w:iCs/>
        </w:rPr>
        <w:t xml:space="preserve">arrangement </w:t>
      </w:r>
      <w:r w:rsidRPr="00A00F6F">
        <w:t xml:space="preserve">has the meaning given by subsection 5(1) of the energy sector designation instrument; </w:t>
      </w:r>
    </w:p>
    <w:p w14:paraId="42BFB20E" w14:textId="77777777" w:rsidR="00BB7660" w:rsidRPr="00A00F6F" w:rsidRDefault="00BB7660" w:rsidP="00BB7660">
      <w:pPr>
        <w:pStyle w:val="Definition"/>
      </w:pPr>
      <w:r w:rsidRPr="00A00F6F">
        <w:rPr>
          <w:b/>
          <w:i/>
        </w:rPr>
        <w:t>billing data</w:t>
      </w:r>
      <w:r w:rsidRPr="00A00F6F">
        <w:t xml:space="preserve"> has the meaning given by clause 1.3 of this Schedule.</w:t>
      </w:r>
    </w:p>
    <w:p w14:paraId="4F1EA145" w14:textId="77777777" w:rsidR="00BB7660" w:rsidRPr="00A00F6F" w:rsidRDefault="00BB7660" w:rsidP="00BB7660">
      <w:pPr>
        <w:pStyle w:val="Definition"/>
      </w:pPr>
      <w:r w:rsidRPr="00A00F6F">
        <w:rPr>
          <w:b/>
          <w:i/>
          <w:iCs/>
        </w:rPr>
        <w:t xml:space="preserve">customer </w:t>
      </w:r>
      <w:r w:rsidRPr="00A00F6F">
        <w:t xml:space="preserve">has the meaning given by subsection 5(1) of the energy sector designation instrument; </w:t>
      </w:r>
    </w:p>
    <w:p w14:paraId="651DBA44" w14:textId="77777777" w:rsidR="00BB7660" w:rsidRPr="00A00F6F" w:rsidRDefault="00BB7660" w:rsidP="00BB7660">
      <w:pPr>
        <w:pStyle w:val="Definition"/>
      </w:pPr>
      <w:r w:rsidRPr="00A00F6F">
        <w:rPr>
          <w:b/>
          <w:i/>
        </w:rPr>
        <w:t>customer data</w:t>
      </w:r>
      <w:r w:rsidRPr="00A00F6F">
        <w:t xml:space="preserve"> has the meaning given by clause 1.3 of this Schedule.</w:t>
      </w:r>
    </w:p>
    <w:p w14:paraId="407FB99D" w14:textId="77777777" w:rsidR="00BB7660" w:rsidRPr="00A00F6F" w:rsidRDefault="00BB7660" w:rsidP="00BB7660">
      <w:pPr>
        <w:pStyle w:val="Definition"/>
        <w:rPr>
          <w:iCs/>
        </w:rPr>
      </w:pPr>
      <w:r w:rsidRPr="00A00F6F">
        <w:rPr>
          <w:b/>
          <w:i/>
          <w:iCs/>
        </w:rPr>
        <w:t xml:space="preserve">DER </w:t>
      </w:r>
      <w:r w:rsidRPr="00A00F6F">
        <w:rPr>
          <w:iCs/>
        </w:rPr>
        <w:t>(for distributed energy resources), in relation to an account, means any energy resources that are covered by the arrangement for the account and registered on the DER Register.</w:t>
      </w:r>
    </w:p>
    <w:p w14:paraId="7F009FFC" w14:textId="77777777" w:rsidR="00BB7660" w:rsidRPr="00A00F6F" w:rsidRDefault="00BB7660" w:rsidP="00BB7660">
      <w:pPr>
        <w:pStyle w:val="Definition"/>
      </w:pPr>
      <w:r w:rsidRPr="00A00F6F">
        <w:rPr>
          <w:b/>
          <w:i/>
          <w:iCs/>
        </w:rPr>
        <w:t xml:space="preserve">DER Register </w:t>
      </w:r>
      <w:r w:rsidRPr="00A00F6F">
        <w:rPr>
          <w:iCs/>
        </w:rPr>
        <w:t>means the DER Register maintained under the National Electricity Rules.</w:t>
      </w:r>
      <w:r w:rsidRPr="00A00F6F">
        <w:t xml:space="preserve"> </w:t>
      </w:r>
    </w:p>
    <w:p w14:paraId="56069296" w14:textId="77777777" w:rsidR="00BB7660" w:rsidRPr="00A00F6F" w:rsidRDefault="00BB7660" w:rsidP="00BB7660">
      <w:pPr>
        <w:pStyle w:val="Definition"/>
      </w:pPr>
      <w:r w:rsidRPr="00A00F6F">
        <w:rPr>
          <w:b/>
          <w:i/>
        </w:rPr>
        <w:t>DER register data</w:t>
      </w:r>
      <w:r w:rsidRPr="00A00F6F">
        <w:t xml:space="preserve"> has the meaning given by clause 1.3 of this Schedule.</w:t>
      </w:r>
    </w:p>
    <w:p w14:paraId="55327110" w14:textId="77777777" w:rsidR="00BB7660" w:rsidRPr="00A00F6F" w:rsidRDefault="00BB7660" w:rsidP="00BB7660">
      <w:pPr>
        <w:pStyle w:val="Definition"/>
      </w:pPr>
      <w:r w:rsidRPr="00A00F6F">
        <w:rPr>
          <w:b/>
          <w:i/>
          <w:iCs/>
        </w:rPr>
        <w:t xml:space="preserve">energy sector </w:t>
      </w:r>
      <w:r w:rsidRPr="00A00F6F">
        <w:t>means the sector of the Australian economy that is designated by the energy sector designation instrument.</w:t>
      </w:r>
    </w:p>
    <w:p w14:paraId="0B285439" w14:textId="77777777" w:rsidR="00BB7660" w:rsidRPr="00A00F6F" w:rsidRDefault="00BB7660" w:rsidP="00BB7660">
      <w:pPr>
        <w:pStyle w:val="Definition"/>
      </w:pPr>
      <w:r w:rsidRPr="00A00F6F">
        <w:rPr>
          <w:b/>
          <w:i/>
          <w:iCs/>
        </w:rPr>
        <w:t xml:space="preserve">energy sector data </w:t>
      </w:r>
      <w:r w:rsidRPr="00A00F6F">
        <w:t>means CDR data covered by the energy sector designation instrument.</w:t>
      </w:r>
    </w:p>
    <w:p w14:paraId="2533C748" w14:textId="77777777" w:rsidR="00BB7660" w:rsidRPr="00A00F6F" w:rsidRDefault="00BB7660" w:rsidP="00BB7660">
      <w:pPr>
        <w:pStyle w:val="Definition"/>
      </w:pPr>
      <w:r w:rsidRPr="00A00F6F">
        <w:rPr>
          <w:b/>
          <w:i/>
          <w:iCs/>
        </w:rPr>
        <w:t xml:space="preserve">energy sector designation instrument </w:t>
      </w:r>
      <w:r w:rsidRPr="00A00F6F">
        <w:t xml:space="preserve">means the </w:t>
      </w:r>
      <w:r w:rsidRPr="00A00F6F">
        <w:rPr>
          <w:i/>
          <w:iCs/>
        </w:rPr>
        <w:t>Consumer Data Right (Energy Sector) Designation 2020</w:t>
      </w:r>
      <w:r w:rsidRPr="00A00F6F">
        <w:t>.</w:t>
      </w:r>
    </w:p>
    <w:p w14:paraId="4E70CDF4" w14:textId="77777777" w:rsidR="00BB7660" w:rsidRPr="00A00F6F" w:rsidRDefault="00BB7660" w:rsidP="00BB7660">
      <w:pPr>
        <w:pStyle w:val="Definition"/>
      </w:pPr>
      <w:r w:rsidRPr="00A00F6F">
        <w:rPr>
          <w:b/>
          <w:i/>
        </w:rPr>
        <w:t>metering data</w:t>
      </w:r>
      <w:r w:rsidRPr="00A00F6F">
        <w:t xml:space="preserve"> has the meaning given by clause 1.3 of this Schedule.</w:t>
      </w:r>
    </w:p>
    <w:p w14:paraId="5899D757" w14:textId="77777777" w:rsidR="00BB7660" w:rsidRPr="00A00F6F" w:rsidRDefault="00BB7660" w:rsidP="00BB7660">
      <w:pPr>
        <w:pStyle w:val="Definition"/>
      </w:pPr>
      <w:r w:rsidRPr="00A00F6F">
        <w:rPr>
          <w:b/>
          <w:i/>
        </w:rPr>
        <w:t>National Energy Retail Law</w:t>
      </w:r>
      <w:r w:rsidRPr="00A00F6F">
        <w:t xml:space="preserve"> has the meaning given by the energy sector designation instrument. </w:t>
      </w:r>
    </w:p>
    <w:p w14:paraId="20E70C4F" w14:textId="77777777" w:rsidR="00BB7660" w:rsidRPr="00A00F6F" w:rsidRDefault="00BB7660" w:rsidP="00BB7660">
      <w:pPr>
        <w:pStyle w:val="Definition"/>
      </w:pPr>
      <w:r w:rsidRPr="00A00F6F">
        <w:rPr>
          <w:b/>
          <w:bCs/>
          <w:i/>
          <w:iCs/>
          <w:shd w:val="clear" w:color="auto" w:fill="FFFFFF"/>
        </w:rPr>
        <w:t>National Electricity Rules</w:t>
      </w:r>
      <w:r w:rsidRPr="00A00F6F">
        <w:rPr>
          <w:shd w:val="clear" w:color="auto" w:fill="FFFFFF"/>
        </w:rPr>
        <w:t> </w:t>
      </w:r>
      <w:r w:rsidRPr="00A00F6F">
        <w:t>has the meaning given by the energy sector designation instrument</w:t>
      </w:r>
      <w:r w:rsidRPr="00A00F6F">
        <w:rPr>
          <w:shd w:val="clear" w:color="auto" w:fill="FFFFFF"/>
        </w:rPr>
        <w:t>.</w:t>
      </w:r>
    </w:p>
    <w:p w14:paraId="5ACFF529" w14:textId="77777777" w:rsidR="00BB7660" w:rsidRPr="00A00F6F" w:rsidRDefault="00BB7660" w:rsidP="00BB7660">
      <w:pPr>
        <w:pStyle w:val="Definition"/>
      </w:pPr>
      <w:r w:rsidRPr="00A00F6F">
        <w:rPr>
          <w:b/>
          <w:bCs/>
          <w:i/>
          <w:iCs/>
          <w:shd w:val="clear" w:color="auto" w:fill="FFFFFF"/>
        </w:rPr>
        <w:lastRenderedPageBreak/>
        <w:t>National Electricity Law</w:t>
      </w:r>
      <w:r w:rsidRPr="00A00F6F">
        <w:rPr>
          <w:shd w:val="clear" w:color="auto" w:fill="FFFFFF"/>
        </w:rPr>
        <w:t> means the National Electricity Law set out in the Schedule to the </w:t>
      </w:r>
      <w:r w:rsidRPr="00A00F6F">
        <w:rPr>
          <w:i/>
          <w:iCs/>
          <w:shd w:val="clear" w:color="auto" w:fill="FFFFFF"/>
        </w:rPr>
        <w:t>National Electricity (South Australia) Act 1996</w:t>
      </w:r>
      <w:r w:rsidRPr="00A00F6F">
        <w:rPr>
          <w:shd w:val="clear" w:color="auto" w:fill="FFFFFF"/>
        </w:rPr>
        <w:t> (SA).</w:t>
      </w:r>
    </w:p>
    <w:p w14:paraId="76FD0427" w14:textId="77777777" w:rsidR="00BB7660" w:rsidRPr="00A00F6F" w:rsidRDefault="00BB7660" w:rsidP="00BB7660">
      <w:pPr>
        <w:pStyle w:val="Definition"/>
      </w:pPr>
      <w:r w:rsidRPr="00A00F6F">
        <w:rPr>
          <w:b/>
          <w:i/>
        </w:rPr>
        <w:t xml:space="preserve">National Electricity Market </w:t>
      </w:r>
      <w:r w:rsidRPr="00A00F6F">
        <w:t>has the meaning given by the National Electricity Law. </w:t>
      </w:r>
    </w:p>
    <w:p w14:paraId="63953956" w14:textId="77777777" w:rsidR="00BB7660" w:rsidRPr="00A00F6F" w:rsidRDefault="00BB7660" w:rsidP="00BB7660">
      <w:pPr>
        <w:pStyle w:val="Definition"/>
      </w:pPr>
      <w:r w:rsidRPr="00A00F6F">
        <w:rPr>
          <w:b/>
          <w:i/>
        </w:rPr>
        <w:t>NMI standing data</w:t>
      </w:r>
      <w:r w:rsidRPr="00A00F6F">
        <w:t xml:space="preserve"> has the meaning given by clause 1.3 of this Schedule.</w:t>
      </w:r>
    </w:p>
    <w:p w14:paraId="6EC58B1B" w14:textId="77777777" w:rsidR="00BB7660" w:rsidRPr="00A00F6F" w:rsidRDefault="00BB7660" w:rsidP="00BB7660">
      <w:pPr>
        <w:pStyle w:val="Definition"/>
      </w:pPr>
      <w:r w:rsidRPr="00A00F6F">
        <w:rPr>
          <w:b/>
          <w:i/>
          <w:iCs/>
        </w:rPr>
        <w:t xml:space="preserve">plan </w:t>
      </w:r>
      <w:r w:rsidRPr="00A00F6F">
        <w:t>means a form of arrangement that is offered to, or has been supplied to, customers by a retailer.</w:t>
      </w:r>
    </w:p>
    <w:p w14:paraId="2B76761C" w14:textId="77777777" w:rsidR="00BB7660" w:rsidRPr="00A00F6F" w:rsidRDefault="00BB7660" w:rsidP="00BB7660">
      <w:pPr>
        <w:pStyle w:val="Definition"/>
      </w:pPr>
      <w:r w:rsidRPr="00A00F6F">
        <w:rPr>
          <w:b/>
          <w:i/>
        </w:rPr>
        <w:t>product specific data</w:t>
      </w:r>
      <w:r w:rsidRPr="00A00F6F">
        <w:t xml:space="preserve"> has the meaning given by clause 1.3 of this Schedule.</w:t>
      </w:r>
    </w:p>
    <w:p w14:paraId="7A9DC7D7" w14:textId="77777777" w:rsidR="00BB7660" w:rsidRPr="00A00F6F" w:rsidRDefault="00BB7660" w:rsidP="00BB7660">
      <w:pPr>
        <w:pStyle w:val="Definition"/>
      </w:pPr>
      <w:r w:rsidRPr="00A00F6F">
        <w:rPr>
          <w:b/>
          <w:bCs/>
          <w:i/>
          <w:iCs/>
        </w:rPr>
        <w:t>retailer</w:t>
      </w:r>
      <w:r w:rsidRPr="00A00F6F">
        <w:t> has the meaning given by clause 1.4 of this Schedule.</w:t>
      </w:r>
    </w:p>
    <w:p w14:paraId="120881BD" w14:textId="77777777" w:rsidR="00BB7660" w:rsidRPr="00A00F6F" w:rsidRDefault="00BB7660" w:rsidP="00BB7660">
      <w:pPr>
        <w:pStyle w:val="Definition"/>
      </w:pPr>
      <w:r w:rsidRPr="00A00F6F">
        <w:rPr>
          <w:b/>
          <w:i/>
        </w:rPr>
        <w:t>tailored tariff data</w:t>
      </w:r>
      <w:r w:rsidRPr="00A00F6F">
        <w:t xml:space="preserve"> has the meaning given by clause 1.3 of this Schedule.</w:t>
      </w:r>
    </w:p>
    <w:p w14:paraId="6B65E23C" w14:textId="77777777" w:rsidR="00BB7660" w:rsidRPr="00A00F6F" w:rsidRDefault="00BB7660" w:rsidP="00BB7660">
      <w:pPr>
        <w:pStyle w:val="Definition"/>
        <w:rPr>
          <w:shd w:val="clear" w:color="auto" w:fill="FFFFFF"/>
        </w:rPr>
      </w:pPr>
      <w:r w:rsidRPr="00A00F6F">
        <w:rPr>
          <w:b/>
          <w:i/>
          <w:iCs/>
        </w:rPr>
        <w:t>Victorian agency</w:t>
      </w:r>
      <w:r w:rsidRPr="00A00F6F">
        <w:rPr>
          <w:bCs/>
        </w:rPr>
        <w:t xml:space="preserve"> means </w:t>
      </w:r>
      <w:r w:rsidRPr="00A00F6F">
        <w:rPr>
          <w:shd w:val="clear" w:color="auto" w:fill="FFFFFF"/>
        </w:rPr>
        <w:t>the Department of State administered by the Minister of Victoria administering the </w:t>
      </w:r>
      <w:r w:rsidRPr="00A00F6F">
        <w:rPr>
          <w:i/>
          <w:iCs/>
        </w:rPr>
        <w:t>National Electricity (Victoria) Act 2005</w:t>
      </w:r>
      <w:r w:rsidRPr="00A00F6F">
        <w:rPr>
          <w:shd w:val="clear" w:color="auto" w:fill="FFFFFF"/>
        </w:rPr>
        <w:t> (Vic).</w:t>
      </w:r>
    </w:p>
    <w:p w14:paraId="3EA508F0" w14:textId="77777777" w:rsidR="00BB7660" w:rsidRPr="00A00F6F" w:rsidRDefault="00BB7660" w:rsidP="00BB7660">
      <w:pPr>
        <w:pStyle w:val="notetext"/>
        <w:rPr>
          <w:rFonts w:eastAsia="Calibri"/>
        </w:rPr>
      </w:pPr>
      <w:r w:rsidRPr="00A00F6F">
        <w:rPr>
          <w:rFonts w:eastAsia="Calibri"/>
        </w:rPr>
        <w:t>Note:</w:t>
      </w:r>
      <w:r w:rsidRPr="00A00F6F">
        <w:rPr>
          <w:rFonts w:eastAsia="Calibri"/>
        </w:rPr>
        <w:tab/>
        <w:t>The relevant Victorian agency must be declared a participating entity under section 56AS of the Act.</w:t>
      </w:r>
    </w:p>
    <w:p w14:paraId="5C54C3D1" w14:textId="77777777" w:rsidR="00BB7660" w:rsidRPr="00A00F6F" w:rsidRDefault="00BB7660" w:rsidP="00BB7660">
      <w:pPr>
        <w:pStyle w:val="ActHead5"/>
        <w:rPr>
          <w:i/>
        </w:rPr>
      </w:pPr>
      <w:bookmarkStart w:id="722" w:name="_Toc111132299"/>
      <w:r w:rsidRPr="00A00F6F">
        <w:t>1.3  Meaning of terms for types of data</w:t>
      </w:r>
      <w:bookmarkEnd w:id="722"/>
    </w:p>
    <w:p w14:paraId="3AE90098" w14:textId="77777777" w:rsidR="00BB7660" w:rsidRPr="00A00F6F" w:rsidRDefault="00BB7660" w:rsidP="00BB7660">
      <w:pPr>
        <w:pStyle w:val="subsection"/>
      </w:pPr>
      <w:r w:rsidRPr="00A00F6F">
        <w:tab/>
      </w:r>
      <w:r w:rsidRPr="00A00F6F">
        <w:tab/>
        <w:t>For this Schedule, a term listed in column 1 of the table has the meaning given by column 2.</w:t>
      </w:r>
    </w:p>
    <w:p w14:paraId="17C88EA1" w14:textId="77777777" w:rsidR="00BB7660" w:rsidRPr="00A00F6F" w:rsidRDefault="00BB7660" w:rsidP="00BB7660">
      <w:pPr>
        <w:pStyle w:val="subsection"/>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BB7660" w:rsidRPr="009433A0" w14:paraId="1ECA538D" w14:textId="77777777" w:rsidTr="0051288D">
        <w:trPr>
          <w:tblHeader/>
        </w:trPr>
        <w:tc>
          <w:tcPr>
            <w:tcW w:w="5000" w:type="pct"/>
            <w:gridSpan w:val="3"/>
            <w:tcBorders>
              <w:top w:val="single" w:sz="12" w:space="0" w:color="auto"/>
              <w:bottom w:val="single" w:sz="2" w:space="0" w:color="auto"/>
            </w:tcBorders>
          </w:tcPr>
          <w:p w14:paraId="04146DF0" w14:textId="77777777" w:rsidR="00BB7660" w:rsidRPr="00A00F6F" w:rsidRDefault="00BB7660" w:rsidP="0051288D">
            <w:pPr>
              <w:pStyle w:val="TableHeading"/>
              <w:jc w:val="center"/>
              <w:rPr>
                <w:i/>
              </w:rPr>
            </w:pPr>
            <w:r w:rsidRPr="00A00F6F">
              <w:t xml:space="preserve">Meaning of </w:t>
            </w:r>
            <w:r w:rsidRPr="00A00F6F">
              <w:rPr>
                <w:i/>
              </w:rPr>
              <w:t>customer data</w:t>
            </w:r>
            <w:r w:rsidRPr="00A00F6F">
              <w:t xml:space="preserve">, </w:t>
            </w:r>
            <w:r w:rsidRPr="00A00F6F">
              <w:rPr>
                <w:i/>
              </w:rPr>
              <w:t>account data</w:t>
            </w:r>
            <w:r w:rsidRPr="00A00F6F">
              <w:rPr>
                <w:b w:val="0"/>
              </w:rPr>
              <w:t xml:space="preserve">, </w:t>
            </w:r>
            <w:r w:rsidRPr="00A00F6F">
              <w:rPr>
                <w:i/>
              </w:rPr>
              <w:t>billing data</w:t>
            </w:r>
            <w:r w:rsidRPr="00A00F6F">
              <w:rPr>
                <w:b w:val="0"/>
              </w:rPr>
              <w:t xml:space="preserve">, </w:t>
            </w:r>
            <w:r w:rsidRPr="00A00F6F">
              <w:rPr>
                <w:i/>
              </w:rPr>
              <w:t>metering data</w:t>
            </w:r>
            <w:r w:rsidRPr="00A00F6F">
              <w:rPr>
                <w:b w:val="0"/>
              </w:rPr>
              <w:t xml:space="preserve">, </w:t>
            </w:r>
            <w:r w:rsidRPr="00A00F6F">
              <w:rPr>
                <w:i/>
              </w:rPr>
              <w:t>NMI standing data</w:t>
            </w:r>
            <w:r w:rsidRPr="00A00F6F">
              <w:rPr>
                <w:b w:val="0"/>
              </w:rPr>
              <w:t xml:space="preserve">, </w:t>
            </w:r>
            <w:r w:rsidRPr="00A00F6F">
              <w:rPr>
                <w:i/>
              </w:rPr>
              <w:t>DER register data</w:t>
            </w:r>
            <w:r w:rsidRPr="00A00F6F">
              <w:rPr>
                <w:b w:val="0"/>
              </w:rPr>
              <w:t xml:space="preserve">, </w:t>
            </w:r>
            <w:r w:rsidRPr="00A00F6F">
              <w:rPr>
                <w:i/>
              </w:rPr>
              <w:t>product specific</w:t>
            </w:r>
            <w:r w:rsidRPr="00A00F6F">
              <w:rPr>
                <w:b w:val="0"/>
                <w:i/>
              </w:rPr>
              <w:t xml:space="preserve"> </w:t>
            </w:r>
            <w:r w:rsidRPr="00A00F6F">
              <w:rPr>
                <w:i/>
              </w:rPr>
              <w:t>data</w:t>
            </w:r>
            <w:r w:rsidRPr="00A00F6F">
              <w:rPr>
                <w:b w:val="0"/>
              </w:rPr>
              <w:t xml:space="preserve"> and </w:t>
            </w:r>
            <w:r w:rsidRPr="00A00F6F">
              <w:rPr>
                <w:i/>
              </w:rPr>
              <w:t>tailored tariff data</w:t>
            </w:r>
          </w:p>
        </w:tc>
      </w:tr>
      <w:tr w:rsidR="00BB7660" w:rsidRPr="009433A0" w14:paraId="5C214CB6" w14:textId="77777777" w:rsidTr="0051288D">
        <w:trPr>
          <w:tblHeader/>
        </w:trPr>
        <w:tc>
          <w:tcPr>
            <w:tcW w:w="256" w:type="pct"/>
            <w:tcBorders>
              <w:top w:val="single" w:sz="2" w:space="0" w:color="auto"/>
              <w:bottom w:val="single" w:sz="12" w:space="0" w:color="auto"/>
              <w:right w:val="nil"/>
            </w:tcBorders>
          </w:tcPr>
          <w:p w14:paraId="52F40703" w14:textId="77777777" w:rsidR="00BB7660" w:rsidRPr="005C6351" w:rsidRDefault="00BB7660" w:rsidP="0051288D">
            <w:pPr>
              <w:pStyle w:val="TableHeading"/>
            </w:pPr>
          </w:p>
        </w:tc>
        <w:tc>
          <w:tcPr>
            <w:tcW w:w="1187" w:type="pct"/>
            <w:tcBorders>
              <w:top w:val="single" w:sz="2" w:space="0" w:color="auto"/>
              <w:left w:val="nil"/>
              <w:bottom w:val="single" w:sz="12" w:space="0" w:color="auto"/>
              <w:right w:val="nil"/>
            </w:tcBorders>
          </w:tcPr>
          <w:p w14:paraId="76BDE02B" w14:textId="77777777" w:rsidR="00BB7660" w:rsidRPr="005C6351" w:rsidRDefault="00BB7660" w:rsidP="0051288D">
            <w:pPr>
              <w:pStyle w:val="TableHeading"/>
            </w:pPr>
            <w:r w:rsidRPr="00A00F6F">
              <w:t>Column 1</w:t>
            </w:r>
          </w:p>
        </w:tc>
        <w:tc>
          <w:tcPr>
            <w:tcW w:w="3557" w:type="pct"/>
            <w:tcBorders>
              <w:top w:val="single" w:sz="2" w:space="0" w:color="auto"/>
              <w:left w:val="nil"/>
              <w:bottom w:val="single" w:sz="12" w:space="0" w:color="auto"/>
              <w:right w:val="nil"/>
            </w:tcBorders>
          </w:tcPr>
          <w:p w14:paraId="6D4DC8E8" w14:textId="77777777" w:rsidR="00BB7660" w:rsidRPr="00A00F6F" w:rsidRDefault="00BB7660" w:rsidP="0051288D">
            <w:pPr>
              <w:pStyle w:val="TableHeading"/>
            </w:pPr>
            <w:r w:rsidRPr="00A00F6F">
              <w:t>Column 2</w:t>
            </w:r>
          </w:p>
        </w:tc>
      </w:tr>
      <w:tr w:rsidR="00BB7660" w:rsidRPr="009433A0" w14:paraId="018DC6B2" w14:textId="77777777" w:rsidTr="0051288D">
        <w:tc>
          <w:tcPr>
            <w:tcW w:w="256" w:type="pct"/>
            <w:tcBorders>
              <w:top w:val="single" w:sz="12" w:space="0" w:color="auto"/>
              <w:bottom w:val="single" w:sz="2" w:space="0" w:color="auto"/>
              <w:right w:val="nil"/>
            </w:tcBorders>
          </w:tcPr>
          <w:p w14:paraId="0488D9A2" w14:textId="77777777" w:rsidR="00BB7660" w:rsidRPr="005C6351" w:rsidRDefault="00BB7660" w:rsidP="0051288D">
            <w:pPr>
              <w:pStyle w:val="Tabletext"/>
            </w:pPr>
            <w:r w:rsidRPr="00A00F6F">
              <w:t>1</w:t>
            </w:r>
          </w:p>
        </w:tc>
        <w:tc>
          <w:tcPr>
            <w:tcW w:w="1187" w:type="pct"/>
            <w:tcBorders>
              <w:top w:val="single" w:sz="12" w:space="0" w:color="auto"/>
              <w:left w:val="nil"/>
              <w:bottom w:val="single" w:sz="2" w:space="0" w:color="auto"/>
              <w:right w:val="nil"/>
            </w:tcBorders>
          </w:tcPr>
          <w:p w14:paraId="1111C477" w14:textId="77777777" w:rsidR="00BB7660" w:rsidRPr="005C6351" w:rsidRDefault="00BB7660" w:rsidP="0051288D">
            <w:pPr>
              <w:pStyle w:val="Tabletext"/>
            </w:pPr>
            <w:r w:rsidRPr="00A00F6F">
              <w:rPr>
                <w:b/>
                <w:i/>
              </w:rPr>
              <w:t>customer data</w:t>
            </w:r>
            <w:r w:rsidRPr="00A00F6F">
              <w:t>, in relation to a particular person</w:t>
            </w:r>
          </w:p>
        </w:tc>
        <w:tc>
          <w:tcPr>
            <w:tcW w:w="3557" w:type="pct"/>
            <w:tcBorders>
              <w:top w:val="single" w:sz="12" w:space="0" w:color="auto"/>
              <w:left w:val="nil"/>
              <w:bottom w:val="single" w:sz="2" w:space="0" w:color="auto"/>
              <w:right w:val="nil"/>
            </w:tcBorders>
          </w:tcPr>
          <w:p w14:paraId="71AACDF0" w14:textId="77777777" w:rsidR="00BB7660" w:rsidRPr="00A00F6F" w:rsidRDefault="00BB7660" w:rsidP="0051288D">
            <w:pPr>
              <w:pStyle w:val="Tablea"/>
            </w:pPr>
            <w:r w:rsidRPr="00A00F6F">
              <w:t>(a)</w:t>
            </w:r>
            <w:r w:rsidRPr="00A00F6F">
              <w:tab/>
              <w:t>means information that identifies or is about the person; and</w:t>
            </w:r>
          </w:p>
          <w:p w14:paraId="40AB5FAE" w14:textId="77777777" w:rsidR="00BB7660" w:rsidRPr="00A00F6F" w:rsidRDefault="00BB7660" w:rsidP="0051288D">
            <w:pPr>
              <w:pStyle w:val="Tablea"/>
            </w:pPr>
            <w:r w:rsidRPr="00A00F6F">
              <w:tab/>
              <w:t>(b)</w:t>
            </w:r>
            <w:r w:rsidRPr="00A00F6F">
              <w:tab/>
              <w:t>includes:</w:t>
            </w:r>
          </w:p>
          <w:p w14:paraId="09827AD8" w14:textId="77777777" w:rsidR="00BB7660" w:rsidRPr="00A00F6F" w:rsidRDefault="00BB7660" w:rsidP="0051288D">
            <w:pPr>
              <w:pStyle w:val="Tablei"/>
            </w:pPr>
            <w:r w:rsidRPr="00A00F6F">
              <w:tab/>
              <w:t>(i)</w:t>
            </w:r>
            <w:r w:rsidRPr="00A00F6F">
              <w:tab/>
              <w:t>the person’s name; and</w:t>
            </w:r>
          </w:p>
          <w:p w14:paraId="6DAF61C5" w14:textId="77777777" w:rsidR="00BB7660" w:rsidRPr="00A00F6F" w:rsidRDefault="00BB7660" w:rsidP="0051288D">
            <w:pPr>
              <w:pStyle w:val="Tablei"/>
            </w:pPr>
            <w:r w:rsidRPr="00A00F6F">
              <w:tab/>
              <w:t>(ii)</w:t>
            </w:r>
            <w:r w:rsidRPr="00A00F6F">
              <w:tab/>
              <w:t>the person’s contact details, including their:</w:t>
            </w:r>
          </w:p>
          <w:p w14:paraId="7C46B055" w14:textId="77777777" w:rsidR="00BB7660" w:rsidRPr="00A00F6F" w:rsidRDefault="00BB7660" w:rsidP="0051288D">
            <w:pPr>
              <w:pStyle w:val="TableAA"/>
            </w:pPr>
            <w:r w:rsidRPr="00A00F6F">
              <w:tab/>
              <w:t>(A)</w:t>
            </w:r>
            <w:r w:rsidRPr="00A00F6F">
              <w:tab/>
              <w:t>telephone number; and</w:t>
            </w:r>
          </w:p>
          <w:p w14:paraId="3EE7B121" w14:textId="77777777" w:rsidR="00BB7660" w:rsidRPr="00A00F6F" w:rsidRDefault="00BB7660" w:rsidP="0051288D">
            <w:pPr>
              <w:pStyle w:val="TableAA"/>
            </w:pPr>
            <w:r w:rsidRPr="00A00F6F">
              <w:tab/>
              <w:t>(B)</w:t>
            </w:r>
            <w:r w:rsidRPr="00A00F6F">
              <w:tab/>
              <w:t>email address; and</w:t>
            </w:r>
          </w:p>
          <w:p w14:paraId="59830964" w14:textId="77777777" w:rsidR="00BB7660" w:rsidRPr="00A00F6F" w:rsidRDefault="00BB7660" w:rsidP="0051288D">
            <w:pPr>
              <w:pStyle w:val="TableAA"/>
            </w:pPr>
            <w:r w:rsidRPr="00A00F6F">
              <w:tab/>
              <w:t>(C)</w:t>
            </w:r>
            <w:r w:rsidRPr="00A00F6F">
              <w:tab/>
              <w:t>physical address; and</w:t>
            </w:r>
          </w:p>
          <w:p w14:paraId="130C2955" w14:textId="77777777" w:rsidR="00BB7660" w:rsidRPr="00A00F6F" w:rsidRDefault="00BB7660" w:rsidP="0051288D">
            <w:pPr>
              <w:pStyle w:val="Tablei"/>
            </w:pPr>
            <w:r w:rsidRPr="00A00F6F">
              <w:tab/>
              <w:t>(iii)</w:t>
            </w:r>
            <w:r w:rsidRPr="00A00F6F">
              <w:tab/>
              <w:t>any information that:</w:t>
            </w:r>
          </w:p>
          <w:p w14:paraId="549A59D9" w14:textId="77777777" w:rsidR="00BB7660" w:rsidRPr="00A00F6F" w:rsidRDefault="00BB7660" w:rsidP="0051288D">
            <w:pPr>
              <w:pStyle w:val="TableAA"/>
            </w:pPr>
            <w:r w:rsidRPr="00A00F6F">
              <w:tab/>
              <w:t>(A)</w:t>
            </w:r>
            <w:r w:rsidRPr="00A00F6F">
              <w:tab/>
              <w:t>the person provided at the time of acquiring a particular product; and</w:t>
            </w:r>
          </w:p>
          <w:p w14:paraId="4075CDF9" w14:textId="77777777" w:rsidR="00BB7660" w:rsidRPr="00A00F6F" w:rsidRDefault="00BB7660" w:rsidP="0051288D">
            <w:pPr>
              <w:pStyle w:val="TableAA"/>
            </w:pPr>
            <w:r w:rsidRPr="00A00F6F">
              <w:tab/>
              <w:t>(B)</w:t>
            </w:r>
            <w:r w:rsidRPr="00A00F6F">
              <w:tab/>
              <w:t>relates to their eligibility to acquire that product; and</w:t>
            </w:r>
          </w:p>
          <w:p w14:paraId="026B91C4" w14:textId="77777777" w:rsidR="00BB7660" w:rsidRPr="00A00F6F" w:rsidRDefault="00BB7660" w:rsidP="0051288D">
            <w:pPr>
              <w:pStyle w:val="Tablei"/>
            </w:pPr>
            <w:r w:rsidRPr="00A00F6F">
              <w:tab/>
              <w:t>(iv)</w:t>
            </w:r>
            <w:r w:rsidRPr="00A00F6F">
              <w:tab/>
              <w:t>if the person operates a business—the following:</w:t>
            </w:r>
          </w:p>
          <w:p w14:paraId="73C3CA8A" w14:textId="77777777" w:rsidR="00BB7660" w:rsidRPr="00A00F6F" w:rsidRDefault="00BB7660" w:rsidP="0051288D">
            <w:pPr>
              <w:pStyle w:val="TableAA"/>
            </w:pPr>
            <w:r w:rsidRPr="00A00F6F">
              <w:tab/>
              <w:t>(A)</w:t>
            </w:r>
            <w:r w:rsidRPr="00A00F6F">
              <w:tab/>
              <w:t xml:space="preserve">the person’s business name; </w:t>
            </w:r>
          </w:p>
          <w:p w14:paraId="393E1522" w14:textId="77777777" w:rsidR="00BB7660" w:rsidRPr="00A00F6F" w:rsidRDefault="00BB7660" w:rsidP="0051288D">
            <w:pPr>
              <w:pStyle w:val="TableAA"/>
            </w:pPr>
            <w:r w:rsidRPr="00A00F6F">
              <w:tab/>
              <w:t>(B)</w:t>
            </w:r>
            <w:r w:rsidRPr="00A00F6F">
              <w:tab/>
              <w:t xml:space="preserve">the person’s ABN (within the meaning of the </w:t>
            </w:r>
            <w:r w:rsidRPr="00A00F6F">
              <w:rPr>
                <w:i/>
              </w:rPr>
              <w:t>A New Tax System (Australian Business Number) Act 1999</w:t>
            </w:r>
            <w:r w:rsidRPr="00A00F6F">
              <w:t>); and</w:t>
            </w:r>
          </w:p>
          <w:p w14:paraId="1DBD93A4" w14:textId="77777777" w:rsidR="00BB7660" w:rsidRPr="00A00F6F" w:rsidRDefault="00BB7660" w:rsidP="0051288D">
            <w:pPr>
              <w:pStyle w:val="Tablea"/>
            </w:pPr>
            <w:r w:rsidRPr="00A00F6F">
              <w:t xml:space="preserve">(c) </w:t>
            </w:r>
            <w:r w:rsidRPr="00A00F6F">
              <w:tab/>
              <w:t>if the person is an individual―does not include the person’s date of birth.</w:t>
            </w:r>
          </w:p>
          <w:p w14:paraId="0CD5CFB3" w14:textId="77777777" w:rsidR="00BB7660" w:rsidRPr="00A00F6F" w:rsidRDefault="00BB7660" w:rsidP="0051288D">
            <w:pPr>
              <w:pStyle w:val="Tablea"/>
            </w:pPr>
          </w:p>
        </w:tc>
      </w:tr>
      <w:tr w:rsidR="00BB7660" w:rsidRPr="009433A0" w14:paraId="74BEB06E" w14:textId="77777777" w:rsidTr="0051288D">
        <w:tc>
          <w:tcPr>
            <w:tcW w:w="256" w:type="pct"/>
            <w:tcBorders>
              <w:top w:val="single" w:sz="2" w:space="0" w:color="auto"/>
              <w:bottom w:val="single" w:sz="4" w:space="0" w:color="auto"/>
              <w:right w:val="nil"/>
            </w:tcBorders>
          </w:tcPr>
          <w:p w14:paraId="370C44C6" w14:textId="77777777" w:rsidR="00BB7660" w:rsidRPr="005C6351" w:rsidRDefault="00BB7660" w:rsidP="0051288D">
            <w:pPr>
              <w:pStyle w:val="Tabletext"/>
            </w:pPr>
            <w:r w:rsidRPr="00A00F6F">
              <w:lastRenderedPageBreak/>
              <w:t>2</w:t>
            </w:r>
          </w:p>
        </w:tc>
        <w:tc>
          <w:tcPr>
            <w:tcW w:w="1187" w:type="pct"/>
            <w:tcBorders>
              <w:top w:val="single" w:sz="2" w:space="0" w:color="auto"/>
              <w:left w:val="nil"/>
              <w:bottom w:val="single" w:sz="4" w:space="0" w:color="auto"/>
              <w:right w:val="nil"/>
            </w:tcBorders>
          </w:tcPr>
          <w:p w14:paraId="6CB73CEA" w14:textId="77777777" w:rsidR="00BB7660" w:rsidRPr="005C6351" w:rsidRDefault="00BB7660" w:rsidP="0051288D">
            <w:pPr>
              <w:pStyle w:val="Tabletext"/>
            </w:pPr>
            <w:r w:rsidRPr="00A00F6F">
              <w:rPr>
                <w:b/>
                <w:i/>
              </w:rPr>
              <w:t>account data</w:t>
            </w:r>
            <w:r w:rsidRPr="00A00F6F">
              <w:t>, in relation to a particular account</w:t>
            </w:r>
          </w:p>
        </w:tc>
        <w:tc>
          <w:tcPr>
            <w:tcW w:w="3557" w:type="pct"/>
            <w:tcBorders>
              <w:top w:val="single" w:sz="2" w:space="0" w:color="auto"/>
              <w:left w:val="nil"/>
              <w:bottom w:val="single" w:sz="4" w:space="0" w:color="auto"/>
              <w:right w:val="nil"/>
            </w:tcBorders>
          </w:tcPr>
          <w:p w14:paraId="4CA8D245" w14:textId="77777777" w:rsidR="00BB7660" w:rsidRPr="00A00F6F" w:rsidRDefault="00BB7660" w:rsidP="0051288D">
            <w:pPr>
              <w:pStyle w:val="Tablea"/>
            </w:pPr>
            <w:r w:rsidRPr="00A00F6F">
              <w:t>(a)</w:t>
            </w:r>
            <w:r w:rsidRPr="00A00F6F">
              <w:tab/>
              <w:t>means information that identifies or is about the operation of the account; and</w:t>
            </w:r>
          </w:p>
          <w:p w14:paraId="03978540" w14:textId="77777777" w:rsidR="00BB7660" w:rsidRPr="00A00F6F" w:rsidRDefault="00BB7660" w:rsidP="0051288D">
            <w:pPr>
              <w:pStyle w:val="Tablea"/>
            </w:pPr>
            <w:r w:rsidRPr="00A00F6F">
              <w:t>(b)</w:t>
            </w:r>
            <w:r w:rsidRPr="00A00F6F">
              <w:tab/>
              <w:t>includes:</w:t>
            </w:r>
          </w:p>
          <w:p w14:paraId="66DF961B" w14:textId="77777777" w:rsidR="00BB7660" w:rsidRPr="00A00F6F" w:rsidRDefault="00BB7660" w:rsidP="0051288D">
            <w:pPr>
              <w:pStyle w:val="Tablei"/>
            </w:pPr>
            <w:r w:rsidRPr="00A00F6F">
              <w:tab/>
              <w:t>(i)</w:t>
            </w:r>
            <w:r w:rsidRPr="00A00F6F">
              <w:tab/>
              <w:t>the account number, other than to the extent that an account number is masked (whether as required by law or in accordance with any applicable standard or industry practice); and</w:t>
            </w:r>
          </w:p>
          <w:p w14:paraId="2A8E69F1" w14:textId="77777777" w:rsidR="00BB7660" w:rsidRPr="00A00F6F" w:rsidRDefault="00BB7660" w:rsidP="0051288D">
            <w:pPr>
              <w:pStyle w:val="Tablei"/>
            </w:pPr>
            <w:r w:rsidRPr="00A00F6F">
              <w:tab/>
              <w:t>(ii)</w:t>
            </w:r>
            <w:r w:rsidRPr="00A00F6F">
              <w:tab/>
              <w:t>the date the account was created; and</w:t>
            </w:r>
          </w:p>
          <w:p w14:paraId="34831E1D" w14:textId="77777777" w:rsidR="00BB7660" w:rsidRPr="00A00F6F" w:rsidRDefault="00BB7660" w:rsidP="0051288D">
            <w:pPr>
              <w:pStyle w:val="Tablei"/>
            </w:pPr>
            <w:r w:rsidRPr="00A00F6F">
              <w:tab/>
              <w:t>(iii)</w:t>
            </w:r>
            <w:r w:rsidRPr="00A00F6F">
              <w:tab/>
              <w:t>the unique identifiers that represent the connection points associated with the account; and</w:t>
            </w:r>
          </w:p>
          <w:p w14:paraId="25271707" w14:textId="77777777" w:rsidR="00BB7660" w:rsidRPr="00A00F6F" w:rsidRDefault="00BB7660" w:rsidP="0051288D">
            <w:pPr>
              <w:pStyle w:val="Tablei"/>
            </w:pPr>
            <w:r w:rsidRPr="00A00F6F">
              <w:tab/>
              <w:t>(iv)</w:t>
            </w:r>
            <w:r w:rsidRPr="00A00F6F">
              <w:tab/>
            </w:r>
            <w:r w:rsidRPr="00A00F6F">
              <w:rPr>
                <w:rFonts w:eastAsia="Calibri"/>
              </w:rPr>
              <w:t xml:space="preserve">any payment schedule associated with the account (including payment method </w:t>
            </w:r>
            <w:r w:rsidR="003538AF" w:rsidRPr="00270C3C">
              <w:rPr>
                <w:rFonts w:eastAsia="Calibri"/>
                <w:color w:val="0000FF"/>
              </w:rPr>
              <w:t>and frequency</w:t>
            </w:r>
            <w:r w:rsidR="003538AF" w:rsidRPr="00270C3C">
              <w:rPr>
                <w:rFonts w:eastAsia="Calibri"/>
                <w:strike/>
                <w:color w:val="0000FF"/>
              </w:rPr>
              <w:t xml:space="preserve"> </w:t>
            </w:r>
            <w:r w:rsidRPr="00270C3C">
              <w:rPr>
                <w:rFonts w:eastAsia="Calibri"/>
                <w:strike/>
                <w:color w:val="0000FF"/>
              </w:rPr>
              <w:t>and  frequency</w:t>
            </w:r>
            <w:r w:rsidRPr="003538AF">
              <w:rPr>
                <w:rFonts w:eastAsia="Calibri"/>
              </w:rPr>
              <w:t xml:space="preserve"> </w:t>
            </w:r>
            <w:r w:rsidRPr="00A00F6F">
              <w:rPr>
                <w:rFonts w:eastAsia="Calibri"/>
              </w:rPr>
              <w:t>of payments)</w:t>
            </w:r>
            <w:r w:rsidRPr="00A00F6F">
              <w:t>; and</w:t>
            </w:r>
          </w:p>
          <w:p w14:paraId="67AB2EDF" w14:textId="77777777" w:rsidR="00BB7660" w:rsidRPr="00A00F6F" w:rsidRDefault="00BB7660" w:rsidP="0051288D">
            <w:pPr>
              <w:pStyle w:val="Tablei"/>
              <w:rPr>
                <w:rFonts w:eastAsia="Calibri"/>
              </w:rPr>
            </w:pPr>
            <w:r w:rsidRPr="00A00F6F">
              <w:tab/>
              <w:t>(v)</w:t>
            </w:r>
            <w:r w:rsidRPr="00A00F6F">
              <w:tab/>
              <w:t>a</w:t>
            </w:r>
            <w:r w:rsidRPr="00A00F6F">
              <w:rPr>
                <w:rFonts w:eastAsia="Calibri"/>
              </w:rPr>
              <w:t>ny concessions, rebates or grants applied to the account</w:t>
            </w:r>
            <w:r w:rsidRPr="00A00F6F">
              <w:t>; and</w:t>
            </w:r>
          </w:p>
          <w:p w14:paraId="2D321E38" w14:textId="77777777" w:rsidR="00BB7660" w:rsidRPr="00A00F6F" w:rsidRDefault="00BB7660" w:rsidP="0051288D">
            <w:pPr>
              <w:pStyle w:val="Tablea"/>
            </w:pPr>
            <w:r w:rsidRPr="00A00F6F">
              <w:t xml:space="preserve">(c) </w:t>
            </w:r>
            <w:r w:rsidRPr="00A00F6F">
              <w:tab/>
              <w:t>does not include information about whether the account is associated with a hardship program.</w:t>
            </w:r>
          </w:p>
          <w:p w14:paraId="76BE11D3" w14:textId="77777777" w:rsidR="00BB7660" w:rsidRPr="00A00F6F" w:rsidRDefault="00BB7660" w:rsidP="0051288D">
            <w:pPr>
              <w:pStyle w:val="Tablei"/>
            </w:pPr>
          </w:p>
        </w:tc>
      </w:tr>
      <w:tr w:rsidR="00BB7660" w:rsidRPr="009433A0" w14:paraId="5F8F444E" w14:textId="77777777" w:rsidTr="0051288D">
        <w:tc>
          <w:tcPr>
            <w:tcW w:w="256" w:type="pct"/>
            <w:tcBorders>
              <w:top w:val="single" w:sz="4" w:space="0" w:color="auto"/>
              <w:bottom w:val="single" w:sz="4" w:space="0" w:color="auto"/>
              <w:right w:val="nil"/>
            </w:tcBorders>
          </w:tcPr>
          <w:p w14:paraId="528351A3" w14:textId="77777777" w:rsidR="00BB7660" w:rsidRPr="005C6351" w:rsidRDefault="00BB7660" w:rsidP="0051288D">
            <w:pPr>
              <w:pStyle w:val="Tabletext"/>
            </w:pPr>
            <w:r w:rsidRPr="00A00F6F">
              <w:t>3</w:t>
            </w:r>
          </w:p>
        </w:tc>
        <w:tc>
          <w:tcPr>
            <w:tcW w:w="1187" w:type="pct"/>
            <w:tcBorders>
              <w:top w:val="single" w:sz="4" w:space="0" w:color="auto"/>
              <w:left w:val="nil"/>
              <w:bottom w:val="single" w:sz="4" w:space="0" w:color="auto"/>
              <w:right w:val="nil"/>
            </w:tcBorders>
          </w:tcPr>
          <w:p w14:paraId="12DFC6CA" w14:textId="77777777" w:rsidR="00BB7660" w:rsidRPr="005C6351" w:rsidRDefault="00BB7660" w:rsidP="0051288D">
            <w:pPr>
              <w:pStyle w:val="Tabletext"/>
            </w:pPr>
            <w:r w:rsidRPr="00A00F6F">
              <w:rPr>
                <w:b/>
                <w:i/>
              </w:rPr>
              <w:t>billing data</w:t>
            </w:r>
            <w:r w:rsidRPr="00A00F6F">
              <w:t>, in relation to a particular account</w:t>
            </w:r>
          </w:p>
        </w:tc>
        <w:tc>
          <w:tcPr>
            <w:tcW w:w="3557" w:type="pct"/>
            <w:tcBorders>
              <w:top w:val="single" w:sz="4" w:space="0" w:color="auto"/>
              <w:left w:val="nil"/>
              <w:bottom w:val="single" w:sz="4" w:space="0" w:color="auto"/>
              <w:right w:val="nil"/>
            </w:tcBorders>
          </w:tcPr>
          <w:p w14:paraId="2DD9EE6E" w14:textId="77777777" w:rsidR="00BB7660" w:rsidRPr="00A00F6F" w:rsidRDefault="00BB7660" w:rsidP="0051288D">
            <w:pPr>
              <w:pStyle w:val="Tablea"/>
            </w:pPr>
            <w:r w:rsidRPr="00A00F6F">
              <w:t>means:</w:t>
            </w:r>
          </w:p>
          <w:p w14:paraId="1C9CAA89" w14:textId="77777777" w:rsidR="00BB7660" w:rsidRPr="00A00F6F" w:rsidRDefault="00BB7660" w:rsidP="0051288D">
            <w:pPr>
              <w:pStyle w:val="Tablea"/>
            </w:pPr>
            <w:r w:rsidRPr="00A00F6F">
              <w:t>(a)</w:t>
            </w:r>
            <w:r w:rsidRPr="00A00F6F">
              <w:tab/>
              <w:t>information about a bill that has been issued in relation to the arrangement to which the account relates, including:</w:t>
            </w:r>
          </w:p>
          <w:p w14:paraId="41470291" w14:textId="77777777" w:rsidR="00BB7660" w:rsidRPr="00A00F6F" w:rsidRDefault="00BB7660" w:rsidP="0051288D">
            <w:pPr>
              <w:pStyle w:val="Tablei"/>
              <w:rPr>
                <w:rFonts w:eastAsia="Calibri"/>
              </w:rPr>
            </w:pPr>
            <w:r w:rsidRPr="00A00F6F">
              <w:tab/>
              <w:t>(i)</w:t>
            </w:r>
            <w:r w:rsidRPr="00A00F6F">
              <w:tab/>
            </w:r>
            <w:r w:rsidRPr="00A00F6F">
              <w:rPr>
                <w:rFonts w:eastAsia="Calibri"/>
              </w:rPr>
              <w:t>the account number; and</w:t>
            </w:r>
          </w:p>
          <w:p w14:paraId="5C3A4260" w14:textId="77777777" w:rsidR="00BB7660" w:rsidRPr="00A00F6F" w:rsidRDefault="00BB7660" w:rsidP="0051288D">
            <w:pPr>
              <w:pStyle w:val="Tablei"/>
              <w:rPr>
                <w:rFonts w:eastAsia="Calibri"/>
              </w:rPr>
            </w:pPr>
            <w:r w:rsidRPr="00A00F6F">
              <w:tab/>
              <w:t>(ii)</w:t>
            </w:r>
            <w:r w:rsidRPr="00A00F6F">
              <w:tab/>
              <w:t xml:space="preserve">the </w:t>
            </w:r>
            <w:r w:rsidRPr="00A00F6F">
              <w:rPr>
                <w:rFonts w:eastAsia="Calibri"/>
              </w:rPr>
              <w:t>billing period; and</w:t>
            </w:r>
          </w:p>
          <w:p w14:paraId="42114493" w14:textId="77777777" w:rsidR="00BB7660" w:rsidRPr="00A00F6F" w:rsidRDefault="00BB7660" w:rsidP="0051288D">
            <w:pPr>
              <w:pStyle w:val="Tablei"/>
              <w:rPr>
                <w:rFonts w:eastAsia="Calibri"/>
              </w:rPr>
            </w:pPr>
            <w:r w:rsidRPr="00A00F6F">
              <w:tab/>
              <w:t>(iii)</w:t>
            </w:r>
            <w:r w:rsidRPr="00A00F6F">
              <w:tab/>
              <w:t>the d</w:t>
            </w:r>
            <w:r w:rsidRPr="00A00F6F">
              <w:rPr>
                <w:rFonts w:eastAsia="Calibri"/>
              </w:rPr>
              <w:t>ate the bill was issued; and</w:t>
            </w:r>
          </w:p>
          <w:p w14:paraId="2B80A43B" w14:textId="77777777" w:rsidR="00BB7660" w:rsidRPr="00A00F6F" w:rsidRDefault="00BB7660" w:rsidP="0051288D">
            <w:pPr>
              <w:pStyle w:val="Tablei"/>
              <w:rPr>
                <w:rFonts w:eastAsia="Calibri"/>
              </w:rPr>
            </w:pPr>
            <w:r w:rsidRPr="00A00F6F">
              <w:tab/>
              <w:t>(iv)</w:t>
            </w:r>
            <w:r w:rsidRPr="00A00F6F">
              <w:tab/>
              <w:t>the t</w:t>
            </w:r>
            <w:r w:rsidRPr="00A00F6F">
              <w:rPr>
                <w:rFonts w:eastAsia="Calibri"/>
              </w:rPr>
              <w:t>otal amount payable; and</w:t>
            </w:r>
          </w:p>
          <w:p w14:paraId="01292356" w14:textId="77777777" w:rsidR="00BB7660" w:rsidRPr="00A00F6F" w:rsidRDefault="00BB7660" w:rsidP="0051288D">
            <w:pPr>
              <w:pStyle w:val="Tablei"/>
              <w:rPr>
                <w:rFonts w:eastAsia="Calibri"/>
              </w:rPr>
            </w:pPr>
            <w:r w:rsidRPr="00A00F6F">
              <w:tab/>
              <w:t>(v)</w:t>
            </w:r>
            <w:r w:rsidRPr="00A00F6F">
              <w:tab/>
            </w:r>
            <w:r w:rsidRPr="00A00F6F">
              <w:rPr>
                <w:rFonts w:eastAsia="Calibri"/>
              </w:rPr>
              <w:t>the tariffs and charges applicable; and</w:t>
            </w:r>
          </w:p>
          <w:p w14:paraId="223D3AB0" w14:textId="77777777" w:rsidR="00BB7660" w:rsidRPr="00A00F6F" w:rsidRDefault="00BB7660" w:rsidP="0051288D">
            <w:pPr>
              <w:pStyle w:val="Tablei"/>
              <w:rPr>
                <w:rFonts w:eastAsia="Calibri"/>
              </w:rPr>
            </w:pPr>
            <w:r w:rsidRPr="00A00F6F">
              <w:tab/>
              <w:t>(vi)</w:t>
            </w:r>
            <w:r w:rsidRPr="00A00F6F">
              <w:tab/>
            </w:r>
            <w:r w:rsidRPr="00A00F6F">
              <w:rPr>
                <w:rFonts w:eastAsia="Calibri"/>
              </w:rPr>
              <w:t>details of consumption or estimated consumption of energy; and</w:t>
            </w:r>
          </w:p>
          <w:p w14:paraId="22013E5E" w14:textId="77777777" w:rsidR="00BB7660" w:rsidRPr="00A00F6F" w:rsidRDefault="00BB7660" w:rsidP="0051288D">
            <w:pPr>
              <w:pStyle w:val="Tablea"/>
            </w:pPr>
            <w:r w:rsidRPr="00A00F6F">
              <w:t>(b)</w:t>
            </w:r>
            <w:r w:rsidRPr="00A00F6F">
              <w:tab/>
              <w:t>information about a payment or other transaction made in relation to the arrangement, including:</w:t>
            </w:r>
          </w:p>
          <w:p w14:paraId="24C2659E" w14:textId="77777777" w:rsidR="00BB7660" w:rsidRPr="00A00F6F" w:rsidRDefault="00BB7660" w:rsidP="0051288D">
            <w:pPr>
              <w:pStyle w:val="Tablei"/>
            </w:pPr>
            <w:r w:rsidRPr="00A00F6F">
              <w:tab/>
              <w:t>(i)</w:t>
            </w:r>
            <w:r w:rsidRPr="00A00F6F">
              <w:tab/>
              <w:t xml:space="preserve">the nature of the transaction; </w:t>
            </w:r>
            <w:r w:rsidRPr="00A00F6F">
              <w:rPr>
                <w:rFonts w:eastAsia="Calibri"/>
              </w:rPr>
              <w:t>and</w:t>
            </w:r>
          </w:p>
          <w:p w14:paraId="50C128D7" w14:textId="77777777" w:rsidR="00BB7660" w:rsidRPr="00A00F6F" w:rsidRDefault="00BB7660" w:rsidP="0051288D">
            <w:pPr>
              <w:pStyle w:val="Tablei"/>
              <w:rPr>
                <w:rFonts w:eastAsia="Calibri"/>
              </w:rPr>
            </w:pPr>
            <w:r w:rsidRPr="00A00F6F">
              <w:tab/>
              <w:t>(ii)</w:t>
            </w:r>
            <w:r w:rsidRPr="00A00F6F">
              <w:tab/>
            </w:r>
            <w:r w:rsidRPr="00A00F6F">
              <w:rPr>
                <w:rFonts w:eastAsia="Calibri"/>
              </w:rPr>
              <w:t>the date and time of the transaction; and</w:t>
            </w:r>
          </w:p>
          <w:p w14:paraId="1D489869" w14:textId="77777777" w:rsidR="00BB7660" w:rsidRPr="00A00F6F" w:rsidRDefault="00BB7660" w:rsidP="0051288D">
            <w:pPr>
              <w:pStyle w:val="Tablei"/>
            </w:pPr>
            <w:r w:rsidRPr="00A00F6F">
              <w:tab/>
              <w:t>(iii)</w:t>
            </w:r>
            <w:r w:rsidRPr="00A00F6F">
              <w:tab/>
              <w:t>the amount paid</w:t>
            </w:r>
            <w:r w:rsidRPr="00A00F6F">
              <w:rPr>
                <w:rFonts w:eastAsia="Calibri"/>
              </w:rPr>
              <w:t>; and</w:t>
            </w:r>
          </w:p>
          <w:p w14:paraId="050BBD47" w14:textId="77777777" w:rsidR="00BB7660" w:rsidRPr="00A00F6F" w:rsidRDefault="00BB7660" w:rsidP="0051288D">
            <w:pPr>
              <w:pStyle w:val="Tablei"/>
              <w:rPr>
                <w:rFonts w:eastAsia="Calibri"/>
              </w:rPr>
            </w:pPr>
            <w:r w:rsidRPr="00A00F6F">
              <w:tab/>
              <w:t>(iv)</w:t>
            </w:r>
            <w:r w:rsidRPr="00A00F6F">
              <w:tab/>
              <w:t>the payment method</w:t>
            </w:r>
            <w:r w:rsidRPr="00A00F6F">
              <w:rPr>
                <w:rFonts w:eastAsia="Calibri"/>
              </w:rPr>
              <w:t>; and</w:t>
            </w:r>
          </w:p>
          <w:p w14:paraId="2E690B0F" w14:textId="77777777" w:rsidR="00BB7660" w:rsidRPr="00A00F6F" w:rsidRDefault="00BB7660" w:rsidP="0051288D">
            <w:pPr>
              <w:pStyle w:val="Tablea"/>
            </w:pPr>
            <w:r w:rsidRPr="00A00F6F">
              <w:t>(c)</w:t>
            </w:r>
            <w:r w:rsidRPr="00A00F6F">
              <w:tab/>
              <w:t>the account balance at any time.</w:t>
            </w:r>
          </w:p>
          <w:p w14:paraId="0EDA161E" w14:textId="77777777" w:rsidR="00BB7660" w:rsidRPr="00A00F6F" w:rsidRDefault="00BB7660" w:rsidP="0051288D">
            <w:pPr>
              <w:pStyle w:val="Tablea"/>
            </w:pPr>
          </w:p>
        </w:tc>
      </w:tr>
      <w:tr w:rsidR="00BB7660" w:rsidRPr="009433A0" w14:paraId="77F3C2FD" w14:textId="77777777" w:rsidTr="0051288D">
        <w:tc>
          <w:tcPr>
            <w:tcW w:w="256" w:type="pct"/>
            <w:tcBorders>
              <w:top w:val="single" w:sz="4" w:space="0" w:color="auto"/>
              <w:bottom w:val="single" w:sz="4" w:space="0" w:color="auto"/>
              <w:right w:val="nil"/>
            </w:tcBorders>
          </w:tcPr>
          <w:p w14:paraId="163C4226" w14:textId="77777777" w:rsidR="00BB7660" w:rsidRPr="005C6351" w:rsidRDefault="00BB7660" w:rsidP="0051288D">
            <w:pPr>
              <w:pStyle w:val="Tabletext"/>
            </w:pPr>
            <w:r w:rsidRPr="00A00F6F">
              <w:t>4</w:t>
            </w:r>
          </w:p>
        </w:tc>
        <w:tc>
          <w:tcPr>
            <w:tcW w:w="1187" w:type="pct"/>
            <w:tcBorders>
              <w:top w:val="single" w:sz="4" w:space="0" w:color="auto"/>
              <w:left w:val="nil"/>
              <w:bottom w:val="single" w:sz="4" w:space="0" w:color="auto"/>
              <w:right w:val="nil"/>
            </w:tcBorders>
          </w:tcPr>
          <w:p w14:paraId="20C26F2B" w14:textId="77777777" w:rsidR="00BB7660" w:rsidRPr="005C6351" w:rsidRDefault="00BB7660" w:rsidP="0051288D">
            <w:pPr>
              <w:pStyle w:val="Tabletext"/>
            </w:pPr>
            <w:r w:rsidRPr="00A00F6F">
              <w:rPr>
                <w:b/>
                <w:i/>
              </w:rPr>
              <w:t>metering data</w:t>
            </w:r>
            <w:r w:rsidRPr="00A00F6F">
              <w:t>, in relation a particular account</w:t>
            </w:r>
          </w:p>
        </w:tc>
        <w:tc>
          <w:tcPr>
            <w:tcW w:w="3557" w:type="pct"/>
            <w:tcBorders>
              <w:top w:val="single" w:sz="4" w:space="0" w:color="auto"/>
              <w:left w:val="nil"/>
              <w:bottom w:val="single" w:sz="4" w:space="0" w:color="auto"/>
              <w:right w:val="nil"/>
            </w:tcBorders>
          </w:tcPr>
          <w:p w14:paraId="5E2F8369" w14:textId="77777777" w:rsidR="00BB7660" w:rsidRPr="00A00F6F" w:rsidRDefault="00BB7660" w:rsidP="0051288D">
            <w:pPr>
              <w:pStyle w:val="Tablea"/>
            </w:pPr>
            <w:r w:rsidRPr="00A00F6F">
              <w:t xml:space="preserve"> </w:t>
            </w:r>
            <w:r w:rsidRPr="00A00F6F">
              <w:tab/>
              <w:t xml:space="preserve">       means metering data, other than metering data for a type 7 metering installation, within the meaning given by the National Electricity Rules, that relates to the account.</w:t>
            </w:r>
          </w:p>
          <w:p w14:paraId="5FD13539" w14:textId="77777777" w:rsidR="00BB7660" w:rsidRPr="00A00F6F" w:rsidRDefault="00BB7660" w:rsidP="0051288D">
            <w:pPr>
              <w:pStyle w:val="Tablei"/>
            </w:pPr>
          </w:p>
        </w:tc>
      </w:tr>
      <w:tr w:rsidR="00BB7660" w:rsidRPr="009433A0" w14:paraId="10F5CDCB" w14:textId="77777777" w:rsidTr="0051288D">
        <w:tc>
          <w:tcPr>
            <w:tcW w:w="256" w:type="pct"/>
            <w:tcBorders>
              <w:top w:val="single" w:sz="4" w:space="0" w:color="auto"/>
              <w:bottom w:val="single" w:sz="4" w:space="0" w:color="auto"/>
              <w:right w:val="nil"/>
            </w:tcBorders>
          </w:tcPr>
          <w:p w14:paraId="5D8C6AB4" w14:textId="77777777" w:rsidR="00BB7660" w:rsidRPr="005C6351" w:rsidRDefault="00BB7660" w:rsidP="0051288D">
            <w:pPr>
              <w:pStyle w:val="Tabletext"/>
            </w:pPr>
            <w:r w:rsidRPr="00A00F6F">
              <w:t>5</w:t>
            </w:r>
          </w:p>
        </w:tc>
        <w:tc>
          <w:tcPr>
            <w:tcW w:w="1187" w:type="pct"/>
            <w:tcBorders>
              <w:top w:val="single" w:sz="4" w:space="0" w:color="auto"/>
              <w:left w:val="nil"/>
              <w:bottom w:val="single" w:sz="4" w:space="0" w:color="auto"/>
              <w:right w:val="nil"/>
            </w:tcBorders>
          </w:tcPr>
          <w:p w14:paraId="6EE672E6" w14:textId="77777777" w:rsidR="00BB7660" w:rsidRPr="005C6351" w:rsidRDefault="00BB7660" w:rsidP="0051288D">
            <w:pPr>
              <w:pStyle w:val="Tabletext"/>
            </w:pPr>
            <w:r w:rsidRPr="00A00F6F">
              <w:rPr>
                <w:b/>
                <w:i/>
              </w:rPr>
              <w:t>NMI standing data</w:t>
            </w:r>
            <w:r w:rsidRPr="00A00F6F">
              <w:t xml:space="preserve">, in relation to a particular account </w:t>
            </w:r>
          </w:p>
        </w:tc>
        <w:tc>
          <w:tcPr>
            <w:tcW w:w="3557" w:type="pct"/>
            <w:tcBorders>
              <w:top w:val="single" w:sz="4" w:space="0" w:color="auto"/>
              <w:left w:val="nil"/>
              <w:bottom w:val="single" w:sz="4" w:space="0" w:color="auto"/>
              <w:right w:val="nil"/>
            </w:tcBorders>
          </w:tcPr>
          <w:p w14:paraId="19D2D6E5" w14:textId="77777777" w:rsidR="00BB7660" w:rsidRPr="00A00F6F" w:rsidRDefault="00BB7660" w:rsidP="0051288D">
            <w:pPr>
              <w:pStyle w:val="Tablea"/>
            </w:pPr>
            <w:r w:rsidRPr="00A00F6F">
              <w:t xml:space="preserve">    </w:t>
            </w:r>
            <w:r w:rsidRPr="00A00F6F">
              <w:tab/>
              <w:t>means NMI standing data, within the meaning given by the National Electricity Rules, that relates to a connection point associated with the account.</w:t>
            </w:r>
          </w:p>
          <w:p w14:paraId="488AD40D" w14:textId="77777777" w:rsidR="00BB7660" w:rsidRPr="00A00F6F" w:rsidRDefault="00BB7660" w:rsidP="0051288D">
            <w:pPr>
              <w:pStyle w:val="Tablea"/>
            </w:pPr>
          </w:p>
        </w:tc>
      </w:tr>
      <w:tr w:rsidR="00BB7660" w:rsidRPr="009433A0" w14:paraId="5FA33544" w14:textId="77777777" w:rsidTr="0051288D">
        <w:tc>
          <w:tcPr>
            <w:tcW w:w="256" w:type="pct"/>
            <w:tcBorders>
              <w:top w:val="single" w:sz="4" w:space="0" w:color="auto"/>
              <w:bottom w:val="single" w:sz="4" w:space="0" w:color="auto"/>
              <w:right w:val="nil"/>
            </w:tcBorders>
          </w:tcPr>
          <w:p w14:paraId="40E49AC5" w14:textId="77777777" w:rsidR="00BB7660" w:rsidRPr="005C6351" w:rsidRDefault="00BB7660" w:rsidP="0051288D">
            <w:pPr>
              <w:pStyle w:val="Tabletext"/>
            </w:pPr>
            <w:r w:rsidRPr="00A00F6F">
              <w:lastRenderedPageBreak/>
              <w:t>6</w:t>
            </w:r>
          </w:p>
        </w:tc>
        <w:tc>
          <w:tcPr>
            <w:tcW w:w="1187" w:type="pct"/>
            <w:tcBorders>
              <w:top w:val="single" w:sz="4" w:space="0" w:color="auto"/>
              <w:left w:val="nil"/>
              <w:bottom w:val="single" w:sz="4" w:space="0" w:color="auto"/>
              <w:right w:val="nil"/>
            </w:tcBorders>
          </w:tcPr>
          <w:p w14:paraId="1D124FFC" w14:textId="77777777" w:rsidR="00BB7660" w:rsidRPr="005C6351" w:rsidRDefault="00BB7660" w:rsidP="0051288D">
            <w:pPr>
              <w:pStyle w:val="Tabletext"/>
              <w:rPr>
                <w:b/>
                <w:i/>
              </w:rPr>
            </w:pPr>
            <w:r w:rsidRPr="00A00F6F">
              <w:rPr>
                <w:b/>
                <w:i/>
              </w:rPr>
              <w:t>DER register data</w:t>
            </w:r>
            <w:r w:rsidRPr="00A00F6F">
              <w:t>, in relation to a particular account</w:t>
            </w:r>
          </w:p>
        </w:tc>
        <w:tc>
          <w:tcPr>
            <w:tcW w:w="3557" w:type="pct"/>
            <w:tcBorders>
              <w:top w:val="single" w:sz="4" w:space="0" w:color="auto"/>
              <w:left w:val="nil"/>
              <w:bottom w:val="single" w:sz="4" w:space="0" w:color="auto"/>
              <w:right w:val="nil"/>
            </w:tcBorders>
          </w:tcPr>
          <w:p w14:paraId="629336E9" w14:textId="77777777" w:rsidR="00BB7660" w:rsidRPr="00A00F6F" w:rsidRDefault="00BB7660" w:rsidP="0051288D">
            <w:pPr>
              <w:pStyle w:val="Tablea"/>
            </w:pPr>
            <w:r w:rsidRPr="00A00F6F">
              <w:t>(a)</w:t>
            </w:r>
            <w:r w:rsidRPr="00A00F6F">
              <w:tab/>
              <w:t xml:space="preserve">means DER register information, within the meaning given by the National Electricity Rules, for DER that relate to the account; and </w:t>
            </w:r>
          </w:p>
          <w:p w14:paraId="44AE639C" w14:textId="77777777" w:rsidR="00BB7660" w:rsidRPr="00A00F6F" w:rsidRDefault="00BB7660" w:rsidP="0051288D">
            <w:pPr>
              <w:pStyle w:val="Tablea"/>
            </w:pPr>
            <w:r w:rsidRPr="00A00F6F">
              <w:t>(b)</w:t>
            </w:r>
            <w:r w:rsidRPr="00A00F6F">
              <w:tab/>
              <w:t>includes:</w:t>
            </w:r>
          </w:p>
          <w:p w14:paraId="71301EC7" w14:textId="77777777" w:rsidR="00BB7660" w:rsidRPr="00A00F6F" w:rsidRDefault="00BB7660" w:rsidP="0051288D">
            <w:pPr>
              <w:pStyle w:val="Tablei"/>
            </w:pPr>
            <w:r w:rsidRPr="00A00F6F">
              <w:tab/>
              <w:t>(i)</w:t>
            </w:r>
            <w:r w:rsidRPr="00A00F6F">
              <w:tab/>
              <w:t>t</w:t>
            </w:r>
            <w:r w:rsidRPr="00A00F6F">
              <w:rPr>
                <w:rFonts w:eastAsia="Calibri"/>
              </w:rPr>
              <w:t xml:space="preserve">he unique identifier for each connection point associated with the metering data that relates to the DER; and </w:t>
            </w:r>
          </w:p>
          <w:p w14:paraId="5E19A097" w14:textId="77777777" w:rsidR="00BB7660" w:rsidRPr="00A00F6F" w:rsidRDefault="00BB7660" w:rsidP="0051288D">
            <w:pPr>
              <w:pStyle w:val="Tablei"/>
            </w:pPr>
            <w:r w:rsidRPr="00A00F6F">
              <w:tab/>
              <w:t>(ii)</w:t>
            </w:r>
            <w:r w:rsidRPr="00A00F6F">
              <w:tab/>
              <w:t>the a</w:t>
            </w:r>
            <w:r w:rsidRPr="00A00F6F">
              <w:rPr>
                <w:rFonts w:eastAsia="Calibri"/>
              </w:rPr>
              <w:t xml:space="preserve">pproved small generating unit capacity as agreed with a network service provider in the connection agreement; and </w:t>
            </w:r>
          </w:p>
          <w:p w14:paraId="1832BB11" w14:textId="77777777" w:rsidR="00BB7660" w:rsidRPr="00A00F6F" w:rsidRDefault="00BB7660" w:rsidP="0051288D">
            <w:pPr>
              <w:pStyle w:val="Tablei"/>
            </w:pPr>
            <w:r w:rsidRPr="00A00F6F">
              <w:tab/>
              <w:t>(iii)</w:t>
            </w:r>
            <w:r w:rsidRPr="00A00F6F">
              <w:tab/>
              <w:t>the n</w:t>
            </w:r>
            <w:r w:rsidRPr="00A00F6F">
              <w:rPr>
                <w:rFonts w:eastAsia="Calibri"/>
              </w:rPr>
              <w:t xml:space="preserve">umber of phases available for the installation of DER; and </w:t>
            </w:r>
          </w:p>
          <w:p w14:paraId="6D3F3877" w14:textId="77777777" w:rsidR="00BB7660" w:rsidRPr="00A00F6F" w:rsidRDefault="00BB7660" w:rsidP="0051288D">
            <w:pPr>
              <w:pStyle w:val="Tablei"/>
            </w:pPr>
            <w:r w:rsidRPr="00A00F6F">
              <w:tab/>
              <w:t>(iv)</w:t>
            </w:r>
            <w:r w:rsidRPr="00A00F6F">
              <w:tab/>
              <w:t xml:space="preserve">the </w:t>
            </w:r>
            <w:r w:rsidRPr="00A00F6F">
              <w:rPr>
                <w:rFonts w:eastAsia="Calibri"/>
              </w:rPr>
              <w:t xml:space="preserve">number of phases the DER are connected to; and </w:t>
            </w:r>
          </w:p>
          <w:p w14:paraId="2D661D66" w14:textId="77777777" w:rsidR="00BB7660" w:rsidRPr="00A00F6F" w:rsidRDefault="00BB7660" w:rsidP="0051288D">
            <w:pPr>
              <w:pStyle w:val="Tablei"/>
            </w:pPr>
            <w:r w:rsidRPr="00A00F6F">
              <w:tab/>
              <w:t>(v)</w:t>
            </w:r>
            <w:r w:rsidRPr="00A00F6F">
              <w:tab/>
              <w:t>i</w:t>
            </w:r>
            <w:r w:rsidRPr="00A00F6F">
              <w:rPr>
                <w:rFonts w:eastAsia="Calibri"/>
              </w:rPr>
              <w:t xml:space="preserve">nformation identifying small generating units designed with the ability to operate in islanded mode; and </w:t>
            </w:r>
          </w:p>
          <w:p w14:paraId="4182A8BF" w14:textId="77777777" w:rsidR="00BB7660" w:rsidRPr="00A00F6F" w:rsidRDefault="00BB7660" w:rsidP="0051288D">
            <w:pPr>
              <w:pStyle w:val="Tablea"/>
            </w:pPr>
            <w:r w:rsidRPr="00A00F6F">
              <w:t>(c)</w:t>
            </w:r>
            <w:r w:rsidRPr="00A00F6F">
              <w:tab/>
              <w:t xml:space="preserve">excludes </w:t>
            </w:r>
            <w:r w:rsidRPr="00A00F6F">
              <w:rPr>
                <w:rFonts w:eastAsia="Calibri"/>
              </w:rPr>
              <w:t xml:space="preserve">any personal information of third parties, including contractors and individuals who install or repair DER. </w:t>
            </w:r>
          </w:p>
          <w:p w14:paraId="4C90874B" w14:textId="77777777" w:rsidR="00BB7660" w:rsidRPr="00A00F6F" w:rsidRDefault="00BB7660" w:rsidP="0051288D">
            <w:pPr>
              <w:pStyle w:val="Tablea"/>
            </w:pPr>
            <w:r w:rsidRPr="00A00F6F">
              <w:tab/>
            </w:r>
          </w:p>
        </w:tc>
      </w:tr>
      <w:tr w:rsidR="00BB7660" w:rsidRPr="009433A0" w14:paraId="2076F0F0" w14:textId="77777777" w:rsidTr="0051288D">
        <w:tc>
          <w:tcPr>
            <w:tcW w:w="256" w:type="pct"/>
            <w:tcBorders>
              <w:top w:val="single" w:sz="4" w:space="0" w:color="auto"/>
              <w:bottom w:val="single" w:sz="4" w:space="0" w:color="auto"/>
              <w:right w:val="nil"/>
            </w:tcBorders>
          </w:tcPr>
          <w:p w14:paraId="133F568F" w14:textId="77777777" w:rsidR="00BB7660" w:rsidRPr="005C6351" w:rsidRDefault="00BB7660" w:rsidP="0051288D">
            <w:pPr>
              <w:pStyle w:val="Tabletext"/>
            </w:pPr>
            <w:r w:rsidRPr="00A00F6F">
              <w:t>7</w:t>
            </w:r>
          </w:p>
        </w:tc>
        <w:tc>
          <w:tcPr>
            <w:tcW w:w="1187" w:type="pct"/>
            <w:tcBorders>
              <w:top w:val="single" w:sz="4" w:space="0" w:color="auto"/>
              <w:left w:val="nil"/>
              <w:bottom w:val="single" w:sz="4" w:space="0" w:color="auto"/>
              <w:right w:val="nil"/>
            </w:tcBorders>
          </w:tcPr>
          <w:p w14:paraId="7FE87227" w14:textId="77777777" w:rsidR="00BB7660" w:rsidRPr="005C6351" w:rsidRDefault="00BB7660" w:rsidP="0051288D">
            <w:pPr>
              <w:pStyle w:val="Tabletext"/>
            </w:pPr>
            <w:r w:rsidRPr="00A00F6F">
              <w:rPr>
                <w:b/>
                <w:i/>
              </w:rPr>
              <w:t>product specific data</w:t>
            </w:r>
            <w:r w:rsidRPr="00A00F6F">
              <w:t xml:space="preserve">, in relation to a particular plan </w:t>
            </w:r>
          </w:p>
        </w:tc>
        <w:tc>
          <w:tcPr>
            <w:tcW w:w="3557" w:type="pct"/>
            <w:tcBorders>
              <w:top w:val="single" w:sz="4" w:space="0" w:color="auto"/>
              <w:left w:val="nil"/>
              <w:bottom w:val="single" w:sz="4" w:space="0" w:color="auto"/>
              <w:right w:val="nil"/>
            </w:tcBorders>
          </w:tcPr>
          <w:p w14:paraId="137049F1" w14:textId="77777777" w:rsidR="00BB7660" w:rsidRPr="00A00F6F" w:rsidRDefault="00BB7660" w:rsidP="0051288D">
            <w:pPr>
              <w:pStyle w:val="Tablea"/>
            </w:pPr>
            <w:r w:rsidRPr="00A00F6F">
              <w:t>(a)</w:t>
            </w:r>
            <w:r w:rsidRPr="00A00F6F">
              <w:tab/>
              <w:t>means information that identifies or describes the characteristics of the plan; and</w:t>
            </w:r>
          </w:p>
          <w:p w14:paraId="55D15B1F" w14:textId="77777777" w:rsidR="00BB7660" w:rsidRPr="00A00F6F" w:rsidRDefault="00BB7660" w:rsidP="0051288D">
            <w:pPr>
              <w:pStyle w:val="Tablea"/>
            </w:pPr>
            <w:r w:rsidRPr="00A00F6F">
              <w:t>(b)</w:t>
            </w:r>
            <w:r w:rsidRPr="00A00F6F">
              <w:tab/>
              <w:t>includes the following data about the plan:</w:t>
            </w:r>
          </w:p>
          <w:p w14:paraId="5BA1936B" w14:textId="77777777" w:rsidR="00BB7660" w:rsidRPr="00A00F6F" w:rsidRDefault="00BB7660" w:rsidP="0051288D">
            <w:pPr>
              <w:pStyle w:val="Tablei"/>
            </w:pPr>
            <w:r w:rsidRPr="00A00F6F">
              <w:tab/>
              <w:t>(i)</w:t>
            </w:r>
            <w:r w:rsidRPr="00A00F6F">
              <w:tab/>
              <w:t>its type (whether standing, market or regulated); and</w:t>
            </w:r>
          </w:p>
          <w:p w14:paraId="60A163EF" w14:textId="77777777" w:rsidR="00BB7660" w:rsidRPr="00A00F6F" w:rsidRDefault="00BB7660" w:rsidP="0051288D">
            <w:pPr>
              <w:pStyle w:val="Tablei"/>
            </w:pPr>
            <w:r w:rsidRPr="00A00F6F">
              <w:tab/>
              <w:t>(ii)</w:t>
            </w:r>
            <w:r w:rsidRPr="00A00F6F">
              <w:tab/>
              <w:t>its</w:t>
            </w:r>
            <w:r w:rsidRPr="00A00F6F">
              <w:rPr>
                <w:rFonts w:eastAsia="Calibri"/>
              </w:rPr>
              <w:t xml:space="preserve"> name</w:t>
            </w:r>
            <w:r w:rsidRPr="00A00F6F">
              <w:t>; and</w:t>
            </w:r>
          </w:p>
          <w:p w14:paraId="2A83AF87" w14:textId="77777777" w:rsidR="00BB7660" w:rsidRPr="00A00F6F" w:rsidRDefault="00BB7660" w:rsidP="0051288D">
            <w:pPr>
              <w:pStyle w:val="Tablei"/>
            </w:pPr>
            <w:r w:rsidRPr="00A00F6F">
              <w:tab/>
              <w:t>(iii)</w:t>
            </w:r>
            <w:r w:rsidRPr="00A00F6F">
              <w:tab/>
              <w:t>f</w:t>
            </w:r>
            <w:r w:rsidRPr="00A00F6F">
              <w:rPr>
                <w:rFonts w:eastAsia="Calibri"/>
              </w:rPr>
              <w:t>uel the plan applies to</w:t>
            </w:r>
            <w:r w:rsidRPr="00A00F6F">
              <w:t>; and</w:t>
            </w:r>
          </w:p>
          <w:p w14:paraId="18F19082" w14:textId="77777777" w:rsidR="00BB7660" w:rsidRPr="00A00F6F" w:rsidRDefault="00BB7660" w:rsidP="0051288D">
            <w:pPr>
              <w:pStyle w:val="Tablei"/>
            </w:pPr>
            <w:r w:rsidRPr="00A00F6F">
              <w:tab/>
              <w:t>(iv)</w:t>
            </w:r>
            <w:r w:rsidRPr="00A00F6F">
              <w:tab/>
            </w:r>
            <w:r w:rsidRPr="00A00F6F">
              <w:rPr>
                <w:rFonts w:eastAsia="Calibri"/>
              </w:rPr>
              <w:t>the retailer brand offering the plan</w:t>
            </w:r>
            <w:r w:rsidRPr="00A00F6F">
              <w:t>; and</w:t>
            </w:r>
          </w:p>
          <w:p w14:paraId="06418320" w14:textId="77777777" w:rsidR="00BB7660" w:rsidRPr="00A00F6F" w:rsidRDefault="00BB7660" w:rsidP="0051288D">
            <w:pPr>
              <w:pStyle w:val="Tablei"/>
            </w:pPr>
            <w:r w:rsidRPr="00A00F6F">
              <w:tab/>
              <w:t>(v)</w:t>
            </w:r>
            <w:r w:rsidRPr="00A00F6F">
              <w:tab/>
              <w:t>the distribution zone</w:t>
            </w:r>
            <w:r w:rsidRPr="00A00F6F">
              <w:rPr>
                <w:rFonts w:eastAsia="Calibri"/>
              </w:rPr>
              <w:t xml:space="preserve"> that the plan is offered in</w:t>
            </w:r>
            <w:r w:rsidRPr="00A00F6F">
              <w:t>; and</w:t>
            </w:r>
          </w:p>
          <w:p w14:paraId="1A50296F" w14:textId="77777777" w:rsidR="00BB7660" w:rsidRPr="00A00F6F" w:rsidRDefault="00BB7660" w:rsidP="0051288D">
            <w:pPr>
              <w:pStyle w:val="Tablei"/>
            </w:pPr>
            <w:r w:rsidRPr="00A00F6F">
              <w:tab/>
              <w:t>(vi)</w:t>
            </w:r>
            <w:r w:rsidRPr="00A00F6F">
              <w:tab/>
              <w:t>the t</w:t>
            </w:r>
            <w:r w:rsidRPr="00A00F6F">
              <w:rPr>
                <w:rFonts w:eastAsia="Calibri"/>
              </w:rPr>
              <w:t>ariff type</w:t>
            </w:r>
            <w:r w:rsidRPr="00A00F6F">
              <w:t>; and</w:t>
            </w:r>
          </w:p>
          <w:p w14:paraId="105253C1" w14:textId="77777777" w:rsidR="00BB7660" w:rsidRPr="00A00F6F" w:rsidRDefault="00BB7660" w:rsidP="0051288D">
            <w:pPr>
              <w:pStyle w:val="Tablei"/>
            </w:pPr>
            <w:r w:rsidRPr="00A00F6F">
              <w:tab/>
              <w:t>(vii)</w:t>
            </w:r>
            <w:r w:rsidRPr="00A00F6F">
              <w:tab/>
              <w:t>i</w:t>
            </w:r>
            <w:r w:rsidRPr="00A00F6F">
              <w:rPr>
                <w:rFonts w:eastAsia="Calibri"/>
              </w:rPr>
              <w:t>nformation about the pricing associated with the plan, including unit rates, metering charges, daily supply charges and fees</w:t>
            </w:r>
            <w:r w:rsidRPr="00A00F6F">
              <w:t>; and</w:t>
            </w:r>
          </w:p>
          <w:p w14:paraId="4163D114" w14:textId="77777777" w:rsidR="00BB7660" w:rsidRPr="00A00F6F" w:rsidRDefault="00BB7660" w:rsidP="0051288D">
            <w:pPr>
              <w:pStyle w:val="Tablei"/>
            </w:pPr>
            <w:r w:rsidRPr="00A00F6F">
              <w:tab/>
              <w:t>(viii)</w:t>
            </w:r>
            <w:r w:rsidRPr="00A00F6F">
              <w:tab/>
              <w:t>f</w:t>
            </w:r>
            <w:r w:rsidRPr="00A00F6F">
              <w:rPr>
                <w:rFonts w:eastAsia="Calibri"/>
              </w:rPr>
              <w:t>eatures and benefits, including discounts, incentives and bundles.</w:t>
            </w:r>
          </w:p>
          <w:p w14:paraId="2D58CE6C" w14:textId="77777777" w:rsidR="00BB7660" w:rsidRPr="00A00F6F" w:rsidRDefault="00BB7660" w:rsidP="0051288D">
            <w:pPr>
              <w:pStyle w:val="Tablei"/>
            </w:pPr>
          </w:p>
          <w:p w14:paraId="42F3DD20" w14:textId="77777777" w:rsidR="00BB7660" w:rsidRPr="00A00F6F" w:rsidRDefault="00BB7660" w:rsidP="0051288D">
            <w:pPr>
              <w:pStyle w:val="Tablea"/>
            </w:pPr>
          </w:p>
        </w:tc>
      </w:tr>
      <w:tr w:rsidR="00BB7660" w:rsidRPr="009433A0" w14:paraId="63A6BD15" w14:textId="77777777" w:rsidTr="0051288D">
        <w:tc>
          <w:tcPr>
            <w:tcW w:w="256" w:type="pct"/>
            <w:tcBorders>
              <w:top w:val="single" w:sz="4" w:space="0" w:color="auto"/>
              <w:bottom w:val="single" w:sz="12" w:space="0" w:color="auto"/>
              <w:right w:val="nil"/>
            </w:tcBorders>
          </w:tcPr>
          <w:p w14:paraId="0E05F8A3" w14:textId="77777777" w:rsidR="00BB7660" w:rsidRPr="005C6351" w:rsidRDefault="00BB7660" w:rsidP="0051288D">
            <w:pPr>
              <w:pStyle w:val="Tabletext"/>
            </w:pPr>
            <w:r w:rsidRPr="00A00F6F">
              <w:t>8</w:t>
            </w:r>
          </w:p>
        </w:tc>
        <w:tc>
          <w:tcPr>
            <w:tcW w:w="1187" w:type="pct"/>
            <w:tcBorders>
              <w:top w:val="single" w:sz="4" w:space="0" w:color="auto"/>
              <w:left w:val="nil"/>
              <w:bottom w:val="single" w:sz="12" w:space="0" w:color="auto"/>
              <w:right w:val="nil"/>
            </w:tcBorders>
          </w:tcPr>
          <w:p w14:paraId="162049B4" w14:textId="77777777" w:rsidR="00BB7660" w:rsidRPr="005C6351" w:rsidRDefault="00BB7660" w:rsidP="0051288D">
            <w:pPr>
              <w:pStyle w:val="Tabletext"/>
              <w:rPr>
                <w:b/>
                <w:i/>
              </w:rPr>
            </w:pPr>
            <w:r w:rsidRPr="00A00F6F">
              <w:rPr>
                <w:b/>
                <w:i/>
              </w:rPr>
              <w:t>tailored tariff data</w:t>
            </w:r>
            <w:r w:rsidRPr="00A00F6F">
              <w:t xml:space="preserve">, in relation to a particular account </w:t>
            </w:r>
          </w:p>
        </w:tc>
        <w:tc>
          <w:tcPr>
            <w:tcW w:w="3557" w:type="pct"/>
            <w:tcBorders>
              <w:top w:val="single" w:sz="4" w:space="0" w:color="auto"/>
              <w:left w:val="nil"/>
              <w:bottom w:val="single" w:sz="12" w:space="0" w:color="auto"/>
              <w:right w:val="nil"/>
            </w:tcBorders>
          </w:tcPr>
          <w:p w14:paraId="6FB8329D" w14:textId="77777777" w:rsidR="00BB7660" w:rsidRPr="00A00F6F" w:rsidRDefault="00BB7660" w:rsidP="0051288D">
            <w:pPr>
              <w:pStyle w:val="Tablea"/>
            </w:pPr>
            <w:r w:rsidRPr="00A00F6F">
              <w:t xml:space="preserve">   </w:t>
            </w:r>
            <w:r w:rsidRPr="00A00F6F">
              <w:tab/>
              <w:t>means product specific information in relation to the plan that</w:t>
            </w:r>
            <w:r w:rsidRPr="00270C3C">
              <w:rPr>
                <w:strike/>
                <w:color w:val="0000FF"/>
              </w:rPr>
              <w:t xml:space="preserve"> that</w:t>
            </w:r>
            <w:r w:rsidRPr="00A00F6F">
              <w:t xml:space="preserve"> applies to, and as tailored to, the arrangement to which the account relates.</w:t>
            </w:r>
          </w:p>
          <w:p w14:paraId="087AA208" w14:textId="77777777" w:rsidR="00BB7660" w:rsidRPr="00A00F6F" w:rsidRDefault="00BB7660" w:rsidP="0051288D">
            <w:pPr>
              <w:pStyle w:val="Tablea"/>
            </w:pPr>
          </w:p>
        </w:tc>
      </w:tr>
    </w:tbl>
    <w:p w14:paraId="0EB0C6F8" w14:textId="77777777" w:rsidR="00BB7660" w:rsidRPr="005C6351" w:rsidRDefault="00BB7660" w:rsidP="00BB7660">
      <w:pPr>
        <w:pStyle w:val="paragraph"/>
        <w:rPr>
          <w:shd w:val="clear" w:color="auto" w:fill="FFFFFF"/>
        </w:rPr>
      </w:pPr>
    </w:p>
    <w:p w14:paraId="2ECDC0A2" w14:textId="77777777" w:rsidR="00BB7660" w:rsidRPr="00A00F6F" w:rsidRDefault="00BB7660" w:rsidP="00BB7660">
      <w:pPr>
        <w:pStyle w:val="ActHead5"/>
        <w:rPr>
          <w:i/>
          <w:iCs/>
        </w:rPr>
      </w:pPr>
      <w:bookmarkStart w:id="723" w:name="_Toc111132300"/>
      <w:r w:rsidRPr="00A00F6F">
        <w:t xml:space="preserve">1.4  Meaning of </w:t>
      </w:r>
      <w:r w:rsidRPr="00A00F6F">
        <w:rPr>
          <w:i/>
          <w:iCs/>
        </w:rPr>
        <w:t>retailer</w:t>
      </w:r>
      <w:bookmarkEnd w:id="723"/>
    </w:p>
    <w:p w14:paraId="2663C498" w14:textId="77777777" w:rsidR="00BB7660" w:rsidRPr="00A00F6F" w:rsidRDefault="00BB7660" w:rsidP="00BB7660">
      <w:pPr>
        <w:pStyle w:val="subsection"/>
      </w:pPr>
      <w:r w:rsidRPr="00A00F6F">
        <w:tab/>
      </w:r>
      <w:r w:rsidRPr="00A00F6F">
        <w:tab/>
        <w:t xml:space="preserve">For this Schedule, a data holder of energy sector data is a </w:t>
      </w:r>
      <w:r w:rsidRPr="00A00F6F">
        <w:rPr>
          <w:b/>
          <w:bCs/>
          <w:i/>
          <w:iCs/>
        </w:rPr>
        <w:t>retailer</w:t>
      </w:r>
      <w:r w:rsidRPr="00A00F6F">
        <w:t xml:space="preserve"> if:</w:t>
      </w:r>
    </w:p>
    <w:p w14:paraId="5C79C878" w14:textId="77777777" w:rsidR="00BB7660" w:rsidRPr="00A00F6F" w:rsidRDefault="00BB7660" w:rsidP="00BB7660">
      <w:pPr>
        <w:pStyle w:val="paragraph"/>
      </w:pPr>
      <w:r w:rsidRPr="00A00F6F">
        <w:tab/>
        <w:t>(a)</w:t>
      </w:r>
      <w:r w:rsidRPr="00A00F6F">
        <w:tab/>
        <w:t>it retails electricity to connection points in the National Electricity Market; and</w:t>
      </w:r>
    </w:p>
    <w:p w14:paraId="470C87D9" w14:textId="77777777" w:rsidR="00BB7660" w:rsidRPr="00A00F6F" w:rsidRDefault="00BB7660" w:rsidP="00BB7660">
      <w:pPr>
        <w:pStyle w:val="paragraph"/>
        <w:rPr>
          <w:szCs w:val="22"/>
          <w:lang w:eastAsia="en-GB"/>
        </w:rPr>
      </w:pPr>
      <w:r w:rsidRPr="00A00F6F">
        <w:tab/>
        <w:t>(b)</w:t>
      </w:r>
      <w:r w:rsidRPr="00A00F6F">
        <w:tab/>
        <w:t>it is either</w:t>
      </w:r>
      <w:r w:rsidRPr="00A00F6F">
        <w:rPr>
          <w:szCs w:val="22"/>
          <w:lang w:eastAsia="en-GB"/>
        </w:rPr>
        <w:t>:</w:t>
      </w:r>
    </w:p>
    <w:p w14:paraId="46C46B05" w14:textId="77777777" w:rsidR="00BB7660" w:rsidRPr="00A00F6F" w:rsidRDefault="00BB7660" w:rsidP="00BB7660">
      <w:pPr>
        <w:pStyle w:val="paragraphsub"/>
      </w:pPr>
      <w:r w:rsidRPr="00A00F6F">
        <w:lastRenderedPageBreak/>
        <w:tab/>
        <w:t>(i)</w:t>
      </w:r>
      <w:r w:rsidRPr="00A00F6F">
        <w:tab/>
        <w:t>the holder of a retailer authorisation issued under the National Energy Retail Law (as it applies in a State or Territory) in respect of the sale of electricity; or</w:t>
      </w:r>
    </w:p>
    <w:p w14:paraId="784A7AD3" w14:textId="77777777" w:rsidR="00BB7660" w:rsidRPr="00A00F6F" w:rsidRDefault="00BB7660" w:rsidP="00BB7660">
      <w:pPr>
        <w:pStyle w:val="paragraphsub"/>
      </w:pPr>
      <w:r w:rsidRPr="00A00F6F">
        <w:tab/>
        <w:t>(ii)</w:t>
      </w:r>
      <w:r w:rsidRPr="00A00F6F">
        <w:tab/>
        <w:t>a retailer within the meaning of the </w:t>
      </w:r>
      <w:r w:rsidRPr="00A00F6F">
        <w:rPr>
          <w:i/>
          <w:iCs/>
        </w:rPr>
        <w:t>Electricity Industry Act 2000 </w:t>
      </w:r>
      <w:r w:rsidRPr="00A00F6F">
        <w:t>(Vic).</w:t>
      </w:r>
    </w:p>
    <w:p w14:paraId="5C56F2F4" w14:textId="77777777" w:rsidR="00BB7660" w:rsidRPr="00A00F6F" w:rsidRDefault="00BB7660" w:rsidP="00BB7660">
      <w:pPr>
        <w:pStyle w:val="ActHead2"/>
      </w:pPr>
      <w:bookmarkStart w:id="724" w:name="_Toc111132301"/>
      <w:r w:rsidRPr="00A00F6F">
        <w:t>Part 2—Eligible CDR consumers—energy sector</w:t>
      </w:r>
      <w:bookmarkEnd w:id="724"/>
    </w:p>
    <w:p w14:paraId="0EB34FB0" w14:textId="77777777" w:rsidR="00BB7660" w:rsidRPr="00A00F6F" w:rsidRDefault="00BB7660" w:rsidP="00BB7660">
      <w:pPr>
        <w:pStyle w:val="ActHead5"/>
      </w:pPr>
      <w:bookmarkStart w:id="725" w:name="_Toc111132302"/>
      <w:r w:rsidRPr="00A00F6F">
        <w:t>2.1  Additional criteria for eligibility—energy sector</w:t>
      </w:r>
      <w:bookmarkEnd w:id="725"/>
    </w:p>
    <w:p w14:paraId="1004CCA3" w14:textId="77777777" w:rsidR="00BB7660" w:rsidRPr="00A00F6F" w:rsidRDefault="00BB7660" w:rsidP="00BB7660">
      <w:pPr>
        <w:pStyle w:val="subsection"/>
      </w:pPr>
      <w:r w:rsidRPr="00A00F6F">
        <w:tab/>
        <w:t>(1)</w:t>
      </w:r>
      <w:r w:rsidRPr="00A00F6F">
        <w:tab/>
        <w:t xml:space="preserve">For subrules 1.10B(1) and (2), the additional criteria for a CDR consumer to be </w:t>
      </w:r>
      <w:r w:rsidRPr="00A00F6F">
        <w:rPr>
          <w:b/>
          <w:i/>
        </w:rPr>
        <w:t>eligible</w:t>
      </w:r>
      <w:r w:rsidRPr="00A00F6F">
        <w:t>, in relation to a retailer at a particular time, are that:</w:t>
      </w:r>
    </w:p>
    <w:p w14:paraId="232B3773" w14:textId="77777777" w:rsidR="00BB7660" w:rsidRPr="00A00F6F" w:rsidRDefault="00BB7660" w:rsidP="00BB7660">
      <w:pPr>
        <w:pStyle w:val="paragraph"/>
      </w:pPr>
      <w:r w:rsidRPr="00A00F6F">
        <w:tab/>
        <w:t>(a)</w:t>
      </w:r>
      <w:r w:rsidRPr="00A00F6F">
        <w:tab/>
        <w:t>the CDR consumer is a customer of the retailer in relation to an eligible arrangement; and</w:t>
      </w:r>
    </w:p>
    <w:p w14:paraId="4BFAED06" w14:textId="77777777" w:rsidR="00BB7660" w:rsidRPr="00A00F6F" w:rsidRDefault="00BB7660" w:rsidP="00BB7660">
      <w:pPr>
        <w:pStyle w:val="paragraph"/>
      </w:pPr>
      <w:r w:rsidRPr="00A00F6F">
        <w:tab/>
        <w:t>(b)</w:t>
      </w:r>
      <w:r w:rsidRPr="00A00F6F">
        <w:tab/>
        <w:t>the account relates to the arrangement; and</w:t>
      </w:r>
    </w:p>
    <w:p w14:paraId="7463EC7F" w14:textId="77777777" w:rsidR="00BB7660" w:rsidRPr="00A00F6F" w:rsidRDefault="00BB7660" w:rsidP="00BB7660">
      <w:pPr>
        <w:pStyle w:val="paragraph"/>
      </w:pPr>
      <w:r w:rsidRPr="00A00F6F">
        <w:tab/>
        <w:t>(c)</w:t>
      </w:r>
      <w:r w:rsidRPr="00A00F6F">
        <w:tab/>
        <w:t>for an account that has been in existence for 12 months or more—the consumption associated with the account has been less than 5 GWh in the previous 12 months; and</w:t>
      </w:r>
    </w:p>
    <w:p w14:paraId="3874C4DD" w14:textId="77777777" w:rsidR="00BB7660" w:rsidRPr="00A00F6F" w:rsidRDefault="00BB7660" w:rsidP="00BB7660">
      <w:pPr>
        <w:pStyle w:val="paragraph"/>
      </w:pPr>
      <w:r w:rsidRPr="00A00F6F">
        <w:tab/>
        <w:t>(d)</w:t>
      </w:r>
      <w:r w:rsidRPr="00A00F6F">
        <w:tab/>
        <w:t>for an account that has been in existence for less than 12 months— the estimated annual consumption for the account is less than 5 GWh.</w:t>
      </w:r>
    </w:p>
    <w:p w14:paraId="72B12E85" w14:textId="77777777" w:rsidR="00BB7660" w:rsidRPr="00A00F6F" w:rsidRDefault="00BB7660" w:rsidP="00BB7660">
      <w:pPr>
        <w:pStyle w:val="subsection"/>
      </w:pPr>
      <w:r w:rsidRPr="00A00F6F">
        <w:tab/>
        <w:t>(2)</w:t>
      </w:r>
      <w:r w:rsidRPr="00A00F6F">
        <w:tab/>
        <w:t xml:space="preserve">For this clause, an </w:t>
      </w:r>
      <w:r w:rsidRPr="00A00F6F">
        <w:rPr>
          <w:b/>
          <w:i/>
        </w:rPr>
        <w:t>eligible arrangement</w:t>
      </w:r>
      <w:r w:rsidRPr="00A00F6F">
        <w:t xml:space="preserve"> is an arrangement that relates to one or more connection points or child connection points for which there is a financially responsible market participant in the National Electricity Market.</w:t>
      </w:r>
    </w:p>
    <w:p w14:paraId="12529529" w14:textId="77777777" w:rsidR="00BB7660" w:rsidRPr="00A00F6F" w:rsidRDefault="00BB7660" w:rsidP="00BB7660">
      <w:pPr>
        <w:pStyle w:val="ActHead5"/>
      </w:pPr>
      <w:bookmarkStart w:id="726" w:name="_Toc111132303"/>
      <w:r w:rsidRPr="00A00F6F">
        <w:t xml:space="preserve">2.2  Meaning of </w:t>
      </w:r>
      <w:r w:rsidRPr="00A00F6F">
        <w:rPr>
          <w:i/>
        </w:rPr>
        <w:t>account privileges</w:t>
      </w:r>
      <w:r w:rsidRPr="00A00F6F">
        <w:t>—energy sector</w:t>
      </w:r>
      <w:bookmarkEnd w:id="726"/>
    </w:p>
    <w:p w14:paraId="05310EA7" w14:textId="77777777" w:rsidR="00BB7660" w:rsidRPr="00A00F6F" w:rsidRDefault="00BB7660" w:rsidP="00BB7660">
      <w:pPr>
        <w:pStyle w:val="subsection"/>
      </w:pPr>
      <w:r w:rsidRPr="00A00F6F">
        <w:tab/>
        <w:t>(1)</w:t>
      </w:r>
      <w:r w:rsidRPr="00A00F6F">
        <w:tab/>
        <w:t xml:space="preserve">This clause is made for the purposes of the definition of </w:t>
      </w:r>
      <w:r w:rsidRPr="00A00F6F">
        <w:rPr>
          <w:b/>
          <w:i/>
        </w:rPr>
        <w:t xml:space="preserve">account privileges </w:t>
      </w:r>
      <w:r w:rsidRPr="00A00F6F">
        <w:t>in subrule 1.7(1) of these rules.</w:t>
      </w:r>
    </w:p>
    <w:p w14:paraId="460BDE74" w14:textId="77777777" w:rsidR="00BB7660" w:rsidRPr="00A00F6F" w:rsidRDefault="00BB7660" w:rsidP="00BB7660">
      <w:pPr>
        <w:pStyle w:val="subsection"/>
      </w:pPr>
      <w:r w:rsidRPr="00A00F6F">
        <w:tab/>
        <w:t>(2)</w:t>
      </w:r>
      <w:r w:rsidRPr="00A00F6F">
        <w:tab/>
        <w:t>For the energy sector, a person has account privileges in relation to an account with a retailer if the person is a customer authorised representative of the account holder for the purposes of:</w:t>
      </w:r>
    </w:p>
    <w:p w14:paraId="5061F469" w14:textId="77777777" w:rsidR="00BB7660" w:rsidRPr="00A00F6F" w:rsidRDefault="00BB7660" w:rsidP="00BB7660">
      <w:pPr>
        <w:pStyle w:val="paragraph"/>
      </w:pPr>
      <w:r w:rsidRPr="00A00F6F">
        <w:tab/>
        <w:t>(a)</w:t>
      </w:r>
      <w:r w:rsidRPr="00A00F6F">
        <w:tab/>
        <w:t>rule 56A of the National Energy Retail Rules; or</w:t>
      </w:r>
    </w:p>
    <w:p w14:paraId="58EA4C0A" w14:textId="77777777" w:rsidR="00BB7660" w:rsidRPr="00A00F6F" w:rsidRDefault="00BB7660" w:rsidP="00BB7660">
      <w:pPr>
        <w:pStyle w:val="paragraph"/>
      </w:pPr>
      <w:r w:rsidRPr="00A00F6F">
        <w:tab/>
        <w:t>(b)</w:t>
      </w:r>
      <w:r w:rsidRPr="00FE4B09">
        <w:tab/>
      </w:r>
      <w:r w:rsidRPr="004A04A4">
        <w:rPr>
          <w:color w:val="0000FF"/>
        </w:rPr>
        <w:t>Chapter 7</w:t>
      </w:r>
      <w:r w:rsidR="005F5224">
        <w:rPr>
          <w:strike/>
          <w:color w:val="0000FF"/>
        </w:rPr>
        <w:t xml:space="preserve"> Chapter 10</w:t>
      </w:r>
      <w:r w:rsidRPr="00FE4B09">
        <w:t xml:space="preserve"> </w:t>
      </w:r>
      <w:r w:rsidRPr="00A00F6F">
        <w:t xml:space="preserve">of the National Electricity Rules.  </w:t>
      </w:r>
    </w:p>
    <w:p w14:paraId="2F740B0D" w14:textId="77777777" w:rsidR="00BB7660" w:rsidRPr="00A00F6F" w:rsidRDefault="00BB7660" w:rsidP="00BB7660">
      <w:pPr>
        <w:pStyle w:val="ActHead5"/>
      </w:pPr>
      <w:bookmarkStart w:id="727" w:name="_Toc111132304"/>
      <w:r w:rsidRPr="00A00F6F">
        <w:t>2.3  Consumer dashboard—application of rule 1.15</w:t>
      </w:r>
      <w:bookmarkEnd w:id="727"/>
    </w:p>
    <w:p w14:paraId="11D8CF63" w14:textId="77777777" w:rsidR="00BB7660" w:rsidRPr="00A00F6F" w:rsidRDefault="00BB7660" w:rsidP="00BB7660">
      <w:pPr>
        <w:pStyle w:val="subsection"/>
        <w:rPr>
          <w:rFonts w:eastAsia="Calibri"/>
        </w:rPr>
      </w:pPr>
      <w:r w:rsidRPr="00A00F6F">
        <w:rPr>
          <w:rFonts w:eastAsia="Calibri"/>
        </w:rPr>
        <w:tab/>
        <w:t>(1)</w:t>
      </w:r>
      <w:r w:rsidRPr="00A00F6F">
        <w:rPr>
          <w:rFonts w:eastAsia="Calibri"/>
        </w:rPr>
        <w:tab/>
        <w:t>For subrule 1.15(1), if a retailer receives a consumer data request from an accredited person on behalf of a CDR consumer who has online access to the relevant account, the retailer must provide the CDR consumer with the consumer dashboard.</w:t>
      </w:r>
    </w:p>
    <w:p w14:paraId="4598BE64" w14:textId="77777777" w:rsidR="00BB7660" w:rsidRPr="00A00F6F" w:rsidRDefault="00BB7660" w:rsidP="00BB7660">
      <w:pPr>
        <w:pStyle w:val="subsection"/>
        <w:rPr>
          <w:rFonts w:eastAsia="Calibri"/>
        </w:rPr>
      </w:pPr>
      <w:r w:rsidRPr="00A00F6F">
        <w:rPr>
          <w:rFonts w:eastAsia="Calibri"/>
        </w:rPr>
        <w:tab/>
        <w:t>(2)</w:t>
      </w:r>
      <w:r w:rsidRPr="00A00F6F">
        <w:rPr>
          <w:rFonts w:eastAsia="Calibri"/>
        </w:rPr>
        <w:tab/>
        <w:t>For subrule 1.15(1), if a retailer receives a consumer data request from an accredited person on behalf of a CDR consumer who does not have a consumer dashboard, the retailer must:</w:t>
      </w:r>
    </w:p>
    <w:p w14:paraId="0FCCC95D" w14:textId="77777777" w:rsidR="00BB7660" w:rsidRPr="00A00F6F" w:rsidRDefault="00BB7660" w:rsidP="00BB7660">
      <w:pPr>
        <w:pStyle w:val="paragraph"/>
        <w:rPr>
          <w:rFonts w:eastAsia="Calibri"/>
        </w:rPr>
      </w:pPr>
      <w:r w:rsidRPr="00A00F6F">
        <w:rPr>
          <w:rFonts w:eastAsia="Calibri"/>
        </w:rPr>
        <w:tab/>
        <w:t>(a)</w:t>
      </w:r>
      <w:r w:rsidRPr="00A00F6F">
        <w:rPr>
          <w:rFonts w:eastAsia="Calibri"/>
        </w:rPr>
        <w:tab/>
        <w:t>offer the CDR consumer a consumer dashboard; and</w:t>
      </w:r>
    </w:p>
    <w:p w14:paraId="3E55AFC1" w14:textId="77777777" w:rsidR="00BB7660" w:rsidRPr="00A00F6F" w:rsidRDefault="00BB7660" w:rsidP="00BB7660">
      <w:pPr>
        <w:pStyle w:val="paragraph"/>
        <w:rPr>
          <w:rFonts w:eastAsia="Calibri"/>
        </w:rPr>
      </w:pPr>
      <w:r w:rsidRPr="00A00F6F">
        <w:rPr>
          <w:rFonts w:eastAsia="Calibri"/>
        </w:rPr>
        <w:tab/>
        <w:t>(b)</w:t>
      </w:r>
      <w:r w:rsidRPr="00A00F6F">
        <w:rPr>
          <w:rFonts w:eastAsia="Calibri"/>
        </w:rPr>
        <w:tab/>
        <w:t>provide it if the CDR consumer accepts.</w:t>
      </w:r>
    </w:p>
    <w:p w14:paraId="78445713" w14:textId="77777777" w:rsidR="00BB7660" w:rsidRPr="00A00F6F" w:rsidRDefault="00BB7660" w:rsidP="00BB7660">
      <w:pPr>
        <w:pStyle w:val="ActHead2"/>
      </w:pPr>
      <w:bookmarkStart w:id="728" w:name="_Toc111132305"/>
      <w:r w:rsidRPr="00A00F6F">
        <w:lastRenderedPageBreak/>
        <w:t>Part 3—CDR data that may be accessed under these rules—energy sector</w:t>
      </w:r>
      <w:bookmarkEnd w:id="728"/>
    </w:p>
    <w:p w14:paraId="70CD7D8B" w14:textId="77777777" w:rsidR="00BB7660" w:rsidRPr="00A00F6F" w:rsidRDefault="00BB7660" w:rsidP="00BB7660">
      <w:pPr>
        <w:pStyle w:val="ActHead5"/>
      </w:pPr>
      <w:bookmarkStart w:id="729" w:name="_Toc111132306"/>
      <w:r w:rsidRPr="00A00F6F">
        <w:t xml:space="preserve">3.1  Meaning of </w:t>
      </w:r>
      <w:r w:rsidRPr="00A00F6F">
        <w:rPr>
          <w:i/>
        </w:rPr>
        <w:t>required product data</w:t>
      </w:r>
      <w:r w:rsidRPr="00A00F6F">
        <w:t xml:space="preserve"> and </w:t>
      </w:r>
      <w:r w:rsidRPr="00A00F6F">
        <w:rPr>
          <w:i/>
        </w:rPr>
        <w:t>voluntary product data</w:t>
      </w:r>
      <w:r w:rsidRPr="00A00F6F">
        <w:t>—energy sector</w:t>
      </w:r>
      <w:bookmarkEnd w:id="729"/>
    </w:p>
    <w:p w14:paraId="16563143" w14:textId="77777777" w:rsidR="00BB7660" w:rsidRPr="00A00F6F" w:rsidRDefault="00BB7660" w:rsidP="00BB7660">
      <w:pPr>
        <w:pStyle w:val="subsection"/>
      </w:pPr>
      <w:r w:rsidRPr="00A00F6F">
        <w:tab/>
        <w:t>(1)</w:t>
      </w:r>
      <w:r w:rsidRPr="00A00F6F">
        <w:tab/>
        <w:t xml:space="preserve">For these rules, </w:t>
      </w:r>
      <w:r w:rsidRPr="00A00F6F">
        <w:rPr>
          <w:b/>
          <w:i/>
          <w:iCs/>
        </w:rPr>
        <w:t>required product data</w:t>
      </w:r>
      <w:r w:rsidRPr="00A00F6F">
        <w:t>, in relation to the energy sector, means CDR data for which there are no CDR consumers that:</w:t>
      </w:r>
    </w:p>
    <w:p w14:paraId="03ACA33F" w14:textId="77777777" w:rsidR="00BB7660" w:rsidRPr="00A00F6F" w:rsidRDefault="00BB7660" w:rsidP="00BB7660">
      <w:pPr>
        <w:pStyle w:val="paragraph"/>
      </w:pPr>
      <w:r w:rsidRPr="00A00F6F">
        <w:tab/>
        <w:t>(a)</w:t>
      </w:r>
      <w:r w:rsidRPr="00A00F6F">
        <w:tab/>
        <w:t>is within a class of information specified in section 9 or section 10 of the energy sector designation instrument; and</w:t>
      </w:r>
    </w:p>
    <w:p w14:paraId="10FF5B71" w14:textId="77777777" w:rsidR="00BB7660" w:rsidRPr="00A00F6F" w:rsidRDefault="00BB7660" w:rsidP="00BB7660">
      <w:pPr>
        <w:pStyle w:val="paragraph"/>
      </w:pPr>
      <w:r w:rsidRPr="00A00F6F">
        <w:tab/>
        <w:t>(b)</w:t>
      </w:r>
      <w:r w:rsidRPr="00A00F6F">
        <w:tab/>
        <w:t>is about the eligibility criteria, terms and conditions, price, availability or performance of a plan; and</w:t>
      </w:r>
    </w:p>
    <w:p w14:paraId="2F63B054" w14:textId="77777777" w:rsidR="00BB7660" w:rsidRPr="00A00F6F" w:rsidRDefault="00BB7660" w:rsidP="00BB7660">
      <w:pPr>
        <w:pStyle w:val="paragraph"/>
      </w:pPr>
      <w:r w:rsidRPr="00A00F6F">
        <w:tab/>
        <w:t>(c)</w:t>
      </w:r>
      <w:r w:rsidRPr="00A00F6F">
        <w:tab/>
        <w:t>is product specific data in relation to a plan; and</w:t>
      </w:r>
    </w:p>
    <w:p w14:paraId="1E705BC9" w14:textId="77777777" w:rsidR="00BB7660" w:rsidRPr="00A00F6F" w:rsidRDefault="00BB7660" w:rsidP="00BB7660">
      <w:pPr>
        <w:pStyle w:val="paragraph"/>
      </w:pPr>
      <w:r w:rsidRPr="00A00F6F">
        <w:tab/>
        <w:t xml:space="preserve">  (d)</w:t>
      </w:r>
      <w:r w:rsidRPr="00A00F6F">
        <w:tab/>
        <w:t>is held by the AER or the Victorian agency for the purpose of operating websites that provide such information to the public.</w:t>
      </w:r>
    </w:p>
    <w:p w14:paraId="577DFC9E" w14:textId="77777777" w:rsidR="00BB7660" w:rsidRPr="00A00F6F" w:rsidRDefault="00BB7660" w:rsidP="00BB7660">
      <w:pPr>
        <w:pStyle w:val="notetext"/>
      </w:pPr>
      <w:r w:rsidRPr="00A00F6F">
        <w:t>Note 1:</w:t>
      </w:r>
      <w:r w:rsidRPr="00A00F6F">
        <w:tab/>
        <w:t>In</w:t>
      </w:r>
      <w:r w:rsidRPr="00FE4B09">
        <w:t xml:space="preserve"> </w:t>
      </w:r>
      <w:r w:rsidR="003538AF" w:rsidRPr="00270C3C">
        <w:rPr>
          <w:color w:val="0000FF"/>
        </w:rPr>
        <w:t>2022</w:t>
      </w:r>
      <w:r w:rsidR="003538AF" w:rsidRPr="00270C3C">
        <w:rPr>
          <w:strike/>
          <w:color w:val="0000FF"/>
        </w:rPr>
        <w:t xml:space="preserve"> </w:t>
      </w:r>
      <w:r w:rsidRPr="00270C3C">
        <w:rPr>
          <w:strike/>
          <w:color w:val="0000FF"/>
        </w:rPr>
        <w:t>2021</w:t>
      </w:r>
      <w:r w:rsidRPr="00A00F6F">
        <w:t>, the relevant websites were:</w:t>
      </w:r>
    </w:p>
    <w:p w14:paraId="175127FF" w14:textId="77777777" w:rsidR="00BB7660" w:rsidRPr="00A00F6F" w:rsidRDefault="009D101C" w:rsidP="009D101C">
      <w:pPr>
        <w:pStyle w:val="notepara"/>
        <w:ind w:left="2705" w:hanging="360"/>
        <w:rPr>
          <w:rFonts w:eastAsia="Calibri"/>
        </w:rPr>
      </w:pPr>
      <w:r w:rsidRPr="00A00F6F">
        <w:rPr>
          <w:rFonts w:ascii="Symbol" w:eastAsia="Calibri" w:hAnsi="Symbol"/>
        </w:rPr>
        <w:t></w:t>
      </w:r>
      <w:r w:rsidRPr="00A00F6F">
        <w:rPr>
          <w:rFonts w:ascii="Symbol" w:eastAsia="Calibri" w:hAnsi="Symbol"/>
        </w:rPr>
        <w:tab/>
      </w:r>
      <w:r w:rsidR="00BB7660" w:rsidRPr="00A00F6F">
        <w:rPr>
          <w:rFonts w:eastAsia="Calibri"/>
        </w:rPr>
        <w:t xml:space="preserve">https://www.energymadeeasy.gov.au/; and </w:t>
      </w:r>
    </w:p>
    <w:p w14:paraId="1F781903" w14:textId="77777777" w:rsidR="00BB7660" w:rsidRPr="00A00F6F" w:rsidRDefault="009D101C" w:rsidP="009D101C">
      <w:pPr>
        <w:pStyle w:val="notepara"/>
        <w:ind w:left="2705" w:hanging="360"/>
      </w:pPr>
      <w:r w:rsidRPr="00A00F6F">
        <w:rPr>
          <w:rFonts w:ascii="Symbol" w:hAnsi="Symbol"/>
        </w:rPr>
        <w:t></w:t>
      </w:r>
      <w:r w:rsidRPr="00A00F6F">
        <w:rPr>
          <w:rFonts w:ascii="Symbol" w:hAnsi="Symbol"/>
        </w:rPr>
        <w:tab/>
      </w:r>
      <w:r w:rsidR="00BB7660" w:rsidRPr="00A00F6F">
        <w:rPr>
          <w:rFonts w:eastAsia="Calibri"/>
        </w:rPr>
        <w:t>https://compare.energy.vic.gov.au/</w:t>
      </w:r>
    </w:p>
    <w:p w14:paraId="5D64447B" w14:textId="77777777" w:rsidR="00BB7660" w:rsidRPr="00A00F6F" w:rsidRDefault="00BB7660" w:rsidP="00BB7660">
      <w:pPr>
        <w:pStyle w:val="notetext"/>
      </w:pPr>
      <w:r w:rsidRPr="00A00F6F">
        <w:t>Note 2:</w:t>
      </w:r>
      <w:r w:rsidRPr="00A00F6F">
        <w:tab/>
        <w:t xml:space="preserve">This data derives from retailers, who are required by the National Energy Retail Law and the </w:t>
      </w:r>
      <w:r w:rsidRPr="00A00F6F">
        <w:rPr>
          <w:i/>
          <w:iCs/>
        </w:rPr>
        <w:t>Electricity Industry Act 2000 </w:t>
      </w:r>
      <w:r w:rsidRPr="00A00F6F">
        <w:t>(Vic)  to provide it to the AER or the Victorian agency.  Those agencies therefore become data holders for it.</w:t>
      </w:r>
    </w:p>
    <w:p w14:paraId="6AA40BF5" w14:textId="77777777" w:rsidR="00BB7660" w:rsidRPr="00A00F6F" w:rsidRDefault="00BB7660" w:rsidP="00BB7660">
      <w:pPr>
        <w:pStyle w:val="notetext"/>
      </w:pPr>
      <w:r w:rsidRPr="00A00F6F">
        <w:t>Note 3:</w:t>
      </w:r>
      <w:r w:rsidRPr="00A00F6F">
        <w:tab/>
        <w:t>This clause does not include all CDR data covered b</w:t>
      </w:r>
      <w:r w:rsidRPr="00FE4B09">
        <w:t xml:space="preserve">y </w:t>
      </w:r>
      <w:r w:rsidR="009E4FB4" w:rsidRPr="00270C3C">
        <w:rPr>
          <w:color w:val="0000FF"/>
        </w:rPr>
        <w:t>section 9</w:t>
      </w:r>
      <w:r w:rsidR="009E4FB4" w:rsidRPr="00270C3C">
        <w:rPr>
          <w:strike/>
          <w:color w:val="0000FF"/>
        </w:rPr>
        <w:t xml:space="preserve"> </w:t>
      </w:r>
      <w:r w:rsidRPr="00270C3C">
        <w:rPr>
          <w:strike/>
          <w:color w:val="0000FF"/>
        </w:rPr>
        <w:t>Section 9</w:t>
      </w:r>
      <w:r w:rsidRPr="00FE4B09">
        <w:t xml:space="preserve"> o</w:t>
      </w:r>
      <w:r w:rsidRPr="00A00F6F">
        <w:t>f the energy sector designation instrument, as that section also covers CDR data for which there are CDR consumers (see paragraphs 9(2)(b) and 9(3)(b)</w:t>
      </w:r>
      <w:r w:rsidR="009E4FB4" w:rsidRPr="00270C3C">
        <w:rPr>
          <w:color w:val="0000FF"/>
        </w:rPr>
        <w:t xml:space="preserve"> of that instrument</w:t>
      </w:r>
      <w:r w:rsidRPr="00A00F6F">
        <w:t>).</w:t>
      </w:r>
    </w:p>
    <w:p w14:paraId="326B97B6" w14:textId="77777777" w:rsidR="00BB7660" w:rsidRPr="00A00F6F" w:rsidRDefault="00BB7660" w:rsidP="00BB7660">
      <w:pPr>
        <w:pStyle w:val="subsection"/>
      </w:pPr>
      <w:r w:rsidRPr="00A00F6F">
        <w:tab/>
        <w:t>(2)</w:t>
      </w:r>
      <w:r w:rsidRPr="00A00F6F">
        <w:tab/>
        <w:t xml:space="preserve">For these rules, </w:t>
      </w:r>
      <w:r w:rsidRPr="00A00F6F">
        <w:rPr>
          <w:b/>
          <w:i/>
        </w:rPr>
        <w:t>voluntary product data</w:t>
      </w:r>
      <w:r w:rsidRPr="00A00F6F">
        <w:t>, in relation to a data holder in the energy  sector, means CDR data for which there are no CDR consumers that:</w:t>
      </w:r>
    </w:p>
    <w:p w14:paraId="64A7F58F" w14:textId="77777777" w:rsidR="00BB7660" w:rsidRPr="00A00F6F" w:rsidRDefault="00BB7660" w:rsidP="00BB7660">
      <w:pPr>
        <w:pStyle w:val="paragraph"/>
      </w:pPr>
      <w:r w:rsidRPr="00A00F6F">
        <w:tab/>
        <w:t>(a)</w:t>
      </w:r>
      <w:r w:rsidRPr="00A00F6F">
        <w:tab/>
        <w:t>is energy sector data; and</w:t>
      </w:r>
    </w:p>
    <w:p w14:paraId="1A8463FD" w14:textId="77777777" w:rsidR="00BB7660" w:rsidRPr="00A00F6F" w:rsidRDefault="00BB7660" w:rsidP="00BB7660">
      <w:pPr>
        <w:pStyle w:val="paragraph"/>
      </w:pPr>
      <w:r w:rsidRPr="00A00F6F">
        <w:tab/>
        <w:t>(b)</w:t>
      </w:r>
      <w:r w:rsidRPr="00A00F6F">
        <w:tab/>
        <w:t>is product specific data in relation to a plan offered by or on behalf of the data holder; and</w:t>
      </w:r>
    </w:p>
    <w:p w14:paraId="63FCB01C" w14:textId="77777777" w:rsidR="00BB7660" w:rsidRPr="00A00F6F" w:rsidRDefault="00BB7660" w:rsidP="00BB7660">
      <w:pPr>
        <w:pStyle w:val="paragraph"/>
      </w:pPr>
      <w:r w:rsidRPr="00A00F6F">
        <w:tab/>
        <w:t>(c)</w:t>
      </w:r>
      <w:r w:rsidRPr="00A00F6F">
        <w:tab/>
        <w:t>is not required product data.</w:t>
      </w:r>
    </w:p>
    <w:p w14:paraId="6FFCFBC9" w14:textId="77777777" w:rsidR="00BB7660" w:rsidRPr="00A00F6F" w:rsidRDefault="00BB7660" w:rsidP="00BB7660">
      <w:pPr>
        <w:pStyle w:val="ActHead5"/>
      </w:pPr>
      <w:bookmarkStart w:id="730" w:name="_Toc111132307"/>
      <w:r w:rsidRPr="00A00F6F">
        <w:t xml:space="preserve">3.2  Meaning of </w:t>
      </w:r>
      <w:r w:rsidRPr="00A00F6F">
        <w:rPr>
          <w:i/>
        </w:rPr>
        <w:t>required consumer data</w:t>
      </w:r>
      <w:r w:rsidRPr="00A00F6F">
        <w:t xml:space="preserve"> and </w:t>
      </w:r>
      <w:r w:rsidRPr="00A00F6F">
        <w:rPr>
          <w:i/>
        </w:rPr>
        <w:t>voluntary consumer data</w:t>
      </w:r>
      <w:r w:rsidRPr="00A00F6F">
        <w:t>—energy sector</w:t>
      </w:r>
      <w:bookmarkEnd w:id="730"/>
    </w:p>
    <w:p w14:paraId="57543126" w14:textId="77777777" w:rsidR="00BB7660" w:rsidRPr="00A00F6F" w:rsidRDefault="00BB7660" w:rsidP="00BB7660">
      <w:pPr>
        <w:pStyle w:val="subsection"/>
      </w:pPr>
      <w:r w:rsidRPr="00A00F6F">
        <w:tab/>
        <w:t>(1)</w:t>
      </w:r>
      <w:r w:rsidRPr="00A00F6F">
        <w:tab/>
        <w:t>For this clause:</w:t>
      </w:r>
    </w:p>
    <w:p w14:paraId="53EE64A2" w14:textId="77777777" w:rsidR="00BB7660" w:rsidRPr="00A00F6F" w:rsidRDefault="00BB7660" w:rsidP="00BB7660">
      <w:pPr>
        <w:pStyle w:val="Definition"/>
      </w:pPr>
      <w:r w:rsidRPr="00A00F6F">
        <w:rPr>
          <w:b/>
          <w:i/>
        </w:rPr>
        <w:t>relevant account</w:t>
      </w:r>
      <w:r w:rsidRPr="00A00F6F">
        <w:t>, in relation to a CDR consumer, means an account for which the CDR consumer is an account holder or secondary user and is:</w:t>
      </w:r>
    </w:p>
    <w:p w14:paraId="7B976EEB" w14:textId="77777777" w:rsidR="00BB7660" w:rsidRPr="00A00F6F" w:rsidRDefault="00BB7660" w:rsidP="00BB7660">
      <w:pPr>
        <w:pStyle w:val="paragraph"/>
      </w:pPr>
      <w:r w:rsidRPr="00A00F6F">
        <w:tab/>
        <w:t>(a)</w:t>
      </w:r>
      <w:r w:rsidRPr="00A00F6F">
        <w:tab/>
        <w:t>an account held by the CDR consumer in their name alone; or</w:t>
      </w:r>
    </w:p>
    <w:p w14:paraId="7B8725ED" w14:textId="77777777" w:rsidR="00BB7660" w:rsidRPr="00A00F6F" w:rsidRDefault="00BB7660" w:rsidP="00BB7660">
      <w:pPr>
        <w:pStyle w:val="paragraph"/>
      </w:pPr>
      <w:r w:rsidRPr="00A00F6F">
        <w:tab/>
        <w:t>(b)</w:t>
      </w:r>
      <w:r w:rsidRPr="00A00F6F">
        <w:tab/>
        <w:t>a joint account; or</w:t>
      </w:r>
    </w:p>
    <w:p w14:paraId="0AC6FF58" w14:textId="77777777" w:rsidR="00BB7660" w:rsidRPr="00A00F6F" w:rsidRDefault="00BB7660" w:rsidP="00BB7660">
      <w:pPr>
        <w:pStyle w:val="paragraph"/>
      </w:pPr>
      <w:r w:rsidRPr="00A00F6F">
        <w:tab/>
        <w:t>(c)</w:t>
      </w:r>
      <w:r w:rsidRPr="00A00F6F">
        <w:tab/>
        <w:t>a partnership account.</w:t>
      </w:r>
    </w:p>
    <w:p w14:paraId="0F3E8B65" w14:textId="77777777" w:rsidR="00BB7660" w:rsidRPr="00A00F6F" w:rsidRDefault="00BB7660" w:rsidP="00BB7660">
      <w:pPr>
        <w:pStyle w:val="subsection"/>
      </w:pPr>
      <w:r w:rsidRPr="00A00F6F">
        <w:tab/>
        <w:t>(2)</w:t>
      </w:r>
      <w:r w:rsidRPr="00A00F6F">
        <w:tab/>
        <w:t xml:space="preserve">For these rules, subject to this clause, </w:t>
      </w:r>
      <w:r w:rsidRPr="00A00F6F">
        <w:rPr>
          <w:b/>
          <w:i/>
          <w:iCs/>
        </w:rPr>
        <w:t>required consumer dat</w:t>
      </w:r>
      <w:r w:rsidRPr="00A00F6F">
        <w:rPr>
          <w:b/>
        </w:rPr>
        <w:t>a</w:t>
      </w:r>
      <w:r w:rsidRPr="00A00F6F">
        <w:t>,</w:t>
      </w:r>
      <w:r w:rsidRPr="00A00F6F">
        <w:rPr>
          <w:b/>
        </w:rPr>
        <w:t xml:space="preserve"> </w:t>
      </w:r>
      <w:r w:rsidRPr="00A00F6F">
        <w:t>in relation to the energy sector, means CDR data for which there is at least one CDR consumer that:</w:t>
      </w:r>
    </w:p>
    <w:p w14:paraId="6D764C8C" w14:textId="77777777" w:rsidR="00BB7660" w:rsidRPr="00A00F6F" w:rsidRDefault="00BB7660" w:rsidP="00BB7660">
      <w:pPr>
        <w:pStyle w:val="paragraph"/>
      </w:pPr>
      <w:r w:rsidRPr="00A00F6F">
        <w:tab/>
        <w:t>(a)</w:t>
      </w:r>
      <w:r w:rsidRPr="00A00F6F">
        <w:tab/>
        <w:t>is energy sector data; and</w:t>
      </w:r>
    </w:p>
    <w:p w14:paraId="6E63932A" w14:textId="77777777" w:rsidR="00BB7660" w:rsidRPr="00A00F6F" w:rsidRDefault="00BB7660" w:rsidP="00BB7660">
      <w:pPr>
        <w:pStyle w:val="paragraph"/>
      </w:pPr>
      <w:r w:rsidRPr="00A00F6F">
        <w:tab/>
        <w:t>(b)</w:t>
      </w:r>
      <w:r w:rsidRPr="00A00F6F">
        <w:tab/>
        <w:t>is, in relation to the CDR consumer:</w:t>
      </w:r>
    </w:p>
    <w:p w14:paraId="7D119948" w14:textId="77777777" w:rsidR="00BB7660" w:rsidRPr="00A00F6F" w:rsidRDefault="00BB7660" w:rsidP="00BB7660">
      <w:pPr>
        <w:pStyle w:val="paragraphsub"/>
      </w:pPr>
      <w:r w:rsidRPr="00A00F6F">
        <w:lastRenderedPageBreak/>
        <w:tab/>
        <w:t>(i)</w:t>
      </w:r>
      <w:r w:rsidRPr="00A00F6F">
        <w:tab/>
        <w:t>customer data that is held in relation to a relevant account; or</w:t>
      </w:r>
    </w:p>
    <w:p w14:paraId="27325612" w14:textId="77777777" w:rsidR="00BB7660" w:rsidRPr="00A00F6F" w:rsidRDefault="00BB7660" w:rsidP="00BB7660">
      <w:pPr>
        <w:pStyle w:val="paragraphsub"/>
      </w:pPr>
      <w:r w:rsidRPr="00A00F6F">
        <w:tab/>
        <w:t>(ii)</w:t>
      </w:r>
      <w:r w:rsidRPr="00A00F6F">
        <w:tab/>
        <w:t>account data for a relevant account that is open; or</w:t>
      </w:r>
    </w:p>
    <w:p w14:paraId="511CAE34" w14:textId="77777777" w:rsidR="00BB7660" w:rsidRPr="00A00F6F" w:rsidRDefault="00BB7660" w:rsidP="00BB7660">
      <w:pPr>
        <w:pStyle w:val="paragraphsub"/>
        <w:rPr>
          <w:rFonts w:eastAsia="Calibri"/>
        </w:rPr>
      </w:pPr>
      <w:r w:rsidRPr="00A00F6F">
        <w:rPr>
          <w:rFonts w:eastAsia="Calibri"/>
        </w:rPr>
        <w:tab/>
        <w:t>(iii)</w:t>
      </w:r>
      <w:r w:rsidRPr="00A00F6F">
        <w:rPr>
          <w:rFonts w:eastAsia="Calibri"/>
        </w:rPr>
        <w:tab/>
        <w:t>billing data from a relevant account for a time:</w:t>
      </w:r>
    </w:p>
    <w:p w14:paraId="5453ED89" w14:textId="77777777" w:rsidR="00BB7660" w:rsidRPr="00A00F6F" w:rsidRDefault="00BB7660" w:rsidP="00BB7660">
      <w:pPr>
        <w:pStyle w:val="paragraphsub-sub"/>
        <w:rPr>
          <w:rFonts w:eastAsia="Calibri"/>
        </w:rPr>
      </w:pPr>
      <w:r w:rsidRPr="00A00F6F">
        <w:rPr>
          <w:rFonts w:eastAsia="Calibri"/>
        </w:rPr>
        <w:tab/>
        <w:t>(A)</w:t>
      </w:r>
      <w:r w:rsidRPr="00A00F6F">
        <w:rPr>
          <w:rFonts w:eastAsia="Calibri"/>
        </w:rPr>
        <w:tab/>
        <w:t>at which that or another relevant account was open; and</w:t>
      </w:r>
    </w:p>
    <w:p w14:paraId="32CC8925" w14:textId="77777777" w:rsidR="00BB7660" w:rsidRPr="00A00F6F" w:rsidRDefault="00BB7660" w:rsidP="00BB7660">
      <w:pPr>
        <w:pStyle w:val="paragraphsub-sub"/>
        <w:rPr>
          <w:rFonts w:eastAsia="Calibri"/>
        </w:rPr>
      </w:pPr>
      <w:r w:rsidRPr="00A00F6F">
        <w:rPr>
          <w:rFonts w:eastAsia="Calibri"/>
        </w:rPr>
        <w:tab/>
        <w:t>(B)</w:t>
      </w:r>
      <w:r w:rsidRPr="00A00F6F">
        <w:rPr>
          <w:rFonts w:eastAsia="Calibri"/>
        </w:rPr>
        <w:tab/>
        <w:t>that is not more than 2 years before the day of the request; or</w:t>
      </w:r>
    </w:p>
    <w:p w14:paraId="6BB62B41" w14:textId="77777777" w:rsidR="00BB7660" w:rsidRPr="00A00F6F" w:rsidRDefault="00BB7660" w:rsidP="00BB7660">
      <w:pPr>
        <w:pStyle w:val="paragraphsub"/>
        <w:rPr>
          <w:rFonts w:eastAsia="Calibri"/>
        </w:rPr>
      </w:pPr>
      <w:r w:rsidRPr="00A00F6F">
        <w:rPr>
          <w:rFonts w:eastAsia="Calibri"/>
        </w:rPr>
        <w:tab/>
        <w:t>(iv)</w:t>
      </w:r>
      <w:r w:rsidRPr="00A00F6F">
        <w:rPr>
          <w:rFonts w:eastAsia="Calibri"/>
        </w:rPr>
        <w:tab/>
        <w:t xml:space="preserve">AEMO data in relation to a relevant account; or </w:t>
      </w:r>
    </w:p>
    <w:p w14:paraId="46A63C26" w14:textId="77777777" w:rsidR="00BB7660" w:rsidRPr="00A00F6F" w:rsidRDefault="00BB7660" w:rsidP="00BB7660">
      <w:pPr>
        <w:pStyle w:val="paragraphsub"/>
        <w:rPr>
          <w:rFonts w:eastAsia="Calibri"/>
        </w:rPr>
      </w:pPr>
      <w:r w:rsidRPr="00A00F6F">
        <w:rPr>
          <w:rFonts w:eastAsia="Calibri"/>
        </w:rPr>
        <w:tab/>
        <w:t>(v)</w:t>
      </w:r>
      <w:r w:rsidRPr="00A00F6F">
        <w:rPr>
          <w:rFonts w:eastAsia="Calibri"/>
        </w:rPr>
        <w:tab/>
        <w:t>tailored tariff data for a relevant account that is open; and</w:t>
      </w:r>
    </w:p>
    <w:p w14:paraId="725E480E" w14:textId="77777777" w:rsidR="00BB7660" w:rsidRPr="00A00F6F" w:rsidRDefault="00BB7660" w:rsidP="00BB7660">
      <w:pPr>
        <w:pStyle w:val="paragraph"/>
        <w:rPr>
          <w:rFonts w:eastAsia="Calibri"/>
        </w:rPr>
      </w:pPr>
      <w:r w:rsidRPr="00A00F6F">
        <w:rPr>
          <w:rFonts w:eastAsia="Calibri"/>
        </w:rPr>
        <w:tab/>
        <w:t>(c)</w:t>
      </w:r>
      <w:r w:rsidRPr="00A00F6F">
        <w:rPr>
          <w:rFonts w:eastAsia="Calibri"/>
        </w:rPr>
        <w:tab/>
        <w:t>relates to a time at which an account holder for the relevant account was associated with the premises to which the request relates; and</w:t>
      </w:r>
    </w:p>
    <w:p w14:paraId="25FF4184" w14:textId="77777777" w:rsidR="00BB7660" w:rsidRPr="00A00F6F" w:rsidRDefault="00BB7660" w:rsidP="00BB7660">
      <w:pPr>
        <w:pStyle w:val="paragraph"/>
      </w:pPr>
      <w:r w:rsidRPr="00A00F6F">
        <w:tab/>
        <w:t>(d)</w:t>
      </w:r>
      <w:r w:rsidRPr="00A00F6F">
        <w:tab/>
        <w:t>is held by the data holder or holders in a digital form.</w:t>
      </w:r>
    </w:p>
    <w:p w14:paraId="4C812551" w14:textId="77777777" w:rsidR="00BB7660" w:rsidRPr="00A00F6F" w:rsidRDefault="00BB7660" w:rsidP="00BB7660">
      <w:pPr>
        <w:pStyle w:val="notetext"/>
      </w:pPr>
      <w:r w:rsidRPr="00A00F6F">
        <w:t>Note 1:</w:t>
      </w:r>
      <w:r w:rsidRPr="00A00F6F">
        <w:tab/>
        <w:t>For subparagraph (b)(v), for a consumer data request, tailored tariff data could include the following:</w:t>
      </w:r>
    </w:p>
    <w:p w14:paraId="11816F64" w14:textId="77777777" w:rsidR="00BB7660" w:rsidRPr="00A00F6F" w:rsidRDefault="00BB7660" w:rsidP="00BB7660">
      <w:pPr>
        <w:pStyle w:val="notepara"/>
      </w:pPr>
      <w:r w:rsidRPr="00A00F6F">
        <w:sym w:font="Symbol" w:char="F0B7"/>
      </w:r>
      <w:r w:rsidRPr="00A00F6F">
        <w:tab/>
        <w:t>any rates or charges under the plan that were negotiated individually with a CDR consumer;</w:t>
      </w:r>
    </w:p>
    <w:p w14:paraId="2D9B1670" w14:textId="77777777" w:rsidR="00BB7660" w:rsidRPr="00A00F6F" w:rsidRDefault="00BB7660" w:rsidP="00BB7660">
      <w:pPr>
        <w:pStyle w:val="notepara"/>
      </w:pPr>
      <w:r w:rsidRPr="00A00F6F">
        <w:sym w:font="Symbol" w:char="F0B7"/>
      </w:r>
      <w:r w:rsidRPr="00A00F6F">
        <w:tab/>
        <w:t>any features and benefits negotiated individually with a CDR consumer.</w:t>
      </w:r>
    </w:p>
    <w:p w14:paraId="31B888A0" w14:textId="77777777" w:rsidR="00BB7660" w:rsidRPr="00A00F6F" w:rsidRDefault="00BB7660" w:rsidP="00BB7660">
      <w:pPr>
        <w:pStyle w:val="notetext"/>
      </w:pPr>
      <w:r w:rsidRPr="00A00F6F">
        <w:t>Note 2:</w:t>
      </w:r>
      <w:r w:rsidRPr="00A00F6F">
        <w:tab/>
        <w:t>So long as the CDR consumer is eligible to make a consumer data request in relation to a particular data holder, they will be able to make or cause to be made a consumer data request that relates to any account they have with the data holder, including closed accounts (subject to subclauses (4) and (5)).</w:t>
      </w:r>
    </w:p>
    <w:p w14:paraId="0F5E35F9" w14:textId="77777777" w:rsidR="00BB7660" w:rsidRPr="00A00F6F" w:rsidRDefault="00BB7660" w:rsidP="00BB7660">
      <w:pPr>
        <w:pStyle w:val="notetext"/>
      </w:pPr>
      <w:r w:rsidRPr="00A00F6F">
        <w:t>Note 3:</w:t>
      </w:r>
      <w:r w:rsidRPr="00A00F6F">
        <w:tab/>
        <w:t>A person is not a data holder of CDR data that was held by or on behalf of them before the earliest holding day (see paragraph 56AJ(1)(b) of the Act). Accordingly, such data cannot be requested under these rules.</w:t>
      </w:r>
    </w:p>
    <w:p w14:paraId="2C494EC0" w14:textId="77777777" w:rsidR="00BB7660" w:rsidRPr="00A00F6F" w:rsidRDefault="00BB7660" w:rsidP="00BB7660">
      <w:pPr>
        <w:pStyle w:val="subsection"/>
      </w:pPr>
      <w:r w:rsidRPr="00A00F6F">
        <w:tab/>
        <w:t>(3)</w:t>
      </w:r>
      <w:r w:rsidRPr="00A00F6F">
        <w:tab/>
        <w:t xml:space="preserve">For these rules, subject to this clause, </w:t>
      </w:r>
      <w:r w:rsidRPr="00A00F6F">
        <w:rPr>
          <w:b/>
          <w:i/>
          <w:iCs/>
        </w:rPr>
        <w:t>voluntary consumer dat</w:t>
      </w:r>
      <w:r w:rsidRPr="00A00F6F">
        <w:rPr>
          <w:b/>
        </w:rPr>
        <w:t>a</w:t>
      </w:r>
      <w:r w:rsidRPr="00A00F6F">
        <w:t>,</w:t>
      </w:r>
      <w:r w:rsidRPr="00A00F6F">
        <w:rPr>
          <w:b/>
        </w:rPr>
        <w:t xml:space="preserve"> </w:t>
      </w:r>
      <w:r w:rsidRPr="00A00F6F">
        <w:t>in relation to the energy sector, means CDR data for which there are one or more CDR consumers that:</w:t>
      </w:r>
    </w:p>
    <w:p w14:paraId="135EE58F" w14:textId="77777777" w:rsidR="00BB7660" w:rsidRPr="00A00F6F" w:rsidRDefault="00BB7660" w:rsidP="00BB7660">
      <w:pPr>
        <w:pStyle w:val="paragraph"/>
      </w:pPr>
      <w:r w:rsidRPr="00A00F6F">
        <w:tab/>
        <w:t>(a)</w:t>
      </w:r>
      <w:r w:rsidRPr="00A00F6F">
        <w:tab/>
        <w:t>is energy sector data; and</w:t>
      </w:r>
    </w:p>
    <w:p w14:paraId="3A994F34" w14:textId="77777777" w:rsidR="00BB7660" w:rsidRPr="00A00F6F" w:rsidRDefault="00BB7660" w:rsidP="00BB7660">
      <w:pPr>
        <w:pStyle w:val="paragraph"/>
        <w:rPr>
          <w:rFonts w:eastAsia="Calibri"/>
        </w:rPr>
      </w:pPr>
      <w:r w:rsidRPr="00A00F6F">
        <w:tab/>
        <w:t>(b)</w:t>
      </w:r>
      <w:r w:rsidRPr="00A00F6F">
        <w:tab/>
      </w:r>
      <w:r w:rsidRPr="00A00F6F">
        <w:rPr>
          <w:rFonts w:eastAsia="Calibri"/>
        </w:rPr>
        <w:t>relates to a time at which an account holder for the account was associated with the premises to which the request relates; and</w:t>
      </w:r>
    </w:p>
    <w:p w14:paraId="268056D5" w14:textId="77777777" w:rsidR="00BB7660" w:rsidRPr="00A00F6F" w:rsidRDefault="00BB7660" w:rsidP="00BB7660">
      <w:pPr>
        <w:pStyle w:val="paragraph"/>
      </w:pPr>
      <w:r w:rsidRPr="00A00F6F">
        <w:tab/>
        <w:t>(c)</w:t>
      </w:r>
      <w:r w:rsidRPr="00A00F6F">
        <w:tab/>
        <w:t>is not required consumer data.</w:t>
      </w:r>
    </w:p>
    <w:p w14:paraId="248FF429" w14:textId="77777777" w:rsidR="00BB7660" w:rsidRPr="00A00F6F" w:rsidRDefault="00BB7660" w:rsidP="00BB7660">
      <w:pPr>
        <w:pStyle w:val="subsection"/>
      </w:pPr>
      <w:r w:rsidRPr="00A00F6F">
        <w:tab/>
        <w:t>(4)</w:t>
      </w:r>
      <w:r w:rsidRPr="00A00F6F">
        <w:tab/>
        <w:t>For this clause:</w:t>
      </w:r>
    </w:p>
    <w:p w14:paraId="41968703" w14:textId="77777777" w:rsidR="00BB7660" w:rsidRPr="00A00F6F" w:rsidRDefault="00BB7660" w:rsidP="00BB7660">
      <w:pPr>
        <w:pStyle w:val="paragraph"/>
      </w:pPr>
      <w:r w:rsidRPr="00A00F6F">
        <w:tab/>
        <w:t>(a)</w:t>
      </w:r>
      <w:r w:rsidRPr="00A00F6F">
        <w:tab/>
        <w:t xml:space="preserve">CDR data is neither </w:t>
      </w:r>
      <w:r w:rsidRPr="00A00F6F">
        <w:rPr>
          <w:b/>
          <w:i/>
        </w:rPr>
        <w:t xml:space="preserve">required consumer data </w:t>
      </w:r>
      <w:r w:rsidRPr="00A00F6F">
        <w:t xml:space="preserve">nor </w:t>
      </w:r>
      <w:r w:rsidRPr="00A00F6F">
        <w:rPr>
          <w:b/>
          <w:i/>
        </w:rPr>
        <w:t>voluntary consumer data</w:t>
      </w:r>
      <w:r w:rsidRPr="00A00F6F">
        <w:t xml:space="preserve"> at a particular time if the data is:</w:t>
      </w:r>
    </w:p>
    <w:p w14:paraId="46C647D2" w14:textId="77777777" w:rsidR="00BB7660" w:rsidRPr="00A00F6F" w:rsidRDefault="00BB7660" w:rsidP="00BB7660">
      <w:pPr>
        <w:pStyle w:val="paragraphsub"/>
      </w:pPr>
      <w:r w:rsidRPr="00A00F6F">
        <w:tab/>
        <w:t>(i)</w:t>
      </w:r>
      <w:r w:rsidRPr="00A00F6F">
        <w:tab/>
        <w:t>account data, billing data or tailored tariff data in relation to an account that is not any of the following:</w:t>
      </w:r>
    </w:p>
    <w:p w14:paraId="3FBE12F0" w14:textId="77777777" w:rsidR="00BB7660" w:rsidRPr="00A00F6F" w:rsidRDefault="00BB7660" w:rsidP="00BB7660">
      <w:pPr>
        <w:pStyle w:val="paragraphsub-sub"/>
      </w:pPr>
      <w:r w:rsidRPr="00A00F6F">
        <w:tab/>
        <w:t>(A)</w:t>
      </w:r>
      <w:r w:rsidRPr="00A00F6F">
        <w:tab/>
        <w:t>an account held in the name of a single person;</w:t>
      </w:r>
    </w:p>
    <w:p w14:paraId="79E95E3F" w14:textId="77777777" w:rsidR="00BB7660" w:rsidRPr="00A00F6F" w:rsidRDefault="00BB7660" w:rsidP="00BB7660">
      <w:pPr>
        <w:pStyle w:val="paragraphsub-sub"/>
      </w:pPr>
      <w:r w:rsidRPr="00A00F6F">
        <w:tab/>
        <w:t>(B)</w:t>
      </w:r>
      <w:r w:rsidRPr="00A00F6F">
        <w:tab/>
        <w:t>a joint account;</w:t>
      </w:r>
    </w:p>
    <w:p w14:paraId="08D187A8" w14:textId="77777777" w:rsidR="00BB7660" w:rsidRPr="00A00F6F" w:rsidRDefault="00BB7660" w:rsidP="00BB7660">
      <w:pPr>
        <w:pStyle w:val="paragraphsub-sub"/>
      </w:pPr>
      <w:r w:rsidRPr="00A00F6F">
        <w:tab/>
        <w:t>(C)</w:t>
      </w:r>
      <w:r w:rsidRPr="00A00F6F">
        <w:tab/>
        <w:t>a partnership account; or</w:t>
      </w:r>
    </w:p>
    <w:p w14:paraId="694DF9BE" w14:textId="77777777" w:rsidR="00BB7660" w:rsidRPr="00A00F6F" w:rsidRDefault="00BB7660" w:rsidP="00BB7660">
      <w:pPr>
        <w:pStyle w:val="paragraphsub"/>
      </w:pPr>
      <w:r w:rsidRPr="00A00F6F">
        <w:tab/>
        <w:t>(ii)</w:t>
      </w:r>
      <w:r w:rsidRPr="00A00F6F">
        <w:tab/>
        <w:t>account data, billing data or tailored tariff data in relation to a joint account or partnership account for which any of the individuals who are</w:t>
      </w:r>
      <w:r w:rsidRPr="00A00F6F">
        <w:rPr>
          <w:u w:val="words"/>
        </w:rPr>
        <w:t xml:space="preserve"> </w:t>
      </w:r>
      <w:r w:rsidRPr="00A00F6F">
        <w:t>account holders is less than 18 years of age at that time; or</w:t>
      </w:r>
    </w:p>
    <w:p w14:paraId="6F72D353" w14:textId="77777777" w:rsidR="00BB7660" w:rsidRPr="00A00F6F" w:rsidRDefault="00BB7660" w:rsidP="00BB7660">
      <w:pPr>
        <w:pStyle w:val="paragraphsub"/>
      </w:pPr>
      <w:r w:rsidRPr="00A00F6F">
        <w:tab/>
        <w:t>(iii)</w:t>
      </w:r>
      <w:r w:rsidRPr="00A00F6F">
        <w:tab/>
        <w:t>AEMO data in relation to any such account; and</w:t>
      </w:r>
    </w:p>
    <w:p w14:paraId="2322072C" w14:textId="77777777" w:rsidR="00BB7660" w:rsidRPr="00A00F6F" w:rsidRDefault="00BB7660" w:rsidP="00BB7660">
      <w:pPr>
        <w:pStyle w:val="paragraph"/>
      </w:pPr>
      <w:r w:rsidRPr="00A00F6F">
        <w:tab/>
        <w:t>(b)</w:t>
      </w:r>
      <w:r w:rsidRPr="00A00F6F">
        <w:tab/>
        <w:t xml:space="preserve">CDR data is neither </w:t>
      </w:r>
      <w:r w:rsidRPr="00A00F6F">
        <w:rPr>
          <w:b/>
          <w:i/>
        </w:rPr>
        <w:t>required consumer data</w:t>
      </w:r>
      <w:r w:rsidRPr="00A00F6F">
        <w:t xml:space="preserve"> nor </w:t>
      </w:r>
      <w:r w:rsidRPr="00A00F6F">
        <w:rPr>
          <w:b/>
          <w:i/>
        </w:rPr>
        <w:t>voluntary consumer data</w:t>
      </w:r>
      <w:r w:rsidRPr="00A00F6F">
        <w:t xml:space="preserve"> in relation to a consumer data request made by or on behalf of a particular person if the data is:</w:t>
      </w:r>
    </w:p>
    <w:p w14:paraId="6B79EBBD" w14:textId="77777777" w:rsidR="00BB7660" w:rsidRPr="00A00F6F" w:rsidRDefault="00BB7660" w:rsidP="00BB7660">
      <w:pPr>
        <w:pStyle w:val="paragraphsub"/>
      </w:pPr>
      <w:r w:rsidRPr="00A00F6F">
        <w:lastRenderedPageBreak/>
        <w:tab/>
        <w:t>(i)</w:t>
      </w:r>
      <w:r w:rsidRPr="00A00F6F">
        <w:tab/>
        <w:t>customer data in relation to any account holder or secondary user other than that person; or</w:t>
      </w:r>
    </w:p>
    <w:p w14:paraId="3F5599D0" w14:textId="77777777" w:rsidR="00BB7660" w:rsidRPr="00A00F6F" w:rsidRDefault="00BB7660" w:rsidP="00BB7660">
      <w:pPr>
        <w:pStyle w:val="paragraphsub"/>
      </w:pPr>
      <w:r w:rsidRPr="00A00F6F">
        <w:tab/>
        <w:t>(ii)</w:t>
      </w:r>
      <w:r w:rsidRPr="00A00F6F">
        <w:tab/>
        <w:t>AEMO data in relation to premises other than premises covered by the relevant arrangement at the time to which the data relates.</w:t>
      </w:r>
    </w:p>
    <w:p w14:paraId="51FA869F" w14:textId="77777777" w:rsidR="00BB7660" w:rsidRPr="00A00F6F" w:rsidRDefault="00BB7660" w:rsidP="00BB7660">
      <w:pPr>
        <w:pStyle w:val="subsection"/>
      </w:pPr>
      <w:r w:rsidRPr="00A00F6F">
        <w:tab/>
        <w:t>(5)</w:t>
      </w:r>
      <w:r w:rsidRPr="00A00F6F">
        <w:tab/>
        <w:t xml:space="preserve">For this clause, energy sector data is neither </w:t>
      </w:r>
      <w:r w:rsidRPr="00A00F6F">
        <w:rPr>
          <w:b/>
          <w:i/>
        </w:rPr>
        <w:t xml:space="preserve">required consumer data </w:t>
      </w:r>
      <w:r w:rsidRPr="00A00F6F">
        <w:t xml:space="preserve">nor </w:t>
      </w:r>
      <w:r w:rsidRPr="00A00F6F">
        <w:rPr>
          <w:b/>
          <w:i/>
        </w:rPr>
        <w:t>voluntary consumer data</w:t>
      </w:r>
      <w:r w:rsidRPr="00A00F6F">
        <w:t xml:space="preserve"> in relation to a data holder that is not a retailer or AEMO.</w:t>
      </w:r>
    </w:p>
    <w:p w14:paraId="130B553C" w14:textId="77777777" w:rsidR="00BB7660" w:rsidRPr="00A00F6F" w:rsidRDefault="00BB7660" w:rsidP="00BB7660">
      <w:pPr>
        <w:pStyle w:val="notetext"/>
      </w:pPr>
      <w:r w:rsidRPr="00A00F6F">
        <w:t>Note:</w:t>
      </w:r>
      <w:r w:rsidRPr="00A00F6F">
        <w:tab/>
        <w:t>The effect of this provision is that an accredited person who becomes a data holder in relation to energy sector CDR data by the operation of subsection 56AJ(3) of the Act is not required to respond to a consumer data request for the data.</w:t>
      </w:r>
    </w:p>
    <w:p w14:paraId="34D19F9C" w14:textId="77777777" w:rsidR="00BB7660" w:rsidRPr="00A00F6F" w:rsidRDefault="00BB7660" w:rsidP="00BB7660">
      <w:pPr>
        <w:pStyle w:val="SubsectionHead"/>
      </w:pPr>
      <w:r w:rsidRPr="00A00F6F">
        <w:t xml:space="preserve">Exception to </w:t>
      </w:r>
      <w:r w:rsidRPr="00A00F6F">
        <w:rPr>
          <w:b/>
        </w:rPr>
        <w:t>required consumer data</w:t>
      </w:r>
      <w:r w:rsidRPr="00A00F6F">
        <w:t>―open accounts</w:t>
      </w:r>
    </w:p>
    <w:p w14:paraId="68E50214" w14:textId="77777777" w:rsidR="00BB7660" w:rsidRPr="00A00F6F" w:rsidRDefault="00BB7660" w:rsidP="00BB7660">
      <w:pPr>
        <w:pStyle w:val="subsection"/>
      </w:pPr>
      <w:r w:rsidRPr="00A00F6F">
        <w:tab/>
        <w:t>(6)</w:t>
      </w:r>
      <w:r w:rsidRPr="00A00F6F">
        <w:tab/>
        <w:t xml:space="preserve">Despite subclause (2), for an account that is open at a particular time, CDR data that relates to a transaction or event that occurred more than 2 years before that time is not </w:t>
      </w:r>
      <w:r w:rsidRPr="00A00F6F">
        <w:rPr>
          <w:b/>
          <w:i/>
        </w:rPr>
        <w:t>required consumer data</w:t>
      </w:r>
      <w:r w:rsidRPr="00A00F6F">
        <w:t>.</w:t>
      </w:r>
    </w:p>
    <w:p w14:paraId="348DB460" w14:textId="77777777" w:rsidR="00BB7660" w:rsidRPr="00A00F6F" w:rsidRDefault="00BB7660" w:rsidP="00BB7660">
      <w:pPr>
        <w:pStyle w:val="notetext"/>
      </w:pPr>
      <w:r w:rsidRPr="00A00F6F">
        <w:t>Note:</w:t>
      </w:r>
      <w:r w:rsidRPr="00A00F6F">
        <w:tab/>
        <w:t xml:space="preserve">As a result, such CDR data would be </w:t>
      </w:r>
      <w:r w:rsidRPr="00A00F6F">
        <w:rPr>
          <w:b/>
          <w:i/>
        </w:rPr>
        <w:t>voluntary consumer data</w:t>
      </w:r>
      <w:r w:rsidRPr="00A00F6F">
        <w:t>.</w:t>
      </w:r>
    </w:p>
    <w:p w14:paraId="3B4D8B0F" w14:textId="77777777" w:rsidR="00BB7660" w:rsidRPr="00A00F6F" w:rsidRDefault="00BB7660" w:rsidP="00BB7660">
      <w:pPr>
        <w:pStyle w:val="SubsectionHead"/>
      </w:pPr>
      <w:r w:rsidRPr="00A00F6F">
        <w:t xml:space="preserve">Exception to </w:t>
      </w:r>
      <w:r w:rsidRPr="00A00F6F">
        <w:rPr>
          <w:b/>
        </w:rPr>
        <w:t>required consumer data</w:t>
      </w:r>
      <w:r w:rsidRPr="00A00F6F">
        <w:t>―closed accounts</w:t>
      </w:r>
    </w:p>
    <w:p w14:paraId="28DCA387" w14:textId="77777777" w:rsidR="00BB7660" w:rsidRPr="00A00F6F" w:rsidRDefault="00BB7660" w:rsidP="00BB7660">
      <w:pPr>
        <w:pStyle w:val="subsection"/>
      </w:pPr>
      <w:r w:rsidRPr="00A00F6F">
        <w:tab/>
        <w:t>(7)</w:t>
      </w:r>
      <w:r w:rsidRPr="00A00F6F">
        <w:tab/>
        <w:t xml:space="preserve">Despite subclause (2), for an account that is closed at a particular time, each of the following is not </w:t>
      </w:r>
      <w:r w:rsidRPr="00A00F6F">
        <w:rPr>
          <w:b/>
          <w:i/>
        </w:rPr>
        <w:t>required consumer data</w:t>
      </w:r>
      <w:r w:rsidRPr="00A00F6F">
        <w:t>:</w:t>
      </w:r>
    </w:p>
    <w:p w14:paraId="337A4D28" w14:textId="77777777" w:rsidR="00BB7660" w:rsidRPr="00A00F6F" w:rsidRDefault="00BB7660" w:rsidP="00BB7660">
      <w:pPr>
        <w:pStyle w:val="paragraph"/>
      </w:pPr>
      <w:r w:rsidRPr="00A00F6F">
        <w:tab/>
        <w:t>(a)</w:t>
      </w:r>
      <w:r w:rsidRPr="00A00F6F">
        <w:tab/>
        <w:t>CDR data held by AEMO, other than metering data;</w:t>
      </w:r>
    </w:p>
    <w:p w14:paraId="75EECC92" w14:textId="77777777" w:rsidR="00BB7660" w:rsidRPr="00A00F6F" w:rsidRDefault="00BB7660" w:rsidP="00BB7660">
      <w:pPr>
        <w:pStyle w:val="paragraph"/>
      </w:pPr>
      <w:r w:rsidRPr="00A00F6F">
        <w:tab/>
        <w:t>(b)</w:t>
      </w:r>
      <w:r w:rsidRPr="00A00F6F">
        <w:tab/>
        <w:t>CDR data held by a retailer, other than billing data; and</w:t>
      </w:r>
    </w:p>
    <w:p w14:paraId="652B0375" w14:textId="77777777" w:rsidR="00BB7660" w:rsidRPr="00A00F6F" w:rsidRDefault="00BB7660" w:rsidP="00BB7660">
      <w:pPr>
        <w:pStyle w:val="paragraph"/>
      </w:pPr>
      <w:r w:rsidRPr="00A00F6F">
        <w:tab/>
        <w:t>(c)</w:t>
      </w:r>
      <w:r w:rsidRPr="00A00F6F">
        <w:tab/>
        <w:t xml:space="preserve">CDR data that is not excluded by paragraph (a) or (b), but relates to a transaction or event that occurred more than 2 years before that time. </w:t>
      </w:r>
    </w:p>
    <w:p w14:paraId="3E309A9D" w14:textId="77777777" w:rsidR="00BB7660" w:rsidRPr="00A00F6F" w:rsidRDefault="00BB7660" w:rsidP="00BB7660">
      <w:pPr>
        <w:pStyle w:val="ActHead2"/>
      </w:pPr>
      <w:bookmarkStart w:id="731" w:name="_Toc111132308"/>
      <w:r w:rsidRPr="00A00F6F">
        <w:t>Part 4—Roles of AEMO and the energy sector agencies</w:t>
      </w:r>
      <w:bookmarkEnd w:id="731"/>
      <w:r w:rsidRPr="00A00F6F">
        <w:t xml:space="preserve"> </w:t>
      </w:r>
    </w:p>
    <w:p w14:paraId="69A83D38" w14:textId="77777777" w:rsidR="00BB7660" w:rsidRPr="00A00F6F" w:rsidRDefault="00BB7660" w:rsidP="00BB7660">
      <w:pPr>
        <w:pStyle w:val="ActHead5"/>
      </w:pPr>
      <w:bookmarkStart w:id="732" w:name="_Toc111132309"/>
      <w:r w:rsidRPr="00A00F6F">
        <w:t>4.1  AER and the Victorian agency may act on each other’s behalf</w:t>
      </w:r>
      <w:bookmarkEnd w:id="732"/>
    </w:p>
    <w:p w14:paraId="7641726B" w14:textId="77777777" w:rsidR="00BB7660" w:rsidRPr="00A00F6F" w:rsidRDefault="00BB7660" w:rsidP="00BB7660">
      <w:pPr>
        <w:pStyle w:val="subsection"/>
      </w:pPr>
      <w:r w:rsidRPr="00A00F6F">
        <w:tab/>
        <w:t>(1)</w:t>
      </w:r>
      <w:r w:rsidRPr="00A00F6F">
        <w:tab/>
        <w:t>Where these rules require or permit one of the energy sector agencies to do any thing in relation to receiving or responding to product data requests (including the provision of a product data request service), the other agency may, at the first agency’s request, do the thing on behalf of the first agency.</w:t>
      </w:r>
    </w:p>
    <w:p w14:paraId="47CF7459" w14:textId="77777777" w:rsidR="00BB7660" w:rsidRPr="00A00F6F" w:rsidRDefault="00BB7660" w:rsidP="00BB7660">
      <w:pPr>
        <w:pStyle w:val="subsection"/>
      </w:pPr>
      <w:r w:rsidRPr="00A00F6F">
        <w:tab/>
        <w:t>(2)</w:t>
      </w:r>
      <w:r w:rsidRPr="00A00F6F">
        <w:tab/>
        <w:t xml:space="preserve">For this clause, the </w:t>
      </w:r>
      <w:r w:rsidRPr="00A00F6F">
        <w:rPr>
          <w:b/>
          <w:i/>
        </w:rPr>
        <w:t>energy sector agencies</w:t>
      </w:r>
      <w:r w:rsidRPr="00A00F6F">
        <w:t xml:space="preserve"> are the AER and the Victorian agency.</w:t>
      </w:r>
    </w:p>
    <w:p w14:paraId="7CAF4F5F" w14:textId="77777777" w:rsidR="00BB7660" w:rsidRPr="00A00F6F" w:rsidRDefault="00BB7660" w:rsidP="00BB7660">
      <w:pPr>
        <w:pStyle w:val="ActHead5"/>
      </w:pPr>
      <w:bookmarkStart w:id="733" w:name="_Toc111132310"/>
      <w:r w:rsidRPr="00A00F6F">
        <w:t>4.2  Product data request service</w:t>
      </w:r>
      <w:bookmarkEnd w:id="733"/>
    </w:p>
    <w:p w14:paraId="6C84F5EE" w14:textId="77777777" w:rsidR="00BB7660" w:rsidRPr="00A00F6F" w:rsidRDefault="00BB7660" w:rsidP="00BB7660">
      <w:pPr>
        <w:pStyle w:val="subsection"/>
      </w:pPr>
      <w:r w:rsidRPr="00A00F6F">
        <w:tab/>
        <w:t>(1)</w:t>
      </w:r>
      <w:r w:rsidRPr="00A00F6F">
        <w:tab/>
        <w:t>Despite rule 1.12, a data holder of energy sector data, other than the AER and the Victorian agency, is not required to provide a product data request service.</w:t>
      </w:r>
    </w:p>
    <w:p w14:paraId="43DBA691" w14:textId="77777777" w:rsidR="00BB7660" w:rsidRPr="00A00F6F" w:rsidRDefault="00BB7660" w:rsidP="00BB7660">
      <w:pPr>
        <w:pStyle w:val="subsection"/>
      </w:pPr>
      <w:r w:rsidRPr="00A00F6F">
        <w:tab/>
        <w:t>(2)</w:t>
      </w:r>
      <w:r w:rsidRPr="00A00F6F">
        <w:tab/>
        <w:t>However, if such a data holder chooses to provide an online service that can be used to make product data requests, the service must comply with rule 1.12.</w:t>
      </w:r>
    </w:p>
    <w:p w14:paraId="5C91F34C" w14:textId="77777777" w:rsidR="00BB7660" w:rsidRPr="00A00F6F" w:rsidRDefault="00BB7660" w:rsidP="00BB7660">
      <w:pPr>
        <w:pStyle w:val="ActHead5"/>
      </w:pPr>
      <w:bookmarkStart w:id="734" w:name="_Toc111132311"/>
      <w:r w:rsidRPr="00A00F6F">
        <w:lastRenderedPageBreak/>
        <w:t xml:space="preserve">4.3  Meaning of </w:t>
      </w:r>
      <w:r w:rsidRPr="00A00F6F">
        <w:rPr>
          <w:i/>
        </w:rPr>
        <w:t>SR data</w:t>
      </w:r>
      <w:r w:rsidRPr="00A00F6F">
        <w:t xml:space="preserve"> and </w:t>
      </w:r>
      <w:r w:rsidRPr="00A00F6F">
        <w:rPr>
          <w:i/>
        </w:rPr>
        <w:t>primary data holder</w:t>
      </w:r>
      <w:r w:rsidRPr="00A00F6F">
        <w:t>—energy sector</w:t>
      </w:r>
      <w:bookmarkEnd w:id="734"/>
    </w:p>
    <w:p w14:paraId="662F96A7" w14:textId="77777777" w:rsidR="00BB7660" w:rsidRPr="00A00F6F" w:rsidRDefault="00BB7660" w:rsidP="00BB7660">
      <w:pPr>
        <w:pStyle w:val="subsection"/>
      </w:pPr>
      <w:r w:rsidRPr="00A00F6F">
        <w:tab/>
      </w:r>
      <w:r w:rsidRPr="00A00F6F">
        <w:tab/>
        <w:t>For these rules:</w:t>
      </w:r>
    </w:p>
    <w:p w14:paraId="4AB38206" w14:textId="77777777" w:rsidR="00BB7660" w:rsidRPr="00A00F6F" w:rsidRDefault="00BB7660" w:rsidP="00BB7660">
      <w:pPr>
        <w:pStyle w:val="paragraph"/>
      </w:pPr>
      <w:r w:rsidRPr="00A00F6F">
        <w:tab/>
        <w:t>(a)</w:t>
      </w:r>
      <w:r w:rsidRPr="00A00F6F">
        <w:tab/>
      </w:r>
      <w:r w:rsidRPr="00A00F6F">
        <w:rPr>
          <w:b/>
          <w:i/>
          <w:iCs/>
        </w:rPr>
        <w:t>SR data</w:t>
      </w:r>
      <w:r w:rsidRPr="00A00F6F">
        <w:t>, in relation to the energy sector, means AEMO data in relation to a CDR consumer; and</w:t>
      </w:r>
    </w:p>
    <w:p w14:paraId="638FF599" w14:textId="77777777" w:rsidR="00BB7660" w:rsidRPr="00A00F6F" w:rsidRDefault="00BB7660" w:rsidP="00BB7660">
      <w:pPr>
        <w:pStyle w:val="paragraph"/>
      </w:pPr>
      <w:r w:rsidRPr="00A00F6F">
        <w:tab/>
        <w:t>(b)</w:t>
      </w:r>
      <w:r w:rsidRPr="00A00F6F">
        <w:tab/>
        <w:t xml:space="preserve">the </w:t>
      </w:r>
      <w:r w:rsidRPr="00A00F6F">
        <w:rPr>
          <w:b/>
          <w:i/>
        </w:rPr>
        <w:t>primary data holder</w:t>
      </w:r>
      <w:r w:rsidRPr="00A00F6F">
        <w:t xml:space="preserve"> for the SR data is the relevant retailer.</w:t>
      </w:r>
    </w:p>
    <w:p w14:paraId="24CDCB1F" w14:textId="77777777" w:rsidR="00BB7660" w:rsidRPr="00A00F6F" w:rsidRDefault="00BB7660" w:rsidP="00BB7660">
      <w:pPr>
        <w:pStyle w:val="notetext"/>
      </w:pPr>
      <w:r w:rsidRPr="00A00F6F">
        <w:t>Note:</w:t>
      </w:r>
      <w:r w:rsidRPr="00A00F6F">
        <w:tab/>
        <w:t xml:space="preserve">Paragraph (a) also makes AEMO the </w:t>
      </w:r>
      <w:r w:rsidRPr="00A00F6F">
        <w:rPr>
          <w:b/>
          <w:i/>
        </w:rPr>
        <w:t>secondary data holder</w:t>
      </w:r>
      <w:r w:rsidRPr="00A00F6F">
        <w:t xml:space="preserve"> for the SR data.</w:t>
      </w:r>
    </w:p>
    <w:p w14:paraId="05F62441" w14:textId="77777777" w:rsidR="00BB7660" w:rsidRPr="00A00F6F" w:rsidRDefault="00BB7660" w:rsidP="00BB7660">
      <w:pPr>
        <w:pStyle w:val="ActHead5"/>
      </w:pPr>
      <w:bookmarkStart w:id="735" w:name="_Toc111132312"/>
      <w:r w:rsidRPr="00A00F6F">
        <w:t>4.4  SR data must be obtained from AEMO</w:t>
      </w:r>
      <w:bookmarkEnd w:id="735"/>
    </w:p>
    <w:p w14:paraId="4ED989BC" w14:textId="77777777" w:rsidR="00BB7660" w:rsidRPr="00A00F6F" w:rsidRDefault="00BB7660" w:rsidP="00BB7660">
      <w:pPr>
        <w:pStyle w:val="subsection"/>
      </w:pPr>
      <w:r w:rsidRPr="00A00F6F">
        <w:tab/>
      </w:r>
      <w:r w:rsidRPr="00A00F6F">
        <w:tab/>
        <w:t xml:space="preserve">On receiving an SR data request under Part 3 or Part 4 of these rules, a retailer must request from AEMO, using the service mentioned in subrule 1.20(2), any SR data to be used in responding to the request  </w:t>
      </w:r>
    </w:p>
    <w:p w14:paraId="0A85CD03" w14:textId="77777777" w:rsidR="00BB7660" w:rsidRPr="00A00F6F" w:rsidRDefault="00BB7660" w:rsidP="00BB7660">
      <w:pPr>
        <w:pStyle w:val="notetext"/>
      </w:pPr>
      <w:r w:rsidRPr="00A00F6F">
        <w:t>Note:</w:t>
      </w:r>
      <w:r w:rsidRPr="00A00F6F">
        <w:tab/>
        <w:t>AEMO is the secondary data holder for the SR data.  This provision requires a retailer that happens to be the direct holder of any AEMO data that is subject to a consumer data request to ignore its data holding in responding to the request, and obtain the data from AEMO for that purpose.</w:t>
      </w:r>
    </w:p>
    <w:p w14:paraId="4A16AC27" w14:textId="77777777" w:rsidR="00BB7660" w:rsidRPr="00A00F6F" w:rsidRDefault="00BB7660" w:rsidP="00BB7660">
      <w:pPr>
        <w:pStyle w:val="ActHead5"/>
      </w:pPr>
      <w:bookmarkStart w:id="736" w:name="_Toc111132313"/>
      <w:r w:rsidRPr="00A00F6F">
        <w:t>4.5  Civil penalties do not apply</w:t>
      </w:r>
      <w:bookmarkEnd w:id="736"/>
    </w:p>
    <w:p w14:paraId="62D7399E" w14:textId="77777777" w:rsidR="00BB7660" w:rsidRPr="00A00F6F" w:rsidRDefault="00BB7660" w:rsidP="00BB7660">
      <w:pPr>
        <w:pStyle w:val="subsection"/>
      </w:pPr>
      <w:r w:rsidRPr="00A00F6F">
        <w:tab/>
      </w:r>
      <w:r w:rsidRPr="00A00F6F">
        <w:tab/>
        <w:t>A civil penalty imposed by these rules for a breach of a provision of these rules, including one imposed by rule 9.8 by declaring the relevant provision to be a civil penalty provision, does not apply in relation to AEMO, the AER or the Victorian agency in relation to energy sector data.</w:t>
      </w:r>
    </w:p>
    <w:p w14:paraId="75CA605A" w14:textId="77777777" w:rsidR="00BB7660" w:rsidRPr="00A00F6F" w:rsidRDefault="00BB7660" w:rsidP="00BB7660">
      <w:pPr>
        <w:pStyle w:val="ActHead2"/>
      </w:pPr>
      <w:bookmarkStart w:id="737" w:name="_Toc111132314"/>
      <w:r w:rsidRPr="00A00F6F">
        <w:t>Part 5—Dispute resolution―energy sector</w:t>
      </w:r>
      <w:bookmarkEnd w:id="737"/>
    </w:p>
    <w:p w14:paraId="6FDF437F" w14:textId="77777777" w:rsidR="00BB7660" w:rsidRPr="00A00F6F" w:rsidRDefault="00BB7660" w:rsidP="00BB7660">
      <w:pPr>
        <w:pStyle w:val="notemargin"/>
        <w:rPr>
          <w:i/>
          <w:iCs/>
        </w:rPr>
      </w:pPr>
      <w:r w:rsidRPr="00A00F6F">
        <w:t>Note:</w:t>
      </w:r>
      <w:r w:rsidRPr="00A00F6F">
        <w:rPr>
          <w:i/>
          <w:iCs/>
        </w:rPr>
        <w:tab/>
      </w:r>
      <w:r w:rsidRPr="00A00F6F">
        <w:t>See the definition of “meets the internal dispute resolution requirements” in subrule 1.7(1), paragraph 5.12(b) of these rules, and rule 6.1.</w:t>
      </w:r>
    </w:p>
    <w:p w14:paraId="632D4111" w14:textId="77777777" w:rsidR="00BB7660" w:rsidRPr="00A00F6F" w:rsidRDefault="00BB7660" w:rsidP="00BB7660">
      <w:pPr>
        <w:pStyle w:val="ActHead5"/>
      </w:pPr>
      <w:bookmarkStart w:id="738" w:name="_Toc111132315"/>
      <w:r w:rsidRPr="00A00F6F">
        <w:t>5.1  Meeting internal dispute resolution requirements—energy sector</w:t>
      </w:r>
      <w:bookmarkEnd w:id="738"/>
    </w:p>
    <w:p w14:paraId="5A261299" w14:textId="77777777" w:rsidR="00BB7660" w:rsidRPr="00A00F6F" w:rsidRDefault="00BB7660" w:rsidP="00BB7660">
      <w:pPr>
        <w:pStyle w:val="SubsectionHead"/>
      </w:pPr>
      <w:r w:rsidRPr="00A00F6F">
        <w:t>Accredited persons</w:t>
      </w:r>
    </w:p>
    <w:p w14:paraId="01A4673B" w14:textId="77777777" w:rsidR="00BB7660" w:rsidRPr="00A00F6F" w:rsidRDefault="00BB7660" w:rsidP="00BB7660">
      <w:pPr>
        <w:pStyle w:val="subsection"/>
      </w:pPr>
      <w:r w:rsidRPr="00A00F6F">
        <w:tab/>
        <w:t>(1)</w:t>
      </w:r>
      <w:r w:rsidRPr="00A00F6F">
        <w:tab/>
        <w:t xml:space="preserve">For the energy sector, an accredited person, other than an accredited person that is also a retailer, </w:t>
      </w:r>
      <w:r w:rsidRPr="00A00F6F">
        <w:rPr>
          <w:b/>
          <w:i/>
          <w:iCs/>
        </w:rPr>
        <w:t>meets the internal dispute resolution requirements</w:t>
      </w:r>
      <w:r w:rsidRPr="00A00F6F">
        <w:t xml:space="preserve"> if its internal dispute resolution processes comply with provisions of Regulatory Guide 271 that deal with the following:</w:t>
      </w:r>
    </w:p>
    <w:p w14:paraId="1B18E846" w14:textId="77777777" w:rsidR="00BB7660" w:rsidRPr="00A00F6F" w:rsidRDefault="00BB7660" w:rsidP="00BB7660">
      <w:pPr>
        <w:pStyle w:val="paragraph"/>
      </w:pPr>
      <w:r w:rsidRPr="00A00F6F">
        <w:tab/>
        <w:t>(a)</w:t>
      </w:r>
      <w:r w:rsidRPr="00A00F6F">
        <w:tab/>
        <w:t>standards that its internal dispute resolution procedures or processes must meet regarding the following:</w:t>
      </w:r>
    </w:p>
    <w:p w14:paraId="259394DB" w14:textId="77777777" w:rsidR="00BB7660" w:rsidRPr="00A00F6F" w:rsidRDefault="00BB7660" w:rsidP="00BB7660">
      <w:pPr>
        <w:pStyle w:val="paragraphsub"/>
      </w:pPr>
      <w:r w:rsidRPr="00A00F6F">
        <w:tab/>
        <w:t>(i)</w:t>
      </w:r>
      <w:r w:rsidRPr="00A00F6F">
        <w:tab/>
        <w:t xml:space="preserve">commitment and culture; </w:t>
      </w:r>
    </w:p>
    <w:p w14:paraId="29C26938" w14:textId="77777777" w:rsidR="00BB7660" w:rsidRPr="00A00F6F" w:rsidRDefault="00BB7660" w:rsidP="00BB7660">
      <w:pPr>
        <w:pStyle w:val="paragraphsub"/>
      </w:pPr>
      <w:r w:rsidRPr="00A00F6F">
        <w:tab/>
        <w:t>(ii)</w:t>
      </w:r>
      <w:r w:rsidRPr="00A00F6F">
        <w:tab/>
        <w:t>the enabling of complaints;</w:t>
      </w:r>
    </w:p>
    <w:p w14:paraId="224B4866" w14:textId="77777777" w:rsidR="00BB7660" w:rsidRPr="00A00F6F" w:rsidRDefault="00BB7660" w:rsidP="00BB7660">
      <w:pPr>
        <w:pStyle w:val="paragraphsub"/>
      </w:pPr>
      <w:r w:rsidRPr="00A00F6F">
        <w:tab/>
        <w:t>(iii)</w:t>
      </w:r>
      <w:r w:rsidRPr="00A00F6F">
        <w:tab/>
        <w:t>resourcing;</w:t>
      </w:r>
    </w:p>
    <w:p w14:paraId="3D2531FB" w14:textId="77777777" w:rsidR="00BB7660" w:rsidRPr="00A00F6F" w:rsidRDefault="00BB7660" w:rsidP="00BB7660">
      <w:pPr>
        <w:pStyle w:val="paragraphsub"/>
      </w:pPr>
      <w:r w:rsidRPr="00A00F6F">
        <w:tab/>
        <w:t>(iv)</w:t>
      </w:r>
      <w:r w:rsidRPr="00A00F6F">
        <w:tab/>
        <w:t>responsiveness;</w:t>
      </w:r>
    </w:p>
    <w:p w14:paraId="56FB3FDD" w14:textId="77777777" w:rsidR="00BB7660" w:rsidRPr="00A00F6F" w:rsidRDefault="00BB7660" w:rsidP="00BB7660">
      <w:pPr>
        <w:pStyle w:val="paragraphsub"/>
      </w:pPr>
      <w:r w:rsidRPr="00A00F6F">
        <w:tab/>
        <w:t>(v)</w:t>
      </w:r>
      <w:r w:rsidRPr="00A00F6F">
        <w:tab/>
        <w:t>objectivity and fairness;</w:t>
      </w:r>
    </w:p>
    <w:p w14:paraId="7FCDE2FD" w14:textId="77777777" w:rsidR="00BB7660" w:rsidRPr="00A00F6F" w:rsidRDefault="00BB7660" w:rsidP="00BB7660">
      <w:pPr>
        <w:pStyle w:val="paragraphsub"/>
      </w:pPr>
      <w:r w:rsidRPr="00A00F6F">
        <w:tab/>
        <w:t>(vi)</w:t>
      </w:r>
      <w:r w:rsidRPr="00A00F6F">
        <w:tab/>
        <w:t>policy and procedures;</w:t>
      </w:r>
    </w:p>
    <w:p w14:paraId="1889FEB8" w14:textId="77777777" w:rsidR="00BB7660" w:rsidRPr="00A00F6F" w:rsidRDefault="00BB7660" w:rsidP="00BB7660">
      <w:pPr>
        <w:pStyle w:val="paragraphsub"/>
      </w:pPr>
      <w:r w:rsidRPr="00A00F6F">
        <w:tab/>
        <w:t>(vii)</w:t>
      </w:r>
      <w:r w:rsidRPr="00A00F6F">
        <w:tab/>
        <w:t>data collection, analysis and internal reporting;</w:t>
      </w:r>
    </w:p>
    <w:p w14:paraId="00FDA799" w14:textId="77777777" w:rsidR="00BB7660" w:rsidRPr="00A00F6F" w:rsidRDefault="00BB7660" w:rsidP="00BB7660">
      <w:pPr>
        <w:pStyle w:val="paragraphsub"/>
      </w:pPr>
      <w:r w:rsidRPr="00A00F6F">
        <w:tab/>
        <w:t>(viii)</w:t>
      </w:r>
      <w:r w:rsidRPr="00A00F6F">
        <w:tab/>
        <w:t>continuous improvement;</w:t>
      </w:r>
    </w:p>
    <w:p w14:paraId="1E134864" w14:textId="77777777" w:rsidR="00BB7660" w:rsidRPr="00A00F6F" w:rsidRDefault="00BB7660" w:rsidP="00BB7660">
      <w:pPr>
        <w:pStyle w:val="paragraph"/>
      </w:pPr>
      <w:r w:rsidRPr="00A00F6F">
        <w:lastRenderedPageBreak/>
        <w:tab/>
        <w:t>(b)</w:t>
      </w:r>
      <w:r w:rsidRPr="00A00F6F">
        <w:tab/>
        <w:t>outsourcing internal dispute resolution processes;</w:t>
      </w:r>
    </w:p>
    <w:p w14:paraId="64CCD375" w14:textId="77777777" w:rsidR="00BB7660" w:rsidRPr="00A00F6F" w:rsidRDefault="00BB7660" w:rsidP="00BB7660">
      <w:pPr>
        <w:pStyle w:val="paragraph"/>
        <w:rPr>
          <w:sz w:val="20"/>
        </w:rPr>
      </w:pPr>
      <w:r w:rsidRPr="00A00F6F">
        <w:tab/>
        <w:t>(c)</w:t>
      </w:r>
      <w:r w:rsidRPr="00A00F6F">
        <w:tab/>
        <w:t>acknowledgement of complaint;</w:t>
      </w:r>
    </w:p>
    <w:p w14:paraId="20D91E83" w14:textId="77777777" w:rsidR="00BB7660" w:rsidRPr="00A00F6F" w:rsidRDefault="00BB7660" w:rsidP="00BB7660">
      <w:pPr>
        <w:pStyle w:val="paragraph"/>
      </w:pPr>
      <w:r w:rsidRPr="00A00F6F">
        <w:tab/>
        <w:t>(d)</w:t>
      </w:r>
      <w:r w:rsidRPr="00A00F6F">
        <w:tab/>
        <w:t>what an internal dispute resolution response must contain;</w:t>
      </w:r>
    </w:p>
    <w:p w14:paraId="44745212" w14:textId="77777777" w:rsidR="00BB7660" w:rsidRPr="00A00F6F" w:rsidRDefault="00BB7660" w:rsidP="00BB7660">
      <w:pPr>
        <w:pStyle w:val="paragraph"/>
      </w:pPr>
      <w:r w:rsidRPr="00A00F6F">
        <w:tab/>
        <w:t>(e)</w:t>
      </w:r>
      <w:r w:rsidRPr="00A00F6F">
        <w:tab/>
        <w:t>maximum timeframes for an internal dispute resolution response;</w:t>
      </w:r>
    </w:p>
    <w:p w14:paraId="3D7D4525" w14:textId="77777777" w:rsidR="00BB7660" w:rsidRPr="00A00F6F" w:rsidRDefault="00BB7660" w:rsidP="00BB7660">
      <w:pPr>
        <w:pStyle w:val="paragraph"/>
      </w:pPr>
      <w:r w:rsidRPr="00A00F6F">
        <w:tab/>
        <w:t>(f)</w:t>
      </w:r>
      <w:r w:rsidRPr="00A00F6F">
        <w:tab/>
        <w:t>internal dispute resolution response requirements for multi-tier internal dispute resolution processes;</w:t>
      </w:r>
    </w:p>
    <w:p w14:paraId="09D276A9" w14:textId="77777777" w:rsidR="00BB7660" w:rsidRPr="00A00F6F" w:rsidRDefault="00BB7660" w:rsidP="00BB7660">
      <w:pPr>
        <w:pStyle w:val="paragraph"/>
      </w:pPr>
      <w:r w:rsidRPr="00A00F6F">
        <w:tab/>
        <w:t>(g)</w:t>
      </w:r>
      <w:r w:rsidRPr="00A00F6F">
        <w:tab/>
        <w:t>the role of customer advocates;</w:t>
      </w:r>
    </w:p>
    <w:p w14:paraId="6A1ED92E" w14:textId="77777777" w:rsidR="00BB7660" w:rsidRPr="00A00F6F" w:rsidRDefault="00BB7660" w:rsidP="00BB7660">
      <w:pPr>
        <w:pStyle w:val="paragraph"/>
      </w:pPr>
      <w:r w:rsidRPr="00A00F6F">
        <w:tab/>
        <w:t>(h)</w:t>
      </w:r>
      <w:r w:rsidRPr="00A00F6F">
        <w:tab/>
        <w:t>establishing links between internal dispute resolution processes and external dispute resolution;</w:t>
      </w:r>
    </w:p>
    <w:p w14:paraId="3C7EA4DC" w14:textId="77777777" w:rsidR="00BB7660" w:rsidRPr="00A00F6F" w:rsidRDefault="00BB7660" w:rsidP="00BB7660">
      <w:pPr>
        <w:pStyle w:val="paragraph"/>
      </w:pPr>
      <w:r w:rsidRPr="00A00F6F">
        <w:tab/>
        <w:t>(i)</w:t>
      </w:r>
      <w:r w:rsidRPr="00A00F6F">
        <w:tab/>
        <w:t>systemic issues.</w:t>
      </w:r>
    </w:p>
    <w:p w14:paraId="61875C05" w14:textId="77777777" w:rsidR="00BB7660" w:rsidRPr="00A00F6F" w:rsidRDefault="00BB7660" w:rsidP="00BB7660">
      <w:pPr>
        <w:pStyle w:val="SubsectionHead"/>
      </w:pPr>
      <w:r w:rsidRPr="00A00F6F">
        <w:t>Data holders</w:t>
      </w:r>
    </w:p>
    <w:p w14:paraId="20E20C54" w14:textId="77777777" w:rsidR="00BB7660" w:rsidRPr="00A00F6F" w:rsidRDefault="00BB7660" w:rsidP="00BB7660">
      <w:pPr>
        <w:pStyle w:val="subsection"/>
      </w:pPr>
      <w:r w:rsidRPr="00A00F6F">
        <w:tab/>
        <w:t>(2)</w:t>
      </w:r>
      <w:r w:rsidRPr="00A00F6F">
        <w:tab/>
        <w:t xml:space="preserve">For the energy sector, a retailer (including a retailer that is also an accredited person) </w:t>
      </w:r>
      <w:r w:rsidRPr="00A00F6F">
        <w:rPr>
          <w:b/>
          <w:i/>
          <w:iCs/>
        </w:rPr>
        <w:t>meets the internal dispute resolution requirements</w:t>
      </w:r>
      <w:r w:rsidRPr="00A00F6F">
        <w:t xml:space="preserve"> if its internal dispute resolution processes satisfy the applicable requirements for the retailer’s standard complaints and dispute resolution procedures under the National Energy Retail Law or the Energy Retail Code (Victoria).</w:t>
      </w:r>
    </w:p>
    <w:p w14:paraId="1AFFA432" w14:textId="77777777" w:rsidR="00BB7660" w:rsidRPr="00A00F6F" w:rsidRDefault="00BB7660" w:rsidP="00BB7660">
      <w:pPr>
        <w:pStyle w:val="subsection"/>
      </w:pPr>
      <w:r w:rsidRPr="00A00F6F">
        <w:tab/>
        <w:t>(3)</w:t>
      </w:r>
      <w:r w:rsidRPr="00A00F6F">
        <w:tab/>
        <w:t>Part 6 does not apply in relation to the AER, the Victorian agency or AEMO, in their capacity as data holders in the energy sector.</w:t>
      </w:r>
    </w:p>
    <w:p w14:paraId="5C4AD60C" w14:textId="77777777" w:rsidR="00BB7660" w:rsidRPr="00A00F6F" w:rsidRDefault="00BB7660" w:rsidP="00BB7660">
      <w:pPr>
        <w:pStyle w:val="SubsectionHead"/>
      </w:pPr>
      <w:r w:rsidRPr="00A00F6F">
        <w:t>Definition</w:t>
      </w:r>
    </w:p>
    <w:p w14:paraId="3E0279EE" w14:textId="77777777" w:rsidR="00BB7660" w:rsidRPr="00A00F6F" w:rsidRDefault="00BB7660" w:rsidP="00BB7660">
      <w:pPr>
        <w:pStyle w:val="subsection"/>
      </w:pPr>
      <w:r w:rsidRPr="00A00F6F">
        <w:tab/>
        <w:t>(4)</w:t>
      </w:r>
      <w:r w:rsidRPr="00A00F6F">
        <w:tab/>
        <w:t>In this clause:</w:t>
      </w:r>
    </w:p>
    <w:p w14:paraId="000C64B3" w14:textId="77777777" w:rsidR="00BB7660" w:rsidRPr="00A00F6F" w:rsidRDefault="00BB7660" w:rsidP="00BB7660">
      <w:pPr>
        <w:pStyle w:val="Definition"/>
      </w:pPr>
      <w:r w:rsidRPr="00A00F6F">
        <w:rPr>
          <w:b/>
          <w:i/>
        </w:rPr>
        <w:t>Regulatory Guide 271</w:t>
      </w:r>
      <w:r w:rsidRPr="00A00F6F">
        <w:rPr>
          <w:rFonts w:eastAsia="Calibri"/>
          <w:b/>
        </w:rPr>
        <w:t xml:space="preserve"> </w:t>
      </w:r>
      <w:r w:rsidRPr="00A00F6F">
        <w:rPr>
          <w:rFonts w:eastAsia="Calibri"/>
        </w:rPr>
        <w:t xml:space="preserve">means </w:t>
      </w:r>
      <w:r w:rsidRPr="00A00F6F">
        <w:t>Regulatory Guide 271</w:t>
      </w:r>
      <w:r w:rsidRPr="00A00F6F">
        <w:rPr>
          <w:rFonts w:eastAsia="Calibri"/>
        </w:rPr>
        <w:t xml:space="preserve"> published by the Australian Securities &amp; Investments Commission, as in force from time to time and applied as if</w:t>
      </w:r>
      <w:r w:rsidRPr="00A00F6F">
        <w:t>:</w:t>
      </w:r>
    </w:p>
    <w:p w14:paraId="767FD435" w14:textId="77777777" w:rsidR="00BB7660" w:rsidRPr="00A00F6F" w:rsidRDefault="00BB7660" w:rsidP="00BB7660">
      <w:pPr>
        <w:pStyle w:val="paragraph"/>
      </w:pPr>
      <w:r w:rsidRPr="00A00F6F">
        <w:tab/>
        <w:t>(a)</w:t>
      </w:r>
      <w:r w:rsidRPr="00A00F6F">
        <w:tab/>
        <w:t>references to complaints were references to CDR consumer complaints; and</w:t>
      </w:r>
    </w:p>
    <w:p w14:paraId="20FCE367" w14:textId="77777777" w:rsidR="00BB7660" w:rsidRPr="00A00F6F" w:rsidRDefault="00BB7660" w:rsidP="00BB7660">
      <w:pPr>
        <w:pStyle w:val="paragraph"/>
      </w:pPr>
      <w:r w:rsidRPr="00A00F6F">
        <w:tab/>
        <w:t>(b)</w:t>
      </w:r>
      <w:r w:rsidRPr="00A00F6F">
        <w:tab/>
        <w:t>references to financial firms and financial service providers were references to CDR participants.</w:t>
      </w:r>
    </w:p>
    <w:p w14:paraId="20ACA822" w14:textId="77777777" w:rsidR="00BB7660" w:rsidRPr="00A00F6F" w:rsidRDefault="00BB7660" w:rsidP="00BB7660">
      <w:pPr>
        <w:pStyle w:val="notetext"/>
        <w:rPr>
          <w:rFonts w:eastAsia="Calibri"/>
        </w:rPr>
      </w:pPr>
      <w:r w:rsidRPr="00A00F6F">
        <w:rPr>
          <w:rFonts w:eastAsia="Calibri"/>
        </w:rPr>
        <w:t>Note:</w:t>
      </w:r>
      <w:r w:rsidRPr="00A00F6F">
        <w:rPr>
          <w:rFonts w:eastAsia="Calibri"/>
        </w:rPr>
        <w:tab/>
      </w:r>
      <w:r w:rsidRPr="00A00F6F">
        <w:t>Regulatory Guide 271</w:t>
      </w:r>
      <w:r w:rsidRPr="00A00F6F">
        <w:rPr>
          <w:rFonts w:eastAsia="Calibri"/>
        </w:rPr>
        <w:t xml:space="preserve"> could in </w:t>
      </w:r>
      <w:r w:rsidR="009E4FB4" w:rsidRPr="00270C3C">
        <w:rPr>
          <w:rFonts w:eastAsia="Calibri"/>
          <w:color w:val="0000FF"/>
        </w:rPr>
        <w:t>2022</w:t>
      </w:r>
      <w:r w:rsidR="009E4FB4" w:rsidRPr="00270C3C">
        <w:rPr>
          <w:rFonts w:eastAsia="Calibri"/>
          <w:strike/>
          <w:color w:val="0000FF"/>
        </w:rPr>
        <w:t xml:space="preserve"> </w:t>
      </w:r>
      <w:r w:rsidRPr="00270C3C">
        <w:rPr>
          <w:rFonts w:eastAsia="Calibri"/>
          <w:strike/>
          <w:color w:val="0000FF"/>
        </w:rPr>
        <w:t>2021</w:t>
      </w:r>
      <w:r w:rsidRPr="00A00F6F">
        <w:rPr>
          <w:rFonts w:eastAsia="Calibri"/>
        </w:rPr>
        <w:t xml:space="preserve"> be accessed from the Australian Securities &amp; Investments Commission’s website (https://asic.gov.au).</w:t>
      </w:r>
    </w:p>
    <w:p w14:paraId="1ABADF4B" w14:textId="77777777" w:rsidR="00BB7660" w:rsidRPr="005F5224" w:rsidRDefault="00BB7660" w:rsidP="00BB7660">
      <w:pPr>
        <w:pStyle w:val="ActHead5"/>
        <w:rPr>
          <w:color w:val="0000FF"/>
        </w:rPr>
      </w:pPr>
      <w:bookmarkStart w:id="739" w:name="_Toc111132316"/>
      <w:r w:rsidRPr="005F5224">
        <w:rPr>
          <w:color w:val="0000FF"/>
        </w:rPr>
        <w:t>5.2  External dispute resolution requirements—energy sector</w:t>
      </w:r>
      <w:bookmarkEnd w:id="739"/>
    </w:p>
    <w:p w14:paraId="0E1509E7" w14:textId="77777777" w:rsidR="008713C0" w:rsidRPr="009B680A" w:rsidRDefault="00BB7660" w:rsidP="00BB7660">
      <w:pPr>
        <w:pStyle w:val="notemargin"/>
        <w:rPr>
          <w:rFonts w:eastAsia="Calibri"/>
          <w:color w:val="0000FF"/>
        </w:rPr>
      </w:pPr>
      <w:r w:rsidRPr="009B680A">
        <w:rPr>
          <w:rFonts w:eastAsia="Calibri"/>
          <w:color w:val="0000FF"/>
        </w:rPr>
        <w:t>Note:</w:t>
      </w:r>
      <w:r w:rsidRPr="009B680A">
        <w:rPr>
          <w:rFonts w:eastAsia="Calibri"/>
          <w:color w:val="0000FF"/>
        </w:rPr>
        <w:tab/>
      </w:r>
      <w:r w:rsidR="008713C0" w:rsidRPr="009B680A">
        <w:rPr>
          <w:rFonts w:eastAsia="Calibri"/>
          <w:color w:val="0000FF"/>
        </w:rPr>
        <w:t>Schemes operated by the</w:t>
      </w:r>
      <w:r w:rsidRPr="009B680A">
        <w:rPr>
          <w:rFonts w:eastAsia="Calibri"/>
          <w:color w:val="0000FF"/>
        </w:rPr>
        <w:t xml:space="preserve"> </w:t>
      </w:r>
      <w:r w:rsidRPr="009B680A">
        <w:rPr>
          <w:color w:val="0000FF"/>
        </w:rPr>
        <w:t xml:space="preserve">Australian Financial Complaints Authority and the </w:t>
      </w:r>
      <w:r w:rsidRPr="009B680A">
        <w:rPr>
          <w:rFonts w:eastAsia="Calibri"/>
          <w:color w:val="0000FF"/>
        </w:rPr>
        <w:t>energy and water ombudsman of each State and Territory are recognised as external dispute resolution schemes for section 56DA of the Act.</w:t>
      </w:r>
    </w:p>
    <w:p w14:paraId="5829AB99" w14:textId="77777777" w:rsidR="00D159DC" w:rsidRPr="009B680A" w:rsidRDefault="00D159DC" w:rsidP="00D159DC">
      <w:pPr>
        <w:pStyle w:val="SubsectionHead"/>
        <w:rPr>
          <w:color w:val="0000FF"/>
        </w:rPr>
      </w:pPr>
      <w:r w:rsidRPr="009B680A">
        <w:rPr>
          <w:color w:val="0000FF"/>
        </w:rPr>
        <w:t>Accredited persons</w:t>
      </w:r>
    </w:p>
    <w:p w14:paraId="51A8EDC3" w14:textId="77777777" w:rsidR="00D159DC" w:rsidRPr="009B680A" w:rsidRDefault="00D159DC" w:rsidP="00D159DC">
      <w:pPr>
        <w:pStyle w:val="subsection"/>
        <w:rPr>
          <w:color w:val="0000FF"/>
        </w:rPr>
      </w:pPr>
      <w:r w:rsidRPr="009B680A">
        <w:rPr>
          <w:color w:val="0000FF"/>
        </w:rPr>
        <w:tab/>
        <w:t>(1)</w:t>
      </w:r>
      <w:r w:rsidRPr="009B680A">
        <w:rPr>
          <w:color w:val="0000FF"/>
        </w:rPr>
        <w:tab/>
        <w:t>For the purposes of paragraph 5.12(1)(c) of these rules, and subject to subclause (4), an accredited person must be must be a member of the Australian Financial Complaints Authority in relation to CDR consumer complaints.</w:t>
      </w:r>
    </w:p>
    <w:p w14:paraId="58B6423B" w14:textId="77777777" w:rsidR="00D159DC" w:rsidRPr="009B680A" w:rsidRDefault="00D159DC" w:rsidP="00D159DC">
      <w:pPr>
        <w:pStyle w:val="SubsectionHead"/>
        <w:rPr>
          <w:color w:val="0000FF"/>
        </w:rPr>
      </w:pPr>
      <w:r w:rsidRPr="009B680A">
        <w:rPr>
          <w:color w:val="0000FF"/>
        </w:rPr>
        <w:t>Data holders</w:t>
      </w:r>
    </w:p>
    <w:p w14:paraId="6317BCF4" w14:textId="77777777" w:rsidR="00D159DC" w:rsidRPr="009B680A" w:rsidRDefault="00D159DC" w:rsidP="00D159DC">
      <w:pPr>
        <w:pStyle w:val="subsection"/>
        <w:rPr>
          <w:color w:val="0000FF"/>
        </w:rPr>
      </w:pPr>
      <w:r w:rsidRPr="009B680A">
        <w:rPr>
          <w:color w:val="0000FF"/>
        </w:rPr>
        <w:tab/>
        <w:t>(2)</w:t>
      </w:r>
      <w:r w:rsidRPr="009B680A">
        <w:rPr>
          <w:color w:val="0000FF"/>
        </w:rPr>
        <w:tab/>
        <w:t>For the purposes of rule 6.2, a retailer must be an EWO member.</w:t>
      </w:r>
    </w:p>
    <w:p w14:paraId="20B8CF95" w14:textId="77777777" w:rsidR="00D159DC" w:rsidRPr="009B680A" w:rsidRDefault="00D159DC" w:rsidP="00D159DC">
      <w:pPr>
        <w:pStyle w:val="subsection"/>
        <w:rPr>
          <w:color w:val="0000FF"/>
        </w:rPr>
      </w:pPr>
      <w:r w:rsidRPr="009B680A">
        <w:rPr>
          <w:color w:val="0000FF"/>
        </w:rPr>
        <w:lastRenderedPageBreak/>
        <w:tab/>
        <w:t>(3)</w:t>
      </w:r>
      <w:r w:rsidRPr="009B680A">
        <w:rPr>
          <w:color w:val="0000FF"/>
        </w:rPr>
        <w:tab/>
        <w:t xml:space="preserve">For this clause, retailer is </w:t>
      </w:r>
      <w:r w:rsidRPr="009B680A">
        <w:rPr>
          <w:b/>
          <w:i/>
          <w:color w:val="0000FF"/>
        </w:rPr>
        <w:t>an EWO member</w:t>
      </w:r>
      <w:r w:rsidRPr="009B680A">
        <w:rPr>
          <w:color w:val="0000FF"/>
        </w:rPr>
        <w:t xml:space="preserve"> if, in each relevant jurisdiction:</w:t>
      </w:r>
    </w:p>
    <w:p w14:paraId="6D005307" w14:textId="77777777" w:rsidR="00D159DC" w:rsidRPr="009B680A" w:rsidRDefault="00D159DC" w:rsidP="00D159DC">
      <w:pPr>
        <w:pStyle w:val="paragraph"/>
        <w:rPr>
          <w:color w:val="0000FF"/>
        </w:rPr>
      </w:pPr>
      <w:r w:rsidRPr="009B680A">
        <w:rPr>
          <w:color w:val="0000FF"/>
        </w:rPr>
        <w:tab/>
        <w:t>(a)</w:t>
      </w:r>
      <w:r w:rsidRPr="009B680A">
        <w:rPr>
          <w:color w:val="0000FF"/>
        </w:rPr>
        <w:tab/>
        <w:t>if the jurisdiction has an energy and water ombudsman recognised in accordance with section 56DA of the Act—the retailer is a member of that ombudsman in relation to CDR consumer complaints; and</w:t>
      </w:r>
    </w:p>
    <w:p w14:paraId="407E33D2" w14:textId="77777777" w:rsidR="00D159DC" w:rsidRPr="009B680A" w:rsidRDefault="00D159DC" w:rsidP="00D159DC">
      <w:pPr>
        <w:pStyle w:val="paragraph"/>
        <w:rPr>
          <w:color w:val="0000FF"/>
        </w:rPr>
      </w:pPr>
      <w:r w:rsidRPr="009B680A">
        <w:rPr>
          <w:color w:val="0000FF"/>
        </w:rPr>
        <w:tab/>
        <w:t>(b)</w:t>
      </w:r>
      <w:r w:rsidRPr="009B680A">
        <w:rPr>
          <w:color w:val="0000FF"/>
        </w:rPr>
        <w:tab/>
        <w:t>otherwise—the retailer has taken the necessary steps to participate in the dispute resolution process provided by the jurisdiction that is appropriate for CDR consumer complaints.</w:t>
      </w:r>
    </w:p>
    <w:p w14:paraId="4496D7EE" w14:textId="77777777" w:rsidR="00D159DC" w:rsidRPr="009B680A" w:rsidRDefault="00D159DC" w:rsidP="00D159DC">
      <w:pPr>
        <w:pStyle w:val="SubsectionHead"/>
        <w:rPr>
          <w:color w:val="0000FF"/>
        </w:rPr>
      </w:pPr>
      <w:r w:rsidRPr="009B680A">
        <w:rPr>
          <w:color w:val="0000FF"/>
        </w:rPr>
        <w:t>Certain accredited persons that are also retailers</w:t>
      </w:r>
    </w:p>
    <w:p w14:paraId="69E69ABA" w14:textId="77777777" w:rsidR="00D159DC" w:rsidRPr="009B680A" w:rsidRDefault="00D159DC" w:rsidP="002A36C1">
      <w:pPr>
        <w:pStyle w:val="subsection"/>
        <w:rPr>
          <w:color w:val="0000FF"/>
        </w:rPr>
      </w:pPr>
      <w:r w:rsidRPr="009B680A">
        <w:rPr>
          <w:color w:val="0000FF"/>
        </w:rPr>
        <w:tab/>
        <w:t>(4)</w:t>
      </w:r>
      <w:r w:rsidRPr="009B680A">
        <w:rPr>
          <w:color w:val="0000FF"/>
        </w:rPr>
        <w:tab/>
        <w:t>A retailer that</w:t>
      </w:r>
      <w:r w:rsidR="002A36C1" w:rsidRPr="009B680A">
        <w:rPr>
          <w:color w:val="0000FF"/>
        </w:rPr>
        <w:t xml:space="preserve">  is</w:t>
      </w:r>
      <w:r w:rsidRPr="009B680A">
        <w:rPr>
          <w:color w:val="0000FF"/>
        </w:rPr>
        <w:t>, or becomes, an accredited person</w:t>
      </w:r>
      <w:r w:rsidR="002A36C1" w:rsidRPr="009B680A">
        <w:rPr>
          <w:color w:val="0000FF"/>
        </w:rPr>
        <w:t xml:space="preserve"> need not be a member of the Australian Financial Complaints Authority if:</w:t>
      </w:r>
    </w:p>
    <w:p w14:paraId="4ECAC688" w14:textId="77777777" w:rsidR="00D159DC" w:rsidRPr="009B680A" w:rsidRDefault="00D159DC" w:rsidP="00D159DC">
      <w:pPr>
        <w:pStyle w:val="paragraph"/>
        <w:rPr>
          <w:color w:val="0000FF"/>
        </w:rPr>
      </w:pPr>
      <w:r w:rsidRPr="009B680A">
        <w:rPr>
          <w:color w:val="0000FF"/>
        </w:rPr>
        <w:tab/>
        <w:t>(</w:t>
      </w:r>
      <w:r w:rsidR="002A36C1" w:rsidRPr="009B680A">
        <w:rPr>
          <w:color w:val="0000FF"/>
        </w:rPr>
        <w:t>a</w:t>
      </w:r>
      <w:r w:rsidRPr="009B680A">
        <w:rPr>
          <w:color w:val="0000FF"/>
        </w:rPr>
        <w:t>)</w:t>
      </w:r>
      <w:r w:rsidRPr="009B680A">
        <w:rPr>
          <w:color w:val="0000FF"/>
        </w:rPr>
        <w:tab/>
      </w:r>
      <w:r w:rsidR="002A36C1" w:rsidRPr="009B680A">
        <w:rPr>
          <w:color w:val="0000FF"/>
        </w:rPr>
        <w:t xml:space="preserve">it </w:t>
      </w:r>
      <w:r w:rsidRPr="009B680A">
        <w:rPr>
          <w:color w:val="0000FF"/>
        </w:rPr>
        <w:t>uses any energy sector CDR data that it collects only in order to provide goods or services within the energy sector; and</w:t>
      </w:r>
    </w:p>
    <w:p w14:paraId="542F3E00" w14:textId="77777777" w:rsidR="00D159DC" w:rsidRPr="009B680A" w:rsidRDefault="00D159DC" w:rsidP="002A36C1">
      <w:pPr>
        <w:pStyle w:val="paragraph"/>
        <w:rPr>
          <w:color w:val="0000FF"/>
        </w:rPr>
      </w:pPr>
      <w:r w:rsidRPr="009B680A">
        <w:rPr>
          <w:color w:val="0000FF"/>
        </w:rPr>
        <w:tab/>
        <w:t>(</w:t>
      </w:r>
      <w:r w:rsidR="002A36C1" w:rsidRPr="009B680A">
        <w:rPr>
          <w:color w:val="0000FF"/>
        </w:rPr>
        <w:t>b</w:t>
      </w:r>
      <w:r w:rsidRPr="009B680A">
        <w:rPr>
          <w:color w:val="0000FF"/>
        </w:rPr>
        <w:t>)</w:t>
      </w:r>
      <w:r w:rsidRPr="009B680A">
        <w:rPr>
          <w:color w:val="0000FF"/>
        </w:rPr>
        <w:tab/>
      </w:r>
      <w:r w:rsidR="002A36C1" w:rsidRPr="009B680A">
        <w:rPr>
          <w:color w:val="0000FF"/>
        </w:rPr>
        <w:t xml:space="preserve">it </w:t>
      </w:r>
      <w:r w:rsidRPr="009B680A">
        <w:rPr>
          <w:color w:val="0000FF"/>
        </w:rPr>
        <w:t>does not use non-energy sector CDR data that it collects in order to provide services outside the energy sector;</w:t>
      </w:r>
    </w:p>
    <w:p w14:paraId="336A63BD" w14:textId="77777777" w:rsidR="00D159DC" w:rsidRPr="009B680A" w:rsidRDefault="00D159DC" w:rsidP="00D159DC">
      <w:pPr>
        <w:pStyle w:val="notetext"/>
        <w:rPr>
          <w:b/>
          <w:color w:val="0000FF"/>
        </w:rPr>
      </w:pPr>
      <w:r w:rsidRPr="009B680A">
        <w:rPr>
          <w:color w:val="0000FF"/>
        </w:rPr>
        <w:t>Note:</w:t>
      </w:r>
      <w:r w:rsidRPr="009B680A">
        <w:rPr>
          <w:color w:val="0000FF"/>
        </w:rPr>
        <w:tab/>
        <w:t xml:space="preserve">A retailer that </w:t>
      </w:r>
      <w:r w:rsidR="002A36C1" w:rsidRPr="009B680A">
        <w:rPr>
          <w:color w:val="0000FF"/>
        </w:rPr>
        <w:t xml:space="preserve">is, or becomes, an accredited person must otherwise </w:t>
      </w:r>
      <w:r w:rsidRPr="009B680A">
        <w:rPr>
          <w:color w:val="0000FF"/>
        </w:rPr>
        <w:t>be both a</w:t>
      </w:r>
      <w:r w:rsidR="00E523BF" w:rsidRPr="009B680A">
        <w:rPr>
          <w:color w:val="0000FF"/>
        </w:rPr>
        <w:t xml:space="preserve">n EWO member </w:t>
      </w:r>
      <w:r w:rsidRPr="009B680A">
        <w:rPr>
          <w:color w:val="0000FF"/>
        </w:rPr>
        <w:t xml:space="preserve">and a member of the Australian Financial Complaints </w:t>
      </w:r>
      <w:r w:rsidR="00E523BF" w:rsidRPr="009B680A">
        <w:rPr>
          <w:color w:val="0000FF"/>
        </w:rPr>
        <w:t>A</w:t>
      </w:r>
      <w:r w:rsidRPr="009B680A">
        <w:rPr>
          <w:color w:val="0000FF"/>
        </w:rPr>
        <w:t>uthority.</w:t>
      </w:r>
    </w:p>
    <w:p w14:paraId="1381060E" w14:textId="77777777" w:rsidR="009B680A" w:rsidRPr="009B680A" w:rsidRDefault="009B680A" w:rsidP="009B680A">
      <w:pPr>
        <w:shd w:val="clear" w:color="auto" w:fill="FFFFFF"/>
        <w:spacing w:before="280" w:line="240" w:lineRule="auto"/>
        <w:ind w:left="1134" w:hanging="1134"/>
        <w:rPr>
          <w:rFonts w:eastAsia="Times New Roman" w:cs="Times New Roman"/>
          <w:b/>
          <w:bCs/>
          <w:strike/>
          <w:color w:val="0000FF"/>
          <w:sz w:val="24"/>
          <w:szCs w:val="24"/>
          <w:lang w:eastAsia="en-AU"/>
        </w:rPr>
      </w:pPr>
      <w:bookmarkStart w:id="740" w:name="_Toc96610752"/>
      <w:r w:rsidRPr="009B680A">
        <w:rPr>
          <w:rFonts w:eastAsia="Times New Roman" w:cs="Times New Roman"/>
          <w:b/>
          <w:bCs/>
          <w:strike/>
          <w:color w:val="0000FF"/>
          <w:sz w:val="24"/>
          <w:szCs w:val="24"/>
          <w:lang w:eastAsia="en-AU"/>
        </w:rPr>
        <w:t>5.2  External dispute resolution requirements—energy sector</w:t>
      </w:r>
      <w:bookmarkEnd w:id="740"/>
    </w:p>
    <w:p w14:paraId="57D209FF" w14:textId="77777777" w:rsidR="009B680A" w:rsidRPr="009B680A" w:rsidRDefault="009B680A" w:rsidP="009B680A">
      <w:pPr>
        <w:shd w:val="clear" w:color="auto" w:fill="FFFFFF"/>
        <w:spacing w:before="122" w:line="198" w:lineRule="atLeast"/>
        <w:ind w:left="709" w:hanging="709"/>
        <w:rPr>
          <w:rFonts w:eastAsia="Times New Roman" w:cs="Times New Roman"/>
          <w:strike/>
          <w:color w:val="0000FF"/>
          <w:sz w:val="18"/>
          <w:szCs w:val="18"/>
          <w:lang w:eastAsia="en-AU"/>
        </w:rPr>
      </w:pPr>
      <w:r w:rsidRPr="009B680A">
        <w:rPr>
          <w:rFonts w:eastAsia="Times New Roman" w:cs="Times New Roman"/>
          <w:strike/>
          <w:color w:val="0000FF"/>
          <w:sz w:val="18"/>
          <w:szCs w:val="18"/>
          <w:lang w:eastAsia="en-AU"/>
        </w:rPr>
        <w:t>Note:       The Australian Financial Complaints Authority and the energy and water ombudsman of each State and Territory are recognised as external dispute resolution schemes for section 56DA of the Act.</w:t>
      </w:r>
    </w:p>
    <w:p w14:paraId="2FD65D58" w14:textId="77777777" w:rsidR="009B680A" w:rsidRPr="009B680A" w:rsidRDefault="009B680A" w:rsidP="009B680A">
      <w:pPr>
        <w:shd w:val="clear" w:color="auto" w:fill="FFFFFF"/>
        <w:spacing w:before="240" w:line="240" w:lineRule="auto"/>
        <w:ind w:left="1134"/>
        <w:rPr>
          <w:rFonts w:eastAsia="Times New Roman" w:cs="Times New Roman"/>
          <w:i/>
          <w:iCs/>
          <w:strike/>
          <w:color w:val="0000FF"/>
          <w:szCs w:val="22"/>
          <w:lang w:eastAsia="en-AU"/>
        </w:rPr>
      </w:pPr>
      <w:r w:rsidRPr="009B680A">
        <w:rPr>
          <w:rFonts w:eastAsia="Times New Roman" w:cs="Times New Roman"/>
          <w:i/>
          <w:iCs/>
          <w:strike/>
          <w:color w:val="0000FF"/>
          <w:szCs w:val="22"/>
          <w:lang w:eastAsia="en-AU"/>
        </w:rPr>
        <w:t>Accredited persons</w:t>
      </w:r>
    </w:p>
    <w:p w14:paraId="4DC7CD6A" w14:textId="77777777" w:rsidR="009B680A" w:rsidRPr="009B680A" w:rsidRDefault="009B680A" w:rsidP="009B680A">
      <w:pPr>
        <w:shd w:val="clear" w:color="auto" w:fill="FFFFFF"/>
        <w:spacing w:before="180" w:line="240" w:lineRule="auto"/>
        <w:ind w:left="1134" w:hanging="1134"/>
        <w:rPr>
          <w:rFonts w:eastAsia="Times New Roman" w:cs="Times New Roman"/>
          <w:strike/>
          <w:color w:val="0000FF"/>
          <w:szCs w:val="22"/>
          <w:lang w:eastAsia="en-AU"/>
        </w:rPr>
      </w:pPr>
      <w:r w:rsidRPr="009B680A">
        <w:rPr>
          <w:rFonts w:eastAsia="Times New Roman" w:cs="Times New Roman"/>
          <w:strike/>
          <w:color w:val="0000FF"/>
          <w:szCs w:val="22"/>
          <w:lang w:eastAsia="en-AU"/>
        </w:rPr>
        <w:t>             (1)  For the purposes of paragraph 5.12(1)(c) of these rules, an accredited person, other than an accredited person to which subclause (3) applies, must be a member of the Australian Financial Complaints Authority in relation to CDR consumer complaints.</w:t>
      </w:r>
    </w:p>
    <w:p w14:paraId="05202A30" w14:textId="77777777" w:rsidR="009B680A" w:rsidRPr="009B680A" w:rsidRDefault="009B680A" w:rsidP="009B680A">
      <w:pPr>
        <w:shd w:val="clear" w:color="auto" w:fill="FFFFFF"/>
        <w:spacing w:before="240" w:line="240" w:lineRule="auto"/>
        <w:ind w:left="1134"/>
        <w:rPr>
          <w:rFonts w:eastAsia="Times New Roman" w:cs="Times New Roman"/>
          <w:i/>
          <w:iCs/>
          <w:strike/>
          <w:color w:val="0000FF"/>
          <w:szCs w:val="22"/>
          <w:lang w:eastAsia="en-AU"/>
        </w:rPr>
      </w:pPr>
      <w:r w:rsidRPr="009B680A">
        <w:rPr>
          <w:rFonts w:eastAsia="Times New Roman" w:cs="Times New Roman"/>
          <w:i/>
          <w:iCs/>
          <w:strike/>
          <w:color w:val="0000FF"/>
          <w:szCs w:val="22"/>
          <w:lang w:eastAsia="en-AU"/>
        </w:rPr>
        <w:t>Data holders</w:t>
      </w:r>
    </w:p>
    <w:p w14:paraId="3DFF1C46" w14:textId="77777777" w:rsidR="009B680A" w:rsidRPr="009B680A" w:rsidRDefault="009B680A" w:rsidP="009B680A">
      <w:pPr>
        <w:shd w:val="clear" w:color="auto" w:fill="FFFFFF"/>
        <w:spacing w:before="180" w:line="240" w:lineRule="auto"/>
        <w:ind w:left="1134" w:hanging="1134"/>
        <w:rPr>
          <w:rFonts w:eastAsia="Times New Roman" w:cs="Times New Roman"/>
          <w:strike/>
          <w:color w:val="0000FF"/>
          <w:szCs w:val="22"/>
          <w:lang w:eastAsia="en-AU"/>
        </w:rPr>
      </w:pPr>
      <w:r w:rsidRPr="009B680A">
        <w:rPr>
          <w:rFonts w:eastAsia="Times New Roman" w:cs="Times New Roman"/>
          <w:strike/>
          <w:color w:val="0000FF"/>
          <w:szCs w:val="22"/>
          <w:lang w:eastAsia="en-AU"/>
        </w:rPr>
        <w:t>             (2)  For the purposes of rule 6.2 (Requirement for data holders—external dispute resolution), a retailer must, in each relevant jurisdiction:</w:t>
      </w:r>
    </w:p>
    <w:p w14:paraId="7EEC830A"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(a)  if the jurisdiction has an energy and water ombudsman recognised in accordance with section 56DA of the Act—be a member of that ombudsman in relation to CDR consumer complaints; and</w:t>
      </w:r>
    </w:p>
    <w:p w14:paraId="526C2020"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(b)  otherwise—take the necessary steps to participate in the dispute resolution process provided by the jurisdiction that is appropriate for CDR consumer complaints.</w:t>
      </w:r>
    </w:p>
    <w:p w14:paraId="19195175" w14:textId="77777777" w:rsidR="009B680A" w:rsidRPr="009B680A" w:rsidRDefault="009B680A" w:rsidP="009B680A">
      <w:pPr>
        <w:shd w:val="clear" w:color="auto" w:fill="FFFFFF"/>
        <w:spacing w:before="240" w:line="240" w:lineRule="auto"/>
        <w:ind w:left="1134"/>
        <w:rPr>
          <w:rFonts w:eastAsia="Times New Roman" w:cs="Times New Roman"/>
          <w:i/>
          <w:iCs/>
          <w:strike/>
          <w:color w:val="0000FF"/>
          <w:szCs w:val="22"/>
          <w:lang w:eastAsia="en-AU"/>
        </w:rPr>
      </w:pPr>
      <w:r w:rsidRPr="009B680A">
        <w:rPr>
          <w:rFonts w:eastAsia="Times New Roman" w:cs="Times New Roman"/>
          <w:i/>
          <w:iCs/>
          <w:strike/>
          <w:color w:val="0000FF"/>
          <w:szCs w:val="22"/>
          <w:lang w:eastAsia="en-AU"/>
        </w:rPr>
        <w:t>Certain accredited persons that are also retailers</w:t>
      </w:r>
    </w:p>
    <w:p w14:paraId="7B56A335" w14:textId="77777777" w:rsidR="009B680A" w:rsidRPr="009B680A" w:rsidRDefault="009B680A" w:rsidP="009B680A">
      <w:pPr>
        <w:shd w:val="clear" w:color="auto" w:fill="FFFFFF"/>
        <w:spacing w:before="180" w:line="240" w:lineRule="auto"/>
        <w:ind w:left="1134" w:hanging="1134"/>
        <w:rPr>
          <w:rFonts w:eastAsia="Times New Roman" w:cs="Times New Roman"/>
          <w:strike/>
          <w:color w:val="0000FF"/>
          <w:szCs w:val="22"/>
          <w:lang w:eastAsia="en-AU"/>
        </w:rPr>
      </w:pPr>
      <w:r w:rsidRPr="009B680A">
        <w:rPr>
          <w:rFonts w:eastAsia="Times New Roman" w:cs="Times New Roman"/>
          <w:strike/>
          <w:color w:val="0000FF"/>
          <w:szCs w:val="22"/>
          <w:lang w:eastAsia="en-AU"/>
        </w:rPr>
        <w:t>             (3)  For the purposes of paragraph 5.12(1)(c) of these rules, a retailer that:</w:t>
      </w:r>
    </w:p>
    <w:p w14:paraId="45C020D0"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(a)  is, or becomes, an accredited person; and</w:t>
      </w:r>
    </w:p>
    <w:p w14:paraId="76B7AF70"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(b)  does not use any energy sector CDR data that it collects in order to provide services outside the energy sector;</w:t>
      </w:r>
    </w:p>
    <w:p w14:paraId="7FD260C2" w14:textId="77777777" w:rsidR="009B680A" w:rsidRPr="009B680A" w:rsidRDefault="009B680A" w:rsidP="009B680A">
      <w:pPr>
        <w:shd w:val="clear" w:color="auto" w:fill="FFFFFF"/>
        <w:spacing w:before="40" w:line="240" w:lineRule="auto"/>
        <w:ind w:left="1134" w:hanging="1134"/>
        <w:rPr>
          <w:rFonts w:eastAsia="Times New Roman" w:cs="Times New Roman"/>
          <w:strike/>
          <w:color w:val="0000FF"/>
          <w:szCs w:val="22"/>
          <w:lang w:eastAsia="en-AU"/>
        </w:rPr>
      </w:pPr>
      <w:r w:rsidRPr="009B680A">
        <w:rPr>
          <w:rFonts w:eastAsia="Times New Roman" w:cs="Times New Roman"/>
          <w:strike/>
          <w:color w:val="0000FF"/>
          <w:szCs w:val="22"/>
          <w:lang w:eastAsia="en-AU"/>
        </w:rPr>
        <w:t>                   must, in each relevant jurisdiction:</w:t>
      </w:r>
    </w:p>
    <w:p w14:paraId="44D6E318"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lastRenderedPageBreak/>
        <w:t>                     (c)  if the jurisdiction has an energy and water ombudsman recognised in accordance with section 56DA of the Act—be a member of the that ombudsman in relation to CDR consumer complaints; and</w:t>
      </w:r>
    </w:p>
    <w:p w14:paraId="02D2E9DD" w14:textId="77777777" w:rsidR="009B680A" w:rsidRPr="009B680A" w:rsidRDefault="009B680A" w:rsidP="009B680A">
      <w:pPr>
        <w:shd w:val="clear" w:color="auto" w:fill="FFFFFF"/>
        <w:spacing w:before="40" w:line="240" w:lineRule="auto"/>
        <w:ind w:left="1644" w:hanging="1644"/>
        <w:rPr>
          <w:rFonts w:eastAsia="Times New Roman" w:cs="Times New Roman"/>
          <w:strike/>
          <w:color w:val="0000FF"/>
          <w:szCs w:val="22"/>
          <w:lang w:eastAsia="en-AU"/>
        </w:rPr>
      </w:pPr>
      <w:r w:rsidRPr="009B680A">
        <w:rPr>
          <w:rFonts w:eastAsia="Times New Roman" w:cs="Times New Roman"/>
          <w:strike/>
          <w:color w:val="0000FF"/>
          <w:szCs w:val="22"/>
          <w:lang w:eastAsia="en-AU"/>
        </w:rPr>
        <w:t>                     (d)  otherwise—take the necessary steps to participate in the dispute resolution process provided by the jurisdiction that is appropriate for such CDR consumer complaints.</w:t>
      </w:r>
    </w:p>
    <w:p w14:paraId="7062641A" w14:textId="77777777" w:rsidR="00BB7660" w:rsidRPr="00A00F6F" w:rsidRDefault="00BB7660" w:rsidP="00BB7660">
      <w:pPr>
        <w:pStyle w:val="ActHead2"/>
      </w:pPr>
      <w:bookmarkStart w:id="741" w:name="_Toc111132317"/>
      <w:r w:rsidRPr="00A00F6F">
        <w:t>Part 6—Privacy safeguards―energy sector</w:t>
      </w:r>
      <w:bookmarkEnd w:id="741"/>
    </w:p>
    <w:p w14:paraId="09A728B8" w14:textId="77777777" w:rsidR="00BB7660" w:rsidRPr="00A00F6F" w:rsidRDefault="00BB7660" w:rsidP="00BB7660">
      <w:pPr>
        <w:pStyle w:val="ActHead5"/>
      </w:pPr>
      <w:bookmarkStart w:id="742" w:name="_Toc111132318"/>
      <w:r w:rsidRPr="00A00F6F">
        <w:t>6.1  Responding to correction request (rule 7.15)</w:t>
      </w:r>
      <w:bookmarkEnd w:id="742"/>
    </w:p>
    <w:p w14:paraId="6CD1DB34" w14:textId="77777777" w:rsidR="00BB7660" w:rsidRPr="00A00F6F" w:rsidRDefault="00BB7660" w:rsidP="00BB7660">
      <w:pPr>
        <w:pStyle w:val="subsection"/>
      </w:pPr>
      <w:r w:rsidRPr="00A00F6F">
        <w:tab/>
        <w:t>(1)</w:t>
      </w:r>
      <w:r w:rsidRPr="00A00F6F">
        <w:tab/>
        <w:t>This clause applies to a retailer that receives a request under subsection 56EP(1) or (2) of the Act that relates to AEMO data.</w:t>
      </w:r>
    </w:p>
    <w:p w14:paraId="49D35B37" w14:textId="77777777" w:rsidR="00BB7660" w:rsidRPr="00A00F6F" w:rsidRDefault="00BB7660" w:rsidP="00BB7660">
      <w:pPr>
        <w:pStyle w:val="subsection"/>
      </w:pPr>
      <w:r w:rsidRPr="00A00F6F">
        <w:tab/>
        <w:t>(2)</w:t>
      </w:r>
      <w:r w:rsidRPr="00A00F6F">
        <w:tab/>
        <w:t>In relation to the AEMO data, rule 7.15 applies as if paragraphs (b) and (c) were replaced by the following:</w:t>
      </w:r>
    </w:p>
    <w:p w14:paraId="4C5F3A9A" w14:textId="77777777" w:rsidR="00BB7660" w:rsidRPr="00A00F6F" w:rsidRDefault="00BB7660" w:rsidP="00BB7660">
      <w:pPr>
        <w:pStyle w:val="paragraph"/>
      </w:pPr>
      <w:r w:rsidRPr="00A00F6F">
        <w:tab/>
        <w:t>“ (b)</w:t>
      </w:r>
      <w:r w:rsidRPr="00A00F6F">
        <w:tab/>
        <w:t>as soon as practicable:</w:t>
      </w:r>
    </w:p>
    <w:p w14:paraId="7C57F5D1" w14:textId="77777777" w:rsidR="00BB7660" w:rsidRPr="00A00F6F" w:rsidRDefault="00BB7660" w:rsidP="00BB7660">
      <w:pPr>
        <w:pStyle w:val="paragraphsub"/>
        <w:rPr>
          <w:rFonts w:eastAsia="Calibri"/>
        </w:rPr>
      </w:pPr>
      <w:r w:rsidRPr="00A00F6F">
        <w:rPr>
          <w:rFonts w:eastAsia="Calibri"/>
        </w:rPr>
        <w:tab/>
        <w:t>(i)</w:t>
      </w:r>
      <w:r w:rsidRPr="00A00F6F">
        <w:rPr>
          <w:rFonts w:eastAsia="Calibri"/>
        </w:rPr>
        <w:tab/>
        <w:t xml:space="preserve">initiate the relevant correction </w:t>
      </w:r>
      <w:r w:rsidRPr="00A00F6F">
        <w:t xml:space="preserve">procedures under the National Electricity Rules </w:t>
      </w:r>
      <w:r w:rsidRPr="00A00F6F">
        <w:rPr>
          <w:rFonts w:eastAsia="Calibri"/>
        </w:rPr>
        <w:t>in relation to any NMI standing data or metering data for which correction is requested; and</w:t>
      </w:r>
    </w:p>
    <w:p w14:paraId="557E44E4" w14:textId="77777777" w:rsidR="00BB7660" w:rsidRPr="00A00F6F" w:rsidRDefault="00BB7660" w:rsidP="00BB7660">
      <w:pPr>
        <w:pStyle w:val="paragraphsub"/>
      </w:pPr>
      <w:r w:rsidRPr="00A00F6F">
        <w:rPr>
          <w:rFonts w:eastAsia="Calibri"/>
        </w:rPr>
        <w:tab/>
        <w:t>(ii)</w:t>
      </w:r>
      <w:r w:rsidRPr="00A00F6F">
        <w:rPr>
          <w:rFonts w:eastAsia="Calibri"/>
        </w:rPr>
        <w:tab/>
      </w:r>
      <w:r w:rsidRPr="00A00F6F">
        <w:t>if the request relates to DER register data, provide the requester with information about how the requester can contact the distributor to have the data corrected</w:t>
      </w:r>
      <w:r w:rsidRPr="00A00F6F">
        <w:rPr>
          <w:rFonts w:eastAsia="Calibri"/>
        </w:rPr>
        <w:t>.</w:t>
      </w:r>
      <w:r w:rsidRPr="00A00F6F">
        <w:t>”.</w:t>
      </w:r>
    </w:p>
    <w:p w14:paraId="6825C34E" w14:textId="77777777" w:rsidR="00BB7660" w:rsidRPr="00A00F6F" w:rsidRDefault="00BB7660" w:rsidP="00BB7660">
      <w:pPr>
        <w:pStyle w:val="ActHead2"/>
      </w:pPr>
      <w:bookmarkStart w:id="743" w:name="_Toc111132319"/>
      <w:r w:rsidRPr="00A00F6F">
        <w:t>Part 7—Reporting and record keeping―energy sector</w:t>
      </w:r>
      <w:bookmarkEnd w:id="743"/>
    </w:p>
    <w:p w14:paraId="0BC2776F" w14:textId="77777777" w:rsidR="00BB7660" w:rsidRPr="00A00F6F" w:rsidRDefault="00BB7660" w:rsidP="00BB7660">
      <w:pPr>
        <w:pStyle w:val="ActHead5"/>
      </w:pPr>
      <w:bookmarkStart w:id="744" w:name="_Toc111132320"/>
      <w:r w:rsidRPr="00A00F6F">
        <w:t>7.1  Reporting requirements (rule 9.4)</w:t>
      </w:r>
      <w:bookmarkEnd w:id="744"/>
    </w:p>
    <w:p w14:paraId="3E6C869C" w14:textId="77777777" w:rsidR="00BB7660" w:rsidRPr="00A00F6F" w:rsidRDefault="00BB7660" w:rsidP="00BB7660">
      <w:pPr>
        <w:pStyle w:val="subsection"/>
      </w:pPr>
      <w:r w:rsidRPr="00A00F6F">
        <w:tab/>
      </w:r>
      <w:r w:rsidRPr="00A00F6F">
        <w:tab/>
        <w:t xml:space="preserve">Rule 9.4 applies to AER and the Victorian agency as if subrule 9.4(1) were replaced by the following, referring to either as “the </w:t>
      </w:r>
      <w:r w:rsidRPr="00A00F6F">
        <w:rPr>
          <w:b/>
          <w:i/>
        </w:rPr>
        <w:t>Agency</w:t>
      </w:r>
      <w:r w:rsidRPr="00A00F6F">
        <w:t>”:</w:t>
      </w:r>
    </w:p>
    <w:p w14:paraId="6474EBBB" w14:textId="77777777" w:rsidR="00BB7660" w:rsidRPr="00A00F6F" w:rsidRDefault="00BB7660" w:rsidP="00BB7660">
      <w:pPr>
        <w:pStyle w:val="subsection"/>
      </w:pPr>
      <w:r w:rsidRPr="00A00F6F">
        <w:tab/>
        <w:t>“(1)</w:t>
      </w:r>
      <w:r w:rsidRPr="00A00F6F">
        <w:tab/>
        <w:t>The Agency must prepare a report for each reporting period that:</w:t>
      </w:r>
    </w:p>
    <w:p w14:paraId="748455B3" w14:textId="77777777" w:rsidR="00BB7660" w:rsidRPr="00A00F6F" w:rsidRDefault="00BB7660" w:rsidP="00BB7660">
      <w:pPr>
        <w:pStyle w:val="paragraph"/>
      </w:pPr>
      <w:r w:rsidRPr="00A00F6F">
        <w:tab/>
        <w:t>(a)</w:t>
      </w:r>
      <w:r w:rsidRPr="00A00F6F">
        <w:tab/>
        <w:t>is in the form approved by the Commission for the purposes of this rule; and</w:t>
      </w:r>
    </w:p>
    <w:p w14:paraId="13D89C08" w14:textId="77777777" w:rsidR="00BB7660" w:rsidRPr="00A00F6F" w:rsidRDefault="00BB7660" w:rsidP="00BB7660">
      <w:pPr>
        <w:pStyle w:val="paragraph"/>
      </w:pPr>
      <w:r w:rsidRPr="00A00F6F">
        <w:tab/>
        <w:t>(b)</w:t>
      </w:r>
      <w:r w:rsidRPr="00A00F6F">
        <w:tab/>
        <w:t>sets out the number (if any) of product data requests received by the Agency during the reporting period; and</w:t>
      </w:r>
    </w:p>
    <w:p w14:paraId="77E696E0" w14:textId="77777777" w:rsidR="00BB7660" w:rsidRPr="00A00F6F" w:rsidRDefault="00BB7660" w:rsidP="00BB7660">
      <w:pPr>
        <w:pStyle w:val="paragraph"/>
      </w:pPr>
      <w:r w:rsidRPr="00A00F6F">
        <w:tab/>
        <w:t>(c)</w:t>
      </w:r>
      <w:r w:rsidRPr="00A00F6F">
        <w:tab/>
        <w:t>sets out:</w:t>
      </w:r>
    </w:p>
    <w:p w14:paraId="64370383" w14:textId="77777777" w:rsidR="00BB7660" w:rsidRPr="00A00F6F" w:rsidRDefault="00BB7660" w:rsidP="00BB7660">
      <w:pPr>
        <w:pStyle w:val="paragraphsub"/>
      </w:pPr>
      <w:r w:rsidRPr="00A00F6F">
        <w:tab/>
        <w:t>(i)</w:t>
      </w:r>
      <w:r w:rsidRPr="00A00F6F">
        <w:tab/>
        <w:t>the number of times the Agency refused to disclose CDR data; and</w:t>
      </w:r>
    </w:p>
    <w:p w14:paraId="2D8EA769" w14:textId="77777777" w:rsidR="00BB7660" w:rsidRPr="00A00F6F" w:rsidRDefault="00BB7660" w:rsidP="00BB7660">
      <w:pPr>
        <w:pStyle w:val="paragraphsub"/>
      </w:pPr>
      <w:r w:rsidRPr="00A00F6F">
        <w:tab/>
        <w:t>(ii)</w:t>
      </w:r>
      <w:r w:rsidRPr="00A00F6F">
        <w:tab/>
        <w:t>the rule or data standard relied upon to refuse to disclose that data; and</w:t>
      </w:r>
    </w:p>
    <w:p w14:paraId="54B9336C" w14:textId="77777777" w:rsidR="00BB7660" w:rsidRPr="00A00F6F" w:rsidRDefault="00BB7660" w:rsidP="00BB7660">
      <w:pPr>
        <w:pStyle w:val="paragraphsub"/>
      </w:pPr>
      <w:r w:rsidRPr="00A00F6F">
        <w:tab/>
        <w:t>(iii)</w:t>
      </w:r>
      <w:r w:rsidRPr="00A00F6F">
        <w:tab/>
        <w:t>the number of times the Agency has relied on each of those rules or data standards as a ground of refusal.”.</w:t>
      </w:r>
    </w:p>
    <w:p w14:paraId="5FF68CA0" w14:textId="77777777" w:rsidR="00BB7660" w:rsidRPr="00A00F6F" w:rsidRDefault="00BB7660" w:rsidP="00BB7660">
      <w:pPr>
        <w:pStyle w:val="ActHead2"/>
      </w:pPr>
      <w:bookmarkStart w:id="745" w:name="_Toc111132321"/>
      <w:r w:rsidRPr="00A00F6F">
        <w:lastRenderedPageBreak/>
        <w:t>Part 8—Staged application of these rules to the energy sector</w:t>
      </w:r>
      <w:bookmarkEnd w:id="745"/>
    </w:p>
    <w:p w14:paraId="107DC087" w14:textId="77777777" w:rsidR="00BB7660" w:rsidRPr="00A00F6F" w:rsidRDefault="00BB7660" w:rsidP="00BB7660">
      <w:pPr>
        <w:pStyle w:val="ActHead5"/>
      </w:pPr>
      <w:bookmarkStart w:id="746" w:name="_Toc111132322"/>
      <w:r w:rsidRPr="00A00F6F">
        <w:t>8.1  Interpretation</w:t>
      </w:r>
      <w:bookmarkEnd w:id="746"/>
    </w:p>
    <w:p w14:paraId="434FABD2" w14:textId="77777777" w:rsidR="00BB7660" w:rsidRPr="00A00F6F" w:rsidRDefault="00BB7660" w:rsidP="00BB7660">
      <w:pPr>
        <w:pStyle w:val="subsection"/>
      </w:pPr>
      <w:r w:rsidRPr="00A00F6F">
        <w:tab/>
      </w:r>
      <w:r w:rsidRPr="00A00F6F">
        <w:tab/>
        <w:t>In this Part:</w:t>
      </w:r>
    </w:p>
    <w:p w14:paraId="627F7AA4" w14:textId="77777777" w:rsidR="00BB7660" w:rsidRPr="00A00F6F" w:rsidRDefault="00BB7660" w:rsidP="00BB7660">
      <w:pPr>
        <w:pStyle w:val="Definition"/>
      </w:pPr>
      <w:r w:rsidRPr="00A00F6F">
        <w:rPr>
          <w:b/>
          <w:i/>
        </w:rPr>
        <w:t>complex request</w:t>
      </w:r>
      <w:r w:rsidRPr="00A00F6F">
        <w:t xml:space="preserve"> means a consumer data request that:</w:t>
      </w:r>
    </w:p>
    <w:p w14:paraId="4F90E03C" w14:textId="77777777" w:rsidR="00BB7660" w:rsidRPr="00A00F6F" w:rsidRDefault="00BB7660" w:rsidP="00BB7660">
      <w:pPr>
        <w:pStyle w:val="paragraph"/>
      </w:pPr>
      <w:r w:rsidRPr="00A00F6F">
        <w:tab/>
        <w:t>(a)</w:t>
      </w:r>
      <w:r w:rsidRPr="00A00F6F">
        <w:tab/>
        <w:t>is made on behalf of a large customer; or</w:t>
      </w:r>
    </w:p>
    <w:p w14:paraId="03F744E7" w14:textId="77777777" w:rsidR="00BB7660" w:rsidRPr="00A00F6F" w:rsidRDefault="00BB7660" w:rsidP="00BB7660">
      <w:pPr>
        <w:pStyle w:val="paragraph"/>
      </w:pPr>
      <w:r w:rsidRPr="00A00F6F">
        <w:tab/>
        <w:t>(b)</w:t>
      </w:r>
      <w:r w:rsidRPr="00A00F6F">
        <w:tab/>
        <w:t>is made on behalf of a secondary user; or</w:t>
      </w:r>
    </w:p>
    <w:p w14:paraId="401B02FF" w14:textId="77777777" w:rsidR="00BB7660" w:rsidRPr="00A00F6F" w:rsidRDefault="00BB7660" w:rsidP="00BB7660">
      <w:pPr>
        <w:pStyle w:val="paragraph"/>
      </w:pPr>
      <w:r w:rsidRPr="00A00F6F">
        <w:tab/>
        <w:t>(c)</w:t>
      </w:r>
      <w:r w:rsidRPr="00A00F6F">
        <w:tab/>
        <w:t>relates to a joint account or a partnership account.</w:t>
      </w:r>
    </w:p>
    <w:p w14:paraId="674EC980" w14:textId="77777777" w:rsidR="00BB7660" w:rsidRPr="00A00F6F" w:rsidRDefault="00BB7660" w:rsidP="00BB7660">
      <w:pPr>
        <w:pStyle w:val="Definition"/>
      </w:pPr>
      <w:r w:rsidRPr="00A00F6F">
        <w:rPr>
          <w:b/>
          <w:i/>
        </w:rPr>
        <w:t>initial retailer</w:t>
      </w:r>
      <w:r w:rsidRPr="00A00F6F">
        <w:t xml:space="preserve"> has the meaning given by clause 8.2.</w:t>
      </w:r>
    </w:p>
    <w:p w14:paraId="54951DAC" w14:textId="77777777" w:rsidR="00BB7660" w:rsidRPr="00A00F6F" w:rsidRDefault="00BB7660" w:rsidP="00BB7660">
      <w:pPr>
        <w:pStyle w:val="Definition"/>
      </w:pPr>
      <w:r w:rsidRPr="00A00F6F">
        <w:rPr>
          <w:b/>
          <w:i/>
        </w:rPr>
        <w:t>large customer</w:t>
      </w:r>
      <w:r w:rsidRPr="00A00F6F">
        <w:t xml:space="preserve"> means a CDR consumer that is:</w:t>
      </w:r>
    </w:p>
    <w:p w14:paraId="77A03815" w14:textId="77777777" w:rsidR="00BB7660" w:rsidRPr="00A00F6F" w:rsidRDefault="00BB7660" w:rsidP="00BB7660">
      <w:pPr>
        <w:pStyle w:val="paragraph"/>
      </w:pPr>
      <w:r w:rsidRPr="00A00F6F">
        <w:tab/>
        <w:t>(a)</w:t>
      </w:r>
      <w:r w:rsidRPr="00A00F6F">
        <w:tab/>
        <w:t xml:space="preserve">in relation to a retailer that is subject to the </w:t>
      </w:r>
      <w:r w:rsidRPr="00A00F6F">
        <w:rPr>
          <w:i/>
        </w:rPr>
        <w:t>Electricity Industry Act</w:t>
      </w:r>
      <w:r w:rsidRPr="00A00F6F">
        <w:t xml:space="preserve"> </w:t>
      </w:r>
      <w:r w:rsidRPr="00A00F6F">
        <w:rPr>
          <w:i/>
        </w:rPr>
        <w:t>2000</w:t>
      </w:r>
      <w:r w:rsidRPr="00A00F6F">
        <w:t xml:space="preserve"> (Vic)—a </w:t>
      </w:r>
      <w:r w:rsidRPr="004A04A4">
        <w:rPr>
          <w:color w:val="0000FF"/>
        </w:rPr>
        <w:t xml:space="preserve">customer that is not a </w:t>
      </w:r>
      <w:r w:rsidRPr="00A00F6F">
        <w:t>relevant customer for the purposes of that Act; or</w:t>
      </w:r>
    </w:p>
    <w:p w14:paraId="58946D59" w14:textId="77777777" w:rsidR="00BB7660" w:rsidRPr="00A00F6F" w:rsidRDefault="00BB7660" w:rsidP="00BB7660">
      <w:pPr>
        <w:pStyle w:val="paragraph"/>
      </w:pPr>
      <w:r w:rsidRPr="00A00F6F">
        <w:tab/>
        <w:t>(b)</w:t>
      </w:r>
      <w:r w:rsidRPr="00A00F6F">
        <w:tab/>
        <w:t>otherwise—a large customer for the purposes of the National Energy Retail Law.</w:t>
      </w:r>
    </w:p>
    <w:p w14:paraId="5133C294" w14:textId="77777777" w:rsidR="00BB7660" w:rsidRPr="00A00F6F" w:rsidRDefault="00BB7660" w:rsidP="00BB7660">
      <w:pPr>
        <w:pStyle w:val="Definition"/>
      </w:pPr>
      <w:r w:rsidRPr="00A00F6F">
        <w:rPr>
          <w:b/>
          <w:i/>
        </w:rPr>
        <w:t xml:space="preserve">larger retailer </w:t>
      </w:r>
      <w:r w:rsidRPr="00A00F6F">
        <w:t>has the meaning given by clause 8.3.</w:t>
      </w:r>
    </w:p>
    <w:p w14:paraId="49BC7A09" w14:textId="77777777" w:rsidR="00BB7660" w:rsidRPr="00A00F6F" w:rsidRDefault="00BB7660" w:rsidP="00BB7660">
      <w:pPr>
        <w:pStyle w:val="Definition"/>
      </w:pPr>
      <w:r w:rsidRPr="00A00F6F">
        <w:rPr>
          <w:b/>
          <w:i/>
        </w:rPr>
        <w:t xml:space="preserve">small retailer </w:t>
      </w:r>
      <w:r w:rsidRPr="00A00F6F">
        <w:t>means a retailer that is not either an initial retailer or a larger retailer.</w:t>
      </w:r>
    </w:p>
    <w:p w14:paraId="5EA2960A" w14:textId="77777777" w:rsidR="00BB7660" w:rsidRPr="00A00F6F" w:rsidRDefault="00BB7660" w:rsidP="00BB7660">
      <w:pPr>
        <w:pStyle w:val="Definition"/>
      </w:pPr>
      <w:r w:rsidRPr="00A00F6F">
        <w:rPr>
          <w:b/>
          <w:i/>
        </w:rPr>
        <w:t xml:space="preserve">tranche 1 date </w:t>
      </w:r>
      <w:r w:rsidRPr="00A00F6F">
        <w:t>means 15 November 2022.</w:t>
      </w:r>
    </w:p>
    <w:p w14:paraId="1E62F79E" w14:textId="77777777" w:rsidR="00BB7660" w:rsidRPr="00A00F6F" w:rsidRDefault="00BB7660" w:rsidP="00BB7660">
      <w:pPr>
        <w:pStyle w:val="Definition"/>
      </w:pPr>
      <w:r w:rsidRPr="00A00F6F">
        <w:rPr>
          <w:b/>
          <w:i/>
        </w:rPr>
        <w:t xml:space="preserve">tranche 1 (VA) date </w:t>
      </w:r>
      <w:r w:rsidRPr="00A00F6F">
        <w:t>means a date specified by the Minister in a notifiable instrument made for the purposes of this definition.</w:t>
      </w:r>
    </w:p>
    <w:p w14:paraId="55C23726" w14:textId="77777777" w:rsidR="00BB7660" w:rsidRPr="00A00F6F" w:rsidRDefault="00BB7660" w:rsidP="00BB7660">
      <w:pPr>
        <w:pStyle w:val="Definition"/>
      </w:pPr>
      <w:r w:rsidRPr="00A00F6F">
        <w:rPr>
          <w:b/>
          <w:i/>
        </w:rPr>
        <w:t xml:space="preserve">tranche 2 date </w:t>
      </w:r>
      <w:r w:rsidRPr="00A00F6F">
        <w:t>means 15 May 2023.</w:t>
      </w:r>
    </w:p>
    <w:p w14:paraId="16CA82FA" w14:textId="77777777" w:rsidR="00BB7660" w:rsidRPr="00A00F6F" w:rsidRDefault="00BB7660" w:rsidP="00BB7660">
      <w:pPr>
        <w:pStyle w:val="Definition"/>
      </w:pPr>
      <w:r w:rsidRPr="00A00F6F">
        <w:rPr>
          <w:b/>
          <w:i/>
        </w:rPr>
        <w:t xml:space="preserve">tranche 3 date </w:t>
      </w:r>
      <w:r w:rsidRPr="00A00F6F">
        <w:t>means 1 November 2023.</w:t>
      </w:r>
    </w:p>
    <w:p w14:paraId="720F5FF3" w14:textId="77777777" w:rsidR="00BB7660" w:rsidRPr="00A00F6F" w:rsidRDefault="00BB7660" w:rsidP="00BB7660">
      <w:pPr>
        <w:pStyle w:val="Definition"/>
      </w:pPr>
      <w:r w:rsidRPr="00A00F6F">
        <w:rPr>
          <w:b/>
          <w:i/>
        </w:rPr>
        <w:t xml:space="preserve">tranche 4 date </w:t>
      </w:r>
      <w:r w:rsidRPr="00A00F6F">
        <w:t>means 1 May 2024.</w:t>
      </w:r>
    </w:p>
    <w:p w14:paraId="52E0D0C8" w14:textId="77777777" w:rsidR="00BB7660" w:rsidRPr="00A00F6F" w:rsidRDefault="00BB7660" w:rsidP="00BB7660">
      <w:pPr>
        <w:pStyle w:val="ActHead5"/>
      </w:pPr>
      <w:bookmarkStart w:id="747" w:name="_Toc111132323"/>
      <w:r w:rsidRPr="00A00F6F">
        <w:t xml:space="preserve">8.2  Meaning of </w:t>
      </w:r>
      <w:r w:rsidRPr="00A00F6F">
        <w:rPr>
          <w:i/>
        </w:rPr>
        <w:t>initial retailer</w:t>
      </w:r>
      <w:bookmarkEnd w:id="747"/>
    </w:p>
    <w:p w14:paraId="15B66AE4" w14:textId="77777777" w:rsidR="00BB7660" w:rsidRPr="00A00F6F" w:rsidRDefault="00BB7660" w:rsidP="00BB7660">
      <w:pPr>
        <w:pStyle w:val="subsection"/>
      </w:pPr>
      <w:r w:rsidRPr="00A00F6F">
        <w:tab/>
      </w:r>
      <w:r w:rsidRPr="00A00F6F">
        <w:tab/>
        <w:t xml:space="preserve">In this Schedule, </w:t>
      </w:r>
      <w:r w:rsidRPr="00A00F6F">
        <w:rPr>
          <w:b/>
          <w:i/>
        </w:rPr>
        <w:t>initial retailer</w:t>
      </w:r>
      <w:r w:rsidRPr="00A00F6F">
        <w:t xml:space="preserve"> means any of the following:</w:t>
      </w:r>
    </w:p>
    <w:p w14:paraId="122F6554" w14:textId="77777777" w:rsidR="00BB7660" w:rsidRPr="00A00F6F" w:rsidRDefault="00BB7660" w:rsidP="00BB7660">
      <w:pPr>
        <w:pStyle w:val="SubsectionHead"/>
        <w:ind w:left="1746" w:hanging="306"/>
      </w:pPr>
      <w:r w:rsidRPr="00A00F6F">
        <w:t>The AGL Energy Group</w:t>
      </w:r>
    </w:p>
    <w:p w14:paraId="3F4EF958" w14:textId="77777777" w:rsidR="00BB7660" w:rsidRPr="00A00F6F" w:rsidRDefault="00BB7660" w:rsidP="00BB7660">
      <w:pPr>
        <w:pStyle w:val="paragraph"/>
      </w:pPr>
      <w:r w:rsidRPr="00A00F6F">
        <w:tab/>
        <w:t>(a)</w:t>
      </w:r>
      <w:r w:rsidRPr="00A00F6F">
        <w:tab/>
        <w:t>AGL Sales (Queensland Electricity) Pty Limited – ABN 66 078 875 902;</w:t>
      </w:r>
    </w:p>
    <w:p w14:paraId="53C076CA" w14:textId="77777777" w:rsidR="00BB7660" w:rsidRPr="00A00F6F" w:rsidRDefault="00BB7660" w:rsidP="00BB7660">
      <w:pPr>
        <w:pStyle w:val="paragraph"/>
      </w:pPr>
      <w:r w:rsidRPr="00A00F6F">
        <w:tab/>
        <w:t>(b)</w:t>
      </w:r>
      <w:r w:rsidRPr="00A00F6F">
        <w:tab/>
        <w:t>AGL South Australia Pty Ltd - ABN 49 091 105 092;</w:t>
      </w:r>
    </w:p>
    <w:p w14:paraId="199A0AB6" w14:textId="77777777" w:rsidR="00BB7660" w:rsidRPr="00A00F6F" w:rsidRDefault="00BB7660" w:rsidP="00BB7660">
      <w:pPr>
        <w:pStyle w:val="paragraph"/>
      </w:pPr>
      <w:r w:rsidRPr="00A00F6F">
        <w:tab/>
        <w:t>(c)</w:t>
      </w:r>
      <w:r w:rsidRPr="00A00F6F">
        <w:tab/>
        <w:t>AGL Sales Pty Limited - ABN 88 090 538 337;</w:t>
      </w:r>
    </w:p>
    <w:p w14:paraId="4599AE1A" w14:textId="77777777" w:rsidR="00BB7660" w:rsidRPr="00A00F6F" w:rsidRDefault="00BB7660" w:rsidP="00BB7660">
      <w:pPr>
        <w:pStyle w:val="SubsectionHead"/>
        <w:ind w:left="1746" w:hanging="306"/>
      </w:pPr>
      <w:r w:rsidRPr="00A00F6F">
        <w:t>The Origin Energy Group</w:t>
      </w:r>
    </w:p>
    <w:p w14:paraId="33B8E7F3" w14:textId="77777777" w:rsidR="00BB7660" w:rsidRPr="00A00F6F" w:rsidRDefault="00BB7660" w:rsidP="00BB7660">
      <w:pPr>
        <w:pStyle w:val="paragraph"/>
        <w:rPr>
          <w:b/>
          <w:bCs/>
        </w:rPr>
      </w:pPr>
      <w:r w:rsidRPr="00A00F6F">
        <w:tab/>
        <w:t>(d)</w:t>
      </w:r>
      <w:r w:rsidRPr="00A00F6F">
        <w:tab/>
        <w:t>Origin Energy Electricity Limited - ABN 33 071 052 287;</w:t>
      </w:r>
    </w:p>
    <w:p w14:paraId="57A71A36" w14:textId="77777777" w:rsidR="00BB7660" w:rsidRPr="00A00F6F" w:rsidRDefault="00BB7660" w:rsidP="00BB7660">
      <w:pPr>
        <w:pStyle w:val="paragraph"/>
      </w:pPr>
      <w:r w:rsidRPr="00A00F6F">
        <w:tab/>
        <w:t>(e)</w:t>
      </w:r>
      <w:r w:rsidRPr="00A00F6F">
        <w:tab/>
        <w:t>any other subsidiary of Origin Energy Limited authorised or licensed to sell electricity in the National Electricity Market;</w:t>
      </w:r>
    </w:p>
    <w:p w14:paraId="40A567A7" w14:textId="77777777" w:rsidR="00BB7660" w:rsidRPr="00A00F6F" w:rsidRDefault="00BB7660" w:rsidP="00BB7660">
      <w:pPr>
        <w:pStyle w:val="SubsectionHead"/>
        <w:ind w:left="1746" w:hanging="306"/>
      </w:pPr>
      <w:r w:rsidRPr="00A00F6F">
        <w:lastRenderedPageBreak/>
        <w:t>The Energy Australia Group</w:t>
      </w:r>
    </w:p>
    <w:p w14:paraId="248649EF" w14:textId="77777777" w:rsidR="00BB7660" w:rsidRPr="00A00F6F" w:rsidRDefault="00BB7660" w:rsidP="00BB7660">
      <w:pPr>
        <w:pStyle w:val="paragraph"/>
      </w:pPr>
      <w:r w:rsidRPr="00A00F6F">
        <w:tab/>
        <w:t>(f)</w:t>
      </w:r>
      <w:r w:rsidRPr="00A00F6F">
        <w:tab/>
        <w:t>EnergyAustralia Pty Ltd - ABN 99 086 014 968;</w:t>
      </w:r>
    </w:p>
    <w:p w14:paraId="4ECF2E9D" w14:textId="77777777" w:rsidR="00BB7660" w:rsidRPr="00A00F6F" w:rsidRDefault="00BB7660" w:rsidP="00BB7660">
      <w:pPr>
        <w:pStyle w:val="paragraph"/>
      </w:pPr>
      <w:r w:rsidRPr="00A00F6F">
        <w:tab/>
        <w:t>(g)</w:t>
      </w:r>
      <w:r w:rsidRPr="00A00F6F">
        <w:tab/>
        <w:t>EnergyAustralia Yallourn Pty Ltd - ABN 47 065 325 224.</w:t>
      </w:r>
    </w:p>
    <w:p w14:paraId="7D3C203D" w14:textId="77777777" w:rsidR="00BB7660" w:rsidRPr="00A00F6F" w:rsidRDefault="00BB7660" w:rsidP="00BB7660">
      <w:pPr>
        <w:pStyle w:val="ActHead5"/>
      </w:pPr>
      <w:bookmarkStart w:id="748" w:name="_Toc75851181"/>
      <w:bookmarkStart w:id="749" w:name="_Toc111132324"/>
      <w:r w:rsidRPr="00A00F6F">
        <w:t xml:space="preserve">8.3  Meaning of </w:t>
      </w:r>
      <w:r w:rsidRPr="00A00F6F">
        <w:rPr>
          <w:i/>
        </w:rPr>
        <w:t>larger retailer</w:t>
      </w:r>
      <w:bookmarkEnd w:id="748"/>
      <w:bookmarkEnd w:id="749"/>
    </w:p>
    <w:p w14:paraId="06ADB0E3" w14:textId="77777777" w:rsidR="00BB7660" w:rsidRPr="00A00F6F" w:rsidRDefault="00BB7660" w:rsidP="00BB7660">
      <w:pPr>
        <w:pStyle w:val="subsection"/>
      </w:pPr>
      <w:r w:rsidRPr="00A00F6F">
        <w:tab/>
        <w:t>(1)</w:t>
      </w:r>
      <w:r w:rsidRPr="00A00F6F">
        <w:tab/>
        <w:t>For this Part:</w:t>
      </w:r>
    </w:p>
    <w:p w14:paraId="50679728" w14:textId="77777777" w:rsidR="00BB7660" w:rsidRPr="00A00F6F" w:rsidRDefault="00BB7660" w:rsidP="00BB7660">
      <w:pPr>
        <w:pStyle w:val="paragraph"/>
      </w:pPr>
      <w:r w:rsidRPr="00A00F6F">
        <w:tab/>
        <w:t>(a)</w:t>
      </w:r>
      <w:r w:rsidRPr="00A00F6F">
        <w:tab/>
        <w:t xml:space="preserve">a retailer that had 10,000 or more small customers on the amendment day is a </w:t>
      </w:r>
      <w:r w:rsidRPr="00A00F6F">
        <w:rPr>
          <w:b/>
          <w:i/>
        </w:rPr>
        <w:t>larger retailer</w:t>
      </w:r>
      <w:r w:rsidRPr="00A00F6F">
        <w:t>; and</w:t>
      </w:r>
    </w:p>
    <w:p w14:paraId="311EB731" w14:textId="77777777" w:rsidR="00BB7660" w:rsidRPr="00A00F6F" w:rsidRDefault="00BB7660" w:rsidP="00BB7660">
      <w:pPr>
        <w:pStyle w:val="paragraph"/>
      </w:pPr>
      <w:r w:rsidRPr="00A00F6F">
        <w:tab/>
        <w:t>(b)</w:t>
      </w:r>
      <w:r w:rsidRPr="00A00F6F">
        <w:tab/>
        <w:t xml:space="preserve">a retailer that had 10,000 or more small customers at all times during a financial year that begins on or after the amendment day is also a </w:t>
      </w:r>
      <w:r w:rsidRPr="00A00F6F">
        <w:rPr>
          <w:b/>
          <w:i/>
        </w:rPr>
        <w:t>larger retailer</w:t>
      </w:r>
      <w:r w:rsidRPr="00A00F6F">
        <w:t xml:space="preserve"> on and from the day 12 months after the end of that financial year.</w:t>
      </w:r>
    </w:p>
    <w:p w14:paraId="0266AE98" w14:textId="77777777" w:rsidR="00BB7660" w:rsidRPr="00A00F6F" w:rsidRDefault="00BB7660" w:rsidP="00BB7660">
      <w:pPr>
        <w:pStyle w:val="subsection"/>
      </w:pPr>
      <w:r w:rsidRPr="00A00F6F">
        <w:tab/>
        <w:t>(2)</w:t>
      </w:r>
      <w:r w:rsidRPr="00A00F6F">
        <w:tab/>
        <w:t>For this clause:</w:t>
      </w:r>
    </w:p>
    <w:p w14:paraId="38449DE3" w14:textId="77777777" w:rsidR="00BB7660" w:rsidRPr="00A00F6F" w:rsidRDefault="00BB7660" w:rsidP="00BB7660">
      <w:pPr>
        <w:pStyle w:val="paragraph"/>
      </w:pPr>
      <w:r w:rsidRPr="00A00F6F">
        <w:tab/>
        <w:t>(a)</w:t>
      </w:r>
      <w:r w:rsidRPr="00A00F6F">
        <w:tab/>
        <w:t xml:space="preserve">a person is a </w:t>
      </w:r>
      <w:r w:rsidRPr="00A00F6F">
        <w:rPr>
          <w:b/>
          <w:i/>
        </w:rPr>
        <w:t xml:space="preserve">small customer </w:t>
      </w:r>
      <w:r w:rsidRPr="00A00F6F">
        <w:t>of a retailer if the person is:</w:t>
      </w:r>
    </w:p>
    <w:p w14:paraId="3B69EECD" w14:textId="77777777" w:rsidR="00BB7660" w:rsidRPr="00A00F6F" w:rsidRDefault="00BB7660" w:rsidP="00BB7660">
      <w:pPr>
        <w:pStyle w:val="paragraphsub"/>
      </w:pPr>
      <w:r w:rsidRPr="00A00F6F">
        <w:tab/>
        <w:t>(i)</w:t>
      </w:r>
      <w:r w:rsidRPr="00A00F6F">
        <w:tab/>
        <w:t xml:space="preserve">a domestic or small business customer of the retailer within the meaning given in section 3 of the </w:t>
      </w:r>
      <w:r w:rsidRPr="00A00F6F">
        <w:rPr>
          <w:i/>
          <w:iCs/>
        </w:rPr>
        <w:t xml:space="preserve">Electricity Industry Act 2000 </w:t>
      </w:r>
      <w:r w:rsidRPr="00A00F6F">
        <w:t xml:space="preserve">(Vic); or </w:t>
      </w:r>
    </w:p>
    <w:p w14:paraId="69FAF713" w14:textId="77777777" w:rsidR="00BB7660" w:rsidRPr="00A00F6F" w:rsidRDefault="00BB7660" w:rsidP="00BB7660">
      <w:pPr>
        <w:pStyle w:val="paragraphsub"/>
      </w:pPr>
      <w:r w:rsidRPr="00A00F6F">
        <w:tab/>
        <w:t>(ii)</w:t>
      </w:r>
      <w:r w:rsidRPr="00A00F6F">
        <w:tab/>
        <w:t>a small customer of the retailer within the meaning of section 5 of the National Energy Retail Law; and</w:t>
      </w:r>
    </w:p>
    <w:p w14:paraId="5BE5947A" w14:textId="77777777" w:rsidR="00BB7660" w:rsidRPr="00A00F6F" w:rsidRDefault="00BB7660" w:rsidP="00BB7660">
      <w:pPr>
        <w:pStyle w:val="paragraph"/>
      </w:pPr>
      <w:r w:rsidRPr="00A00F6F">
        <w:tab/>
        <w:t>(b)</w:t>
      </w:r>
      <w:r w:rsidRPr="00A00F6F">
        <w:tab/>
        <w:t xml:space="preserve">the </w:t>
      </w:r>
      <w:r w:rsidRPr="00A00F6F">
        <w:rPr>
          <w:b/>
          <w:i/>
        </w:rPr>
        <w:t>amendment day</w:t>
      </w:r>
      <w:r w:rsidRPr="00A00F6F">
        <w:rPr>
          <w:b/>
        </w:rPr>
        <w:t xml:space="preserve"> </w:t>
      </w:r>
      <w:r w:rsidRPr="00A00F6F">
        <w:t xml:space="preserve">is the day on which Schedule 1 to the </w:t>
      </w:r>
      <w:r w:rsidRPr="00A00F6F">
        <w:rPr>
          <w:i/>
          <w:noProof/>
        </w:rPr>
        <w:t>Competition and Consumer (Consumer Data Right) Amendment Rules (No. 2) 2021</w:t>
      </w:r>
      <w:r w:rsidRPr="00A00F6F">
        <w:t xml:space="preserve"> commenced.</w:t>
      </w:r>
    </w:p>
    <w:p w14:paraId="117E00D6" w14:textId="77777777" w:rsidR="00BB7660" w:rsidRPr="00A00F6F" w:rsidRDefault="00BB7660" w:rsidP="00BB7660">
      <w:pPr>
        <w:pStyle w:val="ActHead5"/>
      </w:pPr>
      <w:bookmarkStart w:id="750" w:name="_Toc111132325"/>
      <w:r w:rsidRPr="00A00F6F">
        <w:t>8.4  Product data requests under Part 2 of these rules</w:t>
      </w:r>
      <w:bookmarkEnd w:id="750"/>
    </w:p>
    <w:p w14:paraId="29F2D687" w14:textId="77777777" w:rsidR="00BB7660" w:rsidRPr="00A00F6F" w:rsidRDefault="00BB7660" w:rsidP="00BB7660">
      <w:pPr>
        <w:pStyle w:val="subsection"/>
      </w:pPr>
      <w:r w:rsidRPr="00A00F6F">
        <w:tab/>
        <w:t>(1)</w:t>
      </w:r>
      <w:r w:rsidRPr="00A00F6F">
        <w:tab/>
        <w:t>Part 2 of these rules (</w:t>
      </w:r>
      <w:r w:rsidRPr="00A00F6F">
        <w:rPr>
          <w:b/>
          <w:i/>
        </w:rPr>
        <w:t>Part 2</w:t>
      </w:r>
      <w:r w:rsidRPr="00A00F6F">
        <w:t>) does not apply in relation to energy sector data except as provided in this clause.</w:t>
      </w:r>
    </w:p>
    <w:p w14:paraId="641CC924" w14:textId="77777777" w:rsidR="00BB7660" w:rsidRPr="00A00F6F" w:rsidRDefault="00BB7660" w:rsidP="00BB7660">
      <w:pPr>
        <w:pStyle w:val="subsection"/>
      </w:pPr>
      <w:r w:rsidRPr="00A00F6F">
        <w:tab/>
        <w:t>(2)</w:t>
      </w:r>
      <w:r w:rsidRPr="00A00F6F">
        <w:tab/>
        <w:t xml:space="preserve">Part 2 applies to the AER on and from 1 October 2022.   </w:t>
      </w:r>
    </w:p>
    <w:p w14:paraId="3F5D4A96" w14:textId="77777777" w:rsidR="00BB7660" w:rsidRPr="00A00F6F" w:rsidRDefault="00BB7660" w:rsidP="00BB7660">
      <w:pPr>
        <w:pStyle w:val="subsection"/>
      </w:pPr>
      <w:r w:rsidRPr="00A00F6F">
        <w:tab/>
        <w:t>(3)</w:t>
      </w:r>
      <w:r w:rsidRPr="00A00F6F">
        <w:tab/>
        <w:t xml:space="preserve">Part 2 applies to the Victorian agency on and from the tranche 1 (VA) date.   </w:t>
      </w:r>
    </w:p>
    <w:p w14:paraId="79033488" w14:textId="77777777" w:rsidR="00BB7660" w:rsidRPr="00A00F6F" w:rsidRDefault="00BB7660" w:rsidP="00BB7660">
      <w:pPr>
        <w:pStyle w:val="ActHead5"/>
      </w:pPr>
      <w:bookmarkStart w:id="751" w:name="_Toc111132326"/>
      <w:r w:rsidRPr="00A00F6F">
        <w:t>8.5  Consumer data requests under Part 3 of these rules</w:t>
      </w:r>
      <w:bookmarkEnd w:id="751"/>
    </w:p>
    <w:p w14:paraId="0B032FA8" w14:textId="77777777" w:rsidR="00BB7660" w:rsidRPr="00A00F6F" w:rsidRDefault="00BB7660" w:rsidP="00BB7660">
      <w:pPr>
        <w:pStyle w:val="subsection"/>
      </w:pPr>
      <w:r w:rsidRPr="00A00F6F">
        <w:tab/>
      </w:r>
      <w:r w:rsidRPr="00A00F6F">
        <w:tab/>
        <w:t>Part 3 of these rules does not apply in relation to energy sector data.</w:t>
      </w:r>
    </w:p>
    <w:p w14:paraId="14480964" w14:textId="77777777" w:rsidR="00BB7660" w:rsidRPr="00A00F6F" w:rsidRDefault="00BB7660" w:rsidP="00BB7660">
      <w:pPr>
        <w:pStyle w:val="ActHead5"/>
      </w:pPr>
      <w:bookmarkStart w:id="752" w:name="_Toc111132327"/>
      <w:r w:rsidRPr="00A00F6F">
        <w:t>8.6  Consumer data requests under Part 4 of these rules</w:t>
      </w:r>
      <w:bookmarkEnd w:id="752"/>
    </w:p>
    <w:p w14:paraId="2A9CEE23" w14:textId="77777777" w:rsidR="00BB7660" w:rsidRPr="00A00F6F" w:rsidRDefault="00BB7660" w:rsidP="00BB7660">
      <w:pPr>
        <w:pStyle w:val="subsection"/>
      </w:pPr>
      <w:r w:rsidRPr="00A00F6F">
        <w:tab/>
        <w:t>(1)</w:t>
      </w:r>
      <w:r w:rsidRPr="00A00F6F">
        <w:tab/>
        <w:t>Part 4 of these rules (</w:t>
      </w:r>
      <w:r w:rsidRPr="00A00F6F">
        <w:rPr>
          <w:b/>
          <w:i/>
        </w:rPr>
        <w:t>Part 4</w:t>
      </w:r>
      <w:r w:rsidRPr="00A00F6F">
        <w:t>) does not apply in relation to energy sector data except as provided in this clause.</w:t>
      </w:r>
    </w:p>
    <w:p w14:paraId="61688004" w14:textId="77777777" w:rsidR="00BB7660" w:rsidRPr="00A00F6F" w:rsidRDefault="00BB7660" w:rsidP="00BB7660">
      <w:pPr>
        <w:pStyle w:val="SubsectionHead"/>
      </w:pPr>
      <w:r w:rsidRPr="00A00F6F">
        <w:t>Tranche 1 — 15 November 2022</w:t>
      </w:r>
    </w:p>
    <w:p w14:paraId="0104085A" w14:textId="77777777" w:rsidR="00BB7660" w:rsidRPr="00A00F6F" w:rsidRDefault="00BB7660" w:rsidP="00BB7660">
      <w:pPr>
        <w:pStyle w:val="subsection"/>
      </w:pPr>
      <w:r w:rsidRPr="00A00F6F">
        <w:tab/>
        <w:t>(2)</w:t>
      </w:r>
      <w:r w:rsidRPr="00A00F6F">
        <w:tab/>
        <w:t>Part 4 applies in relation to an initial retailer, except in relation to a complex request, on and from the tranche 1 date.</w:t>
      </w:r>
    </w:p>
    <w:p w14:paraId="12C11195" w14:textId="77777777" w:rsidR="00BB7660" w:rsidRPr="00A00F6F" w:rsidRDefault="00BB7660" w:rsidP="00BB7660">
      <w:pPr>
        <w:pStyle w:val="subsection"/>
      </w:pPr>
      <w:r w:rsidRPr="00A00F6F">
        <w:tab/>
        <w:t>(3)</w:t>
      </w:r>
      <w:r w:rsidRPr="00A00F6F">
        <w:tab/>
        <w:t>Part 4 applies to AEMO on and from the tranche 1 date.</w:t>
      </w:r>
    </w:p>
    <w:p w14:paraId="13CC2D0B" w14:textId="77777777" w:rsidR="00BB7660" w:rsidRPr="00A00F6F" w:rsidRDefault="00BB7660" w:rsidP="00BB7660">
      <w:pPr>
        <w:pStyle w:val="SubsectionHead"/>
      </w:pPr>
      <w:r w:rsidRPr="00A00F6F">
        <w:lastRenderedPageBreak/>
        <w:t>Tranche 2 — 15 May 2023</w:t>
      </w:r>
    </w:p>
    <w:p w14:paraId="1AE8A88C" w14:textId="77777777" w:rsidR="00BB7660" w:rsidRPr="00A00F6F" w:rsidRDefault="00BB7660" w:rsidP="00BB7660">
      <w:pPr>
        <w:pStyle w:val="subsection"/>
      </w:pPr>
      <w:r w:rsidRPr="00A00F6F">
        <w:tab/>
        <w:t>(4)</w:t>
      </w:r>
      <w:r w:rsidRPr="00A00F6F">
        <w:tab/>
        <w:t>Part 4 applies in relation to an initial retailer in relation to a complex request on and from the tranche 2 date.</w:t>
      </w:r>
    </w:p>
    <w:p w14:paraId="6A96BEC3" w14:textId="77777777" w:rsidR="00BB7660" w:rsidRPr="00A00F6F" w:rsidRDefault="00BB7660" w:rsidP="00BB7660">
      <w:pPr>
        <w:pStyle w:val="SubsectionHead"/>
      </w:pPr>
      <w:r w:rsidRPr="00A00F6F">
        <w:t>Tranche 3 — 1 November 2023</w:t>
      </w:r>
    </w:p>
    <w:p w14:paraId="3421345E" w14:textId="77777777" w:rsidR="00BB7660" w:rsidRPr="00A00F6F" w:rsidRDefault="00BB7660" w:rsidP="00BB7660">
      <w:pPr>
        <w:pStyle w:val="subsection"/>
      </w:pPr>
      <w:r w:rsidRPr="00A00F6F">
        <w:tab/>
        <w:t>(5)</w:t>
      </w:r>
      <w:r w:rsidRPr="00A00F6F">
        <w:tab/>
        <w:t>Part 4 applies to a larger retailer, except in relation to a complex request, on and from the later of the tranche 3 date and the date that it becomes a larger retailer.</w:t>
      </w:r>
    </w:p>
    <w:p w14:paraId="78E2BD22" w14:textId="77777777" w:rsidR="00BB7660" w:rsidRPr="00A00F6F" w:rsidRDefault="00BB7660" w:rsidP="00BB7660">
      <w:pPr>
        <w:pStyle w:val="SubsectionHead"/>
      </w:pPr>
      <w:r w:rsidRPr="00A00F6F">
        <w:t>Tranche 4 — 1 May 2024</w:t>
      </w:r>
    </w:p>
    <w:p w14:paraId="2D7EAA07" w14:textId="77777777" w:rsidR="00BB7660" w:rsidRPr="00A00F6F" w:rsidRDefault="00BB7660" w:rsidP="00BB7660">
      <w:pPr>
        <w:pStyle w:val="subsection"/>
      </w:pPr>
      <w:r w:rsidRPr="00A00F6F">
        <w:tab/>
        <w:t>(6)</w:t>
      </w:r>
      <w:r w:rsidRPr="00A00F6F">
        <w:tab/>
        <w:t>Part 4 applies to a larger retailer in relation to a complex request on and from the later of the tranche 4 date and the date that it becomes a larger retailer.</w:t>
      </w:r>
    </w:p>
    <w:p w14:paraId="6F4D9EF0" w14:textId="77777777" w:rsidR="00BB7660" w:rsidRPr="00A00F6F" w:rsidRDefault="00BB7660" w:rsidP="00BB7660">
      <w:pPr>
        <w:pStyle w:val="SubsectionHead"/>
      </w:pPr>
      <w:r w:rsidRPr="00A00F6F">
        <w:t>Application of Part 4 to small retailers that are accredited persons</w:t>
      </w:r>
    </w:p>
    <w:p w14:paraId="0FD75992" w14:textId="77777777" w:rsidR="00BB7660" w:rsidRPr="00A00F6F" w:rsidRDefault="00BB7660" w:rsidP="00BB7660">
      <w:pPr>
        <w:pStyle w:val="subsection"/>
      </w:pPr>
      <w:r w:rsidRPr="00A00F6F">
        <w:tab/>
        <w:t>(7)</w:t>
      </w:r>
      <w:r w:rsidRPr="00A00F6F">
        <w:tab/>
        <w:t>Part 4 applies to a small retailer that is an accredited person, except in relation to a complex request, on and from the later of:</w:t>
      </w:r>
    </w:p>
    <w:p w14:paraId="5393FD98" w14:textId="77777777" w:rsidR="00BB7660" w:rsidRPr="00A00F6F" w:rsidRDefault="00BB7660" w:rsidP="00BB7660">
      <w:pPr>
        <w:pStyle w:val="paragraph"/>
      </w:pPr>
      <w:r w:rsidRPr="00A00F6F">
        <w:tab/>
        <w:t>(a)</w:t>
      </w:r>
      <w:r w:rsidRPr="00A00F6F">
        <w:tab/>
        <w:t>the day 12 months after the tranche 1 date; and</w:t>
      </w:r>
    </w:p>
    <w:p w14:paraId="6F749BF7" w14:textId="77777777" w:rsidR="00BB7660" w:rsidRPr="00A00F6F" w:rsidRDefault="00BB7660" w:rsidP="00BB7660">
      <w:pPr>
        <w:pStyle w:val="paragraph"/>
      </w:pPr>
      <w:r w:rsidRPr="00A00F6F">
        <w:tab/>
        <w:t>(b)</w:t>
      </w:r>
      <w:r w:rsidRPr="00A00F6F">
        <w:tab/>
        <w:t>the day 12 months after the day that it became an accredited person.</w:t>
      </w:r>
    </w:p>
    <w:p w14:paraId="67903436" w14:textId="77777777" w:rsidR="00BB7660" w:rsidRPr="00A00F6F" w:rsidRDefault="00BB7660" w:rsidP="00BB7660">
      <w:pPr>
        <w:pStyle w:val="subsection"/>
      </w:pPr>
      <w:r w:rsidRPr="00A00F6F">
        <w:tab/>
        <w:t>(8)</w:t>
      </w:r>
      <w:r w:rsidRPr="00A00F6F">
        <w:tab/>
        <w:t>Part 4 applies to a small retailer that is an accredited person in relation to a complex request on and from the later of:</w:t>
      </w:r>
    </w:p>
    <w:p w14:paraId="222FE199" w14:textId="77777777" w:rsidR="00BB7660" w:rsidRPr="00A00F6F" w:rsidRDefault="00BB7660" w:rsidP="00BB7660">
      <w:pPr>
        <w:pStyle w:val="paragraph"/>
      </w:pPr>
      <w:r w:rsidRPr="00A00F6F">
        <w:tab/>
        <w:t>(a)</w:t>
      </w:r>
      <w:r w:rsidRPr="00A00F6F">
        <w:tab/>
        <w:t>the day 18 months after the tranche 1 date; and</w:t>
      </w:r>
    </w:p>
    <w:p w14:paraId="21EE663A" w14:textId="77777777" w:rsidR="00BB7660" w:rsidRPr="00A00F6F" w:rsidRDefault="00BB7660" w:rsidP="00BB7660">
      <w:pPr>
        <w:pStyle w:val="paragraph"/>
      </w:pPr>
      <w:r w:rsidRPr="00A00F6F">
        <w:tab/>
        <w:t>(b)</w:t>
      </w:r>
      <w:r w:rsidRPr="00A00F6F">
        <w:tab/>
        <w:t>the day 18 months after the day that it became an accredited person.</w:t>
      </w:r>
    </w:p>
    <w:p w14:paraId="51D48906" w14:textId="77777777" w:rsidR="00BB7660" w:rsidRPr="00A00F6F" w:rsidRDefault="00BB7660" w:rsidP="00BB7660">
      <w:pPr>
        <w:pStyle w:val="SubsectionHead"/>
      </w:pPr>
      <w:r w:rsidRPr="00A00F6F">
        <w:t>Voluntary application of Part 4 to small retailers</w:t>
      </w:r>
    </w:p>
    <w:p w14:paraId="61998FBB" w14:textId="77777777" w:rsidR="00BB7660" w:rsidRPr="00A00F6F" w:rsidRDefault="00BB7660" w:rsidP="00BB7660">
      <w:pPr>
        <w:pStyle w:val="subsection"/>
      </w:pPr>
      <w:r w:rsidRPr="00A00F6F">
        <w:tab/>
        <w:t>(9)</w:t>
      </w:r>
      <w:r w:rsidRPr="00A00F6F">
        <w:tab/>
        <w:t>A small retailer may notify the Commission that it wishes Part 4 to apply to it:</w:t>
      </w:r>
    </w:p>
    <w:p w14:paraId="5B2BEFFE" w14:textId="77777777" w:rsidR="00BB7660" w:rsidRPr="00A00F6F" w:rsidRDefault="00BB7660" w:rsidP="00BB7660">
      <w:pPr>
        <w:pStyle w:val="paragraph"/>
      </w:pPr>
      <w:r w:rsidRPr="00A00F6F">
        <w:tab/>
        <w:t>(a)</w:t>
      </w:r>
      <w:r w:rsidRPr="00A00F6F">
        <w:tab/>
        <w:t>except in relation to a complex request—on and from a specified date that is no earlier than the tranche 1 date; and</w:t>
      </w:r>
    </w:p>
    <w:p w14:paraId="3FA2D52A" w14:textId="77777777" w:rsidR="00BB7660" w:rsidRPr="00A00F6F" w:rsidRDefault="00BB7660" w:rsidP="00BB7660">
      <w:pPr>
        <w:pStyle w:val="paragraph"/>
      </w:pPr>
      <w:r w:rsidRPr="00A00F6F">
        <w:tab/>
        <w:t>(b)</w:t>
      </w:r>
      <w:r w:rsidRPr="00A00F6F">
        <w:tab/>
        <w:t>in relation to a complex request—on and from a specified date that is no earlier than the tranche 2 date.</w:t>
      </w:r>
    </w:p>
    <w:p w14:paraId="64D889B1" w14:textId="77777777" w:rsidR="00BB7660" w:rsidRPr="00A00F6F" w:rsidRDefault="00BB7660" w:rsidP="00BB7660">
      <w:pPr>
        <w:pStyle w:val="subsection"/>
      </w:pPr>
      <w:r w:rsidRPr="00A00F6F">
        <w:tab/>
        <w:t>(10)</w:t>
      </w:r>
      <w:r w:rsidRPr="00A00F6F">
        <w:tab/>
        <w:t>Subject to subclauses (7) and (8), Part 4 applies in relation to the small retailer, in accordance with the request, on and from the dates so specified.</w:t>
      </w:r>
    </w:p>
    <w:p w14:paraId="6227388B" w14:textId="77777777" w:rsidR="00BB7660" w:rsidRPr="00A00F6F" w:rsidRDefault="00BB7660" w:rsidP="00BB7660">
      <w:pPr>
        <w:pStyle w:val="ActHead5"/>
      </w:pPr>
      <w:bookmarkStart w:id="753" w:name="_Toc111132328"/>
      <w:bookmarkStart w:id="754" w:name="_Hlk111192604"/>
      <w:r w:rsidRPr="00A00F6F">
        <w:t>8.7  Authorisation to disclose CDR data before being required to do so</w:t>
      </w:r>
      <w:bookmarkEnd w:id="753"/>
    </w:p>
    <w:p w14:paraId="15B12642" w14:textId="77777777" w:rsidR="00BB7660" w:rsidRPr="00A00F6F" w:rsidRDefault="00BB7660" w:rsidP="00BB7660">
      <w:pPr>
        <w:pStyle w:val="subsection"/>
      </w:pPr>
      <w:r w:rsidRPr="00A00F6F">
        <w:tab/>
        <w:t>(1)</w:t>
      </w:r>
      <w:r w:rsidRPr="00A00F6F">
        <w:tab/>
        <w:t xml:space="preserve">This clause applies in relation to a request for disclosure of CDR data that has been made to a retailer in accordance with Part 2, Part 3 or Part 4 of these rules (the </w:t>
      </w:r>
      <w:r w:rsidRPr="00A00F6F">
        <w:rPr>
          <w:b/>
          <w:bCs/>
          <w:i/>
          <w:iCs/>
        </w:rPr>
        <w:t>relevant data request Part</w:t>
      </w:r>
      <w:r w:rsidRPr="00A00F6F">
        <w:t>) if:</w:t>
      </w:r>
    </w:p>
    <w:p w14:paraId="48156BD2" w14:textId="77777777" w:rsidR="00FE4B09" w:rsidRPr="006A3BC5" w:rsidRDefault="00FE4B09" w:rsidP="00FE4B09">
      <w:pPr>
        <w:pStyle w:val="paragraph"/>
        <w:rPr>
          <w:strike/>
          <w:color w:val="0000FF"/>
        </w:rPr>
      </w:pPr>
      <w:r w:rsidRPr="006A3BC5">
        <w:rPr>
          <w:strike/>
          <w:color w:val="0000FF"/>
        </w:rPr>
        <w:tab/>
        <w:t>(a)</w:t>
      </w:r>
      <w:r w:rsidRPr="006A3BC5">
        <w:rPr>
          <w:strike/>
          <w:color w:val="0000FF"/>
        </w:rPr>
        <w:tab/>
        <w:t>the request was made on or after the tranche 1 day; and</w:t>
      </w:r>
    </w:p>
    <w:p w14:paraId="78D639D1" w14:textId="77777777" w:rsidR="00BB7660" w:rsidRPr="00A00F6F" w:rsidRDefault="00BB7660" w:rsidP="00BB7660">
      <w:pPr>
        <w:pStyle w:val="paragraph"/>
      </w:pPr>
      <w:r w:rsidRPr="00A00F6F">
        <w:tab/>
        <w:t>(b)</w:t>
      </w:r>
      <w:r w:rsidRPr="00A00F6F">
        <w:tab/>
        <w:t>the requested CDR data is any of the following:</w:t>
      </w:r>
    </w:p>
    <w:p w14:paraId="4D7501A8" w14:textId="77777777" w:rsidR="00BB7660" w:rsidRPr="00A00F6F" w:rsidRDefault="00BB7660" w:rsidP="00BB7660">
      <w:pPr>
        <w:pStyle w:val="paragraphsub"/>
      </w:pPr>
      <w:r w:rsidRPr="00A00F6F">
        <w:tab/>
        <w:t>(i)</w:t>
      </w:r>
      <w:r w:rsidRPr="00A00F6F">
        <w:tab/>
        <w:t>required product data;</w:t>
      </w:r>
    </w:p>
    <w:p w14:paraId="1CCD7841" w14:textId="77777777" w:rsidR="00BB7660" w:rsidRPr="00A00F6F" w:rsidRDefault="00BB7660" w:rsidP="00BB7660">
      <w:pPr>
        <w:pStyle w:val="paragraphsub"/>
      </w:pPr>
      <w:r w:rsidRPr="00A00F6F">
        <w:tab/>
        <w:t>(ii)</w:t>
      </w:r>
      <w:r w:rsidRPr="00A00F6F">
        <w:tab/>
        <w:t>voluntary product data;</w:t>
      </w:r>
    </w:p>
    <w:p w14:paraId="118B1083" w14:textId="77777777" w:rsidR="00BB7660" w:rsidRPr="00A00F6F" w:rsidRDefault="00BB7660" w:rsidP="00BB7660">
      <w:pPr>
        <w:pStyle w:val="paragraphsub"/>
      </w:pPr>
      <w:r w:rsidRPr="00A00F6F">
        <w:tab/>
        <w:t>(iii)</w:t>
      </w:r>
      <w:r w:rsidRPr="00A00F6F">
        <w:tab/>
        <w:t>required consumer data;</w:t>
      </w:r>
    </w:p>
    <w:p w14:paraId="1F051C3A" w14:textId="77777777" w:rsidR="00BB7660" w:rsidRPr="00A00F6F" w:rsidRDefault="00BB7660" w:rsidP="00BB7660">
      <w:pPr>
        <w:pStyle w:val="paragraphsub"/>
      </w:pPr>
      <w:r w:rsidRPr="00A00F6F">
        <w:tab/>
        <w:t>(iv)</w:t>
      </w:r>
      <w:r w:rsidRPr="00A00F6F">
        <w:tab/>
        <w:t>voluntary consumer data; and</w:t>
      </w:r>
    </w:p>
    <w:p w14:paraId="22189E1C" w14:textId="77777777" w:rsidR="00BB7660" w:rsidRPr="00A00F6F" w:rsidRDefault="00BB7660" w:rsidP="00BB7660">
      <w:pPr>
        <w:pStyle w:val="paragraph"/>
      </w:pPr>
      <w:r w:rsidRPr="00A00F6F">
        <w:tab/>
        <w:t>(c)</w:t>
      </w:r>
      <w:r w:rsidRPr="00A00F6F">
        <w:tab/>
        <w:t>the requested CDR data includes some pre</w:t>
      </w:r>
      <w:r w:rsidRPr="00A00F6F">
        <w:noBreakHyphen/>
        <w:t>application CDR data.</w:t>
      </w:r>
    </w:p>
    <w:bookmarkEnd w:id="754"/>
    <w:p w14:paraId="25766520" w14:textId="77777777" w:rsidR="00FE4B09" w:rsidRPr="00CB457B" w:rsidRDefault="00FE4B09" w:rsidP="00FE4B09">
      <w:pPr>
        <w:pStyle w:val="subsection"/>
      </w:pPr>
      <w:r w:rsidRPr="00CB457B">
        <w:lastRenderedPageBreak/>
        <w:tab/>
        <w:t>(2)</w:t>
      </w:r>
      <w:r w:rsidRPr="00CB457B">
        <w:tab/>
        <w:t>For these rules, the retailer may disclose any or all of the pre</w:t>
      </w:r>
      <w:r w:rsidRPr="00CB457B">
        <w:noBreakHyphen/>
        <w:t>application CDR data in response to the request in accordance with the relevant data request Part.</w:t>
      </w:r>
    </w:p>
    <w:p w14:paraId="4A124501" w14:textId="77777777" w:rsidR="00BB7660" w:rsidRPr="00A00F6F" w:rsidRDefault="00BB7660" w:rsidP="00BB7660">
      <w:pPr>
        <w:pStyle w:val="subsection"/>
      </w:pPr>
      <w:r w:rsidRPr="00A00F6F">
        <w:tab/>
        <w:t>(3)</w:t>
      </w:r>
      <w:r w:rsidRPr="00A00F6F">
        <w:tab/>
        <w:t xml:space="preserve">In this clause, </w:t>
      </w:r>
      <w:r w:rsidRPr="00A00F6F">
        <w:rPr>
          <w:b/>
          <w:bCs/>
          <w:i/>
          <w:iCs/>
        </w:rPr>
        <w:t>pre-application CDR data</w:t>
      </w:r>
      <w:r w:rsidRPr="00A00F6F">
        <w:t xml:space="preserve"> means CDR data that, but for the operation of this Part, the data holder would be required or authorised by the relevant data request Part to disclose in response to the request.</w:t>
      </w:r>
    </w:p>
    <w:p w14:paraId="39EE2309" w14:textId="77777777" w:rsidR="00BB7660" w:rsidRPr="00A00F6F" w:rsidRDefault="00BB7660" w:rsidP="00BB7660">
      <w:pPr>
        <w:pStyle w:val="ActHead2"/>
      </w:pPr>
      <w:bookmarkStart w:id="755" w:name="_Toc111132329"/>
      <w:r w:rsidRPr="00A00F6F">
        <w:t>Part 9—Other rules, and modifications of these rules, for the energy sector</w:t>
      </w:r>
      <w:bookmarkEnd w:id="755"/>
    </w:p>
    <w:p w14:paraId="7FC2EAC8" w14:textId="77777777" w:rsidR="00BB7660" w:rsidRPr="00A00F6F" w:rsidRDefault="00BB7660" w:rsidP="00BB7660">
      <w:pPr>
        <w:pStyle w:val="ActHead5"/>
      </w:pPr>
      <w:bookmarkStart w:id="756" w:name="_Toc111132330"/>
      <w:r w:rsidRPr="00A00F6F">
        <w:t>9.1  Laws relevant to the management of CDR data—energy sector</w:t>
      </w:r>
      <w:bookmarkEnd w:id="756"/>
    </w:p>
    <w:p w14:paraId="73B5E4AD" w14:textId="77777777" w:rsidR="00BB7660" w:rsidRPr="00A00F6F" w:rsidRDefault="00BB7660" w:rsidP="00BB7660">
      <w:pPr>
        <w:pStyle w:val="subsection"/>
      </w:pPr>
      <w:r w:rsidRPr="00A00F6F">
        <w:tab/>
      </w:r>
      <w:r w:rsidRPr="00A00F6F">
        <w:tab/>
        <w:t>For paragraph (f) of the definition of “law relevant to the management of CDR data” in rule 1.7 of these rules:</w:t>
      </w:r>
    </w:p>
    <w:p w14:paraId="2412C1F3" w14:textId="77777777" w:rsidR="00BB7660" w:rsidRPr="00A00F6F" w:rsidRDefault="00BB7660" w:rsidP="00BB7660">
      <w:pPr>
        <w:pStyle w:val="paragraph"/>
        <w:rPr>
          <w:rFonts w:eastAsia="Calibri"/>
        </w:rPr>
      </w:pPr>
      <w:r w:rsidRPr="00A00F6F">
        <w:rPr>
          <w:rFonts w:eastAsia="Calibri"/>
        </w:rPr>
        <w:tab/>
        <w:t>(a)</w:t>
      </w:r>
      <w:r w:rsidRPr="00A00F6F">
        <w:rPr>
          <w:rFonts w:eastAsia="Calibri"/>
        </w:rPr>
        <w:tab/>
        <w:t>the National Electricity Law; and</w:t>
      </w:r>
    </w:p>
    <w:p w14:paraId="7EA75FEA" w14:textId="77777777" w:rsidR="00BB7660" w:rsidRPr="00A00F6F" w:rsidRDefault="00BB7660" w:rsidP="00BB7660">
      <w:pPr>
        <w:pStyle w:val="paragraph"/>
        <w:rPr>
          <w:rFonts w:eastAsia="Calibri"/>
        </w:rPr>
      </w:pPr>
      <w:r w:rsidRPr="00A00F6F">
        <w:rPr>
          <w:rFonts w:eastAsia="Calibri"/>
        </w:rPr>
        <w:tab/>
        <w:t>(b)</w:t>
      </w:r>
      <w:r w:rsidRPr="00A00F6F">
        <w:rPr>
          <w:rFonts w:eastAsia="Calibri"/>
        </w:rPr>
        <w:tab/>
        <w:t>the National Energy Retail Law; and</w:t>
      </w:r>
    </w:p>
    <w:p w14:paraId="76178FA3" w14:textId="77777777" w:rsidR="00BB7660" w:rsidRPr="00A00F6F" w:rsidRDefault="00BB7660" w:rsidP="00BB7660">
      <w:pPr>
        <w:pStyle w:val="paragraph"/>
        <w:rPr>
          <w:rFonts w:eastAsia="Calibri"/>
        </w:rPr>
      </w:pPr>
      <w:r w:rsidRPr="00A00F6F">
        <w:rPr>
          <w:rFonts w:eastAsia="Calibri"/>
        </w:rPr>
        <w:tab/>
        <w:t>(c)</w:t>
      </w:r>
      <w:r w:rsidRPr="00A00F6F">
        <w:rPr>
          <w:rFonts w:eastAsia="Calibri"/>
        </w:rPr>
        <w:tab/>
        <w:t xml:space="preserve">the </w:t>
      </w:r>
      <w:r w:rsidRPr="00A00F6F">
        <w:rPr>
          <w:i/>
          <w:iCs/>
        </w:rPr>
        <w:t>Electricity Industry Act 2000</w:t>
      </w:r>
      <w:r w:rsidRPr="00A00F6F">
        <w:t xml:space="preserve"> (Vic);</w:t>
      </w:r>
    </w:p>
    <w:p w14:paraId="00EE5555" w14:textId="77777777" w:rsidR="00BB7660" w:rsidRPr="00A00F6F" w:rsidRDefault="00BB7660" w:rsidP="00BB7660">
      <w:pPr>
        <w:pStyle w:val="subsection20"/>
      </w:pPr>
      <w:r w:rsidRPr="00A00F6F">
        <w:tab/>
      </w:r>
      <w:r w:rsidRPr="00A00F6F">
        <w:tab/>
        <w:t>are laws relevant to the management of CDR data in relation to the energy sector.</w:t>
      </w:r>
    </w:p>
    <w:p w14:paraId="524C4DC2" w14:textId="77777777" w:rsidR="00BB7660" w:rsidRPr="00A00F6F" w:rsidRDefault="00BB7660" w:rsidP="00BB7660">
      <w:pPr>
        <w:pStyle w:val="ActHead5"/>
      </w:pPr>
      <w:bookmarkStart w:id="757" w:name="_Toc111132331"/>
      <w:r w:rsidRPr="00A00F6F">
        <w:t>9.2  Conditions for accredited person to be data holder</w:t>
      </w:r>
      <w:bookmarkEnd w:id="757"/>
    </w:p>
    <w:p w14:paraId="544FE7F0" w14:textId="77777777" w:rsidR="00BB7660" w:rsidRPr="00A00F6F" w:rsidRDefault="00BB7660" w:rsidP="00BB7660">
      <w:pPr>
        <w:pStyle w:val="subsection"/>
      </w:pPr>
      <w:r w:rsidRPr="00A00F6F">
        <w:tab/>
        <w:t>(1)</w:t>
      </w:r>
      <w:r w:rsidRPr="00A00F6F">
        <w:tab/>
        <w:t xml:space="preserve">For paragraph 56AJ(4)(c) of the Act, this clause sets out conditions for a person that has collected CDR data in accordance with a consumer data request under Part 4 of these rules to be a data holder (rather than an accredited data recipient) of that CDR data and any CDR data that it directly or indirectly derived from that CDR data (together, the </w:t>
      </w:r>
      <w:r w:rsidRPr="00A00F6F">
        <w:rPr>
          <w:b/>
          <w:i/>
        </w:rPr>
        <w:t xml:space="preserve">relevant </w:t>
      </w:r>
      <w:r w:rsidRPr="00A00F6F">
        <w:t>CDR data</w:t>
      </w:r>
      <w:r w:rsidRPr="00A00F6F">
        <w:rPr>
          <w:b/>
        </w:rPr>
        <w:t>)</w:t>
      </w:r>
      <w:r w:rsidRPr="00A00F6F">
        <w:t>.</w:t>
      </w:r>
    </w:p>
    <w:p w14:paraId="1881CD0A" w14:textId="77777777" w:rsidR="00BB7660" w:rsidRPr="00A00F6F" w:rsidRDefault="00BB7660" w:rsidP="00BB7660">
      <w:pPr>
        <w:pStyle w:val="subsection"/>
      </w:pPr>
      <w:r w:rsidRPr="00A00F6F">
        <w:tab/>
        <w:t>(2)</w:t>
      </w:r>
      <w:r w:rsidRPr="00A00F6F">
        <w:tab/>
        <w:t>The conditions are that:</w:t>
      </w:r>
    </w:p>
    <w:p w14:paraId="46A3ACDC" w14:textId="77777777" w:rsidR="00BB7660" w:rsidRPr="00A00F6F" w:rsidRDefault="00BB7660" w:rsidP="00BB7660">
      <w:pPr>
        <w:pStyle w:val="paragraph"/>
      </w:pPr>
      <w:r w:rsidRPr="00A00F6F">
        <w:tab/>
        <w:t>(a)</w:t>
      </w:r>
      <w:r w:rsidRPr="00A00F6F">
        <w:tab/>
        <w:t>the person is a retailer; and</w:t>
      </w:r>
    </w:p>
    <w:p w14:paraId="102B3E8E" w14:textId="77777777" w:rsidR="00BB7660" w:rsidRPr="00A00F6F" w:rsidRDefault="00BB7660" w:rsidP="00BB7660">
      <w:pPr>
        <w:pStyle w:val="paragraph"/>
      </w:pPr>
      <w:r w:rsidRPr="00A00F6F">
        <w:tab/>
        <w:t>(b)</w:t>
      </w:r>
      <w:r w:rsidRPr="00A00F6F">
        <w:tab/>
        <w:t xml:space="preserve">the CDR data is information covered by item 1, 3 or 5 of the table in section 12 of the of the energy sector designation instrument; and </w:t>
      </w:r>
    </w:p>
    <w:p w14:paraId="660B7DC3" w14:textId="77777777" w:rsidR="00BB7660" w:rsidRPr="00A00F6F" w:rsidRDefault="00BB7660" w:rsidP="00BB7660">
      <w:pPr>
        <w:pStyle w:val="notetext"/>
      </w:pPr>
      <w:r w:rsidRPr="00A00F6F">
        <w:t>Note:</w:t>
      </w:r>
      <w:r w:rsidRPr="00A00F6F">
        <w:tab/>
        <w:t>These are the types of information for which a retailer is designated as a data holder under the designation instrument.</w:t>
      </w:r>
    </w:p>
    <w:p w14:paraId="61E49A2C" w14:textId="77777777" w:rsidR="00BB7660" w:rsidRPr="00A00F6F" w:rsidRDefault="00BB7660" w:rsidP="00BB7660">
      <w:pPr>
        <w:pStyle w:val="paragraph"/>
      </w:pPr>
      <w:r w:rsidRPr="00A00F6F">
        <w:tab/>
        <w:t>(c)</w:t>
      </w:r>
      <w:r w:rsidRPr="00A00F6F">
        <w:tab/>
        <w:t>the CDR consumer is a customer of the person; and</w:t>
      </w:r>
    </w:p>
    <w:p w14:paraId="19FB7F40" w14:textId="77777777" w:rsidR="00BB7660" w:rsidRPr="00A00F6F" w:rsidRDefault="00BB7660" w:rsidP="00BB7660">
      <w:pPr>
        <w:pStyle w:val="paragraph"/>
      </w:pPr>
      <w:r w:rsidRPr="00A00F6F">
        <w:tab/>
        <w:t>(d)</w:t>
      </w:r>
      <w:r w:rsidRPr="00A00F6F">
        <w:tab/>
        <w:t>the person:</w:t>
      </w:r>
    </w:p>
    <w:p w14:paraId="604D77FD" w14:textId="77777777" w:rsidR="00BB7660" w:rsidRPr="00A00F6F" w:rsidRDefault="00BB7660" w:rsidP="00BB7660">
      <w:pPr>
        <w:pStyle w:val="paragraphsub"/>
      </w:pPr>
      <w:r w:rsidRPr="00A00F6F">
        <w:tab/>
        <w:t>(i)</w:t>
      </w:r>
      <w:r w:rsidRPr="00A00F6F">
        <w:tab/>
        <w:t>reasonably believes that the relevant CDR data is relevant to the arrangement with the CDR consumer; and</w:t>
      </w:r>
    </w:p>
    <w:p w14:paraId="17011887" w14:textId="77777777" w:rsidR="00BB7660" w:rsidRPr="00A00F6F" w:rsidRDefault="00BB7660" w:rsidP="00BB7660">
      <w:pPr>
        <w:pStyle w:val="paragraphsub"/>
      </w:pPr>
      <w:r w:rsidRPr="00A00F6F">
        <w:tab/>
        <w:t>(ii)</w:t>
      </w:r>
      <w:r w:rsidRPr="00A00F6F">
        <w:tab/>
        <w:t>has asked the CDR consumer to agree to the person being a data holder, rather than an accredited data recipient, of the relevant CDR data; and</w:t>
      </w:r>
    </w:p>
    <w:p w14:paraId="2016B0F0" w14:textId="77777777" w:rsidR="00BB7660" w:rsidRPr="00A00F6F" w:rsidRDefault="00BB7660" w:rsidP="00BB7660">
      <w:pPr>
        <w:pStyle w:val="paragraphsub"/>
      </w:pPr>
      <w:r w:rsidRPr="00A00F6F">
        <w:tab/>
        <w:t>(iii)</w:t>
      </w:r>
      <w:r w:rsidRPr="00A00F6F">
        <w:tab/>
        <w:t>has explained to the CDR consumer:</w:t>
      </w:r>
    </w:p>
    <w:p w14:paraId="218E9C04" w14:textId="77777777" w:rsidR="00BB7660" w:rsidRPr="00A00F6F" w:rsidRDefault="00BB7660" w:rsidP="00BB7660">
      <w:pPr>
        <w:pStyle w:val="paragraphsub-sub"/>
      </w:pPr>
      <w:r w:rsidRPr="00A00F6F">
        <w:tab/>
        <w:t>(A)</w:t>
      </w:r>
      <w:r w:rsidRPr="00A00F6F">
        <w:tab/>
        <w:t>that, as a result, the privacy safeguards, to the extent that they apply to an accredited data recipient of CDR data, would no longer apply to the person in relation to the relevant CDR data; and</w:t>
      </w:r>
    </w:p>
    <w:p w14:paraId="7703FB19" w14:textId="77777777" w:rsidR="00BB7660" w:rsidRPr="00A00F6F" w:rsidRDefault="00BB7660" w:rsidP="00BB7660">
      <w:pPr>
        <w:pStyle w:val="paragraphsub-sub"/>
      </w:pPr>
      <w:r w:rsidRPr="00A00F6F">
        <w:tab/>
        <w:t>(B)</w:t>
      </w:r>
      <w:r w:rsidRPr="00A00F6F">
        <w:tab/>
        <w:t>the manner in which it proposes to treat the relevant CDR data; and</w:t>
      </w:r>
    </w:p>
    <w:p w14:paraId="6EC4F061" w14:textId="77777777" w:rsidR="00BB7660" w:rsidRPr="00A00F6F" w:rsidRDefault="00BB7660" w:rsidP="00BB7660">
      <w:pPr>
        <w:pStyle w:val="paragraphsub-sub"/>
      </w:pPr>
      <w:r w:rsidRPr="00A00F6F">
        <w:lastRenderedPageBreak/>
        <w:tab/>
        <w:t>(C)</w:t>
      </w:r>
      <w:r w:rsidRPr="00A00F6F">
        <w:tab/>
        <w:t>why it is entitled to provide the CDR consumer with this option; and</w:t>
      </w:r>
    </w:p>
    <w:p w14:paraId="1446B4A6" w14:textId="77777777" w:rsidR="00BB7660" w:rsidRPr="00A00F6F" w:rsidRDefault="00BB7660" w:rsidP="00BB7660">
      <w:pPr>
        <w:pStyle w:val="paragraphsub"/>
      </w:pPr>
      <w:r w:rsidRPr="00A00F6F">
        <w:tab/>
        <w:t>(iv)</w:t>
      </w:r>
      <w:r w:rsidRPr="00A00F6F">
        <w:tab/>
        <w:t>has outlined the consequences, to the CDR consumer, of not agreeing to this; and</w:t>
      </w:r>
    </w:p>
    <w:p w14:paraId="778CFE12" w14:textId="77777777" w:rsidR="00BB7660" w:rsidRPr="00A00F6F" w:rsidRDefault="00BB7660" w:rsidP="00BB7660">
      <w:pPr>
        <w:pStyle w:val="paragraph"/>
      </w:pPr>
      <w:r w:rsidRPr="00A00F6F">
        <w:tab/>
        <w:t>(e)</w:t>
      </w:r>
      <w:r w:rsidRPr="00A00F6F">
        <w:tab/>
        <w:t>the CDR consumer has agreed to the person being a data holder, rather than an accredited data recipient, of the relevant CDR data.</w:t>
      </w:r>
    </w:p>
    <w:p w14:paraId="76FBFA76" w14:textId="77777777" w:rsidR="00BB7660" w:rsidRPr="00A00F6F" w:rsidRDefault="00BB7660" w:rsidP="00BB7660">
      <w:pPr>
        <w:pStyle w:val="SubsectionHead"/>
      </w:pPr>
      <w:r w:rsidRPr="00A00F6F">
        <w:t>Related modifications of these rules</w:t>
      </w:r>
    </w:p>
    <w:p w14:paraId="3BC47FDF" w14:textId="77777777" w:rsidR="00BB7660" w:rsidRPr="00A00F6F" w:rsidRDefault="00BB7660" w:rsidP="00BB7660">
      <w:pPr>
        <w:pStyle w:val="subsection"/>
      </w:pPr>
      <w:r w:rsidRPr="00A00F6F">
        <w:tab/>
        <w:t>(3)</w:t>
      </w:r>
      <w:r w:rsidRPr="00A00F6F">
        <w:tab/>
        <w:t>If a person becomes a data holder, rather than an accredited data recipient, of CDR data as a result of subsection 56AJ(4) of the Act and this clause:</w:t>
      </w:r>
    </w:p>
    <w:p w14:paraId="7C6A635A" w14:textId="77777777" w:rsidR="00BB7660" w:rsidRPr="00A00F6F" w:rsidRDefault="00BB7660" w:rsidP="00BB7660">
      <w:pPr>
        <w:pStyle w:val="paragraph"/>
      </w:pPr>
      <w:r w:rsidRPr="00A00F6F">
        <w:tab/>
        <w:t>(b)</w:t>
      </w:r>
      <w:r w:rsidRPr="00A00F6F">
        <w:tab/>
        <w:t>for paragraph 4.26(1)(h) of these rules, any authorisations to disclose CDR data in relation to the consumer data request expire; and</w:t>
      </w:r>
    </w:p>
    <w:p w14:paraId="18726FA1" w14:textId="77777777" w:rsidR="00BB7660" w:rsidRPr="00A00F6F" w:rsidRDefault="00BB7660" w:rsidP="00BB7660">
      <w:pPr>
        <w:pStyle w:val="paragraph"/>
      </w:pPr>
      <w:r w:rsidRPr="00A00F6F">
        <w:tab/>
        <w:t>(c)</w:t>
      </w:r>
      <w:r w:rsidRPr="00A00F6F">
        <w:tab/>
        <w:t>if the person’s accreditation has been surrendered or revoked, the following do not apply to the person in relation to that CDR data:</w:t>
      </w:r>
    </w:p>
    <w:p w14:paraId="793137BF" w14:textId="77777777" w:rsidR="00BB7660" w:rsidRPr="00A00F6F" w:rsidRDefault="00BB7660" w:rsidP="00BB7660">
      <w:pPr>
        <w:pStyle w:val="paragraphsub"/>
      </w:pPr>
      <w:r w:rsidRPr="00A00F6F">
        <w:tab/>
        <w:t>(i)</w:t>
      </w:r>
      <w:r w:rsidRPr="00A00F6F">
        <w:tab/>
        <w:t>subrule 5.23(2);</w:t>
      </w:r>
    </w:p>
    <w:p w14:paraId="7034866E" w14:textId="77777777" w:rsidR="00BB7660" w:rsidRPr="00A00F6F" w:rsidRDefault="00BB7660" w:rsidP="00BB7660">
      <w:pPr>
        <w:pStyle w:val="paragraphsub"/>
      </w:pPr>
      <w:r w:rsidRPr="00A00F6F">
        <w:tab/>
        <w:t>(ii)</w:t>
      </w:r>
      <w:r w:rsidRPr="00A00F6F">
        <w:tab/>
        <w:t>paragraph 5.23(3)(b).</w:t>
      </w:r>
    </w:p>
    <w:p w14:paraId="2A162778" w14:textId="77777777" w:rsidR="00BB7660" w:rsidRPr="00A00F6F" w:rsidRDefault="00BB7660" w:rsidP="00BB7660">
      <w:pPr>
        <w:pStyle w:val="ActHead5"/>
      </w:pPr>
      <w:bookmarkStart w:id="758" w:name="_Toc111132332"/>
      <w:r w:rsidRPr="00A00F6F">
        <w:t>9.3  Consultation by Data Recipient Accreditor (rule 5.4)</w:t>
      </w:r>
      <w:bookmarkEnd w:id="758"/>
    </w:p>
    <w:p w14:paraId="2EF4E3A9" w14:textId="77777777" w:rsidR="00BB7660" w:rsidRPr="00A00F6F" w:rsidRDefault="00BB7660" w:rsidP="00BB7660">
      <w:pPr>
        <w:pStyle w:val="subsection"/>
      </w:pPr>
      <w:r w:rsidRPr="00A00F6F">
        <w:tab/>
      </w:r>
      <w:r w:rsidRPr="00A00F6F">
        <w:tab/>
        <w:t>For paragraph 5.4(1)(c), the AER and the Essential Services Commission of Victoria are specified as authorities that the Data Recipient Accreditor may consult with.</w:t>
      </w:r>
    </w:p>
    <w:p w14:paraId="03CEA5A9" w14:textId="77777777" w:rsidR="00BB7660" w:rsidRPr="00A00F6F" w:rsidRDefault="00BB7660" w:rsidP="00BB7660">
      <w:pPr>
        <w:pStyle w:val="ActHead5"/>
      </w:pPr>
      <w:bookmarkStart w:id="759" w:name="_Toc111132333"/>
      <w:r w:rsidRPr="00A00F6F">
        <w:t>9.4  AEMO not to appear on Registrar’s database (rule 5.25)</w:t>
      </w:r>
      <w:bookmarkEnd w:id="759"/>
    </w:p>
    <w:p w14:paraId="29B60103" w14:textId="77777777" w:rsidR="00BB7660" w:rsidRPr="00A00F6F" w:rsidRDefault="00BB7660" w:rsidP="00BB7660">
      <w:pPr>
        <w:pStyle w:val="subsection"/>
      </w:pPr>
      <w:r w:rsidRPr="00A00F6F">
        <w:tab/>
      </w:r>
      <w:r w:rsidRPr="00A00F6F">
        <w:tab/>
        <w:t>For the purposes of subrule 5.25(1), AEMO is not to be treated as a data holder.</w:t>
      </w:r>
    </w:p>
    <w:p w14:paraId="4651A7E8" w14:textId="77777777" w:rsidR="00BB7660" w:rsidRPr="00A00F6F" w:rsidRDefault="00BB7660" w:rsidP="00BB7660">
      <w:pPr>
        <w:pStyle w:val="notetext"/>
      </w:pPr>
      <w:r w:rsidRPr="00A00F6F">
        <w:t>Note:</w:t>
      </w:r>
      <w:r w:rsidRPr="00A00F6F">
        <w:tab/>
        <w:t>The function of the database to be maintained under subrule 5.25(1) is to provide information for the making of consumer data requests to data holders. Since requests for AEMO data will be made to the relevant retailer, the database will not require details relating to AEMO.</w:t>
      </w:r>
    </w:p>
    <w:p w14:paraId="45A344A0" w14:textId="77777777" w:rsidR="00BB7660" w:rsidRPr="00A00F6F" w:rsidRDefault="00BB7660" w:rsidP="00BB7660">
      <w:pPr>
        <w:pStyle w:val="ActHead5"/>
      </w:pPr>
      <w:bookmarkStart w:id="760" w:name="_Toc111132334"/>
      <w:r w:rsidRPr="00A00F6F">
        <w:t>9.5  Grounds for revocation, suspension and surrender of accreditation—energy sector</w:t>
      </w:r>
      <w:bookmarkEnd w:id="760"/>
    </w:p>
    <w:p w14:paraId="238C83B2" w14:textId="77777777" w:rsidR="00BB7660" w:rsidRPr="00A00F6F" w:rsidRDefault="00BB7660" w:rsidP="00BB7660">
      <w:pPr>
        <w:pStyle w:val="subsection"/>
      </w:pPr>
      <w:r w:rsidRPr="00A00F6F">
        <w:tab/>
      </w:r>
      <w:r w:rsidRPr="00A00F6F">
        <w:tab/>
        <w:t>For item 5 of the table in rule 5.17:</w:t>
      </w:r>
    </w:p>
    <w:p w14:paraId="60A507C6" w14:textId="77777777" w:rsidR="00BB7660" w:rsidRPr="00A00F6F" w:rsidRDefault="00BB7660" w:rsidP="00BB7660">
      <w:pPr>
        <w:pStyle w:val="paragraph"/>
      </w:pPr>
      <w:r w:rsidRPr="00A00F6F">
        <w:tab/>
        <w:t>(a)</w:t>
      </w:r>
      <w:r w:rsidRPr="00A00F6F">
        <w:tab/>
        <w:t>the relevant condition is that the accredited person was, at the time of the accreditation, a retailer; and</w:t>
      </w:r>
    </w:p>
    <w:p w14:paraId="3628150A" w14:textId="77777777" w:rsidR="00BB7660" w:rsidRPr="00A00F6F" w:rsidRDefault="00BB7660" w:rsidP="00BB7660">
      <w:pPr>
        <w:pStyle w:val="paragraph"/>
      </w:pPr>
      <w:r w:rsidRPr="00A00F6F">
        <w:tab/>
        <w:t>(b)</w:t>
      </w:r>
      <w:r w:rsidRPr="00A00F6F">
        <w:tab/>
        <w:t>the accredited person ceases to satisfy the condition if its authorisation or licence to sell electricity in the National Electricity Market has been suspended or revoked.</w:t>
      </w:r>
    </w:p>
    <w:p w14:paraId="23FC9C65" w14:textId="77777777" w:rsidR="006B2062" w:rsidRDefault="006B2062" w:rsidP="006B2062">
      <w:pPr>
        <w:pStyle w:val="subsection"/>
        <w:sectPr w:rsidR="006B2062" w:rsidSect="0051288D">
          <w:headerReference w:type="default" r:id="rId36"/>
          <w:pgSz w:w="11907" w:h="16839" w:code="9"/>
          <w:pgMar w:top="2234" w:right="1797" w:bottom="1440" w:left="1797" w:header="720" w:footer="709" w:gutter="0"/>
          <w:cols w:space="708"/>
          <w:docGrid w:linePitch="360"/>
        </w:sectPr>
      </w:pPr>
    </w:p>
    <w:p w14:paraId="2D0898A6" w14:textId="77777777" w:rsidR="00BB7660" w:rsidRPr="00F70E93" w:rsidRDefault="00BB7660" w:rsidP="00BB7660">
      <w:pPr>
        <w:pStyle w:val="ActHead1"/>
        <w:rPr>
          <w:color w:val="0000FF"/>
        </w:rPr>
      </w:pPr>
      <w:bookmarkStart w:id="761" w:name="_Toc111132335"/>
      <w:bookmarkStart w:id="762" w:name="_Hlk110857982"/>
      <w:bookmarkStart w:id="763" w:name="_Hlk111107865"/>
      <w:r w:rsidRPr="00F70E93">
        <w:rPr>
          <w:color w:val="0000FF"/>
        </w:rPr>
        <w:lastRenderedPageBreak/>
        <w:t>Schedule 5—Provisions relevant to the telecommunications sector</w:t>
      </w:r>
      <w:bookmarkEnd w:id="761"/>
    </w:p>
    <w:p w14:paraId="3DD4D67F" w14:textId="77777777" w:rsidR="00BB7660" w:rsidRPr="00865728" w:rsidRDefault="00195095" w:rsidP="00BB7660">
      <w:pPr>
        <w:pStyle w:val="ActHead2"/>
        <w:rPr>
          <w:color w:val="0000FF"/>
        </w:rPr>
      </w:pPr>
      <w:bookmarkStart w:id="764" w:name="_Toc111132336"/>
      <w:r>
        <w:rPr>
          <w:color w:val="0000FF"/>
        </w:rPr>
        <w:t>Part 1</w:t>
      </w:r>
      <w:r w:rsidR="00BB7660" w:rsidRPr="00865728">
        <w:rPr>
          <w:color w:val="0000FF"/>
        </w:rPr>
        <w:t>—Preliminary</w:t>
      </w:r>
      <w:bookmarkEnd w:id="764"/>
    </w:p>
    <w:p w14:paraId="293596D6" w14:textId="77777777" w:rsidR="00BB7660" w:rsidRPr="00865728" w:rsidRDefault="00195095" w:rsidP="00BB7660">
      <w:pPr>
        <w:pStyle w:val="ActHead5"/>
        <w:rPr>
          <w:color w:val="0000FF"/>
        </w:rPr>
      </w:pPr>
      <w:bookmarkStart w:id="765" w:name="_Toc111132337"/>
      <w:r>
        <w:rPr>
          <w:color w:val="0000FF"/>
        </w:rPr>
        <w:t>1.1</w:t>
      </w:r>
      <w:r w:rsidR="00BB7660" w:rsidRPr="00865728">
        <w:rPr>
          <w:color w:val="0000FF"/>
        </w:rPr>
        <w:t xml:space="preserve">  Simplified outline of this Schedule</w:t>
      </w:r>
      <w:bookmarkEnd w:id="765"/>
    </w:p>
    <w:p w14:paraId="07E85B46" w14:textId="77777777" w:rsidR="00BB7660" w:rsidRPr="00865728" w:rsidRDefault="00BB7660" w:rsidP="00BB7660">
      <w:pPr>
        <w:pStyle w:val="SOText"/>
        <w:rPr>
          <w:color w:val="0000FF"/>
        </w:rPr>
      </w:pPr>
      <w:r w:rsidRPr="00865728">
        <w:rPr>
          <w:color w:val="0000FF"/>
        </w:rPr>
        <w:t>This Schedule deals with how these rules apply in relation to the telecommunications sector.</w:t>
      </w:r>
    </w:p>
    <w:p w14:paraId="78024380" w14:textId="77777777" w:rsidR="00BB7660" w:rsidRPr="00865728" w:rsidRDefault="00BB7660" w:rsidP="00BB7660">
      <w:pPr>
        <w:pStyle w:val="SOText"/>
        <w:rPr>
          <w:color w:val="0000FF"/>
        </w:rPr>
      </w:pPr>
      <w:r w:rsidRPr="00865728">
        <w:rPr>
          <w:color w:val="0000FF"/>
        </w:rPr>
        <w:t>Some defined terms apply only in relation to the telecommunications sector. These are defined in Part 1 of this Schedule.</w:t>
      </w:r>
    </w:p>
    <w:p w14:paraId="09E472C0" w14:textId="77777777" w:rsidR="00BB7660" w:rsidRPr="00865728" w:rsidRDefault="00195095" w:rsidP="00BB7660">
      <w:pPr>
        <w:pStyle w:val="SOText"/>
        <w:rPr>
          <w:color w:val="0000FF"/>
        </w:rPr>
      </w:pPr>
      <w:r>
        <w:rPr>
          <w:color w:val="0000FF"/>
        </w:rPr>
        <w:t>Part 2</w:t>
      </w:r>
      <w:r w:rsidR="00BB7660" w:rsidRPr="00865728">
        <w:rPr>
          <w:color w:val="0000FF"/>
        </w:rPr>
        <w:t xml:space="preserve"> of this Schedule deals with eligible CDR consumers in relation to the telecommunications sector.</w:t>
      </w:r>
    </w:p>
    <w:p w14:paraId="1C12DCEF" w14:textId="77777777" w:rsidR="00BB7660" w:rsidRPr="00865728" w:rsidRDefault="00195095" w:rsidP="00BB7660">
      <w:pPr>
        <w:pStyle w:val="SOText"/>
        <w:rPr>
          <w:color w:val="0000FF"/>
        </w:rPr>
      </w:pPr>
      <w:r>
        <w:rPr>
          <w:color w:val="0000FF"/>
        </w:rPr>
        <w:t>Part 3</w:t>
      </w:r>
      <w:r w:rsidR="00BB7660" w:rsidRPr="00865728">
        <w:rPr>
          <w:color w:val="0000FF"/>
        </w:rPr>
        <w:t xml:space="preserve"> of this Schedule deals with CDR data that can or must be disclosed when product data requests and consumer data requests are made in relation to the telecommunications sector. </w:t>
      </w:r>
    </w:p>
    <w:p w14:paraId="1AB2849C" w14:textId="77777777" w:rsidR="00BB7660" w:rsidRPr="00865728" w:rsidRDefault="00195095" w:rsidP="00BB7660">
      <w:pPr>
        <w:pStyle w:val="SOText"/>
        <w:rPr>
          <w:color w:val="0000FF"/>
        </w:rPr>
      </w:pPr>
      <w:r>
        <w:rPr>
          <w:color w:val="0000FF"/>
        </w:rPr>
        <w:t>Part 4</w:t>
      </w:r>
      <w:r w:rsidR="00BB7660">
        <w:rPr>
          <w:color w:val="0000FF"/>
        </w:rPr>
        <w:t xml:space="preserve"> </w:t>
      </w:r>
      <w:r w:rsidR="00BB7660" w:rsidRPr="00865728">
        <w:rPr>
          <w:color w:val="0000FF"/>
        </w:rPr>
        <w:t>of this Schedule deals with dispute resolution requirements in relation to the telecommunications sector.</w:t>
      </w:r>
    </w:p>
    <w:p w14:paraId="4D960899" w14:textId="77777777" w:rsidR="00BB7660" w:rsidRPr="00865728" w:rsidRDefault="00195095" w:rsidP="00BB7660">
      <w:pPr>
        <w:pStyle w:val="SOText"/>
        <w:rPr>
          <w:color w:val="0000FF"/>
        </w:rPr>
      </w:pPr>
      <w:r>
        <w:rPr>
          <w:color w:val="0000FF"/>
        </w:rPr>
        <w:t>Part 5</w:t>
      </w:r>
      <w:r w:rsidR="00BB7660" w:rsidRPr="00865728">
        <w:rPr>
          <w:color w:val="0000FF"/>
        </w:rPr>
        <w:t xml:space="preserve"> of this Schedule deals with the staged application of these rules to the telecommunications sector. Over time, as set out in this Part, these rules will apply to a progressively broader range of data holders within the telecommunications sector.</w:t>
      </w:r>
    </w:p>
    <w:p w14:paraId="0FD4AAB4" w14:textId="77777777" w:rsidR="00BB7660" w:rsidRPr="00F70E93" w:rsidRDefault="00195095" w:rsidP="00BB7660">
      <w:pPr>
        <w:pStyle w:val="ActHead5"/>
        <w:rPr>
          <w:color w:val="0000FF"/>
        </w:rPr>
      </w:pPr>
      <w:bookmarkStart w:id="766" w:name="_Toc111132338"/>
      <w:r>
        <w:rPr>
          <w:color w:val="0000FF"/>
        </w:rPr>
        <w:t>1.2</w:t>
      </w:r>
      <w:r w:rsidR="00BB7660" w:rsidRPr="00F70E93">
        <w:rPr>
          <w:color w:val="0000FF"/>
        </w:rPr>
        <w:t xml:space="preserve">  Interpretation</w:t>
      </w:r>
      <w:bookmarkEnd w:id="766"/>
    </w:p>
    <w:p w14:paraId="6CA57C0D" w14:textId="77777777" w:rsidR="00BB7660" w:rsidRPr="00F70E93" w:rsidRDefault="00BB7660" w:rsidP="00BB7660">
      <w:pPr>
        <w:pStyle w:val="subsection"/>
        <w:rPr>
          <w:color w:val="0000FF"/>
        </w:rPr>
      </w:pPr>
      <w:r w:rsidRPr="00F70E93">
        <w:rPr>
          <w:color w:val="0000FF"/>
        </w:rPr>
        <w:tab/>
      </w:r>
      <w:r w:rsidRPr="00F70E93">
        <w:rPr>
          <w:color w:val="0000FF"/>
        </w:rPr>
        <w:tab/>
        <w:t>In this Schedule:</w:t>
      </w:r>
    </w:p>
    <w:p w14:paraId="2394F590" w14:textId="77777777" w:rsidR="00BB7660" w:rsidRPr="00F70E93" w:rsidRDefault="00BB7660" w:rsidP="00BB7660">
      <w:pPr>
        <w:pStyle w:val="Definition"/>
        <w:rPr>
          <w:color w:val="0000FF"/>
        </w:rPr>
      </w:pPr>
      <w:r w:rsidRPr="00F70E93">
        <w:rPr>
          <w:b/>
          <w:i/>
          <w:color w:val="0000FF"/>
        </w:rPr>
        <w:t>account data</w:t>
      </w:r>
      <w:r w:rsidRPr="00F70E93">
        <w:rPr>
          <w:color w:val="0000FF"/>
        </w:rPr>
        <w:t xml:space="preserve"> has the meaning given by clause 1.3 of this Schedule.</w:t>
      </w:r>
    </w:p>
    <w:p w14:paraId="249D4C16" w14:textId="77777777" w:rsidR="00BB7660" w:rsidRPr="00F70E93" w:rsidRDefault="00BB7660" w:rsidP="00BB7660">
      <w:pPr>
        <w:pStyle w:val="Definition"/>
        <w:rPr>
          <w:color w:val="0000FF"/>
        </w:rPr>
      </w:pPr>
      <w:r w:rsidRPr="00F70E93">
        <w:rPr>
          <w:b/>
          <w:i/>
          <w:color w:val="0000FF"/>
        </w:rPr>
        <w:t>billing data</w:t>
      </w:r>
      <w:r w:rsidRPr="00F70E93">
        <w:rPr>
          <w:color w:val="0000FF"/>
        </w:rPr>
        <w:t xml:space="preserve"> has the meaning given by clause 1.3 of this Schedule.</w:t>
      </w:r>
    </w:p>
    <w:p w14:paraId="417CB95D" w14:textId="77777777" w:rsidR="00BB7660" w:rsidRPr="00F70E93" w:rsidRDefault="00BB7660" w:rsidP="00BB7660">
      <w:pPr>
        <w:pStyle w:val="Definition"/>
        <w:rPr>
          <w:b/>
          <w:bCs/>
          <w:i/>
          <w:iCs/>
          <w:color w:val="0000FF"/>
          <w:szCs w:val="22"/>
          <w:shd w:val="clear" w:color="auto" w:fill="FFFFFF"/>
        </w:rPr>
      </w:pPr>
      <w:r w:rsidRPr="00F70E93">
        <w:rPr>
          <w:b/>
          <w:bCs/>
          <w:i/>
          <w:iCs/>
          <w:color w:val="0000FF"/>
          <w:szCs w:val="22"/>
          <w:shd w:val="clear" w:color="auto" w:fill="FFFFFF"/>
        </w:rPr>
        <w:t xml:space="preserve">carriage service provider </w:t>
      </w:r>
      <w:r w:rsidRPr="00F70E93">
        <w:rPr>
          <w:color w:val="0000FF"/>
        </w:rPr>
        <w:t>has the meaning given by the telecommunications sector designation instrument.</w:t>
      </w:r>
    </w:p>
    <w:p w14:paraId="68E008AA" w14:textId="77777777" w:rsidR="00BB7660" w:rsidRPr="00F70E93" w:rsidRDefault="00BB7660" w:rsidP="00BB7660">
      <w:pPr>
        <w:pStyle w:val="Definition"/>
        <w:rPr>
          <w:color w:val="0000FF"/>
        </w:rPr>
      </w:pPr>
      <w:r w:rsidRPr="00F70E93">
        <w:rPr>
          <w:b/>
          <w:i/>
          <w:color w:val="0000FF"/>
        </w:rPr>
        <w:t>customer data</w:t>
      </w:r>
      <w:r w:rsidRPr="00F70E93">
        <w:rPr>
          <w:color w:val="0000FF"/>
        </w:rPr>
        <w:t xml:space="preserve"> has the meaning given by clause 1.3 of this Schedule.</w:t>
      </w:r>
    </w:p>
    <w:p w14:paraId="75B94077" w14:textId="77777777" w:rsidR="00BB7660" w:rsidRPr="00F70E93" w:rsidRDefault="00BB7660" w:rsidP="00BB7660">
      <w:pPr>
        <w:pStyle w:val="Definition"/>
        <w:rPr>
          <w:color w:val="0000FF"/>
        </w:rPr>
      </w:pPr>
      <w:r w:rsidRPr="00F70E93">
        <w:rPr>
          <w:b/>
          <w:bCs/>
          <w:i/>
          <w:iCs/>
          <w:color w:val="0000FF"/>
        </w:rPr>
        <w:t xml:space="preserve">fixed internet service </w:t>
      </w:r>
      <w:r w:rsidRPr="00F70E93">
        <w:rPr>
          <w:color w:val="0000FF"/>
        </w:rPr>
        <w:t>means a telecommunications service that:</w:t>
      </w:r>
    </w:p>
    <w:p w14:paraId="5EEB05D9" w14:textId="77777777" w:rsidR="00BB7660" w:rsidRPr="000B060D" w:rsidRDefault="00BB7660" w:rsidP="00BB7660">
      <w:pPr>
        <w:pStyle w:val="paragraph"/>
        <w:rPr>
          <w:color w:val="0000FF"/>
        </w:rPr>
      </w:pPr>
      <w:r w:rsidRPr="000B060D">
        <w:rPr>
          <w:color w:val="0000FF"/>
        </w:rPr>
        <w:tab/>
      </w:r>
      <w:r w:rsidR="006B1516" w:rsidRPr="000B060D">
        <w:rPr>
          <w:color w:val="0000FF"/>
        </w:rPr>
        <w:t>(a)</w:t>
      </w:r>
      <w:r w:rsidRPr="000B060D">
        <w:rPr>
          <w:color w:val="0000FF"/>
        </w:rPr>
        <w:tab/>
        <w:t>provides the user with access to the internet; and</w:t>
      </w:r>
    </w:p>
    <w:p w14:paraId="794C2FF8" w14:textId="77777777" w:rsidR="00BB7660" w:rsidRPr="000B060D" w:rsidRDefault="00BB7660" w:rsidP="00BB7660">
      <w:pPr>
        <w:pStyle w:val="paragraph"/>
        <w:rPr>
          <w:color w:val="0000FF"/>
        </w:rPr>
      </w:pPr>
      <w:r w:rsidRPr="000B060D">
        <w:rPr>
          <w:color w:val="0000FF"/>
        </w:rPr>
        <w:tab/>
      </w:r>
      <w:r w:rsidR="006B1516" w:rsidRPr="000B060D">
        <w:rPr>
          <w:color w:val="0000FF"/>
        </w:rPr>
        <w:t>(b)</w:t>
      </w:r>
      <w:r w:rsidRPr="000B060D">
        <w:rPr>
          <w:color w:val="0000FF"/>
        </w:rPr>
        <w:tab/>
        <w:t>is not a public mobile telecommunications service.</w:t>
      </w:r>
    </w:p>
    <w:p w14:paraId="7AD92AA3" w14:textId="77777777" w:rsidR="00F80B17" w:rsidRPr="000B060D" w:rsidRDefault="00F80B17" w:rsidP="00F80B17">
      <w:pPr>
        <w:pStyle w:val="Definition"/>
        <w:rPr>
          <w:color w:val="0000FF"/>
        </w:rPr>
      </w:pPr>
      <w:r w:rsidRPr="000B060D">
        <w:rPr>
          <w:b/>
          <w:bCs/>
          <w:i/>
          <w:iCs/>
          <w:color w:val="0000FF"/>
          <w:szCs w:val="22"/>
          <w:shd w:val="clear" w:color="auto" w:fill="FFFFFF"/>
        </w:rPr>
        <w:t xml:space="preserve">product </w:t>
      </w:r>
      <w:r w:rsidRPr="000B060D">
        <w:rPr>
          <w:color w:val="0000FF"/>
        </w:rPr>
        <w:t>has the meaning given by the telecommunications sector designation instrument.</w:t>
      </w:r>
    </w:p>
    <w:p w14:paraId="78459EA1" w14:textId="77777777" w:rsidR="00452EEE" w:rsidRPr="000B060D" w:rsidRDefault="00D951BA" w:rsidP="00D951BA">
      <w:pPr>
        <w:pStyle w:val="notetext"/>
        <w:rPr>
          <w:color w:val="0000FF"/>
        </w:rPr>
      </w:pPr>
      <w:r w:rsidRPr="000B060D">
        <w:rPr>
          <w:color w:val="0000FF"/>
        </w:rPr>
        <w:lastRenderedPageBreak/>
        <w:t>Note:</w:t>
      </w:r>
      <w:r w:rsidRPr="000B060D">
        <w:rPr>
          <w:color w:val="0000FF"/>
        </w:rPr>
        <w:tab/>
        <w:t>A product may have a number of elements, each of which is itself a product</w:t>
      </w:r>
      <w:r w:rsidR="00452EEE" w:rsidRPr="000B060D">
        <w:rPr>
          <w:color w:val="0000FF"/>
        </w:rPr>
        <w:t xml:space="preserve"> (for example, one in which a number of individual plans are bundled).</w:t>
      </w:r>
    </w:p>
    <w:p w14:paraId="21E38A97" w14:textId="77777777" w:rsidR="00BB7660" w:rsidRPr="00F70E93" w:rsidRDefault="00BB7660" w:rsidP="00BB7660">
      <w:pPr>
        <w:pStyle w:val="Definition"/>
        <w:rPr>
          <w:color w:val="0000FF"/>
        </w:rPr>
      </w:pPr>
      <w:r w:rsidRPr="00F70E93">
        <w:rPr>
          <w:b/>
          <w:i/>
          <w:color w:val="0000FF"/>
        </w:rPr>
        <w:t>product specific data</w:t>
      </w:r>
      <w:r w:rsidRPr="00F70E93">
        <w:rPr>
          <w:color w:val="0000FF"/>
        </w:rPr>
        <w:t xml:space="preserve"> has the meaning given by clause </w:t>
      </w:r>
      <w:r w:rsidR="00195095">
        <w:rPr>
          <w:color w:val="0000FF"/>
        </w:rPr>
        <w:t>1.3</w:t>
      </w:r>
      <w:r w:rsidRPr="00F70E93">
        <w:rPr>
          <w:color w:val="0000FF"/>
        </w:rPr>
        <w:t xml:space="preserve"> of this Schedule.</w:t>
      </w:r>
    </w:p>
    <w:p w14:paraId="31487F53" w14:textId="77777777" w:rsidR="00BB7660" w:rsidRPr="000B060D" w:rsidRDefault="00BB7660" w:rsidP="00BB7660">
      <w:pPr>
        <w:pStyle w:val="Definition"/>
        <w:rPr>
          <w:b/>
          <w:i/>
          <w:color w:val="0000FF"/>
          <w:shd w:val="clear" w:color="auto" w:fill="FFFFFF"/>
        </w:rPr>
      </w:pPr>
      <w:r w:rsidRPr="00F70E93">
        <w:rPr>
          <w:b/>
          <w:i/>
          <w:color w:val="0000FF"/>
          <w:shd w:val="clear" w:color="auto" w:fill="FFFFFF"/>
        </w:rPr>
        <w:t xml:space="preserve">public mobile </w:t>
      </w:r>
      <w:r w:rsidRPr="000B060D">
        <w:rPr>
          <w:b/>
          <w:i/>
          <w:color w:val="0000FF"/>
          <w:shd w:val="clear" w:color="auto" w:fill="FFFFFF"/>
        </w:rPr>
        <w:t xml:space="preserve">telecommunications service </w:t>
      </w:r>
      <w:r w:rsidRPr="000B060D">
        <w:rPr>
          <w:color w:val="0000FF"/>
        </w:rPr>
        <w:t xml:space="preserve">has </w:t>
      </w:r>
      <w:r w:rsidR="00210838">
        <w:rPr>
          <w:color w:val="0000FF"/>
        </w:rPr>
        <w:t xml:space="preserve">the </w:t>
      </w:r>
      <w:r w:rsidRPr="000B060D">
        <w:rPr>
          <w:color w:val="0000FF"/>
        </w:rPr>
        <w:t xml:space="preserve">same meaning as in </w:t>
      </w:r>
      <w:r w:rsidRPr="000B060D">
        <w:rPr>
          <w:i/>
          <w:color w:val="0000FF"/>
        </w:rPr>
        <w:t>Telecommunications Act 1997</w:t>
      </w:r>
      <w:r w:rsidRPr="000B060D">
        <w:rPr>
          <w:color w:val="0000FF"/>
        </w:rPr>
        <w:t>.</w:t>
      </w:r>
      <w:r w:rsidRPr="000B060D">
        <w:rPr>
          <w:b/>
          <w:i/>
          <w:color w:val="0000FF"/>
          <w:shd w:val="clear" w:color="auto" w:fill="FFFFFF"/>
        </w:rPr>
        <w:t xml:space="preserve"> </w:t>
      </w:r>
    </w:p>
    <w:p w14:paraId="45495D08" w14:textId="77777777" w:rsidR="00F23CCB" w:rsidRPr="000B060D" w:rsidRDefault="00F23CCB" w:rsidP="00F23CCB">
      <w:pPr>
        <w:pStyle w:val="Definition"/>
        <w:rPr>
          <w:color w:val="0000FF"/>
        </w:rPr>
      </w:pPr>
      <w:r w:rsidRPr="000B060D">
        <w:rPr>
          <w:b/>
          <w:i/>
          <w:color w:val="0000FF"/>
        </w:rPr>
        <w:t xml:space="preserve">relevant product </w:t>
      </w:r>
      <w:r w:rsidRPr="000B060D">
        <w:rPr>
          <w:color w:val="0000FF"/>
        </w:rPr>
        <w:t>means a product that</w:t>
      </w:r>
      <w:r>
        <w:rPr>
          <w:color w:val="0000FF"/>
        </w:rPr>
        <w:t xml:space="preserve"> </w:t>
      </w:r>
      <w:r w:rsidRPr="000B060D">
        <w:rPr>
          <w:color w:val="0000FF"/>
        </w:rPr>
        <w:t>includes:</w:t>
      </w:r>
    </w:p>
    <w:p w14:paraId="2A82D97E" w14:textId="77777777" w:rsidR="00F23CCB" w:rsidRPr="000B060D" w:rsidRDefault="00F23CCB" w:rsidP="00F23CCB">
      <w:pPr>
        <w:pStyle w:val="paragraph"/>
        <w:rPr>
          <w:color w:val="0000FF"/>
          <w:shd w:val="clear" w:color="auto" w:fill="FFFFFF"/>
        </w:rPr>
      </w:pPr>
      <w:r w:rsidRPr="000B060D">
        <w:rPr>
          <w:color w:val="0000FF"/>
        </w:rPr>
        <w:tab/>
        <w:t>(a)</w:t>
      </w:r>
      <w:r w:rsidRPr="000B060D">
        <w:rPr>
          <w:color w:val="0000FF"/>
        </w:rPr>
        <w:tab/>
        <w:t xml:space="preserve">a </w:t>
      </w:r>
      <w:r w:rsidRPr="000B060D">
        <w:rPr>
          <w:color w:val="0000FF"/>
          <w:shd w:val="clear" w:color="auto" w:fill="FFFFFF"/>
        </w:rPr>
        <w:t>public mobile telecommunications service; or</w:t>
      </w:r>
    </w:p>
    <w:p w14:paraId="78DE8B97" w14:textId="77777777" w:rsidR="00F23CCB" w:rsidRPr="000B060D" w:rsidRDefault="00F23CCB" w:rsidP="00F23CCB">
      <w:pPr>
        <w:pStyle w:val="paragraph"/>
        <w:rPr>
          <w:color w:val="0000FF"/>
        </w:rPr>
      </w:pPr>
      <w:r w:rsidRPr="000B060D">
        <w:rPr>
          <w:color w:val="0000FF"/>
        </w:rPr>
        <w:tab/>
        <w:t>(b)</w:t>
      </w:r>
      <w:r w:rsidRPr="000B060D">
        <w:rPr>
          <w:color w:val="0000FF"/>
        </w:rPr>
        <w:tab/>
        <w:t>a fixed internet service.</w:t>
      </w:r>
    </w:p>
    <w:p w14:paraId="0C9E1160" w14:textId="77777777" w:rsidR="00BB7660" w:rsidRPr="000B060D" w:rsidRDefault="00BB7660" w:rsidP="00BB7660">
      <w:pPr>
        <w:pStyle w:val="Definition"/>
        <w:rPr>
          <w:color w:val="0000FF"/>
        </w:rPr>
      </w:pPr>
      <w:r w:rsidRPr="000B060D">
        <w:rPr>
          <w:b/>
          <w:i/>
          <w:iCs/>
          <w:color w:val="0000FF"/>
        </w:rPr>
        <w:t xml:space="preserve">telecommunications sector </w:t>
      </w:r>
      <w:r w:rsidRPr="000B060D">
        <w:rPr>
          <w:color w:val="0000FF"/>
        </w:rPr>
        <w:t>means the sector of the Australian economy that is designated by the telecommunications sector designation instrument.</w:t>
      </w:r>
    </w:p>
    <w:p w14:paraId="270D4A8C" w14:textId="77777777" w:rsidR="00BB7660" w:rsidRPr="000B060D" w:rsidRDefault="00BB7660" w:rsidP="00BB7660">
      <w:pPr>
        <w:pStyle w:val="Definition"/>
        <w:rPr>
          <w:color w:val="0000FF"/>
        </w:rPr>
      </w:pPr>
      <w:r w:rsidRPr="000B060D">
        <w:rPr>
          <w:b/>
          <w:i/>
          <w:iCs/>
          <w:color w:val="0000FF"/>
        </w:rPr>
        <w:t xml:space="preserve">telecommunications sector data </w:t>
      </w:r>
      <w:r w:rsidRPr="000B060D">
        <w:rPr>
          <w:color w:val="0000FF"/>
        </w:rPr>
        <w:t xml:space="preserve">means CDR data covered by the </w:t>
      </w:r>
      <w:r w:rsidR="00F80B17" w:rsidRPr="000B060D">
        <w:rPr>
          <w:color w:val="0000FF"/>
        </w:rPr>
        <w:t>telecommunications</w:t>
      </w:r>
      <w:r w:rsidRPr="000B060D">
        <w:rPr>
          <w:color w:val="0000FF"/>
        </w:rPr>
        <w:t xml:space="preserve"> sector designation instrument.</w:t>
      </w:r>
    </w:p>
    <w:p w14:paraId="43F198F4" w14:textId="77777777" w:rsidR="00BB7660" w:rsidRPr="00F70E93" w:rsidRDefault="00BB7660" w:rsidP="00BB7660">
      <w:pPr>
        <w:pStyle w:val="Definition"/>
        <w:rPr>
          <w:color w:val="0000FF"/>
        </w:rPr>
      </w:pPr>
      <w:r w:rsidRPr="000B060D">
        <w:rPr>
          <w:b/>
          <w:i/>
          <w:iCs/>
          <w:color w:val="0000FF"/>
        </w:rPr>
        <w:t>telecommunications sector</w:t>
      </w:r>
      <w:r w:rsidRPr="00F70E93">
        <w:rPr>
          <w:b/>
          <w:i/>
          <w:iCs/>
          <w:color w:val="0000FF"/>
        </w:rPr>
        <w:t xml:space="preserve"> designation instrument </w:t>
      </w:r>
      <w:r w:rsidRPr="00F70E93">
        <w:rPr>
          <w:color w:val="0000FF"/>
        </w:rPr>
        <w:t xml:space="preserve">means the </w:t>
      </w:r>
      <w:r w:rsidRPr="00F70E93">
        <w:rPr>
          <w:i/>
          <w:iCs/>
          <w:color w:val="0000FF"/>
        </w:rPr>
        <w:t>Consumer Data Right (Telecommunications Sector) Designation 2022</w:t>
      </w:r>
      <w:r w:rsidRPr="00F70E93">
        <w:rPr>
          <w:color w:val="0000FF"/>
        </w:rPr>
        <w:t>.</w:t>
      </w:r>
    </w:p>
    <w:p w14:paraId="2685960B" w14:textId="77777777" w:rsidR="00BB7660" w:rsidRPr="00F70E93" w:rsidRDefault="00BB7660" w:rsidP="00BB7660">
      <w:pPr>
        <w:pStyle w:val="Definition"/>
        <w:rPr>
          <w:color w:val="0000FF"/>
        </w:rPr>
      </w:pPr>
      <w:r w:rsidRPr="00F70E93">
        <w:rPr>
          <w:b/>
          <w:bCs/>
          <w:i/>
          <w:iCs/>
          <w:color w:val="0000FF"/>
          <w:szCs w:val="22"/>
          <w:shd w:val="clear" w:color="auto" w:fill="FFFFFF"/>
        </w:rPr>
        <w:t>telecommunications service</w:t>
      </w:r>
      <w:r w:rsidRPr="00F70E93">
        <w:rPr>
          <w:color w:val="0000FF"/>
          <w:szCs w:val="22"/>
          <w:shd w:val="clear" w:color="auto" w:fill="FFFFFF"/>
        </w:rPr>
        <w:t> has the same meaning as in the </w:t>
      </w:r>
      <w:r w:rsidRPr="00F70E93">
        <w:rPr>
          <w:i/>
          <w:iCs/>
          <w:color w:val="0000FF"/>
          <w:szCs w:val="22"/>
          <w:shd w:val="clear" w:color="auto" w:fill="FFFFFF"/>
        </w:rPr>
        <w:t>Telecommunications Act 1997</w:t>
      </w:r>
      <w:r w:rsidRPr="00F70E93">
        <w:rPr>
          <w:color w:val="0000FF"/>
          <w:szCs w:val="22"/>
          <w:shd w:val="clear" w:color="auto" w:fill="FFFFFF"/>
        </w:rPr>
        <w:t>.</w:t>
      </w:r>
    </w:p>
    <w:p w14:paraId="6DD9EFD2" w14:textId="77777777" w:rsidR="00BB7660" w:rsidRPr="00F70E93" w:rsidRDefault="00BB7660" w:rsidP="00BB7660">
      <w:pPr>
        <w:pStyle w:val="Definition"/>
        <w:rPr>
          <w:color w:val="0000FF"/>
        </w:rPr>
      </w:pPr>
      <w:r w:rsidRPr="00F70E93">
        <w:rPr>
          <w:b/>
          <w:i/>
          <w:color w:val="0000FF"/>
        </w:rPr>
        <w:t>usage data</w:t>
      </w:r>
      <w:r w:rsidRPr="00F70E93">
        <w:rPr>
          <w:color w:val="0000FF"/>
        </w:rPr>
        <w:t xml:space="preserve"> has the meaning given by clause </w:t>
      </w:r>
      <w:r w:rsidR="00195095">
        <w:rPr>
          <w:color w:val="0000FF"/>
        </w:rPr>
        <w:t>1.3</w:t>
      </w:r>
      <w:r w:rsidRPr="00F70E93">
        <w:rPr>
          <w:color w:val="0000FF"/>
        </w:rPr>
        <w:t xml:space="preserve"> of this Schedule.</w:t>
      </w:r>
    </w:p>
    <w:p w14:paraId="5CD24499" w14:textId="77777777" w:rsidR="00BB7660" w:rsidRPr="00F70E93" w:rsidRDefault="00195095" w:rsidP="00BB7660">
      <w:pPr>
        <w:pStyle w:val="ActHead5"/>
        <w:rPr>
          <w:i/>
          <w:color w:val="0000FF"/>
        </w:rPr>
      </w:pPr>
      <w:bookmarkStart w:id="767" w:name="_Toc111132339"/>
      <w:r>
        <w:rPr>
          <w:color w:val="0000FF"/>
        </w:rPr>
        <w:t>1.3</w:t>
      </w:r>
      <w:r w:rsidR="00BB7660" w:rsidRPr="00F70E93">
        <w:rPr>
          <w:color w:val="0000FF"/>
        </w:rPr>
        <w:t xml:space="preserve">  Meaning of terms for types of data</w:t>
      </w:r>
      <w:bookmarkEnd w:id="767"/>
    </w:p>
    <w:p w14:paraId="099E7E6C" w14:textId="77777777" w:rsidR="00BB7660" w:rsidRPr="00F70E93" w:rsidRDefault="00BB7660" w:rsidP="00BB7660">
      <w:pPr>
        <w:pStyle w:val="subsection"/>
        <w:rPr>
          <w:color w:val="0000FF"/>
        </w:rPr>
      </w:pPr>
      <w:r w:rsidRPr="00F70E93">
        <w:rPr>
          <w:color w:val="0000FF"/>
        </w:rPr>
        <w:tab/>
      </w:r>
      <w:r w:rsidRPr="00F70E93">
        <w:rPr>
          <w:color w:val="0000FF"/>
        </w:rPr>
        <w:tab/>
        <w:t>For this Schedule, a term listed in column 1 of the table has the meaning given by column 2.</w:t>
      </w:r>
    </w:p>
    <w:p w14:paraId="2064AABC" w14:textId="77777777" w:rsidR="00BB7660" w:rsidRPr="004A04A4" w:rsidRDefault="00BB7660" w:rsidP="00BB7660">
      <w:pPr>
        <w:pStyle w:val="subsection"/>
        <w:rPr>
          <w:color w:val="0000FF"/>
        </w:rPr>
      </w:pPr>
    </w:p>
    <w:tbl>
      <w:tblPr>
        <w:tblStyle w:val="TableGrid"/>
        <w:tblW w:w="5000" w:type="pct"/>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25"/>
        <w:gridCol w:w="1974"/>
        <w:gridCol w:w="5914"/>
      </w:tblGrid>
      <w:tr w:rsidR="00BB7660" w:rsidRPr="00CB4288" w14:paraId="24A28CD2" w14:textId="77777777" w:rsidTr="0051288D">
        <w:trPr>
          <w:tblHeader/>
        </w:trPr>
        <w:tc>
          <w:tcPr>
            <w:tcW w:w="5000" w:type="pct"/>
            <w:gridSpan w:val="3"/>
            <w:tcBorders>
              <w:top w:val="single" w:sz="12" w:space="0" w:color="auto"/>
              <w:bottom w:val="single" w:sz="2" w:space="0" w:color="auto"/>
            </w:tcBorders>
          </w:tcPr>
          <w:p w14:paraId="50F6BC4C" w14:textId="77777777" w:rsidR="00BB7660" w:rsidRPr="00F70E93" w:rsidRDefault="00BB7660" w:rsidP="0051288D">
            <w:pPr>
              <w:pStyle w:val="TableHeading"/>
              <w:jc w:val="center"/>
              <w:rPr>
                <w:i/>
                <w:color w:val="0000FF"/>
              </w:rPr>
            </w:pPr>
            <w:r w:rsidRPr="00F70E93">
              <w:rPr>
                <w:color w:val="0000FF"/>
              </w:rPr>
              <w:t xml:space="preserve">Meaning of </w:t>
            </w:r>
            <w:r w:rsidRPr="00F70E93">
              <w:rPr>
                <w:i/>
                <w:color w:val="0000FF"/>
              </w:rPr>
              <w:t>customer data</w:t>
            </w:r>
            <w:r w:rsidRPr="00F70E93">
              <w:rPr>
                <w:color w:val="0000FF"/>
              </w:rPr>
              <w:t xml:space="preserve">, </w:t>
            </w:r>
            <w:r w:rsidRPr="00F70E93">
              <w:rPr>
                <w:i/>
                <w:color w:val="0000FF"/>
              </w:rPr>
              <w:t>account data</w:t>
            </w:r>
            <w:r w:rsidRPr="00F70E93">
              <w:rPr>
                <w:b w:val="0"/>
                <w:color w:val="0000FF"/>
              </w:rPr>
              <w:t xml:space="preserve">, </w:t>
            </w:r>
            <w:r w:rsidRPr="00F70E93">
              <w:rPr>
                <w:i/>
                <w:color w:val="0000FF"/>
              </w:rPr>
              <w:t>billing data</w:t>
            </w:r>
            <w:r w:rsidR="00F80B17">
              <w:rPr>
                <w:b w:val="0"/>
                <w:color w:val="0000FF"/>
              </w:rPr>
              <w:t>,</w:t>
            </w:r>
            <w:r w:rsidR="00F80B17" w:rsidRPr="00F92EFC">
              <w:rPr>
                <w:b w:val="0"/>
                <w:color w:val="0000FF"/>
              </w:rPr>
              <w:t xml:space="preserve"> </w:t>
            </w:r>
            <w:r w:rsidRPr="00F70E93">
              <w:rPr>
                <w:i/>
                <w:color w:val="0000FF"/>
              </w:rPr>
              <w:t>product specific</w:t>
            </w:r>
            <w:r w:rsidRPr="00F70E93">
              <w:rPr>
                <w:b w:val="0"/>
                <w:i/>
                <w:color w:val="0000FF"/>
              </w:rPr>
              <w:t xml:space="preserve"> </w:t>
            </w:r>
            <w:r w:rsidRPr="00F70E93">
              <w:rPr>
                <w:i/>
                <w:color w:val="0000FF"/>
              </w:rPr>
              <w:t>data</w:t>
            </w:r>
            <w:r w:rsidR="00F80B17">
              <w:rPr>
                <w:b w:val="0"/>
                <w:color w:val="0000FF"/>
              </w:rPr>
              <w:t xml:space="preserve"> </w:t>
            </w:r>
            <w:r w:rsidR="00F80B17" w:rsidRPr="000B060D">
              <w:rPr>
                <w:b w:val="0"/>
                <w:color w:val="0000FF"/>
              </w:rPr>
              <w:t xml:space="preserve">and </w:t>
            </w:r>
            <w:r w:rsidR="00F80B17" w:rsidRPr="000B060D">
              <w:rPr>
                <w:i/>
                <w:color w:val="0000FF"/>
              </w:rPr>
              <w:t>usage data</w:t>
            </w:r>
          </w:p>
        </w:tc>
      </w:tr>
      <w:tr w:rsidR="00BB7660" w:rsidRPr="005F7B89" w14:paraId="4879A630" w14:textId="77777777" w:rsidTr="0051288D">
        <w:trPr>
          <w:tblHeader/>
        </w:trPr>
        <w:tc>
          <w:tcPr>
            <w:tcW w:w="256" w:type="pct"/>
            <w:tcBorders>
              <w:top w:val="single" w:sz="2" w:space="0" w:color="auto"/>
              <w:bottom w:val="single" w:sz="12" w:space="0" w:color="auto"/>
              <w:right w:val="nil"/>
            </w:tcBorders>
          </w:tcPr>
          <w:p w14:paraId="0B012CA2" w14:textId="77777777" w:rsidR="00BB7660" w:rsidRPr="005F7B89" w:rsidRDefault="00BB7660" w:rsidP="0051288D">
            <w:pPr>
              <w:pStyle w:val="TableHeading"/>
              <w:rPr>
                <w:color w:val="0000FF"/>
              </w:rPr>
            </w:pPr>
          </w:p>
        </w:tc>
        <w:tc>
          <w:tcPr>
            <w:tcW w:w="1187" w:type="pct"/>
            <w:tcBorders>
              <w:top w:val="single" w:sz="2" w:space="0" w:color="auto"/>
              <w:left w:val="nil"/>
              <w:bottom w:val="single" w:sz="12" w:space="0" w:color="auto"/>
              <w:right w:val="nil"/>
            </w:tcBorders>
          </w:tcPr>
          <w:p w14:paraId="4719FC3F" w14:textId="77777777" w:rsidR="00BB7660" w:rsidRPr="005F7B89" w:rsidRDefault="00BB7660" w:rsidP="0051288D">
            <w:pPr>
              <w:pStyle w:val="TableHeading"/>
              <w:rPr>
                <w:color w:val="0000FF"/>
              </w:rPr>
            </w:pPr>
            <w:r w:rsidRPr="005F7B89">
              <w:rPr>
                <w:color w:val="0000FF"/>
              </w:rPr>
              <w:t>Column 1</w:t>
            </w:r>
          </w:p>
        </w:tc>
        <w:tc>
          <w:tcPr>
            <w:tcW w:w="3557" w:type="pct"/>
            <w:tcBorders>
              <w:top w:val="single" w:sz="2" w:space="0" w:color="auto"/>
              <w:left w:val="nil"/>
              <w:bottom w:val="single" w:sz="12" w:space="0" w:color="auto"/>
              <w:right w:val="nil"/>
            </w:tcBorders>
          </w:tcPr>
          <w:p w14:paraId="4AEEDBF8" w14:textId="77777777" w:rsidR="00BB7660" w:rsidRPr="005F7B89" w:rsidRDefault="00BB7660" w:rsidP="0051288D">
            <w:pPr>
              <w:pStyle w:val="TableHeading"/>
              <w:rPr>
                <w:color w:val="0000FF"/>
              </w:rPr>
            </w:pPr>
            <w:r w:rsidRPr="005F7B89">
              <w:rPr>
                <w:color w:val="0000FF"/>
              </w:rPr>
              <w:t>Column 2</w:t>
            </w:r>
          </w:p>
        </w:tc>
      </w:tr>
      <w:tr w:rsidR="00BB7660" w:rsidRPr="006E5BAD" w14:paraId="4AD37930" w14:textId="77777777" w:rsidTr="0051288D">
        <w:tc>
          <w:tcPr>
            <w:tcW w:w="256" w:type="pct"/>
            <w:tcBorders>
              <w:top w:val="single" w:sz="12" w:space="0" w:color="auto"/>
              <w:bottom w:val="single" w:sz="2" w:space="0" w:color="auto"/>
              <w:right w:val="nil"/>
            </w:tcBorders>
          </w:tcPr>
          <w:p w14:paraId="7DE96B41" w14:textId="77777777" w:rsidR="00BB7660" w:rsidRPr="001E2984" w:rsidRDefault="00BB7660" w:rsidP="0051288D">
            <w:pPr>
              <w:pStyle w:val="Tabletext"/>
              <w:rPr>
                <w:color w:val="008000"/>
              </w:rPr>
            </w:pPr>
            <w:r w:rsidRPr="00F70E93">
              <w:rPr>
                <w:color w:val="0000FF"/>
              </w:rPr>
              <w:t>1</w:t>
            </w:r>
          </w:p>
        </w:tc>
        <w:tc>
          <w:tcPr>
            <w:tcW w:w="1187" w:type="pct"/>
            <w:tcBorders>
              <w:top w:val="single" w:sz="12" w:space="0" w:color="auto"/>
              <w:left w:val="nil"/>
              <w:bottom w:val="single" w:sz="2" w:space="0" w:color="auto"/>
              <w:right w:val="nil"/>
            </w:tcBorders>
          </w:tcPr>
          <w:p w14:paraId="7EC4AB6C" w14:textId="77777777" w:rsidR="00BB7660" w:rsidRPr="001E2984" w:rsidRDefault="00BB7660" w:rsidP="0051288D">
            <w:pPr>
              <w:pStyle w:val="Tabletext"/>
              <w:rPr>
                <w:color w:val="008000"/>
              </w:rPr>
            </w:pPr>
            <w:r w:rsidRPr="00F70E93">
              <w:rPr>
                <w:b/>
                <w:i/>
                <w:color w:val="0000FF"/>
              </w:rPr>
              <w:t>customer data</w:t>
            </w:r>
            <w:r w:rsidRPr="00F70E93">
              <w:rPr>
                <w:color w:val="0000FF"/>
              </w:rPr>
              <w:t>, in relation to a particular person</w:t>
            </w:r>
          </w:p>
        </w:tc>
        <w:tc>
          <w:tcPr>
            <w:tcW w:w="3557" w:type="pct"/>
            <w:tcBorders>
              <w:top w:val="single" w:sz="12" w:space="0" w:color="auto"/>
              <w:left w:val="nil"/>
              <w:bottom w:val="single" w:sz="2" w:space="0" w:color="auto"/>
              <w:right w:val="nil"/>
            </w:tcBorders>
          </w:tcPr>
          <w:p w14:paraId="59F15687" w14:textId="77777777" w:rsidR="00BB7660" w:rsidRPr="00F70E93" w:rsidRDefault="00BB7660" w:rsidP="0051288D">
            <w:pPr>
              <w:pStyle w:val="Tablea"/>
              <w:rPr>
                <w:color w:val="0000FF"/>
              </w:rPr>
            </w:pPr>
            <w:r w:rsidRPr="00F70E93">
              <w:rPr>
                <w:color w:val="0000FF"/>
              </w:rPr>
              <w:t>(a)</w:t>
            </w:r>
            <w:r w:rsidRPr="00F70E93">
              <w:rPr>
                <w:color w:val="0000FF"/>
              </w:rPr>
              <w:tab/>
              <w:t>means information that identifies or is about the person; and</w:t>
            </w:r>
          </w:p>
          <w:p w14:paraId="1A916278" w14:textId="77777777" w:rsidR="00BB7660" w:rsidRPr="00F70E93" w:rsidRDefault="00BB7660" w:rsidP="0051288D">
            <w:pPr>
              <w:pStyle w:val="Tablea"/>
              <w:rPr>
                <w:color w:val="0000FF"/>
              </w:rPr>
            </w:pPr>
            <w:r w:rsidRPr="00F70E93">
              <w:rPr>
                <w:color w:val="0000FF"/>
              </w:rPr>
              <w:t>(b)</w:t>
            </w:r>
            <w:r w:rsidRPr="00F70E93">
              <w:rPr>
                <w:color w:val="0000FF"/>
              </w:rPr>
              <w:tab/>
              <w:t>includes:</w:t>
            </w:r>
          </w:p>
          <w:p w14:paraId="567B5EDF" w14:textId="77777777" w:rsidR="00BB7660" w:rsidRPr="00F70E93" w:rsidRDefault="00BB7660" w:rsidP="0051288D">
            <w:pPr>
              <w:pStyle w:val="Tablei"/>
              <w:rPr>
                <w:color w:val="0000FF"/>
              </w:rPr>
            </w:pPr>
            <w:r w:rsidRPr="00F70E93">
              <w:rPr>
                <w:color w:val="0000FF"/>
              </w:rPr>
              <w:tab/>
              <w:t>(i)</w:t>
            </w:r>
            <w:r w:rsidRPr="00F70E93">
              <w:rPr>
                <w:color w:val="0000FF"/>
              </w:rPr>
              <w:tab/>
              <w:t>the person’s name; and</w:t>
            </w:r>
          </w:p>
          <w:p w14:paraId="55F38393" w14:textId="77777777" w:rsidR="00BB7660" w:rsidRPr="00F70E93" w:rsidRDefault="00BB7660" w:rsidP="0051288D">
            <w:pPr>
              <w:pStyle w:val="Tablei"/>
              <w:rPr>
                <w:color w:val="0000FF"/>
              </w:rPr>
            </w:pPr>
            <w:r w:rsidRPr="00F70E93">
              <w:rPr>
                <w:color w:val="0000FF"/>
              </w:rPr>
              <w:tab/>
              <w:t>(ii)</w:t>
            </w:r>
            <w:r w:rsidRPr="00F70E93">
              <w:rPr>
                <w:color w:val="0000FF"/>
              </w:rPr>
              <w:tab/>
              <w:t>the person’s contact details, including their:</w:t>
            </w:r>
          </w:p>
          <w:p w14:paraId="7A0B9430" w14:textId="77777777" w:rsidR="00BB7660" w:rsidRPr="00F70E93" w:rsidRDefault="00BB7660" w:rsidP="0051288D">
            <w:pPr>
              <w:pStyle w:val="TableAA"/>
              <w:rPr>
                <w:color w:val="0000FF"/>
              </w:rPr>
            </w:pPr>
            <w:r w:rsidRPr="00F70E93">
              <w:rPr>
                <w:color w:val="0000FF"/>
              </w:rPr>
              <w:tab/>
              <w:t>(A)</w:t>
            </w:r>
            <w:r w:rsidRPr="00F70E93">
              <w:rPr>
                <w:color w:val="0000FF"/>
              </w:rPr>
              <w:tab/>
              <w:t>telephone number; and</w:t>
            </w:r>
          </w:p>
          <w:p w14:paraId="2940E3F5" w14:textId="77777777" w:rsidR="00BB7660" w:rsidRPr="00F70E93" w:rsidRDefault="00BB7660" w:rsidP="0051288D">
            <w:pPr>
              <w:pStyle w:val="TableAA"/>
              <w:rPr>
                <w:color w:val="0000FF"/>
              </w:rPr>
            </w:pPr>
            <w:r w:rsidRPr="00F70E93">
              <w:rPr>
                <w:color w:val="0000FF"/>
              </w:rPr>
              <w:tab/>
              <w:t>(B)</w:t>
            </w:r>
            <w:r w:rsidRPr="00F70E93">
              <w:rPr>
                <w:color w:val="0000FF"/>
              </w:rPr>
              <w:tab/>
              <w:t>email address; and</w:t>
            </w:r>
          </w:p>
          <w:p w14:paraId="397604D9" w14:textId="77777777" w:rsidR="00BB7660" w:rsidRPr="00F70E93" w:rsidRDefault="00BB7660" w:rsidP="0051288D">
            <w:pPr>
              <w:pStyle w:val="TableAA"/>
              <w:rPr>
                <w:color w:val="0000FF"/>
              </w:rPr>
            </w:pPr>
            <w:r w:rsidRPr="00F70E93">
              <w:rPr>
                <w:color w:val="0000FF"/>
              </w:rPr>
              <w:tab/>
              <w:t>(C)</w:t>
            </w:r>
            <w:r w:rsidRPr="00F70E93">
              <w:rPr>
                <w:color w:val="0000FF"/>
              </w:rPr>
              <w:tab/>
              <w:t>physical address; and</w:t>
            </w:r>
          </w:p>
          <w:p w14:paraId="7FA4C04F" w14:textId="77777777" w:rsidR="00BB7660" w:rsidRPr="00F70E93" w:rsidRDefault="00BB7660" w:rsidP="0051288D">
            <w:pPr>
              <w:pStyle w:val="Tablei"/>
              <w:rPr>
                <w:color w:val="0000FF"/>
              </w:rPr>
            </w:pPr>
            <w:r w:rsidRPr="00F70E93">
              <w:rPr>
                <w:color w:val="0000FF"/>
              </w:rPr>
              <w:tab/>
              <w:t>(iii)</w:t>
            </w:r>
            <w:r w:rsidRPr="00F70E93">
              <w:rPr>
                <w:color w:val="0000FF"/>
              </w:rPr>
              <w:tab/>
              <w:t>any information that:</w:t>
            </w:r>
          </w:p>
          <w:p w14:paraId="6E72A1D7" w14:textId="77777777" w:rsidR="00BB7660" w:rsidRPr="00AD11B8" w:rsidRDefault="00BB7660" w:rsidP="0051288D">
            <w:pPr>
              <w:pStyle w:val="TableAA"/>
              <w:rPr>
                <w:color w:val="0000FF"/>
              </w:rPr>
            </w:pPr>
            <w:r w:rsidRPr="00F70E93">
              <w:rPr>
                <w:color w:val="0000FF"/>
              </w:rPr>
              <w:tab/>
              <w:t>(A)</w:t>
            </w:r>
            <w:r w:rsidRPr="00F70E93">
              <w:rPr>
                <w:color w:val="0000FF"/>
              </w:rPr>
              <w:tab/>
              <w:t xml:space="preserve">the person provided at the time of acquiring a </w:t>
            </w:r>
            <w:r w:rsidRPr="00AD11B8">
              <w:rPr>
                <w:color w:val="0000FF"/>
              </w:rPr>
              <w:t xml:space="preserve">particular </w:t>
            </w:r>
            <w:r w:rsidR="002B7C78" w:rsidRPr="00AD11B8">
              <w:rPr>
                <w:color w:val="0000FF"/>
              </w:rPr>
              <w:t xml:space="preserve">relevant </w:t>
            </w:r>
            <w:r w:rsidRPr="00AD11B8">
              <w:rPr>
                <w:color w:val="0000FF"/>
              </w:rPr>
              <w:t>product; and</w:t>
            </w:r>
          </w:p>
          <w:p w14:paraId="3EB79AC9" w14:textId="77777777" w:rsidR="00BB7660" w:rsidRPr="00AD11B8" w:rsidRDefault="00BB7660" w:rsidP="0051288D">
            <w:pPr>
              <w:pStyle w:val="TableAA"/>
              <w:rPr>
                <w:color w:val="0000FF"/>
              </w:rPr>
            </w:pPr>
            <w:r w:rsidRPr="00AD11B8">
              <w:rPr>
                <w:color w:val="0000FF"/>
              </w:rPr>
              <w:tab/>
              <w:t>(B)</w:t>
            </w:r>
            <w:r w:rsidRPr="00AD11B8">
              <w:rPr>
                <w:color w:val="0000FF"/>
              </w:rPr>
              <w:tab/>
              <w:t xml:space="preserve">relates to their eligibility to acquire that </w:t>
            </w:r>
            <w:r w:rsidR="002B7C78" w:rsidRPr="00AD11B8">
              <w:rPr>
                <w:color w:val="0000FF"/>
              </w:rPr>
              <w:t xml:space="preserve">relevant </w:t>
            </w:r>
            <w:r w:rsidRPr="00AD11B8">
              <w:rPr>
                <w:color w:val="0000FF"/>
              </w:rPr>
              <w:t>product; and</w:t>
            </w:r>
          </w:p>
          <w:p w14:paraId="24B9D73B" w14:textId="77777777" w:rsidR="00BB7660" w:rsidRPr="00F70E93" w:rsidRDefault="00BB7660" w:rsidP="0051288D">
            <w:pPr>
              <w:pStyle w:val="Tablei"/>
              <w:rPr>
                <w:color w:val="0000FF"/>
              </w:rPr>
            </w:pPr>
            <w:r w:rsidRPr="00F70E93">
              <w:rPr>
                <w:color w:val="0000FF"/>
              </w:rPr>
              <w:tab/>
              <w:t>(iv)</w:t>
            </w:r>
            <w:r w:rsidRPr="00F70E93">
              <w:rPr>
                <w:color w:val="0000FF"/>
              </w:rPr>
              <w:tab/>
              <w:t>if the person operates a business—the following:</w:t>
            </w:r>
          </w:p>
          <w:p w14:paraId="0882AD7B" w14:textId="77777777" w:rsidR="00BB7660" w:rsidRPr="00F70E93" w:rsidRDefault="00BB7660" w:rsidP="0051288D">
            <w:pPr>
              <w:pStyle w:val="TableAA"/>
              <w:rPr>
                <w:color w:val="0000FF"/>
              </w:rPr>
            </w:pPr>
            <w:r w:rsidRPr="00F70E93">
              <w:rPr>
                <w:color w:val="0000FF"/>
              </w:rPr>
              <w:tab/>
              <w:t>(A)</w:t>
            </w:r>
            <w:r w:rsidRPr="00F70E93">
              <w:rPr>
                <w:color w:val="0000FF"/>
              </w:rPr>
              <w:tab/>
              <w:t xml:space="preserve">the person’s business name; </w:t>
            </w:r>
          </w:p>
          <w:p w14:paraId="18460042" w14:textId="77777777" w:rsidR="00BB7660" w:rsidRPr="00F70E93" w:rsidRDefault="00BB7660" w:rsidP="0051288D">
            <w:pPr>
              <w:pStyle w:val="TableAA"/>
              <w:rPr>
                <w:color w:val="0000FF"/>
              </w:rPr>
            </w:pPr>
            <w:r w:rsidRPr="00F70E93">
              <w:rPr>
                <w:color w:val="0000FF"/>
              </w:rPr>
              <w:tab/>
              <w:t>(B)</w:t>
            </w:r>
            <w:r w:rsidRPr="00F70E93">
              <w:rPr>
                <w:color w:val="0000FF"/>
              </w:rPr>
              <w:tab/>
              <w:t>the person’s</w:t>
            </w:r>
            <w:r w:rsidR="00B3574E" w:rsidRPr="00F70E93">
              <w:rPr>
                <w:color w:val="0000FF"/>
              </w:rPr>
              <w:t xml:space="preserve"> </w:t>
            </w:r>
            <w:r w:rsidRPr="00F70E93">
              <w:rPr>
                <w:color w:val="0000FF"/>
              </w:rPr>
              <w:t xml:space="preserve">ABN (within the meaning of the </w:t>
            </w:r>
            <w:r w:rsidRPr="00F70E93">
              <w:rPr>
                <w:i/>
                <w:color w:val="0000FF"/>
              </w:rPr>
              <w:t>A New Tax System (Australian Business Number) Act 1999</w:t>
            </w:r>
            <w:r w:rsidRPr="00F70E93">
              <w:rPr>
                <w:color w:val="0000FF"/>
              </w:rPr>
              <w:t>); and</w:t>
            </w:r>
          </w:p>
          <w:p w14:paraId="50849CC6" w14:textId="77777777" w:rsidR="00BB7660" w:rsidRDefault="00BB7660" w:rsidP="0051288D">
            <w:pPr>
              <w:pStyle w:val="Tablea"/>
              <w:rPr>
                <w:color w:val="0000FF"/>
              </w:rPr>
            </w:pPr>
            <w:r w:rsidRPr="00F70E93">
              <w:rPr>
                <w:color w:val="0000FF"/>
              </w:rPr>
              <w:t xml:space="preserve">(c) </w:t>
            </w:r>
            <w:r w:rsidRPr="00F70E93">
              <w:rPr>
                <w:color w:val="0000FF"/>
              </w:rPr>
              <w:tab/>
              <w:t>if the person is an individual―does not include the person’s date of birth.</w:t>
            </w:r>
          </w:p>
          <w:p w14:paraId="0A7F25A2" w14:textId="77777777" w:rsidR="005D183D" w:rsidRPr="00F70E93" w:rsidRDefault="005D183D" w:rsidP="005D183D">
            <w:pPr>
              <w:pStyle w:val="nDrafterComment"/>
              <w:rPr>
                <w:color w:val="0000FF"/>
              </w:rPr>
            </w:pPr>
          </w:p>
        </w:tc>
      </w:tr>
      <w:tr w:rsidR="00BB7660" w:rsidRPr="0070471C" w14:paraId="0C15E4CC" w14:textId="77777777" w:rsidTr="0051288D">
        <w:tc>
          <w:tcPr>
            <w:tcW w:w="256" w:type="pct"/>
            <w:tcBorders>
              <w:top w:val="single" w:sz="2" w:space="0" w:color="auto"/>
              <w:bottom w:val="single" w:sz="4" w:space="0" w:color="auto"/>
              <w:right w:val="nil"/>
            </w:tcBorders>
          </w:tcPr>
          <w:p w14:paraId="2DDD0F43" w14:textId="77777777" w:rsidR="00BB7660" w:rsidRPr="001E2984" w:rsidRDefault="00BB7660" w:rsidP="0051288D">
            <w:pPr>
              <w:pStyle w:val="Tabletext"/>
              <w:rPr>
                <w:color w:val="008000"/>
              </w:rPr>
            </w:pPr>
            <w:r w:rsidRPr="00F70E93">
              <w:rPr>
                <w:color w:val="0000FF"/>
              </w:rPr>
              <w:lastRenderedPageBreak/>
              <w:t>2</w:t>
            </w:r>
          </w:p>
        </w:tc>
        <w:tc>
          <w:tcPr>
            <w:tcW w:w="1187" w:type="pct"/>
            <w:tcBorders>
              <w:top w:val="single" w:sz="2" w:space="0" w:color="auto"/>
              <w:left w:val="nil"/>
              <w:bottom w:val="single" w:sz="4" w:space="0" w:color="auto"/>
              <w:right w:val="nil"/>
            </w:tcBorders>
          </w:tcPr>
          <w:p w14:paraId="149F5B9A" w14:textId="77777777" w:rsidR="00BB7660" w:rsidRPr="001E2984" w:rsidRDefault="00BB7660" w:rsidP="0051288D">
            <w:pPr>
              <w:pStyle w:val="Tabletext"/>
              <w:rPr>
                <w:color w:val="008000"/>
              </w:rPr>
            </w:pPr>
            <w:r w:rsidRPr="00F70E93">
              <w:rPr>
                <w:b/>
                <w:i/>
                <w:color w:val="0000FF"/>
              </w:rPr>
              <w:t>account data</w:t>
            </w:r>
            <w:r w:rsidRPr="00F70E93">
              <w:rPr>
                <w:color w:val="0000FF"/>
              </w:rPr>
              <w:t>, in relation to a particular account</w:t>
            </w:r>
          </w:p>
        </w:tc>
        <w:tc>
          <w:tcPr>
            <w:tcW w:w="3557" w:type="pct"/>
            <w:tcBorders>
              <w:top w:val="single" w:sz="2" w:space="0" w:color="auto"/>
              <w:left w:val="nil"/>
              <w:bottom w:val="single" w:sz="4" w:space="0" w:color="auto"/>
              <w:right w:val="nil"/>
            </w:tcBorders>
          </w:tcPr>
          <w:p w14:paraId="4089E9C1" w14:textId="77777777" w:rsidR="00BB7660" w:rsidRPr="00F70E93" w:rsidRDefault="00BB7660" w:rsidP="0051288D">
            <w:pPr>
              <w:pStyle w:val="Tablea"/>
              <w:rPr>
                <w:color w:val="0000FF"/>
              </w:rPr>
            </w:pPr>
            <w:r w:rsidRPr="00F70E93">
              <w:rPr>
                <w:color w:val="0000FF"/>
              </w:rPr>
              <w:t>(a)</w:t>
            </w:r>
            <w:r w:rsidRPr="00F70E93">
              <w:rPr>
                <w:color w:val="0000FF"/>
              </w:rPr>
              <w:tab/>
              <w:t>means information that identifies or is about the operation of the account; and</w:t>
            </w:r>
          </w:p>
          <w:p w14:paraId="05D95D8B" w14:textId="77777777" w:rsidR="00BB7660" w:rsidRPr="00F70E93" w:rsidRDefault="00BB7660" w:rsidP="0051288D">
            <w:pPr>
              <w:pStyle w:val="Tablea"/>
              <w:rPr>
                <w:color w:val="0000FF"/>
              </w:rPr>
            </w:pPr>
            <w:r w:rsidRPr="00F70E93">
              <w:rPr>
                <w:color w:val="0000FF"/>
              </w:rPr>
              <w:t>(b)</w:t>
            </w:r>
            <w:r w:rsidRPr="00F70E93">
              <w:rPr>
                <w:color w:val="0000FF"/>
              </w:rPr>
              <w:tab/>
              <w:t>includes:</w:t>
            </w:r>
          </w:p>
          <w:p w14:paraId="7EE65B75" w14:textId="77777777" w:rsidR="00BB7660" w:rsidRPr="00F70E93" w:rsidRDefault="00BB7660" w:rsidP="0051288D">
            <w:pPr>
              <w:pStyle w:val="Tablei"/>
              <w:rPr>
                <w:color w:val="0000FF"/>
              </w:rPr>
            </w:pPr>
            <w:r w:rsidRPr="00F70E93">
              <w:rPr>
                <w:color w:val="0000FF"/>
              </w:rPr>
              <w:tab/>
              <w:t>(i)</w:t>
            </w:r>
            <w:r w:rsidRPr="00F70E93">
              <w:rPr>
                <w:color w:val="0000FF"/>
              </w:rPr>
              <w:tab/>
              <w:t>the account number, other than to the extent that an account number is masked (whether as required by law or in accordance with any applicable standard or industry practice); and</w:t>
            </w:r>
          </w:p>
          <w:p w14:paraId="664FA005" w14:textId="77777777" w:rsidR="00BB7660" w:rsidRPr="00F70E93" w:rsidRDefault="00BB7660" w:rsidP="0051288D">
            <w:pPr>
              <w:pStyle w:val="Tablei"/>
              <w:rPr>
                <w:color w:val="0000FF"/>
              </w:rPr>
            </w:pPr>
            <w:r w:rsidRPr="00F70E93">
              <w:rPr>
                <w:color w:val="0000FF"/>
              </w:rPr>
              <w:tab/>
              <w:t>(ii)</w:t>
            </w:r>
            <w:r w:rsidRPr="00F70E93">
              <w:rPr>
                <w:color w:val="0000FF"/>
              </w:rPr>
              <w:tab/>
              <w:t>the date the account was created; and</w:t>
            </w:r>
          </w:p>
          <w:p w14:paraId="17BADE39" w14:textId="77777777" w:rsidR="00BB7660" w:rsidRPr="00F70E93" w:rsidRDefault="00BB7660" w:rsidP="0051288D">
            <w:pPr>
              <w:pStyle w:val="Tablei"/>
              <w:rPr>
                <w:color w:val="0000FF"/>
              </w:rPr>
            </w:pPr>
            <w:r w:rsidRPr="00F70E93">
              <w:rPr>
                <w:color w:val="0000FF"/>
              </w:rPr>
              <w:tab/>
              <w:t>(iii)</w:t>
            </w:r>
            <w:r w:rsidRPr="00F70E93">
              <w:rPr>
                <w:color w:val="0000FF"/>
              </w:rPr>
              <w:tab/>
            </w:r>
            <w:r w:rsidRPr="00F70E93">
              <w:rPr>
                <w:rFonts w:eastAsia="Calibri"/>
                <w:color w:val="0000FF"/>
              </w:rPr>
              <w:t>any payment schedule associated with the account (including payment method and frequency of payments)</w:t>
            </w:r>
            <w:r w:rsidRPr="00F70E93">
              <w:rPr>
                <w:color w:val="0000FF"/>
              </w:rPr>
              <w:t>; and</w:t>
            </w:r>
          </w:p>
          <w:p w14:paraId="76EBF497" w14:textId="77777777" w:rsidR="00BB7660" w:rsidRPr="00F70E93" w:rsidRDefault="00BB7660" w:rsidP="0051288D">
            <w:pPr>
              <w:pStyle w:val="Tablei"/>
              <w:rPr>
                <w:rFonts w:eastAsia="Calibri"/>
                <w:color w:val="0000FF"/>
              </w:rPr>
            </w:pPr>
            <w:r w:rsidRPr="00F70E93">
              <w:rPr>
                <w:color w:val="0000FF"/>
              </w:rPr>
              <w:tab/>
            </w:r>
            <w:r w:rsidRPr="005F7B89">
              <w:rPr>
                <w:color w:val="0000FF"/>
              </w:rPr>
              <w:t>(iv)</w:t>
            </w:r>
            <w:r w:rsidRPr="005F7B89">
              <w:rPr>
                <w:color w:val="0000FF"/>
              </w:rPr>
              <w:tab/>
            </w:r>
            <w:r w:rsidRPr="00F70E93">
              <w:rPr>
                <w:color w:val="0000FF"/>
              </w:rPr>
              <w:t>a</w:t>
            </w:r>
            <w:r w:rsidRPr="00F70E93">
              <w:rPr>
                <w:rFonts w:eastAsia="Calibri"/>
                <w:color w:val="0000FF"/>
              </w:rPr>
              <w:t>ny concessions, rebates or grants applied to the account</w:t>
            </w:r>
            <w:r w:rsidRPr="00F70E93">
              <w:rPr>
                <w:color w:val="0000FF"/>
              </w:rPr>
              <w:t>; and</w:t>
            </w:r>
          </w:p>
          <w:p w14:paraId="5513346C" w14:textId="77777777" w:rsidR="00BB7660" w:rsidRDefault="00BB7660" w:rsidP="0051288D">
            <w:pPr>
              <w:pStyle w:val="Tablea"/>
              <w:rPr>
                <w:color w:val="0000FF"/>
              </w:rPr>
            </w:pPr>
            <w:r w:rsidRPr="00F70E93">
              <w:rPr>
                <w:color w:val="0000FF"/>
              </w:rPr>
              <w:t xml:space="preserve">(c) </w:t>
            </w:r>
            <w:r w:rsidRPr="00F70E93">
              <w:rPr>
                <w:color w:val="0000FF"/>
              </w:rPr>
              <w:tab/>
              <w:t>does not include information about whether the account is associated with a hardship program.</w:t>
            </w:r>
          </w:p>
          <w:p w14:paraId="5CCEFEE8" w14:textId="77777777" w:rsidR="00BB7660" w:rsidRPr="00F70E93" w:rsidRDefault="00BB7660" w:rsidP="00AD11B8">
            <w:pPr>
              <w:pStyle w:val="nDrafterComment"/>
              <w:rPr>
                <w:color w:val="0000FF"/>
              </w:rPr>
            </w:pPr>
          </w:p>
        </w:tc>
      </w:tr>
      <w:tr w:rsidR="00BB7660" w:rsidRPr="0070471C" w14:paraId="4C11C1BE" w14:textId="77777777" w:rsidTr="0051288D">
        <w:tc>
          <w:tcPr>
            <w:tcW w:w="256" w:type="pct"/>
            <w:tcBorders>
              <w:top w:val="single" w:sz="4" w:space="0" w:color="auto"/>
              <w:bottom w:val="single" w:sz="4" w:space="0" w:color="auto"/>
              <w:right w:val="nil"/>
            </w:tcBorders>
          </w:tcPr>
          <w:p w14:paraId="3EF729C5" w14:textId="77777777" w:rsidR="00BB7660" w:rsidRPr="001E2984" w:rsidRDefault="00BB7660" w:rsidP="0051288D">
            <w:pPr>
              <w:pStyle w:val="Tabletext"/>
              <w:rPr>
                <w:color w:val="008000"/>
              </w:rPr>
            </w:pPr>
            <w:r w:rsidRPr="00F70E93">
              <w:rPr>
                <w:color w:val="0000FF"/>
              </w:rPr>
              <w:t>3</w:t>
            </w:r>
          </w:p>
        </w:tc>
        <w:tc>
          <w:tcPr>
            <w:tcW w:w="1187" w:type="pct"/>
            <w:tcBorders>
              <w:top w:val="single" w:sz="4" w:space="0" w:color="auto"/>
              <w:left w:val="nil"/>
              <w:bottom w:val="single" w:sz="4" w:space="0" w:color="auto"/>
              <w:right w:val="nil"/>
            </w:tcBorders>
          </w:tcPr>
          <w:p w14:paraId="2B0A453B" w14:textId="77777777" w:rsidR="00BB7660" w:rsidRPr="001E2984" w:rsidRDefault="00BB7660" w:rsidP="0051288D">
            <w:pPr>
              <w:pStyle w:val="Tabletext"/>
              <w:rPr>
                <w:color w:val="008000"/>
              </w:rPr>
            </w:pPr>
            <w:r w:rsidRPr="00F70E93">
              <w:rPr>
                <w:b/>
                <w:i/>
                <w:color w:val="0000FF"/>
              </w:rPr>
              <w:t>billing data</w:t>
            </w:r>
            <w:r w:rsidRPr="00F70E93">
              <w:rPr>
                <w:color w:val="0000FF"/>
              </w:rPr>
              <w:t>, in relation to a particular account</w:t>
            </w:r>
          </w:p>
        </w:tc>
        <w:tc>
          <w:tcPr>
            <w:tcW w:w="3557" w:type="pct"/>
            <w:tcBorders>
              <w:top w:val="single" w:sz="4" w:space="0" w:color="auto"/>
              <w:left w:val="nil"/>
              <w:bottom w:val="single" w:sz="4" w:space="0" w:color="auto"/>
              <w:right w:val="nil"/>
            </w:tcBorders>
          </w:tcPr>
          <w:p w14:paraId="440EBA08" w14:textId="77777777" w:rsidR="00BB7660" w:rsidRPr="000B060D" w:rsidRDefault="00BB7660" w:rsidP="0051288D">
            <w:pPr>
              <w:pStyle w:val="Tablea"/>
              <w:rPr>
                <w:color w:val="0000FF"/>
              </w:rPr>
            </w:pPr>
            <w:r w:rsidRPr="000B060D">
              <w:rPr>
                <w:color w:val="0000FF"/>
              </w:rPr>
              <w:t>means:</w:t>
            </w:r>
          </w:p>
          <w:p w14:paraId="04039755" w14:textId="77777777" w:rsidR="00BB7660" w:rsidRPr="00AD11B8" w:rsidRDefault="00BB7660" w:rsidP="0051288D">
            <w:pPr>
              <w:pStyle w:val="Tablea"/>
              <w:rPr>
                <w:color w:val="0000FF"/>
              </w:rPr>
            </w:pPr>
            <w:r w:rsidRPr="000B060D">
              <w:rPr>
                <w:color w:val="0000FF"/>
              </w:rPr>
              <w:t>(a)</w:t>
            </w:r>
            <w:r w:rsidRPr="000B060D">
              <w:rPr>
                <w:color w:val="0000FF"/>
              </w:rPr>
              <w:tab/>
              <w:t xml:space="preserve">information about a bill that has been issued in relation to the </w:t>
            </w:r>
            <w:r w:rsidR="002B7C78" w:rsidRPr="00AD11B8">
              <w:rPr>
                <w:color w:val="0000FF"/>
              </w:rPr>
              <w:t>relevant product</w:t>
            </w:r>
            <w:r w:rsidRPr="00AD11B8">
              <w:rPr>
                <w:color w:val="0000FF"/>
              </w:rPr>
              <w:t xml:space="preserve"> to which the account relates, including:</w:t>
            </w:r>
          </w:p>
          <w:p w14:paraId="18D143DD" w14:textId="77777777" w:rsidR="00BB7660" w:rsidRPr="00AD11B8" w:rsidRDefault="00BB7660" w:rsidP="0051288D">
            <w:pPr>
              <w:pStyle w:val="Tablei"/>
              <w:rPr>
                <w:rFonts w:eastAsia="Calibri"/>
                <w:color w:val="0000FF"/>
              </w:rPr>
            </w:pPr>
            <w:r w:rsidRPr="00AD11B8">
              <w:rPr>
                <w:color w:val="0000FF"/>
              </w:rPr>
              <w:tab/>
              <w:t>(i)</w:t>
            </w:r>
            <w:r w:rsidRPr="00AD11B8">
              <w:rPr>
                <w:color w:val="0000FF"/>
              </w:rPr>
              <w:tab/>
            </w:r>
            <w:r w:rsidRPr="00AD11B8">
              <w:rPr>
                <w:rFonts w:eastAsia="Calibri"/>
                <w:color w:val="0000FF"/>
              </w:rPr>
              <w:t>the account number; and</w:t>
            </w:r>
          </w:p>
          <w:p w14:paraId="2F2540AA" w14:textId="77777777" w:rsidR="00BB7660" w:rsidRPr="00AD11B8" w:rsidRDefault="00BB7660" w:rsidP="0051288D">
            <w:pPr>
              <w:pStyle w:val="Tablei"/>
              <w:rPr>
                <w:rFonts w:eastAsia="Calibri"/>
                <w:color w:val="0000FF"/>
              </w:rPr>
            </w:pPr>
            <w:r w:rsidRPr="00AD11B8">
              <w:rPr>
                <w:color w:val="0000FF"/>
              </w:rPr>
              <w:tab/>
              <w:t>(ii)</w:t>
            </w:r>
            <w:r w:rsidRPr="00AD11B8">
              <w:rPr>
                <w:color w:val="0000FF"/>
              </w:rPr>
              <w:tab/>
              <w:t xml:space="preserve">the </w:t>
            </w:r>
            <w:r w:rsidRPr="00AD11B8">
              <w:rPr>
                <w:rFonts w:eastAsia="Calibri"/>
                <w:color w:val="0000FF"/>
              </w:rPr>
              <w:t>billing period; and</w:t>
            </w:r>
          </w:p>
          <w:p w14:paraId="432E8942" w14:textId="77777777" w:rsidR="00BB7660" w:rsidRPr="00AD11B8" w:rsidRDefault="00BB7660" w:rsidP="0051288D">
            <w:pPr>
              <w:pStyle w:val="Tablei"/>
              <w:rPr>
                <w:rFonts w:eastAsia="Calibri"/>
                <w:color w:val="0000FF"/>
              </w:rPr>
            </w:pPr>
            <w:r w:rsidRPr="00AD11B8">
              <w:rPr>
                <w:color w:val="0000FF"/>
              </w:rPr>
              <w:tab/>
              <w:t>(iii)</w:t>
            </w:r>
            <w:r w:rsidRPr="00AD11B8">
              <w:rPr>
                <w:color w:val="0000FF"/>
              </w:rPr>
              <w:tab/>
              <w:t>the d</w:t>
            </w:r>
            <w:r w:rsidRPr="00AD11B8">
              <w:rPr>
                <w:rFonts w:eastAsia="Calibri"/>
                <w:color w:val="0000FF"/>
              </w:rPr>
              <w:t>ate the bill was issued; and</w:t>
            </w:r>
          </w:p>
          <w:p w14:paraId="6B547819" w14:textId="77777777" w:rsidR="00BB7660" w:rsidRPr="00AD11B8" w:rsidRDefault="00BB7660" w:rsidP="0051288D">
            <w:pPr>
              <w:pStyle w:val="Tablei"/>
              <w:rPr>
                <w:rFonts w:eastAsia="Calibri"/>
                <w:color w:val="0000FF"/>
              </w:rPr>
            </w:pPr>
            <w:r w:rsidRPr="00AD11B8">
              <w:rPr>
                <w:color w:val="0000FF"/>
              </w:rPr>
              <w:tab/>
              <w:t>(iv)</w:t>
            </w:r>
            <w:r w:rsidRPr="00AD11B8">
              <w:rPr>
                <w:color w:val="0000FF"/>
              </w:rPr>
              <w:tab/>
              <w:t>the t</w:t>
            </w:r>
            <w:r w:rsidRPr="00AD11B8">
              <w:rPr>
                <w:rFonts w:eastAsia="Calibri"/>
                <w:color w:val="0000FF"/>
              </w:rPr>
              <w:t>otal amount payable; and</w:t>
            </w:r>
          </w:p>
          <w:p w14:paraId="22905018" w14:textId="77777777" w:rsidR="00BB7660" w:rsidRPr="00AD11B8" w:rsidRDefault="00BB7660" w:rsidP="0051288D">
            <w:pPr>
              <w:pStyle w:val="Tablei"/>
              <w:rPr>
                <w:rFonts w:eastAsia="Calibri"/>
                <w:color w:val="0000FF"/>
              </w:rPr>
            </w:pPr>
            <w:r w:rsidRPr="00AD11B8">
              <w:rPr>
                <w:color w:val="0000FF"/>
              </w:rPr>
              <w:tab/>
              <w:t>(v)</w:t>
            </w:r>
            <w:r w:rsidRPr="00AD11B8">
              <w:rPr>
                <w:color w:val="0000FF"/>
              </w:rPr>
              <w:tab/>
            </w:r>
            <w:r w:rsidRPr="00AD11B8">
              <w:rPr>
                <w:rFonts w:eastAsia="Calibri"/>
                <w:color w:val="0000FF"/>
              </w:rPr>
              <w:t>details of usage; and</w:t>
            </w:r>
          </w:p>
          <w:p w14:paraId="155D69AF" w14:textId="77777777" w:rsidR="00BB7660" w:rsidRPr="000B060D" w:rsidRDefault="00BB7660" w:rsidP="0051288D">
            <w:pPr>
              <w:pStyle w:val="Tablea"/>
              <w:rPr>
                <w:color w:val="0000FF"/>
              </w:rPr>
            </w:pPr>
            <w:r w:rsidRPr="00AD11B8">
              <w:rPr>
                <w:color w:val="0000FF"/>
              </w:rPr>
              <w:t>(b)</w:t>
            </w:r>
            <w:r w:rsidRPr="00AD11B8">
              <w:rPr>
                <w:color w:val="0000FF"/>
              </w:rPr>
              <w:tab/>
              <w:t xml:space="preserve">information about a payment or other transaction made in relation to the </w:t>
            </w:r>
            <w:r w:rsidR="002B7C78" w:rsidRPr="00AD11B8">
              <w:rPr>
                <w:color w:val="0000FF"/>
              </w:rPr>
              <w:t>relevant product</w:t>
            </w:r>
            <w:r w:rsidRPr="00AD11B8">
              <w:rPr>
                <w:color w:val="0000FF"/>
              </w:rPr>
              <w:t>, including</w:t>
            </w:r>
            <w:r w:rsidRPr="000B060D">
              <w:rPr>
                <w:color w:val="0000FF"/>
              </w:rPr>
              <w:t>:</w:t>
            </w:r>
          </w:p>
          <w:p w14:paraId="3BAC248F" w14:textId="77777777" w:rsidR="00BB7660" w:rsidRPr="000B060D" w:rsidRDefault="00BB7660" w:rsidP="0051288D">
            <w:pPr>
              <w:pStyle w:val="Tablei"/>
              <w:rPr>
                <w:color w:val="0000FF"/>
              </w:rPr>
            </w:pPr>
            <w:r w:rsidRPr="000B060D">
              <w:rPr>
                <w:color w:val="0000FF"/>
              </w:rPr>
              <w:tab/>
              <w:t>(i)</w:t>
            </w:r>
            <w:r w:rsidRPr="000B060D">
              <w:rPr>
                <w:color w:val="0000FF"/>
              </w:rPr>
              <w:tab/>
              <w:t xml:space="preserve">the nature of the transaction; </w:t>
            </w:r>
            <w:r w:rsidRPr="000B060D">
              <w:rPr>
                <w:rFonts w:eastAsia="Calibri"/>
                <w:color w:val="0000FF"/>
              </w:rPr>
              <w:t>and</w:t>
            </w:r>
          </w:p>
          <w:p w14:paraId="56034E73" w14:textId="77777777" w:rsidR="00BB7660" w:rsidRPr="000B060D" w:rsidRDefault="00BB7660" w:rsidP="0051288D">
            <w:pPr>
              <w:pStyle w:val="Tablei"/>
              <w:rPr>
                <w:rFonts w:eastAsia="Calibri"/>
                <w:color w:val="0000FF"/>
              </w:rPr>
            </w:pPr>
            <w:r w:rsidRPr="000B060D">
              <w:rPr>
                <w:color w:val="0000FF"/>
              </w:rPr>
              <w:tab/>
              <w:t>(ii)</w:t>
            </w:r>
            <w:r w:rsidRPr="000B060D">
              <w:rPr>
                <w:color w:val="0000FF"/>
              </w:rPr>
              <w:tab/>
            </w:r>
            <w:r w:rsidRPr="000B060D">
              <w:rPr>
                <w:rFonts w:eastAsia="Calibri"/>
                <w:color w:val="0000FF"/>
              </w:rPr>
              <w:t>the date and time of the transaction; and</w:t>
            </w:r>
          </w:p>
          <w:p w14:paraId="57E57D13" w14:textId="77777777" w:rsidR="00BB7660" w:rsidRPr="000B060D" w:rsidRDefault="00BB7660" w:rsidP="0051288D">
            <w:pPr>
              <w:pStyle w:val="Tablei"/>
              <w:rPr>
                <w:color w:val="0000FF"/>
              </w:rPr>
            </w:pPr>
            <w:r w:rsidRPr="000B060D">
              <w:rPr>
                <w:color w:val="0000FF"/>
              </w:rPr>
              <w:tab/>
              <w:t>(iii)</w:t>
            </w:r>
            <w:r w:rsidRPr="000B060D">
              <w:rPr>
                <w:color w:val="0000FF"/>
              </w:rPr>
              <w:tab/>
              <w:t>the amount paid</w:t>
            </w:r>
            <w:r w:rsidRPr="000B060D">
              <w:rPr>
                <w:rFonts w:eastAsia="Calibri"/>
                <w:color w:val="0000FF"/>
              </w:rPr>
              <w:t>; and</w:t>
            </w:r>
          </w:p>
          <w:p w14:paraId="19FC1FF1" w14:textId="77777777" w:rsidR="00BB7660" w:rsidRPr="000B060D" w:rsidRDefault="00BB7660" w:rsidP="0051288D">
            <w:pPr>
              <w:pStyle w:val="Tablei"/>
              <w:rPr>
                <w:rFonts w:eastAsia="Calibri"/>
                <w:color w:val="0000FF"/>
              </w:rPr>
            </w:pPr>
            <w:r w:rsidRPr="000B060D">
              <w:rPr>
                <w:color w:val="0000FF"/>
              </w:rPr>
              <w:tab/>
              <w:t>(iv)</w:t>
            </w:r>
            <w:r w:rsidRPr="000B060D">
              <w:rPr>
                <w:color w:val="0000FF"/>
              </w:rPr>
              <w:tab/>
              <w:t>the payment method</w:t>
            </w:r>
            <w:r w:rsidRPr="000B060D">
              <w:rPr>
                <w:rFonts w:eastAsia="Calibri"/>
                <w:color w:val="0000FF"/>
              </w:rPr>
              <w:t>; and</w:t>
            </w:r>
          </w:p>
          <w:p w14:paraId="78621273" w14:textId="77777777" w:rsidR="00BB7660" w:rsidRPr="000B060D" w:rsidRDefault="00BB7660" w:rsidP="0051288D">
            <w:pPr>
              <w:pStyle w:val="Tablea"/>
              <w:rPr>
                <w:color w:val="0000FF"/>
              </w:rPr>
            </w:pPr>
            <w:r w:rsidRPr="000B060D">
              <w:rPr>
                <w:color w:val="0000FF"/>
              </w:rPr>
              <w:t>(c)</w:t>
            </w:r>
            <w:r w:rsidRPr="000B060D">
              <w:rPr>
                <w:color w:val="0000FF"/>
              </w:rPr>
              <w:tab/>
              <w:t>the account balance at any time.</w:t>
            </w:r>
          </w:p>
          <w:p w14:paraId="656AC4EE" w14:textId="77777777" w:rsidR="00BB7660" w:rsidRPr="000B060D" w:rsidRDefault="00BB7660" w:rsidP="0051288D">
            <w:pPr>
              <w:pStyle w:val="Tablea"/>
              <w:rPr>
                <w:color w:val="0000FF"/>
              </w:rPr>
            </w:pPr>
          </w:p>
        </w:tc>
      </w:tr>
      <w:tr w:rsidR="00BB7660" w:rsidRPr="00F00BAD" w14:paraId="7EAD9EA8" w14:textId="77777777" w:rsidTr="0051288D">
        <w:tc>
          <w:tcPr>
            <w:tcW w:w="256" w:type="pct"/>
            <w:tcBorders>
              <w:top w:val="single" w:sz="4" w:space="0" w:color="auto"/>
              <w:bottom w:val="single" w:sz="4" w:space="0" w:color="auto"/>
              <w:right w:val="nil"/>
            </w:tcBorders>
          </w:tcPr>
          <w:p w14:paraId="60426359" w14:textId="77777777" w:rsidR="00BB7660" w:rsidRPr="001E2984" w:rsidRDefault="00BB7660" w:rsidP="0051288D">
            <w:pPr>
              <w:pStyle w:val="Tabletext"/>
              <w:rPr>
                <w:color w:val="008000"/>
              </w:rPr>
            </w:pPr>
            <w:r w:rsidRPr="00F70E93">
              <w:rPr>
                <w:color w:val="0000FF"/>
              </w:rPr>
              <w:t>4</w:t>
            </w:r>
          </w:p>
        </w:tc>
        <w:tc>
          <w:tcPr>
            <w:tcW w:w="1187" w:type="pct"/>
            <w:tcBorders>
              <w:top w:val="single" w:sz="4" w:space="0" w:color="auto"/>
              <w:left w:val="nil"/>
              <w:bottom w:val="single" w:sz="4" w:space="0" w:color="auto"/>
              <w:right w:val="nil"/>
            </w:tcBorders>
          </w:tcPr>
          <w:p w14:paraId="6DEA388D" w14:textId="77777777" w:rsidR="00BB7660" w:rsidRPr="00AD11B8" w:rsidRDefault="00BB7660" w:rsidP="0051288D">
            <w:pPr>
              <w:pStyle w:val="Tabletext"/>
              <w:rPr>
                <w:color w:val="0000FF"/>
              </w:rPr>
            </w:pPr>
            <w:r w:rsidRPr="00AD11B8">
              <w:rPr>
                <w:b/>
                <w:i/>
                <w:color w:val="0000FF"/>
              </w:rPr>
              <w:t>product specific data</w:t>
            </w:r>
            <w:r w:rsidRPr="00AD11B8">
              <w:rPr>
                <w:color w:val="0000FF"/>
              </w:rPr>
              <w:t>, in relation to a</w:t>
            </w:r>
            <w:r w:rsidR="00376026" w:rsidRPr="00AD11B8">
              <w:rPr>
                <w:color w:val="0000FF"/>
              </w:rPr>
              <w:t xml:space="preserve"> particular</w:t>
            </w:r>
            <w:r w:rsidRPr="00AD11B8">
              <w:rPr>
                <w:color w:val="0000FF"/>
              </w:rPr>
              <w:t xml:space="preserve"> </w:t>
            </w:r>
            <w:r w:rsidR="002B7C78" w:rsidRPr="00AD11B8">
              <w:rPr>
                <w:color w:val="0000FF"/>
              </w:rPr>
              <w:t>relevant product</w:t>
            </w:r>
            <w:r w:rsidRPr="00AD11B8">
              <w:rPr>
                <w:color w:val="0000FF"/>
              </w:rPr>
              <w:t xml:space="preserve"> </w:t>
            </w:r>
          </w:p>
        </w:tc>
        <w:tc>
          <w:tcPr>
            <w:tcW w:w="3557" w:type="pct"/>
            <w:tcBorders>
              <w:top w:val="single" w:sz="4" w:space="0" w:color="auto"/>
              <w:left w:val="nil"/>
              <w:bottom w:val="single" w:sz="4" w:space="0" w:color="auto"/>
              <w:right w:val="nil"/>
            </w:tcBorders>
          </w:tcPr>
          <w:p w14:paraId="4D8876A7" w14:textId="77777777" w:rsidR="00BB7660" w:rsidRPr="00AD11B8" w:rsidRDefault="00BB7660" w:rsidP="0051288D">
            <w:pPr>
              <w:pStyle w:val="Tablea"/>
              <w:rPr>
                <w:color w:val="0000FF"/>
              </w:rPr>
            </w:pPr>
            <w:r w:rsidRPr="00AD11B8">
              <w:rPr>
                <w:color w:val="0000FF"/>
              </w:rPr>
              <w:t>(a)</w:t>
            </w:r>
            <w:r w:rsidRPr="00AD11B8">
              <w:rPr>
                <w:color w:val="0000FF"/>
              </w:rPr>
              <w:tab/>
              <w:t xml:space="preserve">means information that identifies or describes the characteristics of the </w:t>
            </w:r>
            <w:r w:rsidR="002B7C78" w:rsidRPr="00AD11B8">
              <w:rPr>
                <w:color w:val="0000FF"/>
              </w:rPr>
              <w:t>relevant product</w:t>
            </w:r>
            <w:r w:rsidRPr="00AD11B8">
              <w:rPr>
                <w:color w:val="0000FF"/>
              </w:rPr>
              <w:t>; and</w:t>
            </w:r>
          </w:p>
          <w:p w14:paraId="073CC135" w14:textId="77777777" w:rsidR="00BB7660" w:rsidRPr="00AD11B8" w:rsidRDefault="00BB7660" w:rsidP="0051288D">
            <w:pPr>
              <w:pStyle w:val="Tablea"/>
              <w:rPr>
                <w:color w:val="0000FF"/>
              </w:rPr>
            </w:pPr>
            <w:r w:rsidRPr="00AD11B8">
              <w:rPr>
                <w:color w:val="0000FF"/>
              </w:rPr>
              <w:t>(b)</w:t>
            </w:r>
            <w:r w:rsidRPr="00AD11B8">
              <w:rPr>
                <w:color w:val="0000FF"/>
              </w:rPr>
              <w:tab/>
              <w:t xml:space="preserve">includes the following data about the </w:t>
            </w:r>
            <w:r w:rsidR="002B7C78" w:rsidRPr="00AD11B8">
              <w:rPr>
                <w:color w:val="0000FF"/>
              </w:rPr>
              <w:t>relevant product</w:t>
            </w:r>
            <w:r w:rsidRPr="00AD11B8">
              <w:rPr>
                <w:color w:val="0000FF"/>
              </w:rPr>
              <w:t>:</w:t>
            </w:r>
          </w:p>
          <w:p w14:paraId="40CCCE3E" w14:textId="77777777" w:rsidR="00BB7660" w:rsidRPr="00AD11B8" w:rsidRDefault="00BB7660" w:rsidP="0051288D">
            <w:pPr>
              <w:pStyle w:val="Tablei"/>
              <w:rPr>
                <w:color w:val="0000FF"/>
              </w:rPr>
            </w:pPr>
            <w:r w:rsidRPr="00AD11B8">
              <w:rPr>
                <w:color w:val="0000FF"/>
              </w:rPr>
              <w:tab/>
              <w:t>(i)</w:t>
            </w:r>
            <w:r w:rsidRPr="00AD11B8">
              <w:rPr>
                <w:color w:val="0000FF"/>
              </w:rPr>
              <w:tab/>
              <w:t>its type (</w:t>
            </w:r>
            <w:r w:rsidR="00702D74" w:rsidRPr="00AD11B8">
              <w:rPr>
                <w:color w:val="0000FF"/>
              </w:rPr>
              <w:t>for example,</w:t>
            </w:r>
            <w:r w:rsidRPr="00AD11B8">
              <w:rPr>
                <w:color w:val="0000FF"/>
              </w:rPr>
              <w:t xml:space="preserve"> whether pre-paid or post-paid, NBN or other network, ADSL/VDSL); </w:t>
            </w:r>
          </w:p>
          <w:p w14:paraId="0C10FF03" w14:textId="77777777" w:rsidR="00BB7660" w:rsidRPr="00AD11B8" w:rsidRDefault="00BB7660" w:rsidP="0051288D">
            <w:pPr>
              <w:pStyle w:val="Tablei"/>
              <w:rPr>
                <w:color w:val="0000FF"/>
              </w:rPr>
            </w:pPr>
            <w:r w:rsidRPr="00AD11B8">
              <w:rPr>
                <w:color w:val="0000FF"/>
              </w:rPr>
              <w:tab/>
              <w:t>(ii)</w:t>
            </w:r>
            <w:r w:rsidRPr="00AD11B8">
              <w:rPr>
                <w:color w:val="0000FF"/>
              </w:rPr>
              <w:tab/>
              <w:t>its</w:t>
            </w:r>
            <w:r w:rsidRPr="00AD11B8">
              <w:rPr>
                <w:rFonts w:eastAsia="Calibri"/>
                <w:color w:val="0000FF"/>
              </w:rPr>
              <w:t xml:space="preserve"> name</w:t>
            </w:r>
            <w:r w:rsidRPr="00AD11B8">
              <w:rPr>
                <w:color w:val="0000FF"/>
              </w:rPr>
              <w:t xml:space="preserve">; </w:t>
            </w:r>
          </w:p>
          <w:p w14:paraId="0313CB71" w14:textId="77777777" w:rsidR="00BB7660" w:rsidRPr="00AD11B8" w:rsidRDefault="00BB7660" w:rsidP="0051288D">
            <w:pPr>
              <w:pStyle w:val="Tablei"/>
              <w:rPr>
                <w:color w:val="0000FF"/>
              </w:rPr>
            </w:pPr>
            <w:r w:rsidRPr="00AD11B8">
              <w:rPr>
                <w:color w:val="0000FF"/>
              </w:rPr>
              <w:tab/>
              <w:t>(i</w:t>
            </w:r>
            <w:r w:rsidR="00702D74" w:rsidRPr="00AD11B8">
              <w:rPr>
                <w:color w:val="0000FF"/>
              </w:rPr>
              <w:t>i</w:t>
            </w:r>
            <w:r w:rsidRPr="00AD11B8">
              <w:rPr>
                <w:color w:val="0000FF"/>
              </w:rPr>
              <w:t>i)</w:t>
            </w:r>
            <w:r w:rsidRPr="00AD11B8">
              <w:rPr>
                <w:color w:val="0000FF"/>
              </w:rPr>
              <w:tab/>
            </w:r>
            <w:r w:rsidRPr="00AD11B8">
              <w:rPr>
                <w:rFonts w:eastAsia="Calibri"/>
                <w:color w:val="0000FF"/>
              </w:rPr>
              <w:t xml:space="preserve">the retailer brand offering the </w:t>
            </w:r>
            <w:r w:rsidR="002B7C78" w:rsidRPr="00AD11B8">
              <w:rPr>
                <w:color w:val="0000FF"/>
              </w:rPr>
              <w:t>relevant product</w:t>
            </w:r>
            <w:r w:rsidRPr="00AD11B8">
              <w:rPr>
                <w:color w:val="0000FF"/>
              </w:rPr>
              <w:t xml:space="preserve">; </w:t>
            </w:r>
          </w:p>
          <w:p w14:paraId="29706E1E" w14:textId="77777777" w:rsidR="00D951BA" w:rsidRPr="00AD11B8" w:rsidRDefault="00D951BA" w:rsidP="00D951BA">
            <w:pPr>
              <w:pStyle w:val="Tablei"/>
              <w:rPr>
                <w:color w:val="0000FF"/>
              </w:rPr>
            </w:pPr>
            <w:r w:rsidRPr="00AD11B8">
              <w:rPr>
                <w:color w:val="0000FF"/>
              </w:rPr>
              <w:tab/>
              <w:t>(iv)</w:t>
            </w:r>
            <w:r w:rsidRPr="00AD11B8">
              <w:rPr>
                <w:color w:val="0000FF"/>
              </w:rPr>
              <w:tab/>
              <w:t>information about the contractual arrangements</w:t>
            </w:r>
            <w:r w:rsidR="0065663A" w:rsidRPr="00AD11B8">
              <w:rPr>
                <w:color w:val="0000FF"/>
              </w:rPr>
              <w:t xml:space="preserve"> in relation to the </w:t>
            </w:r>
            <w:r w:rsidR="002B7C78" w:rsidRPr="00AD11B8">
              <w:rPr>
                <w:color w:val="0000FF"/>
              </w:rPr>
              <w:t>relevant product</w:t>
            </w:r>
            <w:r w:rsidRPr="00AD11B8">
              <w:rPr>
                <w:color w:val="0000FF"/>
              </w:rPr>
              <w:t xml:space="preserve"> (for example, that it is a month-to-month contract or a 12-month contract);</w:t>
            </w:r>
          </w:p>
          <w:p w14:paraId="593D33FD" w14:textId="77777777" w:rsidR="00BB7660" w:rsidRPr="00AD11B8" w:rsidRDefault="00BB7660" w:rsidP="0051288D">
            <w:pPr>
              <w:pStyle w:val="Tablei"/>
              <w:rPr>
                <w:color w:val="0000FF"/>
              </w:rPr>
            </w:pPr>
            <w:r w:rsidRPr="00AD11B8">
              <w:rPr>
                <w:color w:val="0000FF"/>
              </w:rPr>
              <w:tab/>
              <w:t>(v)</w:t>
            </w:r>
            <w:r w:rsidRPr="00AD11B8">
              <w:rPr>
                <w:color w:val="0000FF"/>
              </w:rPr>
              <w:tab/>
            </w:r>
            <w:r w:rsidR="00D951BA" w:rsidRPr="00AD11B8">
              <w:rPr>
                <w:color w:val="0000FF"/>
              </w:rPr>
              <w:t xml:space="preserve">data </w:t>
            </w:r>
            <w:r w:rsidRPr="00AD11B8">
              <w:rPr>
                <w:color w:val="0000FF"/>
              </w:rPr>
              <w:t>usage allowances;</w:t>
            </w:r>
          </w:p>
          <w:p w14:paraId="1C005F82" w14:textId="77777777" w:rsidR="00BB7660" w:rsidRPr="00AD11B8" w:rsidRDefault="00BB7660" w:rsidP="0051288D">
            <w:pPr>
              <w:pStyle w:val="Tablei"/>
              <w:rPr>
                <w:color w:val="0000FF"/>
              </w:rPr>
            </w:pPr>
            <w:r w:rsidRPr="00AD11B8">
              <w:rPr>
                <w:color w:val="0000FF"/>
              </w:rPr>
              <w:tab/>
              <w:t xml:space="preserve"> (vi)</w:t>
            </w:r>
            <w:r w:rsidRPr="00AD11B8">
              <w:rPr>
                <w:color w:val="0000FF"/>
              </w:rPr>
              <w:tab/>
              <w:t>i</w:t>
            </w:r>
            <w:r w:rsidRPr="00AD11B8">
              <w:rPr>
                <w:rFonts w:eastAsia="Calibri"/>
                <w:color w:val="0000FF"/>
              </w:rPr>
              <w:t xml:space="preserve">nformation about the pricing associated with the </w:t>
            </w:r>
            <w:r w:rsidR="002B7C78" w:rsidRPr="00AD11B8">
              <w:rPr>
                <w:color w:val="0000FF"/>
              </w:rPr>
              <w:t>relevant product</w:t>
            </w:r>
            <w:r w:rsidRPr="00AD11B8">
              <w:rPr>
                <w:rFonts w:eastAsia="Calibri"/>
                <w:color w:val="0000FF"/>
              </w:rPr>
              <w:t xml:space="preserve">, including </w:t>
            </w:r>
            <w:r w:rsidR="00D951BA" w:rsidRPr="00AD11B8">
              <w:rPr>
                <w:rFonts w:eastAsia="Calibri"/>
                <w:color w:val="0000FF"/>
              </w:rPr>
              <w:t>usage</w:t>
            </w:r>
            <w:r w:rsidRPr="00AD11B8">
              <w:rPr>
                <w:rFonts w:eastAsia="Calibri"/>
                <w:color w:val="0000FF"/>
              </w:rPr>
              <w:t xml:space="preserve"> rates and fees</w:t>
            </w:r>
            <w:r w:rsidRPr="00AD11B8">
              <w:rPr>
                <w:color w:val="0000FF"/>
              </w:rPr>
              <w:t>;</w:t>
            </w:r>
          </w:p>
          <w:p w14:paraId="555CB599" w14:textId="77777777" w:rsidR="00BB7660" w:rsidRPr="00AD11B8" w:rsidRDefault="00BB7660" w:rsidP="0051288D">
            <w:pPr>
              <w:pStyle w:val="Tablei"/>
              <w:rPr>
                <w:color w:val="0000FF"/>
              </w:rPr>
            </w:pPr>
            <w:r w:rsidRPr="00AD11B8">
              <w:rPr>
                <w:color w:val="0000FF"/>
              </w:rPr>
              <w:lastRenderedPageBreak/>
              <w:tab/>
              <w:t xml:space="preserve"> (vii)</w:t>
            </w:r>
            <w:r w:rsidRPr="00AD11B8">
              <w:rPr>
                <w:color w:val="0000FF"/>
              </w:rPr>
              <w:tab/>
              <w:t>accessibility data;</w:t>
            </w:r>
          </w:p>
          <w:p w14:paraId="60AF9156" w14:textId="77777777" w:rsidR="00BB7660" w:rsidRPr="00AD11B8" w:rsidRDefault="00BB7660" w:rsidP="0051288D">
            <w:pPr>
              <w:pStyle w:val="Tablei"/>
              <w:rPr>
                <w:rFonts w:eastAsia="Calibri"/>
                <w:color w:val="0000FF"/>
              </w:rPr>
            </w:pPr>
            <w:r w:rsidRPr="00AD11B8">
              <w:rPr>
                <w:color w:val="0000FF"/>
              </w:rPr>
              <w:tab/>
              <w:t>(vii</w:t>
            </w:r>
            <w:r w:rsidR="00702D74" w:rsidRPr="00AD11B8">
              <w:rPr>
                <w:color w:val="0000FF"/>
              </w:rPr>
              <w:t>i</w:t>
            </w:r>
            <w:r w:rsidRPr="00AD11B8">
              <w:rPr>
                <w:color w:val="0000FF"/>
              </w:rPr>
              <w:t>)</w:t>
            </w:r>
            <w:r w:rsidRPr="00AD11B8">
              <w:rPr>
                <w:color w:val="0000FF"/>
              </w:rPr>
              <w:tab/>
              <w:t>f</w:t>
            </w:r>
            <w:r w:rsidRPr="00AD11B8">
              <w:rPr>
                <w:rFonts w:eastAsia="Calibri"/>
                <w:color w:val="0000FF"/>
              </w:rPr>
              <w:t>eatures and benefits, including discounts, incentives and bundles.</w:t>
            </w:r>
          </w:p>
          <w:p w14:paraId="4A677984" w14:textId="77777777" w:rsidR="00BB7660" w:rsidRPr="00AD11B8" w:rsidRDefault="00BB7660" w:rsidP="0051288D">
            <w:pPr>
              <w:pStyle w:val="Tablei"/>
              <w:rPr>
                <w:color w:val="0000FF"/>
              </w:rPr>
            </w:pPr>
          </w:p>
        </w:tc>
      </w:tr>
      <w:tr w:rsidR="00BB7660" w:rsidRPr="005F5224" w14:paraId="609908A3" w14:textId="77777777" w:rsidTr="0051288D">
        <w:tc>
          <w:tcPr>
            <w:tcW w:w="256" w:type="pct"/>
            <w:tcBorders>
              <w:top w:val="single" w:sz="4" w:space="0" w:color="auto"/>
              <w:bottom w:val="single" w:sz="4" w:space="0" w:color="auto"/>
              <w:right w:val="nil"/>
            </w:tcBorders>
          </w:tcPr>
          <w:p w14:paraId="65AC8DD6" w14:textId="77777777" w:rsidR="00BB7660" w:rsidRPr="005F5224" w:rsidRDefault="00BB7660" w:rsidP="0051288D">
            <w:pPr>
              <w:pStyle w:val="Tabletext"/>
              <w:rPr>
                <w:color w:val="0000FF"/>
              </w:rPr>
            </w:pPr>
            <w:r w:rsidRPr="005F5224">
              <w:rPr>
                <w:color w:val="0000FF"/>
              </w:rPr>
              <w:lastRenderedPageBreak/>
              <w:t>5</w:t>
            </w:r>
          </w:p>
        </w:tc>
        <w:tc>
          <w:tcPr>
            <w:tcW w:w="1187" w:type="pct"/>
            <w:tcBorders>
              <w:top w:val="single" w:sz="4" w:space="0" w:color="auto"/>
              <w:left w:val="nil"/>
              <w:bottom w:val="single" w:sz="4" w:space="0" w:color="auto"/>
              <w:right w:val="nil"/>
            </w:tcBorders>
          </w:tcPr>
          <w:p w14:paraId="27CA3FDB" w14:textId="77777777" w:rsidR="00BB7660" w:rsidRPr="005F5224" w:rsidRDefault="00BB7660" w:rsidP="0051288D">
            <w:pPr>
              <w:pStyle w:val="Tabletext"/>
              <w:rPr>
                <w:color w:val="0000FF"/>
              </w:rPr>
            </w:pPr>
            <w:r w:rsidRPr="005F5224">
              <w:rPr>
                <w:b/>
                <w:i/>
                <w:color w:val="0000FF"/>
              </w:rPr>
              <w:t>usage data</w:t>
            </w:r>
            <w:r w:rsidRPr="005F5224">
              <w:rPr>
                <w:color w:val="0000FF"/>
              </w:rPr>
              <w:t xml:space="preserve">, in relation to a particular </w:t>
            </w:r>
            <w:r w:rsidR="002B7C78" w:rsidRPr="005F5224">
              <w:rPr>
                <w:color w:val="0000FF"/>
              </w:rPr>
              <w:t>relevant product</w:t>
            </w:r>
          </w:p>
        </w:tc>
        <w:tc>
          <w:tcPr>
            <w:tcW w:w="3557" w:type="pct"/>
            <w:tcBorders>
              <w:top w:val="single" w:sz="4" w:space="0" w:color="auto"/>
              <w:left w:val="nil"/>
              <w:bottom w:val="single" w:sz="4" w:space="0" w:color="auto"/>
              <w:right w:val="nil"/>
            </w:tcBorders>
          </w:tcPr>
          <w:p w14:paraId="15008ABB" w14:textId="77777777" w:rsidR="00BB7660" w:rsidRPr="005F5224" w:rsidRDefault="00BB7660" w:rsidP="0051288D">
            <w:pPr>
              <w:pStyle w:val="Tablea"/>
              <w:rPr>
                <w:color w:val="0000FF"/>
              </w:rPr>
            </w:pPr>
            <w:r w:rsidRPr="005F5224">
              <w:rPr>
                <w:color w:val="0000FF"/>
              </w:rPr>
              <w:t>(a)</w:t>
            </w:r>
            <w:r w:rsidRPr="005F5224">
              <w:rPr>
                <w:color w:val="0000FF"/>
              </w:rPr>
              <w:tab/>
              <w:t xml:space="preserve">means information about the use of the </w:t>
            </w:r>
            <w:r w:rsidR="002B7C78" w:rsidRPr="005F5224">
              <w:rPr>
                <w:color w:val="0000FF"/>
              </w:rPr>
              <w:t>relevant product</w:t>
            </w:r>
            <w:r w:rsidRPr="005F5224">
              <w:rPr>
                <w:color w:val="0000FF"/>
              </w:rPr>
              <w:t xml:space="preserve"> and</w:t>
            </w:r>
          </w:p>
          <w:p w14:paraId="50D6D710" w14:textId="77777777" w:rsidR="00BB7660" w:rsidRPr="005F5224" w:rsidRDefault="00BB7660" w:rsidP="0051288D">
            <w:pPr>
              <w:pStyle w:val="Tablea"/>
              <w:rPr>
                <w:color w:val="0000FF"/>
              </w:rPr>
            </w:pPr>
            <w:r w:rsidRPr="005F5224">
              <w:rPr>
                <w:color w:val="0000FF"/>
              </w:rPr>
              <w:t>(b)</w:t>
            </w:r>
            <w:r w:rsidRPr="005F5224">
              <w:rPr>
                <w:color w:val="0000FF"/>
              </w:rPr>
              <w:tab/>
              <w:t xml:space="preserve">includes the following data about the </w:t>
            </w:r>
            <w:r w:rsidR="002B7C78" w:rsidRPr="005F5224">
              <w:rPr>
                <w:color w:val="0000FF"/>
              </w:rPr>
              <w:t>relevant product</w:t>
            </w:r>
            <w:r w:rsidRPr="005F5224">
              <w:rPr>
                <w:color w:val="0000FF"/>
              </w:rPr>
              <w:t>:</w:t>
            </w:r>
          </w:p>
          <w:p w14:paraId="5D056451" w14:textId="77777777" w:rsidR="00BB7660" w:rsidRPr="005F5224" w:rsidRDefault="00BB7660" w:rsidP="0051288D">
            <w:pPr>
              <w:pStyle w:val="Tablei"/>
              <w:rPr>
                <w:color w:val="0000FF"/>
              </w:rPr>
            </w:pPr>
            <w:r w:rsidRPr="005F5224">
              <w:rPr>
                <w:color w:val="0000FF"/>
              </w:rPr>
              <w:tab/>
              <w:t>(i)</w:t>
            </w:r>
            <w:r w:rsidRPr="005F5224">
              <w:rPr>
                <w:color w:val="0000FF"/>
              </w:rPr>
              <w:tab/>
              <w:t xml:space="preserve">for a </w:t>
            </w:r>
            <w:r w:rsidR="002B7C78" w:rsidRPr="005F5224">
              <w:rPr>
                <w:color w:val="0000FF"/>
              </w:rPr>
              <w:t>relevant product</w:t>
            </w:r>
            <w:r w:rsidRPr="005F5224">
              <w:rPr>
                <w:color w:val="0000FF"/>
              </w:rPr>
              <w:t xml:space="preserve"> that includes voice calls—the number and duration of the calls;</w:t>
            </w:r>
          </w:p>
          <w:p w14:paraId="32E659A8" w14:textId="77777777" w:rsidR="00BB7660" w:rsidRPr="005F5224" w:rsidRDefault="00BB7660" w:rsidP="0051288D">
            <w:pPr>
              <w:pStyle w:val="Tablei"/>
              <w:rPr>
                <w:color w:val="0000FF"/>
              </w:rPr>
            </w:pPr>
            <w:r w:rsidRPr="005F5224">
              <w:rPr>
                <w:color w:val="0000FF"/>
              </w:rPr>
              <w:tab/>
              <w:t>(ii)</w:t>
            </w:r>
            <w:r w:rsidRPr="005F5224">
              <w:rPr>
                <w:color w:val="0000FF"/>
              </w:rPr>
              <w:tab/>
              <w:t xml:space="preserve">for a  </w:t>
            </w:r>
            <w:r w:rsidR="002B7C78" w:rsidRPr="005F5224">
              <w:rPr>
                <w:color w:val="0000FF"/>
              </w:rPr>
              <w:t>relevant product</w:t>
            </w:r>
            <w:r w:rsidRPr="005F5224">
              <w:rPr>
                <w:color w:val="0000FF"/>
              </w:rPr>
              <w:t xml:space="preserve"> that includes </w:t>
            </w:r>
            <w:r w:rsidR="0065663A" w:rsidRPr="005F5224">
              <w:rPr>
                <w:color w:val="0000FF"/>
              </w:rPr>
              <w:t>a short message service (SMS)</w:t>
            </w:r>
            <w:r w:rsidR="005D541E" w:rsidRPr="005F5224">
              <w:rPr>
                <w:color w:val="0000FF"/>
              </w:rPr>
              <w:t>—</w:t>
            </w:r>
            <w:r w:rsidR="002A36C1" w:rsidRPr="005F5224">
              <w:rPr>
                <w:color w:val="0000FF"/>
              </w:rPr>
              <w:t>t</w:t>
            </w:r>
            <w:r w:rsidR="00AD11B8" w:rsidRPr="005F5224">
              <w:rPr>
                <w:color w:val="0000FF"/>
              </w:rPr>
              <w:t xml:space="preserve">he </w:t>
            </w:r>
            <w:r w:rsidR="007D4DD7" w:rsidRPr="005F5224">
              <w:rPr>
                <w:color w:val="0000FF"/>
              </w:rPr>
              <w:t>data usage of the SMS and the number of SMS messages</w:t>
            </w:r>
            <w:r w:rsidRPr="005F5224">
              <w:rPr>
                <w:color w:val="0000FF"/>
              </w:rPr>
              <w:t>;</w:t>
            </w:r>
          </w:p>
          <w:p w14:paraId="4A0A60E4" w14:textId="77777777" w:rsidR="000C6A5F" w:rsidRPr="005F5224" w:rsidRDefault="00BB7660" w:rsidP="0051288D">
            <w:pPr>
              <w:pStyle w:val="Tablei"/>
              <w:rPr>
                <w:color w:val="0000FF"/>
              </w:rPr>
            </w:pPr>
            <w:r w:rsidRPr="005F5224">
              <w:rPr>
                <w:color w:val="0000FF"/>
              </w:rPr>
              <w:tab/>
              <w:t>(iii)</w:t>
            </w:r>
            <w:r w:rsidRPr="005F5224">
              <w:rPr>
                <w:color w:val="0000FF"/>
              </w:rPr>
              <w:tab/>
              <w:t xml:space="preserve">for a </w:t>
            </w:r>
            <w:r w:rsidR="002B7C78" w:rsidRPr="005F5224">
              <w:rPr>
                <w:color w:val="0000FF"/>
              </w:rPr>
              <w:t>relevant product</w:t>
            </w:r>
            <w:r w:rsidRPr="005F5224">
              <w:rPr>
                <w:color w:val="0000FF"/>
              </w:rPr>
              <w:t xml:space="preserve"> that includes data—the data usage</w:t>
            </w:r>
            <w:r w:rsidR="000C6A5F" w:rsidRPr="005F5224">
              <w:rPr>
                <w:color w:val="0000FF"/>
              </w:rPr>
              <w:t>.</w:t>
            </w:r>
          </w:p>
          <w:p w14:paraId="0B33E306" w14:textId="77777777" w:rsidR="00BB7660" w:rsidRPr="005F5224" w:rsidRDefault="00BB7660" w:rsidP="005D541E">
            <w:pPr>
              <w:pStyle w:val="nDrafterComment"/>
              <w:rPr>
                <w:color w:val="0000FF"/>
              </w:rPr>
            </w:pPr>
          </w:p>
        </w:tc>
      </w:tr>
    </w:tbl>
    <w:p w14:paraId="69ED3C8A" w14:textId="77777777" w:rsidR="00BB7660" w:rsidRPr="005F5224" w:rsidRDefault="00BB7660" w:rsidP="00BB7660">
      <w:pPr>
        <w:pStyle w:val="paragraph"/>
        <w:rPr>
          <w:color w:val="0000FF"/>
          <w:shd w:val="clear" w:color="auto" w:fill="FFFFFF"/>
        </w:rPr>
      </w:pPr>
    </w:p>
    <w:p w14:paraId="4D38667B" w14:textId="77777777" w:rsidR="00BB7660" w:rsidRPr="005F5224" w:rsidRDefault="00195095" w:rsidP="00BB7660">
      <w:pPr>
        <w:pStyle w:val="ActHead2"/>
        <w:rPr>
          <w:color w:val="0000FF"/>
        </w:rPr>
      </w:pPr>
      <w:bookmarkStart w:id="768" w:name="_Toc111132340"/>
      <w:r>
        <w:rPr>
          <w:color w:val="0000FF"/>
        </w:rPr>
        <w:t>Part 2</w:t>
      </w:r>
      <w:r w:rsidR="00BB7660" w:rsidRPr="005F5224">
        <w:rPr>
          <w:color w:val="0000FF"/>
        </w:rPr>
        <w:t>—Eligible CDR consumers—telecommunications sector</w:t>
      </w:r>
      <w:bookmarkEnd w:id="768"/>
    </w:p>
    <w:p w14:paraId="07C04930" w14:textId="77777777" w:rsidR="00BB7660" w:rsidRPr="005F5224" w:rsidRDefault="00195095" w:rsidP="001068AE">
      <w:pPr>
        <w:pStyle w:val="ActHead5"/>
        <w:rPr>
          <w:color w:val="0000FF"/>
        </w:rPr>
      </w:pPr>
      <w:bookmarkStart w:id="769" w:name="_Toc111132341"/>
      <w:r>
        <w:rPr>
          <w:color w:val="0000FF"/>
        </w:rPr>
        <w:t>2.1</w:t>
      </w:r>
      <w:r w:rsidR="001068AE" w:rsidRPr="005F5224">
        <w:rPr>
          <w:color w:val="0000FF"/>
        </w:rPr>
        <w:t xml:space="preserve">  </w:t>
      </w:r>
      <w:r w:rsidR="00BB7660" w:rsidRPr="005F5224">
        <w:rPr>
          <w:color w:val="0000FF"/>
        </w:rPr>
        <w:t>Additional criteria for eligibility—telecommunications sector</w:t>
      </w:r>
      <w:bookmarkEnd w:id="769"/>
    </w:p>
    <w:p w14:paraId="76C47B5E" w14:textId="77777777" w:rsidR="00BB7660" w:rsidRPr="005F5224" w:rsidRDefault="00BB7660" w:rsidP="00BB7660">
      <w:pPr>
        <w:pStyle w:val="subsection"/>
        <w:rPr>
          <w:color w:val="0000FF"/>
        </w:rPr>
      </w:pPr>
      <w:r w:rsidRPr="005F5224">
        <w:rPr>
          <w:color w:val="0000FF"/>
        </w:rPr>
        <w:tab/>
      </w:r>
      <w:r w:rsidR="00195095">
        <w:rPr>
          <w:color w:val="0000FF"/>
        </w:rPr>
        <w:t>(1)</w:t>
      </w:r>
      <w:r w:rsidRPr="005F5224">
        <w:rPr>
          <w:color w:val="0000FF"/>
        </w:rPr>
        <w:tab/>
        <w:t>For subrule</w:t>
      </w:r>
      <w:r w:rsidR="001068AE" w:rsidRPr="005F5224">
        <w:rPr>
          <w:color w:val="0000FF"/>
        </w:rPr>
        <w:t>s</w:t>
      </w:r>
      <w:r w:rsidRPr="005F5224">
        <w:rPr>
          <w:color w:val="0000FF"/>
        </w:rPr>
        <w:t xml:space="preserve"> 1.10B(1)</w:t>
      </w:r>
      <w:r w:rsidR="001068AE" w:rsidRPr="005F5224">
        <w:rPr>
          <w:color w:val="0000FF"/>
        </w:rPr>
        <w:t xml:space="preserve"> and (2)</w:t>
      </w:r>
      <w:r w:rsidRPr="005F5224">
        <w:rPr>
          <w:color w:val="0000FF"/>
        </w:rPr>
        <w:t>, the following additional criteri</w:t>
      </w:r>
      <w:r w:rsidR="00AD11B8" w:rsidRPr="005F5224">
        <w:rPr>
          <w:color w:val="0000FF"/>
        </w:rPr>
        <w:t>a</w:t>
      </w:r>
      <w:r w:rsidRPr="005F5224">
        <w:rPr>
          <w:color w:val="0000FF"/>
        </w:rPr>
        <w:t xml:space="preserve"> apply for a CDR consumer to be </w:t>
      </w:r>
      <w:r w:rsidRPr="005F5224">
        <w:rPr>
          <w:b/>
          <w:i/>
          <w:color w:val="0000FF"/>
        </w:rPr>
        <w:t>eligible</w:t>
      </w:r>
      <w:r w:rsidRPr="005F5224">
        <w:rPr>
          <w:color w:val="0000FF"/>
        </w:rPr>
        <w:t>, in relation to a particular data holder in the telecommunications sector at a particular time:</w:t>
      </w:r>
    </w:p>
    <w:p w14:paraId="6ABDC98B" w14:textId="77777777" w:rsidR="001068AE" w:rsidRPr="005F5224" w:rsidRDefault="001068AE" w:rsidP="001068AE">
      <w:pPr>
        <w:pStyle w:val="paragraph"/>
        <w:rPr>
          <w:color w:val="0000FF"/>
        </w:rPr>
      </w:pPr>
      <w:r w:rsidRPr="005F5224">
        <w:rPr>
          <w:color w:val="0000FF"/>
        </w:rPr>
        <w:tab/>
      </w:r>
      <w:r w:rsidR="00195095">
        <w:rPr>
          <w:color w:val="0000FF"/>
        </w:rPr>
        <w:t>(a)</w:t>
      </w:r>
      <w:r w:rsidRPr="005F5224">
        <w:rPr>
          <w:color w:val="0000FF"/>
        </w:rPr>
        <w:tab/>
        <w:t>the account</w:t>
      </w:r>
      <w:r w:rsidR="00AD11B8" w:rsidRPr="005F5224">
        <w:rPr>
          <w:color w:val="0000FF"/>
        </w:rPr>
        <w:t xml:space="preserve"> </w:t>
      </w:r>
      <w:r w:rsidR="007D4DD7" w:rsidRPr="005F5224">
        <w:rPr>
          <w:color w:val="0000FF"/>
        </w:rPr>
        <w:t xml:space="preserve">mentioned in subrule 1.10B(1) or 1.10B(2) </w:t>
      </w:r>
      <w:r w:rsidR="00655DE7" w:rsidRPr="005F5224">
        <w:rPr>
          <w:color w:val="0000FF"/>
        </w:rPr>
        <w:t xml:space="preserve">relates to a </w:t>
      </w:r>
      <w:r w:rsidRPr="005F5224">
        <w:rPr>
          <w:color w:val="0000FF"/>
        </w:rPr>
        <w:t xml:space="preserve">relevant </w:t>
      </w:r>
      <w:r w:rsidR="00655DE7" w:rsidRPr="005F5224">
        <w:rPr>
          <w:color w:val="0000FF"/>
        </w:rPr>
        <w:t>product</w:t>
      </w:r>
      <w:r w:rsidRPr="005F5224">
        <w:rPr>
          <w:color w:val="0000FF"/>
        </w:rPr>
        <w:t>;</w:t>
      </w:r>
    </w:p>
    <w:p w14:paraId="0DE9D834" w14:textId="77777777" w:rsidR="00BB7660" w:rsidRPr="005F5224" w:rsidRDefault="00BB7660" w:rsidP="00BB7660">
      <w:pPr>
        <w:pStyle w:val="paragraph"/>
        <w:rPr>
          <w:color w:val="0000FF"/>
        </w:rPr>
      </w:pPr>
      <w:r w:rsidRPr="005F5224">
        <w:rPr>
          <w:color w:val="0000FF"/>
        </w:rPr>
        <w:tab/>
      </w:r>
      <w:r w:rsidR="00195095">
        <w:rPr>
          <w:color w:val="0000FF"/>
        </w:rPr>
        <w:t>(b)</w:t>
      </w:r>
      <w:r w:rsidRPr="005F5224">
        <w:rPr>
          <w:color w:val="0000FF"/>
        </w:rPr>
        <w:tab/>
        <w:t xml:space="preserve">the account is set up in such a way that it can be accessed online; </w:t>
      </w:r>
    </w:p>
    <w:p w14:paraId="5F17FC49" w14:textId="77777777" w:rsidR="00BB7660" w:rsidRPr="005F5224" w:rsidRDefault="00BB7660" w:rsidP="00BB7660">
      <w:pPr>
        <w:pStyle w:val="paragraph"/>
        <w:rPr>
          <w:color w:val="0000FF"/>
        </w:rPr>
      </w:pPr>
      <w:r w:rsidRPr="005F5224">
        <w:rPr>
          <w:color w:val="0000FF"/>
        </w:rPr>
        <w:tab/>
      </w:r>
      <w:r w:rsidR="00195095">
        <w:rPr>
          <w:color w:val="0000FF"/>
        </w:rPr>
        <w:t>(c)</w:t>
      </w:r>
      <w:r w:rsidRPr="005F5224">
        <w:rPr>
          <w:color w:val="0000FF"/>
        </w:rPr>
        <w:tab/>
        <w:t>the account is not a large-scale commercial account.</w:t>
      </w:r>
    </w:p>
    <w:p w14:paraId="36365B9B" w14:textId="77777777" w:rsidR="001068AE" w:rsidRPr="005F5224" w:rsidRDefault="00BB7660" w:rsidP="00BB7660">
      <w:pPr>
        <w:pStyle w:val="notetext"/>
        <w:rPr>
          <w:color w:val="0000FF"/>
        </w:rPr>
      </w:pPr>
      <w:r w:rsidRPr="005F5224">
        <w:rPr>
          <w:color w:val="0000FF"/>
        </w:rPr>
        <w:t>Note:</w:t>
      </w:r>
      <w:r w:rsidRPr="005F5224">
        <w:rPr>
          <w:color w:val="0000FF"/>
        </w:rPr>
        <w:tab/>
      </w:r>
      <w:r w:rsidR="001068AE" w:rsidRPr="005F5224">
        <w:rPr>
          <w:color w:val="0000FF"/>
        </w:rPr>
        <w:t xml:space="preserve">Eligibility under rule 1.10B requires there to be an account with the data holder to which the CDR consumer is associated. </w:t>
      </w:r>
      <w:r w:rsidR="007D4DD7" w:rsidRPr="005F5224">
        <w:rPr>
          <w:color w:val="0000FF"/>
        </w:rPr>
        <w:t xml:space="preserve"> This is the account referred to in paragraphs (a) to (c).  </w:t>
      </w:r>
      <w:r w:rsidR="001068AE" w:rsidRPr="005F5224">
        <w:rPr>
          <w:color w:val="0000FF"/>
        </w:rPr>
        <w:t>In the telecommunications sector, therefore, eligibility will in practice only relate to data holders that are retail carriage service providers.</w:t>
      </w:r>
    </w:p>
    <w:p w14:paraId="5E65100A" w14:textId="77777777" w:rsidR="001068AE" w:rsidRPr="005F5224" w:rsidRDefault="001068AE" w:rsidP="001068AE">
      <w:pPr>
        <w:pStyle w:val="notetext"/>
        <w:rPr>
          <w:color w:val="0000FF"/>
        </w:rPr>
      </w:pPr>
      <w:r w:rsidRPr="005F5224">
        <w:rPr>
          <w:color w:val="0000FF"/>
        </w:rPr>
        <w:tab/>
        <w:t>Subrule 1.10B(1) provides criteria for persons who</w:t>
      </w:r>
      <w:r w:rsidR="00BE5D3A" w:rsidRPr="005F5224">
        <w:rPr>
          <w:color w:val="0000FF"/>
        </w:rPr>
        <w:t xml:space="preserve"> are </w:t>
      </w:r>
      <w:r w:rsidRPr="005F5224">
        <w:rPr>
          <w:color w:val="0000FF"/>
        </w:rPr>
        <w:t>account holders to be eligible.</w:t>
      </w:r>
    </w:p>
    <w:p w14:paraId="66253B74" w14:textId="77777777" w:rsidR="00BB7660" w:rsidRPr="005F5224" w:rsidRDefault="001068AE" w:rsidP="00BB7660">
      <w:pPr>
        <w:pStyle w:val="notetext"/>
        <w:rPr>
          <w:color w:val="0000FF"/>
        </w:rPr>
      </w:pPr>
      <w:r w:rsidRPr="005F5224">
        <w:rPr>
          <w:color w:val="0000FF"/>
        </w:rPr>
        <w:tab/>
      </w:r>
      <w:r w:rsidR="00BB7660" w:rsidRPr="005F5224">
        <w:rPr>
          <w:color w:val="0000FF"/>
        </w:rPr>
        <w:t>For a partnership account, subrule 1.10B(2) provides criteria for persons who are partners in the partnership (but who need not themselves be account holders) to be eligible.</w:t>
      </w:r>
    </w:p>
    <w:p w14:paraId="3D66B997" w14:textId="77777777" w:rsidR="00BB7660" w:rsidRPr="005F5224" w:rsidRDefault="00BB7660" w:rsidP="00BB7660">
      <w:pPr>
        <w:pStyle w:val="subsection"/>
        <w:rPr>
          <w:color w:val="0000FF"/>
        </w:rPr>
      </w:pPr>
      <w:r w:rsidRPr="005F5224">
        <w:rPr>
          <w:color w:val="0000FF"/>
        </w:rPr>
        <w:tab/>
      </w:r>
      <w:r w:rsidR="00195095">
        <w:rPr>
          <w:color w:val="0000FF"/>
        </w:rPr>
        <w:t>(2)</w:t>
      </w:r>
      <w:r w:rsidRPr="005F5224">
        <w:rPr>
          <w:color w:val="0000FF"/>
        </w:rPr>
        <w:tab/>
        <w:t xml:space="preserve">For this rule, an account is a </w:t>
      </w:r>
      <w:r w:rsidRPr="005F5224">
        <w:rPr>
          <w:b/>
          <w:i/>
          <w:color w:val="0000FF"/>
        </w:rPr>
        <w:t>large-scale commercial account</w:t>
      </w:r>
      <w:r w:rsidRPr="005F5224">
        <w:rPr>
          <w:color w:val="0000FF"/>
        </w:rPr>
        <w:t xml:space="preserve"> </w:t>
      </w:r>
      <w:r w:rsidR="001068AE" w:rsidRPr="005F5224">
        <w:rPr>
          <w:color w:val="0000FF"/>
        </w:rPr>
        <w:t xml:space="preserve">at a particular time </w:t>
      </w:r>
      <w:r w:rsidRPr="005F5224">
        <w:rPr>
          <w:color w:val="0000FF"/>
        </w:rPr>
        <w:t>if:</w:t>
      </w:r>
    </w:p>
    <w:p w14:paraId="28EAB7A3" w14:textId="77777777" w:rsidR="00BB7660" w:rsidRPr="005F5224" w:rsidRDefault="00BB7660" w:rsidP="00BB7660">
      <w:pPr>
        <w:pStyle w:val="paragraphsub"/>
        <w:rPr>
          <w:color w:val="0000FF"/>
        </w:rPr>
      </w:pPr>
      <w:r w:rsidRPr="005F5224">
        <w:rPr>
          <w:color w:val="0000FF"/>
        </w:rPr>
        <w:tab/>
      </w:r>
      <w:r w:rsidR="00195095">
        <w:rPr>
          <w:color w:val="0000FF"/>
        </w:rPr>
        <w:t>(i)</w:t>
      </w:r>
      <w:r w:rsidRPr="005F5224">
        <w:rPr>
          <w:color w:val="0000FF"/>
        </w:rPr>
        <w:tab/>
        <w:t>the account is such that the account holder had a genuine or reasonable opportunity to negotiate its terms; or</w:t>
      </w:r>
    </w:p>
    <w:p w14:paraId="4F93C3A0" w14:textId="77777777" w:rsidR="00BB7660" w:rsidRPr="00F70E93" w:rsidRDefault="00BB7660" w:rsidP="00BB7660">
      <w:pPr>
        <w:pStyle w:val="paragraphsub"/>
        <w:rPr>
          <w:color w:val="0000FF"/>
        </w:rPr>
      </w:pPr>
      <w:r w:rsidRPr="00E45D4B">
        <w:rPr>
          <w:color w:val="0000FF"/>
        </w:rPr>
        <w:tab/>
      </w:r>
      <w:r w:rsidR="00195095">
        <w:rPr>
          <w:color w:val="0000FF"/>
        </w:rPr>
        <w:t>(ii)</w:t>
      </w:r>
      <w:r w:rsidRPr="00E45D4B">
        <w:rPr>
          <w:color w:val="0000FF"/>
        </w:rPr>
        <w:tab/>
        <w:t xml:space="preserve">for an account that has been in existence for 12 months or more—the spend associated with the account was more than $40,000 in the </w:t>
      </w:r>
      <w:r w:rsidR="001068AE" w:rsidRPr="00E45D4B">
        <w:rPr>
          <w:color w:val="0000FF"/>
        </w:rPr>
        <w:t>last</w:t>
      </w:r>
      <w:r w:rsidR="001068AE" w:rsidRPr="000819F3">
        <w:rPr>
          <w:color w:val="0000FF"/>
        </w:rPr>
        <w:t xml:space="preserve"> </w:t>
      </w:r>
      <w:r w:rsidRPr="00F70E93">
        <w:rPr>
          <w:color w:val="0000FF"/>
        </w:rPr>
        <w:t>12 months; or</w:t>
      </w:r>
    </w:p>
    <w:p w14:paraId="72C4C20A" w14:textId="77777777" w:rsidR="00BB7660" w:rsidRPr="00F70E93" w:rsidRDefault="00BB7660" w:rsidP="00BB7660">
      <w:pPr>
        <w:pStyle w:val="paragraphsub"/>
        <w:rPr>
          <w:color w:val="0000FF"/>
        </w:rPr>
      </w:pPr>
      <w:r w:rsidRPr="00F70E93">
        <w:rPr>
          <w:color w:val="0000FF"/>
        </w:rPr>
        <w:lastRenderedPageBreak/>
        <w:tab/>
      </w:r>
      <w:r w:rsidR="00195095">
        <w:rPr>
          <w:color w:val="0000FF"/>
        </w:rPr>
        <w:t>(iii)</w:t>
      </w:r>
      <w:r w:rsidRPr="00F70E93">
        <w:rPr>
          <w:color w:val="0000FF"/>
        </w:rPr>
        <w:tab/>
        <w:t>for an account that has been in existence for less than 12 months—the estimated annual spend for the account is more than $40,000.</w:t>
      </w:r>
    </w:p>
    <w:p w14:paraId="0154EF93" w14:textId="77777777" w:rsidR="00655DE7" w:rsidRPr="00E45D4B" w:rsidRDefault="00C13855" w:rsidP="00C13855">
      <w:pPr>
        <w:pStyle w:val="subsection"/>
        <w:rPr>
          <w:color w:val="0000FF"/>
        </w:rPr>
      </w:pPr>
      <w:r w:rsidRPr="00E45D4B">
        <w:rPr>
          <w:color w:val="0000FF"/>
        </w:rPr>
        <w:tab/>
      </w:r>
      <w:r w:rsidR="00195095">
        <w:rPr>
          <w:color w:val="0000FF"/>
        </w:rPr>
        <w:t>(3)</w:t>
      </w:r>
      <w:r w:rsidRPr="00E45D4B">
        <w:rPr>
          <w:color w:val="0000FF"/>
        </w:rPr>
        <w:tab/>
        <w:t>For this rule</w:t>
      </w:r>
      <w:r w:rsidR="00655DE7" w:rsidRPr="00E45D4B">
        <w:rPr>
          <w:color w:val="0000FF"/>
        </w:rPr>
        <w:t>:</w:t>
      </w:r>
    </w:p>
    <w:p w14:paraId="32778A48" w14:textId="77777777" w:rsidR="00655DE7" w:rsidRPr="00E45D4B" w:rsidRDefault="00655DE7" w:rsidP="00655DE7">
      <w:pPr>
        <w:pStyle w:val="paragraph"/>
        <w:rPr>
          <w:color w:val="0000FF"/>
        </w:rPr>
      </w:pPr>
      <w:r w:rsidRPr="00E45D4B">
        <w:rPr>
          <w:color w:val="0000FF"/>
        </w:rPr>
        <w:tab/>
        <w:t xml:space="preserve">   </w:t>
      </w:r>
      <w:r w:rsidR="00195095">
        <w:rPr>
          <w:color w:val="0000FF"/>
        </w:rPr>
        <w:t>(a)</w:t>
      </w:r>
      <w:r w:rsidRPr="00E45D4B">
        <w:rPr>
          <w:color w:val="0000FF"/>
        </w:rPr>
        <w:tab/>
      </w:r>
      <w:r w:rsidRPr="00E45D4B">
        <w:rPr>
          <w:b/>
          <w:i/>
          <w:color w:val="0000FF"/>
        </w:rPr>
        <w:t>spend</w:t>
      </w:r>
      <w:r w:rsidRPr="00E45D4B">
        <w:rPr>
          <w:color w:val="0000FF"/>
        </w:rPr>
        <w:t xml:space="preserve"> associated with an account does not include </w:t>
      </w:r>
      <w:r w:rsidR="00E45D4B" w:rsidRPr="00E45D4B">
        <w:rPr>
          <w:color w:val="0000FF"/>
        </w:rPr>
        <w:t xml:space="preserve">a </w:t>
      </w:r>
      <w:r w:rsidRPr="00E45D4B">
        <w:rPr>
          <w:color w:val="0000FF"/>
        </w:rPr>
        <w:t>spend that is not related to relevant products; and</w:t>
      </w:r>
    </w:p>
    <w:p w14:paraId="2F00C89F" w14:textId="77777777" w:rsidR="00655DE7" w:rsidRPr="00E45D4B" w:rsidRDefault="00655DE7" w:rsidP="00655DE7">
      <w:pPr>
        <w:pStyle w:val="paragraph"/>
        <w:rPr>
          <w:color w:val="0000FF"/>
        </w:rPr>
      </w:pPr>
      <w:r w:rsidRPr="00E45D4B">
        <w:rPr>
          <w:color w:val="0000FF"/>
        </w:rPr>
        <w:tab/>
      </w:r>
      <w:r w:rsidR="00195095">
        <w:rPr>
          <w:color w:val="0000FF"/>
        </w:rPr>
        <w:t>(b)</w:t>
      </w:r>
      <w:r w:rsidRPr="00E45D4B">
        <w:rPr>
          <w:color w:val="0000FF"/>
        </w:rPr>
        <w:tab/>
      </w:r>
      <w:r w:rsidRPr="00E45D4B">
        <w:rPr>
          <w:b/>
          <w:i/>
          <w:color w:val="0000FF"/>
        </w:rPr>
        <w:t>estimated annual spend</w:t>
      </w:r>
      <w:r w:rsidRPr="00E45D4B">
        <w:rPr>
          <w:color w:val="0000FF"/>
        </w:rPr>
        <w:t xml:space="preserve"> for an account means the annual spend as estimated by the data holder.</w:t>
      </w:r>
    </w:p>
    <w:p w14:paraId="4C1D4049" w14:textId="77777777" w:rsidR="00BB7660" w:rsidRPr="00F70E93" w:rsidRDefault="00195095" w:rsidP="00BB7660">
      <w:pPr>
        <w:pStyle w:val="ActHead5"/>
        <w:rPr>
          <w:color w:val="0000FF"/>
        </w:rPr>
      </w:pPr>
      <w:bookmarkStart w:id="770" w:name="_Toc111132342"/>
      <w:r>
        <w:rPr>
          <w:color w:val="0000FF"/>
        </w:rPr>
        <w:t>2.2</w:t>
      </w:r>
      <w:r w:rsidR="00BB7660" w:rsidRPr="00F70E93">
        <w:rPr>
          <w:color w:val="0000FF"/>
        </w:rPr>
        <w:t xml:space="preserve">  Consumer dashboard—application of rule 1.15</w:t>
      </w:r>
      <w:bookmarkEnd w:id="770"/>
    </w:p>
    <w:p w14:paraId="1937FB6A" w14:textId="77777777" w:rsidR="00BB7660" w:rsidRPr="00F70E93" w:rsidRDefault="00BB7660" w:rsidP="00BB7660">
      <w:pPr>
        <w:pStyle w:val="subsection"/>
        <w:rPr>
          <w:rFonts w:eastAsia="Calibri"/>
          <w:color w:val="0000FF"/>
        </w:rPr>
      </w:pPr>
      <w:r w:rsidRPr="00F70E93">
        <w:rPr>
          <w:rFonts w:eastAsia="Calibri"/>
          <w:color w:val="0000FF"/>
        </w:rPr>
        <w:tab/>
      </w:r>
      <w:r w:rsidRPr="00F70E93">
        <w:rPr>
          <w:rFonts w:eastAsia="Calibri"/>
          <w:color w:val="0000FF"/>
        </w:rPr>
        <w:tab/>
        <w:t>For subrule 1.15(1), if a data holder receives a consumer data request from an accredited person on behalf of an eligible CDR consumer</w:t>
      </w:r>
      <w:r w:rsidR="00033024" w:rsidRPr="000819F3">
        <w:rPr>
          <w:rFonts w:eastAsia="Calibri"/>
          <w:color w:val="0000FF"/>
        </w:rPr>
        <w:t>,</w:t>
      </w:r>
      <w:r w:rsidRPr="00F70E93">
        <w:rPr>
          <w:rFonts w:eastAsia="Calibri"/>
          <w:color w:val="0000FF"/>
        </w:rPr>
        <w:t xml:space="preserve"> the data holder must provide the CDR consumer with the consumer dashboard.</w:t>
      </w:r>
    </w:p>
    <w:p w14:paraId="13B4C6DC" w14:textId="77777777" w:rsidR="00BB7660" w:rsidRPr="00F70E93" w:rsidRDefault="00195095" w:rsidP="00BB7660">
      <w:pPr>
        <w:pStyle w:val="ActHead2"/>
        <w:rPr>
          <w:color w:val="0000FF"/>
        </w:rPr>
      </w:pPr>
      <w:bookmarkStart w:id="771" w:name="_Toc111132343"/>
      <w:r>
        <w:rPr>
          <w:color w:val="0000FF"/>
        </w:rPr>
        <w:t>Part 3</w:t>
      </w:r>
      <w:r w:rsidR="00BB7660" w:rsidRPr="00F70E93">
        <w:rPr>
          <w:color w:val="0000FF"/>
        </w:rPr>
        <w:t>—CDR data that may be accessed under these rules—telecommunications sector</w:t>
      </w:r>
      <w:bookmarkEnd w:id="771"/>
    </w:p>
    <w:p w14:paraId="193DA5FD" w14:textId="77777777" w:rsidR="00BB7660" w:rsidRPr="00F70E93" w:rsidRDefault="00195095" w:rsidP="00BB7660">
      <w:pPr>
        <w:pStyle w:val="ActHead5"/>
        <w:rPr>
          <w:color w:val="0000FF"/>
        </w:rPr>
      </w:pPr>
      <w:bookmarkStart w:id="772" w:name="_Toc111132344"/>
      <w:r>
        <w:rPr>
          <w:color w:val="0000FF"/>
        </w:rPr>
        <w:t>3.1</w:t>
      </w:r>
      <w:r w:rsidR="00BB7660" w:rsidRPr="008A1E9B">
        <w:rPr>
          <w:color w:val="0000FF"/>
        </w:rPr>
        <w:t xml:space="preserve">  Meaning of </w:t>
      </w:r>
      <w:r w:rsidR="00BB7660" w:rsidRPr="008A1E9B">
        <w:rPr>
          <w:i/>
          <w:color w:val="0000FF"/>
        </w:rPr>
        <w:t>required product data</w:t>
      </w:r>
      <w:r w:rsidR="00BB7660" w:rsidRPr="008A1E9B">
        <w:rPr>
          <w:color w:val="0000FF"/>
        </w:rPr>
        <w:t xml:space="preserve"> and </w:t>
      </w:r>
      <w:r w:rsidR="00BB7660" w:rsidRPr="008A1E9B">
        <w:rPr>
          <w:i/>
          <w:color w:val="0000FF"/>
        </w:rPr>
        <w:t>voluntary product data</w:t>
      </w:r>
      <w:r w:rsidR="00BB7660" w:rsidRPr="008A1E9B">
        <w:rPr>
          <w:color w:val="0000FF"/>
        </w:rPr>
        <w:t>—</w:t>
      </w:r>
      <w:r w:rsidR="00BB7660" w:rsidRPr="00F70E93">
        <w:rPr>
          <w:color w:val="0000FF"/>
        </w:rPr>
        <w:t xml:space="preserve"> telecommunications sector</w:t>
      </w:r>
      <w:bookmarkEnd w:id="772"/>
    </w:p>
    <w:p w14:paraId="6D1599FF" w14:textId="77777777" w:rsidR="00BB7660" w:rsidRPr="00F70E93" w:rsidRDefault="00BB7660" w:rsidP="00BB7660">
      <w:pPr>
        <w:pStyle w:val="subsection"/>
        <w:rPr>
          <w:color w:val="0000FF"/>
        </w:rPr>
      </w:pPr>
      <w:r w:rsidRPr="00F70E93">
        <w:rPr>
          <w:color w:val="0000FF"/>
        </w:rPr>
        <w:tab/>
        <w:t>(1)</w:t>
      </w:r>
      <w:r w:rsidRPr="00F70E93">
        <w:rPr>
          <w:color w:val="0000FF"/>
        </w:rPr>
        <w:tab/>
        <w:t xml:space="preserve">For these rules, </w:t>
      </w:r>
      <w:r w:rsidRPr="00F70E93">
        <w:rPr>
          <w:b/>
          <w:i/>
          <w:iCs/>
          <w:color w:val="0000FF"/>
        </w:rPr>
        <w:t>required product data</w:t>
      </w:r>
      <w:r w:rsidRPr="00F70E93">
        <w:rPr>
          <w:color w:val="0000FF"/>
        </w:rPr>
        <w:t>, in relation to the telecommunications sector, means CDR data for which there are no CDR consumers that:</w:t>
      </w:r>
    </w:p>
    <w:p w14:paraId="70C1C997" w14:textId="77777777" w:rsidR="00BB7660" w:rsidRPr="00E45D4B" w:rsidRDefault="00BB7660" w:rsidP="00BB7660">
      <w:pPr>
        <w:pStyle w:val="paragraph"/>
        <w:rPr>
          <w:color w:val="0000FF"/>
        </w:rPr>
      </w:pPr>
      <w:r w:rsidRPr="00F70E93">
        <w:rPr>
          <w:color w:val="0000FF"/>
        </w:rPr>
        <w:tab/>
        <w:t>(a)</w:t>
      </w:r>
      <w:r w:rsidRPr="00F70E93">
        <w:rPr>
          <w:color w:val="0000FF"/>
        </w:rPr>
        <w:tab/>
        <w:t xml:space="preserve">is within a class of information specified in section 8 of the telecommunications sector designation </w:t>
      </w:r>
      <w:r w:rsidRPr="00E45D4B">
        <w:rPr>
          <w:color w:val="0000FF"/>
        </w:rPr>
        <w:t>instrument; and</w:t>
      </w:r>
    </w:p>
    <w:p w14:paraId="555F8CBB" w14:textId="77777777" w:rsidR="00BB7660" w:rsidRPr="00E45D4B" w:rsidRDefault="00BB7660" w:rsidP="000B2DF2">
      <w:pPr>
        <w:pStyle w:val="paragraph"/>
        <w:rPr>
          <w:color w:val="0000FF"/>
        </w:rPr>
      </w:pPr>
      <w:r w:rsidRPr="00E45D4B">
        <w:rPr>
          <w:color w:val="0000FF"/>
        </w:rPr>
        <w:tab/>
        <w:t>(b)</w:t>
      </w:r>
      <w:r w:rsidRPr="00E45D4B">
        <w:rPr>
          <w:color w:val="0000FF"/>
        </w:rPr>
        <w:tab/>
        <w:t xml:space="preserve">is about the eligibility criteria, terms and conditions, price, availability or performance of a </w:t>
      </w:r>
      <w:r w:rsidR="002B7C78" w:rsidRPr="00E45D4B">
        <w:rPr>
          <w:color w:val="0000FF"/>
        </w:rPr>
        <w:t>relevant product</w:t>
      </w:r>
      <w:r w:rsidR="000B2DF2" w:rsidRPr="00E45D4B">
        <w:rPr>
          <w:color w:val="0000FF"/>
        </w:rPr>
        <w:t xml:space="preserve"> that is publicly offered; and</w:t>
      </w:r>
    </w:p>
    <w:p w14:paraId="4DA6CAE8" w14:textId="77777777" w:rsidR="00BB7660" w:rsidRPr="00E45D4B" w:rsidRDefault="00BB7660" w:rsidP="00BB7660">
      <w:pPr>
        <w:pStyle w:val="paragraph"/>
        <w:rPr>
          <w:color w:val="0000FF"/>
        </w:rPr>
      </w:pPr>
      <w:r w:rsidRPr="00E45D4B">
        <w:rPr>
          <w:color w:val="0000FF"/>
        </w:rPr>
        <w:tab/>
        <w:t>(c)</w:t>
      </w:r>
      <w:r w:rsidRPr="00E45D4B">
        <w:rPr>
          <w:color w:val="0000FF"/>
        </w:rPr>
        <w:tab/>
        <w:t xml:space="preserve">is product specific data in relation to </w:t>
      </w:r>
      <w:r w:rsidR="00376026" w:rsidRPr="00E45D4B">
        <w:rPr>
          <w:color w:val="0000FF"/>
        </w:rPr>
        <w:t xml:space="preserve">the </w:t>
      </w:r>
      <w:r w:rsidR="002B7C78" w:rsidRPr="00E45D4B">
        <w:rPr>
          <w:color w:val="0000FF"/>
        </w:rPr>
        <w:t>relevant product</w:t>
      </w:r>
      <w:r w:rsidRPr="00E45D4B">
        <w:rPr>
          <w:color w:val="0000FF"/>
        </w:rPr>
        <w:t>.</w:t>
      </w:r>
    </w:p>
    <w:p w14:paraId="12C3127B" w14:textId="77777777" w:rsidR="00BB7660" w:rsidRPr="00E45D4B" w:rsidRDefault="00BB7660" w:rsidP="00BB7660">
      <w:pPr>
        <w:pStyle w:val="subsection"/>
        <w:rPr>
          <w:color w:val="0000FF"/>
        </w:rPr>
      </w:pPr>
      <w:r w:rsidRPr="00E45D4B">
        <w:rPr>
          <w:color w:val="0000FF"/>
        </w:rPr>
        <w:tab/>
        <w:t>(2)</w:t>
      </w:r>
      <w:r w:rsidRPr="00E45D4B">
        <w:rPr>
          <w:color w:val="0000FF"/>
        </w:rPr>
        <w:tab/>
        <w:t xml:space="preserve">For these rules, </w:t>
      </w:r>
      <w:r w:rsidRPr="00E45D4B">
        <w:rPr>
          <w:b/>
          <w:i/>
          <w:color w:val="0000FF"/>
        </w:rPr>
        <w:t>voluntary product data</w:t>
      </w:r>
      <w:r w:rsidRPr="00E45D4B">
        <w:rPr>
          <w:color w:val="0000FF"/>
        </w:rPr>
        <w:t>, in relation to a data holder in the telecommunications sector, means CDR data for which there are no CDR consumers that:</w:t>
      </w:r>
    </w:p>
    <w:p w14:paraId="60A8B73F" w14:textId="77777777" w:rsidR="000B2DF2" w:rsidRPr="00E45D4B" w:rsidRDefault="000B2DF2" w:rsidP="000B2DF2">
      <w:pPr>
        <w:pStyle w:val="paragraph"/>
        <w:rPr>
          <w:color w:val="0000FF"/>
        </w:rPr>
      </w:pPr>
      <w:r w:rsidRPr="00E45D4B">
        <w:rPr>
          <w:color w:val="0000FF"/>
        </w:rPr>
        <w:tab/>
        <w:t>(a)</w:t>
      </w:r>
      <w:r w:rsidRPr="00E45D4B">
        <w:rPr>
          <w:color w:val="0000FF"/>
        </w:rPr>
        <w:tab/>
        <w:t>is within a class of information specified in section 8 of the telecommunications sector designation instrument; and</w:t>
      </w:r>
    </w:p>
    <w:p w14:paraId="438ADF6D" w14:textId="77777777" w:rsidR="00BB7660" w:rsidRPr="00E45D4B" w:rsidRDefault="00BB7660" w:rsidP="00BB7660">
      <w:pPr>
        <w:pStyle w:val="paragraph"/>
        <w:rPr>
          <w:color w:val="0000FF"/>
        </w:rPr>
      </w:pPr>
      <w:r w:rsidRPr="00E45D4B">
        <w:rPr>
          <w:color w:val="0000FF"/>
        </w:rPr>
        <w:tab/>
        <w:t>(b)</w:t>
      </w:r>
      <w:r w:rsidRPr="00E45D4B">
        <w:rPr>
          <w:color w:val="0000FF"/>
        </w:rPr>
        <w:tab/>
        <w:t xml:space="preserve">is product specific data in relation to a </w:t>
      </w:r>
      <w:r w:rsidR="002B7C78" w:rsidRPr="00E45D4B">
        <w:rPr>
          <w:color w:val="0000FF"/>
        </w:rPr>
        <w:t>relevant product</w:t>
      </w:r>
      <w:r w:rsidRPr="00E45D4B">
        <w:rPr>
          <w:color w:val="0000FF"/>
        </w:rPr>
        <w:t>; and</w:t>
      </w:r>
    </w:p>
    <w:p w14:paraId="41AA35E2" w14:textId="77777777" w:rsidR="00BB7660" w:rsidRPr="00E45D4B" w:rsidRDefault="00BB7660" w:rsidP="00BB7660">
      <w:pPr>
        <w:pStyle w:val="paragraph"/>
        <w:rPr>
          <w:color w:val="0000FF"/>
        </w:rPr>
      </w:pPr>
      <w:r w:rsidRPr="00E45D4B">
        <w:rPr>
          <w:color w:val="0000FF"/>
        </w:rPr>
        <w:tab/>
        <w:t>(c)</w:t>
      </w:r>
      <w:r w:rsidRPr="00E45D4B">
        <w:rPr>
          <w:color w:val="0000FF"/>
        </w:rPr>
        <w:tab/>
        <w:t>is not required product data.</w:t>
      </w:r>
    </w:p>
    <w:p w14:paraId="39E1FE69" w14:textId="77777777" w:rsidR="00BB7660" w:rsidRDefault="00195095" w:rsidP="00BB7660">
      <w:pPr>
        <w:pStyle w:val="ActHead5"/>
        <w:rPr>
          <w:color w:val="0000FF"/>
        </w:rPr>
      </w:pPr>
      <w:bookmarkStart w:id="773" w:name="_Toc111132345"/>
      <w:r>
        <w:rPr>
          <w:color w:val="0000FF"/>
        </w:rPr>
        <w:t>3.2</w:t>
      </w:r>
      <w:r w:rsidR="00BB7660" w:rsidRPr="00E45D4B">
        <w:rPr>
          <w:color w:val="0000FF"/>
        </w:rPr>
        <w:t xml:space="preserve">  Meaning of </w:t>
      </w:r>
      <w:r w:rsidR="00BB7660" w:rsidRPr="00E45D4B">
        <w:rPr>
          <w:i/>
          <w:color w:val="0000FF"/>
        </w:rPr>
        <w:t>r</w:t>
      </w:r>
      <w:r w:rsidR="00BB7660" w:rsidRPr="00F70E93">
        <w:rPr>
          <w:i/>
          <w:color w:val="0000FF"/>
        </w:rPr>
        <w:t>equired consumer data</w:t>
      </w:r>
      <w:r w:rsidR="00BB7660" w:rsidRPr="00F70E93">
        <w:rPr>
          <w:color w:val="0000FF"/>
        </w:rPr>
        <w:t xml:space="preserve"> and </w:t>
      </w:r>
      <w:r w:rsidR="00BB7660" w:rsidRPr="00F70E93">
        <w:rPr>
          <w:i/>
          <w:color w:val="0000FF"/>
        </w:rPr>
        <w:t>voluntary consumer data</w:t>
      </w:r>
      <w:r w:rsidR="00BB7660" w:rsidRPr="00F70E93">
        <w:rPr>
          <w:color w:val="0000FF"/>
        </w:rPr>
        <w:t>— telecommunications sector</w:t>
      </w:r>
      <w:bookmarkEnd w:id="773"/>
    </w:p>
    <w:p w14:paraId="2DE9DDC9" w14:textId="77777777" w:rsidR="00BB7660" w:rsidRPr="00F70E93" w:rsidRDefault="00BB7660" w:rsidP="00BB7660">
      <w:pPr>
        <w:pStyle w:val="subsection"/>
        <w:rPr>
          <w:color w:val="0000FF"/>
        </w:rPr>
      </w:pPr>
      <w:r w:rsidRPr="00F70E93">
        <w:rPr>
          <w:color w:val="0000FF"/>
        </w:rPr>
        <w:tab/>
      </w:r>
      <w:r w:rsidR="00195095">
        <w:rPr>
          <w:color w:val="0000FF"/>
        </w:rPr>
        <w:t>(1)</w:t>
      </w:r>
      <w:r w:rsidRPr="00F70E93">
        <w:rPr>
          <w:color w:val="0000FF"/>
        </w:rPr>
        <w:tab/>
        <w:t>For this clause:</w:t>
      </w:r>
    </w:p>
    <w:p w14:paraId="7FEE211C" w14:textId="77777777" w:rsidR="00BB7660" w:rsidRPr="00F70E93" w:rsidRDefault="00BB7660" w:rsidP="00BB7660">
      <w:pPr>
        <w:pStyle w:val="Definition"/>
        <w:rPr>
          <w:color w:val="0000FF"/>
        </w:rPr>
      </w:pPr>
      <w:r w:rsidRPr="00F70E93">
        <w:rPr>
          <w:b/>
          <w:i/>
          <w:color w:val="0000FF"/>
        </w:rPr>
        <w:t>relevant account</w:t>
      </w:r>
      <w:r w:rsidRPr="00F70E93">
        <w:rPr>
          <w:color w:val="0000FF"/>
        </w:rPr>
        <w:t>, in relation to a CDR consumer, means an account for which the CDR consumer is an account holder and is:</w:t>
      </w:r>
    </w:p>
    <w:p w14:paraId="6D793F1B" w14:textId="77777777" w:rsidR="00BB7660" w:rsidRPr="00F70E93" w:rsidRDefault="00BB7660" w:rsidP="00BB7660">
      <w:pPr>
        <w:pStyle w:val="paragraph"/>
        <w:rPr>
          <w:color w:val="0000FF"/>
        </w:rPr>
      </w:pPr>
      <w:r w:rsidRPr="00F70E93">
        <w:rPr>
          <w:color w:val="0000FF"/>
        </w:rPr>
        <w:tab/>
        <w:t>(a)</w:t>
      </w:r>
      <w:r w:rsidRPr="00F70E93">
        <w:rPr>
          <w:color w:val="0000FF"/>
        </w:rPr>
        <w:tab/>
        <w:t>an account held by the CDR consumer in their name alone; or</w:t>
      </w:r>
    </w:p>
    <w:p w14:paraId="5F76EC76" w14:textId="77777777" w:rsidR="00BB7660" w:rsidRPr="00F70E93" w:rsidRDefault="00BB7660" w:rsidP="00BB7660">
      <w:pPr>
        <w:pStyle w:val="paragraph"/>
        <w:rPr>
          <w:color w:val="0000FF"/>
        </w:rPr>
      </w:pPr>
      <w:r w:rsidRPr="00F70E93">
        <w:rPr>
          <w:color w:val="0000FF"/>
        </w:rPr>
        <w:tab/>
        <w:t>(b)</w:t>
      </w:r>
      <w:r w:rsidRPr="00F70E93">
        <w:rPr>
          <w:color w:val="0000FF"/>
        </w:rPr>
        <w:tab/>
        <w:t>a joint account; or</w:t>
      </w:r>
    </w:p>
    <w:p w14:paraId="705A5C3B" w14:textId="77777777" w:rsidR="00BB7660" w:rsidRPr="00F70E93" w:rsidRDefault="00BB7660" w:rsidP="00BB7660">
      <w:pPr>
        <w:pStyle w:val="paragraph"/>
        <w:rPr>
          <w:color w:val="0000FF"/>
        </w:rPr>
      </w:pPr>
      <w:r w:rsidRPr="00F70E93">
        <w:rPr>
          <w:color w:val="0000FF"/>
        </w:rPr>
        <w:tab/>
        <w:t>(c)</w:t>
      </w:r>
      <w:r w:rsidRPr="00F70E93">
        <w:rPr>
          <w:color w:val="0000FF"/>
        </w:rPr>
        <w:tab/>
        <w:t>a partnership account.</w:t>
      </w:r>
    </w:p>
    <w:p w14:paraId="55913CD1" w14:textId="77777777" w:rsidR="00BB7660" w:rsidRPr="00F70E93" w:rsidRDefault="00BB7660" w:rsidP="00BB7660">
      <w:pPr>
        <w:pStyle w:val="subsection"/>
        <w:rPr>
          <w:color w:val="0000FF"/>
        </w:rPr>
      </w:pPr>
      <w:r w:rsidRPr="00F70E93">
        <w:rPr>
          <w:color w:val="0000FF"/>
        </w:rPr>
        <w:lastRenderedPageBreak/>
        <w:tab/>
      </w:r>
      <w:r w:rsidR="00195095">
        <w:rPr>
          <w:color w:val="0000FF"/>
        </w:rPr>
        <w:t>(2)</w:t>
      </w:r>
      <w:r w:rsidRPr="00F70E93">
        <w:rPr>
          <w:color w:val="0000FF"/>
        </w:rPr>
        <w:tab/>
        <w:t xml:space="preserve">For these rules, subject to this clause, </w:t>
      </w:r>
      <w:r w:rsidRPr="00F70E93">
        <w:rPr>
          <w:b/>
          <w:i/>
          <w:iCs/>
          <w:color w:val="0000FF"/>
        </w:rPr>
        <w:t>required consumer dat</w:t>
      </w:r>
      <w:r w:rsidRPr="00FF4398">
        <w:rPr>
          <w:b/>
          <w:i/>
          <w:color w:val="0000FF"/>
        </w:rPr>
        <w:t>a</w:t>
      </w:r>
      <w:r w:rsidRPr="00F70E93">
        <w:rPr>
          <w:color w:val="0000FF"/>
        </w:rPr>
        <w:t>,</w:t>
      </w:r>
      <w:r w:rsidRPr="00F70E93">
        <w:rPr>
          <w:b/>
          <w:color w:val="0000FF"/>
        </w:rPr>
        <w:t xml:space="preserve"> </w:t>
      </w:r>
      <w:r w:rsidRPr="00F70E93">
        <w:rPr>
          <w:color w:val="0000FF"/>
        </w:rPr>
        <w:t xml:space="preserve">in relation to the </w:t>
      </w:r>
      <w:r w:rsidR="00F80B17" w:rsidRPr="00F80008">
        <w:rPr>
          <w:color w:val="0000FF"/>
        </w:rPr>
        <w:t>telecommunications</w:t>
      </w:r>
      <w:r w:rsidRPr="00F70E93">
        <w:rPr>
          <w:color w:val="0000FF"/>
        </w:rPr>
        <w:t xml:space="preserve"> sector, means CDR data for which there is at least one CDR consumer that:</w:t>
      </w:r>
    </w:p>
    <w:p w14:paraId="3FD701A8" w14:textId="77777777" w:rsidR="00BB7660" w:rsidRPr="00E45D4B" w:rsidRDefault="00BB7660" w:rsidP="00BB7660">
      <w:pPr>
        <w:pStyle w:val="paragraph"/>
        <w:rPr>
          <w:rFonts w:eastAsia="Calibri"/>
          <w:color w:val="0000FF"/>
        </w:rPr>
      </w:pPr>
      <w:r w:rsidRPr="00E45D4B">
        <w:rPr>
          <w:color w:val="0000FF"/>
        </w:rPr>
        <w:tab/>
      </w:r>
      <w:r w:rsidR="00195095">
        <w:rPr>
          <w:color w:val="0000FF"/>
        </w:rPr>
        <w:t>(a)</w:t>
      </w:r>
      <w:r w:rsidRPr="00E45D4B">
        <w:rPr>
          <w:color w:val="0000FF"/>
        </w:rPr>
        <w:tab/>
        <w:t xml:space="preserve">is telecommunications sector data; </w:t>
      </w:r>
      <w:r w:rsidRPr="00E45D4B">
        <w:rPr>
          <w:rFonts w:eastAsia="Calibri"/>
          <w:color w:val="0000FF"/>
        </w:rPr>
        <w:t>and</w:t>
      </w:r>
    </w:p>
    <w:p w14:paraId="36675ACE" w14:textId="77777777" w:rsidR="00FF4398" w:rsidRPr="00E45D4B" w:rsidRDefault="00FF4398" w:rsidP="00FF4398">
      <w:pPr>
        <w:pStyle w:val="paragraph"/>
        <w:rPr>
          <w:color w:val="0000FF"/>
        </w:rPr>
      </w:pPr>
      <w:r w:rsidRPr="00E45D4B">
        <w:rPr>
          <w:color w:val="0000FF"/>
        </w:rPr>
        <w:tab/>
      </w:r>
      <w:r w:rsidR="00195095">
        <w:rPr>
          <w:color w:val="0000FF"/>
        </w:rPr>
        <w:t>(b)</w:t>
      </w:r>
      <w:r w:rsidRPr="00E45D4B">
        <w:rPr>
          <w:color w:val="0000FF"/>
        </w:rPr>
        <w:tab/>
        <w:t>is, in relation to the CDR consumer:</w:t>
      </w:r>
    </w:p>
    <w:p w14:paraId="36136355" w14:textId="77777777" w:rsidR="00FF4398" w:rsidRPr="00E45D4B" w:rsidRDefault="00FF4398" w:rsidP="00FF4398">
      <w:pPr>
        <w:pStyle w:val="paragraphsub"/>
        <w:rPr>
          <w:color w:val="0000FF"/>
        </w:rPr>
      </w:pPr>
      <w:r w:rsidRPr="00E45D4B">
        <w:rPr>
          <w:color w:val="0000FF"/>
        </w:rPr>
        <w:tab/>
      </w:r>
      <w:r w:rsidR="00195095">
        <w:rPr>
          <w:color w:val="0000FF"/>
        </w:rPr>
        <w:t>(i)</w:t>
      </w:r>
      <w:r w:rsidRPr="00E45D4B">
        <w:rPr>
          <w:color w:val="0000FF"/>
        </w:rPr>
        <w:tab/>
        <w:t>customer data that is held in relation to a relevant account; or</w:t>
      </w:r>
    </w:p>
    <w:p w14:paraId="20D68D32" w14:textId="77777777" w:rsidR="00FF4398" w:rsidRPr="00E45D4B" w:rsidRDefault="00FF4398" w:rsidP="00FF4398">
      <w:pPr>
        <w:pStyle w:val="paragraphsub"/>
        <w:rPr>
          <w:color w:val="0000FF"/>
        </w:rPr>
      </w:pPr>
      <w:r w:rsidRPr="00E45D4B">
        <w:rPr>
          <w:color w:val="0000FF"/>
        </w:rPr>
        <w:tab/>
      </w:r>
      <w:r w:rsidR="00195095">
        <w:rPr>
          <w:color w:val="0000FF"/>
        </w:rPr>
        <w:t>(ii)</w:t>
      </w:r>
      <w:r w:rsidRPr="00E45D4B">
        <w:rPr>
          <w:color w:val="0000FF"/>
        </w:rPr>
        <w:tab/>
        <w:t>account data for a relevant account; or</w:t>
      </w:r>
    </w:p>
    <w:p w14:paraId="61F37E6B" w14:textId="77777777" w:rsidR="00FF4398" w:rsidRPr="00BD47C6" w:rsidRDefault="00FF4398" w:rsidP="00FF4398">
      <w:pPr>
        <w:pStyle w:val="paragraphsub"/>
        <w:rPr>
          <w:rFonts w:eastAsia="Calibri"/>
          <w:color w:val="0000FF"/>
        </w:rPr>
      </w:pPr>
      <w:r w:rsidRPr="00E45D4B">
        <w:rPr>
          <w:rFonts w:eastAsia="Calibri"/>
          <w:color w:val="0000FF"/>
        </w:rPr>
        <w:tab/>
      </w:r>
      <w:r w:rsidR="00195095">
        <w:rPr>
          <w:rFonts w:eastAsia="Calibri"/>
          <w:color w:val="0000FF"/>
        </w:rPr>
        <w:t>(iii)</w:t>
      </w:r>
      <w:r w:rsidRPr="00E45D4B">
        <w:rPr>
          <w:rFonts w:eastAsia="Calibri"/>
          <w:color w:val="0000FF"/>
        </w:rPr>
        <w:tab/>
        <w:t xml:space="preserve">billing data for a </w:t>
      </w:r>
      <w:r w:rsidRPr="00BD47C6">
        <w:rPr>
          <w:rFonts w:eastAsia="Calibri"/>
          <w:color w:val="0000FF"/>
        </w:rPr>
        <w:t>relevant account;</w:t>
      </w:r>
      <w:r w:rsidR="00FA7998" w:rsidRPr="00BD47C6">
        <w:rPr>
          <w:rFonts w:eastAsia="Calibri"/>
          <w:color w:val="0000FF"/>
        </w:rPr>
        <w:t xml:space="preserve"> or</w:t>
      </w:r>
    </w:p>
    <w:p w14:paraId="5545C51B" w14:textId="77777777" w:rsidR="00E45D4B" w:rsidRPr="00BD47C6" w:rsidRDefault="00E45D4B" w:rsidP="00E45D4B">
      <w:pPr>
        <w:pStyle w:val="paragraphsub"/>
        <w:rPr>
          <w:color w:val="0000FF"/>
        </w:rPr>
      </w:pPr>
      <w:r w:rsidRPr="00BD47C6">
        <w:rPr>
          <w:color w:val="0000FF"/>
        </w:rPr>
        <w:tab/>
      </w:r>
      <w:r w:rsidR="00195095">
        <w:rPr>
          <w:color w:val="0000FF"/>
        </w:rPr>
        <w:t>(iv)</w:t>
      </w:r>
      <w:r w:rsidRPr="00BD47C6">
        <w:rPr>
          <w:color w:val="0000FF"/>
        </w:rPr>
        <w:tab/>
        <w:t xml:space="preserve">product specific data in relation to a relevant product </w:t>
      </w:r>
      <w:r w:rsidR="00351126" w:rsidRPr="00BD47C6">
        <w:rPr>
          <w:color w:val="0000FF"/>
        </w:rPr>
        <w:t xml:space="preserve">that is publicly offered, is used by </w:t>
      </w:r>
      <w:r w:rsidRPr="00BD47C6">
        <w:rPr>
          <w:color w:val="0000FF"/>
        </w:rPr>
        <w:t>a CDR consumer</w:t>
      </w:r>
      <w:r w:rsidR="00351126" w:rsidRPr="00BD47C6">
        <w:rPr>
          <w:color w:val="0000FF"/>
        </w:rPr>
        <w:t xml:space="preserve">, and </w:t>
      </w:r>
      <w:r w:rsidRPr="00BD47C6">
        <w:rPr>
          <w:color w:val="0000FF"/>
        </w:rPr>
        <w:t>relates to a relevant account; and</w:t>
      </w:r>
    </w:p>
    <w:p w14:paraId="70A78EC6" w14:textId="77777777" w:rsidR="00FF4398" w:rsidRPr="00BD47C6" w:rsidRDefault="00BB7660" w:rsidP="00BB7660">
      <w:pPr>
        <w:pStyle w:val="paragraphsub"/>
        <w:rPr>
          <w:color w:val="0000FF"/>
        </w:rPr>
      </w:pPr>
      <w:r w:rsidRPr="00BD47C6">
        <w:rPr>
          <w:color w:val="0000FF"/>
        </w:rPr>
        <w:tab/>
      </w:r>
      <w:r w:rsidR="00195095">
        <w:rPr>
          <w:color w:val="0000FF"/>
        </w:rPr>
        <w:t>(v)</w:t>
      </w:r>
      <w:r w:rsidRPr="00BD47C6">
        <w:rPr>
          <w:color w:val="0000FF"/>
        </w:rPr>
        <w:tab/>
        <w:t xml:space="preserve">usage data </w:t>
      </w:r>
      <w:r w:rsidR="00FF4398" w:rsidRPr="00BD47C6">
        <w:rPr>
          <w:color w:val="0000FF"/>
        </w:rPr>
        <w:t>that:</w:t>
      </w:r>
    </w:p>
    <w:p w14:paraId="671D2655" w14:textId="77777777" w:rsidR="00FF4398" w:rsidRPr="00E45D4B" w:rsidRDefault="00FF4398" w:rsidP="00FF4398">
      <w:pPr>
        <w:pStyle w:val="paragraphsub-sub"/>
        <w:rPr>
          <w:color w:val="0000FF"/>
        </w:rPr>
      </w:pPr>
      <w:r w:rsidRPr="00BD47C6">
        <w:rPr>
          <w:color w:val="0000FF"/>
        </w:rPr>
        <w:tab/>
      </w:r>
      <w:r w:rsidR="00195095">
        <w:rPr>
          <w:color w:val="0000FF"/>
        </w:rPr>
        <w:t>(A)</w:t>
      </w:r>
      <w:r w:rsidRPr="00BD47C6">
        <w:rPr>
          <w:color w:val="0000FF"/>
        </w:rPr>
        <w:tab/>
      </w:r>
      <w:r w:rsidR="00FA7998" w:rsidRPr="00BD47C6">
        <w:rPr>
          <w:color w:val="0000FF"/>
        </w:rPr>
        <w:t xml:space="preserve">relates to a relevant product that </w:t>
      </w:r>
      <w:r w:rsidRPr="00BD47C6">
        <w:rPr>
          <w:color w:val="0000FF"/>
        </w:rPr>
        <w:t>is publicly</w:t>
      </w:r>
      <w:r w:rsidRPr="00E45D4B">
        <w:rPr>
          <w:color w:val="0000FF"/>
        </w:rPr>
        <w:t xml:space="preserve"> offered; and</w:t>
      </w:r>
    </w:p>
    <w:p w14:paraId="64547400" w14:textId="77777777" w:rsidR="00FF4398" w:rsidRPr="00E45D4B" w:rsidRDefault="00FF4398" w:rsidP="00FF4398">
      <w:pPr>
        <w:pStyle w:val="paragraphsub-sub"/>
        <w:rPr>
          <w:color w:val="0000FF"/>
        </w:rPr>
      </w:pPr>
      <w:r w:rsidRPr="00E45D4B">
        <w:rPr>
          <w:color w:val="0000FF"/>
        </w:rPr>
        <w:tab/>
      </w:r>
      <w:r w:rsidR="00195095">
        <w:rPr>
          <w:color w:val="0000FF"/>
        </w:rPr>
        <w:t>(B)</w:t>
      </w:r>
      <w:r w:rsidRPr="00E45D4B">
        <w:rPr>
          <w:color w:val="0000FF"/>
        </w:rPr>
        <w:tab/>
        <w:t xml:space="preserve">relates to </w:t>
      </w:r>
      <w:r w:rsidR="00FA7998" w:rsidRPr="00E45D4B">
        <w:rPr>
          <w:color w:val="0000FF"/>
        </w:rPr>
        <w:t>a</w:t>
      </w:r>
      <w:r w:rsidRPr="00E45D4B">
        <w:rPr>
          <w:color w:val="0000FF"/>
        </w:rPr>
        <w:t xml:space="preserve"> </w:t>
      </w:r>
      <w:r w:rsidR="00BB7660" w:rsidRPr="00E45D4B">
        <w:rPr>
          <w:color w:val="0000FF"/>
        </w:rPr>
        <w:t>relevant account</w:t>
      </w:r>
      <w:r w:rsidRPr="00E45D4B">
        <w:rPr>
          <w:color w:val="0000FF"/>
        </w:rPr>
        <w:t>; and</w:t>
      </w:r>
    </w:p>
    <w:p w14:paraId="16F31E23" w14:textId="77777777" w:rsidR="00BB7660" w:rsidRPr="00E45D4B" w:rsidRDefault="00FF4398" w:rsidP="00FF4398">
      <w:pPr>
        <w:pStyle w:val="paragraphsub-sub"/>
        <w:rPr>
          <w:color w:val="0000FF"/>
        </w:rPr>
      </w:pPr>
      <w:r w:rsidRPr="00E45D4B">
        <w:rPr>
          <w:color w:val="0000FF"/>
        </w:rPr>
        <w:tab/>
      </w:r>
      <w:r w:rsidR="00195095">
        <w:rPr>
          <w:color w:val="0000FF"/>
        </w:rPr>
        <w:t>(C)</w:t>
      </w:r>
      <w:r w:rsidRPr="00E45D4B">
        <w:rPr>
          <w:color w:val="0000FF"/>
        </w:rPr>
        <w:tab/>
      </w:r>
      <w:r w:rsidR="00BB7660" w:rsidRPr="00E45D4B">
        <w:rPr>
          <w:color w:val="0000FF"/>
        </w:rPr>
        <w:t xml:space="preserve">relates to international voice calls </w:t>
      </w:r>
      <w:r w:rsidR="00FA7998" w:rsidRPr="00E45D4B">
        <w:rPr>
          <w:color w:val="0000FF"/>
        </w:rPr>
        <w:t xml:space="preserve">or short </w:t>
      </w:r>
      <w:r w:rsidR="00BB7660" w:rsidRPr="00E45D4B">
        <w:rPr>
          <w:color w:val="0000FF"/>
        </w:rPr>
        <w:t>message</w:t>
      </w:r>
      <w:r w:rsidR="00FA7998" w:rsidRPr="00E45D4B">
        <w:rPr>
          <w:color w:val="0000FF"/>
        </w:rPr>
        <w:t xml:space="preserve"> service</w:t>
      </w:r>
      <w:r w:rsidRPr="00E45D4B">
        <w:rPr>
          <w:color w:val="0000FF"/>
        </w:rPr>
        <w:t xml:space="preserve">; </w:t>
      </w:r>
      <w:r w:rsidR="00FA7998" w:rsidRPr="00E45D4B">
        <w:rPr>
          <w:color w:val="0000FF"/>
        </w:rPr>
        <w:t>or</w:t>
      </w:r>
    </w:p>
    <w:p w14:paraId="07D7DB0B" w14:textId="77777777" w:rsidR="00BB7660" w:rsidRPr="00E45D4B" w:rsidRDefault="00BB7660" w:rsidP="00BB7660">
      <w:pPr>
        <w:pStyle w:val="paragraph"/>
        <w:rPr>
          <w:color w:val="0000FF"/>
        </w:rPr>
      </w:pPr>
      <w:r w:rsidRPr="00E45D4B">
        <w:rPr>
          <w:color w:val="0000FF"/>
        </w:rPr>
        <w:tab/>
      </w:r>
      <w:r w:rsidR="00195095">
        <w:rPr>
          <w:color w:val="0000FF"/>
        </w:rPr>
        <w:t>(c)</w:t>
      </w:r>
      <w:r w:rsidRPr="00E45D4B">
        <w:rPr>
          <w:color w:val="0000FF"/>
        </w:rPr>
        <w:tab/>
        <w:t>is held by the data holder or holders in a digital form.</w:t>
      </w:r>
    </w:p>
    <w:p w14:paraId="7EFADC8E" w14:textId="77777777" w:rsidR="00AC01D9" w:rsidRPr="00E45D4B" w:rsidRDefault="00AC01D9" w:rsidP="00AC01D9">
      <w:pPr>
        <w:pStyle w:val="notetext"/>
        <w:rPr>
          <w:color w:val="0000FF"/>
        </w:rPr>
      </w:pPr>
      <w:r w:rsidRPr="00E45D4B">
        <w:rPr>
          <w:color w:val="0000FF"/>
        </w:rPr>
        <w:t>Note 1:</w:t>
      </w:r>
      <w:r w:rsidRPr="00E45D4B">
        <w:rPr>
          <w:color w:val="0000FF"/>
        </w:rPr>
        <w:tab/>
        <w:t>For subparagraph (b)(</w:t>
      </w:r>
      <w:r w:rsidR="00DD6705">
        <w:rPr>
          <w:color w:val="0000FF"/>
        </w:rPr>
        <w:t>iv</w:t>
      </w:r>
      <w:r w:rsidRPr="00E45D4B">
        <w:rPr>
          <w:color w:val="0000FF"/>
        </w:rPr>
        <w:t>), for a consumer data request, product specific data could include the following:</w:t>
      </w:r>
    </w:p>
    <w:p w14:paraId="78EC3030" w14:textId="77777777" w:rsidR="00AC01D9" w:rsidRPr="00E45D4B" w:rsidRDefault="00AC01D9" w:rsidP="00AC01D9">
      <w:pPr>
        <w:pStyle w:val="notepara"/>
        <w:rPr>
          <w:color w:val="0000FF"/>
        </w:rPr>
      </w:pPr>
      <w:r w:rsidRPr="00E45D4B">
        <w:rPr>
          <w:color w:val="0000FF"/>
        </w:rPr>
        <w:sym w:font="Symbol" w:char="F0B7"/>
      </w:r>
      <w:r w:rsidRPr="00E45D4B">
        <w:rPr>
          <w:color w:val="0000FF"/>
        </w:rPr>
        <w:tab/>
        <w:t>any product prices that were negotiated individually with a CDR consumer;</w:t>
      </w:r>
    </w:p>
    <w:p w14:paraId="1801A457" w14:textId="77777777" w:rsidR="00AC01D9" w:rsidRPr="00E45D4B" w:rsidRDefault="00AC01D9" w:rsidP="00AC01D9">
      <w:pPr>
        <w:pStyle w:val="notepara"/>
        <w:rPr>
          <w:color w:val="0000FF"/>
        </w:rPr>
      </w:pPr>
      <w:r w:rsidRPr="00E45D4B">
        <w:rPr>
          <w:color w:val="0000FF"/>
        </w:rPr>
        <w:sym w:font="Symbol" w:char="F0B7"/>
      </w:r>
      <w:r w:rsidRPr="00E45D4B">
        <w:rPr>
          <w:color w:val="0000FF"/>
        </w:rPr>
        <w:tab/>
        <w:t>any features and benefits negotiated individually with a CDR consumer.</w:t>
      </w:r>
    </w:p>
    <w:p w14:paraId="120A5DAC" w14:textId="77777777" w:rsidR="00BB7660" w:rsidRPr="00E45D4B" w:rsidRDefault="00BB7660" w:rsidP="00BB7660">
      <w:pPr>
        <w:pStyle w:val="notetext"/>
        <w:rPr>
          <w:color w:val="0000FF"/>
        </w:rPr>
      </w:pPr>
      <w:r w:rsidRPr="00E45D4B">
        <w:rPr>
          <w:color w:val="0000FF"/>
        </w:rPr>
        <w:t xml:space="preserve">Note </w:t>
      </w:r>
      <w:r w:rsidR="00AC01D9" w:rsidRPr="00E45D4B">
        <w:rPr>
          <w:color w:val="0000FF"/>
        </w:rPr>
        <w:t>2</w:t>
      </w:r>
      <w:r w:rsidRPr="00E45D4B">
        <w:rPr>
          <w:color w:val="0000FF"/>
        </w:rPr>
        <w:t>:</w:t>
      </w:r>
      <w:r w:rsidRPr="00E45D4B">
        <w:rPr>
          <w:color w:val="0000FF"/>
        </w:rPr>
        <w:tab/>
        <w:t>So long as the CDR consumer is eligible to make a consumer data request in relation to a particular data holder, they will be able to make</w:t>
      </w:r>
      <w:r w:rsidR="00FA7998" w:rsidRPr="00E45D4B">
        <w:rPr>
          <w:color w:val="0000FF"/>
        </w:rPr>
        <w:t>,</w:t>
      </w:r>
      <w:r w:rsidRPr="00E45D4B">
        <w:rPr>
          <w:color w:val="0000FF"/>
        </w:rPr>
        <w:t xml:space="preserve"> or cause to be made</w:t>
      </w:r>
      <w:r w:rsidR="00FA7998" w:rsidRPr="00E45D4B">
        <w:rPr>
          <w:color w:val="0000FF"/>
        </w:rPr>
        <w:t>,</w:t>
      </w:r>
      <w:r w:rsidRPr="00E45D4B">
        <w:rPr>
          <w:color w:val="0000FF"/>
        </w:rPr>
        <w:t xml:space="preserve"> a consumer data request that relates to any account they have with the data holder, including closed accounts (subject to subclauses (5) and (6)).</w:t>
      </w:r>
    </w:p>
    <w:p w14:paraId="32B84E93" w14:textId="77777777" w:rsidR="00BB7660" w:rsidRPr="00E45D4B" w:rsidRDefault="00BB7660" w:rsidP="00BB7660">
      <w:pPr>
        <w:pStyle w:val="notetext"/>
        <w:rPr>
          <w:color w:val="0000FF"/>
        </w:rPr>
      </w:pPr>
      <w:r w:rsidRPr="00E45D4B">
        <w:rPr>
          <w:color w:val="0000FF"/>
        </w:rPr>
        <w:t xml:space="preserve">Note </w:t>
      </w:r>
      <w:r w:rsidR="00AC01D9" w:rsidRPr="00E45D4B">
        <w:rPr>
          <w:color w:val="0000FF"/>
        </w:rPr>
        <w:t>3</w:t>
      </w:r>
      <w:r w:rsidRPr="00E45D4B">
        <w:rPr>
          <w:color w:val="0000FF"/>
        </w:rPr>
        <w:t>:</w:t>
      </w:r>
      <w:r w:rsidRPr="00E45D4B">
        <w:rPr>
          <w:color w:val="0000FF"/>
        </w:rPr>
        <w:tab/>
        <w:t xml:space="preserve">A person is not a data holder of CDR data that was held by or on behalf of </w:t>
      </w:r>
      <w:r w:rsidR="00FA7998" w:rsidRPr="00E45D4B">
        <w:rPr>
          <w:color w:val="0000FF"/>
        </w:rPr>
        <w:t>the person</w:t>
      </w:r>
      <w:r w:rsidRPr="00E45D4B">
        <w:rPr>
          <w:color w:val="0000FF"/>
        </w:rPr>
        <w:t xml:space="preserve"> before the earliest holding day (see paragraph 56AJ(1)(b) of the Act). Accordingly, such data cannot be requested under these rules.</w:t>
      </w:r>
    </w:p>
    <w:p w14:paraId="63AB34FE" w14:textId="77777777" w:rsidR="00BB7660" w:rsidRPr="00F70E93" w:rsidRDefault="00BB7660" w:rsidP="00BB7660">
      <w:pPr>
        <w:pStyle w:val="subsection"/>
        <w:rPr>
          <w:color w:val="0000FF"/>
        </w:rPr>
      </w:pPr>
      <w:r w:rsidRPr="00F70E93">
        <w:rPr>
          <w:color w:val="0000FF"/>
        </w:rPr>
        <w:tab/>
      </w:r>
      <w:r w:rsidR="00195095">
        <w:rPr>
          <w:color w:val="0000FF"/>
        </w:rPr>
        <w:t>(3)</w:t>
      </w:r>
      <w:r w:rsidRPr="00F70E93">
        <w:rPr>
          <w:color w:val="0000FF"/>
        </w:rPr>
        <w:tab/>
        <w:t xml:space="preserve">For these rules, subject to this clause, </w:t>
      </w:r>
      <w:r w:rsidRPr="00F70E93">
        <w:rPr>
          <w:b/>
          <w:i/>
          <w:iCs/>
          <w:color w:val="0000FF"/>
        </w:rPr>
        <w:t>voluntary consumer da</w:t>
      </w:r>
      <w:r w:rsidRPr="00FF4398">
        <w:rPr>
          <w:b/>
          <w:i/>
          <w:iCs/>
          <w:color w:val="0000FF"/>
        </w:rPr>
        <w:t>t</w:t>
      </w:r>
      <w:r w:rsidRPr="00FF4398">
        <w:rPr>
          <w:b/>
          <w:i/>
          <w:color w:val="0000FF"/>
        </w:rPr>
        <w:t>a</w:t>
      </w:r>
      <w:r w:rsidRPr="00F70E93">
        <w:rPr>
          <w:color w:val="0000FF"/>
        </w:rPr>
        <w:t>,</w:t>
      </w:r>
      <w:r w:rsidRPr="00F70E93">
        <w:rPr>
          <w:b/>
          <w:color w:val="0000FF"/>
        </w:rPr>
        <w:t xml:space="preserve"> </w:t>
      </w:r>
      <w:r w:rsidRPr="00F70E93">
        <w:rPr>
          <w:color w:val="0000FF"/>
        </w:rPr>
        <w:t xml:space="preserve">in relation to the </w:t>
      </w:r>
      <w:r w:rsidR="00F80B17" w:rsidRPr="00F80008">
        <w:rPr>
          <w:color w:val="0000FF"/>
        </w:rPr>
        <w:t>telecommunications</w:t>
      </w:r>
      <w:r w:rsidRPr="00F70E93">
        <w:rPr>
          <w:color w:val="0000FF"/>
        </w:rPr>
        <w:t xml:space="preserve"> sector, means CDR data for which there are one or more CDR consumers that:</w:t>
      </w:r>
    </w:p>
    <w:p w14:paraId="3A1CDB13" w14:textId="77777777" w:rsidR="00BB7660" w:rsidRPr="00F70E93" w:rsidRDefault="00BB7660" w:rsidP="00BB7660">
      <w:pPr>
        <w:pStyle w:val="paragraph"/>
        <w:rPr>
          <w:color w:val="0000FF"/>
        </w:rPr>
      </w:pPr>
      <w:r w:rsidRPr="00F70E93">
        <w:rPr>
          <w:color w:val="0000FF"/>
        </w:rPr>
        <w:tab/>
      </w:r>
      <w:r w:rsidR="00195095">
        <w:rPr>
          <w:color w:val="0000FF"/>
        </w:rPr>
        <w:t>(a)</w:t>
      </w:r>
      <w:r w:rsidRPr="00F70E93">
        <w:rPr>
          <w:color w:val="0000FF"/>
        </w:rPr>
        <w:tab/>
        <w:t>is telecommunications sector data; and</w:t>
      </w:r>
    </w:p>
    <w:p w14:paraId="000D49D6" w14:textId="77777777" w:rsidR="00BB7660" w:rsidRPr="00F70E93" w:rsidRDefault="00BB7660" w:rsidP="00BB7660">
      <w:pPr>
        <w:pStyle w:val="paragraph"/>
        <w:rPr>
          <w:color w:val="0000FF"/>
        </w:rPr>
      </w:pPr>
      <w:r w:rsidRPr="00F70E93">
        <w:rPr>
          <w:color w:val="0000FF"/>
        </w:rPr>
        <w:tab/>
      </w:r>
      <w:r w:rsidR="00195095">
        <w:rPr>
          <w:color w:val="0000FF"/>
        </w:rPr>
        <w:t>(b)</w:t>
      </w:r>
      <w:r w:rsidRPr="00F70E93">
        <w:rPr>
          <w:color w:val="0000FF"/>
        </w:rPr>
        <w:tab/>
        <w:t>is not required consumer data.</w:t>
      </w:r>
    </w:p>
    <w:p w14:paraId="18D659BB" w14:textId="77777777" w:rsidR="00BB7660" w:rsidRPr="00F70E93" w:rsidRDefault="00BB7660" w:rsidP="00BB7660">
      <w:pPr>
        <w:pStyle w:val="subsection"/>
        <w:rPr>
          <w:color w:val="0000FF"/>
        </w:rPr>
      </w:pPr>
      <w:r w:rsidRPr="00F70E93">
        <w:rPr>
          <w:color w:val="0000FF"/>
        </w:rPr>
        <w:tab/>
      </w:r>
      <w:r w:rsidR="00195095">
        <w:rPr>
          <w:color w:val="0000FF"/>
        </w:rPr>
        <w:t>(4)</w:t>
      </w:r>
      <w:r w:rsidRPr="00F70E93">
        <w:rPr>
          <w:color w:val="0000FF"/>
        </w:rPr>
        <w:tab/>
        <w:t>For this clause:</w:t>
      </w:r>
    </w:p>
    <w:p w14:paraId="723D1D3E" w14:textId="77777777" w:rsidR="00BB7660" w:rsidRPr="00F70E93" w:rsidRDefault="00BB7660" w:rsidP="00BB7660">
      <w:pPr>
        <w:pStyle w:val="paragraph"/>
        <w:rPr>
          <w:color w:val="0000FF"/>
        </w:rPr>
      </w:pPr>
      <w:r w:rsidRPr="00F70E93">
        <w:rPr>
          <w:color w:val="0000FF"/>
        </w:rPr>
        <w:tab/>
      </w:r>
      <w:r w:rsidR="00195095">
        <w:rPr>
          <w:color w:val="0000FF"/>
        </w:rPr>
        <w:t>(a)</w:t>
      </w:r>
      <w:r w:rsidRPr="00F70E93">
        <w:rPr>
          <w:color w:val="0000FF"/>
        </w:rPr>
        <w:tab/>
        <w:t xml:space="preserve">CDR data is neither </w:t>
      </w:r>
      <w:r w:rsidRPr="00F70E93">
        <w:rPr>
          <w:b/>
          <w:i/>
          <w:color w:val="0000FF"/>
        </w:rPr>
        <w:t xml:space="preserve">required consumer data </w:t>
      </w:r>
      <w:r w:rsidRPr="00F70E93">
        <w:rPr>
          <w:color w:val="0000FF"/>
        </w:rPr>
        <w:t xml:space="preserve">nor </w:t>
      </w:r>
      <w:r w:rsidRPr="00F70E93">
        <w:rPr>
          <w:b/>
          <w:i/>
          <w:color w:val="0000FF"/>
        </w:rPr>
        <w:t>voluntary consumer data</w:t>
      </w:r>
      <w:r w:rsidRPr="00F70E93">
        <w:rPr>
          <w:color w:val="0000FF"/>
        </w:rPr>
        <w:t xml:space="preserve"> at a particular time if the data is:</w:t>
      </w:r>
    </w:p>
    <w:p w14:paraId="2D97D7DE" w14:textId="77777777" w:rsidR="00BB7660" w:rsidRPr="00351126" w:rsidRDefault="00BB7660" w:rsidP="00AC01D9">
      <w:pPr>
        <w:pStyle w:val="paragraphsub"/>
        <w:rPr>
          <w:color w:val="0000FF"/>
        </w:rPr>
      </w:pPr>
      <w:r w:rsidRPr="00F70E93">
        <w:rPr>
          <w:color w:val="0000FF"/>
        </w:rPr>
        <w:tab/>
      </w:r>
      <w:r w:rsidR="00195095">
        <w:rPr>
          <w:color w:val="0000FF"/>
        </w:rPr>
        <w:t>(i)</w:t>
      </w:r>
      <w:r w:rsidRPr="00F70E93">
        <w:rPr>
          <w:color w:val="0000FF"/>
        </w:rPr>
        <w:tab/>
        <w:t xml:space="preserve">account data </w:t>
      </w:r>
      <w:r w:rsidRPr="00351126">
        <w:rPr>
          <w:color w:val="0000FF"/>
        </w:rPr>
        <w:t xml:space="preserve">or billing data in relation to an account that is not </w:t>
      </w:r>
      <w:r w:rsidR="00AC01D9" w:rsidRPr="00351126">
        <w:rPr>
          <w:color w:val="0000FF"/>
        </w:rPr>
        <w:t xml:space="preserve">a relevant account; or </w:t>
      </w:r>
    </w:p>
    <w:p w14:paraId="35412927" w14:textId="77777777" w:rsidR="00BB7660" w:rsidRPr="00351126" w:rsidRDefault="00BB7660" w:rsidP="00BB7660">
      <w:pPr>
        <w:pStyle w:val="paragraphsub"/>
        <w:rPr>
          <w:color w:val="0000FF"/>
        </w:rPr>
      </w:pPr>
      <w:r w:rsidRPr="00351126">
        <w:rPr>
          <w:color w:val="0000FF"/>
        </w:rPr>
        <w:tab/>
      </w:r>
      <w:r w:rsidR="00195095">
        <w:rPr>
          <w:color w:val="0000FF"/>
        </w:rPr>
        <w:t>(ii)</w:t>
      </w:r>
      <w:r w:rsidRPr="00351126">
        <w:rPr>
          <w:color w:val="0000FF"/>
        </w:rPr>
        <w:tab/>
        <w:t>account data or billing data in relation to a joint account or partnership account for which any of the individuals who are</w:t>
      </w:r>
      <w:r w:rsidRPr="00351126">
        <w:rPr>
          <w:color w:val="0000FF"/>
          <w:u w:val="words"/>
        </w:rPr>
        <w:t xml:space="preserve"> </w:t>
      </w:r>
      <w:r w:rsidRPr="00351126">
        <w:rPr>
          <w:color w:val="0000FF"/>
        </w:rPr>
        <w:t xml:space="preserve">account holders is less than 18 years of age at that time; and </w:t>
      </w:r>
    </w:p>
    <w:p w14:paraId="1FD49E47" w14:textId="77777777" w:rsidR="00BB7660" w:rsidRPr="00BD47C6" w:rsidRDefault="00BB7660" w:rsidP="00BB7660">
      <w:pPr>
        <w:pStyle w:val="paragraph"/>
        <w:rPr>
          <w:color w:val="0000FF"/>
        </w:rPr>
      </w:pPr>
      <w:r w:rsidRPr="00351126">
        <w:rPr>
          <w:color w:val="0000FF"/>
        </w:rPr>
        <w:tab/>
      </w:r>
      <w:r w:rsidR="00195095">
        <w:rPr>
          <w:color w:val="0000FF"/>
        </w:rPr>
        <w:t>(b)</w:t>
      </w:r>
      <w:r w:rsidRPr="00351126">
        <w:rPr>
          <w:color w:val="0000FF"/>
        </w:rPr>
        <w:tab/>
        <w:t xml:space="preserve">CDR data is neither </w:t>
      </w:r>
      <w:r w:rsidRPr="00351126">
        <w:rPr>
          <w:b/>
          <w:i/>
          <w:color w:val="0000FF"/>
        </w:rPr>
        <w:t>required consumer data</w:t>
      </w:r>
      <w:r w:rsidRPr="00351126">
        <w:rPr>
          <w:color w:val="0000FF"/>
        </w:rPr>
        <w:t xml:space="preserve"> nor </w:t>
      </w:r>
      <w:r w:rsidRPr="00351126">
        <w:rPr>
          <w:b/>
          <w:i/>
          <w:color w:val="0000FF"/>
        </w:rPr>
        <w:t>voluntary consumer data</w:t>
      </w:r>
      <w:r w:rsidRPr="00351126">
        <w:rPr>
          <w:color w:val="0000FF"/>
        </w:rPr>
        <w:t xml:space="preserve"> </w:t>
      </w:r>
      <w:r w:rsidRPr="00BD47C6">
        <w:rPr>
          <w:color w:val="0000FF"/>
        </w:rPr>
        <w:t xml:space="preserve">if it is metadata </w:t>
      </w:r>
      <w:r w:rsidR="00351126" w:rsidRPr="00BD47C6">
        <w:rPr>
          <w:color w:val="0000FF"/>
        </w:rPr>
        <w:t xml:space="preserve">in relation </w:t>
      </w:r>
      <w:r w:rsidRPr="00BD47C6">
        <w:rPr>
          <w:color w:val="0000FF"/>
        </w:rPr>
        <w:t>to communications.</w:t>
      </w:r>
    </w:p>
    <w:p w14:paraId="3AC8CCDB" w14:textId="77777777" w:rsidR="00BB7660" w:rsidRPr="00BD47C6" w:rsidRDefault="00BB7660" w:rsidP="00BB7660">
      <w:pPr>
        <w:pStyle w:val="SubsectionHead"/>
        <w:rPr>
          <w:color w:val="0000FF"/>
        </w:rPr>
      </w:pPr>
      <w:r w:rsidRPr="00BD47C6">
        <w:rPr>
          <w:color w:val="0000FF"/>
        </w:rPr>
        <w:lastRenderedPageBreak/>
        <w:t xml:space="preserve">Exception to </w:t>
      </w:r>
      <w:r w:rsidRPr="00BD47C6">
        <w:rPr>
          <w:b/>
          <w:color w:val="0000FF"/>
        </w:rPr>
        <w:t>required consumer data</w:t>
      </w:r>
      <w:r w:rsidRPr="00BD47C6">
        <w:rPr>
          <w:color w:val="0000FF"/>
        </w:rPr>
        <w:t>―closed accounts</w:t>
      </w:r>
    </w:p>
    <w:p w14:paraId="4467B6D7" w14:textId="77777777" w:rsidR="000E003F" w:rsidRPr="00BD47C6" w:rsidRDefault="00BB7660" w:rsidP="00BB7660">
      <w:pPr>
        <w:pStyle w:val="subsection"/>
        <w:rPr>
          <w:color w:val="0000FF"/>
        </w:rPr>
      </w:pPr>
      <w:r w:rsidRPr="00BD47C6">
        <w:rPr>
          <w:color w:val="0000FF"/>
        </w:rPr>
        <w:tab/>
      </w:r>
      <w:r w:rsidR="00195095">
        <w:rPr>
          <w:color w:val="0000FF"/>
        </w:rPr>
        <w:t>(5)</w:t>
      </w:r>
      <w:r w:rsidRPr="00BD47C6">
        <w:rPr>
          <w:color w:val="0000FF"/>
        </w:rPr>
        <w:tab/>
        <w:t xml:space="preserve">Despite subclause (2), CDR data that relates to a closed account is not </w:t>
      </w:r>
      <w:r w:rsidRPr="00BD47C6">
        <w:rPr>
          <w:b/>
          <w:i/>
          <w:color w:val="0000FF"/>
        </w:rPr>
        <w:t>required consumer data</w:t>
      </w:r>
      <w:r w:rsidRPr="00BD47C6">
        <w:rPr>
          <w:color w:val="0000FF"/>
        </w:rPr>
        <w:t xml:space="preserve"> </w:t>
      </w:r>
      <w:r w:rsidR="000E003F" w:rsidRPr="00BD47C6">
        <w:rPr>
          <w:color w:val="0000FF"/>
        </w:rPr>
        <w:t>in relation to the CDR consumer</w:t>
      </w:r>
      <w:r w:rsidR="00351126" w:rsidRPr="00BD47C6">
        <w:rPr>
          <w:color w:val="0000FF"/>
        </w:rPr>
        <w:t xml:space="preserve"> at a particular time</w:t>
      </w:r>
      <w:r w:rsidR="000E003F" w:rsidRPr="00BD47C6">
        <w:rPr>
          <w:color w:val="0000FF"/>
        </w:rPr>
        <w:t xml:space="preserve"> </w:t>
      </w:r>
      <w:r w:rsidRPr="00BD47C6">
        <w:rPr>
          <w:color w:val="0000FF"/>
        </w:rPr>
        <w:t>unless</w:t>
      </w:r>
      <w:r w:rsidR="000E003F" w:rsidRPr="00BD47C6">
        <w:rPr>
          <w:color w:val="0000FF"/>
        </w:rPr>
        <w:t>:</w:t>
      </w:r>
    </w:p>
    <w:p w14:paraId="59DE224E" w14:textId="77777777" w:rsidR="00BB7660" w:rsidRPr="00BD47C6" w:rsidRDefault="000E003F" w:rsidP="000E003F">
      <w:pPr>
        <w:pStyle w:val="paragraph"/>
        <w:rPr>
          <w:color w:val="0000FF"/>
        </w:rPr>
      </w:pPr>
      <w:r w:rsidRPr="00BD47C6">
        <w:rPr>
          <w:color w:val="0000FF"/>
        </w:rPr>
        <w:tab/>
      </w:r>
      <w:r w:rsidR="00195095">
        <w:rPr>
          <w:color w:val="0000FF"/>
        </w:rPr>
        <w:t>(a)</w:t>
      </w:r>
      <w:r w:rsidRPr="00BD47C6">
        <w:rPr>
          <w:color w:val="0000FF"/>
        </w:rPr>
        <w:tab/>
        <w:t xml:space="preserve">another </w:t>
      </w:r>
      <w:r w:rsidR="00BB7660" w:rsidRPr="00BD47C6">
        <w:rPr>
          <w:color w:val="0000FF"/>
        </w:rPr>
        <w:t xml:space="preserve">relevant account </w:t>
      </w:r>
      <w:r w:rsidRPr="00BD47C6">
        <w:rPr>
          <w:color w:val="0000FF"/>
        </w:rPr>
        <w:t xml:space="preserve">in relation to the consumer </w:t>
      </w:r>
      <w:r w:rsidR="00BB7660" w:rsidRPr="00BD47C6">
        <w:rPr>
          <w:color w:val="0000FF"/>
        </w:rPr>
        <w:t>is open</w:t>
      </w:r>
      <w:r w:rsidRPr="00BD47C6">
        <w:rPr>
          <w:color w:val="0000FF"/>
        </w:rPr>
        <w:t xml:space="preserve"> with the data holder; and</w:t>
      </w:r>
    </w:p>
    <w:p w14:paraId="39D70020" w14:textId="77777777" w:rsidR="000E003F" w:rsidRPr="00BD47C6" w:rsidRDefault="000E003F" w:rsidP="000E003F">
      <w:pPr>
        <w:pStyle w:val="paragraph"/>
        <w:rPr>
          <w:color w:val="0000FF"/>
        </w:rPr>
      </w:pPr>
      <w:r w:rsidRPr="00BD47C6">
        <w:rPr>
          <w:color w:val="0000FF"/>
        </w:rPr>
        <w:tab/>
      </w:r>
      <w:r w:rsidR="00195095">
        <w:rPr>
          <w:color w:val="0000FF"/>
        </w:rPr>
        <w:t>(b)</w:t>
      </w:r>
      <w:r w:rsidRPr="00BD47C6">
        <w:rPr>
          <w:color w:val="0000FF"/>
        </w:rPr>
        <w:tab/>
        <w:t>the CDR data relates to a transaction or event that occurred no more than 12 months before that time.</w:t>
      </w:r>
    </w:p>
    <w:p w14:paraId="082C93C9" w14:textId="77777777" w:rsidR="00BB7660" w:rsidRPr="005F5224" w:rsidRDefault="00BB7660" w:rsidP="00BB7660">
      <w:pPr>
        <w:pStyle w:val="SubsectionHead"/>
        <w:rPr>
          <w:color w:val="0000FF"/>
        </w:rPr>
      </w:pPr>
      <w:r w:rsidRPr="00BD47C6">
        <w:rPr>
          <w:color w:val="0000FF"/>
        </w:rPr>
        <w:t xml:space="preserve">Exception to </w:t>
      </w:r>
      <w:r w:rsidRPr="00BD47C6">
        <w:rPr>
          <w:b/>
          <w:color w:val="0000FF"/>
        </w:rPr>
        <w:t>required consumer data</w:t>
      </w:r>
      <w:r w:rsidRPr="00BD47C6">
        <w:rPr>
          <w:color w:val="0000FF"/>
        </w:rPr>
        <w:t>―</w:t>
      </w:r>
      <w:r w:rsidRPr="005F5224">
        <w:rPr>
          <w:color w:val="0000FF"/>
        </w:rPr>
        <w:t>all accounts</w:t>
      </w:r>
    </w:p>
    <w:p w14:paraId="312E366D" w14:textId="77777777" w:rsidR="00BB7660" w:rsidRPr="005F5224" w:rsidRDefault="00BB7660" w:rsidP="00BB7660">
      <w:pPr>
        <w:pStyle w:val="subsection"/>
        <w:rPr>
          <w:color w:val="0000FF"/>
        </w:rPr>
      </w:pPr>
      <w:r w:rsidRPr="005F5224">
        <w:rPr>
          <w:color w:val="0000FF"/>
        </w:rPr>
        <w:tab/>
      </w:r>
      <w:r w:rsidR="00195095">
        <w:rPr>
          <w:color w:val="0000FF"/>
        </w:rPr>
        <w:t>(6)</w:t>
      </w:r>
      <w:r w:rsidRPr="005F5224">
        <w:rPr>
          <w:color w:val="0000FF"/>
        </w:rPr>
        <w:tab/>
        <w:t xml:space="preserve">Despite subclause (2), CDR data that relates to a relevant account is not </w:t>
      </w:r>
      <w:r w:rsidRPr="005F5224">
        <w:rPr>
          <w:b/>
          <w:i/>
          <w:color w:val="0000FF"/>
        </w:rPr>
        <w:t>required consumer data</w:t>
      </w:r>
      <w:r w:rsidRPr="005F5224">
        <w:rPr>
          <w:color w:val="0000FF"/>
        </w:rPr>
        <w:t xml:space="preserve"> </w:t>
      </w:r>
      <w:r w:rsidR="000E003F" w:rsidRPr="005F5224">
        <w:rPr>
          <w:color w:val="0000FF"/>
        </w:rPr>
        <w:t xml:space="preserve">in relation to the CDR consumer </w:t>
      </w:r>
      <w:r w:rsidRPr="005F5224">
        <w:rPr>
          <w:color w:val="0000FF"/>
        </w:rPr>
        <w:t xml:space="preserve">if it relates to a transaction or event that occurred more than 12 months before </w:t>
      </w:r>
      <w:r w:rsidR="00BD47C6" w:rsidRPr="005F5224">
        <w:rPr>
          <w:color w:val="0000FF"/>
        </w:rPr>
        <w:t>the</w:t>
      </w:r>
      <w:r w:rsidRPr="005F5224">
        <w:rPr>
          <w:color w:val="0000FF"/>
        </w:rPr>
        <w:t xml:space="preserve"> time</w:t>
      </w:r>
      <w:r w:rsidR="00BD47C6" w:rsidRPr="005F5224">
        <w:rPr>
          <w:color w:val="0000FF"/>
        </w:rPr>
        <w:t xml:space="preserve"> the relevant consumer data request is made</w:t>
      </w:r>
      <w:r w:rsidRPr="005F5224">
        <w:rPr>
          <w:color w:val="0000FF"/>
        </w:rPr>
        <w:t>.</w:t>
      </w:r>
    </w:p>
    <w:p w14:paraId="54EAB41C" w14:textId="77777777" w:rsidR="00BB7660" w:rsidRPr="00F70E93" w:rsidRDefault="00195095" w:rsidP="00BB7660">
      <w:pPr>
        <w:pStyle w:val="ActHead2"/>
        <w:rPr>
          <w:color w:val="0000FF"/>
        </w:rPr>
      </w:pPr>
      <w:bookmarkStart w:id="774" w:name="_Toc111132346"/>
      <w:r>
        <w:rPr>
          <w:color w:val="0000FF"/>
        </w:rPr>
        <w:t>Part 4</w:t>
      </w:r>
      <w:r w:rsidR="00BB7660" w:rsidRPr="005F5224">
        <w:rPr>
          <w:color w:val="0000FF"/>
        </w:rPr>
        <w:t>—Dispute resolution―telecommunica</w:t>
      </w:r>
      <w:r w:rsidR="00BB7660" w:rsidRPr="00F70E93">
        <w:rPr>
          <w:color w:val="0000FF"/>
        </w:rPr>
        <w:t>tions sector</w:t>
      </w:r>
      <w:bookmarkEnd w:id="774"/>
    </w:p>
    <w:p w14:paraId="4B0C7F12" w14:textId="77777777" w:rsidR="00BB7660" w:rsidRPr="00F70E93" w:rsidRDefault="00BB7660" w:rsidP="00BB7660">
      <w:pPr>
        <w:pStyle w:val="notemargin"/>
        <w:rPr>
          <w:i/>
          <w:iCs/>
          <w:color w:val="0000FF"/>
        </w:rPr>
      </w:pPr>
      <w:r w:rsidRPr="00F70E93">
        <w:rPr>
          <w:color w:val="0000FF"/>
        </w:rPr>
        <w:t>Note:</w:t>
      </w:r>
      <w:r w:rsidRPr="00F70E93">
        <w:rPr>
          <w:i/>
          <w:iCs/>
          <w:color w:val="0000FF"/>
        </w:rPr>
        <w:tab/>
      </w:r>
      <w:r w:rsidRPr="00F70E93">
        <w:rPr>
          <w:color w:val="0000FF"/>
        </w:rPr>
        <w:t>See the definition of “meets the internal dispute resolution requirements” in subrule 1.7(1), paragraph 5.12(b) of these rules, and rule 6.1.</w:t>
      </w:r>
    </w:p>
    <w:p w14:paraId="3973BAC5" w14:textId="77777777" w:rsidR="00BB7660" w:rsidRPr="00F70E93" w:rsidRDefault="00195095" w:rsidP="00BB7660">
      <w:pPr>
        <w:pStyle w:val="ActHead5"/>
        <w:rPr>
          <w:color w:val="0000FF"/>
        </w:rPr>
      </w:pPr>
      <w:bookmarkStart w:id="775" w:name="_Toc111132347"/>
      <w:r>
        <w:rPr>
          <w:color w:val="0000FF"/>
        </w:rPr>
        <w:t>4.1</w:t>
      </w:r>
      <w:r w:rsidR="00BB7660" w:rsidRPr="00F70E93">
        <w:rPr>
          <w:color w:val="0000FF"/>
        </w:rPr>
        <w:t xml:space="preserve">  Meeting internal dispute resolution requirements—telecommunications sector</w:t>
      </w:r>
      <w:bookmarkEnd w:id="775"/>
    </w:p>
    <w:p w14:paraId="27D0DA41" w14:textId="77777777" w:rsidR="00BB7660" w:rsidRPr="00F70E93" w:rsidRDefault="00BB7660" w:rsidP="00BB7660">
      <w:pPr>
        <w:pStyle w:val="SubsectionHead"/>
        <w:rPr>
          <w:color w:val="0000FF"/>
        </w:rPr>
      </w:pPr>
      <w:r w:rsidRPr="00F70E93">
        <w:rPr>
          <w:color w:val="0000FF"/>
        </w:rPr>
        <w:t>Accredited persons</w:t>
      </w:r>
    </w:p>
    <w:p w14:paraId="1251BC6B" w14:textId="77777777" w:rsidR="00BB7660" w:rsidRPr="00F70E93" w:rsidRDefault="00BB7660" w:rsidP="00BB7660">
      <w:pPr>
        <w:pStyle w:val="subsection"/>
        <w:rPr>
          <w:color w:val="0000FF"/>
        </w:rPr>
      </w:pPr>
      <w:r w:rsidRPr="00F70E93">
        <w:rPr>
          <w:color w:val="0000FF"/>
        </w:rPr>
        <w:tab/>
        <w:t>(1)</w:t>
      </w:r>
      <w:r w:rsidRPr="00F70E93">
        <w:rPr>
          <w:color w:val="0000FF"/>
        </w:rPr>
        <w:tab/>
        <w:t xml:space="preserve">For the </w:t>
      </w:r>
      <w:r w:rsidR="00F80B17" w:rsidRPr="00F80008">
        <w:rPr>
          <w:color w:val="0000FF"/>
        </w:rPr>
        <w:t>telecommunications</w:t>
      </w:r>
      <w:r w:rsidRPr="00F70E93">
        <w:rPr>
          <w:color w:val="0000FF"/>
        </w:rPr>
        <w:t xml:space="preserve"> sector, an accredited person, other than an accredited person that is also </w:t>
      </w:r>
      <w:r w:rsidRPr="005F7B89">
        <w:rPr>
          <w:color w:val="0000FF"/>
        </w:rPr>
        <w:t>a carriage service provider,</w:t>
      </w:r>
      <w:r w:rsidRPr="00F70E93">
        <w:rPr>
          <w:color w:val="0000FF"/>
        </w:rPr>
        <w:t xml:space="preserve"> </w:t>
      </w:r>
      <w:r w:rsidRPr="00F70E93">
        <w:rPr>
          <w:b/>
          <w:i/>
          <w:iCs/>
          <w:color w:val="0000FF"/>
        </w:rPr>
        <w:t>meets the internal dispute resolution requirements</w:t>
      </w:r>
      <w:r w:rsidRPr="00F70E93">
        <w:rPr>
          <w:color w:val="0000FF"/>
        </w:rPr>
        <w:t xml:space="preserve"> if its internal dispute resolution processes comply with provisions of Regulatory Guide 271 that deal with the following:</w:t>
      </w:r>
    </w:p>
    <w:p w14:paraId="64B60F50" w14:textId="77777777" w:rsidR="00BB7660" w:rsidRPr="00F70E93" w:rsidRDefault="00BB7660" w:rsidP="00BB7660">
      <w:pPr>
        <w:pStyle w:val="paragraph"/>
        <w:rPr>
          <w:color w:val="0000FF"/>
        </w:rPr>
      </w:pPr>
      <w:r w:rsidRPr="00F70E93">
        <w:rPr>
          <w:color w:val="0000FF"/>
        </w:rPr>
        <w:tab/>
        <w:t>(a)</w:t>
      </w:r>
      <w:r w:rsidRPr="00F70E93">
        <w:rPr>
          <w:color w:val="0000FF"/>
        </w:rPr>
        <w:tab/>
        <w:t>standards that its internal dispute resolution procedures or processes must meet regarding the following:</w:t>
      </w:r>
    </w:p>
    <w:p w14:paraId="377663FA" w14:textId="77777777" w:rsidR="00BB7660" w:rsidRPr="00F70E93" w:rsidRDefault="00BB7660" w:rsidP="00BB7660">
      <w:pPr>
        <w:pStyle w:val="paragraphsub"/>
        <w:rPr>
          <w:color w:val="0000FF"/>
        </w:rPr>
      </w:pPr>
      <w:r w:rsidRPr="00F70E93">
        <w:rPr>
          <w:color w:val="0000FF"/>
        </w:rPr>
        <w:tab/>
        <w:t>(i)</w:t>
      </w:r>
      <w:r w:rsidRPr="00F70E93">
        <w:rPr>
          <w:color w:val="0000FF"/>
        </w:rPr>
        <w:tab/>
        <w:t xml:space="preserve">commitment and culture; </w:t>
      </w:r>
    </w:p>
    <w:p w14:paraId="53E64795" w14:textId="77777777" w:rsidR="00BB7660" w:rsidRPr="00F70E93" w:rsidRDefault="00BB7660" w:rsidP="00BB7660">
      <w:pPr>
        <w:pStyle w:val="paragraphsub"/>
        <w:rPr>
          <w:color w:val="0000FF"/>
        </w:rPr>
      </w:pPr>
      <w:r w:rsidRPr="00F70E93">
        <w:rPr>
          <w:color w:val="0000FF"/>
        </w:rPr>
        <w:tab/>
        <w:t>(ii)</w:t>
      </w:r>
      <w:r w:rsidRPr="00F70E93">
        <w:rPr>
          <w:color w:val="0000FF"/>
        </w:rPr>
        <w:tab/>
        <w:t>the enabling of complaints;</w:t>
      </w:r>
    </w:p>
    <w:p w14:paraId="44551032" w14:textId="77777777" w:rsidR="00BB7660" w:rsidRPr="00F70E93" w:rsidRDefault="00BB7660" w:rsidP="00BB7660">
      <w:pPr>
        <w:pStyle w:val="paragraphsub"/>
        <w:rPr>
          <w:color w:val="0000FF"/>
        </w:rPr>
      </w:pPr>
      <w:r w:rsidRPr="00F70E93">
        <w:rPr>
          <w:color w:val="0000FF"/>
        </w:rPr>
        <w:tab/>
        <w:t>(iii)</w:t>
      </w:r>
      <w:r w:rsidRPr="00F70E93">
        <w:rPr>
          <w:color w:val="0000FF"/>
        </w:rPr>
        <w:tab/>
        <w:t>resourcing;</w:t>
      </w:r>
    </w:p>
    <w:p w14:paraId="0E5B2BAE" w14:textId="77777777" w:rsidR="00BB7660" w:rsidRPr="00F70E93" w:rsidRDefault="00BB7660" w:rsidP="00BB7660">
      <w:pPr>
        <w:pStyle w:val="paragraphsub"/>
        <w:rPr>
          <w:color w:val="0000FF"/>
        </w:rPr>
      </w:pPr>
      <w:r w:rsidRPr="00F70E93">
        <w:rPr>
          <w:color w:val="0000FF"/>
        </w:rPr>
        <w:tab/>
        <w:t>(iv)</w:t>
      </w:r>
      <w:r w:rsidRPr="00F70E93">
        <w:rPr>
          <w:color w:val="0000FF"/>
        </w:rPr>
        <w:tab/>
        <w:t>responsiveness;</w:t>
      </w:r>
    </w:p>
    <w:p w14:paraId="5AA759B2" w14:textId="77777777" w:rsidR="00BB7660" w:rsidRPr="00F70E93" w:rsidRDefault="00BB7660" w:rsidP="00BB7660">
      <w:pPr>
        <w:pStyle w:val="paragraphsub"/>
        <w:rPr>
          <w:color w:val="0000FF"/>
        </w:rPr>
      </w:pPr>
      <w:r w:rsidRPr="00F70E93">
        <w:rPr>
          <w:color w:val="0000FF"/>
        </w:rPr>
        <w:tab/>
        <w:t>(v)</w:t>
      </w:r>
      <w:r w:rsidRPr="00F70E93">
        <w:rPr>
          <w:color w:val="0000FF"/>
        </w:rPr>
        <w:tab/>
        <w:t>objectivity and fairness;</w:t>
      </w:r>
    </w:p>
    <w:p w14:paraId="6128F74D" w14:textId="77777777" w:rsidR="00BB7660" w:rsidRPr="00F70E93" w:rsidRDefault="00BB7660" w:rsidP="00BB7660">
      <w:pPr>
        <w:pStyle w:val="paragraphsub"/>
        <w:rPr>
          <w:color w:val="0000FF"/>
        </w:rPr>
      </w:pPr>
      <w:r w:rsidRPr="00F70E93">
        <w:rPr>
          <w:color w:val="0000FF"/>
        </w:rPr>
        <w:tab/>
        <w:t>(vi)</w:t>
      </w:r>
      <w:r w:rsidRPr="00F70E93">
        <w:rPr>
          <w:color w:val="0000FF"/>
        </w:rPr>
        <w:tab/>
        <w:t>policy and procedures;</w:t>
      </w:r>
    </w:p>
    <w:p w14:paraId="7BA4258D" w14:textId="77777777" w:rsidR="00BB7660" w:rsidRPr="00F70E93" w:rsidRDefault="00BB7660" w:rsidP="00BB7660">
      <w:pPr>
        <w:pStyle w:val="paragraphsub"/>
        <w:rPr>
          <w:color w:val="0000FF"/>
        </w:rPr>
      </w:pPr>
      <w:r w:rsidRPr="00F70E93">
        <w:rPr>
          <w:color w:val="0000FF"/>
        </w:rPr>
        <w:tab/>
        <w:t>(vii)</w:t>
      </w:r>
      <w:r w:rsidRPr="00F70E93">
        <w:rPr>
          <w:color w:val="0000FF"/>
        </w:rPr>
        <w:tab/>
        <w:t>data collection, analysis and internal reporting;</w:t>
      </w:r>
    </w:p>
    <w:p w14:paraId="63419798" w14:textId="77777777" w:rsidR="00BB7660" w:rsidRPr="00F70E93" w:rsidRDefault="00BB7660" w:rsidP="00BB7660">
      <w:pPr>
        <w:pStyle w:val="paragraphsub"/>
        <w:rPr>
          <w:color w:val="0000FF"/>
        </w:rPr>
      </w:pPr>
      <w:r w:rsidRPr="00F70E93">
        <w:rPr>
          <w:color w:val="0000FF"/>
        </w:rPr>
        <w:tab/>
        <w:t>(viii)</w:t>
      </w:r>
      <w:r w:rsidRPr="00F70E93">
        <w:rPr>
          <w:color w:val="0000FF"/>
        </w:rPr>
        <w:tab/>
        <w:t>continuous improvement;</w:t>
      </w:r>
    </w:p>
    <w:p w14:paraId="66618858" w14:textId="77777777" w:rsidR="00BB7660" w:rsidRPr="00F70E93" w:rsidRDefault="00BB7660" w:rsidP="00BB7660">
      <w:pPr>
        <w:pStyle w:val="paragraph"/>
        <w:rPr>
          <w:color w:val="0000FF"/>
        </w:rPr>
      </w:pPr>
      <w:r w:rsidRPr="00F70E93">
        <w:rPr>
          <w:color w:val="0000FF"/>
        </w:rPr>
        <w:tab/>
        <w:t>(b)</w:t>
      </w:r>
      <w:r w:rsidRPr="00F70E93">
        <w:rPr>
          <w:color w:val="0000FF"/>
        </w:rPr>
        <w:tab/>
        <w:t>outsourcing internal dispute resolution processes;</w:t>
      </w:r>
    </w:p>
    <w:p w14:paraId="46B887E9" w14:textId="77777777" w:rsidR="00BB7660" w:rsidRPr="00F70E93" w:rsidRDefault="00BB7660" w:rsidP="00BB7660">
      <w:pPr>
        <w:pStyle w:val="paragraph"/>
        <w:rPr>
          <w:color w:val="0000FF"/>
          <w:sz w:val="20"/>
        </w:rPr>
      </w:pPr>
      <w:r w:rsidRPr="00F70E93">
        <w:rPr>
          <w:color w:val="0000FF"/>
        </w:rPr>
        <w:tab/>
        <w:t>(c)</w:t>
      </w:r>
      <w:r w:rsidRPr="00F70E93">
        <w:rPr>
          <w:color w:val="0000FF"/>
        </w:rPr>
        <w:tab/>
        <w:t>acknowledgement of complaint;</w:t>
      </w:r>
    </w:p>
    <w:p w14:paraId="3042DDB9" w14:textId="77777777" w:rsidR="00BB7660" w:rsidRPr="00F70E93" w:rsidRDefault="00BB7660" w:rsidP="00BB7660">
      <w:pPr>
        <w:pStyle w:val="paragraph"/>
        <w:rPr>
          <w:color w:val="0000FF"/>
        </w:rPr>
      </w:pPr>
      <w:r w:rsidRPr="00F70E93">
        <w:rPr>
          <w:color w:val="0000FF"/>
        </w:rPr>
        <w:tab/>
        <w:t>(d)</w:t>
      </w:r>
      <w:r w:rsidRPr="00F70E93">
        <w:rPr>
          <w:color w:val="0000FF"/>
        </w:rPr>
        <w:tab/>
        <w:t>what an internal dispute resolution response must contain;</w:t>
      </w:r>
    </w:p>
    <w:p w14:paraId="1040C126" w14:textId="77777777" w:rsidR="00BB7660" w:rsidRPr="00F70E93" w:rsidRDefault="00BB7660" w:rsidP="00BB7660">
      <w:pPr>
        <w:pStyle w:val="paragraph"/>
        <w:rPr>
          <w:color w:val="0000FF"/>
        </w:rPr>
      </w:pPr>
      <w:r w:rsidRPr="00F70E93">
        <w:rPr>
          <w:color w:val="0000FF"/>
        </w:rPr>
        <w:tab/>
        <w:t>(e)</w:t>
      </w:r>
      <w:r w:rsidRPr="00F70E93">
        <w:rPr>
          <w:color w:val="0000FF"/>
        </w:rPr>
        <w:tab/>
        <w:t>maximum timeframes for an internal dispute resolution response;</w:t>
      </w:r>
    </w:p>
    <w:p w14:paraId="1F3E9876" w14:textId="77777777" w:rsidR="00BB7660" w:rsidRPr="00F70E93" w:rsidRDefault="00BB7660" w:rsidP="00BB7660">
      <w:pPr>
        <w:pStyle w:val="paragraph"/>
        <w:rPr>
          <w:color w:val="0000FF"/>
        </w:rPr>
      </w:pPr>
      <w:r w:rsidRPr="00F70E93">
        <w:rPr>
          <w:color w:val="0000FF"/>
        </w:rPr>
        <w:tab/>
        <w:t>(f)</w:t>
      </w:r>
      <w:r w:rsidRPr="00F70E93">
        <w:rPr>
          <w:color w:val="0000FF"/>
        </w:rPr>
        <w:tab/>
        <w:t>internal dispute resolution response requirements for multi-tier internal dispute resolution processes;</w:t>
      </w:r>
    </w:p>
    <w:p w14:paraId="3F6BAF8C" w14:textId="77777777" w:rsidR="00BB7660" w:rsidRPr="00F70E93" w:rsidRDefault="00BB7660" w:rsidP="00BB7660">
      <w:pPr>
        <w:pStyle w:val="paragraph"/>
        <w:rPr>
          <w:color w:val="0000FF"/>
        </w:rPr>
      </w:pPr>
      <w:r w:rsidRPr="00F70E93">
        <w:rPr>
          <w:color w:val="0000FF"/>
        </w:rPr>
        <w:tab/>
        <w:t>(g)</w:t>
      </w:r>
      <w:r w:rsidRPr="00F70E93">
        <w:rPr>
          <w:color w:val="0000FF"/>
        </w:rPr>
        <w:tab/>
        <w:t>the role of customer advocates;</w:t>
      </w:r>
    </w:p>
    <w:p w14:paraId="213A6F0B" w14:textId="77777777" w:rsidR="00BB7660" w:rsidRPr="00F70E93" w:rsidRDefault="00BB7660" w:rsidP="00BB7660">
      <w:pPr>
        <w:pStyle w:val="paragraph"/>
        <w:rPr>
          <w:color w:val="0000FF"/>
        </w:rPr>
      </w:pPr>
      <w:r w:rsidRPr="00F70E93">
        <w:rPr>
          <w:color w:val="0000FF"/>
        </w:rPr>
        <w:lastRenderedPageBreak/>
        <w:tab/>
        <w:t>(h)</w:t>
      </w:r>
      <w:r w:rsidRPr="00F70E93">
        <w:rPr>
          <w:color w:val="0000FF"/>
        </w:rPr>
        <w:tab/>
        <w:t>establishing links between internal dispute resolution processes and external dispute resolution;</w:t>
      </w:r>
    </w:p>
    <w:p w14:paraId="59C2C306" w14:textId="77777777" w:rsidR="00BB7660" w:rsidRPr="00F70E93" w:rsidRDefault="00BB7660" w:rsidP="00BB7660">
      <w:pPr>
        <w:pStyle w:val="paragraph"/>
        <w:rPr>
          <w:color w:val="0000FF"/>
        </w:rPr>
      </w:pPr>
      <w:r w:rsidRPr="00F70E93">
        <w:rPr>
          <w:color w:val="0000FF"/>
        </w:rPr>
        <w:tab/>
        <w:t>(i)</w:t>
      </w:r>
      <w:r w:rsidRPr="00F70E93">
        <w:rPr>
          <w:color w:val="0000FF"/>
        </w:rPr>
        <w:tab/>
        <w:t>systemic issues.</w:t>
      </w:r>
    </w:p>
    <w:p w14:paraId="1FC0A8B4" w14:textId="77777777" w:rsidR="00BB7660" w:rsidRPr="00F70E93" w:rsidRDefault="00BB7660" w:rsidP="00BB7660">
      <w:pPr>
        <w:pStyle w:val="SubsectionHead"/>
        <w:rPr>
          <w:color w:val="0000FF"/>
        </w:rPr>
      </w:pPr>
      <w:r w:rsidRPr="00F70E93">
        <w:rPr>
          <w:color w:val="0000FF"/>
        </w:rPr>
        <w:t>Data holders</w:t>
      </w:r>
    </w:p>
    <w:p w14:paraId="3D14CDF8" w14:textId="77777777" w:rsidR="00BB7660" w:rsidRPr="00F70E93" w:rsidRDefault="00BB7660" w:rsidP="00BB7660">
      <w:pPr>
        <w:pStyle w:val="subsection"/>
        <w:rPr>
          <w:color w:val="0000FF"/>
        </w:rPr>
      </w:pPr>
      <w:r w:rsidRPr="00F70E93">
        <w:rPr>
          <w:color w:val="0000FF"/>
        </w:rPr>
        <w:tab/>
        <w:t>(2)</w:t>
      </w:r>
      <w:r w:rsidRPr="00F70E93">
        <w:rPr>
          <w:color w:val="0000FF"/>
        </w:rPr>
        <w:tab/>
        <w:t xml:space="preserve">For the </w:t>
      </w:r>
      <w:r w:rsidR="00F80B17" w:rsidRPr="00F80008">
        <w:rPr>
          <w:color w:val="0000FF"/>
        </w:rPr>
        <w:t>telecommunications</w:t>
      </w:r>
      <w:r w:rsidRPr="00F70E93">
        <w:rPr>
          <w:color w:val="0000FF"/>
        </w:rPr>
        <w:t xml:space="preserve"> sector, </w:t>
      </w:r>
      <w:r w:rsidRPr="005F7B89">
        <w:rPr>
          <w:color w:val="0000FF"/>
        </w:rPr>
        <w:t>a carriage service provider (including a carriage service provider that is also an accr</w:t>
      </w:r>
      <w:r w:rsidRPr="00F70E93">
        <w:rPr>
          <w:color w:val="0000FF"/>
        </w:rPr>
        <w:t xml:space="preserve">edited person) </w:t>
      </w:r>
      <w:r w:rsidRPr="00F70E93">
        <w:rPr>
          <w:b/>
          <w:i/>
          <w:iCs/>
          <w:color w:val="0000FF"/>
        </w:rPr>
        <w:t>meets the internal dispute resolution requirements</w:t>
      </w:r>
      <w:r w:rsidRPr="00F70E93">
        <w:rPr>
          <w:color w:val="0000FF"/>
        </w:rPr>
        <w:t xml:space="preserve"> if its internal dispute resolution processes satisfy the applicable requirements under the </w:t>
      </w:r>
      <w:r w:rsidRPr="00F70E93">
        <w:rPr>
          <w:i/>
          <w:color w:val="0000FF"/>
        </w:rPr>
        <w:t>Telecommunications (Consumer Complaints Handling) Industry Standard 2018</w:t>
      </w:r>
      <w:r w:rsidRPr="00F70E93">
        <w:rPr>
          <w:color w:val="0000FF"/>
        </w:rPr>
        <w:t>.</w:t>
      </w:r>
    </w:p>
    <w:p w14:paraId="622E6EFF" w14:textId="77777777" w:rsidR="00BB7660" w:rsidRPr="00BD47C6" w:rsidRDefault="00BB7660" w:rsidP="00BB7660">
      <w:pPr>
        <w:pStyle w:val="SubsectionHead"/>
        <w:rPr>
          <w:color w:val="0000FF"/>
        </w:rPr>
      </w:pPr>
      <w:r w:rsidRPr="00BD47C6">
        <w:rPr>
          <w:color w:val="0000FF"/>
        </w:rPr>
        <w:t>Definition</w:t>
      </w:r>
    </w:p>
    <w:p w14:paraId="2A65068D" w14:textId="77777777" w:rsidR="00BB7660" w:rsidRPr="00BD47C6" w:rsidRDefault="00BB7660" w:rsidP="00BB7660">
      <w:pPr>
        <w:pStyle w:val="subsection"/>
        <w:rPr>
          <w:color w:val="0000FF"/>
        </w:rPr>
      </w:pPr>
      <w:r w:rsidRPr="00BD47C6">
        <w:rPr>
          <w:color w:val="0000FF"/>
        </w:rPr>
        <w:tab/>
        <w:t>(</w:t>
      </w:r>
      <w:r w:rsidR="00F67A98" w:rsidRPr="00BD47C6">
        <w:rPr>
          <w:color w:val="0000FF"/>
        </w:rPr>
        <w:t>3</w:t>
      </w:r>
      <w:r w:rsidRPr="00BD47C6">
        <w:rPr>
          <w:color w:val="0000FF"/>
        </w:rPr>
        <w:t>)</w:t>
      </w:r>
      <w:r w:rsidRPr="00BD47C6">
        <w:rPr>
          <w:color w:val="0000FF"/>
        </w:rPr>
        <w:tab/>
        <w:t>In this clause:</w:t>
      </w:r>
    </w:p>
    <w:p w14:paraId="00B927DE" w14:textId="77777777" w:rsidR="00BB7660" w:rsidRPr="00BD47C6" w:rsidRDefault="00BB7660" w:rsidP="00BB7660">
      <w:pPr>
        <w:pStyle w:val="Definition"/>
        <w:rPr>
          <w:color w:val="0000FF"/>
        </w:rPr>
      </w:pPr>
      <w:r w:rsidRPr="00BD47C6">
        <w:rPr>
          <w:b/>
          <w:i/>
          <w:color w:val="0000FF"/>
        </w:rPr>
        <w:t>Regulatory Guide 271</w:t>
      </w:r>
      <w:r w:rsidRPr="00BD47C6">
        <w:rPr>
          <w:rFonts w:eastAsia="Calibri"/>
          <w:b/>
          <w:color w:val="0000FF"/>
        </w:rPr>
        <w:t xml:space="preserve"> </w:t>
      </w:r>
      <w:r w:rsidRPr="00BD47C6">
        <w:rPr>
          <w:rFonts w:eastAsia="Calibri"/>
          <w:color w:val="0000FF"/>
        </w:rPr>
        <w:t xml:space="preserve">means </w:t>
      </w:r>
      <w:r w:rsidRPr="00BD47C6">
        <w:rPr>
          <w:color w:val="0000FF"/>
        </w:rPr>
        <w:t>Regulatory Guide 271</w:t>
      </w:r>
      <w:r w:rsidRPr="00BD47C6">
        <w:rPr>
          <w:rFonts w:eastAsia="Calibri"/>
          <w:color w:val="0000FF"/>
        </w:rPr>
        <w:t xml:space="preserve"> published by the Australian Securities &amp; Investments Commission, as in force from time to time and applied as if</w:t>
      </w:r>
      <w:r w:rsidRPr="00BD47C6">
        <w:rPr>
          <w:color w:val="0000FF"/>
        </w:rPr>
        <w:t>:</w:t>
      </w:r>
    </w:p>
    <w:p w14:paraId="5A3B1E8D" w14:textId="77777777" w:rsidR="00BB7660" w:rsidRPr="00BD47C6" w:rsidRDefault="00BB7660" w:rsidP="00BB7660">
      <w:pPr>
        <w:pStyle w:val="paragraph"/>
        <w:rPr>
          <w:color w:val="0000FF"/>
        </w:rPr>
      </w:pPr>
      <w:r w:rsidRPr="00BD47C6">
        <w:rPr>
          <w:color w:val="0000FF"/>
        </w:rPr>
        <w:tab/>
        <w:t>(a)</w:t>
      </w:r>
      <w:r w:rsidRPr="00BD47C6">
        <w:rPr>
          <w:color w:val="0000FF"/>
        </w:rPr>
        <w:tab/>
        <w:t>references to complaints were references to CDR consumer complaints; and</w:t>
      </w:r>
    </w:p>
    <w:p w14:paraId="290FFC30" w14:textId="77777777" w:rsidR="00BB7660" w:rsidRPr="00BD47C6" w:rsidRDefault="00BB7660" w:rsidP="00BB7660">
      <w:pPr>
        <w:pStyle w:val="paragraph"/>
        <w:rPr>
          <w:color w:val="0000FF"/>
        </w:rPr>
      </w:pPr>
      <w:r w:rsidRPr="00BD47C6">
        <w:rPr>
          <w:color w:val="0000FF"/>
        </w:rPr>
        <w:tab/>
        <w:t>(b)</w:t>
      </w:r>
      <w:r w:rsidRPr="00BD47C6">
        <w:rPr>
          <w:color w:val="0000FF"/>
        </w:rPr>
        <w:tab/>
        <w:t>references to financial firms and financial service providers were references to CDR participants.</w:t>
      </w:r>
    </w:p>
    <w:p w14:paraId="654A9121" w14:textId="77777777" w:rsidR="00BB7660" w:rsidRDefault="00BB7660" w:rsidP="00BB7660">
      <w:pPr>
        <w:pStyle w:val="notetext"/>
        <w:rPr>
          <w:rFonts w:eastAsia="Calibri"/>
          <w:color w:val="0000FF"/>
        </w:rPr>
      </w:pPr>
      <w:r w:rsidRPr="00BD47C6">
        <w:rPr>
          <w:rFonts w:eastAsia="Calibri"/>
          <w:color w:val="0000FF"/>
        </w:rPr>
        <w:t>Note:</w:t>
      </w:r>
      <w:r w:rsidRPr="00BD47C6">
        <w:rPr>
          <w:rFonts w:eastAsia="Calibri"/>
          <w:color w:val="0000FF"/>
        </w:rPr>
        <w:tab/>
      </w:r>
      <w:r w:rsidRPr="00BD47C6">
        <w:rPr>
          <w:color w:val="0000FF"/>
        </w:rPr>
        <w:t>Regulatory Guide 271</w:t>
      </w:r>
      <w:r w:rsidRPr="00BD47C6">
        <w:rPr>
          <w:rFonts w:eastAsia="Calibri"/>
          <w:color w:val="0000FF"/>
        </w:rPr>
        <w:t xml:space="preserve"> could in </w:t>
      </w:r>
      <w:r w:rsidR="00F67A98" w:rsidRPr="00BD47C6">
        <w:rPr>
          <w:rFonts w:eastAsia="Calibri"/>
          <w:color w:val="0000FF"/>
        </w:rPr>
        <w:t>2022</w:t>
      </w:r>
      <w:r w:rsidRPr="00BD47C6">
        <w:rPr>
          <w:rFonts w:eastAsia="Calibri"/>
          <w:color w:val="0000FF"/>
        </w:rPr>
        <w:t xml:space="preserve"> be accessed from the Australian</w:t>
      </w:r>
      <w:r w:rsidRPr="00F70E93">
        <w:rPr>
          <w:rFonts w:eastAsia="Calibri"/>
          <w:color w:val="0000FF"/>
        </w:rPr>
        <w:t xml:space="preserve"> Securities &amp; Investments Commission’s website (https://asic.gov.au).</w:t>
      </w:r>
    </w:p>
    <w:p w14:paraId="78AE9B11" w14:textId="77777777" w:rsidR="00BB7660" w:rsidRPr="00F70E93" w:rsidRDefault="00195095" w:rsidP="00BB7660">
      <w:pPr>
        <w:pStyle w:val="ActHead5"/>
        <w:rPr>
          <w:color w:val="0000FF"/>
        </w:rPr>
      </w:pPr>
      <w:bookmarkStart w:id="776" w:name="_Toc111132348"/>
      <w:r>
        <w:rPr>
          <w:color w:val="0000FF"/>
        </w:rPr>
        <w:t>4.2</w:t>
      </w:r>
      <w:r w:rsidR="00BB7660" w:rsidRPr="00F70E93">
        <w:rPr>
          <w:color w:val="0000FF"/>
        </w:rPr>
        <w:t xml:space="preserve">  External dispute resolution requirements—telecommunications sector</w:t>
      </w:r>
      <w:bookmarkEnd w:id="776"/>
    </w:p>
    <w:p w14:paraId="5D7FD396" w14:textId="77777777" w:rsidR="0088074F" w:rsidRPr="00BD47C6" w:rsidRDefault="00BB7660" w:rsidP="00BB7660">
      <w:pPr>
        <w:pStyle w:val="notemargin"/>
        <w:rPr>
          <w:color w:val="0000FF"/>
        </w:rPr>
      </w:pPr>
      <w:r w:rsidRPr="00BD47C6">
        <w:rPr>
          <w:rFonts w:eastAsia="Calibri"/>
          <w:color w:val="0000FF"/>
        </w:rPr>
        <w:t>Note:</w:t>
      </w:r>
      <w:r w:rsidR="00135EC4" w:rsidRPr="00BD47C6">
        <w:rPr>
          <w:rFonts w:eastAsia="Calibri"/>
          <w:color w:val="0000FF"/>
        </w:rPr>
        <w:tab/>
      </w:r>
      <w:r w:rsidR="0088074F" w:rsidRPr="00BD47C6">
        <w:rPr>
          <w:rFonts w:eastAsia="Calibri"/>
          <w:color w:val="0000FF"/>
        </w:rPr>
        <w:t xml:space="preserve">Schemes </w:t>
      </w:r>
      <w:r w:rsidR="00135EC4" w:rsidRPr="00BD47C6">
        <w:rPr>
          <w:rFonts w:eastAsia="Calibri"/>
          <w:color w:val="0000FF"/>
        </w:rPr>
        <w:t xml:space="preserve">operated by </w:t>
      </w:r>
      <w:r w:rsidR="0088074F" w:rsidRPr="00BD47C6">
        <w:rPr>
          <w:rFonts w:eastAsia="Calibri"/>
          <w:color w:val="0000FF"/>
        </w:rPr>
        <w:t xml:space="preserve">the </w:t>
      </w:r>
      <w:r w:rsidR="00FC5DB3" w:rsidRPr="00BD47C6">
        <w:rPr>
          <w:color w:val="0000FF"/>
        </w:rPr>
        <w:t xml:space="preserve">Australian Financial Complaints Authority and the </w:t>
      </w:r>
      <w:r w:rsidR="0088074F" w:rsidRPr="00BD47C6">
        <w:rPr>
          <w:rFonts w:eastAsia="Calibri"/>
          <w:color w:val="0000FF"/>
        </w:rPr>
        <w:t>T</w:t>
      </w:r>
      <w:r w:rsidR="0088074F" w:rsidRPr="00BD47C6">
        <w:rPr>
          <w:color w:val="0000FF"/>
        </w:rPr>
        <w:t xml:space="preserve">elecommunications Industry Ombudsman are </w:t>
      </w:r>
      <w:r w:rsidR="0088074F" w:rsidRPr="00BD47C6">
        <w:rPr>
          <w:rFonts w:eastAsia="Calibri"/>
          <w:color w:val="0000FF"/>
        </w:rPr>
        <w:t>recognised as external dispute resolution schemes for section 56DA of the Act</w:t>
      </w:r>
      <w:r w:rsidR="00135EC4" w:rsidRPr="00BD47C6">
        <w:rPr>
          <w:rFonts w:eastAsia="Calibri"/>
          <w:color w:val="0000FF"/>
        </w:rPr>
        <w:t>.</w:t>
      </w:r>
    </w:p>
    <w:p w14:paraId="0BE4F770" w14:textId="77777777" w:rsidR="00D159DC" w:rsidRPr="00BD47C6" w:rsidRDefault="00D159DC" w:rsidP="00D159DC">
      <w:pPr>
        <w:pStyle w:val="SubsectionHead"/>
        <w:rPr>
          <w:color w:val="0000FF"/>
        </w:rPr>
      </w:pPr>
      <w:r w:rsidRPr="00BD47C6">
        <w:rPr>
          <w:color w:val="0000FF"/>
        </w:rPr>
        <w:t>Accredited persons</w:t>
      </w:r>
    </w:p>
    <w:p w14:paraId="69F54446" w14:textId="77777777" w:rsidR="00D159DC" w:rsidRPr="00BD47C6" w:rsidRDefault="00D159DC" w:rsidP="00D159DC">
      <w:pPr>
        <w:pStyle w:val="subsection"/>
        <w:rPr>
          <w:color w:val="0000FF"/>
        </w:rPr>
      </w:pPr>
      <w:r w:rsidRPr="00BD47C6">
        <w:rPr>
          <w:color w:val="0000FF"/>
        </w:rPr>
        <w:tab/>
        <w:t>(1)</w:t>
      </w:r>
      <w:r w:rsidRPr="00BD47C6">
        <w:rPr>
          <w:color w:val="0000FF"/>
        </w:rPr>
        <w:tab/>
        <w:t>For the purposes of paragraph 5.12(1)(c) of these rules, and subject to subclause (</w:t>
      </w:r>
      <w:r w:rsidR="00493313">
        <w:rPr>
          <w:color w:val="0000FF"/>
        </w:rPr>
        <w:t>3</w:t>
      </w:r>
      <w:r w:rsidRPr="00BD47C6">
        <w:rPr>
          <w:color w:val="0000FF"/>
        </w:rPr>
        <w:t>), an accredited person must be a member of the Australian Financial Complaints Authority in relation to CDR consumer complaints.</w:t>
      </w:r>
    </w:p>
    <w:p w14:paraId="0149214D" w14:textId="77777777" w:rsidR="00D159DC" w:rsidRPr="00BD47C6" w:rsidRDefault="00D159DC" w:rsidP="00D159DC">
      <w:pPr>
        <w:pStyle w:val="SubsectionHead"/>
        <w:rPr>
          <w:color w:val="0000FF"/>
        </w:rPr>
      </w:pPr>
      <w:r w:rsidRPr="00BD47C6">
        <w:rPr>
          <w:color w:val="0000FF"/>
        </w:rPr>
        <w:t>Data holders</w:t>
      </w:r>
    </w:p>
    <w:p w14:paraId="6D8F41B7" w14:textId="77777777" w:rsidR="00D159DC" w:rsidRPr="00BD47C6" w:rsidRDefault="00D159DC" w:rsidP="00D159DC">
      <w:pPr>
        <w:pStyle w:val="subsection"/>
        <w:rPr>
          <w:color w:val="0000FF"/>
        </w:rPr>
      </w:pPr>
      <w:r w:rsidRPr="00BD47C6">
        <w:rPr>
          <w:color w:val="0000FF"/>
        </w:rPr>
        <w:tab/>
        <w:t>(2)</w:t>
      </w:r>
      <w:r w:rsidRPr="00BD47C6">
        <w:rPr>
          <w:color w:val="0000FF"/>
        </w:rPr>
        <w:tab/>
        <w:t>For the purposes of rule 6.2, a carriage service provider must be a member of the Telecommunications Industry Ombudsman.</w:t>
      </w:r>
    </w:p>
    <w:p w14:paraId="2BD8F2E8" w14:textId="77777777" w:rsidR="00D159DC" w:rsidRPr="00BD47C6" w:rsidRDefault="00D159DC" w:rsidP="00D159DC">
      <w:pPr>
        <w:pStyle w:val="SubsectionHead"/>
        <w:rPr>
          <w:color w:val="0000FF"/>
        </w:rPr>
      </w:pPr>
      <w:r w:rsidRPr="00BD47C6">
        <w:rPr>
          <w:color w:val="0000FF"/>
        </w:rPr>
        <w:t>Certain accredited persons that are also carriage service providers</w:t>
      </w:r>
    </w:p>
    <w:p w14:paraId="3CEB832D" w14:textId="77777777" w:rsidR="00193263" w:rsidRPr="00BD47C6" w:rsidRDefault="00193263" w:rsidP="00193263">
      <w:pPr>
        <w:pStyle w:val="subsection20"/>
        <w:rPr>
          <w:color w:val="0000FF"/>
        </w:rPr>
      </w:pPr>
      <w:bookmarkStart w:id="777" w:name="_Hlk111192533"/>
      <w:r w:rsidRPr="00BD47C6">
        <w:rPr>
          <w:color w:val="0000FF"/>
        </w:rPr>
        <w:tab/>
        <w:t>(3)</w:t>
      </w:r>
      <w:r w:rsidRPr="00BD47C6">
        <w:rPr>
          <w:color w:val="0000FF"/>
        </w:rPr>
        <w:tab/>
        <w:t>A carriage service provider that is, or becomes, an accredited person need not be a member of the Australian Financial Complaints Authority if:</w:t>
      </w:r>
    </w:p>
    <w:p w14:paraId="32142778" w14:textId="77777777" w:rsidR="00193263" w:rsidRPr="00BD47C6" w:rsidRDefault="00193263" w:rsidP="00193263">
      <w:pPr>
        <w:pStyle w:val="paragraph"/>
        <w:rPr>
          <w:color w:val="0000FF"/>
        </w:rPr>
      </w:pPr>
      <w:r w:rsidRPr="00BD47C6">
        <w:rPr>
          <w:color w:val="0000FF"/>
        </w:rPr>
        <w:tab/>
        <w:t>(a)</w:t>
      </w:r>
      <w:r w:rsidRPr="00BD47C6">
        <w:rPr>
          <w:color w:val="0000FF"/>
        </w:rPr>
        <w:tab/>
        <w:t>it uses any telecommunications sector data that it collects only in order to provide goods or services within the telecommunications sector; and</w:t>
      </w:r>
    </w:p>
    <w:p w14:paraId="4A3B036E" w14:textId="77777777" w:rsidR="00193263" w:rsidRPr="00BD47C6" w:rsidRDefault="00193263" w:rsidP="00193263">
      <w:pPr>
        <w:pStyle w:val="paragraph"/>
        <w:rPr>
          <w:color w:val="0000FF"/>
        </w:rPr>
      </w:pPr>
      <w:r w:rsidRPr="00BD47C6">
        <w:rPr>
          <w:color w:val="0000FF"/>
        </w:rPr>
        <w:tab/>
        <w:t>(b)</w:t>
      </w:r>
      <w:r w:rsidRPr="00BD47C6">
        <w:rPr>
          <w:color w:val="0000FF"/>
        </w:rPr>
        <w:tab/>
      </w:r>
      <w:r w:rsidR="008D4386">
        <w:rPr>
          <w:color w:val="0000FF"/>
        </w:rPr>
        <w:t xml:space="preserve">it does not use any non-telecommunications sector data that it collects </w:t>
      </w:r>
      <w:r w:rsidRPr="00BD47C6">
        <w:rPr>
          <w:color w:val="0000FF"/>
        </w:rPr>
        <w:t>in order to provide services outside the telecommunications sector</w:t>
      </w:r>
      <w:r w:rsidR="008D4386">
        <w:rPr>
          <w:color w:val="0000FF"/>
        </w:rPr>
        <w:t>.</w:t>
      </w:r>
    </w:p>
    <w:bookmarkEnd w:id="777"/>
    <w:p w14:paraId="54FF6ED2" w14:textId="77777777" w:rsidR="00D159DC" w:rsidRPr="00BD47C6" w:rsidRDefault="00D159DC" w:rsidP="00D159DC">
      <w:pPr>
        <w:pStyle w:val="notetext"/>
        <w:rPr>
          <w:b/>
          <w:color w:val="0000FF"/>
        </w:rPr>
      </w:pPr>
      <w:r w:rsidRPr="00BD47C6">
        <w:rPr>
          <w:color w:val="0000FF"/>
        </w:rPr>
        <w:lastRenderedPageBreak/>
        <w:t>Note:</w:t>
      </w:r>
      <w:r w:rsidRPr="00BD47C6">
        <w:rPr>
          <w:color w:val="0000FF"/>
        </w:rPr>
        <w:tab/>
        <w:t xml:space="preserve">A </w:t>
      </w:r>
      <w:r w:rsidR="002A36C1" w:rsidRPr="00BD47C6">
        <w:rPr>
          <w:color w:val="0000FF"/>
        </w:rPr>
        <w:t xml:space="preserve">carriage service provider </w:t>
      </w:r>
      <w:r w:rsidRPr="00BD47C6">
        <w:rPr>
          <w:color w:val="0000FF"/>
        </w:rPr>
        <w:t>that</w:t>
      </w:r>
      <w:r w:rsidR="002A36C1" w:rsidRPr="00BD47C6">
        <w:rPr>
          <w:color w:val="0000FF"/>
        </w:rPr>
        <w:t xml:space="preserve"> is, or becomes, an accredited person must otherwise </w:t>
      </w:r>
      <w:r w:rsidRPr="00BD47C6">
        <w:rPr>
          <w:color w:val="0000FF"/>
        </w:rPr>
        <w:t xml:space="preserve">be a member of </w:t>
      </w:r>
      <w:r w:rsidR="00E523BF" w:rsidRPr="00BD47C6">
        <w:rPr>
          <w:color w:val="0000FF"/>
        </w:rPr>
        <w:t>both the Telecommunications</w:t>
      </w:r>
      <w:r w:rsidRPr="00BD47C6">
        <w:rPr>
          <w:color w:val="0000FF"/>
        </w:rPr>
        <w:t xml:space="preserve"> </w:t>
      </w:r>
      <w:r w:rsidR="00E523BF" w:rsidRPr="00BD47C6">
        <w:rPr>
          <w:color w:val="0000FF"/>
        </w:rPr>
        <w:t xml:space="preserve">Industry Ombudsman </w:t>
      </w:r>
      <w:r w:rsidRPr="00BD47C6">
        <w:rPr>
          <w:color w:val="0000FF"/>
        </w:rPr>
        <w:t xml:space="preserve">and the Australian Financial Complaints </w:t>
      </w:r>
      <w:r w:rsidR="00E523BF" w:rsidRPr="00BD47C6">
        <w:rPr>
          <w:color w:val="0000FF"/>
        </w:rPr>
        <w:t>A</w:t>
      </w:r>
      <w:r w:rsidRPr="00BD47C6">
        <w:rPr>
          <w:color w:val="0000FF"/>
        </w:rPr>
        <w:t>uthority.</w:t>
      </w:r>
    </w:p>
    <w:p w14:paraId="664B62A7" w14:textId="77777777" w:rsidR="00BB7660" w:rsidRPr="00F70E93" w:rsidRDefault="00195095" w:rsidP="00BB7660">
      <w:pPr>
        <w:pStyle w:val="ActHead2"/>
        <w:rPr>
          <w:color w:val="0000FF"/>
        </w:rPr>
      </w:pPr>
      <w:bookmarkStart w:id="778" w:name="_Toc111132349"/>
      <w:r>
        <w:rPr>
          <w:color w:val="0000FF"/>
        </w:rPr>
        <w:t>Part 5</w:t>
      </w:r>
      <w:r w:rsidR="00BB7660" w:rsidRPr="00F70E93">
        <w:rPr>
          <w:color w:val="0000FF"/>
        </w:rPr>
        <w:t>—Staged application of these rules to the telecommunications sector</w:t>
      </w:r>
      <w:bookmarkEnd w:id="778"/>
    </w:p>
    <w:p w14:paraId="75147DE0" w14:textId="77777777" w:rsidR="00BB7660" w:rsidRPr="00F70E93" w:rsidRDefault="00195095" w:rsidP="00BB7660">
      <w:pPr>
        <w:pStyle w:val="ActHead5"/>
        <w:rPr>
          <w:color w:val="0000FF"/>
        </w:rPr>
      </w:pPr>
      <w:bookmarkStart w:id="779" w:name="_Toc111132350"/>
      <w:r>
        <w:rPr>
          <w:color w:val="0000FF"/>
        </w:rPr>
        <w:t>5.1</w:t>
      </w:r>
      <w:r w:rsidR="00BB7660" w:rsidRPr="00F70E93">
        <w:rPr>
          <w:color w:val="0000FF"/>
        </w:rPr>
        <w:t xml:space="preserve">  Interpretation</w:t>
      </w:r>
      <w:bookmarkEnd w:id="779"/>
    </w:p>
    <w:p w14:paraId="2E2DF915" w14:textId="77777777" w:rsidR="00BB7660" w:rsidRPr="00F70E93" w:rsidRDefault="00BB7660" w:rsidP="00BB7660">
      <w:pPr>
        <w:pStyle w:val="subsection"/>
        <w:rPr>
          <w:color w:val="0000FF"/>
        </w:rPr>
      </w:pPr>
      <w:r w:rsidRPr="00F70E93">
        <w:rPr>
          <w:color w:val="0000FF"/>
        </w:rPr>
        <w:tab/>
      </w:r>
      <w:r w:rsidRPr="00F70E93">
        <w:rPr>
          <w:color w:val="0000FF"/>
        </w:rPr>
        <w:tab/>
        <w:t>In this Part:</w:t>
      </w:r>
    </w:p>
    <w:p w14:paraId="34B9541A" w14:textId="77777777" w:rsidR="00BB7660" w:rsidRPr="00283877" w:rsidRDefault="00BB7660" w:rsidP="00BB7660">
      <w:pPr>
        <w:pStyle w:val="Definition"/>
        <w:rPr>
          <w:color w:val="0000FF"/>
        </w:rPr>
      </w:pPr>
      <w:r w:rsidRPr="00283877">
        <w:rPr>
          <w:b/>
          <w:i/>
          <w:color w:val="0000FF"/>
        </w:rPr>
        <w:t xml:space="preserve">initial </w:t>
      </w:r>
      <w:r w:rsidR="001352B6" w:rsidRPr="00283877">
        <w:rPr>
          <w:b/>
          <w:i/>
          <w:color w:val="0000FF"/>
        </w:rPr>
        <w:t>CSP</w:t>
      </w:r>
      <w:r w:rsidRPr="00283877">
        <w:rPr>
          <w:color w:val="0000FF"/>
        </w:rPr>
        <w:t xml:space="preserve"> has the meaning given by clause </w:t>
      </w:r>
      <w:r w:rsidR="00195095">
        <w:rPr>
          <w:color w:val="0000FF"/>
        </w:rPr>
        <w:t>5.2</w:t>
      </w:r>
      <w:r w:rsidRPr="00283877">
        <w:rPr>
          <w:color w:val="0000FF"/>
        </w:rPr>
        <w:t>.</w:t>
      </w:r>
    </w:p>
    <w:p w14:paraId="44DC2922" w14:textId="77777777" w:rsidR="00BB7660" w:rsidRPr="00283877" w:rsidRDefault="00283877" w:rsidP="00BB7660">
      <w:pPr>
        <w:pStyle w:val="Definition"/>
        <w:rPr>
          <w:color w:val="0000FF"/>
        </w:rPr>
      </w:pPr>
      <w:r>
        <w:rPr>
          <w:b/>
          <w:i/>
          <w:color w:val="0000FF"/>
        </w:rPr>
        <w:t>large CSP</w:t>
      </w:r>
      <w:r w:rsidR="00BB7660" w:rsidRPr="00283877">
        <w:rPr>
          <w:b/>
          <w:i/>
          <w:color w:val="0000FF"/>
        </w:rPr>
        <w:t xml:space="preserve"> </w:t>
      </w:r>
      <w:r w:rsidR="00BB7660" w:rsidRPr="00283877">
        <w:rPr>
          <w:color w:val="0000FF"/>
        </w:rPr>
        <w:t xml:space="preserve">has the meaning given by clause </w:t>
      </w:r>
      <w:r w:rsidR="00195095">
        <w:rPr>
          <w:color w:val="0000FF"/>
        </w:rPr>
        <w:t>5.3</w:t>
      </w:r>
      <w:r w:rsidR="00BB7660" w:rsidRPr="00283877">
        <w:rPr>
          <w:color w:val="0000FF"/>
        </w:rPr>
        <w:t>.</w:t>
      </w:r>
    </w:p>
    <w:p w14:paraId="4D22E653" w14:textId="77777777" w:rsidR="00BB7660" w:rsidRPr="005F5224" w:rsidRDefault="00BB7660" w:rsidP="00BB7660">
      <w:pPr>
        <w:pStyle w:val="Definition"/>
        <w:rPr>
          <w:color w:val="0000FF"/>
        </w:rPr>
      </w:pPr>
      <w:r w:rsidRPr="00283877">
        <w:rPr>
          <w:b/>
          <w:i/>
          <w:color w:val="0000FF"/>
        </w:rPr>
        <w:t xml:space="preserve">small </w:t>
      </w:r>
      <w:r w:rsidR="001352B6" w:rsidRPr="00283877">
        <w:rPr>
          <w:b/>
          <w:i/>
          <w:color w:val="0000FF"/>
        </w:rPr>
        <w:t>CSP</w:t>
      </w:r>
      <w:r w:rsidR="001352B6" w:rsidRPr="00283877">
        <w:rPr>
          <w:color w:val="0000FF"/>
        </w:rPr>
        <w:t xml:space="preserve"> </w:t>
      </w:r>
      <w:r w:rsidRPr="00283877">
        <w:rPr>
          <w:color w:val="0000FF"/>
        </w:rPr>
        <w:t xml:space="preserve">means a </w:t>
      </w:r>
      <w:r w:rsidR="00FC5208" w:rsidRPr="00283877">
        <w:rPr>
          <w:color w:val="0000FF"/>
        </w:rPr>
        <w:t>carriage service provider</w:t>
      </w:r>
      <w:r w:rsidRPr="00283877">
        <w:rPr>
          <w:color w:val="0000FF"/>
        </w:rPr>
        <w:t xml:space="preserve"> that is not either an initial </w:t>
      </w:r>
      <w:r w:rsidR="00556DC1" w:rsidRPr="00283877">
        <w:rPr>
          <w:color w:val="0000FF"/>
        </w:rPr>
        <w:t>CSP</w:t>
      </w:r>
      <w:r w:rsidRPr="00283877">
        <w:rPr>
          <w:color w:val="0000FF"/>
        </w:rPr>
        <w:t xml:space="preserve"> or a </w:t>
      </w:r>
      <w:r w:rsidR="00283877">
        <w:rPr>
          <w:color w:val="0000FF"/>
        </w:rPr>
        <w:t>large CSP</w:t>
      </w:r>
      <w:r w:rsidRPr="00283877">
        <w:rPr>
          <w:color w:val="0000FF"/>
        </w:rPr>
        <w:t>.</w:t>
      </w:r>
    </w:p>
    <w:p w14:paraId="4EEAEA59" w14:textId="16278A78" w:rsidR="00BB7660" w:rsidRPr="005F5224" w:rsidRDefault="00BB7660" w:rsidP="00BB7660">
      <w:pPr>
        <w:pStyle w:val="Definition"/>
        <w:rPr>
          <w:color w:val="0000FF"/>
        </w:rPr>
      </w:pPr>
      <w:r w:rsidRPr="005F5224">
        <w:rPr>
          <w:b/>
          <w:i/>
          <w:color w:val="0000FF"/>
        </w:rPr>
        <w:t>tranche 1 da</w:t>
      </w:r>
      <w:r w:rsidR="001352B6" w:rsidRPr="005F5224">
        <w:rPr>
          <w:b/>
          <w:i/>
          <w:color w:val="0000FF"/>
        </w:rPr>
        <w:t>te</w:t>
      </w:r>
      <w:r w:rsidRPr="005F5224">
        <w:rPr>
          <w:b/>
          <w:i/>
          <w:color w:val="0000FF"/>
        </w:rPr>
        <w:t xml:space="preserve"> </w:t>
      </w:r>
      <w:r w:rsidRPr="005F5224">
        <w:rPr>
          <w:color w:val="0000FF"/>
        </w:rPr>
        <w:t>means</w:t>
      </w:r>
      <w:r w:rsidR="00BD47C6" w:rsidRPr="005F5224">
        <w:rPr>
          <w:color w:val="0000FF"/>
        </w:rPr>
        <w:t xml:space="preserve"> </w:t>
      </w:r>
      <w:r w:rsidR="00CD0593" w:rsidRPr="0082401F">
        <w:rPr>
          <w:color w:val="0000FF"/>
        </w:rPr>
        <w:t>[ date tba ]</w:t>
      </w:r>
      <w:r w:rsidRPr="005F5224">
        <w:rPr>
          <w:color w:val="0000FF"/>
        </w:rPr>
        <w:t>.</w:t>
      </w:r>
    </w:p>
    <w:p w14:paraId="252D3D43" w14:textId="43FF387B" w:rsidR="00BB7660" w:rsidRPr="005F5224" w:rsidRDefault="00BB7660" w:rsidP="00BB7660">
      <w:pPr>
        <w:pStyle w:val="Definition"/>
        <w:rPr>
          <w:color w:val="0000FF"/>
        </w:rPr>
      </w:pPr>
      <w:r w:rsidRPr="005F5224">
        <w:rPr>
          <w:b/>
          <w:i/>
          <w:color w:val="0000FF"/>
        </w:rPr>
        <w:t>tranche 2 da</w:t>
      </w:r>
      <w:r w:rsidR="001352B6" w:rsidRPr="005F5224">
        <w:rPr>
          <w:b/>
          <w:i/>
          <w:color w:val="0000FF"/>
        </w:rPr>
        <w:t>te</w:t>
      </w:r>
      <w:r w:rsidRPr="005F5224">
        <w:rPr>
          <w:b/>
          <w:i/>
          <w:color w:val="0000FF"/>
        </w:rPr>
        <w:t xml:space="preserve"> </w:t>
      </w:r>
      <w:r w:rsidRPr="005F5224">
        <w:rPr>
          <w:color w:val="0000FF"/>
        </w:rPr>
        <w:t xml:space="preserve">means </w:t>
      </w:r>
      <w:r w:rsidR="00CD0593" w:rsidRPr="0082401F">
        <w:rPr>
          <w:color w:val="0000FF"/>
        </w:rPr>
        <w:t>[ date tba ]</w:t>
      </w:r>
      <w:r w:rsidRPr="005F5224">
        <w:rPr>
          <w:color w:val="0000FF"/>
        </w:rPr>
        <w:t>.</w:t>
      </w:r>
    </w:p>
    <w:p w14:paraId="53940084" w14:textId="77777777" w:rsidR="00BB7660" w:rsidRPr="005F5224" w:rsidRDefault="00195095" w:rsidP="00BB7660">
      <w:pPr>
        <w:pStyle w:val="ActHead5"/>
        <w:rPr>
          <w:color w:val="0000FF"/>
        </w:rPr>
      </w:pPr>
      <w:bookmarkStart w:id="780" w:name="_Toc111132351"/>
      <w:r>
        <w:rPr>
          <w:color w:val="0000FF"/>
        </w:rPr>
        <w:t>5.2</w:t>
      </w:r>
      <w:r w:rsidR="00BB7660" w:rsidRPr="005F5224">
        <w:rPr>
          <w:color w:val="0000FF"/>
        </w:rPr>
        <w:t xml:space="preserve">  Meaning of </w:t>
      </w:r>
      <w:r w:rsidR="00BB7660" w:rsidRPr="005F5224">
        <w:rPr>
          <w:i/>
          <w:color w:val="0000FF"/>
        </w:rPr>
        <w:t xml:space="preserve">initial </w:t>
      </w:r>
      <w:r w:rsidR="001352B6" w:rsidRPr="005F5224">
        <w:rPr>
          <w:i/>
          <w:color w:val="0000FF"/>
        </w:rPr>
        <w:t>CSP</w:t>
      </w:r>
      <w:bookmarkEnd w:id="780"/>
    </w:p>
    <w:p w14:paraId="6FE4A53C" w14:textId="77777777" w:rsidR="00BB7660" w:rsidRPr="00283877" w:rsidRDefault="00BB7660" w:rsidP="00BB7660">
      <w:pPr>
        <w:pStyle w:val="subsection"/>
        <w:rPr>
          <w:color w:val="0000FF"/>
        </w:rPr>
      </w:pPr>
      <w:r w:rsidRPr="00283877">
        <w:rPr>
          <w:color w:val="0000FF"/>
        </w:rPr>
        <w:tab/>
      </w:r>
      <w:r w:rsidRPr="00283877">
        <w:rPr>
          <w:color w:val="0000FF"/>
        </w:rPr>
        <w:tab/>
        <w:t xml:space="preserve">In this Schedule, </w:t>
      </w:r>
      <w:r w:rsidRPr="00283877">
        <w:rPr>
          <w:b/>
          <w:i/>
          <w:color w:val="0000FF"/>
        </w:rPr>
        <w:t xml:space="preserve">initial </w:t>
      </w:r>
      <w:r w:rsidR="001352B6" w:rsidRPr="00283877">
        <w:rPr>
          <w:b/>
          <w:i/>
          <w:color w:val="0000FF"/>
        </w:rPr>
        <w:t>CSP</w:t>
      </w:r>
      <w:r w:rsidRPr="00283877">
        <w:rPr>
          <w:color w:val="0000FF"/>
        </w:rPr>
        <w:t xml:space="preserve"> means any of the following:</w:t>
      </w:r>
    </w:p>
    <w:p w14:paraId="31A3F478" w14:textId="77777777" w:rsidR="001378F1" w:rsidRPr="00283877" w:rsidRDefault="001378F1" w:rsidP="001378F1">
      <w:pPr>
        <w:pStyle w:val="paragraph"/>
        <w:rPr>
          <w:color w:val="0000FF"/>
        </w:rPr>
      </w:pPr>
      <w:r w:rsidRPr="00283877">
        <w:rPr>
          <w:color w:val="0000FF"/>
        </w:rPr>
        <w:tab/>
      </w:r>
      <w:r w:rsidR="00195095">
        <w:rPr>
          <w:color w:val="0000FF"/>
        </w:rPr>
        <w:t>(a)</w:t>
      </w:r>
      <w:r w:rsidRPr="00283877">
        <w:rPr>
          <w:color w:val="0000FF"/>
        </w:rPr>
        <w:tab/>
        <w:t xml:space="preserve">Telstra Corporation Limited – ABN 33 051 775 556; </w:t>
      </w:r>
    </w:p>
    <w:p w14:paraId="79E67B3A" w14:textId="77777777" w:rsidR="001378F1" w:rsidRPr="00283877" w:rsidRDefault="001378F1" w:rsidP="001378F1">
      <w:pPr>
        <w:pStyle w:val="paragraph"/>
        <w:rPr>
          <w:color w:val="0000FF"/>
        </w:rPr>
      </w:pPr>
      <w:r w:rsidRPr="00283877">
        <w:rPr>
          <w:color w:val="0000FF"/>
        </w:rPr>
        <w:tab/>
      </w:r>
      <w:r w:rsidR="00195095">
        <w:rPr>
          <w:color w:val="0000FF"/>
        </w:rPr>
        <w:t>(b)</w:t>
      </w:r>
      <w:r w:rsidRPr="00283877">
        <w:rPr>
          <w:color w:val="0000FF"/>
        </w:rPr>
        <w:tab/>
        <w:t>Optus Networks Pty Limited – ABN 92 008 570 330;</w:t>
      </w:r>
    </w:p>
    <w:p w14:paraId="1A1265E5" w14:textId="77777777" w:rsidR="001378F1" w:rsidRPr="00283877" w:rsidRDefault="001378F1" w:rsidP="001378F1">
      <w:pPr>
        <w:pStyle w:val="paragraph"/>
        <w:rPr>
          <w:color w:val="0000FF"/>
        </w:rPr>
      </w:pPr>
      <w:r w:rsidRPr="00283877">
        <w:rPr>
          <w:color w:val="0000FF"/>
        </w:rPr>
        <w:tab/>
      </w:r>
      <w:r w:rsidR="00195095">
        <w:rPr>
          <w:color w:val="0000FF"/>
        </w:rPr>
        <w:t>(c)</w:t>
      </w:r>
      <w:r w:rsidRPr="00283877">
        <w:rPr>
          <w:color w:val="0000FF"/>
        </w:rPr>
        <w:tab/>
        <w:t>TPG Telecom Limited – ABN 76 096 304 620.</w:t>
      </w:r>
    </w:p>
    <w:p w14:paraId="4EDBC58D" w14:textId="77777777" w:rsidR="00BB7660" w:rsidRPr="00283877" w:rsidRDefault="00195095" w:rsidP="00BB7660">
      <w:pPr>
        <w:pStyle w:val="ActHead5"/>
        <w:rPr>
          <w:color w:val="0000FF"/>
        </w:rPr>
      </w:pPr>
      <w:bookmarkStart w:id="781" w:name="_Toc111132352"/>
      <w:r>
        <w:rPr>
          <w:color w:val="0000FF"/>
        </w:rPr>
        <w:t>5.3</w:t>
      </w:r>
      <w:r w:rsidR="00BB7660" w:rsidRPr="00283877">
        <w:rPr>
          <w:color w:val="0000FF"/>
        </w:rPr>
        <w:t xml:space="preserve">  Meaning of </w:t>
      </w:r>
      <w:r w:rsidR="00283877">
        <w:rPr>
          <w:i/>
          <w:color w:val="0000FF"/>
        </w:rPr>
        <w:t>large CSP</w:t>
      </w:r>
      <w:bookmarkEnd w:id="781"/>
    </w:p>
    <w:p w14:paraId="60369760" w14:textId="77777777" w:rsidR="001378F1" w:rsidRPr="00283877" w:rsidRDefault="001378F1" w:rsidP="001378F1">
      <w:pPr>
        <w:pStyle w:val="subsection"/>
        <w:rPr>
          <w:color w:val="0000FF"/>
        </w:rPr>
      </w:pPr>
      <w:r w:rsidRPr="00283877">
        <w:rPr>
          <w:color w:val="0000FF"/>
        </w:rPr>
        <w:tab/>
      </w:r>
      <w:r w:rsidR="00195095">
        <w:rPr>
          <w:color w:val="0000FF"/>
        </w:rPr>
        <w:t>(1)</w:t>
      </w:r>
      <w:r w:rsidRPr="00283877">
        <w:rPr>
          <w:color w:val="0000FF"/>
        </w:rPr>
        <w:tab/>
        <w:t>For this Part:</w:t>
      </w:r>
    </w:p>
    <w:p w14:paraId="295A1FF5" w14:textId="77777777" w:rsidR="001378F1" w:rsidRPr="00BD47C6" w:rsidRDefault="001378F1" w:rsidP="001378F1">
      <w:pPr>
        <w:pStyle w:val="paragraph"/>
        <w:rPr>
          <w:color w:val="0000FF"/>
        </w:rPr>
      </w:pPr>
      <w:r w:rsidRPr="00283877">
        <w:rPr>
          <w:color w:val="0000FF"/>
        </w:rPr>
        <w:tab/>
        <w:t>(a)</w:t>
      </w:r>
      <w:r w:rsidRPr="00BD47C6">
        <w:rPr>
          <w:color w:val="0000FF"/>
        </w:rPr>
        <w:tab/>
        <w:t xml:space="preserve">a </w:t>
      </w:r>
      <w:r w:rsidR="001352B6" w:rsidRPr="00BD47C6">
        <w:rPr>
          <w:color w:val="0000FF"/>
        </w:rPr>
        <w:t xml:space="preserve">carriage service provider </w:t>
      </w:r>
      <w:r w:rsidRPr="00BD47C6">
        <w:rPr>
          <w:color w:val="0000FF"/>
        </w:rPr>
        <w:t xml:space="preserve">that had </w:t>
      </w:r>
      <w:r w:rsidR="006D1BB5" w:rsidRPr="00BD47C6">
        <w:rPr>
          <w:color w:val="0000FF"/>
        </w:rPr>
        <w:t>3</w:t>
      </w:r>
      <w:r w:rsidRPr="00BD47C6">
        <w:rPr>
          <w:color w:val="0000FF"/>
        </w:rPr>
        <w:t xml:space="preserve">0,000 or more </w:t>
      </w:r>
      <w:r w:rsidR="006D1BB5" w:rsidRPr="00BD47C6">
        <w:rPr>
          <w:color w:val="0000FF"/>
        </w:rPr>
        <w:t>services in operation</w:t>
      </w:r>
      <w:r w:rsidRPr="00BD47C6">
        <w:rPr>
          <w:color w:val="0000FF"/>
        </w:rPr>
        <w:t xml:space="preserve"> </w:t>
      </w:r>
      <w:r w:rsidR="00AD1CBC" w:rsidRPr="00BD47C6">
        <w:rPr>
          <w:color w:val="0000FF"/>
        </w:rPr>
        <w:t xml:space="preserve">for the last </w:t>
      </w:r>
      <w:r w:rsidR="00FC5208" w:rsidRPr="00BD47C6">
        <w:rPr>
          <w:color w:val="0000FF"/>
        </w:rPr>
        <w:t>financial year that end</w:t>
      </w:r>
      <w:r w:rsidR="00AD1CBC" w:rsidRPr="00BD47C6">
        <w:rPr>
          <w:color w:val="0000FF"/>
        </w:rPr>
        <w:t>ed</w:t>
      </w:r>
      <w:r w:rsidR="00FC5208" w:rsidRPr="00BD47C6">
        <w:rPr>
          <w:color w:val="0000FF"/>
        </w:rPr>
        <w:t xml:space="preserve"> before the amendment day </w:t>
      </w:r>
      <w:r w:rsidRPr="00BD47C6">
        <w:rPr>
          <w:color w:val="0000FF"/>
        </w:rPr>
        <w:t xml:space="preserve">is a </w:t>
      </w:r>
      <w:r w:rsidR="00283877" w:rsidRPr="00BD47C6">
        <w:rPr>
          <w:b/>
          <w:i/>
          <w:color w:val="0000FF"/>
        </w:rPr>
        <w:t>large CSP</w:t>
      </w:r>
      <w:r w:rsidRPr="00BD47C6">
        <w:rPr>
          <w:color w:val="0000FF"/>
        </w:rPr>
        <w:t>; and</w:t>
      </w:r>
    </w:p>
    <w:p w14:paraId="0188CAEE" w14:textId="77777777" w:rsidR="001378F1" w:rsidRPr="00BD47C6" w:rsidRDefault="001378F1" w:rsidP="001378F1">
      <w:pPr>
        <w:pStyle w:val="paragraph"/>
        <w:rPr>
          <w:color w:val="0000FF"/>
        </w:rPr>
      </w:pPr>
      <w:r w:rsidRPr="00BD47C6">
        <w:rPr>
          <w:color w:val="0000FF"/>
        </w:rPr>
        <w:tab/>
        <w:t>(b)</w:t>
      </w:r>
      <w:r w:rsidRPr="00BD47C6">
        <w:rPr>
          <w:color w:val="0000FF"/>
        </w:rPr>
        <w:tab/>
        <w:t xml:space="preserve">a </w:t>
      </w:r>
      <w:r w:rsidR="001352B6" w:rsidRPr="00BD47C6">
        <w:rPr>
          <w:color w:val="0000FF"/>
        </w:rPr>
        <w:t>carriage service provider</w:t>
      </w:r>
      <w:r w:rsidRPr="00BD47C6">
        <w:rPr>
          <w:color w:val="0000FF"/>
        </w:rPr>
        <w:t xml:space="preserve"> that had </w:t>
      </w:r>
      <w:r w:rsidR="006D1BB5" w:rsidRPr="00BD47C6">
        <w:rPr>
          <w:color w:val="0000FF"/>
        </w:rPr>
        <w:t>3</w:t>
      </w:r>
      <w:r w:rsidRPr="00BD47C6">
        <w:rPr>
          <w:color w:val="0000FF"/>
        </w:rPr>
        <w:t xml:space="preserve">0,000 or more </w:t>
      </w:r>
      <w:r w:rsidR="006D1BB5" w:rsidRPr="00BD47C6">
        <w:rPr>
          <w:color w:val="0000FF"/>
        </w:rPr>
        <w:t xml:space="preserve">services in operation </w:t>
      </w:r>
      <w:r w:rsidR="00AD1CBC" w:rsidRPr="00BD47C6">
        <w:rPr>
          <w:color w:val="0000FF"/>
        </w:rPr>
        <w:t xml:space="preserve">for a </w:t>
      </w:r>
      <w:r w:rsidRPr="00BD47C6">
        <w:rPr>
          <w:color w:val="0000FF"/>
        </w:rPr>
        <w:t xml:space="preserve">financial year that begins on or after the amendment day is also a </w:t>
      </w:r>
      <w:r w:rsidR="00283877" w:rsidRPr="00BD47C6">
        <w:rPr>
          <w:b/>
          <w:i/>
          <w:color w:val="0000FF"/>
        </w:rPr>
        <w:t>large CSP</w:t>
      </w:r>
      <w:r w:rsidR="006D1BB5" w:rsidRPr="00BD47C6">
        <w:rPr>
          <w:color w:val="0000FF"/>
        </w:rPr>
        <w:t xml:space="preserve"> </w:t>
      </w:r>
      <w:r w:rsidRPr="00BD47C6">
        <w:rPr>
          <w:color w:val="0000FF"/>
        </w:rPr>
        <w:t>on and from the day 12 months after the end of that financial year.</w:t>
      </w:r>
    </w:p>
    <w:p w14:paraId="77DDC687" w14:textId="77777777" w:rsidR="001378F1" w:rsidRPr="00BD47C6" w:rsidRDefault="00BD47C6" w:rsidP="00BD47C6">
      <w:pPr>
        <w:pStyle w:val="subsection"/>
        <w:rPr>
          <w:color w:val="0000FF"/>
        </w:rPr>
      </w:pPr>
      <w:r w:rsidRPr="00BD47C6">
        <w:rPr>
          <w:color w:val="0000FF"/>
        </w:rPr>
        <w:tab/>
      </w:r>
      <w:r w:rsidR="00195095">
        <w:rPr>
          <w:color w:val="0000FF"/>
        </w:rPr>
        <w:t>(2)</w:t>
      </w:r>
      <w:r w:rsidRPr="00BD47C6">
        <w:rPr>
          <w:color w:val="0000FF"/>
        </w:rPr>
        <w:tab/>
      </w:r>
      <w:r w:rsidR="001378F1" w:rsidRPr="00BD47C6">
        <w:rPr>
          <w:color w:val="0000FF"/>
        </w:rPr>
        <w:t>For this clause:</w:t>
      </w:r>
    </w:p>
    <w:p w14:paraId="1216207C" w14:textId="77777777" w:rsidR="001378F1" w:rsidRPr="00BD47C6" w:rsidRDefault="001378F1" w:rsidP="00FC5208">
      <w:pPr>
        <w:pStyle w:val="Definition"/>
        <w:rPr>
          <w:color w:val="0000FF"/>
        </w:rPr>
      </w:pPr>
      <w:r w:rsidRPr="00BD47C6">
        <w:rPr>
          <w:b/>
          <w:i/>
          <w:color w:val="0000FF"/>
        </w:rPr>
        <w:t>amendment day</w:t>
      </w:r>
      <w:r w:rsidRPr="00BD47C6">
        <w:rPr>
          <w:b/>
          <w:color w:val="0000FF"/>
        </w:rPr>
        <w:t xml:space="preserve"> </w:t>
      </w:r>
      <w:r w:rsidR="00FC5208" w:rsidRPr="00BD47C6">
        <w:rPr>
          <w:color w:val="0000FF"/>
        </w:rPr>
        <w:t>means</w:t>
      </w:r>
      <w:r w:rsidRPr="00BD47C6">
        <w:rPr>
          <w:color w:val="0000FF"/>
        </w:rPr>
        <w:t xml:space="preserve"> the day on which Schedule 1 to the </w:t>
      </w:r>
      <w:r w:rsidRPr="00BD47C6">
        <w:rPr>
          <w:i/>
          <w:noProof/>
          <w:color w:val="0000FF"/>
        </w:rPr>
        <w:t>Competition and Consumer (Consumer Data Right) Amendment Rules (No. 2) 2021</w:t>
      </w:r>
      <w:r w:rsidRPr="00BD47C6">
        <w:rPr>
          <w:i/>
          <w:color w:val="0000FF"/>
        </w:rPr>
        <w:t xml:space="preserve"> </w:t>
      </w:r>
      <w:r w:rsidRPr="00BD47C6">
        <w:rPr>
          <w:color w:val="0000FF"/>
        </w:rPr>
        <w:t>commenced.</w:t>
      </w:r>
    </w:p>
    <w:p w14:paraId="75E8E23A" w14:textId="77777777" w:rsidR="00AD1CBC" w:rsidRPr="00BD47C6" w:rsidRDefault="00BB7660" w:rsidP="00BB7660">
      <w:pPr>
        <w:pStyle w:val="Definition"/>
        <w:rPr>
          <w:color w:val="0000FF"/>
        </w:rPr>
      </w:pPr>
      <w:r w:rsidRPr="00BD47C6">
        <w:rPr>
          <w:b/>
          <w:i/>
          <w:color w:val="0000FF"/>
        </w:rPr>
        <w:t xml:space="preserve">service in </w:t>
      </w:r>
      <w:r w:rsidRPr="005F5224">
        <w:rPr>
          <w:b/>
          <w:i/>
          <w:color w:val="0000FF"/>
        </w:rPr>
        <w:t>operation</w:t>
      </w:r>
      <w:r w:rsidRPr="005F5224">
        <w:rPr>
          <w:color w:val="0000FF"/>
        </w:rPr>
        <w:t xml:space="preserve">, </w:t>
      </w:r>
      <w:r w:rsidR="00BD47C6" w:rsidRPr="005F5224">
        <w:rPr>
          <w:color w:val="0000FF"/>
        </w:rPr>
        <w:t xml:space="preserve">in </w:t>
      </w:r>
      <w:r w:rsidRPr="005F5224">
        <w:rPr>
          <w:color w:val="0000FF"/>
        </w:rPr>
        <w:t>relation to</w:t>
      </w:r>
      <w:r w:rsidRPr="00BD47C6">
        <w:rPr>
          <w:color w:val="0000FF"/>
        </w:rPr>
        <w:t xml:space="preserve"> a </w:t>
      </w:r>
      <w:r w:rsidR="006D1BB5" w:rsidRPr="00BD47C6">
        <w:rPr>
          <w:color w:val="0000FF"/>
        </w:rPr>
        <w:t>carriage service provider</w:t>
      </w:r>
      <w:r w:rsidR="00AD1CBC" w:rsidRPr="00BD47C6">
        <w:rPr>
          <w:color w:val="0000FF"/>
        </w:rPr>
        <w:t xml:space="preserve"> and a financial year means a carriage service provided during a financial year that is invoiced or paid for at a time that may be before, but is no later than the end of, that financial year.</w:t>
      </w:r>
    </w:p>
    <w:p w14:paraId="023BB938" w14:textId="77777777" w:rsidR="00BB7660" w:rsidRPr="00F70E93" w:rsidRDefault="00195095" w:rsidP="00BB7660">
      <w:pPr>
        <w:pStyle w:val="ActHead5"/>
        <w:rPr>
          <w:color w:val="0000FF"/>
        </w:rPr>
      </w:pPr>
      <w:bookmarkStart w:id="782" w:name="_Toc111132353"/>
      <w:r>
        <w:rPr>
          <w:color w:val="0000FF"/>
        </w:rPr>
        <w:lastRenderedPageBreak/>
        <w:t>5.4</w:t>
      </w:r>
      <w:r w:rsidR="00BB7660" w:rsidRPr="00F70E93">
        <w:rPr>
          <w:color w:val="0000FF"/>
        </w:rPr>
        <w:t xml:space="preserve">  Product data requests under Part 2 of these rules</w:t>
      </w:r>
      <w:bookmarkEnd w:id="782"/>
    </w:p>
    <w:p w14:paraId="483D4D6B" w14:textId="77777777" w:rsidR="00BB7660" w:rsidRPr="007C4199" w:rsidRDefault="00BB7660" w:rsidP="00BB7660">
      <w:pPr>
        <w:pStyle w:val="subsection"/>
        <w:rPr>
          <w:color w:val="0000FF"/>
        </w:rPr>
      </w:pPr>
      <w:r w:rsidRPr="00F70E93">
        <w:rPr>
          <w:color w:val="0000FF"/>
        </w:rPr>
        <w:tab/>
      </w:r>
      <w:r w:rsidR="00195095">
        <w:rPr>
          <w:color w:val="0000FF"/>
        </w:rPr>
        <w:t>(1)</w:t>
      </w:r>
      <w:r w:rsidRPr="00F70E93">
        <w:rPr>
          <w:color w:val="0000FF"/>
        </w:rPr>
        <w:tab/>
        <w:t>Part 2 of these rules (</w:t>
      </w:r>
      <w:r w:rsidRPr="00F70E93">
        <w:rPr>
          <w:b/>
          <w:i/>
          <w:color w:val="0000FF"/>
        </w:rPr>
        <w:t>Part 2</w:t>
      </w:r>
      <w:r w:rsidRPr="00F70E93">
        <w:rPr>
          <w:color w:val="0000FF"/>
        </w:rPr>
        <w:t xml:space="preserve">) does </w:t>
      </w:r>
      <w:r w:rsidRPr="007C4199">
        <w:rPr>
          <w:color w:val="0000FF"/>
        </w:rPr>
        <w:t xml:space="preserve">not apply in relation to </w:t>
      </w:r>
      <w:r w:rsidR="00F80B17" w:rsidRPr="007C4199">
        <w:rPr>
          <w:color w:val="0000FF"/>
        </w:rPr>
        <w:t>telecommunications</w:t>
      </w:r>
      <w:r w:rsidRPr="007C4199">
        <w:rPr>
          <w:color w:val="0000FF"/>
        </w:rPr>
        <w:t xml:space="preserve"> sector data except as provided in this clause</w:t>
      </w:r>
      <w:r w:rsidR="007A26C5" w:rsidRPr="007C4199">
        <w:rPr>
          <w:color w:val="0000FF"/>
        </w:rPr>
        <w:t xml:space="preserve"> and clause </w:t>
      </w:r>
      <w:r w:rsidR="00195095">
        <w:rPr>
          <w:color w:val="0000FF"/>
        </w:rPr>
        <w:t>5.7</w:t>
      </w:r>
      <w:r w:rsidRPr="007C4199">
        <w:rPr>
          <w:color w:val="0000FF"/>
        </w:rPr>
        <w:t>.</w:t>
      </w:r>
    </w:p>
    <w:p w14:paraId="72CFE4ED" w14:textId="77777777" w:rsidR="00BB7660" w:rsidRPr="007C4199" w:rsidRDefault="00BB7660" w:rsidP="00BB7660">
      <w:pPr>
        <w:pStyle w:val="subsection"/>
        <w:rPr>
          <w:color w:val="0000FF"/>
        </w:rPr>
      </w:pPr>
      <w:r w:rsidRPr="007C4199">
        <w:rPr>
          <w:color w:val="0000FF"/>
        </w:rPr>
        <w:tab/>
      </w:r>
      <w:r w:rsidR="00195095">
        <w:rPr>
          <w:color w:val="0000FF"/>
        </w:rPr>
        <w:t>(2)</w:t>
      </w:r>
      <w:r w:rsidRPr="007C4199">
        <w:rPr>
          <w:color w:val="0000FF"/>
        </w:rPr>
        <w:tab/>
        <w:t xml:space="preserve">Part 2 applies to </w:t>
      </w:r>
      <w:r w:rsidR="007A26C5" w:rsidRPr="007C4199">
        <w:rPr>
          <w:color w:val="0000FF"/>
        </w:rPr>
        <w:t xml:space="preserve">an </w:t>
      </w:r>
      <w:r w:rsidRPr="007C4199">
        <w:rPr>
          <w:color w:val="0000FF"/>
        </w:rPr>
        <w:t xml:space="preserve">initial </w:t>
      </w:r>
      <w:r w:rsidR="00556DC1" w:rsidRPr="007C4199">
        <w:rPr>
          <w:color w:val="0000FF"/>
        </w:rPr>
        <w:t>CSP</w:t>
      </w:r>
      <w:r w:rsidRPr="007C4199">
        <w:rPr>
          <w:color w:val="0000FF"/>
        </w:rPr>
        <w:t xml:space="preserve"> on and from the tranche </w:t>
      </w:r>
      <w:r w:rsidR="00556DC1" w:rsidRPr="007C4199">
        <w:rPr>
          <w:color w:val="0000FF"/>
        </w:rPr>
        <w:t>1 date</w:t>
      </w:r>
      <w:r w:rsidRPr="007C4199">
        <w:rPr>
          <w:color w:val="0000FF"/>
        </w:rPr>
        <w:t xml:space="preserve">.   </w:t>
      </w:r>
    </w:p>
    <w:p w14:paraId="2C8E4DE3" w14:textId="77777777" w:rsidR="00BB7660" w:rsidRPr="007C4199" w:rsidRDefault="00BB7660" w:rsidP="00BB7660">
      <w:pPr>
        <w:pStyle w:val="subsection"/>
        <w:rPr>
          <w:color w:val="0000FF"/>
        </w:rPr>
      </w:pPr>
      <w:r w:rsidRPr="007C4199">
        <w:rPr>
          <w:color w:val="0000FF"/>
        </w:rPr>
        <w:tab/>
      </w:r>
      <w:r w:rsidR="00195095">
        <w:rPr>
          <w:color w:val="0000FF"/>
        </w:rPr>
        <w:t>(3)</w:t>
      </w:r>
      <w:r w:rsidRPr="007C4199">
        <w:rPr>
          <w:color w:val="0000FF"/>
        </w:rPr>
        <w:tab/>
        <w:t xml:space="preserve">Part 2 applies to </w:t>
      </w:r>
      <w:r w:rsidR="007A26C5" w:rsidRPr="007C4199">
        <w:rPr>
          <w:color w:val="0000FF"/>
        </w:rPr>
        <w:t xml:space="preserve">a </w:t>
      </w:r>
      <w:r w:rsidR="00283877" w:rsidRPr="007C4199">
        <w:rPr>
          <w:color w:val="0000FF"/>
        </w:rPr>
        <w:t>large CSP</w:t>
      </w:r>
      <w:r w:rsidRPr="007C4199">
        <w:rPr>
          <w:color w:val="0000FF"/>
        </w:rPr>
        <w:t xml:space="preserve"> on and from the tranche </w:t>
      </w:r>
      <w:r w:rsidR="00556DC1" w:rsidRPr="007C4199">
        <w:rPr>
          <w:color w:val="0000FF"/>
        </w:rPr>
        <w:t>2 date</w:t>
      </w:r>
      <w:r w:rsidRPr="007C4199">
        <w:rPr>
          <w:color w:val="0000FF"/>
        </w:rPr>
        <w:t>.</w:t>
      </w:r>
    </w:p>
    <w:p w14:paraId="6A4EC59E" w14:textId="77777777" w:rsidR="00BB7660" w:rsidRPr="007C4199" w:rsidRDefault="00195095" w:rsidP="00BB7660">
      <w:pPr>
        <w:pStyle w:val="ActHead5"/>
        <w:rPr>
          <w:color w:val="0000FF"/>
        </w:rPr>
      </w:pPr>
      <w:bookmarkStart w:id="783" w:name="_Toc111132354"/>
      <w:r>
        <w:rPr>
          <w:color w:val="0000FF"/>
        </w:rPr>
        <w:t>5.5</w:t>
      </w:r>
      <w:r w:rsidR="00BB7660" w:rsidRPr="007C4199">
        <w:rPr>
          <w:color w:val="0000FF"/>
        </w:rPr>
        <w:t xml:space="preserve">  Consumer data requests under Part 3 of these rules</w:t>
      </w:r>
      <w:bookmarkEnd w:id="783"/>
    </w:p>
    <w:p w14:paraId="6B003B87" w14:textId="77777777" w:rsidR="00BB7660" w:rsidRPr="00F70E93" w:rsidRDefault="00BB7660" w:rsidP="00BB7660">
      <w:pPr>
        <w:pStyle w:val="subsection"/>
        <w:rPr>
          <w:color w:val="0000FF"/>
        </w:rPr>
      </w:pPr>
      <w:r w:rsidRPr="007C4199">
        <w:rPr>
          <w:color w:val="0000FF"/>
        </w:rPr>
        <w:tab/>
      </w:r>
      <w:r w:rsidRPr="007C4199">
        <w:rPr>
          <w:color w:val="0000FF"/>
        </w:rPr>
        <w:tab/>
        <w:t>Part 3 of these rules does not apply in relation to telec</w:t>
      </w:r>
      <w:r w:rsidRPr="00F70E93">
        <w:rPr>
          <w:color w:val="0000FF"/>
        </w:rPr>
        <w:t>ommunications sector data.</w:t>
      </w:r>
    </w:p>
    <w:p w14:paraId="02F890EC" w14:textId="77777777" w:rsidR="00BB7660" w:rsidRPr="00F70E93" w:rsidRDefault="00195095" w:rsidP="00BB7660">
      <w:pPr>
        <w:pStyle w:val="ActHead5"/>
        <w:rPr>
          <w:color w:val="0000FF"/>
        </w:rPr>
      </w:pPr>
      <w:bookmarkStart w:id="784" w:name="_Toc111132355"/>
      <w:r>
        <w:rPr>
          <w:color w:val="0000FF"/>
        </w:rPr>
        <w:t>5.6</w:t>
      </w:r>
      <w:r w:rsidR="00BB7660" w:rsidRPr="00F70E93">
        <w:rPr>
          <w:color w:val="0000FF"/>
        </w:rPr>
        <w:t xml:space="preserve">  Consumer data requests under Part 4 of these rules</w:t>
      </w:r>
      <w:bookmarkEnd w:id="784"/>
    </w:p>
    <w:p w14:paraId="14DC7059" w14:textId="77777777" w:rsidR="00BB7660" w:rsidRPr="00F70E93" w:rsidRDefault="00BB7660" w:rsidP="00BB7660">
      <w:pPr>
        <w:pStyle w:val="subsection"/>
        <w:rPr>
          <w:color w:val="0000FF"/>
        </w:rPr>
      </w:pPr>
      <w:r w:rsidRPr="00F70E93">
        <w:rPr>
          <w:color w:val="0000FF"/>
        </w:rPr>
        <w:tab/>
      </w:r>
      <w:r w:rsidR="00195095">
        <w:rPr>
          <w:color w:val="0000FF"/>
        </w:rPr>
        <w:t>(1)</w:t>
      </w:r>
      <w:r w:rsidRPr="00F70E93">
        <w:rPr>
          <w:color w:val="0000FF"/>
        </w:rPr>
        <w:tab/>
        <w:t>Part 4 of these rules (</w:t>
      </w:r>
      <w:r w:rsidRPr="00F70E93">
        <w:rPr>
          <w:b/>
          <w:i/>
          <w:color w:val="0000FF"/>
        </w:rPr>
        <w:t>Part 4</w:t>
      </w:r>
      <w:r w:rsidRPr="00F70E93">
        <w:rPr>
          <w:color w:val="0000FF"/>
        </w:rPr>
        <w:t xml:space="preserve">) does not apply in relation to </w:t>
      </w:r>
      <w:r w:rsidR="00F80B17" w:rsidRPr="00F80008">
        <w:rPr>
          <w:color w:val="0000FF"/>
        </w:rPr>
        <w:t>telecommunications</w:t>
      </w:r>
      <w:r w:rsidRPr="00F70E93">
        <w:rPr>
          <w:color w:val="0000FF"/>
        </w:rPr>
        <w:t xml:space="preserve"> sector data except as provided in this clause.</w:t>
      </w:r>
    </w:p>
    <w:p w14:paraId="67CECC2A" w14:textId="77777777" w:rsidR="00BB7660" w:rsidRPr="00F70E93" w:rsidRDefault="00BB7660" w:rsidP="00BB7660">
      <w:pPr>
        <w:pStyle w:val="SubsectionHead"/>
        <w:rPr>
          <w:color w:val="0000FF"/>
        </w:rPr>
      </w:pPr>
      <w:r w:rsidRPr="00F70E93">
        <w:rPr>
          <w:color w:val="0000FF"/>
        </w:rPr>
        <w:t>Tranche 1</w:t>
      </w:r>
    </w:p>
    <w:p w14:paraId="037B6331" w14:textId="77777777" w:rsidR="00BB7660" w:rsidRPr="007A26C5" w:rsidRDefault="00BB7660" w:rsidP="00BB7660">
      <w:pPr>
        <w:pStyle w:val="subsection"/>
        <w:rPr>
          <w:color w:val="0000FF"/>
        </w:rPr>
      </w:pPr>
      <w:r w:rsidRPr="00F70E93">
        <w:rPr>
          <w:color w:val="0000FF"/>
        </w:rPr>
        <w:tab/>
      </w:r>
      <w:r w:rsidR="00195095">
        <w:rPr>
          <w:color w:val="0000FF"/>
        </w:rPr>
        <w:t>(2)</w:t>
      </w:r>
      <w:r w:rsidRPr="00F70E93">
        <w:rPr>
          <w:color w:val="0000FF"/>
        </w:rPr>
        <w:tab/>
        <w:t xml:space="preserve">Part 4 applies in relation to an </w:t>
      </w:r>
      <w:r w:rsidRPr="007A26C5">
        <w:rPr>
          <w:color w:val="0000FF"/>
        </w:rPr>
        <w:t xml:space="preserve">initial </w:t>
      </w:r>
      <w:r w:rsidR="00556DC1" w:rsidRPr="007A26C5">
        <w:rPr>
          <w:color w:val="0000FF"/>
        </w:rPr>
        <w:t>CSP</w:t>
      </w:r>
      <w:r w:rsidRPr="007A26C5">
        <w:rPr>
          <w:color w:val="0000FF"/>
        </w:rPr>
        <w:t xml:space="preserve"> on and from the tranche </w:t>
      </w:r>
      <w:r w:rsidR="00556DC1" w:rsidRPr="007A26C5">
        <w:rPr>
          <w:color w:val="0000FF"/>
        </w:rPr>
        <w:t>1 date</w:t>
      </w:r>
      <w:r w:rsidRPr="007A26C5">
        <w:rPr>
          <w:color w:val="0000FF"/>
        </w:rPr>
        <w:t>.</w:t>
      </w:r>
    </w:p>
    <w:p w14:paraId="2F9912E9" w14:textId="77777777" w:rsidR="00BB7660" w:rsidRPr="00F70E93" w:rsidRDefault="00BB7660" w:rsidP="00BB7660">
      <w:pPr>
        <w:pStyle w:val="SubsectionHead"/>
        <w:rPr>
          <w:color w:val="0000FF"/>
        </w:rPr>
      </w:pPr>
      <w:r w:rsidRPr="00F70E93">
        <w:rPr>
          <w:color w:val="0000FF"/>
        </w:rPr>
        <w:t>Tranche 2</w:t>
      </w:r>
    </w:p>
    <w:p w14:paraId="1E7752C2" w14:textId="77777777" w:rsidR="00BB7660" w:rsidRPr="007C4199" w:rsidRDefault="00BB7660" w:rsidP="00BB7660">
      <w:pPr>
        <w:pStyle w:val="subsection"/>
        <w:rPr>
          <w:color w:val="0000FF"/>
        </w:rPr>
      </w:pPr>
      <w:r w:rsidRPr="00F70E93">
        <w:rPr>
          <w:color w:val="0000FF"/>
        </w:rPr>
        <w:tab/>
      </w:r>
      <w:r w:rsidR="00195095">
        <w:rPr>
          <w:color w:val="0000FF"/>
        </w:rPr>
        <w:t>(3)</w:t>
      </w:r>
      <w:r w:rsidRPr="00F70E93">
        <w:rPr>
          <w:color w:val="0000FF"/>
        </w:rPr>
        <w:tab/>
        <w:t xml:space="preserve">Part 4 applies to a </w:t>
      </w:r>
      <w:r w:rsidR="00283877">
        <w:rPr>
          <w:color w:val="0000FF"/>
        </w:rPr>
        <w:t>large CSP</w:t>
      </w:r>
      <w:r w:rsidRPr="00F70E93">
        <w:rPr>
          <w:color w:val="0000FF"/>
        </w:rPr>
        <w:t xml:space="preserve"> on and </w:t>
      </w:r>
      <w:r w:rsidRPr="007C4199">
        <w:rPr>
          <w:color w:val="0000FF"/>
        </w:rPr>
        <w:t xml:space="preserve">from the later of the tranche </w:t>
      </w:r>
      <w:r w:rsidR="007A26C5" w:rsidRPr="007C4199">
        <w:rPr>
          <w:color w:val="0000FF"/>
        </w:rPr>
        <w:t>1 date</w:t>
      </w:r>
      <w:r w:rsidRPr="007C4199">
        <w:rPr>
          <w:color w:val="0000FF"/>
        </w:rPr>
        <w:t xml:space="preserve"> and the day that it becomes a </w:t>
      </w:r>
      <w:r w:rsidR="00283877" w:rsidRPr="007C4199">
        <w:rPr>
          <w:color w:val="0000FF"/>
        </w:rPr>
        <w:t>large CSP</w:t>
      </w:r>
      <w:r w:rsidRPr="007C4199">
        <w:rPr>
          <w:color w:val="0000FF"/>
        </w:rPr>
        <w:t>.</w:t>
      </w:r>
    </w:p>
    <w:p w14:paraId="62AE9558" w14:textId="77777777" w:rsidR="00BB7660" w:rsidRPr="007C4199" w:rsidRDefault="00195095" w:rsidP="00BB7660">
      <w:pPr>
        <w:pStyle w:val="ActHead5"/>
        <w:rPr>
          <w:color w:val="0000FF"/>
        </w:rPr>
      </w:pPr>
      <w:bookmarkStart w:id="785" w:name="_Toc111132356"/>
      <w:r>
        <w:rPr>
          <w:color w:val="0000FF"/>
        </w:rPr>
        <w:t>5.7</w:t>
      </w:r>
      <w:r w:rsidR="00BB7660" w:rsidRPr="007C4199">
        <w:rPr>
          <w:color w:val="0000FF"/>
        </w:rPr>
        <w:t xml:space="preserve">  </w:t>
      </w:r>
      <w:r w:rsidR="00267D2A" w:rsidRPr="007C4199">
        <w:rPr>
          <w:color w:val="0000FF"/>
        </w:rPr>
        <w:t>A</w:t>
      </w:r>
      <w:r w:rsidR="00BB7660" w:rsidRPr="007C4199">
        <w:rPr>
          <w:color w:val="0000FF"/>
        </w:rPr>
        <w:t>pplication of Part</w:t>
      </w:r>
      <w:r w:rsidR="007A26C5" w:rsidRPr="007C4199">
        <w:rPr>
          <w:color w:val="0000FF"/>
        </w:rPr>
        <w:t xml:space="preserve">s 2 and </w:t>
      </w:r>
      <w:r w:rsidR="00BB7660" w:rsidRPr="007C4199">
        <w:rPr>
          <w:color w:val="0000FF"/>
        </w:rPr>
        <w:t xml:space="preserve">4 to small </w:t>
      </w:r>
      <w:r w:rsidR="00556DC1" w:rsidRPr="007C4199">
        <w:rPr>
          <w:color w:val="0000FF"/>
        </w:rPr>
        <w:t>CSPs</w:t>
      </w:r>
      <w:bookmarkEnd w:id="785"/>
    </w:p>
    <w:p w14:paraId="5EA44C00" w14:textId="77777777" w:rsidR="00267D2A" w:rsidRPr="007C4199" w:rsidRDefault="00267D2A" w:rsidP="00267D2A">
      <w:pPr>
        <w:pStyle w:val="SubsectionHead"/>
        <w:rPr>
          <w:color w:val="0000FF"/>
        </w:rPr>
      </w:pPr>
      <w:r w:rsidRPr="007C4199">
        <w:rPr>
          <w:color w:val="0000FF"/>
        </w:rPr>
        <w:t>Application of Part</w:t>
      </w:r>
      <w:r w:rsidR="007A26C5" w:rsidRPr="007C4199">
        <w:rPr>
          <w:color w:val="0000FF"/>
        </w:rPr>
        <w:t xml:space="preserve">s 2 and </w:t>
      </w:r>
      <w:r w:rsidRPr="007C4199">
        <w:rPr>
          <w:color w:val="0000FF"/>
        </w:rPr>
        <w:t xml:space="preserve">4 to small </w:t>
      </w:r>
      <w:r w:rsidR="00556DC1" w:rsidRPr="007C4199">
        <w:rPr>
          <w:color w:val="0000FF"/>
        </w:rPr>
        <w:t>CSP</w:t>
      </w:r>
      <w:r w:rsidRPr="007C4199">
        <w:rPr>
          <w:color w:val="0000FF"/>
        </w:rPr>
        <w:t>s that are accredited persons</w:t>
      </w:r>
    </w:p>
    <w:p w14:paraId="60047F94" w14:textId="77777777" w:rsidR="00267D2A" w:rsidRPr="007C4199" w:rsidRDefault="00267D2A" w:rsidP="00267D2A">
      <w:pPr>
        <w:pStyle w:val="subsection"/>
        <w:rPr>
          <w:color w:val="0000FF"/>
        </w:rPr>
      </w:pPr>
      <w:r w:rsidRPr="007C4199">
        <w:rPr>
          <w:color w:val="0000FF"/>
        </w:rPr>
        <w:tab/>
      </w:r>
      <w:r w:rsidR="00195095">
        <w:rPr>
          <w:color w:val="0000FF"/>
        </w:rPr>
        <w:t>(1)</w:t>
      </w:r>
      <w:r w:rsidRPr="007C4199">
        <w:rPr>
          <w:color w:val="0000FF"/>
        </w:rPr>
        <w:tab/>
        <w:t>Part</w:t>
      </w:r>
      <w:r w:rsidR="007A26C5" w:rsidRPr="007C4199">
        <w:rPr>
          <w:color w:val="0000FF"/>
        </w:rPr>
        <w:t>s 2 and</w:t>
      </w:r>
      <w:r w:rsidRPr="007C4199">
        <w:rPr>
          <w:color w:val="0000FF"/>
        </w:rPr>
        <w:t xml:space="preserve"> 4 appl</w:t>
      </w:r>
      <w:r w:rsidR="007A26C5" w:rsidRPr="007C4199">
        <w:rPr>
          <w:color w:val="0000FF"/>
        </w:rPr>
        <w:t xml:space="preserve">y </w:t>
      </w:r>
      <w:r w:rsidRPr="007C4199">
        <w:rPr>
          <w:color w:val="0000FF"/>
        </w:rPr>
        <w:t xml:space="preserve">to a small </w:t>
      </w:r>
      <w:r w:rsidR="00556DC1" w:rsidRPr="007C4199">
        <w:rPr>
          <w:color w:val="0000FF"/>
        </w:rPr>
        <w:t>CSP</w:t>
      </w:r>
      <w:r w:rsidRPr="007C4199">
        <w:rPr>
          <w:color w:val="0000FF"/>
        </w:rPr>
        <w:t xml:space="preserve"> that is an accredited person on and from the later of:</w:t>
      </w:r>
    </w:p>
    <w:p w14:paraId="279F39F7" w14:textId="77777777" w:rsidR="00267D2A" w:rsidRPr="007C4199" w:rsidRDefault="00267D2A" w:rsidP="00267D2A">
      <w:pPr>
        <w:pStyle w:val="paragraph"/>
        <w:rPr>
          <w:color w:val="0000FF"/>
        </w:rPr>
      </w:pPr>
      <w:r w:rsidRPr="007C4199">
        <w:rPr>
          <w:color w:val="0000FF"/>
        </w:rPr>
        <w:tab/>
        <w:t>(a)</w:t>
      </w:r>
      <w:r w:rsidRPr="007C4199">
        <w:rPr>
          <w:color w:val="0000FF"/>
        </w:rPr>
        <w:tab/>
        <w:t>the day 12 months after the tranche 1 date; and</w:t>
      </w:r>
    </w:p>
    <w:p w14:paraId="227F9379" w14:textId="77777777" w:rsidR="00267D2A" w:rsidRPr="007C4199" w:rsidRDefault="00267D2A" w:rsidP="00267D2A">
      <w:pPr>
        <w:pStyle w:val="paragraph"/>
        <w:rPr>
          <w:color w:val="0000FF"/>
        </w:rPr>
      </w:pPr>
      <w:r w:rsidRPr="007C4199">
        <w:rPr>
          <w:color w:val="0000FF"/>
        </w:rPr>
        <w:tab/>
        <w:t>(b)</w:t>
      </w:r>
      <w:r w:rsidRPr="007C4199">
        <w:rPr>
          <w:color w:val="0000FF"/>
        </w:rPr>
        <w:tab/>
        <w:t>the day 12 months after the day that it became an accredited person.</w:t>
      </w:r>
    </w:p>
    <w:p w14:paraId="13493B29" w14:textId="77777777" w:rsidR="00267D2A" w:rsidRPr="007C4199" w:rsidRDefault="00267D2A" w:rsidP="00267D2A">
      <w:pPr>
        <w:pStyle w:val="SubsectionHead"/>
        <w:rPr>
          <w:color w:val="0000FF"/>
        </w:rPr>
      </w:pPr>
      <w:r w:rsidRPr="007C4199">
        <w:rPr>
          <w:color w:val="0000FF"/>
        </w:rPr>
        <w:t>Voluntary application of Part</w:t>
      </w:r>
      <w:r w:rsidR="007A26C5" w:rsidRPr="007C4199">
        <w:rPr>
          <w:color w:val="0000FF"/>
        </w:rPr>
        <w:t>s 2 and</w:t>
      </w:r>
      <w:r w:rsidRPr="007C4199">
        <w:rPr>
          <w:color w:val="0000FF"/>
        </w:rPr>
        <w:t xml:space="preserve"> 4 to small </w:t>
      </w:r>
      <w:r w:rsidR="00556DC1" w:rsidRPr="007C4199">
        <w:rPr>
          <w:color w:val="0000FF"/>
        </w:rPr>
        <w:t>CSP</w:t>
      </w:r>
      <w:r w:rsidRPr="007C4199">
        <w:rPr>
          <w:color w:val="0000FF"/>
        </w:rPr>
        <w:t>s</w:t>
      </w:r>
    </w:p>
    <w:p w14:paraId="7B6F6231" w14:textId="77777777" w:rsidR="00BB7660" w:rsidRPr="007C4199" w:rsidRDefault="00BB7660" w:rsidP="00BB7660">
      <w:pPr>
        <w:pStyle w:val="subsection"/>
        <w:rPr>
          <w:color w:val="0000FF"/>
        </w:rPr>
      </w:pPr>
      <w:r w:rsidRPr="007C4199">
        <w:rPr>
          <w:color w:val="0000FF"/>
        </w:rPr>
        <w:tab/>
      </w:r>
      <w:r w:rsidR="00195095">
        <w:rPr>
          <w:color w:val="0000FF"/>
        </w:rPr>
        <w:t>(2)</w:t>
      </w:r>
      <w:r w:rsidRPr="007C4199">
        <w:rPr>
          <w:color w:val="0000FF"/>
        </w:rPr>
        <w:tab/>
        <w:t xml:space="preserve">A small </w:t>
      </w:r>
      <w:r w:rsidR="00556DC1" w:rsidRPr="007C4199">
        <w:rPr>
          <w:color w:val="0000FF"/>
        </w:rPr>
        <w:t>CSP</w:t>
      </w:r>
      <w:r w:rsidRPr="007C4199">
        <w:rPr>
          <w:color w:val="0000FF"/>
        </w:rPr>
        <w:t xml:space="preserve"> may notify the Commission that it wishes Part</w:t>
      </w:r>
      <w:r w:rsidR="007A26C5" w:rsidRPr="007C4199">
        <w:rPr>
          <w:color w:val="0000FF"/>
        </w:rPr>
        <w:t xml:space="preserve">s 2 and </w:t>
      </w:r>
      <w:r w:rsidRPr="007C4199">
        <w:rPr>
          <w:color w:val="0000FF"/>
        </w:rPr>
        <w:t xml:space="preserve">4 to apply to it on and from a specified date that is no earlier than the tranche </w:t>
      </w:r>
      <w:r w:rsidR="00D5311A" w:rsidRPr="007C4199">
        <w:rPr>
          <w:color w:val="0000FF"/>
        </w:rPr>
        <w:t>1</w:t>
      </w:r>
      <w:r w:rsidRPr="007C4199">
        <w:rPr>
          <w:color w:val="0000FF"/>
        </w:rPr>
        <w:t xml:space="preserve"> date.</w:t>
      </w:r>
    </w:p>
    <w:p w14:paraId="7B16EAE2" w14:textId="77777777" w:rsidR="00267D2A" w:rsidRPr="007C4199" w:rsidRDefault="00267D2A" w:rsidP="00267D2A">
      <w:pPr>
        <w:pStyle w:val="subsection"/>
        <w:rPr>
          <w:color w:val="0000FF"/>
        </w:rPr>
      </w:pPr>
      <w:r w:rsidRPr="007C4199">
        <w:rPr>
          <w:color w:val="0000FF"/>
        </w:rPr>
        <w:tab/>
      </w:r>
      <w:r w:rsidR="00195095">
        <w:rPr>
          <w:color w:val="0000FF"/>
        </w:rPr>
        <w:t>(3)</w:t>
      </w:r>
      <w:r w:rsidRPr="007C4199">
        <w:rPr>
          <w:color w:val="0000FF"/>
        </w:rPr>
        <w:tab/>
        <w:t xml:space="preserve">Subject to subclause </w:t>
      </w:r>
      <w:r w:rsidR="00195095">
        <w:rPr>
          <w:color w:val="0000FF"/>
        </w:rPr>
        <w:t>(1)</w:t>
      </w:r>
      <w:r w:rsidRPr="007C4199">
        <w:rPr>
          <w:color w:val="0000FF"/>
        </w:rPr>
        <w:t>, Part</w:t>
      </w:r>
      <w:r w:rsidR="007A26C5" w:rsidRPr="007C4199">
        <w:rPr>
          <w:color w:val="0000FF"/>
        </w:rPr>
        <w:t xml:space="preserve">s 2 and </w:t>
      </w:r>
      <w:r w:rsidRPr="007C4199">
        <w:rPr>
          <w:color w:val="0000FF"/>
        </w:rPr>
        <w:t>4 appl</w:t>
      </w:r>
      <w:r w:rsidR="007A26C5" w:rsidRPr="007C4199">
        <w:rPr>
          <w:color w:val="0000FF"/>
        </w:rPr>
        <w:t xml:space="preserve">y </w:t>
      </w:r>
      <w:r w:rsidRPr="007C4199">
        <w:rPr>
          <w:color w:val="0000FF"/>
        </w:rPr>
        <w:t xml:space="preserve">in relation to the small </w:t>
      </w:r>
      <w:r w:rsidR="00556DC1" w:rsidRPr="007C4199">
        <w:rPr>
          <w:color w:val="0000FF"/>
        </w:rPr>
        <w:t>CSP</w:t>
      </w:r>
      <w:r w:rsidRPr="007C4199">
        <w:rPr>
          <w:color w:val="0000FF"/>
        </w:rPr>
        <w:t>, in accordance with the request, on and from the dates so specified.</w:t>
      </w:r>
    </w:p>
    <w:p w14:paraId="393DCE52" w14:textId="77777777" w:rsidR="00BB7660" w:rsidRPr="007A26C5" w:rsidRDefault="00195095" w:rsidP="00BB7660">
      <w:pPr>
        <w:pStyle w:val="ActHead5"/>
        <w:rPr>
          <w:color w:val="0000FF"/>
        </w:rPr>
      </w:pPr>
      <w:bookmarkStart w:id="786" w:name="_Toc111132357"/>
      <w:r>
        <w:rPr>
          <w:color w:val="0000FF"/>
        </w:rPr>
        <w:t>5.8</w:t>
      </w:r>
      <w:r w:rsidR="00BB7660" w:rsidRPr="007A26C5">
        <w:rPr>
          <w:color w:val="0000FF"/>
        </w:rPr>
        <w:t xml:space="preserve">  Authorisation to disclose CDR data before being required to do so</w:t>
      </w:r>
      <w:bookmarkEnd w:id="786"/>
    </w:p>
    <w:p w14:paraId="13210120" w14:textId="77777777" w:rsidR="00BB7660" w:rsidRPr="007A26C5" w:rsidRDefault="007A26C5" w:rsidP="007A26C5">
      <w:pPr>
        <w:pStyle w:val="subsection"/>
        <w:rPr>
          <w:color w:val="0000FF"/>
        </w:rPr>
      </w:pPr>
      <w:r w:rsidRPr="007A26C5">
        <w:rPr>
          <w:color w:val="0000FF"/>
        </w:rPr>
        <w:tab/>
      </w:r>
      <w:r w:rsidR="00195095">
        <w:rPr>
          <w:color w:val="0000FF"/>
        </w:rPr>
        <w:t>(1)</w:t>
      </w:r>
      <w:r w:rsidRPr="007A26C5">
        <w:rPr>
          <w:color w:val="0000FF"/>
        </w:rPr>
        <w:tab/>
      </w:r>
      <w:r w:rsidR="00BB7660" w:rsidRPr="007A26C5">
        <w:rPr>
          <w:color w:val="0000FF"/>
        </w:rPr>
        <w:t xml:space="preserve">This clause applies in relation to a request for disclosure of CDR data that has been made to a </w:t>
      </w:r>
      <w:r w:rsidR="00556DC1" w:rsidRPr="007A26C5">
        <w:rPr>
          <w:color w:val="0000FF"/>
        </w:rPr>
        <w:t>carriage service provider</w:t>
      </w:r>
      <w:r w:rsidR="00BB7660" w:rsidRPr="007A26C5">
        <w:rPr>
          <w:color w:val="0000FF"/>
        </w:rPr>
        <w:t xml:space="preserve"> in accordance with Part 2, Part 3 or Part 4 of these rules (the </w:t>
      </w:r>
      <w:r w:rsidR="00BB7660" w:rsidRPr="007A26C5">
        <w:rPr>
          <w:b/>
          <w:bCs/>
          <w:i/>
          <w:iCs/>
          <w:color w:val="0000FF"/>
        </w:rPr>
        <w:t>relevant data request Part</w:t>
      </w:r>
      <w:r w:rsidR="00BB7660" w:rsidRPr="007A26C5">
        <w:rPr>
          <w:color w:val="0000FF"/>
        </w:rPr>
        <w:t>) if:</w:t>
      </w:r>
    </w:p>
    <w:p w14:paraId="7434DA3A" w14:textId="77777777" w:rsidR="00BB7660" w:rsidRPr="007A26C5" w:rsidRDefault="007A26C5" w:rsidP="007A26C5">
      <w:pPr>
        <w:pStyle w:val="paragraph"/>
        <w:rPr>
          <w:color w:val="0000FF"/>
        </w:rPr>
      </w:pPr>
      <w:r w:rsidRPr="007A26C5">
        <w:rPr>
          <w:color w:val="0000FF"/>
        </w:rPr>
        <w:tab/>
      </w:r>
      <w:r w:rsidR="00195095">
        <w:rPr>
          <w:color w:val="0000FF"/>
        </w:rPr>
        <w:t>(a)</w:t>
      </w:r>
      <w:r w:rsidRPr="007A26C5">
        <w:rPr>
          <w:color w:val="0000FF"/>
        </w:rPr>
        <w:tab/>
      </w:r>
      <w:r w:rsidR="00BB7660" w:rsidRPr="007A26C5">
        <w:rPr>
          <w:color w:val="0000FF"/>
        </w:rPr>
        <w:t>the requested CDR data is any of the following:</w:t>
      </w:r>
    </w:p>
    <w:p w14:paraId="2AA4C65A" w14:textId="77777777" w:rsidR="00BB7660" w:rsidRPr="007A26C5" w:rsidRDefault="007A26C5" w:rsidP="007A26C5">
      <w:pPr>
        <w:pStyle w:val="paragraphsub"/>
        <w:rPr>
          <w:color w:val="0000FF"/>
        </w:rPr>
      </w:pPr>
      <w:r w:rsidRPr="007A26C5">
        <w:rPr>
          <w:color w:val="0000FF"/>
        </w:rPr>
        <w:tab/>
      </w:r>
      <w:r w:rsidR="00195095">
        <w:rPr>
          <w:color w:val="0000FF"/>
        </w:rPr>
        <w:t>(i)</w:t>
      </w:r>
      <w:r w:rsidRPr="007A26C5">
        <w:rPr>
          <w:color w:val="0000FF"/>
        </w:rPr>
        <w:tab/>
      </w:r>
      <w:r w:rsidR="00BB7660" w:rsidRPr="007A26C5">
        <w:rPr>
          <w:color w:val="0000FF"/>
        </w:rPr>
        <w:t>required product data;</w:t>
      </w:r>
    </w:p>
    <w:p w14:paraId="0E5A3819" w14:textId="77777777" w:rsidR="00BB7660" w:rsidRPr="007A26C5" w:rsidRDefault="007A26C5" w:rsidP="007A26C5">
      <w:pPr>
        <w:pStyle w:val="paragraphsub"/>
        <w:rPr>
          <w:color w:val="0000FF"/>
        </w:rPr>
      </w:pPr>
      <w:r w:rsidRPr="007A26C5">
        <w:rPr>
          <w:color w:val="0000FF"/>
        </w:rPr>
        <w:lastRenderedPageBreak/>
        <w:tab/>
      </w:r>
      <w:r w:rsidR="00195095">
        <w:rPr>
          <w:color w:val="0000FF"/>
        </w:rPr>
        <w:t>(ii)</w:t>
      </w:r>
      <w:r w:rsidRPr="007A26C5">
        <w:rPr>
          <w:color w:val="0000FF"/>
        </w:rPr>
        <w:tab/>
      </w:r>
      <w:r w:rsidR="00BB7660" w:rsidRPr="007A26C5">
        <w:rPr>
          <w:color w:val="0000FF"/>
        </w:rPr>
        <w:t>voluntary product data;</w:t>
      </w:r>
    </w:p>
    <w:p w14:paraId="3626E2E9" w14:textId="77777777" w:rsidR="00BB7660" w:rsidRPr="007A26C5" w:rsidRDefault="007A26C5" w:rsidP="007A26C5">
      <w:pPr>
        <w:pStyle w:val="paragraphsub"/>
        <w:rPr>
          <w:color w:val="0000FF"/>
        </w:rPr>
      </w:pPr>
      <w:r w:rsidRPr="007A26C5">
        <w:rPr>
          <w:color w:val="0000FF"/>
        </w:rPr>
        <w:tab/>
      </w:r>
      <w:r w:rsidR="00195095">
        <w:rPr>
          <w:color w:val="0000FF"/>
        </w:rPr>
        <w:t>(iii)</w:t>
      </w:r>
      <w:r w:rsidRPr="007A26C5">
        <w:rPr>
          <w:color w:val="0000FF"/>
        </w:rPr>
        <w:tab/>
      </w:r>
      <w:r w:rsidR="00BB7660" w:rsidRPr="007A26C5">
        <w:rPr>
          <w:color w:val="0000FF"/>
        </w:rPr>
        <w:t>required consumer data;</w:t>
      </w:r>
    </w:p>
    <w:p w14:paraId="0CDBD798" w14:textId="77777777" w:rsidR="00BB7660" w:rsidRPr="007A26C5" w:rsidRDefault="007A26C5" w:rsidP="007A26C5">
      <w:pPr>
        <w:pStyle w:val="paragraphsub"/>
        <w:rPr>
          <w:color w:val="0000FF"/>
        </w:rPr>
      </w:pPr>
      <w:r w:rsidRPr="007A26C5">
        <w:rPr>
          <w:color w:val="0000FF"/>
        </w:rPr>
        <w:tab/>
      </w:r>
      <w:r w:rsidR="00195095">
        <w:rPr>
          <w:color w:val="0000FF"/>
        </w:rPr>
        <w:t>(iv)</w:t>
      </w:r>
      <w:r w:rsidRPr="007A26C5">
        <w:rPr>
          <w:color w:val="0000FF"/>
        </w:rPr>
        <w:tab/>
      </w:r>
      <w:r w:rsidR="00BB7660" w:rsidRPr="007A26C5">
        <w:rPr>
          <w:color w:val="0000FF"/>
        </w:rPr>
        <w:t>voluntary consumer data; and</w:t>
      </w:r>
    </w:p>
    <w:p w14:paraId="68EA989D" w14:textId="77777777" w:rsidR="00BB7660" w:rsidRPr="007A26C5" w:rsidRDefault="007A26C5" w:rsidP="007A26C5">
      <w:pPr>
        <w:pStyle w:val="paragraph"/>
        <w:rPr>
          <w:color w:val="0000FF"/>
        </w:rPr>
      </w:pPr>
      <w:r w:rsidRPr="007A26C5">
        <w:rPr>
          <w:color w:val="0000FF"/>
        </w:rPr>
        <w:tab/>
      </w:r>
      <w:r w:rsidR="00195095">
        <w:rPr>
          <w:color w:val="0000FF"/>
        </w:rPr>
        <w:t>(b)</w:t>
      </w:r>
      <w:r w:rsidRPr="007A26C5">
        <w:rPr>
          <w:color w:val="0000FF"/>
        </w:rPr>
        <w:tab/>
      </w:r>
      <w:r w:rsidR="00BB7660" w:rsidRPr="007A26C5">
        <w:rPr>
          <w:color w:val="0000FF"/>
        </w:rPr>
        <w:t>the requested CDR data includes some pre</w:t>
      </w:r>
      <w:r w:rsidR="00BB7660" w:rsidRPr="007A26C5">
        <w:rPr>
          <w:color w:val="0000FF"/>
        </w:rPr>
        <w:noBreakHyphen/>
        <w:t>application CDR data.</w:t>
      </w:r>
    </w:p>
    <w:p w14:paraId="0AEDBA4C" w14:textId="77777777" w:rsidR="00BB7660" w:rsidRPr="007A26C5" w:rsidRDefault="007A26C5" w:rsidP="007A26C5">
      <w:pPr>
        <w:pStyle w:val="subsection"/>
        <w:rPr>
          <w:color w:val="0000FF"/>
        </w:rPr>
      </w:pPr>
      <w:r w:rsidRPr="007A26C5">
        <w:rPr>
          <w:color w:val="0000FF"/>
        </w:rPr>
        <w:tab/>
      </w:r>
      <w:r w:rsidR="00195095">
        <w:rPr>
          <w:color w:val="0000FF"/>
        </w:rPr>
        <w:t>(2)</w:t>
      </w:r>
      <w:r w:rsidRPr="007A26C5">
        <w:rPr>
          <w:color w:val="0000FF"/>
        </w:rPr>
        <w:tab/>
      </w:r>
      <w:r w:rsidR="00BB7660" w:rsidRPr="007A26C5">
        <w:rPr>
          <w:color w:val="0000FF"/>
        </w:rPr>
        <w:t xml:space="preserve">For these rules, the </w:t>
      </w:r>
      <w:r w:rsidR="00556DC1" w:rsidRPr="007A26C5">
        <w:rPr>
          <w:color w:val="0000FF"/>
        </w:rPr>
        <w:t>carriage service provider</w:t>
      </w:r>
      <w:r w:rsidR="00BB7660" w:rsidRPr="007A26C5">
        <w:rPr>
          <w:color w:val="0000FF"/>
        </w:rPr>
        <w:t xml:space="preserve"> may disclose any or all of the pre</w:t>
      </w:r>
      <w:r w:rsidR="00BB7660" w:rsidRPr="007A26C5">
        <w:rPr>
          <w:color w:val="0000FF"/>
        </w:rPr>
        <w:noBreakHyphen/>
        <w:t>application CDR data in response to the request in accordance with the relevant data request Part.</w:t>
      </w:r>
    </w:p>
    <w:p w14:paraId="5D10A15E" w14:textId="77777777" w:rsidR="00BB7660" w:rsidRDefault="007A26C5" w:rsidP="007A26C5">
      <w:pPr>
        <w:pStyle w:val="subsection"/>
        <w:rPr>
          <w:color w:val="0000FF"/>
        </w:rPr>
      </w:pPr>
      <w:r w:rsidRPr="007A26C5">
        <w:rPr>
          <w:color w:val="0000FF"/>
        </w:rPr>
        <w:tab/>
      </w:r>
      <w:r w:rsidR="00195095">
        <w:rPr>
          <w:color w:val="0000FF"/>
        </w:rPr>
        <w:t>(3)</w:t>
      </w:r>
      <w:r w:rsidRPr="007A26C5">
        <w:rPr>
          <w:color w:val="0000FF"/>
        </w:rPr>
        <w:tab/>
      </w:r>
      <w:r w:rsidR="00BB7660" w:rsidRPr="007A26C5">
        <w:rPr>
          <w:color w:val="0000FF"/>
        </w:rPr>
        <w:t xml:space="preserve">In this clause, </w:t>
      </w:r>
      <w:r w:rsidR="00BB7660" w:rsidRPr="007A26C5">
        <w:rPr>
          <w:b/>
          <w:bCs/>
          <w:i/>
          <w:iCs/>
          <w:color w:val="0000FF"/>
        </w:rPr>
        <w:t>pre-application CDR data</w:t>
      </w:r>
      <w:r w:rsidR="00BB7660" w:rsidRPr="007A26C5">
        <w:rPr>
          <w:color w:val="0000FF"/>
        </w:rPr>
        <w:t xml:space="preserve"> means CDR data that, but for the operation of this Part, the data holder would be required or authorised by the relevant data request Part to disclose in response to the request.</w:t>
      </w:r>
    </w:p>
    <w:bookmarkEnd w:id="762"/>
    <w:bookmarkEnd w:id="763"/>
    <w:p w14:paraId="620B6FFC" w14:textId="77777777" w:rsidR="009D504E" w:rsidRPr="007A26C5" w:rsidRDefault="009D504E" w:rsidP="007A26C5">
      <w:pPr>
        <w:pStyle w:val="subsection"/>
        <w:rPr>
          <w:color w:val="0000FF"/>
        </w:rPr>
      </w:pPr>
    </w:p>
    <w:p w14:paraId="6BD3F268" w14:textId="77777777" w:rsidR="00BB7660" w:rsidRPr="004A04A4" w:rsidRDefault="00BB7660" w:rsidP="00BB7660">
      <w:pPr>
        <w:pStyle w:val="paragraph"/>
        <w:rPr>
          <w:color w:val="0000FF"/>
        </w:rPr>
      </w:pPr>
    </w:p>
    <w:p w14:paraId="3D077425" w14:textId="77777777" w:rsidR="00BB7660" w:rsidRPr="004A04A4" w:rsidRDefault="00BB7660" w:rsidP="00BB7660">
      <w:pPr>
        <w:pStyle w:val="paragraph"/>
        <w:jc w:val="center"/>
        <w:rPr>
          <w:color w:val="0000FF"/>
        </w:rPr>
      </w:pPr>
      <w:r w:rsidRPr="004A04A4">
        <w:rPr>
          <w:color w:val="0000FF"/>
        </w:rPr>
        <w:t>[End of marked up version of the Rules]</w:t>
      </w:r>
    </w:p>
    <w:p w14:paraId="61FF8CBA" w14:textId="77777777" w:rsidR="00BB7660" w:rsidRDefault="00BB7660" w:rsidP="00BB7660">
      <w:pPr>
        <w:pStyle w:val="paragraph"/>
      </w:pPr>
      <w:r>
        <w:tab/>
        <w:t>===================================================================</w:t>
      </w:r>
    </w:p>
    <w:p w14:paraId="23C69AE2" w14:textId="77777777" w:rsidR="00BB7660" w:rsidRDefault="00BB7660" w:rsidP="00BB7660">
      <w:pPr>
        <w:pStyle w:val="paragraph"/>
      </w:pPr>
    </w:p>
    <w:p w14:paraId="15308561" w14:textId="77777777" w:rsidR="00BB7660" w:rsidRPr="00C61844" w:rsidRDefault="00BB7660" w:rsidP="00BB7660">
      <w:pPr>
        <w:pStyle w:val="ActHead1"/>
      </w:pPr>
    </w:p>
    <w:p w14:paraId="01799356" w14:textId="77777777" w:rsidR="001E6BE2" w:rsidRPr="00B77DD6" w:rsidRDefault="001E6BE2" w:rsidP="00BB7660">
      <w:pPr>
        <w:pStyle w:val="ActHead5"/>
      </w:pPr>
    </w:p>
    <w:sectPr w:rsidR="001E6BE2" w:rsidRPr="00B77DD6" w:rsidSect="0051288D">
      <w:headerReference w:type="even" r:id="rId37"/>
      <w:headerReference w:type="default" r:id="rId38"/>
      <w:footerReference w:type="even" r:id="rId39"/>
      <w:headerReference w:type="first" r:id="rId40"/>
      <w:footerReference w:type="first" r:id="rId41"/>
      <w:pgSz w:w="11907" w:h="16839"/>
      <w:pgMar w:top="2325"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373BA" w14:textId="77777777" w:rsidR="00CD4DFC" w:rsidRDefault="00CD4DFC" w:rsidP="0048364F">
      <w:pPr>
        <w:spacing w:line="240" w:lineRule="auto"/>
      </w:pPr>
      <w:r>
        <w:separator/>
      </w:r>
    </w:p>
  </w:endnote>
  <w:endnote w:type="continuationSeparator" w:id="0">
    <w:p w14:paraId="03518F51" w14:textId="77777777" w:rsidR="00CD4DFC" w:rsidRDefault="00CD4DFC"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936FC" w14:textId="77777777" w:rsidR="00857D8F" w:rsidRPr="00AF2503" w:rsidRDefault="00857D8F" w:rsidP="00AF2503">
    <w:pPr>
      <w:pStyle w:val="Footer"/>
      <w:tabs>
        <w:tab w:val="clear" w:pos="4153"/>
        <w:tab w:val="clear" w:pos="8306"/>
        <w:tab w:val="center" w:pos="4150"/>
        <w:tab w:val="right" w:pos="8307"/>
      </w:tabs>
      <w:spacing w:before="120"/>
      <w:rPr>
        <w:i/>
        <w:sz w:val="18"/>
      </w:rPr>
    </w:pPr>
    <w:r w:rsidRPr="00AF2503">
      <w:rPr>
        <w:i/>
        <w:sz w:val="18"/>
      </w:rPr>
      <w:t>OPC65417 - 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16368" w14:textId="77777777" w:rsidR="00857D8F" w:rsidRPr="0098593D" w:rsidRDefault="00857D8F" w:rsidP="002F1467">
    <w:pPr>
      <w:jc w:val="center"/>
      <w:rPr>
        <w:rFonts w:ascii="Arial" w:hAnsi="Arial" w:cs="Arial"/>
        <w:sz w:val="40"/>
      </w:rPr>
    </w:pPr>
    <w:r w:rsidRPr="0098593D">
      <w:rPr>
        <w:rFonts w:ascii="Arial" w:hAnsi="Arial" w:cs="Arial"/>
        <w:sz w:val="40"/>
      </w:rPr>
      <w:t>Exposure Draft</w:t>
    </w:r>
  </w:p>
  <w:p w14:paraId="626F9201" w14:textId="77777777" w:rsidR="00857D8F" w:rsidRPr="002F1467" w:rsidRDefault="00857D8F" w:rsidP="002F1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4ABEA" w14:textId="77777777" w:rsidR="00857D8F" w:rsidRPr="00E33C1C" w:rsidRDefault="00857D8F" w:rsidP="009452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57D8F" w14:paraId="52C6A3F4" w14:textId="77777777" w:rsidTr="00724F8F">
      <w:tc>
        <w:tcPr>
          <w:tcW w:w="709" w:type="dxa"/>
          <w:tcBorders>
            <w:top w:val="nil"/>
            <w:left w:val="nil"/>
            <w:bottom w:val="nil"/>
            <w:right w:val="nil"/>
          </w:tcBorders>
        </w:tcPr>
        <w:p w14:paraId="4F941B3B" w14:textId="77777777" w:rsidR="00857D8F" w:rsidRDefault="00857D8F" w:rsidP="00742731">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FE57D7F" w14:textId="77777777" w:rsidR="00857D8F" w:rsidRDefault="00857D8F" w:rsidP="00742731">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4" w:type="dxa"/>
          <w:tcBorders>
            <w:top w:val="nil"/>
            <w:left w:val="nil"/>
            <w:bottom w:val="nil"/>
            <w:right w:val="nil"/>
          </w:tcBorders>
        </w:tcPr>
        <w:p w14:paraId="220C73E4" w14:textId="77777777" w:rsidR="00857D8F" w:rsidRDefault="00857D8F" w:rsidP="00742731">
          <w:pPr>
            <w:spacing w:line="0" w:lineRule="atLeast"/>
            <w:jc w:val="right"/>
            <w:rPr>
              <w:sz w:val="18"/>
            </w:rPr>
          </w:pPr>
        </w:p>
      </w:tc>
    </w:tr>
  </w:tbl>
  <w:p w14:paraId="298CB556" w14:textId="77777777" w:rsidR="00857D8F" w:rsidRPr="00AF2503" w:rsidRDefault="00857D8F" w:rsidP="00AF2503">
    <w:pPr>
      <w:rPr>
        <w:rFonts w:cs="Times New Roman"/>
        <w:i/>
        <w:sz w:val="18"/>
      </w:rPr>
    </w:pPr>
    <w:r w:rsidRPr="00AF2503">
      <w:rPr>
        <w:rFonts w:cs="Times New Roman"/>
        <w:i/>
        <w:sz w:val="18"/>
      </w:rPr>
      <w:t>OPC65417 - 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FC279" w14:textId="77777777" w:rsidR="00857D8F" w:rsidRPr="00E33C1C" w:rsidRDefault="00857D8F" w:rsidP="009452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851"/>
      <w:gridCol w:w="7087"/>
      <w:gridCol w:w="534"/>
    </w:tblGrid>
    <w:tr w:rsidR="00857D8F" w14:paraId="4F24A643" w14:textId="77777777" w:rsidTr="00421788">
      <w:tc>
        <w:tcPr>
          <w:tcW w:w="851" w:type="dxa"/>
          <w:tcBorders>
            <w:top w:val="nil"/>
            <w:left w:val="nil"/>
            <w:bottom w:val="nil"/>
            <w:right w:val="nil"/>
          </w:tcBorders>
        </w:tcPr>
        <w:p w14:paraId="4A7480BC" w14:textId="77777777" w:rsidR="00857D8F" w:rsidRDefault="00857D8F" w:rsidP="00742731">
          <w:pPr>
            <w:spacing w:line="0" w:lineRule="atLeast"/>
            <w:rPr>
              <w:sz w:val="18"/>
            </w:rPr>
          </w:pPr>
        </w:p>
      </w:tc>
      <w:tc>
        <w:tcPr>
          <w:tcW w:w="7087" w:type="dxa"/>
          <w:tcBorders>
            <w:top w:val="nil"/>
            <w:left w:val="nil"/>
            <w:bottom w:val="nil"/>
            <w:right w:val="nil"/>
          </w:tcBorders>
        </w:tcPr>
        <w:p w14:paraId="727B91E6" w14:textId="6E2F75E7" w:rsidR="00857D8F" w:rsidRPr="004140A0" w:rsidRDefault="00857D8F" w:rsidP="00742731">
          <w:pPr>
            <w:spacing w:line="0" w:lineRule="atLeast"/>
            <w:jc w:val="center"/>
            <w:rPr>
              <w:sz w:val="18"/>
              <w:szCs w:val="18"/>
            </w:rPr>
          </w:pPr>
          <w:r>
            <w:rPr>
              <w:i/>
              <w:sz w:val="18"/>
              <w:szCs w:val="18"/>
            </w:rPr>
            <w:fldChar w:fldCharType="begin"/>
          </w:r>
          <w:r>
            <w:rPr>
              <w:i/>
              <w:sz w:val="18"/>
              <w:szCs w:val="18"/>
            </w:rPr>
            <w:instrText xml:space="preserve"> STYLEREF  ShortT  \* MERGEFORMAT </w:instrText>
          </w:r>
          <w:r>
            <w:rPr>
              <w:i/>
              <w:sz w:val="18"/>
              <w:szCs w:val="18"/>
            </w:rPr>
            <w:fldChar w:fldCharType="separate"/>
          </w:r>
          <w:r w:rsidR="00D06351">
            <w:rPr>
              <w:i/>
              <w:noProof/>
              <w:sz w:val="18"/>
              <w:szCs w:val="18"/>
            </w:rPr>
            <w:t>Competition and Consumer (Consumer Data Right) Rules 2020 with proposed amendments</w:t>
          </w:r>
          <w:r>
            <w:rPr>
              <w:i/>
              <w:sz w:val="18"/>
              <w:szCs w:val="18"/>
            </w:rPr>
            <w:fldChar w:fldCharType="end"/>
          </w:r>
        </w:p>
      </w:tc>
      <w:tc>
        <w:tcPr>
          <w:tcW w:w="534" w:type="dxa"/>
          <w:tcBorders>
            <w:top w:val="nil"/>
            <w:left w:val="nil"/>
            <w:bottom w:val="nil"/>
            <w:right w:val="nil"/>
          </w:tcBorders>
        </w:tcPr>
        <w:p w14:paraId="09990A16" w14:textId="77777777" w:rsidR="00857D8F" w:rsidRDefault="00857D8F" w:rsidP="00742731">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C0B41FD" w14:textId="77777777" w:rsidR="00857D8F" w:rsidRPr="0098593D" w:rsidRDefault="00857D8F" w:rsidP="002F1467">
    <w:pPr>
      <w:jc w:val="center"/>
      <w:rPr>
        <w:rFonts w:ascii="Arial" w:hAnsi="Arial" w:cs="Arial"/>
        <w:sz w:val="40"/>
      </w:rPr>
    </w:pPr>
    <w:r w:rsidRPr="0098593D">
      <w:rPr>
        <w:rFonts w:ascii="Arial" w:hAnsi="Arial" w:cs="Arial"/>
        <w:sz w:val="40"/>
      </w:rPr>
      <w:t>Exposure Draft</w:t>
    </w:r>
  </w:p>
  <w:p w14:paraId="66EF6518" w14:textId="77777777" w:rsidR="00857D8F" w:rsidRPr="00D04DB1" w:rsidRDefault="00857D8F" w:rsidP="002F1467">
    <w:pPr>
      <w:tabs>
        <w:tab w:val="center" w:pos="4536"/>
        <w:tab w:val="right" w:pos="9356"/>
      </w:tabs>
      <w:jc w:val="both"/>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36D4" w14:textId="77777777" w:rsidR="00857D8F" w:rsidRPr="002B0EA5" w:rsidRDefault="00857D8F" w:rsidP="0051288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57D8F" w14:paraId="0AD72E77" w14:textId="77777777" w:rsidTr="0051288D">
      <w:tc>
        <w:tcPr>
          <w:tcW w:w="365" w:type="pct"/>
        </w:tcPr>
        <w:p w14:paraId="08C962D9" w14:textId="77777777" w:rsidR="00857D8F" w:rsidRDefault="00857D8F" w:rsidP="0051288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30E1CDD0" w14:textId="77777777" w:rsidR="00857D8F" w:rsidRDefault="00857D8F" w:rsidP="0051288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Competition and Consumer (Consumer Data Right) Rules 2020 with proposed amendments</w:t>
          </w:r>
          <w:r w:rsidRPr="004E1307">
            <w:rPr>
              <w:i/>
              <w:sz w:val="18"/>
            </w:rPr>
            <w:fldChar w:fldCharType="end"/>
          </w:r>
        </w:p>
      </w:tc>
      <w:tc>
        <w:tcPr>
          <w:tcW w:w="947" w:type="pct"/>
        </w:tcPr>
        <w:p w14:paraId="61A17A21" w14:textId="77777777" w:rsidR="00857D8F" w:rsidRDefault="00857D8F" w:rsidP="0051288D">
          <w:pPr>
            <w:spacing w:line="0" w:lineRule="atLeast"/>
            <w:jc w:val="right"/>
            <w:rPr>
              <w:sz w:val="18"/>
            </w:rPr>
          </w:pPr>
        </w:p>
      </w:tc>
    </w:tr>
    <w:tr w:rsidR="00857D8F" w14:paraId="2FFC500E" w14:textId="77777777" w:rsidTr="0051288D">
      <w:tc>
        <w:tcPr>
          <w:tcW w:w="5000" w:type="pct"/>
          <w:gridSpan w:val="3"/>
        </w:tcPr>
        <w:p w14:paraId="7C1E42F9" w14:textId="77777777" w:rsidR="00857D8F" w:rsidRDefault="00857D8F" w:rsidP="0051288D">
          <w:pPr>
            <w:jc w:val="right"/>
            <w:rPr>
              <w:sz w:val="18"/>
            </w:rPr>
          </w:pPr>
        </w:p>
      </w:tc>
    </w:tr>
  </w:tbl>
  <w:p w14:paraId="7D97FDD4" w14:textId="77777777" w:rsidR="00857D8F" w:rsidRPr="00ED79B6" w:rsidRDefault="00857D8F" w:rsidP="0051288D">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E49F" w14:textId="77777777" w:rsidR="00857D8F" w:rsidRPr="002B0EA5" w:rsidRDefault="00857D8F" w:rsidP="0051288D">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
      <w:gridCol w:w="6132"/>
      <w:gridCol w:w="1574"/>
    </w:tblGrid>
    <w:tr w:rsidR="00857D8F" w14:paraId="726B19A2" w14:textId="77777777" w:rsidTr="0051288D">
      <w:tc>
        <w:tcPr>
          <w:tcW w:w="365" w:type="pct"/>
        </w:tcPr>
        <w:p w14:paraId="027D8D12" w14:textId="77777777" w:rsidR="00857D8F" w:rsidRDefault="00857D8F" w:rsidP="0051288D">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48</w:t>
          </w:r>
          <w:r w:rsidRPr="00ED79B6">
            <w:rPr>
              <w:i/>
              <w:sz w:val="18"/>
            </w:rPr>
            <w:fldChar w:fldCharType="end"/>
          </w:r>
        </w:p>
      </w:tc>
      <w:tc>
        <w:tcPr>
          <w:tcW w:w="3688" w:type="pct"/>
        </w:tcPr>
        <w:p w14:paraId="25998ED5" w14:textId="77777777" w:rsidR="00857D8F" w:rsidRDefault="00857D8F" w:rsidP="0051288D">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Pr>
              <w:i/>
              <w:noProof/>
              <w:sz w:val="18"/>
            </w:rPr>
            <w:t>Competition and Consumer (Consumer Data Right) Rules 2020 with proposed amendments</w:t>
          </w:r>
          <w:r w:rsidRPr="004E1307">
            <w:rPr>
              <w:i/>
              <w:sz w:val="18"/>
            </w:rPr>
            <w:fldChar w:fldCharType="end"/>
          </w:r>
        </w:p>
      </w:tc>
      <w:tc>
        <w:tcPr>
          <w:tcW w:w="947" w:type="pct"/>
        </w:tcPr>
        <w:p w14:paraId="0F094A11" w14:textId="77777777" w:rsidR="00857D8F" w:rsidRDefault="00857D8F" w:rsidP="0051288D">
          <w:pPr>
            <w:spacing w:line="0" w:lineRule="atLeast"/>
            <w:jc w:val="right"/>
            <w:rPr>
              <w:sz w:val="18"/>
            </w:rPr>
          </w:pPr>
        </w:p>
      </w:tc>
    </w:tr>
    <w:tr w:rsidR="00857D8F" w14:paraId="0AF501C6" w14:textId="77777777" w:rsidTr="0051288D">
      <w:tc>
        <w:tcPr>
          <w:tcW w:w="5000" w:type="pct"/>
          <w:gridSpan w:val="3"/>
        </w:tcPr>
        <w:p w14:paraId="11C3432E" w14:textId="77777777" w:rsidR="00857D8F" w:rsidRDefault="00857D8F" w:rsidP="0051288D">
          <w:pPr>
            <w:jc w:val="right"/>
            <w:rPr>
              <w:sz w:val="18"/>
            </w:rPr>
          </w:pPr>
        </w:p>
      </w:tc>
    </w:tr>
  </w:tbl>
  <w:p w14:paraId="7451B609" w14:textId="77777777" w:rsidR="00857D8F" w:rsidRPr="00ED79B6" w:rsidRDefault="00857D8F" w:rsidP="0051288D">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1335" w14:textId="77777777" w:rsidR="00857D8F" w:rsidRDefault="00857D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81779" w14:textId="77777777" w:rsidR="00857D8F" w:rsidRDefault="00857D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CD29A" w14:textId="77777777" w:rsidR="00CD4DFC" w:rsidRDefault="00CD4DFC" w:rsidP="0048364F">
      <w:pPr>
        <w:spacing w:line="240" w:lineRule="auto"/>
      </w:pPr>
      <w:r>
        <w:separator/>
      </w:r>
    </w:p>
  </w:footnote>
  <w:footnote w:type="continuationSeparator" w:id="0">
    <w:p w14:paraId="3EEE9D01" w14:textId="77777777" w:rsidR="00CD4DFC" w:rsidRDefault="00CD4DFC"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6351F" w14:textId="77777777" w:rsidR="00857D8F" w:rsidRPr="005F1388" w:rsidRDefault="00857D8F"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19ABA" w14:textId="77777777" w:rsidR="00857D8F" w:rsidRDefault="00857D8F" w:rsidP="00FF423E">
    <w:pPr>
      <w:pStyle w:val="Header"/>
      <w:tabs>
        <w:tab w:val="clear" w:pos="4150"/>
        <w:tab w:val="clear" w:pos="8307"/>
      </w:tabs>
    </w:pPr>
    <w:r>
      <w:rPr>
        <w:noProof/>
      </w:rPr>
      <mc:AlternateContent>
        <mc:Choice Requires="wps">
          <w:drawing>
            <wp:anchor distT="0" distB="0" distL="114300" distR="114300" simplePos="0" relativeHeight="251665408"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493623F0"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3D0D8EC5"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8" o:spid="_x0000_s1059" type="#_x0000_t202" style="position:absolute;margin-left:0;margin-top:11.3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B7K1M+0gIAAB4GAAAOAAAAAAAAAAAAAAAAAC4CAABkcnMvZTJvRG9j&#10;LnhtbFBLAQItABQABgAIAAAAIQDmCt+63AAAAAYBAAAPAAAAAAAAAAAAAAAAACwFAABkcnMvZG93&#10;bnJldi54bWxQSwUGAAAAAAQABADzAAAANQYAAAAA&#10;" stroked="f">
              <v:stroke joinstyle="round"/>
              <v:path arrowok="t"/>
              <v:textbox>
                <w:txbxContent>
                  <w:p w14:paraId="493623F0"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3D0D8EC5"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4C2AFA93" w14:textId="77777777" w:rsidR="00857D8F" w:rsidRPr="00AD0200" w:rsidRDefault="00857D8F" w:rsidP="00FF423E">
    <w:pPr>
      <w:pStyle w:val="Header"/>
    </w:pPr>
  </w:p>
  <w:p w14:paraId="27DBBF88" w14:textId="77777777" w:rsidR="00857D8F" w:rsidRPr="00FF423E" w:rsidRDefault="00857D8F" w:rsidP="00FF423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03C5" w14:textId="77777777" w:rsidR="00857D8F" w:rsidRDefault="00857D8F" w:rsidP="00FF423E">
    <w:pPr>
      <w:pStyle w:val="Header"/>
      <w:tabs>
        <w:tab w:val="clear" w:pos="4150"/>
        <w:tab w:val="clear" w:pos="8307"/>
      </w:tabs>
    </w:pPr>
    <w:r>
      <w:rPr>
        <w:noProof/>
      </w:rPr>
      <mc:AlternateContent>
        <mc:Choice Requires="wps">
          <w:drawing>
            <wp:anchor distT="0" distB="0" distL="114300" distR="114300" simplePos="0" relativeHeight="251667456"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0A2E7DC4"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349B701A"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10" o:spid="_x0000_s1060" type="#_x0000_t202" style="position:absolute;margin-left:0;margin-top:11.3pt;width:347.25pt;height:3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55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Spr2Jy8csSqx11ssN+&#10;yL0V84YKuAAf7sDRVFOP0qYKt3QojVQlHCTOanQ//vQ94mnY6JXKSluCOub7GhwVWX8xNIZno8kk&#10;rpV0mUxPx3Rxz1+Wz1/Mur1CatYR7UQrkhjxQe9F5bB9pIU2i17pCYwg3yWnfu3Fq9DvLlqIQs5m&#10;CUSLxEJYmHsr9gMcG/ehewRnh8EKNJI3uN8nULyYrx4b62Nwtg6omjR8R1YH/mkJpQEbFmbccs/v&#10;CXVc6xc/AQ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DFPi550gIAAB4GAAAOAAAAAAAAAAAAAAAAAC4CAABkcnMvZTJvRG9j&#10;LnhtbFBLAQItABQABgAIAAAAIQDmCt+63AAAAAYBAAAPAAAAAAAAAAAAAAAAACwFAABkcnMvZG93&#10;bnJldi54bWxQSwUGAAAAAAQABADzAAAANQYAAAAA&#10;" stroked="f">
              <v:stroke joinstyle="round"/>
              <v:path arrowok="t"/>
              <v:textbox>
                <w:txbxContent>
                  <w:p w14:paraId="0A2E7DC4"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349B701A"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3B128" w14:textId="77777777" w:rsidR="00857D8F" w:rsidRPr="00AD0200" w:rsidRDefault="00857D8F" w:rsidP="00FF423E">
    <w:pPr>
      <w:pStyle w:val="Header"/>
      <w:tabs>
        <w:tab w:val="clear" w:pos="4150"/>
        <w:tab w:val="clear" w:pos="8307"/>
      </w:tabs>
    </w:pPr>
    <w:r>
      <w:rPr>
        <w:noProof/>
      </w:rPr>
      <mc:AlternateContent>
        <mc:Choice Requires="wps">
          <w:drawing>
            <wp:anchor distT="0" distB="0" distL="114300" distR="114300" simplePos="0" relativeHeight="251669504"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194BD69E"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0D7539C7"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12" o:spid="_x0000_s1061" type="#_x0000_t202" style="position:absolute;margin-left:0;margin-top:11.3pt;width:347.25pt;height:31.5pt;z-index:-25164697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GGs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LPo3JxS9LrHbUyQ77&#10;IfdWzBsq4AJ8uANHU009Spsq3NKhNFKVcJA4q9H9+NP3iKdho1cqK20J6pjva3BUZP3F0BiejSaT&#10;uFbSZTI9HdPFPX9ZPn8x6/YKqVlHtBOtSGLEB70XlcP2kRbaLHqlJzCCfJec+rUXr0K/u2ghCjmb&#10;JRAtEgthYe6t2A9wbNyH7hGcHQYr0Eje4H6fQPFivnpsrI/B2TqgatLwHVkd+KcllAZsWJhxyz2/&#10;J9RxrV/8BA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C6jGGs0gIAAB4GAAAOAAAAAAAAAAAAAAAAAC4CAABkcnMvZTJvRG9j&#10;LnhtbFBLAQItABQABgAIAAAAIQDmCt+63AAAAAYBAAAPAAAAAAAAAAAAAAAAACwFAABkcnMvZG93&#10;bnJldi54bWxQSwUGAAAAAAQABADzAAAANQYAAAAA&#10;" stroked="f">
              <v:stroke joinstyle="round"/>
              <v:path arrowok="t"/>
              <v:textbox>
                <w:txbxContent>
                  <w:p w14:paraId="194BD69E"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0D7539C7"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65363A9E" w14:textId="77777777" w:rsidR="00857D8F" w:rsidRPr="007A1328" w:rsidRDefault="00857D8F" w:rsidP="0051288D">
    <w:pPr>
      <w:jc w:val="right"/>
      <w:rPr>
        <w:sz w:val="20"/>
      </w:rPr>
    </w:pPr>
  </w:p>
  <w:p w14:paraId="6C73A97F" w14:textId="77777777" w:rsidR="00857D8F" w:rsidRPr="0019492B" w:rsidRDefault="00857D8F" w:rsidP="0051288D">
    <w:pPr>
      <w:jc w:val="right"/>
      <w:rPr>
        <w:b/>
        <w:sz w:val="24"/>
      </w:rPr>
    </w:pPr>
    <w:r w:rsidRPr="0019492B">
      <w:rPr>
        <w:b/>
      </w:rPr>
      <w:t>Schedule 1—Default conditions on accreditations</w:t>
    </w:r>
  </w:p>
  <w:p w14:paraId="2C3A4EC5" w14:textId="77777777" w:rsidR="00857D8F" w:rsidRPr="007A1328" w:rsidRDefault="00857D8F" w:rsidP="0051288D">
    <w:pPr>
      <w:pBdr>
        <w:bottom w:val="single" w:sz="6" w:space="1" w:color="auto"/>
      </w:pBdr>
      <w:spacing w:after="120"/>
      <w:jc w:val="right"/>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48F62" w14:textId="77777777" w:rsidR="00857D8F" w:rsidRPr="00FF423E" w:rsidRDefault="00857D8F" w:rsidP="00FF423E">
    <w:pPr>
      <w:pStyle w:val="Header"/>
      <w:tabs>
        <w:tab w:val="clear" w:pos="4150"/>
        <w:tab w:val="clear" w:pos="8307"/>
      </w:tabs>
    </w:pPr>
    <w:r>
      <w:rPr>
        <w:noProof/>
      </w:rPr>
      <mc:AlternateContent>
        <mc:Choice Requires="wps">
          <w:drawing>
            <wp:anchor distT="0" distB="0" distL="114300" distR="114300" simplePos="0" relativeHeight="251671552"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93B0BAA"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293B4629"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13" o:spid="_x0000_s1062" type="#_x0000_t202" style="position:absolute;margin-left:0;margin-top:11.3pt;width:347.25pt;height:31.5pt;z-index:-2516449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B6XMAI0gIAAB4GAAAOAAAAAAAAAAAAAAAAAC4CAABkcnMvZTJvRG9j&#10;LnhtbFBLAQItABQABgAIAAAAIQDmCt+63AAAAAYBAAAPAAAAAAAAAAAAAAAAACwFAABkcnMvZG93&#10;bnJldi54bWxQSwUGAAAAAAQABADzAAAANQYAAAAA&#10;" stroked="f">
              <v:stroke joinstyle="round"/>
              <v:path arrowok="t"/>
              <v:textbox>
                <w:txbxContent>
                  <w:p w14:paraId="393B0BAA"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293B4629"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61FF5EB8" w14:textId="77777777" w:rsidR="00857D8F" w:rsidRPr="007A1328" w:rsidRDefault="00857D8F" w:rsidP="0051288D">
    <w:pPr>
      <w:jc w:val="right"/>
      <w:rPr>
        <w:sz w:val="20"/>
      </w:rPr>
    </w:pPr>
  </w:p>
  <w:p w14:paraId="1CE1B228" w14:textId="77777777" w:rsidR="00857D8F" w:rsidRPr="007A1328" w:rsidRDefault="00857D8F" w:rsidP="0051288D">
    <w:pPr>
      <w:jc w:val="right"/>
      <w:rPr>
        <w:b/>
        <w:sz w:val="24"/>
      </w:rPr>
    </w:pPr>
    <w:r>
      <w:rPr>
        <w:b/>
        <w:sz w:val="24"/>
      </w:rPr>
      <w:t>Schedule 2</w:t>
    </w:r>
    <w:r>
      <w:rPr>
        <w:rFonts w:cs="Times New Roman"/>
        <w:b/>
        <w:sz w:val="24"/>
      </w:rPr>
      <w:t>—</w:t>
    </w:r>
    <w:r w:rsidRPr="00AA730A">
      <w:rPr>
        <w:b/>
        <w:sz w:val="24"/>
      </w:rPr>
      <w:t>Steps for privacy safeguard 12—security of CDR data held by accredited data recipients</w:t>
    </w:r>
  </w:p>
  <w:p w14:paraId="197C5EEF" w14:textId="77777777" w:rsidR="00857D8F" w:rsidRPr="007A1328" w:rsidRDefault="00857D8F" w:rsidP="0051288D">
    <w:pPr>
      <w:pBdr>
        <w:bottom w:val="single" w:sz="6" w:space="1" w:color="auto"/>
      </w:pBdr>
      <w:spacing w:after="120"/>
      <w:jc w:val="right"/>
      <w:rPr>
        <w:sz w:val="24"/>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19BD9" w14:textId="77777777" w:rsidR="00857D8F" w:rsidRDefault="00857D8F" w:rsidP="00FF423E">
    <w:pPr>
      <w:pStyle w:val="Header"/>
      <w:tabs>
        <w:tab w:val="clear" w:pos="4150"/>
        <w:tab w:val="clear" w:pos="8307"/>
      </w:tabs>
    </w:pPr>
    <w:r>
      <w:rPr>
        <w:sz w:val="20"/>
      </w:rPr>
      <w:tab/>
    </w:r>
    <w:r>
      <w:rPr>
        <w:noProof/>
      </w:rPr>
      <mc:AlternateContent>
        <mc:Choice Requires="wps">
          <w:drawing>
            <wp:anchor distT="0" distB="0" distL="114300" distR="114300" simplePos="0" relativeHeight="251673600"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AE47BE6"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5A721F1D"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14" o:spid="_x0000_s1063" type="#_x0000_t202" style="position:absolute;margin-left:0;margin-top:11.3pt;width:347.25pt;height:31.5pt;z-index:-25164288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o/d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LfhqTi1+WWO2okx32&#10;Q+6tmDdUwAX4cAeOppp6lDZVuKVDaaQq4SBxVqP78afvEU/DRq9UVtoS1DHf1+CoyPqLoTE8G00m&#10;ca2ky2R6OqaLe/6yfP5i1u0VUrOOaCdakcSID3ovKoftIy20WfRKT2AE+S459WsvXoV+d9FCFHI2&#10;SyBaJBbCwtxbsR/g2LgP3SM4OwxWoJG8wf0+geLFfPXYWB+Ds3VA1aThO7I68E9LKA3YsDDjlnt+&#10;T6jjWr/4CQ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AF7o/d0gIAAB4GAAAOAAAAAAAAAAAAAAAAAC4CAABkcnMvZTJvRG9j&#10;LnhtbFBLAQItABQABgAIAAAAIQDmCt+63AAAAAYBAAAPAAAAAAAAAAAAAAAAACwFAABkcnMvZG93&#10;bnJldi54bWxQSwUGAAAAAAQABADzAAAANQYAAAAA&#10;" stroked="f">
              <v:stroke joinstyle="round"/>
              <v:path arrowok="t"/>
              <v:textbox>
                <w:txbxContent>
                  <w:p w14:paraId="6AE47BE6"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5A721F1D"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67207F6A" w14:textId="77777777" w:rsidR="00857D8F" w:rsidRPr="00AD0200" w:rsidRDefault="00857D8F" w:rsidP="00FF423E">
    <w:pPr>
      <w:pStyle w:val="Header"/>
    </w:pPr>
  </w:p>
  <w:p w14:paraId="64C4E437" w14:textId="77777777" w:rsidR="00857D8F" w:rsidRPr="007A1328" w:rsidRDefault="00857D8F" w:rsidP="0051288D">
    <w:pPr>
      <w:jc w:val="right"/>
      <w:rPr>
        <w:sz w:val="20"/>
      </w:rPr>
    </w:pPr>
  </w:p>
  <w:p w14:paraId="70740298" w14:textId="77777777" w:rsidR="00857D8F" w:rsidRPr="007A1328" w:rsidRDefault="00857D8F" w:rsidP="0051288D">
    <w:pPr>
      <w:jc w:val="right"/>
      <w:rPr>
        <w:sz w:val="20"/>
      </w:rPr>
    </w:pPr>
  </w:p>
  <w:p w14:paraId="2D9481A6" w14:textId="77777777" w:rsidR="00857D8F" w:rsidRPr="007A1328" w:rsidRDefault="00857D8F" w:rsidP="0051288D">
    <w:pPr>
      <w:jc w:val="right"/>
      <w:rPr>
        <w:b/>
        <w:sz w:val="24"/>
      </w:rPr>
    </w:pPr>
    <w:r>
      <w:rPr>
        <w:b/>
        <w:sz w:val="24"/>
      </w:rPr>
      <w:t>Schedule 3</w:t>
    </w:r>
    <w:r>
      <w:rPr>
        <w:rFonts w:cs="Times New Roman"/>
        <w:b/>
        <w:sz w:val="24"/>
      </w:rPr>
      <w:t>—</w:t>
    </w:r>
    <w:r>
      <w:rPr>
        <w:b/>
        <w:sz w:val="24"/>
      </w:rPr>
      <w:t>Provisions relevant to the banking sector</w:t>
    </w:r>
  </w:p>
  <w:p w14:paraId="353E7DAB" w14:textId="77777777" w:rsidR="00857D8F" w:rsidRPr="007A1328" w:rsidRDefault="00857D8F" w:rsidP="0051288D">
    <w:pPr>
      <w:pBdr>
        <w:bottom w:val="single" w:sz="6" w:space="1" w:color="auto"/>
      </w:pBdr>
      <w:spacing w:after="120"/>
      <w:jc w:val="right"/>
      <w:rPr>
        <w:sz w:val="24"/>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88605" w14:textId="77777777" w:rsidR="00857D8F" w:rsidRPr="00FF423E" w:rsidRDefault="00857D8F" w:rsidP="00FF423E">
    <w:pPr>
      <w:pStyle w:val="Header"/>
      <w:tabs>
        <w:tab w:val="clear" w:pos="4150"/>
        <w:tab w:val="clear" w:pos="8307"/>
      </w:tabs>
    </w:pPr>
    <w:r>
      <w:rPr>
        <w:noProof/>
      </w:rPr>
      <mc:AlternateContent>
        <mc:Choice Requires="wps">
          <w:drawing>
            <wp:anchor distT="0" distB="0" distL="114300" distR="114300" simplePos="0" relativeHeight="251675648"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372544C"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7418AD37"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15" o:spid="_x0000_s1064" type="#_x0000_t202" style="position:absolute;margin-left:0;margin-top:11.3pt;width:347.25pt;height:31.5pt;z-index:-25164083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AGdzqG0gIAAB4GAAAOAAAAAAAAAAAAAAAAAC4CAABkcnMvZTJvRG9j&#10;LnhtbFBLAQItABQABgAIAAAAIQDmCt+63AAAAAYBAAAPAAAAAAAAAAAAAAAAACwFAABkcnMvZG93&#10;bnJldi54bWxQSwUGAAAAAAQABADzAAAANQYAAAAA&#10;" stroked="f">
              <v:stroke joinstyle="round"/>
              <v:path arrowok="t"/>
              <v:textbox>
                <w:txbxContent>
                  <w:p w14:paraId="2372544C"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7418AD37"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71BA0D5D" w14:textId="77777777" w:rsidR="00857D8F" w:rsidRPr="007A1328" w:rsidRDefault="00857D8F" w:rsidP="0051288D">
    <w:pPr>
      <w:jc w:val="right"/>
      <w:rPr>
        <w:sz w:val="20"/>
      </w:rPr>
    </w:pPr>
  </w:p>
  <w:p w14:paraId="099FA8B1" w14:textId="77777777" w:rsidR="00857D8F" w:rsidRPr="007A1328" w:rsidRDefault="00857D8F" w:rsidP="0051288D">
    <w:pPr>
      <w:jc w:val="right"/>
      <w:rPr>
        <w:b/>
        <w:sz w:val="24"/>
      </w:rPr>
    </w:pPr>
    <w:r>
      <w:rPr>
        <w:b/>
        <w:sz w:val="24"/>
      </w:rPr>
      <w:t>Schedule 3</w:t>
    </w:r>
    <w:r>
      <w:rPr>
        <w:rFonts w:cs="Times New Roman"/>
        <w:b/>
        <w:sz w:val="24"/>
      </w:rPr>
      <w:t>—</w:t>
    </w:r>
    <w:r>
      <w:rPr>
        <w:b/>
        <w:sz w:val="24"/>
      </w:rPr>
      <w:t>Provisions relevant to the banking sector</w:t>
    </w:r>
  </w:p>
  <w:p w14:paraId="4D17442C" w14:textId="77777777" w:rsidR="00857D8F" w:rsidRPr="007A1328" w:rsidRDefault="00857D8F" w:rsidP="0051288D">
    <w:pPr>
      <w:pBdr>
        <w:bottom w:val="single" w:sz="6" w:space="1" w:color="auto"/>
      </w:pBdr>
      <w:spacing w:after="120"/>
      <w:jc w:val="right"/>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3BC51" w14:textId="77777777" w:rsidR="00857D8F" w:rsidRPr="00FF423E" w:rsidRDefault="00857D8F" w:rsidP="00FF423E">
    <w:pPr>
      <w:pStyle w:val="Header"/>
      <w:tabs>
        <w:tab w:val="clear" w:pos="4150"/>
        <w:tab w:val="clear" w:pos="8307"/>
      </w:tabs>
    </w:pPr>
    <w:r>
      <w:rPr>
        <w:noProof/>
      </w:rPr>
      <mc:AlternateContent>
        <mc:Choice Requires="wps">
          <w:drawing>
            <wp:anchor distT="0" distB="0" distL="114300" distR="114300" simplePos="0" relativeHeight="251677696"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766F0D0C"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1D54844A"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16" o:spid="_x0000_s1065" type="#_x0000_t202" style="position:absolute;margin-left:0;margin-top:11.3pt;width:347.25pt;height:31.5pt;z-index:-25163878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XVT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SpsjG5+GWJ1Y462WE/&#10;5N6KeUMFXIAPd+BoqqlHaVOFWzqURqoSDhJnNboff/oe8TRs9EplpS1BHfN9DY6KrL8YGsOz0WQS&#10;10q6TKanY7q45y/L5y9m3V4hNeuIdqIVSYz4oPeictg+0kKbRa/0BEaQ75JTv/biVeh3Fy1EIWez&#10;BKJFYiEszL0V+wGOjfvQPYKzw2AFGskb3O8TKF7MV4+N9TE4WwdUTRq+I6sD/7SE0oANCzNuuef3&#10;hDqu9YufAA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B5xXVT0gIAAB4GAAAOAAAAAAAAAAAAAAAAAC4CAABkcnMvZTJvRG9j&#10;LnhtbFBLAQItABQABgAIAAAAIQDmCt+63AAAAAYBAAAPAAAAAAAAAAAAAAAAACwFAABkcnMvZG93&#10;bnJldi54bWxQSwUGAAAAAAQABADzAAAANQYAAAAA&#10;" stroked="f">
              <v:stroke joinstyle="round"/>
              <v:path arrowok="t"/>
              <v:textbox>
                <w:txbxContent>
                  <w:p w14:paraId="766F0D0C"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1D54844A"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4E63D955" w14:textId="77777777" w:rsidR="00857D8F" w:rsidRPr="007A1328" w:rsidRDefault="00857D8F" w:rsidP="0051288D">
    <w:pPr>
      <w:jc w:val="right"/>
      <w:rPr>
        <w:sz w:val="20"/>
      </w:rPr>
    </w:pPr>
  </w:p>
  <w:p w14:paraId="67957289" w14:textId="77777777" w:rsidR="00857D8F" w:rsidRPr="007A1328" w:rsidRDefault="00857D8F" w:rsidP="0051288D">
    <w:pPr>
      <w:jc w:val="right"/>
      <w:rPr>
        <w:b/>
        <w:sz w:val="24"/>
      </w:rPr>
    </w:pPr>
    <w:r>
      <w:rPr>
        <w:b/>
        <w:sz w:val="24"/>
      </w:rPr>
      <w:t>Schedule 4</w:t>
    </w:r>
    <w:r>
      <w:rPr>
        <w:rFonts w:cs="Times New Roman"/>
        <w:b/>
        <w:sz w:val="24"/>
      </w:rPr>
      <w:t>—</w:t>
    </w:r>
    <w:r>
      <w:rPr>
        <w:b/>
        <w:sz w:val="24"/>
      </w:rPr>
      <w:t>Provisions relevant to the energy sector</w:t>
    </w:r>
  </w:p>
  <w:p w14:paraId="6B57D7BF" w14:textId="77777777" w:rsidR="00857D8F" w:rsidRPr="007A1328" w:rsidRDefault="00857D8F" w:rsidP="0051288D">
    <w:pPr>
      <w:pBdr>
        <w:bottom w:val="single" w:sz="6" w:space="1" w:color="auto"/>
      </w:pBdr>
      <w:spacing w:after="120"/>
      <w:jc w:val="right"/>
      <w:rPr>
        <w:sz w:val="24"/>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F25B" w14:textId="77777777" w:rsidR="00857D8F" w:rsidRDefault="00857D8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DF6F5" w14:textId="77777777" w:rsidR="00857D8F" w:rsidRDefault="00857D8F" w:rsidP="00FF423E">
    <w:pPr>
      <w:pStyle w:val="Header"/>
      <w:tabs>
        <w:tab w:val="clear" w:pos="4150"/>
        <w:tab w:val="clear" w:pos="8307"/>
      </w:tabs>
    </w:pPr>
    <w:r>
      <w:rPr>
        <w:noProof/>
      </w:rPr>
      <mc:AlternateContent>
        <mc:Choice Requires="wps">
          <w:drawing>
            <wp:anchor distT="0" distB="0" distL="114300" distR="114300" simplePos="0" relativeHeight="251679744"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ED33AE4"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6887292C"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17" o:spid="_x0000_s1066" type="#_x0000_t202" style="position:absolute;margin-left:0;margin-top:11.3pt;width:347.25pt;height:31.5pt;z-index:-25163673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Dlmh1g0gIAAB8GAAAOAAAAAAAAAAAAAAAAAC4CAABkcnMvZTJvRG9j&#10;LnhtbFBLAQItABQABgAIAAAAIQDmCt+63AAAAAYBAAAPAAAAAAAAAAAAAAAAACwFAABkcnMvZG93&#10;bnJldi54bWxQSwUGAAAAAAQABADzAAAANQYAAAAA&#10;" stroked="f">
              <v:stroke joinstyle="round"/>
              <v:path arrowok="t"/>
              <v:textbox>
                <w:txbxContent>
                  <w:p w14:paraId="5ED33AE4"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6887292C"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24436FDA" w14:textId="77777777" w:rsidR="00857D8F" w:rsidRPr="007A1328" w:rsidRDefault="00857D8F" w:rsidP="0051288D">
    <w:pPr>
      <w:jc w:val="right"/>
      <w:rPr>
        <w:sz w:val="20"/>
      </w:rPr>
    </w:pPr>
  </w:p>
  <w:p w14:paraId="4A26C321" w14:textId="77777777" w:rsidR="00857D8F" w:rsidRPr="007A1328" w:rsidRDefault="00857D8F" w:rsidP="0051288D">
    <w:pPr>
      <w:jc w:val="right"/>
      <w:rPr>
        <w:b/>
        <w:sz w:val="24"/>
      </w:rPr>
    </w:pPr>
    <w:r>
      <w:rPr>
        <w:b/>
        <w:sz w:val="24"/>
      </w:rPr>
      <w:t>Schedule 5</w:t>
    </w:r>
    <w:r>
      <w:rPr>
        <w:rFonts w:cs="Times New Roman"/>
        <w:b/>
        <w:sz w:val="24"/>
      </w:rPr>
      <w:t>—</w:t>
    </w:r>
    <w:r>
      <w:rPr>
        <w:b/>
        <w:sz w:val="24"/>
      </w:rPr>
      <w:t>Provisions relevant to the telecommunications sector</w:t>
    </w:r>
  </w:p>
  <w:p w14:paraId="4C18A706" w14:textId="77777777" w:rsidR="00857D8F" w:rsidRPr="007A1328" w:rsidRDefault="00857D8F" w:rsidP="0051288D">
    <w:pPr>
      <w:pBdr>
        <w:bottom w:val="single" w:sz="6" w:space="1" w:color="auto"/>
      </w:pBdr>
      <w:spacing w:after="120"/>
      <w:jc w:val="right"/>
      <w:rPr>
        <w:sz w:val="24"/>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A671" w14:textId="77777777" w:rsidR="00857D8F" w:rsidRDefault="00857D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55901" w14:textId="77777777" w:rsidR="00857D8F" w:rsidRPr="005F1388" w:rsidRDefault="00857D8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46B96" w14:textId="77777777" w:rsidR="00857D8F" w:rsidRDefault="00857D8F" w:rsidP="002F1467">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258A74A7" wp14:editId="4BA9EB1B">
              <wp:simplePos x="0" y="0"/>
              <wp:positionH relativeFrom="column">
                <wp:align>center</wp:align>
              </wp:positionH>
              <wp:positionV relativeFrom="page">
                <wp:posOffset>143510</wp:posOffset>
              </wp:positionV>
              <wp:extent cx="4410075" cy="4000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25ACB6B5" w14:textId="77777777" w:rsidR="00857D8F" w:rsidRPr="0098593D" w:rsidRDefault="00857D8F" w:rsidP="002F1467">
                          <w:pPr>
                            <w:jc w:val="center"/>
                            <w:rPr>
                              <w:rFonts w:ascii="Arial" w:hAnsi="Arial" w:cs="Arial"/>
                              <w:sz w:val="40"/>
                            </w:rPr>
                          </w:pPr>
                          <w:r w:rsidRPr="0098593D">
                            <w:rPr>
                              <w:rFonts w:ascii="Arial" w:hAnsi="Arial" w:cs="Arial"/>
                              <w:sz w:val="40"/>
                            </w:rPr>
                            <w:t>Exposure Draft</w:t>
                          </w:r>
                        </w:p>
                        <w:p w14:paraId="6DE9FC17" w14:textId="77777777" w:rsidR="00857D8F" w:rsidRPr="0098593D" w:rsidRDefault="00857D8F" w:rsidP="002F1467">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A74A7" id="_x0000_t202" coordsize="21600,21600" o:spt="202" path="m,l,21600r21600,l21600,xe">
              <v:stroke joinstyle="miter"/>
              <v:path gradientshapeok="t" o:connecttype="rect"/>
            </v:shapetype>
            <v:shape id="Text Box 1" o:spid="_x0000_s1056"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xeyzgIAABc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" stroked="f">
              <v:stroke joinstyle="round"/>
              <v:path arrowok="t"/>
              <v:textbox>
                <w:txbxContent>
                  <w:p w14:paraId="25ACB6B5" w14:textId="77777777" w:rsidR="00857D8F" w:rsidRPr="0098593D" w:rsidRDefault="00857D8F" w:rsidP="002F1467">
                    <w:pPr>
                      <w:jc w:val="center"/>
                      <w:rPr>
                        <w:rFonts w:ascii="Arial" w:hAnsi="Arial" w:cs="Arial"/>
                        <w:sz w:val="40"/>
                      </w:rPr>
                    </w:pPr>
                    <w:r w:rsidRPr="0098593D">
                      <w:rPr>
                        <w:rFonts w:ascii="Arial" w:hAnsi="Arial" w:cs="Arial"/>
                        <w:sz w:val="40"/>
                      </w:rPr>
                      <w:t>Exposure Draft</w:t>
                    </w:r>
                  </w:p>
                  <w:p w14:paraId="6DE9FC17" w14:textId="77777777" w:rsidR="00857D8F" w:rsidRPr="0098593D" w:rsidRDefault="00857D8F" w:rsidP="002F1467">
                    <w:pPr>
                      <w:jc w:val="center"/>
                      <w:rPr>
                        <w:rFonts w:asciiTheme="minorHAnsi" w:hAnsiTheme="minorHAnsi" w:cstheme="minorHAnsi"/>
                        <w:sz w:val="40"/>
                        <w:szCs w:val="40"/>
                      </w:rPr>
                    </w:pPr>
                  </w:p>
                </w:txbxContent>
              </v:textbox>
              <w10:wrap anchory="page"/>
            </v:shape>
          </w:pict>
        </mc:Fallback>
      </mc:AlternateContent>
    </w:r>
  </w:p>
  <w:p w14:paraId="4479035A" w14:textId="77777777" w:rsidR="00857D8F" w:rsidRPr="00AD0200" w:rsidRDefault="00857D8F" w:rsidP="002F1467">
    <w:pPr>
      <w:pStyle w:val="Header"/>
    </w:pPr>
  </w:p>
  <w:p w14:paraId="71827D6B" w14:textId="77777777" w:rsidR="00857D8F" w:rsidRPr="002F1467" w:rsidRDefault="00857D8F" w:rsidP="002F14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CC781" w14:textId="77777777" w:rsidR="00857D8F" w:rsidRPr="00ED79B6" w:rsidRDefault="00857D8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280BB" w14:textId="77777777" w:rsidR="00857D8F" w:rsidRDefault="00857D8F" w:rsidP="002F1467">
    <w:pPr>
      <w:pStyle w:val="Header"/>
      <w:tabs>
        <w:tab w:val="clear" w:pos="4150"/>
        <w:tab w:val="clear" w:pos="8307"/>
      </w:tabs>
    </w:pPr>
    <w:r>
      <w:rPr>
        <w:noProof/>
      </w:rPr>
      <mc:AlternateContent>
        <mc:Choice Requires="wps">
          <w:drawing>
            <wp:anchor distT="0" distB="0" distL="114300" distR="114300" simplePos="0" relativeHeight="251661312" behindDoc="1" locked="0" layoutInCell="1" allowOverlap="1" wp14:anchorId="740BD514" wp14:editId="04FA438D">
              <wp:simplePos x="0" y="0"/>
              <wp:positionH relativeFrom="column">
                <wp:align>center</wp:align>
              </wp:positionH>
              <wp:positionV relativeFrom="page">
                <wp:posOffset>143510</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56C87227" w14:textId="77777777" w:rsidR="00857D8F" w:rsidRPr="0098593D" w:rsidRDefault="00857D8F" w:rsidP="002F1467">
                          <w:pPr>
                            <w:jc w:val="center"/>
                            <w:rPr>
                              <w:rFonts w:ascii="Arial" w:hAnsi="Arial" w:cs="Arial"/>
                              <w:sz w:val="40"/>
                            </w:rPr>
                          </w:pPr>
                          <w:r w:rsidRPr="0098593D">
                            <w:rPr>
                              <w:rFonts w:ascii="Arial" w:hAnsi="Arial" w:cs="Arial"/>
                              <w:sz w:val="40"/>
                            </w:rPr>
                            <w:t>Exposure Draft</w:t>
                          </w:r>
                        </w:p>
                        <w:p w14:paraId="62D0237F" w14:textId="77777777" w:rsidR="00857D8F" w:rsidRPr="0098593D" w:rsidRDefault="00857D8F" w:rsidP="002F1467">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0BD514" id="_x0000_t202" coordsize="21600,21600" o:spt="202" path="m,l,21600r21600,l21600,xe">
              <v:stroke joinstyle="miter"/>
              <v:path gradientshapeok="t" o:connecttype="rect"/>
            </v:shapetype>
            <v:shape id="Text Box 6" o:spid="_x0000_s1057" type="#_x0000_t202" style="position:absolute;margin-left:0;margin-top:11.3pt;width:347.25pt;height:3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DESb1P0gIAAB4GAAAOAAAAAAAAAAAAAAAAAC4CAABkcnMvZTJvRG9j&#10;LnhtbFBLAQItABQABgAIAAAAIQDmCt+63AAAAAYBAAAPAAAAAAAAAAAAAAAAACwFAABkcnMvZG93&#10;bnJldi54bWxQSwUGAAAAAAQABADzAAAANQYAAAAA&#10;" stroked="f">
              <v:stroke joinstyle="round"/>
              <v:path arrowok="t"/>
              <v:textbox>
                <w:txbxContent>
                  <w:p w14:paraId="56C87227" w14:textId="77777777" w:rsidR="00857D8F" w:rsidRPr="0098593D" w:rsidRDefault="00857D8F" w:rsidP="002F1467">
                    <w:pPr>
                      <w:jc w:val="center"/>
                      <w:rPr>
                        <w:rFonts w:ascii="Arial" w:hAnsi="Arial" w:cs="Arial"/>
                        <w:sz w:val="40"/>
                      </w:rPr>
                    </w:pPr>
                    <w:r w:rsidRPr="0098593D">
                      <w:rPr>
                        <w:rFonts w:ascii="Arial" w:hAnsi="Arial" w:cs="Arial"/>
                        <w:sz w:val="40"/>
                      </w:rPr>
                      <w:t>Exposure Draft</w:t>
                    </w:r>
                  </w:p>
                  <w:p w14:paraId="62D0237F" w14:textId="77777777" w:rsidR="00857D8F" w:rsidRPr="0098593D" w:rsidRDefault="00857D8F" w:rsidP="002F1467">
                    <w:pPr>
                      <w:jc w:val="center"/>
                      <w:rPr>
                        <w:rFonts w:asciiTheme="minorHAnsi" w:hAnsiTheme="minorHAnsi" w:cstheme="minorHAnsi"/>
                        <w:sz w:val="40"/>
                        <w:szCs w:val="40"/>
                      </w:rPr>
                    </w:pPr>
                  </w:p>
                </w:txbxContent>
              </v:textbox>
              <w10:wrap anchory="page"/>
            </v:shape>
          </w:pict>
        </mc:Fallback>
      </mc:AlternateContent>
    </w:r>
  </w:p>
  <w:p w14:paraId="65EEBD77" w14:textId="77777777" w:rsidR="00857D8F" w:rsidRPr="00AD0200" w:rsidRDefault="00857D8F" w:rsidP="002F146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94148" w14:textId="77777777" w:rsidR="00857D8F" w:rsidRPr="00ED79B6" w:rsidRDefault="00857D8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556D1" w14:textId="77777777" w:rsidR="00857D8F" w:rsidRDefault="00857D8F" w:rsidP="0051288D">
    <w:pPr>
      <w:rPr>
        <w:sz w:val="20"/>
      </w:rPr>
    </w:pPr>
  </w:p>
  <w:p w14:paraId="00404CC6" w14:textId="77777777" w:rsidR="00857D8F" w:rsidRDefault="00857D8F" w:rsidP="0051288D">
    <w:pPr>
      <w:rPr>
        <w:sz w:val="20"/>
      </w:rPr>
    </w:pPr>
  </w:p>
  <w:p w14:paraId="3DCDE7ED" w14:textId="77777777" w:rsidR="00857D8F" w:rsidRPr="007A1328" w:rsidRDefault="00857D8F" w:rsidP="0051288D">
    <w:pPr>
      <w:rPr>
        <w:sz w:val="20"/>
      </w:rPr>
    </w:pPr>
  </w:p>
  <w:p w14:paraId="1F473815" w14:textId="77777777" w:rsidR="00857D8F" w:rsidRPr="007A1328" w:rsidRDefault="00857D8F" w:rsidP="0051288D">
    <w:pPr>
      <w:rPr>
        <w:b/>
        <w:sz w:val="24"/>
      </w:rPr>
    </w:pPr>
  </w:p>
  <w:p w14:paraId="0A3F3C59" w14:textId="77777777" w:rsidR="00857D8F" w:rsidRPr="007A1328" w:rsidRDefault="00857D8F" w:rsidP="0051288D">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A15AC" w14:textId="77777777" w:rsidR="00857D8F" w:rsidRDefault="00857D8F" w:rsidP="00FF423E">
    <w:pPr>
      <w:pStyle w:val="Header"/>
      <w:tabs>
        <w:tab w:val="clear" w:pos="4150"/>
        <w:tab w:val="clear" w:pos="8307"/>
      </w:tabs>
    </w:pPr>
    <w:r>
      <w:rPr>
        <w:noProof/>
      </w:rPr>
      <mc:AlternateContent>
        <mc:Choice Requires="wps">
          <w:drawing>
            <wp:anchor distT="0" distB="0" distL="114300" distR="114300" simplePos="0" relativeHeight="251663360" behindDoc="1" locked="0" layoutInCell="1" allowOverlap="1" wp14:anchorId="099DACC5" wp14:editId="00F9A9A8">
              <wp:simplePos x="0" y="0"/>
              <wp:positionH relativeFrom="column">
                <wp:align>center</wp:align>
              </wp:positionH>
              <wp:positionV relativeFrom="page">
                <wp:posOffset>143510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693172F7"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29145B0D" w14:textId="77777777" w:rsidR="00857D8F" w:rsidRPr="0098593D" w:rsidRDefault="00857D8F" w:rsidP="00FF423E">
                          <w:pPr>
                            <w:jc w:val="center"/>
                            <w:rPr>
                              <w:rFonts w:asciiTheme="minorHAnsi" w:hAnsiTheme="minorHAnsi" w:cstheme="minorHAnsi"/>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9DACC5" id="_x0000_t202" coordsize="21600,21600" o:spt="202" path="m,l,21600r21600,l21600,xe">
              <v:stroke joinstyle="miter"/>
              <v:path gradientshapeok="t" o:connecttype="rect"/>
            </v:shapetype>
            <v:shape id="Text Box 7" o:spid="_x0000_s1058" type="#_x0000_t202" style="position:absolute;margin-left:0;margin-top:11.3pt;width:347.25pt;height: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" stroked="f">
              <v:stroke joinstyle="round"/>
              <v:path arrowok="t"/>
              <v:textbox>
                <w:txbxContent>
                  <w:p w14:paraId="693172F7" w14:textId="77777777" w:rsidR="00857D8F" w:rsidRPr="0098593D" w:rsidRDefault="00857D8F" w:rsidP="00FF423E">
                    <w:pPr>
                      <w:jc w:val="center"/>
                      <w:rPr>
                        <w:rFonts w:ascii="Arial" w:hAnsi="Arial" w:cs="Arial"/>
                        <w:sz w:val="40"/>
                      </w:rPr>
                    </w:pPr>
                    <w:r w:rsidRPr="0098593D">
                      <w:rPr>
                        <w:rFonts w:ascii="Arial" w:hAnsi="Arial" w:cs="Arial"/>
                        <w:sz w:val="40"/>
                      </w:rPr>
                      <w:t>Exposure Draft</w:t>
                    </w:r>
                  </w:p>
                  <w:p w14:paraId="29145B0D" w14:textId="77777777" w:rsidR="00857D8F" w:rsidRPr="0098593D" w:rsidRDefault="00857D8F" w:rsidP="00FF423E">
                    <w:pPr>
                      <w:jc w:val="center"/>
                      <w:rPr>
                        <w:rFonts w:asciiTheme="minorHAnsi" w:hAnsiTheme="minorHAnsi" w:cstheme="minorHAnsi"/>
                        <w:sz w:val="40"/>
                        <w:szCs w:val="40"/>
                      </w:rPr>
                    </w:pPr>
                  </w:p>
                </w:txbxContent>
              </v:textbox>
              <w10:wrap anchory="page"/>
            </v:shape>
          </w:pict>
        </mc:Fallback>
      </mc:AlternateContent>
    </w:r>
  </w:p>
  <w:p w14:paraId="0CF5DC17" w14:textId="77777777" w:rsidR="00857D8F" w:rsidRPr="00AD0200" w:rsidRDefault="00857D8F" w:rsidP="00FF423E">
    <w:pPr>
      <w:pStyle w:val="Header"/>
    </w:pPr>
  </w:p>
  <w:p w14:paraId="4F091414" w14:textId="77777777" w:rsidR="00857D8F" w:rsidRPr="00FF423E" w:rsidRDefault="00857D8F" w:rsidP="00FF423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BE64" w14:textId="77777777" w:rsidR="00857D8F" w:rsidRDefault="00857D8F" w:rsidP="0051288D">
    <w:pPr>
      <w:rPr>
        <w:sz w:val="20"/>
      </w:rPr>
    </w:pPr>
  </w:p>
  <w:p w14:paraId="262BC504" w14:textId="77777777" w:rsidR="00857D8F" w:rsidRDefault="00857D8F" w:rsidP="0051288D">
    <w:pPr>
      <w:rPr>
        <w:sz w:val="20"/>
      </w:rPr>
    </w:pPr>
  </w:p>
  <w:p w14:paraId="7831F740" w14:textId="77777777" w:rsidR="00857D8F" w:rsidRPr="007A1328" w:rsidRDefault="00857D8F" w:rsidP="0051288D">
    <w:pPr>
      <w:rPr>
        <w:sz w:val="20"/>
      </w:rPr>
    </w:pPr>
  </w:p>
  <w:p w14:paraId="2FE7596C" w14:textId="77777777" w:rsidR="00857D8F" w:rsidRPr="007A1328" w:rsidRDefault="00857D8F" w:rsidP="0051288D">
    <w:pPr>
      <w:rPr>
        <w:b/>
        <w:sz w:val="24"/>
      </w:rPr>
    </w:pPr>
  </w:p>
  <w:p w14:paraId="595E51C9" w14:textId="77777777" w:rsidR="00857D8F" w:rsidRPr="007A1328" w:rsidRDefault="00857D8F" w:rsidP="0051288D">
    <w:pPr>
      <w:pBdr>
        <w:bottom w:val="single" w:sz="6" w:space="1" w:color="auto"/>
      </w:pBdr>
      <w:spacing w:after="120"/>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multilevel"/>
    <w:tmpl w:val="0E78633E"/>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C4EAE526"/>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2"/>
      <w:lvlText w:val="%2.%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07E0959"/>
    <w:multiLevelType w:val="multilevel"/>
    <w:tmpl w:val="3E56FBDE"/>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3" w15:restartNumberingAfterBreak="0">
    <w:nsid w:val="02647770"/>
    <w:multiLevelType w:val="hybridMultilevel"/>
    <w:tmpl w:val="B89CCC66"/>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4" w15:restartNumberingAfterBreak="0">
    <w:nsid w:val="055660A2"/>
    <w:multiLevelType w:val="hybridMultilevel"/>
    <w:tmpl w:val="D5663352"/>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5" w15:restartNumberingAfterBreak="0">
    <w:nsid w:val="0DBA47DB"/>
    <w:multiLevelType w:val="hybridMultilevel"/>
    <w:tmpl w:val="AB9E4D2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40948C7"/>
    <w:multiLevelType w:val="hybridMultilevel"/>
    <w:tmpl w:val="81202F4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7"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327664"/>
    <w:multiLevelType w:val="multilevel"/>
    <w:tmpl w:val="F4B21BA6"/>
    <w:lvl w:ilvl="0">
      <w:start w:val="1"/>
      <w:numFmt w:val="decimal"/>
      <w:lvlText w:val="%1."/>
      <w:lvlJc w:val="left"/>
      <w:pPr>
        <w:tabs>
          <w:tab w:val="num" w:pos="709"/>
        </w:tabs>
        <w:ind w:left="0" w:hanging="709"/>
      </w:pPr>
      <w:rPr>
        <w:rFonts w:hint="default"/>
        <w:sz w:val="20"/>
      </w:rPr>
    </w:lvl>
    <w:lvl w:ilvl="1">
      <w:start w:val="1"/>
      <w:numFmt w:val="decimal"/>
      <w:lvlText w:val="%1.%2."/>
      <w:lvlJc w:val="left"/>
      <w:pPr>
        <w:tabs>
          <w:tab w:val="num" w:pos="709"/>
        </w:tabs>
        <w:ind w:left="0" w:hanging="709"/>
      </w:pPr>
      <w:rPr>
        <w:rFonts w:hint="default"/>
        <w:sz w:val="20"/>
      </w:rPr>
    </w:lvl>
    <w:lvl w:ilvl="2">
      <w:start w:val="1"/>
      <w:numFmt w:val="decimal"/>
      <w:lvlText w:val="%1.%2.%3."/>
      <w:lvlJc w:val="left"/>
      <w:pPr>
        <w:tabs>
          <w:tab w:val="num" w:pos="709"/>
        </w:tabs>
        <w:ind w:left="0" w:hanging="709"/>
      </w:pPr>
      <w:rPr>
        <w:rFonts w:hint="default"/>
        <w:sz w:val="20"/>
      </w:rPr>
    </w:lvl>
    <w:lvl w:ilvl="3">
      <w:start w:val="1"/>
      <w:numFmt w:val="lowerLetter"/>
      <w:lvlText w:val="%4."/>
      <w:lvlJc w:val="left"/>
      <w:pPr>
        <w:tabs>
          <w:tab w:val="num" w:pos="709"/>
        </w:tabs>
        <w:ind w:left="425" w:hanging="425"/>
      </w:pPr>
      <w:rPr>
        <w:rFonts w:hint="default"/>
      </w:rPr>
    </w:lvl>
    <w:lvl w:ilvl="4">
      <w:start w:val="1"/>
      <w:numFmt w:val="bullet"/>
      <w:lvlText w:val=""/>
      <w:lvlJc w:val="left"/>
      <w:pPr>
        <w:tabs>
          <w:tab w:val="num" w:pos="709"/>
        </w:tabs>
        <w:ind w:left="425" w:hanging="425"/>
      </w:pPr>
      <w:rPr>
        <w:rFonts w:ascii="Symbol" w:hAnsi="Symbol" w:hint="default"/>
        <w:b w:val="0"/>
        <w:i w:val="0"/>
        <w:color w:val="auto"/>
      </w:rPr>
    </w:lvl>
    <w:lvl w:ilvl="5">
      <w:start w:val="1"/>
      <w:numFmt w:val="bullet"/>
      <w:lvlText w:val="–"/>
      <w:lvlJc w:val="left"/>
      <w:pPr>
        <w:tabs>
          <w:tab w:val="num" w:pos="1418"/>
        </w:tabs>
        <w:ind w:left="851" w:hanging="426"/>
      </w:pPr>
      <w:rPr>
        <w:rFonts w:hint="default"/>
        <w:b w:val="0"/>
        <w:i w:val="0"/>
      </w:rPr>
    </w:lvl>
    <w:lvl w:ilvl="6">
      <w:start w:val="1"/>
      <w:numFmt w:val="bullet"/>
      <w:lvlText w:val="–"/>
      <w:lvlJc w:val="left"/>
      <w:pPr>
        <w:tabs>
          <w:tab w:val="num" w:pos="1843"/>
        </w:tabs>
        <w:ind w:left="1276" w:hanging="425"/>
      </w:pPr>
      <w:rPr>
        <w:rFonts w:hint="default"/>
        <w:b w:val="0"/>
        <w:i w:val="0"/>
      </w:rPr>
    </w:lvl>
    <w:lvl w:ilvl="7">
      <w:start w:val="1"/>
      <w:numFmt w:val="bullet"/>
      <w:lvlText w:val="–"/>
      <w:lvlJc w:val="left"/>
      <w:pPr>
        <w:tabs>
          <w:tab w:val="num" w:pos="2410"/>
        </w:tabs>
        <w:ind w:left="1701" w:hanging="425"/>
      </w:pPr>
      <w:rPr>
        <w:rFonts w:hint="default"/>
        <w:b w:val="0"/>
        <w:i w:val="0"/>
      </w:rPr>
    </w:lvl>
    <w:lvl w:ilvl="8">
      <w:start w:val="1"/>
      <w:numFmt w:val="bullet"/>
      <w:lvlText w:val="–"/>
      <w:lvlJc w:val="left"/>
      <w:pPr>
        <w:tabs>
          <w:tab w:val="num" w:pos="2835"/>
        </w:tabs>
        <w:ind w:left="2126" w:hanging="425"/>
      </w:pPr>
      <w:rPr>
        <w:rFonts w:hint="default"/>
        <w:b w:val="0"/>
        <w:i w:val="0"/>
      </w:rPr>
    </w:lvl>
  </w:abstractNum>
  <w:abstractNum w:abstractNumId="9"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0AC700F"/>
    <w:multiLevelType w:val="hybridMultilevel"/>
    <w:tmpl w:val="8C865D5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A7B2FD9"/>
    <w:multiLevelType w:val="multilevel"/>
    <w:tmpl w:val="F8C8D616"/>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04B4194"/>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4A586836"/>
    <w:multiLevelType w:val="hybridMultilevel"/>
    <w:tmpl w:val="6F769698"/>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15"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B3F392A"/>
    <w:multiLevelType w:val="hybridMultilevel"/>
    <w:tmpl w:val="58646ED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ED32CA"/>
    <w:multiLevelType w:val="hybridMultilevel"/>
    <w:tmpl w:val="2B1C5E4E"/>
    <w:lvl w:ilvl="0" w:tplc="16E6BD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19" w15:restartNumberingAfterBreak="0">
    <w:nsid w:val="78511A4E"/>
    <w:multiLevelType w:val="hybridMultilevel"/>
    <w:tmpl w:val="BD501A2C"/>
    <w:lvl w:ilvl="0" w:tplc="0C090001">
      <w:start w:val="1"/>
      <w:numFmt w:val="bullet"/>
      <w:lvlText w:val=""/>
      <w:lvlJc w:val="left"/>
      <w:pPr>
        <w:ind w:left="2345" w:hanging="360"/>
      </w:pPr>
      <w:rPr>
        <w:rFonts w:ascii="Symbol" w:hAnsi="Symbol" w:hint="default"/>
      </w:rPr>
    </w:lvl>
    <w:lvl w:ilvl="1" w:tplc="0C090003" w:tentative="1">
      <w:start w:val="1"/>
      <w:numFmt w:val="bullet"/>
      <w:lvlText w:val="o"/>
      <w:lvlJc w:val="left"/>
      <w:pPr>
        <w:ind w:left="3065" w:hanging="360"/>
      </w:pPr>
      <w:rPr>
        <w:rFonts w:ascii="Courier New" w:hAnsi="Courier New" w:cs="Courier New" w:hint="default"/>
      </w:rPr>
    </w:lvl>
    <w:lvl w:ilvl="2" w:tplc="0C090005" w:tentative="1">
      <w:start w:val="1"/>
      <w:numFmt w:val="bullet"/>
      <w:lvlText w:val=""/>
      <w:lvlJc w:val="left"/>
      <w:pPr>
        <w:ind w:left="3785" w:hanging="360"/>
      </w:pPr>
      <w:rPr>
        <w:rFonts w:ascii="Wingdings" w:hAnsi="Wingdings" w:hint="default"/>
      </w:rPr>
    </w:lvl>
    <w:lvl w:ilvl="3" w:tplc="0C090001" w:tentative="1">
      <w:start w:val="1"/>
      <w:numFmt w:val="bullet"/>
      <w:lvlText w:val=""/>
      <w:lvlJc w:val="left"/>
      <w:pPr>
        <w:ind w:left="4505" w:hanging="360"/>
      </w:pPr>
      <w:rPr>
        <w:rFonts w:ascii="Symbol" w:hAnsi="Symbol" w:hint="default"/>
      </w:rPr>
    </w:lvl>
    <w:lvl w:ilvl="4" w:tplc="0C090003" w:tentative="1">
      <w:start w:val="1"/>
      <w:numFmt w:val="bullet"/>
      <w:lvlText w:val="o"/>
      <w:lvlJc w:val="left"/>
      <w:pPr>
        <w:ind w:left="5225" w:hanging="360"/>
      </w:pPr>
      <w:rPr>
        <w:rFonts w:ascii="Courier New" w:hAnsi="Courier New" w:cs="Courier New" w:hint="default"/>
      </w:rPr>
    </w:lvl>
    <w:lvl w:ilvl="5" w:tplc="0C090005" w:tentative="1">
      <w:start w:val="1"/>
      <w:numFmt w:val="bullet"/>
      <w:lvlText w:val=""/>
      <w:lvlJc w:val="left"/>
      <w:pPr>
        <w:ind w:left="5945" w:hanging="360"/>
      </w:pPr>
      <w:rPr>
        <w:rFonts w:ascii="Wingdings" w:hAnsi="Wingdings" w:hint="default"/>
      </w:rPr>
    </w:lvl>
    <w:lvl w:ilvl="6" w:tplc="0C090001" w:tentative="1">
      <w:start w:val="1"/>
      <w:numFmt w:val="bullet"/>
      <w:lvlText w:val=""/>
      <w:lvlJc w:val="left"/>
      <w:pPr>
        <w:ind w:left="6665" w:hanging="360"/>
      </w:pPr>
      <w:rPr>
        <w:rFonts w:ascii="Symbol" w:hAnsi="Symbol" w:hint="default"/>
      </w:rPr>
    </w:lvl>
    <w:lvl w:ilvl="7" w:tplc="0C090003" w:tentative="1">
      <w:start w:val="1"/>
      <w:numFmt w:val="bullet"/>
      <w:lvlText w:val="o"/>
      <w:lvlJc w:val="left"/>
      <w:pPr>
        <w:ind w:left="7385" w:hanging="360"/>
      </w:pPr>
      <w:rPr>
        <w:rFonts w:ascii="Courier New" w:hAnsi="Courier New" w:cs="Courier New" w:hint="default"/>
      </w:rPr>
    </w:lvl>
    <w:lvl w:ilvl="8" w:tplc="0C090005" w:tentative="1">
      <w:start w:val="1"/>
      <w:numFmt w:val="bullet"/>
      <w:lvlText w:val=""/>
      <w:lvlJc w:val="left"/>
      <w:pPr>
        <w:ind w:left="8105" w:hanging="360"/>
      </w:pPr>
      <w:rPr>
        <w:rFonts w:ascii="Wingdings" w:hAnsi="Wingdings" w:hint="default"/>
      </w:rPr>
    </w:lvl>
  </w:abstractNum>
  <w:num w:numId="1">
    <w:abstractNumId w:val="0"/>
  </w:num>
  <w:num w:numId="2">
    <w:abstractNumId w:val="10"/>
  </w:num>
  <w:num w:numId="3">
    <w:abstractNumId w:val="7"/>
  </w:num>
  <w:num w:numId="4">
    <w:abstractNumId w:val="13"/>
  </w:num>
  <w:num w:numId="5">
    <w:abstractNumId w:val="9"/>
  </w:num>
  <w:num w:numId="6">
    <w:abstractNumId w:val="8"/>
  </w:num>
  <w:num w:numId="7">
    <w:abstractNumId w:val="15"/>
  </w:num>
  <w:num w:numId="8">
    <w:abstractNumId w:val="6"/>
  </w:num>
  <w:num w:numId="9">
    <w:abstractNumId w:val="14"/>
  </w:num>
  <w:num w:numId="10">
    <w:abstractNumId w:val="3"/>
  </w:num>
  <w:num w:numId="11">
    <w:abstractNumId w:val="4"/>
  </w:num>
  <w:num w:numId="12">
    <w:abstractNumId w:val="18"/>
  </w:num>
  <w:num w:numId="13">
    <w:abstractNumId w:val="2"/>
  </w:num>
  <w:num w:numId="14">
    <w:abstractNumId w:val="12"/>
  </w:num>
  <w:num w:numId="15">
    <w:abstractNumId w:val="19"/>
  </w:num>
  <w:num w:numId="16">
    <w:abstractNumId w:val="16"/>
  </w:num>
  <w:num w:numId="17">
    <w:abstractNumId w:val="11"/>
  </w:num>
  <w:num w:numId="18">
    <w:abstractNumId w:val="1"/>
  </w:num>
  <w:num w:numId="19">
    <w:abstractNumId w:val="17"/>
  </w:num>
  <w:num w:numId="20">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472"/>
    <w:rsid w:val="00000263"/>
    <w:rsid w:val="00004D82"/>
    <w:rsid w:val="000113BC"/>
    <w:rsid w:val="000136AF"/>
    <w:rsid w:val="00015E95"/>
    <w:rsid w:val="000161D9"/>
    <w:rsid w:val="00017724"/>
    <w:rsid w:val="000308B0"/>
    <w:rsid w:val="00032B8D"/>
    <w:rsid w:val="00033024"/>
    <w:rsid w:val="0003612E"/>
    <w:rsid w:val="0004044E"/>
    <w:rsid w:val="000447B8"/>
    <w:rsid w:val="00045339"/>
    <w:rsid w:val="00045C9E"/>
    <w:rsid w:val="00046F47"/>
    <w:rsid w:val="0005120E"/>
    <w:rsid w:val="00052081"/>
    <w:rsid w:val="00052789"/>
    <w:rsid w:val="00054577"/>
    <w:rsid w:val="000614BF"/>
    <w:rsid w:val="0007169C"/>
    <w:rsid w:val="00071F48"/>
    <w:rsid w:val="00077593"/>
    <w:rsid w:val="00077EC1"/>
    <w:rsid w:val="00080B06"/>
    <w:rsid w:val="000819F3"/>
    <w:rsid w:val="00083F48"/>
    <w:rsid w:val="000867EF"/>
    <w:rsid w:val="00096609"/>
    <w:rsid w:val="0009696D"/>
    <w:rsid w:val="00096E62"/>
    <w:rsid w:val="000A034C"/>
    <w:rsid w:val="000A4F05"/>
    <w:rsid w:val="000A53F9"/>
    <w:rsid w:val="000A5A4E"/>
    <w:rsid w:val="000A7DF9"/>
    <w:rsid w:val="000B010F"/>
    <w:rsid w:val="000B060D"/>
    <w:rsid w:val="000B1391"/>
    <w:rsid w:val="000B14C1"/>
    <w:rsid w:val="000B2DF2"/>
    <w:rsid w:val="000B3081"/>
    <w:rsid w:val="000C225A"/>
    <w:rsid w:val="000C6A5F"/>
    <w:rsid w:val="000C6E31"/>
    <w:rsid w:val="000D05EF"/>
    <w:rsid w:val="000D0E0E"/>
    <w:rsid w:val="000D21B1"/>
    <w:rsid w:val="000D5485"/>
    <w:rsid w:val="000E003F"/>
    <w:rsid w:val="000F17E2"/>
    <w:rsid w:val="000F21C1"/>
    <w:rsid w:val="000F4301"/>
    <w:rsid w:val="000F49E1"/>
    <w:rsid w:val="000F661E"/>
    <w:rsid w:val="0010394C"/>
    <w:rsid w:val="00105D69"/>
    <w:rsid w:val="00105D72"/>
    <w:rsid w:val="001068AE"/>
    <w:rsid w:val="00106B8B"/>
    <w:rsid w:val="0010745C"/>
    <w:rsid w:val="00117277"/>
    <w:rsid w:val="00120E16"/>
    <w:rsid w:val="0012342F"/>
    <w:rsid w:val="00123DD7"/>
    <w:rsid w:val="00125FC1"/>
    <w:rsid w:val="0012743A"/>
    <w:rsid w:val="00132C8E"/>
    <w:rsid w:val="001352B6"/>
    <w:rsid w:val="00135EC4"/>
    <w:rsid w:val="001378F1"/>
    <w:rsid w:val="0014394F"/>
    <w:rsid w:val="00145935"/>
    <w:rsid w:val="00145C45"/>
    <w:rsid w:val="001600A7"/>
    <w:rsid w:val="00160BD7"/>
    <w:rsid w:val="001643C9"/>
    <w:rsid w:val="00164496"/>
    <w:rsid w:val="00165568"/>
    <w:rsid w:val="00166082"/>
    <w:rsid w:val="00166C2F"/>
    <w:rsid w:val="001677A3"/>
    <w:rsid w:val="00167C8B"/>
    <w:rsid w:val="001716C9"/>
    <w:rsid w:val="00171C58"/>
    <w:rsid w:val="0017207A"/>
    <w:rsid w:val="00182687"/>
    <w:rsid w:val="00184261"/>
    <w:rsid w:val="00190DF5"/>
    <w:rsid w:val="00193263"/>
    <w:rsid w:val="00193461"/>
    <w:rsid w:val="001939E1"/>
    <w:rsid w:val="0019492B"/>
    <w:rsid w:val="00195095"/>
    <w:rsid w:val="00195382"/>
    <w:rsid w:val="001A2528"/>
    <w:rsid w:val="001A39F4"/>
    <w:rsid w:val="001A3B9F"/>
    <w:rsid w:val="001A58E2"/>
    <w:rsid w:val="001A65C0"/>
    <w:rsid w:val="001B6456"/>
    <w:rsid w:val="001B7A5D"/>
    <w:rsid w:val="001C39EB"/>
    <w:rsid w:val="001C69C4"/>
    <w:rsid w:val="001D3BB5"/>
    <w:rsid w:val="001E0A8D"/>
    <w:rsid w:val="001E2416"/>
    <w:rsid w:val="001E2984"/>
    <w:rsid w:val="001E3590"/>
    <w:rsid w:val="001E5E32"/>
    <w:rsid w:val="001E5EF9"/>
    <w:rsid w:val="001E6BE2"/>
    <w:rsid w:val="001E7407"/>
    <w:rsid w:val="001E7DE3"/>
    <w:rsid w:val="001E7F54"/>
    <w:rsid w:val="001F2D23"/>
    <w:rsid w:val="001F64A8"/>
    <w:rsid w:val="001F7B7B"/>
    <w:rsid w:val="00201D27"/>
    <w:rsid w:val="0020300C"/>
    <w:rsid w:val="00210838"/>
    <w:rsid w:val="00217081"/>
    <w:rsid w:val="00220A0C"/>
    <w:rsid w:val="00223E4A"/>
    <w:rsid w:val="0022478E"/>
    <w:rsid w:val="002302EA"/>
    <w:rsid w:val="00231769"/>
    <w:rsid w:val="0023337C"/>
    <w:rsid w:val="00235587"/>
    <w:rsid w:val="0023590C"/>
    <w:rsid w:val="00237590"/>
    <w:rsid w:val="00240749"/>
    <w:rsid w:val="002418DE"/>
    <w:rsid w:val="00242101"/>
    <w:rsid w:val="00244E9D"/>
    <w:rsid w:val="00245D0D"/>
    <w:rsid w:val="002468D7"/>
    <w:rsid w:val="002567A5"/>
    <w:rsid w:val="00266CCC"/>
    <w:rsid w:val="00267D2A"/>
    <w:rsid w:val="00270C3C"/>
    <w:rsid w:val="00271107"/>
    <w:rsid w:val="00275222"/>
    <w:rsid w:val="0028047E"/>
    <w:rsid w:val="00283877"/>
    <w:rsid w:val="00285CDD"/>
    <w:rsid w:val="002869DA"/>
    <w:rsid w:val="00287F21"/>
    <w:rsid w:val="00291167"/>
    <w:rsid w:val="00296813"/>
    <w:rsid w:val="00297ECB"/>
    <w:rsid w:val="002A36C1"/>
    <w:rsid w:val="002A4EC0"/>
    <w:rsid w:val="002A72B1"/>
    <w:rsid w:val="002B0305"/>
    <w:rsid w:val="002B2D72"/>
    <w:rsid w:val="002B7C78"/>
    <w:rsid w:val="002C152A"/>
    <w:rsid w:val="002C20A6"/>
    <w:rsid w:val="002C25BB"/>
    <w:rsid w:val="002C5698"/>
    <w:rsid w:val="002D043A"/>
    <w:rsid w:val="002D3BE2"/>
    <w:rsid w:val="002D629F"/>
    <w:rsid w:val="002E6983"/>
    <w:rsid w:val="002F060B"/>
    <w:rsid w:val="002F1467"/>
    <w:rsid w:val="002F2D96"/>
    <w:rsid w:val="003003B5"/>
    <w:rsid w:val="003047B7"/>
    <w:rsid w:val="0030764C"/>
    <w:rsid w:val="0031713F"/>
    <w:rsid w:val="00320471"/>
    <w:rsid w:val="00321913"/>
    <w:rsid w:val="0032445E"/>
    <w:rsid w:val="00324EE6"/>
    <w:rsid w:val="00325FE1"/>
    <w:rsid w:val="00326AA5"/>
    <w:rsid w:val="003316DC"/>
    <w:rsid w:val="00332E0D"/>
    <w:rsid w:val="00335556"/>
    <w:rsid w:val="00337681"/>
    <w:rsid w:val="00340568"/>
    <w:rsid w:val="003415D3"/>
    <w:rsid w:val="00344696"/>
    <w:rsid w:val="00346335"/>
    <w:rsid w:val="0034635F"/>
    <w:rsid w:val="00351126"/>
    <w:rsid w:val="00352B0F"/>
    <w:rsid w:val="003538AF"/>
    <w:rsid w:val="00354F66"/>
    <w:rsid w:val="003561B0"/>
    <w:rsid w:val="003639C4"/>
    <w:rsid w:val="00367960"/>
    <w:rsid w:val="00375EC4"/>
    <w:rsid w:val="00376026"/>
    <w:rsid w:val="00381877"/>
    <w:rsid w:val="00392D5B"/>
    <w:rsid w:val="003A15AC"/>
    <w:rsid w:val="003A55DB"/>
    <w:rsid w:val="003A56EB"/>
    <w:rsid w:val="003A63A8"/>
    <w:rsid w:val="003B0627"/>
    <w:rsid w:val="003B21D2"/>
    <w:rsid w:val="003B449C"/>
    <w:rsid w:val="003C26F3"/>
    <w:rsid w:val="003C5F2B"/>
    <w:rsid w:val="003D0BFE"/>
    <w:rsid w:val="003D4368"/>
    <w:rsid w:val="003D5700"/>
    <w:rsid w:val="003D66D8"/>
    <w:rsid w:val="003D7713"/>
    <w:rsid w:val="003E584E"/>
    <w:rsid w:val="003E7650"/>
    <w:rsid w:val="003E7A39"/>
    <w:rsid w:val="003F0F5A"/>
    <w:rsid w:val="003F2521"/>
    <w:rsid w:val="0040062F"/>
    <w:rsid w:val="00400A30"/>
    <w:rsid w:val="004022CA"/>
    <w:rsid w:val="00402596"/>
    <w:rsid w:val="004026E2"/>
    <w:rsid w:val="004116CD"/>
    <w:rsid w:val="00411E23"/>
    <w:rsid w:val="00412205"/>
    <w:rsid w:val="004140A0"/>
    <w:rsid w:val="00414ADE"/>
    <w:rsid w:val="00420B62"/>
    <w:rsid w:val="00421788"/>
    <w:rsid w:val="00421BB2"/>
    <w:rsid w:val="00422D4B"/>
    <w:rsid w:val="00424CA9"/>
    <w:rsid w:val="004257BB"/>
    <w:rsid w:val="004261D9"/>
    <w:rsid w:val="0043065B"/>
    <w:rsid w:val="004357C5"/>
    <w:rsid w:val="00440959"/>
    <w:rsid w:val="0044291A"/>
    <w:rsid w:val="00446302"/>
    <w:rsid w:val="00447C87"/>
    <w:rsid w:val="00450A8A"/>
    <w:rsid w:val="00450B96"/>
    <w:rsid w:val="00452EEE"/>
    <w:rsid w:val="0045792E"/>
    <w:rsid w:val="00460499"/>
    <w:rsid w:val="00462120"/>
    <w:rsid w:val="004624E1"/>
    <w:rsid w:val="00466B8D"/>
    <w:rsid w:val="00466EF9"/>
    <w:rsid w:val="00474835"/>
    <w:rsid w:val="00477800"/>
    <w:rsid w:val="00480C0F"/>
    <w:rsid w:val="004819C7"/>
    <w:rsid w:val="00482B63"/>
    <w:rsid w:val="00482E21"/>
    <w:rsid w:val="0048364F"/>
    <w:rsid w:val="004866FB"/>
    <w:rsid w:val="00486FA5"/>
    <w:rsid w:val="00487174"/>
    <w:rsid w:val="00490F2E"/>
    <w:rsid w:val="00493313"/>
    <w:rsid w:val="00493F12"/>
    <w:rsid w:val="004940FF"/>
    <w:rsid w:val="00496DB3"/>
    <w:rsid w:val="00496F97"/>
    <w:rsid w:val="004A04A4"/>
    <w:rsid w:val="004A0A59"/>
    <w:rsid w:val="004A53EA"/>
    <w:rsid w:val="004A739F"/>
    <w:rsid w:val="004B1B1B"/>
    <w:rsid w:val="004B40ED"/>
    <w:rsid w:val="004B5E76"/>
    <w:rsid w:val="004B71FD"/>
    <w:rsid w:val="004C6B68"/>
    <w:rsid w:val="004F1FAC"/>
    <w:rsid w:val="004F676E"/>
    <w:rsid w:val="00500212"/>
    <w:rsid w:val="005041A7"/>
    <w:rsid w:val="00507559"/>
    <w:rsid w:val="0051288D"/>
    <w:rsid w:val="005167D5"/>
    <w:rsid w:val="00516B8D"/>
    <w:rsid w:val="0052686F"/>
    <w:rsid w:val="00526E06"/>
    <w:rsid w:val="0052756C"/>
    <w:rsid w:val="00530230"/>
    <w:rsid w:val="00530CC9"/>
    <w:rsid w:val="00537FBC"/>
    <w:rsid w:val="00541D73"/>
    <w:rsid w:val="005426A3"/>
    <w:rsid w:val="00543469"/>
    <w:rsid w:val="005452CC"/>
    <w:rsid w:val="00546FA3"/>
    <w:rsid w:val="00554243"/>
    <w:rsid w:val="00556DC1"/>
    <w:rsid w:val="00557C7A"/>
    <w:rsid w:val="00562A58"/>
    <w:rsid w:val="005649E7"/>
    <w:rsid w:val="00572785"/>
    <w:rsid w:val="00581211"/>
    <w:rsid w:val="005813E8"/>
    <w:rsid w:val="005845A0"/>
    <w:rsid w:val="00584811"/>
    <w:rsid w:val="00586E73"/>
    <w:rsid w:val="0059279B"/>
    <w:rsid w:val="00592D3B"/>
    <w:rsid w:val="00593AA6"/>
    <w:rsid w:val="00594161"/>
    <w:rsid w:val="00594749"/>
    <w:rsid w:val="005A482B"/>
    <w:rsid w:val="005A6C42"/>
    <w:rsid w:val="005B4067"/>
    <w:rsid w:val="005C0B5F"/>
    <w:rsid w:val="005C36E0"/>
    <w:rsid w:val="005C3F41"/>
    <w:rsid w:val="005C6C2E"/>
    <w:rsid w:val="005C7084"/>
    <w:rsid w:val="005C7E70"/>
    <w:rsid w:val="005D168D"/>
    <w:rsid w:val="005D183D"/>
    <w:rsid w:val="005D4833"/>
    <w:rsid w:val="005D541E"/>
    <w:rsid w:val="005D5EA1"/>
    <w:rsid w:val="005D663A"/>
    <w:rsid w:val="005D6D5D"/>
    <w:rsid w:val="005E4318"/>
    <w:rsid w:val="005E61D3"/>
    <w:rsid w:val="005F3855"/>
    <w:rsid w:val="005F5224"/>
    <w:rsid w:val="005F6C1C"/>
    <w:rsid w:val="005F7738"/>
    <w:rsid w:val="00600219"/>
    <w:rsid w:val="00611359"/>
    <w:rsid w:val="00613EAD"/>
    <w:rsid w:val="006158AC"/>
    <w:rsid w:val="00620E01"/>
    <w:rsid w:val="006238E8"/>
    <w:rsid w:val="00634F01"/>
    <w:rsid w:val="0063779E"/>
    <w:rsid w:val="00640402"/>
    <w:rsid w:val="00640487"/>
    <w:rsid w:val="00640F78"/>
    <w:rsid w:val="00640FEE"/>
    <w:rsid w:val="006424F5"/>
    <w:rsid w:val="00642D96"/>
    <w:rsid w:val="00644DBC"/>
    <w:rsid w:val="00645584"/>
    <w:rsid w:val="006466C2"/>
    <w:rsid w:val="00646E7B"/>
    <w:rsid w:val="0065267D"/>
    <w:rsid w:val="006526DD"/>
    <w:rsid w:val="00655D6A"/>
    <w:rsid w:val="00655DE7"/>
    <w:rsid w:val="00656320"/>
    <w:rsid w:val="0065663A"/>
    <w:rsid w:val="00656DE9"/>
    <w:rsid w:val="0066654D"/>
    <w:rsid w:val="00670E81"/>
    <w:rsid w:val="00677CC2"/>
    <w:rsid w:val="006808E5"/>
    <w:rsid w:val="00681844"/>
    <w:rsid w:val="006839F4"/>
    <w:rsid w:val="00685F42"/>
    <w:rsid w:val="006866A1"/>
    <w:rsid w:val="0069207B"/>
    <w:rsid w:val="0069517D"/>
    <w:rsid w:val="006A1C45"/>
    <w:rsid w:val="006A29FC"/>
    <w:rsid w:val="006A3BC5"/>
    <w:rsid w:val="006A4309"/>
    <w:rsid w:val="006B0E55"/>
    <w:rsid w:val="006B1516"/>
    <w:rsid w:val="006B2062"/>
    <w:rsid w:val="006B292E"/>
    <w:rsid w:val="006B5050"/>
    <w:rsid w:val="006B7006"/>
    <w:rsid w:val="006C2C27"/>
    <w:rsid w:val="006C34D9"/>
    <w:rsid w:val="006C4689"/>
    <w:rsid w:val="006C5956"/>
    <w:rsid w:val="006C7F8C"/>
    <w:rsid w:val="006D1BB5"/>
    <w:rsid w:val="006D7AB9"/>
    <w:rsid w:val="006F19C0"/>
    <w:rsid w:val="006F216F"/>
    <w:rsid w:val="006F508A"/>
    <w:rsid w:val="006F7F91"/>
    <w:rsid w:val="00700B2C"/>
    <w:rsid w:val="00700BD8"/>
    <w:rsid w:val="00702222"/>
    <w:rsid w:val="00702369"/>
    <w:rsid w:val="00702D74"/>
    <w:rsid w:val="0071213B"/>
    <w:rsid w:val="00713084"/>
    <w:rsid w:val="00720FC2"/>
    <w:rsid w:val="00722D63"/>
    <w:rsid w:val="007248E3"/>
    <w:rsid w:val="00724F8F"/>
    <w:rsid w:val="00725D16"/>
    <w:rsid w:val="00731E00"/>
    <w:rsid w:val="00732E9D"/>
    <w:rsid w:val="00734494"/>
    <w:rsid w:val="0073491A"/>
    <w:rsid w:val="00734B24"/>
    <w:rsid w:val="00734B94"/>
    <w:rsid w:val="00742731"/>
    <w:rsid w:val="007440B7"/>
    <w:rsid w:val="0074609F"/>
    <w:rsid w:val="00747525"/>
    <w:rsid w:val="00747993"/>
    <w:rsid w:val="00752853"/>
    <w:rsid w:val="007529C2"/>
    <w:rsid w:val="00752CF2"/>
    <w:rsid w:val="0075361F"/>
    <w:rsid w:val="00753AF5"/>
    <w:rsid w:val="00753FBE"/>
    <w:rsid w:val="007576CA"/>
    <w:rsid w:val="007634AD"/>
    <w:rsid w:val="0076769B"/>
    <w:rsid w:val="007715C9"/>
    <w:rsid w:val="00774EDD"/>
    <w:rsid w:val="007757EC"/>
    <w:rsid w:val="00775F81"/>
    <w:rsid w:val="00785946"/>
    <w:rsid w:val="0078613A"/>
    <w:rsid w:val="00786C0A"/>
    <w:rsid w:val="00790973"/>
    <w:rsid w:val="00794487"/>
    <w:rsid w:val="00795805"/>
    <w:rsid w:val="007A115D"/>
    <w:rsid w:val="007A26C5"/>
    <w:rsid w:val="007A35E6"/>
    <w:rsid w:val="007A6863"/>
    <w:rsid w:val="007B0E55"/>
    <w:rsid w:val="007B15A7"/>
    <w:rsid w:val="007B4F3C"/>
    <w:rsid w:val="007B6053"/>
    <w:rsid w:val="007C4199"/>
    <w:rsid w:val="007C47A7"/>
    <w:rsid w:val="007C5C48"/>
    <w:rsid w:val="007C734D"/>
    <w:rsid w:val="007D3F52"/>
    <w:rsid w:val="007D446F"/>
    <w:rsid w:val="007D45C1"/>
    <w:rsid w:val="007D4DD7"/>
    <w:rsid w:val="007D503E"/>
    <w:rsid w:val="007D554C"/>
    <w:rsid w:val="007E4FB5"/>
    <w:rsid w:val="007E7D4A"/>
    <w:rsid w:val="007F2BC0"/>
    <w:rsid w:val="007F48ED"/>
    <w:rsid w:val="007F6392"/>
    <w:rsid w:val="007F7947"/>
    <w:rsid w:val="00812F45"/>
    <w:rsid w:val="00822B4A"/>
    <w:rsid w:val="0082401F"/>
    <w:rsid w:val="0082675C"/>
    <w:rsid w:val="0084172C"/>
    <w:rsid w:val="0085167B"/>
    <w:rsid w:val="0085262B"/>
    <w:rsid w:val="00856A31"/>
    <w:rsid w:val="00857D8F"/>
    <w:rsid w:val="00860526"/>
    <w:rsid w:val="0086179F"/>
    <w:rsid w:val="008622C0"/>
    <w:rsid w:val="008663FF"/>
    <w:rsid w:val="00866A61"/>
    <w:rsid w:val="00866CE7"/>
    <w:rsid w:val="008713C0"/>
    <w:rsid w:val="00871545"/>
    <w:rsid w:val="008720A8"/>
    <w:rsid w:val="0087260B"/>
    <w:rsid w:val="008754D0"/>
    <w:rsid w:val="00875DC8"/>
    <w:rsid w:val="00877D48"/>
    <w:rsid w:val="0088074F"/>
    <w:rsid w:val="0088345B"/>
    <w:rsid w:val="00884326"/>
    <w:rsid w:val="00886DFE"/>
    <w:rsid w:val="00897BDE"/>
    <w:rsid w:val="008A16A5"/>
    <w:rsid w:val="008A33C5"/>
    <w:rsid w:val="008A43C5"/>
    <w:rsid w:val="008A4F24"/>
    <w:rsid w:val="008B7B97"/>
    <w:rsid w:val="008C2B5D"/>
    <w:rsid w:val="008C69CE"/>
    <w:rsid w:val="008C77A6"/>
    <w:rsid w:val="008D0EE0"/>
    <w:rsid w:val="008D226C"/>
    <w:rsid w:val="008D4032"/>
    <w:rsid w:val="008D4386"/>
    <w:rsid w:val="008D5B99"/>
    <w:rsid w:val="008D7A27"/>
    <w:rsid w:val="008E387C"/>
    <w:rsid w:val="008E4702"/>
    <w:rsid w:val="008E69AA"/>
    <w:rsid w:val="008F32B0"/>
    <w:rsid w:val="008F4F1C"/>
    <w:rsid w:val="008F52BF"/>
    <w:rsid w:val="00910D82"/>
    <w:rsid w:val="00922764"/>
    <w:rsid w:val="00923C07"/>
    <w:rsid w:val="0092587A"/>
    <w:rsid w:val="00930B3F"/>
    <w:rsid w:val="00931F55"/>
    <w:rsid w:val="00932377"/>
    <w:rsid w:val="009356C8"/>
    <w:rsid w:val="00936DA5"/>
    <w:rsid w:val="00943102"/>
    <w:rsid w:val="0094523D"/>
    <w:rsid w:val="00947170"/>
    <w:rsid w:val="009559E6"/>
    <w:rsid w:val="00957AA6"/>
    <w:rsid w:val="009607DF"/>
    <w:rsid w:val="009631EA"/>
    <w:rsid w:val="00972B97"/>
    <w:rsid w:val="00973C46"/>
    <w:rsid w:val="00976A63"/>
    <w:rsid w:val="00977F01"/>
    <w:rsid w:val="00983419"/>
    <w:rsid w:val="00984A4A"/>
    <w:rsid w:val="00984B3B"/>
    <w:rsid w:val="0099227E"/>
    <w:rsid w:val="00993434"/>
    <w:rsid w:val="009A233C"/>
    <w:rsid w:val="009A4632"/>
    <w:rsid w:val="009A768B"/>
    <w:rsid w:val="009B680A"/>
    <w:rsid w:val="009C0E72"/>
    <w:rsid w:val="009C2462"/>
    <w:rsid w:val="009C3431"/>
    <w:rsid w:val="009C3B97"/>
    <w:rsid w:val="009C5989"/>
    <w:rsid w:val="009C7C84"/>
    <w:rsid w:val="009D08DA"/>
    <w:rsid w:val="009D101C"/>
    <w:rsid w:val="009D1E9E"/>
    <w:rsid w:val="009D22B7"/>
    <w:rsid w:val="009D504E"/>
    <w:rsid w:val="009D6AF1"/>
    <w:rsid w:val="009E1F49"/>
    <w:rsid w:val="009E4FB4"/>
    <w:rsid w:val="009E5693"/>
    <w:rsid w:val="009E69DC"/>
    <w:rsid w:val="009E6C25"/>
    <w:rsid w:val="009F2375"/>
    <w:rsid w:val="009F28B3"/>
    <w:rsid w:val="009F3705"/>
    <w:rsid w:val="009F549B"/>
    <w:rsid w:val="00A00F6F"/>
    <w:rsid w:val="00A06860"/>
    <w:rsid w:val="00A10A86"/>
    <w:rsid w:val="00A136F5"/>
    <w:rsid w:val="00A13D7F"/>
    <w:rsid w:val="00A17DD7"/>
    <w:rsid w:val="00A231E2"/>
    <w:rsid w:val="00A2550D"/>
    <w:rsid w:val="00A31E39"/>
    <w:rsid w:val="00A36226"/>
    <w:rsid w:val="00A4169B"/>
    <w:rsid w:val="00A445F2"/>
    <w:rsid w:val="00A50D55"/>
    <w:rsid w:val="00A5165B"/>
    <w:rsid w:val="00A519F2"/>
    <w:rsid w:val="00A52FDA"/>
    <w:rsid w:val="00A540DD"/>
    <w:rsid w:val="00A54816"/>
    <w:rsid w:val="00A616A7"/>
    <w:rsid w:val="00A64912"/>
    <w:rsid w:val="00A70A74"/>
    <w:rsid w:val="00AA0343"/>
    <w:rsid w:val="00AA0D4B"/>
    <w:rsid w:val="00AA15B0"/>
    <w:rsid w:val="00AA2A5C"/>
    <w:rsid w:val="00AB4DC2"/>
    <w:rsid w:val="00AB78E9"/>
    <w:rsid w:val="00AB7C73"/>
    <w:rsid w:val="00AC01D9"/>
    <w:rsid w:val="00AC36D6"/>
    <w:rsid w:val="00AC38A5"/>
    <w:rsid w:val="00AD11B8"/>
    <w:rsid w:val="00AD1CBC"/>
    <w:rsid w:val="00AD3467"/>
    <w:rsid w:val="00AD5641"/>
    <w:rsid w:val="00AE0F9B"/>
    <w:rsid w:val="00AE25CC"/>
    <w:rsid w:val="00AE6E55"/>
    <w:rsid w:val="00AF2503"/>
    <w:rsid w:val="00AF52C8"/>
    <w:rsid w:val="00AF55FF"/>
    <w:rsid w:val="00AF64EF"/>
    <w:rsid w:val="00AF6894"/>
    <w:rsid w:val="00B032D8"/>
    <w:rsid w:val="00B0579D"/>
    <w:rsid w:val="00B158F1"/>
    <w:rsid w:val="00B24817"/>
    <w:rsid w:val="00B302BD"/>
    <w:rsid w:val="00B33B3C"/>
    <w:rsid w:val="00B3574E"/>
    <w:rsid w:val="00B40D74"/>
    <w:rsid w:val="00B42D5B"/>
    <w:rsid w:val="00B44A39"/>
    <w:rsid w:val="00B503A6"/>
    <w:rsid w:val="00B52663"/>
    <w:rsid w:val="00B56DCB"/>
    <w:rsid w:val="00B60539"/>
    <w:rsid w:val="00B726D4"/>
    <w:rsid w:val="00B74367"/>
    <w:rsid w:val="00B74E69"/>
    <w:rsid w:val="00B75408"/>
    <w:rsid w:val="00B770D2"/>
    <w:rsid w:val="00B77DD6"/>
    <w:rsid w:val="00B77EFA"/>
    <w:rsid w:val="00B8277C"/>
    <w:rsid w:val="00B86886"/>
    <w:rsid w:val="00B92A23"/>
    <w:rsid w:val="00BA1607"/>
    <w:rsid w:val="00BA1C04"/>
    <w:rsid w:val="00BA47A3"/>
    <w:rsid w:val="00BA5026"/>
    <w:rsid w:val="00BB526F"/>
    <w:rsid w:val="00BB5B85"/>
    <w:rsid w:val="00BB6614"/>
    <w:rsid w:val="00BB6E79"/>
    <w:rsid w:val="00BB7660"/>
    <w:rsid w:val="00BC1D87"/>
    <w:rsid w:val="00BD0344"/>
    <w:rsid w:val="00BD47C6"/>
    <w:rsid w:val="00BE3B31"/>
    <w:rsid w:val="00BE5D3A"/>
    <w:rsid w:val="00BE719A"/>
    <w:rsid w:val="00BE720A"/>
    <w:rsid w:val="00BF6650"/>
    <w:rsid w:val="00C047CD"/>
    <w:rsid w:val="00C067E5"/>
    <w:rsid w:val="00C13855"/>
    <w:rsid w:val="00C164CA"/>
    <w:rsid w:val="00C22BE2"/>
    <w:rsid w:val="00C23C12"/>
    <w:rsid w:val="00C23FB9"/>
    <w:rsid w:val="00C25120"/>
    <w:rsid w:val="00C42951"/>
    <w:rsid w:val="00C42BF8"/>
    <w:rsid w:val="00C45309"/>
    <w:rsid w:val="00C460AE"/>
    <w:rsid w:val="00C50043"/>
    <w:rsid w:val="00C50472"/>
    <w:rsid w:val="00C50A0F"/>
    <w:rsid w:val="00C5363A"/>
    <w:rsid w:val="00C56E91"/>
    <w:rsid w:val="00C61447"/>
    <w:rsid w:val="00C64DE2"/>
    <w:rsid w:val="00C7573B"/>
    <w:rsid w:val="00C768E6"/>
    <w:rsid w:val="00C76CF3"/>
    <w:rsid w:val="00C821E5"/>
    <w:rsid w:val="00C82432"/>
    <w:rsid w:val="00C83544"/>
    <w:rsid w:val="00C83A39"/>
    <w:rsid w:val="00C87933"/>
    <w:rsid w:val="00C93E98"/>
    <w:rsid w:val="00CA0846"/>
    <w:rsid w:val="00CA1065"/>
    <w:rsid w:val="00CA30A6"/>
    <w:rsid w:val="00CA7844"/>
    <w:rsid w:val="00CB37CB"/>
    <w:rsid w:val="00CB457B"/>
    <w:rsid w:val="00CB58EF"/>
    <w:rsid w:val="00CB7ADC"/>
    <w:rsid w:val="00CB7EF0"/>
    <w:rsid w:val="00CC7AD0"/>
    <w:rsid w:val="00CD0593"/>
    <w:rsid w:val="00CD22F0"/>
    <w:rsid w:val="00CD2ED6"/>
    <w:rsid w:val="00CD4DFC"/>
    <w:rsid w:val="00CD6DEF"/>
    <w:rsid w:val="00CE4D88"/>
    <w:rsid w:val="00CE7D64"/>
    <w:rsid w:val="00CF0BB2"/>
    <w:rsid w:val="00CF49EC"/>
    <w:rsid w:val="00CF5A97"/>
    <w:rsid w:val="00D00582"/>
    <w:rsid w:val="00D0162E"/>
    <w:rsid w:val="00D0349F"/>
    <w:rsid w:val="00D04C03"/>
    <w:rsid w:val="00D04DB1"/>
    <w:rsid w:val="00D04DC1"/>
    <w:rsid w:val="00D06351"/>
    <w:rsid w:val="00D0752A"/>
    <w:rsid w:val="00D13441"/>
    <w:rsid w:val="00D159DC"/>
    <w:rsid w:val="00D20665"/>
    <w:rsid w:val="00D20EC5"/>
    <w:rsid w:val="00D22CB2"/>
    <w:rsid w:val="00D23912"/>
    <w:rsid w:val="00D243A3"/>
    <w:rsid w:val="00D25A91"/>
    <w:rsid w:val="00D30B1D"/>
    <w:rsid w:val="00D3200B"/>
    <w:rsid w:val="00D33440"/>
    <w:rsid w:val="00D37D4C"/>
    <w:rsid w:val="00D44ED7"/>
    <w:rsid w:val="00D52EFE"/>
    <w:rsid w:val="00D52F77"/>
    <w:rsid w:val="00D5311A"/>
    <w:rsid w:val="00D55026"/>
    <w:rsid w:val="00D56A0D"/>
    <w:rsid w:val="00D57FD3"/>
    <w:rsid w:val="00D63EF6"/>
    <w:rsid w:val="00D6592E"/>
    <w:rsid w:val="00D66518"/>
    <w:rsid w:val="00D66587"/>
    <w:rsid w:val="00D70DFB"/>
    <w:rsid w:val="00D71EEA"/>
    <w:rsid w:val="00D72BD9"/>
    <w:rsid w:val="00D735CD"/>
    <w:rsid w:val="00D75674"/>
    <w:rsid w:val="00D766DF"/>
    <w:rsid w:val="00D928CD"/>
    <w:rsid w:val="00D94F05"/>
    <w:rsid w:val="00D951BA"/>
    <w:rsid w:val="00D95891"/>
    <w:rsid w:val="00DA1F3C"/>
    <w:rsid w:val="00DA3997"/>
    <w:rsid w:val="00DA5C1E"/>
    <w:rsid w:val="00DB5CB4"/>
    <w:rsid w:val="00DC0EF1"/>
    <w:rsid w:val="00DC50C5"/>
    <w:rsid w:val="00DC76B7"/>
    <w:rsid w:val="00DC7727"/>
    <w:rsid w:val="00DD1539"/>
    <w:rsid w:val="00DD3E35"/>
    <w:rsid w:val="00DD6705"/>
    <w:rsid w:val="00DE0090"/>
    <w:rsid w:val="00DE149E"/>
    <w:rsid w:val="00DF5748"/>
    <w:rsid w:val="00DF5D0E"/>
    <w:rsid w:val="00E0072D"/>
    <w:rsid w:val="00E054F3"/>
    <w:rsid w:val="00E05704"/>
    <w:rsid w:val="00E076B4"/>
    <w:rsid w:val="00E12F1A"/>
    <w:rsid w:val="00E21CFB"/>
    <w:rsid w:val="00E226F3"/>
    <w:rsid w:val="00E22935"/>
    <w:rsid w:val="00E23B71"/>
    <w:rsid w:val="00E24C1F"/>
    <w:rsid w:val="00E24E66"/>
    <w:rsid w:val="00E2613B"/>
    <w:rsid w:val="00E333D4"/>
    <w:rsid w:val="00E35158"/>
    <w:rsid w:val="00E45D4B"/>
    <w:rsid w:val="00E4600F"/>
    <w:rsid w:val="00E46B1F"/>
    <w:rsid w:val="00E50DDB"/>
    <w:rsid w:val="00E523BF"/>
    <w:rsid w:val="00E54292"/>
    <w:rsid w:val="00E60191"/>
    <w:rsid w:val="00E61EA3"/>
    <w:rsid w:val="00E636C1"/>
    <w:rsid w:val="00E649F5"/>
    <w:rsid w:val="00E64AC9"/>
    <w:rsid w:val="00E6509D"/>
    <w:rsid w:val="00E74DC7"/>
    <w:rsid w:val="00E75768"/>
    <w:rsid w:val="00E83282"/>
    <w:rsid w:val="00E87695"/>
    <w:rsid w:val="00E87699"/>
    <w:rsid w:val="00E87D24"/>
    <w:rsid w:val="00E915F8"/>
    <w:rsid w:val="00E91C50"/>
    <w:rsid w:val="00E920C3"/>
    <w:rsid w:val="00E92E27"/>
    <w:rsid w:val="00E9474E"/>
    <w:rsid w:val="00E9586B"/>
    <w:rsid w:val="00E96326"/>
    <w:rsid w:val="00E97334"/>
    <w:rsid w:val="00EA0D36"/>
    <w:rsid w:val="00EA18B1"/>
    <w:rsid w:val="00EA1A19"/>
    <w:rsid w:val="00EA2BA7"/>
    <w:rsid w:val="00EB73EA"/>
    <w:rsid w:val="00ED353F"/>
    <w:rsid w:val="00ED4928"/>
    <w:rsid w:val="00EE32E7"/>
    <w:rsid w:val="00EE3749"/>
    <w:rsid w:val="00EE4431"/>
    <w:rsid w:val="00EE6190"/>
    <w:rsid w:val="00EF2E3A"/>
    <w:rsid w:val="00EF3900"/>
    <w:rsid w:val="00EF6402"/>
    <w:rsid w:val="00F00741"/>
    <w:rsid w:val="00F025DF"/>
    <w:rsid w:val="00F047E2"/>
    <w:rsid w:val="00F048C5"/>
    <w:rsid w:val="00F04D57"/>
    <w:rsid w:val="00F078DC"/>
    <w:rsid w:val="00F13D6D"/>
    <w:rsid w:val="00F13E86"/>
    <w:rsid w:val="00F23CCB"/>
    <w:rsid w:val="00F257A0"/>
    <w:rsid w:val="00F31D9D"/>
    <w:rsid w:val="00F32FCB"/>
    <w:rsid w:val="00F46CFF"/>
    <w:rsid w:val="00F524AD"/>
    <w:rsid w:val="00F53210"/>
    <w:rsid w:val="00F57206"/>
    <w:rsid w:val="00F63C2E"/>
    <w:rsid w:val="00F65460"/>
    <w:rsid w:val="00F6709F"/>
    <w:rsid w:val="00F677A9"/>
    <w:rsid w:val="00F67A98"/>
    <w:rsid w:val="00F723BD"/>
    <w:rsid w:val="00F732EA"/>
    <w:rsid w:val="00F74BBF"/>
    <w:rsid w:val="00F80008"/>
    <w:rsid w:val="00F80B17"/>
    <w:rsid w:val="00F84CF5"/>
    <w:rsid w:val="00F8612E"/>
    <w:rsid w:val="00F86882"/>
    <w:rsid w:val="00F90F7D"/>
    <w:rsid w:val="00F9134D"/>
    <w:rsid w:val="00F924C2"/>
    <w:rsid w:val="00F92EFC"/>
    <w:rsid w:val="00FA17AD"/>
    <w:rsid w:val="00FA2317"/>
    <w:rsid w:val="00FA420B"/>
    <w:rsid w:val="00FA7998"/>
    <w:rsid w:val="00FC00BC"/>
    <w:rsid w:val="00FC1641"/>
    <w:rsid w:val="00FC5208"/>
    <w:rsid w:val="00FC5DB3"/>
    <w:rsid w:val="00FD6E9A"/>
    <w:rsid w:val="00FD7EC5"/>
    <w:rsid w:val="00FE0781"/>
    <w:rsid w:val="00FE18E2"/>
    <w:rsid w:val="00FE4B09"/>
    <w:rsid w:val="00FE5E2D"/>
    <w:rsid w:val="00FE7440"/>
    <w:rsid w:val="00FE799A"/>
    <w:rsid w:val="00FF076C"/>
    <w:rsid w:val="00FF39DE"/>
    <w:rsid w:val="00FF423E"/>
    <w:rsid w:val="00FF4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6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C734D"/>
    <w:pPr>
      <w:spacing w:line="260" w:lineRule="atLeast"/>
    </w:pPr>
    <w:rPr>
      <w:sz w:val="22"/>
    </w:rPr>
  </w:style>
  <w:style w:type="paragraph" w:styleId="Heading1">
    <w:name w:val="heading 1"/>
    <w:aliases w:val="h1"/>
    <w:basedOn w:val="Normal"/>
    <w:next w:val="Normal"/>
    <w:link w:val="Heading1Char"/>
    <w:qFormat/>
    <w:rsid w:val="00F13D6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
    <w:basedOn w:val="Normal"/>
    <w:next w:val="Normal"/>
    <w:link w:val="Heading2Char"/>
    <w:unhideWhenUsed/>
    <w:qFormat/>
    <w:rsid w:val="00F13D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
    <w:basedOn w:val="Normal"/>
    <w:next w:val="Normal"/>
    <w:link w:val="Heading3Char"/>
    <w:unhideWhenUsed/>
    <w:qFormat/>
    <w:rsid w:val="00F13D6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h4"/>
    <w:basedOn w:val="Normal"/>
    <w:next w:val="Normal"/>
    <w:link w:val="Heading4Char"/>
    <w:unhideWhenUsed/>
    <w:qFormat/>
    <w:rsid w:val="00F13D6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F13D6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F13D6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F13D6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F13D6D"/>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qFormat/>
    <w:rsid w:val="00F13D6D"/>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C734D"/>
  </w:style>
  <w:style w:type="paragraph" w:customStyle="1" w:styleId="OPCParaBase">
    <w:name w:val="OPCParaBase"/>
    <w:qFormat/>
    <w:rsid w:val="007C734D"/>
    <w:pPr>
      <w:spacing w:line="260" w:lineRule="atLeast"/>
    </w:pPr>
    <w:rPr>
      <w:rFonts w:eastAsia="Times New Roman" w:cs="Times New Roman"/>
      <w:sz w:val="22"/>
      <w:lang w:eastAsia="en-AU"/>
    </w:rPr>
  </w:style>
  <w:style w:type="paragraph" w:customStyle="1" w:styleId="ShortT">
    <w:name w:val="ShortT"/>
    <w:basedOn w:val="OPCParaBase"/>
    <w:next w:val="Normal"/>
    <w:qFormat/>
    <w:rsid w:val="007C734D"/>
    <w:pPr>
      <w:spacing w:line="240" w:lineRule="auto"/>
    </w:pPr>
    <w:rPr>
      <w:b/>
      <w:sz w:val="40"/>
    </w:rPr>
  </w:style>
  <w:style w:type="paragraph" w:customStyle="1" w:styleId="ActHead1">
    <w:name w:val="ActHead 1"/>
    <w:aliases w:val="c,h1_Chap"/>
    <w:basedOn w:val="OPCParaBase"/>
    <w:next w:val="Normal"/>
    <w:qFormat/>
    <w:rsid w:val="007C734D"/>
    <w:pPr>
      <w:keepNext/>
      <w:keepLines/>
      <w:spacing w:line="240" w:lineRule="auto"/>
      <w:ind w:left="1134" w:hanging="1134"/>
      <w:outlineLvl w:val="0"/>
    </w:pPr>
    <w:rPr>
      <w:b/>
      <w:kern w:val="28"/>
      <w:sz w:val="36"/>
    </w:rPr>
  </w:style>
  <w:style w:type="paragraph" w:customStyle="1" w:styleId="ActHead2">
    <w:name w:val="ActHead 2"/>
    <w:aliases w:val="p,h2_Part"/>
    <w:basedOn w:val="OPCParaBase"/>
    <w:next w:val="ActHead3"/>
    <w:qFormat/>
    <w:rsid w:val="007C734D"/>
    <w:pPr>
      <w:keepNext/>
      <w:keepLines/>
      <w:spacing w:before="280" w:line="240" w:lineRule="auto"/>
      <w:ind w:left="1134" w:hanging="1134"/>
      <w:outlineLvl w:val="1"/>
    </w:pPr>
    <w:rPr>
      <w:b/>
      <w:kern w:val="28"/>
      <w:sz w:val="32"/>
    </w:rPr>
  </w:style>
  <w:style w:type="paragraph" w:customStyle="1" w:styleId="ActHead3">
    <w:name w:val="ActHead 3"/>
    <w:aliases w:val="d,h3_Div"/>
    <w:basedOn w:val="OPCParaBase"/>
    <w:next w:val="ActHead4"/>
    <w:qFormat/>
    <w:rsid w:val="007C734D"/>
    <w:pPr>
      <w:keepNext/>
      <w:keepLines/>
      <w:spacing w:before="240" w:line="240" w:lineRule="auto"/>
      <w:ind w:left="1134" w:hanging="1134"/>
      <w:outlineLvl w:val="2"/>
    </w:pPr>
    <w:rPr>
      <w:b/>
      <w:kern w:val="28"/>
      <w:sz w:val="28"/>
    </w:rPr>
  </w:style>
  <w:style w:type="paragraph" w:customStyle="1" w:styleId="ActHead4">
    <w:name w:val="ActHead 4"/>
    <w:aliases w:val="sd,h4_Subdiv"/>
    <w:basedOn w:val="OPCParaBase"/>
    <w:next w:val="ActHead5"/>
    <w:qFormat/>
    <w:rsid w:val="007C734D"/>
    <w:pPr>
      <w:keepNext/>
      <w:keepLines/>
      <w:spacing w:before="220" w:line="240" w:lineRule="auto"/>
      <w:ind w:left="1134" w:hanging="1134"/>
      <w:outlineLvl w:val="3"/>
    </w:pPr>
    <w:rPr>
      <w:b/>
      <w:kern w:val="28"/>
      <w:sz w:val="26"/>
    </w:rPr>
  </w:style>
  <w:style w:type="paragraph" w:customStyle="1" w:styleId="ActHead5">
    <w:name w:val="ActHead 5"/>
    <w:aliases w:val="s,h5_Section"/>
    <w:basedOn w:val="OPCParaBase"/>
    <w:next w:val="subsection"/>
    <w:link w:val="ActHead5Char"/>
    <w:qFormat/>
    <w:rsid w:val="007C734D"/>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C734D"/>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C734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C734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C734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C734D"/>
  </w:style>
  <w:style w:type="paragraph" w:customStyle="1" w:styleId="Blocks">
    <w:name w:val="Blocks"/>
    <w:aliases w:val="bb"/>
    <w:basedOn w:val="OPCParaBase"/>
    <w:qFormat/>
    <w:rsid w:val="007C734D"/>
    <w:pPr>
      <w:spacing w:line="240" w:lineRule="auto"/>
    </w:pPr>
    <w:rPr>
      <w:sz w:val="24"/>
    </w:rPr>
  </w:style>
  <w:style w:type="paragraph" w:customStyle="1" w:styleId="BoxText">
    <w:name w:val="BoxText"/>
    <w:aliases w:val="bt"/>
    <w:basedOn w:val="OPCParaBase"/>
    <w:qFormat/>
    <w:rsid w:val="007C734D"/>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C734D"/>
    <w:rPr>
      <w:b/>
    </w:rPr>
  </w:style>
  <w:style w:type="paragraph" w:customStyle="1" w:styleId="BoxHeadItalic">
    <w:name w:val="BoxHeadItalic"/>
    <w:aliases w:val="bhi"/>
    <w:basedOn w:val="BoxText"/>
    <w:next w:val="BoxStep"/>
    <w:qFormat/>
    <w:rsid w:val="007C734D"/>
    <w:rPr>
      <w:i/>
    </w:rPr>
  </w:style>
  <w:style w:type="paragraph" w:customStyle="1" w:styleId="BoxList">
    <w:name w:val="BoxList"/>
    <w:aliases w:val="bl"/>
    <w:basedOn w:val="BoxText"/>
    <w:qFormat/>
    <w:rsid w:val="007C734D"/>
    <w:pPr>
      <w:ind w:left="1559" w:hanging="425"/>
    </w:pPr>
  </w:style>
  <w:style w:type="paragraph" w:customStyle="1" w:styleId="BoxNote">
    <w:name w:val="BoxNote"/>
    <w:aliases w:val="bn"/>
    <w:basedOn w:val="BoxText"/>
    <w:qFormat/>
    <w:rsid w:val="007C734D"/>
    <w:pPr>
      <w:tabs>
        <w:tab w:val="left" w:pos="1985"/>
      </w:tabs>
      <w:spacing w:before="122" w:line="198" w:lineRule="exact"/>
      <w:ind w:left="2948" w:hanging="1814"/>
    </w:pPr>
    <w:rPr>
      <w:sz w:val="18"/>
    </w:rPr>
  </w:style>
  <w:style w:type="paragraph" w:customStyle="1" w:styleId="BoxPara">
    <w:name w:val="BoxPara"/>
    <w:aliases w:val="bp"/>
    <w:basedOn w:val="BoxText"/>
    <w:qFormat/>
    <w:rsid w:val="007C734D"/>
    <w:pPr>
      <w:tabs>
        <w:tab w:val="right" w:pos="2268"/>
      </w:tabs>
      <w:ind w:left="2552" w:hanging="1418"/>
    </w:pPr>
  </w:style>
  <w:style w:type="paragraph" w:customStyle="1" w:styleId="BoxStep">
    <w:name w:val="BoxStep"/>
    <w:aliases w:val="bs"/>
    <w:basedOn w:val="BoxText"/>
    <w:qFormat/>
    <w:rsid w:val="007C734D"/>
    <w:pPr>
      <w:ind w:left="1985" w:hanging="851"/>
    </w:pPr>
  </w:style>
  <w:style w:type="character" w:customStyle="1" w:styleId="CharAmPartNo">
    <w:name w:val="CharAmPartNo"/>
    <w:basedOn w:val="OPCCharBase"/>
    <w:uiPriority w:val="1"/>
    <w:qFormat/>
    <w:rsid w:val="007C734D"/>
  </w:style>
  <w:style w:type="character" w:customStyle="1" w:styleId="CharAmPartText">
    <w:name w:val="CharAmPartText"/>
    <w:basedOn w:val="OPCCharBase"/>
    <w:uiPriority w:val="1"/>
    <w:qFormat/>
    <w:rsid w:val="007C734D"/>
  </w:style>
  <w:style w:type="character" w:customStyle="1" w:styleId="CharAmSchNo">
    <w:name w:val="CharAmSchNo"/>
    <w:basedOn w:val="OPCCharBase"/>
    <w:uiPriority w:val="1"/>
    <w:qFormat/>
    <w:rsid w:val="007C734D"/>
  </w:style>
  <w:style w:type="character" w:customStyle="1" w:styleId="CharAmSchText">
    <w:name w:val="CharAmSchText"/>
    <w:basedOn w:val="OPCCharBase"/>
    <w:uiPriority w:val="1"/>
    <w:qFormat/>
    <w:rsid w:val="007C734D"/>
  </w:style>
  <w:style w:type="character" w:customStyle="1" w:styleId="CharBoldItalic">
    <w:name w:val="CharBoldItalic"/>
    <w:basedOn w:val="OPCCharBase"/>
    <w:uiPriority w:val="1"/>
    <w:qFormat/>
    <w:rsid w:val="007C734D"/>
    <w:rPr>
      <w:b/>
      <w:i/>
    </w:rPr>
  </w:style>
  <w:style w:type="character" w:customStyle="1" w:styleId="CharChapNo">
    <w:name w:val="CharChapNo"/>
    <w:basedOn w:val="OPCCharBase"/>
    <w:qFormat/>
    <w:rsid w:val="007C734D"/>
  </w:style>
  <w:style w:type="character" w:customStyle="1" w:styleId="CharChapText">
    <w:name w:val="CharChapText"/>
    <w:basedOn w:val="OPCCharBase"/>
    <w:qFormat/>
    <w:rsid w:val="007C734D"/>
  </w:style>
  <w:style w:type="character" w:customStyle="1" w:styleId="CharDivNo">
    <w:name w:val="CharDivNo"/>
    <w:basedOn w:val="OPCCharBase"/>
    <w:qFormat/>
    <w:rsid w:val="007C734D"/>
  </w:style>
  <w:style w:type="character" w:customStyle="1" w:styleId="CharDivText">
    <w:name w:val="CharDivText"/>
    <w:basedOn w:val="OPCCharBase"/>
    <w:qFormat/>
    <w:rsid w:val="007C734D"/>
  </w:style>
  <w:style w:type="character" w:customStyle="1" w:styleId="CharItalic">
    <w:name w:val="CharItalic"/>
    <w:basedOn w:val="OPCCharBase"/>
    <w:uiPriority w:val="1"/>
    <w:qFormat/>
    <w:rsid w:val="007C734D"/>
    <w:rPr>
      <w:i/>
    </w:rPr>
  </w:style>
  <w:style w:type="character" w:customStyle="1" w:styleId="CharPartNo">
    <w:name w:val="CharPartNo"/>
    <w:basedOn w:val="OPCCharBase"/>
    <w:qFormat/>
    <w:rsid w:val="007C734D"/>
  </w:style>
  <w:style w:type="character" w:customStyle="1" w:styleId="CharPartText">
    <w:name w:val="CharPartText"/>
    <w:basedOn w:val="OPCCharBase"/>
    <w:qFormat/>
    <w:rsid w:val="007C734D"/>
  </w:style>
  <w:style w:type="character" w:customStyle="1" w:styleId="CharSectno">
    <w:name w:val="CharSectno"/>
    <w:basedOn w:val="OPCCharBase"/>
    <w:qFormat/>
    <w:rsid w:val="007C734D"/>
  </w:style>
  <w:style w:type="character" w:customStyle="1" w:styleId="CharSubdNo">
    <w:name w:val="CharSubdNo"/>
    <w:basedOn w:val="OPCCharBase"/>
    <w:uiPriority w:val="1"/>
    <w:qFormat/>
    <w:rsid w:val="007C734D"/>
  </w:style>
  <w:style w:type="character" w:customStyle="1" w:styleId="CharSubdText">
    <w:name w:val="CharSubdText"/>
    <w:basedOn w:val="OPCCharBase"/>
    <w:uiPriority w:val="1"/>
    <w:qFormat/>
    <w:rsid w:val="007C734D"/>
  </w:style>
  <w:style w:type="paragraph" w:customStyle="1" w:styleId="CTA--">
    <w:name w:val="CTA --"/>
    <w:basedOn w:val="OPCParaBase"/>
    <w:next w:val="Normal"/>
    <w:rsid w:val="007C734D"/>
    <w:pPr>
      <w:spacing w:before="60" w:line="240" w:lineRule="atLeast"/>
      <w:ind w:left="142" w:hanging="142"/>
    </w:pPr>
    <w:rPr>
      <w:sz w:val="20"/>
    </w:rPr>
  </w:style>
  <w:style w:type="paragraph" w:customStyle="1" w:styleId="CTA-">
    <w:name w:val="CTA -"/>
    <w:basedOn w:val="OPCParaBase"/>
    <w:rsid w:val="007C734D"/>
    <w:pPr>
      <w:spacing w:before="60" w:line="240" w:lineRule="atLeast"/>
      <w:ind w:left="85" w:hanging="85"/>
    </w:pPr>
    <w:rPr>
      <w:sz w:val="20"/>
    </w:rPr>
  </w:style>
  <w:style w:type="paragraph" w:customStyle="1" w:styleId="CTA---">
    <w:name w:val="CTA ---"/>
    <w:basedOn w:val="OPCParaBase"/>
    <w:next w:val="Normal"/>
    <w:rsid w:val="007C734D"/>
    <w:pPr>
      <w:spacing w:before="60" w:line="240" w:lineRule="atLeast"/>
      <w:ind w:left="198" w:hanging="198"/>
    </w:pPr>
    <w:rPr>
      <w:sz w:val="20"/>
    </w:rPr>
  </w:style>
  <w:style w:type="paragraph" w:customStyle="1" w:styleId="CTA----">
    <w:name w:val="CTA ----"/>
    <w:basedOn w:val="OPCParaBase"/>
    <w:next w:val="Normal"/>
    <w:rsid w:val="007C734D"/>
    <w:pPr>
      <w:spacing w:before="60" w:line="240" w:lineRule="atLeast"/>
      <w:ind w:left="255" w:hanging="255"/>
    </w:pPr>
    <w:rPr>
      <w:sz w:val="20"/>
    </w:rPr>
  </w:style>
  <w:style w:type="paragraph" w:customStyle="1" w:styleId="CTA1a">
    <w:name w:val="CTA 1(a)"/>
    <w:basedOn w:val="OPCParaBase"/>
    <w:rsid w:val="007C734D"/>
    <w:pPr>
      <w:tabs>
        <w:tab w:val="right" w:pos="414"/>
      </w:tabs>
      <w:spacing w:before="40" w:line="240" w:lineRule="atLeast"/>
      <w:ind w:left="675" w:hanging="675"/>
    </w:pPr>
    <w:rPr>
      <w:sz w:val="20"/>
    </w:rPr>
  </w:style>
  <w:style w:type="paragraph" w:customStyle="1" w:styleId="CTA1ai">
    <w:name w:val="CTA 1(a)(i)"/>
    <w:basedOn w:val="OPCParaBase"/>
    <w:rsid w:val="007C734D"/>
    <w:pPr>
      <w:tabs>
        <w:tab w:val="right" w:pos="1004"/>
      </w:tabs>
      <w:spacing w:before="40" w:line="240" w:lineRule="atLeast"/>
      <w:ind w:left="1253" w:hanging="1253"/>
    </w:pPr>
    <w:rPr>
      <w:sz w:val="20"/>
    </w:rPr>
  </w:style>
  <w:style w:type="paragraph" w:customStyle="1" w:styleId="CTA2a">
    <w:name w:val="CTA 2(a)"/>
    <w:basedOn w:val="OPCParaBase"/>
    <w:rsid w:val="007C734D"/>
    <w:pPr>
      <w:tabs>
        <w:tab w:val="right" w:pos="482"/>
      </w:tabs>
      <w:spacing w:before="40" w:line="240" w:lineRule="atLeast"/>
      <w:ind w:left="748" w:hanging="748"/>
    </w:pPr>
    <w:rPr>
      <w:sz w:val="20"/>
    </w:rPr>
  </w:style>
  <w:style w:type="paragraph" w:customStyle="1" w:styleId="CTA2ai">
    <w:name w:val="CTA 2(a)(i)"/>
    <w:basedOn w:val="OPCParaBase"/>
    <w:rsid w:val="007C734D"/>
    <w:pPr>
      <w:tabs>
        <w:tab w:val="right" w:pos="1089"/>
      </w:tabs>
      <w:spacing w:before="40" w:line="240" w:lineRule="atLeast"/>
      <w:ind w:left="1327" w:hanging="1327"/>
    </w:pPr>
    <w:rPr>
      <w:sz w:val="20"/>
    </w:rPr>
  </w:style>
  <w:style w:type="paragraph" w:customStyle="1" w:styleId="CTA3a">
    <w:name w:val="CTA 3(a)"/>
    <w:basedOn w:val="OPCParaBase"/>
    <w:rsid w:val="007C734D"/>
    <w:pPr>
      <w:tabs>
        <w:tab w:val="right" w:pos="556"/>
      </w:tabs>
      <w:spacing w:before="40" w:line="240" w:lineRule="atLeast"/>
      <w:ind w:left="805" w:hanging="805"/>
    </w:pPr>
    <w:rPr>
      <w:sz w:val="20"/>
    </w:rPr>
  </w:style>
  <w:style w:type="paragraph" w:customStyle="1" w:styleId="CTA3ai">
    <w:name w:val="CTA 3(a)(i)"/>
    <w:basedOn w:val="OPCParaBase"/>
    <w:rsid w:val="007C734D"/>
    <w:pPr>
      <w:tabs>
        <w:tab w:val="right" w:pos="1140"/>
      </w:tabs>
      <w:spacing w:before="40" w:line="240" w:lineRule="atLeast"/>
      <w:ind w:left="1361" w:hanging="1361"/>
    </w:pPr>
    <w:rPr>
      <w:sz w:val="20"/>
    </w:rPr>
  </w:style>
  <w:style w:type="paragraph" w:customStyle="1" w:styleId="CTA4a">
    <w:name w:val="CTA 4(a)"/>
    <w:basedOn w:val="OPCParaBase"/>
    <w:rsid w:val="007C734D"/>
    <w:pPr>
      <w:tabs>
        <w:tab w:val="right" w:pos="624"/>
      </w:tabs>
      <w:spacing w:before="40" w:line="240" w:lineRule="atLeast"/>
      <w:ind w:left="873" w:hanging="873"/>
    </w:pPr>
    <w:rPr>
      <w:sz w:val="20"/>
    </w:rPr>
  </w:style>
  <w:style w:type="paragraph" w:customStyle="1" w:styleId="CTA4ai">
    <w:name w:val="CTA 4(a)(i)"/>
    <w:basedOn w:val="OPCParaBase"/>
    <w:rsid w:val="007C734D"/>
    <w:pPr>
      <w:tabs>
        <w:tab w:val="right" w:pos="1213"/>
      </w:tabs>
      <w:spacing w:before="40" w:line="240" w:lineRule="atLeast"/>
      <w:ind w:left="1452" w:hanging="1452"/>
    </w:pPr>
    <w:rPr>
      <w:sz w:val="20"/>
    </w:rPr>
  </w:style>
  <w:style w:type="paragraph" w:customStyle="1" w:styleId="CTACAPS">
    <w:name w:val="CTA CAPS"/>
    <w:basedOn w:val="OPCParaBase"/>
    <w:rsid w:val="007C734D"/>
    <w:pPr>
      <w:spacing w:before="60" w:line="240" w:lineRule="atLeast"/>
    </w:pPr>
    <w:rPr>
      <w:sz w:val="20"/>
    </w:rPr>
  </w:style>
  <w:style w:type="paragraph" w:customStyle="1" w:styleId="CTAright">
    <w:name w:val="CTA right"/>
    <w:basedOn w:val="OPCParaBase"/>
    <w:rsid w:val="007C734D"/>
    <w:pPr>
      <w:spacing w:before="60" w:line="240" w:lineRule="auto"/>
      <w:jc w:val="right"/>
    </w:pPr>
    <w:rPr>
      <w:sz w:val="20"/>
    </w:rPr>
  </w:style>
  <w:style w:type="paragraph" w:customStyle="1" w:styleId="subsection">
    <w:name w:val="subsection"/>
    <w:aliases w:val="ss,Subsection,t_Main"/>
    <w:basedOn w:val="OPCParaBase"/>
    <w:link w:val="subsectionChar"/>
    <w:rsid w:val="007C734D"/>
    <w:pPr>
      <w:tabs>
        <w:tab w:val="right" w:pos="1021"/>
      </w:tabs>
      <w:spacing w:before="180" w:line="240" w:lineRule="auto"/>
      <w:ind w:left="1134" w:hanging="1134"/>
    </w:pPr>
  </w:style>
  <w:style w:type="paragraph" w:customStyle="1" w:styleId="Definition">
    <w:name w:val="Definition"/>
    <w:aliases w:val="dd,t_Defn"/>
    <w:basedOn w:val="OPCParaBase"/>
    <w:rsid w:val="007C734D"/>
    <w:pPr>
      <w:spacing w:before="180" w:line="240" w:lineRule="auto"/>
      <w:ind w:left="1134"/>
    </w:pPr>
  </w:style>
  <w:style w:type="paragraph" w:customStyle="1" w:styleId="ETAsubitem">
    <w:name w:val="ETA(subitem)"/>
    <w:basedOn w:val="OPCParaBase"/>
    <w:rsid w:val="007C734D"/>
    <w:pPr>
      <w:tabs>
        <w:tab w:val="right" w:pos="340"/>
      </w:tabs>
      <w:spacing w:before="60" w:line="240" w:lineRule="auto"/>
      <w:ind w:left="454" w:hanging="454"/>
    </w:pPr>
    <w:rPr>
      <w:sz w:val="20"/>
    </w:rPr>
  </w:style>
  <w:style w:type="paragraph" w:customStyle="1" w:styleId="ETApara">
    <w:name w:val="ETA(para)"/>
    <w:basedOn w:val="OPCParaBase"/>
    <w:rsid w:val="007C734D"/>
    <w:pPr>
      <w:tabs>
        <w:tab w:val="right" w:pos="754"/>
      </w:tabs>
      <w:spacing w:before="60" w:line="240" w:lineRule="auto"/>
      <w:ind w:left="828" w:hanging="828"/>
    </w:pPr>
    <w:rPr>
      <w:sz w:val="20"/>
    </w:rPr>
  </w:style>
  <w:style w:type="paragraph" w:customStyle="1" w:styleId="ETAsubpara">
    <w:name w:val="ETA(subpara)"/>
    <w:basedOn w:val="OPCParaBase"/>
    <w:rsid w:val="007C734D"/>
    <w:pPr>
      <w:tabs>
        <w:tab w:val="right" w:pos="1083"/>
      </w:tabs>
      <w:spacing w:before="60" w:line="240" w:lineRule="auto"/>
      <w:ind w:left="1191" w:hanging="1191"/>
    </w:pPr>
    <w:rPr>
      <w:sz w:val="20"/>
    </w:rPr>
  </w:style>
  <w:style w:type="paragraph" w:customStyle="1" w:styleId="ETAsub-subpara">
    <w:name w:val="ETA(sub-subpara)"/>
    <w:basedOn w:val="OPCParaBase"/>
    <w:rsid w:val="007C734D"/>
    <w:pPr>
      <w:tabs>
        <w:tab w:val="right" w:pos="1412"/>
      </w:tabs>
      <w:spacing w:before="60" w:line="240" w:lineRule="auto"/>
      <w:ind w:left="1525" w:hanging="1525"/>
    </w:pPr>
    <w:rPr>
      <w:sz w:val="20"/>
    </w:rPr>
  </w:style>
  <w:style w:type="paragraph" w:customStyle="1" w:styleId="Formula">
    <w:name w:val="Formula"/>
    <w:basedOn w:val="OPCParaBase"/>
    <w:rsid w:val="007C734D"/>
    <w:pPr>
      <w:spacing w:line="240" w:lineRule="auto"/>
      <w:ind w:left="1134"/>
    </w:pPr>
    <w:rPr>
      <w:sz w:val="20"/>
    </w:rPr>
  </w:style>
  <w:style w:type="paragraph" w:styleId="Header">
    <w:name w:val="header"/>
    <w:basedOn w:val="OPCParaBase"/>
    <w:link w:val="HeaderChar"/>
    <w:unhideWhenUsed/>
    <w:rsid w:val="007C734D"/>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C734D"/>
    <w:rPr>
      <w:rFonts w:eastAsia="Times New Roman" w:cs="Times New Roman"/>
      <w:sz w:val="16"/>
      <w:lang w:eastAsia="en-AU"/>
    </w:rPr>
  </w:style>
  <w:style w:type="paragraph" w:customStyle="1" w:styleId="House">
    <w:name w:val="House"/>
    <w:basedOn w:val="OPCParaBase"/>
    <w:rsid w:val="007C734D"/>
    <w:pPr>
      <w:spacing w:line="240" w:lineRule="auto"/>
    </w:pPr>
    <w:rPr>
      <w:sz w:val="28"/>
    </w:rPr>
  </w:style>
  <w:style w:type="paragraph" w:customStyle="1" w:styleId="Item">
    <w:name w:val="Item"/>
    <w:aliases w:val="i"/>
    <w:basedOn w:val="OPCParaBase"/>
    <w:next w:val="ItemHead"/>
    <w:rsid w:val="007C734D"/>
    <w:pPr>
      <w:keepLines/>
      <w:spacing w:before="80" w:line="240" w:lineRule="auto"/>
      <w:ind w:left="709"/>
    </w:pPr>
  </w:style>
  <w:style w:type="paragraph" w:customStyle="1" w:styleId="ItemHead">
    <w:name w:val="ItemHead"/>
    <w:aliases w:val="ih"/>
    <w:basedOn w:val="OPCParaBase"/>
    <w:next w:val="Item"/>
    <w:link w:val="ItemHeadChar"/>
    <w:rsid w:val="007C734D"/>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C734D"/>
    <w:pPr>
      <w:spacing w:line="240" w:lineRule="auto"/>
    </w:pPr>
    <w:rPr>
      <w:b/>
      <w:sz w:val="32"/>
    </w:rPr>
  </w:style>
  <w:style w:type="paragraph" w:customStyle="1" w:styleId="notedraft">
    <w:name w:val="note(draft)"/>
    <w:aliases w:val="nd"/>
    <w:basedOn w:val="OPCParaBase"/>
    <w:rsid w:val="007C734D"/>
    <w:pPr>
      <w:spacing w:before="240" w:line="240" w:lineRule="auto"/>
      <w:ind w:left="284" w:hanging="284"/>
    </w:pPr>
    <w:rPr>
      <w:i/>
      <w:sz w:val="24"/>
    </w:rPr>
  </w:style>
  <w:style w:type="paragraph" w:customStyle="1" w:styleId="notemargin">
    <w:name w:val="note(margin)"/>
    <w:aliases w:val="nm,n_to_Heading"/>
    <w:basedOn w:val="OPCParaBase"/>
    <w:rsid w:val="007C734D"/>
    <w:pPr>
      <w:tabs>
        <w:tab w:val="left" w:pos="709"/>
      </w:tabs>
      <w:spacing w:before="122" w:line="198" w:lineRule="exact"/>
      <w:ind w:left="709" w:hanging="709"/>
    </w:pPr>
    <w:rPr>
      <w:sz w:val="18"/>
    </w:rPr>
  </w:style>
  <w:style w:type="paragraph" w:customStyle="1" w:styleId="noteToPara">
    <w:name w:val="noteToPara"/>
    <w:aliases w:val="ntp"/>
    <w:basedOn w:val="OPCParaBase"/>
    <w:rsid w:val="007C734D"/>
    <w:pPr>
      <w:spacing w:before="122" w:line="198" w:lineRule="exact"/>
      <w:ind w:left="2353" w:hanging="709"/>
    </w:pPr>
    <w:rPr>
      <w:sz w:val="18"/>
    </w:rPr>
  </w:style>
  <w:style w:type="paragraph" w:customStyle="1" w:styleId="noteParlAmend">
    <w:name w:val="note(ParlAmend)"/>
    <w:aliases w:val="npp"/>
    <w:basedOn w:val="OPCParaBase"/>
    <w:next w:val="ParlAmend"/>
    <w:rsid w:val="007C734D"/>
    <w:pPr>
      <w:spacing w:line="240" w:lineRule="auto"/>
      <w:jc w:val="right"/>
    </w:pPr>
    <w:rPr>
      <w:rFonts w:ascii="Arial" w:hAnsi="Arial"/>
      <w:b/>
      <w:i/>
    </w:rPr>
  </w:style>
  <w:style w:type="paragraph" w:customStyle="1" w:styleId="Page1">
    <w:name w:val="Page1"/>
    <w:basedOn w:val="OPCParaBase"/>
    <w:rsid w:val="007C734D"/>
    <w:pPr>
      <w:spacing w:before="5600" w:line="240" w:lineRule="auto"/>
    </w:pPr>
    <w:rPr>
      <w:b/>
      <w:sz w:val="32"/>
    </w:rPr>
  </w:style>
  <w:style w:type="paragraph" w:customStyle="1" w:styleId="PageBreak">
    <w:name w:val="PageBreak"/>
    <w:aliases w:val="pb"/>
    <w:basedOn w:val="OPCParaBase"/>
    <w:rsid w:val="007C734D"/>
    <w:pPr>
      <w:spacing w:line="240" w:lineRule="auto"/>
    </w:pPr>
    <w:rPr>
      <w:sz w:val="20"/>
    </w:rPr>
  </w:style>
  <w:style w:type="paragraph" w:customStyle="1" w:styleId="paragraphsub">
    <w:name w:val="paragraph(sub)"/>
    <w:aliases w:val="aa,t_Subpara"/>
    <w:basedOn w:val="OPCParaBase"/>
    <w:rsid w:val="007C734D"/>
    <w:pPr>
      <w:tabs>
        <w:tab w:val="right" w:pos="1985"/>
      </w:tabs>
      <w:spacing w:before="40" w:line="240" w:lineRule="auto"/>
      <w:ind w:left="2098" w:hanging="2098"/>
    </w:pPr>
  </w:style>
  <w:style w:type="paragraph" w:customStyle="1" w:styleId="paragraphsub-sub">
    <w:name w:val="paragraph(sub-sub)"/>
    <w:aliases w:val="aaa,t_Subsub"/>
    <w:basedOn w:val="OPCParaBase"/>
    <w:rsid w:val="007C734D"/>
    <w:pPr>
      <w:tabs>
        <w:tab w:val="right" w:pos="2722"/>
      </w:tabs>
      <w:spacing w:before="40" w:line="240" w:lineRule="auto"/>
      <w:ind w:left="2835" w:hanging="2835"/>
    </w:pPr>
  </w:style>
  <w:style w:type="paragraph" w:customStyle="1" w:styleId="paragraph">
    <w:name w:val="paragraph"/>
    <w:aliases w:val="a,t_Para"/>
    <w:basedOn w:val="OPCParaBase"/>
    <w:link w:val="paragraphChar"/>
    <w:rsid w:val="007C734D"/>
    <w:pPr>
      <w:tabs>
        <w:tab w:val="right" w:pos="1531"/>
      </w:tabs>
      <w:spacing w:before="40" w:line="240" w:lineRule="auto"/>
      <w:ind w:left="1644" w:hanging="1644"/>
    </w:pPr>
  </w:style>
  <w:style w:type="paragraph" w:customStyle="1" w:styleId="ParlAmend">
    <w:name w:val="ParlAmend"/>
    <w:aliases w:val="pp"/>
    <w:basedOn w:val="OPCParaBase"/>
    <w:rsid w:val="007C734D"/>
    <w:pPr>
      <w:spacing w:before="240" w:line="240" w:lineRule="atLeast"/>
      <w:ind w:hanging="567"/>
    </w:pPr>
    <w:rPr>
      <w:sz w:val="24"/>
    </w:rPr>
  </w:style>
  <w:style w:type="paragraph" w:customStyle="1" w:styleId="Penalty">
    <w:name w:val="Penalty"/>
    <w:basedOn w:val="OPCParaBase"/>
    <w:rsid w:val="007C734D"/>
    <w:pPr>
      <w:tabs>
        <w:tab w:val="left" w:pos="2977"/>
      </w:tabs>
      <w:spacing w:before="180" w:line="240" w:lineRule="auto"/>
      <w:ind w:left="1985" w:hanging="851"/>
    </w:pPr>
  </w:style>
  <w:style w:type="paragraph" w:customStyle="1" w:styleId="Portfolio">
    <w:name w:val="Portfolio"/>
    <w:basedOn w:val="OPCParaBase"/>
    <w:rsid w:val="007C734D"/>
    <w:pPr>
      <w:spacing w:line="240" w:lineRule="auto"/>
    </w:pPr>
    <w:rPr>
      <w:i/>
      <w:sz w:val="20"/>
    </w:rPr>
  </w:style>
  <w:style w:type="paragraph" w:customStyle="1" w:styleId="Preamble">
    <w:name w:val="Preamble"/>
    <w:basedOn w:val="OPCParaBase"/>
    <w:next w:val="Normal"/>
    <w:rsid w:val="007C734D"/>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C734D"/>
    <w:pPr>
      <w:spacing w:line="240" w:lineRule="auto"/>
    </w:pPr>
    <w:rPr>
      <w:i/>
      <w:sz w:val="20"/>
    </w:rPr>
  </w:style>
  <w:style w:type="paragraph" w:customStyle="1" w:styleId="Session">
    <w:name w:val="Session"/>
    <w:basedOn w:val="OPCParaBase"/>
    <w:rsid w:val="007C734D"/>
    <w:pPr>
      <w:spacing w:line="240" w:lineRule="auto"/>
    </w:pPr>
    <w:rPr>
      <w:sz w:val="28"/>
    </w:rPr>
  </w:style>
  <w:style w:type="paragraph" w:customStyle="1" w:styleId="Sponsor">
    <w:name w:val="Sponsor"/>
    <w:basedOn w:val="OPCParaBase"/>
    <w:rsid w:val="007C734D"/>
    <w:pPr>
      <w:spacing w:line="240" w:lineRule="auto"/>
    </w:pPr>
    <w:rPr>
      <w:i/>
    </w:rPr>
  </w:style>
  <w:style w:type="paragraph" w:customStyle="1" w:styleId="Subitem">
    <w:name w:val="Subitem"/>
    <w:aliases w:val="iss"/>
    <w:basedOn w:val="OPCParaBase"/>
    <w:rsid w:val="007C734D"/>
    <w:pPr>
      <w:spacing w:before="180" w:line="240" w:lineRule="auto"/>
      <w:ind w:left="709" w:hanging="709"/>
    </w:pPr>
  </w:style>
  <w:style w:type="paragraph" w:customStyle="1" w:styleId="SubitemHead">
    <w:name w:val="SubitemHead"/>
    <w:aliases w:val="issh"/>
    <w:basedOn w:val="OPCParaBase"/>
    <w:rsid w:val="007C734D"/>
    <w:pPr>
      <w:keepNext/>
      <w:keepLines/>
      <w:spacing w:before="220" w:line="240" w:lineRule="auto"/>
      <w:ind w:left="709"/>
    </w:pPr>
    <w:rPr>
      <w:rFonts w:ascii="Arial" w:hAnsi="Arial"/>
      <w:i/>
      <w:kern w:val="28"/>
    </w:rPr>
  </w:style>
  <w:style w:type="paragraph" w:customStyle="1" w:styleId="subsection2">
    <w:name w:val="subsection2"/>
    <w:aliases w:val="ss2,t_Main_return"/>
    <w:basedOn w:val="OPCParaBase"/>
    <w:next w:val="subsection"/>
    <w:rsid w:val="007C734D"/>
    <w:pPr>
      <w:spacing w:before="40" w:line="240" w:lineRule="auto"/>
      <w:ind w:left="1134"/>
    </w:pPr>
  </w:style>
  <w:style w:type="paragraph" w:customStyle="1" w:styleId="SubsectionHead">
    <w:name w:val="SubsectionHead"/>
    <w:aliases w:val="ssh,h6_Subsec"/>
    <w:basedOn w:val="OPCParaBase"/>
    <w:next w:val="subsection"/>
    <w:uiPriority w:val="99"/>
    <w:rsid w:val="007C734D"/>
    <w:pPr>
      <w:keepNext/>
      <w:keepLines/>
      <w:spacing w:before="240" w:line="240" w:lineRule="auto"/>
      <w:ind w:left="1134"/>
    </w:pPr>
    <w:rPr>
      <w:i/>
    </w:rPr>
  </w:style>
  <w:style w:type="paragraph" w:customStyle="1" w:styleId="Tablea">
    <w:name w:val="Table(a)"/>
    <w:aliases w:val="ta"/>
    <w:basedOn w:val="OPCParaBase"/>
    <w:rsid w:val="007C734D"/>
    <w:pPr>
      <w:spacing w:before="60" w:line="240" w:lineRule="auto"/>
      <w:ind w:left="284" w:hanging="284"/>
    </w:pPr>
    <w:rPr>
      <w:sz w:val="20"/>
    </w:rPr>
  </w:style>
  <w:style w:type="paragraph" w:customStyle="1" w:styleId="TableAA">
    <w:name w:val="Table(AA)"/>
    <w:aliases w:val="taaa"/>
    <w:basedOn w:val="OPCParaBase"/>
    <w:rsid w:val="007C734D"/>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C734D"/>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link w:val="TabletextChar"/>
    <w:rsid w:val="007C734D"/>
    <w:pPr>
      <w:spacing w:before="60" w:line="240" w:lineRule="atLeast"/>
    </w:pPr>
    <w:rPr>
      <w:sz w:val="20"/>
    </w:rPr>
  </w:style>
  <w:style w:type="paragraph" w:customStyle="1" w:styleId="TLPBoxTextnote">
    <w:name w:val="TLPBoxText(note"/>
    <w:aliases w:val="right)"/>
    <w:basedOn w:val="OPCParaBase"/>
    <w:rsid w:val="007C734D"/>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13D6D"/>
    <w:pPr>
      <w:tabs>
        <w:tab w:val="left" w:pos="357"/>
      </w:tabs>
      <w:spacing w:before="60" w:line="198" w:lineRule="exact"/>
    </w:pPr>
    <w:rPr>
      <w:sz w:val="18"/>
    </w:rPr>
  </w:style>
  <w:style w:type="paragraph" w:customStyle="1" w:styleId="TLPnoteright">
    <w:name w:val="TLPnote(right)"/>
    <w:aliases w:val="nr"/>
    <w:basedOn w:val="OPCParaBase"/>
    <w:rsid w:val="007C734D"/>
    <w:pPr>
      <w:spacing w:before="122" w:line="198" w:lineRule="exact"/>
      <w:ind w:left="1985" w:hanging="851"/>
      <w:jc w:val="right"/>
    </w:pPr>
    <w:rPr>
      <w:sz w:val="18"/>
    </w:rPr>
  </w:style>
  <w:style w:type="paragraph" w:customStyle="1" w:styleId="TLPTableBullet">
    <w:name w:val="TLPTableBullet"/>
    <w:aliases w:val="ttb"/>
    <w:basedOn w:val="OPCParaBase"/>
    <w:rsid w:val="007C734D"/>
    <w:pPr>
      <w:spacing w:line="240" w:lineRule="exact"/>
      <w:ind w:left="284" w:hanging="284"/>
    </w:pPr>
    <w:rPr>
      <w:sz w:val="20"/>
    </w:rPr>
  </w:style>
  <w:style w:type="paragraph" w:styleId="TOC1">
    <w:name w:val="toc 1"/>
    <w:basedOn w:val="Normal"/>
    <w:next w:val="Normal"/>
    <w:uiPriority w:val="39"/>
    <w:unhideWhenUsed/>
    <w:rsid w:val="007C734D"/>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7C734D"/>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7C734D"/>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7C734D"/>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096609"/>
    <w:pPr>
      <w:keepLines/>
      <w:tabs>
        <w:tab w:val="right" w:leader="dot" w:pos="8278"/>
      </w:tabs>
      <w:spacing w:before="40" w:line="240" w:lineRule="auto"/>
      <w:ind w:left="1701" w:right="567" w:hanging="567"/>
    </w:pPr>
    <w:rPr>
      <w:rFonts w:eastAsia="Times New Roman" w:cs="Times New Roman"/>
      <w:kern w:val="28"/>
      <w:sz w:val="18"/>
      <w:lang w:eastAsia="en-AU"/>
    </w:rPr>
  </w:style>
  <w:style w:type="paragraph" w:styleId="TOC6">
    <w:name w:val="toc 6"/>
    <w:basedOn w:val="Normal"/>
    <w:next w:val="Normal"/>
    <w:uiPriority w:val="39"/>
    <w:unhideWhenUsed/>
    <w:rsid w:val="007C734D"/>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7C734D"/>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7C734D"/>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7C734D"/>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7C734D"/>
    <w:pPr>
      <w:keepLines/>
      <w:spacing w:before="240" w:after="120" w:line="240" w:lineRule="auto"/>
      <w:ind w:left="794"/>
    </w:pPr>
    <w:rPr>
      <w:b/>
      <w:kern w:val="28"/>
      <w:sz w:val="20"/>
    </w:rPr>
  </w:style>
  <w:style w:type="paragraph" w:customStyle="1" w:styleId="TofSectsHeading">
    <w:name w:val="TofSects(Heading)"/>
    <w:basedOn w:val="OPCParaBase"/>
    <w:rsid w:val="007C734D"/>
    <w:pPr>
      <w:spacing w:before="240" w:after="120" w:line="240" w:lineRule="auto"/>
    </w:pPr>
    <w:rPr>
      <w:b/>
      <w:sz w:val="24"/>
    </w:rPr>
  </w:style>
  <w:style w:type="paragraph" w:customStyle="1" w:styleId="TofSectsSection">
    <w:name w:val="TofSects(Section)"/>
    <w:basedOn w:val="OPCParaBase"/>
    <w:rsid w:val="007C734D"/>
    <w:pPr>
      <w:keepLines/>
      <w:spacing w:before="40" w:line="240" w:lineRule="auto"/>
      <w:ind w:left="1588" w:hanging="794"/>
    </w:pPr>
    <w:rPr>
      <w:kern w:val="28"/>
      <w:sz w:val="18"/>
    </w:rPr>
  </w:style>
  <w:style w:type="paragraph" w:customStyle="1" w:styleId="TofSectsSubdiv">
    <w:name w:val="TofSects(Subdiv)"/>
    <w:basedOn w:val="OPCParaBase"/>
    <w:rsid w:val="007C734D"/>
    <w:pPr>
      <w:keepLines/>
      <w:spacing w:before="80" w:line="240" w:lineRule="auto"/>
      <w:ind w:left="1588" w:hanging="794"/>
    </w:pPr>
    <w:rPr>
      <w:kern w:val="28"/>
    </w:rPr>
  </w:style>
  <w:style w:type="paragraph" w:customStyle="1" w:styleId="WRStyle">
    <w:name w:val="WR Style"/>
    <w:aliases w:val="WR"/>
    <w:basedOn w:val="OPCParaBase"/>
    <w:rsid w:val="007C734D"/>
    <w:pPr>
      <w:spacing w:before="240" w:line="240" w:lineRule="auto"/>
      <w:ind w:left="284" w:hanging="284"/>
    </w:pPr>
    <w:rPr>
      <w:b/>
      <w:i/>
      <w:kern w:val="28"/>
      <w:sz w:val="24"/>
    </w:rPr>
  </w:style>
  <w:style w:type="paragraph" w:customStyle="1" w:styleId="notepara">
    <w:name w:val="note(para)"/>
    <w:aliases w:val="na,n_Para"/>
    <w:basedOn w:val="OPCParaBase"/>
    <w:rsid w:val="007C734D"/>
    <w:pPr>
      <w:spacing w:before="40" w:line="198" w:lineRule="exact"/>
      <w:ind w:left="2354" w:hanging="369"/>
    </w:pPr>
    <w:rPr>
      <w:sz w:val="18"/>
    </w:rPr>
  </w:style>
  <w:style w:type="paragraph" w:styleId="Footer">
    <w:name w:val="footer"/>
    <w:link w:val="FooterChar"/>
    <w:rsid w:val="007C734D"/>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C734D"/>
    <w:rPr>
      <w:rFonts w:eastAsia="Times New Roman" w:cs="Times New Roman"/>
      <w:sz w:val="22"/>
      <w:szCs w:val="24"/>
      <w:lang w:eastAsia="en-AU"/>
    </w:rPr>
  </w:style>
  <w:style w:type="character" w:styleId="LineNumber">
    <w:name w:val="line number"/>
    <w:basedOn w:val="OPCCharBase"/>
    <w:uiPriority w:val="99"/>
    <w:unhideWhenUsed/>
    <w:rsid w:val="007C734D"/>
    <w:rPr>
      <w:sz w:val="16"/>
    </w:rPr>
  </w:style>
  <w:style w:type="table" w:customStyle="1" w:styleId="CFlag">
    <w:name w:val="CFlag"/>
    <w:basedOn w:val="TableNormal"/>
    <w:uiPriority w:val="99"/>
    <w:rsid w:val="007C734D"/>
    <w:rPr>
      <w:rFonts w:eastAsia="Times New Roman" w:cs="Times New Roman"/>
      <w:lang w:eastAsia="en-AU"/>
    </w:rPr>
    <w:tblPr/>
  </w:style>
  <w:style w:type="paragraph" w:styleId="BalloonText">
    <w:name w:val="Balloon Text"/>
    <w:basedOn w:val="Normal"/>
    <w:link w:val="BalloonTextChar"/>
    <w:uiPriority w:val="99"/>
    <w:unhideWhenUsed/>
    <w:rsid w:val="007C73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C734D"/>
    <w:rPr>
      <w:rFonts w:ascii="Tahoma" w:hAnsi="Tahoma" w:cs="Tahoma"/>
      <w:sz w:val="16"/>
      <w:szCs w:val="16"/>
    </w:rPr>
  </w:style>
  <w:style w:type="table" w:styleId="TableGrid">
    <w:name w:val="Table Grid"/>
    <w:basedOn w:val="TableNormal"/>
    <w:uiPriority w:val="59"/>
    <w:rsid w:val="007C7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7C734D"/>
    <w:rPr>
      <w:b/>
      <w:sz w:val="28"/>
      <w:szCs w:val="32"/>
    </w:rPr>
  </w:style>
  <w:style w:type="paragraph" w:customStyle="1" w:styleId="LegislationMadeUnder">
    <w:name w:val="LegislationMadeUnder"/>
    <w:basedOn w:val="OPCParaBase"/>
    <w:next w:val="Normal"/>
    <w:rsid w:val="007C734D"/>
    <w:rPr>
      <w:i/>
      <w:sz w:val="32"/>
      <w:szCs w:val="32"/>
    </w:rPr>
  </w:style>
  <w:style w:type="paragraph" w:customStyle="1" w:styleId="SignCoverPageEnd">
    <w:name w:val="SignCoverPageEnd"/>
    <w:basedOn w:val="OPCParaBase"/>
    <w:next w:val="Normal"/>
    <w:rsid w:val="007C734D"/>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C734D"/>
    <w:pPr>
      <w:pBdr>
        <w:top w:val="single" w:sz="4" w:space="1" w:color="auto"/>
      </w:pBdr>
      <w:spacing w:before="360"/>
      <w:ind w:right="397"/>
      <w:jc w:val="both"/>
    </w:pPr>
  </w:style>
  <w:style w:type="paragraph" w:customStyle="1" w:styleId="NotesHeading1">
    <w:name w:val="NotesHeading 1"/>
    <w:basedOn w:val="OPCParaBase"/>
    <w:next w:val="Normal"/>
    <w:rsid w:val="007C734D"/>
    <w:rPr>
      <w:b/>
      <w:sz w:val="28"/>
      <w:szCs w:val="28"/>
    </w:rPr>
  </w:style>
  <w:style w:type="paragraph" w:customStyle="1" w:styleId="NotesHeading2">
    <w:name w:val="NotesHeading 2"/>
    <w:basedOn w:val="OPCParaBase"/>
    <w:next w:val="Normal"/>
    <w:rsid w:val="007C734D"/>
    <w:rPr>
      <w:b/>
      <w:sz w:val="28"/>
      <w:szCs w:val="28"/>
    </w:rPr>
  </w:style>
  <w:style w:type="paragraph" w:customStyle="1" w:styleId="ENotesText">
    <w:name w:val="ENotesText"/>
    <w:aliases w:val="Ent"/>
    <w:basedOn w:val="OPCParaBase"/>
    <w:next w:val="Normal"/>
    <w:rsid w:val="007C734D"/>
    <w:pPr>
      <w:spacing w:before="120"/>
    </w:pPr>
  </w:style>
  <w:style w:type="paragraph" w:customStyle="1" w:styleId="CompiledActNo">
    <w:name w:val="CompiledActNo"/>
    <w:basedOn w:val="OPCParaBase"/>
    <w:next w:val="Normal"/>
    <w:rsid w:val="007C734D"/>
    <w:rPr>
      <w:b/>
      <w:sz w:val="24"/>
      <w:szCs w:val="24"/>
    </w:rPr>
  </w:style>
  <w:style w:type="paragraph" w:customStyle="1" w:styleId="CompiledMadeUnder">
    <w:name w:val="CompiledMadeUnder"/>
    <w:basedOn w:val="OPCParaBase"/>
    <w:next w:val="Normal"/>
    <w:rsid w:val="007C734D"/>
    <w:rPr>
      <w:i/>
      <w:sz w:val="24"/>
      <w:szCs w:val="24"/>
    </w:rPr>
  </w:style>
  <w:style w:type="paragraph" w:customStyle="1" w:styleId="Paragraphsub-sub-sub">
    <w:name w:val="Paragraph(sub-sub-sub)"/>
    <w:aliases w:val="aaaa"/>
    <w:basedOn w:val="OPCParaBase"/>
    <w:rsid w:val="007C734D"/>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C734D"/>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C734D"/>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C734D"/>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C734D"/>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7C734D"/>
    <w:pPr>
      <w:spacing w:before="60" w:line="240" w:lineRule="auto"/>
    </w:pPr>
    <w:rPr>
      <w:rFonts w:cs="Arial"/>
      <w:sz w:val="20"/>
      <w:szCs w:val="22"/>
    </w:rPr>
  </w:style>
  <w:style w:type="paragraph" w:customStyle="1" w:styleId="NoteToSubpara">
    <w:name w:val="NoteToSubpara"/>
    <w:aliases w:val="nts"/>
    <w:basedOn w:val="OPCParaBase"/>
    <w:rsid w:val="007C734D"/>
    <w:pPr>
      <w:spacing w:before="40" w:line="198" w:lineRule="exact"/>
      <w:ind w:left="2835" w:hanging="709"/>
    </w:pPr>
    <w:rPr>
      <w:sz w:val="18"/>
    </w:rPr>
  </w:style>
  <w:style w:type="paragraph" w:customStyle="1" w:styleId="ENoteTableHeading">
    <w:name w:val="ENoteTableHeading"/>
    <w:aliases w:val="enth"/>
    <w:basedOn w:val="OPCParaBase"/>
    <w:rsid w:val="007C734D"/>
    <w:pPr>
      <w:keepNext/>
      <w:spacing w:before="60" w:line="240" w:lineRule="atLeast"/>
    </w:pPr>
    <w:rPr>
      <w:rFonts w:ascii="Arial" w:hAnsi="Arial"/>
      <w:b/>
      <w:sz w:val="16"/>
    </w:rPr>
  </w:style>
  <w:style w:type="paragraph" w:customStyle="1" w:styleId="ENoteTTi">
    <w:name w:val="ENoteTTi"/>
    <w:aliases w:val="entti"/>
    <w:basedOn w:val="OPCParaBase"/>
    <w:rsid w:val="007C734D"/>
    <w:pPr>
      <w:keepNext/>
      <w:spacing w:before="60" w:line="240" w:lineRule="atLeast"/>
      <w:ind w:left="170"/>
    </w:pPr>
    <w:rPr>
      <w:sz w:val="16"/>
    </w:rPr>
  </w:style>
  <w:style w:type="paragraph" w:customStyle="1" w:styleId="ENotesHeading1">
    <w:name w:val="ENotesHeading 1"/>
    <w:aliases w:val="Enh1"/>
    <w:basedOn w:val="OPCParaBase"/>
    <w:next w:val="Normal"/>
    <w:rsid w:val="007C734D"/>
    <w:pPr>
      <w:spacing w:before="120"/>
      <w:outlineLvl w:val="1"/>
    </w:pPr>
    <w:rPr>
      <w:b/>
      <w:sz w:val="28"/>
      <w:szCs w:val="28"/>
    </w:rPr>
  </w:style>
  <w:style w:type="paragraph" w:customStyle="1" w:styleId="ENotesHeading2">
    <w:name w:val="ENotesHeading 2"/>
    <w:aliases w:val="Enh2"/>
    <w:basedOn w:val="OPCParaBase"/>
    <w:next w:val="Normal"/>
    <w:rsid w:val="007C734D"/>
    <w:pPr>
      <w:spacing w:before="120" w:after="120"/>
      <w:outlineLvl w:val="2"/>
    </w:pPr>
    <w:rPr>
      <w:b/>
      <w:sz w:val="24"/>
      <w:szCs w:val="28"/>
    </w:rPr>
  </w:style>
  <w:style w:type="paragraph" w:customStyle="1" w:styleId="ENoteTTIndentHeading">
    <w:name w:val="ENoteTTIndentHeading"/>
    <w:aliases w:val="enTTHi"/>
    <w:basedOn w:val="OPCParaBase"/>
    <w:rsid w:val="007C734D"/>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C734D"/>
    <w:pPr>
      <w:spacing w:before="60" w:line="240" w:lineRule="atLeast"/>
    </w:pPr>
    <w:rPr>
      <w:sz w:val="16"/>
    </w:rPr>
  </w:style>
  <w:style w:type="paragraph" w:customStyle="1" w:styleId="MadeunderText">
    <w:name w:val="MadeunderText"/>
    <w:basedOn w:val="OPCParaBase"/>
    <w:next w:val="Normal"/>
    <w:rsid w:val="007C734D"/>
    <w:pPr>
      <w:spacing w:before="240"/>
    </w:pPr>
    <w:rPr>
      <w:sz w:val="24"/>
      <w:szCs w:val="24"/>
    </w:rPr>
  </w:style>
  <w:style w:type="paragraph" w:customStyle="1" w:styleId="ENotesHeading3">
    <w:name w:val="ENotesHeading 3"/>
    <w:aliases w:val="Enh3"/>
    <w:basedOn w:val="OPCParaBase"/>
    <w:next w:val="Normal"/>
    <w:rsid w:val="007C734D"/>
    <w:pPr>
      <w:keepNext/>
      <w:spacing w:before="120" w:line="240" w:lineRule="auto"/>
      <w:outlineLvl w:val="4"/>
    </w:pPr>
    <w:rPr>
      <w:b/>
      <w:szCs w:val="24"/>
    </w:rPr>
  </w:style>
  <w:style w:type="character" w:customStyle="1" w:styleId="CharSubPartTextCASA">
    <w:name w:val="CharSubPartText(CASA)"/>
    <w:basedOn w:val="OPCCharBase"/>
    <w:uiPriority w:val="1"/>
    <w:rsid w:val="007C734D"/>
  </w:style>
  <w:style w:type="character" w:customStyle="1" w:styleId="CharSubPartNoCASA">
    <w:name w:val="CharSubPartNo(CASA)"/>
    <w:basedOn w:val="OPCCharBase"/>
    <w:uiPriority w:val="1"/>
    <w:rsid w:val="007C734D"/>
  </w:style>
  <w:style w:type="paragraph" w:customStyle="1" w:styleId="ENoteTTIndentHeadingSub">
    <w:name w:val="ENoteTTIndentHeadingSub"/>
    <w:aliases w:val="enTTHis"/>
    <w:basedOn w:val="OPCParaBase"/>
    <w:rsid w:val="007C734D"/>
    <w:pPr>
      <w:keepNext/>
      <w:spacing w:before="60" w:line="240" w:lineRule="atLeast"/>
      <w:ind w:left="340"/>
    </w:pPr>
    <w:rPr>
      <w:b/>
      <w:sz w:val="16"/>
    </w:rPr>
  </w:style>
  <w:style w:type="paragraph" w:customStyle="1" w:styleId="ENoteTTiSub">
    <w:name w:val="ENoteTTiSub"/>
    <w:aliases w:val="enttis"/>
    <w:basedOn w:val="OPCParaBase"/>
    <w:rsid w:val="007C734D"/>
    <w:pPr>
      <w:keepNext/>
      <w:spacing w:before="60" w:line="240" w:lineRule="atLeast"/>
      <w:ind w:left="340"/>
    </w:pPr>
    <w:rPr>
      <w:sz w:val="16"/>
    </w:rPr>
  </w:style>
  <w:style w:type="paragraph" w:customStyle="1" w:styleId="SubDivisionMigration">
    <w:name w:val="SubDivisionMigration"/>
    <w:aliases w:val="sdm"/>
    <w:basedOn w:val="OPCParaBase"/>
    <w:rsid w:val="007C734D"/>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C734D"/>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7C734D"/>
    <w:pPr>
      <w:spacing w:before="122" w:line="240" w:lineRule="auto"/>
      <w:ind w:left="1985" w:hanging="851"/>
    </w:pPr>
    <w:rPr>
      <w:sz w:val="18"/>
    </w:rPr>
  </w:style>
  <w:style w:type="paragraph" w:customStyle="1" w:styleId="FreeForm">
    <w:name w:val="FreeForm"/>
    <w:rsid w:val="007C734D"/>
    <w:rPr>
      <w:rFonts w:ascii="Arial" w:hAnsi="Arial"/>
      <w:sz w:val="22"/>
    </w:rPr>
  </w:style>
  <w:style w:type="paragraph" w:customStyle="1" w:styleId="SOText">
    <w:name w:val="SO Text"/>
    <w:aliases w:val="sot"/>
    <w:link w:val="SOTextChar"/>
    <w:rsid w:val="007C734D"/>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C734D"/>
    <w:rPr>
      <w:sz w:val="22"/>
    </w:rPr>
  </w:style>
  <w:style w:type="paragraph" w:customStyle="1" w:styleId="SOTextNote">
    <w:name w:val="SO TextNote"/>
    <w:aliases w:val="sont"/>
    <w:basedOn w:val="SOText"/>
    <w:qFormat/>
    <w:rsid w:val="007C734D"/>
    <w:pPr>
      <w:spacing w:before="122" w:line="198" w:lineRule="exact"/>
      <w:ind w:left="1843" w:hanging="709"/>
    </w:pPr>
    <w:rPr>
      <w:sz w:val="18"/>
    </w:rPr>
  </w:style>
  <w:style w:type="paragraph" w:customStyle="1" w:styleId="SOPara">
    <w:name w:val="SO Para"/>
    <w:aliases w:val="soa"/>
    <w:basedOn w:val="SOText"/>
    <w:link w:val="SOParaChar"/>
    <w:qFormat/>
    <w:rsid w:val="007C734D"/>
    <w:pPr>
      <w:tabs>
        <w:tab w:val="right" w:pos="1786"/>
      </w:tabs>
      <w:spacing w:before="40"/>
      <w:ind w:left="2070" w:hanging="936"/>
    </w:pPr>
  </w:style>
  <w:style w:type="character" w:customStyle="1" w:styleId="SOParaChar">
    <w:name w:val="SO Para Char"/>
    <w:aliases w:val="soa Char"/>
    <w:basedOn w:val="DefaultParagraphFont"/>
    <w:link w:val="SOPara"/>
    <w:rsid w:val="007C734D"/>
    <w:rPr>
      <w:sz w:val="22"/>
    </w:rPr>
  </w:style>
  <w:style w:type="paragraph" w:customStyle="1" w:styleId="FileName">
    <w:name w:val="FileName"/>
    <w:basedOn w:val="Normal"/>
    <w:rsid w:val="007C734D"/>
  </w:style>
  <w:style w:type="paragraph" w:customStyle="1" w:styleId="TableHeading">
    <w:name w:val="TableHeading"/>
    <w:aliases w:val="th"/>
    <w:basedOn w:val="OPCParaBase"/>
    <w:next w:val="Tabletext"/>
    <w:rsid w:val="007C734D"/>
    <w:pPr>
      <w:keepNext/>
      <w:spacing w:before="60" w:line="240" w:lineRule="atLeast"/>
    </w:pPr>
    <w:rPr>
      <w:b/>
      <w:sz w:val="20"/>
    </w:rPr>
  </w:style>
  <w:style w:type="paragraph" w:customStyle="1" w:styleId="SOHeadBold">
    <w:name w:val="SO HeadBold"/>
    <w:aliases w:val="sohb"/>
    <w:basedOn w:val="SOText"/>
    <w:next w:val="SOText"/>
    <w:link w:val="SOHeadBoldChar"/>
    <w:qFormat/>
    <w:rsid w:val="007C734D"/>
    <w:rPr>
      <w:b/>
    </w:rPr>
  </w:style>
  <w:style w:type="character" w:customStyle="1" w:styleId="SOHeadBoldChar">
    <w:name w:val="SO HeadBold Char"/>
    <w:aliases w:val="sohb Char"/>
    <w:basedOn w:val="DefaultParagraphFont"/>
    <w:link w:val="SOHeadBold"/>
    <w:rsid w:val="007C734D"/>
    <w:rPr>
      <w:b/>
      <w:sz w:val="22"/>
    </w:rPr>
  </w:style>
  <w:style w:type="paragraph" w:customStyle="1" w:styleId="SOHeadItalic">
    <w:name w:val="SO HeadItalic"/>
    <w:aliases w:val="sohi"/>
    <w:basedOn w:val="SOText"/>
    <w:next w:val="SOText"/>
    <w:link w:val="SOHeadItalicChar"/>
    <w:qFormat/>
    <w:rsid w:val="007C734D"/>
    <w:rPr>
      <w:i/>
    </w:rPr>
  </w:style>
  <w:style w:type="character" w:customStyle="1" w:styleId="SOHeadItalicChar">
    <w:name w:val="SO HeadItalic Char"/>
    <w:aliases w:val="sohi Char"/>
    <w:basedOn w:val="DefaultParagraphFont"/>
    <w:link w:val="SOHeadItalic"/>
    <w:rsid w:val="007C734D"/>
    <w:rPr>
      <w:i/>
      <w:sz w:val="22"/>
    </w:rPr>
  </w:style>
  <w:style w:type="paragraph" w:customStyle="1" w:styleId="SOBullet">
    <w:name w:val="SO Bullet"/>
    <w:aliases w:val="sotb"/>
    <w:basedOn w:val="SOText"/>
    <w:link w:val="SOBulletChar"/>
    <w:qFormat/>
    <w:rsid w:val="007C734D"/>
    <w:pPr>
      <w:ind w:left="1559" w:hanging="425"/>
    </w:pPr>
  </w:style>
  <w:style w:type="character" w:customStyle="1" w:styleId="SOBulletChar">
    <w:name w:val="SO Bullet Char"/>
    <w:aliases w:val="sotb Char"/>
    <w:basedOn w:val="DefaultParagraphFont"/>
    <w:link w:val="SOBullet"/>
    <w:rsid w:val="007C734D"/>
    <w:rPr>
      <w:sz w:val="22"/>
    </w:rPr>
  </w:style>
  <w:style w:type="paragraph" w:customStyle="1" w:styleId="SOBulletNote">
    <w:name w:val="SO BulletNote"/>
    <w:aliases w:val="sonb"/>
    <w:basedOn w:val="SOTextNote"/>
    <w:link w:val="SOBulletNoteChar"/>
    <w:qFormat/>
    <w:rsid w:val="007C734D"/>
    <w:pPr>
      <w:tabs>
        <w:tab w:val="left" w:pos="1560"/>
      </w:tabs>
      <w:ind w:left="2268" w:hanging="1134"/>
    </w:pPr>
  </w:style>
  <w:style w:type="character" w:customStyle="1" w:styleId="SOBulletNoteChar">
    <w:name w:val="SO BulletNote Char"/>
    <w:aliases w:val="sonb Char"/>
    <w:basedOn w:val="DefaultParagraphFont"/>
    <w:link w:val="SOBulletNote"/>
    <w:rsid w:val="007C734D"/>
    <w:rPr>
      <w:sz w:val="18"/>
    </w:rPr>
  </w:style>
  <w:style w:type="paragraph" w:customStyle="1" w:styleId="SOText2">
    <w:name w:val="SO Text2"/>
    <w:aliases w:val="sot2"/>
    <w:basedOn w:val="Normal"/>
    <w:next w:val="SOText"/>
    <w:link w:val="SOText2Char"/>
    <w:rsid w:val="007C734D"/>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C734D"/>
    <w:rPr>
      <w:sz w:val="22"/>
    </w:rPr>
  </w:style>
  <w:style w:type="paragraph" w:customStyle="1" w:styleId="SubPartCASA">
    <w:name w:val="SubPart(CASA)"/>
    <w:aliases w:val="csp"/>
    <w:basedOn w:val="OPCParaBase"/>
    <w:next w:val="ActHead3"/>
    <w:rsid w:val="007C734D"/>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7C734D"/>
    <w:rPr>
      <w:rFonts w:eastAsia="Times New Roman" w:cs="Times New Roman"/>
      <w:sz w:val="22"/>
      <w:lang w:eastAsia="en-AU"/>
    </w:rPr>
  </w:style>
  <w:style w:type="character" w:customStyle="1" w:styleId="notetextChar">
    <w:name w:val="note(text) Char"/>
    <w:aliases w:val="n Char,n_Main Char"/>
    <w:basedOn w:val="DefaultParagraphFont"/>
    <w:link w:val="notetext"/>
    <w:rsid w:val="007C734D"/>
    <w:rPr>
      <w:rFonts w:eastAsia="Times New Roman" w:cs="Times New Roman"/>
      <w:sz w:val="18"/>
      <w:lang w:eastAsia="en-AU"/>
    </w:rPr>
  </w:style>
  <w:style w:type="character" w:customStyle="1" w:styleId="Heading1Char">
    <w:name w:val="Heading 1 Char"/>
    <w:aliases w:val="h1 Char"/>
    <w:basedOn w:val="DefaultParagraphFont"/>
    <w:link w:val="Heading1"/>
    <w:rsid w:val="007C734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 Char"/>
    <w:basedOn w:val="DefaultParagraphFont"/>
    <w:link w:val="Heading2"/>
    <w:rsid w:val="007C734D"/>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3 Char"/>
    <w:basedOn w:val="DefaultParagraphFont"/>
    <w:link w:val="Heading3"/>
    <w:rsid w:val="007C734D"/>
    <w:rPr>
      <w:rFonts w:asciiTheme="majorHAnsi" w:eastAsiaTheme="majorEastAsia" w:hAnsiTheme="majorHAnsi" w:cstheme="majorBidi"/>
      <w:b/>
      <w:bCs/>
      <w:color w:val="4F81BD" w:themeColor="accent1"/>
      <w:sz w:val="22"/>
    </w:rPr>
  </w:style>
  <w:style w:type="character" w:customStyle="1" w:styleId="Heading4Char">
    <w:name w:val="Heading 4 Char"/>
    <w:aliases w:val="h4 Char"/>
    <w:basedOn w:val="DefaultParagraphFont"/>
    <w:link w:val="Heading4"/>
    <w:rsid w:val="007C734D"/>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rsid w:val="007C734D"/>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rsid w:val="007C734D"/>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rsid w:val="007C734D"/>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rsid w:val="007C734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7C734D"/>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7C734D"/>
  </w:style>
  <w:style w:type="character" w:customStyle="1" w:styleId="charlegsubtitle1">
    <w:name w:val="charlegsubtitle1"/>
    <w:basedOn w:val="DefaultParagraphFont"/>
    <w:rsid w:val="007C734D"/>
    <w:rPr>
      <w:rFonts w:ascii="Arial" w:hAnsi="Arial" w:cs="Arial" w:hint="default"/>
      <w:b/>
      <w:bCs/>
      <w:sz w:val="28"/>
      <w:szCs w:val="28"/>
    </w:rPr>
  </w:style>
  <w:style w:type="paragraph" w:styleId="Index1">
    <w:name w:val="index 1"/>
    <w:basedOn w:val="Normal"/>
    <w:next w:val="Normal"/>
    <w:autoRedefine/>
    <w:rsid w:val="007C734D"/>
    <w:pPr>
      <w:ind w:left="240" w:hanging="240"/>
    </w:pPr>
  </w:style>
  <w:style w:type="paragraph" w:styleId="Index2">
    <w:name w:val="index 2"/>
    <w:basedOn w:val="Normal"/>
    <w:next w:val="Normal"/>
    <w:autoRedefine/>
    <w:rsid w:val="007C734D"/>
    <w:pPr>
      <w:ind w:left="480" w:hanging="240"/>
    </w:pPr>
  </w:style>
  <w:style w:type="paragraph" w:styleId="Index3">
    <w:name w:val="index 3"/>
    <w:basedOn w:val="Normal"/>
    <w:next w:val="Normal"/>
    <w:autoRedefine/>
    <w:rsid w:val="007C734D"/>
    <w:pPr>
      <w:ind w:left="720" w:hanging="240"/>
    </w:pPr>
  </w:style>
  <w:style w:type="paragraph" w:styleId="Index4">
    <w:name w:val="index 4"/>
    <w:basedOn w:val="Normal"/>
    <w:next w:val="Normal"/>
    <w:autoRedefine/>
    <w:rsid w:val="007C734D"/>
    <w:pPr>
      <w:ind w:left="960" w:hanging="240"/>
    </w:pPr>
  </w:style>
  <w:style w:type="paragraph" w:styleId="Index5">
    <w:name w:val="index 5"/>
    <w:basedOn w:val="Normal"/>
    <w:next w:val="Normal"/>
    <w:autoRedefine/>
    <w:rsid w:val="007C734D"/>
    <w:pPr>
      <w:ind w:left="1200" w:hanging="240"/>
    </w:pPr>
  </w:style>
  <w:style w:type="paragraph" w:styleId="Index6">
    <w:name w:val="index 6"/>
    <w:basedOn w:val="Normal"/>
    <w:next w:val="Normal"/>
    <w:autoRedefine/>
    <w:rsid w:val="007C734D"/>
    <w:pPr>
      <w:ind w:left="1440" w:hanging="240"/>
    </w:pPr>
  </w:style>
  <w:style w:type="paragraph" w:styleId="Index7">
    <w:name w:val="index 7"/>
    <w:basedOn w:val="Normal"/>
    <w:next w:val="Normal"/>
    <w:autoRedefine/>
    <w:rsid w:val="007C734D"/>
    <w:pPr>
      <w:ind w:left="1680" w:hanging="240"/>
    </w:pPr>
  </w:style>
  <w:style w:type="paragraph" w:styleId="Index8">
    <w:name w:val="index 8"/>
    <w:basedOn w:val="Normal"/>
    <w:next w:val="Normal"/>
    <w:autoRedefine/>
    <w:rsid w:val="007C734D"/>
    <w:pPr>
      <w:ind w:left="1920" w:hanging="240"/>
    </w:pPr>
  </w:style>
  <w:style w:type="paragraph" w:styleId="Index9">
    <w:name w:val="index 9"/>
    <w:basedOn w:val="Normal"/>
    <w:next w:val="Normal"/>
    <w:autoRedefine/>
    <w:rsid w:val="007C734D"/>
    <w:pPr>
      <w:ind w:left="2160" w:hanging="240"/>
    </w:pPr>
  </w:style>
  <w:style w:type="paragraph" w:styleId="NormalIndent">
    <w:name w:val="Normal Indent"/>
    <w:basedOn w:val="Normal"/>
    <w:rsid w:val="007C734D"/>
    <w:pPr>
      <w:ind w:left="720"/>
    </w:pPr>
  </w:style>
  <w:style w:type="paragraph" w:styleId="FootnoteText">
    <w:name w:val="footnote text"/>
    <w:basedOn w:val="Normal"/>
    <w:link w:val="FootnoteTextChar"/>
    <w:uiPriority w:val="2"/>
    <w:rsid w:val="007C734D"/>
    <w:rPr>
      <w:sz w:val="20"/>
    </w:rPr>
  </w:style>
  <w:style w:type="character" w:customStyle="1" w:styleId="FootnoteTextChar">
    <w:name w:val="Footnote Text Char"/>
    <w:basedOn w:val="DefaultParagraphFont"/>
    <w:link w:val="FootnoteText"/>
    <w:uiPriority w:val="2"/>
    <w:rsid w:val="007C734D"/>
  </w:style>
  <w:style w:type="paragraph" w:styleId="CommentText">
    <w:name w:val="annotation text"/>
    <w:basedOn w:val="Normal"/>
    <w:link w:val="CommentTextChar"/>
    <w:uiPriority w:val="99"/>
    <w:rsid w:val="007C734D"/>
    <w:rPr>
      <w:sz w:val="20"/>
    </w:rPr>
  </w:style>
  <w:style w:type="character" w:customStyle="1" w:styleId="CommentTextChar">
    <w:name w:val="Comment Text Char"/>
    <w:basedOn w:val="DefaultParagraphFont"/>
    <w:link w:val="CommentText"/>
    <w:uiPriority w:val="99"/>
    <w:rsid w:val="007C734D"/>
  </w:style>
  <w:style w:type="paragraph" w:styleId="IndexHeading">
    <w:name w:val="index heading"/>
    <w:basedOn w:val="Normal"/>
    <w:next w:val="Index1"/>
    <w:rsid w:val="007C734D"/>
    <w:rPr>
      <w:rFonts w:ascii="Arial" w:hAnsi="Arial" w:cs="Arial"/>
      <w:b/>
      <w:bCs/>
    </w:rPr>
  </w:style>
  <w:style w:type="paragraph" w:styleId="Caption">
    <w:name w:val="caption"/>
    <w:basedOn w:val="Normal"/>
    <w:next w:val="Normal"/>
    <w:qFormat/>
    <w:rsid w:val="007C734D"/>
    <w:pPr>
      <w:spacing w:before="120" w:after="120"/>
    </w:pPr>
    <w:rPr>
      <w:b/>
      <w:bCs/>
      <w:sz w:val="20"/>
    </w:rPr>
  </w:style>
  <w:style w:type="paragraph" w:styleId="TableofFigures">
    <w:name w:val="table of figures"/>
    <w:basedOn w:val="Normal"/>
    <w:next w:val="Normal"/>
    <w:rsid w:val="007C734D"/>
    <w:pPr>
      <w:ind w:left="480" w:hanging="480"/>
    </w:pPr>
  </w:style>
  <w:style w:type="paragraph" w:styleId="EnvelopeAddress">
    <w:name w:val="envelope address"/>
    <w:basedOn w:val="Normal"/>
    <w:rsid w:val="007C734D"/>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C734D"/>
    <w:rPr>
      <w:rFonts w:ascii="Arial" w:hAnsi="Arial" w:cs="Arial"/>
      <w:sz w:val="20"/>
    </w:rPr>
  </w:style>
  <w:style w:type="character" w:styleId="FootnoteReference">
    <w:name w:val="footnote reference"/>
    <w:basedOn w:val="DefaultParagraphFont"/>
    <w:uiPriority w:val="99"/>
    <w:rsid w:val="007C734D"/>
    <w:rPr>
      <w:rFonts w:ascii="Times New Roman" w:hAnsi="Times New Roman"/>
      <w:sz w:val="20"/>
      <w:vertAlign w:val="superscript"/>
    </w:rPr>
  </w:style>
  <w:style w:type="character" w:styleId="CommentReference">
    <w:name w:val="annotation reference"/>
    <w:basedOn w:val="DefaultParagraphFont"/>
    <w:rsid w:val="007C734D"/>
    <w:rPr>
      <w:sz w:val="16"/>
      <w:szCs w:val="16"/>
    </w:rPr>
  </w:style>
  <w:style w:type="character" w:styleId="PageNumber">
    <w:name w:val="page number"/>
    <w:basedOn w:val="DefaultParagraphFont"/>
    <w:rsid w:val="007C734D"/>
  </w:style>
  <w:style w:type="character" w:styleId="EndnoteReference">
    <w:name w:val="endnote reference"/>
    <w:basedOn w:val="DefaultParagraphFont"/>
    <w:rsid w:val="007C734D"/>
    <w:rPr>
      <w:vertAlign w:val="superscript"/>
    </w:rPr>
  </w:style>
  <w:style w:type="paragraph" w:styleId="EndnoteText">
    <w:name w:val="endnote text"/>
    <w:basedOn w:val="Normal"/>
    <w:link w:val="EndnoteTextChar"/>
    <w:rsid w:val="007C734D"/>
    <w:rPr>
      <w:sz w:val="20"/>
    </w:rPr>
  </w:style>
  <w:style w:type="character" w:customStyle="1" w:styleId="EndnoteTextChar">
    <w:name w:val="Endnote Text Char"/>
    <w:basedOn w:val="DefaultParagraphFont"/>
    <w:link w:val="EndnoteText"/>
    <w:uiPriority w:val="99"/>
    <w:rsid w:val="007C734D"/>
  </w:style>
  <w:style w:type="paragraph" w:styleId="TableofAuthorities">
    <w:name w:val="table of authorities"/>
    <w:basedOn w:val="Normal"/>
    <w:next w:val="Normal"/>
    <w:rsid w:val="007C734D"/>
    <w:pPr>
      <w:ind w:left="240" w:hanging="240"/>
    </w:pPr>
  </w:style>
  <w:style w:type="paragraph" w:styleId="MacroText">
    <w:name w:val="macro"/>
    <w:link w:val="MacroTextChar"/>
    <w:rsid w:val="007C734D"/>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uiPriority w:val="99"/>
    <w:rsid w:val="007C734D"/>
    <w:rPr>
      <w:rFonts w:ascii="Courier New" w:eastAsia="Times New Roman" w:hAnsi="Courier New" w:cs="Courier New"/>
      <w:lang w:eastAsia="en-AU"/>
    </w:rPr>
  </w:style>
  <w:style w:type="paragraph" w:styleId="TOAHeading">
    <w:name w:val="toa heading"/>
    <w:basedOn w:val="Normal"/>
    <w:next w:val="Normal"/>
    <w:rsid w:val="007C734D"/>
    <w:pPr>
      <w:spacing w:before="120"/>
    </w:pPr>
    <w:rPr>
      <w:rFonts w:ascii="Arial" w:hAnsi="Arial" w:cs="Arial"/>
      <w:b/>
      <w:bCs/>
    </w:rPr>
  </w:style>
  <w:style w:type="paragraph" w:styleId="List">
    <w:name w:val="List"/>
    <w:basedOn w:val="Normal"/>
    <w:rsid w:val="007C734D"/>
    <w:pPr>
      <w:ind w:left="283" w:hanging="283"/>
    </w:pPr>
  </w:style>
  <w:style w:type="paragraph" w:styleId="ListBullet">
    <w:name w:val="List Bullet"/>
    <w:basedOn w:val="Normal"/>
    <w:autoRedefine/>
    <w:rsid w:val="007C734D"/>
    <w:pPr>
      <w:tabs>
        <w:tab w:val="num" w:pos="360"/>
      </w:tabs>
      <w:ind w:left="360" w:hanging="360"/>
    </w:pPr>
  </w:style>
  <w:style w:type="paragraph" w:styleId="ListNumber">
    <w:name w:val="List Number"/>
    <w:basedOn w:val="Normal"/>
    <w:rsid w:val="007C734D"/>
    <w:pPr>
      <w:tabs>
        <w:tab w:val="num" w:pos="360"/>
      </w:tabs>
      <w:ind w:left="360" w:hanging="360"/>
    </w:pPr>
  </w:style>
  <w:style w:type="paragraph" w:styleId="List2">
    <w:name w:val="List 2"/>
    <w:basedOn w:val="Normal"/>
    <w:rsid w:val="007C734D"/>
    <w:pPr>
      <w:ind w:left="566" w:hanging="283"/>
    </w:pPr>
  </w:style>
  <w:style w:type="paragraph" w:styleId="List3">
    <w:name w:val="List 3"/>
    <w:basedOn w:val="Normal"/>
    <w:rsid w:val="007C734D"/>
    <w:pPr>
      <w:ind w:left="849" w:hanging="283"/>
    </w:pPr>
  </w:style>
  <w:style w:type="paragraph" w:styleId="List4">
    <w:name w:val="List 4"/>
    <w:basedOn w:val="Normal"/>
    <w:rsid w:val="007C734D"/>
    <w:pPr>
      <w:ind w:left="1132" w:hanging="283"/>
    </w:pPr>
  </w:style>
  <w:style w:type="paragraph" w:styleId="List5">
    <w:name w:val="List 5"/>
    <w:basedOn w:val="Normal"/>
    <w:rsid w:val="007C734D"/>
    <w:pPr>
      <w:ind w:left="1415" w:hanging="283"/>
    </w:pPr>
  </w:style>
  <w:style w:type="paragraph" w:styleId="ListBullet2">
    <w:name w:val="List Bullet 2"/>
    <w:basedOn w:val="Normal"/>
    <w:autoRedefine/>
    <w:rsid w:val="007C734D"/>
    <w:pPr>
      <w:tabs>
        <w:tab w:val="num" w:pos="360"/>
      </w:tabs>
    </w:pPr>
  </w:style>
  <w:style w:type="paragraph" w:styleId="ListBullet3">
    <w:name w:val="List Bullet 3"/>
    <w:basedOn w:val="Normal"/>
    <w:autoRedefine/>
    <w:rsid w:val="007C734D"/>
    <w:pPr>
      <w:tabs>
        <w:tab w:val="num" w:pos="926"/>
      </w:tabs>
      <w:ind w:left="926" w:hanging="360"/>
    </w:pPr>
  </w:style>
  <w:style w:type="paragraph" w:styleId="ListBullet4">
    <w:name w:val="List Bullet 4"/>
    <w:basedOn w:val="Normal"/>
    <w:autoRedefine/>
    <w:rsid w:val="007C734D"/>
    <w:pPr>
      <w:tabs>
        <w:tab w:val="num" w:pos="1209"/>
      </w:tabs>
      <w:ind w:left="1209" w:hanging="360"/>
    </w:pPr>
  </w:style>
  <w:style w:type="paragraph" w:styleId="ListBullet5">
    <w:name w:val="List Bullet 5"/>
    <w:basedOn w:val="Normal"/>
    <w:autoRedefine/>
    <w:rsid w:val="007C734D"/>
    <w:pPr>
      <w:tabs>
        <w:tab w:val="num" w:pos="1492"/>
      </w:tabs>
      <w:ind w:left="1492" w:hanging="360"/>
    </w:pPr>
  </w:style>
  <w:style w:type="paragraph" w:styleId="ListNumber2">
    <w:name w:val="List Number 2"/>
    <w:basedOn w:val="Normal"/>
    <w:rsid w:val="007C734D"/>
    <w:pPr>
      <w:tabs>
        <w:tab w:val="num" w:pos="643"/>
      </w:tabs>
      <w:ind w:left="643" w:hanging="360"/>
    </w:pPr>
  </w:style>
  <w:style w:type="paragraph" w:styleId="ListNumber3">
    <w:name w:val="List Number 3"/>
    <w:basedOn w:val="Normal"/>
    <w:rsid w:val="007C734D"/>
    <w:pPr>
      <w:tabs>
        <w:tab w:val="num" w:pos="926"/>
      </w:tabs>
      <w:ind w:left="926" w:hanging="360"/>
    </w:pPr>
  </w:style>
  <w:style w:type="paragraph" w:styleId="ListNumber4">
    <w:name w:val="List Number 4"/>
    <w:basedOn w:val="Normal"/>
    <w:rsid w:val="007C734D"/>
    <w:pPr>
      <w:tabs>
        <w:tab w:val="num" w:pos="1209"/>
      </w:tabs>
      <w:ind w:left="1209" w:hanging="360"/>
    </w:pPr>
  </w:style>
  <w:style w:type="paragraph" w:styleId="ListNumber5">
    <w:name w:val="List Number 5"/>
    <w:basedOn w:val="Normal"/>
    <w:rsid w:val="007C734D"/>
    <w:pPr>
      <w:tabs>
        <w:tab w:val="num" w:pos="1492"/>
      </w:tabs>
      <w:ind w:left="1492" w:hanging="360"/>
    </w:pPr>
  </w:style>
  <w:style w:type="paragraph" w:styleId="Title">
    <w:name w:val="Title"/>
    <w:basedOn w:val="Normal"/>
    <w:link w:val="TitleChar"/>
    <w:qFormat/>
    <w:rsid w:val="007C734D"/>
    <w:pPr>
      <w:spacing w:before="240" w:after="60"/>
    </w:pPr>
    <w:rPr>
      <w:rFonts w:ascii="Arial" w:hAnsi="Arial" w:cs="Arial"/>
      <w:b/>
      <w:bCs/>
      <w:sz w:val="40"/>
      <w:szCs w:val="40"/>
    </w:rPr>
  </w:style>
  <w:style w:type="character" w:customStyle="1" w:styleId="TitleChar">
    <w:name w:val="Title Char"/>
    <w:basedOn w:val="DefaultParagraphFont"/>
    <w:link w:val="Title"/>
    <w:uiPriority w:val="10"/>
    <w:rsid w:val="007C734D"/>
    <w:rPr>
      <w:rFonts w:ascii="Arial" w:hAnsi="Arial" w:cs="Arial"/>
      <w:b/>
      <w:bCs/>
      <w:sz w:val="40"/>
      <w:szCs w:val="40"/>
    </w:rPr>
  </w:style>
  <w:style w:type="paragraph" w:styleId="Closing">
    <w:name w:val="Closing"/>
    <w:basedOn w:val="Normal"/>
    <w:link w:val="ClosingChar"/>
    <w:rsid w:val="007C734D"/>
    <w:pPr>
      <w:ind w:left="4252"/>
    </w:pPr>
  </w:style>
  <w:style w:type="character" w:customStyle="1" w:styleId="ClosingChar">
    <w:name w:val="Closing Char"/>
    <w:basedOn w:val="DefaultParagraphFont"/>
    <w:link w:val="Closing"/>
    <w:uiPriority w:val="99"/>
    <w:rsid w:val="007C734D"/>
    <w:rPr>
      <w:sz w:val="22"/>
    </w:rPr>
  </w:style>
  <w:style w:type="paragraph" w:styleId="Signature">
    <w:name w:val="Signature"/>
    <w:basedOn w:val="Normal"/>
    <w:link w:val="SignatureChar"/>
    <w:rsid w:val="007C734D"/>
    <w:pPr>
      <w:ind w:left="4252"/>
    </w:pPr>
  </w:style>
  <w:style w:type="character" w:customStyle="1" w:styleId="SignatureChar">
    <w:name w:val="Signature Char"/>
    <w:basedOn w:val="DefaultParagraphFont"/>
    <w:link w:val="Signature"/>
    <w:uiPriority w:val="99"/>
    <w:rsid w:val="007C734D"/>
    <w:rPr>
      <w:sz w:val="22"/>
    </w:rPr>
  </w:style>
  <w:style w:type="paragraph" w:styleId="BodyText">
    <w:name w:val="Body Text"/>
    <w:basedOn w:val="Normal"/>
    <w:link w:val="BodyTextChar"/>
    <w:rsid w:val="007C734D"/>
    <w:pPr>
      <w:spacing w:after="120"/>
    </w:pPr>
  </w:style>
  <w:style w:type="character" w:customStyle="1" w:styleId="BodyTextChar">
    <w:name w:val="Body Text Char"/>
    <w:basedOn w:val="DefaultParagraphFont"/>
    <w:link w:val="BodyText"/>
    <w:uiPriority w:val="99"/>
    <w:rsid w:val="007C734D"/>
    <w:rPr>
      <w:sz w:val="22"/>
    </w:rPr>
  </w:style>
  <w:style w:type="paragraph" w:styleId="BodyTextIndent">
    <w:name w:val="Body Text Indent"/>
    <w:basedOn w:val="Normal"/>
    <w:link w:val="BodyTextIndentChar"/>
    <w:rsid w:val="007C734D"/>
    <w:pPr>
      <w:spacing w:after="120"/>
      <w:ind w:left="283"/>
    </w:pPr>
  </w:style>
  <w:style w:type="character" w:customStyle="1" w:styleId="BodyTextIndentChar">
    <w:name w:val="Body Text Indent Char"/>
    <w:basedOn w:val="DefaultParagraphFont"/>
    <w:link w:val="BodyTextIndent"/>
    <w:uiPriority w:val="99"/>
    <w:rsid w:val="007C734D"/>
    <w:rPr>
      <w:sz w:val="22"/>
    </w:rPr>
  </w:style>
  <w:style w:type="paragraph" w:styleId="ListContinue">
    <w:name w:val="List Continue"/>
    <w:basedOn w:val="Normal"/>
    <w:rsid w:val="007C734D"/>
    <w:pPr>
      <w:spacing w:after="120"/>
      <w:ind w:left="283"/>
    </w:pPr>
  </w:style>
  <w:style w:type="paragraph" w:styleId="ListContinue2">
    <w:name w:val="List Continue 2"/>
    <w:basedOn w:val="Normal"/>
    <w:rsid w:val="007C734D"/>
    <w:pPr>
      <w:spacing w:after="120"/>
      <w:ind w:left="566"/>
    </w:pPr>
  </w:style>
  <w:style w:type="paragraph" w:styleId="ListContinue3">
    <w:name w:val="List Continue 3"/>
    <w:basedOn w:val="Normal"/>
    <w:rsid w:val="007C734D"/>
    <w:pPr>
      <w:spacing w:after="120"/>
      <w:ind w:left="849"/>
    </w:pPr>
  </w:style>
  <w:style w:type="paragraph" w:styleId="ListContinue4">
    <w:name w:val="List Continue 4"/>
    <w:basedOn w:val="Normal"/>
    <w:rsid w:val="007C734D"/>
    <w:pPr>
      <w:spacing w:after="120"/>
      <w:ind w:left="1132"/>
    </w:pPr>
  </w:style>
  <w:style w:type="paragraph" w:styleId="ListContinue5">
    <w:name w:val="List Continue 5"/>
    <w:basedOn w:val="Normal"/>
    <w:rsid w:val="007C734D"/>
    <w:pPr>
      <w:spacing w:after="120"/>
      <w:ind w:left="1415"/>
    </w:pPr>
  </w:style>
  <w:style w:type="paragraph" w:styleId="MessageHeader">
    <w:name w:val="Message Header"/>
    <w:basedOn w:val="Normal"/>
    <w:link w:val="MessageHeaderChar"/>
    <w:rsid w:val="007C734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uiPriority w:val="99"/>
    <w:rsid w:val="007C734D"/>
    <w:rPr>
      <w:rFonts w:ascii="Arial" w:hAnsi="Arial" w:cs="Arial"/>
      <w:sz w:val="22"/>
      <w:shd w:val="pct20" w:color="auto" w:fill="auto"/>
    </w:rPr>
  </w:style>
  <w:style w:type="paragraph" w:styleId="Subtitle">
    <w:name w:val="Subtitle"/>
    <w:basedOn w:val="Normal"/>
    <w:link w:val="SubtitleChar"/>
    <w:qFormat/>
    <w:rsid w:val="007C734D"/>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7C734D"/>
    <w:rPr>
      <w:rFonts w:ascii="Arial" w:hAnsi="Arial" w:cs="Arial"/>
      <w:sz w:val="22"/>
    </w:rPr>
  </w:style>
  <w:style w:type="paragraph" w:styleId="Salutation">
    <w:name w:val="Salutation"/>
    <w:basedOn w:val="Normal"/>
    <w:next w:val="Normal"/>
    <w:link w:val="SalutationChar"/>
    <w:rsid w:val="007C734D"/>
  </w:style>
  <w:style w:type="character" w:customStyle="1" w:styleId="SalutationChar">
    <w:name w:val="Salutation Char"/>
    <w:basedOn w:val="DefaultParagraphFont"/>
    <w:link w:val="Salutation"/>
    <w:uiPriority w:val="99"/>
    <w:rsid w:val="007C734D"/>
    <w:rPr>
      <w:sz w:val="22"/>
    </w:rPr>
  </w:style>
  <w:style w:type="paragraph" w:styleId="Date">
    <w:name w:val="Date"/>
    <w:basedOn w:val="Normal"/>
    <w:next w:val="Normal"/>
    <w:link w:val="DateChar"/>
    <w:rsid w:val="007C734D"/>
  </w:style>
  <w:style w:type="character" w:customStyle="1" w:styleId="DateChar">
    <w:name w:val="Date Char"/>
    <w:basedOn w:val="DefaultParagraphFont"/>
    <w:link w:val="Date"/>
    <w:uiPriority w:val="99"/>
    <w:rsid w:val="007C734D"/>
    <w:rPr>
      <w:sz w:val="22"/>
    </w:rPr>
  </w:style>
  <w:style w:type="paragraph" w:styleId="BodyTextFirstIndent">
    <w:name w:val="Body Text First Indent"/>
    <w:basedOn w:val="BodyText"/>
    <w:link w:val="BodyTextFirstIndentChar"/>
    <w:rsid w:val="007C734D"/>
    <w:pPr>
      <w:ind w:firstLine="210"/>
    </w:pPr>
  </w:style>
  <w:style w:type="character" w:customStyle="1" w:styleId="BodyTextFirstIndentChar">
    <w:name w:val="Body Text First Indent Char"/>
    <w:basedOn w:val="BodyTextChar"/>
    <w:link w:val="BodyTextFirstIndent"/>
    <w:uiPriority w:val="99"/>
    <w:rsid w:val="007C734D"/>
    <w:rPr>
      <w:sz w:val="22"/>
    </w:rPr>
  </w:style>
  <w:style w:type="paragraph" w:styleId="BodyTextFirstIndent2">
    <w:name w:val="Body Text First Indent 2"/>
    <w:basedOn w:val="BodyTextIndent"/>
    <w:link w:val="BodyTextFirstIndent2Char"/>
    <w:rsid w:val="007C734D"/>
    <w:pPr>
      <w:ind w:firstLine="210"/>
    </w:pPr>
  </w:style>
  <w:style w:type="character" w:customStyle="1" w:styleId="BodyTextFirstIndent2Char">
    <w:name w:val="Body Text First Indent 2 Char"/>
    <w:basedOn w:val="BodyTextIndentChar"/>
    <w:link w:val="BodyTextFirstIndent2"/>
    <w:uiPriority w:val="99"/>
    <w:rsid w:val="007C734D"/>
    <w:rPr>
      <w:sz w:val="22"/>
    </w:rPr>
  </w:style>
  <w:style w:type="paragraph" w:styleId="BodyText2">
    <w:name w:val="Body Text 2"/>
    <w:basedOn w:val="Normal"/>
    <w:link w:val="BodyText2Char"/>
    <w:rsid w:val="007C734D"/>
    <w:pPr>
      <w:spacing w:after="120" w:line="480" w:lineRule="auto"/>
    </w:pPr>
  </w:style>
  <w:style w:type="character" w:customStyle="1" w:styleId="BodyText2Char">
    <w:name w:val="Body Text 2 Char"/>
    <w:basedOn w:val="DefaultParagraphFont"/>
    <w:link w:val="BodyText2"/>
    <w:uiPriority w:val="99"/>
    <w:rsid w:val="007C734D"/>
    <w:rPr>
      <w:sz w:val="22"/>
    </w:rPr>
  </w:style>
  <w:style w:type="paragraph" w:styleId="BodyText3">
    <w:name w:val="Body Text 3"/>
    <w:basedOn w:val="Normal"/>
    <w:link w:val="BodyText3Char"/>
    <w:rsid w:val="007C734D"/>
    <w:pPr>
      <w:spacing w:after="120"/>
    </w:pPr>
    <w:rPr>
      <w:sz w:val="16"/>
      <w:szCs w:val="16"/>
    </w:rPr>
  </w:style>
  <w:style w:type="character" w:customStyle="1" w:styleId="BodyText3Char">
    <w:name w:val="Body Text 3 Char"/>
    <w:basedOn w:val="DefaultParagraphFont"/>
    <w:link w:val="BodyText3"/>
    <w:uiPriority w:val="99"/>
    <w:rsid w:val="007C734D"/>
    <w:rPr>
      <w:sz w:val="16"/>
      <w:szCs w:val="16"/>
    </w:rPr>
  </w:style>
  <w:style w:type="paragraph" w:styleId="BodyTextIndent2">
    <w:name w:val="Body Text Indent 2"/>
    <w:basedOn w:val="Normal"/>
    <w:link w:val="BodyTextIndent2Char"/>
    <w:rsid w:val="007C734D"/>
    <w:pPr>
      <w:spacing w:after="120" w:line="480" w:lineRule="auto"/>
      <w:ind w:left="283"/>
    </w:pPr>
  </w:style>
  <w:style w:type="character" w:customStyle="1" w:styleId="BodyTextIndent2Char">
    <w:name w:val="Body Text Indent 2 Char"/>
    <w:basedOn w:val="DefaultParagraphFont"/>
    <w:link w:val="BodyTextIndent2"/>
    <w:uiPriority w:val="99"/>
    <w:rsid w:val="007C734D"/>
    <w:rPr>
      <w:sz w:val="22"/>
    </w:rPr>
  </w:style>
  <w:style w:type="paragraph" w:styleId="BodyTextIndent3">
    <w:name w:val="Body Text Indent 3"/>
    <w:basedOn w:val="Normal"/>
    <w:link w:val="BodyTextIndent3Char"/>
    <w:rsid w:val="007C734D"/>
    <w:pPr>
      <w:spacing w:after="120"/>
      <w:ind w:left="283"/>
    </w:pPr>
    <w:rPr>
      <w:sz w:val="16"/>
      <w:szCs w:val="16"/>
    </w:rPr>
  </w:style>
  <w:style w:type="character" w:customStyle="1" w:styleId="BodyTextIndent3Char">
    <w:name w:val="Body Text Indent 3 Char"/>
    <w:basedOn w:val="DefaultParagraphFont"/>
    <w:link w:val="BodyTextIndent3"/>
    <w:uiPriority w:val="99"/>
    <w:rsid w:val="007C734D"/>
    <w:rPr>
      <w:sz w:val="16"/>
      <w:szCs w:val="16"/>
    </w:rPr>
  </w:style>
  <w:style w:type="paragraph" w:styleId="BlockText">
    <w:name w:val="Block Text"/>
    <w:basedOn w:val="Normal"/>
    <w:rsid w:val="007C734D"/>
    <w:pPr>
      <w:spacing w:after="120"/>
      <w:ind w:left="1440" w:right="1440"/>
    </w:pPr>
  </w:style>
  <w:style w:type="character" w:styleId="Hyperlink">
    <w:name w:val="Hyperlink"/>
    <w:basedOn w:val="DefaultParagraphFont"/>
    <w:rsid w:val="007C734D"/>
    <w:rPr>
      <w:color w:val="0000FF"/>
      <w:u w:val="single"/>
    </w:rPr>
  </w:style>
  <w:style w:type="character" w:styleId="FollowedHyperlink">
    <w:name w:val="FollowedHyperlink"/>
    <w:basedOn w:val="DefaultParagraphFont"/>
    <w:rsid w:val="007C734D"/>
    <w:rPr>
      <w:color w:val="800080"/>
      <w:u w:val="single"/>
    </w:rPr>
  </w:style>
  <w:style w:type="character" w:styleId="Strong">
    <w:name w:val="Strong"/>
    <w:basedOn w:val="DefaultParagraphFont"/>
    <w:qFormat/>
    <w:rsid w:val="007C734D"/>
    <w:rPr>
      <w:b/>
      <w:bCs/>
    </w:rPr>
  </w:style>
  <w:style w:type="character" w:styleId="Emphasis">
    <w:name w:val="Emphasis"/>
    <w:basedOn w:val="DefaultParagraphFont"/>
    <w:uiPriority w:val="20"/>
    <w:qFormat/>
    <w:rsid w:val="007C734D"/>
    <w:rPr>
      <w:i/>
      <w:iCs/>
    </w:rPr>
  </w:style>
  <w:style w:type="paragraph" w:styleId="DocumentMap">
    <w:name w:val="Document Map"/>
    <w:basedOn w:val="Normal"/>
    <w:link w:val="DocumentMapChar"/>
    <w:rsid w:val="007C734D"/>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7C734D"/>
    <w:rPr>
      <w:rFonts w:ascii="Tahoma" w:hAnsi="Tahoma" w:cs="Tahoma"/>
      <w:sz w:val="22"/>
      <w:shd w:val="clear" w:color="auto" w:fill="000080"/>
    </w:rPr>
  </w:style>
  <w:style w:type="paragraph" w:styleId="PlainText">
    <w:name w:val="Plain Text"/>
    <w:basedOn w:val="Normal"/>
    <w:link w:val="PlainTextChar"/>
    <w:rsid w:val="007C734D"/>
    <w:rPr>
      <w:rFonts w:ascii="Courier New" w:hAnsi="Courier New" w:cs="Courier New"/>
      <w:sz w:val="20"/>
    </w:rPr>
  </w:style>
  <w:style w:type="character" w:customStyle="1" w:styleId="PlainTextChar">
    <w:name w:val="Plain Text Char"/>
    <w:basedOn w:val="DefaultParagraphFont"/>
    <w:link w:val="PlainText"/>
    <w:uiPriority w:val="99"/>
    <w:rsid w:val="007C734D"/>
    <w:rPr>
      <w:rFonts w:ascii="Courier New" w:hAnsi="Courier New" w:cs="Courier New"/>
    </w:rPr>
  </w:style>
  <w:style w:type="paragraph" w:styleId="E-mailSignature">
    <w:name w:val="E-mail Signature"/>
    <w:basedOn w:val="Normal"/>
    <w:link w:val="E-mailSignatureChar"/>
    <w:rsid w:val="007C734D"/>
  </w:style>
  <w:style w:type="character" w:customStyle="1" w:styleId="E-mailSignatureChar">
    <w:name w:val="E-mail Signature Char"/>
    <w:basedOn w:val="DefaultParagraphFont"/>
    <w:link w:val="E-mailSignature"/>
    <w:uiPriority w:val="99"/>
    <w:rsid w:val="007C734D"/>
    <w:rPr>
      <w:sz w:val="22"/>
    </w:rPr>
  </w:style>
  <w:style w:type="paragraph" w:styleId="NormalWeb">
    <w:name w:val="Normal (Web)"/>
    <w:basedOn w:val="Normal"/>
    <w:rsid w:val="007C734D"/>
  </w:style>
  <w:style w:type="character" w:styleId="HTMLAcronym">
    <w:name w:val="HTML Acronym"/>
    <w:basedOn w:val="DefaultParagraphFont"/>
    <w:rsid w:val="007C734D"/>
  </w:style>
  <w:style w:type="paragraph" w:styleId="HTMLAddress">
    <w:name w:val="HTML Address"/>
    <w:basedOn w:val="Normal"/>
    <w:link w:val="HTMLAddressChar"/>
    <w:rsid w:val="007C734D"/>
    <w:rPr>
      <w:i/>
      <w:iCs/>
    </w:rPr>
  </w:style>
  <w:style w:type="character" w:customStyle="1" w:styleId="HTMLAddressChar">
    <w:name w:val="HTML Address Char"/>
    <w:basedOn w:val="DefaultParagraphFont"/>
    <w:link w:val="HTMLAddress"/>
    <w:uiPriority w:val="99"/>
    <w:rsid w:val="007C734D"/>
    <w:rPr>
      <w:i/>
      <w:iCs/>
      <w:sz w:val="22"/>
    </w:rPr>
  </w:style>
  <w:style w:type="character" w:styleId="HTMLCite">
    <w:name w:val="HTML Cite"/>
    <w:basedOn w:val="DefaultParagraphFont"/>
    <w:rsid w:val="007C734D"/>
    <w:rPr>
      <w:i/>
      <w:iCs/>
    </w:rPr>
  </w:style>
  <w:style w:type="character" w:styleId="HTMLCode">
    <w:name w:val="HTML Code"/>
    <w:basedOn w:val="DefaultParagraphFont"/>
    <w:rsid w:val="007C734D"/>
    <w:rPr>
      <w:rFonts w:ascii="Courier New" w:hAnsi="Courier New" w:cs="Courier New"/>
      <w:sz w:val="20"/>
      <w:szCs w:val="20"/>
    </w:rPr>
  </w:style>
  <w:style w:type="character" w:styleId="HTMLDefinition">
    <w:name w:val="HTML Definition"/>
    <w:basedOn w:val="DefaultParagraphFont"/>
    <w:rsid w:val="007C734D"/>
    <w:rPr>
      <w:i/>
      <w:iCs/>
    </w:rPr>
  </w:style>
  <w:style w:type="character" w:styleId="HTMLKeyboard">
    <w:name w:val="HTML Keyboard"/>
    <w:basedOn w:val="DefaultParagraphFont"/>
    <w:rsid w:val="007C734D"/>
    <w:rPr>
      <w:rFonts w:ascii="Courier New" w:hAnsi="Courier New" w:cs="Courier New"/>
      <w:sz w:val="20"/>
      <w:szCs w:val="20"/>
    </w:rPr>
  </w:style>
  <w:style w:type="paragraph" w:styleId="HTMLPreformatted">
    <w:name w:val="HTML Preformatted"/>
    <w:basedOn w:val="Normal"/>
    <w:link w:val="HTMLPreformattedChar"/>
    <w:rsid w:val="007C734D"/>
    <w:rPr>
      <w:rFonts w:ascii="Courier New" w:hAnsi="Courier New" w:cs="Courier New"/>
      <w:sz w:val="20"/>
    </w:rPr>
  </w:style>
  <w:style w:type="character" w:customStyle="1" w:styleId="HTMLPreformattedChar">
    <w:name w:val="HTML Preformatted Char"/>
    <w:basedOn w:val="DefaultParagraphFont"/>
    <w:link w:val="HTMLPreformatted"/>
    <w:uiPriority w:val="99"/>
    <w:rsid w:val="007C734D"/>
    <w:rPr>
      <w:rFonts w:ascii="Courier New" w:hAnsi="Courier New" w:cs="Courier New"/>
    </w:rPr>
  </w:style>
  <w:style w:type="character" w:styleId="HTMLSample">
    <w:name w:val="HTML Sample"/>
    <w:basedOn w:val="DefaultParagraphFont"/>
    <w:rsid w:val="007C734D"/>
    <w:rPr>
      <w:rFonts w:ascii="Courier New" w:hAnsi="Courier New" w:cs="Courier New"/>
    </w:rPr>
  </w:style>
  <w:style w:type="character" w:styleId="HTMLTypewriter">
    <w:name w:val="HTML Typewriter"/>
    <w:basedOn w:val="DefaultParagraphFont"/>
    <w:rsid w:val="007C734D"/>
    <w:rPr>
      <w:rFonts w:ascii="Courier New" w:hAnsi="Courier New" w:cs="Courier New"/>
      <w:sz w:val="20"/>
      <w:szCs w:val="20"/>
    </w:rPr>
  </w:style>
  <w:style w:type="character" w:styleId="HTMLVariable">
    <w:name w:val="HTML Variable"/>
    <w:basedOn w:val="DefaultParagraphFont"/>
    <w:rsid w:val="007C734D"/>
    <w:rPr>
      <w:i/>
      <w:iCs/>
    </w:rPr>
  </w:style>
  <w:style w:type="paragraph" w:styleId="CommentSubject">
    <w:name w:val="annotation subject"/>
    <w:basedOn w:val="CommentText"/>
    <w:next w:val="CommentText"/>
    <w:link w:val="CommentSubjectChar"/>
    <w:rsid w:val="007C734D"/>
    <w:rPr>
      <w:b/>
      <w:bCs/>
    </w:rPr>
  </w:style>
  <w:style w:type="character" w:customStyle="1" w:styleId="CommentSubjectChar">
    <w:name w:val="Comment Subject Char"/>
    <w:basedOn w:val="CommentTextChar"/>
    <w:link w:val="CommentSubject"/>
    <w:uiPriority w:val="99"/>
    <w:rsid w:val="007C734D"/>
    <w:rPr>
      <w:b/>
      <w:bCs/>
    </w:rPr>
  </w:style>
  <w:style w:type="numbering" w:styleId="1ai">
    <w:name w:val="Outline List 1"/>
    <w:basedOn w:val="NoList"/>
    <w:rsid w:val="007C734D"/>
    <w:pPr>
      <w:numPr>
        <w:numId w:val="2"/>
      </w:numPr>
    </w:pPr>
  </w:style>
  <w:style w:type="numbering" w:styleId="111111">
    <w:name w:val="Outline List 2"/>
    <w:basedOn w:val="NoList"/>
    <w:rsid w:val="007C734D"/>
    <w:pPr>
      <w:numPr>
        <w:numId w:val="3"/>
      </w:numPr>
    </w:pPr>
  </w:style>
  <w:style w:type="numbering" w:styleId="ArticleSection">
    <w:name w:val="Outline List 3"/>
    <w:basedOn w:val="NoList"/>
    <w:rsid w:val="007C734D"/>
    <w:pPr>
      <w:numPr>
        <w:numId w:val="4"/>
      </w:numPr>
    </w:pPr>
  </w:style>
  <w:style w:type="table" w:styleId="TableSimple1">
    <w:name w:val="Table Simple 1"/>
    <w:basedOn w:val="TableNormal"/>
    <w:rsid w:val="007C734D"/>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C734D"/>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C734D"/>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C734D"/>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C734D"/>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C734D"/>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C734D"/>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C734D"/>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C734D"/>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C734D"/>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C734D"/>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C734D"/>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C734D"/>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C734D"/>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C734D"/>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C734D"/>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C734D"/>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C734D"/>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C734D"/>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C734D"/>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C734D"/>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C734D"/>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C734D"/>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C734D"/>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7C734D"/>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C734D"/>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C734D"/>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7C734D"/>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C734D"/>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7C734D"/>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C734D"/>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C734D"/>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7C734D"/>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C734D"/>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C734D"/>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7C734D"/>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7C734D"/>
    <w:rPr>
      <w:rFonts w:eastAsia="Times New Roman" w:cs="Times New Roman"/>
      <w:b/>
      <w:kern w:val="28"/>
      <w:sz w:val="24"/>
      <w:lang w:eastAsia="en-AU"/>
    </w:rPr>
  </w:style>
  <w:style w:type="paragraph" w:customStyle="1" w:styleId="ttDraftstrip">
    <w:name w:val="tt_Draft_strip"/>
    <w:basedOn w:val="Normal"/>
    <w:qFormat/>
    <w:rsid w:val="006F216F"/>
    <w:pPr>
      <w:shd w:val="clear" w:color="auto" w:fill="99CCFF"/>
      <w:tabs>
        <w:tab w:val="center" w:pos="4253"/>
        <w:tab w:val="right" w:pos="8505"/>
      </w:tabs>
      <w:spacing w:before="400" w:after="300"/>
    </w:pPr>
    <w:rPr>
      <w:rFonts w:ascii="Arial" w:eastAsia="Calibri" w:hAnsi="Arial" w:cs="Arial"/>
      <w:b/>
      <w:sz w:val="32"/>
      <w:szCs w:val="32"/>
    </w:rPr>
  </w:style>
  <w:style w:type="paragraph" w:styleId="Bibliography">
    <w:name w:val="Bibliography"/>
    <w:basedOn w:val="Normal"/>
    <w:next w:val="Normal"/>
    <w:uiPriority w:val="37"/>
    <w:semiHidden/>
    <w:unhideWhenUsed/>
    <w:rsid w:val="00F13D6D"/>
  </w:style>
  <w:style w:type="paragraph" w:styleId="IntenseQuote">
    <w:name w:val="Intense Quote"/>
    <w:basedOn w:val="Normal"/>
    <w:next w:val="Normal"/>
    <w:link w:val="IntenseQuoteChar"/>
    <w:uiPriority w:val="30"/>
    <w:qFormat/>
    <w:rsid w:val="00F13D6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13D6D"/>
    <w:rPr>
      <w:i/>
      <w:iCs/>
      <w:color w:val="4F81BD" w:themeColor="accent1"/>
      <w:sz w:val="22"/>
    </w:rPr>
  </w:style>
  <w:style w:type="paragraph" w:styleId="ListParagraph">
    <w:name w:val="List Paragraph"/>
    <w:basedOn w:val="Normal"/>
    <w:link w:val="ListParagraphChar"/>
    <w:uiPriority w:val="34"/>
    <w:qFormat/>
    <w:rsid w:val="00F13D6D"/>
    <w:pPr>
      <w:ind w:left="720"/>
      <w:contextualSpacing/>
    </w:pPr>
  </w:style>
  <w:style w:type="paragraph" w:styleId="NoSpacing">
    <w:name w:val="No Spacing"/>
    <w:uiPriority w:val="1"/>
    <w:qFormat/>
    <w:rsid w:val="00F13D6D"/>
    <w:rPr>
      <w:sz w:val="22"/>
    </w:rPr>
  </w:style>
  <w:style w:type="paragraph" w:styleId="NoteHeading">
    <w:name w:val="Note Heading"/>
    <w:basedOn w:val="Normal"/>
    <w:next w:val="Normal"/>
    <w:link w:val="NoteHeadingChar"/>
    <w:uiPriority w:val="99"/>
    <w:semiHidden/>
    <w:unhideWhenUsed/>
    <w:rsid w:val="00F13D6D"/>
    <w:pPr>
      <w:spacing w:line="240" w:lineRule="auto"/>
    </w:pPr>
  </w:style>
  <w:style w:type="character" w:customStyle="1" w:styleId="NoteHeadingChar">
    <w:name w:val="Note Heading Char"/>
    <w:basedOn w:val="DefaultParagraphFont"/>
    <w:link w:val="NoteHeading"/>
    <w:uiPriority w:val="99"/>
    <w:semiHidden/>
    <w:rsid w:val="00F13D6D"/>
    <w:rPr>
      <w:sz w:val="22"/>
    </w:rPr>
  </w:style>
  <w:style w:type="paragraph" w:styleId="Quote">
    <w:name w:val="Quote"/>
    <w:basedOn w:val="Normal"/>
    <w:next w:val="Normal"/>
    <w:link w:val="QuoteChar"/>
    <w:uiPriority w:val="29"/>
    <w:qFormat/>
    <w:rsid w:val="00F13D6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13D6D"/>
    <w:rPr>
      <w:i/>
      <w:iCs/>
      <w:color w:val="404040" w:themeColor="text1" w:themeTint="BF"/>
      <w:sz w:val="22"/>
    </w:rPr>
  </w:style>
  <w:style w:type="paragraph" w:styleId="TOCHeading">
    <w:name w:val="TOC Heading"/>
    <w:basedOn w:val="Heading1"/>
    <w:next w:val="Normal"/>
    <w:uiPriority w:val="39"/>
    <w:semiHidden/>
    <w:unhideWhenUsed/>
    <w:qFormat/>
    <w:rsid w:val="00F13D6D"/>
    <w:pPr>
      <w:spacing w:before="240"/>
      <w:outlineLvl w:val="9"/>
    </w:pPr>
    <w:rPr>
      <w:b w:val="0"/>
      <w:bCs w:val="0"/>
      <w:sz w:val="32"/>
      <w:szCs w:val="32"/>
    </w:rPr>
  </w:style>
  <w:style w:type="paragraph" w:customStyle="1" w:styleId="ttExplainTemplate">
    <w:name w:val="tt_Explain_Template"/>
    <w:basedOn w:val="Normal"/>
    <w:qFormat/>
    <w:rsid w:val="00340568"/>
    <w:pPr>
      <w:tabs>
        <w:tab w:val="left" w:pos="737"/>
        <w:tab w:val="left" w:pos="1191"/>
        <w:tab w:val="left" w:pos="1644"/>
      </w:tabs>
      <w:spacing w:before="80"/>
    </w:pPr>
    <w:rPr>
      <w:rFonts w:ascii="Arial" w:eastAsia="Calibri" w:hAnsi="Arial" w:cs="Times New Roman"/>
      <w:color w:val="7030A0"/>
    </w:rPr>
  </w:style>
  <w:style w:type="paragraph" w:customStyle="1" w:styleId="nDrafterComment">
    <w:name w:val="n_Drafter_Comment"/>
    <w:basedOn w:val="Normal"/>
    <w:link w:val="nDrafterCommentChar"/>
    <w:qFormat/>
    <w:rsid w:val="00080B06"/>
    <w:pPr>
      <w:spacing w:before="80"/>
    </w:pPr>
    <w:rPr>
      <w:rFonts w:ascii="Arial" w:eastAsia="Calibri" w:hAnsi="Arial" w:cs="Times New Roman"/>
      <w:color w:val="7030A0"/>
    </w:rPr>
  </w:style>
  <w:style w:type="character" w:customStyle="1" w:styleId="paragraphChar">
    <w:name w:val="paragraph Char"/>
    <w:aliases w:val="a Char"/>
    <w:link w:val="paragraph"/>
    <w:locked/>
    <w:rsid w:val="00C50472"/>
    <w:rPr>
      <w:rFonts w:eastAsia="Times New Roman" w:cs="Times New Roman"/>
      <w:sz w:val="22"/>
      <w:lang w:eastAsia="en-AU"/>
    </w:rPr>
  </w:style>
  <w:style w:type="paragraph" w:customStyle="1" w:styleId="acthead50">
    <w:name w:val="acthead5"/>
    <w:basedOn w:val="Normal"/>
    <w:rsid w:val="002567A5"/>
    <w:pPr>
      <w:spacing w:before="100" w:beforeAutospacing="1" w:after="100" w:afterAutospacing="1" w:line="240" w:lineRule="auto"/>
    </w:pPr>
    <w:rPr>
      <w:rFonts w:eastAsia="Times New Roman" w:cs="Times New Roman"/>
      <w:sz w:val="24"/>
      <w:szCs w:val="24"/>
      <w:lang w:eastAsia="en-AU"/>
    </w:rPr>
  </w:style>
  <w:style w:type="character" w:customStyle="1" w:styleId="charsectno0">
    <w:name w:val="charsectno"/>
    <w:basedOn w:val="DefaultParagraphFont"/>
    <w:rsid w:val="002567A5"/>
  </w:style>
  <w:style w:type="paragraph" w:customStyle="1" w:styleId="paragraphsub0">
    <w:name w:val="paragraphsub"/>
    <w:basedOn w:val="Normal"/>
    <w:rsid w:val="002567A5"/>
    <w:pPr>
      <w:spacing w:before="100" w:beforeAutospacing="1" w:after="100" w:afterAutospacing="1" w:line="240" w:lineRule="auto"/>
    </w:pPr>
    <w:rPr>
      <w:rFonts w:eastAsia="Times New Roman" w:cs="Times New Roman"/>
      <w:sz w:val="24"/>
      <w:szCs w:val="24"/>
      <w:lang w:eastAsia="en-AU"/>
    </w:rPr>
  </w:style>
  <w:style w:type="paragraph" w:customStyle="1" w:styleId="subsectionhead0">
    <w:name w:val="subsectionhead"/>
    <w:basedOn w:val="Normal"/>
    <w:rsid w:val="00344696"/>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6F19C0"/>
    <w:pPr>
      <w:spacing w:before="100" w:beforeAutospacing="1" w:after="100" w:afterAutospacing="1" w:line="240" w:lineRule="auto"/>
    </w:pPr>
    <w:rPr>
      <w:rFonts w:eastAsia="Times New Roman" w:cs="Times New Roman"/>
      <w:sz w:val="24"/>
      <w:szCs w:val="24"/>
      <w:lang w:eastAsia="en-AU"/>
    </w:rPr>
  </w:style>
  <w:style w:type="paragraph" w:customStyle="1" w:styleId="BodyNum">
    <w:name w:val="BodyNum"/>
    <w:aliases w:val="b1"/>
    <w:basedOn w:val="OPCParaBase"/>
    <w:rsid w:val="00BB7660"/>
    <w:pPr>
      <w:spacing w:before="240" w:line="240" w:lineRule="auto"/>
    </w:pPr>
    <w:rPr>
      <w:sz w:val="24"/>
    </w:rPr>
  </w:style>
  <w:style w:type="paragraph" w:customStyle="1" w:styleId="BodyPara">
    <w:name w:val="BodyPara"/>
    <w:aliases w:val="ba"/>
    <w:basedOn w:val="OPCParaBase"/>
    <w:rsid w:val="00BB7660"/>
    <w:pPr>
      <w:spacing w:before="240" w:line="240" w:lineRule="auto"/>
    </w:pPr>
    <w:rPr>
      <w:sz w:val="24"/>
    </w:rPr>
  </w:style>
  <w:style w:type="numbering" w:customStyle="1" w:styleId="OPCBodyList">
    <w:name w:val="OPCBodyList"/>
    <w:uiPriority w:val="99"/>
    <w:rsid w:val="00BB7660"/>
    <w:pPr>
      <w:numPr>
        <w:numId w:val="5"/>
      </w:numPr>
    </w:pPr>
  </w:style>
  <w:style w:type="paragraph" w:customStyle="1" w:styleId="Head1">
    <w:name w:val="Head 1"/>
    <w:aliases w:val="1"/>
    <w:basedOn w:val="OPCParaBase"/>
    <w:next w:val="BodyNum"/>
    <w:rsid w:val="00BB7660"/>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BB7660"/>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BB7660"/>
    <w:pPr>
      <w:keepNext/>
      <w:spacing w:before="240" w:after="60" w:line="240" w:lineRule="auto"/>
      <w:outlineLvl w:val="2"/>
    </w:pPr>
    <w:rPr>
      <w:rFonts w:ascii="Arial" w:hAnsi="Arial"/>
      <w:b/>
      <w:i/>
      <w:kern w:val="28"/>
      <w:sz w:val="26"/>
    </w:rPr>
  </w:style>
  <w:style w:type="character" w:styleId="PlaceholderText">
    <w:name w:val="Placeholder Text"/>
    <w:basedOn w:val="DefaultParagraphFont"/>
    <w:uiPriority w:val="99"/>
    <w:semiHidden/>
    <w:rsid w:val="00BB7660"/>
    <w:rPr>
      <w:color w:val="808080"/>
    </w:rPr>
  </w:style>
  <w:style w:type="table" w:customStyle="1" w:styleId="TableGrid10">
    <w:name w:val="Table Grid1"/>
    <w:basedOn w:val="TableNormal"/>
    <w:next w:val="TableGrid"/>
    <w:rsid w:val="00BB7660"/>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AA">
    <w:name w:val="Table(AAA)"/>
    <w:basedOn w:val="TableAA"/>
    <w:autoRedefine/>
    <w:rsid w:val="00BB7660"/>
    <w:pPr>
      <w:tabs>
        <w:tab w:val="clear" w:pos="-6543"/>
        <w:tab w:val="clear" w:pos="-6260"/>
        <w:tab w:val="right" w:pos="1701"/>
      </w:tabs>
      <w:spacing w:before="40" w:after="40"/>
      <w:ind w:left="1985"/>
    </w:pPr>
  </w:style>
  <w:style w:type="paragraph" w:customStyle="1" w:styleId="Plainpa">
    <w:name w:val="Plain pa"/>
    <w:basedOn w:val="nDrafterComment"/>
    <w:rsid w:val="00BB7660"/>
    <w:rPr>
      <w:color w:val="000000" w:themeColor="text1"/>
    </w:rPr>
  </w:style>
  <w:style w:type="paragraph" w:customStyle="1" w:styleId="definition0">
    <w:name w:val="definition"/>
    <w:basedOn w:val="Normal"/>
    <w:rsid w:val="00BB7660"/>
    <w:pPr>
      <w:spacing w:before="100" w:beforeAutospacing="1" w:after="100" w:afterAutospacing="1" w:line="240" w:lineRule="auto"/>
    </w:pPr>
    <w:rPr>
      <w:rFonts w:eastAsia="Times New Roman" w:cs="Times New Roman"/>
      <w:sz w:val="24"/>
      <w:szCs w:val="24"/>
      <w:lang w:eastAsia="en-AU"/>
    </w:rPr>
  </w:style>
  <w:style w:type="paragraph" w:customStyle="1" w:styleId="subsection20">
    <w:name w:val="subsection_2"/>
    <w:basedOn w:val="subsection"/>
    <w:autoRedefine/>
    <w:rsid w:val="00BB7660"/>
    <w:pPr>
      <w:spacing w:before="40"/>
    </w:pPr>
  </w:style>
  <w:style w:type="paragraph" w:customStyle="1" w:styleId="56">
    <w:name w:val="56"/>
    <w:basedOn w:val="subsection"/>
    <w:rsid w:val="00BB7660"/>
  </w:style>
  <w:style w:type="paragraph" w:customStyle="1" w:styleId="Default">
    <w:name w:val="Default"/>
    <w:rsid w:val="00BB7660"/>
    <w:pPr>
      <w:autoSpaceDE w:val="0"/>
      <w:autoSpaceDN w:val="0"/>
      <w:adjustRightInd w:val="0"/>
    </w:pPr>
    <w:rPr>
      <w:rFonts w:ascii="Arial" w:hAnsi="Arial" w:cs="Arial"/>
      <w:color w:val="000000"/>
      <w:sz w:val="24"/>
      <w:szCs w:val="24"/>
    </w:rPr>
  </w:style>
  <w:style w:type="paragraph" w:customStyle="1" w:styleId="SOSubpara">
    <w:name w:val="SO Subpara"/>
    <w:basedOn w:val="SOPara"/>
    <w:autoRedefine/>
    <w:qFormat/>
    <w:rsid w:val="00BB7660"/>
    <w:pPr>
      <w:tabs>
        <w:tab w:val="clear" w:pos="1786"/>
        <w:tab w:val="right" w:pos="2353"/>
      </w:tabs>
      <w:ind w:left="2637" w:hanging="1503"/>
    </w:pPr>
    <w:rPr>
      <w:color w:val="008000"/>
    </w:rPr>
  </w:style>
  <w:style w:type="paragraph" w:customStyle="1" w:styleId="TextBoxtext">
    <w:name w:val="TextBox_text"/>
    <w:basedOn w:val="Normal"/>
    <w:qFormat/>
    <w:rsid w:val="00BB7660"/>
    <w:rPr>
      <w:rFonts w:ascii="Arial" w:hAnsi="Arial"/>
    </w:rPr>
  </w:style>
  <w:style w:type="paragraph" w:styleId="Revision">
    <w:name w:val="Revision"/>
    <w:hidden/>
    <w:uiPriority w:val="99"/>
    <w:semiHidden/>
    <w:rsid w:val="00BB7660"/>
    <w:rPr>
      <w:sz w:val="22"/>
    </w:rPr>
  </w:style>
  <w:style w:type="paragraph" w:customStyle="1" w:styleId="Plainparagraph">
    <w:name w:val="Plain paragraph"/>
    <w:basedOn w:val="ActHead3"/>
    <w:rsid w:val="00BB7660"/>
    <w:pPr>
      <w:pageBreakBefore/>
    </w:pPr>
    <w:rPr>
      <w:strike/>
      <w:color w:val="0000FF"/>
    </w:rPr>
  </w:style>
  <w:style w:type="character" w:customStyle="1" w:styleId="apple-tab-span">
    <w:name w:val="apple-tab-span"/>
    <w:basedOn w:val="DefaultParagraphFont"/>
    <w:rsid w:val="00BB7660"/>
  </w:style>
  <w:style w:type="character" w:customStyle="1" w:styleId="nDrafterCommentChar">
    <w:name w:val="n_Drafter_Comment Char"/>
    <w:basedOn w:val="DefaultParagraphFont"/>
    <w:link w:val="nDrafterComment"/>
    <w:locked/>
    <w:rsid w:val="00BB7660"/>
    <w:rPr>
      <w:rFonts w:ascii="Arial" w:eastAsia="Calibri" w:hAnsi="Arial" w:cs="Times New Roman"/>
      <w:color w:val="7030A0"/>
      <w:sz w:val="22"/>
    </w:rPr>
  </w:style>
  <w:style w:type="paragraph" w:customStyle="1" w:styleId="NumberLevel1">
    <w:name w:val="Number Level 1"/>
    <w:aliases w:val="N1"/>
    <w:basedOn w:val="Normal"/>
    <w:uiPriority w:val="1"/>
    <w:qFormat/>
    <w:rsid w:val="009D101C"/>
    <w:pPr>
      <w:spacing w:before="140" w:after="140" w:line="280" w:lineRule="atLeast"/>
    </w:pPr>
    <w:rPr>
      <w:rFonts w:ascii="Arial" w:eastAsia="Times New Roman" w:hAnsi="Arial" w:cs="Arial"/>
      <w:szCs w:val="22"/>
      <w:lang w:eastAsia="en-AU"/>
    </w:rPr>
  </w:style>
  <w:style w:type="paragraph" w:customStyle="1" w:styleId="NumberLevel2">
    <w:name w:val="Number Level 2"/>
    <w:aliases w:val="N2"/>
    <w:basedOn w:val="Normal"/>
    <w:uiPriority w:val="1"/>
    <w:qFormat/>
    <w:rsid w:val="009D101C"/>
    <w:pPr>
      <w:spacing w:before="140" w:after="140" w:line="280" w:lineRule="atLeast"/>
    </w:pPr>
    <w:rPr>
      <w:rFonts w:ascii="Arial" w:eastAsia="Times New Roman" w:hAnsi="Arial" w:cs="Arial"/>
      <w:szCs w:val="22"/>
      <w:lang w:eastAsia="en-AU"/>
    </w:rPr>
  </w:style>
  <w:style w:type="paragraph" w:customStyle="1" w:styleId="NumberLevel3">
    <w:name w:val="Number Level 3"/>
    <w:aliases w:val="N3"/>
    <w:basedOn w:val="Normal"/>
    <w:uiPriority w:val="1"/>
    <w:qFormat/>
    <w:rsid w:val="009D101C"/>
    <w:pPr>
      <w:spacing w:before="140" w:after="140" w:line="280" w:lineRule="atLeast"/>
    </w:pPr>
    <w:rPr>
      <w:rFonts w:ascii="Arial" w:eastAsia="Times New Roman" w:hAnsi="Arial" w:cs="Arial"/>
      <w:szCs w:val="22"/>
      <w:lang w:eastAsia="en-AU"/>
    </w:rPr>
  </w:style>
  <w:style w:type="paragraph" w:customStyle="1" w:styleId="NumberLevel4">
    <w:name w:val="Number Level 4"/>
    <w:aliases w:val="N4"/>
    <w:basedOn w:val="Normal"/>
    <w:uiPriority w:val="1"/>
    <w:qFormat/>
    <w:rsid w:val="009D101C"/>
    <w:pPr>
      <w:spacing w:after="140" w:line="280" w:lineRule="atLeast"/>
    </w:pPr>
    <w:rPr>
      <w:rFonts w:ascii="Arial" w:eastAsia="Times New Roman" w:hAnsi="Arial" w:cs="Arial"/>
      <w:szCs w:val="22"/>
      <w:lang w:eastAsia="en-AU"/>
    </w:rPr>
  </w:style>
  <w:style w:type="paragraph" w:customStyle="1" w:styleId="NumberLevel5">
    <w:name w:val="Number Level 5"/>
    <w:aliases w:val="N5"/>
    <w:basedOn w:val="Normal"/>
    <w:uiPriority w:val="1"/>
    <w:semiHidden/>
    <w:rsid w:val="009D101C"/>
    <w:pPr>
      <w:spacing w:after="140" w:line="280" w:lineRule="atLeast"/>
    </w:pPr>
    <w:rPr>
      <w:rFonts w:ascii="Arial" w:eastAsia="Times New Roman" w:hAnsi="Arial" w:cs="Arial"/>
      <w:szCs w:val="22"/>
      <w:lang w:eastAsia="en-AU"/>
    </w:rPr>
  </w:style>
  <w:style w:type="paragraph" w:customStyle="1" w:styleId="NumberLevel6">
    <w:name w:val="Number Level 6"/>
    <w:basedOn w:val="NumberLevel5"/>
    <w:uiPriority w:val="1"/>
    <w:semiHidden/>
    <w:rsid w:val="00BB7660"/>
    <w:pPr>
      <w:numPr>
        <w:ilvl w:val="5"/>
      </w:numPr>
    </w:pPr>
  </w:style>
  <w:style w:type="paragraph" w:customStyle="1" w:styleId="NumberLevel7">
    <w:name w:val="Number Level 7"/>
    <w:basedOn w:val="NumberLevel6"/>
    <w:uiPriority w:val="1"/>
    <w:semiHidden/>
    <w:rsid w:val="00BB7660"/>
    <w:pPr>
      <w:numPr>
        <w:ilvl w:val="6"/>
      </w:numPr>
    </w:pPr>
  </w:style>
  <w:style w:type="paragraph" w:customStyle="1" w:styleId="NumberLevel8">
    <w:name w:val="Number Level 8"/>
    <w:basedOn w:val="NumberLevel7"/>
    <w:uiPriority w:val="1"/>
    <w:semiHidden/>
    <w:rsid w:val="00BB7660"/>
    <w:pPr>
      <w:numPr>
        <w:ilvl w:val="7"/>
      </w:numPr>
    </w:pPr>
  </w:style>
  <w:style w:type="paragraph" w:customStyle="1" w:styleId="NumberLevel9">
    <w:name w:val="Number Level 9"/>
    <w:basedOn w:val="NumberLevel8"/>
    <w:uiPriority w:val="1"/>
    <w:semiHidden/>
    <w:rsid w:val="00BB7660"/>
    <w:pPr>
      <w:numPr>
        <w:ilvl w:val="8"/>
      </w:numPr>
    </w:pPr>
  </w:style>
  <w:style w:type="paragraph" w:customStyle="1" w:styleId="Schedulereferenceleft">
    <w:name w:val="Schedule reference left"/>
    <w:basedOn w:val="Normal"/>
    <w:rsid w:val="00BB7660"/>
    <w:pPr>
      <w:keepNext/>
      <w:keepLines/>
      <w:spacing w:before="60" w:line="200" w:lineRule="exact"/>
      <w:jc w:val="both"/>
    </w:pPr>
    <w:rPr>
      <w:rFonts w:ascii="Arial" w:hAnsi="Arial"/>
      <w:sz w:val="18"/>
    </w:rPr>
  </w:style>
  <w:style w:type="paragraph" w:customStyle="1" w:styleId="ActHead10">
    <w:name w:val="ActHead 10"/>
    <w:aliases w:val="sp"/>
    <w:basedOn w:val="OPCParaBase"/>
    <w:next w:val="ActHead3"/>
    <w:rsid w:val="00BB7660"/>
    <w:pPr>
      <w:keepNext/>
      <w:spacing w:before="280" w:line="240" w:lineRule="auto"/>
      <w:outlineLvl w:val="1"/>
    </w:pPr>
    <w:rPr>
      <w:b/>
      <w:sz w:val="32"/>
      <w:szCs w:val="30"/>
    </w:rPr>
  </w:style>
  <w:style w:type="numbering" w:customStyle="1" w:styleId="1ai1">
    <w:name w:val="1 / a / i1"/>
    <w:basedOn w:val="NoList"/>
    <w:next w:val="1ai"/>
    <w:rsid w:val="00BB7660"/>
  </w:style>
  <w:style w:type="paragraph" w:customStyle="1" w:styleId="Schedulepara">
    <w:name w:val="Schedule para"/>
    <w:basedOn w:val="Normal"/>
    <w:rsid w:val="00BB7660"/>
    <w:pPr>
      <w:tabs>
        <w:tab w:val="right" w:pos="567"/>
      </w:tabs>
      <w:spacing w:before="180" w:line="260" w:lineRule="exact"/>
      <w:ind w:left="964" w:hanging="964"/>
      <w:jc w:val="both"/>
    </w:pPr>
    <w:rPr>
      <w:rFonts w:eastAsia="Times New Roman" w:cs="Times New Roman"/>
      <w:sz w:val="24"/>
      <w:szCs w:val="24"/>
    </w:rPr>
  </w:style>
  <w:style w:type="paragraph" w:customStyle="1" w:styleId="Schedulepart">
    <w:name w:val="Schedule part"/>
    <w:basedOn w:val="Normal"/>
    <w:rsid w:val="00BB7660"/>
    <w:pPr>
      <w:keepNext/>
      <w:keepLines/>
      <w:spacing w:before="360" w:line="240" w:lineRule="auto"/>
      <w:ind w:left="1559" w:hanging="1559"/>
    </w:pPr>
    <w:rPr>
      <w:rFonts w:ascii="Arial" w:eastAsia="Times New Roman" w:hAnsi="Arial" w:cs="Times New Roman"/>
      <w:b/>
      <w:sz w:val="28"/>
      <w:szCs w:val="24"/>
    </w:rPr>
  </w:style>
  <w:style w:type="paragraph" w:customStyle="1" w:styleId="P1">
    <w:name w:val="P1"/>
    <w:aliases w:val="(a)"/>
    <w:basedOn w:val="Normal"/>
    <w:rsid w:val="00BB7660"/>
    <w:pPr>
      <w:tabs>
        <w:tab w:val="right" w:pos="1191"/>
      </w:tabs>
      <w:spacing w:before="60" w:line="260" w:lineRule="exact"/>
      <w:ind w:left="1418" w:hanging="1418"/>
      <w:jc w:val="both"/>
    </w:pPr>
    <w:rPr>
      <w:rFonts w:eastAsia="Times New Roman" w:cs="Times New Roman"/>
      <w:sz w:val="24"/>
      <w:szCs w:val="24"/>
    </w:rPr>
  </w:style>
  <w:style w:type="character" w:customStyle="1" w:styleId="CharSchPTNo">
    <w:name w:val="CharSchPTNo"/>
    <w:basedOn w:val="DefaultParagraphFont"/>
    <w:rsid w:val="00BB7660"/>
  </w:style>
  <w:style w:type="character" w:customStyle="1" w:styleId="CharSchPTText">
    <w:name w:val="CharSchPTText"/>
    <w:basedOn w:val="DefaultParagraphFont"/>
    <w:rsid w:val="00BB7660"/>
  </w:style>
  <w:style w:type="paragraph" w:customStyle="1" w:styleId="Schedulereference">
    <w:name w:val="Schedule reference"/>
    <w:basedOn w:val="Normal"/>
    <w:next w:val="Schedulepart"/>
    <w:rsid w:val="00BB7660"/>
    <w:pPr>
      <w:keepNext/>
      <w:keepLines/>
      <w:spacing w:before="60" w:line="200" w:lineRule="exact"/>
      <w:ind w:left="2410"/>
    </w:pPr>
    <w:rPr>
      <w:rFonts w:ascii="Arial" w:eastAsia="Times New Roman" w:hAnsi="Arial" w:cs="Times New Roman"/>
      <w:sz w:val="18"/>
      <w:szCs w:val="24"/>
    </w:rPr>
  </w:style>
  <w:style w:type="character" w:customStyle="1" w:styleId="CharENotesHeading">
    <w:name w:val="CharENotesHeading"/>
    <w:basedOn w:val="DefaultParagraphFont"/>
    <w:rsid w:val="00BB7660"/>
  </w:style>
  <w:style w:type="character" w:customStyle="1" w:styleId="charCitation">
    <w:name w:val="charCitation"/>
    <w:basedOn w:val="DefaultParagraphFont"/>
    <w:rsid w:val="00BB7660"/>
  </w:style>
  <w:style w:type="character" w:customStyle="1" w:styleId="CharSchNo">
    <w:name w:val="CharSchNo"/>
    <w:basedOn w:val="DefaultParagraphFont"/>
    <w:rsid w:val="00BB7660"/>
  </w:style>
  <w:style w:type="character" w:customStyle="1" w:styleId="CharSchText">
    <w:name w:val="CharSchText"/>
    <w:basedOn w:val="DefaultParagraphFont"/>
    <w:rsid w:val="00BB7660"/>
  </w:style>
  <w:style w:type="table" w:customStyle="1" w:styleId="TableGeneral">
    <w:name w:val="TableGeneral"/>
    <w:basedOn w:val="TableNormal"/>
    <w:semiHidden/>
    <w:rsid w:val="00BB7660"/>
    <w:pPr>
      <w:spacing w:before="60" w:after="60" w:line="240" w:lineRule="exact"/>
    </w:pPr>
    <w:rPr>
      <w:rFonts w:eastAsia="Times New Roman" w:cs="Times New Roman"/>
      <w:sz w:val="22"/>
      <w:lang w:eastAsia="en-AU"/>
    </w:rPr>
    <w:tblPr>
      <w:tblCellSpacing w:w="11" w:type="dxa"/>
    </w:tblPr>
    <w:trPr>
      <w:tblCellSpacing w:w="11" w:type="dxa"/>
    </w:trPr>
    <w:tblStylePr w:type="firstRow">
      <w:pPr>
        <w:wordWrap/>
        <w:spacing w:beforeLines="0" w:before="120" w:beforeAutospacing="0" w:afterLines="0" w:after="6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character" w:customStyle="1" w:styleId="CharAmSchPTText">
    <w:name w:val="CharAmSchPTText"/>
    <w:basedOn w:val="DefaultParagraphFont"/>
    <w:rsid w:val="00BB7660"/>
  </w:style>
  <w:style w:type="character" w:customStyle="1" w:styleId="CharAmSchPTNo">
    <w:name w:val="CharAmSchPTNo"/>
    <w:basedOn w:val="DefaultParagraphFont"/>
    <w:rsid w:val="00BB7660"/>
  </w:style>
  <w:style w:type="character" w:customStyle="1" w:styleId="ItemHeadChar">
    <w:name w:val="ItemHead Char"/>
    <w:aliases w:val="ih Char"/>
    <w:link w:val="ItemHead"/>
    <w:rsid w:val="00BB7660"/>
    <w:rPr>
      <w:rFonts w:ascii="Arial" w:eastAsia="Times New Roman" w:hAnsi="Arial" w:cs="Times New Roman"/>
      <w:b/>
      <w:kern w:val="28"/>
      <w:sz w:val="24"/>
      <w:lang w:eastAsia="en-AU"/>
    </w:rPr>
  </w:style>
  <w:style w:type="paragraph" w:customStyle="1" w:styleId="TerritoryT">
    <w:name w:val="TerritoryT"/>
    <w:basedOn w:val="OPCParaBase"/>
    <w:next w:val="Normal"/>
    <w:rsid w:val="00BB7660"/>
    <w:rPr>
      <w:b/>
      <w:sz w:val="32"/>
    </w:rPr>
  </w:style>
  <w:style w:type="paragraph" w:customStyle="1" w:styleId="EnStatement">
    <w:name w:val="EnStatement"/>
    <w:basedOn w:val="Normal"/>
    <w:rsid w:val="009D101C"/>
    <w:rPr>
      <w:rFonts w:eastAsia="Times New Roman" w:cs="Times New Roman"/>
      <w:lang w:eastAsia="en-AU"/>
    </w:rPr>
  </w:style>
  <w:style w:type="paragraph" w:customStyle="1" w:styleId="EnStatementHeading">
    <w:name w:val="EnStatementHeading"/>
    <w:basedOn w:val="Normal"/>
    <w:rsid w:val="00BB7660"/>
    <w:rPr>
      <w:rFonts w:eastAsia="Times New Roman" w:cs="Times New Roman"/>
      <w:b/>
      <w:lang w:eastAsia="en-AU"/>
    </w:rPr>
  </w:style>
  <w:style w:type="character" w:customStyle="1" w:styleId="TabletextChar">
    <w:name w:val="Tabletext Char"/>
    <w:aliases w:val="tt Char"/>
    <w:basedOn w:val="DefaultParagraphFont"/>
    <w:link w:val="Tabletext"/>
    <w:rsid w:val="00BB7660"/>
    <w:rPr>
      <w:rFonts w:eastAsia="Times New Roman" w:cs="Times New Roman"/>
      <w:lang w:eastAsia="en-AU"/>
    </w:rPr>
  </w:style>
  <w:style w:type="paragraph" w:customStyle="1" w:styleId="CommencementTable">
    <w:name w:val="CommencementTable"/>
    <w:basedOn w:val="Normal"/>
    <w:autoRedefine/>
    <w:qFormat/>
    <w:rsid w:val="00BB7660"/>
    <w:pPr>
      <w:spacing w:line="240" w:lineRule="auto"/>
    </w:pPr>
    <w:rPr>
      <w:sz w:val="16"/>
    </w:rPr>
  </w:style>
  <w:style w:type="character" w:customStyle="1" w:styleId="apple-converted-space">
    <w:name w:val="apple-converted-space"/>
    <w:basedOn w:val="DefaultParagraphFont"/>
    <w:rsid w:val="00BB7660"/>
  </w:style>
  <w:style w:type="table" w:styleId="LightGrid-Accent3">
    <w:name w:val="Light Grid Accent 3"/>
    <w:basedOn w:val="TableNormal"/>
    <w:uiPriority w:val="62"/>
    <w:rsid w:val="00BB7660"/>
    <w:rPr>
      <w:rFonts w:asciiTheme="minorHAnsi" w:hAnsiTheme="minorHAns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base-text-paragraph">
    <w:name w:val="base-text-paragraph"/>
    <w:link w:val="base-text-paragraphChar"/>
    <w:rsid w:val="009D101C"/>
    <w:pPr>
      <w:spacing w:before="120" w:after="120"/>
    </w:pPr>
    <w:rPr>
      <w:rFonts w:eastAsia="Times New Roman" w:cs="Times New Roman"/>
      <w:sz w:val="22"/>
      <w:lang w:eastAsia="en-AU"/>
    </w:rPr>
  </w:style>
  <w:style w:type="paragraph" w:customStyle="1" w:styleId="OutlineNumbered1">
    <w:name w:val="Outline Numbered 1"/>
    <w:basedOn w:val="Normal"/>
    <w:link w:val="OutlineNumbered1Char"/>
    <w:rsid w:val="009D101C"/>
    <w:pPr>
      <w:spacing w:after="160" w:line="259" w:lineRule="auto"/>
    </w:pPr>
    <w:rPr>
      <w:rFonts w:asciiTheme="minorHAnsi" w:hAnsiTheme="minorHAnsi"/>
      <w:iCs/>
      <w:color w:val="FF0000"/>
      <w:szCs w:val="22"/>
    </w:rPr>
  </w:style>
  <w:style w:type="character" w:customStyle="1" w:styleId="OutlineNumbered1Char">
    <w:name w:val="Outline Numbered 1 Char"/>
    <w:basedOn w:val="DefaultParagraphFont"/>
    <w:link w:val="OutlineNumbered1"/>
    <w:rsid w:val="00BB7660"/>
    <w:rPr>
      <w:rFonts w:asciiTheme="minorHAnsi" w:hAnsiTheme="minorHAnsi"/>
      <w:iCs/>
      <w:color w:val="FF0000"/>
      <w:sz w:val="22"/>
      <w:szCs w:val="22"/>
    </w:rPr>
  </w:style>
  <w:style w:type="paragraph" w:customStyle="1" w:styleId="OutlineNumbered2">
    <w:name w:val="Outline Numbered 2"/>
    <w:basedOn w:val="Normal"/>
    <w:rsid w:val="009D101C"/>
    <w:pPr>
      <w:spacing w:after="160" w:line="259" w:lineRule="auto"/>
    </w:pPr>
    <w:rPr>
      <w:rFonts w:asciiTheme="minorHAnsi" w:hAnsiTheme="minorHAnsi"/>
      <w:iCs/>
      <w:color w:val="FF0000"/>
      <w:szCs w:val="22"/>
    </w:rPr>
  </w:style>
  <w:style w:type="paragraph" w:customStyle="1" w:styleId="OutlineNumbered3">
    <w:name w:val="Outline Numbered 3"/>
    <w:basedOn w:val="Normal"/>
    <w:link w:val="OutlineNumbered3Char"/>
    <w:rsid w:val="009D101C"/>
    <w:pPr>
      <w:spacing w:after="160" w:line="259" w:lineRule="auto"/>
    </w:pPr>
    <w:rPr>
      <w:rFonts w:asciiTheme="minorHAnsi" w:hAnsiTheme="minorHAnsi"/>
      <w:iCs/>
      <w:color w:val="FF0000"/>
      <w:szCs w:val="22"/>
    </w:rPr>
  </w:style>
  <w:style w:type="character" w:customStyle="1" w:styleId="UnresolvedMention1">
    <w:name w:val="Unresolved Mention1"/>
    <w:basedOn w:val="DefaultParagraphFont"/>
    <w:uiPriority w:val="99"/>
    <w:semiHidden/>
    <w:unhideWhenUsed/>
    <w:rsid w:val="00BB7660"/>
    <w:rPr>
      <w:color w:val="605E5C"/>
      <w:shd w:val="clear" w:color="auto" w:fill="E1DFDD"/>
    </w:rPr>
  </w:style>
  <w:style w:type="character" w:customStyle="1" w:styleId="OutlineNumbered3Char">
    <w:name w:val="Outline Numbered 3 Char"/>
    <w:basedOn w:val="DefaultParagraphFont"/>
    <w:link w:val="OutlineNumbered3"/>
    <w:rsid w:val="00BB7660"/>
    <w:rPr>
      <w:rFonts w:asciiTheme="minorHAnsi" w:hAnsiTheme="minorHAnsi"/>
      <w:iCs/>
      <w:color w:val="FF0000"/>
      <w:sz w:val="22"/>
      <w:szCs w:val="22"/>
    </w:rPr>
  </w:style>
  <w:style w:type="paragraph" w:customStyle="1" w:styleId="Bullet">
    <w:name w:val="Bullet"/>
    <w:basedOn w:val="Normal"/>
    <w:link w:val="BulletChar"/>
    <w:rsid w:val="009D101C"/>
    <w:pPr>
      <w:spacing w:after="160" w:line="259" w:lineRule="auto"/>
    </w:pPr>
    <w:rPr>
      <w:rFonts w:ascii="Calibri" w:eastAsia="Times New Roman" w:hAnsi="Calibri" w:cs="Calibri"/>
      <w:szCs w:val="22"/>
    </w:rPr>
  </w:style>
  <w:style w:type="character" w:customStyle="1" w:styleId="BulletChar">
    <w:name w:val="Bullet Char"/>
    <w:basedOn w:val="DefaultParagraphFont"/>
    <w:link w:val="Bullet"/>
    <w:rsid w:val="00BB7660"/>
    <w:rPr>
      <w:rFonts w:ascii="Calibri" w:eastAsia="Times New Roman" w:hAnsi="Calibri" w:cs="Calibri"/>
      <w:sz w:val="22"/>
      <w:szCs w:val="22"/>
    </w:rPr>
  </w:style>
  <w:style w:type="paragraph" w:customStyle="1" w:styleId="Dash">
    <w:name w:val="Dash"/>
    <w:basedOn w:val="Normal"/>
    <w:rsid w:val="009D101C"/>
    <w:pPr>
      <w:spacing w:after="160" w:line="259" w:lineRule="auto"/>
    </w:pPr>
    <w:rPr>
      <w:rFonts w:ascii="Calibri" w:eastAsia="Times New Roman" w:hAnsi="Calibri" w:cs="Calibri"/>
      <w:szCs w:val="22"/>
    </w:rPr>
  </w:style>
  <w:style w:type="paragraph" w:customStyle="1" w:styleId="DoubleDot">
    <w:name w:val="Double Dot"/>
    <w:basedOn w:val="Normal"/>
    <w:rsid w:val="009D101C"/>
    <w:pPr>
      <w:spacing w:after="160" w:line="259" w:lineRule="auto"/>
    </w:pPr>
    <w:rPr>
      <w:rFonts w:ascii="Calibri" w:eastAsia="Times New Roman" w:hAnsi="Calibri" w:cs="Calibri"/>
      <w:szCs w:val="22"/>
    </w:rPr>
  </w:style>
  <w:style w:type="character" w:customStyle="1" w:styleId="ListParagraphChar">
    <w:name w:val="List Paragraph Char"/>
    <w:basedOn w:val="DefaultParagraphFont"/>
    <w:link w:val="ListParagraph"/>
    <w:uiPriority w:val="34"/>
    <w:rsid w:val="00BB7660"/>
    <w:rPr>
      <w:sz w:val="22"/>
    </w:rPr>
  </w:style>
  <w:style w:type="character" w:customStyle="1" w:styleId="base-text-paragraphChar">
    <w:name w:val="base-text-paragraph Char"/>
    <w:basedOn w:val="DefaultParagraphFont"/>
    <w:link w:val="base-text-paragraph"/>
    <w:rsid w:val="00BB7660"/>
    <w:rPr>
      <w:rFonts w:eastAsia="Times New Roman" w:cs="Times New Roman"/>
      <w:sz w:val="22"/>
      <w:lang w:eastAsia="en-AU"/>
    </w:rPr>
  </w:style>
  <w:style w:type="paragraph" w:customStyle="1" w:styleId="notemargin0">
    <w:name w:val="notemargin"/>
    <w:basedOn w:val="Normal"/>
    <w:rsid w:val="00984B3B"/>
    <w:pPr>
      <w:spacing w:before="100" w:beforeAutospacing="1" w:after="100" w:afterAutospacing="1" w:line="240" w:lineRule="auto"/>
    </w:pPr>
    <w:rPr>
      <w:rFonts w:eastAsia="Times New Roman" w:cs="Times New Roman"/>
      <w:sz w:val="24"/>
      <w:szCs w:val="24"/>
      <w:lang w:eastAsia="en-AU"/>
    </w:rPr>
  </w:style>
  <w:style w:type="paragraph" w:customStyle="1" w:styleId="paragraphsub-sub0">
    <w:name w:val="paragraphsub-sub"/>
    <w:basedOn w:val="Normal"/>
    <w:rsid w:val="00984B3B"/>
    <w:pPr>
      <w:spacing w:before="100" w:beforeAutospacing="1" w:after="100" w:afterAutospacing="1" w:line="240" w:lineRule="auto"/>
    </w:pPr>
    <w:rPr>
      <w:rFonts w:eastAsia="Times New Roman" w:cs="Times New Roman"/>
      <w:sz w:val="24"/>
      <w:szCs w:val="24"/>
      <w:lang w:eastAsia="en-AU"/>
    </w:rPr>
  </w:style>
  <w:style w:type="paragraph" w:customStyle="1" w:styleId="subsection200">
    <w:name w:val="subsection20"/>
    <w:basedOn w:val="Normal"/>
    <w:rsid w:val="009B680A"/>
    <w:pPr>
      <w:spacing w:before="100" w:beforeAutospacing="1" w:after="100" w:afterAutospacing="1" w:line="240" w:lineRule="auto"/>
    </w:pPr>
    <w:rPr>
      <w:rFonts w:eastAsia="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135">
      <w:bodyDiv w:val="1"/>
      <w:marLeft w:val="0"/>
      <w:marRight w:val="0"/>
      <w:marTop w:val="0"/>
      <w:marBottom w:val="0"/>
      <w:divBdr>
        <w:top w:val="none" w:sz="0" w:space="0" w:color="auto"/>
        <w:left w:val="none" w:sz="0" w:space="0" w:color="auto"/>
        <w:bottom w:val="none" w:sz="0" w:space="0" w:color="auto"/>
        <w:right w:val="none" w:sz="0" w:space="0" w:color="auto"/>
      </w:divBdr>
    </w:div>
    <w:div w:id="4213730">
      <w:bodyDiv w:val="1"/>
      <w:marLeft w:val="0"/>
      <w:marRight w:val="0"/>
      <w:marTop w:val="0"/>
      <w:marBottom w:val="0"/>
      <w:divBdr>
        <w:top w:val="none" w:sz="0" w:space="0" w:color="auto"/>
        <w:left w:val="none" w:sz="0" w:space="0" w:color="auto"/>
        <w:bottom w:val="none" w:sz="0" w:space="0" w:color="auto"/>
        <w:right w:val="none" w:sz="0" w:space="0" w:color="auto"/>
      </w:divBdr>
    </w:div>
    <w:div w:id="31881792">
      <w:bodyDiv w:val="1"/>
      <w:marLeft w:val="0"/>
      <w:marRight w:val="0"/>
      <w:marTop w:val="0"/>
      <w:marBottom w:val="0"/>
      <w:divBdr>
        <w:top w:val="none" w:sz="0" w:space="0" w:color="auto"/>
        <w:left w:val="none" w:sz="0" w:space="0" w:color="auto"/>
        <w:bottom w:val="none" w:sz="0" w:space="0" w:color="auto"/>
        <w:right w:val="none" w:sz="0" w:space="0" w:color="auto"/>
      </w:divBdr>
    </w:div>
    <w:div w:id="36785873">
      <w:bodyDiv w:val="1"/>
      <w:marLeft w:val="0"/>
      <w:marRight w:val="0"/>
      <w:marTop w:val="0"/>
      <w:marBottom w:val="0"/>
      <w:divBdr>
        <w:top w:val="none" w:sz="0" w:space="0" w:color="auto"/>
        <w:left w:val="none" w:sz="0" w:space="0" w:color="auto"/>
        <w:bottom w:val="none" w:sz="0" w:space="0" w:color="auto"/>
        <w:right w:val="none" w:sz="0" w:space="0" w:color="auto"/>
      </w:divBdr>
    </w:div>
    <w:div w:id="74939726">
      <w:bodyDiv w:val="1"/>
      <w:marLeft w:val="0"/>
      <w:marRight w:val="0"/>
      <w:marTop w:val="0"/>
      <w:marBottom w:val="0"/>
      <w:divBdr>
        <w:top w:val="none" w:sz="0" w:space="0" w:color="auto"/>
        <w:left w:val="none" w:sz="0" w:space="0" w:color="auto"/>
        <w:bottom w:val="none" w:sz="0" w:space="0" w:color="auto"/>
        <w:right w:val="none" w:sz="0" w:space="0" w:color="auto"/>
      </w:divBdr>
    </w:div>
    <w:div w:id="253632090">
      <w:bodyDiv w:val="1"/>
      <w:marLeft w:val="0"/>
      <w:marRight w:val="0"/>
      <w:marTop w:val="0"/>
      <w:marBottom w:val="0"/>
      <w:divBdr>
        <w:top w:val="none" w:sz="0" w:space="0" w:color="auto"/>
        <w:left w:val="none" w:sz="0" w:space="0" w:color="auto"/>
        <w:bottom w:val="none" w:sz="0" w:space="0" w:color="auto"/>
        <w:right w:val="none" w:sz="0" w:space="0" w:color="auto"/>
      </w:divBdr>
    </w:div>
    <w:div w:id="326203722">
      <w:bodyDiv w:val="1"/>
      <w:marLeft w:val="0"/>
      <w:marRight w:val="0"/>
      <w:marTop w:val="0"/>
      <w:marBottom w:val="0"/>
      <w:divBdr>
        <w:top w:val="none" w:sz="0" w:space="0" w:color="auto"/>
        <w:left w:val="none" w:sz="0" w:space="0" w:color="auto"/>
        <w:bottom w:val="none" w:sz="0" w:space="0" w:color="auto"/>
        <w:right w:val="none" w:sz="0" w:space="0" w:color="auto"/>
      </w:divBdr>
    </w:div>
    <w:div w:id="360086683">
      <w:bodyDiv w:val="1"/>
      <w:marLeft w:val="0"/>
      <w:marRight w:val="0"/>
      <w:marTop w:val="0"/>
      <w:marBottom w:val="0"/>
      <w:divBdr>
        <w:top w:val="none" w:sz="0" w:space="0" w:color="auto"/>
        <w:left w:val="none" w:sz="0" w:space="0" w:color="auto"/>
        <w:bottom w:val="none" w:sz="0" w:space="0" w:color="auto"/>
        <w:right w:val="none" w:sz="0" w:space="0" w:color="auto"/>
      </w:divBdr>
    </w:div>
    <w:div w:id="360597732">
      <w:bodyDiv w:val="1"/>
      <w:marLeft w:val="0"/>
      <w:marRight w:val="0"/>
      <w:marTop w:val="0"/>
      <w:marBottom w:val="0"/>
      <w:divBdr>
        <w:top w:val="none" w:sz="0" w:space="0" w:color="auto"/>
        <w:left w:val="none" w:sz="0" w:space="0" w:color="auto"/>
        <w:bottom w:val="none" w:sz="0" w:space="0" w:color="auto"/>
        <w:right w:val="none" w:sz="0" w:space="0" w:color="auto"/>
      </w:divBdr>
    </w:div>
    <w:div w:id="361784293">
      <w:bodyDiv w:val="1"/>
      <w:marLeft w:val="0"/>
      <w:marRight w:val="0"/>
      <w:marTop w:val="0"/>
      <w:marBottom w:val="0"/>
      <w:divBdr>
        <w:top w:val="none" w:sz="0" w:space="0" w:color="auto"/>
        <w:left w:val="none" w:sz="0" w:space="0" w:color="auto"/>
        <w:bottom w:val="none" w:sz="0" w:space="0" w:color="auto"/>
        <w:right w:val="none" w:sz="0" w:space="0" w:color="auto"/>
      </w:divBdr>
    </w:div>
    <w:div w:id="377515809">
      <w:bodyDiv w:val="1"/>
      <w:marLeft w:val="0"/>
      <w:marRight w:val="0"/>
      <w:marTop w:val="0"/>
      <w:marBottom w:val="0"/>
      <w:divBdr>
        <w:top w:val="none" w:sz="0" w:space="0" w:color="auto"/>
        <w:left w:val="none" w:sz="0" w:space="0" w:color="auto"/>
        <w:bottom w:val="none" w:sz="0" w:space="0" w:color="auto"/>
        <w:right w:val="none" w:sz="0" w:space="0" w:color="auto"/>
      </w:divBdr>
    </w:div>
    <w:div w:id="608463545">
      <w:bodyDiv w:val="1"/>
      <w:marLeft w:val="0"/>
      <w:marRight w:val="0"/>
      <w:marTop w:val="0"/>
      <w:marBottom w:val="0"/>
      <w:divBdr>
        <w:top w:val="none" w:sz="0" w:space="0" w:color="auto"/>
        <w:left w:val="none" w:sz="0" w:space="0" w:color="auto"/>
        <w:bottom w:val="none" w:sz="0" w:space="0" w:color="auto"/>
        <w:right w:val="none" w:sz="0" w:space="0" w:color="auto"/>
      </w:divBdr>
    </w:div>
    <w:div w:id="663552979">
      <w:bodyDiv w:val="1"/>
      <w:marLeft w:val="0"/>
      <w:marRight w:val="0"/>
      <w:marTop w:val="0"/>
      <w:marBottom w:val="0"/>
      <w:divBdr>
        <w:top w:val="none" w:sz="0" w:space="0" w:color="auto"/>
        <w:left w:val="none" w:sz="0" w:space="0" w:color="auto"/>
        <w:bottom w:val="none" w:sz="0" w:space="0" w:color="auto"/>
        <w:right w:val="none" w:sz="0" w:space="0" w:color="auto"/>
      </w:divBdr>
    </w:div>
    <w:div w:id="704673563">
      <w:bodyDiv w:val="1"/>
      <w:marLeft w:val="0"/>
      <w:marRight w:val="0"/>
      <w:marTop w:val="0"/>
      <w:marBottom w:val="0"/>
      <w:divBdr>
        <w:top w:val="none" w:sz="0" w:space="0" w:color="auto"/>
        <w:left w:val="none" w:sz="0" w:space="0" w:color="auto"/>
        <w:bottom w:val="none" w:sz="0" w:space="0" w:color="auto"/>
        <w:right w:val="none" w:sz="0" w:space="0" w:color="auto"/>
      </w:divBdr>
    </w:div>
    <w:div w:id="726732772">
      <w:bodyDiv w:val="1"/>
      <w:marLeft w:val="0"/>
      <w:marRight w:val="0"/>
      <w:marTop w:val="0"/>
      <w:marBottom w:val="0"/>
      <w:divBdr>
        <w:top w:val="none" w:sz="0" w:space="0" w:color="auto"/>
        <w:left w:val="none" w:sz="0" w:space="0" w:color="auto"/>
        <w:bottom w:val="none" w:sz="0" w:space="0" w:color="auto"/>
        <w:right w:val="none" w:sz="0" w:space="0" w:color="auto"/>
      </w:divBdr>
    </w:div>
    <w:div w:id="983778504">
      <w:bodyDiv w:val="1"/>
      <w:marLeft w:val="0"/>
      <w:marRight w:val="0"/>
      <w:marTop w:val="0"/>
      <w:marBottom w:val="0"/>
      <w:divBdr>
        <w:top w:val="none" w:sz="0" w:space="0" w:color="auto"/>
        <w:left w:val="none" w:sz="0" w:space="0" w:color="auto"/>
        <w:bottom w:val="none" w:sz="0" w:space="0" w:color="auto"/>
        <w:right w:val="none" w:sz="0" w:space="0" w:color="auto"/>
      </w:divBdr>
    </w:div>
    <w:div w:id="1075855169">
      <w:bodyDiv w:val="1"/>
      <w:marLeft w:val="0"/>
      <w:marRight w:val="0"/>
      <w:marTop w:val="0"/>
      <w:marBottom w:val="0"/>
      <w:divBdr>
        <w:top w:val="none" w:sz="0" w:space="0" w:color="auto"/>
        <w:left w:val="none" w:sz="0" w:space="0" w:color="auto"/>
        <w:bottom w:val="none" w:sz="0" w:space="0" w:color="auto"/>
        <w:right w:val="none" w:sz="0" w:space="0" w:color="auto"/>
      </w:divBdr>
    </w:div>
    <w:div w:id="1084572512">
      <w:bodyDiv w:val="1"/>
      <w:marLeft w:val="0"/>
      <w:marRight w:val="0"/>
      <w:marTop w:val="0"/>
      <w:marBottom w:val="0"/>
      <w:divBdr>
        <w:top w:val="none" w:sz="0" w:space="0" w:color="auto"/>
        <w:left w:val="none" w:sz="0" w:space="0" w:color="auto"/>
        <w:bottom w:val="none" w:sz="0" w:space="0" w:color="auto"/>
        <w:right w:val="none" w:sz="0" w:space="0" w:color="auto"/>
      </w:divBdr>
    </w:div>
    <w:div w:id="1116603590">
      <w:bodyDiv w:val="1"/>
      <w:marLeft w:val="0"/>
      <w:marRight w:val="0"/>
      <w:marTop w:val="0"/>
      <w:marBottom w:val="0"/>
      <w:divBdr>
        <w:top w:val="none" w:sz="0" w:space="0" w:color="auto"/>
        <w:left w:val="none" w:sz="0" w:space="0" w:color="auto"/>
        <w:bottom w:val="none" w:sz="0" w:space="0" w:color="auto"/>
        <w:right w:val="none" w:sz="0" w:space="0" w:color="auto"/>
      </w:divBdr>
    </w:div>
    <w:div w:id="1279726767">
      <w:bodyDiv w:val="1"/>
      <w:marLeft w:val="0"/>
      <w:marRight w:val="0"/>
      <w:marTop w:val="0"/>
      <w:marBottom w:val="0"/>
      <w:divBdr>
        <w:top w:val="none" w:sz="0" w:space="0" w:color="auto"/>
        <w:left w:val="none" w:sz="0" w:space="0" w:color="auto"/>
        <w:bottom w:val="none" w:sz="0" w:space="0" w:color="auto"/>
        <w:right w:val="none" w:sz="0" w:space="0" w:color="auto"/>
      </w:divBdr>
    </w:div>
    <w:div w:id="1298946833">
      <w:bodyDiv w:val="1"/>
      <w:marLeft w:val="0"/>
      <w:marRight w:val="0"/>
      <w:marTop w:val="0"/>
      <w:marBottom w:val="0"/>
      <w:divBdr>
        <w:top w:val="none" w:sz="0" w:space="0" w:color="auto"/>
        <w:left w:val="none" w:sz="0" w:space="0" w:color="auto"/>
        <w:bottom w:val="none" w:sz="0" w:space="0" w:color="auto"/>
        <w:right w:val="none" w:sz="0" w:space="0" w:color="auto"/>
      </w:divBdr>
    </w:div>
    <w:div w:id="1312447405">
      <w:bodyDiv w:val="1"/>
      <w:marLeft w:val="0"/>
      <w:marRight w:val="0"/>
      <w:marTop w:val="0"/>
      <w:marBottom w:val="0"/>
      <w:divBdr>
        <w:top w:val="none" w:sz="0" w:space="0" w:color="auto"/>
        <w:left w:val="none" w:sz="0" w:space="0" w:color="auto"/>
        <w:bottom w:val="none" w:sz="0" w:space="0" w:color="auto"/>
        <w:right w:val="none" w:sz="0" w:space="0" w:color="auto"/>
      </w:divBdr>
    </w:div>
    <w:div w:id="1416046871">
      <w:bodyDiv w:val="1"/>
      <w:marLeft w:val="0"/>
      <w:marRight w:val="0"/>
      <w:marTop w:val="0"/>
      <w:marBottom w:val="0"/>
      <w:divBdr>
        <w:top w:val="none" w:sz="0" w:space="0" w:color="auto"/>
        <w:left w:val="none" w:sz="0" w:space="0" w:color="auto"/>
        <w:bottom w:val="none" w:sz="0" w:space="0" w:color="auto"/>
        <w:right w:val="none" w:sz="0" w:space="0" w:color="auto"/>
      </w:divBdr>
    </w:div>
    <w:div w:id="1578049588">
      <w:bodyDiv w:val="1"/>
      <w:marLeft w:val="0"/>
      <w:marRight w:val="0"/>
      <w:marTop w:val="0"/>
      <w:marBottom w:val="0"/>
      <w:divBdr>
        <w:top w:val="none" w:sz="0" w:space="0" w:color="auto"/>
        <w:left w:val="none" w:sz="0" w:space="0" w:color="auto"/>
        <w:bottom w:val="none" w:sz="0" w:space="0" w:color="auto"/>
        <w:right w:val="none" w:sz="0" w:space="0" w:color="auto"/>
      </w:divBdr>
    </w:div>
    <w:div w:id="1625848974">
      <w:bodyDiv w:val="1"/>
      <w:marLeft w:val="0"/>
      <w:marRight w:val="0"/>
      <w:marTop w:val="0"/>
      <w:marBottom w:val="0"/>
      <w:divBdr>
        <w:top w:val="none" w:sz="0" w:space="0" w:color="auto"/>
        <w:left w:val="none" w:sz="0" w:space="0" w:color="auto"/>
        <w:bottom w:val="none" w:sz="0" w:space="0" w:color="auto"/>
        <w:right w:val="none" w:sz="0" w:space="0" w:color="auto"/>
      </w:divBdr>
    </w:div>
    <w:div w:id="1701661112">
      <w:bodyDiv w:val="1"/>
      <w:marLeft w:val="0"/>
      <w:marRight w:val="0"/>
      <w:marTop w:val="0"/>
      <w:marBottom w:val="0"/>
      <w:divBdr>
        <w:top w:val="none" w:sz="0" w:space="0" w:color="auto"/>
        <w:left w:val="none" w:sz="0" w:space="0" w:color="auto"/>
        <w:bottom w:val="none" w:sz="0" w:space="0" w:color="auto"/>
        <w:right w:val="none" w:sz="0" w:space="0" w:color="auto"/>
      </w:divBdr>
    </w:div>
    <w:div w:id="1741756606">
      <w:bodyDiv w:val="1"/>
      <w:marLeft w:val="0"/>
      <w:marRight w:val="0"/>
      <w:marTop w:val="0"/>
      <w:marBottom w:val="0"/>
      <w:divBdr>
        <w:top w:val="none" w:sz="0" w:space="0" w:color="auto"/>
        <w:left w:val="none" w:sz="0" w:space="0" w:color="auto"/>
        <w:bottom w:val="none" w:sz="0" w:space="0" w:color="auto"/>
        <w:right w:val="none" w:sz="0" w:space="0" w:color="auto"/>
      </w:divBdr>
    </w:div>
    <w:div w:id="1843550044">
      <w:bodyDiv w:val="1"/>
      <w:marLeft w:val="0"/>
      <w:marRight w:val="0"/>
      <w:marTop w:val="0"/>
      <w:marBottom w:val="0"/>
      <w:divBdr>
        <w:top w:val="none" w:sz="0" w:space="0" w:color="auto"/>
        <w:left w:val="none" w:sz="0" w:space="0" w:color="auto"/>
        <w:bottom w:val="none" w:sz="0" w:space="0" w:color="auto"/>
        <w:right w:val="none" w:sz="0" w:space="0" w:color="auto"/>
      </w:divBdr>
    </w:div>
    <w:div w:id="1862551371">
      <w:bodyDiv w:val="1"/>
      <w:marLeft w:val="0"/>
      <w:marRight w:val="0"/>
      <w:marTop w:val="0"/>
      <w:marBottom w:val="0"/>
      <w:divBdr>
        <w:top w:val="none" w:sz="0" w:space="0" w:color="auto"/>
        <w:left w:val="none" w:sz="0" w:space="0" w:color="auto"/>
        <w:bottom w:val="none" w:sz="0" w:space="0" w:color="auto"/>
        <w:right w:val="none" w:sz="0" w:space="0" w:color="auto"/>
      </w:divBdr>
    </w:div>
    <w:div w:id="208144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header" Target="header8.xml"/><Relationship Id="rId39" Type="http://schemas.openxmlformats.org/officeDocument/2006/relationships/footer" Target="footer7.xml"/><Relationship Id="rId21" Type="http://schemas.openxmlformats.org/officeDocument/2006/relationships/header" Target="header5.xml"/><Relationship Id="rId34" Type="http://schemas.openxmlformats.org/officeDocument/2006/relationships/header" Target="header14.xm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header" Target="header12.xml"/><Relationship Id="rId37" Type="http://schemas.openxmlformats.org/officeDocument/2006/relationships/header" Target="header17.xml"/><Relationship Id="rId40" Type="http://schemas.openxmlformats.org/officeDocument/2006/relationships/header" Target="header1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header" Target="header9.xml"/><Relationship Id="rId36" Type="http://schemas.openxmlformats.org/officeDocument/2006/relationships/header" Target="header16.xml"/><Relationship Id="rId10" Type="http://schemas.openxmlformats.org/officeDocument/2006/relationships/webSettings" Target="webSettings.xm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6.xml"/><Relationship Id="rId35" Type="http://schemas.openxmlformats.org/officeDocument/2006/relationships/header" Target="header15.xml"/><Relationship Id="rId43" Type="http://schemas.openxmlformats.org/officeDocument/2006/relationships/theme" Target="theme/theme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eader" Target="header7.xml"/><Relationship Id="rId33" Type="http://schemas.openxmlformats.org/officeDocument/2006/relationships/header" Target="header13.xml"/><Relationship Id="rId38"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4dd4adf-ddb3-46a3-8d7c-fab3fb2a6bc7" xsi:nil="true"/>
    <IconOverlay xmlns="http://schemas.microsoft.com/sharepoint/v4" xsi:nil="true"/>
    <TaxCatchAll xmlns="0f563589-9cf9-4143-b1eb-fb0534803d38">
      <Value>2</Value>
    </TaxCatchAll>
    <TaxKeywordTaxHTField xmlns="0f563589-9cf9-4143-b1eb-fb0534803d38">
      <Terms xmlns="http://schemas.microsoft.com/office/infopath/2007/PartnerControls"/>
    </TaxKeywordTaxHTField>
    <lb508a4dc5e84436a0fe496b536466aa xmlns="d4dd4adf-ddb3-46a3-8d7c-fab3fb2a6bc7">
      <Terms xmlns="http://schemas.microsoft.com/office/infopath/2007/PartnerControls">
        <TermInfo xmlns="http://schemas.microsoft.com/office/infopath/2007/PartnerControls">
          <TermName xmlns="http://schemas.microsoft.com/office/infopath/2007/PartnerControls">TSY RA-9081 - Retain as national archives</TermName>
          <TermId xmlns="http://schemas.microsoft.com/office/infopath/2007/PartnerControls">bbf0bcde-1687-4ff2-bc57-f31b5d545d4b</TermId>
        </TermInfo>
      </Terms>
    </lb508a4dc5e84436a0fe496b536466aa>
    <_dlc_DocId xmlns="0f563589-9cf9-4143-b1eb-fb0534803d38">2022MG-133-95065</_dlc_DocId>
    <_dlc_DocIdUrl xmlns="0f563589-9cf9-4143-b1eb-fb0534803d38">
      <Url>http://tweb/sites/mg/sbccpd/_layouts/15/DocIdRedir.aspx?ID=2022MG-133-95065</Url>
      <Description>2022MG-133-95065</Description>
    </_dlc_DocIdUrl>
  </documentManagement>
</p:properties>
</file>

<file path=customXml/item2.xml>��< ? x m l   v e r s i o n = " 1 . 0 "   e n c o d i n g = " u t f - 1 6 " ? > < p r o p e r t i e s   x m l n s = " h t t p : / / w w w . i m a n a g e . c o m / w o r k / x m l s c h e m a " >  
     < d o c u m e n t i d > D O C U M E N T S ! 4 5 1 6 0 1 0 7 . 2 4 < / d o c u m e n t i d >  
     < s e n d e r i d > G R A H J A < / s e n d e r i d >  
     < s e n d e r e m a i l > J A M E S . G R A H A M @ A G S . G O V . A U < / s e n d e r e m a i l >  
     < l a s t m o d i f i e d > 2 0 2 2 - 0 8 - 1 2 T 1 0 : 5 5 : 0 0 . 0 0 0 0 0 0 0 + 1 0 : 0 0 < / l a s t m o d i f i e d >  
     < d a t a b a s e > D O C U M E N T S < / d a t a b a s e >  
 < / p r o p e r t i e 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E95D40E5DFEA714B90E88DB5CE07A6B5|-421390505" UniqueId="72a3b914-5376-4e08-a93a-e02e58e6045f">
      <p:Name>Auditing</p:Name>
      <p:Description>Audits user actions on documents and list items to the Audit Log.</p:Description>
      <p:CustomData>
        <Audit>
          <Update/>
          <DeleteRestore/>
        </Audit>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Treasury Document" ma:contentTypeID="0x010100E95D40E5DFEA714B90E88DB5CE07A6B500DDAFF7E1A29DE64F981B4EA50562BA75" ma:contentTypeVersion="49636" ma:contentTypeDescription="" ma:contentTypeScope="" ma:versionID="16f7325ead50dbbf1362bc3b562f79e2">
  <xsd:schema xmlns:xsd="http://www.w3.org/2001/XMLSchema" xmlns:xs="http://www.w3.org/2001/XMLSchema" xmlns:p="http://schemas.microsoft.com/office/2006/metadata/properties" xmlns:ns1="http://schemas.microsoft.com/sharepoint/v3" xmlns:ns2="0f563589-9cf9-4143-b1eb-fb0534803d38" xmlns:ns3="d4dd4adf-ddb3-46a3-8d7c-fab3fb2a6bc7" xmlns:ns4="http://schemas.microsoft.com/sharepoint/v4" targetNamespace="http://schemas.microsoft.com/office/2006/metadata/properties" ma:root="true" ma:fieldsID="29f171c4881bc829b0501d7ea54a82ac" ns1:_="" ns2:_="" ns3:_="" ns4:_="">
    <xsd:import namespace="http://schemas.microsoft.com/sharepoint/v3"/>
    <xsd:import namespace="0f563589-9cf9-4143-b1eb-fb0534803d38"/>
    <xsd:import namespace="d4dd4adf-ddb3-46a3-8d7c-fab3fb2a6bc7"/>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4:IconOverlay" minOccurs="0"/>
                <xsd:element ref="ns1:_dlc_Exempt" minOccurs="0"/>
                <xsd:element ref="ns2:TaxKeywordTaxHTField" minOccurs="0"/>
                <xsd:element ref="ns3: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865bba-d958-40fe-b21d-a68aa7a39431}" ma:internalName="TaxCatchAll" ma:showField="CatchAllData"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865bba-d958-40fe-b21d-a68aa7a39431}" ma:internalName="TaxCatchAllLabel" ma:readOnly="true" ma:showField="CatchAllDataLabel" ma:web="d4dd4adf-ddb3-46a3-8d7c-fab3fb2a6bc7">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dd4adf-ddb3-46a3-8d7c-fab3fb2a6bc7"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2;#TSY RA-9081 - Retain as national archives|bbf0bcde-1687-4ff2-bc57-f31b5d545d4b"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SecurityClassification" ma:index="19" nillable="true" ma:displayName="Security Classification" ma:internalName="SecurityClassific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304D5F-DBB0-4862-9D68-9403F7044633}">
  <ds:schemaRefs>
    <ds:schemaRef ds:uri="http://schemas.microsoft.com/office/2006/metadata/properties"/>
    <ds:schemaRef ds:uri="http://schemas.microsoft.com/office/infopath/2007/PartnerControls"/>
    <ds:schemaRef ds:uri="d4dd4adf-ddb3-46a3-8d7c-fab3fb2a6bc7"/>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D9F27398-6703-4191-A570-0DC2D549328F}">
  <ds:schemaRefs>
    <ds:schemaRef ds:uri="http://www.imanage.com/work/xmlschema"/>
  </ds:schemaRefs>
</ds:datastoreItem>
</file>

<file path=customXml/itemProps3.xml><?xml version="1.0" encoding="utf-8"?>
<ds:datastoreItem xmlns:ds="http://schemas.openxmlformats.org/officeDocument/2006/customXml" ds:itemID="{1366E78E-F975-47A6-AADD-B48055022DFF}">
  <ds:schemaRefs>
    <ds:schemaRef ds:uri="office.server.policy"/>
  </ds:schemaRefs>
</ds:datastoreItem>
</file>

<file path=customXml/itemProps4.xml><?xml version="1.0" encoding="utf-8"?>
<ds:datastoreItem xmlns:ds="http://schemas.openxmlformats.org/officeDocument/2006/customXml" ds:itemID="{7B026A48-498B-48F4-A22D-428401F8C68C}">
  <ds:schemaRefs>
    <ds:schemaRef ds:uri="http://schemas.microsoft.com/sharepoint/events"/>
  </ds:schemaRefs>
</ds:datastoreItem>
</file>

<file path=customXml/itemProps5.xml><?xml version="1.0" encoding="utf-8"?>
<ds:datastoreItem xmlns:ds="http://schemas.openxmlformats.org/officeDocument/2006/customXml" ds:itemID="{A291A394-5352-4DF8-8E42-87CB1B3EF1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d4dd4adf-ddb3-46a3-8d7c-fab3fb2a6bc7"/>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CB67FC4-AD16-4FEC-A6BF-D0E0B48D90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233</Pages>
  <Words>69627</Words>
  <Characters>396878</Characters>
  <Application>Microsoft Office Word</Application>
  <DocSecurity>0</DocSecurity>
  <PresentationFormat/>
  <Lines>3307</Lines>
  <Paragraphs>931</Paragraphs>
  <ScaleCrop>false</ScaleCrop>
  <HeadingPairs>
    <vt:vector size="2" baseType="variant">
      <vt:variant>
        <vt:lpstr>Title</vt:lpstr>
      </vt:variant>
      <vt:variant>
        <vt:i4>1</vt:i4>
      </vt:variant>
    </vt:vector>
  </HeadingPairs>
  <TitlesOfParts>
    <vt:vector size="1" baseType="lpstr">
      <vt:lpstr>Exposure Draft - Competition and Consumer (Consumer Data Right) Rules 2020 with proposed amendments</vt:lpstr>
    </vt:vector>
  </TitlesOfParts>
  <Manager/>
  <Company/>
  <LinksUpToDate>false</LinksUpToDate>
  <CharactersWithSpaces>465574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 Competition and Consumer (Consumer Data Right) Rules 2020 with proposed amendments</dc:title>
  <dc:subject/>
  <dc:creator/>
  <cp:keywords/>
  <dc:description/>
  <cp:lastModifiedBy/>
  <cp:revision>1</cp:revision>
  <dcterms:created xsi:type="dcterms:W3CDTF">2022-09-13T07:27:00Z</dcterms:created>
  <dcterms:modified xsi:type="dcterms:W3CDTF">2022-09-15T00:58:00Z</dcterms:modified>
  <cp:category/>
  <cp:contentStatus/>
  <dc:language/>
  <cp:version/>
</cp:coreProperties>
</file>