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5988C" w14:textId="77777777" w:rsidR="00E24AA1" w:rsidRDefault="00E24AA1" w:rsidP="00E24AA1">
      <w:pPr>
        <w:pStyle w:val="Baseparagraphcentred"/>
        <w:pBdr>
          <w:bottom w:val="single" w:sz="4" w:space="1" w:color="auto"/>
        </w:pBdr>
      </w:pPr>
      <w:bookmarkStart w:id="0" w:name="BillName"/>
      <w:bookmarkStart w:id="1" w:name="_Toc78548463"/>
      <w:bookmarkStart w:id="2" w:name="_Toc78549734"/>
      <w:bookmarkStart w:id="3" w:name="_Toc78549779"/>
      <w:bookmarkStart w:id="4" w:name="_Toc80097481"/>
      <w:bookmarkStart w:id="5" w:name="_Toc80097775"/>
      <w:bookmarkStart w:id="6" w:name="_Hlk81640909"/>
      <w:bookmarkEnd w:id="0"/>
    </w:p>
    <w:p w14:paraId="2D0A1BC3" w14:textId="6BA969B4" w:rsidR="00E24AA1" w:rsidRPr="00761860" w:rsidRDefault="00A52686" w:rsidP="00E24AA1">
      <w:pPr>
        <w:pStyle w:val="BillName"/>
      </w:pPr>
      <w:r w:rsidRPr="00FF552E">
        <w:t xml:space="preserve">Treasury Laws Amendment (Measures for </w:t>
      </w:r>
      <w:r w:rsidR="00B65286">
        <w:t>Consulta</w:t>
      </w:r>
      <w:r w:rsidR="006E164B">
        <w:t>t</w:t>
      </w:r>
      <w:r w:rsidR="00B65286">
        <w:t>ion</w:t>
      </w:r>
      <w:r w:rsidRPr="00FF552E">
        <w:t>) Bill 2022</w:t>
      </w:r>
      <w:r w:rsidR="002F1E05" w:rsidRPr="00FF552E">
        <w:t>: Taxation treatment of digital currency</w:t>
      </w:r>
    </w:p>
    <w:p w14:paraId="77D7C6B4" w14:textId="77777777" w:rsidR="00E24AA1" w:rsidRDefault="00E24AA1" w:rsidP="00E24AA1">
      <w:pPr>
        <w:pStyle w:val="Baseparagraphcentred"/>
        <w:pBdr>
          <w:top w:val="single" w:sz="4" w:space="1" w:color="auto"/>
        </w:pBdr>
      </w:pPr>
    </w:p>
    <w:p w14:paraId="2BEED071" w14:textId="77777777" w:rsidR="00E24AA1" w:rsidRDefault="00E24AA1" w:rsidP="00E24AA1">
      <w:pPr>
        <w:pStyle w:val="Baseparagraphcentred"/>
      </w:pPr>
    </w:p>
    <w:p w14:paraId="03BF4C02" w14:textId="77777777" w:rsidR="00E24AA1" w:rsidRDefault="00E24AA1" w:rsidP="00E24AA1">
      <w:pPr>
        <w:pStyle w:val="Baseparagraphcentred"/>
      </w:pPr>
    </w:p>
    <w:p w14:paraId="5CD38ABE" w14:textId="77777777" w:rsidR="00E24AA1" w:rsidRDefault="00E24AA1" w:rsidP="00E24AA1">
      <w:pPr>
        <w:pStyle w:val="Baseparagraphcentred"/>
      </w:pPr>
    </w:p>
    <w:p w14:paraId="472A63D2" w14:textId="77777777" w:rsidR="00154DD2" w:rsidRDefault="00154DD2" w:rsidP="00E24AA1">
      <w:pPr>
        <w:pStyle w:val="Baseparagraphcentred"/>
      </w:pPr>
      <w:r>
        <w:t>EXPOSURE DRAFT EXPLANATORY MATERIALS</w:t>
      </w:r>
    </w:p>
    <w:p w14:paraId="2302352E" w14:textId="5A8F512F" w:rsidR="00E24AA1" w:rsidRDefault="00E24AA1" w:rsidP="00E24AA1">
      <w:pPr>
        <w:pStyle w:val="Baseparagraphcentred"/>
      </w:pPr>
    </w:p>
    <w:p w14:paraId="26BEE960" w14:textId="77777777" w:rsidR="00E24AA1" w:rsidRDefault="00E24AA1" w:rsidP="00E24AA1">
      <w:pPr>
        <w:pStyle w:val="Baseparagraphcentred"/>
      </w:pPr>
    </w:p>
    <w:p w14:paraId="050BBC2E" w14:textId="77777777" w:rsidR="00E24AA1" w:rsidRDefault="00E24AA1" w:rsidP="00E24AA1">
      <w:pPr>
        <w:pStyle w:val="ParaCentredNoSpacing"/>
      </w:pPr>
    </w:p>
    <w:p w14:paraId="2E3EDBF2" w14:textId="77777777" w:rsidR="00E24AA1" w:rsidRPr="00967273" w:rsidRDefault="00E24AA1" w:rsidP="00E24AA1">
      <w:pPr>
        <w:pStyle w:val="Normalparatextnonumbers"/>
        <w:jc w:val="center"/>
        <w:rPr>
          <w:rFonts w:cs="Calibri"/>
          <w:color w:val="000000" w:themeColor="text1"/>
        </w:rPr>
      </w:pPr>
    </w:p>
    <w:p w14:paraId="613BA696" w14:textId="77777777" w:rsidR="00873094" w:rsidRDefault="00873094" w:rsidP="00873094">
      <w:pPr>
        <w:pStyle w:val="Normalparatextnonumbers"/>
      </w:pPr>
    </w:p>
    <w:p w14:paraId="4872BA3C" w14:textId="77777777" w:rsidR="00E24AA1" w:rsidRPr="00020288" w:rsidRDefault="00E24AA1" w:rsidP="00873094">
      <w:pPr>
        <w:pStyle w:val="Normalparatextnonumbers"/>
      </w:pPr>
    </w:p>
    <w:p w14:paraId="745F5F4B" w14:textId="77777777" w:rsidR="00873094" w:rsidRPr="00020288" w:rsidRDefault="00873094" w:rsidP="00873094">
      <w:pPr>
        <w:pStyle w:val="TOC1"/>
        <w:sectPr w:rsidR="00873094" w:rsidRPr="00020288" w:rsidSect="00000BFC">
          <w:headerReference w:type="first" r:id="rId13"/>
          <w:footerReference w:type="first" r:id="rId14"/>
          <w:type w:val="oddPage"/>
          <w:pgSz w:w="9979" w:h="14175" w:code="138"/>
          <w:pgMar w:top="567" w:right="1134" w:bottom="567" w:left="1134" w:header="709" w:footer="709" w:gutter="0"/>
          <w:cols w:space="708"/>
          <w:titlePg/>
          <w:docGrid w:linePitch="360"/>
        </w:sectPr>
      </w:pPr>
    </w:p>
    <w:p w14:paraId="389C0FE5" w14:textId="77777777" w:rsidR="00154DD2" w:rsidRPr="00020288" w:rsidRDefault="00154DD2" w:rsidP="00154DD2">
      <w:pPr>
        <w:pStyle w:val="Heading1"/>
      </w:pPr>
      <w:bookmarkStart w:id="7" w:name="_Toc82021619"/>
      <w:bookmarkStart w:id="8" w:name="_Toc82067318"/>
      <w:bookmarkStart w:id="9" w:name="_Toc82072959"/>
      <w:bookmarkStart w:id="10" w:name="_Toc82073275"/>
      <w:bookmarkStart w:id="11" w:name="_Toc82073912"/>
      <w:bookmarkStart w:id="12" w:name="_Toc82074016"/>
      <w:bookmarkStart w:id="13" w:name="_Toc110866181"/>
      <w:bookmarkStart w:id="14" w:name="_Toc112242163"/>
      <w:bookmarkStart w:id="15" w:name="_Toc78549733"/>
      <w:bookmarkStart w:id="16" w:name="_Toc78549778"/>
      <w:bookmarkStart w:id="17" w:name="_Toc80097483"/>
      <w:bookmarkStart w:id="18" w:name="_Toc80097777"/>
      <w:bookmarkStart w:id="19" w:name="_Toc80115276"/>
      <w:bookmarkStart w:id="20" w:name="_Toc80172451"/>
      <w:bookmarkStart w:id="21" w:name="_Toc80197115"/>
      <w:bookmarkStart w:id="22" w:name="_Toc81852682"/>
      <w:bookmarkStart w:id="23" w:name="_Toc81852727"/>
      <w:bookmarkEnd w:id="1"/>
      <w:bookmarkEnd w:id="2"/>
      <w:bookmarkEnd w:id="3"/>
      <w:bookmarkEnd w:id="4"/>
      <w:bookmarkEnd w:id="5"/>
      <w:r w:rsidRPr="00020288">
        <w:lastRenderedPageBreak/>
        <w:t>Glossary</w:t>
      </w:r>
      <w:bookmarkEnd w:id="7"/>
      <w:bookmarkEnd w:id="8"/>
      <w:bookmarkEnd w:id="9"/>
      <w:bookmarkEnd w:id="10"/>
      <w:bookmarkEnd w:id="11"/>
      <w:bookmarkEnd w:id="12"/>
      <w:bookmarkEnd w:id="13"/>
      <w:bookmarkEnd w:id="14"/>
    </w:p>
    <w:p w14:paraId="561A8EBE" w14:textId="77777777" w:rsidR="00154DD2" w:rsidRPr="00020288" w:rsidRDefault="00154DD2" w:rsidP="00154DD2">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154DD2" w:rsidRPr="002E7A73" w14:paraId="4FF0A864" w14:textId="77777777" w:rsidTr="006301E4">
        <w:tc>
          <w:tcPr>
            <w:tcW w:w="3776" w:type="dxa"/>
            <w:shd w:val="clear" w:color="auto" w:fill="auto"/>
          </w:tcPr>
          <w:p w14:paraId="53E304F6" w14:textId="77777777" w:rsidR="00154DD2" w:rsidRPr="002E7A73" w:rsidRDefault="00154DD2" w:rsidP="00154DD2">
            <w:pPr>
              <w:pStyle w:val="Tableheaderrowtext"/>
              <w:numPr>
                <w:ilvl w:val="3"/>
                <w:numId w:val="2"/>
              </w:numPr>
            </w:pPr>
            <w:bookmarkStart w:id="24" w:name="GlossaryTableStart"/>
            <w:bookmarkEnd w:id="24"/>
            <w:r w:rsidRPr="002E7A73">
              <w:t>Abbreviation</w:t>
            </w:r>
          </w:p>
        </w:tc>
        <w:tc>
          <w:tcPr>
            <w:tcW w:w="3874" w:type="dxa"/>
            <w:shd w:val="clear" w:color="auto" w:fill="auto"/>
          </w:tcPr>
          <w:p w14:paraId="47422776" w14:textId="77777777" w:rsidR="00154DD2" w:rsidRPr="002E7A73" w:rsidRDefault="00154DD2" w:rsidP="00154DD2">
            <w:pPr>
              <w:pStyle w:val="Tableheaderrowtext"/>
              <w:numPr>
                <w:ilvl w:val="3"/>
                <w:numId w:val="2"/>
              </w:numPr>
            </w:pPr>
            <w:r w:rsidRPr="002E7A73">
              <w:t>Definition</w:t>
            </w:r>
          </w:p>
        </w:tc>
      </w:tr>
      <w:tr w:rsidR="00154DD2" w:rsidRPr="00020288" w14:paraId="1A71D785" w14:textId="77777777" w:rsidTr="006301E4">
        <w:tc>
          <w:tcPr>
            <w:tcW w:w="3776" w:type="dxa"/>
          </w:tcPr>
          <w:p w14:paraId="5E78EBF4" w14:textId="77777777" w:rsidR="00154DD2" w:rsidRPr="00020288" w:rsidRDefault="00154DD2" w:rsidP="006301E4">
            <w:pPr>
              <w:pStyle w:val="Normalparatextnonumbers"/>
            </w:pPr>
            <w:r>
              <w:t>CGT</w:t>
            </w:r>
          </w:p>
        </w:tc>
        <w:tc>
          <w:tcPr>
            <w:tcW w:w="3874" w:type="dxa"/>
          </w:tcPr>
          <w:p w14:paraId="6000D17F" w14:textId="77777777" w:rsidR="00154DD2" w:rsidRPr="00020288" w:rsidRDefault="00154DD2" w:rsidP="006301E4">
            <w:pPr>
              <w:pStyle w:val="Normalparatextnonumbers"/>
            </w:pPr>
            <w:r>
              <w:t>capital gains tax</w:t>
            </w:r>
          </w:p>
        </w:tc>
      </w:tr>
      <w:tr w:rsidR="00154DD2" w:rsidRPr="00020288" w14:paraId="0C234D9A" w14:textId="77777777" w:rsidTr="006301E4">
        <w:tc>
          <w:tcPr>
            <w:tcW w:w="3776" w:type="dxa"/>
          </w:tcPr>
          <w:p w14:paraId="1C65CFC0" w14:textId="77777777" w:rsidR="00154DD2" w:rsidRPr="00020288" w:rsidRDefault="00154DD2" w:rsidP="006301E4">
            <w:pPr>
              <w:pStyle w:val="Normalparatextnonumbers"/>
            </w:pPr>
            <w:r>
              <w:t>GST</w:t>
            </w:r>
          </w:p>
        </w:tc>
        <w:tc>
          <w:tcPr>
            <w:tcW w:w="3874" w:type="dxa"/>
          </w:tcPr>
          <w:p w14:paraId="08DFC8B4" w14:textId="77777777" w:rsidR="00154DD2" w:rsidRPr="00BB0D11" w:rsidRDefault="00154DD2" w:rsidP="006301E4">
            <w:pPr>
              <w:pStyle w:val="Normalparatextnonumbers"/>
              <w:rPr>
                <w:i/>
                <w:iCs/>
              </w:rPr>
            </w:pPr>
            <w:r>
              <w:t>goods and services tax</w:t>
            </w:r>
          </w:p>
        </w:tc>
      </w:tr>
      <w:tr w:rsidR="00154DD2" w:rsidRPr="00020288" w14:paraId="483AF044" w14:textId="77777777" w:rsidTr="006301E4">
        <w:tc>
          <w:tcPr>
            <w:tcW w:w="3776" w:type="dxa"/>
          </w:tcPr>
          <w:p w14:paraId="4164C6DD" w14:textId="77777777" w:rsidR="00154DD2" w:rsidRPr="00020288" w:rsidRDefault="00154DD2" w:rsidP="006301E4">
            <w:pPr>
              <w:pStyle w:val="Normalparatextnonumbers"/>
            </w:pPr>
            <w:r>
              <w:t>GST Act</w:t>
            </w:r>
          </w:p>
        </w:tc>
        <w:tc>
          <w:tcPr>
            <w:tcW w:w="3874" w:type="dxa"/>
          </w:tcPr>
          <w:p w14:paraId="522DF5C9" w14:textId="77777777" w:rsidR="00154DD2" w:rsidRPr="00020288" w:rsidRDefault="00154DD2" w:rsidP="006301E4">
            <w:pPr>
              <w:pStyle w:val="Normalparatextnonumbers"/>
            </w:pPr>
            <w:r w:rsidRPr="00BB0D11">
              <w:rPr>
                <w:i/>
                <w:iCs/>
              </w:rPr>
              <w:t>A New Tax System (Goods and Services Tax) Act 1999</w:t>
            </w:r>
          </w:p>
        </w:tc>
      </w:tr>
      <w:tr w:rsidR="00154DD2" w:rsidRPr="00020288" w14:paraId="6CB3E2F1" w14:textId="77777777" w:rsidTr="006301E4">
        <w:tc>
          <w:tcPr>
            <w:tcW w:w="3776" w:type="dxa"/>
          </w:tcPr>
          <w:p w14:paraId="18204F26" w14:textId="77777777" w:rsidR="00154DD2" w:rsidRPr="00020288" w:rsidRDefault="00154DD2" w:rsidP="006301E4">
            <w:pPr>
              <w:pStyle w:val="Normalparatextnonumbers"/>
            </w:pPr>
            <w:r>
              <w:t>GST Regulations</w:t>
            </w:r>
          </w:p>
        </w:tc>
        <w:tc>
          <w:tcPr>
            <w:tcW w:w="3874" w:type="dxa"/>
          </w:tcPr>
          <w:p w14:paraId="2A89349B" w14:textId="77777777" w:rsidR="00154DD2" w:rsidRPr="00020288" w:rsidRDefault="00154DD2" w:rsidP="006301E4">
            <w:pPr>
              <w:pStyle w:val="Normalparatextnonumbers"/>
            </w:pPr>
            <w:r>
              <w:rPr>
                <w:i/>
                <w:iCs/>
              </w:rPr>
              <w:t>A New Tax System (Goods and Services Tax) Regulations 2019</w:t>
            </w:r>
          </w:p>
        </w:tc>
      </w:tr>
      <w:tr w:rsidR="00154DD2" w:rsidRPr="00020288" w14:paraId="3986FAD5" w14:textId="77777777" w:rsidTr="006301E4">
        <w:tc>
          <w:tcPr>
            <w:tcW w:w="3776" w:type="dxa"/>
          </w:tcPr>
          <w:p w14:paraId="4C162013" w14:textId="77777777" w:rsidR="00154DD2" w:rsidRDefault="00154DD2" w:rsidP="006301E4">
            <w:pPr>
              <w:pStyle w:val="Normalparatextnonumbers"/>
            </w:pPr>
            <w:r>
              <w:t>ITAA 1997</w:t>
            </w:r>
          </w:p>
        </w:tc>
        <w:tc>
          <w:tcPr>
            <w:tcW w:w="3874" w:type="dxa"/>
          </w:tcPr>
          <w:p w14:paraId="07D961BB" w14:textId="77777777" w:rsidR="00154DD2" w:rsidRDefault="00154DD2" w:rsidP="006301E4">
            <w:pPr>
              <w:pStyle w:val="Normalparatextnonumbers"/>
              <w:rPr>
                <w:i/>
                <w:iCs/>
              </w:rPr>
            </w:pPr>
            <w:r w:rsidRPr="00AE2A13">
              <w:rPr>
                <w:i/>
                <w:iCs/>
              </w:rPr>
              <w:t>Income Tax Assessment Act 1997</w:t>
            </w:r>
          </w:p>
        </w:tc>
      </w:tr>
    </w:tbl>
    <w:p w14:paraId="73C4DBFC" w14:textId="6B7668B6" w:rsidR="00873094" w:rsidRPr="00020288" w:rsidRDefault="00873094" w:rsidP="00BC2E4A">
      <w:pPr>
        <w:pStyle w:val="TOC1"/>
      </w:pPr>
    </w:p>
    <w:p w14:paraId="6863CDB3" w14:textId="77777777" w:rsidR="00873094" w:rsidRPr="00020288" w:rsidRDefault="00873094" w:rsidP="00873094"/>
    <w:p w14:paraId="57D7390C" w14:textId="77777777" w:rsidR="00873094" w:rsidRPr="00020288" w:rsidRDefault="00873094" w:rsidP="00873094"/>
    <w:p w14:paraId="76B46636" w14:textId="77777777" w:rsidR="00873094" w:rsidRPr="00020288" w:rsidRDefault="00873094" w:rsidP="00873094">
      <w:pPr>
        <w:sectPr w:rsidR="00873094" w:rsidRPr="00020288" w:rsidSect="00000BFC">
          <w:headerReference w:type="even" r:id="rId15"/>
          <w:headerReference w:type="default" r:id="rId16"/>
          <w:headerReference w:type="first" r:id="rId17"/>
          <w:footerReference w:type="first" r:id="rId18"/>
          <w:type w:val="oddPage"/>
          <w:pgSz w:w="9979" w:h="14175" w:code="9"/>
          <w:pgMar w:top="567" w:right="1134" w:bottom="567" w:left="1134" w:header="709" w:footer="709" w:gutter="0"/>
          <w:pgNumType w:start="1"/>
          <w:cols w:space="708"/>
          <w:titlePg/>
          <w:docGrid w:linePitch="360"/>
        </w:sectPr>
      </w:pPr>
    </w:p>
    <w:p w14:paraId="4BAE7866" w14:textId="75A74758" w:rsidR="00C01B02" w:rsidRPr="00C01B02" w:rsidRDefault="0053268C" w:rsidP="00777A92">
      <w:pPr>
        <w:pStyle w:val="Chapterheading"/>
      </w:pPr>
      <w:bookmarkStart w:id="25" w:name="_Toc110866185"/>
      <w:bookmarkStart w:id="26" w:name="_Toc112745541"/>
      <w:bookmarkEnd w:id="15"/>
      <w:bookmarkEnd w:id="16"/>
      <w:bookmarkEnd w:id="17"/>
      <w:bookmarkEnd w:id="18"/>
      <w:bookmarkEnd w:id="19"/>
      <w:bookmarkEnd w:id="20"/>
      <w:bookmarkEnd w:id="21"/>
      <w:bookmarkEnd w:id="22"/>
      <w:bookmarkEnd w:id="23"/>
      <w:r>
        <w:lastRenderedPageBreak/>
        <w:t>T</w:t>
      </w:r>
      <w:r w:rsidR="001E6C16">
        <w:t xml:space="preserve">axation treatment of </w:t>
      </w:r>
      <w:r w:rsidR="00C92B84">
        <w:t>digital currenc</w:t>
      </w:r>
      <w:bookmarkEnd w:id="25"/>
      <w:r>
        <w:t>y</w:t>
      </w:r>
      <w:bookmarkEnd w:id="26"/>
      <w:r w:rsidR="004C2B86">
        <w:t xml:space="preserve"> </w:t>
      </w:r>
    </w:p>
    <w:p w14:paraId="6F7FB1DB" w14:textId="73436791" w:rsidR="00873094" w:rsidRDefault="00C01B02" w:rsidP="00873094">
      <w:pPr>
        <w:rPr>
          <w:rFonts w:ascii="Helvitica" w:hAnsi="Helvitica"/>
          <w:sz w:val="40"/>
        </w:rPr>
      </w:pPr>
      <w:bookmarkStart w:id="27" w:name="Chapter1"/>
      <w:r>
        <w:rPr>
          <w:rFonts w:ascii="Helvitica" w:hAnsi="Helvitica"/>
          <w:sz w:val="40"/>
        </w:rPr>
        <w:t xml:space="preserve">Table of Contents: </w:t>
      </w:r>
    </w:p>
    <w:p w14:paraId="6D1C9106" w14:textId="7DAB5502" w:rsidR="00F91AAB" w:rsidRDefault="00C01B02">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F91AAB">
        <w:t>Outline of chapter</w:t>
      </w:r>
      <w:r w:rsidR="00F91AAB">
        <w:rPr>
          <w:webHidden/>
        </w:rPr>
        <w:tab/>
      </w:r>
      <w:r w:rsidR="00F91AAB">
        <w:rPr>
          <w:webHidden/>
        </w:rPr>
        <w:fldChar w:fldCharType="begin"/>
      </w:r>
      <w:r w:rsidR="00F91AAB">
        <w:rPr>
          <w:webHidden/>
        </w:rPr>
        <w:instrText xml:space="preserve"> PAGEREF _Toc112748061 \h </w:instrText>
      </w:r>
      <w:r w:rsidR="00F91AAB">
        <w:rPr>
          <w:webHidden/>
        </w:rPr>
      </w:r>
      <w:r w:rsidR="00F91AAB">
        <w:rPr>
          <w:webHidden/>
        </w:rPr>
        <w:fldChar w:fldCharType="separate"/>
      </w:r>
      <w:r w:rsidR="00B91526">
        <w:rPr>
          <w:webHidden/>
        </w:rPr>
        <w:t>2</w:t>
      </w:r>
      <w:r w:rsidR="00F91AAB">
        <w:rPr>
          <w:webHidden/>
        </w:rPr>
        <w:fldChar w:fldCharType="end"/>
      </w:r>
    </w:p>
    <w:p w14:paraId="7BF4896A" w14:textId="7C7CD63D" w:rsidR="00F91AAB" w:rsidRDefault="00F91AAB">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_Toc112748062 \h </w:instrText>
      </w:r>
      <w:r>
        <w:rPr>
          <w:webHidden/>
        </w:rPr>
      </w:r>
      <w:r>
        <w:rPr>
          <w:webHidden/>
        </w:rPr>
        <w:fldChar w:fldCharType="separate"/>
      </w:r>
      <w:r w:rsidR="00B91526">
        <w:rPr>
          <w:webHidden/>
        </w:rPr>
        <w:t>2</w:t>
      </w:r>
      <w:r>
        <w:rPr>
          <w:webHidden/>
        </w:rPr>
        <w:fldChar w:fldCharType="end"/>
      </w:r>
    </w:p>
    <w:p w14:paraId="6F48999F" w14:textId="4DAAF9AB" w:rsidR="00F91AAB" w:rsidRDefault="00F91AAB">
      <w:pPr>
        <w:pStyle w:val="TOC2"/>
        <w:rPr>
          <w:rFonts w:asciiTheme="minorHAnsi" w:eastAsiaTheme="minorEastAsia" w:hAnsiTheme="minorHAnsi"/>
          <w:sz w:val="22"/>
          <w:lang w:eastAsia="en-AU"/>
        </w:rPr>
      </w:pPr>
      <w:r>
        <w:t>Comparison of key features of new law and current law</w:t>
      </w:r>
      <w:r>
        <w:rPr>
          <w:webHidden/>
        </w:rPr>
        <w:tab/>
      </w:r>
      <w:r>
        <w:rPr>
          <w:webHidden/>
        </w:rPr>
        <w:fldChar w:fldCharType="begin"/>
      </w:r>
      <w:r>
        <w:rPr>
          <w:webHidden/>
        </w:rPr>
        <w:instrText xml:space="preserve"> PAGEREF _Toc112748063 \h </w:instrText>
      </w:r>
      <w:r>
        <w:rPr>
          <w:webHidden/>
        </w:rPr>
      </w:r>
      <w:r>
        <w:rPr>
          <w:webHidden/>
        </w:rPr>
        <w:fldChar w:fldCharType="separate"/>
      </w:r>
      <w:r w:rsidR="00B91526">
        <w:rPr>
          <w:webHidden/>
        </w:rPr>
        <w:t>3</w:t>
      </w:r>
      <w:r>
        <w:rPr>
          <w:webHidden/>
        </w:rPr>
        <w:fldChar w:fldCharType="end"/>
      </w:r>
    </w:p>
    <w:p w14:paraId="4F3A5B2D" w14:textId="28B5D63E" w:rsidR="00F91AAB" w:rsidRDefault="00F91AAB">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_Toc112748064 \h </w:instrText>
      </w:r>
      <w:r>
        <w:rPr>
          <w:webHidden/>
        </w:rPr>
      </w:r>
      <w:r>
        <w:rPr>
          <w:webHidden/>
        </w:rPr>
        <w:fldChar w:fldCharType="separate"/>
      </w:r>
      <w:r w:rsidR="00B91526">
        <w:rPr>
          <w:webHidden/>
        </w:rPr>
        <w:t>3</w:t>
      </w:r>
      <w:r>
        <w:rPr>
          <w:webHidden/>
        </w:rPr>
        <w:fldChar w:fldCharType="end"/>
      </w:r>
    </w:p>
    <w:p w14:paraId="0CC8B547" w14:textId="17166B71" w:rsidR="00F91AAB" w:rsidRDefault="00F91AAB">
      <w:pPr>
        <w:pStyle w:val="TOC2"/>
        <w:rPr>
          <w:rFonts w:asciiTheme="minorHAnsi" w:eastAsiaTheme="minorEastAsia" w:hAnsiTheme="minorHAnsi"/>
          <w:sz w:val="22"/>
          <w:lang w:eastAsia="en-AU"/>
        </w:rPr>
      </w:pPr>
      <w:r>
        <w:t>Consequential amendments</w:t>
      </w:r>
      <w:r>
        <w:rPr>
          <w:webHidden/>
        </w:rPr>
        <w:tab/>
      </w:r>
      <w:r>
        <w:rPr>
          <w:webHidden/>
        </w:rPr>
        <w:fldChar w:fldCharType="begin"/>
      </w:r>
      <w:r>
        <w:rPr>
          <w:webHidden/>
        </w:rPr>
        <w:instrText xml:space="preserve"> PAGEREF _Toc112748065 \h </w:instrText>
      </w:r>
      <w:r>
        <w:rPr>
          <w:webHidden/>
        </w:rPr>
      </w:r>
      <w:r>
        <w:rPr>
          <w:webHidden/>
        </w:rPr>
        <w:fldChar w:fldCharType="separate"/>
      </w:r>
      <w:r w:rsidR="00B91526">
        <w:rPr>
          <w:webHidden/>
        </w:rPr>
        <w:t>7</w:t>
      </w:r>
      <w:r>
        <w:rPr>
          <w:webHidden/>
        </w:rPr>
        <w:fldChar w:fldCharType="end"/>
      </w:r>
    </w:p>
    <w:p w14:paraId="0ADF15CD" w14:textId="5CA11430" w:rsidR="00F91AAB" w:rsidRDefault="00F91AAB">
      <w:pPr>
        <w:pStyle w:val="TOC2"/>
        <w:rPr>
          <w:rFonts w:asciiTheme="minorHAnsi" w:eastAsiaTheme="minorEastAsia" w:hAnsiTheme="minorHAnsi"/>
          <w:sz w:val="22"/>
          <w:lang w:eastAsia="en-AU"/>
        </w:rPr>
      </w:pPr>
      <w:r>
        <w:t>Commencement and application provisions</w:t>
      </w:r>
      <w:r>
        <w:rPr>
          <w:webHidden/>
        </w:rPr>
        <w:tab/>
      </w:r>
      <w:r>
        <w:rPr>
          <w:webHidden/>
        </w:rPr>
        <w:fldChar w:fldCharType="begin"/>
      </w:r>
      <w:r>
        <w:rPr>
          <w:webHidden/>
        </w:rPr>
        <w:instrText xml:space="preserve"> PAGEREF _Toc112748066 \h </w:instrText>
      </w:r>
      <w:r>
        <w:rPr>
          <w:webHidden/>
        </w:rPr>
      </w:r>
      <w:r>
        <w:rPr>
          <w:webHidden/>
        </w:rPr>
        <w:fldChar w:fldCharType="separate"/>
      </w:r>
      <w:r w:rsidR="00B91526">
        <w:rPr>
          <w:webHidden/>
        </w:rPr>
        <w:t>8</w:t>
      </w:r>
      <w:r>
        <w:rPr>
          <w:webHidden/>
        </w:rPr>
        <w:fldChar w:fldCharType="end"/>
      </w:r>
    </w:p>
    <w:p w14:paraId="7BE923A0" w14:textId="2B540502" w:rsidR="00C01B02" w:rsidRPr="00020288" w:rsidRDefault="00C01B02" w:rsidP="00C01B02">
      <w:r>
        <w:fldChar w:fldCharType="end"/>
      </w:r>
    </w:p>
    <w:p w14:paraId="4151B42A" w14:textId="77777777" w:rsidR="00873094" w:rsidRPr="00020288" w:rsidRDefault="00873094" w:rsidP="005D0844">
      <w:pPr>
        <w:pStyle w:val="Heading2"/>
      </w:pPr>
      <w:bookmarkStart w:id="28" w:name="_Toc110866186"/>
      <w:bookmarkStart w:id="29" w:name="_Toc112748061"/>
      <w:r w:rsidRPr="00020288">
        <w:t xml:space="preserve">Outline </w:t>
      </w:r>
      <w:r w:rsidRPr="005D0844">
        <w:t>of</w:t>
      </w:r>
      <w:r w:rsidRPr="00020288">
        <w:t xml:space="preserve"> chapter</w:t>
      </w:r>
      <w:bookmarkEnd w:id="28"/>
      <w:bookmarkEnd w:id="29"/>
    </w:p>
    <w:p w14:paraId="46F3EB38" w14:textId="4C8EA493" w:rsidR="00667007" w:rsidRDefault="00667007" w:rsidP="0065121F">
      <w:pPr>
        <w:pStyle w:val="Normalparatextwithnumbers"/>
      </w:pPr>
      <w:r w:rsidRPr="00667007">
        <w:t xml:space="preserve">Schedule </w:t>
      </w:r>
      <w:r w:rsidR="00D202D2">
        <w:t>1</w:t>
      </w:r>
      <w:r w:rsidRPr="00667007">
        <w:t xml:space="preserve"> to this Bill amends the ITAA 1997 to clarify that digital currencies (such as bitcoin) continue to be excluded from the </w:t>
      </w:r>
      <w:r w:rsidR="00274875">
        <w:t xml:space="preserve">income </w:t>
      </w:r>
      <w:r w:rsidRPr="00667007">
        <w:t>tax treatment of foreign currency. For the purpose of these amendments, the term digital currency does not include digital currencies issued by, or under the authority of, a government agency (‘government-issued digital currency’) which continue to be taxed as foreign currency.</w:t>
      </w:r>
    </w:p>
    <w:p w14:paraId="33BC2239" w14:textId="77777777" w:rsidR="00873094" w:rsidRPr="00020288" w:rsidRDefault="00873094" w:rsidP="005D0844">
      <w:pPr>
        <w:pStyle w:val="Heading2"/>
      </w:pPr>
      <w:bookmarkStart w:id="30" w:name="_Toc110866187"/>
      <w:bookmarkStart w:id="31" w:name="_Toc112748062"/>
      <w:r w:rsidRPr="00020288">
        <w:t xml:space="preserve">Context of </w:t>
      </w:r>
      <w:r w:rsidRPr="005D0844">
        <w:t>amendments</w:t>
      </w:r>
      <w:bookmarkEnd w:id="30"/>
      <w:bookmarkEnd w:id="31"/>
    </w:p>
    <w:p w14:paraId="77598442" w14:textId="39AAA340" w:rsidR="002942DF" w:rsidRDefault="004A0896" w:rsidP="00194FC4">
      <w:pPr>
        <w:pStyle w:val="Normalparatextwithnumbers"/>
        <w:numPr>
          <w:ilvl w:val="1"/>
          <w:numId w:val="3"/>
        </w:numPr>
      </w:pPr>
      <w:bookmarkStart w:id="32" w:name="_Hlk110859970"/>
      <w:r>
        <w:t xml:space="preserve">The </w:t>
      </w:r>
      <w:r w:rsidR="00194FC4">
        <w:t xml:space="preserve">Legislative Assembly of the Republic of El Salvador recognised bitcoin as </w:t>
      </w:r>
      <w:r w:rsidR="00274875">
        <w:t xml:space="preserve">an </w:t>
      </w:r>
      <w:r w:rsidR="00194FC4">
        <w:t>unrestricted legal tender</w:t>
      </w:r>
      <w:r>
        <w:t xml:space="preserve"> by legislative decree which took effect on </w:t>
      </w:r>
      <w:r w:rsidR="009A555E">
        <w:br/>
      </w:r>
      <w:r>
        <w:t>7 September 2021</w:t>
      </w:r>
      <w:r w:rsidR="00A61968">
        <w:t xml:space="preserve">. </w:t>
      </w:r>
      <w:r w:rsidR="0048726A">
        <w:t xml:space="preserve">As an unintended consequence of this, </w:t>
      </w:r>
      <w:r w:rsidR="00DA430A">
        <w:t xml:space="preserve">there is the potential that </w:t>
      </w:r>
      <w:r w:rsidR="00C07C3D">
        <w:t>b</w:t>
      </w:r>
      <w:r w:rsidR="00893463">
        <w:t xml:space="preserve">itcoin may be </w:t>
      </w:r>
      <w:r w:rsidR="00A0095B">
        <w:t xml:space="preserve">a ‘foreign currency’ for the purposes of the ITAA </w:t>
      </w:r>
      <w:r w:rsidR="00830764">
        <w:t>19</w:t>
      </w:r>
      <w:r w:rsidR="00A0095B">
        <w:t xml:space="preserve">97 due to its </w:t>
      </w:r>
      <w:r w:rsidR="00E002C6">
        <w:t>status as a legal tender in El Salvador</w:t>
      </w:r>
      <w:r w:rsidR="00A0095B">
        <w:t xml:space="preserve">. </w:t>
      </w:r>
    </w:p>
    <w:p w14:paraId="6CD805BD" w14:textId="1BBD48B8" w:rsidR="00BB0BBA" w:rsidRDefault="00A0095B" w:rsidP="00873094">
      <w:pPr>
        <w:pStyle w:val="Normalparatextwithnumbers"/>
        <w:numPr>
          <w:ilvl w:val="1"/>
          <w:numId w:val="3"/>
        </w:numPr>
      </w:pPr>
      <w:r>
        <w:t xml:space="preserve">This is </w:t>
      </w:r>
      <w:r w:rsidR="00BE3F22">
        <w:t xml:space="preserve">inconsistent with current </w:t>
      </w:r>
      <w:r>
        <w:t xml:space="preserve">policy intent. Bitcoin and other </w:t>
      </w:r>
      <w:r w:rsidR="00270EFC">
        <w:t xml:space="preserve">similar </w:t>
      </w:r>
      <w:r w:rsidR="00893463">
        <w:t xml:space="preserve">digital currencies </w:t>
      </w:r>
      <w:r w:rsidR="00D4384B">
        <w:t xml:space="preserve">were never </w:t>
      </w:r>
      <w:r w:rsidR="00BE3F22">
        <w:t xml:space="preserve">intended </w:t>
      </w:r>
      <w:r w:rsidR="00BB0BBA">
        <w:t>to be foreign currenc</w:t>
      </w:r>
      <w:r w:rsidR="002A2C88">
        <w:t>ies</w:t>
      </w:r>
      <w:r w:rsidR="00BB0BBA">
        <w:t xml:space="preserve"> for Australian income tax purposes. </w:t>
      </w:r>
      <w:r w:rsidR="00BB0BBA" w:rsidRPr="00BB0BBA">
        <w:t xml:space="preserve"> </w:t>
      </w:r>
    </w:p>
    <w:p w14:paraId="74662820" w14:textId="31B9660E" w:rsidR="00952884" w:rsidRDefault="00952884" w:rsidP="00952884">
      <w:pPr>
        <w:pStyle w:val="Normalparatextwithnumbers"/>
        <w:numPr>
          <w:ilvl w:val="1"/>
          <w:numId w:val="3"/>
        </w:numPr>
      </w:pPr>
      <w:r>
        <w:t>Without clarification of the tax treatment of bitcoin and digital</w:t>
      </w:r>
      <w:r w:rsidR="004B17BC">
        <w:t xml:space="preserve"> currencies</w:t>
      </w:r>
      <w:r>
        <w:t xml:space="preserve">, </w:t>
      </w:r>
      <w:r w:rsidR="00D4384B">
        <w:t xml:space="preserve">there would be </w:t>
      </w:r>
      <w:r>
        <w:t>uncertaint</w:t>
      </w:r>
      <w:r w:rsidR="00615DFA">
        <w:t>y</w:t>
      </w:r>
      <w:r>
        <w:t xml:space="preserve"> about the</w:t>
      </w:r>
      <w:r w:rsidR="004B17BC">
        <w:t xml:space="preserve"> status of these assets</w:t>
      </w:r>
      <w:r>
        <w:t xml:space="preserve"> for Australian income tax purposes.</w:t>
      </w:r>
    </w:p>
    <w:p w14:paraId="3B831EB2" w14:textId="77777777" w:rsidR="00873094" w:rsidRPr="00020288" w:rsidRDefault="00873094" w:rsidP="00AF50CE">
      <w:pPr>
        <w:pStyle w:val="Heading2"/>
      </w:pPr>
      <w:bookmarkStart w:id="33" w:name="_Toc110866189"/>
      <w:bookmarkStart w:id="34" w:name="_Toc112748063"/>
      <w:bookmarkEnd w:id="32"/>
      <w:r w:rsidRPr="00AF50CE">
        <w:lastRenderedPageBreak/>
        <w:t>Comparison</w:t>
      </w:r>
      <w:r w:rsidRPr="00020288">
        <w:t xml:space="preserve"> of key features of new law and current law</w:t>
      </w:r>
      <w:bookmarkEnd w:id="33"/>
      <w:bookmarkEnd w:id="34"/>
    </w:p>
    <w:p w14:paraId="2F744528"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44A26A60" w14:textId="77777777" w:rsidTr="002425D9">
        <w:trPr>
          <w:cnfStyle w:val="100000000000" w:firstRow="1" w:lastRow="0" w:firstColumn="0" w:lastColumn="0" w:oddVBand="0" w:evenVBand="0" w:oddHBand="0" w:evenHBand="0" w:firstRowFirstColumn="0" w:firstRowLastColumn="0" w:lastRowFirstColumn="0" w:lastRowLastColumn="0"/>
          <w:cantSplit w:val="0"/>
        </w:trPr>
        <w:tc>
          <w:tcPr>
            <w:tcW w:w="3776" w:type="dxa"/>
          </w:tcPr>
          <w:p w14:paraId="1A8DD2D2" w14:textId="77777777" w:rsidR="00873094" w:rsidRPr="001D7F4D" w:rsidRDefault="00873094" w:rsidP="00873094">
            <w:pPr>
              <w:pStyle w:val="Tableheaderrowtext"/>
              <w:numPr>
                <w:ilvl w:val="3"/>
                <w:numId w:val="2"/>
              </w:numPr>
              <w:ind w:left="1701" w:hanging="1701"/>
            </w:pPr>
            <w:r w:rsidRPr="001D7F4D">
              <w:t>New law</w:t>
            </w:r>
          </w:p>
        </w:tc>
        <w:tc>
          <w:tcPr>
            <w:tcW w:w="3874" w:type="dxa"/>
          </w:tcPr>
          <w:p w14:paraId="4DDD7A1C" w14:textId="77777777" w:rsidR="00873094" w:rsidRPr="001D7F4D" w:rsidRDefault="00873094" w:rsidP="00873094">
            <w:pPr>
              <w:pStyle w:val="Tableheaderrowtext"/>
              <w:numPr>
                <w:ilvl w:val="3"/>
                <w:numId w:val="2"/>
              </w:numPr>
              <w:ind w:left="1701" w:hanging="1701"/>
            </w:pPr>
            <w:r w:rsidRPr="001D7F4D">
              <w:t>Current law</w:t>
            </w:r>
          </w:p>
        </w:tc>
      </w:tr>
      <w:tr w:rsidR="00873094" w:rsidRPr="00020288" w14:paraId="47741B1D" w14:textId="77777777" w:rsidTr="002425D9">
        <w:tc>
          <w:tcPr>
            <w:tcW w:w="3776" w:type="dxa"/>
          </w:tcPr>
          <w:p w14:paraId="25D7B56D" w14:textId="655AEBF4" w:rsidR="00873094" w:rsidRPr="001D7F4D" w:rsidRDefault="0060688E" w:rsidP="002425D9">
            <w:pPr>
              <w:pStyle w:val="Tabletext"/>
            </w:pPr>
            <w:r w:rsidRPr="001D7F4D">
              <w:t xml:space="preserve">Digital currencies </w:t>
            </w:r>
            <w:r w:rsidR="00726129" w:rsidRPr="001D7F4D">
              <w:t>(</w:t>
            </w:r>
            <w:r w:rsidR="0065121F">
              <w:t xml:space="preserve">such as </w:t>
            </w:r>
            <w:r w:rsidR="00726129" w:rsidRPr="001D7F4D">
              <w:t xml:space="preserve">bitcoin) are not foreign currencies for </w:t>
            </w:r>
            <w:r w:rsidR="00274D55" w:rsidRPr="001D7F4D">
              <w:t>the purposes of the ITAA 1997</w:t>
            </w:r>
            <w:r w:rsidR="007C0EF4">
              <w:t xml:space="preserve">, even if they are adopted as a legal tender by a foreign </w:t>
            </w:r>
            <w:r w:rsidR="00976FDC">
              <w:t>jurisdiction</w:t>
            </w:r>
            <w:r w:rsidR="00D015E7">
              <w:t xml:space="preserve">. </w:t>
            </w:r>
            <w:r w:rsidR="00274D55" w:rsidRPr="001D7F4D">
              <w:t xml:space="preserve"> </w:t>
            </w:r>
          </w:p>
        </w:tc>
        <w:tc>
          <w:tcPr>
            <w:tcW w:w="3874" w:type="dxa"/>
          </w:tcPr>
          <w:p w14:paraId="5F57D430" w14:textId="428D74F1" w:rsidR="007C0EF4" w:rsidRPr="001D7F4D" w:rsidRDefault="007C0EF4" w:rsidP="002425D9">
            <w:pPr>
              <w:pStyle w:val="Tabletext"/>
            </w:pPr>
            <w:r>
              <w:t xml:space="preserve">Digital currencies (such as bitcoin) may </w:t>
            </w:r>
            <w:r w:rsidR="00DA430A">
              <w:t xml:space="preserve">potentially </w:t>
            </w:r>
            <w:r>
              <w:t xml:space="preserve">become </w:t>
            </w:r>
            <w:r w:rsidR="002A2C88">
              <w:t xml:space="preserve">a </w:t>
            </w:r>
            <w:r>
              <w:t xml:space="preserve">foreign currency for the purposes of the ITAA 1997 if they are adopted as a legal tender by a foreign </w:t>
            </w:r>
            <w:r w:rsidR="00976FDC">
              <w:t>jurisdiction</w:t>
            </w:r>
            <w:r w:rsidR="00D015E7">
              <w:t xml:space="preserve">. </w:t>
            </w:r>
            <w:r>
              <w:t xml:space="preserve"> </w:t>
            </w:r>
          </w:p>
        </w:tc>
      </w:tr>
    </w:tbl>
    <w:p w14:paraId="4D9C394A" w14:textId="77777777" w:rsidR="00873094" w:rsidRPr="00020288" w:rsidRDefault="00873094" w:rsidP="00873094">
      <w:pPr>
        <w:pStyle w:val="Heading2"/>
        <w:numPr>
          <w:ilvl w:val="1"/>
          <w:numId w:val="2"/>
        </w:numPr>
        <w:tabs>
          <w:tab w:val="num" w:pos="567"/>
        </w:tabs>
        <w:ind w:left="567" w:hanging="567"/>
      </w:pPr>
      <w:bookmarkStart w:id="35" w:name="_Toc110866190"/>
      <w:bookmarkStart w:id="36" w:name="_Toc112748064"/>
      <w:r w:rsidRPr="00020288">
        <w:t>Detailed explanation of new law</w:t>
      </w:r>
      <w:bookmarkEnd w:id="35"/>
      <w:bookmarkEnd w:id="36"/>
    </w:p>
    <w:p w14:paraId="1F92A1F6" w14:textId="22651FC4" w:rsidR="00266631" w:rsidRDefault="00266631" w:rsidP="00266631">
      <w:pPr>
        <w:pStyle w:val="Normalparatextwithnumbers"/>
      </w:pPr>
      <w:r>
        <w:t xml:space="preserve">The amendments to the ITAA 1997 and the </w:t>
      </w:r>
      <w:r w:rsidR="001C3438">
        <w:t>GST Act</w:t>
      </w:r>
      <w:r>
        <w:t xml:space="preserve"> are intended to maintain the status quo </w:t>
      </w:r>
      <w:r w:rsidR="00D4384B">
        <w:t xml:space="preserve">prior to the El Salvador </w:t>
      </w:r>
      <w:r w:rsidR="009A555E">
        <w:t>decree and</w:t>
      </w:r>
      <w:r>
        <w:t xml:space="preserve"> clarify that bitcoin and similar digital currencies continue </w:t>
      </w:r>
      <w:r w:rsidR="00AF06B2">
        <w:t>not</w:t>
      </w:r>
      <w:r w:rsidR="00B5040D">
        <w:t xml:space="preserve"> to</w:t>
      </w:r>
      <w:r w:rsidR="00AF06B2">
        <w:t xml:space="preserve"> be treated as foreign currency</w:t>
      </w:r>
      <w:r w:rsidR="00B5040D">
        <w:t>,</w:t>
      </w:r>
      <w:r>
        <w:t xml:space="preserve"> </w:t>
      </w:r>
      <w:r w:rsidR="002A2C88">
        <w:t xml:space="preserve">even if they are adopted as a legal tender by a foreign </w:t>
      </w:r>
      <w:r w:rsidR="009A555E">
        <w:t>jurisdiction</w:t>
      </w:r>
      <w:r>
        <w:t xml:space="preserve">. </w:t>
      </w:r>
    </w:p>
    <w:p w14:paraId="77D426CD" w14:textId="00DEB430" w:rsidR="00266631" w:rsidRDefault="00266631" w:rsidP="00994F27">
      <w:pPr>
        <w:pStyle w:val="Normalparatextwithnumbers"/>
      </w:pPr>
      <w:r>
        <w:t xml:space="preserve">To achieve this, </w:t>
      </w:r>
      <w:r w:rsidR="00336C19">
        <w:t xml:space="preserve">Schedule </w:t>
      </w:r>
      <w:r w:rsidR="00D202D2">
        <w:t>1</w:t>
      </w:r>
      <w:r w:rsidR="00336C19">
        <w:t xml:space="preserve"> to the Bill</w:t>
      </w:r>
      <w:r>
        <w:t xml:space="preserve">: </w:t>
      </w:r>
    </w:p>
    <w:p w14:paraId="78C7690F" w14:textId="7487D45A" w:rsidR="00266631" w:rsidRDefault="00994F27" w:rsidP="00266631">
      <w:pPr>
        <w:pStyle w:val="Dotpoint1"/>
      </w:pPr>
      <w:r>
        <w:t xml:space="preserve">amends the definition of </w:t>
      </w:r>
      <w:r w:rsidRPr="00033656">
        <w:rPr>
          <w:i/>
          <w:iCs/>
        </w:rPr>
        <w:t>foreign currency</w:t>
      </w:r>
      <w:r>
        <w:t xml:space="preserve"> in the ITAA 1997 to exclude digital currencies. The definition of digital currency has been adopted from the GST </w:t>
      </w:r>
      <w:proofErr w:type="gramStart"/>
      <w:r>
        <w:t>Act</w:t>
      </w:r>
      <w:r w:rsidR="00266631">
        <w:t>;</w:t>
      </w:r>
      <w:proofErr w:type="gramEnd"/>
      <w:r w:rsidR="00266631">
        <w:t xml:space="preserve"> </w:t>
      </w:r>
    </w:p>
    <w:p w14:paraId="59163D49" w14:textId="77777777" w:rsidR="00082C7C" w:rsidRDefault="00994F27" w:rsidP="00033656">
      <w:pPr>
        <w:pStyle w:val="Dotpoint1"/>
      </w:pPr>
      <w:r>
        <w:t xml:space="preserve">amends the GST Act definition of </w:t>
      </w:r>
      <w:r w:rsidRPr="00033656">
        <w:rPr>
          <w:i/>
          <w:iCs/>
        </w:rPr>
        <w:t>digital currency</w:t>
      </w:r>
      <w:r>
        <w:t xml:space="preserve"> to ensure it excludes government-issued digital currencies and includes digital currenc</w:t>
      </w:r>
      <w:r w:rsidR="002A2C88">
        <w:t xml:space="preserve">ies that are not government-issued but </w:t>
      </w:r>
      <w:r>
        <w:t>ha</w:t>
      </w:r>
      <w:r w:rsidR="00033656">
        <w:t>ve</w:t>
      </w:r>
      <w:r>
        <w:t xml:space="preserve"> been adopted as a legal tender</w:t>
      </w:r>
      <w:r w:rsidR="00082C7C">
        <w:t>; and</w:t>
      </w:r>
    </w:p>
    <w:p w14:paraId="3B43C9A4" w14:textId="75E64223" w:rsidR="00994F27" w:rsidRDefault="00082C7C" w:rsidP="00033656">
      <w:pPr>
        <w:pStyle w:val="Dotpoint1"/>
      </w:pPr>
      <w:r w:rsidRPr="00082C7C">
        <w:t>amends the ITAA 1997 to include a power to make regulations to provide for further exclusions from the definition of foreign currency in the ITAA 1997</w:t>
      </w:r>
      <w:r>
        <w:t>.</w:t>
      </w:r>
    </w:p>
    <w:p w14:paraId="4F0E3235" w14:textId="3E8A3319" w:rsidR="00DB6E48" w:rsidRDefault="00972A42" w:rsidP="006F5CF0">
      <w:pPr>
        <w:pStyle w:val="Heading5"/>
      </w:pPr>
      <w:r>
        <w:t xml:space="preserve">Foreign currency does not include digital currency </w:t>
      </w:r>
    </w:p>
    <w:p w14:paraId="32B014D0" w14:textId="131B5F46" w:rsidR="005F421F" w:rsidRDefault="00DB1F9E" w:rsidP="00DB6E48">
      <w:pPr>
        <w:pStyle w:val="Normalparatextwithnumbers"/>
        <w:numPr>
          <w:ilvl w:val="1"/>
          <w:numId w:val="3"/>
        </w:numPr>
      </w:pPr>
      <w:r>
        <w:t xml:space="preserve">The amendments to the </w:t>
      </w:r>
      <w:r w:rsidRPr="00DB1F9E">
        <w:rPr>
          <w:i/>
          <w:iCs/>
        </w:rPr>
        <w:t xml:space="preserve">foreign currency </w:t>
      </w:r>
      <w:r>
        <w:t>definition i</w:t>
      </w:r>
      <w:r w:rsidR="009E03A8">
        <w:t>n</w:t>
      </w:r>
      <w:r>
        <w:t xml:space="preserve"> subsection 995-1(1) of the ITAA 1997 ensure d</w:t>
      </w:r>
      <w:r w:rsidR="005F421F">
        <w:t>igital currencies such as bitcoin</w:t>
      </w:r>
      <w:r w:rsidR="00082C7C">
        <w:t>,</w:t>
      </w:r>
      <w:r w:rsidR="005F421F">
        <w:t xml:space="preserve"> but </w:t>
      </w:r>
      <w:r w:rsidR="00082C7C">
        <w:t>excluding</w:t>
      </w:r>
      <w:r w:rsidR="005F421F">
        <w:t xml:space="preserve"> </w:t>
      </w:r>
      <w:r w:rsidR="00640D77">
        <w:t>government</w:t>
      </w:r>
      <w:r w:rsidR="00C75E6D">
        <w:t>-</w:t>
      </w:r>
      <w:r w:rsidR="00640D77">
        <w:t>issued digital currencies</w:t>
      </w:r>
      <w:r w:rsidR="005F421F">
        <w:t>, are not foreign</w:t>
      </w:r>
      <w:r>
        <w:t xml:space="preserve"> currencies</w:t>
      </w:r>
      <w:r w:rsidR="005F421F">
        <w:t xml:space="preserve">. </w:t>
      </w:r>
    </w:p>
    <w:p w14:paraId="23D9305C" w14:textId="0B96726E" w:rsidR="00DB1F9E" w:rsidRDefault="00C34116" w:rsidP="00DB1F9E">
      <w:pPr>
        <w:pStyle w:val="Normalparatextwithnumbers"/>
        <w:numPr>
          <w:ilvl w:val="0"/>
          <w:numId w:val="0"/>
        </w:numPr>
        <w:ind w:left="709"/>
        <w:rPr>
          <w:rStyle w:val="References"/>
        </w:rPr>
      </w:pPr>
      <w:r>
        <w:rPr>
          <w:rStyle w:val="References"/>
        </w:rPr>
        <w:t xml:space="preserve">[Schedule </w:t>
      </w:r>
      <w:r w:rsidR="00D202D2">
        <w:rPr>
          <w:rStyle w:val="References"/>
        </w:rPr>
        <w:t>1</w:t>
      </w:r>
      <w:r>
        <w:rPr>
          <w:rStyle w:val="References"/>
        </w:rPr>
        <w:t xml:space="preserve">, item </w:t>
      </w:r>
      <w:r w:rsidR="0060453F">
        <w:rPr>
          <w:rStyle w:val="References"/>
        </w:rPr>
        <w:t>12</w:t>
      </w:r>
      <w:r>
        <w:rPr>
          <w:rStyle w:val="References"/>
        </w:rPr>
        <w:t>, subsection 995-1(1)</w:t>
      </w:r>
      <w:r w:rsidR="0060453F">
        <w:rPr>
          <w:rStyle w:val="References"/>
        </w:rPr>
        <w:t xml:space="preserve"> of the ITAA 1997</w:t>
      </w:r>
      <w:r>
        <w:rPr>
          <w:rStyle w:val="References"/>
        </w:rPr>
        <w:t>]</w:t>
      </w:r>
    </w:p>
    <w:p w14:paraId="03F4424C" w14:textId="77777777" w:rsidR="00DF0995" w:rsidRPr="00C34116" w:rsidRDefault="00DF0995" w:rsidP="00DB1F9E">
      <w:pPr>
        <w:pStyle w:val="Normalparatextwithnumbers"/>
        <w:numPr>
          <w:ilvl w:val="0"/>
          <w:numId w:val="0"/>
        </w:numPr>
        <w:ind w:left="709"/>
        <w:rPr>
          <w:rStyle w:val="References"/>
        </w:rPr>
      </w:pPr>
    </w:p>
    <w:p w14:paraId="1FD6AE30" w14:textId="5726841C" w:rsidR="004169AB" w:rsidRDefault="004169AB" w:rsidP="004169AB">
      <w:pPr>
        <w:pStyle w:val="Normalparatextwithnumbers"/>
        <w:numPr>
          <w:ilvl w:val="1"/>
          <w:numId w:val="3"/>
        </w:numPr>
      </w:pPr>
      <w:r>
        <w:lastRenderedPageBreak/>
        <w:t>S</w:t>
      </w:r>
      <w:r w:rsidR="00DB1F9E">
        <w:t>ubs</w:t>
      </w:r>
      <w:r>
        <w:t>ection 995-1</w:t>
      </w:r>
      <w:r w:rsidR="00DB1F9E">
        <w:t>(1)</w:t>
      </w:r>
      <w:r>
        <w:t xml:space="preserve"> of the ITAA 1997 provides that </w:t>
      </w:r>
      <w:r w:rsidRPr="00262E2C">
        <w:rPr>
          <w:i/>
          <w:iCs/>
        </w:rPr>
        <w:t>digital currency</w:t>
      </w:r>
      <w:r>
        <w:t xml:space="preserve"> has the same meaning as in the GST Act. </w:t>
      </w:r>
    </w:p>
    <w:p w14:paraId="76ABC3D2" w14:textId="35438840" w:rsidR="00C34116" w:rsidRPr="00C34116" w:rsidRDefault="00C34116" w:rsidP="00C34116">
      <w:pPr>
        <w:pStyle w:val="Normalparatextwithnumbers"/>
        <w:numPr>
          <w:ilvl w:val="0"/>
          <w:numId w:val="0"/>
        </w:numPr>
        <w:ind w:left="709"/>
        <w:rPr>
          <w:rStyle w:val="References"/>
        </w:rPr>
      </w:pPr>
      <w:r>
        <w:rPr>
          <w:rStyle w:val="References"/>
        </w:rPr>
        <w:t xml:space="preserve">[Schedule </w:t>
      </w:r>
      <w:r w:rsidR="00D202D2">
        <w:rPr>
          <w:rStyle w:val="References"/>
        </w:rPr>
        <w:t>1</w:t>
      </w:r>
      <w:r>
        <w:rPr>
          <w:rStyle w:val="References"/>
        </w:rPr>
        <w:t xml:space="preserve">, item </w:t>
      </w:r>
      <w:r w:rsidR="0060453F">
        <w:rPr>
          <w:rStyle w:val="References"/>
        </w:rPr>
        <w:t>11</w:t>
      </w:r>
      <w:r>
        <w:rPr>
          <w:rStyle w:val="References"/>
        </w:rPr>
        <w:t>, subsection 995-1(1)</w:t>
      </w:r>
      <w:r w:rsidR="0060453F">
        <w:rPr>
          <w:rStyle w:val="References"/>
        </w:rPr>
        <w:t xml:space="preserve"> of the ITAA 1997</w:t>
      </w:r>
      <w:r>
        <w:rPr>
          <w:rStyle w:val="References"/>
        </w:rPr>
        <w:t>]</w:t>
      </w:r>
    </w:p>
    <w:p w14:paraId="0F446040" w14:textId="0833AA3A" w:rsidR="00DB6E48" w:rsidRDefault="00BE3F22" w:rsidP="00DB6E48">
      <w:pPr>
        <w:pStyle w:val="Normalparatextwithnumbers"/>
        <w:numPr>
          <w:ilvl w:val="1"/>
          <w:numId w:val="3"/>
        </w:numPr>
      </w:pPr>
      <w:r>
        <w:t xml:space="preserve">This </w:t>
      </w:r>
      <w:r w:rsidR="00082C7C">
        <w:t>maintains</w:t>
      </w:r>
      <w:r>
        <w:t xml:space="preserve"> the status quo</w:t>
      </w:r>
      <w:r w:rsidR="00082C7C">
        <w:t xml:space="preserve"> prior to the El Salvador decree</w:t>
      </w:r>
      <w:r>
        <w:t>, being that</w:t>
      </w:r>
      <w:r w:rsidR="00994F27">
        <w:t xml:space="preserve"> t</w:t>
      </w:r>
      <w:r w:rsidR="00A77705">
        <w:t>he</w:t>
      </w:r>
      <w:r w:rsidR="000459FD">
        <w:t xml:space="preserve"> income</w:t>
      </w:r>
      <w:r w:rsidR="00A77705">
        <w:t xml:space="preserve"> tax treatment of digital currencies depend</w:t>
      </w:r>
      <w:r w:rsidR="00994F27">
        <w:t>s</w:t>
      </w:r>
      <w:r w:rsidR="00A77705">
        <w:t xml:space="preserve"> on the individual circumstances of the taxpayer. </w:t>
      </w:r>
      <w:r w:rsidR="00F57674">
        <w:t>For example, an i</w:t>
      </w:r>
      <w:r w:rsidR="00EF7781">
        <w:t xml:space="preserve">nvestment in bitcoin </w:t>
      </w:r>
      <w:r w:rsidR="00F57674">
        <w:t>is typically held</w:t>
      </w:r>
      <w:r w:rsidR="00EF7781">
        <w:t xml:space="preserve"> on capital account. I</w:t>
      </w:r>
      <w:r w:rsidR="0060688E">
        <w:t>f this is the case</w:t>
      </w:r>
      <w:r w:rsidR="00EF7781">
        <w:t xml:space="preserve">, gains or losses arising from the disposal of </w:t>
      </w:r>
      <w:r w:rsidR="00F57674">
        <w:t>bitcoin would be</w:t>
      </w:r>
      <w:r w:rsidR="00EF7781">
        <w:t xml:space="preserve"> subject to the CGT rules.</w:t>
      </w:r>
    </w:p>
    <w:p w14:paraId="5F539574" w14:textId="0346D35F" w:rsidR="006F5CF0" w:rsidRDefault="006F5CF0" w:rsidP="006F5CF0">
      <w:pPr>
        <w:pStyle w:val="Heading5"/>
      </w:pPr>
      <w:r>
        <w:t>Defini</w:t>
      </w:r>
      <w:r w:rsidR="003027EC">
        <w:t>tion</w:t>
      </w:r>
      <w:r>
        <w:t xml:space="preserve"> of digital currency </w:t>
      </w:r>
    </w:p>
    <w:p w14:paraId="2F9A6813" w14:textId="68D28720" w:rsidR="00165253" w:rsidRDefault="00042A13" w:rsidP="00033656">
      <w:pPr>
        <w:pStyle w:val="Normalparatextwithnumbers"/>
        <w:numPr>
          <w:ilvl w:val="1"/>
          <w:numId w:val="3"/>
        </w:numPr>
      </w:pPr>
      <w:r>
        <w:t xml:space="preserve">The amendments to the definition of </w:t>
      </w:r>
      <w:r w:rsidRPr="008D49D6">
        <w:rPr>
          <w:i/>
          <w:iCs/>
        </w:rPr>
        <w:t>digital currency</w:t>
      </w:r>
      <w:r>
        <w:t xml:space="preserve"> in section 195-1 of the GST Act ensure the definition operates effectively for the purposes of excluding digital currency from being foreign currency under the ITAA 1997. </w:t>
      </w:r>
      <w:r w:rsidR="00833556">
        <w:t xml:space="preserve">In doing so, the amendments clarify that bitcoin and other similar assets will remain digital currencies </w:t>
      </w:r>
      <w:r w:rsidR="00B628EB">
        <w:t xml:space="preserve">in circumstances where they are </w:t>
      </w:r>
      <w:r w:rsidR="00833556">
        <w:t xml:space="preserve">adopted as a legal tender. </w:t>
      </w:r>
    </w:p>
    <w:p w14:paraId="62A767A8" w14:textId="67BAEE46" w:rsidR="00765D83" w:rsidRDefault="00765D83" w:rsidP="00765D83">
      <w:pPr>
        <w:pStyle w:val="Heading6"/>
      </w:pPr>
      <w:r w:rsidRPr="00765D83">
        <w:t>Government</w:t>
      </w:r>
      <w:r w:rsidR="009F2128">
        <w:t>-</w:t>
      </w:r>
      <w:r w:rsidRPr="00765D83">
        <w:t xml:space="preserve">issued digital currencies are </w:t>
      </w:r>
      <w:r w:rsidR="0095267D">
        <w:t>excluded</w:t>
      </w:r>
    </w:p>
    <w:p w14:paraId="582C49F6" w14:textId="77777777" w:rsidR="002A2C88" w:rsidRDefault="004A03D8" w:rsidP="001D282D">
      <w:pPr>
        <w:pStyle w:val="Normalparatextwithnumbers"/>
        <w:numPr>
          <w:ilvl w:val="1"/>
          <w:numId w:val="3"/>
        </w:numPr>
      </w:pPr>
      <w:r>
        <w:t xml:space="preserve">The </w:t>
      </w:r>
      <w:r w:rsidRPr="002A2C88">
        <w:rPr>
          <w:i/>
          <w:iCs/>
        </w:rPr>
        <w:t>digital currency</w:t>
      </w:r>
      <w:r>
        <w:t xml:space="preserve"> definition has been amended </w:t>
      </w:r>
      <w:r w:rsidR="002C2C0B">
        <w:t xml:space="preserve">to </w:t>
      </w:r>
      <w:r w:rsidR="002A2C88" w:rsidRPr="002A2C88">
        <w:t xml:space="preserve">ensure it excludes government-issued digital currencies and includes digital currencies that are not government-issued but have been adopted as a legal tender. </w:t>
      </w:r>
    </w:p>
    <w:p w14:paraId="5CD4BF2A" w14:textId="0A0C2E4F" w:rsidR="000050E9" w:rsidRDefault="00D2424F" w:rsidP="001D282D">
      <w:pPr>
        <w:pStyle w:val="Normalparatextwithnumbers"/>
        <w:numPr>
          <w:ilvl w:val="1"/>
          <w:numId w:val="3"/>
        </w:numPr>
      </w:pPr>
      <w:r>
        <w:t xml:space="preserve">The existing requirement under paragraph (d) of the </w:t>
      </w:r>
      <w:r w:rsidR="000050E9" w:rsidRPr="002A2C88">
        <w:rPr>
          <w:i/>
          <w:iCs/>
        </w:rPr>
        <w:t xml:space="preserve">digital currency </w:t>
      </w:r>
      <w:r>
        <w:t>definition</w:t>
      </w:r>
      <w:r w:rsidR="000556C2">
        <w:t xml:space="preserve"> effectively excludes digital currencies that are denominated in a country’s currency. If a digital currency is adopted as a legal tender</w:t>
      </w:r>
      <w:r w:rsidR="00764523">
        <w:t xml:space="preserve"> (</w:t>
      </w:r>
      <w:proofErr w:type="gramStart"/>
      <w:r w:rsidR="00764523">
        <w:t>e.g.</w:t>
      </w:r>
      <w:proofErr w:type="gramEnd"/>
      <w:r w:rsidR="00764523">
        <w:t xml:space="preserve"> bitcoin)</w:t>
      </w:r>
      <w:r w:rsidR="000556C2">
        <w:t xml:space="preserve">, that digital currency </w:t>
      </w:r>
      <w:r w:rsidR="00082C7C">
        <w:t>may</w:t>
      </w:r>
      <w:r w:rsidR="000556C2">
        <w:t xml:space="preserve"> </w:t>
      </w:r>
      <w:r w:rsidR="00DA430A">
        <w:t xml:space="preserve">potentially </w:t>
      </w:r>
      <w:r w:rsidR="000556C2">
        <w:t xml:space="preserve">be seen as a currency of the country that adopted it and, therefore, excluded from the </w:t>
      </w:r>
      <w:r w:rsidR="000556C2" w:rsidRPr="00E237A0">
        <w:rPr>
          <w:i/>
          <w:iCs/>
        </w:rPr>
        <w:t>digital currency</w:t>
      </w:r>
      <w:r w:rsidR="000556C2">
        <w:t xml:space="preserve"> definition. </w:t>
      </w:r>
      <w:r w:rsidR="00EC1A10">
        <w:t>This is not the intended policy outcome.</w:t>
      </w:r>
    </w:p>
    <w:p w14:paraId="7841CA70" w14:textId="0F47B562" w:rsidR="005446A4" w:rsidRDefault="00B23DF2" w:rsidP="00830DCC">
      <w:pPr>
        <w:pStyle w:val="Normalparatextwithnumbers"/>
        <w:numPr>
          <w:ilvl w:val="1"/>
          <w:numId w:val="3"/>
        </w:numPr>
      </w:pPr>
      <w:r>
        <w:t xml:space="preserve">Schedule </w:t>
      </w:r>
      <w:r w:rsidR="00D202D2">
        <w:t>1</w:t>
      </w:r>
      <w:r>
        <w:t xml:space="preserve"> </w:t>
      </w:r>
      <w:r w:rsidR="00F3097B">
        <w:t>amends</w:t>
      </w:r>
      <w:r w:rsidR="000556C2">
        <w:t xml:space="preserve"> paragraph (d)</w:t>
      </w:r>
      <w:r w:rsidR="00764523">
        <w:t xml:space="preserve"> of the </w:t>
      </w:r>
      <w:r w:rsidR="00764523">
        <w:rPr>
          <w:i/>
          <w:iCs/>
        </w:rPr>
        <w:t xml:space="preserve">digital currency </w:t>
      </w:r>
      <w:r w:rsidR="00764523">
        <w:t>definition</w:t>
      </w:r>
      <w:r w:rsidR="00F63BA4">
        <w:t xml:space="preserve"> to </w:t>
      </w:r>
      <w:r w:rsidR="000556C2">
        <w:t>allow for digital currencies to be denominated in a currency, provided the currency is not issued by, or under the authority of</w:t>
      </w:r>
      <w:r w:rsidR="00603BDC">
        <w:t>,</w:t>
      </w:r>
      <w:r w:rsidR="000556C2">
        <w:t xml:space="preserve"> an Australian government agency or foreign government agency. </w:t>
      </w:r>
    </w:p>
    <w:p w14:paraId="183AB615" w14:textId="7BD7CEAF" w:rsidR="00BC262A" w:rsidRPr="00BC262A" w:rsidRDefault="00BC262A" w:rsidP="00BC262A">
      <w:pPr>
        <w:pStyle w:val="Normalparatextwithnumbers"/>
        <w:numPr>
          <w:ilvl w:val="0"/>
          <w:numId w:val="0"/>
        </w:numPr>
        <w:ind w:left="709"/>
        <w:rPr>
          <w:rStyle w:val="References"/>
        </w:rPr>
      </w:pPr>
      <w:r w:rsidRPr="00BC262A">
        <w:rPr>
          <w:rStyle w:val="References"/>
        </w:rPr>
        <w:t xml:space="preserve">[Schedule </w:t>
      </w:r>
      <w:r w:rsidR="00D202D2">
        <w:rPr>
          <w:rStyle w:val="References"/>
        </w:rPr>
        <w:t>1</w:t>
      </w:r>
      <w:r w:rsidRPr="00BC262A">
        <w:rPr>
          <w:rStyle w:val="References"/>
        </w:rPr>
        <w:t xml:space="preserve">, item 1, </w:t>
      </w:r>
      <w:r w:rsidR="003776D6">
        <w:rPr>
          <w:rStyle w:val="References"/>
        </w:rPr>
        <w:t xml:space="preserve">the definition of ‘digital currency’ in </w:t>
      </w:r>
      <w:r w:rsidRPr="00BC262A">
        <w:rPr>
          <w:rStyle w:val="References"/>
        </w:rPr>
        <w:t>section 195-1</w:t>
      </w:r>
      <w:r w:rsidR="0060453F">
        <w:rPr>
          <w:rStyle w:val="References"/>
        </w:rPr>
        <w:t xml:space="preserve"> of the GST Act</w:t>
      </w:r>
      <w:r w:rsidRPr="00BC262A">
        <w:rPr>
          <w:rStyle w:val="References"/>
        </w:rPr>
        <w:t>]</w:t>
      </w:r>
    </w:p>
    <w:p w14:paraId="1BEF0B80" w14:textId="47B8DC6E" w:rsidR="00BC262A" w:rsidRDefault="00BC262A" w:rsidP="00830DCC">
      <w:pPr>
        <w:pStyle w:val="Normalparatextwithnumbers"/>
        <w:numPr>
          <w:ilvl w:val="1"/>
          <w:numId w:val="3"/>
        </w:numPr>
      </w:pPr>
      <w:r>
        <w:t>This amendment ensures bitcoin continues to be a digital currency</w:t>
      </w:r>
      <w:r w:rsidR="00034191">
        <w:t xml:space="preserve">. </w:t>
      </w:r>
      <w:r w:rsidR="000459FD">
        <w:t>D</w:t>
      </w:r>
      <w:r>
        <w:t>espite</w:t>
      </w:r>
      <w:r w:rsidR="00034191">
        <w:t xml:space="preserve"> it</w:t>
      </w:r>
      <w:r>
        <w:t xml:space="preserve"> being adopted as a legal tender</w:t>
      </w:r>
      <w:r w:rsidR="001D1DA9">
        <w:t xml:space="preserve"> and therefore </w:t>
      </w:r>
      <w:r w:rsidR="00E237A0">
        <w:t xml:space="preserve">potentially being </w:t>
      </w:r>
      <w:r w:rsidR="000459FD">
        <w:t>considered a</w:t>
      </w:r>
      <w:r w:rsidR="001D1DA9">
        <w:t xml:space="preserve"> currency</w:t>
      </w:r>
      <w:r>
        <w:t xml:space="preserve">, </w:t>
      </w:r>
      <w:r w:rsidR="00D65971">
        <w:t xml:space="preserve">it is decentralised, and </w:t>
      </w:r>
      <w:r w:rsidR="00462F8D" w:rsidRPr="00462F8D">
        <w:t xml:space="preserve">it is not issued by, </w:t>
      </w:r>
      <w:r w:rsidR="00462F8D">
        <w:t>or</w:t>
      </w:r>
      <w:r w:rsidR="00462F8D" w:rsidRPr="00462F8D">
        <w:t xml:space="preserve"> controlled by, any government</w:t>
      </w:r>
      <w:r w:rsidR="00D65971">
        <w:t xml:space="preserve">. </w:t>
      </w:r>
      <w:r w:rsidR="003E02D7">
        <w:t xml:space="preserve">In contrast, what are commonly referred to as ‘central bank digital currencies’ </w:t>
      </w:r>
      <w:r w:rsidR="00292006">
        <w:t xml:space="preserve">are </w:t>
      </w:r>
      <w:r w:rsidR="00A40964">
        <w:t xml:space="preserve">a government-issued digital form of money </w:t>
      </w:r>
      <w:r w:rsidR="00462F8D">
        <w:t>that will continue to be money, not</w:t>
      </w:r>
      <w:r w:rsidR="003E02D7">
        <w:t xml:space="preserve"> </w:t>
      </w:r>
      <w:r w:rsidR="003E02D7" w:rsidRPr="00462F8D">
        <w:t xml:space="preserve">digital </w:t>
      </w:r>
      <w:r w:rsidR="00292006" w:rsidRPr="00462F8D">
        <w:t>currency</w:t>
      </w:r>
      <w:r w:rsidR="00F47FB6">
        <w:t>.</w:t>
      </w:r>
      <w:r w:rsidR="004B6D19">
        <w:t xml:space="preserve"> </w:t>
      </w:r>
    </w:p>
    <w:p w14:paraId="52615FE6" w14:textId="1F73AD44" w:rsidR="004A03D8" w:rsidRDefault="004A03D8" w:rsidP="004A03D8">
      <w:pPr>
        <w:pStyle w:val="Heading6"/>
      </w:pPr>
      <w:r w:rsidRPr="005B6032">
        <w:lastRenderedPageBreak/>
        <w:t>Digital currenc</w:t>
      </w:r>
      <w:r w:rsidR="007F5677">
        <w:t xml:space="preserve">y is not </w:t>
      </w:r>
      <w:r w:rsidRPr="005B6032">
        <w:t>money</w:t>
      </w:r>
    </w:p>
    <w:p w14:paraId="735D8D45" w14:textId="0A88DEE3" w:rsidR="005472DA" w:rsidRDefault="005472DA" w:rsidP="00873094">
      <w:pPr>
        <w:pStyle w:val="Normalparatextwithnumbers"/>
        <w:numPr>
          <w:ilvl w:val="1"/>
          <w:numId w:val="3"/>
        </w:numPr>
      </w:pPr>
      <w:r>
        <w:t xml:space="preserve">Under the current law, if something is both money and digital currency, it is considered money due to the operation of paragraph (g) of the </w:t>
      </w:r>
      <w:r w:rsidRPr="005472DA">
        <w:rPr>
          <w:i/>
          <w:iCs/>
        </w:rPr>
        <w:t>digital currency</w:t>
      </w:r>
      <w:r>
        <w:t xml:space="preserve"> definition which excludes money from being digital currency. The amendments change this order of priority so that something that is both money and digital currency is considered to be digital currency. </w:t>
      </w:r>
    </w:p>
    <w:p w14:paraId="1B50CD37" w14:textId="1A408308" w:rsidR="005472DA" w:rsidRPr="005472DA" w:rsidRDefault="005472DA" w:rsidP="005472DA">
      <w:pPr>
        <w:pStyle w:val="Normalparatextwithnumbers"/>
        <w:numPr>
          <w:ilvl w:val="0"/>
          <w:numId w:val="0"/>
        </w:numPr>
        <w:ind w:left="709"/>
        <w:rPr>
          <w:rStyle w:val="References"/>
        </w:rPr>
      </w:pPr>
      <w:r>
        <w:rPr>
          <w:rStyle w:val="References"/>
        </w:rPr>
        <w:t>[</w:t>
      </w:r>
      <w:r w:rsidR="0060453F">
        <w:rPr>
          <w:rStyle w:val="References"/>
        </w:rPr>
        <w:t xml:space="preserve">Schedule </w:t>
      </w:r>
      <w:r w:rsidR="00D202D2">
        <w:rPr>
          <w:rStyle w:val="References"/>
        </w:rPr>
        <w:t>1</w:t>
      </w:r>
      <w:r w:rsidR="0060453F">
        <w:rPr>
          <w:rStyle w:val="References"/>
        </w:rPr>
        <w:t xml:space="preserve">, items 2 and 3, </w:t>
      </w:r>
      <w:r w:rsidR="00462F8D" w:rsidRPr="00462F8D">
        <w:rPr>
          <w:rStyle w:val="References"/>
        </w:rPr>
        <w:t xml:space="preserve">the definition of ‘money’ in </w:t>
      </w:r>
      <w:r w:rsidR="0060453F">
        <w:rPr>
          <w:rStyle w:val="References"/>
        </w:rPr>
        <w:t>section 195-1 of the GST Act</w:t>
      </w:r>
      <w:r>
        <w:rPr>
          <w:rStyle w:val="References"/>
        </w:rPr>
        <w:t xml:space="preserve">] </w:t>
      </w:r>
    </w:p>
    <w:p w14:paraId="0AD744FA" w14:textId="5BBD3179" w:rsidR="00396BA3" w:rsidRDefault="00922DD2" w:rsidP="00396BA3">
      <w:pPr>
        <w:pStyle w:val="Normalparatextwithnumbers"/>
        <w:numPr>
          <w:ilvl w:val="1"/>
          <w:numId w:val="3"/>
        </w:numPr>
      </w:pPr>
      <w:r>
        <w:t>This ensures that where a government adopts a digital currency as</w:t>
      </w:r>
      <w:r w:rsidR="00274875">
        <w:t xml:space="preserve"> a</w:t>
      </w:r>
      <w:r>
        <w:t xml:space="preserve"> legal tender, it remains a digital currency and does not become money, </w:t>
      </w:r>
      <w:r w:rsidR="00A84A71">
        <w:t xml:space="preserve">despite potentially being considered a currency and therefore meeting the definition of </w:t>
      </w:r>
      <w:r w:rsidR="00A84A71" w:rsidRPr="00A84A71">
        <w:rPr>
          <w:i/>
          <w:iCs/>
        </w:rPr>
        <w:t>money</w:t>
      </w:r>
      <w:r w:rsidR="00A84A71">
        <w:t xml:space="preserve">. </w:t>
      </w:r>
      <w:r w:rsidR="00D200A1">
        <w:t>Apart from th</w:t>
      </w:r>
      <w:r w:rsidR="00462F8D">
        <w:t>e</w:t>
      </w:r>
      <w:r w:rsidR="00D200A1">
        <w:t xml:space="preserve"> instance</w:t>
      </w:r>
      <w:r w:rsidR="00462F8D">
        <w:t xml:space="preserve"> of bitcoin</w:t>
      </w:r>
      <w:r w:rsidR="00D200A1">
        <w:t xml:space="preserve">, there is unlikely </w:t>
      </w:r>
      <w:r w:rsidR="00462F8D">
        <w:t>to be</w:t>
      </w:r>
      <w:r w:rsidR="00D200A1">
        <w:t xml:space="preserve"> any </w:t>
      </w:r>
      <w:r w:rsidR="00462F8D">
        <w:t xml:space="preserve">current </w:t>
      </w:r>
      <w:r w:rsidR="00D200A1">
        <w:t xml:space="preserve">overlap between the definitions of </w:t>
      </w:r>
      <w:r w:rsidR="00D200A1" w:rsidRPr="00D200A1">
        <w:rPr>
          <w:i/>
          <w:iCs/>
        </w:rPr>
        <w:t>money</w:t>
      </w:r>
      <w:r w:rsidR="00D200A1">
        <w:t xml:space="preserve"> and </w:t>
      </w:r>
      <w:r w:rsidR="00D200A1" w:rsidRPr="00D200A1">
        <w:rPr>
          <w:i/>
          <w:iCs/>
        </w:rPr>
        <w:t>digital currency</w:t>
      </w:r>
      <w:r w:rsidR="00D200A1">
        <w:t xml:space="preserve">. </w:t>
      </w:r>
    </w:p>
    <w:p w14:paraId="2F6AF578" w14:textId="6343EEB6" w:rsidR="007773BC" w:rsidRDefault="00E80C1D" w:rsidP="00873094">
      <w:pPr>
        <w:pStyle w:val="Normalparatextwithnumbers"/>
        <w:numPr>
          <w:ilvl w:val="1"/>
          <w:numId w:val="3"/>
        </w:numPr>
      </w:pPr>
      <w:r>
        <w:t xml:space="preserve">The definition of digital currency continues to exclude financial supplies, except where </w:t>
      </w:r>
      <w:r w:rsidR="00F42B51">
        <w:t xml:space="preserve">the supply is </w:t>
      </w:r>
      <w:r w:rsidR="00462F8D" w:rsidRPr="00462F8D">
        <w:t xml:space="preserve">only a financial supply because it is a supply </w:t>
      </w:r>
      <w:r w:rsidR="00F42B51">
        <w:t xml:space="preserve">of digital currency. In a situation where a financial supply would be </w:t>
      </w:r>
      <w:r w:rsidR="00470163">
        <w:t>a supply</w:t>
      </w:r>
      <w:r w:rsidR="00F42B51">
        <w:t xml:space="preserve"> of money were </w:t>
      </w:r>
      <w:r w:rsidR="00470163">
        <w:t xml:space="preserve">it not digital currency, it will </w:t>
      </w:r>
      <w:r w:rsidR="00462F8D">
        <w:t xml:space="preserve">continue to </w:t>
      </w:r>
      <w:r w:rsidR="00470163">
        <w:t xml:space="preserve">be a supply of digital currency. </w:t>
      </w:r>
    </w:p>
    <w:p w14:paraId="64CEFAE1" w14:textId="77777777" w:rsidR="004A03D8" w:rsidRDefault="004A03D8" w:rsidP="004A03D8">
      <w:pPr>
        <w:pStyle w:val="Heading6"/>
      </w:pPr>
      <w:r w:rsidRPr="004A03D8">
        <w:t>GST outcomes are not affected</w:t>
      </w:r>
    </w:p>
    <w:p w14:paraId="35D6906E" w14:textId="1AAC8DE0" w:rsidR="00FE1305" w:rsidRDefault="004A03D8" w:rsidP="00D54937">
      <w:pPr>
        <w:pStyle w:val="Normalparatextwithnumbers"/>
      </w:pPr>
      <w:r>
        <w:t>The amendments made to the GST Act are not intended to affect GST outcomes.</w:t>
      </w:r>
      <w:r w:rsidR="000732AB">
        <w:t xml:space="preserve"> </w:t>
      </w:r>
      <w:r w:rsidR="00FE1305">
        <w:t xml:space="preserve">The treatment of digital currency remains the same. That is, supplies and acquisitions of digital currency are generally disregarded for the purposes of GST. </w:t>
      </w:r>
      <w:r w:rsidR="00C76007">
        <w:t>Consistent with supplies of money, supplies of digital currency are only recognised for the purposes of GST if the supply is made in exchange for               money or digital currency.</w:t>
      </w:r>
    </w:p>
    <w:p w14:paraId="7D24EA1C" w14:textId="77777777" w:rsidR="00FE1305" w:rsidRDefault="00FE1305" w:rsidP="00D54937">
      <w:pPr>
        <w:pStyle w:val="Normalparatextwithnumbers"/>
      </w:pPr>
      <w:r>
        <w:t xml:space="preserve">Whether or not bitcoin is considered a digital currency or money does not have a material impact for the purposes of GST, as both digital currency and money receive the same treatment. </w:t>
      </w:r>
    </w:p>
    <w:p w14:paraId="3CDEFB1E" w14:textId="3F6AC9DC" w:rsidR="00FE1305" w:rsidRDefault="00FE1305" w:rsidP="00F253F3">
      <w:pPr>
        <w:pStyle w:val="Normalparatextwithnumbers"/>
      </w:pPr>
      <w:r>
        <w:t xml:space="preserve">The main purpose of the amendments </w:t>
      </w:r>
      <w:r w:rsidR="003E7D29">
        <w:t xml:space="preserve">to the </w:t>
      </w:r>
      <w:r>
        <w:t xml:space="preserve">GST </w:t>
      </w:r>
      <w:r w:rsidR="003E7D29">
        <w:t xml:space="preserve">Act </w:t>
      </w:r>
      <w:r>
        <w:t xml:space="preserve">are to ensure the </w:t>
      </w:r>
      <w:r w:rsidRPr="00033656">
        <w:rPr>
          <w:i/>
          <w:iCs/>
        </w:rPr>
        <w:t>d</w:t>
      </w:r>
      <w:r w:rsidRPr="003E7D29">
        <w:rPr>
          <w:i/>
          <w:iCs/>
        </w:rPr>
        <w:t>igital currency</w:t>
      </w:r>
      <w:r>
        <w:t xml:space="preserve"> definition can be </w:t>
      </w:r>
      <w:r w:rsidR="003E7D29">
        <w:t>used for the purposes of excluding digital currency from being foreign currency</w:t>
      </w:r>
      <w:r w:rsidR="00716DEB">
        <w:t xml:space="preserve"> under the ITAA 1997</w:t>
      </w:r>
      <w:r w:rsidR="003E7D29">
        <w:t xml:space="preserve">. </w:t>
      </w:r>
      <w:r w:rsidR="007F005F">
        <w:t>Additionally</w:t>
      </w:r>
      <w:r w:rsidR="003E7D29">
        <w:t xml:space="preserve">, these amendments also clarify that bitcoin remains a digital currency for GST purposes. </w:t>
      </w:r>
      <w:r>
        <w:t xml:space="preserve"> </w:t>
      </w:r>
    </w:p>
    <w:p w14:paraId="24EEC105" w14:textId="3E9DA799" w:rsidR="008D49D6" w:rsidRDefault="00793F1E" w:rsidP="00793F1E">
      <w:pPr>
        <w:pStyle w:val="ExampleHeading"/>
      </w:pPr>
      <w:r>
        <w:t xml:space="preserve">– An existing digital currency remains digital currency </w:t>
      </w:r>
    </w:p>
    <w:p w14:paraId="633AA69E" w14:textId="66CF5B63" w:rsidR="001A0CC2" w:rsidRDefault="00396250" w:rsidP="00CB7C78">
      <w:pPr>
        <w:pStyle w:val="Exampletext"/>
      </w:pPr>
      <w:r w:rsidRPr="00B9056A">
        <w:t>C</w:t>
      </w:r>
      <w:r w:rsidRPr="001A72CB">
        <w:t>o</w:t>
      </w:r>
      <w:r w:rsidRPr="00F457C2">
        <w:t>i</w:t>
      </w:r>
      <w:r w:rsidRPr="009662B0">
        <w:t>n</w:t>
      </w:r>
      <w:r w:rsidRPr="00160928">
        <w:t xml:space="preserve"> </w:t>
      </w:r>
      <w:r w:rsidRPr="00BE3F22">
        <w:t>A</w:t>
      </w:r>
      <w:r w:rsidRPr="00976FDC">
        <w:t xml:space="preserve"> </w:t>
      </w:r>
      <w:r w:rsidR="00793F1E" w:rsidRPr="00DA10AB">
        <w:t xml:space="preserve">is a cryptographic currency utilising a consensus-based distributed ledger. New </w:t>
      </w:r>
      <w:r w:rsidRPr="006C6F61">
        <w:t xml:space="preserve">Coin A </w:t>
      </w:r>
      <w:r w:rsidR="00793F1E" w:rsidRPr="006C6F61">
        <w:t>is issued under an automated process to entities that participate in the process of validating the ledger. Prior to 2025, it satisfied all of the requirements to be a digital currency</w:t>
      </w:r>
      <w:r w:rsidR="001A0CC2">
        <w:t xml:space="preserve"> under section 195-1 of the GST Act</w:t>
      </w:r>
      <w:r w:rsidR="00793F1E" w:rsidRPr="006C6F61">
        <w:t xml:space="preserve">. </w:t>
      </w:r>
    </w:p>
    <w:p w14:paraId="58D46C23" w14:textId="15490EE5" w:rsidR="00793F1E" w:rsidRPr="006C6F61" w:rsidRDefault="00793F1E" w:rsidP="00CB7C78">
      <w:pPr>
        <w:pStyle w:val="Exampletext"/>
      </w:pPr>
      <w:r w:rsidRPr="00760636">
        <w:lastRenderedPageBreak/>
        <w:t>In 2025</w:t>
      </w:r>
      <w:r w:rsidR="00915DC6">
        <w:t>,</w:t>
      </w:r>
      <w:r w:rsidRPr="007F7C7E">
        <w:t xml:space="preserve"> </w:t>
      </w:r>
      <w:r w:rsidR="00915DC6">
        <w:t>Coin A</w:t>
      </w:r>
      <w:r w:rsidRPr="007F7C7E">
        <w:t xml:space="preserve"> </w:t>
      </w:r>
      <w:r w:rsidRPr="0051536E">
        <w:t>is made</w:t>
      </w:r>
      <w:r w:rsidR="00274875">
        <w:t xml:space="preserve"> a</w:t>
      </w:r>
      <w:r w:rsidRPr="0051536E">
        <w:t xml:space="preserve"> legal tender in a foreign </w:t>
      </w:r>
      <w:r w:rsidR="00D015E7" w:rsidRPr="000407C8">
        <w:t>country</w:t>
      </w:r>
      <w:r w:rsidRPr="00760636">
        <w:t xml:space="preserve">. As a result, it </w:t>
      </w:r>
      <w:r w:rsidR="00DA430A">
        <w:t xml:space="preserve">may potentially </w:t>
      </w:r>
      <w:r w:rsidR="00396250" w:rsidRPr="006C6F61">
        <w:t xml:space="preserve">be considered </w:t>
      </w:r>
      <w:r w:rsidR="00915DC6">
        <w:t xml:space="preserve">a </w:t>
      </w:r>
      <w:r w:rsidR="00396250" w:rsidRPr="007F7C7E">
        <w:t>c</w:t>
      </w:r>
      <w:r w:rsidR="00396250" w:rsidRPr="0051536E">
        <w:t>u</w:t>
      </w:r>
      <w:r w:rsidR="00396250" w:rsidRPr="000407C8">
        <w:t>rr</w:t>
      </w:r>
      <w:r w:rsidR="00396250" w:rsidRPr="00760636">
        <w:t>e</w:t>
      </w:r>
      <w:r w:rsidR="00396250" w:rsidRPr="006C6F61">
        <w:t xml:space="preserve">ncy, satisfying the definition of </w:t>
      </w:r>
      <w:r w:rsidR="00396250" w:rsidRPr="00835B82">
        <w:rPr>
          <w:i/>
          <w:iCs w:val="0"/>
        </w:rPr>
        <w:t>money</w:t>
      </w:r>
      <w:r w:rsidR="00396250" w:rsidRPr="006C6F61">
        <w:t xml:space="preserve"> </w:t>
      </w:r>
      <w:r w:rsidR="001A0CC2">
        <w:t xml:space="preserve">under paragraph (a) </w:t>
      </w:r>
      <w:r w:rsidR="00396250" w:rsidRPr="00760636">
        <w:t>i</w:t>
      </w:r>
      <w:r w:rsidR="00396250" w:rsidRPr="006C6F61">
        <w:t xml:space="preserve">n </w:t>
      </w:r>
      <w:r w:rsidR="00915DC6">
        <w:t>section 195-1 of</w:t>
      </w:r>
      <w:r w:rsidRPr="006C6F61">
        <w:t xml:space="preserve"> the GST Act. </w:t>
      </w:r>
    </w:p>
    <w:p w14:paraId="012C5ECC" w14:textId="40719F85" w:rsidR="004D762C" w:rsidRDefault="00793F1E" w:rsidP="00793F1E">
      <w:pPr>
        <w:pStyle w:val="Exampletext"/>
      </w:pPr>
      <w:r w:rsidRPr="006C6F61">
        <w:t xml:space="preserve">However, </w:t>
      </w:r>
      <w:r w:rsidR="001A0CC2">
        <w:t xml:space="preserve">under these amendments, </w:t>
      </w:r>
      <w:r w:rsidRPr="006C6F61">
        <w:t xml:space="preserve">Coin </w:t>
      </w:r>
      <w:r w:rsidR="00396250" w:rsidRPr="006C6F61">
        <w:t xml:space="preserve">A </w:t>
      </w:r>
      <w:r w:rsidRPr="006C6F61">
        <w:t xml:space="preserve">remains </w:t>
      </w:r>
      <w:r w:rsidR="001A0CC2">
        <w:t xml:space="preserve">within the definition of </w:t>
      </w:r>
      <w:r w:rsidRPr="00085CE8">
        <w:rPr>
          <w:i/>
        </w:rPr>
        <w:t>digital currency</w:t>
      </w:r>
      <w:r w:rsidRPr="00760636">
        <w:t xml:space="preserve"> and is not </w:t>
      </w:r>
      <w:r w:rsidRPr="00085CE8">
        <w:rPr>
          <w:i/>
        </w:rPr>
        <w:t>money</w:t>
      </w:r>
      <w:r w:rsidRPr="00760636">
        <w:t xml:space="preserve">. </w:t>
      </w:r>
      <w:r w:rsidR="004D762C">
        <w:t>This is because:</w:t>
      </w:r>
    </w:p>
    <w:p w14:paraId="13109EF8" w14:textId="19E00D11" w:rsidR="004D762C" w:rsidRDefault="004D762C" w:rsidP="004D762C">
      <w:pPr>
        <w:pStyle w:val="Exampledotpoint1"/>
      </w:pPr>
      <w:r>
        <w:t>Despite Coin</w:t>
      </w:r>
      <w:r w:rsidR="00793F1E" w:rsidRPr="00760636">
        <w:t xml:space="preserve"> </w:t>
      </w:r>
      <w:r w:rsidR="00640482">
        <w:t xml:space="preserve">A </w:t>
      </w:r>
      <w:r w:rsidR="00DA430A">
        <w:t xml:space="preserve">potentially </w:t>
      </w:r>
      <w:r>
        <w:t>being</w:t>
      </w:r>
      <w:r w:rsidR="00793F1E" w:rsidRPr="00546CF2">
        <w:t xml:space="preserve"> </w:t>
      </w:r>
      <w:r w:rsidR="00DA430A">
        <w:t xml:space="preserve">considered </w:t>
      </w:r>
      <w:r w:rsidR="00793F1E" w:rsidRPr="00546CF2">
        <w:t>the currency of a foreign country</w:t>
      </w:r>
      <w:r w:rsidR="00793F1E" w:rsidRPr="006C6F61">
        <w:t xml:space="preserve">, it is </w:t>
      </w:r>
      <w:r w:rsidR="00793F1E" w:rsidRPr="00085CE8">
        <w:rPr>
          <w:b/>
          <w:i/>
        </w:rPr>
        <w:t>not</w:t>
      </w:r>
      <w:r w:rsidR="00793F1E" w:rsidRPr="006C6F61">
        <w:t xml:space="preserve"> issued by or on behalf of a foreign government agency and so it satisfies </w:t>
      </w:r>
      <w:r w:rsidR="00793F1E" w:rsidRPr="006C6F61" w:rsidDel="00905D66">
        <w:t xml:space="preserve">subparagraph (d)(ii) of </w:t>
      </w:r>
      <w:r w:rsidR="00793F1E" w:rsidRPr="006C6F61">
        <w:t>the definition</w:t>
      </w:r>
      <w:r w:rsidR="006C6F61" w:rsidRPr="006C6F61">
        <w:t xml:space="preserve"> of </w:t>
      </w:r>
      <w:r w:rsidR="006C6F61" w:rsidRPr="00085CE8">
        <w:rPr>
          <w:i/>
          <w:iCs w:val="0"/>
        </w:rPr>
        <w:t>digital currency</w:t>
      </w:r>
      <w:r w:rsidR="00793F1E" w:rsidRPr="006C6F61">
        <w:t xml:space="preserve">. </w:t>
      </w:r>
    </w:p>
    <w:p w14:paraId="413360BD" w14:textId="13349A5C" w:rsidR="00793F1E" w:rsidRPr="00760636" w:rsidRDefault="00B04491" w:rsidP="00085CE8">
      <w:pPr>
        <w:pStyle w:val="Exampledotpoint1"/>
      </w:pPr>
      <w:r w:rsidRPr="00760636">
        <w:t>I</w:t>
      </w:r>
      <w:r w:rsidR="00793F1E" w:rsidRPr="0092468D">
        <w:t>ts treatment as digital currency means that it cannot</w:t>
      </w:r>
      <w:r w:rsidR="00793F1E">
        <w:t xml:space="preserve"> </w:t>
      </w:r>
      <w:r w:rsidR="00844D0F">
        <w:t>meet the definition of</w:t>
      </w:r>
      <w:r w:rsidR="00793F1E" w:rsidRPr="006C6F61">
        <w:t xml:space="preserve"> </w:t>
      </w:r>
      <w:r w:rsidR="00793F1E" w:rsidRPr="00085CE8">
        <w:rPr>
          <w:i/>
        </w:rPr>
        <w:t>money</w:t>
      </w:r>
      <w:r w:rsidR="00793F1E" w:rsidRPr="006C6F61">
        <w:t xml:space="preserve"> as a result of the</w:t>
      </w:r>
      <w:r w:rsidR="00CD3B0D">
        <w:t>se</w:t>
      </w:r>
      <w:r w:rsidR="00793F1E" w:rsidRPr="006C6F61">
        <w:t xml:space="preserve"> </w:t>
      </w:r>
      <w:r w:rsidR="006C6F61" w:rsidRPr="006C6F61">
        <w:t>amendments which excludes digital currency from</w:t>
      </w:r>
      <w:r w:rsidR="00793F1E" w:rsidRPr="006C6F61">
        <w:t xml:space="preserve"> the definition of </w:t>
      </w:r>
      <w:r w:rsidR="00793F1E" w:rsidRPr="00085CE8">
        <w:rPr>
          <w:i/>
        </w:rPr>
        <w:t>money</w:t>
      </w:r>
      <w:r w:rsidR="00844D0F">
        <w:t xml:space="preserve"> (at paragraph (j)</w:t>
      </w:r>
      <w:r w:rsidR="00CD3B0D">
        <w:t>)</w:t>
      </w:r>
      <w:r w:rsidR="006C6F61" w:rsidRPr="00085CE8">
        <w:t>.</w:t>
      </w:r>
      <w:r w:rsidR="00CD3B0D">
        <w:t xml:space="preserve"> This change means that if something is both digital currency and money, then it will always be digital currency.</w:t>
      </w:r>
    </w:p>
    <w:p w14:paraId="34EBC0C2" w14:textId="5A431F63" w:rsidR="00793F1E" w:rsidRPr="006C6F61" w:rsidRDefault="00CD3B0D" w:rsidP="00793F1E">
      <w:pPr>
        <w:pStyle w:val="Exampletext"/>
      </w:pPr>
      <w:r>
        <w:t>For income tax purposes, a</w:t>
      </w:r>
      <w:r w:rsidR="001A3188" w:rsidRPr="006C6F61">
        <w:t>s Coin</w:t>
      </w:r>
      <w:r w:rsidR="00396250" w:rsidRPr="006C6F61">
        <w:t xml:space="preserve"> A</w:t>
      </w:r>
      <w:r w:rsidR="001A3188" w:rsidRPr="006C6F61">
        <w:t xml:space="preserve"> </w:t>
      </w:r>
      <w:r>
        <w:t xml:space="preserve">meets the definition of </w:t>
      </w:r>
      <w:r w:rsidR="00844D0F">
        <w:t xml:space="preserve"> </w:t>
      </w:r>
      <w:r w:rsidR="00844D0F" w:rsidRPr="00085CE8">
        <w:rPr>
          <w:i/>
        </w:rPr>
        <w:t>digital currency</w:t>
      </w:r>
      <w:r w:rsidR="001A3188" w:rsidRPr="00760636">
        <w:t xml:space="preserve">, it is not foreign currency </w:t>
      </w:r>
      <w:r>
        <w:t xml:space="preserve">under the amended definition of </w:t>
      </w:r>
      <w:r>
        <w:rPr>
          <w:i/>
          <w:iCs w:val="0"/>
        </w:rPr>
        <w:t>foreign currency</w:t>
      </w:r>
      <w:r w:rsidR="00292006">
        <w:rPr>
          <w:i/>
          <w:iCs w:val="0"/>
        </w:rPr>
        <w:t xml:space="preserve"> </w:t>
      </w:r>
      <w:r w:rsidR="00292006">
        <w:t>in the ITAA 1997</w:t>
      </w:r>
      <w:r w:rsidR="001A3188" w:rsidRPr="006C6F61">
        <w:t>. The income tax treatment of Coin</w:t>
      </w:r>
      <w:r w:rsidR="00396250" w:rsidRPr="006C6F61">
        <w:t xml:space="preserve"> A</w:t>
      </w:r>
      <w:r w:rsidR="001A3188" w:rsidRPr="006C6F61">
        <w:t xml:space="preserve"> will depend on the individual circumstances of </w:t>
      </w:r>
      <w:r w:rsidR="000B2B4A" w:rsidRPr="006C6F61">
        <w:t>the taxpayer who holds it</w:t>
      </w:r>
      <w:r w:rsidR="001A3188" w:rsidRPr="006C6F61">
        <w:t xml:space="preserve">. </w:t>
      </w:r>
    </w:p>
    <w:p w14:paraId="66764C47" w14:textId="7C389EF4" w:rsidR="00793F1E" w:rsidRPr="00793F1E" w:rsidRDefault="00793F1E" w:rsidP="00793F1E">
      <w:pPr>
        <w:pStyle w:val="ExampleHeading"/>
      </w:pPr>
      <w:r>
        <w:t xml:space="preserve">– </w:t>
      </w:r>
      <w:r w:rsidR="00FD2D1E">
        <w:t>G</w:t>
      </w:r>
      <w:r>
        <w:t xml:space="preserve">overnment-issued digital currencies are money </w:t>
      </w:r>
    </w:p>
    <w:p w14:paraId="60E03A97" w14:textId="2FBD6E3B" w:rsidR="00793F1E" w:rsidRDefault="00793F1E" w:rsidP="00793F1E">
      <w:pPr>
        <w:pStyle w:val="Exampletext"/>
      </w:pPr>
      <w:r>
        <w:t xml:space="preserve">The government of a foreign </w:t>
      </w:r>
      <w:r w:rsidR="00D015E7">
        <w:t>country</w:t>
      </w:r>
      <w:r>
        <w:t xml:space="preserve"> establishes a digital currency, Coin</w:t>
      </w:r>
      <w:r w:rsidR="00396250">
        <w:t xml:space="preserve"> B</w:t>
      </w:r>
      <w:r>
        <w:t xml:space="preserve">. It is </w:t>
      </w:r>
      <w:r w:rsidR="00396250">
        <w:t xml:space="preserve">a digital unit of value that </w:t>
      </w:r>
      <w:r>
        <w:t xml:space="preserve">has the status of </w:t>
      </w:r>
      <w:r w:rsidR="00274875">
        <w:t xml:space="preserve">a </w:t>
      </w:r>
      <w:r>
        <w:t>legal tender in that jurisdiction.</w:t>
      </w:r>
    </w:p>
    <w:p w14:paraId="2F3BA58F" w14:textId="64850487" w:rsidR="0018405D" w:rsidRDefault="00793F1E" w:rsidP="00793F1E">
      <w:pPr>
        <w:pStyle w:val="Exampletext"/>
      </w:pPr>
      <w:r>
        <w:t>Despite this, Coin</w:t>
      </w:r>
      <w:r w:rsidR="00396250">
        <w:t xml:space="preserve"> B</w:t>
      </w:r>
      <w:r>
        <w:t xml:space="preserve"> </w:t>
      </w:r>
      <w:r w:rsidRPr="00085CE8">
        <w:rPr>
          <w:b/>
          <w:i/>
        </w:rPr>
        <w:t>cannot</w:t>
      </w:r>
      <w:r>
        <w:t xml:space="preserve"> be digital currency as it </w:t>
      </w:r>
      <w:r w:rsidR="00546CF2">
        <w:t xml:space="preserve">does not </w:t>
      </w:r>
      <w:r>
        <w:t xml:space="preserve">satisfy </w:t>
      </w:r>
      <w:r w:rsidDel="00BD5F84">
        <w:t>paragraph (d) of the</w:t>
      </w:r>
      <w:r w:rsidR="00BD5F84">
        <w:t xml:space="preserve"> </w:t>
      </w:r>
      <w:r w:rsidR="00BD5F84" w:rsidRPr="00085CE8">
        <w:rPr>
          <w:i/>
        </w:rPr>
        <w:t>digital currency</w:t>
      </w:r>
      <w:r>
        <w:t xml:space="preserve"> definition</w:t>
      </w:r>
      <w:r w:rsidR="0018405D">
        <w:t xml:space="preserve"> because:</w:t>
      </w:r>
      <w:r>
        <w:t xml:space="preserve"> </w:t>
      </w:r>
    </w:p>
    <w:p w14:paraId="4C9A277C" w14:textId="06D3DFDD" w:rsidR="0018405D" w:rsidRDefault="00793F1E" w:rsidP="0018405D">
      <w:pPr>
        <w:pStyle w:val="Exampledotpoint1"/>
      </w:pPr>
      <w:r>
        <w:t>it is denominated in the currency of the foreign country</w:t>
      </w:r>
      <w:r w:rsidR="0018405D">
        <w:t>; and</w:t>
      </w:r>
      <w:r>
        <w:t xml:space="preserve"> </w:t>
      </w:r>
    </w:p>
    <w:p w14:paraId="650CDFBF" w14:textId="2357D44E" w:rsidR="00102896" w:rsidRDefault="00793F1E" w:rsidP="00085CE8">
      <w:pPr>
        <w:pStyle w:val="Exampledotpoint1"/>
      </w:pPr>
      <w:r>
        <w:t xml:space="preserve">it is issued by or on behalf of a foreign government agency. </w:t>
      </w:r>
    </w:p>
    <w:p w14:paraId="4546394E" w14:textId="48A584AE" w:rsidR="00811F3D" w:rsidRDefault="00102896" w:rsidP="00793F1E">
      <w:pPr>
        <w:pStyle w:val="Exampletext"/>
      </w:pPr>
      <w:r>
        <w:t>As Coin B would be considered currency, it</w:t>
      </w:r>
      <w:r w:rsidR="00BD5F84">
        <w:t xml:space="preserve"> </w:t>
      </w:r>
      <w:r w:rsidR="00793F1E">
        <w:t xml:space="preserve">satisfies </w:t>
      </w:r>
      <w:r w:rsidR="00793F1E" w:rsidDel="00BD5F84">
        <w:t xml:space="preserve">paragraph (a) of </w:t>
      </w:r>
      <w:r w:rsidR="00793F1E">
        <w:t xml:space="preserve">the definition of </w:t>
      </w:r>
      <w:r w:rsidR="00793F1E" w:rsidRPr="00085CE8">
        <w:rPr>
          <w:i/>
        </w:rPr>
        <w:t>money</w:t>
      </w:r>
      <w:r>
        <w:t xml:space="preserve">. </w:t>
      </w:r>
    </w:p>
    <w:p w14:paraId="35B87BBA" w14:textId="0A4B46C4" w:rsidR="004A03D8" w:rsidRDefault="00811F3D" w:rsidP="00793F1E">
      <w:pPr>
        <w:pStyle w:val="Exampletext"/>
      </w:pPr>
      <w:r>
        <w:t>Under these amendments, t</w:t>
      </w:r>
      <w:r w:rsidR="00955D86">
        <w:t xml:space="preserve">he digital currency exclusion in the </w:t>
      </w:r>
      <w:r w:rsidR="00955D86" w:rsidRPr="00085CE8">
        <w:rPr>
          <w:i/>
        </w:rPr>
        <w:t>money</w:t>
      </w:r>
      <w:r w:rsidR="00955D86">
        <w:t xml:space="preserve"> definition does not apply as Coin B is not digital currency. </w:t>
      </w:r>
      <w:r w:rsidR="00793F1E">
        <w:t xml:space="preserve">Coin </w:t>
      </w:r>
      <w:r w:rsidR="00396250">
        <w:t xml:space="preserve">B </w:t>
      </w:r>
      <w:r w:rsidR="00793F1E">
        <w:t xml:space="preserve">will be money unless, in specific cases, </w:t>
      </w:r>
      <w:r w:rsidR="003A2273">
        <w:t>it</w:t>
      </w:r>
      <w:r w:rsidR="00793F1E">
        <w:t xml:space="preserve"> fall</w:t>
      </w:r>
      <w:r w:rsidR="003A2273">
        <w:t>s</w:t>
      </w:r>
      <w:r w:rsidR="00793F1E">
        <w:t xml:space="preserve"> within one of the other exclusions</w:t>
      </w:r>
      <w:r w:rsidR="00793F1E" w:rsidDel="00955D86">
        <w:t xml:space="preserve"> set out in paragraphs (f) to (</w:t>
      </w:r>
      <w:proofErr w:type="spellStart"/>
      <w:r w:rsidR="00793F1E" w:rsidDel="00955D86">
        <w:t>i</w:t>
      </w:r>
      <w:proofErr w:type="spellEnd"/>
      <w:r w:rsidR="00793F1E" w:rsidDel="00955D86">
        <w:t xml:space="preserve">) </w:t>
      </w:r>
      <w:r w:rsidR="00793F1E">
        <w:t>of the definition</w:t>
      </w:r>
      <w:r>
        <w:t xml:space="preserve"> of </w:t>
      </w:r>
      <w:r>
        <w:rPr>
          <w:i/>
          <w:iCs w:val="0"/>
        </w:rPr>
        <w:t>money</w:t>
      </w:r>
      <w:r w:rsidR="00793F1E">
        <w:t>, such as being a collector’s piece.</w:t>
      </w:r>
    </w:p>
    <w:p w14:paraId="0F18E29D" w14:textId="3FE17FCD" w:rsidR="00793F1E" w:rsidRDefault="00E235DE" w:rsidP="00EC21ED">
      <w:pPr>
        <w:pStyle w:val="Exampletext"/>
      </w:pPr>
      <w:r>
        <w:t>For income tax purposes, a</w:t>
      </w:r>
      <w:r w:rsidR="00EC21ED" w:rsidRPr="00D00A12">
        <w:t xml:space="preserve">s Coin </w:t>
      </w:r>
      <w:r w:rsidR="00396250">
        <w:t xml:space="preserve">B </w:t>
      </w:r>
      <w:r w:rsidR="00EC21ED" w:rsidRPr="00D00A12">
        <w:t xml:space="preserve">is a currency of a foreign </w:t>
      </w:r>
      <w:r w:rsidR="00D015E7">
        <w:t>country</w:t>
      </w:r>
      <w:r w:rsidR="00EC21ED" w:rsidRPr="00D00A12">
        <w:t>,</w:t>
      </w:r>
      <w:r w:rsidR="00B729D4" w:rsidRPr="00D00A12">
        <w:t xml:space="preserve"> and not a digital currency,</w:t>
      </w:r>
      <w:r w:rsidR="00EC21ED" w:rsidRPr="00D00A12">
        <w:t xml:space="preserve"> it will be foreign currency.</w:t>
      </w:r>
      <w:r w:rsidR="00EC21ED">
        <w:t xml:space="preserve"> </w:t>
      </w:r>
      <w:r w:rsidR="00793F1E">
        <w:t xml:space="preserve"> </w:t>
      </w:r>
    </w:p>
    <w:p w14:paraId="55023F36" w14:textId="7628EF5C" w:rsidR="006F5CF0" w:rsidRPr="00020288" w:rsidRDefault="006F5CF0" w:rsidP="006F5CF0">
      <w:pPr>
        <w:pStyle w:val="Heading5"/>
      </w:pPr>
      <w:r>
        <w:lastRenderedPageBreak/>
        <w:t>Regulation</w:t>
      </w:r>
      <w:r w:rsidR="002C2C0B">
        <w:t>-</w:t>
      </w:r>
      <w:r>
        <w:t xml:space="preserve">making power </w:t>
      </w:r>
    </w:p>
    <w:p w14:paraId="1790D815" w14:textId="2F1115A0" w:rsidR="00CA4664" w:rsidRDefault="00B81D1B" w:rsidP="00CA4664">
      <w:pPr>
        <w:pStyle w:val="Normalparatextwithnumbers"/>
        <w:numPr>
          <w:ilvl w:val="1"/>
          <w:numId w:val="3"/>
        </w:numPr>
      </w:pPr>
      <w:r>
        <w:t xml:space="preserve">The amendments include a power to make regulations to provide </w:t>
      </w:r>
      <w:r w:rsidR="00BE159C">
        <w:t xml:space="preserve">for </w:t>
      </w:r>
      <w:r>
        <w:t xml:space="preserve">further exclusions from </w:t>
      </w:r>
      <w:r w:rsidR="00CA4664">
        <w:t xml:space="preserve">the definition of </w:t>
      </w:r>
      <w:r w:rsidRPr="00033656">
        <w:rPr>
          <w:i/>
          <w:iCs/>
        </w:rPr>
        <w:t>foreign currency</w:t>
      </w:r>
      <w:r w:rsidR="00CA4664" w:rsidRPr="00D015E7">
        <w:rPr>
          <w:rStyle w:val="CommentReference"/>
          <w:i/>
          <w:iCs/>
          <w:sz w:val="22"/>
          <w:szCs w:val="22"/>
        </w:rPr>
        <w:t xml:space="preserve"> </w:t>
      </w:r>
      <w:r w:rsidR="00CA4664" w:rsidRPr="00D015E7">
        <w:rPr>
          <w:rStyle w:val="CommentReference"/>
          <w:sz w:val="22"/>
          <w:szCs w:val="22"/>
        </w:rPr>
        <w:t>in</w:t>
      </w:r>
      <w:r w:rsidR="00CA4664">
        <w:rPr>
          <w:rStyle w:val="CommentReference"/>
          <w:sz w:val="22"/>
          <w:szCs w:val="22"/>
        </w:rPr>
        <w:t xml:space="preserve"> the ITAA 1997</w:t>
      </w:r>
      <w:r>
        <w:t xml:space="preserve">. </w:t>
      </w:r>
      <w:r w:rsidR="00CA4664">
        <w:br/>
      </w:r>
      <w:r w:rsidR="00CA4664" w:rsidRPr="00033656">
        <w:rPr>
          <w:rStyle w:val="References"/>
        </w:rPr>
        <w:t xml:space="preserve">[Schedule </w:t>
      </w:r>
      <w:r w:rsidR="00D202D2">
        <w:rPr>
          <w:rStyle w:val="References"/>
        </w:rPr>
        <w:t>1</w:t>
      </w:r>
      <w:r w:rsidR="00CA4664" w:rsidRPr="00033656">
        <w:rPr>
          <w:rStyle w:val="References"/>
        </w:rPr>
        <w:t xml:space="preserve">, item </w:t>
      </w:r>
      <w:r w:rsidR="00B23DF2">
        <w:rPr>
          <w:rStyle w:val="References"/>
        </w:rPr>
        <w:t>12</w:t>
      </w:r>
      <w:r w:rsidR="00CA4664" w:rsidRPr="00033656">
        <w:rPr>
          <w:rStyle w:val="References"/>
        </w:rPr>
        <w:t>, subsection 995-1(1)</w:t>
      </w:r>
      <w:r w:rsidR="00B23DF2">
        <w:rPr>
          <w:rStyle w:val="References"/>
        </w:rPr>
        <w:t xml:space="preserve"> of the ITAA 1997</w:t>
      </w:r>
      <w:r w:rsidR="00CA4664" w:rsidRPr="00033656">
        <w:rPr>
          <w:rStyle w:val="References"/>
        </w:rPr>
        <w:t>]</w:t>
      </w:r>
    </w:p>
    <w:p w14:paraId="4B94F891" w14:textId="5B8FFC7E" w:rsidR="00CA4664" w:rsidRDefault="00CA4664" w:rsidP="00CA4664">
      <w:pPr>
        <w:pStyle w:val="Normalparatextwithnumbers"/>
      </w:pPr>
      <w:r>
        <w:t xml:space="preserve">This will enable digital currency-like assets not captured by these amendments to be excluded from being foreign currency </w:t>
      </w:r>
      <w:r w:rsidR="00764F15">
        <w:t>through regulations in the future</w:t>
      </w:r>
      <w:r>
        <w:t xml:space="preserve">, if required.  </w:t>
      </w:r>
    </w:p>
    <w:p w14:paraId="520C400F" w14:textId="712AAE41" w:rsidR="00CA4664" w:rsidRDefault="00B81D1B" w:rsidP="00033656">
      <w:pPr>
        <w:pStyle w:val="Normalparatextwithnumbers"/>
        <w:numPr>
          <w:ilvl w:val="1"/>
          <w:numId w:val="3"/>
        </w:numPr>
      </w:pPr>
      <w:r>
        <w:t xml:space="preserve">This regulation-making power is necessary because the crypto ecosystem is </w:t>
      </w:r>
      <w:r w:rsidR="00CA4664">
        <w:t xml:space="preserve">relatively new and </w:t>
      </w:r>
      <w:r w:rsidR="007F005F">
        <w:t>continues to</w:t>
      </w:r>
      <w:r>
        <w:t xml:space="preserve"> </w:t>
      </w:r>
      <w:r w:rsidR="00746AFB">
        <w:t>evolv</w:t>
      </w:r>
      <w:r w:rsidR="007F005F">
        <w:t>e</w:t>
      </w:r>
      <w:r w:rsidR="00746AFB">
        <w:t>,</w:t>
      </w:r>
      <w:r>
        <w:t xml:space="preserve"> and further exclusion</w:t>
      </w:r>
      <w:r w:rsidR="00746AFB">
        <w:t xml:space="preserve">s may be needed to </w:t>
      </w:r>
      <w:r w:rsidR="000732AB">
        <w:t>respond to</w:t>
      </w:r>
      <w:r w:rsidR="00746AFB">
        <w:t xml:space="preserve"> </w:t>
      </w:r>
      <w:r w:rsidR="00751E61">
        <w:t xml:space="preserve">changes in technology or </w:t>
      </w:r>
      <w:r w:rsidR="00746AFB">
        <w:t xml:space="preserve">unforeseen circumstances. For example, </w:t>
      </w:r>
      <w:r w:rsidR="007F005F">
        <w:t xml:space="preserve">one such circumstance would be </w:t>
      </w:r>
      <w:r w:rsidR="00746AFB">
        <w:t xml:space="preserve">if a country were to adopt </w:t>
      </w:r>
      <w:r w:rsidR="007F005F">
        <w:t xml:space="preserve">as a legal tender </w:t>
      </w:r>
      <w:r w:rsidR="00746AFB">
        <w:t xml:space="preserve">a </w:t>
      </w:r>
      <w:r w:rsidR="0067584A">
        <w:t>digital</w:t>
      </w:r>
      <w:r w:rsidR="00746AFB">
        <w:t xml:space="preserve"> </w:t>
      </w:r>
      <w:r w:rsidR="00BE159C">
        <w:t>currency-like asset</w:t>
      </w:r>
      <w:r w:rsidR="00746AFB">
        <w:t xml:space="preserve"> that is not captured by the definition of </w:t>
      </w:r>
      <w:r w:rsidR="00746AFB" w:rsidRPr="002B2247">
        <w:rPr>
          <w:i/>
        </w:rPr>
        <w:t>digital currency</w:t>
      </w:r>
      <w:r w:rsidR="00746AFB">
        <w:t xml:space="preserve">. </w:t>
      </w:r>
    </w:p>
    <w:p w14:paraId="2EF6ABA5" w14:textId="37021870" w:rsidR="002C38A5" w:rsidRPr="002C38A5" w:rsidRDefault="002C2C0B" w:rsidP="00FF552E">
      <w:pPr>
        <w:pStyle w:val="Normalparatextwithnumbers"/>
        <w:numPr>
          <w:ilvl w:val="1"/>
          <w:numId w:val="3"/>
        </w:numPr>
      </w:pPr>
      <w:r>
        <w:t xml:space="preserve">The regulation-making power will </w:t>
      </w:r>
      <w:r w:rsidR="000732AB">
        <w:t>allow</w:t>
      </w:r>
      <w:r>
        <w:t xml:space="preserve"> the Government </w:t>
      </w:r>
      <w:r w:rsidR="000732AB">
        <w:t xml:space="preserve">flexibility </w:t>
      </w:r>
      <w:r w:rsidR="007F005F">
        <w:t>to</w:t>
      </w:r>
      <w:r w:rsidR="000732AB">
        <w:t xml:space="preserve"> provi</w:t>
      </w:r>
      <w:r w:rsidR="007F005F">
        <w:t>de</w:t>
      </w:r>
      <w:r w:rsidR="000732AB">
        <w:t xml:space="preserve"> taxpayers</w:t>
      </w:r>
      <w:r w:rsidR="009018E3">
        <w:t xml:space="preserve"> and administrators</w:t>
      </w:r>
      <w:r w:rsidR="000732AB">
        <w:t xml:space="preserve"> with clarity and certainty on income tax arrangements in a timely manner. </w:t>
      </w:r>
      <w:r w:rsidR="00751E61">
        <w:t>The regulations would be subject to disallowance and therefore will be subject to appropriate parliamentary scrutiny.</w:t>
      </w:r>
    </w:p>
    <w:p w14:paraId="1CBC9C60" w14:textId="687F25F6" w:rsidR="00873094" w:rsidRPr="00020288" w:rsidRDefault="00873094" w:rsidP="005D0844">
      <w:pPr>
        <w:pStyle w:val="Heading2"/>
      </w:pPr>
      <w:bookmarkStart w:id="37" w:name="_Toc110866191"/>
      <w:bookmarkStart w:id="38" w:name="_Toc112748065"/>
      <w:bookmarkStart w:id="39" w:name="_Toc78193246"/>
      <w:bookmarkStart w:id="40" w:name="_Toc78193403"/>
      <w:bookmarkStart w:id="41" w:name="_Toc78548476"/>
      <w:bookmarkStart w:id="42" w:name="_Toc78549747"/>
      <w:bookmarkStart w:id="43" w:name="_Toc78549791"/>
      <w:r w:rsidRPr="005D0844">
        <w:t>Consequential</w:t>
      </w:r>
      <w:r w:rsidRPr="00020288">
        <w:t xml:space="preserve"> amendments</w:t>
      </w:r>
      <w:bookmarkEnd w:id="37"/>
      <w:bookmarkEnd w:id="38"/>
    </w:p>
    <w:p w14:paraId="543AD361" w14:textId="168ED16C" w:rsidR="00BB3467" w:rsidRDefault="009004D8" w:rsidP="00A3094B">
      <w:pPr>
        <w:pStyle w:val="Normalparatextwithnumbers"/>
      </w:pPr>
      <w:r w:rsidRPr="005972B8">
        <w:t>To supp</w:t>
      </w:r>
      <w:r>
        <w:t>ort the amendments</w:t>
      </w:r>
      <w:r w:rsidR="00C71431">
        <w:t xml:space="preserve"> </w:t>
      </w:r>
      <w:r w:rsidR="00222E81">
        <w:t>to</w:t>
      </w:r>
      <w:r w:rsidR="00C71431">
        <w:t xml:space="preserve"> the ITAA 1997 and the GST Act</w:t>
      </w:r>
      <w:r>
        <w:t xml:space="preserve">, Schedule </w:t>
      </w:r>
      <w:r w:rsidR="00D202D2">
        <w:t>1</w:t>
      </w:r>
      <w:r w:rsidR="002A3412">
        <w:t xml:space="preserve"> </w:t>
      </w:r>
      <w:r>
        <w:t>to the Bill makes consequential amendment</w:t>
      </w:r>
      <w:r w:rsidR="00C71431">
        <w:t>s</w:t>
      </w:r>
      <w:r>
        <w:t xml:space="preserve"> to the </w:t>
      </w:r>
      <w:r w:rsidR="00C71431">
        <w:t>GST Regulations.</w:t>
      </w:r>
      <w:r w:rsidR="00BB3467">
        <w:br/>
      </w:r>
      <w:r w:rsidR="00BB3467" w:rsidRPr="002A3412">
        <w:rPr>
          <w:rStyle w:val="References"/>
        </w:rPr>
        <w:t xml:space="preserve">[Schedule </w:t>
      </w:r>
      <w:r w:rsidR="00D202D2">
        <w:rPr>
          <w:rStyle w:val="References"/>
        </w:rPr>
        <w:t>1</w:t>
      </w:r>
      <w:r w:rsidR="00BB3467" w:rsidRPr="002A3412">
        <w:rPr>
          <w:rStyle w:val="References"/>
        </w:rPr>
        <w:t xml:space="preserve">, items </w:t>
      </w:r>
      <w:r w:rsidR="00322EB2">
        <w:rPr>
          <w:rStyle w:val="References"/>
        </w:rPr>
        <w:t>4-10</w:t>
      </w:r>
      <w:r w:rsidR="0060453F">
        <w:rPr>
          <w:rStyle w:val="References"/>
        </w:rPr>
        <w:t>, subsection 40-5.09(3)</w:t>
      </w:r>
      <w:r w:rsidR="007F005F">
        <w:rPr>
          <w:rStyle w:val="References"/>
        </w:rPr>
        <w:t>, section 40-5.12, subsection</w:t>
      </w:r>
      <w:r w:rsidR="0060453F">
        <w:rPr>
          <w:rStyle w:val="References"/>
        </w:rPr>
        <w:t xml:space="preserve"> 70</w:t>
      </w:r>
      <w:r w:rsidR="00A44E51">
        <w:rPr>
          <w:rStyle w:val="References"/>
        </w:rPr>
        <w:noBreakHyphen/>
      </w:r>
      <w:r w:rsidR="0060453F">
        <w:rPr>
          <w:rStyle w:val="References"/>
        </w:rPr>
        <w:t>5.02(1)</w:t>
      </w:r>
      <w:r w:rsidR="007F005F">
        <w:rPr>
          <w:rStyle w:val="References"/>
        </w:rPr>
        <w:t xml:space="preserve"> </w:t>
      </w:r>
      <w:r w:rsidR="001D74E4">
        <w:rPr>
          <w:rStyle w:val="References"/>
        </w:rPr>
        <w:t xml:space="preserve">and section </w:t>
      </w:r>
      <w:r w:rsidR="00B4459A">
        <w:rPr>
          <w:rStyle w:val="References"/>
        </w:rPr>
        <w:t>196-1.01</w:t>
      </w:r>
      <w:r w:rsidR="00A44E51">
        <w:rPr>
          <w:rStyle w:val="References"/>
        </w:rPr>
        <w:t xml:space="preserve"> </w:t>
      </w:r>
      <w:r w:rsidR="0060453F">
        <w:rPr>
          <w:rStyle w:val="References"/>
        </w:rPr>
        <w:t>of the GST Regulations</w:t>
      </w:r>
      <w:r w:rsidR="00BB3467" w:rsidRPr="002A3412">
        <w:rPr>
          <w:rStyle w:val="References"/>
        </w:rPr>
        <w:t xml:space="preserve">] </w:t>
      </w:r>
      <w:r w:rsidR="00C71431">
        <w:t xml:space="preserve"> </w:t>
      </w:r>
    </w:p>
    <w:p w14:paraId="2F4C9894" w14:textId="77777777" w:rsidR="00473EB1" w:rsidRDefault="00E94FE0" w:rsidP="00FF435B">
      <w:pPr>
        <w:pStyle w:val="Normalparatextwithnumbers"/>
      </w:pPr>
      <w:r>
        <w:t>T</w:t>
      </w:r>
      <w:r w:rsidRPr="00E94FE0">
        <w:t xml:space="preserve">he GST Regulations </w:t>
      </w:r>
      <w:r>
        <w:t>refer to</w:t>
      </w:r>
      <w:r w:rsidR="00067C0C">
        <w:t xml:space="preserve"> </w:t>
      </w:r>
      <w:r w:rsidRPr="00E94FE0">
        <w:t>‘foreign currency’ and ‘currency of a foreign country’</w:t>
      </w:r>
      <w:r>
        <w:t xml:space="preserve">. </w:t>
      </w:r>
      <w:r w:rsidR="00AD3855">
        <w:t xml:space="preserve">To ensure the </w:t>
      </w:r>
      <w:r w:rsidR="00AD3855" w:rsidRPr="00E94FE0">
        <w:t xml:space="preserve">GST Regulations </w:t>
      </w:r>
      <w:r w:rsidR="00AD3855">
        <w:t xml:space="preserve">are </w:t>
      </w:r>
      <w:r w:rsidR="00AD3855" w:rsidRPr="00E94FE0">
        <w:t>consistent with, and do</w:t>
      </w:r>
      <w:r w:rsidR="00AD3855">
        <w:t xml:space="preserve"> </w:t>
      </w:r>
      <w:r w:rsidR="00AD3855" w:rsidRPr="00E94FE0">
        <w:t>not limit, the intended effect of the amendments to the ITAA 1997</w:t>
      </w:r>
      <w:r w:rsidR="00AD3855">
        <w:t xml:space="preserve"> and the GST Act, these terms have been given the same meaning as </w:t>
      </w:r>
      <w:r w:rsidR="00AD3855" w:rsidRPr="00AD3855">
        <w:rPr>
          <w:i/>
          <w:iCs/>
        </w:rPr>
        <w:t>foreign currency</w:t>
      </w:r>
      <w:r w:rsidR="00AD3855">
        <w:t xml:space="preserve"> in the ITAA 1997. However, this does not include the regulation-making power that exists in the ITAA 1997</w:t>
      </w:r>
      <w:r w:rsidR="00E55ED2">
        <w:t>, as it is not needed for the purposes of</w:t>
      </w:r>
      <w:r w:rsidR="00AD3855">
        <w:t xml:space="preserve"> the GST Regulations.</w:t>
      </w:r>
      <w:r w:rsidR="00FF435B">
        <w:t xml:space="preserve"> </w:t>
      </w:r>
    </w:p>
    <w:p w14:paraId="7ADA12E2" w14:textId="7C7D52E2" w:rsidR="00333906" w:rsidRDefault="00473EB1" w:rsidP="00FF435B">
      <w:pPr>
        <w:pStyle w:val="Normalparatextwithnumbers"/>
      </w:pPr>
      <w:r>
        <w:t>Additionally, r</w:t>
      </w:r>
      <w:r w:rsidR="00E55ED2">
        <w:t xml:space="preserve">eferences to </w:t>
      </w:r>
      <w:r w:rsidR="00333906">
        <w:t xml:space="preserve">‘currency of a foreign </w:t>
      </w:r>
      <w:r w:rsidR="00115D3B">
        <w:t>country’</w:t>
      </w:r>
      <w:r w:rsidR="00333906">
        <w:t xml:space="preserve"> </w:t>
      </w:r>
      <w:r w:rsidR="00FF435B">
        <w:t xml:space="preserve">in the GST Regulations have been replaced </w:t>
      </w:r>
      <w:r w:rsidR="00333906">
        <w:t>with ‘foreign currency’</w:t>
      </w:r>
      <w:r w:rsidR="00E55ED2">
        <w:t xml:space="preserve"> </w:t>
      </w:r>
      <w:r w:rsidR="00333906">
        <w:t xml:space="preserve">to provide consistency in terminology. </w:t>
      </w:r>
    </w:p>
    <w:p w14:paraId="5E94885E" w14:textId="758D4286" w:rsidR="009004D8" w:rsidRPr="00BC08E9" w:rsidRDefault="004E7D7F" w:rsidP="00B60A31">
      <w:pPr>
        <w:pStyle w:val="Normalparatextwithnumbers"/>
      </w:pPr>
      <w:r>
        <w:t>Consistent with the amendments to the GST Act, t</w:t>
      </w:r>
      <w:r w:rsidR="00556A37">
        <w:t xml:space="preserve">he amendments to the GST Regulations </w:t>
      </w:r>
      <w:r w:rsidR="00FF435B">
        <w:t>do not</w:t>
      </w:r>
      <w:r>
        <w:t xml:space="preserve"> affect</w:t>
      </w:r>
      <w:r w:rsidR="00503258">
        <w:t xml:space="preserve"> </w:t>
      </w:r>
      <w:r w:rsidR="00556A37">
        <w:t xml:space="preserve">GST outcomes. </w:t>
      </w:r>
      <w:r w:rsidR="00E2776E">
        <w:t xml:space="preserve"> </w:t>
      </w:r>
    </w:p>
    <w:p w14:paraId="21B87BF8" w14:textId="01209D6C" w:rsidR="00873094" w:rsidRPr="00020288" w:rsidRDefault="00873094" w:rsidP="00AF50CE">
      <w:pPr>
        <w:pStyle w:val="Heading2"/>
      </w:pPr>
      <w:bookmarkStart w:id="44" w:name="_Toc110866192"/>
      <w:bookmarkStart w:id="45" w:name="_Toc112748066"/>
      <w:bookmarkStart w:id="46" w:name="_Hlk110859501"/>
      <w:r w:rsidRPr="00020288">
        <w:lastRenderedPageBreak/>
        <w:t>Commencement</w:t>
      </w:r>
      <w:r w:rsidR="00B93520">
        <w:t xml:space="preserve"> and</w:t>
      </w:r>
      <w:r w:rsidRPr="00020288">
        <w:t xml:space="preserve"> </w:t>
      </w:r>
      <w:r w:rsidRPr="00AF50CE">
        <w:t>application</w:t>
      </w:r>
      <w:r w:rsidRPr="00020288">
        <w:t xml:space="preserve"> provisions</w:t>
      </w:r>
      <w:bookmarkEnd w:id="44"/>
      <w:bookmarkEnd w:id="45"/>
    </w:p>
    <w:p w14:paraId="3D788C32" w14:textId="55469BA3" w:rsidR="00873094" w:rsidRDefault="00E763A4" w:rsidP="00873094">
      <w:pPr>
        <w:pStyle w:val="Normalparatextwithnumbers"/>
        <w:numPr>
          <w:ilvl w:val="1"/>
          <w:numId w:val="3"/>
        </w:numPr>
      </w:pPr>
      <w:r>
        <w:t>T</w:t>
      </w:r>
      <w:r w:rsidRPr="00645E4B">
        <w:t xml:space="preserve">he </w:t>
      </w:r>
      <w:r>
        <w:t xml:space="preserve">amendments commence on the </w:t>
      </w:r>
      <w:r w:rsidRPr="00645E4B">
        <w:t xml:space="preserve">first 1 January, 1 April, 1 </w:t>
      </w:r>
      <w:proofErr w:type="gramStart"/>
      <w:r w:rsidRPr="00645E4B">
        <w:t>July</w:t>
      </w:r>
      <w:proofErr w:type="gramEnd"/>
      <w:r w:rsidRPr="00645E4B">
        <w:t xml:space="preserve"> or 1 October </w:t>
      </w:r>
      <w:r>
        <w:t xml:space="preserve">to occur </w:t>
      </w:r>
      <w:r w:rsidRPr="00645E4B">
        <w:t>after</w:t>
      </w:r>
      <w:r w:rsidR="008E3966">
        <w:t xml:space="preserve"> the date</w:t>
      </w:r>
      <w:r w:rsidR="00250441">
        <w:t xml:space="preserve"> the bill receives</w:t>
      </w:r>
      <w:r w:rsidRPr="00645E4B">
        <w:t xml:space="preserve"> Royal Assent</w:t>
      </w:r>
      <w:r>
        <w:t>.</w:t>
      </w:r>
      <w:r w:rsidR="006E7104">
        <w:t xml:space="preserve"> </w:t>
      </w:r>
    </w:p>
    <w:p w14:paraId="10B4B7E9" w14:textId="18A3C503" w:rsidR="00371F57" w:rsidRDefault="009E2A75" w:rsidP="009E2A75">
      <w:pPr>
        <w:pStyle w:val="Normalparatextwithnumbers"/>
        <w:numPr>
          <w:ilvl w:val="1"/>
          <w:numId w:val="3"/>
        </w:numPr>
      </w:pPr>
      <w:r>
        <w:t>The amendments to the</w:t>
      </w:r>
      <w:r w:rsidR="00473EB1">
        <w:t xml:space="preserve"> definition of</w:t>
      </w:r>
      <w:r>
        <w:t xml:space="preserve"> </w:t>
      </w:r>
      <w:r w:rsidR="00DE47F7" w:rsidRPr="00DE47F7">
        <w:rPr>
          <w:i/>
          <w:iCs/>
        </w:rPr>
        <w:t>foreign currency</w:t>
      </w:r>
      <w:r w:rsidR="00DE47F7">
        <w:t xml:space="preserve"> in the </w:t>
      </w:r>
      <w:r>
        <w:t xml:space="preserve">ITAA 1997 </w:t>
      </w:r>
      <w:r w:rsidR="000319E0">
        <w:t xml:space="preserve">apply in relation </w:t>
      </w:r>
      <w:r>
        <w:t>to income years that include 1 July 2021</w:t>
      </w:r>
      <w:r w:rsidR="000319E0">
        <w:t xml:space="preserve"> and to subsequent income years. </w:t>
      </w:r>
      <w:r w:rsidR="00E2776E">
        <w:t>Accordingly,</w:t>
      </w:r>
      <w:r w:rsidR="000319E0">
        <w:t xml:space="preserve"> the amendments have retrospective application. </w:t>
      </w:r>
    </w:p>
    <w:p w14:paraId="013654BC" w14:textId="40B9601F" w:rsidR="00371F57" w:rsidRPr="00DE47F7" w:rsidRDefault="00371F57" w:rsidP="00371F57">
      <w:pPr>
        <w:pStyle w:val="Normalparatextwithnumbers"/>
        <w:numPr>
          <w:ilvl w:val="0"/>
          <w:numId w:val="0"/>
        </w:numPr>
        <w:ind w:left="709"/>
        <w:rPr>
          <w:rStyle w:val="References"/>
        </w:rPr>
      </w:pPr>
      <w:r w:rsidRPr="00DE47F7">
        <w:rPr>
          <w:rStyle w:val="References"/>
        </w:rPr>
        <w:t xml:space="preserve">[Schedule </w:t>
      </w:r>
      <w:r w:rsidR="00D202D2">
        <w:rPr>
          <w:rStyle w:val="References"/>
        </w:rPr>
        <w:t>1</w:t>
      </w:r>
      <w:r w:rsidRPr="00DE47F7">
        <w:rPr>
          <w:rStyle w:val="References"/>
        </w:rPr>
        <w:t xml:space="preserve">, </w:t>
      </w:r>
      <w:r w:rsidR="00E5284A">
        <w:rPr>
          <w:rStyle w:val="References"/>
        </w:rPr>
        <w:t>sub</w:t>
      </w:r>
      <w:r w:rsidRPr="00DE47F7">
        <w:rPr>
          <w:rStyle w:val="References"/>
        </w:rPr>
        <w:t xml:space="preserve">item </w:t>
      </w:r>
      <w:r w:rsidR="00B4459A">
        <w:rPr>
          <w:rStyle w:val="References"/>
        </w:rPr>
        <w:t>14</w:t>
      </w:r>
      <w:r w:rsidRPr="00DE47F7">
        <w:rPr>
          <w:rStyle w:val="References"/>
        </w:rPr>
        <w:t>(2)]</w:t>
      </w:r>
    </w:p>
    <w:p w14:paraId="120EF8EF" w14:textId="13117052" w:rsidR="00453708" w:rsidRDefault="00371F57" w:rsidP="00371F57">
      <w:pPr>
        <w:pStyle w:val="Normalparatextwithnumbers"/>
        <w:numPr>
          <w:ilvl w:val="1"/>
          <w:numId w:val="3"/>
        </w:numPr>
      </w:pPr>
      <w:r w:rsidRPr="00E2776E">
        <w:rPr>
          <w:rStyle w:val="References"/>
          <w:b w:val="0"/>
          <w:bCs w:val="0"/>
          <w:i w:val="0"/>
          <w:iCs w:val="0"/>
        </w:rPr>
        <w:t xml:space="preserve">The purpose of applying the amendments to income years that </w:t>
      </w:r>
      <w:r w:rsidRPr="00822321">
        <w:rPr>
          <w:rStyle w:val="References"/>
          <w:b w:val="0"/>
          <w:bCs w:val="0"/>
        </w:rPr>
        <w:t>include</w:t>
      </w:r>
      <w:r w:rsidRPr="00E2776E">
        <w:rPr>
          <w:rStyle w:val="References"/>
          <w:b w:val="0"/>
          <w:bCs w:val="0"/>
          <w:i w:val="0"/>
          <w:iCs w:val="0"/>
        </w:rPr>
        <w:t xml:space="preserve"> </w:t>
      </w:r>
      <w:r w:rsidR="00001D23">
        <w:rPr>
          <w:rStyle w:val="References"/>
          <w:b w:val="0"/>
          <w:bCs w:val="0"/>
          <w:i w:val="0"/>
          <w:iCs w:val="0"/>
        </w:rPr>
        <w:br/>
      </w:r>
      <w:r w:rsidRPr="00E2776E">
        <w:rPr>
          <w:rStyle w:val="References"/>
          <w:b w:val="0"/>
          <w:bCs w:val="0"/>
          <w:i w:val="0"/>
          <w:iCs w:val="0"/>
        </w:rPr>
        <w:t>1</w:t>
      </w:r>
      <w:r w:rsidR="00001D23">
        <w:rPr>
          <w:rStyle w:val="References"/>
          <w:b w:val="0"/>
          <w:bCs w:val="0"/>
          <w:i w:val="0"/>
          <w:iCs w:val="0"/>
        </w:rPr>
        <w:t xml:space="preserve"> </w:t>
      </w:r>
      <w:r w:rsidRPr="00E2776E">
        <w:rPr>
          <w:rStyle w:val="References"/>
          <w:b w:val="0"/>
          <w:bCs w:val="0"/>
          <w:i w:val="0"/>
          <w:iCs w:val="0"/>
        </w:rPr>
        <w:t>July</w:t>
      </w:r>
      <w:r w:rsidR="00001D23">
        <w:rPr>
          <w:rStyle w:val="References"/>
          <w:b w:val="0"/>
          <w:bCs w:val="0"/>
          <w:i w:val="0"/>
          <w:iCs w:val="0"/>
        </w:rPr>
        <w:t xml:space="preserve"> </w:t>
      </w:r>
      <w:r w:rsidRPr="00E2776E">
        <w:rPr>
          <w:rStyle w:val="References"/>
          <w:b w:val="0"/>
          <w:bCs w:val="0"/>
          <w:i w:val="0"/>
          <w:iCs w:val="0"/>
        </w:rPr>
        <w:t>2021 is to ensure consistent tax outcome</w:t>
      </w:r>
      <w:r w:rsidR="0037374F">
        <w:rPr>
          <w:rStyle w:val="References"/>
          <w:b w:val="0"/>
          <w:bCs w:val="0"/>
          <w:i w:val="0"/>
          <w:iCs w:val="0"/>
        </w:rPr>
        <w:t>s</w:t>
      </w:r>
      <w:r w:rsidRPr="00E2776E">
        <w:rPr>
          <w:rStyle w:val="References"/>
          <w:b w:val="0"/>
          <w:bCs w:val="0"/>
          <w:i w:val="0"/>
          <w:iCs w:val="0"/>
        </w:rPr>
        <w:t xml:space="preserve"> for all taxpayers</w:t>
      </w:r>
      <w:r w:rsidR="0037374F">
        <w:rPr>
          <w:rStyle w:val="References"/>
          <w:b w:val="0"/>
          <w:bCs w:val="0"/>
          <w:i w:val="0"/>
          <w:iCs w:val="0"/>
        </w:rPr>
        <w:t>,</w:t>
      </w:r>
      <w:r w:rsidRPr="00E2776E">
        <w:rPr>
          <w:rStyle w:val="References"/>
          <w:b w:val="0"/>
          <w:bCs w:val="0"/>
          <w:i w:val="0"/>
          <w:iCs w:val="0"/>
        </w:rPr>
        <w:t xml:space="preserve"> including those with substituted accounting periods.</w:t>
      </w:r>
      <w:r>
        <w:rPr>
          <w:rStyle w:val="References"/>
          <w:b w:val="0"/>
          <w:bCs w:val="0"/>
          <w:i w:val="0"/>
          <w:iCs w:val="0"/>
        </w:rPr>
        <w:t xml:space="preserve"> For example,</w:t>
      </w:r>
      <w:r w:rsidR="00DE47F7">
        <w:rPr>
          <w:rStyle w:val="References"/>
          <w:b w:val="0"/>
          <w:bCs w:val="0"/>
          <w:i w:val="0"/>
          <w:iCs w:val="0"/>
        </w:rPr>
        <w:t xml:space="preserve"> for </w:t>
      </w:r>
      <w:r w:rsidR="00C64CF8" w:rsidRPr="00C64CF8">
        <w:t>a taxpayer with a 31 December year end, the amendments will apply for the income year starting on 1 January 2021 until 31 December 2021.</w:t>
      </w:r>
      <w:r w:rsidR="00460A8B">
        <w:t xml:space="preserve"> </w:t>
      </w:r>
    </w:p>
    <w:p w14:paraId="44781090" w14:textId="72182611" w:rsidR="00DE47F7" w:rsidRDefault="00DE47F7" w:rsidP="00DE47F7">
      <w:pPr>
        <w:pStyle w:val="Normalparatextwithnumbers"/>
        <w:numPr>
          <w:ilvl w:val="1"/>
          <w:numId w:val="3"/>
        </w:numPr>
      </w:pPr>
      <w:r w:rsidRPr="003E579A">
        <w:rPr>
          <w:rStyle w:val="References"/>
          <w:b w:val="0"/>
          <w:bCs w:val="0"/>
          <w:i w:val="0"/>
          <w:iCs w:val="0"/>
        </w:rPr>
        <w:t xml:space="preserve">The </w:t>
      </w:r>
      <w:r>
        <w:rPr>
          <w:rStyle w:val="References"/>
          <w:b w:val="0"/>
          <w:bCs w:val="0"/>
          <w:i w:val="0"/>
          <w:iCs w:val="0"/>
        </w:rPr>
        <w:t xml:space="preserve">amendments to the GST Act and GST regulations </w:t>
      </w:r>
      <w:r>
        <w:t xml:space="preserve">apply in relation to supplies or payments made on or after </w:t>
      </w:r>
      <w:r w:rsidR="0053002A">
        <w:t>1</w:t>
      </w:r>
      <w:r>
        <w:t xml:space="preserve"> July 2021, to align their application with the application of the amendments to the ITAA 1997. </w:t>
      </w:r>
      <w:r w:rsidR="0037374F">
        <w:t>Accordingly,</w:t>
      </w:r>
      <w:r>
        <w:t xml:space="preserve"> these amendments also have retrospective application. </w:t>
      </w:r>
    </w:p>
    <w:p w14:paraId="7524B564" w14:textId="400BCB52" w:rsidR="00822321" w:rsidRPr="00822321" w:rsidRDefault="00822321" w:rsidP="00822321">
      <w:pPr>
        <w:pStyle w:val="Normalparatextwithnumbers"/>
        <w:numPr>
          <w:ilvl w:val="0"/>
          <w:numId w:val="0"/>
        </w:numPr>
        <w:ind w:left="709"/>
        <w:rPr>
          <w:rStyle w:val="References"/>
        </w:rPr>
      </w:pPr>
      <w:r w:rsidRPr="00822321">
        <w:rPr>
          <w:rStyle w:val="References"/>
        </w:rPr>
        <w:t>[</w:t>
      </w:r>
      <w:r w:rsidR="00B4459A">
        <w:rPr>
          <w:rStyle w:val="References"/>
        </w:rPr>
        <w:t xml:space="preserve">Schedule </w:t>
      </w:r>
      <w:r w:rsidR="00D202D2">
        <w:rPr>
          <w:rStyle w:val="References"/>
        </w:rPr>
        <w:t>1</w:t>
      </w:r>
      <w:r w:rsidR="00B4459A">
        <w:rPr>
          <w:rStyle w:val="References"/>
        </w:rPr>
        <w:t xml:space="preserve">, item 13 and </w:t>
      </w:r>
      <w:r w:rsidR="00E5284A">
        <w:rPr>
          <w:rStyle w:val="References"/>
        </w:rPr>
        <w:t xml:space="preserve">subitem </w:t>
      </w:r>
      <w:r w:rsidR="00B4459A">
        <w:rPr>
          <w:rStyle w:val="References"/>
        </w:rPr>
        <w:t>14(1)</w:t>
      </w:r>
      <w:r w:rsidRPr="00822321">
        <w:rPr>
          <w:rStyle w:val="References"/>
        </w:rPr>
        <w:t>]</w:t>
      </w:r>
    </w:p>
    <w:p w14:paraId="5D29E724" w14:textId="15D05450" w:rsidR="0037374F" w:rsidRPr="0075231A" w:rsidRDefault="0037374F" w:rsidP="00145428">
      <w:pPr>
        <w:pStyle w:val="Normalparatextwithnumbers"/>
        <w:numPr>
          <w:ilvl w:val="1"/>
          <w:numId w:val="3"/>
        </w:numPr>
        <w:rPr>
          <w:rStyle w:val="References"/>
          <w:b w:val="0"/>
          <w:bCs w:val="0"/>
          <w:i w:val="0"/>
          <w:iCs w:val="0"/>
        </w:rPr>
      </w:pPr>
      <w:r w:rsidRPr="0075231A">
        <w:rPr>
          <w:rStyle w:val="References"/>
          <w:b w:val="0"/>
          <w:bCs w:val="0"/>
          <w:i w:val="0"/>
          <w:iCs w:val="0"/>
        </w:rPr>
        <w:t xml:space="preserve">Retrospective application is necessary to clarify </w:t>
      </w:r>
      <w:r w:rsidR="00006E6E">
        <w:rPr>
          <w:rStyle w:val="References"/>
          <w:b w:val="0"/>
          <w:bCs w:val="0"/>
          <w:i w:val="0"/>
          <w:iCs w:val="0"/>
        </w:rPr>
        <w:t xml:space="preserve">that </w:t>
      </w:r>
      <w:r w:rsidRPr="0075231A">
        <w:rPr>
          <w:rStyle w:val="References"/>
          <w:b w:val="0"/>
          <w:bCs w:val="0"/>
          <w:i w:val="0"/>
          <w:iCs w:val="0"/>
        </w:rPr>
        <w:t xml:space="preserve">the tax treatment of digital currencies that </w:t>
      </w:r>
      <w:r w:rsidR="00EC3D09" w:rsidRPr="0075231A">
        <w:rPr>
          <w:rStyle w:val="References"/>
          <w:b w:val="0"/>
          <w:bCs w:val="0"/>
          <w:i w:val="0"/>
          <w:iCs w:val="0"/>
        </w:rPr>
        <w:t>applied</w:t>
      </w:r>
      <w:r w:rsidRPr="0075231A">
        <w:rPr>
          <w:rStyle w:val="References"/>
          <w:b w:val="0"/>
          <w:bCs w:val="0"/>
          <w:i w:val="0"/>
          <w:iCs w:val="0"/>
        </w:rPr>
        <w:t xml:space="preserve"> prior to 7 September 2021 (the date at which the El Salvador decree took effect) </w:t>
      </w:r>
      <w:r w:rsidR="00EC3D09" w:rsidRPr="0075231A">
        <w:rPr>
          <w:rStyle w:val="References"/>
          <w:b w:val="0"/>
          <w:bCs w:val="0"/>
          <w:i w:val="0"/>
          <w:iCs w:val="0"/>
        </w:rPr>
        <w:t>continues to apply</w:t>
      </w:r>
      <w:r w:rsidRPr="0075231A">
        <w:rPr>
          <w:rStyle w:val="References"/>
          <w:b w:val="0"/>
          <w:bCs w:val="0"/>
          <w:i w:val="0"/>
          <w:iCs w:val="0"/>
        </w:rPr>
        <w:t xml:space="preserve"> after that date. </w:t>
      </w:r>
      <w:r w:rsidR="00FD07E7" w:rsidRPr="0075231A">
        <w:rPr>
          <w:rStyle w:val="References"/>
          <w:b w:val="0"/>
          <w:bCs w:val="0"/>
          <w:i w:val="0"/>
          <w:iCs w:val="0"/>
        </w:rPr>
        <w:t>The</w:t>
      </w:r>
      <w:r w:rsidR="009462E4" w:rsidRPr="0075231A">
        <w:rPr>
          <w:rStyle w:val="References"/>
          <w:b w:val="0"/>
          <w:bCs w:val="0"/>
          <w:i w:val="0"/>
          <w:iCs w:val="0"/>
        </w:rPr>
        <w:t xml:space="preserve"> </w:t>
      </w:r>
      <w:r w:rsidR="00E0306E">
        <w:rPr>
          <w:rStyle w:val="References"/>
          <w:b w:val="0"/>
          <w:bCs w:val="0"/>
          <w:i w:val="0"/>
          <w:iCs w:val="0"/>
        </w:rPr>
        <w:t xml:space="preserve">effect of the </w:t>
      </w:r>
      <w:r w:rsidR="009462E4" w:rsidRPr="0075231A">
        <w:rPr>
          <w:rStyle w:val="References"/>
          <w:b w:val="0"/>
          <w:bCs w:val="0"/>
          <w:i w:val="0"/>
          <w:iCs w:val="0"/>
        </w:rPr>
        <w:t xml:space="preserve">El Salvador decree </w:t>
      </w:r>
      <w:r w:rsidR="00E0306E">
        <w:rPr>
          <w:rStyle w:val="References"/>
          <w:b w:val="0"/>
          <w:bCs w:val="0"/>
          <w:i w:val="0"/>
          <w:iCs w:val="0"/>
        </w:rPr>
        <w:t xml:space="preserve">was unexpected and </w:t>
      </w:r>
      <w:r w:rsidR="009462E4" w:rsidRPr="0075231A">
        <w:rPr>
          <w:rStyle w:val="References"/>
          <w:b w:val="0"/>
          <w:bCs w:val="0"/>
          <w:i w:val="0"/>
          <w:iCs w:val="0"/>
        </w:rPr>
        <w:t xml:space="preserve">could potentially lead to unintended </w:t>
      </w:r>
      <w:r w:rsidR="00001D23">
        <w:rPr>
          <w:rStyle w:val="References"/>
          <w:b w:val="0"/>
          <w:bCs w:val="0"/>
          <w:i w:val="0"/>
          <w:iCs w:val="0"/>
        </w:rPr>
        <w:t xml:space="preserve">income </w:t>
      </w:r>
      <w:r w:rsidR="00FA65BE">
        <w:rPr>
          <w:rStyle w:val="References"/>
          <w:b w:val="0"/>
          <w:bCs w:val="0"/>
          <w:i w:val="0"/>
          <w:iCs w:val="0"/>
        </w:rPr>
        <w:t xml:space="preserve">tax </w:t>
      </w:r>
      <w:r w:rsidR="009462E4" w:rsidRPr="0075231A">
        <w:rPr>
          <w:rStyle w:val="References"/>
          <w:b w:val="0"/>
          <w:bCs w:val="0"/>
          <w:i w:val="0"/>
          <w:iCs w:val="0"/>
        </w:rPr>
        <w:t>outcomes</w:t>
      </w:r>
      <w:r w:rsidR="00FD07E7" w:rsidRPr="0075231A">
        <w:rPr>
          <w:rStyle w:val="References"/>
          <w:b w:val="0"/>
          <w:bCs w:val="0"/>
          <w:i w:val="0"/>
          <w:iCs w:val="0"/>
        </w:rPr>
        <w:t xml:space="preserve">. Therefore, it is appropriate </w:t>
      </w:r>
      <w:r w:rsidR="00006E6E">
        <w:rPr>
          <w:rStyle w:val="References"/>
          <w:b w:val="0"/>
          <w:bCs w:val="0"/>
          <w:i w:val="0"/>
          <w:iCs w:val="0"/>
        </w:rPr>
        <w:t xml:space="preserve">for the amendments to apply retrospectively </w:t>
      </w:r>
      <w:r w:rsidR="00F80A04" w:rsidRPr="0075231A">
        <w:rPr>
          <w:rStyle w:val="References"/>
          <w:b w:val="0"/>
          <w:bCs w:val="0"/>
          <w:i w:val="0"/>
          <w:iCs w:val="0"/>
        </w:rPr>
        <w:t xml:space="preserve">to </w:t>
      </w:r>
      <w:r w:rsidR="00B86778" w:rsidRPr="0075231A">
        <w:rPr>
          <w:rStyle w:val="References"/>
          <w:b w:val="0"/>
          <w:bCs w:val="0"/>
          <w:i w:val="0"/>
          <w:iCs w:val="0"/>
        </w:rPr>
        <w:t>pre-date the event that create</w:t>
      </w:r>
      <w:r w:rsidR="00AB771E">
        <w:rPr>
          <w:rStyle w:val="References"/>
          <w:b w:val="0"/>
          <w:bCs w:val="0"/>
          <w:i w:val="0"/>
          <w:iCs w:val="0"/>
        </w:rPr>
        <w:t>s</w:t>
      </w:r>
      <w:r w:rsidR="00FA65BE">
        <w:rPr>
          <w:rStyle w:val="References"/>
          <w:b w:val="0"/>
          <w:bCs w:val="0"/>
          <w:i w:val="0"/>
          <w:iCs w:val="0"/>
        </w:rPr>
        <w:t xml:space="preserve"> the</w:t>
      </w:r>
      <w:r w:rsidR="00B86778" w:rsidRPr="0075231A">
        <w:rPr>
          <w:rStyle w:val="References"/>
          <w:b w:val="0"/>
          <w:bCs w:val="0"/>
          <w:i w:val="0"/>
          <w:iCs w:val="0"/>
        </w:rPr>
        <w:t xml:space="preserve"> uncertainty. </w:t>
      </w:r>
    </w:p>
    <w:p w14:paraId="311BE93B" w14:textId="6C28B2DB" w:rsidR="003B4734" w:rsidRDefault="003B4734" w:rsidP="00145428">
      <w:pPr>
        <w:pStyle w:val="Normalparatextwithnumbers"/>
        <w:numPr>
          <w:ilvl w:val="1"/>
          <w:numId w:val="3"/>
        </w:numPr>
        <w:rPr>
          <w:rStyle w:val="References"/>
          <w:b w:val="0"/>
          <w:bCs w:val="0"/>
          <w:i w:val="0"/>
          <w:iCs w:val="0"/>
        </w:rPr>
      </w:pPr>
      <w:r>
        <w:rPr>
          <w:rStyle w:val="References"/>
          <w:b w:val="0"/>
          <w:bCs w:val="0"/>
          <w:i w:val="0"/>
          <w:iCs w:val="0"/>
        </w:rPr>
        <w:t>The amendments maintain the status quo</w:t>
      </w:r>
      <w:r w:rsidR="00FA65BE">
        <w:rPr>
          <w:rStyle w:val="References"/>
          <w:b w:val="0"/>
          <w:bCs w:val="0"/>
          <w:i w:val="0"/>
          <w:iCs w:val="0"/>
        </w:rPr>
        <w:t xml:space="preserve"> of the income tax treatment of di</w:t>
      </w:r>
      <w:r w:rsidR="00A16512">
        <w:rPr>
          <w:rStyle w:val="References"/>
          <w:b w:val="0"/>
          <w:bCs w:val="0"/>
          <w:i w:val="0"/>
          <w:iCs w:val="0"/>
        </w:rPr>
        <w:t>gital currencies like bitcoin</w:t>
      </w:r>
      <w:r w:rsidR="00473EB1">
        <w:rPr>
          <w:rStyle w:val="References"/>
          <w:b w:val="0"/>
          <w:bCs w:val="0"/>
          <w:i w:val="0"/>
          <w:iCs w:val="0"/>
        </w:rPr>
        <w:t>, prior to the El Salvador decree. Further, they do not alter any substantive outcome for GST</w:t>
      </w:r>
      <w:r>
        <w:rPr>
          <w:rStyle w:val="References"/>
          <w:b w:val="0"/>
          <w:bCs w:val="0"/>
          <w:i w:val="0"/>
          <w:iCs w:val="0"/>
        </w:rPr>
        <w:t xml:space="preserve">. In that respect, retrospective application does not adversely impact or disadvantage taxpayers. </w:t>
      </w:r>
    </w:p>
    <w:p w14:paraId="7A1523DC" w14:textId="4D0A7C7E" w:rsidR="00873094" w:rsidRPr="00020288" w:rsidRDefault="00797A68" w:rsidP="00154DD2">
      <w:pPr>
        <w:pStyle w:val="Normalparatextwithnumbers"/>
        <w:numPr>
          <w:ilvl w:val="1"/>
          <w:numId w:val="3"/>
        </w:numPr>
        <w:sectPr w:rsidR="00873094" w:rsidRPr="00020288" w:rsidSect="00164F02">
          <w:headerReference w:type="even" r:id="rId19"/>
          <w:headerReference w:type="default" r:id="rId20"/>
          <w:footerReference w:type="even" r:id="rId21"/>
          <w:footerReference w:type="default" r:id="rId22"/>
          <w:headerReference w:type="first" r:id="rId23"/>
          <w:footerReference w:type="first" r:id="rId24"/>
          <w:type w:val="continuous"/>
          <w:pgSz w:w="9979" w:h="14175" w:code="34"/>
          <w:pgMar w:top="567" w:right="1134" w:bottom="567" w:left="1134" w:header="709" w:footer="709" w:gutter="0"/>
          <w:cols w:space="708"/>
          <w:titlePg/>
          <w:docGrid w:linePitch="360"/>
        </w:sectPr>
      </w:pPr>
      <w:r w:rsidRPr="00006E6E">
        <w:rPr>
          <w:rStyle w:val="References"/>
          <w:b w:val="0"/>
          <w:bCs w:val="0"/>
          <w:i w:val="0"/>
          <w:iCs w:val="0"/>
        </w:rPr>
        <w:t xml:space="preserve">If the amendments did not apply retrospectively, </w:t>
      </w:r>
      <w:r w:rsidR="00CA6935">
        <w:rPr>
          <w:rStyle w:val="References"/>
          <w:b w:val="0"/>
          <w:bCs w:val="0"/>
          <w:i w:val="0"/>
          <w:iCs w:val="0"/>
        </w:rPr>
        <w:t>the potential</w:t>
      </w:r>
      <w:r w:rsidR="00C00EC3" w:rsidRPr="00006E6E">
        <w:rPr>
          <w:rStyle w:val="References"/>
          <w:b w:val="0"/>
          <w:bCs w:val="0"/>
          <w:i w:val="0"/>
          <w:iCs w:val="0"/>
        </w:rPr>
        <w:t xml:space="preserve"> </w:t>
      </w:r>
      <w:r w:rsidRPr="00006E6E">
        <w:rPr>
          <w:rStyle w:val="References"/>
          <w:b w:val="0"/>
          <w:bCs w:val="0"/>
          <w:i w:val="0"/>
          <w:iCs w:val="0"/>
        </w:rPr>
        <w:t xml:space="preserve">unintended change in </w:t>
      </w:r>
      <w:r w:rsidR="00E01FB5">
        <w:rPr>
          <w:rStyle w:val="References"/>
          <w:b w:val="0"/>
          <w:bCs w:val="0"/>
          <w:i w:val="0"/>
          <w:iCs w:val="0"/>
        </w:rPr>
        <w:t xml:space="preserve">the </w:t>
      </w:r>
      <w:r w:rsidRPr="00006E6E">
        <w:rPr>
          <w:rStyle w:val="References"/>
          <w:b w:val="0"/>
          <w:bCs w:val="0"/>
          <w:i w:val="0"/>
          <w:iCs w:val="0"/>
        </w:rPr>
        <w:t>tax treatment</w:t>
      </w:r>
      <w:r w:rsidR="00C00EC3" w:rsidRPr="00006E6E">
        <w:rPr>
          <w:rStyle w:val="References"/>
          <w:b w:val="0"/>
          <w:bCs w:val="0"/>
          <w:i w:val="0"/>
          <w:iCs w:val="0"/>
        </w:rPr>
        <w:t xml:space="preserve"> </w:t>
      </w:r>
      <w:r w:rsidR="00E01FB5">
        <w:rPr>
          <w:rStyle w:val="References"/>
          <w:b w:val="0"/>
          <w:bCs w:val="0"/>
          <w:i w:val="0"/>
          <w:iCs w:val="0"/>
        </w:rPr>
        <w:t xml:space="preserve">of bitcoin </w:t>
      </w:r>
      <w:r w:rsidRPr="00006E6E">
        <w:rPr>
          <w:rStyle w:val="References"/>
          <w:b w:val="0"/>
          <w:bCs w:val="0"/>
          <w:i w:val="0"/>
          <w:iCs w:val="0"/>
        </w:rPr>
        <w:t>could result in risks to revenue</w:t>
      </w:r>
      <w:r w:rsidR="00162191">
        <w:rPr>
          <w:rStyle w:val="References"/>
          <w:b w:val="0"/>
          <w:bCs w:val="0"/>
          <w:i w:val="0"/>
          <w:iCs w:val="0"/>
        </w:rPr>
        <w:t xml:space="preserve"> in the broader tax system</w:t>
      </w:r>
      <w:r w:rsidRPr="00006E6E">
        <w:rPr>
          <w:rStyle w:val="References"/>
          <w:b w:val="0"/>
          <w:bCs w:val="0"/>
          <w:i w:val="0"/>
          <w:iCs w:val="0"/>
        </w:rPr>
        <w:t xml:space="preserve">. </w:t>
      </w:r>
      <w:r w:rsidR="00396BA3">
        <w:rPr>
          <w:rStyle w:val="References"/>
          <w:b w:val="0"/>
          <w:bCs w:val="0"/>
          <w:i w:val="0"/>
          <w:iCs w:val="0"/>
        </w:rPr>
        <w:t xml:space="preserve">It would also result in bitcoin receiving inconsistent income tax treatment with other </w:t>
      </w:r>
      <w:r w:rsidR="00CA6935">
        <w:rPr>
          <w:rStyle w:val="References"/>
          <w:b w:val="0"/>
          <w:bCs w:val="0"/>
          <w:i w:val="0"/>
          <w:iCs w:val="0"/>
        </w:rPr>
        <w:t xml:space="preserve">crypto </w:t>
      </w:r>
      <w:r w:rsidR="00396BA3">
        <w:rPr>
          <w:rStyle w:val="References"/>
          <w:b w:val="0"/>
          <w:bCs w:val="0"/>
          <w:i w:val="0"/>
          <w:iCs w:val="0"/>
        </w:rPr>
        <w:t xml:space="preserve">assets that share similar characteristics. </w:t>
      </w:r>
      <w:r w:rsidR="00FD2921">
        <w:rPr>
          <w:rStyle w:val="References"/>
          <w:b w:val="0"/>
          <w:bCs w:val="0"/>
          <w:i w:val="0"/>
          <w:iCs w:val="0"/>
        </w:rPr>
        <w:t xml:space="preserve">Therefore, retrospective application is </w:t>
      </w:r>
      <w:r w:rsidR="00A16512">
        <w:rPr>
          <w:rStyle w:val="References"/>
          <w:b w:val="0"/>
          <w:bCs w:val="0"/>
          <w:i w:val="0"/>
          <w:iCs w:val="0"/>
        </w:rPr>
        <w:t xml:space="preserve">justified </w:t>
      </w:r>
      <w:r w:rsidR="00FD2921">
        <w:rPr>
          <w:rStyle w:val="References"/>
          <w:b w:val="0"/>
          <w:bCs w:val="0"/>
          <w:i w:val="0"/>
          <w:iCs w:val="0"/>
        </w:rPr>
        <w:t xml:space="preserve">to </w:t>
      </w:r>
      <w:r w:rsidR="00DC1720">
        <w:rPr>
          <w:rStyle w:val="References"/>
          <w:b w:val="0"/>
          <w:bCs w:val="0"/>
          <w:i w:val="0"/>
          <w:iCs w:val="0"/>
        </w:rPr>
        <w:t xml:space="preserve">ensure </w:t>
      </w:r>
      <w:r w:rsidR="00A16512">
        <w:rPr>
          <w:rStyle w:val="References"/>
          <w:b w:val="0"/>
          <w:bCs w:val="0"/>
          <w:i w:val="0"/>
          <w:iCs w:val="0"/>
        </w:rPr>
        <w:t xml:space="preserve">these </w:t>
      </w:r>
      <w:r w:rsidR="00C62712">
        <w:rPr>
          <w:rStyle w:val="References"/>
          <w:b w:val="0"/>
          <w:bCs w:val="0"/>
          <w:i w:val="0"/>
          <w:iCs w:val="0"/>
        </w:rPr>
        <w:t>unintended outcomes are avoide</w:t>
      </w:r>
      <w:bookmarkStart w:id="47" w:name="_Hlk83390738"/>
      <w:bookmarkEnd w:id="27"/>
      <w:bookmarkEnd w:id="46"/>
      <w:r w:rsidR="00164F02">
        <w:rPr>
          <w:rStyle w:val="References"/>
          <w:b w:val="0"/>
          <w:bCs w:val="0"/>
          <w:i w:val="0"/>
          <w:iCs w:val="0"/>
        </w:rPr>
        <w:t>d</w:t>
      </w:r>
    </w:p>
    <w:bookmarkEnd w:id="6"/>
    <w:bookmarkEnd w:id="39"/>
    <w:bookmarkEnd w:id="40"/>
    <w:bookmarkEnd w:id="41"/>
    <w:bookmarkEnd w:id="42"/>
    <w:bookmarkEnd w:id="43"/>
    <w:bookmarkEnd w:id="47"/>
    <w:p w14:paraId="5516B767" w14:textId="77777777" w:rsidR="006D671B" w:rsidRDefault="006D671B" w:rsidP="003B51ED">
      <w:pPr>
        <w:pStyle w:val="Normalparatextnonumbers"/>
      </w:pPr>
    </w:p>
    <w:sectPr w:rsidR="006D671B" w:rsidSect="00164F02">
      <w:headerReference w:type="even" r:id="rId25"/>
      <w:headerReference w:type="default" r:id="rId26"/>
      <w:headerReference w:type="first" r:id="rId27"/>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13E22" w14:textId="77777777" w:rsidR="00745ADD" w:rsidRDefault="00745ADD">
      <w:pPr>
        <w:spacing w:before="0" w:after="0"/>
      </w:pPr>
      <w:r>
        <w:separator/>
      </w:r>
    </w:p>
  </w:endnote>
  <w:endnote w:type="continuationSeparator" w:id="0">
    <w:p w14:paraId="55F0E705" w14:textId="77777777" w:rsidR="00745ADD" w:rsidRDefault="00745ADD">
      <w:pPr>
        <w:spacing w:before="0" w:after="0"/>
      </w:pPr>
      <w:r>
        <w:continuationSeparator/>
      </w:r>
    </w:p>
  </w:endnote>
  <w:endnote w:type="continuationNotice" w:id="1">
    <w:p w14:paraId="215A7442" w14:textId="77777777" w:rsidR="00745ADD" w:rsidRDefault="00745AD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itica">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CA09" w14:textId="77777777" w:rsidR="007A2DBD" w:rsidRDefault="007A2DBD"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3A3C" w14:textId="77777777" w:rsidR="007A2DBD" w:rsidRPr="004D61CF" w:rsidRDefault="007A2DBD"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1661" w14:textId="77777777" w:rsidR="007A2DBD" w:rsidRPr="006208CF" w:rsidRDefault="007A2DBD" w:rsidP="004B541E">
    <w:pPr>
      <w:pStyle w:val="leftfoo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4B19" w14:textId="77777777" w:rsidR="007A2DBD" w:rsidRDefault="007A2DBD" w:rsidP="004B541E">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33F95" w14:textId="77777777" w:rsidR="007A2DBD" w:rsidRPr="00091474" w:rsidRDefault="007A2DBD" w:rsidP="004B541E">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0FC25" w14:textId="77777777" w:rsidR="00745ADD" w:rsidRDefault="00745ADD">
      <w:pPr>
        <w:spacing w:before="0" w:after="0"/>
      </w:pPr>
      <w:r>
        <w:separator/>
      </w:r>
    </w:p>
  </w:footnote>
  <w:footnote w:type="continuationSeparator" w:id="0">
    <w:p w14:paraId="1F38AD6E" w14:textId="77777777" w:rsidR="00745ADD" w:rsidRDefault="00745ADD">
      <w:pPr>
        <w:spacing w:before="0" w:after="0"/>
      </w:pPr>
      <w:r>
        <w:continuationSeparator/>
      </w:r>
    </w:p>
  </w:footnote>
  <w:footnote w:type="continuationNotice" w:id="1">
    <w:p w14:paraId="3A2688A0" w14:textId="77777777" w:rsidR="00745ADD" w:rsidRDefault="00745AD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2B0A879F" w14:textId="77777777" w:rsidR="007A2DBD" w:rsidRDefault="00745ADD">
        <w:pPr>
          <w:pStyle w:val="Header"/>
        </w:pPr>
        <w:r>
          <w:rPr>
            <w:noProof/>
          </w:rPr>
          <w:pict w14:anchorId="1BCFD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AF40"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1324"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DC8F" w14:textId="5922DB7A"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B91526">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EAB4" w14:textId="77777777" w:rsidR="00164F02" w:rsidRPr="00E50554" w:rsidRDefault="00164F02" w:rsidP="00164F02">
    <w:pPr>
      <w:pStyle w:val="rightheader"/>
      <w:tabs>
        <w:tab w:val="left" w:pos="3055"/>
      </w:tabs>
      <w:jc w:val="left"/>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1DA1" w14:textId="5F96A44B" w:rsidR="007A2DBD" w:rsidRPr="004B541E" w:rsidRDefault="00745ADD" w:rsidP="004B541E">
    <w:pPr>
      <w:pStyle w:val="leftheader"/>
    </w:pPr>
    <w:r>
      <w:fldChar w:fldCharType="begin"/>
    </w:r>
    <w:r>
      <w:instrText xml:space="preserve"> STYLEREF "Chapter heading" \* MERGEFORMAT </w:instrText>
    </w:r>
    <w:r>
      <w:fldChar w:fldCharType="separate"/>
    </w:r>
    <w:r w:rsidR="00D05259">
      <w:rPr>
        <w:noProof/>
      </w:rPr>
      <w:t>Taxation treatment of digital currency</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B8B9" w14:textId="5EA23740" w:rsidR="007A2DBD" w:rsidRPr="00A74B1A" w:rsidRDefault="00745ADD" w:rsidP="00A74B1A">
    <w:pPr>
      <w:pStyle w:val="rightheader"/>
    </w:pPr>
    <w:r>
      <w:fldChar w:fldCharType="begin"/>
    </w:r>
    <w:r>
      <w:instrText xml:space="preserve"> STYLEREF "Bill Name" \* MERGEFORMAT </w:instrText>
    </w:r>
    <w:r>
      <w:fldChar w:fldCharType="separate"/>
    </w:r>
    <w:r w:rsidR="00D05259">
      <w:rPr>
        <w:noProof/>
      </w:rPr>
      <w:t>Treasury Laws Amendment (Measures for Consultation) Bill 2022: Taxation treatment of digital currency</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BC72" w14:textId="7CD89BF8" w:rsidR="007A2DBD" w:rsidRPr="00E50554" w:rsidRDefault="00164F02" w:rsidP="00164F02">
    <w:pPr>
      <w:pStyle w:val="rightheader"/>
      <w:tabs>
        <w:tab w:val="left" w:pos="3055"/>
      </w:tabs>
      <w:jc w:val="left"/>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192B8" w14:textId="4E712AE1" w:rsidR="007A2DBD" w:rsidRPr="004B541E" w:rsidRDefault="00745ADD" w:rsidP="004B541E">
    <w:pPr>
      <w:pStyle w:val="leftheader"/>
    </w:pPr>
    <w:r>
      <w:fldChar w:fldCharType="begin"/>
    </w:r>
    <w:r>
      <w:instrText xml:space="preserve"> STYLEREF "Chapte</w:instrText>
    </w:r>
    <w:r>
      <w:instrText xml:space="preserve">r heading" \* MERGEFORMAT </w:instrText>
    </w:r>
    <w:r>
      <w:fldChar w:fldCharType="separate"/>
    </w:r>
    <w:r w:rsidR="00B91526">
      <w:rPr>
        <w:noProof/>
      </w:rPr>
      <w:t>Taxation treatment of digital currency</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0FB2" w14:textId="5EBD176F" w:rsidR="007A2DBD" w:rsidRPr="00A74B1A" w:rsidRDefault="00745ADD" w:rsidP="00A74B1A">
    <w:pPr>
      <w:pStyle w:val="rightheader"/>
    </w:pPr>
    <w:r>
      <w:fldChar w:fldCharType="begin"/>
    </w:r>
    <w:r>
      <w:instrText xml:space="preserve"> STYLEREF "Bill Name" \* MERGEFORMAT </w:instrText>
    </w:r>
    <w:r>
      <w:fldChar w:fldCharType="separate"/>
    </w:r>
    <w:r w:rsidR="00B91526">
      <w:rPr>
        <w:noProof/>
      </w:rPr>
      <w:t>Treasury Laws Amendment (Measures for Consultation) Bill 2022: Taxation treatment of digital currency</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73673C7"/>
    <w:multiLevelType w:val="hybridMultilevel"/>
    <w:tmpl w:val="9B0801BE"/>
    <w:lvl w:ilvl="0" w:tplc="01BE4746">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170CA0"/>
    <w:multiLevelType w:val="multilevel"/>
    <w:tmpl w:val="049421C8"/>
    <w:styleLink w:val="Chapternumbering"/>
    <w:lvl w:ilvl="0">
      <w:start w:val="1"/>
      <w:numFmt w:val="decimal"/>
      <w:pStyle w:val="Chapterheading"/>
      <w:lvlText w:val="Chapter %1:"/>
      <w:lvlJc w:val="left"/>
      <w:pPr>
        <w:tabs>
          <w:tab w:val="num" w:pos="4112"/>
        </w:tabs>
        <w:ind w:left="1135"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3260"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4"/>
  </w:num>
  <w:num w:numId="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5"/>
  </w:num>
  <w:num w:numId="9">
    <w:abstractNumId w:val="13"/>
  </w:num>
  <w:num w:numId="10">
    <w:abstractNumId w:val="7"/>
  </w:num>
  <w:num w:numId="11">
    <w:abstractNumId w:val="6"/>
  </w:num>
  <w:num w:numId="12">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1"/>
  </w:num>
  <w:num w:numId="14">
    <w:abstractNumId w:val="9"/>
  </w:num>
  <w:num w:numId="15">
    <w:abstractNumId w:val="10"/>
  </w:num>
  <w:num w:numId="16">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5"/>
  </w:num>
  <w:num w:numId="18">
    <w:abstractNumId w:val="2"/>
  </w:num>
  <w:num w:numId="19">
    <w:abstractNumId w:val="8"/>
  </w:num>
  <w:num w:numId="20">
    <w:abstractNumId w:val="12"/>
  </w:num>
  <w:num w:numId="21">
    <w:abstractNumId w:val="11"/>
  </w:num>
  <w:num w:numId="22">
    <w:abstractNumId w:val="1"/>
  </w:num>
  <w:num w:numId="23">
    <w:abstractNumId w:val="4"/>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i w:val="0"/>
          <w:iCs/>
          <w:sz w:val="22"/>
          <w:szCs w:val="28"/>
        </w:rPr>
      </w:lvl>
    </w:lvlOverride>
  </w:num>
  <w:num w:numId="24">
    <w:abstractNumId w:val="4"/>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41"/>
    <w:rsid w:val="00000BFC"/>
    <w:rsid w:val="00001D23"/>
    <w:rsid w:val="000050E9"/>
    <w:rsid w:val="00006E6E"/>
    <w:rsid w:val="00013D0B"/>
    <w:rsid w:val="000151C7"/>
    <w:rsid w:val="00015E88"/>
    <w:rsid w:val="00017B8A"/>
    <w:rsid w:val="0002050D"/>
    <w:rsid w:val="000212C9"/>
    <w:rsid w:val="00021DAA"/>
    <w:rsid w:val="00024922"/>
    <w:rsid w:val="00026110"/>
    <w:rsid w:val="000319E0"/>
    <w:rsid w:val="00033656"/>
    <w:rsid w:val="00034191"/>
    <w:rsid w:val="00035B6E"/>
    <w:rsid w:val="00037E02"/>
    <w:rsid w:val="00040058"/>
    <w:rsid w:val="000407C8"/>
    <w:rsid w:val="00042A13"/>
    <w:rsid w:val="00044621"/>
    <w:rsid w:val="000459FD"/>
    <w:rsid w:val="00047FF2"/>
    <w:rsid w:val="000556C2"/>
    <w:rsid w:val="00055F64"/>
    <w:rsid w:val="00061675"/>
    <w:rsid w:val="00062AF3"/>
    <w:rsid w:val="00067C0C"/>
    <w:rsid w:val="00070B42"/>
    <w:rsid w:val="00072458"/>
    <w:rsid w:val="000732AB"/>
    <w:rsid w:val="00075CB6"/>
    <w:rsid w:val="00077033"/>
    <w:rsid w:val="00082C7C"/>
    <w:rsid w:val="00085CE8"/>
    <w:rsid w:val="00086263"/>
    <w:rsid w:val="00087F47"/>
    <w:rsid w:val="00087FE9"/>
    <w:rsid w:val="00090A2C"/>
    <w:rsid w:val="00091665"/>
    <w:rsid w:val="00091B7E"/>
    <w:rsid w:val="0009480F"/>
    <w:rsid w:val="000A3230"/>
    <w:rsid w:val="000A682F"/>
    <w:rsid w:val="000B270D"/>
    <w:rsid w:val="000B2B4A"/>
    <w:rsid w:val="000B6A25"/>
    <w:rsid w:val="000B6B3E"/>
    <w:rsid w:val="000B7D6E"/>
    <w:rsid w:val="000C068B"/>
    <w:rsid w:val="000C1082"/>
    <w:rsid w:val="000D4CC3"/>
    <w:rsid w:val="000D683F"/>
    <w:rsid w:val="000D71BA"/>
    <w:rsid w:val="000D7DBE"/>
    <w:rsid w:val="000E066B"/>
    <w:rsid w:val="000E3C13"/>
    <w:rsid w:val="000E4D39"/>
    <w:rsid w:val="000E521B"/>
    <w:rsid w:val="0010091D"/>
    <w:rsid w:val="00102896"/>
    <w:rsid w:val="00105E85"/>
    <w:rsid w:val="0010677E"/>
    <w:rsid w:val="00106FDC"/>
    <w:rsid w:val="0011019A"/>
    <w:rsid w:val="00113018"/>
    <w:rsid w:val="00115509"/>
    <w:rsid w:val="00115D3B"/>
    <w:rsid w:val="00121863"/>
    <w:rsid w:val="001227A2"/>
    <w:rsid w:val="00125ABB"/>
    <w:rsid w:val="00130163"/>
    <w:rsid w:val="001413DB"/>
    <w:rsid w:val="00141701"/>
    <w:rsid w:val="00142757"/>
    <w:rsid w:val="001435AA"/>
    <w:rsid w:val="00145089"/>
    <w:rsid w:val="00145428"/>
    <w:rsid w:val="001521ED"/>
    <w:rsid w:val="001525FB"/>
    <w:rsid w:val="00154DD2"/>
    <w:rsid w:val="00156779"/>
    <w:rsid w:val="00157FCF"/>
    <w:rsid w:val="00160928"/>
    <w:rsid w:val="00162191"/>
    <w:rsid w:val="00163457"/>
    <w:rsid w:val="00164F02"/>
    <w:rsid w:val="00165253"/>
    <w:rsid w:val="00167141"/>
    <w:rsid w:val="00170C78"/>
    <w:rsid w:val="001741A2"/>
    <w:rsid w:val="001757B6"/>
    <w:rsid w:val="00180212"/>
    <w:rsid w:val="00180A7F"/>
    <w:rsid w:val="0018405D"/>
    <w:rsid w:val="0018700A"/>
    <w:rsid w:val="001942AC"/>
    <w:rsid w:val="00194917"/>
    <w:rsid w:val="00194FC4"/>
    <w:rsid w:val="0019558B"/>
    <w:rsid w:val="00195D1C"/>
    <w:rsid w:val="001A0CC2"/>
    <w:rsid w:val="001A1258"/>
    <w:rsid w:val="001A3188"/>
    <w:rsid w:val="001A72CB"/>
    <w:rsid w:val="001B07FA"/>
    <w:rsid w:val="001B0B97"/>
    <w:rsid w:val="001B1306"/>
    <w:rsid w:val="001B343C"/>
    <w:rsid w:val="001B6500"/>
    <w:rsid w:val="001B6748"/>
    <w:rsid w:val="001C3438"/>
    <w:rsid w:val="001C5CBF"/>
    <w:rsid w:val="001D094B"/>
    <w:rsid w:val="001D1DA9"/>
    <w:rsid w:val="001D554B"/>
    <w:rsid w:val="001D6B64"/>
    <w:rsid w:val="001D74E4"/>
    <w:rsid w:val="001D7CE9"/>
    <w:rsid w:val="001D7DE4"/>
    <w:rsid w:val="001D7E9E"/>
    <w:rsid w:val="001D7F4D"/>
    <w:rsid w:val="001E01BF"/>
    <w:rsid w:val="001E021B"/>
    <w:rsid w:val="001E17B9"/>
    <w:rsid w:val="001E6070"/>
    <w:rsid w:val="001E6B78"/>
    <w:rsid w:val="001E6C16"/>
    <w:rsid w:val="001F120B"/>
    <w:rsid w:val="001F41F8"/>
    <w:rsid w:val="002016D1"/>
    <w:rsid w:val="002064F4"/>
    <w:rsid w:val="00215680"/>
    <w:rsid w:val="0021619E"/>
    <w:rsid w:val="00217F2E"/>
    <w:rsid w:val="00222E81"/>
    <w:rsid w:val="00224B70"/>
    <w:rsid w:val="002252D0"/>
    <w:rsid w:val="00230C17"/>
    <w:rsid w:val="0023409D"/>
    <w:rsid w:val="002343A8"/>
    <w:rsid w:val="0023581D"/>
    <w:rsid w:val="002425D9"/>
    <w:rsid w:val="00242B2A"/>
    <w:rsid w:val="0024784F"/>
    <w:rsid w:val="00250441"/>
    <w:rsid w:val="00250844"/>
    <w:rsid w:val="0025437B"/>
    <w:rsid w:val="002545EF"/>
    <w:rsid w:val="00254C74"/>
    <w:rsid w:val="00255384"/>
    <w:rsid w:val="00255CD2"/>
    <w:rsid w:val="00260B8B"/>
    <w:rsid w:val="00262E2C"/>
    <w:rsid w:val="0026368C"/>
    <w:rsid w:val="002645C5"/>
    <w:rsid w:val="00266631"/>
    <w:rsid w:val="002704BC"/>
    <w:rsid w:val="00270EFC"/>
    <w:rsid w:val="00272F2E"/>
    <w:rsid w:val="00274875"/>
    <w:rsid w:val="00274D55"/>
    <w:rsid w:val="00274D5C"/>
    <w:rsid w:val="00274FF5"/>
    <w:rsid w:val="0027527E"/>
    <w:rsid w:val="00276753"/>
    <w:rsid w:val="002806A0"/>
    <w:rsid w:val="00280FA9"/>
    <w:rsid w:val="00281549"/>
    <w:rsid w:val="002830CA"/>
    <w:rsid w:val="00286912"/>
    <w:rsid w:val="00286D8B"/>
    <w:rsid w:val="002872AB"/>
    <w:rsid w:val="00290E0C"/>
    <w:rsid w:val="00292006"/>
    <w:rsid w:val="002935AC"/>
    <w:rsid w:val="002942DF"/>
    <w:rsid w:val="0029479A"/>
    <w:rsid w:val="0029578C"/>
    <w:rsid w:val="00295AC3"/>
    <w:rsid w:val="00296AC5"/>
    <w:rsid w:val="00297081"/>
    <w:rsid w:val="002A1532"/>
    <w:rsid w:val="002A2137"/>
    <w:rsid w:val="002A2C88"/>
    <w:rsid w:val="002A3412"/>
    <w:rsid w:val="002A52E5"/>
    <w:rsid w:val="002B0B67"/>
    <w:rsid w:val="002B13DC"/>
    <w:rsid w:val="002B1D9E"/>
    <w:rsid w:val="002B2247"/>
    <w:rsid w:val="002B623C"/>
    <w:rsid w:val="002B6667"/>
    <w:rsid w:val="002B6F60"/>
    <w:rsid w:val="002C0D48"/>
    <w:rsid w:val="002C2C0B"/>
    <w:rsid w:val="002C38A5"/>
    <w:rsid w:val="002C4D11"/>
    <w:rsid w:val="002C607D"/>
    <w:rsid w:val="002C72CF"/>
    <w:rsid w:val="002C740E"/>
    <w:rsid w:val="002C78D6"/>
    <w:rsid w:val="002D080A"/>
    <w:rsid w:val="002D1D80"/>
    <w:rsid w:val="002D5853"/>
    <w:rsid w:val="002E252C"/>
    <w:rsid w:val="002E37D6"/>
    <w:rsid w:val="002E5D86"/>
    <w:rsid w:val="002E73A2"/>
    <w:rsid w:val="002F0924"/>
    <w:rsid w:val="002F1CB0"/>
    <w:rsid w:val="002F1E05"/>
    <w:rsid w:val="002F4A8C"/>
    <w:rsid w:val="002F4B60"/>
    <w:rsid w:val="002F4E62"/>
    <w:rsid w:val="002F7AE4"/>
    <w:rsid w:val="00301E06"/>
    <w:rsid w:val="003027EC"/>
    <w:rsid w:val="00303ED0"/>
    <w:rsid w:val="00304FE9"/>
    <w:rsid w:val="00307BF2"/>
    <w:rsid w:val="00311874"/>
    <w:rsid w:val="00313A91"/>
    <w:rsid w:val="003145C8"/>
    <w:rsid w:val="00315D81"/>
    <w:rsid w:val="00322EB2"/>
    <w:rsid w:val="00330E2D"/>
    <w:rsid w:val="00333342"/>
    <w:rsid w:val="0033342B"/>
    <w:rsid w:val="00333906"/>
    <w:rsid w:val="00333D3A"/>
    <w:rsid w:val="00336C19"/>
    <w:rsid w:val="00341ECF"/>
    <w:rsid w:val="00350180"/>
    <w:rsid w:val="00351274"/>
    <w:rsid w:val="00351D4D"/>
    <w:rsid w:val="003556BF"/>
    <w:rsid w:val="003643FD"/>
    <w:rsid w:val="0036790F"/>
    <w:rsid w:val="003711A4"/>
    <w:rsid w:val="00371542"/>
    <w:rsid w:val="00371F57"/>
    <w:rsid w:val="0037374F"/>
    <w:rsid w:val="00375AD1"/>
    <w:rsid w:val="0037613F"/>
    <w:rsid w:val="003776D6"/>
    <w:rsid w:val="00377F6E"/>
    <w:rsid w:val="0038235E"/>
    <w:rsid w:val="00384A8C"/>
    <w:rsid w:val="0038687C"/>
    <w:rsid w:val="00386F90"/>
    <w:rsid w:val="00387402"/>
    <w:rsid w:val="0039219E"/>
    <w:rsid w:val="0039391C"/>
    <w:rsid w:val="00395856"/>
    <w:rsid w:val="00396250"/>
    <w:rsid w:val="00396BA3"/>
    <w:rsid w:val="003971ED"/>
    <w:rsid w:val="003A0372"/>
    <w:rsid w:val="003A11C7"/>
    <w:rsid w:val="003A2273"/>
    <w:rsid w:val="003A4171"/>
    <w:rsid w:val="003A75EC"/>
    <w:rsid w:val="003B4734"/>
    <w:rsid w:val="003B51ED"/>
    <w:rsid w:val="003B6690"/>
    <w:rsid w:val="003C2B51"/>
    <w:rsid w:val="003C2D2F"/>
    <w:rsid w:val="003C5125"/>
    <w:rsid w:val="003D216E"/>
    <w:rsid w:val="003D22E2"/>
    <w:rsid w:val="003D3CB3"/>
    <w:rsid w:val="003E02D7"/>
    <w:rsid w:val="003E1824"/>
    <w:rsid w:val="003E5FEF"/>
    <w:rsid w:val="003E7D29"/>
    <w:rsid w:val="003F1AD7"/>
    <w:rsid w:val="003F3D42"/>
    <w:rsid w:val="004033E0"/>
    <w:rsid w:val="00403D0A"/>
    <w:rsid w:val="00407318"/>
    <w:rsid w:val="0041085A"/>
    <w:rsid w:val="00414017"/>
    <w:rsid w:val="00414628"/>
    <w:rsid w:val="004169AB"/>
    <w:rsid w:val="00421B83"/>
    <w:rsid w:val="004249D8"/>
    <w:rsid w:val="00426DD4"/>
    <w:rsid w:val="00427EDF"/>
    <w:rsid w:val="00430834"/>
    <w:rsid w:val="00430A32"/>
    <w:rsid w:val="004342EB"/>
    <w:rsid w:val="00434D9E"/>
    <w:rsid w:val="0044096A"/>
    <w:rsid w:val="00445471"/>
    <w:rsid w:val="00446DC8"/>
    <w:rsid w:val="00453708"/>
    <w:rsid w:val="00456145"/>
    <w:rsid w:val="004603EF"/>
    <w:rsid w:val="00460A8B"/>
    <w:rsid w:val="00462F8D"/>
    <w:rsid w:val="0047010C"/>
    <w:rsid w:val="00470163"/>
    <w:rsid w:val="00473885"/>
    <w:rsid w:val="00473EB1"/>
    <w:rsid w:val="0047556B"/>
    <w:rsid w:val="0047593B"/>
    <w:rsid w:val="00477871"/>
    <w:rsid w:val="00477C04"/>
    <w:rsid w:val="00485FD0"/>
    <w:rsid w:val="00486992"/>
    <w:rsid w:val="0048726A"/>
    <w:rsid w:val="004901DA"/>
    <w:rsid w:val="004906C8"/>
    <w:rsid w:val="004925DF"/>
    <w:rsid w:val="00492729"/>
    <w:rsid w:val="004953A8"/>
    <w:rsid w:val="004961B5"/>
    <w:rsid w:val="00496642"/>
    <w:rsid w:val="00496C21"/>
    <w:rsid w:val="004971E2"/>
    <w:rsid w:val="004A03D8"/>
    <w:rsid w:val="004A0896"/>
    <w:rsid w:val="004A2089"/>
    <w:rsid w:val="004A2176"/>
    <w:rsid w:val="004B17BC"/>
    <w:rsid w:val="004B1C70"/>
    <w:rsid w:val="004B1F33"/>
    <w:rsid w:val="004B222E"/>
    <w:rsid w:val="004B541E"/>
    <w:rsid w:val="004B6D19"/>
    <w:rsid w:val="004C2B86"/>
    <w:rsid w:val="004C3979"/>
    <w:rsid w:val="004D0E43"/>
    <w:rsid w:val="004D32B1"/>
    <w:rsid w:val="004D452A"/>
    <w:rsid w:val="004D6DC3"/>
    <w:rsid w:val="004D762C"/>
    <w:rsid w:val="004E38C0"/>
    <w:rsid w:val="004E552F"/>
    <w:rsid w:val="004E7D7F"/>
    <w:rsid w:val="004F1E71"/>
    <w:rsid w:val="004F23C3"/>
    <w:rsid w:val="004F35EF"/>
    <w:rsid w:val="004F44D8"/>
    <w:rsid w:val="004F7797"/>
    <w:rsid w:val="004F7C15"/>
    <w:rsid w:val="0050083A"/>
    <w:rsid w:val="00502BFB"/>
    <w:rsid w:val="00503258"/>
    <w:rsid w:val="00503EE6"/>
    <w:rsid w:val="00505347"/>
    <w:rsid w:val="005066F5"/>
    <w:rsid w:val="00511947"/>
    <w:rsid w:val="0051509C"/>
    <w:rsid w:val="0051536E"/>
    <w:rsid w:val="00516258"/>
    <w:rsid w:val="00517972"/>
    <w:rsid w:val="00517D6E"/>
    <w:rsid w:val="005229C6"/>
    <w:rsid w:val="00525E9B"/>
    <w:rsid w:val="0053002A"/>
    <w:rsid w:val="00531C67"/>
    <w:rsid w:val="00532413"/>
    <w:rsid w:val="0053268C"/>
    <w:rsid w:val="00534DCF"/>
    <w:rsid w:val="005356CB"/>
    <w:rsid w:val="00540494"/>
    <w:rsid w:val="005404D3"/>
    <w:rsid w:val="00542F54"/>
    <w:rsid w:val="005446A4"/>
    <w:rsid w:val="005450BA"/>
    <w:rsid w:val="005452FA"/>
    <w:rsid w:val="00546CF2"/>
    <w:rsid w:val="005472DA"/>
    <w:rsid w:val="005505DE"/>
    <w:rsid w:val="005515C0"/>
    <w:rsid w:val="00551B4A"/>
    <w:rsid w:val="00556339"/>
    <w:rsid w:val="00556A37"/>
    <w:rsid w:val="00562217"/>
    <w:rsid w:val="0056313E"/>
    <w:rsid w:val="00563CC2"/>
    <w:rsid w:val="0056675C"/>
    <w:rsid w:val="0057159A"/>
    <w:rsid w:val="00572B11"/>
    <w:rsid w:val="00582C54"/>
    <w:rsid w:val="0058582D"/>
    <w:rsid w:val="0058747A"/>
    <w:rsid w:val="00591727"/>
    <w:rsid w:val="0059200B"/>
    <w:rsid w:val="00594EED"/>
    <w:rsid w:val="005A13FB"/>
    <w:rsid w:val="005A3A5B"/>
    <w:rsid w:val="005A3AA3"/>
    <w:rsid w:val="005B2851"/>
    <w:rsid w:val="005B6032"/>
    <w:rsid w:val="005C063D"/>
    <w:rsid w:val="005C2B8C"/>
    <w:rsid w:val="005C2BD1"/>
    <w:rsid w:val="005C66CB"/>
    <w:rsid w:val="005C7454"/>
    <w:rsid w:val="005D0270"/>
    <w:rsid w:val="005D0844"/>
    <w:rsid w:val="005D169F"/>
    <w:rsid w:val="005D1CC0"/>
    <w:rsid w:val="005D3B1D"/>
    <w:rsid w:val="005D5F12"/>
    <w:rsid w:val="005D6569"/>
    <w:rsid w:val="005E02AF"/>
    <w:rsid w:val="005E1542"/>
    <w:rsid w:val="005F2EB8"/>
    <w:rsid w:val="005F421F"/>
    <w:rsid w:val="00603BDC"/>
    <w:rsid w:val="006042C2"/>
    <w:rsid w:val="0060453F"/>
    <w:rsid w:val="00605930"/>
    <w:rsid w:val="0060688E"/>
    <w:rsid w:val="006076AE"/>
    <w:rsid w:val="006105CF"/>
    <w:rsid w:val="00615DFA"/>
    <w:rsid w:val="006225F2"/>
    <w:rsid w:val="00622763"/>
    <w:rsid w:val="006235C8"/>
    <w:rsid w:val="00624905"/>
    <w:rsid w:val="006261C6"/>
    <w:rsid w:val="00630725"/>
    <w:rsid w:val="00635447"/>
    <w:rsid w:val="00640482"/>
    <w:rsid w:val="00640D77"/>
    <w:rsid w:val="006418C2"/>
    <w:rsid w:val="00642420"/>
    <w:rsid w:val="006479AC"/>
    <w:rsid w:val="0065121F"/>
    <w:rsid w:val="00652F3B"/>
    <w:rsid w:val="006531DE"/>
    <w:rsid w:val="00656C97"/>
    <w:rsid w:val="006614E0"/>
    <w:rsid w:val="0066600D"/>
    <w:rsid w:val="00667007"/>
    <w:rsid w:val="0067584A"/>
    <w:rsid w:val="0068068B"/>
    <w:rsid w:val="00680D49"/>
    <w:rsid w:val="00683847"/>
    <w:rsid w:val="006842BE"/>
    <w:rsid w:val="006842E0"/>
    <w:rsid w:val="0069096B"/>
    <w:rsid w:val="006946DB"/>
    <w:rsid w:val="0069730E"/>
    <w:rsid w:val="006A2BC6"/>
    <w:rsid w:val="006A2D77"/>
    <w:rsid w:val="006A6564"/>
    <w:rsid w:val="006A673C"/>
    <w:rsid w:val="006A7327"/>
    <w:rsid w:val="006C0171"/>
    <w:rsid w:val="006C12D7"/>
    <w:rsid w:val="006C192F"/>
    <w:rsid w:val="006C40A4"/>
    <w:rsid w:val="006C51D3"/>
    <w:rsid w:val="006C5FAE"/>
    <w:rsid w:val="006C6F61"/>
    <w:rsid w:val="006D46A5"/>
    <w:rsid w:val="006D671B"/>
    <w:rsid w:val="006E0237"/>
    <w:rsid w:val="006E1332"/>
    <w:rsid w:val="006E164B"/>
    <w:rsid w:val="006E699E"/>
    <w:rsid w:val="006E7104"/>
    <w:rsid w:val="006F210C"/>
    <w:rsid w:val="006F4ED3"/>
    <w:rsid w:val="006F5CF0"/>
    <w:rsid w:val="00705A60"/>
    <w:rsid w:val="00705FEF"/>
    <w:rsid w:val="00710878"/>
    <w:rsid w:val="00711CA2"/>
    <w:rsid w:val="00714549"/>
    <w:rsid w:val="007145E8"/>
    <w:rsid w:val="00716DEB"/>
    <w:rsid w:val="0072121E"/>
    <w:rsid w:val="00721D37"/>
    <w:rsid w:val="00723A8F"/>
    <w:rsid w:val="00726129"/>
    <w:rsid w:val="007272D6"/>
    <w:rsid w:val="007316F6"/>
    <w:rsid w:val="00731BE4"/>
    <w:rsid w:val="0073326A"/>
    <w:rsid w:val="00734238"/>
    <w:rsid w:val="0073751F"/>
    <w:rsid w:val="007426A8"/>
    <w:rsid w:val="00744F84"/>
    <w:rsid w:val="007454CD"/>
    <w:rsid w:val="00745ADD"/>
    <w:rsid w:val="00746AFB"/>
    <w:rsid w:val="007479A1"/>
    <w:rsid w:val="0075009B"/>
    <w:rsid w:val="00751E61"/>
    <w:rsid w:val="00752003"/>
    <w:rsid w:val="00752137"/>
    <w:rsid w:val="00752190"/>
    <w:rsid w:val="0075231A"/>
    <w:rsid w:val="00756008"/>
    <w:rsid w:val="00760636"/>
    <w:rsid w:val="00761860"/>
    <w:rsid w:val="00762AB5"/>
    <w:rsid w:val="00763484"/>
    <w:rsid w:val="00764523"/>
    <w:rsid w:val="00764F15"/>
    <w:rsid w:val="00765D83"/>
    <w:rsid w:val="007668C1"/>
    <w:rsid w:val="00766AE2"/>
    <w:rsid w:val="00766B37"/>
    <w:rsid w:val="007678A9"/>
    <w:rsid w:val="00773B5D"/>
    <w:rsid w:val="00773E2B"/>
    <w:rsid w:val="00774A6A"/>
    <w:rsid w:val="007773BC"/>
    <w:rsid w:val="00777A92"/>
    <w:rsid w:val="0078244B"/>
    <w:rsid w:val="00782669"/>
    <w:rsid w:val="00782B82"/>
    <w:rsid w:val="00784F25"/>
    <w:rsid w:val="007850A3"/>
    <w:rsid w:val="00786404"/>
    <w:rsid w:val="00786779"/>
    <w:rsid w:val="00793F1E"/>
    <w:rsid w:val="0079603A"/>
    <w:rsid w:val="007970DE"/>
    <w:rsid w:val="00797A68"/>
    <w:rsid w:val="007A25D9"/>
    <w:rsid w:val="007A2DBD"/>
    <w:rsid w:val="007A33B6"/>
    <w:rsid w:val="007B1509"/>
    <w:rsid w:val="007B1B8F"/>
    <w:rsid w:val="007B5AB6"/>
    <w:rsid w:val="007B6304"/>
    <w:rsid w:val="007C0EF4"/>
    <w:rsid w:val="007C1F94"/>
    <w:rsid w:val="007C4212"/>
    <w:rsid w:val="007C6371"/>
    <w:rsid w:val="007C7EA5"/>
    <w:rsid w:val="007D0144"/>
    <w:rsid w:val="007D0737"/>
    <w:rsid w:val="007D6123"/>
    <w:rsid w:val="007E1ED8"/>
    <w:rsid w:val="007E2B05"/>
    <w:rsid w:val="007E62B0"/>
    <w:rsid w:val="007E73B3"/>
    <w:rsid w:val="007F005F"/>
    <w:rsid w:val="007F3B53"/>
    <w:rsid w:val="007F5677"/>
    <w:rsid w:val="007F7C7E"/>
    <w:rsid w:val="00806DC6"/>
    <w:rsid w:val="00806DD5"/>
    <w:rsid w:val="00807F13"/>
    <w:rsid w:val="008111C7"/>
    <w:rsid w:val="00811F3D"/>
    <w:rsid w:val="00811FF4"/>
    <w:rsid w:val="008132B7"/>
    <w:rsid w:val="00813677"/>
    <w:rsid w:val="00814403"/>
    <w:rsid w:val="008166BE"/>
    <w:rsid w:val="0082144E"/>
    <w:rsid w:val="00821963"/>
    <w:rsid w:val="00821F5E"/>
    <w:rsid w:val="00822321"/>
    <w:rsid w:val="0082284C"/>
    <w:rsid w:val="00824AA2"/>
    <w:rsid w:val="00824C09"/>
    <w:rsid w:val="00825B2B"/>
    <w:rsid w:val="00827F21"/>
    <w:rsid w:val="00830071"/>
    <w:rsid w:val="00830764"/>
    <w:rsid w:val="00830DCC"/>
    <w:rsid w:val="00833556"/>
    <w:rsid w:val="00835B82"/>
    <w:rsid w:val="00837D0F"/>
    <w:rsid w:val="00840882"/>
    <w:rsid w:val="00842DD0"/>
    <w:rsid w:val="00844D0F"/>
    <w:rsid w:val="008508B5"/>
    <w:rsid w:val="0085526D"/>
    <w:rsid w:val="00856CD8"/>
    <w:rsid w:val="00861EBD"/>
    <w:rsid w:val="008647DA"/>
    <w:rsid w:val="00870071"/>
    <w:rsid w:val="00873094"/>
    <w:rsid w:val="008731AA"/>
    <w:rsid w:val="00873C73"/>
    <w:rsid w:val="008747D0"/>
    <w:rsid w:val="0087586F"/>
    <w:rsid w:val="00875FFD"/>
    <w:rsid w:val="0088107A"/>
    <w:rsid w:val="00883A1C"/>
    <w:rsid w:val="00884644"/>
    <w:rsid w:val="0089255A"/>
    <w:rsid w:val="00892816"/>
    <w:rsid w:val="00893463"/>
    <w:rsid w:val="008934D0"/>
    <w:rsid w:val="0089528A"/>
    <w:rsid w:val="00895552"/>
    <w:rsid w:val="0089722F"/>
    <w:rsid w:val="008A2FA3"/>
    <w:rsid w:val="008A4D99"/>
    <w:rsid w:val="008A5A27"/>
    <w:rsid w:val="008A67D9"/>
    <w:rsid w:val="008A757B"/>
    <w:rsid w:val="008B5E11"/>
    <w:rsid w:val="008B6161"/>
    <w:rsid w:val="008C06E0"/>
    <w:rsid w:val="008C5717"/>
    <w:rsid w:val="008C73C2"/>
    <w:rsid w:val="008D49D6"/>
    <w:rsid w:val="008D5F77"/>
    <w:rsid w:val="008D612D"/>
    <w:rsid w:val="008D7A1F"/>
    <w:rsid w:val="008E018E"/>
    <w:rsid w:val="008E3966"/>
    <w:rsid w:val="008E3DC9"/>
    <w:rsid w:val="008E7AFC"/>
    <w:rsid w:val="008F1AB4"/>
    <w:rsid w:val="008F2C18"/>
    <w:rsid w:val="008F6D00"/>
    <w:rsid w:val="009004D8"/>
    <w:rsid w:val="009018E3"/>
    <w:rsid w:val="009023D2"/>
    <w:rsid w:val="00902B8C"/>
    <w:rsid w:val="009037D3"/>
    <w:rsid w:val="00903990"/>
    <w:rsid w:val="00905D66"/>
    <w:rsid w:val="00907EB9"/>
    <w:rsid w:val="0091235B"/>
    <w:rsid w:val="009131B7"/>
    <w:rsid w:val="00914CAA"/>
    <w:rsid w:val="00915DC6"/>
    <w:rsid w:val="0092261D"/>
    <w:rsid w:val="0092273F"/>
    <w:rsid w:val="00922DD2"/>
    <w:rsid w:val="0092468D"/>
    <w:rsid w:val="009275EE"/>
    <w:rsid w:val="0093213C"/>
    <w:rsid w:val="00945DEC"/>
    <w:rsid w:val="009462E4"/>
    <w:rsid w:val="0095267D"/>
    <w:rsid w:val="00952884"/>
    <w:rsid w:val="00955D86"/>
    <w:rsid w:val="00962523"/>
    <w:rsid w:val="009660FD"/>
    <w:rsid w:val="009662B0"/>
    <w:rsid w:val="00966650"/>
    <w:rsid w:val="009673E0"/>
    <w:rsid w:val="00967CAE"/>
    <w:rsid w:val="00972A42"/>
    <w:rsid w:val="009732E4"/>
    <w:rsid w:val="009747C3"/>
    <w:rsid w:val="00976051"/>
    <w:rsid w:val="00976ED3"/>
    <w:rsid w:val="00976FDC"/>
    <w:rsid w:val="0098385D"/>
    <w:rsid w:val="00994F27"/>
    <w:rsid w:val="00994F35"/>
    <w:rsid w:val="009A1A88"/>
    <w:rsid w:val="009A344C"/>
    <w:rsid w:val="009A3D61"/>
    <w:rsid w:val="009A49D6"/>
    <w:rsid w:val="009A555E"/>
    <w:rsid w:val="009B0645"/>
    <w:rsid w:val="009B0BE3"/>
    <w:rsid w:val="009B13B1"/>
    <w:rsid w:val="009B590C"/>
    <w:rsid w:val="009B77E6"/>
    <w:rsid w:val="009C6D55"/>
    <w:rsid w:val="009D095E"/>
    <w:rsid w:val="009D1C1D"/>
    <w:rsid w:val="009E03A8"/>
    <w:rsid w:val="009E044D"/>
    <w:rsid w:val="009E1F50"/>
    <w:rsid w:val="009E2A75"/>
    <w:rsid w:val="009E2B51"/>
    <w:rsid w:val="009E30CE"/>
    <w:rsid w:val="009F2128"/>
    <w:rsid w:val="009F3FA5"/>
    <w:rsid w:val="00A0095B"/>
    <w:rsid w:val="00A02468"/>
    <w:rsid w:val="00A04BF2"/>
    <w:rsid w:val="00A06314"/>
    <w:rsid w:val="00A07C8D"/>
    <w:rsid w:val="00A129FE"/>
    <w:rsid w:val="00A13BEA"/>
    <w:rsid w:val="00A14492"/>
    <w:rsid w:val="00A14D66"/>
    <w:rsid w:val="00A162BC"/>
    <w:rsid w:val="00A16512"/>
    <w:rsid w:val="00A16E45"/>
    <w:rsid w:val="00A249C6"/>
    <w:rsid w:val="00A260EF"/>
    <w:rsid w:val="00A26C75"/>
    <w:rsid w:val="00A344BE"/>
    <w:rsid w:val="00A3451E"/>
    <w:rsid w:val="00A373F7"/>
    <w:rsid w:val="00A3792D"/>
    <w:rsid w:val="00A37997"/>
    <w:rsid w:val="00A40964"/>
    <w:rsid w:val="00A41BD0"/>
    <w:rsid w:val="00A421E5"/>
    <w:rsid w:val="00A43729"/>
    <w:rsid w:val="00A444AF"/>
    <w:rsid w:val="00A44E51"/>
    <w:rsid w:val="00A5008F"/>
    <w:rsid w:val="00A50270"/>
    <w:rsid w:val="00A52686"/>
    <w:rsid w:val="00A60819"/>
    <w:rsid w:val="00A61968"/>
    <w:rsid w:val="00A62D56"/>
    <w:rsid w:val="00A63A51"/>
    <w:rsid w:val="00A663C2"/>
    <w:rsid w:val="00A66C38"/>
    <w:rsid w:val="00A70F09"/>
    <w:rsid w:val="00A7111A"/>
    <w:rsid w:val="00A738FB"/>
    <w:rsid w:val="00A73C5C"/>
    <w:rsid w:val="00A74B1A"/>
    <w:rsid w:val="00A77705"/>
    <w:rsid w:val="00A80B22"/>
    <w:rsid w:val="00A82950"/>
    <w:rsid w:val="00A84201"/>
    <w:rsid w:val="00A84A71"/>
    <w:rsid w:val="00A855B9"/>
    <w:rsid w:val="00A85CDE"/>
    <w:rsid w:val="00A87CA3"/>
    <w:rsid w:val="00A91432"/>
    <w:rsid w:val="00A91509"/>
    <w:rsid w:val="00A91C26"/>
    <w:rsid w:val="00A93A0D"/>
    <w:rsid w:val="00A94F21"/>
    <w:rsid w:val="00A9588A"/>
    <w:rsid w:val="00A958A5"/>
    <w:rsid w:val="00A95B0A"/>
    <w:rsid w:val="00A963C8"/>
    <w:rsid w:val="00A96763"/>
    <w:rsid w:val="00A97F47"/>
    <w:rsid w:val="00AA149F"/>
    <w:rsid w:val="00AA1B8E"/>
    <w:rsid w:val="00AA21BB"/>
    <w:rsid w:val="00AA2654"/>
    <w:rsid w:val="00AB105B"/>
    <w:rsid w:val="00AB2AF0"/>
    <w:rsid w:val="00AB536E"/>
    <w:rsid w:val="00AB544B"/>
    <w:rsid w:val="00AB771E"/>
    <w:rsid w:val="00AC09F7"/>
    <w:rsid w:val="00AC20BD"/>
    <w:rsid w:val="00AC24D4"/>
    <w:rsid w:val="00AC2529"/>
    <w:rsid w:val="00AC2AEB"/>
    <w:rsid w:val="00AC3AD8"/>
    <w:rsid w:val="00AC527D"/>
    <w:rsid w:val="00AC57A9"/>
    <w:rsid w:val="00AC73B9"/>
    <w:rsid w:val="00AD3855"/>
    <w:rsid w:val="00AD3AAD"/>
    <w:rsid w:val="00AD615E"/>
    <w:rsid w:val="00AE2A13"/>
    <w:rsid w:val="00AE2C56"/>
    <w:rsid w:val="00AE4F7B"/>
    <w:rsid w:val="00AE5F54"/>
    <w:rsid w:val="00AE77FF"/>
    <w:rsid w:val="00AF06B2"/>
    <w:rsid w:val="00AF21C2"/>
    <w:rsid w:val="00AF337C"/>
    <w:rsid w:val="00AF402A"/>
    <w:rsid w:val="00AF50CE"/>
    <w:rsid w:val="00AF7CC4"/>
    <w:rsid w:val="00B04491"/>
    <w:rsid w:val="00B06C7A"/>
    <w:rsid w:val="00B07271"/>
    <w:rsid w:val="00B16093"/>
    <w:rsid w:val="00B17B56"/>
    <w:rsid w:val="00B2245D"/>
    <w:rsid w:val="00B22F59"/>
    <w:rsid w:val="00B23DF2"/>
    <w:rsid w:val="00B25586"/>
    <w:rsid w:val="00B255C5"/>
    <w:rsid w:val="00B33E6B"/>
    <w:rsid w:val="00B34191"/>
    <w:rsid w:val="00B34ABA"/>
    <w:rsid w:val="00B35382"/>
    <w:rsid w:val="00B36649"/>
    <w:rsid w:val="00B418F7"/>
    <w:rsid w:val="00B4459A"/>
    <w:rsid w:val="00B44ADD"/>
    <w:rsid w:val="00B44ED4"/>
    <w:rsid w:val="00B4612C"/>
    <w:rsid w:val="00B468EA"/>
    <w:rsid w:val="00B5040D"/>
    <w:rsid w:val="00B52A70"/>
    <w:rsid w:val="00B55FFC"/>
    <w:rsid w:val="00B5674D"/>
    <w:rsid w:val="00B568BB"/>
    <w:rsid w:val="00B5761C"/>
    <w:rsid w:val="00B60221"/>
    <w:rsid w:val="00B60A31"/>
    <w:rsid w:val="00B61EF2"/>
    <w:rsid w:val="00B6216C"/>
    <w:rsid w:val="00B628EB"/>
    <w:rsid w:val="00B62B2A"/>
    <w:rsid w:val="00B65286"/>
    <w:rsid w:val="00B65CF9"/>
    <w:rsid w:val="00B67976"/>
    <w:rsid w:val="00B729D4"/>
    <w:rsid w:val="00B72E07"/>
    <w:rsid w:val="00B7393A"/>
    <w:rsid w:val="00B74140"/>
    <w:rsid w:val="00B751CC"/>
    <w:rsid w:val="00B7585F"/>
    <w:rsid w:val="00B77D03"/>
    <w:rsid w:val="00B8187E"/>
    <w:rsid w:val="00B81D1B"/>
    <w:rsid w:val="00B82C9B"/>
    <w:rsid w:val="00B82FBA"/>
    <w:rsid w:val="00B84267"/>
    <w:rsid w:val="00B85A90"/>
    <w:rsid w:val="00B86778"/>
    <w:rsid w:val="00B9056A"/>
    <w:rsid w:val="00B91526"/>
    <w:rsid w:val="00B93520"/>
    <w:rsid w:val="00B95C25"/>
    <w:rsid w:val="00B96479"/>
    <w:rsid w:val="00BA0D32"/>
    <w:rsid w:val="00BA3F69"/>
    <w:rsid w:val="00BA54C2"/>
    <w:rsid w:val="00BA5F09"/>
    <w:rsid w:val="00BA6A1B"/>
    <w:rsid w:val="00BA7E6F"/>
    <w:rsid w:val="00BB0BBA"/>
    <w:rsid w:val="00BB0D11"/>
    <w:rsid w:val="00BB32D9"/>
    <w:rsid w:val="00BB3467"/>
    <w:rsid w:val="00BB3FA0"/>
    <w:rsid w:val="00BB7E12"/>
    <w:rsid w:val="00BC262A"/>
    <w:rsid w:val="00BC2E4A"/>
    <w:rsid w:val="00BC3118"/>
    <w:rsid w:val="00BC3F1E"/>
    <w:rsid w:val="00BC43CD"/>
    <w:rsid w:val="00BC5FDF"/>
    <w:rsid w:val="00BD0751"/>
    <w:rsid w:val="00BD1237"/>
    <w:rsid w:val="00BD1F20"/>
    <w:rsid w:val="00BD38FF"/>
    <w:rsid w:val="00BD5114"/>
    <w:rsid w:val="00BD5F84"/>
    <w:rsid w:val="00BD705D"/>
    <w:rsid w:val="00BE159C"/>
    <w:rsid w:val="00BE3AEE"/>
    <w:rsid w:val="00BE3F22"/>
    <w:rsid w:val="00BE5487"/>
    <w:rsid w:val="00BE5826"/>
    <w:rsid w:val="00BE5BC9"/>
    <w:rsid w:val="00BF1F39"/>
    <w:rsid w:val="00BF5881"/>
    <w:rsid w:val="00BF76E8"/>
    <w:rsid w:val="00C009D6"/>
    <w:rsid w:val="00C00EC3"/>
    <w:rsid w:val="00C01241"/>
    <w:rsid w:val="00C01B02"/>
    <w:rsid w:val="00C0244A"/>
    <w:rsid w:val="00C02A5C"/>
    <w:rsid w:val="00C02B7B"/>
    <w:rsid w:val="00C05AB7"/>
    <w:rsid w:val="00C05F40"/>
    <w:rsid w:val="00C07C3D"/>
    <w:rsid w:val="00C12566"/>
    <w:rsid w:val="00C14C09"/>
    <w:rsid w:val="00C20048"/>
    <w:rsid w:val="00C2087B"/>
    <w:rsid w:val="00C21AB2"/>
    <w:rsid w:val="00C22CAC"/>
    <w:rsid w:val="00C261FA"/>
    <w:rsid w:val="00C2649F"/>
    <w:rsid w:val="00C275AC"/>
    <w:rsid w:val="00C3261F"/>
    <w:rsid w:val="00C34116"/>
    <w:rsid w:val="00C357D0"/>
    <w:rsid w:val="00C40EDE"/>
    <w:rsid w:val="00C44959"/>
    <w:rsid w:val="00C46EDB"/>
    <w:rsid w:val="00C47333"/>
    <w:rsid w:val="00C503DC"/>
    <w:rsid w:val="00C5196F"/>
    <w:rsid w:val="00C544FB"/>
    <w:rsid w:val="00C57052"/>
    <w:rsid w:val="00C5778E"/>
    <w:rsid w:val="00C60AAA"/>
    <w:rsid w:val="00C62712"/>
    <w:rsid w:val="00C64CF8"/>
    <w:rsid w:val="00C71431"/>
    <w:rsid w:val="00C71EB0"/>
    <w:rsid w:val="00C75E6D"/>
    <w:rsid w:val="00C76007"/>
    <w:rsid w:val="00C805CC"/>
    <w:rsid w:val="00C82A84"/>
    <w:rsid w:val="00C83FA7"/>
    <w:rsid w:val="00C86F5D"/>
    <w:rsid w:val="00C873B2"/>
    <w:rsid w:val="00C87C28"/>
    <w:rsid w:val="00C91A5F"/>
    <w:rsid w:val="00C92B84"/>
    <w:rsid w:val="00C93E28"/>
    <w:rsid w:val="00CA21DF"/>
    <w:rsid w:val="00CA42C2"/>
    <w:rsid w:val="00CA4664"/>
    <w:rsid w:val="00CA4B89"/>
    <w:rsid w:val="00CA61B4"/>
    <w:rsid w:val="00CA6935"/>
    <w:rsid w:val="00CB1703"/>
    <w:rsid w:val="00CB1B8A"/>
    <w:rsid w:val="00CB30E0"/>
    <w:rsid w:val="00CB3CB6"/>
    <w:rsid w:val="00CB4F57"/>
    <w:rsid w:val="00CB7C78"/>
    <w:rsid w:val="00CC0025"/>
    <w:rsid w:val="00CC2372"/>
    <w:rsid w:val="00CC31CE"/>
    <w:rsid w:val="00CC7260"/>
    <w:rsid w:val="00CD0EF1"/>
    <w:rsid w:val="00CD1211"/>
    <w:rsid w:val="00CD1A93"/>
    <w:rsid w:val="00CD3B0D"/>
    <w:rsid w:val="00CD4D86"/>
    <w:rsid w:val="00CD5B11"/>
    <w:rsid w:val="00CE16D4"/>
    <w:rsid w:val="00CE2639"/>
    <w:rsid w:val="00CE5B6B"/>
    <w:rsid w:val="00CE6F44"/>
    <w:rsid w:val="00CF04CD"/>
    <w:rsid w:val="00CF07EF"/>
    <w:rsid w:val="00CF0E76"/>
    <w:rsid w:val="00CF16E1"/>
    <w:rsid w:val="00CF6524"/>
    <w:rsid w:val="00D00A12"/>
    <w:rsid w:val="00D01394"/>
    <w:rsid w:val="00D015E7"/>
    <w:rsid w:val="00D0197A"/>
    <w:rsid w:val="00D02601"/>
    <w:rsid w:val="00D04275"/>
    <w:rsid w:val="00D04320"/>
    <w:rsid w:val="00D04933"/>
    <w:rsid w:val="00D05259"/>
    <w:rsid w:val="00D052DA"/>
    <w:rsid w:val="00D115B4"/>
    <w:rsid w:val="00D14F5B"/>
    <w:rsid w:val="00D200A1"/>
    <w:rsid w:val="00D202D2"/>
    <w:rsid w:val="00D21B7A"/>
    <w:rsid w:val="00D235DB"/>
    <w:rsid w:val="00D2424F"/>
    <w:rsid w:val="00D24C81"/>
    <w:rsid w:val="00D27CE6"/>
    <w:rsid w:val="00D33639"/>
    <w:rsid w:val="00D33AF3"/>
    <w:rsid w:val="00D34E72"/>
    <w:rsid w:val="00D366DF"/>
    <w:rsid w:val="00D4083B"/>
    <w:rsid w:val="00D42D48"/>
    <w:rsid w:val="00D4384B"/>
    <w:rsid w:val="00D43D49"/>
    <w:rsid w:val="00D47899"/>
    <w:rsid w:val="00D5240C"/>
    <w:rsid w:val="00D62D5A"/>
    <w:rsid w:val="00D6442A"/>
    <w:rsid w:val="00D65971"/>
    <w:rsid w:val="00D7166A"/>
    <w:rsid w:val="00D71A86"/>
    <w:rsid w:val="00D750C3"/>
    <w:rsid w:val="00D77F4B"/>
    <w:rsid w:val="00D85918"/>
    <w:rsid w:val="00D85956"/>
    <w:rsid w:val="00D85D04"/>
    <w:rsid w:val="00D8760E"/>
    <w:rsid w:val="00D92A10"/>
    <w:rsid w:val="00D92D54"/>
    <w:rsid w:val="00D96011"/>
    <w:rsid w:val="00D97AE9"/>
    <w:rsid w:val="00DA0DDB"/>
    <w:rsid w:val="00DA10AB"/>
    <w:rsid w:val="00DA3496"/>
    <w:rsid w:val="00DA430A"/>
    <w:rsid w:val="00DA5837"/>
    <w:rsid w:val="00DB0A95"/>
    <w:rsid w:val="00DB1F9E"/>
    <w:rsid w:val="00DB3667"/>
    <w:rsid w:val="00DB5A6F"/>
    <w:rsid w:val="00DB6E48"/>
    <w:rsid w:val="00DB7712"/>
    <w:rsid w:val="00DB7A2D"/>
    <w:rsid w:val="00DC1720"/>
    <w:rsid w:val="00DC2B11"/>
    <w:rsid w:val="00DC632D"/>
    <w:rsid w:val="00DC7856"/>
    <w:rsid w:val="00DD0BC7"/>
    <w:rsid w:val="00DD2759"/>
    <w:rsid w:val="00DD3E38"/>
    <w:rsid w:val="00DD5EEF"/>
    <w:rsid w:val="00DD6655"/>
    <w:rsid w:val="00DD6B24"/>
    <w:rsid w:val="00DD6CB7"/>
    <w:rsid w:val="00DD6F6B"/>
    <w:rsid w:val="00DD7F03"/>
    <w:rsid w:val="00DE0504"/>
    <w:rsid w:val="00DE3A72"/>
    <w:rsid w:val="00DE47F7"/>
    <w:rsid w:val="00DE6EBD"/>
    <w:rsid w:val="00DF0995"/>
    <w:rsid w:val="00DF1900"/>
    <w:rsid w:val="00DF3FB1"/>
    <w:rsid w:val="00DF56DB"/>
    <w:rsid w:val="00DF5D0C"/>
    <w:rsid w:val="00DF647C"/>
    <w:rsid w:val="00E002C6"/>
    <w:rsid w:val="00E0123D"/>
    <w:rsid w:val="00E01786"/>
    <w:rsid w:val="00E01FB5"/>
    <w:rsid w:val="00E020D6"/>
    <w:rsid w:val="00E02657"/>
    <w:rsid w:val="00E0306E"/>
    <w:rsid w:val="00E03A19"/>
    <w:rsid w:val="00E0498A"/>
    <w:rsid w:val="00E04D56"/>
    <w:rsid w:val="00E10321"/>
    <w:rsid w:val="00E1142A"/>
    <w:rsid w:val="00E11C14"/>
    <w:rsid w:val="00E12856"/>
    <w:rsid w:val="00E137A1"/>
    <w:rsid w:val="00E13B71"/>
    <w:rsid w:val="00E14EFD"/>
    <w:rsid w:val="00E17D90"/>
    <w:rsid w:val="00E20397"/>
    <w:rsid w:val="00E21241"/>
    <w:rsid w:val="00E2336E"/>
    <w:rsid w:val="00E235DE"/>
    <w:rsid w:val="00E237A0"/>
    <w:rsid w:val="00E24949"/>
    <w:rsid w:val="00E24AA1"/>
    <w:rsid w:val="00E26B56"/>
    <w:rsid w:val="00E2776E"/>
    <w:rsid w:val="00E27D54"/>
    <w:rsid w:val="00E326A8"/>
    <w:rsid w:val="00E32974"/>
    <w:rsid w:val="00E41F5C"/>
    <w:rsid w:val="00E45BFF"/>
    <w:rsid w:val="00E50008"/>
    <w:rsid w:val="00E50554"/>
    <w:rsid w:val="00E50C10"/>
    <w:rsid w:val="00E5139C"/>
    <w:rsid w:val="00E5284A"/>
    <w:rsid w:val="00E52D2D"/>
    <w:rsid w:val="00E533D3"/>
    <w:rsid w:val="00E55ED2"/>
    <w:rsid w:val="00E57971"/>
    <w:rsid w:val="00E57B89"/>
    <w:rsid w:val="00E60E85"/>
    <w:rsid w:val="00E72862"/>
    <w:rsid w:val="00E763A4"/>
    <w:rsid w:val="00E7751B"/>
    <w:rsid w:val="00E77B8C"/>
    <w:rsid w:val="00E804E9"/>
    <w:rsid w:val="00E80C1D"/>
    <w:rsid w:val="00E81484"/>
    <w:rsid w:val="00E83C74"/>
    <w:rsid w:val="00E84298"/>
    <w:rsid w:val="00E872F7"/>
    <w:rsid w:val="00E92E7C"/>
    <w:rsid w:val="00E93DEB"/>
    <w:rsid w:val="00E94FE0"/>
    <w:rsid w:val="00E95EB2"/>
    <w:rsid w:val="00EA1A45"/>
    <w:rsid w:val="00EA24EB"/>
    <w:rsid w:val="00EB1AA0"/>
    <w:rsid w:val="00EC06C7"/>
    <w:rsid w:val="00EC1A10"/>
    <w:rsid w:val="00EC21ED"/>
    <w:rsid w:val="00EC2989"/>
    <w:rsid w:val="00EC3D09"/>
    <w:rsid w:val="00EC736B"/>
    <w:rsid w:val="00EC7C09"/>
    <w:rsid w:val="00ED1486"/>
    <w:rsid w:val="00ED3E4E"/>
    <w:rsid w:val="00ED4B46"/>
    <w:rsid w:val="00ED5E39"/>
    <w:rsid w:val="00EE368B"/>
    <w:rsid w:val="00EE75FE"/>
    <w:rsid w:val="00EE77BC"/>
    <w:rsid w:val="00EF4FA4"/>
    <w:rsid w:val="00EF5145"/>
    <w:rsid w:val="00EF644E"/>
    <w:rsid w:val="00EF6965"/>
    <w:rsid w:val="00EF6DB8"/>
    <w:rsid w:val="00EF7781"/>
    <w:rsid w:val="00F02660"/>
    <w:rsid w:val="00F04C67"/>
    <w:rsid w:val="00F05FBC"/>
    <w:rsid w:val="00F16C15"/>
    <w:rsid w:val="00F20296"/>
    <w:rsid w:val="00F209F8"/>
    <w:rsid w:val="00F21356"/>
    <w:rsid w:val="00F22F58"/>
    <w:rsid w:val="00F253F3"/>
    <w:rsid w:val="00F254C2"/>
    <w:rsid w:val="00F26546"/>
    <w:rsid w:val="00F27FC5"/>
    <w:rsid w:val="00F30368"/>
    <w:rsid w:val="00F3097B"/>
    <w:rsid w:val="00F30E46"/>
    <w:rsid w:val="00F3492E"/>
    <w:rsid w:val="00F426D8"/>
    <w:rsid w:val="00F42B51"/>
    <w:rsid w:val="00F457C2"/>
    <w:rsid w:val="00F46983"/>
    <w:rsid w:val="00F47FB6"/>
    <w:rsid w:val="00F50E18"/>
    <w:rsid w:val="00F537D3"/>
    <w:rsid w:val="00F53F2C"/>
    <w:rsid w:val="00F54FEB"/>
    <w:rsid w:val="00F554CF"/>
    <w:rsid w:val="00F562D2"/>
    <w:rsid w:val="00F57674"/>
    <w:rsid w:val="00F62519"/>
    <w:rsid w:val="00F63BA4"/>
    <w:rsid w:val="00F65253"/>
    <w:rsid w:val="00F65957"/>
    <w:rsid w:val="00F676A4"/>
    <w:rsid w:val="00F71310"/>
    <w:rsid w:val="00F72AEE"/>
    <w:rsid w:val="00F75601"/>
    <w:rsid w:val="00F76029"/>
    <w:rsid w:val="00F80A04"/>
    <w:rsid w:val="00F85812"/>
    <w:rsid w:val="00F913D8"/>
    <w:rsid w:val="00F91AAB"/>
    <w:rsid w:val="00F9434C"/>
    <w:rsid w:val="00FA65BE"/>
    <w:rsid w:val="00FB07C5"/>
    <w:rsid w:val="00FB14D7"/>
    <w:rsid w:val="00FB2FB3"/>
    <w:rsid w:val="00FB75D2"/>
    <w:rsid w:val="00FC3F30"/>
    <w:rsid w:val="00FC79B1"/>
    <w:rsid w:val="00FD07E7"/>
    <w:rsid w:val="00FD0A73"/>
    <w:rsid w:val="00FD2921"/>
    <w:rsid w:val="00FD2D1E"/>
    <w:rsid w:val="00FD3B4C"/>
    <w:rsid w:val="00FD3F83"/>
    <w:rsid w:val="00FE1305"/>
    <w:rsid w:val="00FE2322"/>
    <w:rsid w:val="00FE4835"/>
    <w:rsid w:val="00FE6277"/>
    <w:rsid w:val="00FE65B5"/>
    <w:rsid w:val="00FF2506"/>
    <w:rsid w:val="00FF435B"/>
    <w:rsid w:val="00FF55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18485"/>
  <w15:chartTrackingRefBased/>
  <w15:docId w15:val="{A24CC897-CD6C-4A8E-858C-C82D79B5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tabs>
        <w:tab w:val="clear" w:pos="4112"/>
        <w:tab w:val="num" w:pos="2977"/>
      </w:tabs>
      <w:spacing w:before="0"/>
      <w:ind w:left="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824AA2"/>
    <w:rPr>
      <w:color w:val="808080"/>
    </w:rPr>
  </w:style>
  <w:style w:type="character" w:styleId="FollowedHyperlink">
    <w:name w:val="FollowedHyperlink"/>
    <w:basedOn w:val="DefaultParagraphFont"/>
    <w:uiPriority w:val="99"/>
    <w:semiHidden/>
    <w:unhideWhenUsed/>
    <w:rsid w:val="00C01B02"/>
    <w:rPr>
      <w:color w:val="954F72" w:themeColor="followedHyperlink"/>
      <w:u w:val="single"/>
    </w:rPr>
  </w:style>
  <w:style w:type="paragraph" w:styleId="TOC4">
    <w:name w:val="toc 4"/>
    <w:basedOn w:val="Normal"/>
    <w:next w:val="Normal"/>
    <w:autoRedefine/>
    <w:uiPriority w:val="39"/>
    <w:semiHidden/>
    <w:unhideWhenUsed/>
    <w:rsid w:val="00C01B02"/>
    <w:pPr>
      <w:spacing w:after="100"/>
      <w:ind w:left="660"/>
    </w:pPr>
  </w:style>
  <w:style w:type="paragraph" w:styleId="TOC5">
    <w:name w:val="toc 5"/>
    <w:basedOn w:val="Normal"/>
    <w:next w:val="Normal"/>
    <w:autoRedefine/>
    <w:uiPriority w:val="39"/>
    <w:semiHidden/>
    <w:unhideWhenUsed/>
    <w:rsid w:val="00C01B02"/>
    <w:pPr>
      <w:spacing w:after="100"/>
      <w:ind w:left="880"/>
    </w:pPr>
  </w:style>
  <w:style w:type="paragraph" w:styleId="TOC6">
    <w:name w:val="toc 6"/>
    <w:basedOn w:val="Normal"/>
    <w:next w:val="Normal"/>
    <w:autoRedefine/>
    <w:uiPriority w:val="39"/>
    <w:semiHidden/>
    <w:unhideWhenUsed/>
    <w:rsid w:val="00C01B02"/>
    <w:pPr>
      <w:spacing w:after="100"/>
      <w:ind w:left="1100"/>
    </w:pPr>
  </w:style>
  <w:style w:type="paragraph" w:styleId="TOC7">
    <w:name w:val="toc 7"/>
    <w:basedOn w:val="Normal"/>
    <w:next w:val="Normal"/>
    <w:autoRedefine/>
    <w:uiPriority w:val="39"/>
    <w:semiHidden/>
    <w:unhideWhenUsed/>
    <w:rsid w:val="00C01B02"/>
    <w:pPr>
      <w:spacing w:after="100"/>
      <w:ind w:left="1320"/>
    </w:pPr>
  </w:style>
  <w:style w:type="paragraph" w:styleId="TOC8">
    <w:name w:val="toc 8"/>
    <w:basedOn w:val="Normal"/>
    <w:next w:val="Normal"/>
    <w:autoRedefine/>
    <w:uiPriority w:val="39"/>
    <w:semiHidden/>
    <w:unhideWhenUsed/>
    <w:rsid w:val="00C01B02"/>
    <w:pPr>
      <w:spacing w:after="100"/>
      <w:ind w:left="1540"/>
    </w:pPr>
  </w:style>
  <w:style w:type="paragraph" w:styleId="TOC9">
    <w:name w:val="toc 9"/>
    <w:basedOn w:val="Normal"/>
    <w:next w:val="Normal"/>
    <w:autoRedefine/>
    <w:uiPriority w:val="39"/>
    <w:semiHidden/>
    <w:unhideWhenUsed/>
    <w:rsid w:val="00C01B02"/>
    <w:pPr>
      <w:spacing w:after="100"/>
      <w:ind w:left="1760"/>
    </w:pPr>
  </w:style>
  <w:style w:type="character" w:styleId="CommentReference">
    <w:name w:val="annotation reference"/>
    <w:basedOn w:val="DefaultParagraphFont"/>
    <w:uiPriority w:val="99"/>
    <w:semiHidden/>
    <w:unhideWhenUsed/>
    <w:rsid w:val="00414628"/>
    <w:rPr>
      <w:sz w:val="16"/>
      <w:szCs w:val="16"/>
    </w:rPr>
  </w:style>
  <w:style w:type="paragraph" w:styleId="CommentText">
    <w:name w:val="annotation text"/>
    <w:basedOn w:val="Normal"/>
    <w:link w:val="CommentTextChar"/>
    <w:uiPriority w:val="99"/>
    <w:semiHidden/>
    <w:unhideWhenUsed/>
    <w:rsid w:val="00414628"/>
    <w:rPr>
      <w:sz w:val="20"/>
      <w:szCs w:val="20"/>
    </w:rPr>
  </w:style>
  <w:style w:type="character" w:customStyle="1" w:styleId="CommentTextChar">
    <w:name w:val="Comment Text Char"/>
    <w:basedOn w:val="DefaultParagraphFont"/>
    <w:link w:val="CommentText"/>
    <w:uiPriority w:val="99"/>
    <w:semiHidden/>
    <w:rsid w:val="0041462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14628"/>
    <w:rPr>
      <w:b/>
      <w:bCs/>
    </w:rPr>
  </w:style>
  <w:style w:type="character" w:customStyle="1" w:styleId="CommentSubjectChar">
    <w:name w:val="Comment Subject Char"/>
    <w:basedOn w:val="CommentTextChar"/>
    <w:link w:val="CommentSubject"/>
    <w:uiPriority w:val="99"/>
    <w:semiHidden/>
    <w:rsid w:val="00414628"/>
    <w:rPr>
      <w:rFonts w:ascii="Times New Roman" w:hAnsi="Times New Roman"/>
      <w:b/>
      <w:bCs/>
      <w:sz w:val="20"/>
      <w:szCs w:val="20"/>
    </w:rPr>
  </w:style>
  <w:style w:type="character" w:customStyle="1" w:styleId="NormalparatextnonumbersChar">
    <w:name w:val="Normal para text (no numbers) Char"/>
    <w:basedOn w:val="DefaultParagraphFont"/>
    <w:link w:val="Normalparatextnonumbers"/>
    <w:rsid w:val="00A66C38"/>
    <w:rPr>
      <w:rFonts w:ascii="Times New Roman" w:hAnsi="Times New Roman"/>
    </w:rPr>
  </w:style>
  <w:style w:type="numbering" w:customStyle="1" w:styleId="NumberedList1">
    <w:name w:val="Numbered List1"/>
    <w:uiPriority w:val="99"/>
    <w:rsid w:val="00A66C38"/>
  </w:style>
  <w:style w:type="character" w:customStyle="1" w:styleId="NormalparatextwithnumbersChar">
    <w:name w:val="Normal para text (with numbers) Char"/>
    <w:basedOn w:val="NormalparatextnonumbersChar"/>
    <w:link w:val="Normalparatextwithnumbers"/>
    <w:rsid w:val="00A66C3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090966">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135757666">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9262" ma:contentTypeDescription="" ma:contentTypeScope="" ma:versionID="ff34cc9c804efd472232423fe256c39c">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xmlns:ns5="687b78b0-2ddd-4441-8a8b-c9638c2a1939" targetNamespace="http://schemas.microsoft.com/office/2006/metadata/properties" ma:root="true" ma:fieldsID="a71f4731fd3f17c9b31e59af0eb0bc94" ns1:_="" ns2:_="" ns3:_="" ns4:_="" ns5:_="">
    <xsd:import namespace="http://schemas.microsoft.com/sharepoint/v3"/>
    <xsd:import namespace="0f563589-9cf9-4143-b1eb-fb0534803d38"/>
    <xsd:import namespace="9f7bc583-7cbe-45b9-a2bd-8bbb6543b37e"/>
    <xsd:import namespace="http://schemas.microsoft.com/sharepoint/v4"/>
    <xsd:import namespace="687b78b0-2ddd-4441-8a8b-c9638c2a193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4:IconOverlay" minOccurs="0"/>
                <xsd:element ref="ns5:LMU_x0020_Number" minOccurs="0"/>
                <xsd:element ref="ns5:Status" minOccurs="0"/>
                <xsd:element ref="ns5:Number_x0020_version" minOccurs="0"/>
                <xsd:element ref="ns5:NAture_x0020_of_x0020_documents1" minOccurs="0"/>
                <xsd:element ref="ns5:Parliamentary_x0020_session" minOccurs="0"/>
                <xsd:element ref="ns5: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4"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7" nillable="true" ma:displayName="LMU Number" ma:internalName="LMU_x0020_Number">
      <xsd:simpleType>
        <xsd:restriction base="dms:Text">
          <xsd:maxLength value="255"/>
        </xsd:restriction>
      </xsd:simpleType>
    </xsd:element>
    <xsd:element name="Status" ma:index="18"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19" nillable="true" ma:displayName="Number version" ma:internalName="Number_x0020_version">
      <xsd:simpleType>
        <xsd:restriction base="dms:Text">
          <xsd:maxLength value="255"/>
        </xsd:restriction>
      </xsd:simpleType>
    </xsd:element>
    <xsd:element name="NAture_x0020_of_x0020_documents1" ma:index="20"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1"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2"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_dlc_DocId xmlns="0f563589-9cf9-4143-b1eb-fb0534803d38">2022RG-136-79770</_dlc_DocId>
    <TaxCatchAll xmlns="0f563589-9cf9-4143-b1eb-fb0534803d38">
      <Value>1</Value>
    </TaxCatchAll>
    <_dlc_DocIdUrl xmlns="0f563589-9cf9-4143-b1eb-fb0534803d38">
      <Url>http://tweb/sites/rg/ldp/_layouts/15/DocIdRedir.aspx?ID=2022RG-136-79770</Url>
      <Description>2022RG-136-79770</Description>
    </_dlc_DocIdUrl>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documentManagement>
</p:properties>
</file>

<file path=customXml/itemProps1.xml><?xml version="1.0" encoding="utf-8"?>
<ds:datastoreItem xmlns:ds="http://schemas.openxmlformats.org/officeDocument/2006/customXml" ds:itemID="{053F917A-5910-49D6-ACB2-C89ED82D310E}">
  <ds:schemaRefs>
    <ds:schemaRef ds:uri="office.server.policy"/>
  </ds:schemaRefs>
</ds:datastoreItem>
</file>

<file path=customXml/itemProps2.xml><?xml version="1.0" encoding="utf-8"?>
<ds:datastoreItem xmlns:ds="http://schemas.openxmlformats.org/officeDocument/2006/customXml" ds:itemID="{7585BEB0-F3AA-4454-ADB7-4AA691415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687b78b0-2ddd-4441-8a8b-c9638c2a1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C626C-9463-49F0-BF55-077452D3B7D7}">
  <ds:schemaRefs>
    <ds:schemaRef ds:uri="http://schemas.microsoft.com/sharepoint/events"/>
  </ds:schemaRefs>
</ds:datastoreItem>
</file>

<file path=customXml/itemProps4.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5.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6.xml><?xml version="1.0" encoding="utf-8"?>
<ds:datastoreItem xmlns:ds="http://schemas.openxmlformats.org/officeDocument/2006/customXml" ds:itemID="{6AB365E2-A817-49FA-9295-CAB62986032D}">
  <ds:schemaRefs>
    <ds:schemaRef ds:uri="http://schemas.microsoft.com/office/2006/metadata/properties"/>
    <ds:schemaRef ds:uri="http://schemas.microsoft.com/office/infopath/2007/PartnerControls"/>
    <ds:schemaRef ds:uri="9f7bc583-7cbe-45b9-a2bd-8bbb6543b37e"/>
    <ds:schemaRef ds:uri="0f563589-9cf9-4143-b1eb-fb0534803d38"/>
    <ds:schemaRef ds:uri="687b78b0-2ddd-4441-8a8b-c9638c2a1939"/>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Pri-EM.dotx</Template>
  <TotalTime>57</TotalTime>
  <Pages>11</Pages>
  <Words>2281</Words>
  <Characters>13003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Exposure Draft Explanatory Materials: Treasury Laws Amendment (Measures for Consultation) Bill 2022: Taxation Treatment of Digital Currency</vt:lpstr>
    </vt:vector>
  </TitlesOfParts>
  <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Treasury Laws Amendment (Measures for Consultation) Bill 2022: Taxation Treatment of Digital Currency</dc:title>
  <dc:subject/>
  <dc:creator>Australian Government</dc:creator>
  <cp:keywords/>
  <dc:description/>
  <cp:lastModifiedBy>Smith, Matthew</cp:lastModifiedBy>
  <cp:revision>9</cp:revision>
  <cp:lastPrinted>2022-08-30T00:35:00Z</cp:lastPrinted>
  <dcterms:created xsi:type="dcterms:W3CDTF">2022-08-29T23:51:00Z</dcterms:created>
  <dcterms:modified xsi:type="dcterms:W3CDTF">2022-09-01T01:32:00Z</dcterms:modified>
</cp:coreProperties>
</file>