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82336" w14:textId="77777777" w:rsidR="00E62477" w:rsidRPr="006D0240" w:rsidRDefault="00E62477" w:rsidP="00E62477">
      <w:pPr>
        <w:pStyle w:val="CoverTitleSub"/>
        <w:rPr>
          <w:rFonts w:cs="Calibri"/>
          <w:color w:val="auto"/>
          <w:szCs w:val="36"/>
        </w:rPr>
      </w:pPr>
      <w:r>
        <w:rPr>
          <w:rFonts w:cs="Calibri"/>
          <w:noProof/>
          <w:color w:val="auto"/>
          <w:szCs w:val="36"/>
        </w:rPr>
        <w:drawing>
          <wp:inline distT="0" distB="0" distL="0" distR="0" wp14:anchorId="46B8F1AB" wp14:editId="401C15A5">
            <wp:extent cx="2023654" cy="1016169"/>
            <wp:effectExtent l="0" t="0" r="0" b="0"/>
            <wp:docPr id="1" name="Picture 1" descr="Australian Goverment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Govt_stack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19124" cy="1013894"/>
                    </a:xfrm>
                    <a:prstGeom prst="rect">
                      <a:avLst/>
                    </a:prstGeom>
                  </pic:spPr>
                </pic:pic>
              </a:graphicData>
            </a:graphic>
          </wp:inline>
        </w:drawing>
      </w:r>
    </w:p>
    <w:p w14:paraId="62FBBD0F" w14:textId="5A7D7338" w:rsidR="00E62477" w:rsidRDefault="00E62477" w:rsidP="003946CC">
      <w:pPr>
        <w:pStyle w:val="CoverTitleMain"/>
        <w:shd w:val="clear" w:color="auto" w:fill="FFFFFF" w:themeFill="background1"/>
        <w:spacing w:before="2760" w:after="240"/>
        <w:ind w:left="-284" w:right="-286"/>
        <w:rPr>
          <w:rFonts w:ascii="Garamond" w:hAnsi="Garamond"/>
          <w:color w:val="1F4B7D"/>
          <w:szCs w:val="48"/>
        </w:rPr>
      </w:pPr>
      <w:r w:rsidRPr="008C426E">
        <w:rPr>
          <w:rFonts w:ascii="Garamond" w:hAnsi="Garamond"/>
          <w:color w:val="1F4B7D"/>
          <w:szCs w:val="48"/>
        </w:rPr>
        <w:t>Statutory Review of the Consumer Data Right</w:t>
      </w:r>
    </w:p>
    <w:p w14:paraId="0EA37575" w14:textId="0E4D191C" w:rsidR="003D5870" w:rsidRPr="003D5870" w:rsidRDefault="003D5870" w:rsidP="003D5870">
      <w:pPr>
        <w:jc w:val="center"/>
        <w:rPr>
          <w:rFonts w:ascii="Garamond" w:hAnsi="Garamond"/>
          <w:b/>
          <w:color w:val="1F4B7D"/>
          <w:sz w:val="36"/>
          <w:szCs w:val="36"/>
        </w:rPr>
      </w:pPr>
      <w:r w:rsidRPr="003D5870">
        <w:rPr>
          <w:rFonts w:ascii="Garamond" w:hAnsi="Garamond"/>
          <w:b/>
          <w:color w:val="1F4B7D"/>
          <w:sz w:val="36"/>
          <w:szCs w:val="36"/>
        </w:rPr>
        <w:t>Issues paper</w:t>
      </w:r>
    </w:p>
    <w:p w14:paraId="524F11C6" w14:textId="6DA1DFF3" w:rsidR="008C426E" w:rsidRDefault="005C7D04" w:rsidP="008C426E">
      <w:pPr>
        <w:pStyle w:val="CoverTitleSub"/>
        <w:pBdr>
          <w:top w:val="single" w:sz="24" w:space="4" w:color="342E82"/>
        </w:pBdr>
        <w:spacing w:before="480"/>
        <w:rPr>
          <w:rFonts w:ascii="Garamond" w:hAnsi="Garamond"/>
          <w:color w:val="1F4B7D"/>
          <w:sz w:val="48"/>
          <w:szCs w:val="48"/>
        </w:rPr>
      </w:pPr>
      <w:r w:rsidRPr="008C426E">
        <w:rPr>
          <w:rFonts w:ascii="Garamond" w:hAnsi="Garamond"/>
          <w:color w:val="1F4B7D"/>
          <w:sz w:val="48"/>
          <w:szCs w:val="48"/>
        </w:rPr>
        <w:t>Reviewer</w:t>
      </w:r>
      <w:r w:rsidR="00B305B0">
        <w:rPr>
          <w:rFonts w:ascii="Garamond" w:hAnsi="Garamond"/>
          <w:color w:val="1F4B7D"/>
          <w:sz w:val="48"/>
          <w:szCs w:val="48"/>
        </w:rPr>
        <w:t>:</w:t>
      </w:r>
      <w:r w:rsidRPr="008C426E">
        <w:rPr>
          <w:rFonts w:ascii="Garamond" w:hAnsi="Garamond"/>
          <w:color w:val="1F4B7D"/>
          <w:sz w:val="48"/>
          <w:szCs w:val="48"/>
        </w:rPr>
        <w:t xml:space="preserve"> Ms Elizabeth Kelly PSM</w:t>
      </w:r>
    </w:p>
    <w:p w14:paraId="6E90DE9C" w14:textId="69508D71" w:rsidR="00E62477" w:rsidRPr="008C426E" w:rsidRDefault="005C7D04" w:rsidP="008C426E">
      <w:pPr>
        <w:pStyle w:val="CoverTitleSub"/>
        <w:pBdr>
          <w:top w:val="single" w:sz="24" w:space="4" w:color="342E82"/>
        </w:pBdr>
        <w:spacing w:before="480"/>
        <w:rPr>
          <w:rFonts w:ascii="Garamond" w:hAnsi="Garamond"/>
          <w:color w:val="1F4B7D"/>
          <w:sz w:val="48"/>
          <w:szCs w:val="48"/>
        </w:rPr>
      </w:pPr>
      <w:r>
        <w:rPr>
          <w:rFonts w:ascii="Garamond" w:hAnsi="Garamond"/>
          <w:color w:val="1F4B7D"/>
          <w:szCs w:val="28"/>
        </w:rPr>
        <w:t>March 2022</w:t>
      </w:r>
      <w:r w:rsidR="00E62477" w:rsidRPr="00E62477">
        <w:rPr>
          <w:rFonts w:ascii="Garamond" w:hAnsi="Garamond"/>
          <w:color w:val="1F4B7D"/>
          <w:sz w:val="48"/>
        </w:rPr>
        <w:br/>
      </w:r>
    </w:p>
    <w:p w14:paraId="4A49ED49" w14:textId="77777777" w:rsidR="000E0B74" w:rsidRDefault="000E0B74" w:rsidP="000E0B74">
      <w:pPr>
        <w:sectPr w:rsidR="000E0B74" w:rsidSect="00E1136B">
          <w:headerReference w:type="default" r:id="rId9"/>
          <w:pgSz w:w="11906" w:h="16838"/>
          <w:pgMar w:top="1418" w:right="1418" w:bottom="1418" w:left="1418" w:header="709" w:footer="709" w:gutter="0"/>
          <w:pgNumType w:fmt="lowerRoman" w:start="1"/>
          <w:cols w:space="720"/>
        </w:sectPr>
      </w:pPr>
    </w:p>
    <w:p w14:paraId="1120E144" w14:textId="7321F89A" w:rsidR="000E0B74" w:rsidRDefault="000E0B74" w:rsidP="000E0B74">
      <w:pPr>
        <w:spacing w:before="240"/>
      </w:pPr>
      <w:r w:rsidRPr="00661BF0">
        <w:lastRenderedPageBreak/>
        <w:t xml:space="preserve">© Commonwealth of Australia </w:t>
      </w:r>
      <w:r w:rsidRPr="00494645">
        <w:t>20</w:t>
      </w:r>
      <w:r w:rsidR="00EF2FBF" w:rsidRPr="00494645">
        <w:t>2</w:t>
      </w:r>
      <w:r w:rsidR="00BF5A7D">
        <w:t>2</w:t>
      </w:r>
    </w:p>
    <w:p w14:paraId="356E95B7" w14:textId="7C778563"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0"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1"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6E72672B" w14:textId="77777777" w:rsidR="000E0B74" w:rsidRDefault="000E0B74" w:rsidP="000E0B74">
      <w:pPr>
        <w:pStyle w:val="ChartGraphic"/>
        <w:jc w:val="left"/>
      </w:pPr>
      <w:r w:rsidRPr="00E56DFB">
        <w:rPr>
          <w:noProof/>
          <w:lang w:eastAsia="zh-CN"/>
        </w:rPr>
        <w:drawing>
          <wp:inline distT="0" distB="0" distL="0" distR="0" wp14:anchorId="033394A6" wp14:editId="6CDA5C20">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35ECC6B8"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3"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57906279" w14:textId="77777777" w:rsidR="000E0B74" w:rsidRPr="002F1BC2" w:rsidRDefault="000E0B74" w:rsidP="000E0B74">
      <w:pPr>
        <w:ind w:left="709"/>
        <w:rPr>
          <w:i/>
        </w:rPr>
      </w:pPr>
      <w:r w:rsidRPr="002F1BC2">
        <w:rPr>
          <w:i/>
        </w:rPr>
        <w:t xml:space="preserve">Treasury material used </w:t>
      </w:r>
      <w:r>
        <w:rPr>
          <w:i/>
        </w:rPr>
        <w:t>‘</w:t>
      </w:r>
      <w:r w:rsidRPr="002F1BC2">
        <w:rPr>
          <w:i/>
        </w:rPr>
        <w:t>as supplied</w:t>
      </w:r>
      <w:r>
        <w:rPr>
          <w:i/>
        </w:rPr>
        <w:t>’.</w:t>
      </w:r>
    </w:p>
    <w:p w14:paraId="591EAFCC" w14:textId="77777777" w:rsidR="000E0B74" w:rsidRPr="00476F09" w:rsidRDefault="000E0B74" w:rsidP="000E0B74">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094AF7E9" w14:textId="58BE3B33" w:rsidR="000E0B74" w:rsidRPr="00A13A11" w:rsidRDefault="000E0B74" w:rsidP="000E0B74">
      <w:pPr>
        <w:ind w:firstLine="720"/>
      </w:pPr>
      <w:r w:rsidRPr="002F1BC2">
        <w:rPr>
          <w:i/>
        </w:rPr>
        <w:t xml:space="preserve">Source: The </w:t>
      </w:r>
      <w:r w:rsidRPr="002F1BC2">
        <w:rPr>
          <w:i/>
          <w:iCs/>
        </w:rPr>
        <w:t>Australian Government the Treasury</w:t>
      </w:r>
      <w:r>
        <w:t>.</w:t>
      </w:r>
    </w:p>
    <w:p w14:paraId="1C154E1C" w14:textId="77777777" w:rsidR="000E0B74" w:rsidRPr="006627B4" w:rsidRDefault="000E0B74" w:rsidP="000E0B74">
      <w:pPr>
        <w:spacing w:before="240"/>
      </w:pPr>
      <w:r w:rsidRPr="00CC63CC">
        <w:rPr>
          <w:b/>
        </w:rPr>
        <w:t>Derivative</w:t>
      </w:r>
      <w:r w:rsidRPr="006627B4">
        <w:t xml:space="preserve"> </w:t>
      </w:r>
      <w:r w:rsidRPr="00CC63CC">
        <w:rPr>
          <w:b/>
        </w:rPr>
        <w:t>material</w:t>
      </w:r>
    </w:p>
    <w:p w14:paraId="78623EF1"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6C159B49" w14:textId="4B3B20A9" w:rsidR="000E0B74" w:rsidRPr="006627B4" w:rsidRDefault="000E0B74" w:rsidP="000E0B74">
      <w:pPr>
        <w:ind w:firstLine="720"/>
      </w:pPr>
      <w:r w:rsidRPr="002F1BC2">
        <w:rPr>
          <w:i/>
        </w:rPr>
        <w:t>Based on The Australian Government the Treasury data</w:t>
      </w:r>
      <w:r>
        <w:t>.</w:t>
      </w:r>
    </w:p>
    <w:p w14:paraId="13F3238D" w14:textId="77777777" w:rsidR="000E0B74" w:rsidRPr="006627B4" w:rsidRDefault="000E0B74" w:rsidP="000E0B74">
      <w:pPr>
        <w:spacing w:before="240"/>
        <w:rPr>
          <w:b/>
        </w:rPr>
      </w:pPr>
      <w:r w:rsidRPr="006627B4">
        <w:rPr>
          <w:b/>
        </w:rPr>
        <w:t>Use of the Coat of Arms</w:t>
      </w:r>
    </w:p>
    <w:p w14:paraId="71A79E94" w14:textId="77777777"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14" w:history="1">
        <w:r w:rsidRPr="005A283B">
          <w:rPr>
            <w:rStyle w:val="Hyperlink"/>
          </w:rPr>
          <w:t>www.pmc.gov.au/government/commonwealth-coat-arm</w:t>
        </w:r>
      </w:hyperlink>
      <w:r w:rsidRPr="004A7BC2">
        <w:t>s).</w:t>
      </w:r>
    </w:p>
    <w:p w14:paraId="467B831C" w14:textId="77777777" w:rsidR="000E0B74" w:rsidRPr="006627B4" w:rsidRDefault="000E0B74" w:rsidP="000E0B74">
      <w:pPr>
        <w:spacing w:before="240"/>
        <w:rPr>
          <w:b/>
        </w:rPr>
      </w:pPr>
      <w:r>
        <w:rPr>
          <w:b/>
        </w:rPr>
        <w:t>Other u</w:t>
      </w:r>
      <w:r w:rsidRPr="006627B4">
        <w:rPr>
          <w:b/>
        </w:rPr>
        <w:t>ses</w:t>
      </w:r>
    </w:p>
    <w:p w14:paraId="0B61A004" w14:textId="77777777" w:rsidR="000E0B74" w:rsidRPr="006627B4" w:rsidRDefault="000E0B74" w:rsidP="000E0B74">
      <w:r>
        <w:t>E</w:t>
      </w:r>
      <w:r w:rsidRPr="006627B4">
        <w:t>nquiries regarding this licence and any other use of this document are welcome at:</w:t>
      </w:r>
    </w:p>
    <w:p w14:paraId="4E13359A" w14:textId="76F46B4F" w:rsidR="000E0B74" w:rsidRPr="00666341" w:rsidRDefault="000E0B74" w:rsidP="00666341">
      <w:pPr>
        <w:ind w:left="720"/>
        <w:rPr>
          <w:color w:val="3A6FAF" w:themeColor="accent2"/>
        </w:rPr>
        <w:sectPr w:rsidR="000E0B74" w:rsidRPr="00666341" w:rsidSect="00475B7B">
          <w:headerReference w:type="even" r:id="rId15"/>
          <w:headerReference w:type="default" r:id="rId16"/>
          <w:footerReference w:type="even" r:id="rId17"/>
          <w:pgSz w:w="11906" w:h="16838" w:code="9"/>
          <w:pgMar w:top="1418" w:right="1418" w:bottom="1418" w:left="1418" w:header="709" w:footer="709" w:gutter="0"/>
          <w:pgNumType w:fmt="lowerRoman"/>
          <w:cols w:space="708"/>
          <w:titlePg/>
          <w:docGrid w:linePitch="360"/>
        </w:sectPr>
      </w:pPr>
      <w:r w:rsidRPr="006627B4">
        <w:t>Manager</w:t>
      </w:r>
      <w:r w:rsidR="009A668A">
        <w:br/>
      </w:r>
      <w: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8" w:history="1">
        <w:r w:rsidR="004A077D" w:rsidRPr="000951A5">
          <w:rPr>
            <w:rStyle w:val="Hyperlink"/>
          </w:rPr>
          <w:t>media@treasury.gov.au</w:t>
        </w:r>
      </w:hyperlink>
    </w:p>
    <w:p w14:paraId="07D2811D" w14:textId="77777777" w:rsidR="00165162" w:rsidRDefault="00165162">
      <w:pPr>
        <w:pStyle w:val="TOC1"/>
        <w:rPr>
          <w:rFonts w:cs="Arial"/>
          <w:b w:val="0"/>
          <w:noProof w:val="0"/>
          <w:color w:val="0D45D6"/>
          <w:kern w:val="32"/>
          <w:sz w:val="48"/>
          <w:szCs w:val="36"/>
        </w:rPr>
      </w:pPr>
      <w:bookmarkStart w:id="0" w:name="_Toc92872739"/>
      <w:bookmarkStart w:id="1" w:name="_Toc92875487"/>
      <w:bookmarkStart w:id="2" w:name="_Toc92875531"/>
      <w:bookmarkStart w:id="3" w:name="_Toc92875762"/>
      <w:bookmarkStart w:id="4" w:name="_Toc92878295"/>
      <w:bookmarkStart w:id="5" w:name="_Toc93053970"/>
    </w:p>
    <w:p w14:paraId="5462748B" w14:textId="77777777" w:rsidR="00D80BDA" w:rsidRDefault="00666341">
      <w:pPr>
        <w:pStyle w:val="TOC1"/>
        <w:rPr>
          <w:rFonts w:cs="Arial"/>
          <w:b w:val="0"/>
          <w:noProof w:val="0"/>
          <w:color w:val="0D45D6"/>
          <w:kern w:val="32"/>
          <w:sz w:val="48"/>
          <w:szCs w:val="36"/>
        </w:rPr>
      </w:pPr>
      <w:r w:rsidRPr="005513D4">
        <w:rPr>
          <w:rFonts w:cs="Arial"/>
          <w:b w:val="0"/>
          <w:noProof w:val="0"/>
          <w:color w:val="0D45D6"/>
          <w:kern w:val="32"/>
          <w:sz w:val="48"/>
          <w:szCs w:val="36"/>
        </w:rPr>
        <w:t>Contents</w:t>
      </w:r>
      <w:bookmarkEnd w:id="0"/>
      <w:bookmarkEnd w:id="1"/>
      <w:bookmarkEnd w:id="2"/>
      <w:bookmarkEnd w:id="3"/>
      <w:bookmarkEnd w:id="4"/>
      <w:bookmarkEnd w:id="5"/>
    </w:p>
    <w:p w14:paraId="0CC5D08E" w14:textId="6934D85F" w:rsidR="00143215" w:rsidRDefault="00257AEE">
      <w:pPr>
        <w:pStyle w:val="TOC1"/>
        <w:rPr>
          <w:rFonts w:asciiTheme="minorHAnsi" w:eastAsiaTheme="minorEastAsia" w:hAnsiTheme="minorHAnsi" w:cstheme="minorBidi"/>
          <w:b w:val="0"/>
          <w:color w:val="auto"/>
        </w:rPr>
      </w:pPr>
      <w:r>
        <w:rPr>
          <w:rFonts w:cs="Arial"/>
          <w:noProof w:val="0"/>
          <w:kern w:val="32"/>
          <w:sz w:val="48"/>
          <w:szCs w:val="36"/>
        </w:rPr>
        <w:fldChar w:fldCharType="begin"/>
      </w:r>
      <w:r>
        <w:instrText xml:space="preserve"> TOC \o "1-2" \h \z \t "Heading 3,3,Chart Main Heading,3,Table Main Heading,3,Heading 3 Numbered,3,Table Heading Continued,3" </w:instrText>
      </w:r>
      <w:r>
        <w:rPr>
          <w:rFonts w:cs="Arial"/>
          <w:noProof w:val="0"/>
          <w:kern w:val="32"/>
          <w:sz w:val="48"/>
          <w:szCs w:val="36"/>
        </w:rPr>
        <w:fldChar w:fldCharType="separate"/>
      </w:r>
      <w:hyperlink w:anchor="_Toc98257998" w:history="1">
        <w:r w:rsidR="00143215" w:rsidRPr="005D21AA">
          <w:rPr>
            <w:rStyle w:val="Hyperlink"/>
          </w:rPr>
          <w:t>Statutory Review of the Consumer Data Right</w:t>
        </w:r>
        <w:r w:rsidR="00143215">
          <w:rPr>
            <w:webHidden/>
          </w:rPr>
          <w:tab/>
        </w:r>
        <w:r w:rsidR="00143215">
          <w:rPr>
            <w:webHidden/>
          </w:rPr>
          <w:fldChar w:fldCharType="begin"/>
        </w:r>
        <w:r w:rsidR="00143215">
          <w:rPr>
            <w:webHidden/>
          </w:rPr>
          <w:instrText xml:space="preserve"> PAGEREF _Toc98257998 \h </w:instrText>
        </w:r>
        <w:r w:rsidR="00143215">
          <w:rPr>
            <w:webHidden/>
          </w:rPr>
        </w:r>
        <w:r w:rsidR="00143215">
          <w:rPr>
            <w:webHidden/>
          </w:rPr>
          <w:fldChar w:fldCharType="separate"/>
        </w:r>
        <w:r w:rsidR="00143215">
          <w:rPr>
            <w:webHidden/>
          </w:rPr>
          <w:t>1</w:t>
        </w:r>
        <w:r w:rsidR="00143215">
          <w:rPr>
            <w:webHidden/>
          </w:rPr>
          <w:fldChar w:fldCharType="end"/>
        </w:r>
      </w:hyperlink>
    </w:p>
    <w:p w14:paraId="7BAE2694" w14:textId="32E85D97" w:rsidR="00143215" w:rsidRDefault="0043516C">
      <w:pPr>
        <w:pStyle w:val="TOC1"/>
        <w:rPr>
          <w:rFonts w:asciiTheme="minorHAnsi" w:eastAsiaTheme="minorEastAsia" w:hAnsiTheme="minorHAnsi" w:cstheme="minorBidi"/>
          <w:b w:val="0"/>
          <w:color w:val="auto"/>
        </w:rPr>
      </w:pPr>
      <w:hyperlink w:anchor="_Toc98258006" w:history="1">
        <w:r w:rsidR="00143215" w:rsidRPr="005D21AA">
          <w:rPr>
            <w:rStyle w:val="Hyperlink"/>
          </w:rPr>
          <w:t>Overview of the Consumer Data Right</w:t>
        </w:r>
        <w:r w:rsidR="00143215">
          <w:rPr>
            <w:webHidden/>
          </w:rPr>
          <w:tab/>
        </w:r>
        <w:r w:rsidR="00143215">
          <w:rPr>
            <w:webHidden/>
          </w:rPr>
          <w:fldChar w:fldCharType="begin"/>
        </w:r>
        <w:r w:rsidR="00143215">
          <w:rPr>
            <w:webHidden/>
          </w:rPr>
          <w:instrText xml:space="preserve"> PAGEREF _Toc98258006 \h </w:instrText>
        </w:r>
        <w:r w:rsidR="00143215">
          <w:rPr>
            <w:webHidden/>
          </w:rPr>
        </w:r>
        <w:r w:rsidR="00143215">
          <w:rPr>
            <w:webHidden/>
          </w:rPr>
          <w:fldChar w:fldCharType="separate"/>
        </w:r>
        <w:r w:rsidR="00143215">
          <w:rPr>
            <w:webHidden/>
          </w:rPr>
          <w:t>4</w:t>
        </w:r>
        <w:r w:rsidR="00143215">
          <w:rPr>
            <w:webHidden/>
          </w:rPr>
          <w:fldChar w:fldCharType="end"/>
        </w:r>
      </w:hyperlink>
    </w:p>
    <w:p w14:paraId="2FCA85E3" w14:textId="3FF91D25" w:rsidR="00143215" w:rsidRDefault="0043516C">
      <w:pPr>
        <w:pStyle w:val="TOC1"/>
        <w:rPr>
          <w:rFonts w:asciiTheme="minorHAnsi" w:eastAsiaTheme="minorEastAsia" w:hAnsiTheme="minorHAnsi" w:cstheme="minorBidi"/>
          <w:b w:val="0"/>
          <w:color w:val="auto"/>
        </w:rPr>
      </w:pPr>
      <w:hyperlink w:anchor="_Toc98258011" w:history="1">
        <w:r w:rsidR="00143215" w:rsidRPr="005D21AA">
          <w:rPr>
            <w:rStyle w:val="Hyperlink"/>
          </w:rPr>
          <w:t>Key consultation points for discussion</w:t>
        </w:r>
        <w:r w:rsidR="00143215">
          <w:rPr>
            <w:webHidden/>
          </w:rPr>
          <w:tab/>
        </w:r>
        <w:r w:rsidR="00143215">
          <w:rPr>
            <w:webHidden/>
          </w:rPr>
          <w:fldChar w:fldCharType="begin"/>
        </w:r>
        <w:r w:rsidR="00143215">
          <w:rPr>
            <w:webHidden/>
          </w:rPr>
          <w:instrText xml:space="preserve"> PAGEREF _Toc98258011 \h </w:instrText>
        </w:r>
        <w:r w:rsidR="00143215">
          <w:rPr>
            <w:webHidden/>
          </w:rPr>
        </w:r>
        <w:r w:rsidR="00143215">
          <w:rPr>
            <w:webHidden/>
          </w:rPr>
          <w:fldChar w:fldCharType="separate"/>
        </w:r>
        <w:r w:rsidR="00143215">
          <w:rPr>
            <w:webHidden/>
          </w:rPr>
          <w:t>9</w:t>
        </w:r>
        <w:r w:rsidR="00143215">
          <w:rPr>
            <w:webHidden/>
          </w:rPr>
          <w:fldChar w:fldCharType="end"/>
        </w:r>
      </w:hyperlink>
    </w:p>
    <w:p w14:paraId="50F7B718" w14:textId="15BFE1CC" w:rsidR="000E0B74" w:rsidRDefault="00257AEE" w:rsidP="00656356">
      <w:pPr>
        <w:pStyle w:val="SingleParagraph"/>
        <w:tabs>
          <w:tab w:val="right" w:leader="dot" w:pos="9072"/>
        </w:tabs>
        <w:ind w:right="-2"/>
        <w:sectPr w:rsidR="000E0B74" w:rsidSect="00475B7B">
          <w:pgSz w:w="11906" w:h="16838" w:code="9"/>
          <w:pgMar w:top="1418" w:right="1418" w:bottom="1418" w:left="1418" w:header="709" w:footer="709" w:gutter="0"/>
          <w:pgNumType w:fmt="lowerRoman"/>
          <w:cols w:space="708"/>
          <w:titlePg/>
          <w:docGrid w:linePitch="360"/>
        </w:sectPr>
      </w:pPr>
      <w:r>
        <w:rPr>
          <w:noProof/>
          <w:color w:val="004A7F"/>
          <w:szCs w:val="22"/>
        </w:rPr>
        <w:fldChar w:fldCharType="end"/>
      </w:r>
    </w:p>
    <w:p w14:paraId="0F62DD62" w14:textId="7255E3A4" w:rsidR="008465CA" w:rsidRPr="009C283B" w:rsidRDefault="00965FEC" w:rsidP="009C283B">
      <w:pPr>
        <w:pStyle w:val="Heading1"/>
        <w:rPr>
          <w:color w:val="0D45D6"/>
        </w:rPr>
      </w:pPr>
      <w:bookmarkStart w:id="6" w:name="_Toc98257998"/>
      <w:bookmarkStart w:id="7" w:name="_Toc306887371"/>
      <w:bookmarkStart w:id="8" w:name="_Toc432064635"/>
      <w:r w:rsidRPr="00C406A6">
        <w:rPr>
          <w:color w:val="0D45D6"/>
        </w:rPr>
        <w:lastRenderedPageBreak/>
        <w:t>Statutory Review of the Consumer Data Right</w:t>
      </w:r>
      <w:bookmarkEnd w:id="6"/>
    </w:p>
    <w:p w14:paraId="473BF3B1" w14:textId="00EF8D2A" w:rsidR="00616761" w:rsidRDefault="00922D5B" w:rsidP="00992000">
      <w:pPr>
        <w:pStyle w:val="Bullet"/>
        <w:numPr>
          <w:ilvl w:val="0"/>
          <w:numId w:val="0"/>
        </w:numPr>
        <w:rPr>
          <w:szCs w:val="22"/>
        </w:rPr>
      </w:pPr>
      <w:r>
        <w:rPr>
          <w:noProof/>
        </w:rPr>
        <w:drawing>
          <wp:anchor distT="0" distB="0" distL="114300" distR="114300" simplePos="0" relativeHeight="251659265" behindDoc="1" locked="0" layoutInCell="1" allowOverlap="1" wp14:anchorId="60F73F3B" wp14:editId="210F46C2">
            <wp:simplePos x="0" y="0"/>
            <wp:positionH relativeFrom="margin">
              <wp:posOffset>4433570</wp:posOffset>
            </wp:positionH>
            <wp:positionV relativeFrom="paragraph">
              <wp:posOffset>13335</wp:posOffset>
            </wp:positionV>
            <wp:extent cx="1314450" cy="1537335"/>
            <wp:effectExtent l="0" t="0" r="0" b="5715"/>
            <wp:wrapTight wrapText="bothSides">
              <wp:wrapPolygon edited="0">
                <wp:start x="0" y="0"/>
                <wp:lineTo x="0" y="21413"/>
                <wp:lineTo x="21287" y="21413"/>
                <wp:lineTo x="2128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314450" cy="1537335"/>
                    </a:xfrm>
                    <a:prstGeom prst="rect">
                      <a:avLst/>
                    </a:prstGeom>
                  </pic:spPr>
                </pic:pic>
              </a:graphicData>
            </a:graphic>
            <wp14:sizeRelH relativeFrom="page">
              <wp14:pctWidth>0</wp14:pctWidth>
            </wp14:sizeRelH>
            <wp14:sizeRelV relativeFrom="page">
              <wp14:pctHeight>0</wp14:pctHeight>
            </wp14:sizeRelV>
          </wp:anchor>
        </w:drawing>
      </w:r>
    </w:p>
    <w:p w14:paraId="0B391871" w14:textId="637C02FF" w:rsidR="004230A3" w:rsidRDefault="008465CA" w:rsidP="00992000">
      <w:pPr>
        <w:pStyle w:val="Heading2"/>
        <w:spacing w:before="120"/>
        <w:rPr>
          <w:rFonts w:asciiTheme="minorHAnsi" w:hAnsiTheme="minorHAnsi" w:cstheme="minorHAnsi"/>
          <w:color w:val="auto"/>
          <w:sz w:val="22"/>
          <w:szCs w:val="22"/>
        </w:rPr>
      </w:pPr>
      <w:bookmarkStart w:id="9" w:name="_Toc98248277"/>
      <w:bookmarkStart w:id="10" w:name="_Toc98248364"/>
      <w:bookmarkStart w:id="11" w:name="_Toc98257999"/>
      <w:r w:rsidRPr="008465CA">
        <w:rPr>
          <w:color w:val="auto"/>
          <w:sz w:val="22"/>
          <w:szCs w:val="22"/>
        </w:rPr>
        <w:t xml:space="preserve">On 14 February 2022, Minister Hume </w:t>
      </w:r>
      <w:r w:rsidRPr="008465CA">
        <w:rPr>
          <w:rFonts w:asciiTheme="minorHAnsi" w:hAnsiTheme="minorHAnsi" w:cstheme="minorHAnsi"/>
          <w:color w:val="auto"/>
          <w:sz w:val="22"/>
          <w:szCs w:val="22"/>
        </w:rPr>
        <w:t>announced the commencement of a statutory review on the operation of the Consumer Data Right (CDR)</w:t>
      </w:r>
      <w:r w:rsidR="003D5870">
        <w:rPr>
          <w:rFonts w:asciiTheme="minorHAnsi" w:hAnsiTheme="minorHAnsi" w:cstheme="minorHAnsi"/>
          <w:color w:val="auto"/>
          <w:sz w:val="22"/>
          <w:szCs w:val="22"/>
        </w:rPr>
        <w:t xml:space="preserve"> and the </w:t>
      </w:r>
      <w:r w:rsidRPr="008465CA">
        <w:rPr>
          <w:rFonts w:asciiTheme="minorHAnsi" w:hAnsiTheme="minorHAnsi" w:cstheme="minorHAnsi"/>
          <w:color w:val="auto"/>
          <w:sz w:val="22"/>
          <w:szCs w:val="22"/>
        </w:rPr>
        <w:t>appoint</w:t>
      </w:r>
      <w:r w:rsidR="003D5870">
        <w:rPr>
          <w:rFonts w:asciiTheme="minorHAnsi" w:hAnsiTheme="minorHAnsi" w:cstheme="minorHAnsi"/>
          <w:color w:val="auto"/>
          <w:sz w:val="22"/>
          <w:szCs w:val="22"/>
        </w:rPr>
        <w:t>ment of</w:t>
      </w:r>
      <w:r w:rsidRPr="008465CA">
        <w:rPr>
          <w:rFonts w:asciiTheme="minorHAnsi" w:hAnsiTheme="minorHAnsi" w:cstheme="minorHAnsi"/>
          <w:color w:val="auto"/>
          <w:sz w:val="22"/>
          <w:szCs w:val="22"/>
        </w:rPr>
        <w:t xml:space="preserve"> </w:t>
      </w:r>
      <w:r w:rsidR="003D5870">
        <w:rPr>
          <w:rFonts w:asciiTheme="minorHAnsi" w:hAnsiTheme="minorHAnsi" w:cstheme="minorHAnsi"/>
          <w:color w:val="auto"/>
          <w:sz w:val="22"/>
          <w:szCs w:val="22"/>
        </w:rPr>
        <w:t xml:space="preserve">an independent reviewer, </w:t>
      </w:r>
      <w:r w:rsidRPr="008465CA">
        <w:rPr>
          <w:rFonts w:asciiTheme="minorHAnsi" w:hAnsiTheme="minorHAnsi" w:cstheme="minorHAnsi"/>
          <w:color w:val="auto"/>
          <w:sz w:val="22"/>
          <w:szCs w:val="22"/>
        </w:rPr>
        <w:t>Ms Elizabeth Kelly PSM</w:t>
      </w:r>
      <w:r w:rsidR="008F6F84">
        <w:rPr>
          <w:rFonts w:asciiTheme="minorHAnsi" w:hAnsiTheme="minorHAnsi" w:cstheme="minorHAnsi"/>
          <w:color w:val="auto"/>
          <w:sz w:val="22"/>
          <w:szCs w:val="22"/>
        </w:rPr>
        <w:t>.</w:t>
      </w:r>
      <w:r w:rsidR="00597E3C">
        <w:rPr>
          <w:rStyle w:val="FootnoteReference"/>
          <w:rFonts w:cstheme="minorHAnsi"/>
          <w:color w:val="auto"/>
          <w:szCs w:val="22"/>
        </w:rPr>
        <w:footnoteReference w:id="2"/>
      </w:r>
      <w:bookmarkEnd w:id="9"/>
      <w:bookmarkEnd w:id="10"/>
      <w:bookmarkEnd w:id="11"/>
    </w:p>
    <w:p w14:paraId="19CA0AFB" w14:textId="5F25A39B" w:rsidR="004230A3" w:rsidRDefault="008465CA" w:rsidP="004230A3">
      <w:pPr>
        <w:pStyle w:val="Heading2"/>
        <w:spacing w:before="120"/>
        <w:rPr>
          <w:rFonts w:asciiTheme="minorHAnsi" w:hAnsiTheme="minorHAnsi" w:cstheme="minorHAnsi"/>
          <w:color w:val="auto"/>
          <w:sz w:val="22"/>
          <w:szCs w:val="22"/>
        </w:rPr>
      </w:pPr>
      <w:bookmarkStart w:id="12" w:name="_Toc98248278"/>
      <w:bookmarkStart w:id="13" w:name="_Toc98248365"/>
      <w:bookmarkStart w:id="14" w:name="_Toc98258000"/>
      <w:r w:rsidRPr="008465CA">
        <w:rPr>
          <w:rFonts w:asciiTheme="minorHAnsi" w:hAnsiTheme="minorHAnsi" w:cstheme="minorHAnsi"/>
          <w:color w:val="auto"/>
          <w:sz w:val="22"/>
          <w:szCs w:val="22"/>
        </w:rPr>
        <w:t>To support Ms. Kelly conduct the Review</w:t>
      </w:r>
      <w:r w:rsidR="004230A3">
        <w:rPr>
          <w:rFonts w:asciiTheme="minorHAnsi" w:hAnsiTheme="minorHAnsi" w:cstheme="minorHAnsi"/>
          <w:color w:val="auto"/>
          <w:sz w:val="22"/>
          <w:szCs w:val="22"/>
        </w:rPr>
        <w:t>,</w:t>
      </w:r>
      <w:r w:rsidRPr="008465CA">
        <w:rPr>
          <w:rFonts w:asciiTheme="minorHAnsi" w:hAnsiTheme="minorHAnsi" w:cstheme="minorHAnsi"/>
          <w:color w:val="auto"/>
          <w:sz w:val="22"/>
          <w:szCs w:val="22"/>
        </w:rPr>
        <w:t xml:space="preserve"> a Secretariat </w:t>
      </w:r>
      <w:r w:rsidR="00640204" w:rsidRPr="008465CA">
        <w:rPr>
          <w:rFonts w:asciiTheme="minorHAnsi" w:hAnsiTheme="minorHAnsi" w:cstheme="minorHAnsi"/>
          <w:color w:val="auto"/>
          <w:sz w:val="22"/>
          <w:szCs w:val="22"/>
        </w:rPr>
        <w:t xml:space="preserve">has been established </w:t>
      </w:r>
      <w:r w:rsidRPr="008465CA">
        <w:rPr>
          <w:rFonts w:asciiTheme="minorHAnsi" w:hAnsiTheme="minorHAnsi" w:cstheme="minorHAnsi"/>
          <w:color w:val="auto"/>
          <w:sz w:val="22"/>
          <w:szCs w:val="22"/>
        </w:rPr>
        <w:t>within Treasury.</w:t>
      </w:r>
      <w:bookmarkStart w:id="15" w:name="_Toc97565316"/>
      <w:bookmarkEnd w:id="12"/>
      <w:bookmarkEnd w:id="13"/>
      <w:bookmarkEnd w:id="14"/>
    </w:p>
    <w:p w14:paraId="4202562A" w14:textId="77777777" w:rsidR="00922D5B" w:rsidRPr="003946CC" w:rsidRDefault="00922D5B" w:rsidP="003946CC"/>
    <w:p w14:paraId="05B16DF7" w14:textId="7116B8B8" w:rsidR="009D3781" w:rsidRPr="008465CA" w:rsidRDefault="009D3781" w:rsidP="004230A3">
      <w:pPr>
        <w:pStyle w:val="Heading2"/>
        <w:spacing w:before="120"/>
        <w:rPr>
          <w:color w:val="002760"/>
        </w:rPr>
      </w:pPr>
      <w:bookmarkStart w:id="16" w:name="_Toc98248279"/>
      <w:bookmarkStart w:id="17" w:name="_Toc98248366"/>
      <w:bookmarkStart w:id="18" w:name="_Toc98258001"/>
      <w:r w:rsidRPr="008465CA">
        <w:rPr>
          <w:color w:val="002760"/>
        </w:rPr>
        <w:t>Purpose of the Review</w:t>
      </w:r>
      <w:bookmarkEnd w:id="15"/>
      <w:bookmarkEnd w:id="16"/>
      <w:bookmarkEnd w:id="17"/>
      <w:bookmarkEnd w:id="18"/>
    </w:p>
    <w:p w14:paraId="003039D6" w14:textId="06125BD3" w:rsidR="008E51F1" w:rsidRPr="008E51F1" w:rsidRDefault="009D3781" w:rsidP="008E51F1">
      <w:pPr>
        <w:rPr>
          <w:rFonts w:asciiTheme="minorHAnsi" w:hAnsiTheme="minorHAnsi" w:cstheme="minorHAnsi"/>
        </w:rPr>
      </w:pPr>
      <w:r w:rsidRPr="008E51F1">
        <w:rPr>
          <w:rFonts w:asciiTheme="minorHAnsi" w:hAnsiTheme="minorHAnsi" w:cstheme="minorHAnsi"/>
        </w:rPr>
        <w:t xml:space="preserve">Section 56GH of the </w:t>
      </w:r>
      <w:r w:rsidRPr="008E51F1">
        <w:rPr>
          <w:rFonts w:asciiTheme="minorHAnsi" w:hAnsiTheme="minorHAnsi" w:cstheme="minorHAnsi"/>
          <w:i/>
          <w:iCs/>
        </w:rPr>
        <w:t>Competition and Consumer Act 2010</w:t>
      </w:r>
      <w:r w:rsidRPr="008E51F1">
        <w:rPr>
          <w:rFonts w:asciiTheme="minorHAnsi" w:hAnsiTheme="minorHAnsi" w:cstheme="minorHAnsi"/>
        </w:rPr>
        <w:t xml:space="preserve"> (the Act) requires an independent review of the operation of Part IVD of the Act, which contains the primary legislation for the Consumer Data Right (CDR). A written </w:t>
      </w:r>
      <w:r w:rsidR="008E51F1" w:rsidRPr="008E51F1">
        <w:rPr>
          <w:rFonts w:asciiTheme="minorHAnsi" w:hAnsiTheme="minorHAnsi" w:cstheme="minorHAnsi"/>
        </w:rPr>
        <w:t xml:space="preserve">report of the review must be given to the Minister </w:t>
      </w:r>
      <w:r w:rsidR="003F223D">
        <w:rPr>
          <w:rFonts w:asciiTheme="minorHAnsi" w:hAnsiTheme="minorHAnsi" w:cstheme="minorHAnsi"/>
        </w:rPr>
        <w:t>in July</w:t>
      </w:r>
      <w:r w:rsidR="008E51F1" w:rsidRPr="008E51F1">
        <w:rPr>
          <w:rFonts w:asciiTheme="minorHAnsi" w:hAnsiTheme="minorHAnsi" w:cstheme="minorHAnsi"/>
        </w:rPr>
        <w:t xml:space="preserve"> 2022. </w:t>
      </w:r>
    </w:p>
    <w:p w14:paraId="7F911F07" w14:textId="5A88A264" w:rsidR="00F06B64" w:rsidRPr="00055573" w:rsidRDefault="008E51F1" w:rsidP="007E548A">
      <w:pPr>
        <w:spacing w:after="360"/>
      </w:pPr>
      <w:r w:rsidRPr="008E51F1">
        <w:rPr>
          <w:rFonts w:asciiTheme="minorHAnsi" w:hAnsiTheme="minorHAnsi" w:cstheme="minorHAnsi"/>
        </w:rPr>
        <w:t xml:space="preserve">The requirement to conduct a review recognises the unique nature of the CDR and will provide CDR-designated sectors, consumers, and interested parties, with an opportunity to reflect on the risks, issues and opportunities presented by the CDR. The Review will consider whether the existing statutory framework supports the evolution of the CDR and is fit-for-purpose to realise the CDR’s objectives. </w:t>
      </w:r>
      <w:bookmarkStart w:id="19" w:name="_Hlk93495892"/>
    </w:p>
    <w:tbl>
      <w:tblPr>
        <w:tblStyle w:val="TableGrid"/>
        <w:tblW w:w="0" w:type="auto"/>
        <w:tblLook w:val="04A0" w:firstRow="1" w:lastRow="0" w:firstColumn="1" w:lastColumn="0" w:noHBand="0" w:noVBand="1"/>
      </w:tblPr>
      <w:tblGrid>
        <w:gridCol w:w="9060"/>
      </w:tblGrid>
      <w:tr w:rsidR="00F06B64" w14:paraId="7825A659" w14:textId="77777777" w:rsidTr="004431CB">
        <w:tc>
          <w:tcPr>
            <w:tcW w:w="9070" w:type="dxa"/>
            <w:tcBorders>
              <w:top w:val="single" w:sz="4" w:space="0" w:color="auto"/>
              <w:left w:val="single" w:sz="4" w:space="0" w:color="auto"/>
              <w:bottom w:val="single" w:sz="4" w:space="0" w:color="auto"/>
              <w:right w:val="single" w:sz="4" w:space="0" w:color="auto"/>
            </w:tcBorders>
            <w:shd w:val="clear" w:color="auto" w:fill="D5E1F1" w:themeFill="accent2" w:themeFillTint="33"/>
          </w:tcPr>
          <w:p w14:paraId="4B5259F1" w14:textId="77777777" w:rsidR="00F06B64" w:rsidRPr="008E51F1" w:rsidRDefault="00F06B64" w:rsidP="007E548A">
            <w:pPr>
              <w:pStyle w:val="Heading2"/>
              <w:spacing w:before="120"/>
              <w:outlineLvl w:val="1"/>
            </w:pPr>
            <w:bookmarkStart w:id="20" w:name="_Toc97565317"/>
            <w:bookmarkStart w:id="21" w:name="_Toc98248280"/>
            <w:bookmarkStart w:id="22" w:name="_Toc98248367"/>
            <w:bookmarkStart w:id="23" w:name="_Toc98258002"/>
            <w:r w:rsidRPr="008E51F1">
              <w:t>Terms of Reference</w:t>
            </w:r>
            <w:bookmarkEnd w:id="20"/>
            <w:bookmarkEnd w:id="21"/>
            <w:bookmarkEnd w:id="22"/>
            <w:bookmarkEnd w:id="23"/>
          </w:p>
          <w:p w14:paraId="31514F9D" w14:textId="77777777" w:rsidR="00F06B64" w:rsidRPr="008E51F1" w:rsidRDefault="00F06B64" w:rsidP="00CC1E9C">
            <w:pPr>
              <w:rPr>
                <w:rFonts w:asciiTheme="minorHAnsi" w:hAnsiTheme="minorHAnsi" w:cstheme="minorHAnsi"/>
              </w:rPr>
            </w:pPr>
            <w:r w:rsidRPr="008E51F1">
              <w:rPr>
                <w:rFonts w:asciiTheme="minorHAnsi" w:hAnsiTheme="minorHAnsi" w:cstheme="minorHAnsi"/>
              </w:rPr>
              <w:t>The CDR Statutory Review will consider the following questions:</w:t>
            </w:r>
          </w:p>
          <w:p w14:paraId="17680471" w14:textId="77777777" w:rsidR="00F06B64" w:rsidRPr="00015397" w:rsidRDefault="00F06B64" w:rsidP="007E548A">
            <w:pPr>
              <w:pStyle w:val="Bullet"/>
              <w:spacing w:before="120"/>
            </w:pPr>
            <w:r w:rsidRPr="00015397">
              <w:t xml:space="preserve">Are the objects of Part IVD of the Act fit-for-purpose and optimally aligned to facilitate economy-wide expansion of the CDR? </w:t>
            </w:r>
          </w:p>
          <w:p w14:paraId="0C7F24B1" w14:textId="77777777" w:rsidR="00F06B64" w:rsidRPr="00015397" w:rsidRDefault="00F06B64" w:rsidP="007E548A">
            <w:pPr>
              <w:pStyle w:val="Bullet"/>
              <w:spacing w:before="120"/>
            </w:pPr>
            <w:r w:rsidRPr="00015397">
              <w:t xml:space="preserve">Do the existing assessment, designation, rule-making and standard-setting requirements of the CDR framework support future implementation of the CDR, including to government-held datasets? </w:t>
            </w:r>
          </w:p>
          <w:p w14:paraId="04AF5247" w14:textId="77777777" w:rsidR="00F06B64" w:rsidRPr="00015397" w:rsidRDefault="00F06B64" w:rsidP="007E548A">
            <w:pPr>
              <w:pStyle w:val="Bullet"/>
              <w:spacing w:before="120"/>
            </w:pPr>
            <w:r w:rsidRPr="00015397">
              <w:t xml:space="preserve">Does the current operation of the statutory settings enable the development of CDR-powered products and services to benefit consumers? </w:t>
            </w:r>
          </w:p>
          <w:p w14:paraId="501B0256" w14:textId="28AB88AC" w:rsidR="00F06B64" w:rsidRDefault="00F06B64" w:rsidP="007E548A">
            <w:pPr>
              <w:pStyle w:val="Bullet"/>
              <w:spacing w:before="120"/>
            </w:pPr>
            <w:r w:rsidRPr="00015397">
              <w:t xml:space="preserve">Could the CDR statutory framework be revised to facilitate direct to consumer data sharing opportunities and address potential risks? </w:t>
            </w:r>
          </w:p>
          <w:p w14:paraId="745B930F" w14:textId="7BFDBBD0" w:rsidR="00F06B64" w:rsidRDefault="00F06B64" w:rsidP="007E548A">
            <w:pPr>
              <w:pStyle w:val="Bullet"/>
              <w:spacing w:before="120"/>
            </w:pPr>
            <w:r w:rsidRPr="00015397">
              <w:t>Are further statutory changes required to support the policy aims of CDR and the delivery of its functions?</w:t>
            </w:r>
          </w:p>
        </w:tc>
      </w:tr>
    </w:tbl>
    <w:p w14:paraId="64B30E0C" w14:textId="239D66B2" w:rsidR="008E51F1" w:rsidRPr="005513D4" w:rsidRDefault="008E51F1" w:rsidP="008E51F1">
      <w:pPr>
        <w:pStyle w:val="Heading2"/>
        <w:rPr>
          <w:color w:val="002760"/>
        </w:rPr>
      </w:pPr>
      <w:bookmarkStart w:id="24" w:name="_Toc97565320"/>
      <w:bookmarkStart w:id="25" w:name="_Toc98248281"/>
      <w:bookmarkStart w:id="26" w:name="_Toc98248368"/>
      <w:bookmarkStart w:id="27" w:name="_Toc98258003"/>
      <w:bookmarkEnd w:id="19"/>
      <w:r w:rsidRPr="005513D4">
        <w:rPr>
          <w:color w:val="002760"/>
        </w:rPr>
        <w:t>Background to the Review</w:t>
      </w:r>
      <w:bookmarkEnd w:id="24"/>
      <w:bookmarkEnd w:id="25"/>
      <w:bookmarkEnd w:id="26"/>
      <w:bookmarkEnd w:id="27"/>
      <w:r w:rsidRPr="005513D4">
        <w:rPr>
          <w:color w:val="002760"/>
        </w:rPr>
        <w:t xml:space="preserve"> </w:t>
      </w:r>
    </w:p>
    <w:p w14:paraId="52F91F8A" w14:textId="17C32D81" w:rsidR="008E51F1" w:rsidRPr="008E51F1" w:rsidRDefault="008E51F1" w:rsidP="008E51F1">
      <w:pPr>
        <w:rPr>
          <w:rFonts w:asciiTheme="minorHAnsi" w:hAnsiTheme="minorHAnsi" w:cstheme="minorHAnsi"/>
        </w:rPr>
      </w:pPr>
      <w:r w:rsidRPr="008E51F1">
        <w:rPr>
          <w:rFonts w:asciiTheme="minorHAnsi" w:hAnsiTheme="minorHAnsi" w:cstheme="minorHAnsi"/>
        </w:rPr>
        <w:t xml:space="preserve">The Review will be undertaken in the context of significant policy and governance developments in the CDR. This includes the roll out of the CDR to the banking sector, the introduction of rules to bring the energy sector into the CDR from late 2022, and the finalisation of the sectoral assessment </w:t>
      </w:r>
      <w:r w:rsidR="00D20AC3">
        <w:rPr>
          <w:rFonts w:asciiTheme="minorHAnsi" w:hAnsiTheme="minorHAnsi" w:cstheme="minorHAnsi"/>
        </w:rPr>
        <w:t xml:space="preserve">and designation </w:t>
      </w:r>
      <w:r w:rsidRPr="008E51F1">
        <w:rPr>
          <w:rFonts w:asciiTheme="minorHAnsi" w:hAnsiTheme="minorHAnsi" w:cstheme="minorHAnsi"/>
        </w:rPr>
        <w:t xml:space="preserve">process </w:t>
      </w:r>
      <w:r w:rsidR="00D20AC3">
        <w:rPr>
          <w:rFonts w:asciiTheme="minorHAnsi" w:hAnsiTheme="minorHAnsi" w:cstheme="minorHAnsi"/>
        </w:rPr>
        <w:t>for</w:t>
      </w:r>
      <w:r w:rsidRPr="008E51F1">
        <w:rPr>
          <w:rFonts w:asciiTheme="minorHAnsi" w:hAnsiTheme="minorHAnsi" w:cstheme="minorHAnsi"/>
        </w:rPr>
        <w:t xml:space="preserve"> the telecommunications sector. The practical application of the CDR regime </w:t>
      </w:r>
      <w:r w:rsidRPr="008E51F1">
        <w:rPr>
          <w:rFonts w:asciiTheme="minorHAnsi" w:hAnsiTheme="minorHAnsi" w:cstheme="minorHAnsi"/>
        </w:rPr>
        <w:lastRenderedPageBreak/>
        <w:t xml:space="preserve">to these three sectors provides a good opportunity to reflect on the efficacy of the statutory framework as the CDR grows. </w:t>
      </w:r>
    </w:p>
    <w:p w14:paraId="240BB6F1" w14:textId="5E4697A0" w:rsidR="008E51F1" w:rsidRPr="008E51F1" w:rsidRDefault="008E51F1" w:rsidP="008E51F1">
      <w:pPr>
        <w:rPr>
          <w:rFonts w:asciiTheme="minorHAnsi" w:hAnsiTheme="minorHAnsi" w:cstheme="minorHAnsi"/>
        </w:rPr>
      </w:pPr>
      <w:r w:rsidRPr="008E51F1">
        <w:rPr>
          <w:rFonts w:asciiTheme="minorHAnsi" w:hAnsiTheme="minorHAnsi" w:cstheme="minorHAnsi"/>
        </w:rPr>
        <w:t>The CDR is a multi-year, complex initiative that will continue to grow and evolve over the next decade. As such the Review will need to consider the policy, governance and any other relevant recent developments in the CDR in responding to the Terms of Reference, including:</w:t>
      </w:r>
    </w:p>
    <w:p w14:paraId="7075F039" w14:textId="6E5F547A" w:rsidR="008E51F1" w:rsidRPr="00015397" w:rsidRDefault="008E51F1" w:rsidP="00015397">
      <w:pPr>
        <w:pStyle w:val="Bullet"/>
      </w:pPr>
      <w:r w:rsidRPr="00015397">
        <w:t>The Government response</w:t>
      </w:r>
      <w:r w:rsidR="001D299D" w:rsidRPr="007E548A">
        <w:rPr>
          <w:rStyle w:val="FootnoteReference"/>
          <w:rFonts w:cstheme="minorHAnsi"/>
        </w:rPr>
        <w:footnoteReference w:id="3"/>
      </w:r>
      <w:r w:rsidRPr="00015397">
        <w:t xml:space="preserve"> to the final report</w:t>
      </w:r>
      <w:r w:rsidR="001D299D" w:rsidRPr="007E548A">
        <w:rPr>
          <w:rStyle w:val="FootnoteReference"/>
          <w:rFonts w:cstheme="minorHAnsi"/>
        </w:rPr>
        <w:footnoteReference w:id="4"/>
      </w:r>
      <w:r w:rsidRPr="00015397">
        <w:t xml:space="preserve"> of the Inquiry into Future Directions for the Consumer Data Right, which provides options to expand and enhance the functionality of the CDR.</w:t>
      </w:r>
    </w:p>
    <w:p w14:paraId="778DAF24" w14:textId="39CF2699" w:rsidR="008E51F1" w:rsidRPr="00015397" w:rsidRDefault="008E51F1" w:rsidP="00015397">
      <w:pPr>
        <w:pStyle w:val="Bullet"/>
      </w:pPr>
      <w:r w:rsidRPr="00015397">
        <w:t>The release of Government’s Digital Economy Strategy</w:t>
      </w:r>
      <w:r w:rsidR="00A75A1C" w:rsidRPr="007E548A">
        <w:rPr>
          <w:rStyle w:val="FootnoteReference"/>
          <w:rFonts w:cstheme="minorHAnsi"/>
        </w:rPr>
        <w:footnoteReference w:id="5"/>
      </w:r>
      <w:r w:rsidRPr="00015397">
        <w:t xml:space="preserve"> (announced as part of the 2021-22 Budget), which sets out a roadmap of initiatives to ensure Australia is a world-leading Digital Economy by 2030 – including the Australian Data Strategy,</w:t>
      </w:r>
      <w:r w:rsidR="00276097" w:rsidRPr="007E548A">
        <w:rPr>
          <w:rStyle w:val="FootnoteReference"/>
          <w:rFonts w:cstheme="minorHAnsi"/>
        </w:rPr>
        <w:footnoteReference w:id="6"/>
      </w:r>
      <w:r w:rsidRPr="00015397">
        <w:t xml:space="preserve"> and the expansion of the Digital Identity System. </w:t>
      </w:r>
    </w:p>
    <w:p w14:paraId="118502C6" w14:textId="7ED5717E" w:rsidR="008E51F1" w:rsidRPr="00015397" w:rsidRDefault="008E51F1" w:rsidP="00015397">
      <w:pPr>
        <w:pStyle w:val="Bullet"/>
      </w:pPr>
      <w:r w:rsidRPr="00015397">
        <w:t>The CDR Strategic Assessment to inform the future expansion of the CDR, with a relevant consultation paper released by Treasury in July 2021.</w:t>
      </w:r>
      <w:r w:rsidR="002A48CC" w:rsidRPr="007E548A">
        <w:rPr>
          <w:rStyle w:val="FootnoteReference"/>
          <w:rFonts w:cstheme="minorHAnsi"/>
        </w:rPr>
        <w:footnoteReference w:id="7"/>
      </w:r>
      <w:r w:rsidRPr="00015397">
        <w:t xml:space="preserve"> </w:t>
      </w:r>
    </w:p>
    <w:p w14:paraId="36C821CC" w14:textId="77777777" w:rsidR="008E51F1" w:rsidRPr="00015397" w:rsidRDefault="008E51F1" w:rsidP="00015397">
      <w:pPr>
        <w:pStyle w:val="Bullet"/>
      </w:pPr>
      <w:r w:rsidRPr="00015397">
        <w:t>Updates to CDR rules to support greater participation within the CDR ecosystem.</w:t>
      </w:r>
    </w:p>
    <w:p w14:paraId="36C56DF8" w14:textId="38A81244" w:rsidR="00330EBA" w:rsidRPr="00015397" w:rsidRDefault="008E51F1" w:rsidP="00015397">
      <w:pPr>
        <w:pStyle w:val="Bullet"/>
      </w:pPr>
      <w:r w:rsidRPr="00015397">
        <w:t>International developments in consumer-initiated data portability.</w:t>
      </w:r>
    </w:p>
    <w:p w14:paraId="0CFCB821" w14:textId="7713F67A" w:rsidR="009025D6" w:rsidRPr="004230A3" w:rsidRDefault="009025D6" w:rsidP="00143215">
      <w:pPr>
        <w:pStyle w:val="Heading2"/>
      </w:pPr>
      <w:bookmarkStart w:id="28" w:name="_Toc98258004"/>
      <w:r w:rsidRPr="004230A3">
        <w:t>Consultation Process</w:t>
      </w:r>
      <w:bookmarkEnd w:id="28"/>
    </w:p>
    <w:p w14:paraId="32569C44" w14:textId="1BC1B5DF" w:rsidR="001441FA" w:rsidRDefault="001441FA" w:rsidP="001441FA">
      <w:pPr>
        <w:rPr>
          <w:szCs w:val="22"/>
        </w:rPr>
      </w:pPr>
      <w:bookmarkStart w:id="29" w:name="_Toc97565310"/>
      <w:r>
        <w:rPr>
          <w:szCs w:val="22"/>
        </w:rPr>
        <w:t xml:space="preserve">The </w:t>
      </w:r>
      <w:r w:rsidR="00D64A70">
        <w:rPr>
          <w:szCs w:val="22"/>
        </w:rPr>
        <w:t>R</w:t>
      </w:r>
      <w:r>
        <w:rPr>
          <w:szCs w:val="22"/>
        </w:rPr>
        <w:t xml:space="preserve">eview will be informed by a public consultation and targeted engagement </w:t>
      </w:r>
      <w:r w:rsidR="00D64A70" w:rsidRPr="00965FEC">
        <w:rPr>
          <w:szCs w:val="22"/>
        </w:rPr>
        <w:t>with representatives from industry, consumer and privacy advocates and other interested parties</w:t>
      </w:r>
      <w:r w:rsidR="00D64A70">
        <w:rPr>
          <w:szCs w:val="22"/>
        </w:rPr>
        <w:t xml:space="preserve">. </w:t>
      </w:r>
      <w:r>
        <w:rPr>
          <w:szCs w:val="22"/>
        </w:rPr>
        <w:t>This issues paper is de</w:t>
      </w:r>
      <w:r w:rsidR="000E6E5E">
        <w:rPr>
          <w:szCs w:val="22"/>
        </w:rPr>
        <w:t>s</w:t>
      </w:r>
      <w:r>
        <w:rPr>
          <w:szCs w:val="22"/>
        </w:rPr>
        <w:t>igned to support these consultation processes and provide additional contextual information to support engagement on the Reviews’ Terms of Reference.</w:t>
      </w:r>
    </w:p>
    <w:p w14:paraId="5630864E" w14:textId="77777777" w:rsidR="009025D6" w:rsidRPr="008770AF" w:rsidRDefault="009025D6" w:rsidP="007D68D2">
      <w:pPr>
        <w:pStyle w:val="Numbered111"/>
        <w:numPr>
          <w:ilvl w:val="0"/>
          <w:numId w:val="0"/>
        </w:numPr>
        <w:ind w:left="1021" w:hanging="1021"/>
      </w:pPr>
      <w:r w:rsidRPr="008770AF">
        <w:rPr>
          <w:rFonts w:ascii="Calibri" w:eastAsia="Times New Roman" w:hAnsi="Calibri" w:cs="Arial"/>
          <w:b w:val="0"/>
          <w:bCs w:val="0"/>
          <w:color w:val="3A6FAF" w:themeColor="accent2"/>
          <w:kern w:val="32"/>
          <w:sz w:val="26"/>
          <w:szCs w:val="26"/>
          <w:lang w:eastAsia="en-AU"/>
        </w:rPr>
        <w:t>Request for feedback and comments</w:t>
      </w:r>
      <w:bookmarkEnd w:id="29"/>
    </w:p>
    <w:p w14:paraId="1E9D40A5" w14:textId="5C052433" w:rsidR="009025D6" w:rsidRPr="005A5D89" w:rsidRDefault="009025D6" w:rsidP="009025D6">
      <w:pPr>
        <w:rPr>
          <w:szCs w:val="22"/>
        </w:rPr>
      </w:pPr>
      <w:r w:rsidRPr="005A5D89">
        <w:rPr>
          <w:szCs w:val="22"/>
        </w:rPr>
        <w:t xml:space="preserve">Interested parties are invited to comment on the issues raised in this </w:t>
      </w:r>
      <w:r w:rsidRPr="00483945">
        <w:rPr>
          <w:szCs w:val="22"/>
        </w:rPr>
        <w:t xml:space="preserve">paper by </w:t>
      </w:r>
      <w:r w:rsidR="004230A3" w:rsidRPr="007D68D2">
        <w:rPr>
          <w:szCs w:val="22"/>
        </w:rPr>
        <w:t>Friday 20</w:t>
      </w:r>
      <w:r w:rsidRPr="007D68D2">
        <w:t xml:space="preserve"> May 2022</w:t>
      </w:r>
      <w:r w:rsidRPr="00483945">
        <w:rPr>
          <w:szCs w:val="22"/>
        </w:rPr>
        <w:t>.</w:t>
      </w:r>
      <w:r w:rsidRPr="006A4A2B">
        <w:rPr>
          <w:szCs w:val="22"/>
        </w:rPr>
        <w:t xml:space="preserve"> </w:t>
      </w:r>
      <w:r w:rsidRPr="005A5D89">
        <w:rPr>
          <w:szCs w:val="22"/>
        </w:rPr>
        <w:t>Submissions may be lodged electronically or by post.</w:t>
      </w:r>
    </w:p>
    <w:p w14:paraId="11C5B969" w14:textId="77777777" w:rsidR="009025D6" w:rsidRDefault="009025D6" w:rsidP="009025D6">
      <w:pPr>
        <w:rPr>
          <w:szCs w:val="22"/>
        </w:rPr>
      </w:pPr>
      <w:r w:rsidRPr="005A5D89">
        <w:rPr>
          <w:szCs w:val="22"/>
        </w:rPr>
        <w:t>While submissions may be lodged electronically or by post, electronic lodgement is preferred. For accessibility reasons, please submit responses sent via email in a Word or RTF format. An additional PDF version may also be submitted.</w:t>
      </w:r>
    </w:p>
    <w:p w14:paraId="69669ED9" w14:textId="77777777" w:rsidR="009025D6" w:rsidRPr="008770AF" w:rsidRDefault="009025D6" w:rsidP="007D68D2">
      <w:pPr>
        <w:pStyle w:val="Numbered111"/>
        <w:numPr>
          <w:ilvl w:val="0"/>
          <w:numId w:val="0"/>
        </w:numPr>
        <w:ind w:left="1021" w:hanging="1021"/>
      </w:pPr>
      <w:bookmarkStart w:id="30" w:name="_Toc97565311"/>
      <w:r w:rsidRPr="007D68D2">
        <w:rPr>
          <w:rFonts w:ascii="Calibri" w:eastAsia="Times New Roman" w:hAnsi="Calibri" w:cs="Arial"/>
          <w:b w:val="0"/>
          <w:bCs w:val="0"/>
          <w:color w:val="3A6FAF" w:themeColor="accent2"/>
          <w:kern w:val="32"/>
          <w:sz w:val="26"/>
          <w:szCs w:val="26"/>
          <w:lang w:eastAsia="en-AU"/>
        </w:rPr>
        <w:t>Publication of submissions and confidentiality</w:t>
      </w:r>
      <w:bookmarkEnd w:id="30"/>
    </w:p>
    <w:p w14:paraId="20E8E365" w14:textId="77777777" w:rsidR="009025D6" w:rsidRPr="005A5D89" w:rsidRDefault="009025D6" w:rsidP="009025D6">
      <w:pPr>
        <w:rPr>
          <w:szCs w:val="22"/>
        </w:rPr>
      </w:pPr>
      <w:r w:rsidRPr="005A5D89">
        <w:rPr>
          <w:szCs w:val="22"/>
        </w:rPr>
        <w:t xml:space="preserve">All information (including name and address details) contained in formal submissions will be made available to the public on the Australian Treasury website, unless you indicate that you would like all or part of your submission to remain confidential. Automatically generated confidentiality statements in emails do not suffice for this purpose. Respondents who would like part of their </w:t>
      </w:r>
      <w:r w:rsidRPr="005A5D89">
        <w:rPr>
          <w:szCs w:val="22"/>
        </w:rPr>
        <w:lastRenderedPageBreak/>
        <w:t>submission to remain confidential should provide this information marked as such in a separate attachment.</w:t>
      </w:r>
    </w:p>
    <w:p w14:paraId="21685723" w14:textId="77777777" w:rsidR="009025D6" w:rsidRDefault="009025D6" w:rsidP="009025D6">
      <w:pPr>
        <w:rPr>
          <w:szCs w:val="22"/>
        </w:rPr>
      </w:pPr>
      <w:r w:rsidRPr="005A5D89">
        <w:rPr>
          <w:szCs w:val="22"/>
        </w:rPr>
        <w:t xml:space="preserve">Legal requirements, such as those imposed by the </w:t>
      </w:r>
      <w:r w:rsidRPr="00965FEC">
        <w:rPr>
          <w:i/>
          <w:iCs/>
          <w:szCs w:val="22"/>
        </w:rPr>
        <w:t>Freedom of Information Act 1982</w:t>
      </w:r>
      <w:r w:rsidRPr="005A5D89">
        <w:rPr>
          <w:szCs w:val="22"/>
        </w:rPr>
        <w:t>, may affect the confidentiality of your submission.</w:t>
      </w:r>
    </w:p>
    <w:p w14:paraId="4E970068" w14:textId="196C30BF" w:rsidR="009025D6" w:rsidRPr="005513D4" w:rsidRDefault="009025D6" w:rsidP="009025D6">
      <w:pPr>
        <w:pStyle w:val="Heading2"/>
        <w:rPr>
          <w:color w:val="002760"/>
        </w:rPr>
      </w:pPr>
      <w:bookmarkStart w:id="31" w:name="_Toc97565313"/>
      <w:bookmarkStart w:id="32" w:name="_Toc98248283"/>
      <w:bookmarkStart w:id="33" w:name="_Toc98248370"/>
      <w:bookmarkStart w:id="34" w:name="_Toc98258005"/>
      <w:r w:rsidRPr="005513D4">
        <w:rPr>
          <w:color w:val="002760"/>
        </w:rPr>
        <w:t xml:space="preserve">Closing date for submissions: </w:t>
      </w:r>
      <w:bookmarkEnd w:id="31"/>
      <w:sdt>
        <w:sdtPr>
          <w:rPr>
            <w:color w:val="002760"/>
          </w:rPr>
          <w:id w:val="1454836312"/>
          <w:placeholder>
            <w:docPart w:val="1050BCF62B7D41AAA2C245DA13FDFEE7"/>
          </w:placeholder>
          <w:date w:fullDate="2022-05-20T00:00:00Z">
            <w:dateFormat w:val="dd MMMM yyyy"/>
            <w:lid w:val="en-AU"/>
            <w:storeMappedDataAs w:val="dateTime"/>
            <w:calendar w:val="gregorian"/>
          </w:date>
        </w:sdtPr>
        <w:sdtEndPr>
          <w:rPr>
            <w:highlight w:val="yellow"/>
          </w:rPr>
        </w:sdtEndPr>
        <w:sdtContent>
          <w:r w:rsidRPr="009E591A">
            <w:rPr>
              <w:color w:val="002760"/>
            </w:rPr>
            <w:t>2</w:t>
          </w:r>
          <w:r w:rsidR="00D64A70" w:rsidRPr="00483945">
            <w:rPr>
              <w:color w:val="002760"/>
            </w:rPr>
            <w:t>0</w:t>
          </w:r>
          <w:r w:rsidRPr="00483945">
            <w:rPr>
              <w:color w:val="002760"/>
            </w:rPr>
            <w:t xml:space="preserve"> May 2022</w:t>
          </w:r>
        </w:sdtContent>
      </w:sdt>
      <w:bookmarkEnd w:id="32"/>
      <w:bookmarkEnd w:id="33"/>
      <w:bookmarkEnd w:id="34"/>
    </w:p>
    <w:tbl>
      <w:tblPr>
        <w:tblStyle w:val="TableGrid"/>
        <w:tblW w:w="0" w:type="auto"/>
        <w:tblLook w:val="04A0" w:firstRow="1" w:lastRow="0" w:firstColumn="1" w:lastColumn="0" w:noHBand="0" w:noVBand="1"/>
      </w:tblPr>
      <w:tblGrid>
        <w:gridCol w:w="1514"/>
        <w:gridCol w:w="7556"/>
      </w:tblGrid>
      <w:tr w:rsidR="009025D6" w:rsidRPr="00B85F47" w14:paraId="7AD455FC" w14:textId="77777777" w:rsidTr="005F62B3">
        <w:tc>
          <w:tcPr>
            <w:tcW w:w="1514" w:type="dxa"/>
            <w:shd w:val="clear" w:color="auto" w:fill="auto"/>
          </w:tcPr>
          <w:p w14:paraId="11F77FE2" w14:textId="77777777" w:rsidR="009025D6" w:rsidRPr="00B85F47" w:rsidRDefault="0043516C" w:rsidP="005F62B3">
            <w:pPr>
              <w:rPr>
                <w:szCs w:val="22"/>
              </w:rPr>
            </w:pPr>
            <w:hyperlink r:id="rId20" w:history="1">
              <w:r w:rsidR="009025D6">
                <w:rPr>
                  <w:sz w:val="22"/>
                  <w:szCs w:val="22"/>
                </w:rPr>
                <w:t>Email</w:t>
              </w:r>
            </w:hyperlink>
          </w:p>
        </w:tc>
        <w:tc>
          <w:tcPr>
            <w:tcW w:w="7556" w:type="dxa"/>
            <w:shd w:val="clear" w:color="auto" w:fill="auto"/>
          </w:tcPr>
          <w:p w14:paraId="5EF1BC5E" w14:textId="77777777" w:rsidR="009025D6" w:rsidRPr="00D2737F" w:rsidRDefault="0043516C" w:rsidP="005F62B3">
            <w:pPr>
              <w:pStyle w:val="SingleParagraph"/>
              <w:spacing w:before="120"/>
              <w:rPr>
                <w:rFonts w:cs="Arial"/>
                <w:sz w:val="22"/>
                <w:szCs w:val="22"/>
              </w:rPr>
            </w:pPr>
            <w:hyperlink r:id="rId21" w:history="1">
              <w:r w:rsidR="009025D6" w:rsidRPr="00D2737F">
                <w:rPr>
                  <w:rStyle w:val="Hyperlink"/>
                  <w:sz w:val="22"/>
                  <w:szCs w:val="22"/>
                </w:rPr>
                <w:t>CDRstatutoryreview@treasury.gov.au</w:t>
              </w:r>
            </w:hyperlink>
          </w:p>
        </w:tc>
      </w:tr>
      <w:tr w:rsidR="009025D6" w:rsidRPr="00B85F47" w14:paraId="1BA40653" w14:textId="77777777" w:rsidTr="005F62B3">
        <w:tc>
          <w:tcPr>
            <w:tcW w:w="1514" w:type="dxa"/>
            <w:shd w:val="clear" w:color="auto" w:fill="auto"/>
          </w:tcPr>
          <w:p w14:paraId="3EF39DB5" w14:textId="77777777" w:rsidR="009025D6" w:rsidRPr="00B85F47" w:rsidRDefault="009025D6" w:rsidP="005F62B3">
            <w:pPr>
              <w:rPr>
                <w:sz w:val="22"/>
                <w:szCs w:val="22"/>
              </w:rPr>
            </w:pPr>
            <w:r w:rsidRPr="00B85F47">
              <w:rPr>
                <w:sz w:val="22"/>
                <w:szCs w:val="22"/>
              </w:rPr>
              <w:t>Mail</w:t>
            </w:r>
          </w:p>
          <w:p w14:paraId="22F5F7A8" w14:textId="77777777" w:rsidR="009025D6" w:rsidRPr="00B85F47" w:rsidRDefault="009025D6" w:rsidP="005F62B3">
            <w:pPr>
              <w:rPr>
                <w:sz w:val="22"/>
                <w:szCs w:val="22"/>
              </w:rPr>
            </w:pPr>
          </w:p>
          <w:p w14:paraId="512AA5C5" w14:textId="77777777" w:rsidR="009025D6" w:rsidRPr="00B85F47" w:rsidRDefault="009025D6" w:rsidP="005F62B3">
            <w:pPr>
              <w:rPr>
                <w:sz w:val="22"/>
                <w:szCs w:val="22"/>
              </w:rPr>
            </w:pPr>
          </w:p>
        </w:tc>
        <w:tc>
          <w:tcPr>
            <w:tcW w:w="7556" w:type="dxa"/>
            <w:shd w:val="clear" w:color="auto" w:fill="auto"/>
          </w:tcPr>
          <w:p w14:paraId="6C266A2E" w14:textId="77777777" w:rsidR="009025D6" w:rsidRPr="00EF05DF" w:rsidRDefault="009025D6" w:rsidP="005F62B3">
            <w:pPr>
              <w:pStyle w:val="SingleParagraph"/>
              <w:spacing w:before="120"/>
              <w:rPr>
                <w:rFonts w:cs="Arial"/>
                <w:sz w:val="22"/>
                <w:szCs w:val="22"/>
              </w:rPr>
            </w:pPr>
            <w:r w:rsidRPr="00EF05DF">
              <w:rPr>
                <w:rFonts w:cs="Arial"/>
                <w:sz w:val="22"/>
                <w:szCs w:val="22"/>
              </w:rPr>
              <w:t>Secretariat</w:t>
            </w:r>
            <w:r w:rsidRPr="00EF05DF">
              <w:rPr>
                <w:rFonts w:cs="Arial"/>
                <w:sz w:val="22"/>
                <w:szCs w:val="22"/>
              </w:rPr>
              <w:br/>
              <w:t>Statutory Review of the Consumer Data Right</w:t>
            </w:r>
          </w:p>
          <w:p w14:paraId="18C44AF8" w14:textId="77777777" w:rsidR="009025D6" w:rsidRPr="00EF05DF" w:rsidRDefault="009025D6" w:rsidP="005F62B3">
            <w:pPr>
              <w:pStyle w:val="SingleParagraph"/>
              <w:rPr>
                <w:rFonts w:cs="Arial"/>
                <w:sz w:val="22"/>
                <w:szCs w:val="22"/>
              </w:rPr>
            </w:pPr>
            <w:r w:rsidRPr="00EF05DF">
              <w:rPr>
                <w:rFonts w:cs="Arial"/>
                <w:sz w:val="22"/>
                <w:szCs w:val="22"/>
              </w:rPr>
              <w:t>The Treasury</w:t>
            </w:r>
          </w:p>
          <w:p w14:paraId="3D7CC112" w14:textId="77777777" w:rsidR="009025D6" w:rsidRPr="00EF05DF" w:rsidRDefault="009025D6" w:rsidP="005F62B3">
            <w:pPr>
              <w:pStyle w:val="SingleParagraph"/>
              <w:rPr>
                <w:rFonts w:cs="Arial"/>
                <w:sz w:val="22"/>
                <w:szCs w:val="22"/>
              </w:rPr>
            </w:pPr>
            <w:r w:rsidRPr="00EF05DF">
              <w:rPr>
                <w:rFonts w:cs="Arial"/>
                <w:sz w:val="22"/>
                <w:szCs w:val="22"/>
              </w:rPr>
              <w:t>Langton Crescent</w:t>
            </w:r>
          </w:p>
          <w:p w14:paraId="7607931F" w14:textId="77777777" w:rsidR="009025D6" w:rsidRPr="00EF05DF" w:rsidRDefault="009025D6" w:rsidP="005F62B3">
            <w:pPr>
              <w:pStyle w:val="SingleParagraph"/>
              <w:rPr>
                <w:sz w:val="22"/>
                <w:szCs w:val="22"/>
              </w:rPr>
            </w:pPr>
            <w:r w:rsidRPr="00EF05DF">
              <w:rPr>
                <w:sz w:val="22"/>
                <w:szCs w:val="22"/>
              </w:rPr>
              <w:t>PARKES ACT 2600</w:t>
            </w:r>
          </w:p>
        </w:tc>
      </w:tr>
      <w:tr w:rsidR="009025D6" w:rsidRPr="00B85F47" w14:paraId="086DB0E0" w14:textId="77777777" w:rsidTr="005F62B3">
        <w:tc>
          <w:tcPr>
            <w:tcW w:w="1514" w:type="dxa"/>
            <w:shd w:val="clear" w:color="auto" w:fill="auto"/>
          </w:tcPr>
          <w:p w14:paraId="7E934D94" w14:textId="77777777" w:rsidR="009025D6" w:rsidRPr="00B85F47" w:rsidRDefault="009025D6" w:rsidP="005F62B3">
            <w:pPr>
              <w:rPr>
                <w:sz w:val="22"/>
                <w:szCs w:val="22"/>
              </w:rPr>
            </w:pPr>
            <w:r w:rsidRPr="00B85F47">
              <w:rPr>
                <w:sz w:val="22"/>
                <w:szCs w:val="22"/>
              </w:rPr>
              <w:t>Enquiries</w:t>
            </w:r>
          </w:p>
        </w:tc>
        <w:tc>
          <w:tcPr>
            <w:tcW w:w="7556" w:type="dxa"/>
            <w:shd w:val="clear" w:color="auto" w:fill="auto"/>
          </w:tcPr>
          <w:p w14:paraId="74142624" w14:textId="77777777" w:rsidR="009025D6" w:rsidRPr="00EF05DF" w:rsidRDefault="009025D6" w:rsidP="005F62B3">
            <w:pPr>
              <w:rPr>
                <w:rFonts w:cs="Arial"/>
                <w:szCs w:val="22"/>
              </w:rPr>
            </w:pPr>
            <w:r w:rsidRPr="00EF05DF">
              <w:rPr>
                <w:rFonts w:cs="Arial"/>
                <w:sz w:val="22"/>
                <w:szCs w:val="22"/>
              </w:rPr>
              <w:t xml:space="preserve">Enquiries can be initially directed to </w:t>
            </w:r>
            <w:hyperlink r:id="rId22" w:history="1">
              <w:r w:rsidRPr="00EF05DF">
                <w:rPr>
                  <w:sz w:val="22"/>
                  <w:szCs w:val="22"/>
                </w:rPr>
                <w:t>media@treasury.gov.au</w:t>
              </w:r>
            </w:hyperlink>
          </w:p>
          <w:p w14:paraId="44082B30" w14:textId="77777777" w:rsidR="009025D6" w:rsidRPr="00EF05DF" w:rsidRDefault="009025D6" w:rsidP="005F62B3">
            <w:pPr>
              <w:jc w:val="left"/>
              <w:rPr>
                <w:sz w:val="22"/>
                <w:szCs w:val="22"/>
              </w:rPr>
            </w:pPr>
            <w:r w:rsidRPr="00EF05DF">
              <w:rPr>
                <w:sz w:val="22"/>
                <w:szCs w:val="22"/>
              </w:rPr>
              <w:t xml:space="preserve">Media enquiries should be directed to medialiaison@treasury.gov.au </w:t>
            </w:r>
            <w:r w:rsidRPr="00EF05DF">
              <w:rPr>
                <w:sz w:val="22"/>
                <w:szCs w:val="22"/>
              </w:rPr>
              <w:br/>
              <w:t>or +61 2 6263 2300.</w:t>
            </w:r>
          </w:p>
        </w:tc>
      </w:tr>
    </w:tbl>
    <w:p w14:paraId="22D19D29" w14:textId="73272C15" w:rsidR="00D64A70" w:rsidRDefault="00D64A70">
      <w:pPr>
        <w:spacing w:before="0" w:after="160" w:line="259" w:lineRule="auto"/>
        <w:rPr>
          <w:rFonts w:asciiTheme="majorHAnsi" w:hAnsiTheme="majorHAnsi" w:cstheme="majorHAnsi"/>
          <w:color w:val="313131"/>
          <w:szCs w:val="22"/>
        </w:rPr>
      </w:pPr>
    </w:p>
    <w:p w14:paraId="271EAD1D" w14:textId="77777777" w:rsidR="00D64A70" w:rsidRDefault="00D64A70">
      <w:pPr>
        <w:spacing w:before="0" w:after="160" w:line="259" w:lineRule="auto"/>
        <w:rPr>
          <w:rFonts w:asciiTheme="majorHAnsi" w:hAnsiTheme="majorHAnsi" w:cstheme="majorHAnsi"/>
          <w:color w:val="313131"/>
          <w:szCs w:val="22"/>
        </w:rPr>
      </w:pPr>
      <w:r>
        <w:rPr>
          <w:rFonts w:asciiTheme="majorHAnsi" w:hAnsiTheme="majorHAnsi" w:cstheme="majorHAnsi"/>
          <w:color w:val="313131"/>
          <w:szCs w:val="22"/>
        </w:rPr>
        <w:br w:type="page"/>
      </w:r>
    </w:p>
    <w:p w14:paraId="06DF19A7" w14:textId="657736E7" w:rsidR="000E0B74" w:rsidRPr="005513D4" w:rsidRDefault="00D64A70" w:rsidP="001421A1">
      <w:pPr>
        <w:pStyle w:val="Heading1"/>
        <w:rPr>
          <w:color w:val="0D45D6"/>
        </w:rPr>
      </w:pPr>
      <w:bookmarkStart w:id="35" w:name="_Toc98258006"/>
      <w:bookmarkEnd w:id="7"/>
      <w:bookmarkEnd w:id="8"/>
      <w:r>
        <w:rPr>
          <w:color w:val="0D45D6"/>
        </w:rPr>
        <w:lastRenderedPageBreak/>
        <w:t xml:space="preserve">Overview of the </w:t>
      </w:r>
      <w:r w:rsidR="00FF4057" w:rsidRPr="005513D4">
        <w:rPr>
          <w:color w:val="0D45D6"/>
        </w:rPr>
        <w:t>Consumer Data Right</w:t>
      </w:r>
      <w:bookmarkEnd w:id="35"/>
    </w:p>
    <w:p w14:paraId="23869483" w14:textId="668D91ED" w:rsidR="00A6578A" w:rsidRPr="00A6578A" w:rsidRDefault="00A6578A" w:rsidP="00A6578A">
      <w:pPr>
        <w:rPr>
          <w:rFonts w:asciiTheme="minorHAnsi" w:hAnsiTheme="minorHAnsi" w:cstheme="minorHAnsi"/>
        </w:rPr>
      </w:pPr>
      <w:r w:rsidRPr="00A6578A">
        <w:rPr>
          <w:rFonts w:asciiTheme="minorHAnsi" w:hAnsiTheme="minorHAnsi" w:cstheme="minorHAnsi"/>
        </w:rPr>
        <w:t>The CDR is a significant, economy-wide reform designed to empower consumers to benefit from the data Australian businesses hold about them and in doing so strengthen innovation</w:t>
      </w:r>
      <w:r w:rsidR="00F25822">
        <w:rPr>
          <w:rFonts w:asciiTheme="minorHAnsi" w:hAnsiTheme="minorHAnsi" w:cstheme="minorHAnsi"/>
        </w:rPr>
        <w:t>, competition</w:t>
      </w:r>
      <w:r w:rsidRPr="00A6578A">
        <w:rPr>
          <w:rFonts w:asciiTheme="minorHAnsi" w:hAnsiTheme="minorHAnsi" w:cstheme="minorHAnsi"/>
        </w:rPr>
        <w:t xml:space="preserve"> and productivity.</w:t>
      </w:r>
      <w:r w:rsidR="0005389D" w:rsidRPr="0005389D">
        <w:rPr>
          <w:rFonts w:asciiTheme="minorHAnsi" w:hAnsiTheme="minorHAnsi" w:cstheme="minorHAnsi"/>
        </w:rPr>
        <w:t xml:space="preserve"> </w:t>
      </w:r>
      <w:r w:rsidR="0005389D" w:rsidRPr="00CC1E9C">
        <w:rPr>
          <w:rFonts w:asciiTheme="minorHAnsi" w:hAnsiTheme="minorHAnsi" w:cstheme="minorHAnsi"/>
        </w:rPr>
        <w:t xml:space="preserve">An economy-wide CDR is a key </w:t>
      </w:r>
      <w:r w:rsidR="00FD1C5F" w:rsidRPr="00CC1E9C">
        <w:rPr>
          <w:rFonts w:asciiTheme="minorHAnsi" w:hAnsiTheme="minorHAnsi" w:cstheme="minorHAnsi"/>
        </w:rPr>
        <w:t>part</w:t>
      </w:r>
      <w:r w:rsidR="00C515F3" w:rsidRPr="00CC1E9C">
        <w:rPr>
          <w:rFonts w:asciiTheme="minorHAnsi" w:hAnsiTheme="minorHAnsi" w:cstheme="minorHAnsi"/>
        </w:rPr>
        <w:t xml:space="preserve"> </w:t>
      </w:r>
      <w:r w:rsidR="0005389D" w:rsidRPr="00CC1E9C">
        <w:rPr>
          <w:rFonts w:asciiTheme="minorHAnsi" w:hAnsiTheme="minorHAnsi" w:cstheme="minorHAnsi"/>
        </w:rPr>
        <w:t xml:space="preserve">of the </w:t>
      </w:r>
      <w:r w:rsidR="00F06DD4" w:rsidRPr="00CC1E9C">
        <w:rPr>
          <w:i/>
          <w:iCs/>
          <w:szCs w:val="22"/>
        </w:rPr>
        <w:t>Digital Economy Strategy</w:t>
      </w:r>
      <w:r w:rsidR="00BD75AE" w:rsidRPr="00CC1E9C">
        <w:rPr>
          <w:rStyle w:val="Hyperlink"/>
          <w:i/>
          <w:iCs/>
          <w:szCs w:val="22"/>
        </w:rPr>
        <w:t xml:space="preserve"> </w:t>
      </w:r>
      <w:r w:rsidR="0005389D" w:rsidRPr="00CC1E9C">
        <w:rPr>
          <w:rFonts w:asciiTheme="minorHAnsi" w:hAnsiTheme="minorHAnsi" w:cstheme="minorHAnsi"/>
        </w:rPr>
        <w:t xml:space="preserve">– the </w:t>
      </w:r>
      <w:r w:rsidR="00D16B98" w:rsidRPr="00CC1E9C">
        <w:rPr>
          <w:rFonts w:asciiTheme="minorHAnsi" w:hAnsiTheme="minorHAnsi" w:cstheme="minorHAnsi"/>
        </w:rPr>
        <w:t xml:space="preserve">Government’s </w:t>
      </w:r>
      <w:r w:rsidR="0005389D" w:rsidRPr="00CC1E9C">
        <w:rPr>
          <w:rFonts w:asciiTheme="minorHAnsi" w:hAnsiTheme="minorHAnsi" w:cstheme="minorHAnsi"/>
        </w:rPr>
        <w:t>roadmap for Australia to become a leading digital economy and society by 2030.</w:t>
      </w:r>
    </w:p>
    <w:p w14:paraId="0697564F" w14:textId="4E834ADC" w:rsidR="00A6578A" w:rsidRDefault="00A6578A" w:rsidP="00A6578A">
      <w:pPr>
        <w:rPr>
          <w:rFonts w:asciiTheme="minorHAnsi" w:hAnsiTheme="minorHAnsi" w:cstheme="minorHAnsi"/>
        </w:rPr>
      </w:pPr>
      <w:r w:rsidRPr="00A6578A">
        <w:rPr>
          <w:rFonts w:asciiTheme="minorHAnsi" w:hAnsiTheme="minorHAnsi" w:cstheme="minorHAnsi"/>
        </w:rPr>
        <w:t xml:space="preserve">The CDR was conceived </w:t>
      </w:r>
      <w:r w:rsidR="003174E2">
        <w:rPr>
          <w:rFonts w:asciiTheme="minorHAnsi" w:hAnsiTheme="minorHAnsi" w:cstheme="minorHAnsi"/>
        </w:rPr>
        <w:t>of</w:t>
      </w:r>
      <w:r w:rsidRPr="00A6578A">
        <w:rPr>
          <w:rFonts w:asciiTheme="minorHAnsi" w:hAnsiTheme="minorHAnsi" w:cstheme="minorHAnsi"/>
        </w:rPr>
        <w:t xml:space="preserve"> as a right by the Productivity Commission</w:t>
      </w:r>
      <w:r w:rsidR="001C1DC7">
        <w:rPr>
          <w:rFonts w:asciiTheme="minorHAnsi" w:hAnsiTheme="minorHAnsi" w:cstheme="minorHAnsi"/>
        </w:rPr>
        <w:t xml:space="preserve"> in March 2017</w:t>
      </w:r>
      <w:r w:rsidRPr="00A6578A">
        <w:rPr>
          <w:rFonts w:asciiTheme="minorHAnsi" w:hAnsiTheme="minorHAnsi" w:cstheme="minorHAnsi"/>
        </w:rPr>
        <w:t>,</w:t>
      </w:r>
      <w:r w:rsidR="002A48CC">
        <w:rPr>
          <w:rStyle w:val="FootnoteReference"/>
          <w:rFonts w:cstheme="minorHAnsi"/>
        </w:rPr>
        <w:footnoteReference w:id="8"/>
      </w:r>
      <w:r w:rsidRPr="00A6578A">
        <w:rPr>
          <w:rFonts w:asciiTheme="minorHAnsi" w:hAnsiTheme="minorHAnsi" w:cstheme="minorHAnsi"/>
        </w:rPr>
        <w:t xml:space="preserve"> based on the benefits it </w:t>
      </w:r>
      <w:r w:rsidR="003174E2">
        <w:rPr>
          <w:rFonts w:asciiTheme="minorHAnsi" w:hAnsiTheme="minorHAnsi" w:cstheme="minorHAnsi"/>
        </w:rPr>
        <w:t>could</w:t>
      </w:r>
      <w:r w:rsidR="003174E2" w:rsidRPr="00A6578A">
        <w:rPr>
          <w:rFonts w:asciiTheme="minorHAnsi" w:hAnsiTheme="minorHAnsi" w:cstheme="minorHAnsi"/>
        </w:rPr>
        <w:t xml:space="preserve"> </w:t>
      </w:r>
      <w:r w:rsidRPr="00A6578A">
        <w:rPr>
          <w:rFonts w:asciiTheme="minorHAnsi" w:hAnsiTheme="minorHAnsi" w:cstheme="minorHAnsi"/>
        </w:rPr>
        <w:t xml:space="preserve">provide to consumers and businesses and its potential to </w:t>
      </w:r>
      <w:r w:rsidR="00805E5D">
        <w:rPr>
          <w:rFonts w:asciiTheme="minorHAnsi" w:hAnsiTheme="minorHAnsi" w:cstheme="minorHAnsi"/>
        </w:rPr>
        <w:t>enhance</w:t>
      </w:r>
      <w:r w:rsidR="00805E5D" w:rsidRPr="00A6578A">
        <w:rPr>
          <w:rFonts w:asciiTheme="minorHAnsi" w:hAnsiTheme="minorHAnsi" w:cstheme="minorHAnsi"/>
        </w:rPr>
        <w:t xml:space="preserve"> </w:t>
      </w:r>
      <w:r w:rsidR="00805E5D">
        <w:rPr>
          <w:rFonts w:asciiTheme="minorHAnsi" w:hAnsiTheme="minorHAnsi" w:cstheme="minorHAnsi"/>
        </w:rPr>
        <w:t>competition</w:t>
      </w:r>
      <w:r w:rsidRPr="00A6578A">
        <w:rPr>
          <w:rFonts w:asciiTheme="minorHAnsi" w:hAnsiTheme="minorHAnsi" w:cstheme="minorHAnsi"/>
        </w:rPr>
        <w:t xml:space="preserve">. The Productivity Commission identified that </w:t>
      </w:r>
      <w:r w:rsidR="001C2106">
        <w:rPr>
          <w:rFonts w:asciiTheme="minorHAnsi" w:hAnsiTheme="minorHAnsi" w:cstheme="minorHAnsi"/>
        </w:rPr>
        <w:t xml:space="preserve">creating a right of this kind would </w:t>
      </w:r>
      <w:r w:rsidR="001C2106">
        <w:t>fundamentally reform Australia’s competition policy in a digital world</w:t>
      </w:r>
      <w:r w:rsidR="009E38A6">
        <w:rPr>
          <w:rFonts w:asciiTheme="minorHAnsi" w:hAnsiTheme="minorHAnsi" w:cstheme="minorHAnsi"/>
        </w:rPr>
        <w:t>.</w:t>
      </w:r>
    </w:p>
    <w:p w14:paraId="03F73B85" w14:textId="5994A91D" w:rsidR="00C4629B" w:rsidRPr="0027359A" w:rsidRDefault="007D2EB9" w:rsidP="00C4629B">
      <w:pPr>
        <w:rPr>
          <w:rFonts w:asciiTheme="minorHAnsi" w:hAnsiTheme="minorHAnsi" w:cstheme="minorHAnsi"/>
        </w:rPr>
      </w:pPr>
      <w:r>
        <w:rPr>
          <w:rFonts w:asciiTheme="minorHAnsi" w:hAnsiTheme="minorHAnsi" w:cstheme="minorHAnsi"/>
        </w:rPr>
        <w:t xml:space="preserve">In July 2017, the </w:t>
      </w:r>
      <w:r>
        <w:rPr>
          <w:rFonts w:asciiTheme="minorHAnsi" w:hAnsiTheme="minorHAnsi" w:cstheme="minorHAnsi"/>
          <w:i/>
          <w:iCs/>
        </w:rPr>
        <w:t xml:space="preserve">Review into Open Banking </w:t>
      </w:r>
      <w:r>
        <w:rPr>
          <w:rFonts w:asciiTheme="minorHAnsi" w:hAnsiTheme="minorHAnsi" w:cstheme="minorHAnsi"/>
        </w:rPr>
        <w:t xml:space="preserve">was commissioned to recommend the most appropriate model for an Open Banking regime in Australia. </w:t>
      </w:r>
      <w:r w:rsidR="001C1DC7">
        <w:rPr>
          <w:rFonts w:asciiTheme="minorHAnsi" w:hAnsiTheme="minorHAnsi" w:cstheme="minorHAnsi"/>
        </w:rPr>
        <w:t>Giving regard to the earlier work of the Productivity Commission, t</w:t>
      </w:r>
      <w:r>
        <w:rPr>
          <w:rFonts w:asciiTheme="minorHAnsi" w:hAnsiTheme="minorHAnsi" w:cstheme="minorHAnsi"/>
        </w:rPr>
        <w:t xml:space="preserve">he final report of this review positioned Open Banking as a component of a more general right for consumers to control their data in Australia – the CDR. The final report of the </w:t>
      </w:r>
      <w:r>
        <w:rPr>
          <w:rFonts w:asciiTheme="minorHAnsi" w:hAnsiTheme="minorHAnsi" w:cstheme="minorHAnsi"/>
          <w:i/>
          <w:iCs/>
        </w:rPr>
        <w:t xml:space="preserve">Review into Open Banking </w:t>
      </w:r>
      <w:r>
        <w:rPr>
          <w:rFonts w:asciiTheme="minorHAnsi" w:hAnsiTheme="minorHAnsi" w:cstheme="minorHAnsi"/>
        </w:rPr>
        <w:t>set out</w:t>
      </w:r>
      <w:r w:rsidR="00C4629B" w:rsidRPr="0027359A">
        <w:rPr>
          <w:rFonts w:asciiTheme="minorHAnsi" w:hAnsiTheme="minorHAnsi" w:cstheme="minorHAnsi"/>
        </w:rPr>
        <w:t xml:space="preserve"> four key principles</w:t>
      </w:r>
      <w:r>
        <w:rPr>
          <w:rFonts w:asciiTheme="minorHAnsi" w:hAnsiTheme="minorHAnsi" w:cstheme="minorHAnsi"/>
        </w:rPr>
        <w:t>, which have guided the implementation of the CDR in Australia</w:t>
      </w:r>
      <w:r w:rsidR="00C4629B" w:rsidRPr="0027359A">
        <w:rPr>
          <w:rFonts w:asciiTheme="minorHAnsi" w:hAnsiTheme="minorHAnsi" w:cstheme="minorHAnsi"/>
        </w:rPr>
        <w:t>.</w:t>
      </w:r>
      <w:r w:rsidR="006465CA">
        <w:rPr>
          <w:rStyle w:val="FootnoteReference"/>
          <w:rFonts w:cstheme="minorHAnsi"/>
        </w:rPr>
        <w:footnoteReference w:id="9"/>
      </w:r>
      <w:r w:rsidR="00C4629B" w:rsidRPr="0027359A">
        <w:rPr>
          <w:rFonts w:asciiTheme="minorHAnsi" w:hAnsiTheme="minorHAnsi" w:cstheme="minorHAnsi"/>
        </w:rPr>
        <w:t xml:space="preserve"> These are that the </w:t>
      </w:r>
      <w:r w:rsidR="00D95A95">
        <w:rPr>
          <w:rFonts w:asciiTheme="minorHAnsi" w:hAnsiTheme="minorHAnsi" w:cstheme="minorHAnsi"/>
        </w:rPr>
        <w:t>CDR</w:t>
      </w:r>
      <w:r w:rsidR="00C4629B" w:rsidRPr="0027359A">
        <w:rPr>
          <w:rFonts w:asciiTheme="minorHAnsi" w:hAnsiTheme="minorHAnsi" w:cstheme="minorHAnsi"/>
        </w:rPr>
        <w:t xml:space="preserve"> should: </w:t>
      </w:r>
    </w:p>
    <w:p w14:paraId="3EB304BB" w14:textId="77777777" w:rsidR="00C4629B" w:rsidRPr="001E7C42" w:rsidRDefault="00C4629B" w:rsidP="00C4629B">
      <w:pPr>
        <w:pStyle w:val="Bullet"/>
      </w:pPr>
      <w:r w:rsidRPr="001E7C42">
        <w:rPr>
          <w:b/>
          <w:bCs/>
        </w:rPr>
        <w:t>Be consumer focussed.</w:t>
      </w:r>
      <w:r w:rsidRPr="001E7C42">
        <w:t xml:space="preserve"> It should be for the consumer, about the consumer, and seen from the consumer’s perspective. </w:t>
      </w:r>
    </w:p>
    <w:p w14:paraId="74C9423D" w14:textId="77777777" w:rsidR="00C4629B" w:rsidRPr="001E7C42" w:rsidRDefault="00C4629B" w:rsidP="00C4629B">
      <w:pPr>
        <w:pStyle w:val="Bullet"/>
      </w:pPr>
      <w:r w:rsidRPr="001E7C42">
        <w:rPr>
          <w:b/>
          <w:bCs/>
        </w:rPr>
        <w:t>Encourage competition.</w:t>
      </w:r>
      <w:r w:rsidRPr="001E7C42">
        <w:t xml:space="preserve"> It should seek to increase competition for products and services available to consumers so that they can make better choices. </w:t>
      </w:r>
    </w:p>
    <w:p w14:paraId="67FF02DD" w14:textId="77777777" w:rsidR="00C4629B" w:rsidRPr="001E7C42" w:rsidRDefault="00C4629B" w:rsidP="00C4629B">
      <w:pPr>
        <w:pStyle w:val="Bullet"/>
      </w:pPr>
      <w:r w:rsidRPr="001E7C42">
        <w:rPr>
          <w:b/>
          <w:bCs/>
        </w:rPr>
        <w:t>Create opportunities.</w:t>
      </w:r>
      <w:r w:rsidRPr="001E7C42">
        <w:t xml:space="preserve"> It should provide a framework from which new ideas and business can emerge and grow, establishing a vibrant and creative data sector that supports better services enhanced by personalised data. </w:t>
      </w:r>
    </w:p>
    <w:p w14:paraId="0A29E307" w14:textId="14809B79" w:rsidR="00C4629B" w:rsidRDefault="00C4629B" w:rsidP="00C4629B">
      <w:pPr>
        <w:pStyle w:val="Bullet"/>
      </w:pPr>
      <w:r w:rsidRPr="001E7C42">
        <w:rPr>
          <w:b/>
          <w:bCs/>
        </w:rPr>
        <w:t>Be efficient and fair.</w:t>
      </w:r>
      <w:r w:rsidRPr="001E7C42">
        <w:t xml:space="preserve"> It should be implemented with safety, security</w:t>
      </w:r>
      <w:r w:rsidR="0030009A" w:rsidRPr="001E7C42">
        <w:t>,</w:t>
      </w:r>
      <w:r w:rsidRPr="001E7C42">
        <w:t xml:space="preserve"> and privacy in mind, so that it is sustainable and fair, without being more complex or costly than needed.</w:t>
      </w:r>
    </w:p>
    <w:p w14:paraId="2A14DB61" w14:textId="1A1B1A83" w:rsidR="001C1DC7" w:rsidRPr="005513D4" w:rsidRDefault="001C1DC7" w:rsidP="001C1DC7">
      <w:pPr>
        <w:pStyle w:val="Heading2"/>
        <w:rPr>
          <w:color w:val="002760"/>
        </w:rPr>
      </w:pPr>
      <w:bookmarkStart w:id="36" w:name="_Toc97565323"/>
      <w:bookmarkStart w:id="37" w:name="_Toc98248372"/>
      <w:bookmarkStart w:id="38" w:name="_Toc98258007"/>
      <w:r w:rsidRPr="005513D4">
        <w:rPr>
          <w:color w:val="002760"/>
        </w:rPr>
        <w:t xml:space="preserve">CDR </w:t>
      </w:r>
      <w:r w:rsidR="00B44B85" w:rsidRPr="005513D4">
        <w:rPr>
          <w:color w:val="002760"/>
        </w:rPr>
        <w:t>statutory framework</w:t>
      </w:r>
      <w:bookmarkEnd w:id="36"/>
      <w:bookmarkEnd w:id="37"/>
      <w:bookmarkEnd w:id="38"/>
    </w:p>
    <w:p w14:paraId="7D30F0E0" w14:textId="6AC21C69" w:rsidR="001C1DC7" w:rsidRPr="00015397" w:rsidRDefault="001C1DC7" w:rsidP="001C1DC7">
      <w:pPr>
        <w:rPr>
          <w:rFonts w:asciiTheme="majorHAnsi" w:hAnsiTheme="majorHAnsi" w:cstheme="majorHAnsi"/>
        </w:rPr>
      </w:pPr>
      <w:r>
        <w:rPr>
          <w:rFonts w:asciiTheme="majorHAnsi" w:hAnsiTheme="majorHAnsi" w:cstheme="majorHAnsi"/>
        </w:rPr>
        <w:t>The CDR statutory framework</w:t>
      </w:r>
      <w:r w:rsidR="00EB1980">
        <w:rPr>
          <w:rFonts w:asciiTheme="majorHAnsi" w:hAnsiTheme="majorHAnsi" w:cstheme="majorHAnsi"/>
        </w:rPr>
        <w:t xml:space="preserve"> originated with </w:t>
      </w:r>
      <w:r w:rsidR="00EB1980" w:rsidRPr="007E548A">
        <w:rPr>
          <w:rFonts w:asciiTheme="majorHAnsi" w:hAnsiTheme="majorHAnsi" w:cstheme="majorHAnsi"/>
          <w:i/>
          <w:iCs/>
        </w:rPr>
        <w:t>the Treasury Laws Amendment (Consumer Data Right) Bill 2019</w:t>
      </w:r>
      <w:r w:rsidR="00EB1980">
        <w:rPr>
          <w:rFonts w:asciiTheme="majorHAnsi" w:hAnsiTheme="majorHAnsi" w:cstheme="majorHAnsi"/>
        </w:rPr>
        <w:t>, which received Royal Assent in August 2019.</w:t>
      </w:r>
      <w:r>
        <w:rPr>
          <w:rFonts w:asciiTheme="majorHAnsi" w:hAnsiTheme="majorHAnsi" w:cstheme="majorHAnsi"/>
        </w:rPr>
        <w:t xml:space="preserve"> </w:t>
      </w:r>
      <w:r w:rsidRPr="00015397">
        <w:rPr>
          <w:rFonts w:asciiTheme="majorHAnsi" w:hAnsiTheme="majorHAnsi" w:cstheme="majorHAnsi"/>
        </w:rPr>
        <w:t xml:space="preserve">The </w:t>
      </w:r>
      <w:r w:rsidR="00EB1980">
        <w:rPr>
          <w:rFonts w:asciiTheme="majorHAnsi" w:hAnsiTheme="majorHAnsi" w:cstheme="majorHAnsi"/>
        </w:rPr>
        <w:t>statutory</w:t>
      </w:r>
      <w:r w:rsidRPr="00015397">
        <w:rPr>
          <w:rFonts w:asciiTheme="majorHAnsi" w:hAnsiTheme="majorHAnsi" w:cstheme="majorHAnsi"/>
        </w:rPr>
        <w:t xml:space="preserve"> framework </w:t>
      </w:r>
      <w:r w:rsidR="00EB1980">
        <w:rPr>
          <w:rFonts w:asciiTheme="majorHAnsi" w:hAnsiTheme="majorHAnsi" w:cstheme="majorHAnsi"/>
        </w:rPr>
        <w:t>comprises of</w:t>
      </w:r>
      <w:r w:rsidRPr="00015397">
        <w:rPr>
          <w:rFonts w:asciiTheme="majorHAnsi" w:hAnsiTheme="majorHAnsi" w:cstheme="majorHAnsi"/>
        </w:rPr>
        <w:t xml:space="preserve"> four core components:</w:t>
      </w:r>
    </w:p>
    <w:p w14:paraId="5995BD01" w14:textId="77777777" w:rsidR="001C1DC7" w:rsidRPr="00015397" w:rsidRDefault="001C1DC7" w:rsidP="001C1DC7">
      <w:pPr>
        <w:pStyle w:val="Bullet"/>
        <w:rPr>
          <w:rFonts w:asciiTheme="majorHAnsi" w:hAnsiTheme="majorHAnsi" w:cstheme="majorHAnsi"/>
        </w:rPr>
      </w:pPr>
      <w:r w:rsidRPr="00015397">
        <w:rPr>
          <w:rFonts w:asciiTheme="majorHAnsi" w:hAnsiTheme="majorHAnsi" w:cstheme="majorHAnsi"/>
        </w:rPr>
        <w:t>Part IVD of the Act, which contains the primary CDR legislation, and establishes all other components of the legislative framework,</w:t>
      </w:r>
    </w:p>
    <w:p w14:paraId="6080C479" w14:textId="77777777" w:rsidR="001C1DC7" w:rsidRPr="00015397" w:rsidRDefault="001C1DC7" w:rsidP="001C1DC7">
      <w:pPr>
        <w:pStyle w:val="Bullet"/>
        <w:rPr>
          <w:rFonts w:asciiTheme="majorHAnsi" w:hAnsiTheme="majorHAnsi" w:cstheme="majorHAnsi"/>
        </w:rPr>
      </w:pPr>
      <w:r w:rsidRPr="00015397">
        <w:rPr>
          <w:rFonts w:asciiTheme="majorHAnsi" w:hAnsiTheme="majorHAnsi" w:cstheme="majorHAnsi"/>
        </w:rPr>
        <w:t xml:space="preserve">CDR Designation Instruments made by the Minister pursuant to Part IVD of the Act, which designate sectors of the Australian economy for the purposes of the CDR, </w:t>
      </w:r>
    </w:p>
    <w:p w14:paraId="46FE527D" w14:textId="60241AE5" w:rsidR="001C1DC7" w:rsidRPr="00015397" w:rsidRDefault="001C1DC7" w:rsidP="001C1DC7">
      <w:pPr>
        <w:pStyle w:val="Bullet"/>
        <w:rPr>
          <w:rFonts w:asciiTheme="majorHAnsi" w:hAnsiTheme="majorHAnsi" w:cstheme="majorHAnsi"/>
        </w:rPr>
      </w:pPr>
      <w:r w:rsidRPr="00015397">
        <w:rPr>
          <w:rFonts w:asciiTheme="majorHAnsi" w:hAnsiTheme="majorHAnsi" w:cstheme="majorHAnsi"/>
        </w:rPr>
        <w:t xml:space="preserve">the Consumer Data Right Rules (the Rules) made by the Minister responsible for the CDR. The Rules set out the circumstances in which data holders are required to disclose data, and to whom, in response to a valid </w:t>
      </w:r>
      <w:r w:rsidR="000A369C">
        <w:rPr>
          <w:rFonts w:asciiTheme="majorHAnsi" w:hAnsiTheme="majorHAnsi" w:cstheme="majorHAnsi"/>
        </w:rPr>
        <w:t>consumer</w:t>
      </w:r>
      <w:r w:rsidR="000A369C" w:rsidRPr="00015397">
        <w:rPr>
          <w:rFonts w:asciiTheme="majorHAnsi" w:hAnsiTheme="majorHAnsi" w:cstheme="majorHAnsi"/>
        </w:rPr>
        <w:t xml:space="preserve"> </w:t>
      </w:r>
      <w:r w:rsidRPr="00015397">
        <w:rPr>
          <w:rFonts w:asciiTheme="majorHAnsi" w:hAnsiTheme="majorHAnsi" w:cstheme="majorHAnsi"/>
        </w:rPr>
        <w:t>request. They also set out consent requirements, how data may be used and privacy safeguards, and</w:t>
      </w:r>
    </w:p>
    <w:p w14:paraId="25AF5AE8" w14:textId="0B1CEAE5" w:rsidR="001C1DC7" w:rsidRPr="00015397" w:rsidRDefault="001C1DC7" w:rsidP="001C1DC7">
      <w:pPr>
        <w:pStyle w:val="Bullet"/>
        <w:rPr>
          <w:rFonts w:asciiTheme="majorHAnsi" w:hAnsiTheme="majorHAnsi" w:cstheme="majorHAnsi"/>
        </w:rPr>
      </w:pPr>
      <w:r w:rsidRPr="00015397">
        <w:rPr>
          <w:rFonts w:asciiTheme="majorHAnsi" w:hAnsiTheme="majorHAnsi" w:cstheme="majorHAnsi"/>
        </w:rPr>
        <w:t xml:space="preserve">the Consumer Data Standards (the Standards), which set the technical requirements by which data needs to be provided to consumers and accredited data recipients (ADRs) within the CDR system – ensuring safe, efficient, convenient, and interoperable systems to share data are </w:t>
      </w:r>
      <w:r w:rsidRPr="00015397">
        <w:rPr>
          <w:rFonts w:asciiTheme="majorHAnsi" w:hAnsiTheme="majorHAnsi" w:cstheme="majorHAnsi"/>
        </w:rPr>
        <w:lastRenderedPageBreak/>
        <w:t xml:space="preserve">implemented. Where the Rules require compliance with the standards, a breach of the Standards may constitute a breach of the rules, and Standards have a contractual effect between data holders and recipients in certain instances. </w:t>
      </w:r>
    </w:p>
    <w:p w14:paraId="533F336C" w14:textId="4C1BEBA2" w:rsidR="001C1DC7" w:rsidRDefault="001C1DC7" w:rsidP="001C1DC7">
      <w:pPr>
        <w:pStyle w:val="Bullet"/>
        <w:numPr>
          <w:ilvl w:val="0"/>
          <w:numId w:val="0"/>
        </w:numPr>
        <w:rPr>
          <w:rFonts w:asciiTheme="majorHAnsi" w:hAnsiTheme="majorHAnsi" w:cstheme="majorHAnsi"/>
        </w:rPr>
      </w:pPr>
      <w:r w:rsidRPr="00015397">
        <w:rPr>
          <w:rFonts w:asciiTheme="majorHAnsi" w:hAnsiTheme="majorHAnsi" w:cstheme="majorHAnsi"/>
        </w:rPr>
        <w:t xml:space="preserve">Before the CDR can be applied to a new sector or dataset, a detailed sectoral assessment must be undertaken, summarised in </w:t>
      </w:r>
      <w:r w:rsidRPr="00015397">
        <w:rPr>
          <w:rFonts w:asciiTheme="majorHAnsi" w:hAnsiTheme="majorHAnsi" w:cstheme="majorHAnsi"/>
          <w:b/>
        </w:rPr>
        <w:t>Attachment A</w:t>
      </w:r>
      <w:r w:rsidR="001408C1" w:rsidRPr="00D2737F">
        <w:rPr>
          <w:rFonts w:asciiTheme="majorHAnsi" w:hAnsiTheme="majorHAnsi" w:cstheme="majorHAnsi"/>
          <w:bCs/>
        </w:rPr>
        <w:t>,</w:t>
      </w:r>
      <w:r w:rsidR="00D2737F">
        <w:rPr>
          <w:rFonts w:asciiTheme="majorHAnsi" w:hAnsiTheme="majorHAnsi" w:cstheme="majorHAnsi"/>
          <w:b/>
        </w:rPr>
        <w:t xml:space="preserve"> </w:t>
      </w:r>
      <w:r w:rsidRPr="00F67D63">
        <w:rPr>
          <w:rFonts w:asciiTheme="majorHAnsi" w:hAnsiTheme="majorHAnsi" w:cstheme="majorHAnsi"/>
        </w:rPr>
        <w:t xml:space="preserve">requiring the Minister to consider several factors prior to designation. </w:t>
      </w:r>
    </w:p>
    <w:p w14:paraId="2BB53D19" w14:textId="1E79285C" w:rsidR="00EB1980" w:rsidRPr="005513D4" w:rsidRDefault="00EB1980" w:rsidP="007E548A">
      <w:pPr>
        <w:pStyle w:val="Heading2"/>
        <w:rPr>
          <w:color w:val="002760"/>
        </w:rPr>
      </w:pPr>
      <w:bookmarkStart w:id="39" w:name="_Toc97565324"/>
      <w:bookmarkStart w:id="40" w:name="_Toc98248286"/>
      <w:bookmarkStart w:id="41" w:name="_Toc98248373"/>
      <w:bookmarkStart w:id="42" w:name="_Toc98258008"/>
      <w:r w:rsidRPr="005513D4">
        <w:rPr>
          <w:color w:val="002760"/>
        </w:rPr>
        <w:t xml:space="preserve">CDR </w:t>
      </w:r>
      <w:r w:rsidR="00B44B85" w:rsidRPr="005513D4">
        <w:rPr>
          <w:color w:val="002760"/>
        </w:rPr>
        <w:t>roll-out to date</w:t>
      </w:r>
      <w:bookmarkEnd w:id="39"/>
      <w:bookmarkEnd w:id="40"/>
      <w:bookmarkEnd w:id="41"/>
      <w:bookmarkEnd w:id="42"/>
      <w:r w:rsidR="00B44B85" w:rsidRPr="005513D4">
        <w:rPr>
          <w:color w:val="002760"/>
        </w:rPr>
        <w:t xml:space="preserve"> </w:t>
      </w:r>
    </w:p>
    <w:p w14:paraId="5A8C1CD4" w14:textId="77777777" w:rsidR="00EB1980" w:rsidRPr="000E6E5E" w:rsidRDefault="00EB1980" w:rsidP="005513D4">
      <w:pPr>
        <w:pStyle w:val="Numbered111"/>
        <w:numPr>
          <w:ilvl w:val="0"/>
          <w:numId w:val="0"/>
        </w:numPr>
        <w:ind w:left="1021" w:hanging="1021"/>
        <w:rPr>
          <w:rFonts w:ascii="Calibri" w:eastAsia="Times New Roman" w:hAnsi="Calibri" w:cs="Arial"/>
          <w:b w:val="0"/>
          <w:bCs w:val="0"/>
          <w:color w:val="3A6FAF" w:themeColor="accent2"/>
          <w:kern w:val="32"/>
          <w:sz w:val="26"/>
          <w:szCs w:val="26"/>
          <w:lang w:eastAsia="en-AU"/>
        </w:rPr>
      </w:pPr>
      <w:bookmarkStart w:id="43" w:name="_Toc97565325"/>
      <w:r w:rsidRPr="000E6E5E">
        <w:rPr>
          <w:rFonts w:ascii="Calibri" w:eastAsia="Times New Roman" w:hAnsi="Calibri" w:cs="Arial"/>
          <w:b w:val="0"/>
          <w:bCs w:val="0"/>
          <w:color w:val="3A6FAF" w:themeColor="accent2"/>
          <w:kern w:val="32"/>
          <w:sz w:val="26"/>
          <w:szCs w:val="26"/>
          <w:lang w:eastAsia="en-AU"/>
        </w:rPr>
        <w:t>Banking</w:t>
      </w:r>
      <w:bookmarkEnd w:id="43"/>
    </w:p>
    <w:p w14:paraId="4C3AD558" w14:textId="156666A3" w:rsidR="00EB1980" w:rsidRPr="00F67D63" w:rsidRDefault="00EB1980" w:rsidP="00EB1980">
      <w:pPr>
        <w:rPr>
          <w:rFonts w:asciiTheme="majorHAnsi" w:hAnsiTheme="majorHAnsi" w:cstheme="majorHAnsi"/>
        </w:rPr>
      </w:pPr>
      <w:r w:rsidRPr="00F67D63">
        <w:rPr>
          <w:rFonts w:asciiTheme="majorHAnsi" w:hAnsiTheme="majorHAnsi" w:cstheme="majorHAnsi"/>
        </w:rPr>
        <w:t xml:space="preserve">The CDR was first implemented in the banking sector launching on 1 July 2020, where it is known as Open Banking. The majority of Australian banking </w:t>
      </w:r>
      <w:r w:rsidR="000A369C">
        <w:rPr>
          <w:rFonts w:asciiTheme="majorHAnsi" w:hAnsiTheme="majorHAnsi" w:cstheme="majorHAnsi"/>
        </w:rPr>
        <w:t>consumers</w:t>
      </w:r>
      <w:r w:rsidR="000A369C" w:rsidRPr="00F67D63">
        <w:rPr>
          <w:rFonts w:asciiTheme="majorHAnsi" w:hAnsiTheme="majorHAnsi" w:cstheme="majorHAnsi"/>
        </w:rPr>
        <w:t xml:space="preserve"> </w:t>
      </w:r>
      <w:r w:rsidRPr="00F67D63">
        <w:rPr>
          <w:rFonts w:asciiTheme="majorHAnsi" w:hAnsiTheme="majorHAnsi" w:cstheme="majorHAnsi"/>
        </w:rPr>
        <w:t>are now able to access the CDR to securely and conveniently share their banking data to access better-value products and services tailored to their individual circumstances.</w:t>
      </w:r>
    </w:p>
    <w:p w14:paraId="08177321" w14:textId="4DDA05A1" w:rsidR="00EB1980" w:rsidRPr="00F67D63" w:rsidRDefault="00EB1980" w:rsidP="00EB1980">
      <w:pPr>
        <w:rPr>
          <w:rFonts w:asciiTheme="majorHAnsi" w:hAnsiTheme="majorHAnsi" w:cstheme="majorHAnsi"/>
        </w:rPr>
      </w:pPr>
      <w:r w:rsidRPr="00F67D63">
        <w:rPr>
          <w:rFonts w:asciiTheme="majorHAnsi" w:hAnsiTheme="majorHAnsi" w:cstheme="majorHAnsi"/>
        </w:rPr>
        <w:t xml:space="preserve">As of </w:t>
      </w:r>
      <w:r w:rsidR="00CF2161">
        <w:rPr>
          <w:rFonts w:asciiTheme="majorHAnsi" w:hAnsiTheme="majorHAnsi" w:cstheme="majorHAnsi"/>
        </w:rPr>
        <w:t>15</w:t>
      </w:r>
      <w:r w:rsidR="00CF2161" w:rsidRPr="00AC10EC">
        <w:rPr>
          <w:rFonts w:asciiTheme="majorHAnsi" w:hAnsiTheme="majorHAnsi" w:cstheme="majorHAnsi"/>
        </w:rPr>
        <w:t xml:space="preserve"> </w:t>
      </w:r>
      <w:r w:rsidRPr="00AC10EC">
        <w:rPr>
          <w:rFonts w:asciiTheme="majorHAnsi" w:hAnsiTheme="majorHAnsi" w:cstheme="majorHAnsi"/>
        </w:rPr>
        <w:t xml:space="preserve">March 2022, </w:t>
      </w:r>
      <w:r w:rsidR="00CF2161" w:rsidRPr="00AC10EC">
        <w:rPr>
          <w:rFonts w:asciiTheme="majorHAnsi" w:hAnsiTheme="majorHAnsi" w:cstheme="majorHAnsi"/>
        </w:rPr>
        <w:t>10</w:t>
      </w:r>
      <w:r w:rsidR="00CF2161">
        <w:rPr>
          <w:rFonts w:asciiTheme="majorHAnsi" w:hAnsiTheme="majorHAnsi" w:cstheme="majorHAnsi"/>
        </w:rPr>
        <w:t>7</w:t>
      </w:r>
      <w:r w:rsidR="00CF2161" w:rsidRPr="00AC10EC">
        <w:rPr>
          <w:rFonts w:asciiTheme="majorHAnsi" w:hAnsiTheme="majorHAnsi" w:cstheme="majorHAnsi"/>
        </w:rPr>
        <w:t xml:space="preserve"> </w:t>
      </w:r>
      <w:r w:rsidRPr="00AC10EC">
        <w:rPr>
          <w:rFonts w:asciiTheme="majorHAnsi" w:hAnsiTheme="majorHAnsi" w:cstheme="majorHAnsi"/>
        </w:rPr>
        <w:t xml:space="preserve">data holder brands are now live in the CDR system, representing a combined market share of more than 97 percent of Australian household deposits. The number of accredited data recipients (ADRs) has also been steadily growing; as of </w:t>
      </w:r>
      <w:r w:rsidR="00CF2161">
        <w:rPr>
          <w:rFonts w:asciiTheme="majorHAnsi" w:hAnsiTheme="majorHAnsi" w:cstheme="majorHAnsi"/>
        </w:rPr>
        <w:t>15</w:t>
      </w:r>
      <w:r w:rsidR="00CF2161" w:rsidRPr="00AC10EC">
        <w:rPr>
          <w:rFonts w:asciiTheme="majorHAnsi" w:hAnsiTheme="majorHAnsi" w:cstheme="majorHAnsi"/>
        </w:rPr>
        <w:t xml:space="preserve"> </w:t>
      </w:r>
      <w:r w:rsidRPr="00AC10EC">
        <w:rPr>
          <w:rFonts w:asciiTheme="majorHAnsi" w:hAnsiTheme="majorHAnsi" w:cstheme="majorHAnsi"/>
        </w:rPr>
        <w:t>March 2022, there are 2</w:t>
      </w:r>
      <w:r w:rsidR="00F82204" w:rsidRPr="00AC10EC">
        <w:rPr>
          <w:rFonts w:asciiTheme="majorHAnsi" w:hAnsiTheme="majorHAnsi" w:cstheme="majorHAnsi"/>
        </w:rPr>
        <w:t>9</w:t>
      </w:r>
      <w:r w:rsidRPr="00AC10EC">
        <w:rPr>
          <w:rFonts w:asciiTheme="majorHAnsi" w:hAnsiTheme="majorHAnsi" w:cstheme="majorHAnsi"/>
        </w:rPr>
        <w:t xml:space="preserve"> ADRs, 1</w:t>
      </w:r>
      <w:r w:rsidR="00F82204" w:rsidRPr="00AC10EC">
        <w:rPr>
          <w:rFonts w:asciiTheme="majorHAnsi" w:hAnsiTheme="majorHAnsi" w:cstheme="majorHAnsi"/>
        </w:rPr>
        <w:t>6</w:t>
      </w:r>
      <w:r w:rsidRPr="00AC10EC">
        <w:rPr>
          <w:rFonts w:asciiTheme="majorHAnsi" w:hAnsiTheme="majorHAnsi" w:cstheme="majorHAnsi"/>
        </w:rPr>
        <w:t xml:space="preserve"> of which are active. ADRs are already </w:t>
      </w:r>
      <w:r w:rsidR="008B6F85">
        <w:rPr>
          <w:rFonts w:asciiTheme="majorHAnsi" w:hAnsiTheme="majorHAnsi" w:cstheme="majorHAnsi"/>
        </w:rPr>
        <w:t xml:space="preserve">and expected to use </w:t>
      </w:r>
      <w:r w:rsidRPr="00F67D63">
        <w:rPr>
          <w:rFonts w:asciiTheme="majorHAnsi" w:hAnsiTheme="majorHAnsi" w:cstheme="majorHAnsi"/>
        </w:rPr>
        <w:t>CDR data to provide services to consumers, such as budgeting, bill payment and financial management apps, streamlined credit approval processes, and the creation of in-depth financial overviews to assist consumers on their home-buying journey.</w:t>
      </w:r>
    </w:p>
    <w:p w14:paraId="06A86A85" w14:textId="77777777" w:rsidR="00EB1980" w:rsidRPr="000E6E5E" w:rsidRDefault="00EB1980" w:rsidP="005513D4">
      <w:pPr>
        <w:pStyle w:val="Numbered111"/>
        <w:numPr>
          <w:ilvl w:val="0"/>
          <w:numId w:val="0"/>
        </w:numPr>
        <w:ind w:left="1021" w:hanging="1021"/>
        <w:rPr>
          <w:rFonts w:ascii="Calibri" w:eastAsia="Times New Roman" w:hAnsi="Calibri" w:cs="Arial"/>
          <w:b w:val="0"/>
          <w:bCs w:val="0"/>
          <w:color w:val="3A6FAF" w:themeColor="accent2"/>
          <w:kern w:val="32"/>
          <w:sz w:val="26"/>
          <w:szCs w:val="26"/>
          <w:lang w:eastAsia="en-AU"/>
        </w:rPr>
      </w:pPr>
      <w:bookmarkStart w:id="44" w:name="_Toc97565326"/>
      <w:r w:rsidRPr="000E6E5E">
        <w:rPr>
          <w:rFonts w:ascii="Calibri" w:eastAsia="Times New Roman" w:hAnsi="Calibri" w:cs="Arial"/>
          <w:b w:val="0"/>
          <w:bCs w:val="0"/>
          <w:color w:val="3A6FAF" w:themeColor="accent2"/>
          <w:kern w:val="32"/>
          <w:sz w:val="26"/>
          <w:szCs w:val="26"/>
          <w:lang w:eastAsia="en-AU"/>
        </w:rPr>
        <w:t>Energy</w:t>
      </w:r>
      <w:bookmarkEnd w:id="44"/>
    </w:p>
    <w:p w14:paraId="060B2645" w14:textId="77777777" w:rsidR="00EB1980" w:rsidRPr="00015397" w:rsidRDefault="00EB1980" w:rsidP="00EB1980">
      <w:pPr>
        <w:rPr>
          <w:rFonts w:asciiTheme="majorHAnsi" w:hAnsiTheme="majorHAnsi" w:cstheme="majorHAnsi"/>
        </w:rPr>
      </w:pPr>
      <w:r w:rsidRPr="00F67D63">
        <w:rPr>
          <w:rFonts w:asciiTheme="majorHAnsi" w:hAnsiTheme="majorHAnsi" w:cstheme="majorHAnsi"/>
        </w:rPr>
        <w:t>The expansion of the CDR to the Energy sector is well advanced. On 12 November 2021, the Hon Jane Hume</w:t>
      </w:r>
      <w:r>
        <w:rPr>
          <w:rFonts w:asciiTheme="majorHAnsi" w:hAnsiTheme="majorHAnsi" w:cstheme="majorHAnsi"/>
        </w:rPr>
        <w:t>,</w:t>
      </w:r>
      <w:r w:rsidRPr="00F67D63">
        <w:rPr>
          <w:rFonts w:asciiTheme="majorHAnsi" w:hAnsiTheme="majorHAnsi" w:cstheme="majorHAnsi"/>
        </w:rPr>
        <w:t xml:space="preserve"> Minister for Superannuation, Financial Services, and the Digital Economy</w:t>
      </w:r>
      <w:r w:rsidRPr="00F67D63" w:rsidDel="00173184">
        <w:rPr>
          <w:rFonts w:asciiTheme="majorHAnsi" w:hAnsiTheme="majorHAnsi" w:cstheme="majorHAnsi"/>
        </w:rPr>
        <w:t xml:space="preserve"> </w:t>
      </w:r>
      <w:r w:rsidRPr="00F67D63">
        <w:rPr>
          <w:rFonts w:asciiTheme="majorHAnsi" w:hAnsiTheme="majorHAnsi" w:cstheme="majorHAnsi"/>
        </w:rPr>
        <w:t>made energy</w:t>
      </w:r>
      <w:r>
        <w:rPr>
          <w:rFonts w:asciiTheme="majorHAnsi" w:hAnsiTheme="majorHAnsi" w:cstheme="majorHAnsi"/>
        </w:rPr>
        <w:t>-</w:t>
      </w:r>
      <w:r w:rsidRPr="00015397">
        <w:rPr>
          <w:rFonts w:asciiTheme="majorHAnsi" w:hAnsiTheme="majorHAnsi" w:cstheme="majorHAnsi"/>
        </w:rPr>
        <w:t>specific CDR rules that include phased compliance dates. Introducing the CDR in the energy sector will provide Australian households and businesses with more accurate information about their energy use and plans.</w:t>
      </w:r>
    </w:p>
    <w:p w14:paraId="74C7D026" w14:textId="54321805" w:rsidR="00EB1980" w:rsidRPr="00015397" w:rsidRDefault="00EB1980" w:rsidP="00EB1980">
      <w:pPr>
        <w:rPr>
          <w:rFonts w:asciiTheme="majorHAnsi" w:hAnsiTheme="majorHAnsi" w:cstheme="majorHAnsi"/>
        </w:rPr>
      </w:pPr>
      <w:r w:rsidRPr="00015397">
        <w:rPr>
          <w:rFonts w:asciiTheme="majorHAnsi" w:hAnsiTheme="majorHAnsi" w:cstheme="majorHAnsi"/>
        </w:rPr>
        <w:t xml:space="preserve">Commencing in November 2022, energy consumers will start to benefit from secure and easy sharing of data about their own energy use and connection. </w:t>
      </w:r>
      <w:r w:rsidR="008B6F85">
        <w:rPr>
          <w:rFonts w:asciiTheme="majorHAnsi" w:hAnsiTheme="majorHAnsi" w:cstheme="majorHAnsi"/>
        </w:rPr>
        <w:t xml:space="preserve">For example, this could include supporting </w:t>
      </w:r>
      <w:r w:rsidRPr="00015397">
        <w:rPr>
          <w:rFonts w:asciiTheme="majorHAnsi" w:hAnsiTheme="majorHAnsi" w:cstheme="majorHAnsi"/>
        </w:rPr>
        <w:t xml:space="preserve">informed decisions </w:t>
      </w:r>
      <w:r w:rsidR="008B6F85">
        <w:rPr>
          <w:rFonts w:asciiTheme="majorHAnsi" w:hAnsiTheme="majorHAnsi" w:cstheme="majorHAnsi"/>
        </w:rPr>
        <w:t xml:space="preserve">and greater insights on </w:t>
      </w:r>
      <w:r w:rsidR="00C0185A">
        <w:rPr>
          <w:rFonts w:asciiTheme="majorHAnsi" w:hAnsiTheme="majorHAnsi" w:cstheme="majorHAnsi"/>
        </w:rPr>
        <w:t>consumers’</w:t>
      </w:r>
      <w:r w:rsidR="008B6F85">
        <w:rPr>
          <w:rFonts w:asciiTheme="majorHAnsi" w:hAnsiTheme="majorHAnsi" w:cstheme="majorHAnsi"/>
        </w:rPr>
        <w:t xml:space="preserve"> energy usage and expenditure to identify better value product</w:t>
      </w:r>
      <w:r w:rsidR="007D68D2">
        <w:rPr>
          <w:rFonts w:asciiTheme="majorHAnsi" w:hAnsiTheme="majorHAnsi" w:cstheme="majorHAnsi"/>
        </w:rPr>
        <w:t>s</w:t>
      </w:r>
      <w:r w:rsidR="008B6F85">
        <w:rPr>
          <w:rFonts w:asciiTheme="majorHAnsi" w:hAnsiTheme="majorHAnsi" w:cstheme="majorHAnsi"/>
        </w:rPr>
        <w:t xml:space="preserve"> and service offerings. </w:t>
      </w:r>
    </w:p>
    <w:p w14:paraId="30892CA7" w14:textId="77777777" w:rsidR="00EB1980" w:rsidRPr="000E6E5E" w:rsidRDefault="00EB1980" w:rsidP="000E6E5E">
      <w:pPr>
        <w:pStyle w:val="Numbered111"/>
        <w:numPr>
          <w:ilvl w:val="0"/>
          <w:numId w:val="0"/>
        </w:numPr>
        <w:ind w:left="1021" w:hanging="1021"/>
        <w:rPr>
          <w:rFonts w:ascii="Calibri" w:eastAsia="Times New Roman" w:hAnsi="Calibri" w:cs="Arial"/>
          <w:b w:val="0"/>
          <w:bCs w:val="0"/>
          <w:color w:val="3A6FAF" w:themeColor="accent2"/>
          <w:kern w:val="32"/>
          <w:sz w:val="26"/>
          <w:szCs w:val="26"/>
          <w:lang w:eastAsia="en-AU"/>
        </w:rPr>
      </w:pPr>
      <w:bookmarkStart w:id="45" w:name="_Toc97565327"/>
      <w:r w:rsidRPr="000E6E5E">
        <w:rPr>
          <w:rFonts w:ascii="Calibri" w:eastAsia="Times New Roman" w:hAnsi="Calibri" w:cs="Arial"/>
          <w:b w:val="0"/>
          <w:bCs w:val="0"/>
          <w:color w:val="3A6FAF" w:themeColor="accent2"/>
          <w:kern w:val="32"/>
          <w:sz w:val="26"/>
          <w:szCs w:val="26"/>
          <w:lang w:eastAsia="en-AU"/>
        </w:rPr>
        <w:t>Telecommunications</w:t>
      </w:r>
      <w:bookmarkEnd w:id="45"/>
    </w:p>
    <w:p w14:paraId="1982DD69" w14:textId="40FF9AE3" w:rsidR="00EB1980" w:rsidRDefault="00EB1980" w:rsidP="00EB1980">
      <w:pPr>
        <w:rPr>
          <w:rFonts w:asciiTheme="minorHAnsi" w:hAnsiTheme="minorHAnsi" w:cstheme="minorHAnsi"/>
        </w:rPr>
      </w:pPr>
      <w:r>
        <w:rPr>
          <w:rFonts w:asciiTheme="minorHAnsi" w:hAnsiTheme="minorHAnsi" w:cstheme="minorHAnsi"/>
        </w:rPr>
        <w:t xml:space="preserve">In </w:t>
      </w:r>
      <w:r w:rsidRPr="004C04F9">
        <w:rPr>
          <w:rFonts w:asciiTheme="minorHAnsi" w:hAnsiTheme="minorHAnsi" w:cstheme="minorHAnsi"/>
        </w:rPr>
        <w:t>January 2022</w:t>
      </w:r>
      <w:r w:rsidR="0011719C">
        <w:rPr>
          <w:rFonts w:asciiTheme="minorHAnsi" w:hAnsiTheme="minorHAnsi" w:cstheme="minorHAnsi"/>
        </w:rPr>
        <w:t>,</w:t>
      </w:r>
      <w:r w:rsidRPr="004C04F9">
        <w:rPr>
          <w:rFonts w:asciiTheme="minorHAnsi" w:hAnsiTheme="minorHAnsi" w:cstheme="minorHAnsi"/>
        </w:rPr>
        <w:t xml:space="preserve"> the</w:t>
      </w:r>
      <w:r>
        <w:rPr>
          <w:rFonts w:asciiTheme="minorHAnsi" w:hAnsiTheme="minorHAnsi" w:cstheme="minorHAnsi"/>
        </w:rPr>
        <w:t xml:space="preserve"> telecommunications sector was designated </w:t>
      </w:r>
      <w:r w:rsidRPr="002174AE">
        <w:rPr>
          <w:rFonts w:asciiTheme="minorHAnsi" w:hAnsiTheme="minorHAnsi" w:cstheme="minorHAnsi"/>
        </w:rPr>
        <w:t>as the third CDR sector, following banking and energy</w:t>
      </w:r>
      <w:r>
        <w:rPr>
          <w:rFonts w:asciiTheme="minorHAnsi" w:hAnsiTheme="minorHAnsi" w:cstheme="minorHAnsi"/>
        </w:rPr>
        <w:t>. Introducing the</w:t>
      </w:r>
      <w:r w:rsidRPr="008642E8">
        <w:rPr>
          <w:rFonts w:asciiTheme="minorHAnsi" w:hAnsiTheme="minorHAnsi" w:cstheme="minorHAnsi"/>
        </w:rPr>
        <w:t xml:space="preserve"> CDR</w:t>
      </w:r>
      <w:r>
        <w:rPr>
          <w:rFonts w:asciiTheme="minorHAnsi" w:hAnsiTheme="minorHAnsi" w:cstheme="minorHAnsi"/>
        </w:rPr>
        <w:t xml:space="preserve"> into the telecommunications sector</w:t>
      </w:r>
      <w:r w:rsidRPr="008642E8">
        <w:rPr>
          <w:rFonts w:asciiTheme="minorHAnsi" w:hAnsiTheme="minorHAnsi" w:cstheme="minorHAnsi"/>
        </w:rPr>
        <w:t xml:space="preserve"> will enable information about telecommunications products and basic telecommunications consumer data to be shared in a safe and efficient manner</w:t>
      </w:r>
      <w:r>
        <w:rPr>
          <w:rFonts w:asciiTheme="minorHAnsi" w:hAnsiTheme="minorHAnsi" w:cstheme="minorHAnsi"/>
        </w:rPr>
        <w:t>. Consumers will be empowered to</w:t>
      </w:r>
      <w:r w:rsidRPr="004B2D08">
        <w:rPr>
          <w:rFonts w:asciiTheme="minorHAnsi" w:hAnsiTheme="minorHAnsi" w:cstheme="minorHAnsi"/>
        </w:rPr>
        <w:t xml:space="preserve"> access</w:t>
      </w:r>
      <w:r w:rsidRPr="00064496">
        <w:rPr>
          <w:bCs/>
        </w:rPr>
        <w:t xml:space="preserve"> better-value and personalised products and services</w:t>
      </w:r>
      <w:r>
        <w:rPr>
          <w:bCs/>
        </w:rPr>
        <w:t>, such as</w:t>
      </w:r>
      <w:r w:rsidRPr="004B2D08">
        <w:rPr>
          <w:rFonts w:asciiTheme="minorHAnsi" w:hAnsiTheme="minorHAnsi" w:cstheme="minorHAnsi"/>
        </w:rPr>
        <w:t xml:space="preserve"> more accurate information about their internet consumption, phone usage and product plans so they can more easily compare and switch between providers. </w:t>
      </w:r>
    </w:p>
    <w:p w14:paraId="4C74B759" w14:textId="7338476F" w:rsidR="00EB1980" w:rsidRDefault="00EB1980" w:rsidP="00EB1980">
      <w:pPr>
        <w:rPr>
          <w:rFonts w:asciiTheme="minorHAnsi" w:hAnsiTheme="minorHAnsi" w:cstheme="minorHAnsi"/>
        </w:rPr>
      </w:pPr>
      <w:r>
        <w:rPr>
          <w:rFonts w:asciiTheme="minorHAnsi" w:hAnsiTheme="minorHAnsi" w:cstheme="minorHAnsi"/>
        </w:rPr>
        <w:t>The r</w:t>
      </w:r>
      <w:r w:rsidRPr="00223366">
        <w:rPr>
          <w:rFonts w:asciiTheme="minorHAnsi" w:hAnsiTheme="minorHAnsi" w:cstheme="minorHAnsi"/>
        </w:rPr>
        <w:t xml:space="preserve">ollout of the CDR in the telecommunications sector is </w:t>
      </w:r>
      <w:r>
        <w:rPr>
          <w:rFonts w:asciiTheme="minorHAnsi" w:hAnsiTheme="minorHAnsi" w:cstheme="minorHAnsi"/>
        </w:rPr>
        <w:t>expected</w:t>
      </w:r>
      <w:r w:rsidRPr="00223366">
        <w:rPr>
          <w:rFonts w:asciiTheme="minorHAnsi" w:hAnsiTheme="minorHAnsi" w:cstheme="minorHAnsi"/>
        </w:rPr>
        <w:t xml:space="preserve"> to create many benefits for consumers, including better product comparison, tailored product recommendations</w:t>
      </w:r>
      <w:r>
        <w:rPr>
          <w:rFonts w:asciiTheme="minorHAnsi" w:hAnsiTheme="minorHAnsi" w:cstheme="minorHAnsi"/>
        </w:rPr>
        <w:t>,</w:t>
      </w:r>
      <w:r w:rsidRPr="00223366">
        <w:rPr>
          <w:rFonts w:asciiTheme="minorHAnsi" w:hAnsiTheme="minorHAnsi" w:cstheme="minorHAnsi"/>
        </w:rPr>
        <w:t xml:space="preserve"> and services that help consumers save time and money</w:t>
      </w:r>
      <w:r w:rsidR="008B6F85">
        <w:rPr>
          <w:rFonts w:asciiTheme="minorHAnsi" w:hAnsiTheme="minorHAnsi" w:cstheme="minorHAnsi"/>
        </w:rPr>
        <w:t xml:space="preserve"> in </w:t>
      </w:r>
      <w:r w:rsidR="00C0185A">
        <w:rPr>
          <w:rFonts w:asciiTheme="minorHAnsi" w:hAnsiTheme="minorHAnsi" w:cstheme="minorHAnsi"/>
        </w:rPr>
        <w:t>accessing</w:t>
      </w:r>
      <w:r w:rsidR="008B6F85">
        <w:rPr>
          <w:rFonts w:asciiTheme="minorHAnsi" w:hAnsiTheme="minorHAnsi" w:cstheme="minorHAnsi"/>
        </w:rPr>
        <w:t xml:space="preserve"> telecommunications related products, </w:t>
      </w:r>
      <w:r w:rsidR="00C0185A">
        <w:rPr>
          <w:rFonts w:asciiTheme="minorHAnsi" w:hAnsiTheme="minorHAnsi" w:cstheme="minorHAnsi"/>
        </w:rPr>
        <w:t xml:space="preserve">as well as supporting </w:t>
      </w:r>
      <w:r w:rsidR="008B6F85">
        <w:rPr>
          <w:rFonts w:asciiTheme="minorHAnsi" w:hAnsiTheme="minorHAnsi" w:cstheme="minorHAnsi"/>
        </w:rPr>
        <w:t>more informed financial decision making</w:t>
      </w:r>
      <w:r w:rsidR="00C0185A">
        <w:rPr>
          <w:rFonts w:asciiTheme="minorHAnsi" w:hAnsiTheme="minorHAnsi" w:cstheme="minorHAnsi"/>
        </w:rPr>
        <w:t xml:space="preserve"> when telecommunications data sets are combined with other CDR data</w:t>
      </w:r>
      <w:r w:rsidR="008B6F85">
        <w:rPr>
          <w:rFonts w:asciiTheme="minorHAnsi" w:hAnsiTheme="minorHAnsi" w:cstheme="minorHAnsi"/>
        </w:rPr>
        <w:t>.</w:t>
      </w:r>
    </w:p>
    <w:p w14:paraId="16EBFFB5" w14:textId="77777777" w:rsidR="00483945" w:rsidRDefault="00483945" w:rsidP="00EB1980">
      <w:pPr>
        <w:rPr>
          <w:rFonts w:asciiTheme="minorHAnsi" w:hAnsiTheme="minorHAnsi" w:cstheme="minorHAnsi"/>
        </w:rPr>
      </w:pPr>
    </w:p>
    <w:p w14:paraId="3DA8D213" w14:textId="77777777" w:rsidR="00EB1980" w:rsidRDefault="00EB1980" w:rsidP="00EB1980">
      <w:pPr>
        <w:pStyle w:val="Heading2"/>
      </w:pPr>
      <w:bookmarkStart w:id="46" w:name="_Toc97565328"/>
      <w:bookmarkStart w:id="47" w:name="_Toc98248287"/>
      <w:bookmarkStart w:id="48" w:name="_Toc98248374"/>
      <w:bookmarkStart w:id="49" w:name="_Toc98258009"/>
      <w:r>
        <w:lastRenderedPageBreak/>
        <w:t>Recent developments and future directions</w:t>
      </w:r>
      <w:bookmarkEnd w:id="46"/>
      <w:bookmarkEnd w:id="47"/>
      <w:bookmarkEnd w:id="48"/>
      <w:bookmarkEnd w:id="49"/>
    </w:p>
    <w:p w14:paraId="108FEFC8" w14:textId="5E830E5B" w:rsidR="00EB1980" w:rsidRDefault="00742750" w:rsidP="00483945">
      <w:pPr>
        <w:pStyle w:val="Numbered111"/>
        <w:numPr>
          <w:ilvl w:val="0"/>
          <w:numId w:val="0"/>
        </w:numPr>
        <w:ind w:left="1021" w:hanging="1021"/>
        <w:rPr>
          <w:rFonts w:ascii="Calibri" w:eastAsia="Times New Roman" w:hAnsi="Calibri" w:cs="Arial"/>
          <w:b w:val="0"/>
          <w:bCs w:val="0"/>
          <w:color w:val="3A6FAF" w:themeColor="accent2"/>
          <w:kern w:val="32"/>
          <w:sz w:val="26"/>
          <w:szCs w:val="26"/>
          <w:lang w:eastAsia="en-AU"/>
        </w:rPr>
      </w:pPr>
      <w:bookmarkStart w:id="50" w:name="_Toc97565329"/>
      <w:r>
        <w:rPr>
          <w:rFonts w:ascii="Calibri" w:eastAsia="Times New Roman" w:hAnsi="Calibri" w:cs="Arial"/>
          <w:b w:val="0"/>
          <w:bCs w:val="0"/>
          <w:color w:val="3A6FAF" w:themeColor="accent2"/>
          <w:kern w:val="32"/>
          <w:sz w:val="26"/>
          <w:szCs w:val="26"/>
          <w:lang w:eastAsia="en-AU"/>
        </w:rPr>
        <w:t xml:space="preserve">A more consumer-centric </w:t>
      </w:r>
      <w:r w:rsidR="00BA04FD">
        <w:rPr>
          <w:rFonts w:ascii="Calibri" w:eastAsia="Times New Roman" w:hAnsi="Calibri" w:cs="Arial"/>
          <w:b w:val="0"/>
          <w:bCs w:val="0"/>
          <w:color w:val="3A6FAF" w:themeColor="accent2"/>
          <w:kern w:val="32"/>
          <w:sz w:val="26"/>
          <w:szCs w:val="26"/>
          <w:lang w:eastAsia="en-AU"/>
        </w:rPr>
        <w:t xml:space="preserve">and agile </w:t>
      </w:r>
      <w:r>
        <w:rPr>
          <w:rFonts w:ascii="Calibri" w:eastAsia="Times New Roman" w:hAnsi="Calibri" w:cs="Arial"/>
          <w:b w:val="0"/>
          <w:bCs w:val="0"/>
          <w:color w:val="3A6FAF" w:themeColor="accent2"/>
          <w:kern w:val="32"/>
          <w:sz w:val="26"/>
          <w:szCs w:val="26"/>
          <w:lang w:eastAsia="en-AU"/>
        </w:rPr>
        <w:t xml:space="preserve">approach to </w:t>
      </w:r>
      <w:r w:rsidR="00BA04FD">
        <w:rPr>
          <w:rFonts w:ascii="Calibri" w:eastAsia="Times New Roman" w:hAnsi="Calibri" w:cs="Arial"/>
          <w:b w:val="0"/>
          <w:bCs w:val="0"/>
          <w:color w:val="3A6FAF" w:themeColor="accent2"/>
          <w:kern w:val="32"/>
          <w:sz w:val="26"/>
          <w:szCs w:val="26"/>
          <w:lang w:eastAsia="en-AU"/>
        </w:rPr>
        <w:t xml:space="preserve">economy-wide </w:t>
      </w:r>
      <w:bookmarkEnd w:id="50"/>
      <w:r w:rsidR="00C7078D">
        <w:rPr>
          <w:rFonts w:ascii="Calibri" w:eastAsia="Times New Roman" w:hAnsi="Calibri" w:cs="Arial"/>
          <w:b w:val="0"/>
          <w:bCs w:val="0"/>
          <w:color w:val="3A6FAF" w:themeColor="accent2"/>
          <w:kern w:val="32"/>
          <w:sz w:val="26"/>
          <w:szCs w:val="26"/>
          <w:lang w:eastAsia="en-AU"/>
        </w:rPr>
        <w:t>expansion</w:t>
      </w:r>
      <w:r w:rsidR="00546A68">
        <w:rPr>
          <w:rFonts w:ascii="Calibri" w:eastAsia="Times New Roman" w:hAnsi="Calibri" w:cs="Arial"/>
          <w:b w:val="0"/>
          <w:bCs w:val="0"/>
          <w:color w:val="3A6FAF" w:themeColor="accent2"/>
          <w:kern w:val="32"/>
          <w:sz w:val="26"/>
          <w:szCs w:val="26"/>
          <w:lang w:eastAsia="en-AU"/>
        </w:rPr>
        <w:t xml:space="preserve"> </w:t>
      </w:r>
    </w:p>
    <w:p w14:paraId="5DAF1366" w14:textId="399E3D2D" w:rsidR="009E4812" w:rsidRDefault="00676C30">
      <w:pPr>
        <w:rPr>
          <w:rFonts w:asciiTheme="minorHAnsi" w:hAnsiTheme="minorHAnsi" w:cstheme="minorHAnsi"/>
        </w:rPr>
      </w:pPr>
      <w:r w:rsidRPr="00B2303A">
        <w:rPr>
          <w:rFonts w:cs="Arial"/>
          <w:noProof/>
          <w:color w:val="3A6FAF" w:themeColor="accent2"/>
          <w:kern w:val="32"/>
          <w:sz w:val="26"/>
          <w:szCs w:val="26"/>
        </w:rPr>
        <mc:AlternateContent>
          <mc:Choice Requires="wps">
            <w:drawing>
              <wp:anchor distT="45720" distB="45720" distL="114300" distR="114300" simplePos="0" relativeHeight="251658241" behindDoc="0" locked="0" layoutInCell="1" allowOverlap="1" wp14:anchorId="44EAF0E3" wp14:editId="50F8109E">
                <wp:simplePos x="0" y="0"/>
                <wp:positionH relativeFrom="margin">
                  <wp:align>left</wp:align>
                </wp:positionH>
                <wp:positionV relativeFrom="paragraph">
                  <wp:posOffset>1219200</wp:posOffset>
                </wp:positionV>
                <wp:extent cx="5308600" cy="2305050"/>
                <wp:effectExtent l="57150" t="38100" r="82550" b="952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0" cy="2305050"/>
                        </a:xfrm>
                        <a:prstGeom prst="rect">
                          <a:avLst/>
                        </a:prstGeom>
                        <a:solidFill>
                          <a:schemeClr val="accent2">
                            <a:lumMod val="20000"/>
                            <a:lumOff val="80000"/>
                          </a:schemeClr>
                        </a:solidFill>
                        <a:ln>
                          <a:solidFill>
                            <a:schemeClr val="tx1"/>
                          </a:solidFill>
                          <a:headEnd/>
                          <a:tailEnd/>
                        </a:ln>
                      </wps:spPr>
                      <wps:style>
                        <a:lnRef idx="1">
                          <a:schemeClr val="accent2"/>
                        </a:lnRef>
                        <a:fillRef idx="2">
                          <a:schemeClr val="accent2"/>
                        </a:fillRef>
                        <a:effectRef idx="1">
                          <a:schemeClr val="accent2"/>
                        </a:effectRef>
                        <a:fontRef idx="minor">
                          <a:schemeClr val="dk1"/>
                        </a:fontRef>
                      </wps:style>
                      <wps:txbx>
                        <w:txbxContent>
                          <w:p w14:paraId="267B710D" w14:textId="77777777" w:rsidR="00B2303A" w:rsidRPr="0092405E" w:rsidRDefault="00B2303A" w:rsidP="00B2303A">
                            <w:pPr>
                              <w:pStyle w:val="Bullet"/>
                              <w:numPr>
                                <w:ilvl w:val="0"/>
                                <w:numId w:val="0"/>
                              </w:numPr>
                              <w:jc w:val="center"/>
                              <w:rPr>
                                <w:rFonts w:cs="Arial"/>
                                <w:color w:val="3A6FAF" w:themeColor="accent2"/>
                                <w:kern w:val="32"/>
                                <w:sz w:val="20"/>
                              </w:rPr>
                            </w:pPr>
                            <w:r w:rsidRPr="0092405E">
                              <w:rPr>
                                <w:rFonts w:cs="Arial"/>
                                <w:color w:val="3A6FAF" w:themeColor="accent2"/>
                                <w:kern w:val="32"/>
                                <w:sz w:val="20"/>
                              </w:rPr>
                              <w:t>Strategic Assessment Report: key factors to support prioritise and sequence CDR expansion</w:t>
                            </w:r>
                          </w:p>
                          <w:p w14:paraId="68ACC913" w14:textId="77777777" w:rsidR="00B2303A" w:rsidRPr="0092405E" w:rsidRDefault="00B2303A" w:rsidP="00B2303A">
                            <w:pPr>
                              <w:pStyle w:val="Bullet"/>
                              <w:rPr>
                                <w:sz w:val="20"/>
                              </w:rPr>
                            </w:pPr>
                            <w:r w:rsidRPr="0092405E">
                              <w:rPr>
                                <w:sz w:val="20"/>
                              </w:rPr>
                              <w:t xml:space="preserve">Prioritise datasets that build on existing dataset(s) or are highly complementary to support faster ecosystem growth. </w:t>
                            </w:r>
                          </w:p>
                          <w:p w14:paraId="47AAD770" w14:textId="341F3823" w:rsidR="00B2303A" w:rsidRPr="0092405E" w:rsidRDefault="00B2303A" w:rsidP="00B2303A">
                            <w:pPr>
                              <w:pStyle w:val="Bullet"/>
                              <w:rPr>
                                <w:sz w:val="20"/>
                              </w:rPr>
                            </w:pPr>
                            <w:r w:rsidRPr="0092405E">
                              <w:rPr>
                                <w:sz w:val="20"/>
                              </w:rPr>
                              <w:t>Prioritise datasets that support multiple use cases, broad innovation, and user journeys rather than simple switching use cases.</w:t>
                            </w:r>
                          </w:p>
                          <w:p w14:paraId="0017AEFF" w14:textId="77777777" w:rsidR="00B2303A" w:rsidRPr="0092405E" w:rsidRDefault="00B2303A" w:rsidP="00B2303A">
                            <w:pPr>
                              <w:pStyle w:val="Bullet"/>
                              <w:rPr>
                                <w:sz w:val="20"/>
                              </w:rPr>
                            </w:pPr>
                            <w:r w:rsidRPr="0092405E">
                              <w:rPr>
                                <w:sz w:val="20"/>
                              </w:rPr>
                              <w:t>Focus on friction points for consumers that can be addressed through data driven innovation and standardisation.</w:t>
                            </w:r>
                          </w:p>
                          <w:p w14:paraId="27A10ECE" w14:textId="77777777" w:rsidR="00B2303A" w:rsidRPr="0092405E" w:rsidRDefault="00B2303A" w:rsidP="00B2303A">
                            <w:pPr>
                              <w:pStyle w:val="Bullet"/>
                              <w:rPr>
                                <w:sz w:val="20"/>
                              </w:rPr>
                            </w:pPr>
                            <w:r w:rsidRPr="0092405E">
                              <w:rPr>
                                <w:sz w:val="20"/>
                              </w:rPr>
                              <w:t xml:space="preserve">Consider how the CDR might interact with any existing data-sharing mechanisms already operating in a sector. </w:t>
                            </w:r>
                          </w:p>
                          <w:p w14:paraId="68C1C815" w14:textId="5F59AB05" w:rsidR="00B2303A" w:rsidRPr="0092405E" w:rsidRDefault="00B2303A" w:rsidP="00B2303A">
                            <w:pPr>
                              <w:pStyle w:val="Bullet"/>
                              <w:rPr>
                                <w:sz w:val="20"/>
                              </w:rPr>
                            </w:pPr>
                            <w:r w:rsidRPr="0092405E">
                              <w:rPr>
                                <w:sz w:val="20"/>
                              </w:rPr>
                              <w:t>Consider maturity of ICT infrastructure and digital capability of sector, as well as the proprietary nature of datasets</w:t>
                            </w:r>
                            <w:r w:rsidR="0062771E">
                              <w:rPr>
                                <w:sz w:val="20"/>
                              </w:rPr>
                              <w:t>.</w:t>
                            </w:r>
                          </w:p>
                          <w:p w14:paraId="108AEA63" w14:textId="6F7CEC20" w:rsidR="0092405E" w:rsidRDefault="009240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EAF0E3" id="_x0000_t202" coordsize="21600,21600" o:spt="202" path="m,l,21600r21600,l21600,xe">
                <v:stroke joinstyle="miter"/>
                <v:path gradientshapeok="t" o:connecttype="rect"/>
              </v:shapetype>
              <v:shape id="Text Box 2" o:spid="_x0000_s1026" type="#_x0000_t202" style="position:absolute;margin-left:0;margin-top:96pt;width:418pt;height:181.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" fillcolor="#d5e1f1 [661]" strokecolor="black [3213]">
                <v:shadow on="t" color="black" opacity="24903f" origin=",.5" offset="0,.55556mm"/>
                <v:textbox>
                  <w:txbxContent>
                    <w:p w14:paraId="267B710D" w14:textId="77777777" w:rsidR="00B2303A" w:rsidRPr="0092405E" w:rsidRDefault="00B2303A" w:rsidP="00B2303A">
                      <w:pPr>
                        <w:pStyle w:val="Bullet"/>
                        <w:numPr>
                          <w:ilvl w:val="0"/>
                          <w:numId w:val="0"/>
                        </w:numPr>
                        <w:jc w:val="center"/>
                        <w:rPr>
                          <w:rFonts w:cs="Arial"/>
                          <w:color w:val="3A6FAF" w:themeColor="accent2"/>
                          <w:kern w:val="32"/>
                          <w:sz w:val="20"/>
                        </w:rPr>
                      </w:pPr>
                      <w:r w:rsidRPr="0092405E">
                        <w:rPr>
                          <w:rFonts w:cs="Arial"/>
                          <w:color w:val="3A6FAF" w:themeColor="accent2"/>
                          <w:kern w:val="32"/>
                          <w:sz w:val="20"/>
                        </w:rPr>
                        <w:t>Strategic Assessment Report: key factors to support prioritise and sequence CDR expansion</w:t>
                      </w:r>
                    </w:p>
                    <w:p w14:paraId="68ACC913" w14:textId="77777777" w:rsidR="00B2303A" w:rsidRPr="0092405E" w:rsidRDefault="00B2303A" w:rsidP="00B2303A">
                      <w:pPr>
                        <w:pStyle w:val="Bullet"/>
                        <w:rPr>
                          <w:sz w:val="20"/>
                        </w:rPr>
                      </w:pPr>
                      <w:r w:rsidRPr="0092405E">
                        <w:rPr>
                          <w:sz w:val="20"/>
                        </w:rPr>
                        <w:t xml:space="preserve">Prioritise datasets that build on existing dataset(s) or are highly complementary to support faster ecosystem growth. </w:t>
                      </w:r>
                    </w:p>
                    <w:p w14:paraId="47AAD770" w14:textId="341F3823" w:rsidR="00B2303A" w:rsidRPr="0092405E" w:rsidRDefault="00B2303A" w:rsidP="00B2303A">
                      <w:pPr>
                        <w:pStyle w:val="Bullet"/>
                        <w:rPr>
                          <w:sz w:val="20"/>
                        </w:rPr>
                      </w:pPr>
                      <w:r w:rsidRPr="0092405E">
                        <w:rPr>
                          <w:sz w:val="20"/>
                        </w:rPr>
                        <w:t>Prioritise datasets that support multiple use cases, broad innovation, and user journeys rather than simple switching use cases.</w:t>
                      </w:r>
                    </w:p>
                    <w:p w14:paraId="0017AEFF" w14:textId="77777777" w:rsidR="00B2303A" w:rsidRPr="0092405E" w:rsidRDefault="00B2303A" w:rsidP="00B2303A">
                      <w:pPr>
                        <w:pStyle w:val="Bullet"/>
                        <w:rPr>
                          <w:sz w:val="20"/>
                        </w:rPr>
                      </w:pPr>
                      <w:r w:rsidRPr="0092405E">
                        <w:rPr>
                          <w:sz w:val="20"/>
                        </w:rPr>
                        <w:t>Focus on friction points for consumers that can be addressed through data driven innovation and standardisation.</w:t>
                      </w:r>
                    </w:p>
                    <w:p w14:paraId="27A10ECE" w14:textId="77777777" w:rsidR="00B2303A" w:rsidRPr="0092405E" w:rsidRDefault="00B2303A" w:rsidP="00B2303A">
                      <w:pPr>
                        <w:pStyle w:val="Bullet"/>
                        <w:rPr>
                          <w:sz w:val="20"/>
                        </w:rPr>
                      </w:pPr>
                      <w:r w:rsidRPr="0092405E">
                        <w:rPr>
                          <w:sz w:val="20"/>
                        </w:rPr>
                        <w:t xml:space="preserve">Consider how the CDR might interact with any existing data-sharing mechanisms already operating in a sector. </w:t>
                      </w:r>
                    </w:p>
                    <w:p w14:paraId="68C1C815" w14:textId="5F59AB05" w:rsidR="00B2303A" w:rsidRPr="0092405E" w:rsidRDefault="00B2303A" w:rsidP="00B2303A">
                      <w:pPr>
                        <w:pStyle w:val="Bullet"/>
                        <w:rPr>
                          <w:sz w:val="20"/>
                        </w:rPr>
                      </w:pPr>
                      <w:r w:rsidRPr="0092405E">
                        <w:rPr>
                          <w:sz w:val="20"/>
                        </w:rPr>
                        <w:t>Consider maturity of ICT infrastructure and digital capability of sector, as well as the proprietary nature of datasets</w:t>
                      </w:r>
                      <w:r w:rsidR="0062771E">
                        <w:rPr>
                          <w:sz w:val="20"/>
                        </w:rPr>
                        <w:t>.</w:t>
                      </w:r>
                    </w:p>
                    <w:p w14:paraId="108AEA63" w14:textId="6F7CEC20" w:rsidR="0092405E" w:rsidRDefault="0092405E"/>
                  </w:txbxContent>
                </v:textbox>
                <w10:wrap type="square" anchorx="margin"/>
              </v:shape>
            </w:pict>
          </mc:Fallback>
        </mc:AlternateContent>
      </w:r>
      <w:r w:rsidR="009E4812">
        <w:rPr>
          <w:rFonts w:asciiTheme="minorHAnsi" w:hAnsiTheme="minorHAnsi" w:cstheme="minorHAnsi"/>
        </w:rPr>
        <w:t>In the second half of 2021, t</w:t>
      </w:r>
      <w:r w:rsidR="002F09F3">
        <w:rPr>
          <w:rFonts w:asciiTheme="minorHAnsi" w:hAnsiTheme="minorHAnsi" w:cstheme="minorHAnsi"/>
        </w:rPr>
        <w:t xml:space="preserve">o inform </w:t>
      </w:r>
      <w:r w:rsidR="009E4812">
        <w:rPr>
          <w:rFonts w:asciiTheme="minorHAnsi" w:hAnsiTheme="minorHAnsi" w:cstheme="minorHAnsi"/>
        </w:rPr>
        <w:t xml:space="preserve">the prioritisation and sequencing of future expansion of the CDR, Treasury undertook a rapid, whole of economy assessment. The process involved significant domestic and international consultation </w:t>
      </w:r>
      <w:r w:rsidR="00300816">
        <w:rPr>
          <w:rFonts w:asciiTheme="minorHAnsi" w:hAnsiTheme="minorHAnsi" w:cstheme="minorHAnsi"/>
        </w:rPr>
        <w:t xml:space="preserve">and provided significant insights into the </w:t>
      </w:r>
      <w:r w:rsidR="00A07F62">
        <w:rPr>
          <w:rFonts w:asciiTheme="minorHAnsi" w:hAnsiTheme="minorHAnsi" w:cstheme="minorHAnsi"/>
        </w:rPr>
        <w:t xml:space="preserve">broad scope of </w:t>
      </w:r>
      <w:r w:rsidR="00300816">
        <w:rPr>
          <w:rFonts w:asciiTheme="minorHAnsi" w:hAnsiTheme="minorHAnsi" w:cstheme="minorHAnsi"/>
        </w:rPr>
        <w:t xml:space="preserve">potential </w:t>
      </w:r>
      <w:r w:rsidR="00A07F62">
        <w:rPr>
          <w:rFonts w:asciiTheme="minorHAnsi" w:hAnsiTheme="minorHAnsi" w:cstheme="minorHAnsi"/>
        </w:rPr>
        <w:t xml:space="preserve">CDR </w:t>
      </w:r>
      <w:r w:rsidR="00300816">
        <w:rPr>
          <w:rFonts w:asciiTheme="minorHAnsi" w:hAnsiTheme="minorHAnsi" w:cstheme="minorHAnsi"/>
        </w:rPr>
        <w:t xml:space="preserve">use-cases and </w:t>
      </w:r>
      <w:r w:rsidR="00A07F62">
        <w:rPr>
          <w:rFonts w:asciiTheme="minorHAnsi" w:hAnsiTheme="minorHAnsi" w:cstheme="minorHAnsi"/>
        </w:rPr>
        <w:t xml:space="preserve">consumer outcomes. </w:t>
      </w:r>
      <w:r w:rsidR="002A76D6">
        <w:rPr>
          <w:rFonts w:asciiTheme="minorHAnsi" w:hAnsiTheme="minorHAnsi" w:cstheme="minorHAnsi"/>
        </w:rPr>
        <w:t>The</w:t>
      </w:r>
      <w:r w:rsidR="00A07F62">
        <w:rPr>
          <w:rFonts w:asciiTheme="minorHAnsi" w:hAnsiTheme="minorHAnsi" w:cstheme="minorHAnsi"/>
        </w:rPr>
        <w:t xml:space="preserve"> findings from this process were made publicly available in </w:t>
      </w:r>
      <w:r w:rsidR="009C2E98">
        <w:rPr>
          <w:rFonts w:asciiTheme="minorHAnsi" w:hAnsiTheme="minorHAnsi" w:cstheme="minorHAnsi"/>
        </w:rPr>
        <w:t xml:space="preserve">the </w:t>
      </w:r>
      <w:r w:rsidR="00A07F62" w:rsidRPr="003946CC">
        <w:rPr>
          <w:rFonts w:asciiTheme="minorHAnsi" w:hAnsiTheme="minorHAnsi" w:cstheme="minorHAnsi"/>
          <w:i/>
          <w:iCs/>
        </w:rPr>
        <w:t>Strategic</w:t>
      </w:r>
      <w:r w:rsidR="002A76D6" w:rsidRPr="003946CC">
        <w:rPr>
          <w:rFonts w:asciiTheme="minorHAnsi" w:hAnsiTheme="minorHAnsi" w:cstheme="minorHAnsi"/>
          <w:i/>
          <w:iCs/>
        </w:rPr>
        <w:t xml:space="preserve"> Assessment </w:t>
      </w:r>
      <w:r w:rsidR="00E96A04" w:rsidRPr="00F67DCE">
        <w:rPr>
          <w:rFonts w:asciiTheme="minorHAnsi" w:hAnsiTheme="minorHAnsi" w:cstheme="minorHAnsi"/>
          <w:i/>
          <w:iCs/>
        </w:rPr>
        <w:t>Outcomes</w:t>
      </w:r>
      <w:r w:rsidR="00E96A04">
        <w:rPr>
          <w:rFonts w:asciiTheme="minorHAnsi" w:hAnsiTheme="minorHAnsi" w:cstheme="minorHAnsi"/>
        </w:rPr>
        <w:t xml:space="preserve"> </w:t>
      </w:r>
      <w:r w:rsidR="00A07F62">
        <w:rPr>
          <w:rFonts w:asciiTheme="minorHAnsi" w:hAnsiTheme="minorHAnsi" w:cstheme="minorHAnsi"/>
        </w:rPr>
        <w:t>r</w:t>
      </w:r>
      <w:r w:rsidR="002A76D6">
        <w:rPr>
          <w:rFonts w:asciiTheme="minorHAnsi" w:hAnsiTheme="minorHAnsi" w:cstheme="minorHAnsi"/>
        </w:rPr>
        <w:t>eport that was published on 24 January 2022</w:t>
      </w:r>
      <w:r w:rsidR="00A07F62">
        <w:rPr>
          <w:rFonts w:asciiTheme="minorHAnsi" w:hAnsiTheme="minorHAnsi" w:cstheme="minorHAnsi"/>
        </w:rPr>
        <w:t xml:space="preserve"> and informed the Government’s announcement </w:t>
      </w:r>
      <w:r w:rsidR="0092405E">
        <w:rPr>
          <w:rFonts w:asciiTheme="minorHAnsi" w:hAnsiTheme="minorHAnsi" w:cstheme="minorHAnsi"/>
        </w:rPr>
        <w:t xml:space="preserve">of ‘Open Finance’ as the next priority area for expansion. </w:t>
      </w:r>
    </w:p>
    <w:p w14:paraId="0DFE4E5E" w14:textId="56D3C3D2" w:rsidR="00B2303A" w:rsidRPr="00B2303A" w:rsidRDefault="00B2303A" w:rsidP="0092405E">
      <w:pPr>
        <w:rPr>
          <w:rFonts w:cs="Arial"/>
          <w:color w:val="3A6FAF" w:themeColor="accent2"/>
          <w:kern w:val="32"/>
          <w:sz w:val="26"/>
          <w:szCs w:val="26"/>
        </w:rPr>
      </w:pPr>
      <w:r w:rsidRPr="00B2303A">
        <w:rPr>
          <w:rFonts w:cs="Arial"/>
          <w:color w:val="3A6FAF" w:themeColor="accent2"/>
          <w:kern w:val="32"/>
          <w:sz w:val="26"/>
          <w:szCs w:val="26"/>
        </w:rPr>
        <w:t xml:space="preserve">Open Finance </w:t>
      </w:r>
    </w:p>
    <w:p w14:paraId="7CEE8D11" w14:textId="55393049" w:rsidR="00EB1980" w:rsidRDefault="00EB1980" w:rsidP="00EB1980">
      <w:pPr>
        <w:rPr>
          <w:rFonts w:asciiTheme="minorHAnsi" w:hAnsiTheme="minorHAnsi" w:cstheme="minorHAnsi"/>
        </w:rPr>
      </w:pPr>
      <w:r w:rsidRPr="008642E8">
        <w:rPr>
          <w:rFonts w:asciiTheme="minorHAnsi" w:hAnsiTheme="minorHAnsi" w:cstheme="minorHAnsi"/>
        </w:rPr>
        <w:t xml:space="preserve">Open Finance </w:t>
      </w:r>
      <w:r>
        <w:rPr>
          <w:rFonts w:asciiTheme="minorHAnsi" w:hAnsiTheme="minorHAnsi" w:cstheme="minorHAnsi"/>
        </w:rPr>
        <w:t xml:space="preserve">expansion </w:t>
      </w:r>
      <w:r w:rsidRPr="008642E8">
        <w:rPr>
          <w:rFonts w:asciiTheme="minorHAnsi" w:hAnsiTheme="minorHAnsi" w:cstheme="minorHAnsi"/>
        </w:rPr>
        <w:t>will</w:t>
      </w:r>
      <w:r>
        <w:rPr>
          <w:rFonts w:asciiTheme="minorHAnsi" w:hAnsiTheme="minorHAnsi" w:cstheme="minorHAnsi"/>
        </w:rPr>
        <w:t xml:space="preserve"> see </w:t>
      </w:r>
      <w:r w:rsidR="00CC1E9C">
        <w:rPr>
          <w:rFonts w:asciiTheme="minorHAnsi" w:hAnsiTheme="minorHAnsi" w:cstheme="minorHAnsi"/>
        </w:rPr>
        <w:t xml:space="preserve">the </w:t>
      </w:r>
      <w:r>
        <w:rPr>
          <w:rFonts w:asciiTheme="minorHAnsi" w:hAnsiTheme="minorHAnsi" w:cstheme="minorHAnsi"/>
        </w:rPr>
        <w:t xml:space="preserve">CDR expand in an </w:t>
      </w:r>
      <w:r>
        <w:t>agile and use-case focussed approach</w:t>
      </w:r>
      <w:r w:rsidRPr="008642E8">
        <w:rPr>
          <w:rFonts w:asciiTheme="minorHAnsi" w:hAnsiTheme="minorHAnsi" w:cstheme="minorHAnsi"/>
        </w:rPr>
        <w:t xml:space="preserve"> </w:t>
      </w:r>
      <w:r>
        <w:rPr>
          <w:rFonts w:asciiTheme="minorHAnsi" w:hAnsiTheme="minorHAnsi" w:cstheme="minorHAnsi"/>
        </w:rPr>
        <w:t>– bringing</w:t>
      </w:r>
      <w:r w:rsidRPr="008642E8">
        <w:rPr>
          <w:rFonts w:asciiTheme="minorHAnsi" w:hAnsiTheme="minorHAnsi" w:cstheme="minorHAnsi"/>
        </w:rPr>
        <w:t xml:space="preserve"> high-impact, low</w:t>
      </w:r>
      <w:r>
        <w:rPr>
          <w:rFonts w:asciiTheme="minorHAnsi" w:hAnsiTheme="minorHAnsi" w:cstheme="minorHAnsi"/>
        </w:rPr>
        <w:t>er</w:t>
      </w:r>
      <w:r w:rsidRPr="008642E8">
        <w:rPr>
          <w:rFonts w:asciiTheme="minorHAnsi" w:hAnsiTheme="minorHAnsi" w:cstheme="minorHAnsi"/>
        </w:rPr>
        <w:t>-cost datasets from across general insurance, superannuation, merchant acquiring and non-bank lending service providers into the CDR.</w:t>
      </w:r>
    </w:p>
    <w:p w14:paraId="66A6B4F7" w14:textId="78095ADB" w:rsidR="00EB1980" w:rsidRPr="004B2D08" w:rsidRDefault="00EB1980" w:rsidP="00EB1980">
      <w:pPr>
        <w:rPr>
          <w:rFonts w:asciiTheme="minorHAnsi" w:hAnsiTheme="minorHAnsi" w:cstheme="minorHAnsi"/>
        </w:rPr>
      </w:pPr>
      <w:r>
        <w:rPr>
          <w:rFonts w:asciiTheme="minorHAnsi" w:hAnsiTheme="minorHAnsi" w:cstheme="minorHAnsi"/>
        </w:rPr>
        <w:t>The</w:t>
      </w:r>
      <w:r w:rsidRPr="008642E8">
        <w:rPr>
          <w:rFonts w:asciiTheme="minorHAnsi" w:hAnsiTheme="minorHAnsi" w:cstheme="minorHAnsi"/>
        </w:rPr>
        <w:t xml:space="preserve"> announcement</w:t>
      </w:r>
      <w:r>
        <w:rPr>
          <w:rFonts w:asciiTheme="minorHAnsi" w:hAnsiTheme="minorHAnsi" w:cstheme="minorHAnsi"/>
        </w:rPr>
        <w:t xml:space="preserve"> of Open Finance</w:t>
      </w:r>
      <w:r w:rsidRPr="008642E8">
        <w:rPr>
          <w:rFonts w:asciiTheme="minorHAnsi" w:hAnsiTheme="minorHAnsi" w:cstheme="minorHAnsi"/>
        </w:rPr>
        <w:t xml:space="preserve"> follows the completion of </w:t>
      </w:r>
      <w:r>
        <w:rPr>
          <w:rFonts w:asciiTheme="minorHAnsi" w:hAnsiTheme="minorHAnsi" w:cstheme="minorHAnsi"/>
        </w:rPr>
        <w:t>the CDR</w:t>
      </w:r>
      <w:r w:rsidRPr="008642E8">
        <w:rPr>
          <w:rFonts w:asciiTheme="minorHAnsi" w:hAnsiTheme="minorHAnsi" w:cstheme="minorHAnsi"/>
        </w:rPr>
        <w:t xml:space="preserve"> Strategic Assessment</w:t>
      </w:r>
      <w:r>
        <w:rPr>
          <w:rFonts w:asciiTheme="minorHAnsi" w:hAnsiTheme="minorHAnsi" w:cstheme="minorHAnsi"/>
        </w:rPr>
        <w:t xml:space="preserve">, </w:t>
      </w:r>
      <w:r w:rsidR="009C2E98">
        <w:rPr>
          <w:rFonts w:asciiTheme="minorHAnsi" w:hAnsiTheme="minorHAnsi" w:cstheme="minorHAnsi"/>
        </w:rPr>
        <w:t>which</w:t>
      </w:r>
      <w:r>
        <w:rPr>
          <w:rFonts w:asciiTheme="minorHAnsi" w:hAnsiTheme="minorHAnsi" w:cstheme="minorHAnsi"/>
        </w:rPr>
        <w:t xml:space="preserve"> found there were</w:t>
      </w:r>
      <w:r w:rsidRPr="008642E8">
        <w:rPr>
          <w:rFonts w:asciiTheme="minorHAnsi" w:hAnsiTheme="minorHAnsi" w:cstheme="minorHAnsi"/>
        </w:rPr>
        <w:t xml:space="preserve"> clear and immediate benefits in expanding the CDR to Open Finance</w:t>
      </w:r>
      <w:r>
        <w:rPr>
          <w:rFonts w:asciiTheme="minorHAnsi" w:hAnsiTheme="minorHAnsi" w:cstheme="minorHAnsi"/>
        </w:rPr>
        <w:t xml:space="preserve"> by building upon data already contemplated to be shared under the framework. Open Finance will also</w:t>
      </w:r>
      <w:r w:rsidRPr="004B2D08">
        <w:rPr>
          <w:rFonts w:asciiTheme="minorHAnsi" w:hAnsiTheme="minorHAnsi" w:cstheme="minorHAnsi"/>
        </w:rPr>
        <w:t xml:space="preserve"> support multiple use cases beyond provider switching, alleviate friction points for consumers through data driven innovation and standardisation, and potentially enhance existing data-sharing practices in </w:t>
      </w:r>
      <w:r>
        <w:rPr>
          <w:rFonts w:asciiTheme="minorHAnsi" w:hAnsiTheme="minorHAnsi" w:cstheme="minorHAnsi"/>
        </w:rPr>
        <w:t xml:space="preserve">the related </w:t>
      </w:r>
      <w:r w:rsidRPr="004B2D08">
        <w:rPr>
          <w:rFonts w:asciiTheme="minorHAnsi" w:hAnsiTheme="minorHAnsi" w:cstheme="minorHAnsi"/>
        </w:rPr>
        <w:t>sectors.</w:t>
      </w:r>
    </w:p>
    <w:p w14:paraId="2479683C" w14:textId="17020BEA" w:rsidR="00EB1980" w:rsidRDefault="00EB1980" w:rsidP="00EB1980">
      <w:pPr>
        <w:rPr>
          <w:rFonts w:asciiTheme="minorHAnsi" w:hAnsiTheme="minorHAnsi" w:cstheme="minorHAnsi"/>
        </w:rPr>
      </w:pPr>
      <w:r>
        <w:rPr>
          <w:rFonts w:asciiTheme="minorHAnsi" w:hAnsiTheme="minorHAnsi" w:cstheme="minorHAnsi"/>
        </w:rPr>
        <w:t>C</w:t>
      </w:r>
      <w:r w:rsidRPr="004B2D08">
        <w:rPr>
          <w:rFonts w:asciiTheme="minorHAnsi" w:hAnsiTheme="minorHAnsi" w:cstheme="minorHAnsi"/>
        </w:rPr>
        <w:t>onsultation</w:t>
      </w:r>
      <w:r>
        <w:rPr>
          <w:rFonts w:asciiTheme="minorHAnsi" w:hAnsiTheme="minorHAnsi" w:cstheme="minorHAnsi"/>
        </w:rPr>
        <w:t xml:space="preserve"> also</w:t>
      </w:r>
      <w:r w:rsidRPr="004B2D08">
        <w:rPr>
          <w:rFonts w:asciiTheme="minorHAnsi" w:hAnsiTheme="minorHAnsi" w:cstheme="minorHAnsi"/>
        </w:rPr>
        <w:t xml:space="preserve"> highlighted that unlocking public sector data</w:t>
      </w:r>
      <w:r>
        <w:rPr>
          <w:rFonts w:asciiTheme="minorHAnsi" w:hAnsiTheme="minorHAnsi" w:cstheme="minorHAnsi"/>
        </w:rPr>
        <w:t>, with consumer consent,</w:t>
      </w:r>
      <w:r w:rsidRPr="004B2D08">
        <w:rPr>
          <w:rFonts w:asciiTheme="minorHAnsi" w:hAnsiTheme="minorHAnsi" w:cstheme="minorHAnsi"/>
        </w:rPr>
        <w:t xml:space="preserve"> could drive private</w:t>
      </w:r>
      <w:r w:rsidR="009C2E98">
        <w:rPr>
          <w:rFonts w:asciiTheme="minorHAnsi" w:hAnsiTheme="minorHAnsi" w:cstheme="minorHAnsi"/>
        </w:rPr>
        <w:t xml:space="preserve"> sector</w:t>
      </w:r>
      <w:r w:rsidRPr="004B2D08">
        <w:rPr>
          <w:rFonts w:asciiTheme="minorHAnsi" w:hAnsiTheme="minorHAnsi" w:cstheme="minorHAnsi"/>
        </w:rPr>
        <w:t xml:space="preserve"> innovation and improve how consumers can more seamlessly use data services across the public and private sector.</w:t>
      </w:r>
    </w:p>
    <w:p w14:paraId="60A08CFA" w14:textId="77777777" w:rsidR="00EB1980" w:rsidRDefault="00EB1980" w:rsidP="00EB1980">
      <w:pPr>
        <w:rPr>
          <w:rFonts w:asciiTheme="minorHAnsi" w:hAnsiTheme="minorHAnsi" w:cstheme="minorHAnsi"/>
        </w:rPr>
      </w:pPr>
      <w:r>
        <w:rPr>
          <w:rFonts w:asciiTheme="minorHAnsi" w:hAnsiTheme="minorHAnsi" w:cstheme="minorHAnsi"/>
        </w:rPr>
        <w:t xml:space="preserve">The Government will be commencing consultation on the first phase of Open Finance in 2022, with a view to assessing and designating relevant datasets by the end of the year. </w:t>
      </w:r>
      <w:r w:rsidRPr="00BA668D">
        <w:rPr>
          <w:rFonts w:asciiTheme="minorHAnsi" w:hAnsiTheme="minorHAnsi" w:cstheme="minorHAnsi"/>
        </w:rPr>
        <w:t>By expanding the CDR through Open Finance,</w:t>
      </w:r>
      <w:r>
        <w:rPr>
          <w:rFonts w:asciiTheme="minorHAnsi" w:hAnsiTheme="minorHAnsi" w:cstheme="minorHAnsi"/>
        </w:rPr>
        <w:t xml:space="preserve"> </w:t>
      </w:r>
      <w:r w:rsidRPr="00BA668D">
        <w:rPr>
          <w:rFonts w:asciiTheme="minorHAnsi" w:hAnsiTheme="minorHAnsi" w:cstheme="minorHAnsi"/>
        </w:rPr>
        <w:t xml:space="preserve">consumers </w:t>
      </w:r>
      <w:r>
        <w:rPr>
          <w:rFonts w:asciiTheme="minorHAnsi" w:hAnsiTheme="minorHAnsi" w:cstheme="minorHAnsi"/>
        </w:rPr>
        <w:t xml:space="preserve">will be empowered </w:t>
      </w:r>
      <w:r w:rsidRPr="00BA668D">
        <w:rPr>
          <w:rFonts w:asciiTheme="minorHAnsi" w:hAnsiTheme="minorHAnsi" w:cstheme="minorHAnsi"/>
        </w:rPr>
        <w:t>to make the best financial judgments for their needs when choosing a superannuation strategy, general insurance product or credit provider.</w:t>
      </w:r>
    </w:p>
    <w:p w14:paraId="0A4D4218" w14:textId="77777777" w:rsidR="00EB1980" w:rsidRDefault="00EB1980" w:rsidP="00EB1980">
      <w:pPr>
        <w:rPr>
          <w:rFonts w:asciiTheme="minorHAnsi" w:hAnsiTheme="minorHAnsi" w:cstheme="minorHAnsi"/>
        </w:rPr>
      </w:pPr>
      <w:r>
        <w:t xml:space="preserve">A regular economy-wide scan will help calibrate further CDR expansion and respond to an evolving data ecosystem and changing consumer needs. </w:t>
      </w:r>
    </w:p>
    <w:p w14:paraId="50ED3C14" w14:textId="77777777" w:rsidR="00EB1980" w:rsidRPr="00583EBD" w:rsidRDefault="00EB1980" w:rsidP="00583EBD">
      <w:pPr>
        <w:pStyle w:val="Numbered111"/>
        <w:numPr>
          <w:ilvl w:val="0"/>
          <w:numId w:val="0"/>
        </w:numPr>
        <w:ind w:left="1021" w:hanging="1021"/>
        <w:rPr>
          <w:rFonts w:ascii="Calibri" w:eastAsia="Times New Roman" w:hAnsi="Calibri" w:cs="Arial"/>
          <w:b w:val="0"/>
          <w:bCs w:val="0"/>
          <w:color w:val="3A6FAF" w:themeColor="accent2"/>
          <w:kern w:val="32"/>
          <w:sz w:val="26"/>
          <w:szCs w:val="26"/>
          <w:lang w:eastAsia="en-AU"/>
        </w:rPr>
      </w:pPr>
      <w:bookmarkStart w:id="51" w:name="_Toc97565330"/>
      <w:r w:rsidRPr="00583EBD">
        <w:rPr>
          <w:rFonts w:ascii="Calibri" w:eastAsia="Times New Roman" w:hAnsi="Calibri" w:cs="Arial"/>
          <w:b w:val="0"/>
          <w:bCs w:val="0"/>
          <w:color w:val="3A6FAF" w:themeColor="accent2"/>
          <w:kern w:val="32"/>
          <w:sz w:val="26"/>
          <w:szCs w:val="26"/>
          <w:lang w:eastAsia="en-AU"/>
        </w:rPr>
        <w:t>Future Directions for the CDR</w:t>
      </w:r>
      <w:bookmarkEnd w:id="51"/>
    </w:p>
    <w:p w14:paraId="3826AF4C" w14:textId="2AD87572" w:rsidR="00EB1980" w:rsidRPr="009915C9" w:rsidRDefault="00EB1980" w:rsidP="00EB1980">
      <w:pPr>
        <w:rPr>
          <w:rFonts w:asciiTheme="minorHAnsi" w:hAnsiTheme="minorHAnsi" w:cstheme="minorHAnsi"/>
        </w:rPr>
      </w:pPr>
      <w:r>
        <w:rPr>
          <w:rFonts w:asciiTheme="minorHAnsi" w:hAnsiTheme="minorHAnsi" w:cstheme="minorHAnsi"/>
        </w:rPr>
        <w:t>In</w:t>
      </w:r>
      <w:r w:rsidRPr="009915C9">
        <w:rPr>
          <w:rFonts w:asciiTheme="minorHAnsi" w:hAnsiTheme="minorHAnsi" w:cstheme="minorHAnsi"/>
        </w:rPr>
        <w:t xml:space="preserve"> December 2020, the </w:t>
      </w:r>
      <w:r w:rsidRPr="008439EE">
        <w:rPr>
          <w:rFonts w:asciiTheme="minorHAnsi" w:hAnsiTheme="minorHAnsi" w:cstheme="minorHAnsi"/>
        </w:rPr>
        <w:t xml:space="preserve">Government announced the release of the </w:t>
      </w:r>
      <w:r>
        <w:rPr>
          <w:rFonts w:asciiTheme="minorHAnsi" w:hAnsiTheme="minorHAnsi" w:cstheme="minorHAnsi"/>
        </w:rPr>
        <w:t>final</w:t>
      </w:r>
      <w:r w:rsidRPr="008439EE">
        <w:rPr>
          <w:rFonts w:asciiTheme="minorHAnsi" w:hAnsiTheme="minorHAnsi" w:cstheme="minorHAnsi"/>
        </w:rPr>
        <w:t xml:space="preserve"> report of the </w:t>
      </w:r>
      <w:r w:rsidRPr="00015397">
        <w:t>Inquiry into Future Directions for the Consumer Data Right</w:t>
      </w:r>
      <w:r>
        <w:rPr>
          <w:rFonts w:asciiTheme="minorHAnsi" w:hAnsiTheme="minorHAnsi" w:cstheme="minorHAnsi"/>
        </w:rPr>
        <w:t xml:space="preserve"> </w:t>
      </w:r>
      <w:r w:rsidRPr="009915C9">
        <w:rPr>
          <w:rFonts w:asciiTheme="minorHAnsi" w:hAnsiTheme="minorHAnsi" w:cstheme="minorHAnsi"/>
        </w:rPr>
        <w:t xml:space="preserve">led by Mr Scott Farrell. </w:t>
      </w:r>
    </w:p>
    <w:p w14:paraId="3F1FBCE4" w14:textId="77777777" w:rsidR="00EB1980" w:rsidRDefault="00EB1980" w:rsidP="00EB1980">
      <w:r>
        <w:rPr>
          <w:rFonts w:asciiTheme="minorHAnsi" w:hAnsiTheme="minorHAnsi" w:cstheme="minorHAnsi"/>
        </w:rPr>
        <w:lastRenderedPageBreak/>
        <w:t xml:space="preserve">The </w:t>
      </w:r>
      <w:r w:rsidRPr="005F0B4A">
        <w:rPr>
          <w:i/>
          <w:iCs/>
        </w:rPr>
        <w:t>Inquiry into Future Directions for the Consumer Data Right</w:t>
      </w:r>
      <w:r>
        <w:rPr>
          <w:rFonts w:asciiTheme="minorHAnsi" w:hAnsiTheme="minorHAnsi" w:cstheme="minorHAnsi"/>
        </w:rPr>
        <w:t xml:space="preserve"> </w:t>
      </w:r>
      <w:r w:rsidRPr="009915C9">
        <w:rPr>
          <w:rFonts w:asciiTheme="minorHAnsi" w:hAnsiTheme="minorHAnsi" w:cstheme="minorHAnsi"/>
        </w:rPr>
        <w:t xml:space="preserve">report </w:t>
      </w:r>
      <w:r>
        <w:rPr>
          <w:rFonts w:asciiTheme="minorHAnsi" w:hAnsiTheme="minorHAnsi" w:cstheme="minorHAnsi"/>
        </w:rPr>
        <w:t>made 100 recommendations</w:t>
      </w:r>
      <w:r w:rsidRPr="009915C9">
        <w:rPr>
          <w:rFonts w:asciiTheme="minorHAnsi" w:hAnsiTheme="minorHAnsi" w:cstheme="minorHAnsi"/>
        </w:rPr>
        <w:t xml:space="preserve"> to expand </w:t>
      </w:r>
      <w:r>
        <w:rPr>
          <w:rFonts w:asciiTheme="minorHAnsi" w:hAnsiTheme="minorHAnsi" w:cstheme="minorHAnsi"/>
        </w:rPr>
        <w:t>the CDR by enabling</w:t>
      </w:r>
      <w:r>
        <w:t xml:space="preserve"> greater consumer data empowerment and deeper functionality, an economy-wide foundation, a more integrated data ecosystem, and realising international digital opportunities. </w:t>
      </w:r>
    </w:p>
    <w:p w14:paraId="3F9E5F34" w14:textId="77777777" w:rsidR="00EB1980" w:rsidRDefault="00EB1980" w:rsidP="00EB1980">
      <w:r w:rsidRPr="00015397">
        <w:t xml:space="preserve">The Government </w:t>
      </w:r>
      <w:r>
        <w:t>r</w:t>
      </w:r>
      <w:r w:rsidRPr="00015397">
        <w:t xml:space="preserve">esponse to the </w:t>
      </w:r>
      <w:r w:rsidRPr="005F0B4A">
        <w:rPr>
          <w:i/>
          <w:iCs/>
        </w:rPr>
        <w:t>Inquiry into Future Directions for the Consumer Data Right</w:t>
      </w:r>
      <w:r w:rsidRPr="008439EE">
        <w:rPr>
          <w:rFonts w:asciiTheme="minorHAnsi" w:hAnsiTheme="minorHAnsi" w:cstheme="minorHAnsi"/>
        </w:rPr>
        <w:t>,</w:t>
      </w:r>
      <w:r>
        <w:rPr>
          <w:rFonts w:asciiTheme="minorHAnsi" w:hAnsiTheme="minorHAnsi" w:cstheme="minorHAnsi"/>
        </w:rPr>
        <w:t xml:space="preserve"> released in December 2021, agreed to 94 of the report’s recommendations</w:t>
      </w:r>
      <w:r>
        <w:t>.</w:t>
      </w:r>
      <w:r w:rsidRPr="001F3E99">
        <w:t xml:space="preserve"> </w:t>
      </w:r>
      <w:r>
        <w:t xml:space="preserve">The Government’s response commits to significantly strengthen and deepen the CDR’s functionality through implementing third-party action and payment initiation, along with other recommendations to grow the CDR ecosystem and foster greater international engagement. </w:t>
      </w:r>
    </w:p>
    <w:p w14:paraId="22E2EB2A" w14:textId="13B8212A" w:rsidR="00EB1980" w:rsidRDefault="00EB1980">
      <w:pPr>
        <w:pStyle w:val="Bullet"/>
        <w:numPr>
          <w:ilvl w:val="0"/>
          <w:numId w:val="0"/>
        </w:numPr>
      </w:pPr>
      <w:r>
        <w:t>Payment and action initiation will particularly be a game-changer for CDR, and it is expected to drive greater participation and innovation in CDR. These developments will require legislative amendments and will be the subject of a separate process of consultation to inform the Bill. Relevant findings from the CDR Statutory Review will also inform the design of the legislation.</w:t>
      </w:r>
    </w:p>
    <w:p w14:paraId="07329B85" w14:textId="4D28ABAD" w:rsidR="00EB1980" w:rsidRDefault="00B44B85" w:rsidP="007E548A">
      <w:pPr>
        <w:pStyle w:val="Heading2"/>
      </w:pPr>
      <w:bookmarkStart w:id="52" w:name="_Toc97565331"/>
      <w:bookmarkStart w:id="53" w:name="_Toc98248288"/>
      <w:bookmarkStart w:id="54" w:name="_Toc98248375"/>
      <w:bookmarkStart w:id="55" w:name="_Toc98258010"/>
      <w:r>
        <w:t>Potential CDR benefits and Statutory Review considerations</w:t>
      </w:r>
      <w:bookmarkEnd w:id="52"/>
      <w:bookmarkEnd w:id="53"/>
      <w:bookmarkEnd w:id="54"/>
      <w:bookmarkEnd w:id="55"/>
    </w:p>
    <w:p w14:paraId="2E1B985A" w14:textId="48C383F2" w:rsidR="00B44B85" w:rsidRDefault="00805E5D">
      <w:pPr>
        <w:pStyle w:val="Bullet"/>
        <w:numPr>
          <w:ilvl w:val="0"/>
          <w:numId w:val="0"/>
        </w:numPr>
      </w:pPr>
      <w:r>
        <w:t xml:space="preserve">At its core, the CDR </w:t>
      </w:r>
      <w:r w:rsidR="00CD3C8D">
        <w:t>empowers</w:t>
      </w:r>
      <w:r>
        <w:t xml:space="preserve"> consumers</w:t>
      </w:r>
      <w:r w:rsidR="00880473">
        <w:t xml:space="preserve"> (</w:t>
      </w:r>
      <w:r w:rsidR="00D05EB2">
        <w:t xml:space="preserve">both </w:t>
      </w:r>
      <w:r w:rsidR="00880473">
        <w:t>individuals and businesses)</w:t>
      </w:r>
      <w:r>
        <w:t xml:space="preserve"> to </w:t>
      </w:r>
      <w:r w:rsidR="00CD3C8D">
        <w:t>direct</w:t>
      </w:r>
      <w:r>
        <w:t xml:space="preserve"> </w:t>
      </w:r>
      <w:r w:rsidR="00C4629B" w:rsidRPr="00A6578A">
        <w:t>t</w:t>
      </w:r>
      <w:r w:rsidR="00CD3C8D">
        <w:t>hat</w:t>
      </w:r>
      <w:r w:rsidR="00C4629B" w:rsidRPr="00A6578A">
        <w:t xml:space="preserve"> data held about them </w:t>
      </w:r>
      <w:r w:rsidR="00CD3C8D">
        <w:t>is</w:t>
      </w:r>
      <w:r w:rsidR="00C4629B" w:rsidRPr="00A6578A">
        <w:t xml:space="preserve"> shared with accredited </w:t>
      </w:r>
      <w:r w:rsidR="000A369C">
        <w:t>persons</w:t>
      </w:r>
      <w:r w:rsidR="00C4629B" w:rsidRPr="00A6578A">
        <w:t xml:space="preserve"> and trusted third parties</w:t>
      </w:r>
      <w:r w:rsidR="00CD3C8D">
        <w:t xml:space="preserve"> so that </w:t>
      </w:r>
      <w:r w:rsidR="00D54F87">
        <w:t>they</w:t>
      </w:r>
      <w:r w:rsidR="00CD3C8D">
        <w:t xml:space="preserve"> can derive</w:t>
      </w:r>
      <w:r w:rsidR="00C4629B" w:rsidRPr="00A6578A">
        <w:t xml:space="preserve"> direct benefits</w:t>
      </w:r>
      <w:r>
        <w:t>.</w:t>
      </w:r>
      <w:r w:rsidR="00C4629B" w:rsidRPr="00360965">
        <w:t xml:space="preserve"> </w:t>
      </w:r>
      <w:r w:rsidR="0039468E">
        <w:t xml:space="preserve">Following the launch of </w:t>
      </w:r>
      <w:r w:rsidR="0008789E">
        <w:t>O</w:t>
      </w:r>
      <w:r w:rsidR="0039468E">
        <w:t xml:space="preserve">pen </w:t>
      </w:r>
      <w:r w:rsidR="0008789E">
        <w:t>B</w:t>
      </w:r>
      <w:r w:rsidR="0039468E">
        <w:t>anking</w:t>
      </w:r>
      <w:r w:rsidR="00D54F87">
        <w:t xml:space="preserve">, </w:t>
      </w:r>
      <w:r w:rsidR="0039468E">
        <w:t xml:space="preserve">a range of new CDR-powered </w:t>
      </w:r>
      <w:r w:rsidR="001727AF">
        <w:t>products</w:t>
      </w:r>
      <w:r w:rsidR="0039468E">
        <w:t xml:space="preserve"> and service</w:t>
      </w:r>
      <w:r w:rsidR="00583EBD">
        <w:t>s</w:t>
      </w:r>
      <w:r w:rsidR="0039468E">
        <w:t xml:space="preserve"> have been launched that will make </w:t>
      </w:r>
      <w:r w:rsidR="00FF1B96">
        <w:t xml:space="preserve">it </w:t>
      </w:r>
      <w:r w:rsidR="00C4629B" w:rsidRPr="00360965">
        <w:t xml:space="preserve">easier for individuals and small businesses to compare products, </w:t>
      </w:r>
      <w:r w:rsidR="00FF1B96">
        <w:t>s</w:t>
      </w:r>
      <w:r w:rsidR="00C4629B" w:rsidRPr="00360965">
        <w:t xml:space="preserve">witch providers or talk to their current provider to access a better-value deal. </w:t>
      </w:r>
      <w:r w:rsidR="0039468E">
        <w:t xml:space="preserve">The flow on benefits are expected to </w:t>
      </w:r>
      <w:r w:rsidR="00C4629B" w:rsidRPr="00360965">
        <w:t>encourag</w:t>
      </w:r>
      <w:r w:rsidR="00FC77BB">
        <w:t>e</w:t>
      </w:r>
      <w:r w:rsidR="00FF1B96">
        <w:t xml:space="preserve"> greater</w:t>
      </w:r>
      <w:r w:rsidR="00C4629B" w:rsidRPr="00360965">
        <w:t xml:space="preserve"> competition in the marketplace and lower prices, helping to drive the</w:t>
      </w:r>
      <w:r w:rsidR="00C4629B">
        <w:t xml:space="preserve"> </w:t>
      </w:r>
      <w:r w:rsidR="00C4629B" w:rsidRPr="00360965">
        <w:t>economy and spur innovation.</w:t>
      </w:r>
      <w:r w:rsidR="00C4629B">
        <w:t xml:space="preserve"> </w:t>
      </w:r>
    </w:p>
    <w:p w14:paraId="11E85DB3" w14:textId="3888B86C" w:rsidR="00350217" w:rsidRDefault="00C348D3">
      <w:pPr>
        <w:pStyle w:val="Bullet"/>
        <w:numPr>
          <w:ilvl w:val="0"/>
          <w:numId w:val="0"/>
        </w:numPr>
      </w:pPr>
      <w:r>
        <w:t>However, as the CDR continues to grow, it can potentially provide a broader range of benefits</w:t>
      </w:r>
      <w:r w:rsidR="00DE1903">
        <w:t>, well beyond simple switching use cases in sectors like banking and energy</w:t>
      </w:r>
      <w:r>
        <w:t xml:space="preserve">. For example: </w:t>
      </w:r>
    </w:p>
    <w:p w14:paraId="2AD89C68" w14:textId="3490A0C3" w:rsidR="00A3400A" w:rsidRDefault="00A3400A" w:rsidP="002C57B7">
      <w:pPr>
        <w:pStyle w:val="Bullet"/>
      </w:pPr>
      <w:r>
        <w:t xml:space="preserve">As the CDR expands across more sectors of the economy, brings in datasets from across a greater range of consumer touch points, and enables consumers to direct actions on their behalf, the benefits for consumers will become even more profound. The CDR has the potential to not only help consumers access better value deals and services but revolutionise how consumers navigate some of the most important decisions and milestones in their lives. This could include, for example, </w:t>
      </w:r>
      <w:r w:rsidR="00F9471B">
        <w:t xml:space="preserve">making </w:t>
      </w:r>
      <w:r>
        <w:t>a personalised plan for retirement taking account of your personal financial circumstances, quickly and easily apply</w:t>
      </w:r>
      <w:r w:rsidR="00F9471B">
        <w:t>ing</w:t>
      </w:r>
      <w:r>
        <w:t xml:space="preserve"> for a mortgage</w:t>
      </w:r>
      <w:r w:rsidR="00F9471B" w:rsidRPr="00F9471B">
        <w:t xml:space="preserve"> </w:t>
      </w:r>
      <w:r w:rsidR="00F9471B">
        <w:t>by the push of a button</w:t>
      </w:r>
      <w:r>
        <w:t>, or helping you navigate disaster relief in the aftermath of unexpected events.</w:t>
      </w:r>
    </w:p>
    <w:p w14:paraId="6BBA4ED3" w14:textId="2B6113D6" w:rsidR="00E4552A" w:rsidRPr="00E4552A" w:rsidRDefault="00C348D3" w:rsidP="00E4552A">
      <w:pPr>
        <w:pStyle w:val="Bullet"/>
      </w:pPr>
      <w:r>
        <w:t>The recent CDR Strategic Assessment highlighted the benefits of Australia’s economy-wide approach to data portability and the subsequent opportunities for the CDR to provide the ‘</w:t>
      </w:r>
      <w:r w:rsidRPr="009230F6">
        <w:t>central nervous system’</w:t>
      </w:r>
      <w:r>
        <w:t xml:space="preserve"> of Australia’s data economy. This opportunity reflects the </w:t>
      </w:r>
      <w:r w:rsidR="00DE1903">
        <w:t>potential of the CDR as a safe</w:t>
      </w:r>
      <w:r w:rsidR="0097712E">
        <w:t xml:space="preserve">, </w:t>
      </w:r>
      <w:r w:rsidR="00DE1903">
        <w:t>convenient</w:t>
      </w:r>
      <w:r w:rsidR="0097712E">
        <w:t>, and extensible</w:t>
      </w:r>
      <w:r w:rsidR="00DE1903">
        <w:t xml:space="preserve"> method of transferring data</w:t>
      </w:r>
      <w:r>
        <w:t>.</w:t>
      </w:r>
      <w:r w:rsidR="00856DEB">
        <w:t xml:space="preserve"> </w:t>
      </w:r>
    </w:p>
    <w:p w14:paraId="2B3BFDD4" w14:textId="47E3E0BD" w:rsidR="00113F06" w:rsidRDefault="00113F06" w:rsidP="00DE1903">
      <w:pPr>
        <w:pStyle w:val="Bullet"/>
      </w:pPr>
      <w:r>
        <w:t>The CDR has the potential to transform the development of products and services by putting the consumer at the heart of innovation.</w:t>
      </w:r>
      <w:r w:rsidRPr="00113F06">
        <w:t xml:space="preserve"> In a digital world, consumers obtain value more readily from transactions that cross sectoral boundaries and traverse the entirety of the economy. By empowering consumers through the CDR, it is expected that there will be a shift in the types of products and services that are developed in the market to those that more readily meet consumer expectations and offer more personalised services. In the future, this potential could mean that CDR makes interactions across government and private sector services seamless, it could help people navigate complex and stressful life events with greater ease, and it could help address social outcomes or support consumers making values-based purchases.</w:t>
      </w:r>
    </w:p>
    <w:p w14:paraId="17CA4219" w14:textId="681DE060" w:rsidR="00782A59" w:rsidRDefault="00113F06" w:rsidP="00113F06">
      <w:pPr>
        <w:pStyle w:val="Bullet"/>
      </w:pPr>
      <w:r>
        <w:t xml:space="preserve">The final report of the </w:t>
      </w:r>
      <w:r w:rsidRPr="00240488">
        <w:rPr>
          <w:i/>
          <w:iCs/>
        </w:rPr>
        <w:t>Inquiry into the Future Directions of the Consumer Data Right</w:t>
      </w:r>
      <w:r>
        <w:t xml:space="preserve"> also detailed the opportunities for connecting the CDR to the broader data economy. This includes developing </w:t>
      </w:r>
      <w:r>
        <w:lastRenderedPageBreak/>
        <w:t xml:space="preserve">the CDR in a manner that supports the use of interoperable identity verification and </w:t>
      </w:r>
      <w:r w:rsidR="000A369C">
        <w:t xml:space="preserve">consumer </w:t>
      </w:r>
      <w:r>
        <w:t xml:space="preserve">authentication and considering the broader applicability of the Data Standards Body in standards setting. It also considers how the CDR accreditation process could be leveraged to create increased trust in data holding or transfer outside of the CDR system. </w:t>
      </w:r>
    </w:p>
    <w:p w14:paraId="08C80CCE" w14:textId="069DB667" w:rsidR="00856DEB" w:rsidRDefault="00113F06" w:rsidP="007E548A">
      <w:pPr>
        <w:pStyle w:val="Bullet"/>
      </w:pPr>
      <w:r w:rsidRPr="00240488">
        <w:t xml:space="preserve">As consumers engage more online and data </w:t>
      </w:r>
      <w:r w:rsidR="0097712E" w:rsidRPr="00240488">
        <w:t xml:space="preserve">increasingly </w:t>
      </w:r>
      <w:r w:rsidRPr="00240488">
        <w:t>becomes</w:t>
      </w:r>
      <w:r w:rsidR="0097712E">
        <w:t xml:space="preserve"> a</w:t>
      </w:r>
      <w:r w:rsidRPr="00240488">
        <w:t xml:space="preserve"> part of everyday interactions, the CDR can provide the safe rails for individuals and businesses to transact. With such a rapid pace of change</w:t>
      </w:r>
      <w:r w:rsidR="00E96A04">
        <w:t>,</w:t>
      </w:r>
      <w:r w:rsidRPr="00240488">
        <w:t xml:space="preserve"> the CDR will need to be agile and responsive to move with and develop an evolving data ecosystem – it will need to be adaptable to support novel use cases, focus on maximising participation, and support the growth of the digital economy. </w:t>
      </w:r>
    </w:p>
    <w:p w14:paraId="7839A9E8" w14:textId="4A044983" w:rsidR="009D6E54" w:rsidRDefault="009D6E54" w:rsidP="009D6E54">
      <w:pPr>
        <w:pStyle w:val="Bullet"/>
      </w:pPr>
      <w:r>
        <w:t xml:space="preserve">While </w:t>
      </w:r>
      <w:r w:rsidRPr="003B5796">
        <w:t>Australia is already a world-leader by implementing an economy-wide data portability framework that can be ‘switched on’ across a wide range of sectors and applications</w:t>
      </w:r>
      <w:r>
        <w:t>, o</w:t>
      </w:r>
      <w:r w:rsidRPr="003B5796">
        <w:t>ther countries around the world are also developing their own approaches to data portability which range from being regulatory or market-driven, or regulated in single sectors of the economy at a time</w:t>
      </w:r>
      <w:r>
        <w:t>.</w:t>
      </w:r>
      <w:r w:rsidR="00E90962">
        <w:t xml:space="preserve"> The development of interoperable international data portability frameworks will benefit consumers and businesses in Australia – creating more competition and consumer choice, and enabling greater access to overseas markets. </w:t>
      </w:r>
    </w:p>
    <w:p w14:paraId="57380EA8" w14:textId="6F6C1ABF" w:rsidR="009D6E54" w:rsidRPr="00141988" w:rsidRDefault="009D6E54" w:rsidP="009D6E54">
      <w:pPr>
        <w:pStyle w:val="Bullet"/>
      </w:pPr>
      <w:r>
        <w:t xml:space="preserve">The potential for the </w:t>
      </w:r>
      <w:r w:rsidRPr="00DE1903">
        <w:t>for CDR to play a more foundational role in transitioning the data economy from a</w:t>
      </w:r>
      <w:r>
        <w:t xml:space="preserve"> “production of tangible value” </w:t>
      </w:r>
      <w:r w:rsidRPr="00DE1903">
        <w:t xml:space="preserve">vertical </w:t>
      </w:r>
      <w:r>
        <w:t>orientation</w:t>
      </w:r>
      <w:r w:rsidRPr="00DE1903">
        <w:t xml:space="preserve"> (where the emphasis is on individual producers engaging consumers</w:t>
      </w:r>
      <w:r>
        <w:t xml:space="preserve"> within their industry </w:t>
      </w:r>
      <w:r w:rsidRPr="00DE1903">
        <w:t>) to a consumer</w:t>
      </w:r>
      <w:r>
        <w:t xml:space="preserve"> oriented “consumption of intangible value,” </w:t>
      </w:r>
      <w:r w:rsidRPr="00DE1903">
        <w:t xml:space="preserve">horizontal model (where the emphasis is on consumers </w:t>
      </w:r>
      <w:r>
        <w:t xml:space="preserve">seeking value </w:t>
      </w:r>
      <w:r w:rsidRPr="00DE1903">
        <w:t xml:space="preserve">across multiple producers in different industries). </w:t>
      </w:r>
    </w:p>
    <w:p w14:paraId="36792EF9" w14:textId="7D18CFB0" w:rsidR="00113F06" w:rsidRPr="00141988" w:rsidRDefault="00AC27BA" w:rsidP="007E548A">
      <w:pPr>
        <w:pStyle w:val="Bullet"/>
        <w:numPr>
          <w:ilvl w:val="0"/>
          <w:numId w:val="0"/>
        </w:numPr>
      </w:pPr>
      <w:r>
        <w:t>T</w:t>
      </w:r>
      <w:r w:rsidR="00113F06" w:rsidRPr="00113F06">
        <w:t xml:space="preserve">he </w:t>
      </w:r>
      <w:r w:rsidR="0039468E">
        <w:t xml:space="preserve">expected </w:t>
      </w:r>
      <w:r w:rsidR="00113F06" w:rsidRPr="00113F06">
        <w:t xml:space="preserve">benefits </w:t>
      </w:r>
      <w:r>
        <w:t>of</w:t>
      </w:r>
      <w:r w:rsidR="00113F06" w:rsidRPr="00113F06">
        <w:t xml:space="preserve"> increased digitalisation</w:t>
      </w:r>
      <w:r w:rsidRPr="00AC27BA">
        <w:t xml:space="preserve"> </w:t>
      </w:r>
      <w:r w:rsidRPr="00113F06">
        <w:t>to the Australian economy</w:t>
      </w:r>
      <w:r w:rsidR="00113F06" w:rsidRPr="00113F06">
        <w:t xml:space="preserve"> have been estimated to be as much as up to $90 billion</w:t>
      </w:r>
      <w:r w:rsidR="00920930">
        <w:t>,</w:t>
      </w:r>
      <w:r w:rsidR="002D6A0F">
        <w:rPr>
          <w:rStyle w:val="FootnoteReference"/>
        </w:rPr>
        <w:footnoteReference w:id="10"/>
      </w:r>
      <w:r w:rsidR="00113F06" w:rsidRPr="00113F06">
        <w:t xml:space="preserve"> creating up to 250,000 new jobs by 2025. Estimates also suggest that Australia vaulted five years forward in consumer and business digital adoption in around two months</w:t>
      </w:r>
      <w:r w:rsidR="0097712E">
        <w:t>,</w:t>
      </w:r>
      <w:r w:rsidR="00113F06" w:rsidRPr="00113F06">
        <w:t xml:space="preserve"> and almost 9 in 10 Australian businesses adopted new technologies </w:t>
      </w:r>
      <w:r w:rsidR="004F6A0D">
        <w:t>due to</w:t>
      </w:r>
      <w:r w:rsidR="00113F06" w:rsidRPr="00113F06">
        <w:t xml:space="preserve"> the COVID-19 pandemic</w:t>
      </w:r>
      <w:r w:rsidR="00920930">
        <w:t>.</w:t>
      </w:r>
      <w:r w:rsidR="00F42F34">
        <w:rPr>
          <w:rStyle w:val="FootnoteReference"/>
        </w:rPr>
        <w:footnoteReference w:id="11"/>
      </w:r>
      <w:r w:rsidR="00113F06" w:rsidRPr="00113F06">
        <w:t xml:space="preserve"> This rapid shift towards a data economy has </w:t>
      </w:r>
      <w:r w:rsidR="0039468E">
        <w:t xml:space="preserve">the potential to </w:t>
      </w:r>
      <w:r w:rsidR="00113F06" w:rsidRPr="00113F06">
        <w:t>fundamentally alter the way Australians live, such as how we conduct business, study, shop, and perform everyday tasks, driving increased demand and greater expectations from consumers for services to be seamless and online.</w:t>
      </w:r>
      <w:r w:rsidR="003B5796">
        <w:t xml:space="preserve"> The potential impacts of the CDR can be even greater in an environment of accelerated digitalisation. </w:t>
      </w:r>
    </w:p>
    <w:p w14:paraId="00D2400D" w14:textId="00402D29" w:rsidR="009D3781" w:rsidRDefault="009D3781" w:rsidP="009D3781">
      <w:pPr>
        <w:pStyle w:val="Bullet"/>
        <w:numPr>
          <w:ilvl w:val="0"/>
          <w:numId w:val="0"/>
        </w:numPr>
      </w:pPr>
      <w:r>
        <w:t xml:space="preserve">Given this future potential of </w:t>
      </w:r>
      <w:r w:rsidR="0097712E">
        <w:t xml:space="preserve">the </w:t>
      </w:r>
      <w:r>
        <w:t>CDR, there is also a range of broader considerations that the Review seeks views on to ensure that the CDR is set up for future success and delivers on anticipated outcomes. These considerations include:</w:t>
      </w:r>
    </w:p>
    <w:p w14:paraId="1CEFEDB2" w14:textId="256B91F2" w:rsidR="009D3781" w:rsidRPr="00141988" w:rsidRDefault="009D3781" w:rsidP="009D3781">
      <w:pPr>
        <w:pStyle w:val="Bullet"/>
      </w:pPr>
      <w:r w:rsidRPr="00141988">
        <w:t xml:space="preserve">How the framework supports opportunities for innovation, including supporting expansion to </w:t>
      </w:r>
      <w:r w:rsidR="002D6A0F">
        <w:t xml:space="preserve">complementary </w:t>
      </w:r>
      <w:r w:rsidRPr="00141988">
        <w:t xml:space="preserve">datasets that support a broader range of use </w:t>
      </w:r>
      <w:r w:rsidR="00E96A04">
        <w:t xml:space="preserve">consumer </w:t>
      </w:r>
      <w:r w:rsidRPr="00141988">
        <w:t>cases</w:t>
      </w:r>
      <w:r w:rsidR="0097712E">
        <w:t>.</w:t>
      </w:r>
    </w:p>
    <w:p w14:paraId="7DB25A7B" w14:textId="37660D0E" w:rsidR="009D3781" w:rsidRPr="00141988" w:rsidRDefault="00CB3276" w:rsidP="009D3781">
      <w:pPr>
        <w:pStyle w:val="Bullet"/>
      </w:pPr>
      <w:r w:rsidRPr="00583EBD">
        <w:t>How existing privacy safeguards balance the risk of new and expanded datasets being included in the CDR and continue to provide the appropriate level of consumer protection and ensure consumer confidence in the CDR scheme</w:t>
      </w:r>
      <w:r>
        <w:t>.</w:t>
      </w:r>
      <w:r w:rsidR="00532EB6">
        <w:t xml:space="preserve"> </w:t>
      </w:r>
      <w:r w:rsidR="009D3781" w:rsidRPr="00141988">
        <w:t>Whether current settings support a data holder-agnostic approach to expansion that brings in data held by businesses and government as appropriate</w:t>
      </w:r>
      <w:r w:rsidR="0097712E">
        <w:t>.</w:t>
      </w:r>
    </w:p>
    <w:p w14:paraId="3E46230F" w14:textId="34389833" w:rsidR="009D3781" w:rsidRPr="00141988" w:rsidRDefault="009D3781" w:rsidP="009D3781">
      <w:pPr>
        <w:pStyle w:val="Bullet"/>
      </w:pPr>
      <w:r w:rsidRPr="00141988">
        <w:t>Whether there are any potential barriers to entry and innovation under the existing framework</w:t>
      </w:r>
      <w:r w:rsidR="0097712E">
        <w:t>.</w:t>
      </w:r>
    </w:p>
    <w:p w14:paraId="23BBD263" w14:textId="244989CF" w:rsidR="009D3781" w:rsidRPr="00141988" w:rsidRDefault="009D3781" w:rsidP="009D3781">
      <w:pPr>
        <w:pStyle w:val="Bullet"/>
      </w:pPr>
      <w:r w:rsidRPr="00141988">
        <w:lastRenderedPageBreak/>
        <w:t>Whether the statutory framework supports an agile and responsive implementation of CDR, with flexibility to respond to new technology developments and consumer expectations</w:t>
      </w:r>
      <w:r w:rsidR="0097712E">
        <w:t>.</w:t>
      </w:r>
    </w:p>
    <w:p w14:paraId="7782F4EE" w14:textId="10EE629B" w:rsidR="009D3781" w:rsidRPr="00141988" w:rsidRDefault="009D3781" w:rsidP="009D3781">
      <w:pPr>
        <w:pStyle w:val="Bullet"/>
      </w:pPr>
      <w:r>
        <w:t>Whether the framework is set up to support the evolution of the CDR from its implementation phase towards an operation and maintenance phase in a maturing data market</w:t>
      </w:r>
      <w:r w:rsidR="0097712E">
        <w:t>.</w:t>
      </w:r>
    </w:p>
    <w:p w14:paraId="75FB4DE9" w14:textId="62B9A6A2" w:rsidR="009D3781" w:rsidRDefault="0097712E" w:rsidP="009D3781">
      <w:pPr>
        <w:pStyle w:val="Bullet"/>
      </w:pPr>
      <w:r>
        <w:t>Whether there are</w:t>
      </w:r>
      <w:r w:rsidR="009D3781" w:rsidRPr="00141988">
        <w:t xml:space="preserve"> </w:t>
      </w:r>
      <w:r w:rsidR="009D3781">
        <w:t>other ways that the</w:t>
      </w:r>
      <w:r w:rsidR="009D3781" w:rsidRPr="00141988">
        <w:t xml:space="preserve"> CDR can play </w:t>
      </w:r>
      <w:r>
        <w:t xml:space="preserve">a role </w:t>
      </w:r>
      <w:r w:rsidR="009D3781" w:rsidRPr="00141988">
        <w:t>in supporting Australia as a leading digital economy</w:t>
      </w:r>
      <w:r>
        <w:t>.</w:t>
      </w:r>
    </w:p>
    <w:p w14:paraId="44E8E2CC" w14:textId="073A8ADE" w:rsidR="009D3781" w:rsidRDefault="009D3781" w:rsidP="009D3781">
      <w:pPr>
        <w:pStyle w:val="Bullet"/>
      </w:pPr>
      <w:r>
        <w:t xml:space="preserve">Whether the CDR is the appropriate mechanism to deliver </w:t>
      </w:r>
      <w:r w:rsidR="007D41F1">
        <w:t xml:space="preserve">the </w:t>
      </w:r>
      <w:r w:rsidR="006E1FA3">
        <w:t xml:space="preserve">broad range of </w:t>
      </w:r>
      <w:r w:rsidR="007D41F1">
        <w:t>potential benefits set out above,</w:t>
      </w:r>
      <w:r>
        <w:t xml:space="preserve"> and how well-placed is CDR to underpin or drive these types of broad economic benefits and create better value for consumers</w:t>
      </w:r>
      <w:r w:rsidR="0097712E">
        <w:t>.</w:t>
      </w:r>
    </w:p>
    <w:p w14:paraId="47C8908F" w14:textId="214AFD23" w:rsidR="0098741B" w:rsidRDefault="0098741B" w:rsidP="007E548A">
      <w:pPr>
        <w:pStyle w:val="Bullet"/>
        <w:numPr>
          <w:ilvl w:val="0"/>
          <w:numId w:val="0"/>
        </w:numPr>
      </w:pPr>
      <w:r>
        <w:t xml:space="preserve">These issues, along with the transformational changes expected through action and payment initiation, set the stage for a CDR to expand in ways not contemplated when the Statutory Framework was established. This review will consider these developments and the suitability of the existing framework to enable the CDR to reach its potential. </w:t>
      </w:r>
    </w:p>
    <w:p w14:paraId="4D378649" w14:textId="188800BB" w:rsidR="003F346F" w:rsidRPr="00B2303A" w:rsidRDefault="003F346F" w:rsidP="003946CC">
      <w:pPr>
        <w:pStyle w:val="Heading1"/>
        <w:rPr>
          <w:color w:val="0D45D6"/>
        </w:rPr>
      </w:pPr>
      <w:bookmarkStart w:id="56" w:name="_Toc98258011"/>
      <w:r w:rsidRPr="00B2303A">
        <w:rPr>
          <w:color w:val="0D45D6"/>
        </w:rPr>
        <w:t>Key consultation points for discussion</w:t>
      </w:r>
      <w:bookmarkEnd w:id="56"/>
    </w:p>
    <w:p w14:paraId="66C1E9EA" w14:textId="362EABD9" w:rsidR="00EB2C49" w:rsidRDefault="00845750" w:rsidP="00EB2C49">
      <w:r w:rsidRPr="00EF05DF">
        <w:t>T</w:t>
      </w:r>
      <w:r w:rsidRPr="00A46A87">
        <w:t>he</w:t>
      </w:r>
      <w:r w:rsidRPr="00EF05DF">
        <w:t xml:space="preserve"> </w:t>
      </w:r>
      <w:r w:rsidRPr="00A46A87">
        <w:t>Government</w:t>
      </w:r>
      <w:r w:rsidRPr="001C7E3E">
        <w:t xml:space="preserve"> </w:t>
      </w:r>
      <w:r w:rsidR="00DA68C2">
        <w:t>r</w:t>
      </w:r>
      <w:r w:rsidR="00DA68C2" w:rsidRPr="001C7E3E">
        <w:t>esponse</w:t>
      </w:r>
      <w:r w:rsidRPr="001C7E3E">
        <w:t xml:space="preserve"> to the </w:t>
      </w:r>
      <w:r w:rsidRPr="001E7C42">
        <w:rPr>
          <w:i/>
        </w:rPr>
        <w:t>Inquiry</w:t>
      </w:r>
      <w:r w:rsidRPr="001E7C42">
        <w:rPr>
          <w:i/>
          <w:iCs/>
        </w:rPr>
        <w:t xml:space="preserve"> into the Future Directions of the CDR</w:t>
      </w:r>
      <w:r>
        <w:t>, and the announcement of the CDR’s expansion to Open Finance</w:t>
      </w:r>
      <w:r>
        <w:rPr>
          <w:rFonts w:asciiTheme="minorHAnsi" w:hAnsiTheme="minorHAnsi" w:cstheme="minorHAnsi"/>
        </w:rPr>
        <w:t xml:space="preserve">, illustrate how the economy-wide expansion of the CDR will broaden CDR coverage across new sectors and data sets, and deepen CDR functionality through action initiation and other reforms. </w:t>
      </w:r>
    </w:p>
    <w:p w14:paraId="669B949D" w14:textId="607E57EA" w:rsidR="00B9492E" w:rsidRDefault="00B9492E" w:rsidP="00E23C1D">
      <w:pPr>
        <w:rPr>
          <w:rFonts w:asciiTheme="minorHAnsi" w:hAnsiTheme="minorHAnsi" w:cstheme="minorHAnsi"/>
        </w:rPr>
      </w:pPr>
      <w:r w:rsidRPr="009A0FE1">
        <w:rPr>
          <w:rFonts w:asciiTheme="minorHAnsi" w:hAnsiTheme="minorHAnsi" w:cstheme="minorHAnsi"/>
        </w:rPr>
        <w:t xml:space="preserve">The Review invites interested parties to make submissions on any or all issues raised by the Terms of Reference. The following sections </w:t>
      </w:r>
      <w:r w:rsidR="00402E4F">
        <w:rPr>
          <w:rFonts w:asciiTheme="minorHAnsi" w:hAnsiTheme="minorHAnsi" w:cstheme="minorHAnsi"/>
        </w:rPr>
        <w:t>outline</w:t>
      </w:r>
      <w:r w:rsidRPr="009A0FE1">
        <w:rPr>
          <w:rFonts w:asciiTheme="minorHAnsi" w:hAnsiTheme="minorHAnsi" w:cstheme="minorHAnsi"/>
        </w:rPr>
        <w:t xml:space="preserve"> the key areas of interest for the Review in the preparation of its final report.</w:t>
      </w:r>
    </w:p>
    <w:p w14:paraId="5B5C70B8" w14:textId="5BF9AF79" w:rsidR="0098142E" w:rsidRPr="005513D4" w:rsidRDefault="003073C7" w:rsidP="0098142E">
      <w:pPr>
        <w:pStyle w:val="Heading2"/>
        <w:rPr>
          <w:color w:val="002760"/>
        </w:rPr>
      </w:pPr>
      <w:bookmarkStart w:id="57" w:name="_Toc97565333"/>
      <w:bookmarkStart w:id="58" w:name="_Toc98248289"/>
      <w:bookmarkStart w:id="59" w:name="_Toc98248377"/>
      <w:bookmarkStart w:id="60" w:name="_Toc98258012"/>
      <w:bookmarkStart w:id="61" w:name="_Hlk96441628"/>
      <w:r w:rsidRPr="005513D4">
        <w:rPr>
          <w:color w:val="002760"/>
        </w:rPr>
        <w:t xml:space="preserve">Do the objects of </w:t>
      </w:r>
      <w:r w:rsidR="00D63201" w:rsidRPr="005513D4">
        <w:rPr>
          <w:color w:val="002760"/>
        </w:rPr>
        <w:t xml:space="preserve">Part IVD of </w:t>
      </w:r>
      <w:r w:rsidRPr="005513D4">
        <w:rPr>
          <w:color w:val="002760"/>
        </w:rPr>
        <w:t xml:space="preserve">the Act support </w:t>
      </w:r>
      <w:r w:rsidR="001C7E3E" w:rsidRPr="005513D4">
        <w:rPr>
          <w:color w:val="002760"/>
        </w:rPr>
        <w:t>the</w:t>
      </w:r>
      <w:r w:rsidRPr="005513D4">
        <w:rPr>
          <w:color w:val="002760"/>
        </w:rPr>
        <w:t xml:space="preserve"> e</w:t>
      </w:r>
      <w:r w:rsidR="0098142E" w:rsidRPr="005513D4">
        <w:rPr>
          <w:color w:val="002760"/>
        </w:rPr>
        <w:t>conomy-wide expansion of the CDR</w:t>
      </w:r>
      <w:bookmarkEnd w:id="57"/>
      <w:bookmarkEnd w:id="58"/>
      <w:bookmarkEnd w:id="59"/>
      <w:bookmarkEnd w:id="60"/>
    </w:p>
    <w:bookmarkEnd w:id="61"/>
    <w:p w14:paraId="5D9FEBAC" w14:textId="3B494290" w:rsidR="001869EA" w:rsidRPr="00EF05DF" w:rsidRDefault="00FA7FCE" w:rsidP="001869EA">
      <w:pPr>
        <w:pStyle w:val="CommentText"/>
        <w:rPr>
          <w:sz w:val="22"/>
          <w:szCs w:val="22"/>
        </w:rPr>
      </w:pPr>
      <w:r>
        <w:rPr>
          <w:sz w:val="22"/>
          <w:szCs w:val="22"/>
        </w:rPr>
        <w:t>D</w:t>
      </w:r>
      <w:r w:rsidR="001869EA" w:rsidRPr="00EF05DF">
        <w:rPr>
          <w:sz w:val="22"/>
          <w:szCs w:val="22"/>
        </w:rPr>
        <w:t xml:space="preserve">evelopments in CDR policy and the data economy more broadly </w:t>
      </w:r>
      <w:r w:rsidR="001979A0">
        <w:rPr>
          <w:sz w:val="22"/>
          <w:szCs w:val="22"/>
        </w:rPr>
        <w:t xml:space="preserve">point to the potential for the CDR to </w:t>
      </w:r>
      <w:r w:rsidR="001869EA" w:rsidRPr="00EF05DF">
        <w:rPr>
          <w:sz w:val="22"/>
          <w:szCs w:val="22"/>
        </w:rPr>
        <w:t>function as the ‘central nervous system’ of Australia’s data economy</w:t>
      </w:r>
      <w:r w:rsidR="001979A0">
        <w:rPr>
          <w:sz w:val="22"/>
          <w:szCs w:val="22"/>
        </w:rPr>
        <w:t xml:space="preserve"> and support use-cases beyond simple </w:t>
      </w:r>
      <w:r w:rsidR="002D6A0F">
        <w:rPr>
          <w:sz w:val="22"/>
          <w:szCs w:val="22"/>
        </w:rPr>
        <w:t xml:space="preserve">comparisons </w:t>
      </w:r>
      <w:r w:rsidR="008D40A9">
        <w:rPr>
          <w:sz w:val="22"/>
          <w:szCs w:val="22"/>
        </w:rPr>
        <w:t xml:space="preserve">within </w:t>
      </w:r>
      <w:r w:rsidR="002D6A0F">
        <w:rPr>
          <w:sz w:val="22"/>
          <w:szCs w:val="22"/>
        </w:rPr>
        <w:t xml:space="preserve">a single </w:t>
      </w:r>
      <w:r w:rsidR="008D40A9">
        <w:rPr>
          <w:sz w:val="22"/>
          <w:szCs w:val="22"/>
        </w:rPr>
        <w:t>industry</w:t>
      </w:r>
      <w:r w:rsidR="001869EA" w:rsidRPr="00EF05DF">
        <w:rPr>
          <w:sz w:val="22"/>
          <w:szCs w:val="22"/>
        </w:rPr>
        <w:t xml:space="preserve">. </w:t>
      </w:r>
      <w:r w:rsidR="008770AF">
        <w:rPr>
          <w:sz w:val="22"/>
          <w:szCs w:val="22"/>
        </w:rPr>
        <w:t>T</w:t>
      </w:r>
      <w:r w:rsidR="001979A0">
        <w:rPr>
          <w:sz w:val="22"/>
          <w:szCs w:val="22"/>
        </w:rPr>
        <w:t>o realise this objective</w:t>
      </w:r>
      <w:r w:rsidR="00DD5DBB">
        <w:rPr>
          <w:sz w:val="22"/>
          <w:szCs w:val="22"/>
        </w:rPr>
        <w:t>,</w:t>
      </w:r>
      <w:r w:rsidR="001979A0">
        <w:rPr>
          <w:sz w:val="22"/>
          <w:szCs w:val="22"/>
        </w:rPr>
        <w:t xml:space="preserve"> the </w:t>
      </w:r>
      <w:r w:rsidR="00DD5DBB">
        <w:rPr>
          <w:sz w:val="22"/>
          <w:szCs w:val="22"/>
        </w:rPr>
        <w:t>R</w:t>
      </w:r>
      <w:r w:rsidR="001979A0">
        <w:rPr>
          <w:sz w:val="22"/>
          <w:szCs w:val="22"/>
        </w:rPr>
        <w:t xml:space="preserve">eview seeks input on </w:t>
      </w:r>
      <w:r w:rsidR="002E612E">
        <w:rPr>
          <w:sz w:val="22"/>
          <w:szCs w:val="22"/>
        </w:rPr>
        <w:t xml:space="preserve">whether the objects </w:t>
      </w:r>
      <w:r w:rsidR="00D63201">
        <w:rPr>
          <w:sz w:val="22"/>
          <w:szCs w:val="22"/>
        </w:rPr>
        <w:t xml:space="preserve">of Part IVD of </w:t>
      </w:r>
      <w:r w:rsidR="002E612E">
        <w:rPr>
          <w:sz w:val="22"/>
          <w:szCs w:val="22"/>
        </w:rPr>
        <w:t>the Act unintentionally narrow</w:t>
      </w:r>
      <w:r w:rsidR="00D267EB">
        <w:rPr>
          <w:sz w:val="22"/>
          <w:szCs w:val="22"/>
        </w:rPr>
        <w:t xml:space="preserve"> </w:t>
      </w:r>
      <w:r w:rsidR="002E612E">
        <w:rPr>
          <w:sz w:val="22"/>
          <w:szCs w:val="22"/>
        </w:rPr>
        <w:t xml:space="preserve">the </w:t>
      </w:r>
      <w:r w:rsidR="00A52DFD">
        <w:rPr>
          <w:sz w:val="22"/>
          <w:szCs w:val="22"/>
        </w:rPr>
        <w:t xml:space="preserve">focus and </w:t>
      </w:r>
      <w:r w:rsidR="002E612E">
        <w:rPr>
          <w:sz w:val="22"/>
          <w:szCs w:val="22"/>
        </w:rPr>
        <w:t>purpose of the CDR, restrict</w:t>
      </w:r>
      <w:r w:rsidR="00A52DFD">
        <w:rPr>
          <w:sz w:val="22"/>
          <w:szCs w:val="22"/>
        </w:rPr>
        <w:t>ing</w:t>
      </w:r>
      <w:r w:rsidR="002E612E">
        <w:rPr>
          <w:sz w:val="22"/>
          <w:szCs w:val="22"/>
        </w:rPr>
        <w:t xml:space="preserve"> </w:t>
      </w:r>
      <w:r w:rsidR="000F58B4">
        <w:rPr>
          <w:sz w:val="22"/>
          <w:szCs w:val="22"/>
        </w:rPr>
        <w:t>its</w:t>
      </w:r>
      <w:r w:rsidR="002E612E">
        <w:rPr>
          <w:sz w:val="22"/>
          <w:szCs w:val="22"/>
        </w:rPr>
        <w:t xml:space="preserve"> ability to </w:t>
      </w:r>
      <w:r w:rsidR="005268F2">
        <w:rPr>
          <w:sz w:val="22"/>
          <w:szCs w:val="22"/>
        </w:rPr>
        <w:t>be agile</w:t>
      </w:r>
      <w:r w:rsidR="002E612E">
        <w:rPr>
          <w:sz w:val="22"/>
          <w:szCs w:val="22"/>
        </w:rPr>
        <w:t xml:space="preserve"> and responsive</w:t>
      </w:r>
      <w:r w:rsidR="00A52DFD">
        <w:rPr>
          <w:sz w:val="22"/>
          <w:szCs w:val="22"/>
        </w:rPr>
        <w:t xml:space="preserve"> to support </w:t>
      </w:r>
      <w:r w:rsidR="00DD5DBB">
        <w:rPr>
          <w:sz w:val="22"/>
          <w:szCs w:val="22"/>
        </w:rPr>
        <w:t>Australia’s growing data economy</w:t>
      </w:r>
      <w:r w:rsidR="00A52DFD">
        <w:rPr>
          <w:sz w:val="22"/>
          <w:szCs w:val="22"/>
        </w:rPr>
        <w:t xml:space="preserve">. For example, </w:t>
      </w:r>
      <w:r w:rsidR="00D267EB">
        <w:rPr>
          <w:sz w:val="22"/>
          <w:szCs w:val="22"/>
        </w:rPr>
        <w:t>do the object</w:t>
      </w:r>
      <w:r w:rsidR="00076BFA">
        <w:rPr>
          <w:sz w:val="22"/>
          <w:szCs w:val="22"/>
        </w:rPr>
        <w:t>s</w:t>
      </w:r>
      <w:r w:rsidR="00D267EB">
        <w:rPr>
          <w:sz w:val="22"/>
          <w:szCs w:val="22"/>
        </w:rPr>
        <w:t xml:space="preserve"> need to be more flexible to allow for </w:t>
      </w:r>
      <w:r w:rsidR="005E418D">
        <w:rPr>
          <w:sz w:val="22"/>
          <w:szCs w:val="22"/>
        </w:rPr>
        <w:t xml:space="preserve">data </w:t>
      </w:r>
      <w:r w:rsidR="00E83F2F">
        <w:rPr>
          <w:sz w:val="22"/>
          <w:szCs w:val="22"/>
        </w:rPr>
        <w:t xml:space="preserve">greater </w:t>
      </w:r>
      <w:r w:rsidR="005E418D">
        <w:rPr>
          <w:sz w:val="22"/>
          <w:szCs w:val="22"/>
        </w:rPr>
        <w:t xml:space="preserve">portability beyond the consumer and </w:t>
      </w:r>
      <w:r w:rsidR="00D267EB">
        <w:rPr>
          <w:sz w:val="22"/>
          <w:szCs w:val="22"/>
        </w:rPr>
        <w:t>expand</w:t>
      </w:r>
      <w:r w:rsidR="005E418D">
        <w:rPr>
          <w:sz w:val="22"/>
          <w:szCs w:val="22"/>
        </w:rPr>
        <w:t xml:space="preserve"> the concept of ‘sectors’</w:t>
      </w:r>
      <w:r w:rsidR="00E83F2F">
        <w:rPr>
          <w:sz w:val="22"/>
          <w:szCs w:val="22"/>
        </w:rPr>
        <w:t xml:space="preserve">, allowing for </w:t>
      </w:r>
      <w:r w:rsidR="00AA5C6C">
        <w:rPr>
          <w:sz w:val="22"/>
          <w:szCs w:val="22"/>
        </w:rPr>
        <w:t>greater potential use cases?</w:t>
      </w:r>
    </w:p>
    <w:p w14:paraId="7894B979" w14:textId="51C69764" w:rsidR="006D458E" w:rsidRDefault="00DD5DBB" w:rsidP="00EF05DF">
      <w:pPr>
        <w:pStyle w:val="Bullet"/>
        <w:numPr>
          <w:ilvl w:val="0"/>
          <w:numId w:val="0"/>
        </w:numPr>
      </w:pPr>
      <w:r>
        <w:rPr>
          <w:szCs w:val="22"/>
        </w:rPr>
        <w:t>The CDR is in a nascent stage, with economy-wide implementation under development. I</w:t>
      </w:r>
      <w:r w:rsidR="001869EA" w:rsidRPr="006A4A2B">
        <w:rPr>
          <w:szCs w:val="22"/>
        </w:rPr>
        <w:t xml:space="preserve">t is timely for this </w:t>
      </w:r>
      <w:r w:rsidR="004F291C">
        <w:rPr>
          <w:szCs w:val="22"/>
        </w:rPr>
        <w:t>R</w:t>
      </w:r>
      <w:r w:rsidR="001869EA" w:rsidRPr="006A4A2B">
        <w:rPr>
          <w:szCs w:val="22"/>
        </w:rPr>
        <w:t>eview to</w:t>
      </w:r>
      <w:r w:rsidR="001869EA">
        <w:rPr>
          <w:szCs w:val="22"/>
        </w:rPr>
        <w:t xml:space="preserve"> </w:t>
      </w:r>
      <w:r w:rsidR="001869EA" w:rsidRPr="006A4A2B">
        <w:rPr>
          <w:szCs w:val="22"/>
        </w:rPr>
        <w:t xml:space="preserve">consider how </w:t>
      </w:r>
      <w:r>
        <w:rPr>
          <w:szCs w:val="22"/>
        </w:rPr>
        <w:t>anticipated further CDR</w:t>
      </w:r>
      <w:r w:rsidR="001869EA" w:rsidRPr="006A4A2B">
        <w:rPr>
          <w:szCs w:val="22"/>
        </w:rPr>
        <w:t xml:space="preserve"> developments </w:t>
      </w:r>
      <w:r>
        <w:rPr>
          <w:szCs w:val="22"/>
        </w:rPr>
        <w:t>ali</w:t>
      </w:r>
      <w:r w:rsidR="001869EA" w:rsidRPr="00EF05DF">
        <w:rPr>
          <w:szCs w:val="22"/>
        </w:rPr>
        <w:t>gn with the CDR legislative framework</w:t>
      </w:r>
      <w:r>
        <w:rPr>
          <w:szCs w:val="22"/>
        </w:rPr>
        <w:t xml:space="preserve"> and </w:t>
      </w:r>
      <w:r w:rsidR="001869EA" w:rsidRPr="00EF05DF">
        <w:rPr>
          <w:szCs w:val="22"/>
        </w:rPr>
        <w:t>whether the objects</w:t>
      </w:r>
      <w:r w:rsidR="00F67D63">
        <w:rPr>
          <w:rStyle w:val="FootnoteReference"/>
          <w:szCs w:val="22"/>
        </w:rPr>
        <w:footnoteReference w:id="12"/>
      </w:r>
      <w:r w:rsidR="001869EA" w:rsidRPr="00EF05DF">
        <w:rPr>
          <w:szCs w:val="22"/>
        </w:rPr>
        <w:t xml:space="preserve"> of Part IVD of the Act </w:t>
      </w:r>
      <w:r>
        <w:rPr>
          <w:szCs w:val="22"/>
        </w:rPr>
        <w:t>remain</w:t>
      </w:r>
      <w:r w:rsidR="001869EA" w:rsidRPr="00EF05DF">
        <w:rPr>
          <w:szCs w:val="22"/>
        </w:rPr>
        <w:t xml:space="preserve"> fit-for-purpose and optimally aligned to facilitate economy-wide expansion of the CDR</w:t>
      </w:r>
      <w:r w:rsidR="006A4A2B">
        <w:rPr>
          <w:szCs w:val="22"/>
        </w:rPr>
        <w:t>.</w:t>
      </w:r>
      <w:r w:rsidR="006A4A2B" w:rsidRPr="001869EA" w:rsidDel="006A4A2B">
        <w:rPr>
          <w:szCs w:val="22"/>
        </w:rPr>
        <w:t xml:space="preserve"> </w:t>
      </w:r>
    </w:p>
    <w:tbl>
      <w:tblPr>
        <w:tblStyle w:val="TableGrid"/>
        <w:tblW w:w="0" w:type="auto"/>
        <w:tblLook w:val="04A0" w:firstRow="1" w:lastRow="0" w:firstColumn="1" w:lastColumn="0" w:noHBand="0" w:noVBand="1"/>
      </w:tblPr>
      <w:tblGrid>
        <w:gridCol w:w="9060"/>
      </w:tblGrid>
      <w:tr w:rsidR="008A76FE" w14:paraId="3D796B76" w14:textId="77777777" w:rsidTr="00EF05DF">
        <w:tc>
          <w:tcPr>
            <w:tcW w:w="9070" w:type="dxa"/>
            <w:tcBorders>
              <w:top w:val="single" w:sz="4" w:space="0" w:color="auto"/>
              <w:left w:val="single" w:sz="4" w:space="0" w:color="auto"/>
              <w:bottom w:val="single" w:sz="4" w:space="0" w:color="auto"/>
              <w:right w:val="single" w:sz="4" w:space="0" w:color="auto"/>
            </w:tcBorders>
            <w:shd w:val="clear" w:color="auto" w:fill="D5E1F1" w:themeFill="accent2" w:themeFillTint="33"/>
          </w:tcPr>
          <w:p w14:paraId="5AE1427D" w14:textId="77777777" w:rsidR="008A76FE" w:rsidRPr="005466CB" w:rsidRDefault="008A76FE" w:rsidP="00EF05DF">
            <w:pPr>
              <w:pStyle w:val="Bullet"/>
              <w:numPr>
                <w:ilvl w:val="0"/>
                <w:numId w:val="0"/>
              </w:numPr>
              <w:spacing w:before="120"/>
              <w:ind w:left="283" w:hanging="283"/>
              <w:rPr>
                <w:i/>
                <w:iCs/>
              </w:rPr>
            </w:pPr>
            <w:bookmarkStart w:id="62" w:name="_Hlk95388552"/>
            <w:r>
              <w:rPr>
                <w:i/>
                <w:iCs/>
              </w:rPr>
              <w:t>Question One</w:t>
            </w:r>
          </w:p>
          <w:p w14:paraId="7B6A70E1" w14:textId="1B5904E8" w:rsidR="008A76FE" w:rsidRDefault="008A76FE" w:rsidP="008A76FE">
            <w:r w:rsidRPr="00CD1576">
              <w:t xml:space="preserve">Are the objects of Part IVD of the </w:t>
            </w:r>
            <w:r w:rsidR="00EF05DF" w:rsidRPr="00EF05DF">
              <w:t>Act</w:t>
            </w:r>
            <w:r w:rsidRPr="00CD1576">
              <w:t xml:space="preserve"> fit-for-purpose and optimally aligned to facilitate economy-wide expansion of the CDR?</w:t>
            </w:r>
          </w:p>
        </w:tc>
      </w:tr>
    </w:tbl>
    <w:p w14:paraId="7271D356" w14:textId="6DB8CCE3" w:rsidR="0098142E" w:rsidRPr="005513D4" w:rsidRDefault="0098142E" w:rsidP="0098142E">
      <w:pPr>
        <w:pStyle w:val="Heading2"/>
        <w:rPr>
          <w:color w:val="002760"/>
        </w:rPr>
      </w:pPr>
      <w:bookmarkStart w:id="63" w:name="_Toc97565334"/>
      <w:bookmarkStart w:id="64" w:name="_Toc98248290"/>
      <w:bookmarkStart w:id="65" w:name="_Toc98248378"/>
      <w:bookmarkStart w:id="66" w:name="_Toc98258013"/>
      <w:bookmarkEnd w:id="62"/>
      <w:r w:rsidRPr="005513D4">
        <w:rPr>
          <w:color w:val="002760"/>
        </w:rPr>
        <w:lastRenderedPageBreak/>
        <w:t>Future implementation of the CDR</w:t>
      </w:r>
      <w:bookmarkEnd w:id="63"/>
      <w:bookmarkEnd w:id="64"/>
      <w:bookmarkEnd w:id="65"/>
      <w:bookmarkEnd w:id="66"/>
    </w:p>
    <w:p w14:paraId="3DAF30E1" w14:textId="5594481E" w:rsidR="00704F97" w:rsidRDefault="00C530CE" w:rsidP="00704F97">
      <w:r w:rsidRPr="00704F97">
        <w:t>This</w:t>
      </w:r>
      <w:r w:rsidR="00876432" w:rsidRPr="00704F97">
        <w:t xml:space="preserve"> review </w:t>
      </w:r>
      <w:r w:rsidR="00DA5930">
        <w:t>will</w:t>
      </w:r>
      <w:r w:rsidR="00876432" w:rsidRPr="00FA72FD">
        <w:t xml:space="preserve"> consider </w:t>
      </w:r>
      <w:r w:rsidR="00BE7A28" w:rsidRPr="00EF05DF">
        <w:t>whether the</w:t>
      </w:r>
      <w:r w:rsidR="006D756F" w:rsidRPr="00FA72FD">
        <w:t xml:space="preserve"> existing assessment, designation, </w:t>
      </w:r>
      <w:r w:rsidR="00BE7A28" w:rsidRPr="00EF05DF">
        <w:t>rule-making</w:t>
      </w:r>
      <w:r w:rsidR="006D756F" w:rsidRPr="00FA72FD">
        <w:t xml:space="preserve"> and standards-setting statutory requirements</w:t>
      </w:r>
      <w:r w:rsidR="00BE7A28" w:rsidRPr="00EF05DF">
        <w:t xml:space="preserve"> set out in Part IVD of the Act are</w:t>
      </w:r>
      <w:r w:rsidR="006D756F" w:rsidRPr="00704F97">
        <w:t xml:space="preserve"> fit</w:t>
      </w:r>
      <w:r w:rsidR="00965A02">
        <w:t>-</w:t>
      </w:r>
      <w:r w:rsidR="006D756F" w:rsidRPr="00704F97">
        <w:t>for</w:t>
      </w:r>
      <w:r w:rsidR="00965A02">
        <w:t>-</w:t>
      </w:r>
      <w:r w:rsidR="006D756F" w:rsidRPr="00704F97">
        <w:t>purpose</w:t>
      </w:r>
      <w:r w:rsidR="006C07B4">
        <w:t>, agile</w:t>
      </w:r>
      <w:r w:rsidR="001D7055" w:rsidRPr="00704F97">
        <w:t xml:space="preserve"> </w:t>
      </w:r>
      <w:r w:rsidR="003C40F5" w:rsidRPr="00704F97">
        <w:t xml:space="preserve">and </w:t>
      </w:r>
      <w:r w:rsidR="006C07B4">
        <w:t>responsive</w:t>
      </w:r>
      <w:r w:rsidR="003C40F5" w:rsidRPr="00FA72FD">
        <w:t xml:space="preserve"> to </w:t>
      </w:r>
      <w:r w:rsidR="0006644C" w:rsidRPr="00704F97">
        <w:t xml:space="preserve">support </w:t>
      </w:r>
      <w:r w:rsidR="00BE7A28" w:rsidRPr="00EF05DF">
        <w:t>the future implementation of the CDR as it expands</w:t>
      </w:r>
      <w:r w:rsidR="0006644C" w:rsidRPr="00FA72FD">
        <w:t xml:space="preserve"> into</w:t>
      </w:r>
      <w:r w:rsidR="001D7055" w:rsidRPr="00704F97">
        <w:t xml:space="preserve"> new sectors </w:t>
      </w:r>
      <w:r w:rsidR="00BE7A28" w:rsidRPr="00EF05DF">
        <w:t>and</w:t>
      </w:r>
      <w:r w:rsidR="00BE7A28" w:rsidRPr="00FA72FD">
        <w:t xml:space="preserve"> </w:t>
      </w:r>
      <w:r w:rsidR="001D7055" w:rsidRPr="00704F97">
        <w:t>datasets</w:t>
      </w:r>
      <w:r w:rsidR="00290E55" w:rsidRPr="00EF05DF">
        <w:t xml:space="preserve"> – </w:t>
      </w:r>
      <w:r w:rsidR="00BE7A28" w:rsidRPr="00EF05DF">
        <w:t>including</w:t>
      </w:r>
      <w:r w:rsidR="00677EF3">
        <w:t xml:space="preserve"> bringing-in</w:t>
      </w:r>
      <w:r w:rsidR="001D7055" w:rsidRPr="00704F97">
        <w:t xml:space="preserve"> government</w:t>
      </w:r>
      <w:r w:rsidR="00677EF3">
        <w:t>-</w:t>
      </w:r>
      <w:r w:rsidR="001D7055" w:rsidRPr="00704F97">
        <w:t>held data</w:t>
      </w:r>
      <w:r w:rsidR="00677EF3">
        <w:t xml:space="preserve"> with consumer consent</w:t>
      </w:r>
      <w:r w:rsidR="00290E55" w:rsidRPr="00EF05DF">
        <w:t xml:space="preserve">. </w:t>
      </w:r>
    </w:p>
    <w:p w14:paraId="30C3FD14" w14:textId="0C761AB8" w:rsidR="009F6898" w:rsidRDefault="006E6358">
      <w:r>
        <w:t xml:space="preserve">To ensure the expansion of the CDR is conducive to developing a thriving </w:t>
      </w:r>
      <w:r w:rsidR="00DC7B9C">
        <w:t xml:space="preserve">data </w:t>
      </w:r>
      <w:r>
        <w:t>ecosystem i</w:t>
      </w:r>
      <w:r w:rsidR="003D7A44">
        <w:t xml:space="preserve">t is important that the statutory framework continues to support the CDR as it </w:t>
      </w:r>
      <w:r w:rsidR="002C69C4">
        <w:t xml:space="preserve">evolves from a sector-by-sector approach </w:t>
      </w:r>
      <w:r w:rsidR="00677EF3">
        <w:t xml:space="preserve">to </w:t>
      </w:r>
      <w:r w:rsidR="003D7A44">
        <w:t>implementation</w:t>
      </w:r>
      <w:r w:rsidR="00677EF3">
        <w:t xml:space="preserve"> </w:t>
      </w:r>
      <w:r w:rsidR="00DC7B9C">
        <w:t>of targeted datasets across multiple sectors that will require</w:t>
      </w:r>
      <w:r w:rsidR="002C69C4">
        <w:t xml:space="preserve"> a more </w:t>
      </w:r>
      <w:r w:rsidR="00290E55" w:rsidRPr="00EF05DF">
        <w:t xml:space="preserve">agile, flexible, and </w:t>
      </w:r>
      <w:r w:rsidR="002C69C4">
        <w:t>use-case driven</w:t>
      </w:r>
      <w:r w:rsidR="002C69C4" w:rsidRPr="00EF05DF">
        <w:t xml:space="preserve"> </w:t>
      </w:r>
      <w:r w:rsidR="00290E55" w:rsidRPr="00EF05DF">
        <w:t>approach</w:t>
      </w:r>
      <w:r w:rsidR="000743F3">
        <w:t>. Th</w:t>
      </w:r>
      <w:r w:rsidR="009F6898">
        <w:t>is will require</w:t>
      </w:r>
      <w:r w:rsidR="000743F3">
        <w:t xml:space="preserve"> CDR to </w:t>
      </w:r>
      <w:r w:rsidR="00D65662">
        <w:t>operat</w:t>
      </w:r>
      <w:r w:rsidR="000743F3">
        <w:t>e</w:t>
      </w:r>
      <w:r w:rsidR="00D65662">
        <w:t xml:space="preserve"> at the </w:t>
      </w:r>
      <w:r w:rsidR="000743F3">
        <w:t xml:space="preserve">speed of its environment, </w:t>
      </w:r>
      <w:r w:rsidR="007379D9" w:rsidRPr="00704F97">
        <w:t>facilitat</w:t>
      </w:r>
      <w:r w:rsidR="000743F3">
        <w:t>e</w:t>
      </w:r>
      <w:r w:rsidR="00B7504D" w:rsidRPr="00704F97">
        <w:t xml:space="preserve"> </w:t>
      </w:r>
      <w:r w:rsidR="00704F97">
        <w:t>a</w:t>
      </w:r>
      <w:r w:rsidR="002C69C4">
        <w:t xml:space="preserve"> more</w:t>
      </w:r>
      <w:r w:rsidR="00704F97">
        <w:t xml:space="preserve"> agile </w:t>
      </w:r>
      <w:r w:rsidR="00677EF3">
        <w:t xml:space="preserve">CDR </w:t>
      </w:r>
      <w:r w:rsidR="00704F97">
        <w:t>expansion across new</w:t>
      </w:r>
      <w:r w:rsidR="008E708E" w:rsidRPr="00FA72FD">
        <w:t xml:space="preserve"> data</w:t>
      </w:r>
      <w:r w:rsidR="00704F97" w:rsidRPr="00EF05DF">
        <w:t xml:space="preserve"> </w:t>
      </w:r>
      <w:r w:rsidR="008E708E" w:rsidRPr="00FA72FD">
        <w:t>sets and</w:t>
      </w:r>
      <w:r w:rsidR="00677EF3">
        <w:t xml:space="preserve"> sectors</w:t>
      </w:r>
      <w:r w:rsidR="006E6DF8">
        <w:t>,</w:t>
      </w:r>
      <w:r w:rsidR="00677EF3">
        <w:t xml:space="preserve"> and</w:t>
      </w:r>
      <w:r w:rsidR="008E708E" w:rsidRPr="00FA72FD">
        <w:t xml:space="preserve"> </w:t>
      </w:r>
      <w:r w:rsidR="006E6DF8">
        <w:t>support</w:t>
      </w:r>
      <w:r w:rsidR="006E6DF8" w:rsidRPr="00EF05DF">
        <w:t xml:space="preserve"> </w:t>
      </w:r>
      <w:r w:rsidR="00704F97" w:rsidRPr="00EF05DF">
        <w:t>the deepening of CDR functionality</w:t>
      </w:r>
      <w:r w:rsidR="00677EF3">
        <w:t xml:space="preserve"> with action</w:t>
      </w:r>
      <w:r w:rsidR="006E6DF8">
        <w:t xml:space="preserve"> and </w:t>
      </w:r>
      <w:r w:rsidR="00677EF3">
        <w:t>payment initiation</w:t>
      </w:r>
      <w:r w:rsidR="00704F97">
        <w:t xml:space="preserve">. </w:t>
      </w:r>
    </w:p>
    <w:p w14:paraId="07A45A20" w14:textId="667DD338" w:rsidR="006D458E" w:rsidRDefault="00677EF3">
      <w:r>
        <w:t xml:space="preserve">Views are sought </w:t>
      </w:r>
      <w:r w:rsidR="003D7A44">
        <w:t>to identify any</w:t>
      </w:r>
      <w:r w:rsidR="006D2AB9" w:rsidRPr="00FA72FD">
        <w:t xml:space="preserve"> potential barriers</w:t>
      </w:r>
      <w:r w:rsidR="004C59D2" w:rsidRPr="00FA72FD">
        <w:t xml:space="preserve"> to entry</w:t>
      </w:r>
      <w:r w:rsidR="006D2AB9" w:rsidRPr="00704F97">
        <w:t xml:space="preserve"> </w:t>
      </w:r>
      <w:r w:rsidR="006718FB" w:rsidRPr="00704F97">
        <w:t>and innovation</w:t>
      </w:r>
      <w:r>
        <w:t xml:space="preserve"> under the existing framework</w:t>
      </w:r>
      <w:r w:rsidR="006718FB" w:rsidRPr="00704F97">
        <w:t xml:space="preserve">, </w:t>
      </w:r>
      <w:r w:rsidR="000E25D0">
        <w:t xml:space="preserve">and </w:t>
      </w:r>
      <w:r w:rsidR="003D7A44">
        <w:t xml:space="preserve">how existing settings </w:t>
      </w:r>
      <w:r w:rsidR="000E25D0">
        <w:t xml:space="preserve">balance </w:t>
      </w:r>
      <w:r w:rsidR="003D7A44">
        <w:t>the promotion of</w:t>
      </w:r>
      <w:r w:rsidR="000E25D0">
        <w:t xml:space="preserve"> innovation </w:t>
      </w:r>
      <w:r w:rsidR="003D7A44">
        <w:t>with</w:t>
      </w:r>
      <w:r w:rsidR="000E25D0">
        <w:t xml:space="preserve"> </w:t>
      </w:r>
      <w:r w:rsidR="00B7504D" w:rsidRPr="00704F97">
        <w:t xml:space="preserve">maintaining </w:t>
      </w:r>
      <w:r w:rsidR="007379D9" w:rsidRPr="00704F97">
        <w:t>a</w:t>
      </w:r>
      <w:r w:rsidR="00B04296" w:rsidRPr="00704F97">
        <w:t>n appropriate</w:t>
      </w:r>
      <w:r w:rsidR="007379D9" w:rsidRPr="00704F97">
        <w:t xml:space="preserve"> </w:t>
      </w:r>
      <w:r w:rsidR="000E25D0">
        <w:t xml:space="preserve">level </w:t>
      </w:r>
      <w:r w:rsidR="00B7504D" w:rsidRPr="00704F97">
        <w:t>privacy and security obligations</w:t>
      </w:r>
      <w:r w:rsidR="004A5DBC">
        <w:t xml:space="preserve">. Existing </w:t>
      </w:r>
      <w:r w:rsidR="000E25D0">
        <w:t xml:space="preserve">barriers or </w:t>
      </w:r>
      <w:r w:rsidR="004A5DBC">
        <w:t>issues in the designation,</w:t>
      </w:r>
      <w:r w:rsidR="004A5DBC" w:rsidRPr="004A5DBC">
        <w:t xml:space="preserve"> </w:t>
      </w:r>
      <w:r w:rsidR="004A5DBC">
        <w:t>rule</w:t>
      </w:r>
      <w:r w:rsidR="00B2303A">
        <w:noBreakHyphen/>
      </w:r>
      <w:r w:rsidR="004A5DBC">
        <w:t>making and standards-setting legislation should also be considered</w:t>
      </w:r>
      <w:r w:rsidR="000743F3">
        <w:t xml:space="preserve">, </w:t>
      </w:r>
      <w:r w:rsidR="009F6898">
        <w:t xml:space="preserve">such as whether the current designation process can be optimised to </w:t>
      </w:r>
      <w:r w:rsidR="000728EE">
        <w:t xml:space="preserve">allow the CDR to be implemented in a more agile </w:t>
      </w:r>
      <w:r w:rsidR="008E5742">
        <w:t>way to bring benefits to consumers sooner</w:t>
      </w:r>
      <w:r w:rsidR="000728EE">
        <w:t>.</w:t>
      </w:r>
    </w:p>
    <w:tbl>
      <w:tblPr>
        <w:tblStyle w:val="TableGrid"/>
        <w:tblW w:w="0" w:type="auto"/>
        <w:tblLook w:val="04A0" w:firstRow="1" w:lastRow="0" w:firstColumn="1" w:lastColumn="0" w:noHBand="0" w:noVBand="1"/>
      </w:tblPr>
      <w:tblGrid>
        <w:gridCol w:w="9060"/>
      </w:tblGrid>
      <w:tr w:rsidR="00FA2E58" w14:paraId="5EA49324" w14:textId="77777777" w:rsidTr="00936CCD">
        <w:tc>
          <w:tcPr>
            <w:tcW w:w="9070" w:type="dxa"/>
            <w:tcBorders>
              <w:top w:val="single" w:sz="4" w:space="0" w:color="auto"/>
              <w:left w:val="single" w:sz="4" w:space="0" w:color="auto"/>
              <w:bottom w:val="single" w:sz="4" w:space="0" w:color="auto"/>
              <w:right w:val="single" w:sz="4" w:space="0" w:color="auto"/>
            </w:tcBorders>
            <w:shd w:val="clear" w:color="auto" w:fill="D5E1F1" w:themeFill="accent2" w:themeFillTint="33"/>
          </w:tcPr>
          <w:p w14:paraId="195C8888" w14:textId="77777777" w:rsidR="00FA2E58" w:rsidRPr="0010304D" w:rsidRDefault="00FA2E58" w:rsidP="00FA2E58">
            <w:pPr>
              <w:rPr>
                <w:i/>
                <w:iCs/>
              </w:rPr>
            </w:pPr>
            <w:r>
              <w:rPr>
                <w:i/>
                <w:iCs/>
              </w:rPr>
              <w:t>Question Two</w:t>
            </w:r>
          </w:p>
          <w:p w14:paraId="25B65340" w14:textId="0A5643C8" w:rsidR="00FA2E58" w:rsidRDefault="00FA2E58" w:rsidP="00936CCD">
            <w:r>
              <w:t xml:space="preserve">Do the existing assessment, designation, rule-making and standards-setting statutory requirements support future implementation of the CDR, including to government-held datasets? </w:t>
            </w:r>
          </w:p>
        </w:tc>
      </w:tr>
    </w:tbl>
    <w:p w14:paraId="2B5084A0" w14:textId="1E59E068" w:rsidR="0092496E" w:rsidRPr="005513D4" w:rsidRDefault="0098142E" w:rsidP="00DD13B4">
      <w:pPr>
        <w:pStyle w:val="Heading2"/>
        <w:rPr>
          <w:color w:val="002760"/>
        </w:rPr>
      </w:pPr>
      <w:bookmarkStart w:id="67" w:name="_Toc97565335"/>
      <w:bookmarkStart w:id="68" w:name="_Toc98248291"/>
      <w:bookmarkStart w:id="69" w:name="_Toc98248379"/>
      <w:bookmarkStart w:id="70" w:name="_Toc98258014"/>
      <w:r w:rsidRPr="005513D4">
        <w:rPr>
          <w:color w:val="002760"/>
        </w:rPr>
        <w:t>Development of CDR-powered products and services</w:t>
      </w:r>
      <w:bookmarkEnd w:id="67"/>
      <w:bookmarkEnd w:id="68"/>
      <w:bookmarkEnd w:id="69"/>
      <w:bookmarkEnd w:id="70"/>
    </w:p>
    <w:p w14:paraId="4DAA0FC4" w14:textId="12D466E6" w:rsidR="008B758D" w:rsidRPr="00F930C9" w:rsidRDefault="00FD636B">
      <w:r w:rsidRPr="00364C74">
        <w:t>As the CDR expands across new sectors and datasets, and deepens in functionality through action and payment initiation</w:t>
      </w:r>
      <w:r w:rsidR="0063582E" w:rsidRPr="00364C74">
        <w:t xml:space="preserve">, </w:t>
      </w:r>
      <w:r w:rsidRPr="00364C74">
        <w:t>there will be</w:t>
      </w:r>
      <w:r w:rsidR="00B50211" w:rsidRPr="00990729">
        <w:t xml:space="preserve"> further </w:t>
      </w:r>
      <w:r w:rsidR="0063582E" w:rsidRPr="00990729">
        <w:t xml:space="preserve">scope for the CDR to </w:t>
      </w:r>
      <w:r w:rsidR="00E903C5" w:rsidRPr="00990729">
        <w:t xml:space="preserve">spur </w:t>
      </w:r>
      <w:r w:rsidR="0063582E" w:rsidRPr="00990729">
        <w:t xml:space="preserve">the creation of </w:t>
      </w:r>
      <w:r w:rsidRPr="00990729">
        <w:t xml:space="preserve">transformative </w:t>
      </w:r>
      <w:r w:rsidR="00B50211" w:rsidRPr="00990729">
        <w:t>products and services</w:t>
      </w:r>
      <w:r w:rsidR="00F930C9" w:rsidRPr="00990729">
        <w:t xml:space="preserve"> for consumers</w:t>
      </w:r>
      <w:r w:rsidR="00B50211" w:rsidRPr="00990729">
        <w:t>.</w:t>
      </w:r>
      <w:r w:rsidR="00990729" w:rsidRPr="00990729">
        <w:t xml:space="preserve"> These changes have the potential to improve the lives of Australians by further removing the hassle out of life and business administration. </w:t>
      </w:r>
      <w:r w:rsidR="00990729">
        <w:t>A</w:t>
      </w:r>
      <w:r w:rsidR="00990729" w:rsidRPr="000F4B94">
        <w:t>ction and payment initiation</w:t>
      </w:r>
      <w:r w:rsidR="00990729">
        <w:t>, for example,</w:t>
      </w:r>
      <w:r w:rsidR="00990729" w:rsidRPr="000F4B94">
        <w:t xml:space="preserve"> could enable individuals to initiate payments from a centralised platf</w:t>
      </w:r>
      <w:r w:rsidR="00990729" w:rsidRPr="00033D77">
        <w:t xml:space="preserve">orm, automate the process to update new details when moving to a new house, </w:t>
      </w:r>
      <w:r w:rsidR="00990729">
        <w:t xml:space="preserve">improve </w:t>
      </w:r>
      <w:r w:rsidR="00990729" w:rsidRPr="000F4B94">
        <w:t xml:space="preserve">investment management, </w:t>
      </w:r>
      <w:r w:rsidR="00990729">
        <w:t xml:space="preserve">and create services </w:t>
      </w:r>
      <w:r w:rsidR="00803C4F">
        <w:t xml:space="preserve">akin </w:t>
      </w:r>
      <w:r w:rsidR="00990729">
        <w:t xml:space="preserve">to a digital </w:t>
      </w:r>
      <w:r w:rsidR="0039468E">
        <w:t>concierge</w:t>
      </w:r>
      <w:r w:rsidR="00990729" w:rsidRPr="000F4B94">
        <w:t>.</w:t>
      </w:r>
    </w:p>
    <w:p w14:paraId="121E6FDD" w14:textId="18A8302A" w:rsidR="00520298" w:rsidRDefault="000332A7" w:rsidP="00206C74">
      <w:r w:rsidRPr="00F930C9">
        <w:t xml:space="preserve">Reflecting on the </w:t>
      </w:r>
      <w:r w:rsidR="00F930C9">
        <w:t>purpose</w:t>
      </w:r>
      <w:r w:rsidRPr="00FA72FD">
        <w:t xml:space="preserve"> of the CDR </w:t>
      </w:r>
      <w:r w:rsidR="00F930C9">
        <w:t>as well as</w:t>
      </w:r>
      <w:r w:rsidRPr="00FA72FD">
        <w:t xml:space="preserve"> recent developments, the </w:t>
      </w:r>
      <w:r w:rsidR="00D05FC8">
        <w:t>R</w:t>
      </w:r>
      <w:r w:rsidRPr="00FA72FD">
        <w:t>eview seek</w:t>
      </w:r>
      <w:r w:rsidR="00803C4F">
        <w:t>s</w:t>
      </w:r>
      <w:r w:rsidRPr="00F930C9">
        <w:t xml:space="preserve"> to </w:t>
      </w:r>
      <w:r w:rsidR="00803C4F">
        <w:t>examine</w:t>
      </w:r>
      <w:r w:rsidR="00803C4F" w:rsidRPr="00F930C9">
        <w:t xml:space="preserve"> </w:t>
      </w:r>
      <w:r w:rsidR="00F930C9">
        <w:t>whether</w:t>
      </w:r>
      <w:r w:rsidR="007E4D5F" w:rsidRPr="00F930C9">
        <w:t xml:space="preserve"> the current</w:t>
      </w:r>
      <w:r w:rsidR="004B422F" w:rsidRPr="00F930C9">
        <w:t xml:space="preserve"> CDR</w:t>
      </w:r>
      <w:r w:rsidR="007E4D5F" w:rsidRPr="00F930C9">
        <w:t xml:space="preserve"> </w:t>
      </w:r>
      <w:r w:rsidR="00F67E3B">
        <w:t>regulatory</w:t>
      </w:r>
      <w:r w:rsidR="00F67E3B" w:rsidRPr="00F930C9">
        <w:t xml:space="preserve"> </w:t>
      </w:r>
      <w:r w:rsidR="007E4D5F" w:rsidRPr="00F930C9">
        <w:t xml:space="preserve">settings </w:t>
      </w:r>
      <w:r w:rsidR="00520298">
        <w:t>remain</w:t>
      </w:r>
      <w:r w:rsidR="00520298" w:rsidRPr="00F930C9">
        <w:t xml:space="preserve"> </w:t>
      </w:r>
      <w:r w:rsidR="000208B4" w:rsidRPr="00F930C9">
        <w:t xml:space="preserve">sufficient </w:t>
      </w:r>
      <w:r w:rsidR="00EA30A0" w:rsidRPr="00F930C9">
        <w:t xml:space="preserve">and appropriate </w:t>
      </w:r>
      <w:r w:rsidR="000208B4" w:rsidRPr="00F930C9">
        <w:t xml:space="preserve">to </w:t>
      </w:r>
      <w:r w:rsidR="007E4D5F" w:rsidRPr="00F930C9">
        <w:t>enable</w:t>
      </w:r>
      <w:r w:rsidR="004C30A8" w:rsidRPr="00F930C9">
        <w:t xml:space="preserve"> new </w:t>
      </w:r>
      <w:r w:rsidR="007E4D5F" w:rsidRPr="00F930C9">
        <w:t>CDR-powered products and services</w:t>
      </w:r>
      <w:r w:rsidR="000208B4" w:rsidRPr="00F930C9">
        <w:t xml:space="preserve"> </w:t>
      </w:r>
      <w:r w:rsidR="00F930C9">
        <w:t xml:space="preserve">that benefit consumers. </w:t>
      </w:r>
      <w:r w:rsidR="00520298">
        <w:t xml:space="preserve">The </w:t>
      </w:r>
      <w:r w:rsidR="00D05FC8">
        <w:t>R</w:t>
      </w:r>
      <w:r w:rsidR="00520298">
        <w:t>eview will consider</w:t>
      </w:r>
      <w:r w:rsidR="00F930C9">
        <w:t xml:space="preserve"> </w:t>
      </w:r>
      <w:r w:rsidR="00F67E3B">
        <w:t>whether</w:t>
      </w:r>
      <w:r w:rsidR="00161215">
        <w:t xml:space="preserve"> businesses</w:t>
      </w:r>
      <w:r w:rsidR="00F67E3B">
        <w:t xml:space="preserve"> are appropriately incentivised to develop these products</w:t>
      </w:r>
      <w:r w:rsidR="00560C1E">
        <w:t xml:space="preserve">, </w:t>
      </w:r>
      <w:r w:rsidR="00F67E3B">
        <w:t xml:space="preserve">whether </w:t>
      </w:r>
      <w:r w:rsidR="00560C1E">
        <w:t>these products</w:t>
      </w:r>
      <w:r w:rsidR="00F67E3B">
        <w:t xml:space="preserve"> meet consumers expectations</w:t>
      </w:r>
      <w:r w:rsidR="00DB2BC8">
        <w:t>, and how the</w:t>
      </w:r>
      <w:r w:rsidR="00F67E3B" w:rsidRPr="00F930C9">
        <w:t xml:space="preserve"> </w:t>
      </w:r>
      <w:r w:rsidR="004B422F" w:rsidRPr="00F930C9">
        <w:t xml:space="preserve">CDR legislation balances the objective of enabling innovation with </w:t>
      </w:r>
      <w:r w:rsidR="000208B4" w:rsidRPr="00F930C9">
        <w:t xml:space="preserve">the CDR’s </w:t>
      </w:r>
      <w:r w:rsidR="00C050E0" w:rsidRPr="00F930C9">
        <w:t xml:space="preserve">privacy </w:t>
      </w:r>
      <w:r w:rsidRPr="00F930C9">
        <w:t xml:space="preserve">thresholds </w:t>
      </w:r>
      <w:r w:rsidR="00C050E0" w:rsidRPr="00F930C9">
        <w:t>and security settings</w:t>
      </w:r>
      <w:r w:rsidR="00DE74E3">
        <w:t xml:space="preserve">. It also seeks views on </w:t>
      </w:r>
      <w:r w:rsidR="007867FC" w:rsidRPr="00F930C9">
        <w:t>any potential barriers</w:t>
      </w:r>
      <w:r w:rsidRPr="00F930C9">
        <w:t xml:space="preserve"> to innovation</w:t>
      </w:r>
      <w:r w:rsidR="00F930C9">
        <w:t xml:space="preserve"> and</w:t>
      </w:r>
      <w:r w:rsidRPr="00FA72FD">
        <w:t xml:space="preserve"> competition</w:t>
      </w:r>
      <w:r w:rsidR="000208B4" w:rsidRPr="00F930C9">
        <w:t>.</w:t>
      </w:r>
      <w:r w:rsidR="00DD13B4" w:rsidRPr="00F930C9">
        <w:t xml:space="preserve"> </w:t>
      </w:r>
    </w:p>
    <w:p w14:paraId="4ECF30E3" w14:textId="7CE2A144" w:rsidR="009D3B16" w:rsidRPr="005268F2" w:rsidRDefault="009D3B16" w:rsidP="00206C74">
      <w:r w:rsidRPr="005268F2">
        <w:t xml:space="preserve">Further information about the CDR Privacy Safeguards is included at </w:t>
      </w:r>
      <w:r w:rsidRPr="003946CC">
        <w:rPr>
          <w:b/>
          <w:bCs/>
        </w:rPr>
        <w:t>Attachment A</w:t>
      </w:r>
      <w:r w:rsidRPr="005268F2">
        <w:t>.</w:t>
      </w:r>
    </w:p>
    <w:tbl>
      <w:tblPr>
        <w:tblStyle w:val="TableGrid"/>
        <w:tblW w:w="0" w:type="auto"/>
        <w:tblLook w:val="04A0" w:firstRow="1" w:lastRow="0" w:firstColumn="1" w:lastColumn="0" w:noHBand="0" w:noVBand="1"/>
      </w:tblPr>
      <w:tblGrid>
        <w:gridCol w:w="9060"/>
      </w:tblGrid>
      <w:tr w:rsidR="00FA2E58" w14:paraId="45400DC2" w14:textId="77777777" w:rsidTr="00936CCD">
        <w:tc>
          <w:tcPr>
            <w:tcW w:w="9070" w:type="dxa"/>
            <w:tcBorders>
              <w:top w:val="single" w:sz="4" w:space="0" w:color="auto"/>
              <w:left w:val="single" w:sz="4" w:space="0" w:color="auto"/>
              <w:bottom w:val="single" w:sz="4" w:space="0" w:color="auto"/>
              <w:right w:val="single" w:sz="4" w:space="0" w:color="auto"/>
            </w:tcBorders>
            <w:shd w:val="clear" w:color="auto" w:fill="D5E1F1" w:themeFill="accent2" w:themeFillTint="33"/>
          </w:tcPr>
          <w:p w14:paraId="4FBA901C" w14:textId="77777777" w:rsidR="00FA2E58" w:rsidRDefault="00FA2E58" w:rsidP="00FA2E58">
            <w:pPr>
              <w:rPr>
                <w:i/>
                <w:iCs/>
              </w:rPr>
            </w:pPr>
            <w:r>
              <w:rPr>
                <w:i/>
                <w:iCs/>
              </w:rPr>
              <w:t>Question Three</w:t>
            </w:r>
          </w:p>
          <w:p w14:paraId="67EB343E" w14:textId="3BAA47F5" w:rsidR="00FA2E58" w:rsidRDefault="00FA2E58" w:rsidP="00936CCD">
            <w:r>
              <w:t xml:space="preserve">Does the current operation of the legislative settings enable the development of CDR-powered products and services to benefit consumers? </w:t>
            </w:r>
          </w:p>
        </w:tc>
      </w:tr>
    </w:tbl>
    <w:p w14:paraId="7CFEB819" w14:textId="34783D91" w:rsidR="0098142E" w:rsidRPr="005513D4" w:rsidRDefault="00453861" w:rsidP="0098142E">
      <w:pPr>
        <w:pStyle w:val="Heading2"/>
        <w:rPr>
          <w:color w:val="002760"/>
        </w:rPr>
      </w:pPr>
      <w:bookmarkStart w:id="71" w:name="_Toc97565336"/>
      <w:bookmarkStart w:id="72" w:name="_Toc98248292"/>
      <w:bookmarkStart w:id="73" w:name="_Toc98248380"/>
      <w:bookmarkStart w:id="74" w:name="_Toc98258015"/>
      <w:r w:rsidRPr="005513D4">
        <w:rPr>
          <w:color w:val="002760"/>
        </w:rPr>
        <w:lastRenderedPageBreak/>
        <w:t>Direct to consumer data sharing</w:t>
      </w:r>
      <w:bookmarkEnd w:id="71"/>
      <w:bookmarkEnd w:id="72"/>
      <w:bookmarkEnd w:id="73"/>
      <w:bookmarkEnd w:id="74"/>
    </w:p>
    <w:p w14:paraId="4E8FC53D" w14:textId="1AB4CA4A" w:rsidR="00370F97" w:rsidRPr="00FA72FD" w:rsidRDefault="004A2ECF">
      <w:r>
        <w:t>A</w:t>
      </w:r>
      <w:r w:rsidRPr="00FA72FD">
        <w:t xml:space="preserve"> </w:t>
      </w:r>
      <w:r w:rsidR="0032306F" w:rsidRPr="00FA72FD">
        <w:t xml:space="preserve">core intent of CDR is to give consumers greater access to and control over their </w:t>
      </w:r>
      <w:r w:rsidR="0032306F" w:rsidRPr="000A018B">
        <w:t xml:space="preserve">data, in a safe, secure, and efficient </w:t>
      </w:r>
      <w:r w:rsidR="00F41944" w:rsidRPr="000A018B">
        <w:t xml:space="preserve">way. </w:t>
      </w:r>
      <w:r w:rsidR="00FA72FD" w:rsidRPr="00EF05DF">
        <w:t xml:space="preserve">Part IVD of the Act </w:t>
      </w:r>
      <w:r w:rsidR="00D35827">
        <w:t>empowers</w:t>
      </w:r>
      <w:r w:rsidR="00F32BE3" w:rsidRPr="000A018B">
        <w:t xml:space="preserve"> the Minister to make rules requiring data holders to share</w:t>
      </w:r>
      <w:r w:rsidR="003A3014" w:rsidRPr="000A018B">
        <w:t xml:space="preserve"> relevant</w:t>
      </w:r>
      <w:r w:rsidR="00F32BE3" w:rsidRPr="000A018B">
        <w:t xml:space="preserve"> CDR data directly with consumers.</w:t>
      </w:r>
      <w:r w:rsidR="003A3014" w:rsidRPr="00FA72FD">
        <w:rPr>
          <w:rStyle w:val="FootnoteReference"/>
        </w:rPr>
        <w:footnoteReference w:id="13"/>
      </w:r>
    </w:p>
    <w:p w14:paraId="4F7A71B7" w14:textId="55DF8B85" w:rsidR="00D35827" w:rsidRDefault="003A3014" w:rsidP="00206C74">
      <w:r w:rsidRPr="00FA72FD">
        <w:t xml:space="preserve">The CDR Rules </w:t>
      </w:r>
      <w:r w:rsidR="00FA72FD" w:rsidRPr="00EF05DF">
        <w:t>currently specify</w:t>
      </w:r>
      <w:r w:rsidRPr="00FA72FD">
        <w:t xml:space="preserve"> that data shared directly with consumers must be provided in </w:t>
      </w:r>
      <w:r w:rsidRPr="00EF05DF">
        <w:t>human-readable</w:t>
      </w:r>
      <w:r w:rsidRPr="00FA72FD">
        <w:t xml:space="preserve"> form</w:t>
      </w:r>
      <w:r w:rsidR="00D35827">
        <w:t>.</w:t>
      </w:r>
      <w:r w:rsidR="00217A3C">
        <w:t xml:space="preserve"> I</w:t>
      </w:r>
      <w:r w:rsidR="00D35827">
        <w:t xml:space="preserve">t is possible </w:t>
      </w:r>
      <w:r w:rsidR="00217A3C">
        <w:t>to extend the CDR R</w:t>
      </w:r>
      <w:r w:rsidR="00D35827">
        <w:t xml:space="preserve">ules </w:t>
      </w:r>
      <w:r w:rsidR="00217A3C">
        <w:t>to support the sharing of consumer data in m</w:t>
      </w:r>
      <w:r w:rsidR="00D35827">
        <w:t>achine readable form</w:t>
      </w:r>
      <w:r w:rsidR="00853BF6">
        <w:t>. Providing data directly to consumers machine</w:t>
      </w:r>
      <w:r w:rsidR="00532E49">
        <w:t>-</w:t>
      </w:r>
      <w:r w:rsidR="00853BF6">
        <w:t xml:space="preserve">readable form </w:t>
      </w:r>
      <w:r w:rsidR="001C78FF">
        <w:t>raises question</w:t>
      </w:r>
      <w:r w:rsidR="005650B0">
        <w:t>s</w:t>
      </w:r>
      <w:r w:rsidR="000A647C">
        <w:t xml:space="preserve"> for the Review </w:t>
      </w:r>
      <w:r w:rsidR="005650B0">
        <w:t>about the core policy outcomes and success measures for the CDR, including the balance between consumer protection and empower</w:t>
      </w:r>
      <w:r w:rsidR="00D35DEC">
        <w:t>ment</w:t>
      </w:r>
      <w:r w:rsidR="005650B0">
        <w:t xml:space="preserve"> objectives. </w:t>
      </w:r>
    </w:p>
    <w:p w14:paraId="1A1EF482" w14:textId="68A9504E" w:rsidR="00D35827" w:rsidRPr="00055573" w:rsidRDefault="00390542" w:rsidP="00206C74">
      <w:pPr>
        <w:rPr>
          <w:rFonts w:asciiTheme="minorHAnsi" w:hAnsiTheme="minorHAnsi" w:cstheme="minorHAnsi"/>
        </w:rPr>
      </w:pPr>
      <w:r w:rsidRPr="000A018B">
        <w:rPr>
          <w:rFonts w:asciiTheme="minorHAnsi" w:hAnsiTheme="minorHAnsi" w:cstheme="minorHAnsi"/>
        </w:rPr>
        <w:t xml:space="preserve">This review </w:t>
      </w:r>
      <w:r w:rsidR="00FA72FD">
        <w:rPr>
          <w:rFonts w:asciiTheme="minorHAnsi" w:hAnsiTheme="minorHAnsi" w:cstheme="minorHAnsi"/>
        </w:rPr>
        <w:t xml:space="preserve">is seeking input on whether Part IVD of the Act should be revised with respect to </w:t>
      </w:r>
      <w:r w:rsidRPr="000A018B">
        <w:rPr>
          <w:rFonts w:asciiTheme="minorHAnsi" w:hAnsiTheme="minorHAnsi" w:cstheme="minorHAnsi"/>
        </w:rPr>
        <w:t>direct</w:t>
      </w:r>
      <w:r w:rsidR="00F46D23">
        <w:rPr>
          <w:rFonts w:asciiTheme="minorHAnsi" w:hAnsiTheme="minorHAnsi" w:cstheme="minorHAnsi"/>
        </w:rPr>
        <w:t>-</w:t>
      </w:r>
      <w:r w:rsidRPr="000A018B">
        <w:rPr>
          <w:rFonts w:asciiTheme="minorHAnsi" w:hAnsiTheme="minorHAnsi" w:cstheme="minorHAnsi"/>
        </w:rPr>
        <w:t>to</w:t>
      </w:r>
      <w:r w:rsidR="00F46D23">
        <w:rPr>
          <w:rFonts w:asciiTheme="minorHAnsi" w:hAnsiTheme="minorHAnsi" w:cstheme="minorHAnsi"/>
        </w:rPr>
        <w:t>-</w:t>
      </w:r>
      <w:r w:rsidRPr="000A018B">
        <w:rPr>
          <w:rFonts w:asciiTheme="minorHAnsi" w:hAnsiTheme="minorHAnsi" w:cstheme="minorHAnsi"/>
        </w:rPr>
        <w:t>consumer data sharing</w:t>
      </w:r>
      <w:r w:rsidR="00FA72FD">
        <w:rPr>
          <w:rFonts w:asciiTheme="minorHAnsi" w:hAnsiTheme="minorHAnsi" w:cstheme="minorHAnsi"/>
        </w:rPr>
        <w:t>. Relevant considerations might include whether direct to consumer sharing should occur in human or machine-readable formats</w:t>
      </w:r>
      <w:r w:rsidRPr="00FA72FD">
        <w:rPr>
          <w:rFonts w:asciiTheme="minorHAnsi" w:hAnsiTheme="minorHAnsi" w:cstheme="minorHAnsi"/>
        </w:rPr>
        <w:t>,</w:t>
      </w:r>
      <w:r w:rsidRPr="000A018B">
        <w:rPr>
          <w:rFonts w:asciiTheme="minorHAnsi" w:hAnsiTheme="minorHAnsi" w:cstheme="minorHAnsi"/>
        </w:rPr>
        <w:t xml:space="preserve"> </w:t>
      </w:r>
      <w:r w:rsidR="00FA72FD">
        <w:rPr>
          <w:rFonts w:asciiTheme="minorHAnsi" w:hAnsiTheme="minorHAnsi" w:cstheme="minorHAnsi"/>
        </w:rPr>
        <w:t xml:space="preserve">how to balance </w:t>
      </w:r>
      <w:r w:rsidR="00863313">
        <w:rPr>
          <w:rFonts w:asciiTheme="minorHAnsi" w:hAnsiTheme="minorHAnsi" w:cstheme="minorHAnsi"/>
        </w:rPr>
        <w:t xml:space="preserve">consumer </w:t>
      </w:r>
      <w:r w:rsidR="00FA72FD">
        <w:rPr>
          <w:rFonts w:asciiTheme="minorHAnsi" w:hAnsiTheme="minorHAnsi" w:cstheme="minorHAnsi"/>
        </w:rPr>
        <w:t>access with</w:t>
      </w:r>
      <w:r w:rsidR="003F1497">
        <w:rPr>
          <w:rFonts w:asciiTheme="minorHAnsi" w:hAnsiTheme="minorHAnsi" w:cstheme="minorHAnsi"/>
        </w:rPr>
        <w:t xml:space="preserve"> innovation and</w:t>
      </w:r>
      <w:r w:rsidRPr="00FA72FD">
        <w:rPr>
          <w:rFonts w:asciiTheme="minorHAnsi" w:hAnsiTheme="minorHAnsi" w:cstheme="minorHAnsi"/>
        </w:rPr>
        <w:t xml:space="preserve"> security</w:t>
      </w:r>
      <w:r w:rsidR="003F1497">
        <w:rPr>
          <w:rFonts w:asciiTheme="minorHAnsi" w:hAnsiTheme="minorHAnsi" w:cstheme="minorHAnsi"/>
        </w:rPr>
        <w:t>/</w:t>
      </w:r>
      <w:r w:rsidRPr="00FA72FD">
        <w:rPr>
          <w:rFonts w:asciiTheme="minorHAnsi" w:hAnsiTheme="minorHAnsi" w:cstheme="minorHAnsi"/>
        </w:rPr>
        <w:t xml:space="preserve">privacy risks, </w:t>
      </w:r>
      <w:r w:rsidR="00FA72FD">
        <w:rPr>
          <w:rFonts w:asciiTheme="minorHAnsi" w:hAnsiTheme="minorHAnsi" w:cstheme="minorHAnsi"/>
        </w:rPr>
        <w:t>how to minimise the burden</w:t>
      </w:r>
      <w:r w:rsidRPr="00FA72FD">
        <w:rPr>
          <w:rFonts w:asciiTheme="minorHAnsi" w:hAnsiTheme="minorHAnsi" w:cstheme="minorHAnsi"/>
        </w:rPr>
        <w:t xml:space="preserve"> data holders</w:t>
      </w:r>
      <w:r w:rsidR="00FA72FD">
        <w:rPr>
          <w:rFonts w:asciiTheme="minorHAnsi" w:hAnsiTheme="minorHAnsi" w:cstheme="minorHAnsi"/>
        </w:rPr>
        <w:t>, and how direct to consume</w:t>
      </w:r>
      <w:r w:rsidR="00863313">
        <w:rPr>
          <w:rFonts w:asciiTheme="minorHAnsi" w:hAnsiTheme="minorHAnsi" w:cstheme="minorHAnsi"/>
        </w:rPr>
        <w:t>r</w:t>
      </w:r>
      <w:r w:rsidR="00FA72FD">
        <w:rPr>
          <w:rFonts w:asciiTheme="minorHAnsi" w:hAnsiTheme="minorHAnsi" w:cstheme="minorHAnsi"/>
        </w:rPr>
        <w:t xml:space="preserve"> </w:t>
      </w:r>
      <w:r w:rsidR="008E16FF">
        <w:rPr>
          <w:rFonts w:asciiTheme="minorHAnsi" w:hAnsiTheme="minorHAnsi" w:cstheme="minorHAnsi"/>
        </w:rPr>
        <w:t>sharing</w:t>
      </w:r>
      <w:r w:rsidR="00FA72FD">
        <w:rPr>
          <w:rFonts w:asciiTheme="minorHAnsi" w:hAnsiTheme="minorHAnsi" w:cstheme="minorHAnsi"/>
        </w:rPr>
        <w:t xml:space="preserve"> could </w:t>
      </w:r>
      <w:r w:rsidRPr="00FA72FD">
        <w:rPr>
          <w:rFonts w:asciiTheme="minorHAnsi" w:hAnsiTheme="minorHAnsi" w:cstheme="minorHAnsi"/>
        </w:rPr>
        <w:t>p</w:t>
      </w:r>
      <w:r w:rsidRPr="000A018B">
        <w:rPr>
          <w:rFonts w:asciiTheme="minorHAnsi" w:hAnsiTheme="minorHAnsi" w:cstheme="minorHAnsi"/>
        </w:rPr>
        <w:t xml:space="preserve">otentially </w:t>
      </w:r>
      <w:r w:rsidR="008E16FF">
        <w:rPr>
          <w:rFonts w:asciiTheme="minorHAnsi" w:hAnsiTheme="minorHAnsi" w:cstheme="minorHAnsi"/>
        </w:rPr>
        <w:t>enab</w:t>
      </w:r>
      <w:r w:rsidR="00863313">
        <w:rPr>
          <w:rFonts w:asciiTheme="minorHAnsi" w:hAnsiTheme="minorHAnsi" w:cstheme="minorHAnsi"/>
        </w:rPr>
        <w:t>le</w:t>
      </w:r>
      <w:r w:rsidR="008E16FF">
        <w:rPr>
          <w:rFonts w:asciiTheme="minorHAnsi" w:hAnsiTheme="minorHAnsi" w:cstheme="minorHAnsi"/>
        </w:rPr>
        <w:t xml:space="preserve"> sensitive data to be shared outside the system</w:t>
      </w:r>
      <w:r w:rsidRPr="000A018B">
        <w:rPr>
          <w:rFonts w:asciiTheme="minorHAnsi" w:hAnsiTheme="minorHAnsi" w:cstheme="minorHAnsi"/>
        </w:rPr>
        <w:t>.</w:t>
      </w:r>
      <w:r w:rsidR="008A5DA0" w:rsidRPr="000A018B">
        <w:rPr>
          <w:rFonts w:asciiTheme="minorHAnsi" w:hAnsiTheme="minorHAnsi" w:cstheme="minorHAnsi"/>
        </w:rPr>
        <w:t xml:space="preserve"> Consideration should be given to what opportunities and risks this poses to the consumer, businesses</w:t>
      </w:r>
      <w:r w:rsidR="008A5DA0">
        <w:rPr>
          <w:rFonts w:asciiTheme="minorHAnsi" w:hAnsiTheme="minorHAnsi" w:cstheme="minorHAnsi"/>
        </w:rPr>
        <w:t>, data holders and ADRs.</w:t>
      </w:r>
      <w:r w:rsidR="003F1497">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9060"/>
      </w:tblGrid>
      <w:tr w:rsidR="003E03FE" w14:paraId="46C371D1" w14:textId="77777777" w:rsidTr="004D78B8">
        <w:tc>
          <w:tcPr>
            <w:tcW w:w="9070" w:type="dxa"/>
            <w:tcBorders>
              <w:top w:val="single" w:sz="4" w:space="0" w:color="auto"/>
              <w:left w:val="single" w:sz="4" w:space="0" w:color="auto"/>
              <w:bottom w:val="single" w:sz="4" w:space="0" w:color="auto"/>
              <w:right w:val="single" w:sz="4" w:space="0" w:color="auto"/>
            </w:tcBorders>
            <w:shd w:val="clear" w:color="auto" w:fill="D5E1F1" w:themeFill="accent2" w:themeFillTint="33"/>
          </w:tcPr>
          <w:p w14:paraId="1F40348A" w14:textId="77777777" w:rsidR="003E03FE" w:rsidRDefault="003E03FE" w:rsidP="003E03FE">
            <w:pPr>
              <w:rPr>
                <w:i/>
                <w:iCs/>
              </w:rPr>
            </w:pPr>
            <w:r>
              <w:rPr>
                <w:i/>
                <w:iCs/>
              </w:rPr>
              <w:t>Question Four</w:t>
            </w:r>
          </w:p>
          <w:p w14:paraId="0C8E363D" w14:textId="54DDE2FB" w:rsidR="003E03FE" w:rsidRDefault="003E03FE" w:rsidP="004D78B8">
            <w:r>
              <w:t xml:space="preserve">Could the CDR legislative framework be revised to facilitate direct to consumer data sharing opportunities and address potential risks? </w:t>
            </w:r>
          </w:p>
        </w:tc>
      </w:tr>
    </w:tbl>
    <w:p w14:paraId="6F197AEB" w14:textId="74E3E3ED" w:rsidR="0098142E" w:rsidRPr="005513D4" w:rsidRDefault="0098142E" w:rsidP="0098142E">
      <w:pPr>
        <w:pStyle w:val="Heading2"/>
        <w:rPr>
          <w:iCs w:val="0"/>
          <w:color w:val="002760"/>
        </w:rPr>
      </w:pPr>
      <w:bookmarkStart w:id="75" w:name="_Toc97565337"/>
      <w:bookmarkStart w:id="76" w:name="_Toc98248293"/>
      <w:bookmarkStart w:id="77" w:name="_Toc98248381"/>
      <w:bookmarkStart w:id="78" w:name="_Toc98258016"/>
      <w:r w:rsidRPr="005513D4">
        <w:rPr>
          <w:iCs w:val="0"/>
          <w:color w:val="002760"/>
        </w:rPr>
        <w:t>Other potential changes</w:t>
      </w:r>
      <w:bookmarkEnd w:id="75"/>
      <w:bookmarkEnd w:id="76"/>
      <w:bookmarkEnd w:id="77"/>
      <w:bookmarkEnd w:id="78"/>
    </w:p>
    <w:p w14:paraId="4C98AC7A" w14:textId="7DA68885" w:rsidR="000240E0" w:rsidRDefault="00253B31" w:rsidP="00BA2B63">
      <w:r w:rsidRPr="00C50C2D">
        <w:t>T</w:t>
      </w:r>
      <w:r w:rsidR="00C442C2" w:rsidRPr="00C50C2D">
        <w:t xml:space="preserve">he </w:t>
      </w:r>
      <w:r w:rsidR="00C442C2" w:rsidRPr="00364C74">
        <w:rPr>
          <w:i/>
          <w:iCs/>
        </w:rPr>
        <w:t>Digital Economy Strategy</w:t>
      </w:r>
      <w:r w:rsidR="00C442C2" w:rsidRPr="00C50C2D">
        <w:t xml:space="preserve"> </w:t>
      </w:r>
      <w:r w:rsidR="00C1139C" w:rsidRPr="00C50C2D">
        <w:t>and</w:t>
      </w:r>
      <w:r w:rsidR="00BC4B91" w:rsidRPr="00364C74">
        <w:t xml:space="preserve"> supporting initiatives such as the </w:t>
      </w:r>
      <w:r w:rsidR="00BC4B91" w:rsidRPr="00364C74">
        <w:rPr>
          <w:i/>
          <w:iCs/>
        </w:rPr>
        <w:t>Australian Data Strategy</w:t>
      </w:r>
      <w:r w:rsidR="00BC4B91" w:rsidRPr="00364C74">
        <w:t xml:space="preserve">, </w:t>
      </w:r>
      <w:r w:rsidR="00BA2B63" w:rsidRPr="00364C74">
        <w:t xml:space="preserve">highlight the integral nature of the CDR to the Australian economy, </w:t>
      </w:r>
      <w:r w:rsidR="000C4EC5">
        <w:t>while</w:t>
      </w:r>
      <w:r w:rsidR="00BA2B63" w:rsidRPr="00364C74">
        <w:t xml:space="preserve"> </w:t>
      </w:r>
      <w:r w:rsidR="00C1139C" w:rsidRPr="00C50C2D">
        <w:t xml:space="preserve">the </w:t>
      </w:r>
      <w:r w:rsidR="001D299D">
        <w:t>G</w:t>
      </w:r>
      <w:r w:rsidR="001D299D" w:rsidRPr="00C50C2D">
        <w:t xml:space="preserve">overnment </w:t>
      </w:r>
      <w:r w:rsidR="000C4EC5">
        <w:t>r</w:t>
      </w:r>
      <w:r w:rsidR="00C1139C" w:rsidRPr="00C50C2D">
        <w:t xml:space="preserve">esponse to the </w:t>
      </w:r>
      <w:r w:rsidR="00C1139C" w:rsidRPr="000C4EC5">
        <w:rPr>
          <w:i/>
          <w:iCs/>
        </w:rPr>
        <w:t>Inquiry</w:t>
      </w:r>
      <w:r w:rsidR="000C4EC5" w:rsidRPr="000C4EC5">
        <w:rPr>
          <w:i/>
          <w:iCs/>
        </w:rPr>
        <w:t xml:space="preserve"> into the Future Directions of the Consumer Data Right</w:t>
      </w:r>
      <w:r w:rsidR="00C1139C" w:rsidRPr="00C50C2D">
        <w:t xml:space="preserve"> </w:t>
      </w:r>
      <w:r w:rsidR="003A2D61">
        <w:t xml:space="preserve">and other recent processes such as the </w:t>
      </w:r>
      <w:r w:rsidR="003A2D61" w:rsidRPr="003A2D61">
        <w:rPr>
          <w:i/>
          <w:iCs/>
        </w:rPr>
        <w:t>CDR Strategic Assessment</w:t>
      </w:r>
      <w:r w:rsidRPr="00C50C2D">
        <w:t xml:space="preserve"> </w:t>
      </w:r>
      <w:r w:rsidR="00C1139C" w:rsidRPr="00C50C2D">
        <w:t>provid</w:t>
      </w:r>
      <w:r w:rsidRPr="00C50C2D">
        <w:t>e</w:t>
      </w:r>
      <w:r w:rsidR="00BA2B63" w:rsidRPr="00364C74">
        <w:t xml:space="preserve"> </w:t>
      </w:r>
      <w:r w:rsidR="00C1139C" w:rsidRPr="00C50C2D">
        <w:t>clear guidepost</w:t>
      </w:r>
      <w:r w:rsidR="007B1B02">
        <w:t>s</w:t>
      </w:r>
      <w:r w:rsidR="00C1139C" w:rsidRPr="00C50C2D">
        <w:t xml:space="preserve"> </w:t>
      </w:r>
      <w:r w:rsidR="00BC4B91" w:rsidRPr="00364C74">
        <w:t xml:space="preserve">for </w:t>
      </w:r>
      <w:r w:rsidR="00C1139C" w:rsidRPr="00C50C2D">
        <w:t xml:space="preserve">the </w:t>
      </w:r>
      <w:r w:rsidR="000C4EC5">
        <w:t xml:space="preserve">potential </w:t>
      </w:r>
      <w:r w:rsidR="00C1139C" w:rsidRPr="00C50C2D">
        <w:t>future direction of the CDR</w:t>
      </w:r>
      <w:r w:rsidR="005650B0">
        <w:t xml:space="preserve"> and beyond as we transform our economy to a digital economy</w:t>
      </w:r>
      <w:r w:rsidRPr="00C50C2D">
        <w:t>.</w:t>
      </w:r>
      <w:r w:rsidR="000C4EC5">
        <w:t xml:space="preserve"> T</w:t>
      </w:r>
      <w:r w:rsidR="000A3219">
        <w:t xml:space="preserve">he digital and data landscape is constantly </w:t>
      </w:r>
      <w:r w:rsidR="003064A6">
        <w:t>moving,</w:t>
      </w:r>
      <w:r w:rsidR="000A3219">
        <w:t xml:space="preserve"> mak</w:t>
      </w:r>
      <w:r w:rsidR="002F0BEB">
        <w:t>ing</w:t>
      </w:r>
      <w:r w:rsidR="000A3219">
        <w:t xml:space="preserve"> it difficult to predict</w:t>
      </w:r>
      <w:r w:rsidR="002F0BEB">
        <w:t xml:space="preserve"> what the future might hold</w:t>
      </w:r>
      <w:r w:rsidR="000A3219">
        <w:t xml:space="preserve">. </w:t>
      </w:r>
      <w:r w:rsidR="008770AF">
        <w:t>T</w:t>
      </w:r>
      <w:r w:rsidR="000C4EC5">
        <w:t xml:space="preserve">o remain faithful to its original intent of providing benefit to Australian consumers, the CDR </w:t>
      </w:r>
      <w:r w:rsidR="008D06D9">
        <w:t xml:space="preserve">will need to have the flexibility </w:t>
      </w:r>
      <w:r w:rsidR="00E43077">
        <w:t>and adaptab</w:t>
      </w:r>
      <w:r w:rsidR="008D06D9">
        <w:t>ility</w:t>
      </w:r>
      <w:r w:rsidR="00E43077">
        <w:t xml:space="preserve"> </w:t>
      </w:r>
      <w:r w:rsidR="00C90DED">
        <w:t>to</w:t>
      </w:r>
      <w:r w:rsidR="00C90DED" w:rsidRPr="00C90DED">
        <w:t xml:space="preserve"> harness opportunities and manage the risks of </w:t>
      </w:r>
      <w:r w:rsidR="008D06D9">
        <w:t>a</w:t>
      </w:r>
      <w:r w:rsidR="003A2D61">
        <w:t>n evolving</w:t>
      </w:r>
      <w:r w:rsidR="00C90DED" w:rsidRPr="00C90DED">
        <w:t xml:space="preserve"> data economy</w:t>
      </w:r>
      <w:r w:rsidR="00C90DED">
        <w:t>.</w:t>
      </w:r>
    </w:p>
    <w:p w14:paraId="621DF305" w14:textId="51B86130" w:rsidR="003B789B" w:rsidRDefault="008E16FF" w:rsidP="00E63B53">
      <w:r w:rsidRPr="00EF05DF">
        <w:t xml:space="preserve">The </w:t>
      </w:r>
      <w:r w:rsidR="008D06D9">
        <w:t>R</w:t>
      </w:r>
      <w:r w:rsidR="001638F0" w:rsidRPr="00A46A87">
        <w:t xml:space="preserve">eview </w:t>
      </w:r>
      <w:r w:rsidR="008D06D9">
        <w:t>also</w:t>
      </w:r>
      <w:r w:rsidR="001638F0" w:rsidRPr="00A46A87">
        <w:t xml:space="preserve"> seek</w:t>
      </w:r>
      <w:r w:rsidR="008D06D9">
        <w:t>s</w:t>
      </w:r>
      <w:r w:rsidR="001638F0" w:rsidRPr="00A46A87">
        <w:t xml:space="preserve"> submissions to </w:t>
      </w:r>
      <w:r w:rsidR="002D27F2" w:rsidRPr="00A46A87">
        <w:t xml:space="preserve">explore </w:t>
      </w:r>
      <w:r w:rsidR="008D06D9">
        <w:t>whether</w:t>
      </w:r>
      <w:r w:rsidR="00887E68" w:rsidRPr="00A46A87">
        <w:t xml:space="preserve"> </w:t>
      </w:r>
      <w:r w:rsidR="008E708E" w:rsidRPr="00EF05DF">
        <w:t xml:space="preserve">further </w:t>
      </w:r>
      <w:r w:rsidR="00887E68" w:rsidRPr="00A46A87">
        <w:t>changes</w:t>
      </w:r>
      <w:r w:rsidRPr="00EF05DF">
        <w:t xml:space="preserve"> to Part IVD of the Act</w:t>
      </w:r>
      <w:r w:rsidR="00887E68" w:rsidRPr="00A46A87">
        <w:t xml:space="preserve"> are required </w:t>
      </w:r>
      <w:r w:rsidR="00B34C11" w:rsidRPr="00A46A87">
        <w:t xml:space="preserve">to </w:t>
      </w:r>
      <w:r w:rsidR="00A46A87">
        <w:t>ensure the</w:t>
      </w:r>
      <w:r w:rsidR="001A1FCC">
        <w:t xml:space="preserve"> CDR </w:t>
      </w:r>
      <w:r w:rsidR="00A46A87">
        <w:t xml:space="preserve">is </w:t>
      </w:r>
      <w:r w:rsidR="00D275C8">
        <w:t xml:space="preserve">flexible </w:t>
      </w:r>
      <w:r w:rsidR="00A66814">
        <w:t>and forward facing</w:t>
      </w:r>
      <w:r w:rsidR="00A46A87">
        <w:t xml:space="preserve"> to </w:t>
      </w:r>
      <w:r w:rsidR="001A1FCC">
        <w:t xml:space="preserve">harness </w:t>
      </w:r>
      <w:r w:rsidR="00A66814">
        <w:t>potential</w:t>
      </w:r>
      <w:r w:rsidR="001104D3">
        <w:t xml:space="preserve"> </w:t>
      </w:r>
      <w:r w:rsidR="00B34C11" w:rsidRPr="00A46A87">
        <w:t>opportunities</w:t>
      </w:r>
      <w:r w:rsidR="00A46A87">
        <w:t xml:space="preserve">, </w:t>
      </w:r>
      <w:r w:rsidR="00B34C11" w:rsidRPr="00A46A87">
        <w:t>address risks, or remove barrier</w:t>
      </w:r>
      <w:r w:rsidR="00A46A87">
        <w:t xml:space="preserve">s </w:t>
      </w:r>
      <w:r w:rsidR="00B34C11" w:rsidRPr="00A46A87">
        <w:t xml:space="preserve">to achieve </w:t>
      </w:r>
      <w:r w:rsidR="00A3234A" w:rsidRPr="00A46A87">
        <w:t xml:space="preserve">its </w:t>
      </w:r>
      <w:r w:rsidR="00B34C11" w:rsidRPr="00A46A87">
        <w:t>policy aims</w:t>
      </w:r>
      <w:r w:rsidR="001A1FCC">
        <w:t xml:space="preserve"> </w:t>
      </w:r>
      <w:r w:rsidR="00B34C11" w:rsidRPr="00A46A87">
        <w:t xml:space="preserve">and delivery of </w:t>
      </w:r>
      <w:r w:rsidR="00E63B53" w:rsidRPr="00A46A87">
        <w:t>its</w:t>
      </w:r>
      <w:r w:rsidR="00B34C11" w:rsidRPr="00A46A87">
        <w:t xml:space="preserve"> functions.</w:t>
      </w:r>
      <w:r w:rsidR="00F17AB3" w:rsidRPr="00A46A87">
        <w:t xml:space="preserve"> </w:t>
      </w:r>
      <w:r w:rsidR="00A3234A" w:rsidRPr="00A46A87">
        <w:t xml:space="preserve">This includes taking into consideration any developments in related legislation, </w:t>
      </w:r>
      <w:r w:rsidR="000A018B" w:rsidRPr="00EF05DF">
        <w:t>economic</w:t>
      </w:r>
      <w:r w:rsidR="00A3234A" w:rsidRPr="00A46A87">
        <w:t xml:space="preserve"> </w:t>
      </w:r>
      <w:r w:rsidRPr="00EF05DF">
        <w:t xml:space="preserve">and </w:t>
      </w:r>
      <w:r w:rsidR="00A3234A" w:rsidRPr="00A46A87">
        <w:t>regulatory changes,</w:t>
      </w:r>
      <w:r w:rsidR="00FF313F">
        <w:t xml:space="preserve"> international developments</w:t>
      </w:r>
      <w:r w:rsidR="00A3234A" w:rsidRPr="00A46A87">
        <w:t xml:space="preserve"> </w:t>
      </w:r>
      <w:r w:rsidRPr="00A46A87">
        <w:t xml:space="preserve">and </w:t>
      </w:r>
      <w:r w:rsidR="000A018B" w:rsidRPr="00A46A87">
        <w:t>analysis of the operation of</w:t>
      </w:r>
      <w:r w:rsidRPr="00A46A87">
        <w:t xml:space="preserve"> Part IVD</w:t>
      </w:r>
      <w:r w:rsidR="000A018B" w:rsidRPr="00A46A87">
        <w:t xml:space="preserve"> to date</w:t>
      </w:r>
      <w:r w:rsidRPr="00A46A87">
        <w:t>.</w:t>
      </w:r>
    </w:p>
    <w:tbl>
      <w:tblPr>
        <w:tblStyle w:val="TableGrid"/>
        <w:tblW w:w="0" w:type="auto"/>
        <w:tblLook w:val="04A0" w:firstRow="1" w:lastRow="0" w:firstColumn="1" w:lastColumn="0" w:noHBand="0" w:noVBand="1"/>
      </w:tblPr>
      <w:tblGrid>
        <w:gridCol w:w="9060"/>
      </w:tblGrid>
      <w:tr w:rsidR="00FA2E58" w14:paraId="7FF2FDE1" w14:textId="77777777" w:rsidTr="00936CCD">
        <w:tc>
          <w:tcPr>
            <w:tcW w:w="9070" w:type="dxa"/>
            <w:tcBorders>
              <w:top w:val="single" w:sz="4" w:space="0" w:color="auto"/>
              <w:left w:val="single" w:sz="4" w:space="0" w:color="auto"/>
              <w:bottom w:val="single" w:sz="4" w:space="0" w:color="auto"/>
              <w:right w:val="single" w:sz="4" w:space="0" w:color="auto"/>
            </w:tcBorders>
            <w:shd w:val="clear" w:color="auto" w:fill="D5E1F1" w:themeFill="accent2" w:themeFillTint="33"/>
          </w:tcPr>
          <w:p w14:paraId="3BFB7A56" w14:textId="77777777" w:rsidR="00FA2E58" w:rsidRDefault="00FA2E58" w:rsidP="00FA2E58">
            <w:pPr>
              <w:rPr>
                <w:i/>
                <w:iCs/>
              </w:rPr>
            </w:pPr>
            <w:r>
              <w:rPr>
                <w:i/>
                <w:iCs/>
              </w:rPr>
              <w:t>Question Five</w:t>
            </w:r>
          </w:p>
          <w:p w14:paraId="4BF137B5" w14:textId="399101F8" w:rsidR="00FA2E58" w:rsidRDefault="00FA2E58" w:rsidP="00FA2E58">
            <w:r>
              <w:t>Are further legislative changes required to support the policy aims of CDR and the delivery of its functions?</w:t>
            </w:r>
          </w:p>
        </w:tc>
      </w:tr>
    </w:tbl>
    <w:p w14:paraId="0DC9737A" w14:textId="77777777" w:rsidR="00D64774" w:rsidRDefault="00D64774">
      <w:pPr>
        <w:spacing w:before="0" w:after="160" w:line="259" w:lineRule="auto"/>
      </w:pPr>
      <w:r>
        <w:br w:type="page"/>
      </w:r>
    </w:p>
    <w:p w14:paraId="07A3E3D9" w14:textId="3C4408E4" w:rsidR="00E63B53" w:rsidRPr="00D64774" w:rsidRDefault="00D64774" w:rsidP="00D64774">
      <w:pPr>
        <w:pStyle w:val="Heading2"/>
        <w:rPr>
          <w:iCs w:val="0"/>
          <w:color w:val="002760"/>
        </w:rPr>
      </w:pPr>
      <w:bookmarkStart w:id="79" w:name="_Toc98248382"/>
      <w:bookmarkStart w:id="80" w:name="_Toc98258017"/>
      <w:r w:rsidRPr="00D64774">
        <w:rPr>
          <w:iCs w:val="0"/>
          <w:color w:val="002760"/>
        </w:rPr>
        <w:lastRenderedPageBreak/>
        <w:t>Attachment A</w:t>
      </w:r>
      <w:bookmarkEnd w:id="79"/>
      <w:bookmarkEnd w:id="80"/>
    </w:p>
    <w:p w14:paraId="1915F1C4" w14:textId="79E8A4FF" w:rsidR="00D64774" w:rsidRDefault="00D64774"/>
    <w:p w14:paraId="0D547CBE" w14:textId="77777777" w:rsidR="00D64774" w:rsidRPr="00D64774" w:rsidRDefault="00D64774" w:rsidP="00D64774">
      <w:pPr>
        <w:spacing w:before="200" w:after="0"/>
        <w:rPr>
          <w:rFonts w:ascii="Trebuchet MS" w:eastAsia="Trebuchet MS" w:hAnsi="Trebuchet MS"/>
          <w:szCs w:val="22"/>
          <w:lang w:eastAsia="en-US"/>
        </w:rPr>
      </w:pPr>
      <w:r w:rsidRPr="00D64774">
        <w:rPr>
          <w:rFonts w:ascii="Trebuchet MS" w:eastAsia="Trebuchet MS" w:hAnsi="Trebuchet MS"/>
          <w:noProof/>
          <w:szCs w:val="22"/>
        </w:rPr>
        <w:drawing>
          <wp:inline distT="0" distB="0" distL="0" distR="0" wp14:anchorId="6922A812" wp14:editId="7196B592">
            <wp:extent cx="4227195" cy="835025"/>
            <wp:effectExtent l="0" t="0" r="1905" b="3175"/>
            <wp:docPr id="7" name="Picture 7" descr="GOV CDR RGB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 CDR RGB COLOU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227195" cy="835025"/>
                    </a:xfrm>
                    <a:prstGeom prst="rect">
                      <a:avLst/>
                    </a:prstGeom>
                    <a:noFill/>
                    <a:ln>
                      <a:noFill/>
                    </a:ln>
                  </pic:spPr>
                </pic:pic>
              </a:graphicData>
            </a:graphic>
          </wp:inline>
        </w:drawing>
      </w:r>
    </w:p>
    <w:p w14:paraId="7D42302E" w14:textId="77777777" w:rsidR="00D64774" w:rsidRPr="00D64774" w:rsidRDefault="00D64774" w:rsidP="00D64774">
      <w:pPr>
        <w:spacing w:before="200" w:after="0"/>
        <w:rPr>
          <w:rFonts w:ascii="Trebuchet MS" w:eastAsia="Trebuchet MS" w:hAnsi="Trebuchet MS"/>
          <w:szCs w:val="22"/>
          <w:lang w:eastAsia="en-US"/>
        </w:rPr>
      </w:pPr>
    </w:p>
    <w:p w14:paraId="6F3F4686" w14:textId="6BE47A71" w:rsidR="00D64774" w:rsidRPr="00D64774" w:rsidRDefault="00D64774" w:rsidP="00D64774">
      <w:pPr>
        <w:spacing w:after="0"/>
        <w:outlineLvl w:val="0"/>
        <w:rPr>
          <w:rFonts w:ascii="Trebuchet MS" w:hAnsi="Trebuchet MS"/>
          <w:b/>
          <w:bCs/>
          <w:color w:val="0D45D6"/>
          <w:sz w:val="32"/>
          <w:szCs w:val="28"/>
          <w:lang w:eastAsia="en-US"/>
        </w:rPr>
      </w:pPr>
      <w:r w:rsidRPr="00D64774">
        <w:rPr>
          <w:rFonts w:ascii="Trebuchet MS" w:hAnsi="Trebuchet MS"/>
          <w:b/>
          <w:bCs/>
          <w:color w:val="0D45D6"/>
          <w:sz w:val="32"/>
          <w:szCs w:val="28"/>
          <w:lang w:eastAsia="en-US"/>
        </w:rPr>
        <w:t xml:space="preserve">Consumer Data Right </w:t>
      </w:r>
      <w:r w:rsidR="000E6E5E">
        <w:rPr>
          <w:rFonts w:ascii="Trebuchet MS" w:hAnsi="Trebuchet MS"/>
          <w:b/>
          <w:bCs/>
          <w:color w:val="0D45D6"/>
          <w:sz w:val="32"/>
          <w:szCs w:val="28"/>
          <w:lang w:eastAsia="en-US"/>
        </w:rPr>
        <w:t>Framework</w:t>
      </w:r>
      <w:r w:rsidR="006B261A">
        <w:rPr>
          <w:rFonts w:ascii="Trebuchet MS" w:hAnsi="Trebuchet MS"/>
          <w:b/>
          <w:bCs/>
          <w:color w:val="0D45D6"/>
          <w:sz w:val="32"/>
          <w:szCs w:val="28"/>
          <w:lang w:eastAsia="en-US"/>
        </w:rPr>
        <w:t xml:space="preserve"> </w:t>
      </w:r>
      <w:r w:rsidR="005650B0">
        <w:rPr>
          <w:rFonts w:ascii="Trebuchet MS" w:hAnsi="Trebuchet MS"/>
          <w:b/>
          <w:bCs/>
          <w:color w:val="0D45D6"/>
          <w:sz w:val="32"/>
          <w:szCs w:val="28"/>
          <w:lang w:eastAsia="en-US"/>
        </w:rPr>
        <w:t>Overview</w:t>
      </w:r>
      <w:r w:rsidR="000E6E5E">
        <w:rPr>
          <w:rFonts w:ascii="Trebuchet MS" w:hAnsi="Trebuchet MS"/>
          <w:b/>
          <w:bCs/>
          <w:color w:val="0D45D6"/>
          <w:sz w:val="32"/>
          <w:szCs w:val="28"/>
          <w:lang w:eastAsia="en-US"/>
        </w:rPr>
        <w:br/>
      </w:r>
    </w:p>
    <w:tbl>
      <w:tblPr>
        <w:tblStyle w:val="ACCCTable1"/>
        <w:tblW w:w="0" w:type="auto"/>
        <w:tblLook w:val="04A0" w:firstRow="1" w:lastRow="0" w:firstColumn="1" w:lastColumn="0" w:noHBand="0" w:noVBand="1"/>
      </w:tblPr>
      <w:tblGrid>
        <w:gridCol w:w="8647"/>
      </w:tblGrid>
      <w:tr w:rsidR="00D64774" w:rsidRPr="00D64774" w14:paraId="13096FB8" w14:textId="77777777" w:rsidTr="005F62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7" w:type="dxa"/>
            <w:tcBorders>
              <w:top w:val="nil"/>
              <w:bottom w:val="nil"/>
            </w:tcBorders>
            <w:shd w:val="clear" w:color="auto" w:fill="0D45D6"/>
          </w:tcPr>
          <w:p w14:paraId="3BA0632C" w14:textId="77777777" w:rsidR="00D64774" w:rsidRPr="00D64774" w:rsidRDefault="00D64774" w:rsidP="00D64774">
            <w:pPr>
              <w:spacing w:before="240"/>
              <w:outlineLvl w:val="3"/>
              <w:rPr>
                <w:rFonts w:ascii="Trebuchet MS" w:hAnsi="Trebuchet MS"/>
                <w:bCs/>
                <w:i/>
                <w:iCs/>
                <w:color w:val="002760"/>
                <w:sz w:val="24"/>
                <w:szCs w:val="22"/>
                <w:lang w:eastAsia="en-US"/>
              </w:rPr>
            </w:pPr>
            <w:r w:rsidRPr="00D64774">
              <w:rPr>
                <w:rFonts w:ascii="Trebuchet MS" w:hAnsi="Trebuchet MS"/>
                <w:bCs/>
                <w:i/>
                <w:iCs/>
                <w:color w:val="FFFFFF"/>
                <w:sz w:val="24"/>
                <w:szCs w:val="22"/>
                <w:lang w:eastAsia="en-US"/>
              </w:rPr>
              <w:t xml:space="preserve">What is the Consumer Data Right? </w:t>
            </w:r>
          </w:p>
        </w:tc>
      </w:tr>
      <w:tr w:rsidR="00D64774" w:rsidRPr="00D64774" w14:paraId="05D1E003" w14:textId="77777777" w:rsidTr="005F62B3">
        <w:tc>
          <w:tcPr>
            <w:cnfStyle w:val="001000000000" w:firstRow="0" w:lastRow="0" w:firstColumn="1" w:lastColumn="0" w:oddVBand="0" w:evenVBand="0" w:oddHBand="0" w:evenHBand="0" w:firstRowFirstColumn="0" w:firstRowLastColumn="0" w:lastRowFirstColumn="0" w:lastRowLastColumn="0"/>
            <w:tcW w:w="8647" w:type="dxa"/>
            <w:tcBorders>
              <w:top w:val="nil"/>
              <w:left w:val="nil"/>
              <w:bottom w:val="single" w:sz="4" w:space="0" w:color="auto"/>
              <w:right w:val="nil"/>
            </w:tcBorders>
            <w:tcMar>
              <w:top w:w="170" w:type="dxa"/>
              <w:left w:w="170" w:type="dxa"/>
              <w:bottom w:w="227" w:type="dxa"/>
              <w:right w:w="170" w:type="dxa"/>
            </w:tcMar>
          </w:tcPr>
          <w:p w14:paraId="66484EAD" w14:textId="77777777" w:rsidR="00ED46DA" w:rsidRPr="002F6CC6" w:rsidRDefault="00ED46DA" w:rsidP="00ED46DA">
            <w:pPr>
              <w:spacing w:before="60" w:after="60" w:line="360" w:lineRule="auto"/>
              <w:rPr>
                <w:rFonts w:ascii="Trebuchet MS" w:eastAsia="Trebuchet MS" w:hAnsi="Trebuchet MS"/>
                <w:b w:val="0"/>
                <w:bCs/>
                <w:sz w:val="22"/>
                <w:szCs w:val="22"/>
                <w:lang w:eastAsia="en-US"/>
              </w:rPr>
            </w:pPr>
            <w:r w:rsidRPr="002F6CC6">
              <w:rPr>
                <w:rFonts w:ascii="Trebuchet MS" w:eastAsia="Trebuchet MS" w:hAnsi="Trebuchet MS"/>
                <w:b w:val="0"/>
                <w:bCs/>
                <w:sz w:val="22"/>
                <w:szCs w:val="22"/>
                <w:lang w:eastAsia="en-US"/>
              </w:rPr>
              <w:t xml:space="preserve">The CDR is a significant, economy-wide reform that empowers consumers to benefit from the data Australian businesses hold about them, ultimately strengthening innovation, competition and productivity. </w:t>
            </w:r>
          </w:p>
          <w:p w14:paraId="7EFF32E6" w14:textId="77777777" w:rsidR="00ED46DA" w:rsidRPr="002F6CC6" w:rsidRDefault="00ED46DA" w:rsidP="00ED46DA">
            <w:pPr>
              <w:spacing w:before="60" w:after="60" w:line="360" w:lineRule="auto"/>
              <w:rPr>
                <w:rFonts w:ascii="Trebuchet MS" w:eastAsia="Trebuchet MS" w:hAnsi="Trebuchet MS"/>
                <w:b w:val="0"/>
                <w:bCs/>
                <w:sz w:val="22"/>
                <w:szCs w:val="22"/>
                <w:lang w:eastAsia="en-US"/>
              </w:rPr>
            </w:pPr>
            <w:r w:rsidRPr="002F6CC6">
              <w:rPr>
                <w:rFonts w:ascii="Trebuchet MS" w:eastAsia="Trebuchet MS" w:hAnsi="Trebuchet MS"/>
                <w:b w:val="0"/>
                <w:bCs/>
                <w:sz w:val="22"/>
                <w:szCs w:val="22"/>
                <w:lang w:eastAsia="en-US"/>
              </w:rPr>
              <w:t>The CDR is a fundamental right for Australian consumers and businesses to have power over data generated about them, to share and extract value from this data and help access the many benefits of progress in digital infrastructure and capability.</w:t>
            </w:r>
          </w:p>
          <w:p w14:paraId="1F50A73B" w14:textId="77777777" w:rsidR="00ED46DA" w:rsidRPr="002F6CC6" w:rsidRDefault="00ED46DA" w:rsidP="00ED46DA">
            <w:pPr>
              <w:spacing w:before="60" w:after="60" w:line="360" w:lineRule="auto"/>
              <w:rPr>
                <w:rFonts w:ascii="Trebuchet MS" w:eastAsia="Trebuchet MS" w:hAnsi="Trebuchet MS"/>
                <w:b w:val="0"/>
                <w:bCs/>
                <w:sz w:val="22"/>
                <w:szCs w:val="22"/>
                <w:lang w:eastAsia="en-US"/>
              </w:rPr>
            </w:pPr>
            <w:r w:rsidRPr="002F6CC6">
              <w:rPr>
                <w:rFonts w:ascii="Trebuchet MS" w:eastAsia="Trebuchet MS" w:hAnsi="Trebuchet MS"/>
                <w:b w:val="0"/>
                <w:bCs/>
                <w:sz w:val="22"/>
                <w:szCs w:val="22"/>
                <w:lang w:eastAsia="en-US"/>
              </w:rPr>
              <w:t>The benefit to consumers is that, by consenting to sharing their data with accredited and trusted third parties, they can access better-value and personalised products and services, financial management, and budgeting applications, to name just a few.</w:t>
            </w:r>
          </w:p>
          <w:p w14:paraId="22818CEB" w14:textId="77777777" w:rsidR="00ED46DA" w:rsidRPr="002F6CC6" w:rsidRDefault="00ED46DA" w:rsidP="00D64774">
            <w:pPr>
              <w:spacing w:before="60" w:after="60" w:line="360" w:lineRule="auto"/>
              <w:rPr>
                <w:rFonts w:ascii="Trebuchet MS" w:eastAsia="Trebuchet MS" w:hAnsi="Trebuchet MS"/>
                <w:b w:val="0"/>
                <w:bCs/>
                <w:sz w:val="22"/>
                <w:szCs w:val="22"/>
                <w:lang w:eastAsia="en-US"/>
              </w:rPr>
            </w:pPr>
            <w:r w:rsidRPr="002F6CC6">
              <w:rPr>
                <w:rFonts w:ascii="Trebuchet MS" w:eastAsia="Trebuchet MS" w:hAnsi="Trebuchet MS"/>
                <w:b w:val="0"/>
                <w:bCs/>
                <w:sz w:val="22"/>
                <w:szCs w:val="22"/>
                <w:lang w:eastAsia="en-US"/>
              </w:rPr>
              <w:t xml:space="preserve">The CDR provides the core infrastructure to support a data-driven economy, which is based on transactions in value (including data) between consumers, businesses and government. When data is exchanged within the CDR framework, it puts consumers in the driver’s seat because it is them, not the businesses that hold their data, who draw value from their activities and transactions. </w:t>
            </w:r>
          </w:p>
          <w:p w14:paraId="2B7D69A1" w14:textId="217F0F7A" w:rsidR="00D64774" w:rsidRPr="002F6CC6" w:rsidRDefault="00D64774" w:rsidP="00D64774">
            <w:pPr>
              <w:spacing w:before="60" w:after="60" w:line="360" w:lineRule="auto"/>
              <w:rPr>
                <w:rFonts w:ascii="Trebuchet MS" w:eastAsia="Trebuchet MS" w:hAnsi="Trebuchet MS"/>
                <w:b w:val="0"/>
                <w:bCs/>
                <w:sz w:val="22"/>
                <w:szCs w:val="22"/>
                <w:lang w:eastAsia="en-US"/>
              </w:rPr>
            </w:pPr>
            <w:r w:rsidRPr="002F6CC6">
              <w:rPr>
                <w:rFonts w:ascii="Trebuchet MS" w:eastAsia="Trebuchet MS" w:hAnsi="Trebuchet MS"/>
                <w:b w:val="0"/>
                <w:bCs/>
                <w:sz w:val="22"/>
                <w:szCs w:val="22"/>
                <w:lang w:eastAsia="en-US"/>
              </w:rPr>
              <w:t>An economy-wide CDR is a key pillar of the Government’s $1.2 billion Digital Economy Strategy – the roadmap for Australia and Australians to become a leading digital economy and society by 2030.</w:t>
            </w:r>
          </w:p>
          <w:p w14:paraId="054A1345" w14:textId="77777777" w:rsidR="00D64774" w:rsidRPr="00D64774" w:rsidRDefault="00D64774" w:rsidP="00D64774">
            <w:pPr>
              <w:spacing w:before="60" w:after="60" w:line="360" w:lineRule="auto"/>
              <w:rPr>
                <w:rFonts w:ascii="Trebuchet MS" w:eastAsia="Trebuchet MS" w:hAnsi="Trebuchet MS"/>
                <w:bCs/>
                <w:szCs w:val="22"/>
                <w:lang w:eastAsia="en-US"/>
              </w:rPr>
            </w:pPr>
            <w:r w:rsidRPr="002F6CC6">
              <w:rPr>
                <w:rFonts w:ascii="Trebuchet MS" w:eastAsia="Trebuchet MS" w:hAnsi="Trebuchet MS"/>
                <w:b w:val="0"/>
                <w:bCs/>
                <w:sz w:val="22"/>
                <w:szCs w:val="22"/>
                <w:lang w:eastAsia="en-US"/>
              </w:rPr>
              <w:t>The potential benefits of digitising the Australian economy have been estimated at $315 billion over the next decade, which will benefit all aspects of Australian society. The CDR is a key component of this.</w:t>
            </w:r>
            <w:r w:rsidRPr="00D64774">
              <w:rPr>
                <w:rFonts w:ascii="Trebuchet MS" w:eastAsia="Trebuchet MS" w:hAnsi="Trebuchet MS"/>
                <w:bCs/>
                <w:szCs w:val="22"/>
                <w:lang w:eastAsia="en-US"/>
              </w:rPr>
              <w:t xml:space="preserve"> </w:t>
            </w:r>
          </w:p>
        </w:tc>
      </w:tr>
    </w:tbl>
    <w:p w14:paraId="5F8B916E" w14:textId="77777777" w:rsidR="00D64774" w:rsidRPr="00D64774" w:rsidRDefault="00D64774" w:rsidP="00D64774">
      <w:pPr>
        <w:spacing w:before="200" w:after="0"/>
        <w:rPr>
          <w:rFonts w:ascii="Trebuchet MS" w:eastAsia="Trebuchet MS" w:hAnsi="Trebuchet MS"/>
          <w:szCs w:val="22"/>
          <w:lang w:eastAsia="en-US"/>
        </w:rPr>
      </w:pPr>
      <w:r w:rsidRPr="00D64774">
        <w:rPr>
          <w:rFonts w:ascii="Trebuchet MS" w:eastAsia="Trebuchet MS" w:hAnsi="Trebuchet MS"/>
          <w:szCs w:val="22"/>
          <w:lang w:eastAsia="en-US"/>
        </w:rPr>
        <w:br w:type="page"/>
      </w:r>
    </w:p>
    <w:tbl>
      <w:tblPr>
        <w:tblStyle w:val="ACCCTable1"/>
        <w:tblW w:w="0" w:type="auto"/>
        <w:tblLook w:val="04A0" w:firstRow="1" w:lastRow="0" w:firstColumn="1" w:lastColumn="0" w:noHBand="0" w:noVBand="1"/>
      </w:tblPr>
      <w:tblGrid>
        <w:gridCol w:w="8647"/>
      </w:tblGrid>
      <w:tr w:rsidR="00D64774" w:rsidRPr="00D64774" w14:paraId="0DCB3BDF" w14:textId="77777777" w:rsidTr="005F62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7" w:type="dxa"/>
            <w:tcBorders>
              <w:top w:val="nil"/>
              <w:bottom w:val="nil"/>
            </w:tcBorders>
            <w:shd w:val="clear" w:color="auto" w:fill="0D45D6"/>
          </w:tcPr>
          <w:p w14:paraId="08570799" w14:textId="77777777" w:rsidR="00D64774" w:rsidRPr="00D64774" w:rsidRDefault="00D64774" w:rsidP="00D64774">
            <w:pPr>
              <w:spacing w:before="240"/>
              <w:outlineLvl w:val="3"/>
              <w:rPr>
                <w:rFonts w:ascii="Trebuchet MS" w:hAnsi="Trebuchet MS"/>
                <w:bCs/>
                <w:i/>
                <w:iCs/>
                <w:color w:val="002760"/>
                <w:sz w:val="24"/>
                <w:szCs w:val="22"/>
                <w:lang w:eastAsia="en-US"/>
              </w:rPr>
            </w:pPr>
            <w:r w:rsidRPr="00D64774">
              <w:rPr>
                <w:rFonts w:ascii="Trebuchet MS" w:hAnsi="Trebuchet MS"/>
                <w:bCs/>
                <w:i/>
                <w:iCs/>
                <w:color w:val="FFFFFF"/>
                <w:sz w:val="24"/>
                <w:szCs w:val="22"/>
                <w:lang w:eastAsia="en-US"/>
              </w:rPr>
              <w:lastRenderedPageBreak/>
              <w:t>Who is involved?</w:t>
            </w:r>
          </w:p>
        </w:tc>
      </w:tr>
      <w:tr w:rsidR="00D64774" w:rsidRPr="00D64774" w14:paraId="09DED2CE" w14:textId="77777777" w:rsidTr="005F62B3">
        <w:tc>
          <w:tcPr>
            <w:cnfStyle w:val="001000000000" w:firstRow="0" w:lastRow="0" w:firstColumn="1" w:lastColumn="0" w:oddVBand="0" w:evenVBand="0" w:oddHBand="0" w:evenHBand="0" w:firstRowFirstColumn="0" w:firstRowLastColumn="0" w:lastRowFirstColumn="0" w:lastRowLastColumn="0"/>
            <w:tcW w:w="8647" w:type="dxa"/>
            <w:tcBorders>
              <w:top w:val="nil"/>
              <w:left w:val="nil"/>
              <w:bottom w:val="single" w:sz="4" w:space="0" w:color="auto"/>
              <w:right w:val="nil"/>
            </w:tcBorders>
            <w:tcMar>
              <w:top w:w="170" w:type="dxa"/>
              <w:left w:w="170" w:type="dxa"/>
              <w:bottom w:w="227" w:type="dxa"/>
              <w:right w:w="170" w:type="dxa"/>
            </w:tcMar>
          </w:tcPr>
          <w:p w14:paraId="41A9664F" w14:textId="77777777" w:rsidR="00ED46DA" w:rsidRPr="0069460A" w:rsidRDefault="00ED46DA" w:rsidP="00ED46DA">
            <w:pPr>
              <w:spacing w:line="360" w:lineRule="auto"/>
              <w:rPr>
                <w:rFonts w:ascii="Trebuchet MS" w:eastAsia="Trebuchet MS" w:hAnsi="Trebuchet MS"/>
                <w:b w:val="0"/>
                <w:bCs/>
                <w:sz w:val="22"/>
                <w:szCs w:val="22"/>
              </w:rPr>
            </w:pPr>
            <w:r w:rsidRPr="0069460A">
              <w:rPr>
                <w:rFonts w:ascii="Trebuchet MS" w:eastAsia="Trebuchet MS" w:hAnsi="Trebuchet MS"/>
                <w:b w:val="0"/>
                <w:bCs/>
                <w:sz w:val="22"/>
                <w:szCs w:val="22"/>
              </w:rPr>
              <w:t xml:space="preserve">The Treasury leads CDR policy, including development of rules and advice to Government on which sectors the CDR should apply to in the future. Senator Jane Hume, Minister for Superannuation, Financial Services and the Digital Economy, is the responsible Minister. </w:t>
            </w:r>
          </w:p>
          <w:p w14:paraId="1AC6C9C8" w14:textId="65987841" w:rsidR="00ED46DA" w:rsidRPr="0069460A" w:rsidRDefault="00ED46DA" w:rsidP="00ED46DA">
            <w:pPr>
              <w:spacing w:line="360" w:lineRule="auto"/>
              <w:rPr>
                <w:rFonts w:ascii="Trebuchet MS" w:eastAsia="Trebuchet MS" w:hAnsi="Trebuchet MS"/>
                <w:b w:val="0"/>
                <w:bCs/>
                <w:sz w:val="22"/>
                <w:szCs w:val="22"/>
              </w:rPr>
            </w:pPr>
            <w:r w:rsidRPr="0069460A">
              <w:rPr>
                <w:rFonts w:ascii="Trebuchet MS" w:eastAsia="Trebuchet MS" w:hAnsi="Trebuchet MS"/>
                <w:b w:val="0"/>
                <w:bCs/>
                <w:sz w:val="22"/>
                <w:szCs w:val="22"/>
              </w:rPr>
              <w:t>Treasury works closely with the </w:t>
            </w:r>
            <w:r w:rsidR="00431310" w:rsidRPr="00555C16">
              <w:rPr>
                <w:rFonts w:ascii="Trebuchet MS" w:eastAsia="Trebuchet MS" w:hAnsi="Trebuchet MS"/>
                <w:b w:val="0"/>
                <w:color w:val="0D45D6"/>
                <w:sz w:val="22"/>
                <w:szCs w:val="22"/>
              </w:rPr>
              <w:t>Australian</w:t>
            </w:r>
            <w:r w:rsidR="00431310" w:rsidRPr="00431310">
              <w:rPr>
                <w:rFonts w:ascii="Trebuchet MS" w:eastAsia="Trebuchet MS" w:hAnsi="Trebuchet MS"/>
                <w:b w:val="0"/>
                <w:bCs/>
                <w:color w:val="0D45D6"/>
                <w:sz w:val="22"/>
                <w:szCs w:val="22"/>
              </w:rPr>
              <w:t xml:space="preserve"> Competition and Consumer Commission (ACCC),</w:t>
            </w:r>
            <w:r w:rsidRPr="0069460A">
              <w:rPr>
                <w:rFonts w:ascii="Trebuchet MS" w:eastAsia="Trebuchet MS" w:hAnsi="Trebuchet MS"/>
                <w:b w:val="0"/>
                <w:bCs/>
                <w:sz w:val="22"/>
                <w:szCs w:val="22"/>
              </w:rPr>
              <w:t xml:space="preserve"> which is responsible for the accreditation process, including managing the Consumer Data Right Register, and ensures providers are complying with the Rules and takes enforcement action where necessary; and the </w:t>
            </w:r>
            <w:hyperlink r:id="rId24" w:history="1">
              <w:r w:rsidR="00431310" w:rsidRPr="00D23D60">
                <w:rPr>
                  <w:rStyle w:val="Hyperlink"/>
                  <w:rFonts w:ascii="Trebuchet MS" w:eastAsia="Trebuchet MS" w:hAnsi="Trebuchet MS"/>
                  <w:b w:val="0"/>
                  <w:bCs/>
                  <w:color w:val="0D45D6"/>
                  <w:sz w:val="22"/>
                  <w:szCs w:val="22"/>
                </w:rPr>
                <w:t>Office of the Australian Information Commission (OAIC</w:t>
              </w:r>
              <w:r w:rsidR="00431310" w:rsidRPr="00D23D60">
                <w:rPr>
                  <w:rStyle w:val="Hyperlink"/>
                  <w:rFonts w:ascii="Trebuchet MS" w:eastAsia="Trebuchet MS" w:hAnsi="Trebuchet MS"/>
                  <w:b w:val="0"/>
                  <w:bCs/>
                  <w:color w:val="0D45D6"/>
                </w:rPr>
                <w:t>)</w:t>
              </w:r>
              <w:r w:rsidR="00814989" w:rsidRPr="00D23D60">
                <w:rPr>
                  <w:rStyle w:val="Hyperlink"/>
                  <w:rFonts w:ascii="Trebuchet MS" w:eastAsia="Trebuchet MS" w:hAnsi="Trebuchet MS"/>
                  <w:b w:val="0"/>
                  <w:bCs/>
                  <w:color w:val="0D45D6"/>
                  <w:sz w:val="22"/>
                  <w:szCs w:val="22"/>
                </w:rPr>
                <w:t>,</w:t>
              </w:r>
            </w:hyperlink>
            <w:r w:rsidR="00814989" w:rsidRPr="0069460A">
              <w:rPr>
                <w:rFonts w:ascii="Trebuchet MS" w:eastAsia="Trebuchet MS" w:hAnsi="Trebuchet MS"/>
                <w:b w:val="0"/>
                <w:bCs/>
                <w:sz w:val="22"/>
                <w:szCs w:val="22"/>
              </w:rPr>
              <w:t xml:space="preserve"> </w:t>
            </w:r>
            <w:r w:rsidRPr="0069460A">
              <w:rPr>
                <w:rFonts w:ascii="Trebuchet MS" w:eastAsia="Trebuchet MS" w:hAnsi="Trebuchet MS"/>
                <w:b w:val="0"/>
                <w:bCs/>
                <w:sz w:val="22"/>
                <w:szCs w:val="22"/>
              </w:rPr>
              <w:t>which regulates privacy and confidentiality under the CDR, handles complaints and notifications of eligible data breaches relating to CDR data. The</w:t>
            </w:r>
            <w:r w:rsidR="00431310">
              <w:rPr>
                <w:rFonts w:ascii="Trebuchet MS" w:eastAsia="Trebuchet MS" w:hAnsi="Trebuchet MS"/>
                <w:b w:val="0"/>
                <w:bCs/>
                <w:sz w:val="22"/>
                <w:szCs w:val="22"/>
              </w:rPr>
              <w:t xml:space="preserve"> </w:t>
            </w:r>
            <w:hyperlink r:id="rId25" w:history="1">
              <w:r w:rsidR="00A87C7E" w:rsidRPr="003946CC">
                <w:rPr>
                  <w:rStyle w:val="Hyperlink"/>
                  <w:rFonts w:ascii="Trebuchet MS" w:eastAsia="Trebuchet MS" w:hAnsi="Trebuchet MS"/>
                  <w:b w:val="0"/>
                  <w:bCs/>
                  <w:color w:val="0D45D6"/>
                  <w:sz w:val="22"/>
                  <w:szCs w:val="22"/>
                </w:rPr>
                <w:t>Data Standards Body</w:t>
              </w:r>
            </w:hyperlink>
            <w:r w:rsidR="00A87C7E" w:rsidRPr="005121C9">
              <w:rPr>
                <w:rFonts w:ascii="Trebuchet MS" w:eastAsia="Trebuchet MS" w:hAnsi="Trebuchet MS"/>
                <w:b w:val="0"/>
                <w:bCs/>
                <w:color w:val="0D45D6"/>
                <w:sz w:val="22"/>
                <w:szCs w:val="22"/>
              </w:rPr>
              <w:t xml:space="preserve"> </w:t>
            </w:r>
            <w:r w:rsidRPr="0069460A">
              <w:rPr>
                <w:rFonts w:ascii="Trebuchet MS" w:eastAsia="Trebuchet MS" w:hAnsi="Trebuchet MS"/>
                <w:b w:val="0"/>
                <w:bCs/>
                <w:sz w:val="22"/>
                <w:szCs w:val="22"/>
              </w:rPr>
              <w:t xml:space="preserve">develops the technical and consumer experience standards, which are made by the Data Standards Chair.  </w:t>
            </w:r>
          </w:p>
          <w:p w14:paraId="11D3EAAE" w14:textId="379C6D5C" w:rsidR="00D64774" w:rsidRPr="00814989" w:rsidRDefault="00ED46DA" w:rsidP="00D64774">
            <w:pPr>
              <w:spacing w:line="360" w:lineRule="auto"/>
              <w:rPr>
                <w:rFonts w:ascii="Trebuchet MS" w:eastAsia="Trebuchet MS" w:hAnsi="Trebuchet MS"/>
                <w:bCs/>
                <w:szCs w:val="22"/>
                <w:lang w:eastAsia="en-US"/>
              </w:rPr>
            </w:pPr>
            <w:r w:rsidRPr="0069460A">
              <w:rPr>
                <w:rFonts w:ascii="Trebuchet MS" w:eastAsia="Trebuchet MS" w:hAnsi="Trebuchet MS"/>
                <w:b w:val="0"/>
                <w:bCs/>
                <w:sz w:val="22"/>
                <w:szCs w:val="22"/>
              </w:rPr>
              <w:t>At each stage of the CDR’s development, there have been public consultations, just like this one. Feedback from industry stakeholders and community representatives has helped shape the way the CDR works.</w:t>
            </w:r>
          </w:p>
        </w:tc>
      </w:tr>
    </w:tbl>
    <w:p w14:paraId="4449E827" w14:textId="77777777" w:rsidR="00D64774" w:rsidRPr="00D64774" w:rsidRDefault="00D64774" w:rsidP="00D64774">
      <w:pPr>
        <w:spacing w:line="360" w:lineRule="auto"/>
        <w:rPr>
          <w:rFonts w:ascii="Trebuchet MS" w:eastAsia="Trebuchet MS" w:hAnsi="Trebuchet MS"/>
          <w:szCs w:val="22"/>
          <w:lang w:eastAsia="en-US"/>
        </w:rPr>
      </w:pPr>
    </w:p>
    <w:p w14:paraId="625BE64D" w14:textId="77777777" w:rsidR="00D64774" w:rsidRPr="00D64774" w:rsidRDefault="00D64774" w:rsidP="00D64774">
      <w:pPr>
        <w:spacing w:before="200" w:after="0"/>
        <w:rPr>
          <w:rFonts w:ascii="Trebuchet MS" w:eastAsia="Trebuchet MS" w:hAnsi="Trebuchet MS"/>
          <w:szCs w:val="22"/>
          <w:lang w:eastAsia="en-US"/>
        </w:rPr>
      </w:pPr>
      <w:r w:rsidRPr="00D64774">
        <w:rPr>
          <w:rFonts w:ascii="Trebuchet MS" w:eastAsia="Trebuchet MS" w:hAnsi="Trebuchet MS"/>
          <w:szCs w:val="22"/>
          <w:lang w:eastAsia="en-US"/>
        </w:rPr>
        <w:br w:type="page"/>
      </w:r>
    </w:p>
    <w:tbl>
      <w:tblPr>
        <w:tblStyle w:val="ACCCTable1"/>
        <w:tblW w:w="0" w:type="auto"/>
        <w:tblLook w:val="04A0" w:firstRow="1" w:lastRow="0" w:firstColumn="1" w:lastColumn="0" w:noHBand="0" w:noVBand="1"/>
      </w:tblPr>
      <w:tblGrid>
        <w:gridCol w:w="8647"/>
      </w:tblGrid>
      <w:tr w:rsidR="00D64774" w:rsidRPr="00D64774" w14:paraId="3EC68933" w14:textId="77777777" w:rsidTr="005F62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7" w:type="dxa"/>
            <w:tcBorders>
              <w:top w:val="nil"/>
              <w:bottom w:val="nil"/>
            </w:tcBorders>
            <w:shd w:val="clear" w:color="auto" w:fill="0D45D6"/>
          </w:tcPr>
          <w:p w14:paraId="7A9EF268" w14:textId="77777777" w:rsidR="00D64774" w:rsidRPr="00D64774" w:rsidRDefault="00D64774" w:rsidP="00D64774">
            <w:pPr>
              <w:spacing w:before="240"/>
              <w:outlineLvl w:val="3"/>
              <w:rPr>
                <w:rFonts w:ascii="Trebuchet MS" w:hAnsi="Trebuchet MS"/>
                <w:bCs/>
                <w:i/>
                <w:iCs/>
                <w:color w:val="002760"/>
                <w:sz w:val="24"/>
                <w:szCs w:val="22"/>
                <w:lang w:eastAsia="en-US"/>
              </w:rPr>
            </w:pPr>
            <w:r w:rsidRPr="00D64774">
              <w:rPr>
                <w:rFonts w:ascii="Trebuchet MS" w:hAnsi="Trebuchet MS"/>
                <w:bCs/>
                <w:i/>
                <w:iCs/>
                <w:color w:val="FFFFFF"/>
                <w:sz w:val="24"/>
                <w:szCs w:val="22"/>
                <w:lang w:eastAsia="en-US"/>
              </w:rPr>
              <w:lastRenderedPageBreak/>
              <w:t>What is the process for CDR sectoral assessments?</w:t>
            </w:r>
          </w:p>
        </w:tc>
      </w:tr>
      <w:tr w:rsidR="00D64774" w:rsidRPr="00D64774" w14:paraId="2D774383" w14:textId="77777777" w:rsidTr="005F62B3">
        <w:tc>
          <w:tcPr>
            <w:cnfStyle w:val="001000000000" w:firstRow="0" w:lastRow="0" w:firstColumn="1" w:lastColumn="0" w:oddVBand="0" w:evenVBand="0" w:oddHBand="0" w:evenHBand="0" w:firstRowFirstColumn="0" w:firstRowLastColumn="0" w:lastRowFirstColumn="0" w:lastRowLastColumn="0"/>
            <w:tcW w:w="8647" w:type="dxa"/>
            <w:tcBorders>
              <w:top w:val="nil"/>
              <w:left w:val="nil"/>
              <w:bottom w:val="single" w:sz="4" w:space="0" w:color="auto"/>
              <w:right w:val="nil"/>
            </w:tcBorders>
            <w:tcMar>
              <w:top w:w="170" w:type="dxa"/>
              <w:left w:w="170" w:type="dxa"/>
              <w:bottom w:w="227" w:type="dxa"/>
              <w:right w:w="170" w:type="dxa"/>
            </w:tcMar>
          </w:tcPr>
          <w:p w14:paraId="06AEE359" w14:textId="77777777" w:rsidR="00814989" w:rsidRPr="005C5613" w:rsidRDefault="00814989" w:rsidP="00814989">
            <w:pPr>
              <w:spacing w:before="60" w:after="60" w:line="360" w:lineRule="auto"/>
              <w:rPr>
                <w:rFonts w:ascii="Trebuchet MS" w:eastAsia="Trebuchet MS" w:hAnsi="Trebuchet MS"/>
                <w:b w:val="0"/>
                <w:bCs/>
                <w:sz w:val="22"/>
                <w:szCs w:val="22"/>
                <w:lang w:eastAsia="en-US"/>
              </w:rPr>
            </w:pPr>
            <w:r w:rsidRPr="005C5613">
              <w:rPr>
                <w:rFonts w:ascii="Trebuchet MS" w:eastAsia="Trebuchet MS" w:hAnsi="Trebuchet MS"/>
                <w:b w:val="0"/>
                <w:bCs/>
                <w:sz w:val="22"/>
                <w:szCs w:val="22"/>
                <w:lang w:eastAsia="en-US"/>
              </w:rPr>
              <w:t xml:space="preserve">The Minister may designate a sector of the Australian economy to be subject to the CDR under section 56AC of the Competition and Consumer Act 2010 (the Act). A sector is designated by legislative instrument, which specifies the classes of information (data) designated for the purposes of the CDR and the class or classes of persons who hold the designated information (data holders). </w:t>
            </w:r>
          </w:p>
          <w:p w14:paraId="7E54836D" w14:textId="77777777" w:rsidR="00814989" w:rsidRPr="005C5613" w:rsidRDefault="00814989" w:rsidP="00814989">
            <w:pPr>
              <w:spacing w:before="60" w:after="60" w:line="360" w:lineRule="auto"/>
              <w:rPr>
                <w:rFonts w:ascii="Trebuchet MS" w:eastAsia="Trebuchet MS" w:hAnsi="Trebuchet MS"/>
                <w:b w:val="0"/>
                <w:bCs/>
                <w:sz w:val="22"/>
                <w:szCs w:val="22"/>
                <w:lang w:eastAsia="en-US"/>
              </w:rPr>
            </w:pPr>
            <w:r w:rsidRPr="005C5613">
              <w:rPr>
                <w:rFonts w:ascii="Trebuchet MS" w:eastAsia="Trebuchet MS" w:hAnsi="Trebuchet MS"/>
                <w:b w:val="0"/>
                <w:bCs/>
                <w:sz w:val="22"/>
                <w:szCs w:val="22"/>
                <w:lang w:eastAsia="en-US"/>
              </w:rPr>
              <w:t>The Act provides that, before a sector can be designated, certain matters under section 56AD(1) (collectively, the statutory factors) must be considered by the Minister. These include:</w:t>
            </w:r>
          </w:p>
          <w:p w14:paraId="0B42F259" w14:textId="77777777" w:rsidR="00814989" w:rsidRPr="005C5613" w:rsidRDefault="00814989" w:rsidP="002F6CC6">
            <w:pPr>
              <w:pStyle w:val="Bullet"/>
              <w:tabs>
                <w:tab w:val="clear" w:pos="283"/>
                <w:tab w:val="num" w:pos="686"/>
              </w:tabs>
              <w:ind w:left="686"/>
              <w:rPr>
                <w:rFonts w:ascii="Trebuchet MS" w:eastAsia="Trebuchet MS" w:hAnsi="Trebuchet MS"/>
                <w:b w:val="0"/>
                <w:bCs/>
                <w:sz w:val="22"/>
                <w:szCs w:val="22"/>
                <w:lang w:eastAsia="en-US"/>
              </w:rPr>
            </w:pPr>
            <w:r w:rsidRPr="005C5613">
              <w:rPr>
                <w:rFonts w:ascii="Trebuchet MS" w:eastAsia="Trebuchet MS" w:hAnsi="Trebuchet MS"/>
                <w:b w:val="0"/>
                <w:bCs/>
                <w:sz w:val="22"/>
                <w:szCs w:val="22"/>
                <w:lang w:eastAsia="en-US"/>
              </w:rPr>
              <w:t>the interests of consumers</w:t>
            </w:r>
          </w:p>
          <w:p w14:paraId="2257FCA7" w14:textId="77777777" w:rsidR="00814989" w:rsidRPr="005C5613" w:rsidRDefault="00814989" w:rsidP="002F6CC6">
            <w:pPr>
              <w:pStyle w:val="Bullet"/>
              <w:tabs>
                <w:tab w:val="clear" w:pos="283"/>
                <w:tab w:val="num" w:pos="686"/>
              </w:tabs>
              <w:ind w:left="686"/>
              <w:rPr>
                <w:rFonts w:ascii="Trebuchet MS" w:eastAsia="Trebuchet MS" w:hAnsi="Trebuchet MS"/>
                <w:b w:val="0"/>
                <w:bCs/>
                <w:sz w:val="22"/>
                <w:szCs w:val="22"/>
                <w:lang w:eastAsia="en-US"/>
              </w:rPr>
            </w:pPr>
            <w:r w:rsidRPr="005C5613">
              <w:rPr>
                <w:rFonts w:ascii="Trebuchet MS" w:eastAsia="Trebuchet MS" w:hAnsi="Trebuchet MS"/>
                <w:b w:val="0"/>
                <w:bCs/>
                <w:sz w:val="22"/>
                <w:szCs w:val="22"/>
                <w:lang w:eastAsia="en-US"/>
              </w:rPr>
              <w:t>promoting competition</w:t>
            </w:r>
          </w:p>
          <w:p w14:paraId="24844E9D" w14:textId="77777777" w:rsidR="00814989" w:rsidRPr="005C5613" w:rsidRDefault="00814989" w:rsidP="002F6CC6">
            <w:pPr>
              <w:pStyle w:val="Bullet"/>
              <w:tabs>
                <w:tab w:val="clear" w:pos="283"/>
                <w:tab w:val="num" w:pos="686"/>
              </w:tabs>
              <w:ind w:left="686"/>
              <w:rPr>
                <w:rFonts w:ascii="Trebuchet MS" w:eastAsia="Trebuchet MS" w:hAnsi="Trebuchet MS"/>
                <w:b w:val="0"/>
                <w:bCs/>
                <w:sz w:val="22"/>
                <w:szCs w:val="22"/>
                <w:lang w:eastAsia="en-US"/>
              </w:rPr>
            </w:pPr>
            <w:r w:rsidRPr="005C5613">
              <w:rPr>
                <w:rFonts w:ascii="Trebuchet MS" w:eastAsia="Trebuchet MS" w:hAnsi="Trebuchet MS"/>
                <w:b w:val="0"/>
                <w:bCs/>
                <w:sz w:val="22"/>
                <w:szCs w:val="22"/>
                <w:lang w:eastAsia="en-US"/>
              </w:rPr>
              <w:t>the efficiency of relevant markets</w:t>
            </w:r>
          </w:p>
          <w:p w14:paraId="02C89C81" w14:textId="77777777" w:rsidR="00814989" w:rsidRPr="005C5613" w:rsidRDefault="00814989" w:rsidP="002F6CC6">
            <w:pPr>
              <w:pStyle w:val="Bullet"/>
              <w:tabs>
                <w:tab w:val="clear" w:pos="283"/>
                <w:tab w:val="num" w:pos="686"/>
              </w:tabs>
              <w:ind w:left="686"/>
              <w:rPr>
                <w:rFonts w:ascii="Trebuchet MS" w:eastAsia="Trebuchet MS" w:hAnsi="Trebuchet MS"/>
                <w:b w:val="0"/>
                <w:bCs/>
                <w:sz w:val="22"/>
                <w:szCs w:val="22"/>
                <w:lang w:eastAsia="en-US"/>
              </w:rPr>
            </w:pPr>
            <w:r w:rsidRPr="005C5613">
              <w:rPr>
                <w:rFonts w:ascii="Trebuchet MS" w:eastAsia="Trebuchet MS" w:hAnsi="Trebuchet MS"/>
                <w:b w:val="0"/>
                <w:bCs/>
                <w:sz w:val="22"/>
                <w:szCs w:val="22"/>
                <w:lang w:eastAsia="en-US"/>
              </w:rPr>
              <w:t>promoting data-driven innovation</w:t>
            </w:r>
          </w:p>
          <w:p w14:paraId="6528AE91" w14:textId="77777777" w:rsidR="00814989" w:rsidRPr="005C5613" w:rsidRDefault="00814989" w:rsidP="002F6CC6">
            <w:pPr>
              <w:pStyle w:val="Bullet"/>
              <w:tabs>
                <w:tab w:val="clear" w:pos="283"/>
                <w:tab w:val="num" w:pos="686"/>
              </w:tabs>
              <w:ind w:left="686"/>
              <w:rPr>
                <w:rFonts w:ascii="Trebuchet MS" w:eastAsia="Trebuchet MS" w:hAnsi="Trebuchet MS"/>
                <w:b w:val="0"/>
                <w:bCs/>
                <w:sz w:val="22"/>
                <w:szCs w:val="22"/>
                <w:lang w:eastAsia="en-US"/>
              </w:rPr>
            </w:pPr>
            <w:r w:rsidRPr="005C5613">
              <w:rPr>
                <w:rFonts w:ascii="Trebuchet MS" w:eastAsia="Trebuchet MS" w:hAnsi="Trebuchet MS"/>
                <w:b w:val="0"/>
                <w:bCs/>
                <w:sz w:val="22"/>
                <w:szCs w:val="22"/>
                <w:lang w:eastAsia="en-US"/>
              </w:rPr>
              <w:t>the privacy or confidentiality of consumers’ information</w:t>
            </w:r>
          </w:p>
          <w:p w14:paraId="64BDE93C" w14:textId="77777777" w:rsidR="00814989" w:rsidRPr="005C5613" w:rsidRDefault="00814989" w:rsidP="002F6CC6">
            <w:pPr>
              <w:pStyle w:val="Bullet"/>
              <w:tabs>
                <w:tab w:val="clear" w:pos="283"/>
                <w:tab w:val="num" w:pos="686"/>
              </w:tabs>
              <w:ind w:left="686"/>
              <w:rPr>
                <w:rFonts w:ascii="Trebuchet MS" w:eastAsia="Trebuchet MS" w:hAnsi="Trebuchet MS"/>
                <w:b w:val="0"/>
                <w:bCs/>
                <w:sz w:val="22"/>
                <w:szCs w:val="22"/>
                <w:lang w:eastAsia="en-US"/>
              </w:rPr>
            </w:pPr>
            <w:r w:rsidRPr="005C5613">
              <w:rPr>
                <w:rFonts w:ascii="Trebuchet MS" w:eastAsia="Trebuchet MS" w:hAnsi="Trebuchet MS"/>
                <w:b w:val="0"/>
                <w:bCs/>
                <w:sz w:val="22"/>
                <w:szCs w:val="22"/>
                <w:lang w:eastAsia="en-US"/>
              </w:rPr>
              <w:t>any intellectual property in the information</w:t>
            </w:r>
          </w:p>
          <w:p w14:paraId="64A99D9A" w14:textId="77777777" w:rsidR="00814989" w:rsidRPr="005C5613" w:rsidRDefault="00814989" w:rsidP="002F6CC6">
            <w:pPr>
              <w:pStyle w:val="Bullet"/>
              <w:tabs>
                <w:tab w:val="clear" w:pos="283"/>
                <w:tab w:val="num" w:pos="686"/>
              </w:tabs>
              <w:ind w:left="686"/>
              <w:rPr>
                <w:rFonts w:ascii="Trebuchet MS" w:eastAsia="Trebuchet MS" w:hAnsi="Trebuchet MS"/>
                <w:b w:val="0"/>
                <w:bCs/>
                <w:sz w:val="22"/>
                <w:szCs w:val="22"/>
                <w:lang w:eastAsia="en-US"/>
              </w:rPr>
            </w:pPr>
            <w:r w:rsidRPr="005C5613">
              <w:rPr>
                <w:rFonts w:ascii="Trebuchet MS" w:eastAsia="Trebuchet MS" w:hAnsi="Trebuchet MS"/>
                <w:b w:val="0"/>
                <w:bCs/>
                <w:sz w:val="22"/>
                <w:szCs w:val="22"/>
                <w:lang w:eastAsia="en-US"/>
              </w:rPr>
              <w:t>the public interest, and</w:t>
            </w:r>
          </w:p>
          <w:p w14:paraId="5A1011FB" w14:textId="1DC3ACED" w:rsidR="00814989" w:rsidRPr="005C5613" w:rsidRDefault="00814989" w:rsidP="002F6CC6">
            <w:pPr>
              <w:pStyle w:val="Bullet"/>
              <w:tabs>
                <w:tab w:val="clear" w:pos="283"/>
                <w:tab w:val="num" w:pos="686"/>
              </w:tabs>
              <w:ind w:left="686"/>
              <w:rPr>
                <w:rFonts w:ascii="Trebuchet MS" w:eastAsia="Trebuchet MS" w:hAnsi="Trebuchet MS"/>
                <w:b w:val="0"/>
                <w:bCs/>
                <w:sz w:val="22"/>
                <w:szCs w:val="22"/>
                <w:lang w:eastAsia="en-US"/>
              </w:rPr>
            </w:pPr>
            <w:r w:rsidRPr="005C5613">
              <w:rPr>
                <w:rFonts w:ascii="Trebuchet MS" w:eastAsia="Trebuchet MS" w:hAnsi="Trebuchet MS"/>
                <w:b w:val="0"/>
                <w:bCs/>
                <w:sz w:val="22"/>
                <w:szCs w:val="22"/>
                <w:lang w:eastAsia="en-US"/>
              </w:rPr>
              <w:t xml:space="preserve">the likely regulatory impact of designation. </w:t>
            </w:r>
          </w:p>
          <w:p w14:paraId="76CDCEEB" w14:textId="77777777" w:rsidR="00814989" w:rsidRPr="005C5613" w:rsidRDefault="00814989" w:rsidP="006C6C55">
            <w:pPr>
              <w:pStyle w:val="Bullet"/>
              <w:numPr>
                <w:ilvl w:val="0"/>
                <w:numId w:val="0"/>
              </w:numPr>
              <w:ind w:left="283"/>
              <w:rPr>
                <w:rFonts w:eastAsia="Trebuchet MS"/>
                <w:b w:val="0"/>
                <w:bCs/>
                <w:sz w:val="22"/>
                <w:szCs w:val="22"/>
                <w:lang w:eastAsia="en-US"/>
              </w:rPr>
            </w:pPr>
          </w:p>
          <w:p w14:paraId="358EBFBF" w14:textId="77777777" w:rsidR="00814989" w:rsidRPr="005C5613" w:rsidRDefault="00814989" w:rsidP="00814989">
            <w:pPr>
              <w:spacing w:before="60" w:after="60" w:line="360" w:lineRule="auto"/>
              <w:rPr>
                <w:rFonts w:ascii="Trebuchet MS" w:eastAsia="Trebuchet MS" w:hAnsi="Trebuchet MS"/>
                <w:b w:val="0"/>
                <w:bCs/>
                <w:sz w:val="22"/>
                <w:szCs w:val="22"/>
                <w:lang w:eastAsia="en-US"/>
              </w:rPr>
            </w:pPr>
            <w:r w:rsidRPr="005C5613">
              <w:rPr>
                <w:rFonts w:ascii="Trebuchet MS" w:eastAsia="Trebuchet MS" w:hAnsi="Trebuchet MS"/>
                <w:b w:val="0"/>
                <w:bCs/>
                <w:sz w:val="22"/>
                <w:szCs w:val="22"/>
                <w:lang w:eastAsia="en-US"/>
              </w:rPr>
              <w:t>The Act also requires that, before designating a sector, the Minister must be satisfied that the Secretary of the Department (the Treasury) has arranged for consultation and analysis about designation and published a report about that analysis and consultation. As part of its consultation, the Treasury is required to consult the Australian Competition and Consumer Commission (ACCC), the Office of the Australian Information Commissioner (OAIC), and the primary regulator of the relevant sector (section 56AE(1)(c)). Making a designation instrument cannot occur until 60 days after the publication of the report. Before making a designation instrument, the Minister must also consult the OAIC about the likely effect of the instrument on the privacy and confidentiality of consumers’ information (section 56AD(3)).</w:t>
            </w:r>
          </w:p>
          <w:p w14:paraId="37BECACF" w14:textId="5CE91FD0" w:rsidR="00D64774" w:rsidRPr="005C5613" w:rsidRDefault="00D64774" w:rsidP="00D64774">
            <w:pPr>
              <w:spacing w:before="60" w:after="60" w:line="360" w:lineRule="auto"/>
              <w:rPr>
                <w:rFonts w:ascii="Trebuchet MS" w:eastAsia="Trebuchet MS" w:hAnsi="Trebuchet MS"/>
                <w:b w:val="0"/>
                <w:bCs/>
                <w:sz w:val="22"/>
                <w:szCs w:val="22"/>
                <w:lang w:eastAsia="en-US"/>
              </w:rPr>
            </w:pPr>
          </w:p>
        </w:tc>
      </w:tr>
    </w:tbl>
    <w:p w14:paraId="5365CA09" w14:textId="77777777" w:rsidR="00D64774" w:rsidRPr="00D64774" w:rsidRDefault="00D64774" w:rsidP="00D64774">
      <w:pPr>
        <w:spacing w:line="360" w:lineRule="auto"/>
        <w:rPr>
          <w:rFonts w:ascii="Trebuchet MS" w:eastAsia="Trebuchet MS" w:hAnsi="Trebuchet MS"/>
          <w:szCs w:val="22"/>
          <w:lang w:eastAsia="en-US"/>
        </w:rPr>
      </w:pPr>
    </w:p>
    <w:p w14:paraId="0304A61F" w14:textId="77777777" w:rsidR="00D64774" w:rsidRPr="00D64774" w:rsidRDefault="00D64774" w:rsidP="00D64774">
      <w:pPr>
        <w:spacing w:before="200" w:after="0"/>
        <w:rPr>
          <w:rFonts w:ascii="Trebuchet MS" w:eastAsia="Trebuchet MS" w:hAnsi="Trebuchet MS"/>
          <w:szCs w:val="22"/>
          <w:lang w:eastAsia="en-US"/>
        </w:rPr>
      </w:pPr>
      <w:r w:rsidRPr="00D64774">
        <w:rPr>
          <w:rFonts w:ascii="Trebuchet MS" w:eastAsia="Trebuchet MS" w:hAnsi="Trebuchet MS"/>
          <w:szCs w:val="22"/>
          <w:lang w:eastAsia="en-US"/>
        </w:rPr>
        <w:br w:type="page"/>
      </w:r>
    </w:p>
    <w:tbl>
      <w:tblPr>
        <w:tblStyle w:val="ACCCTable1"/>
        <w:tblW w:w="0" w:type="auto"/>
        <w:tblLook w:val="04A0" w:firstRow="1" w:lastRow="0" w:firstColumn="1" w:lastColumn="0" w:noHBand="0" w:noVBand="1"/>
      </w:tblPr>
      <w:tblGrid>
        <w:gridCol w:w="8647"/>
      </w:tblGrid>
      <w:tr w:rsidR="00D64774" w:rsidRPr="00D64774" w14:paraId="2AD7310B" w14:textId="77777777" w:rsidTr="005F62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7" w:type="dxa"/>
            <w:tcBorders>
              <w:top w:val="nil"/>
              <w:bottom w:val="nil"/>
            </w:tcBorders>
            <w:shd w:val="clear" w:color="auto" w:fill="0D45D6"/>
          </w:tcPr>
          <w:p w14:paraId="6465A77C" w14:textId="77777777" w:rsidR="00D64774" w:rsidRPr="00D64774" w:rsidRDefault="00D64774" w:rsidP="00D64774">
            <w:pPr>
              <w:spacing w:before="240"/>
              <w:outlineLvl w:val="3"/>
              <w:rPr>
                <w:rFonts w:ascii="Trebuchet MS" w:hAnsi="Trebuchet MS"/>
                <w:bCs/>
                <w:i/>
                <w:iCs/>
                <w:color w:val="002760"/>
                <w:sz w:val="24"/>
                <w:szCs w:val="22"/>
                <w:lang w:eastAsia="en-US"/>
              </w:rPr>
            </w:pPr>
            <w:r w:rsidRPr="00D64774">
              <w:rPr>
                <w:rFonts w:ascii="Trebuchet MS" w:hAnsi="Trebuchet MS"/>
                <w:bCs/>
                <w:i/>
                <w:iCs/>
                <w:color w:val="FFFFFF"/>
                <w:sz w:val="24"/>
                <w:szCs w:val="22"/>
                <w:lang w:eastAsia="en-US"/>
              </w:rPr>
              <w:lastRenderedPageBreak/>
              <w:t>What happens after designation?</w:t>
            </w:r>
          </w:p>
        </w:tc>
      </w:tr>
      <w:tr w:rsidR="00D64774" w:rsidRPr="00D64774" w14:paraId="0FE2E94B" w14:textId="77777777" w:rsidTr="005F62B3">
        <w:tc>
          <w:tcPr>
            <w:cnfStyle w:val="001000000000" w:firstRow="0" w:lastRow="0" w:firstColumn="1" w:lastColumn="0" w:oddVBand="0" w:evenVBand="0" w:oddHBand="0" w:evenHBand="0" w:firstRowFirstColumn="0" w:firstRowLastColumn="0" w:lastRowFirstColumn="0" w:lastRowLastColumn="0"/>
            <w:tcW w:w="8647" w:type="dxa"/>
            <w:tcBorders>
              <w:top w:val="nil"/>
              <w:left w:val="nil"/>
              <w:bottom w:val="single" w:sz="4" w:space="0" w:color="auto"/>
              <w:right w:val="nil"/>
            </w:tcBorders>
            <w:tcMar>
              <w:top w:w="170" w:type="dxa"/>
              <w:left w:w="170" w:type="dxa"/>
              <w:bottom w:w="227" w:type="dxa"/>
              <w:right w:w="170" w:type="dxa"/>
            </w:tcMar>
          </w:tcPr>
          <w:p w14:paraId="00F87285" w14:textId="77777777" w:rsidR="00814989" w:rsidRPr="00F92C04" w:rsidRDefault="00814989" w:rsidP="00814989">
            <w:pPr>
              <w:spacing w:line="360" w:lineRule="auto"/>
              <w:rPr>
                <w:rFonts w:ascii="Trebuchet MS" w:eastAsia="Trebuchet MS" w:hAnsi="Trebuchet MS"/>
                <w:b w:val="0"/>
                <w:bCs/>
                <w:sz w:val="22"/>
                <w:szCs w:val="22"/>
              </w:rPr>
            </w:pPr>
            <w:r w:rsidRPr="00F92C04">
              <w:rPr>
                <w:rFonts w:ascii="Trebuchet MS" w:eastAsia="Trebuchet MS" w:hAnsi="Trebuchet MS"/>
                <w:b w:val="0"/>
                <w:bCs/>
                <w:sz w:val="22"/>
                <w:szCs w:val="22"/>
              </w:rPr>
              <w:t xml:space="preserve">A designation instrument specifies the parameters for classes of information that may be shared under the CDR in a particular sector, as well as who is required to share it. Once a sector has been designated, CDR rules and standards for that sector can be made in accordance with statutory processes, including extensive consultation requirements. </w:t>
            </w:r>
          </w:p>
          <w:p w14:paraId="564DF756" w14:textId="77777777" w:rsidR="00814989" w:rsidRPr="00F92C04" w:rsidRDefault="00814989" w:rsidP="00814989">
            <w:pPr>
              <w:spacing w:line="360" w:lineRule="auto"/>
              <w:rPr>
                <w:rFonts w:ascii="Trebuchet MS" w:eastAsia="Trebuchet MS" w:hAnsi="Trebuchet MS"/>
                <w:b w:val="0"/>
                <w:bCs/>
                <w:sz w:val="22"/>
                <w:szCs w:val="22"/>
              </w:rPr>
            </w:pPr>
            <w:r w:rsidRPr="00F92C04">
              <w:rPr>
                <w:rFonts w:ascii="Trebuchet MS" w:eastAsia="Trebuchet MS" w:hAnsi="Trebuchet MS"/>
                <w:b w:val="0"/>
                <w:bCs/>
                <w:sz w:val="22"/>
                <w:szCs w:val="22"/>
              </w:rPr>
              <w:t xml:space="preserve">Designation involves specifying ‘classes of information’ or data to be designated but designating a sector does not in itself impose substantive obligations. Rather, the requirement to disclose particular data emanates from the CDR rules, which establish what is ‘required’ CDR data that must be shared in response to a valid request, as well as what information data holders are ‘authorised’ to share on a voluntary basis. </w:t>
            </w:r>
          </w:p>
          <w:p w14:paraId="6C40E01F" w14:textId="32C78AD8" w:rsidR="00D64774" w:rsidRPr="00D64774" w:rsidRDefault="00814989" w:rsidP="00D64774">
            <w:pPr>
              <w:spacing w:before="60" w:after="60" w:line="360" w:lineRule="auto"/>
              <w:rPr>
                <w:rFonts w:ascii="Trebuchet MS" w:eastAsia="Trebuchet MS" w:hAnsi="Trebuchet MS"/>
                <w:bCs/>
                <w:szCs w:val="22"/>
                <w:lang w:eastAsia="en-US"/>
              </w:rPr>
            </w:pPr>
            <w:r w:rsidRPr="00F92C04">
              <w:rPr>
                <w:rFonts w:ascii="Trebuchet MS" w:eastAsia="Trebuchet MS" w:hAnsi="Trebuchet MS"/>
                <w:b w:val="0"/>
                <w:bCs/>
                <w:sz w:val="22"/>
                <w:szCs w:val="22"/>
              </w:rPr>
              <w:t>The rules have been developed to apply universally across sectors to the extent possible, however, sector-specific provisions and modifications are catered for in sector-specific schedules. Once designation of a sector occurs, sector-specific issues (for example, external dispute resolution arrangements specific to that sector) are considered, as well as the development of sector-specific data standards.</w:t>
            </w:r>
          </w:p>
        </w:tc>
      </w:tr>
    </w:tbl>
    <w:p w14:paraId="0F1CA89B" w14:textId="77777777" w:rsidR="00D64774" w:rsidRPr="00D64774" w:rsidRDefault="00D64774" w:rsidP="00D64774">
      <w:pPr>
        <w:tabs>
          <w:tab w:val="left" w:pos="1021"/>
        </w:tabs>
        <w:spacing w:line="360" w:lineRule="auto"/>
        <w:outlineLvl w:val="1"/>
        <w:rPr>
          <w:rFonts w:ascii="Trebuchet MS" w:hAnsi="Trebuchet MS" w:cs="Arial"/>
          <w:bCs/>
          <w:color w:val="002760"/>
          <w:sz w:val="28"/>
          <w:szCs w:val="26"/>
          <w:lang w:eastAsia="en-US"/>
        </w:rPr>
      </w:pPr>
    </w:p>
    <w:p w14:paraId="597D0B4A" w14:textId="77777777" w:rsidR="00D64774" w:rsidRPr="00D64774" w:rsidRDefault="00D64774" w:rsidP="00D64774">
      <w:pPr>
        <w:spacing w:line="360" w:lineRule="auto"/>
        <w:rPr>
          <w:rFonts w:ascii="Trebuchet MS" w:eastAsia="Trebuchet MS" w:hAnsi="Trebuchet MS"/>
          <w:szCs w:val="22"/>
          <w:lang w:eastAsia="en-US"/>
        </w:rPr>
      </w:pPr>
    </w:p>
    <w:p w14:paraId="2D26EC94" w14:textId="77777777" w:rsidR="00D64774" w:rsidRPr="00D64774" w:rsidRDefault="00D64774" w:rsidP="00D64774">
      <w:pPr>
        <w:spacing w:before="200" w:after="0"/>
        <w:rPr>
          <w:rFonts w:ascii="Trebuchet MS" w:eastAsia="Trebuchet MS" w:hAnsi="Trebuchet MS"/>
          <w:szCs w:val="22"/>
          <w:lang w:eastAsia="en-US"/>
        </w:rPr>
      </w:pPr>
      <w:r w:rsidRPr="00D64774">
        <w:rPr>
          <w:rFonts w:ascii="Trebuchet MS" w:eastAsia="Trebuchet MS" w:hAnsi="Trebuchet MS"/>
          <w:szCs w:val="22"/>
          <w:lang w:eastAsia="en-US"/>
        </w:rPr>
        <w:br w:type="page"/>
      </w:r>
    </w:p>
    <w:tbl>
      <w:tblPr>
        <w:tblStyle w:val="ACCCTable1"/>
        <w:tblW w:w="0" w:type="auto"/>
        <w:tblLook w:val="04A0" w:firstRow="1" w:lastRow="0" w:firstColumn="1" w:lastColumn="0" w:noHBand="0" w:noVBand="1"/>
      </w:tblPr>
      <w:tblGrid>
        <w:gridCol w:w="8647"/>
      </w:tblGrid>
      <w:tr w:rsidR="00D64774" w:rsidRPr="00D64774" w14:paraId="68DBFAB8" w14:textId="77777777" w:rsidTr="00D647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7" w:type="dxa"/>
            <w:shd w:val="clear" w:color="auto" w:fill="0D45D6"/>
          </w:tcPr>
          <w:p w14:paraId="494EA34F" w14:textId="77777777" w:rsidR="00D64774" w:rsidRPr="00D64774" w:rsidRDefault="00D64774" w:rsidP="00D64774">
            <w:pPr>
              <w:spacing w:before="240"/>
              <w:outlineLvl w:val="3"/>
              <w:rPr>
                <w:rFonts w:ascii="Trebuchet MS" w:hAnsi="Trebuchet MS"/>
                <w:bCs/>
                <w:i/>
                <w:iCs/>
                <w:color w:val="002760"/>
                <w:sz w:val="24"/>
                <w:szCs w:val="22"/>
                <w:lang w:eastAsia="en-US"/>
              </w:rPr>
            </w:pPr>
            <w:r w:rsidRPr="00D64774">
              <w:rPr>
                <w:rFonts w:ascii="Trebuchet MS" w:hAnsi="Trebuchet MS"/>
                <w:bCs/>
                <w:i/>
                <w:iCs/>
                <w:color w:val="FFFFFF"/>
                <w:sz w:val="24"/>
                <w:szCs w:val="22"/>
                <w:lang w:eastAsia="en-US"/>
              </w:rPr>
              <w:lastRenderedPageBreak/>
              <w:t>Which sectors has the CDR been rolled out to?</w:t>
            </w:r>
          </w:p>
        </w:tc>
      </w:tr>
      <w:tr w:rsidR="00D64774" w:rsidRPr="00D64774" w14:paraId="6CDEEC69" w14:textId="77777777" w:rsidTr="005F62B3">
        <w:tc>
          <w:tcPr>
            <w:cnfStyle w:val="001000000000" w:firstRow="0" w:lastRow="0" w:firstColumn="1" w:lastColumn="0" w:oddVBand="0" w:evenVBand="0" w:oddHBand="0" w:evenHBand="0" w:firstRowFirstColumn="0" w:firstRowLastColumn="0" w:lastRowFirstColumn="0" w:lastRowLastColumn="0"/>
            <w:tcW w:w="8647" w:type="dxa"/>
          </w:tcPr>
          <w:p w14:paraId="3730A5A1" w14:textId="77777777" w:rsidR="00A26E6E" w:rsidRPr="00947BA3" w:rsidRDefault="00A26E6E" w:rsidP="00A26E6E">
            <w:pPr>
              <w:spacing w:before="60" w:after="60" w:line="360" w:lineRule="auto"/>
              <w:rPr>
                <w:rFonts w:ascii="Trebuchet MS" w:eastAsia="Trebuchet MS" w:hAnsi="Trebuchet MS"/>
                <w:b w:val="0"/>
                <w:bCs/>
                <w:sz w:val="22"/>
                <w:szCs w:val="22"/>
                <w:lang w:eastAsia="en-US"/>
              </w:rPr>
            </w:pPr>
            <w:r w:rsidRPr="00947BA3">
              <w:rPr>
                <w:rFonts w:ascii="Trebuchet MS" w:eastAsia="Trebuchet MS" w:hAnsi="Trebuchet MS"/>
                <w:b w:val="0"/>
                <w:bCs/>
                <w:sz w:val="22"/>
                <w:szCs w:val="22"/>
                <w:lang w:eastAsia="en-US"/>
              </w:rPr>
              <w:t>The CDR framework has been designed to apply to the whole Australian economy and, to date, has been activated sector by sector: starting with banking, then energy, and then telecommunications.</w:t>
            </w:r>
          </w:p>
          <w:p w14:paraId="604EEB40" w14:textId="77777777" w:rsidR="00A26E6E" w:rsidRPr="00947BA3" w:rsidRDefault="00A26E6E" w:rsidP="00A26E6E">
            <w:pPr>
              <w:spacing w:before="60" w:after="60" w:line="360" w:lineRule="auto"/>
              <w:rPr>
                <w:rFonts w:ascii="Trebuchet MS" w:eastAsia="Trebuchet MS" w:hAnsi="Trebuchet MS"/>
                <w:b w:val="0"/>
                <w:bCs/>
                <w:sz w:val="22"/>
                <w:szCs w:val="22"/>
                <w:lang w:eastAsia="en-US"/>
              </w:rPr>
            </w:pPr>
            <w:r w:rsidRPr="00947BA3">
              <w:rPr>
                <w:rFonts w:ascii="Trebuchet MS" w:eastAsia="Trebuchet MS" w:hAnsi="Trebuchet MS"/>
                <w:b w:val="0"/>
                <w:bCs/>
                <w:sz w:val="22"/>
                <w:szCs w:val="22"/>
                <w:lang w:eastAsia="en-US"/>
              </w:rPr>
              <w:t>The CDR was first implemented in banking in July 2019 with product reference data-sharing by the four major banks. Since 1 February 2022, all banks have been required to share product and consumer data.</w:t>
            </w:r>
          </w:p>
          <w:p w14:paraId="4EA3E751" w14:textId="77777777" w:rsidR="00A26E6E" w:rsidRPr="00947BA3" w:rsidRDefault="00A26E6E" w:rsidP="00A26E6E">
            <w:pPr>
              <w:spacing w:before="60" w:after="60" w:line="360" w:lineRule="auto"/>
              <w:rPr>
                <w:rFonts w:ascii="Trebuchet MS" w:eastAsia="Trebuchet MS" w:hAnsi="Trebuchet MS"/>
                <w:b w:val="0"/>
                <w:bCs/>
                <w:sz w:val="22"/>
                <w:szCs w:val="22"/>
                <w:lang w:eastAsia="en-US"/>
              </w:rPr>
            </w:pPr>
            <w:r w:rsidRPr="00947BA3">
              <w:rPr>
                <w:rFonts w:ascii="Trebuchet MS" w:eastAsia="Trebuchet MS" w:hAnsi="Trebuchet MS"/>
                <w:b w:val="0"/>
                <w:bCs/>
                <w:sz w:val="22"/>
                <w:szCs w:val="22"/>
                <w:lang w:eastAsia="en-US"/>
              </w:rPr>
              <w:t>Sharing energy data will start from October 2022, beginning with product data to provide consumers with better information about energy products and service offerings so as to support more detailed comparison services, followed by consumer data.</w:t>
            </w:r>
          </w:p>
          <w:p w14:paraId="00EDEBF1" w14:textId="77777777" w:rsidR="00A26E6E" w:rsidRPr="00947BA3" w:rsidRDefault="00A26E6E" w:rsidP="00A26E6E">
            <w:pPr>
              <w:spacing w:before="60" w:after="60" w:line="360" w:lineRule="auto"/>
              <w:rPr>
                <w:rFonts w:ascii="Trebuchet MS" w:eastAsia="Trebuchet MS" w:hAnsi="Trebuchet MS"/>
                <w:b w:val="0"/>
                <w:bCs/>
                <w:sz w:val="22"/>
                <w:szCs w:val="22"/>
                <w:lang w:eastAsia="en-US"/>
              </w:rPr>
            </w:pPr>
            <w:r w:rsidRPr="00947BA3">
              <w:rPr>
                <w:rFonts w:ascii="Trebuchet MS" w:eastAsia="Trebuchet MS" w:hAnsi="Trebuchet MS"/>
                <w:b w:val="0"/>
                <w:bCs/>
                <w:sz w:val="22"/>
                <w:szCs w:val="22"/>
                <w:lang w:eastAsia="en-US"/>
              </w:rPr>
              <w:t>With the Minister having formally extended the CDR to the telecommunications sector on 24 January 2022, Treasury will commence consultations with industry and government stakeholders on the specific datasets to be shared, as well as the implementation timeframe.</w:t>
            </w:r>
          </w:p>
          <w:p w14:paraId="3F098FD0" w14:textId="1548693C" w:rsidR="00D64774" w:rsidRPr="006C6C55" w:rsidRDefault="00A26E6E" w:rsidP="00D64774">
            <w:pPr>
              <w:spacing w:before="60" w:after="60" w:line="360" w:lineRule="auto"/>
              <w:rPr>
                <w:rFonts w:ascii="Trebuchet MS" w:eastAsia="Trebuchet MS" w:hAnsi="Trebuchet MS"/>
                <w:b w:val="0"/>
                <w:sz w:val="22"/>
                <w:szCs w:val="22"/>
                <w:lang w:eastAsia="en-US"/>
              </w:rPr>
            </w:pPr>
            <w:r w:rsidRPr="00947BA3">
              <w:rPr>
                <w:rFonts w:ascii="Trebuchet MS" w:eastAsia="Trebuchet MS" w:hAnsi="Trebuchet MS"/>
                <w:b w:val="0"/>
                <w:bCs/>
                <w:sz w:val="22"/>
                <w:szCs w:val="22"/>
                <w:lang w:eastAsia="en-US"/>
              </w:rPr>
              <w:t>Changes made in October 2021 to support increased participation in the system also expanded the scope of who can access CDR data. Those changes empower consumers to share their data easily and securely with certain trusted professional advisers, including their accountant, tax agent, financial counsellor, financial adviser or mortgage broker. They also provide new pathways for industry participation by allowing ACCC-accredited CDR participants to sponsor other parties to become accredited or allow them to operate as their representative.</w:t>
            </w:r>
          </w:p>
        </w:tc>
      </w:tr>
    </w:tbl>
    <w:p w14:paraId="3F206DC8" w14:textId="77777777" w:rsidR="00D64774" w:rsidRPr="00D64774" w:rsidRDefault="00D64774" w:rsidP="00D64774">
      <w:pPr>
        <w:spacing w:line="360" w:lineRule="auto"/>
        <w:rPr>
          <w:rFonts w:ascii="Trebuchet MS" w:eastAsia="Trebuchet MS" w:hAnsi="Trebuchet MS"/>
          <w:szCs w:val="22"/>
          <w:lang w:eastAsia="en-US"/>
        </w:rPr>
      </w:pPr>
    </w:p>
    <w:p w14:paraId="5A207263" w14:textId="77777777" w:rsidR="00D64774" w:rsidRPr="00D64774" w:rsidRDefault="00D64774" w:rsidP="00D64774">
      <w:pPr>
        <w:spacing w:before="200" w:after="0"/>
        <w:rPr>
          <w:rFonts w:ascii="Trebuchet MS" w:eastAsia="Trebuchet MS" w:hAnsi="Trebuchet MS"/>
          <w:szCs w:val="22"/>
          <w:lang w:eastAsia="en-US"/>
        </w:rPr>
      </w:pPr>
      <w:r w:rsidRPr="00D64774">
        <w:rPr>
          <w:rFonts w:ascii="Trebuchet MS" w:eastAsia="Trebuchet MS" w:hAnsi="Trebuchet MS"/>
          <w:szCs w:val="22"/>
          <w:lang w:eastAsia="en-US"/>
        </w:rPr>
        <w:br w:type="page"/>
      </w:r>
    </w:p>
    <w:tbl>
      <w:tblPr>
        <w:tblStyle w:val="ACCCTable1"/>
        <w:tblW w:w="9779" w:type="dxa"/>
        <w:tblInd w:w="-426" w:type="dxa"/>
        <w:tblLook w:val="04A0" w:firstRow="1" w:lastRow="0" w:firstColumn="1" w:lastColumn="0" w:noHBand="0" w:noVBand="1"/>
      </w:tblPr>
      <w:tblGrid>
        <w:gridCol w:w="9779"/>
      </w:tblGrid>
      <w:tr w:rsidR="00D64774" w:rsidRPr="00D64774" w14:paraId="29E45FBD" w14:textId="77777777" w:rsidTr="005F62B3">
        <w:trPr>
          <w:cnfStyle w:val="100000000000" w:firstRow="1" w:lastRow="0" w:firstColumn="0" w:lastColumn="0" w:oddVBand="0" w:evenVBand="0" w:oddHBand="0"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9779" w:type="dxa"/>
            <w:tcBorders>
              <w:top w:val="nil"/>
              <w:bottom w:val="nil"/>
            </w:tcBorders>
            <w:shd w:val="clear" w:color="auto" w:fill="0D45D6"/>
          </w:tcPr>
          <w:p w14:paraId="58B4C487" w14:textId="77777777" w:rsidR="00D64774" w:rsidRPr="00D64774" w:rsidRDefault="00D64774" w:rsidP="00D64774">
            <w:pPr>
              <w:spacing w:before="240"/>
              <w:outlineLvl w:val="3"/>
              <w:rPr>
                <w:rFonts w:ascii="Trebuchet MS" w:hAnsi="Trebuchet MS"/>
                <w:bCs/>
                <w:i/>
                <w:iCs/>
                <w:color w:val="002760"/>
                <w:sz w:val="24"/>
                <w:szCs w:val="22"/>
                <w:lang w:eastAsia="en-US"/>
              </w:rPr>
            </w:pPr>
            <w:r w:rsidRPr="00D64774">
              <w:rPr>
                <w:rFonts w:ascii="Trebuchet MS" w:hAnsi="Trebuchet MS"/>
                <w:bCs/>
                <w:i/>
                <w:iCs/>
                <w:color w:val="FFFFFF"/>
                <w:sz w:val="24"/>
                <w:szCs w:val="22"/>
                <w:lang w:eastAsia="en-US"/>
              </w:rPr>
              <w:lastRenderedPageBreak/>
              <w:t>What are the privacy and confidentiality protections under the CDR?</w:t>
            </w:r>
          </w:p>
        </w:tc>
      </w:tr>
      <w:tr w:rsidR="00D64774" w:rsidRPr="00D64774" w14:paraId="3A9D64D3" w14:textId="77777777" w:rsidTr="005F62B3">
        <w:trPr>
          <w:trHeight w:val="11713"/>
        </w:trPr>
        <w:tc>
          <w:tcPr>
            <w:cnfStyle w:val="001000000000" w:firstRow="0" w:lastRow="0" w:firstColumn="1" w:lastColumn="0" w:oddVBand="0" w:evenVBand="0" w:oddHBand="0" w:evenHBand="0" w:firstRowFirstColumn="0" w:firstRowLastColumn="0" w:lastRowFirstColumn="0" w:lastRowLastColumn="0"/>
            <w:tcW w:w="9779" w:type="dxa"/>
            <w:tcBorders>
              <w:top w:val="nil"/>
              <w:left w:val="nil"/>
              <w:bottom w:val="single" w:sz="4" w:space="0" w:color="auto"/>
              <w:right w:val="nil"/>
            </w:tcBorders>
            <w:tcMar>
              <w:top w:w="170" w:type="dxa"/>
              <w:left w:w="170" w:type="dxa"/>
              <w:bottom w:w="227" w:type="dxa"/>
              <w:right w:w="170" w:type="dxa"/>
            </w:tcMar>
          </w:tcPr>
          <w:p w14:paraId="22B97CA5" w14:textId="77777777" w:rsidR="00A26E6E" w:rsidRPr="00947BA3" w:rsidRDefault="00A26E6E" w:rsidP="00A26E6E">
            <w:pPr>
              <w:spacing w:line="360" w:lineRule="auto"/>
              <w:rPr>
                <w:rFonts w:ascii="Trebuchet MS" w:eastAsia="Trebuchet MS" w:hAnsi="Trebuchet MS"/>
                <w:b w:val="0"/>
                <w:bCs/>
                <w:sz w:val="22"/>
                <w:szCs w:val="22"/>
              </w:rPr>
            </w:pPr>
            <w:r w:rsidRPr="00947BA3">
              <w:rPr>
                <w:rFonts w:ascii="Trebuchet MS" w:eastAsia="Trebuchet MS" w:hAnsi="Trebuchet MS"/>
                <w:b w:val="0"/>
                <w:bCs/>
                <w:sz w:val="22"/>
                <w:szCs w:val="22"/>
              </w:rPr>
              <w:t xml:space="preserve">The CDR legislative framework has in-built privacy and security protections, including the 13 Privacy Safeguards under the </w:t>
            </w:r>
            <w:r w:rsidRPr="00947BA3">
              <w:rPr>
                <w:rFonts w:ascii="Trebuchet MS" w:eastAsia="Trebuchet MS" w:hAnsi="Trebuchet MS"/>
                <w:b w:val="0"/>
                <w:bCs/>
                <w:i/>
                <w:sz w:val="22"/>
                <w:szCs w:val="22"/>
              </w:rPr>
              <w:t>Competition and Consumer Act 2010</w:t>
            </w:r>
            <w:r w:rsidRPr="00947BA3">
              <w:rPr>
                <w:rFonts w:ascii="Trebuchet MS" w:eastAsia="Trebuchet MS" w:hAnsi="Trebuchet MS"/>
                <w:b w:val="0"/>
                <w:bCs/>
                <w:sz w:val="22"/>
                <w:szCs w:val="22"/>
              </w:rPr>
              <w:t>, as well as rules that relate to the privacy and confidentiality of CDR data. The Privacy Safeguards apply to consumer data and set out privacy rights for consumers and obligations for participants (such as data holders, who disclose CDR data, and ADRs, who collect and use CDR data). The Privacy Safeguards and privacy and confidentiality related rules</w:t>
            </w:r>
            <w:r w:rsidRPr="00947BA3">
              <w:rPr>
                <w:rFonts w:ascii="Trebuchet MS" w:hAnsi="Trebuchet MS"/>
                <w:b w:val="0"/>
                <w:bCs/>
                <w:sz w:val="22"/>
                <w:szCs w:val="22"/>
              </w:rPr>
              <w:t xml:space="preserve"> include:</w:t>
            </w:r>
            <w:r w:rsidRPr="00947BA3">
              <w:rPr>
                <w:rFonts w:ascii="Trebuchet MS" w:eastAsia="Trebuchet MS" w:hAnsi="Trebuchet MS"/>
                <w:b w:val="0"/>
                <w:bCs/>
                <w:sz w:val="22"/>
                <w:szCs w:val="22"/>
              </w:rPr>
              <w:t xml:space="preserve"> </w:t>
            </w:r>
          </w:p>
          <w:p w14:paraId="40EF810F" w14:textId="77777777" w:rsidR="00A26E6E" w:rsidRPr="00947BA3" w:rsidRDefault="00A26E6E" w:rsidP="00A26E6E">
            <w:pPr>
              <w:pStyle w:val="Bulletpoint"/>
              <w:numPr>
                <w:ilvl w:val="0"/>
                <w:numId w:val="13"/>
              </w:numPr>
              <w:spacing w:after="60" w:line="360" w:lineRule="auto"/>
              <w:rPr>
                <w:rFonts w:eastAsia="Trebuchet MS"/>
                <w:b w:val="0"/>
                <w:bCs/>
                <w:sz w:val="22"/>
              </w:rPr>
            </w:pPr>
            <w:r w:rsidRPr="00947BA3">
              <w:rPr>
                <w:b w:val="0"/>
                <w:bCs/>
                <w:sz w:val="22"/>
              </w:rPr>
              <w:t xml:space="preserve">requirements for obtaining </w:t>
            </w:r>
            <w:r w:rsidRPr="00947BA3">
              <w:rPr>
                <w:rFonts w:eastAsia="Trebuchet MS"/>
                <w:b w:val="0"/>
                <w:bCs/>
                <w:sz w:val="22"/>
              </w:rPr>
              <w:t>informed consent to collect, use and disclose CDR data (including providing CDR consumers with control over the types or subsets of CDR data that is shared, to whom and for what purpose)</w:t>
            </w:r>
          </w:p>
          <w:p w14:paraId="3F37025A" w14:textId="77777777" w:rsidR="00A26E6E" w:rsidRPr="00947BA3" w:rsidRDefault="00A26E6E" w:rsidP="00A26E6E">
            <w:pPr>
              <w:pStyle w:val="Bulletpoint"/>
              <w:numPr>
                <w:ilvl w:val="0"/>
                <w:numId w:val="13"/>
              </w:numPr>
              <w:spacing w:after="60" w:line="360" w:lineRule="auto"/>
              <w:rPr>
                <w:rFonts w:eastAsia="Trebuchet MS"/>
                <w:b w:val="0"/>
                <w:bCs/>
                <w:sz w:val="22"/>
              </w:rPr>
            </w:pPr>
            <w:r w:rsidRPr="00947BA3">
              <w:rPr>
                <w:b w:val="0"/>
                <w:bCs/>
                <w:sz w:val="22"/>
              </w:rPr>
              <w:t xml:space="preserve">obligations around the </w:t>
            </w:r>
            <w:r w:rsidRPr="00947BA3">
              <w:rPr>
                <w:rFonts w:eastAsia="Trebuchet MS"/>
                <w:b w:val="0"/>
                <w:bCs/>
                <w:sz w:val="22"/>
              </w:rPr>
              <w:t>quality and integrity of consumer data</w:t>
            </w:r>
          </w:p>
          <w:p w14:paraId="3C6211BC" w14:textId="77777777" w:rsidR="00A26E6E" w:rsidRPr="00947BA3" w:rsidRDefault="00A26E6E" w:rsidP="00A26E6E">
            <w:pPr>
              <w:pStyle w:val="Bulletpoint"/>
              <w:numPr>
                <w:ilvl w:val="0"/>
                <w:numId w:val="13"/>
              </w:numPr>
              <w:spacing w:after="60" w:line="360" w:lineRule="auto"/>
              <w:rPr>
                <w:rFonts w:eastAsia="Trebuchet MS"/>
                <w:b w:val="0"/>
                <w:bCs/>
                <w:sz w:val="22"/>
              </w:rPr>
            </w:pPr>
            <w:r w:rsidRPr="00947BA3">
              <w:rPr>
                <w:b w:val="0"/>
                <w:bCs/>
                <w:sz w:val="22"/>
              </w:rPr>
              <w:t>obligations for the security of CDR data (including in relation to when CDR data must be deleted or de-identified and how), and</w:t>
            </w:r>
          </w:p>
          <w:p w14:paraId="194F2760" w14:textId="77777777" w:rsidR="00A26E6E" w:rsidRPr="00947BA3" w:rsidRDefault="00A26E6E" w:rsidP="00A26E6E">
            <w:pPr>
              <w:pStyle w:val="Bulletpoint"/>
              <w:numPr>
                <w:ilvl w:val="0"/>
                <w:numId w:val="13"/>
              </w:numPr>
              <w:spacing w:after="60" w:line="360" w:lineRule="auto"/>
              <w:rPr>
                <w:rFonts w:eastAsia="Trebuchet MS"/>
                <w:b w:val="0"/>
                <w:bCs/>
                <w:sz w:val="22"/>
              </w:rPr>
            </w:pPr>
            <w:r w:rsidRPr="00947BA3">
              <w:rPr>
                <w:b w:val="0"/>
                <w:bCs/>
                <w:sz w:val="22"/>
              </w:rPr>
              <w:t>a data minimisation principle.</w:t>
            </w:r>
          </w:p>
          <w:p w14:paraId="0CA64BB2" w14:textId="77777777" w:rsidR="00A26E6E" w:rsidRPr="00947BA3" w:rsidRDefault="00A26E6E" w:rsidP="00A26E6E">
            <w:pPr>
              <w:spacing w:line="360" w:lineRule="auto"/>
              <w:rPr>
                <w:rFonts w:ascii="Trebuchet MS" w:eastAsia="Trebuchet MS" w:hAnsi="Trebuchet MS"/>
                <w:b w:val="0"/>
                <w:bCs/>
                <w:sz w:val="22"/>
                <w:szCs w:val="22"/>
              </w:rPr>
            </w:pPr>
            <w:r w:rsidRPr="00947BA3">
              <w:rPr>
                <w:rFonts w:ascii="Trebuchet MS" w:eastAsia="Trebuchet MS" w:hAnsi="Trebuchet MS"/>
                <w:b w:val="0"/>
                <w:bCs/>
                <w:sz w:val="22"/>
                <w:szCs w:val="22"/>
              </w:rPr>
              <w:t xml:space="preserve">In addition, under the framework, parties that can collect CDR data from data holders (and then use that data) must be accredited. Accreditation indicates that a party has met the strict accreditation criteria and makes that party legally responsible for their use and disclosure of CDR data. </w:t>
            </w:r>
          </w:p>
          <w:p w14:paraId="62B29985" w14:textId="77777777" w:rsidR="00A26E6E" w:rsidRPr="00947BA3" w:rsidRDefault="00A26E6E" w:rsidP="00A26E6E">
            <w:pPr>
              <w:spacing w:line="360" w:lineRule="auto"/>
              <w:rPr>
                <w:rFonts w:ascii="Trebuchet MS" w:eastAsia="Trebuchet MS" w:hAnsi="Trebuchet MS"/>
                <w:b w:val="0"/>
                <w:bCs/>
                <w:sz w:val="22"/>
                <w:szCs w:val="22"/>
              </w:rPr>
            </w:pPr>
            <w:r w:rsidRPr="00947BA3">
              <w:rPr>
                <w:rFonts w:ascii="Trebuchet MS" w:eastAsia="Trebuchet MS" w:hAnsi="Trebuchet MS"/>
                <w:b w:val="0"/>
                <w:bCs/>
                <w:sz w:val="22"/>
                <w:szCs w:val="22"/>
              </w:rPr>
              <w:t>The Data Recipient Accreditor (currently the ACCC) can accredit persons if they meet criteria regarding insurance, being a fit and proper person, information security, and appropriate internal and external dispute resolution processes. The conduct of ADRs (as well as data holders) is also overseen by the ACCC and the OAIC. In particular, the OAIC is responsible for enforcing the Privacy Safeguards and consumer data rules that relate to those safeguards or to the privacy or confidentiality of CDR data, and provides complaint-handling for these matters.</w:t>
            </w:r>
          </w:p>
          <w:p w14:paraId="25FECA23" w14:textId="58F37D09" w:rsidR="00D64774" w:rsidRPr="00947BA3" w:rsidRDefault="00A26E6E" w:rsidP="00D64774">
            <w:pPr>
              <w:spacing w:before="60" w:after="60" w:line="360" w:lineRule="auto"/>
              <w:rPr>
                <w:rFonts w:ascii="Trebuchet MS" w:eastAsia="Trebuchet MS" w:hAnsi="Trebuchet MS"/>
                <w:b w:val="0"/>
                <w:bCs/>
                <w:sz w:val="22"/>
                <w:szCs w:val="22"/>
                <w:lang w:eastAsia="en-US"/>
              </w:rPr>
            </w:pPr>
            <w:r w:rsidRPr="00947BA3">
              <w:rPr>
                <w:rFonts w:ascii="Trebuchet MS" w:eastAsia="Trebuchet MS" w:hAnsi="Trebuchet MS"/>
                <w:b w:val="0"/>
                <w:bCs/>
                <w:sz w:val="22"/>
                <w:szCs w:val="22"/>
              </w:rPr>
              <w:t>By providing a secure framework to share data, the CDR provides a greater level of privacy protection and security to consumers than is afforded by other data-sharing methods that are currently used outside the CDR. For example, the CDR is a safer alternative to screen-scraping as it often requires consumers to disclose their username and password to a third party to receive services.</w:t>
            </w:r>
          </w:p>
        </w:tc>
      </w:tr>
    </w:tbl>
    <w:p w14:paraId="4331D0C3" w14:textId="0B5F7731" w:rsidR="00D64774" w:rsidRPr="00D64774" w:rsidRDefault="00D64774" w:rsidP="00D64774">
      <w:pPr>
        <w:spacing w:before="240" w:after="0"/>
        <w:outlineLvl w:val="3"/>
        <w:rPr>
          <w:rFonts w:ascii="Trebuchet MS" w:hAnsi="Trebuchet MS"/>
          <w:b/>
          <w:bCs/>
          <w:iCs/>
          <w:color w:val="002760"/>
          <w:sz w:val="24"/>
          <w:szCs w:val="22"/>
          <w:lang w:eastAsia="en-US"/>
        </w:rPr>
      </w:pPr>
      <w:r w:rsidRPr="00D64774">
        <w:rPr>
          <w:rFonts w:ascii="Trebuchet MS" w:hAnsi="Trebuchet MS"/>
          <w:b/>
          <w:bCs/>
          <w:iCs/>
          <w:color w:val="002760"/>
          <w:sz w:val="24"/>
          <w:szCs w:val="22"/>
          <w:lang w:eastAsia="en-US"/>
        </w:rPr>
        <w:t>For more information about the Consumer Data Right, visit cdr.gov.au</w:t>
      </w:r>
    </w:p>
    <w:sectPr w:rsidR="00D64774" w:rsidRPr="00D64774" w:rsidSect="00E1136B">
      <w:headerReference w:type="even" r:id="rId26"/>
      <w:headerReference w:type="default" r:id="rId27"/>
      <w:footerReference w:type="even" r:id="rId28"/>
      <w:footerReference w:type="default" r:id="rId29"/>
      <w:headerReference w:type="first" r:id="rId30"/>
      <w:footerReference w:type="first" r:id="rId31"/>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7A7BE" w14:textId="77777777" w:rsidR="0043516C" w:rsidRDefault="0043516C">
      <w:pPr>
        <w:spacing w:before="0" w:after="0"/>
      </w:pPr>
      <w:r>
        <w:separator/>
      </w:r>
    </w:p>
  </w:endnote>
  <w:endnote w:type="continuationSeparator" w:id="0">
    <w:p w14:paraId="1BEE84FD" w14:textId="77777777" w:rsidR="0043516C" w:rsidRDefault="0043516C">
      <w:pPr>
        <w:spacing w:before="0" w:after="0"/>
      </w:pPr>
      <w:r>
        <w:continuationSeparator/>
      </w:r>
    </w:p>
  </w:endnote>
  <w:endnote w:type="continuationNotice" w:id="1">
    <w:p w14:paraId="0166B610" w14:textId="77777777" w:rsidR="0043516C" w:rsidRDefault="0043516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4F96" w14:textId="77777777" w:rsidR="00901769" w:rsidRPr="00E77C89" w:rsidRDefault="00901769" w:rsidP="0017089D">
    <w:r>
      <w:fldChar w:fldCharType="begin"/>
    </w:r>
    <w:r>
      <w:instrText xml:space="preserve"> PAGE  \* Arabic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F17FA" w14:textId="77777777" w:rsidR="00901769" w:rsidRPr="00E77C89" w:rsidRDefault="00901769" w:rsidP="0017089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3E3A0" w14:textId="77777777" w:rsidR="00901769" w:rsidRPr="00E1136B" w:rsidRDefault="00901769" w:rsidP="00E1136B">
    <w:pPr>
      <w:pStyle w:val="Footer"/>
    </w:pPr>
    <w:r>
      <w:fldChar w:fldCharType="begin"/>
    </w:r>
    <w:r>
      <w:instrText xml:space="preserve"> PAGE   \* MERGEFORMAT </w:instrText>
    </w:r>
    <w:r>
      <w:fldChar w:fldCharType="separate"/>
    </w:r>
    <w:r>
      <w:rPr>
        <w:noProof/>
      </w:rPr>
      <w:t>2</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4D7B2" w14:textId="77777777" w:rsidR="00901769" w:rsidRDefault="00901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9AD50" w14:textId="77777777" w:rsidR="0043516C" w:rsidRDefault="0043516C">
      <w:pPr>
        <w:spacing w:before="0" w:after="0"/>
      </w:pPr>
      <w:r>
        <w:separator/>
      </w:r>
    </w:p>
  </w:footnote>
  <w:footnote w:type="continuationSeparator" w:id="0">
    <w:p w14:paraId="0DA01EB2" w14:textId="77777777" w:rsidR="0043516C" w:rsidRDefault="0043516C">
      <w:pPr>
        <w:spacing w:before="0" w:after="0"/>
      </w:pPr>
      <w:r>
        <w:continuationSeparator/>
      </w:r>
    </w:p>
  </w:footnote>
  <w:footnote w:type="continuationNotice" w:id="1">
    <w:p w14:paraId="1EE49D91" w14:textId="77777777" w:rsidR="0043516C" w:rsidRDefault="0043516C">
      <w:pPr>
        <w:spacing w:before="0" w:after="0"/>
      </w:pPr>
    </w:p>
  </w:footnote>
  <w:footnote w:id="2">
    <w:p w14:paraId="18A3965D" w14:textId="23E53345" w:rsidR="00597E3C" w:rsidRDefault="00597E3C">
      <w:pPr>
        <w:pStyle w:val="FootnoteText"/>
      </w:pPr>
      <w:r>
        <w:rPr>
          <w:rStyle w:val="FootnoteReference"/>
        </w:rPr>
        <w:footnoteRef/>
      </w:r>
      <w:r>
        <w:t xml:space="preserve"> The announcement by Minister Hume can be found here:</w:t>
      </w:r>
    </w:p>
    <w:p w14:paraId="59FDA205" w14:textId="42B2CC37" w:rsidR="00597E3C" w:rsidRDefault="0043516C">
      <w:pPr>
        <w:pStyle w:val="FootnoteText"/>
      </w:pPr>
      <w:hyperlink r:id="rId1" w:history="1">
        <w:r w:rsidR="00597E3C">
          <w:rPr>
            <w:rStyle w:val="Hyperlink"/>
          </w:rPr>
          <w:t>https://ministers.treasury.gov.au/ministers/jane-hume-2020/media-releases/statutory-review-consumer-data-right</w:t>
        </w:r>
      </w:hyperlink>
    </w:p>
  </w:footnote>
  <w:footnote w:id="3">
    <w:p w14:paraId="5786EA38" w14:textId="71E5B7F4" w:rsidR="001D299D" w:rsidRPr="002A48CC" w:rsidRDefault="001D299D">
      <w:pPr>
        <w:pStyle w:val="FootnoteText"/>
      </w:pPr>
      <w:r>
        <w:rPr>
          <w:rStyle w:val="FootnoteReference"/>
        </w:rPr>
        <w:footnoteRef/>
      </w:r>
      <w:r>
        <w:t xml:space="preserve"> The Government </w:t>
      </w:r>
      <w:r w:rsidR="00DA68C2">
        <w:t>r</w:t>
      </w:r>
      <w:r>
        <w:t xml:space="preserve">esponse to the </w:t>
      </w:r>
      <w:r w:rsidRPr="008E51F1">
        <w:rPr>
          <w:rFonts w:asciiTheme="majorHAnsi" w:hAnsiTheme="majorHAnsi" w:cstheme="majorHAnsi"/>
          <w:i/>
          <w:iCs/>
          <w:color w:val="313131"/>
          <w:szCs w:val="22"/>
        </w:rPr>
        <w:t>Inquiry into Future Directions for the Consumer Data Right</w:t>
      </w:r>
      <w:r w:rsidR="002A48CC">
        <w:rPr>
          <w:rFonts w:asciiTheme="majorHAnsi" w:hAnsiTheme="majorHAnsi" w:cstheme="majorHAnsi"/>
          <w:color w:val="313131"/>
          <w:szCs w:val="22"/>
        </w:rPr>
        <w:t xml:space="preserve">, December 2021, </w:t>
      </w:r>
      <w:hyperlink r:id="rId2" w:history="1">
        <w:r w:rsidR="002A48CC" w:rsidRPr="00D23DFA">
          <w:rPr>
            <w:rStyle w:val="Hyperlink"/>
            <w:rFonts w:asciiTheme="majorHAnsi" w:hAnsiTheme="majorHAnsi" w:cstheme="majorHAnsi"/>
            <w:szCs w:val="22"/>
          </w:rPr>
          <w:t>https://treasury.gov.au/publication/p2021-225462</w:t>
        </w:r>
      </w:hyperlink>
      <w:r w:rsidR="002A48CC">
        <w:rPr>
          <w:rFonts w:asciiTheme="majorHAnsi" w:hAnsiTheme="majorHAnsi" w:cstheme="majorHAnsi"/>
          <w:color w:val="313131"/>
          <w:szCs w:val="22"/>
        </w:rPr>
        <w:t xml:space="preserve"> </w:t>
      </w:r>
    </w:p>
  </w:footnote>
  <w:footnote w:id="4">
    <w:p w14:paraId="740221A4" w14:textId="14CEFD62" w:rsidR="001D299D" w:rsidRPr="001D299D" w:rsidRDefault="001D299D">
      <w:pPr>
        <w:pStyle w:val="FootnoteText"/>
      </w:pPr>
      <w:r>
        <w:rPr>
          <w:rStyle w:val="FootnoteReference"/>
        </w:rPr>
        <w:footnoteRef/>
      </w:r>
      <w:r>
        <w:t xml:space="preserve"> The final report of the </w:t>
      </w:r>
      <w:r w:rsidRPr="008E51F1">
        <w:rPr>
          <w:rFonts w:asciiTheme="majorHAnsi" w:hAnsiTheme="majorHAnsi" w:cstheme="majorHAnsi"/>
          <w:i/>
          <w:iCs/>
          <w:color w:val="313131"/>
          <w:szCs w:val="22"/>
        </w:rPr>
        <w:t>Inquiry into Future Directions for the Consumer Data Right</w:t>
      </w:r>
      <w:r>
        <w:rPr>
          <w:rFonts w:asciiTheme="majorHAnsi" w:hAnsiTheme="majorHAnsi" w:cstheme="majorHAnsi"/>
          <w:i/>
          <w:iCs/>
          <w:color w:val="313131"/>
          <w:szCs w:val="22"/>
        </w:rPr>
        <w:t xml:space="preserve">, </w:t>
      </w:r>
      <w:r w:rsidR="002A48CC">
        <w:rPr>
          <w:rFonts w:asciiTheme="majorHAnsi" w:hAnsiTheme="majorHAnsi" w:cstheme="majorHAnsi"/>
          <w:color w:val="313131"/>
          <w:szCs w:val="22"/>
        </w:rPr>
        <w:t xml:space="preserve">December 2020, </w:t>
      </w:r>
      <w:hyperlink r:id="rId3" w:history="1">
        <w:r w:rsidR="002A48CC" w:rsidRPr="00D23DFA">
          <w:rPr>
            <w:rStyle w:val="Hyperlink"/>
            <w:rFonts w:asciiTheme="majorHAnsi" w:hAnsiTheme="majorHAnsi" w:cstheme="majorHAnsi"/>
            <w:szCs w:val="22"/>
          </w:rPr>
          <w:t>https://treasury.gov.au/publication/inquiry-future-directions-consumer-data-right-final-report</w:t>
        </w:r>
      </w:hyperlink>
      <w:r w:rsidR="002A48CC">
        <w:rPr>
          <w:rFonts w:asciiTheme="majorHAnsi" w:hAnsiTheme="majorHAnsi" w:cstheme="majorHAnsi"/>
          <w:color w:val="313131"/>
          <w:szCs w:val="22"/>
        </w:rPr>
        <w:t xml:space="preserve"> </w:t>
      </w:r>
    </w:p>
  </w:footnote>
  <w:footnote w:id="5">
    <w:p w14:paraId="21D1F849" w14:textId="4E975196" w:rsidR="00A75A1C" w:rsidRPr="00A75A1C" w:rsidRDefault="00A75A1C">
      <w:pPr>
        <w:pStyle w:val="FootnoteText"/>
      </w:pPr>
      <w:r>
        <w:rPr>
          <w:rStyle w:val="FootnoteReference"/>
        </w:rPr>
        <w:footnoteRef/>
      </w:r>
      <w:r>
        <w:t xml:space="preserve"> Further content concerning the </w:t>
      </w:r>
      <w:r>
        <w:rPr>
          <w:i/>
          <w:iCs/>
        </w:rPr>
        <w:t xml:space="preserve">Digital Economy Strategy </w:t>
      </w:r>
      <w:r w:rsidR="002A48CC">
        <w:t>can be found here</w:t>
      </w:r>
      <w:r>
        <w:t xml:space="preserve">: </w:t>
      </w:r>
      <w:hyperlink r:id="rId4" w:history="1">
        <w:r w:rsidRPr="00D23DFA">
          <w:rPr>
            <w:rStyle w:val="Hyperlink"/>
          </w:rPr>
          <w:t>https://digitaleconomy.pmc.gov.au/</w:t>
        </w:r>
      </w:hyperlink>
      <w:r>
        <w:t xml:space="preserve">  </w:t>
      </w:r>
    </w:p>
  </w:footnote>
  <w:footnote w:id="6">
    <w:p w14:paraId="5B0897E4" w14:textId="2C173F78" w:rsidR="00276097" w:rsidRDefault="00276097">
      <w:pPr>
        <w:pStyle w:val="FootnoteText"/>
      </w:pPr>
      <w:r>
        <w:rPr>
          <w:rStyle w:val="FootnoteReference"/>
        </w:rPr>
        <w:footnoteRef/>
      </w:r>
      <w:r>
        <w:t xml:space="preserve"> Further content concerning the </w:t>
      </w:r>
      <w:r w:rsidRPr="00015397">
        <w:rPr>
          <w:i/>
          <w:iCs/>
        </w:rPr>
        <w:t>Australian Data</w:t>
      </w:r>
      <w:r>
        <w:rPr>
          <w:i/>
          <w:iCs/>
        </w:rPr>
        <w:t xml:space="preserve"> Strategy </w:t>
      </w:r>
      <w:r>
        <w:t xml:space="preserve">can be found here: </w:t>
      </w:r>
      <w:hyperlink r:id="rId5" w:history="1">
        <w:r w:rsidRPr="00D23DFA">
          <w:rPr>
            <w:rStyle w:val="Hyperlink"/>
          </w:rPr>
          <w:t>https://ausdatastrategy.pmc.gov.au/</w:t>
        </w:r>
      </w:hyperlink>
      <w:r>
        <w:t xml:space="preserve"> </w:t>
      </w:r>
    </w:p>
  </w:footnote>
  <w:footnote w:id="7">
    <w:p w14:paraId="5D6FDC3E" w14:textId="16339B32" w:rsidR="002A48CC" w:rsidRPr="00DA68C2" w:rsidRDefault="002A48CC">
      <w:pPr>
        <w:pStyle w:val="FootnoteText"/>
      </w:pPr>
      <w:r>
        <w:rPr>
          <w:rStyle w:val="FootnoteReference"/>
        </w:rPr>
        <w:footnoteRef/>
      </w:r>
      <w:r>
        <w:t xml:space="preserve"> The consultation paper and </w:t>
      </w:r>
      <w:r>
        <w:rPr>
          <w:i/>
          <w:iCs/>
        </w:rPr>
        <w:t xml:space="preserve">Strategic Assessment Outcomes </w:t>
      </w:r>
      <w:r>
        <w:t xml:space="preserve">report can be found here: </w:t>
      </w:r>
      <w:hyperlink r:id="rId6" w:history="1">
        <w:r w:rsidRPr="00D23DFA">
          <w:rPr>
            <w:rStyle w:val="Hyperlink"/>
          </w:rPr>
          <w:t>https://treasury.gov.au/publication/p2022-242997</w:t>
        </w:r>
      </w:hyperlink>
      <w:r>
        <w:t xml:space="preserve"> </w:t>
      </w:r>
    </w:p>
  </w:footnote>
  <w:footnote w:id="8">
    <w:p w14:paraId="79DD076E" w14:textId="04628CD8" w:rsidR="002A48CC" w:rsidRDefault="002A48CC">
      <w:pPr>
        <w:pStyle w:val="FootnoteText"/>
      </w:pPr>
      <w:r>
        <w:rPr>
          <w:rStyle w:val="FootnoteReference"/>
        </w:rPr>
        <w:footnoteRef/>
      </w:r>
      <w:r>
        <w:t xml:space="preserve"> </w:t>
      </w:r>
      <w:r w:rsidR="006465CA">
        <w:t xml:space="preserve">Refer: </w:t>
      </w:r>
      <w:r w:rsidRPr="00015397">
        <w:rPr>
          <w:i/>
          <w:iCs/>
        </w:rPr>
        <w:t>Data Availability and Use – Productivity Commission Inquiry Report</w:t>
      </w:r>
      <w:r w:rsidRPr="002A48CC">
        <w:t>, No. 82,</w:t>
      </w:r>
      <w:r w:rsidR="006465CA">
        <w:t xml:space="preserve"> </w:t>
      </w:r>
      <w:r w:rsidRPr="002A48CC">
        <w:t>March 2017,</w:t>
      </w:r>
      <w:r w:rsidR="006465CA">
        <w:t xml:space="preserve"> </w:t>
      </w:r>
      <w:hyperlink r:id="rId7" w:history="1">
        <w:r w:rsidR="006465CA" w:rsidRPr="00DA68C2">
          <w:rPr>
            <w:rStyle w:val="Hyperlink"/>
          </w:rPr>
          <w:t>https://www.pc.gov.au/inquiries/completed/data-access/report/data-access.pdf</w:t>
        </w:r>
      </w:hyperlink>
      <w:r w:rsidR="006465CA">
        <w:t xml:space="preserve"> </w:t>
      </w:r>
    </w:p>
  </w:footnote>
  <w:footnote w:id="9">
    <w:p w14:paraId="1E6A4E63" w14:textId="41CA2E64" w:rsidR="006465CA" w:rsidRPr="00DA68C2" w:rsidRDefault="006465CA">
      <w:pPr>
        <w:pStyle w:val="FootnoteText"/>
      </w:pPr>
      <w:r>
        <w:rPr>
          <w:rStyle w:val="FootnoteReference"/>
        </w:rPr>
        <w:footnoteRef/>
      </w:r>
      <w:r>
        <w:t xml:space="preserve"> Final report of the </w:t>
      </w:r>
      <w:r>
        <w:rPr>
          <w:i/>
          <w:iCs/>
        </w:rPr>
        <w:t xml:space="preserve">Review into Open Banking, </w:t>
      </w:r>
      <w:hyperlink r:id="rId8" w:history="1">
        <w:r w:rsidRPr="00015397">
          <w:rPr>
            <w:rStyle w:val="Hyperlink"/>
          </w:rPr>
          <w:t>https://treasury.gov.au/consultation/c2018-t247313</w:t>
        </w:r>
      </w:hyperlink>
      <w:r>
        <w:rPr>
          <w:i/>
          <w:iCs/>
        </w:rPr>
        <w:t xml:space="preserve"> </w:t>
      </w:r>
    </w:p>
  </w:footnote>
  <w:footnote w:id="10">
    <w:p w14:paraId="3176A43C" w14:textId="59B86251" w:rsidR="00F42F34" w:rsidRDefault="002D6A0F">
      <w:pPr>
        <w:pStyle w:val="FootnoteText"/>
      </w:pPr>
      <w:r>
        <w:rPr>
          <w:rStyle w:val="FootnoteReference"/>
        </w:rPr>
        <w:footnoteRef/>
      </w:r>
      <w:r>
        <w:t xml:space="preserve"> Refer to</w:t>
      </w:r>
      <w:r w:rsidR="00061087" w:rsidRPr="00061087">
        <w:t xml:space="preserve"> </w:t>
      </w:r>
      <w:r w:rsidR="00061087">
        <w:t xml:space="preserve">Telstra’s </w:t>
      </w:r>
      <w:r w:rsidR="00061087" w:rsidRPr="003946CC">
        <w:rPr>
          <w:i/>
          <w:iCs/>
        </w:rPr>
        <w:t>Embracing the Digital Economy in Australia</w:t>
      </w:r>
      <w:r w:rsidR="00061087" w:rsidRPr="00061087">
        <w:t xml:space="preserve"> report</w:t>
      </w:r>
      <w:r w:rsidR="00061087">
        <w:t>,</w:t>
      </w:r>
      <w:r>
        <w:t xml:space="preserve"> </w:t>
      </w:r>
      <w:hyperlink r:id="rId9" w:history="1">
        <w:r w:rsidR="00F42F34" w:rsidRPr="0087785D">
          <w:rPr>
            <w:rStyle w:val="Hyperlink"/>
          </w:rPr>
          <w:t>https://www.telstra.com.au/business-enterprise/news-research/research/the-digital-economy-report</w:t>
        </w:r>
      </w:hyperlink>
    </w:p>
  </w:footnote>
  <w:footnote w:id="11">
    <w:p w14:paraId="1A86D370" w14:textId="4D205086" w:rsidR="00F42F34" w:rsidRDefault="00F42F34">
      <w:pPr>
        <w:pStyle w:val="FootnoteText"/>
      </w:pPr>
      <w:r>
        <w:rPr>
          <w:rStyle w:val="FootnoteReference"/>
        </w:rPr>
        <w:footnoteRef/>
      </w:r>
      <w:r>
        <w:t xml:space="preserve"> McKinsey (2020) </w:t>
      </w:r>
      <w:r w:rsidRPr="003946CC">
        <w:rPr>
          <w:i/>
          <w:iCs/>
        </w:rPr>
        <w:t>The COVID-19 recovery will be digital: A plan for the first 90 days</w:t>
      </w:r>
      <w:r>
        <w:t xml:space="preserve">, </w:t>
      </w:r>
      <w:hyperlink r:id="rId10" w:history="1">
        <w:r w:rsidR="00E96A04" w:rsidRPr="008655D1">
          <w:rPr>
            <w:rStyle w:val="Hyperlink"/>
          </w:rPr>
          <w:t>https://www.mckinsey.com/business-functions/mckinsey-digital/our-insights/the-covid-19-recoverywill-be-digital-a-plan-for-the-first-90-days</w:t>
        </w:r>
      </w:hyperlink>
      <w:r w:rsidR="00E96A04">
        <w:t xml:space="preserve">  </w:t>
      </w:r>
      <w:r>
        <w:t xml:space="preserve"> </w:t>
      </w:r>
    </w:p>
  </w:footnote>
  <w:footnote w:id="12">
    <w:p w14:paraId="47962203" w14:textId="134F4F13" w:rsidR="00F67D63" w:rsidRDefault="00F67D63" w:rsidP="00F67D63">
      <w:pPr>
        <w:pStyle w:val="FootnoteText"/>
      </w:pPr>
      <w:r>
        <w:rPr>
          <w:rStyle w:val="FootnoteReference"/>
        </w:rPr>
        <w:footnoteRef/>
      </w:r>
      <w:r>
        <w:t xml:space="preserve"> For the objects, refer: s</w:t>
      </w:r>
      <w:r w:rsidRPr="005F0B4A">
        <w:t xml:space="preserve"> 56AA, Part IVD,</w:t>
      </w:r>
      <w:r>
        <w:t xml:space="preserve"> </w:t>
      </w:r>
      <w:r w:rsidRPr="005F0B4A">
        <w:rPr>
          <w:i/>
          <w:iCs/>
        </w:rPr>
        <w:t>Competition and Consumer Act 2010</w:t>
      </w:r>
      <w:r>
        <w:t>.</w:t>
      </w:r>
      <w:r w:rsidDel="00934E1A">
        <w:t xml:space="preserve"> </w:t>
      </w:r>
    </w:p>
  </w:footnote>
  <w:footnote w:id="13">
    <w:p w14:paraId="6DC949BE" w14:textId="6950C23B" w:rsidR="003A3014" w:rsidRDefault="003A3014">
      <w:pPr>
        <w:pStyle w:val="FootnoteText"/>
      </w:pPr>
      <w:r>
        <w:rPr>
          <w:rStyle w:val="FootnoteReference"/>
        </w:rPr>
        <w:footnoteRef/>
      </w:r>
      <w:r>
        <w:t xml:space="preserve"> </w:t>
      </w:r>
      <w:r w:rsidR="004338F4">
        <w:t>Sections 56BA, 56BB, and</w:t>
      </w:r>
      <w:r>
        <w:t xml:space="preserve"> </w:t>
      </w:r>
      <w:r w:rsidR="004338F4">
        <w:t>s</w:t>
      </w:r>
      <w:r w:rsidR="004338F4" w:rsidRPr="003A3014">
        <w:t xml:space="preserve">ubparagraph </w:t>
      </w:r>
      <w:r w:rsidRPr="003A3014">
        <w:t>56</w:t>
      </w:r>
      <w:r w:rsidR="00D23DF8">
        <w:t>BC</w:t>
      </w:r>
      <w:r w:rsidRPr="003A3014">
        <w:t xml:space="preserve">(1)(a)(ii) </w:t>
      </w:r>
      <w:r w:rsidR="004338F4">
        <w:t>of the Act enable Rules requiring</w:t>
      </w:r>
      <w:r w:rsidRPr="003A3014">
        <w:t xml:space="preserve"> the disclosure of CDR data to the CDR consumer by a CDR participant for use as the CDR consumer sees fit.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A513A" w14:textId="04B993BB" w:rsidR="00901769" w:rsidRDefault="00901769" w:rsidP="003D74E7">
    <w:pPr>
      <w:pStyle w:val="Header"/>
      <w:ind w:right="2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5CA16" w14:textId="77777777" w:rsidR="00901769" w:rsidRPr="001F3912" w:rsidRDefault="00901769" w:rsidP="0017089D">
    <w:r>
      <w:fldChar w:fldCharType="begin"/>
    </w:r>
    <w:r>
      <w:instrText xml:space="preserve"> macrobutton nomacro [Click and add Publication Title]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49962" w14:textId="77777777" w:rsidR="00901769" w:rsidRPr="001F3912" w:rsidRDefault="00901769" w:rsidP="0017089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71BBC" w14:textId="77777777" w:rsidR="00901769" w:rsidRPr="001F3912" w:rsidRDefault="00901769" w:rsidP="0017089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F892F" w14:textId="434A38DD" w:rsidR="00901769" w:rsidRPr="001F3912" w:rsidRDefault="00901769" w:rsidP="001606CF">
    <w:pPr>
      <w:pStyle w:val="Header"/>
    </w:pPr>
    <w:r>
      <w:rPr>
        <w:lang w:val="en-US"/>
      </w:rPr>
      <w:t>Statutory Review of the Consumer Data Right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EC2A" w14:textId="77777777" w:rsidR="00901769" w:rsidRDefault="009017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1E848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0372E1"/>
    <w:multiLevelType w:val="multilevel"/>
    <w:tmpl w:val="00A88ED2"/>
    <w:name w:val="StandardNumberedList"/>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1056A7"/>
    <w:multiLevelType w:val="hybridMultilevel"/>
    <w:tmpl w:val="1B12E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15358D"/>
    <w:multiLevelType w:val="hybridMultilevel"/>
    <w:tmpl w:val="25A6DA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7130D7C"/>
    <w:multiLevelType w:val="hybridMultilevel"/>
    <w:tmpl w:val="569863A8"/>
    <w:lvl w:ilvl="0" w:tplc="9FF2B19C">
      <w:start w:val="23"/>
      <w:numFmt w:val="bullet"/>
      <w:lvlText w:val=""/>
      <w:lvlJc w:val="left"/>
      <w:pPr>
        <w:ind w:left="360" w:hanging="360"/>
      </w:pPr>
      <w:rPr>
        <w:rFonts w:ascii="Symbol" w:eastAsiaTheme="minorHAnsi" w:hAnsi="Symbol"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7" w15:restartNumberingAfterBreak="0">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EDB27AE"/>
    <w:multiLevelType w:val="hybridMultilevel"/>
    <w:tmpl w:val="0682FC8E"/>
    <w:lvl w:ilvl="0" w:tplc="F368A81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EE3DEA"/>
    <w:multiLevelType w:val="hybridMultilevel"/>
    <w:tmpl w:val="D8721B4A"/>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51D28F8"/>
    <w:multiLevelType w:val="hybridMultilevel"/>
    <w:tmpl w:val="B3DC8EB4"/>
    <w:lvl w:ilvl="0" w:tplc="9360338E">
      <w:numFmt w:val="bullet"/>
      <w:lvlText w:val="•"/>
      <w:lvlJc w:val="left"/>
      <w:pPr>
        <w:ind w:left="720" w:hanging="360"/>
      </w:pPr>
      <w:rPr>
        <w:rFonts w:ascii="Trebuchet MS" w:eastAsiaTheme="minorHAnsi" w:hAnsi="Trebuchet M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38052D"/>
    <w:multiLevelType w:val="hybridMultilevel"/>
    <w:tmpl w:val="65C21F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6CC4E5D"/>
    <w:multiLevelType w:val="multilevel"/>
    <w:tmpl w:val="D10E9CF6"/>
    <w:numStyleLink w:val="OneLevelList"/>
  </w:abstractNum>
  <w:abstractNum w:abstractNumId="14" w15:restartNumberingAfterBreak="0">
    <w:nsid w:val="179D0824"/>
    <w:multiLevelType w:val="hybridMultilevel"/>
    <w:tmpl w:val="14DE0C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8384288"/>
    <w:multiLevelType w:val="multilevel"/>
    <w:tmpl w:val="8DA69C80"/>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9225FC3"/>
    <w:multiLevelType w:val="hybridMultilevel"/>
    <w:tmpl w:val="14848DAA"/>
    <w:lvl w:ilvl="0" w:tplc="9360338E">
      <w:numFmt w:val="bullet"/>
      <w:lvlText w:val="•"/>
      <w:lvlJc w:val="left"/>
      <w:pPr>
        <w:ind w:left="720" w:hanging="360"/>
      </w:pPr>
      <w:rPr>
        <w:rFonts w:ascii="Trebuchet MS" w:eastAsiaTheme="minorHAnsi" w:hAnsi="Trebuchet M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6A5BB3"/>
    <w:multiLevelType w:val="multilevel"/>
    <w:tmpl w:val="FA9E4CAC"/>
    <w:lvl w:ilvl="0">
      <w:start w:val="1"/>
      <w:numFmt w:val="decimal"/>
      <w:lvlRestart w:val="0"/>
      <w:lvlText w:val="%1."/>
      <w:lvlJc w:val="left"/>
      <w:pPr>
        <w:tabs>
          <w:tab w:val="num" w:pos="567"/>
        </w:tabs>
        <w:ind w:left="567" w:hanging="567"/>
      </w:pPr>
      <w:rPr>
        <w:b w:val="0"/>
        <w:i w:val="0"/>
      </w:rPr>
    </w:lvl>
    <w:lvl w:ilvl="1">
      <w:start w:val="1"/>
      <w:numFmt w:val="decimal"/>
      <w:lvlText w:val="%1.%2."/>
      <w:lvlJc w:val="left"/>
      <w:pPr>
        <w:tabs>
          <w:tab w:val="num" w:pos="1134"/>
        </w:tabs>
        <w:ind w:left="1134" w:hanging="567"/>
      </w:pPr>
      <w:rPr>
        <w:b w:val="0"/>
        <w:i w:val="0"/>
      </w:rPr>
    </w:lvl>
    <w:lvl w:ilvl="2">
      <w:start w:val="1"/>
      <w:numFmt w:val="decimal"/>
      <w:lvlText w:val="%1.%2.%3."/>
      <w:lvlJc w:val="left"/>
      <w:pPr>
        <w:tabs>
          <w:tab w:val="num" w:pos="1701"/>
        </w:tabs>
        <w:ind w:left="1701" w:hanging="567"/>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9" w15:restartNumberingAfterBreak="0">
    <w:nsid w:val="27826BF0"/>
    <w:multiLevelType w:val="multilevel"/>
    <w:tmpl w:val="2A44CE48"/>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Numbered111"/>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1" w15:restartNumberingAfterBreak="0">
    <w:nsid w:val="3238442C"/>
    <w:multiLevelType w:val="multilevel"/>
    <w:tmpl w:val="FEB87FB6"/>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7283E38"/>
    <w:multiLevelType w:val="hybridMultilevel"/>
    <w:tmpl w:val="54F258F6"/>
    <w:lvl w:ilvl="0" w:tplc="652EFE4E">
      <w:start w:val="1"/>
      <w:numFmt w:val="bullet"/>
      <w:lvlText w:val=""/>
      <w:lvlJc w:val="left"/>
      <w:pPr>
        <w:tabs>
          <w:tab w:val="num" w:pos="720"/>
        </w:tabs>
        <w:ind w:left="720" w:hanging="360"/>
      </w:pPr>
      <w:rPr>
        <w:rFonts w:ascii="Symbol" w:hAnsi="Symbol" w:hint="default"/>
      </w:rPr>
    </w:lvl>
    <w:lvl w:ilvl="1" w:tplc="95BE30E0" w:tentative="1">
      <w:start w:val="1"/>
      <w:numFmt w:val="bullet"/>
      <w:lvlText w:val=""/>
      <w:lvlJc w:val="left"/>
      <w:pPr>
        <w:tabs>
          <w:tab w:val="num" w:pos="1440"/>
        </w:tabs>
        <w:ind w:left="1440" w:hanging="360"/>
      </w:pPr>
      <w:rPr>
        <w:rFonts w:ascii="Symbol" w:hAnsi="Symbol" w:hint="default"/>
      </w:rPr>
    </w:lvl>
    <w:lvl w:ilvl="2" w:tplc="83DE5834" w:tentative="1">
      <w:start w:val="1"/>
      <w:numFmt w:val="bullet"/>
      <w:lvlText w:val=""/>
      <w:lvlJc w:val="left"/>
      <w:pPr>
        <w:tabs>
          <w:tab w:val="num" w:pos="2160"/>
        </w:tabs>
        <w:ind w:left="2160" w:hanging="360"/>
      </w:pPr>
      <w:rPr>
        <w:rFonts w:ascii="Symbol" w:hAnsi="Symbol" w:hint="default"/>
      </w:rPr>
    </w:lvl>
    <w:lvl w:ilvl="3" w:tplc="289C6CB4" w:tentative="1">
      <w:start w:val="1"/>
      <w:numFmt w:val="bullet"/>
      <w:lvlText w:val=""/>
      <w:lvlJc w:val="left"/>
      <w:pPr>
        <w:tabs>
          <w:tab w:val="num" w:pos="2880"/>
        </w:tabs>
        <w:ind w:left="2880" w:hanging="360"/>
      </w:pPr>
      <w:rPr>
        <w:rFonts w:ascii="Symbol" w:hAnsi="Symbol" w:hint="default"/>
      </w:rPr>
    </w:lvl>
    <w:lvl w:ilvl="4" w:tplc="BB869A60" w:tentative="1">
      <w:start w:val="1"/>
      <w:numFmt w:val="bullet"/>
      <w:lvlText w:val=""/>
      <w:lvlJc w:val="left"/>
      <w:pPr>
        <w:tabs>
          <w:tab w:val="num" w:pos="3600"/>
        </w:tabs>
        <w:ind w:left="3600" w:hanging="360"/>
      </w:pPr>
      <w:rPr>
        <w:rFonts w:ascii="Symbol" w:hAnsi="Symbol" w:hint="default"/>
      </w:rPr>
    </w:lvl>
    <w:lvl w:ilvl="5" w:tplc="E87A2A6A" w:tentative="1">
      <w:start w:val="1"/>
      <w:numFmt w:val="bullet"/>
      <w:lvlText w:val=""/>
      <w:lvlJc w:val="left"/>
      <w:pPr>
        <w:tabs>
          <w:tab w:val="num" w:pos="4320"/>
        </w:tabs>
        <w:ind w:left="4320" w:hanging="360"/>
      </w:pPr>
      <w:rPr>
        <w:rFonts w:ascii="Symbol" w:hAnsi="Symbol" w:hint="default"/>
      </w:rPr>
    </w:lvl>
    <w:lvl w:ilvl="6" w:tplc="6FD24448" w:tentative="1">
      <w:start w:val="1"/>
      <w:numFmt w:val="bullet"/>
      <w:lvlText w:val=""/>
      <w:lvlJc w:val="left"/>
      <w:pPr>
        <w:tabs>
          <w:tab w:val="num" w:pos="5040"/>
        </w:tabs>
        <w:ind w:left="5040" w:hanging="360"/>
      </w:pPr>
      <w:rPr>
        <w:rFonts w:ascii="Symbol" w:hAnsi="Symbol" w:hint="default"/>
      </w:rPr>
    </w:lvl>
    <w:lvl w:ilvl="7" w:tplc="C9CC1C56" w:tentative="1">
      <w:start w:val="1"/>
      <w:numFmt w:val="bullet"/>
      <w:lvlText w:val=""/>
      <w:lvlJc w:val="left"/>
      <w:pPr>
        <w:tabs>
          <w:tab w:val="num" w:pos="5760"/>
        </w:tabs>
        <w:ind w:left="5760" w:hanging="360"/>
      </w:pPr>
      <w:rPr>
        <w:rFonts w:ascii="Symbol" w:hAnsi="Symbol" w:hint="default"/>
      </w:rPr>
    </w:lvl>
    <w:lvl w:ilvl="8" w:tplc="5994FE10"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3B777CC3"/>
    <w:multiLevelType w:val="hybridMultilevel"/>
    <w:tmpl w:val="92B6D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C554A3D"/>
    <w:multiLevelType w:val="multilevel"/>
    <w:tmpl w:val="43023580"/>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FBD7996"/>
    <w:multiLevelType w:val="multilevel"/>
    <w:tmpl w:val="5DE0EFA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eastAsiaTheme="minorHAnsi" w:hAnsi="Times New Roman" w:cs="Times New Roman"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30844AC"/>
    <w:multiLevelType w:val="hybridMultilevel"/>
    <w:tmpl w:val="90BC06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4DA1C58"/>
    <w:multiLevelType w:val="hybridMultilevel"/>
    <w:tmpl w:val="2732F1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10D2021"/>
    <w:multiLevelType w:val="multilevel"/>
    <w:tmpl w:val="72F8140E"/>
    <w:numStyleLink w:val="OutlineList"/>
  </w:abstractNum>
  <w:abstractNum w:abstractNumId="30" w15:restartNumberingAfterBreak="0">
    <w:nsid w:val="65FC491A"/>
    <w:multiLevelType w:val="multilevel"/>
    <w:tmpl w:val="81505B2A"/>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8FF4C35"/>
    <w:multiLevelType w:val="hybridMultilevel"/>
    <w:tmpl w:val="0C6C04A4"/>
    <w:lvl w:ilvl="0" w:tplc="5D5C01E6">
      <w:numFmt w:val="bullet"/>
      <w:lvlText w:val=""/>
      <w:lvlJc w:val="left"/>
      <w:pPr>
        <w:ind w:left="1080" w:hanging="360"/>
      </w:pPr>
      <w:rPr>
        <w:rFonts w:ascii="Symbol" w:eastAsia="Times New Roman" w:hAnsi="Symbol" w:cs="Times New Roman" w:hint="default"/>
      </w:rPr>
    </w:lvl>
    <w:lvl w:ilvl="1" w:tplc="27984542" w:tentative="1">
      <w:start w:val="1"/>
      <w:numFmt w:val="bullet"/>
      <w:lvlText w:val="o"/>
      <w:lvlJc w:val="left"/>
      <w:pPr>
        <w:ind w:left="1800" w:hanging="360"/>
      </w:pPr>
      <w:rPr>
        <w:rFonts w:ascii="Courier New" w:hAnsi="Courier New" w:cs="Courier New" w:hint="default"/>
      </w:rPr>
    </w:lvl>
    <w:lvl w:ilvl="2" w:tplc="816482D8" w:tentative="1">
      <w:start w:val="1"/>
      <w:numFmt w:val="bullet"/>
      <w:lvlText w:val=""/>
      <w:lvlJc w:val="left"/>
      <w:pPr>
        <w:ind w:left="2520" w:hanging="360"/>
      </w:pPr>
      <w:rPr>
        <w:rFonts w:ascii="Wingdings" w:hAnsi="Wingdings" w:hint="default"/>
      </w:rPr>
    </w:lvl>
    <w:lvl w:ilvl="3" w:tplc="F77019D6" w:tentative="1">
      <w:start w:val="1"/>
      <w:numFmt w:val="bullet"/>
      <w:lvlText w:val=""/>
      <w:lvlJc w:val="left"/>
      <w:pPr>
        <w:ind w:left="3240" w:hanging="360"/>
      </w:pPr>
      <w:rPr>
        <w:rFonts w:ascii="Symbol" w:hAnsi="Symbol" w:hint="default"/>
      </w:rPr>
    </w:lvl>
    <w:lvl w:ilvl="4" w:tplc="A18E421C" w:tentative="1">
      <w:start w:val="1"/>
      <w:numFmt w:val="bullet"/>
      <w:lvlText w:val="o"/>
      <w:lvlJc w:val="left"/>
      <w:pPr>
        <w:ind w:left="3960" w:hanging="360"/>
      </w:pPr>
      <w:rPr>
        <w:rFonts w:ascii="Courier New" w:hAnsi="Courier New" w:cs="Courier New" w:hint="default"/>
      </w:rPr>
    </w:lvl>
    <w:lvl w:ilvl="5" w:tplc="9266CAD2" w:tentative="1">
      <w:start w:val="1"/>
      <w:numFmt w:val="bullet"/>
      <w:lvlText w:val=""/>
      <w:lvlJc w:val="left"/>
      <w:pPr>
        <w:ind w:left="4680" w:hanging="360"/>
      </w:pPr>
      <w:rPr>
        <w:rFonts w:ascii="Wingdings" w:hAnsi="Wingdings" w:hint="default"/>
      </w:rPr>
    </w:lvl>
    <w:lvl w:ilvl="6" w:tplc="83CE043A" w:tentative="1">
      <w:start w:val="1"/>
      <w:numFmt w:val="bullet"/>
      <w:lvlText w:val=""/>
      <w:lvlJc w:val="left"/>
      <w:pPr>
        <w:ind w:left="5400" w:hanging="360"/>
      </w:pPr>
      <w:rPr>
        <w:rFonts w:ascii="Symbol" w:hAnsi="Symbol" w:hint="default"/>
      </w:rPr>
    </w:lvl>
    <w:lvl w:ilvl="7" w:tplc="948C2C82" w:tentative="1">
      <w:start w:val="1"/>
      <w:numFmt w:val="bullet"/>
      <w:lvlText w:val="o"/>
      <w:lvlJc w:val="left"/>
      <w:pPr>
        <w:ind w:left="6120" w:hanging="360"/>
      </w:pPr>
      <w:rPr>
        <w:rFonts w:ascii="Courier New" w:hAnsi="Courier New" w:cs="Courier New" w:hint="default"/>
      </w:rPr>
    </w:lvl>
    <w:lvl w:ilvl="8" w:tplc="DF789E06" w:tentative="1">
      <w:start w:val="1"/>
      <w:numFmt w:val="bullet"/>
      <w:lvlText w:val=""/>
      <w:lvlJc w:val="left"/>
      <w:pPr>
        <w:ind w:left="6840" w:hanging="360"/>
      </w:pPr>
      <w:rPr>
        <w:rFonts w:ascii="Wingdings" w:hAnsi="Wingdings" w:hint="default"/>
      </w:rPr>
    </w:lvl>
  </w:abstractNum>
  <w:abstractNum w:abstractNumId="32" w15:restartNumberingAfterBreak="0">
    <w:nsid w:val="74D26F9C"/>
    <w:multiLevelType w:val="hybridMultilevel"/>
    <w:tmpl w:val="E752DB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abstractNumId w:val="20"/>
  </w:num>
  <w:num w:numId="2">
    <w:abstractNumId w:val="6"/>
  </w:num>
  <w:num w:numId="3">
    <w:abstractNumId w:val="22"/>
  </w:num>
  <w:num w:numId="4">
    <w:abstractNumId w:val="10"/>
  </w:num>
  <w:num w:numId="5">
    <w:abstractNumId w:val="13"/>
  </w:num>
  <w:num w:numId="6">
    <w:abstractNumId w:val="29"/>
  </w:num>
  <w:num w:numId="7">
    <w:abstractNumId w:val="21"/>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15"/>
  </w:num>
  <w:num w:numId="9">
    <w:abstractNumId w:val="19"/>
  </w:num>
  <w:num w:numId="10">
    <w:abstractNumId w:val="21"/>
  </w:num>
  <w:num w:numId="11">
    <w:abstractNumId w:val="20"/>
  </w:num>
  <w:num w:numId="12">
    <w:abstractNumId w:val="17"/>
  </w:num>
  <w:num w:numId="13">
    <w:abstractNumId w:val="11"/>
  </w:num>
  <w:num w:numId="14">
    <w:abstractNumId w:val="0"/>
  </w:num>
  <w:num w:numId="15">
    <w:abstractNumId w:val="7"/>
  </w:num>
  <w:num w:numId="16">
    <w:abstractNumId w:val="33"/>
  </w:num>
  <w:num w:numId="17">
    <w:abstractNumId w:val="16"/>
  </w:num>
  <w:num w:numId="18">
    <w:abstractNumId w:val="32"/>
  </w:num>
  <w:num w:numId="19">
    <w:abstractNumId w:val="12"/>
  </w:num>
  <w:num w:numId="20">
    <w:abstractNumId w:val="28"/>
  </w:num>
  <w:num w:numId="21">
    <w:abstractNumId w:val="14"/>
  </w:num>
  <w:num w:numId="22">
    <w:abstractNumId w:val="2"/>
  </w:num>
  <w:num w:numId="23">
    <w:abstractNumId w:val="24"/>
  </w:num>
  <w:num w:numId="24">
    <w:abstractNumId w:val="4"/>
  </w:num>
  <w:num w:numId="25">
    <w:abstractNumId w:val="3"/>
  </w:num>
  <w:num w:numId="26">
    <w:abstractNumId w:val="8"/>
  </w:num>
  <w:num w:numId="27">
    <w:abstractNumId w:val="27"/>
  </w:num>
  <w:num w:numId="28">
    <w:abstractNumId w:val="31"/>
  </w:num>
  <w:num w:numId="29">
    <w:abstractNumId w:val="30"/>
  </w:num>
  <w:num w:numId="30">
    <w:abstractNumId w:val="1"/>
    <w:lvlOverride w:ilvl="0">
      <w:lvl w:ilvl="0">
        <w:start w:val="1"/>
        <w:numFmt w:val="bullet"/>
        <w:lvlText w:val=""/>
        <w:legacy w:legacy="1" w:legacySpace="0" w:legacyIndent="567"/>
        <w:lvlJc w:val="left"/>
        <w:pPr>
          <w:ind w:left="567" w:hanging="567"/>
        </w:pPr>
        <w:rPr>
          <w:rFonts w:ascii="Symbol" w:hAnsi="Symbol" w:hint="default"/>
          <w:sz w:val="20"/>
        </w:rPr>
      </w:lvl>
    </w:lvlOverride>
  </w:num>
  <w:num w:numId="31">
    <w:abstractNumId w:val="25"/>
  </w:num>
  <w:num w:numId="32">
    <w:abstractNumId w:val="5"/>
  </w:num>
  <w:num w:numId="33">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23"/>
  </w:num>
  <w:num w:numId="36">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4E7"/>
    <w:rsid w:val="00001477"/>
    <w:rsid w:val="000040CA"/>
    <w:rsid w:val="000044CF"/>
    <w:rsid w:val="00010061"/>
    <w:rsid w:val="00011725"/>
    <w:rsid w:val="00012C62"/>
    <w:rsid w:val="0001413A"/>
    <w:rsid w:val="000143DB"/>
    <w:rsid w:val="00015397"/>
    <w:rsid w:val="000208B4"/>
    <w:rsid w:val="000209F3"/>
    <w:rsid w:val="000221F2"/>
    <w:rsid w:val="00022F95"/>
    <w:rsid w:val="000240E0"/>
    <w:rsid w:val="00024281"/>
    <w:rsid w:val="0002544D"/>
    <w:rsid w:val="00026171"/>
    <w:rsid w:val="00026300"/>
    <w:rsid w:val="00026E0E"/>
    <w:rsid w:val="000276FF"/>
    <w:rsid w:val="00030819"/>
    <w:rsid w:val="0003233B"/>
    <w:rsid w:val="00032A28"/>
    <w:rsid w:val="000332A7"/>
    <w:rsid w:val="00033D77"/>
    <w:rsid w:val="00034369"/>
    <w:rsid w:val="00034551"/>
    <w:rsid w:val="00041900"/>
    <w:rsid w:val="00041A8B"/>
    <w:rsid w:val="00041C2A"/>
    <w:rsid w:val="00041EDB"/>
    <w:rsid w:val="00041F8E"/>
    <w:rsid w:val="00042119"/>
    <w:rsid w:val="000426BE"/>
    <w:rsid w:val="0004274D"/>
    <w:rsid w:val="00043303"/>
    <w:rsid w:val="00044C0A"/>
    <w:rsid w:val="00052867"/>
    <w:rsid w:val="0005389D"/>
    <w:rsid w:val="00055573"/>
    <w:rsid w:val="00056116"/>
    <w:rsid w:val="00056880"/>
    <w:rsid w:val="000576C8"/>
    <w:rsid w:val="00061087"/>
    <w:rsid w:val="00062D2D"/>
    <w:rsid w:val="000655D7"/>
    <w:rsid w:val="00066293"/>
    <w:rsid w:val="0006644C"/>
    <w:rsid w:val="000675D1"/>
    <w:rsid w:val="000705AA"/>
    <w:rsid w:val="0007102C"/>
    <w:rsid w:val="00071144"/>
    <w:rsid w:val="000720CF"/>
    <w:rsid w:val="00072352"/>
    <w:rsid w:val="00072855"/>
    <w:rsid w:val="000728EE"/>
    <w:rsid w:val="00073521"/>
    <w:rsid w:val="0007402E"/>
    <w:rsid w:val="000743F3"/>
    <w:rsid w:val="0007596A"/>
    <w:rsid w:val="0007661E"/>
    <w:rsid w:val="00076BFA"/>
    <w:rsid w:val="000775DE"/>
    <w:rsid w:val="000825B4"/>
    <w:rsid w:val="0008372C"/>
    <w:rsid w:val="0008449A"/>
    <w:rsid w:val="00084545"/>
    <w:rsid w:val="000858F2"/>
    <w:rsid w:val="00085A09"/>
    <w:rsid w:val="00086716"/>
    <w:rsid w:val="00086CAB"/>
    <w:rsid w:val="0008789E"/>
    <w:rsid w:val="00087B89"/>
    <w:rsid w:val="00087FAF"/>
    <w:rsid w:val="00091338"/>
    <w:rsid w:val="0009162E"/>
    <w:rsid w:val="00092916"/>
    <w:rsid w:val="00096C68"/>
    <w:rsid w:val="000A018B"/>
    <w:rsid w:val="000A3219"/>
    <w:rsid w:val="000A369C"/>
    <w:rsid w:val="000A5093"/>
    <w:rsid w:val="000A6153"/>
    <w:rsid w:val="000A647C"/>
    <w:rsid w:val="000A67C6"/>
    <w:rsid w:val="000A7AF9"/>
    <w:rsid w:val="000B10E8"/>
    <w:rsid w:val="000B3D85"/>
    <w:rsid w:val="000B5903"/>
    <w:rsid w:val="000C16A3"/>
    <w:rsid w:val="000C24B2"/>
    <w:rsid w:val="000C35F1"/>
    <w:rsid w:val="000C3998"/>
    <w:rsid w:val="000C4EC5"/>
    <w:rsid w:val="000C5F40"/>
    <w:rsid w:val="000D1982"/>
    <w:rsid w:val="000D1C7B"/>
    <w:rsid w:val="000D4426"/>
    <w:rsid w:val="000D5256"/>
    <w:rsid w:val="000D54B5"/>
    <w:rsid w:val="000D6681"/>
    <w:rsid w:val="000E007E"/>
    <w:rsid w:val="000E0B74"/>
    <w:rsid w:val="000E25D0"/>
    <w:rsid w:val="000E5E6B"/>
    <w:rsid w:val="000E6E5E"/>
    <w:rsid w:val="000F0BF8"/>
    <w:rsid w:val="000F3F1B"/>
    <w:rsid w:val="000F4B94"/>
    <w:rsid w:val="000F58B4"/>
    <w:rsid w:val="000F5CE6"/>
    <w:rsid w:val="000F6F0A"/>
    <w:rsid w:val="000F7517"/>
    <w:rsid w:val="0010185B"/>
    <w:rsid w:val="0010250F"/>
    <w:rsid w:val="0010444A"/>
    <w:rsid w:val="00105564"/>
    <w:rsid w:val="001104D3"/>
    <w:rsid w:val="00110DF1"/>
    <w:rsid w:val="00110F34"/>
    <w:rsid w:val="00111BCF"/>
    <w:rsid w:val="00112330"/>
    <w:rsid w:val="00112E9F"/>
    <w:rsid w:val="00113F06"/>
    <w:rsid w:val="0011719C"/>
    <w:rsid w:val="001214AF"/>
    <w:rsid w:val="001243C8"/>
    <w:rsid w:val="00124414"/>
    <w:rsid w:val="001260A2"/>
    <w:rsid w:val="00130BCA"/>
    <w:rsid w:val="00131E37"/>
    <w:rsid w:val="0013462E"/>
    <w:rsid w:val="00135754"/>
    <w:rsid w:val="001408C1"/>
    <w:rsid w:val="0014091C"/>
    <w:rsid w:val="00140A06"/>
    <w:rsid w:val="00140FCB"/>
    <w:rsid w:val="00141988"/>
    <w:rsid w:val="001421A1"/>
    <w:rsid w:val="00143215"/>
    <w:rsid w:val="00143306"/>
    <w:rsid w:val="001441FA"/>
    <w:rsid w:val="001471F3"/>
    <w:rsid w:val="00151603"/>
    <w:rsid w:val="00153240"/>
    <w:rsid w:val="001558F6"/>
    <w:rsid w:val="00157388"/>
    <w:rsid w:val="001606CF"/>
    <w:rsid w:val="00160F74"/>
    <w:rsid w:val="00161215"/>
    <w:rsid w:val="0016128D"/>
    <w:rsid w:val="00161923"/>
    <w:rsid w:val="001635BF"/>
    <w:rsid w:val="00163796"/>
    <w:rsid w:val="001638F0"/>
    <w:rsid w:val="00164567"/>
    <w:rsid w:val="00165162"/>
    <w:rsid w:val="0017089D"/>
    <w:rsid w:val="001727AF"/>
    <w:rsid w:val="00173184"/>
    <w:rsid w:val="00174D17"/>
    <w:rsid w:val="00176DFF"/>
    <w:rsid w:val="0017775A"/>
    <w:rsid w:val="00182029"/>
    <w:rsid w:val="001869EA"/>
    <w:rsid w:val="0019009D"/>
    <w:rsid w:val="0019101A"/>
    <w:rsid w:val="001979A0"/>
    <w:rsid w:val="001A050E"/>
    <w:rsid w:val="001A18F6"/>
    <w:rsid w:val="001A1FCC"/>
    <w:rsid w:val="001A4CB5"/>
    <w:rsid w:val="001A5044"/>
    <w:rsid w:val="001A7355"/>
    <w:rsid w:val="001A7976"/>
    <w:rsid w:val="001A7E3C"/>
    <w:rsid w:val="001B26F2"/>
    <w:rsid w:val="001B301F"/>
    <w:rsid w:val="001B33D6"/>
    <w:rsid w:val="001B377F"/>
    <w:rsid w:val="001B6BC2"/>
    <w:rsid w:val="001B7081"/>
    <w:rsid w:val="001C19FA"/>
    <w:rsid w:val="001C1DC7"/>
    <w:rsid w:val="001C2106"/>
    <w:rsid w:val="001C358D"/>
    <w:rsid w:val="001C36FD"/>
    <w:rsid w:val="001C53EE"/>
    <w:rsid w:val="001C78FF"/>
    <w:rsid w:val="001C7AB3"/>
    <w:rsid w:val="001C7E3E"/>
    <w:rsid w:val="001D05CF"/>
    <w:rsid w:val="001D067A"/>
    <w:rsid w:val="001D17D9"/>
    <w:rsid w:val="001D299D"/>
    <w:rsid w:val="001D2B85"/>
    <w:rsid w:val="001D348A"/>
    <w:rsid w:val="001D4AFD"/>
    <w:rsid w:val="001D4EAA"/>
    <w:rsid w:val="001D5DCC"/>
    <w:rsid w:val="001D7055"/>
    <w:rsid w:val="001D78B8"/>
    <w:rsid w:val="001E1AD5"/>
    <w:rsid w:val="001E26C0"/>
    <w:rsid w:val="001E3E9E"/>
    <w:rsid w:val="001E508F"/>
    <w:rsid w:val="001E5D6D"/>
    <w:rsid w:val="001F1DC2"/>
    <w:rsid w:val="001F1E2C"/>
    <w:rsid w:val="001F2939"/>
    <w:rsid w:val="001F3E99"/>
    <w:rsid w:val="001F537C"/>
    <w:rsid w:val="001F72CC"/>
    <w:rsid w:val="001F7602"/>
    <w:rsid w:val="001F7604"/>
    <w:rsid w:val="00200E3F"/>
    <w:rsid w:val="002023C2"/>
    <w:rsid w:val="00202CD9"/>
    <w:rsid w:val="00204CCA"/>
    <w:rsid w:val="00206C74"/>
    <w:rsid w:val="00207B98"/>
    <w:rsid w:val="00212E34"/>
    <w:rsid w:val="00214C99"/>
    <w:rsid w:val="0021556C"/>
    <w:rsid w:val="00215B1E"/>
    <w:rsid w:val="00216747"/>
    <w:rsid w:val="002174AE"/>
    <w:rsid w:val="00217880"/>
    <w:rsid w:val="00217A3C"/>
    <w:rsid w:val="0022190E"/>
    <w:rsid w:val="00223366"/>
    <w:rsid w:val="00231049"/>
    <w:rsid w:val="002314D2"/>
    <w:rsid w:val="0023341D"/>
    <w:rsid w:val="002372A6"/>
    <w:rsid w:val="002377EA"/>
    <w:rsid w:val="00240222"/>
    <w:rsid w:val="00240488"/>
    <w:rsid w:val="002410E4"/>
    <w:rsid w:val="002475D9"/>
    <w:rsid w:val="00250B82"/>
    <w:rsid w:val="00251821"/>
    <w:rsid w:val="00252691"/>
    <w:rsid w:val="002539A8"/>
    <w:rsid w:val="00253B31"/>
    <w:rsid w:val="002579ED"/>
    <w:rsid w:val="00257AEE"/>
    <w:rsid w:val="002604AC"/>
    <w:rsid w:val="00260C3B"/>
    <w:rsid w:val="002614FE"/>
    <w:rsid w:val="00263B6C"/>
    <w:rsid w:val="002640AF"/>
    <w:rsid w:val="00264151"/>
    <w:rsid w:val="002672CB"/>
    <w:rsid w:val="00271085"/>
    <w:rsid w:val="00272390"/>
    <w:rsid w:val="002728DE"/>
    <w:rsid w:val="0027359A"/>
    <w:rsid w:val="00274F0D"/>
    <w:rsid w:val="0027590B"/>
    <w:rsid w:val="00276097"/>
    <w:rsid w:val="00280BCF"/>
    <w:rsid w:val="00281574"/>
    <w:rsid w:val="0028192D"/>
    <w:rsid w:val="00283756"/>
    <w:rsid w:val="00283DCE"/>
    <w:rsid w:val="0028421B"/>
    <w:rsid w:val="00285969"/>
    <w:rsid w:val="00290E55"/>
    <w:rsid w:val="002921EA"/>
    <w:rsid w:val="002940EC"/>
    <w:rsid w:val="002A0DF2"/>
    <w:rsid w:val="002A48CC"/>
    <w:rsid w:val="002A592C"/>
    <w:rsid w:val="002A6308"/>
    <w:rsid w:val="002A66C4"/>
    <w:rsid w:val="002A76D6"/>
    <w:rsid w:val="002B3829"/>
    <w:rsid w:val="002B4D4D"/>
    <w:rsid w:val="002B5C39"/>
    <w:rsid w:val="002B6FD4"/>
    <w:rsid w:val="002B7585"/>
    <w:rsid w:val="002C360E"/>
    <w:rsid w:val="002C38FD"/>
    <w:rsid w:val="002C424C"/>
    <w:rsid w:val="002C57B7"/>
    <w:rsid w:val="002C6918"/>
    <w:rsid w:val="002C69C4"/>
    <w:rsid w:val="002C7884"/>
    <w:rsid w:val="002D0472"/>
    <w:rsid w:val="002D0599"/>
    <w:rsid w:val="002D0A53"/>
    <w:rsid w:val="002D1AB1"/>
    <w:rsid w:val="002D2309"/>
    <w:rsid w:val="002D27F2"/>
    <w:rsid w:val="002D3BCC"/>
    <w:rsid w:val="002D488F"/>
    <w:rsid w:val="002D533C"/>
    <w:rsid w:val="002D6A0F"/>
    <w:rsid w:val="002E0BB3"/>
    <w:rsid w:val="002E125C"/>
    <w:rsid w:val="002E1302"/>
    <w:rsid w:val="002E2ADB"/>
    <w:rsid w:val="002E4F54"/>
    <w:rsid w:val="002E612E"/>
    <w:rsid w:val="002E7FFE"/>
    <w:rsid w:val="002F09F3"/>
    <w:rsid w:val="002F0BEB"/>
    <w:rsid w:val="002F255F"/>
    <w:rsid w:val="002F595A"/>
    <w:rsid w:val="002F617F"/>
    <w:rsid w:val="002F6A7B"/>
    <w:rsid w:val="002F6CC6"/>
    <w:rsid w:val="0030009A"/>
    <w:rsid w:val="00300449"/>
    <w:rsid w:val="00300816"/>
    <w:rsid w:val="003015C6"/>
    <w:rsid w:val="003064A6"/>
    <w:rsid w:val="00306A03"/>
    <w:rsid w:val="00306C9B"/>
    <w:rsid w:val="003073C7"/>
    <w:rsid w:val="00310AD6"/>
    <w:rsid w:val="00310C45"/>
    <w:rsid w:val="00310C88"/>
    <w:rsid w:val="003122F4"/>
    <w:rsid w:val="003174E2"/>
    <w:rsid w:val="0031790A"/>
    <w:rsid w:val="003212EF"/>
    <w:rsid w:val="0032306F"/>
    <w:rsid w:val="00324840"/>
    <w:rsid w:val="003268D5"/>
    <w:rsid w:val="00326D35"/>
    <w:rsid w:val="00330EBA"/>
    <w:rsid w:val="0033165A"/>
    <w:rsid w:val="00335DF1"/>
    <w:rsid w:val="0033781A"/>
    <w:rsid w:val="00342466"/>
    <w:rsid w:val="00343BC9"/>
    <w:rsid w:val="00343DAE"/>
    <w:rsid w:val="00344779"/>
    <w:rsid w:val="00344FEB"/>
    <w:rsid w:val="00345964"/>
    <w:rsid w:val="00345FB7"/>
    <w:rsid w:val="00350217"/>
    <w:rsid w:val="0035081C"/>
    <w:rsid w:val="00351553"/>
    <w:rsid w:val="00354D27"/>
    <w:rsid w:val="00354FBB"/>
    <w:rsid w:val="0035512D"/>
    <w:rsid w:val="003554E4"/>
    <w:rsid w:val="00356EA5"/>
    <w:rsid w:val="00360965"/>
    <w:rsid w:val="00362B0B"/>
    <w:rsid w:val="00364C74"/>
    <w:rsid w:val="00365139"/>
    <w:rsid w:val="0036691A"/>
    <w:rsid w:val="00370F97"/>
    <w:rsid w:val="003743C2"/>
    <w:rsid w:val="003749C6"/>
    <w:rsid w:val="00375483"/>
    <w:rsid w:val="00382150"/>
    <w:rsid w:val="003839F0"/>
    <w:rsid w:val="003858A6"/>
    <w:rsid w:val="003872EB"/>
    <w:rsid w:val="00387991"/>
    <w:rsid w:val="00390542"/>
    <w:rsid w:val="00391072"/>
    <w:rsid w:val="00392DCC"/>
    <w:rsid w:val="003937D5"/>
    <w:rsid w:val="0039468E"/>
    <w:rsid w:val="003946CC"/>
    <w:rsid w:val="003A08D3"/>
    <w:rsid w:val="003A1313"/>
    <w:rsid w:val="003A1C77"/>
    <w:rsid w:val="003A2D61"/>
    <w:rsid w:val="003A3014"/>
    <w:rsid w:val="003A3664"/>
    <w:rsid w:val="003A5533"/>
    <w:rsid w:val="003B0AFF"/>
    <w:rsid w:val="003B0EFB"/>
    <w:rsid w:val="003B1A7F"/>
    <w:rsid w:val="003B2296"/>
    <w:rsid w:val="003B3616"/>
    <w:rsid w:val="003B5796"/>
    <w:rsid w:val="003B6A20"/>
    <w:rsid w:val="003B705A"/>
    <w:rsid w:val="003B789B"/>
    <w:rsid w:val="003C279D"/>
    <w:rsid w:val="003C40F5"/>
    <w:rsid w:val="003D1095"/>
    <w:rsid w:val="003D1F47"/>
    <w:rsid w:val="003D2475"/>
    <w:rsid w:val="003D2609"/>
    <w:rsid w:val="003D45B9"/>
    <w:rsid w:val="003D4D2A"/>
    <w:rsid w:val="003D5870"/>
    <w:rsid w:val="003D74E7"/>
    <w:rsid w:val="003D7A44"/>
    <w:rsid w:val="003E03FE"/>
    <w:rsid w:val="003E38B0"/>
    <w:rsid w:val="003E4D87"/>
    <w:rsid w:val="003E4DB5"/>
    <w:rsid w:val="003E5EE6"/>
    <w:rsid w:val="003E7E45"/>
    <w:rsid w:val="003F05DE"/>
    <w:rsid w:val="003F1024"/>
    <w:rsid w:val="003F1497"/>
    <w:rsid w:val="003F223C"/>
    <w:rsid w:val="003F223D"/>
    <w:rsid w:val="003F2271"/>
    <w:rsid w:val="003F2AC9"/>
    <w:rsid w:val="003F346F"/>
    <w:rsid w:val="003F69D0"/>
    <w:rsid w:val="003F71F2"/>
    <w:rsid w:val="003F7AD3"/>
    <w:rsid w:val="00400EA8"/>
    <w:rsid w:val="004028CD"/>
    <w:rsid w:val="00402E4F"/>
    <w:rsid w:val="00407A06"/>
    <w:rsid w:val="004143A8"/>
    <w:rsid w:val="00414412"/>
    <w:rsid w:val="00415D65"/>
    <w:rsid w:val="00416762"/>
    <w:rsid w:val="00417F2D"/>
    <w:rsid w:val="00421351"/>
    <w:rsid w:val="00422614"/>
    <w:rsid w:val="00422D78"/>
    <w:rsid w:val="004230A3"/>
    <w:rsid w:val="004237D3"/>
    <w:rsid w:val="00423EC0"/>
    <w:rsid w:val="004244BD"/>
    <w:rsid w:val="00426618"/>
    <w:rsid w:val="00426CB3"/>
    <w:rsid w:val="00431310"/>
    <w:rsid w:val="00431BCB"/>
    <w:rsid w:val="004338F4"/>
    <w:rsid w:val="00434EB5"/>
    <w:rsid w:val="0043516C"/>
    <w:rsid w:val="0044084D"/>
    <w:rsid w:val="00441152"/>
    <w:rsid w:val="004432A9"/>
    <w:rsid w:val="00443E22"/>
    <w:rsid w:val="0044444E"/>
    <w:rsid w:val="004449C5"/>
    <w:rsid w:val="00445265"/>
    <w:rsid w:val="00445D5E"/>
    <w:rsid w:val="004468EA"/>
    <w:rsid w:val="00450BD8"/>
    <w:rsid w:val="004517A2"/>
    <w:rsid w:val="00453861"/>
    <w:rsid w:val="00454655"/>
    <w:rsid w:val="004559CE"/>
    <w:rsid w:val="00461679"/>
    <w:rsid w:val="00463D6F"/>
    <w:rsid w:val="00464C98"/>
    <w:rsid w:val="004655C8"/>
    <w:rsid w:val="00465C35"/>
    <w:rsid w:val="0046630D"/>
    <w:rsid w:val="0046711C"/>
    <w:rsid w:val="0046715F"/>
    <w:rsid w:val="0047191B"/>
    <w:rsid w:val="00473341"/>
    <w:rsid w:val="004735EA"/>
    <w:rsid w:val="00474CE9"/>
    <w:rsid w:val="0047553A"/>
    <w:rsid w:val="00475B7B"/>
    <w:rsid w:val="00475F4D"/>
    <w:rsid w:val="00476D37"/>
    <w:rsid w:val="004804DC"/>
    <w:rsid w:val="00480A39"/>
    <w:rsid w:val="00481908"/>
    <w:rsid w:val="004822C3"/>
    <w:rsid w:val="00482AD1"/>
    <w:rsid w:val="00483049"/>
    <w:rsid w:val="00483871"/>
    <w:rsid w:val="00483945"/>
    <w:rsid w:val="00483FC4"/>
    <w:rsid w:val="004911AA"/>
    <w:rsid w:val="004918FD"/>
    <w:rsid w:val="00492FCB"/>
    <w:rsid w:val="004938D1"/>
    <w:rsid w:val="00494645"/>
    <w:rsid w:val="004951A8"/>
    <w:rsid w:val="004A0212"/>
    <w:rsid w:val="004A077D"/>
    <w:rsid w:val="004A2924"/>
    <w:rsid w:val="004A2ECF"/>
    <w:rsid w:val="004A34F3"/>
    <w:rsid w:val="004A4FA7"/>
    <w:rsid w:val="004A5DBC"/>
    <w:rsid w:val="004A7BC2"/>
    <w:rsid w:val="004B2D08"/>
    <w:rsid w:val="004B422F"/>
    <w:rsid w:val="004B42B0"/>
    <w:rsid w:val="004C04F9"/>
    <w:rsid w:val="004C30A8"/>
    <w:rsid w:val="004C4AD8"/>
    <w:rsid w:val="004C59D2"/>
    <w:rsid w:val="004C7DCB"/>
    <w:rsid w:val="004C7F7C"/>
    <w:rsid w:val="004D0FAD"/>
    <w:rsid w:val="004D1651"/>
    <w:rsid w:val="004D418F"/>
    <w:rsid w:val="004E22C6"/>
    <w:rsid w:val="004E22FF"/>
    <w:rsid w:val="004E45B6"/>
    <w:rsid w:val="004E580B"/>
    <w:rsid w:val="004F06D5"/>
    <w:rsid w:val="004F115F"/>
    <w:rsid w:val="004F1164"/>
    <w:rsid w:val="004F1B8E"/>
    <w:rsid w:val="004F1FBE"/>
    <w:rsid w:val="004F291C"/>
    <w:rsid w:val="004F2AEB"/>
    <w:rsid w:val="004F3899"/>
    <w:rsid w:val="004F6A0D"/>
    <w:rsid w:val="004F6C09"/>
    <w:rsid w:val="005003E7"/>
    <w:rsid w:val="005019C5"/>
    <w:rsid w:val="00502D4F"/>
    <w:rsid w:val="00503259"/>
    <w:rsid w:val="00504272"/>
    <w:rsid w:val="00504AEE"/>
    <w:rsid w:val="00505EA7"/>
    <w:rsid w:val="0050669E"/>
    <w:rsid w:val="005073E8"/>
    <w:rsid w:val="00507410"/>
    <w:rsid w:val="005077D4"/>
    <w:rsid w:val="005101A0"/>
    <w:rsid w:val="005121C9"/>
    <w:rsid w:val="00514F80"/>
    <w:rsid w:val="00516785"/>
    <w:rsid w:val="00520298"/>
    <w:rsid w:val="005221FB"/>
    <w:rsid w:val="005229F2"/>
    <w:rsid w:val="005239B6"/>
    <w:rsid w:val="0052419D"/>
    <w:rsid w:val="005268F2"/>
    <w:rsid w:val="005301F8"/>
    <w:rsid w:val="00530F4D"/>
    <w:rsid w:val="005312FC"/>
    <w:rsid w:val="00531414"/>
    <w:rsid w:val="00531BF2"/>
    <w:rsid w:val="00532E49"/>
    <w:rsid w:val="00532EB6"/>
    <w:rsid w:val="0053603D"/>
    <w:rsid w:val="00537385"/>
    <w:rsid w:val="00541BE0"/>
    <w:rsid w:val="00543B60"/>
    <w:rsid w:val="005440A8"/>
    <w:rsid w:val="00545F06"/>
    <w:rsid w:val="00546A68"/>
    <w:rsid w:val="00550FB4"/>
    <w:rsid w:val="005513D4"/>
    <w:rsid w:val="00552FC2"/>
    <w:rsid w:val="00555C16"/>
    <w:rsid w:val="005563B7"/>
    <w:rsid w:val="005600F6"/>
    <w:rsid w:val="00560BF6"/>
    <w:rsid w:val="00560C1E"/>
    <w:rsid w:val="005617C8"/>
    <w:rsid w:val="00561897"/>
    <w:rsid w:val="00561F0B"/>
    <w:rsid w:val="00563191"/>
    <w:rsid w:val="005650B0"/>
    <w:rsid w:val="005732C6"/>
    <w:rsid w:val="00575820"/>
    <w:rsid w:val="00576528"/>
    <w:rsid w:val="005816AB"/>
    <w:rsid w:val="00581C59"/>
    <w:rsid w:val="00583EBD"/>
    <w:rsid w:val="00584F5B"/>
    <w:rsid w:val="005868DE"/>
    <w:rsid w:val="0059072B"/>
    <w:rsid w:val="00591871"/>
    <w:rsid w:val="0059280C"/>
    <w:rsid w:val="00592962"/>
    <w:rsid w:val="00594D7F"/>
    <w:rsid w:val="00597E3C"/>
    <w:rsid w:val="005A4F42"/>
    <w:rsid w:val="005A5A5F"/>
    <w:rsid w:val="005A6389"/>
    <w:rsid w:val="005A6EFA"/>
    <w:rsid w:val="005B18C4"/>
    <w:rsid w:val="005B212C"/>
    <w:rsid w:val="005B3427"/>
    <w:rsid w:val="005B7AC7"/>
    <w:rsid w:val="005C5613"/>
    <w:rsid w:val="005C6CF6"/>
    <w:rsid w:val="005C7D04"/>
    <w:rsid w:val="005D0B44"/>
    <w:rsid w:val="005D1501"/>
    <w:rsid w:val="005D180E"/>
    <w:rsid w:val="005D2198"/>
    <w:rsid w:val="005D4C0C"/>
    <w:rsid w:val="005D5FB9"/>
    <w:rsid w:val="005D64EE"/>
    <w:rsid w:val="005D76E2"/>
    <w:rsid w:val="005E06C9"/>
    <w:rsid w:val="005E2522"/>
    <w:rsid w:val="005E2DF7"/>
    <w:rsid w:val="005E3CF4"/>
    <w:rsid w:val="005E3D1B"/>
    <w:rsid w:val="005E418D"/>
    <w:rsid w:val="005E623C"/>
    <w:rsid w:val="005E705C"/>
    <w:rsid w:val="005E737C"/>
    <w:rsid w:val="005F0EF3"/>
    <w:rsid w:val="005F1B9D"/>
    <w:rsid w:val="005F4CB4"/>
    <w:rsid w:val="005F5725"/>
    <w:rsid w:val="005F7751"/>
    <w:rsid w:val="006020AB"/>
    <w:rsid w:val="006039CB"/>
    <w:rsid w:val="0060595B"/>
    <w:rsid w:val="00605AFD"/>
    <w:rsid w:val="00606DF6"/>
    <w:rsid w:val="00607700"/>
    <w:rsid w:val="00607C7C"/>
    <w:rsid w:val="00610285"/>
    <w:rsid w:val="006123D4"/>
    <w:rsid w:val="00614146"/>
    <w:rsid w:val="00614969"/>
    <w:rsid w:val="006162B5"/>
    <w:rsid w:val="00616761"/>
    <w:rsid w:val="00616DEC"/>
    <w:rsid w:val="0062771E"/>
    <w:rsid w:val="006302C0"/>
    <w:rsid w:val="00631023"/>
    <w:rsid w:val="006311AB"/>
    <w:rsid w:val="00632346"/>
    <w:rsid w:val="006332E6"/>
    <w:rsid w:val="00634E19"/>
    <w:rsid w:val="0063582E"/>
    <w:rsid w:val="00637A8F"/>
    <w:rsid w:val="00637C14"/>
    <w:rsid w:val="00640204"/>
    <w:rsid w:val="00640432"/>
    <w:rsid w:val="00640DE4"/>
    <w:rsid w:val="00642BBE"/>
    <w:rsid w:val="00645A22"/>
    <w:rsid w:val="006465CA"/>
    <w:rsid w:val="006475B0"/>
    <w:rsid w:val="00655349"/>
    <w:rsid w:val="00656356"/>
    <w:rsid w:val="00660A71"/>
    <w:rsid w:val="006616E4"/>
    <w:rsid w:val="00666341"/>
    <w:rsid w:val="006718FB"/>
    <w:rsid w:val="00671D84"/>
    <w:rsid w:val="00673E84"/>
    <w:rsid w:val="00673F33"/>
    <w:rsid w:val="006755BF"/>
    <w:rsid w:val="00676C30"/>
    <w:rsid w:val="00677EF3"/>
    <w:rsid w:val="00682BEC"/>
    <w:rsid w:val="00685C5B"/>
    <w:rsid w:val="00686165"/>
    <w:rsid w:val="00687A9E"/>
    <w:rsid w:val="00690453"/>
    <w:rsid w:val="00691CB5"/>
    <w:rsid w:val="00692D1A"/>
    <w:rsid w:val="0069324C"/>
    <w:rsid w:val="006944FA"/>
    <w:rsid w:val="0069451A"/>
    <w:rsid w:val="0069460A"/>
    <w:rsid w:val="00695062"/>
    <w:rsid w:val="006A1C22"/>
    <w:rsid w:val="006A366B"/>
    <w:rsid w:val="006A3A89"/>
    <w:rsid w:val="006A4A2B"/>
    <w:rsid w:val="006A6EE1"/>
    <w:rsid w:val="006B1A7D"/>
    <w:rsid w:val="006B261A"/>
    <w:rsid w:val="006B2E04"/>
    <w:rsid w:val="006B327D"/>
    <w:rsid w:val="006B3E03"/>
    <w:rsid w:val="006B5C7A"/>
    <w:rsid w:val="006B5E7C"/>
    <w:rsid w:val="006C0329"/>
    <w:rsid w:val="006C07B4"/>
    <w:rsid w:val="006C1B07"/>
    <w:rsid w:val="006C1C2B"/>
    <w:rsid w:val="006C1C89"/>
    <w:rsid w:val="006C2FE1"/>
    <w:rsid w:val="006C645D"/>
    <w:rsid w:val="006C6C55"/>
    <w:rsid w:val="006C722C"/>
    <w:rsid w:val="006C79ED"/>
    <w:rsid w:val="006C7A3D"/>
    <w:rsid w:val="006C7B37"/>
    <w:rsid w:val="006D0B71"/>
    <w:rsid w:val="006D2AB9"/>
    <w:rsid w:val="006D2CEE"/>
    <w:rsid w:val="006D42C7"/>
    <w:rsid w:val="006D458E"/>
    <w:rsid w:val="006D756F"/>
    <w:rsid w:val="006E03ED"/>
    <w:rsid w:val="006E0D1D"/>
    <w:rsid w:val="006E1DAA"/>
    <w:rsid w:val="006E1FA3"/>
    <w:rsid w:val="006E3217"/>
    <w:rsid w:val="006E3CC3"/>
    <w:rsid w:val="006E3D80"/>
    <w:rsid w:val="006E6358"/>
    <w:rsid w:val="006E6DF8"/>
    <w:rsid w:val="006E7DD8"/>
    <w:rsid w:val="006F0561"/>
    <w:rsid w:val="006F17CB"/>
    <w:rsid w:val="006F19E3"/>
    <w:rsid w:val="006F1B69"/>
    <w:rsid w:val="006F1C56"/>
    <w:rsid w:val="006F2673"/>
    <w:rsid w:val="006F3D22"/>
    <w:rsid w:val="006F47A6"/>
    <w:rsid w:val="006F656C"/>
    <w:rsid w:val="00700245"/>
    <w:rsid w:val="00701CD3"/>
    <w:rsid w:val="007024E1"/>
    <w:rsid w:val="00702CC6"/>
    <w:rsid w:val="00704F97"/>
    <w:rsid w:val="00707014"/>
    <w:rsid w:val="007071E4"/>
    <w:rsid w:val="00707465"/>
    <w:rsid w:val="00715970"/>
    <w:rsid w:val="007164F8"/>
    <w:rsid w:val="007174C0"/>
    <w:rsid w:val="007176D9"/>
    <w:rsid w:val="00722674"/>
    <w:rsid w:val="00723478"/>
    <w:rsid w:val="0072504F"/>
    <w:rsid w:val="00725838"/>
    <w:rsid w:val="00732A67"/>
    <w:rsid w:val="00735091"/>
    <w:rsid w:val="007379D9"/>
    <w:rsid w:val="00741136"/>
    <w:rsid w:val="00742196"/>
    <w:rsid w:val="00742750"/>
    <w:rsid w:val="00742D05"/>
    <w:rsid w:val="00742D96"/>
    <w:rsid w:val="00745A87"/>
    <w:rsid w:val="00747D62"/>
    <w:rsid w:val="0075146D"/>
    <w:rsid w:val="00751697"/>
    <w:rsid w:val="00753144"/>
    <w:rsid w:val="007538F5"/>
    <w:rsid w:val="00754FC7"/>
    <w:rsid w:val="0075621E"/>
    <w:rsid w:val="00756C55"/>
    <w:rsid w:val="00757816"/>
    <w:rsid w:val="00760CBC"/>
    <w:rsid w:val="00760D6F"/>
    <w:rsid w:val="00761276"/>
    <w:rsid w:val="0076407E"/>
    <w:rsid w:val="0076430D"/>
    <w:rsid w:val="00764525"/>
    <w:rsid w:val="00766550"/>
    <w:rsid w:val="007739D4"/>
    <w:rsid w:val="007739DC"/>
    <w:rsid w:val="007742E1"/>
    <w:rsid w:val="007767BB"/>
    <w:rsid w:val="00782A59"/>
    <w:rsid w:val="00782E54"/>
    <w:rsid w:val="0078509F"/>
    <w:rsid w:val="007867FC"/>
    <w:rsid w:val="00792309"/>
    <w:rsid w:val="00794499"/>
    <w:rsid w:val="00796A2F"/>
    <w:rsid w:val="007A1338"/>
    <w:rsid w:val="007A3851"/>
    <w:rsid w:val="007A39BC"/>
    <w:rsid w:val="007A5F8B"/>
    <w:rsid w:val="007A6C52"/>
    <w:rsid w:val="007A7C60"/>
    <w:rsid w:val="007B0BD0"/>
    <w:rsid w:val="007B1B02"/>
    <w:rsid w:val="007B35DB"/>
    <w:rsid w:val="007B7233"/>
    <w:rsid w:val="007B73DC"/>
    <w:rsid w:val="007B76DF"/>
    <w:rsid w:val="007B7A66"/>
    <w:rsid w:val="007C6556"/>
    <w:rsid w:val="007C7A5B"/>
    <w:rsid w:val="007D0BF3"/>
    <w:rsid w:val="007D1E2F"/>
    <w:rsid w:val="007D2EB9"/>
    <w:rsid w:val="007D41F1"/>
    <w:rsid w:val="007D4C64"/>
    <w:rsid w:val="007D5AA6"/>
    <w:rsid w:val="007D68D2"/>
    <w:rsid w:val="007D78D5"/>
    <w:rsid w:val="007E2AB9"/>
    <w:rsid w:val="007E3337"/>
    <w:rsid w:val="007E4D5F"/>
    <w:rsid w:val="007E548A"/>
    <w:rsid w:val="007E6456"/>
    <w:rsid w:val="00800487"/>
    <w:rsid w:val="00803529"/>
    <w:rsid w:val="00803BA0"/>
    <w:rsid w:val="00803C4F"/>
    <w:rsid w:val="00804E62"/>
    <w:rsid w:val="00805E5D"/>
    <w:rsid w:val="00807E48"/>
    <w:rsid w:val="00811FC7"/>
    <w:rsid w:val="008126EE"/>
    <w:rsid w:val="00812EA7"/>
    <w:rsid w:val="0081423D"/>
    <w:rsid w:val="00814989"/>
    <w:rsid w:val="00823BBB"/>
    <w:rsid w:val="008245D1"/>
    <w:rsid w:val="008246DE"/>
    <w:rsid w:val="0082505B"/>
    <w:rsid w:val="00825E45"/>
    <w:rsid w:val="008273C9"/>
    <w:rsid w:val="008279A6"/>
    <w:rsid w:val="00827B3A"/>
    <w:rsid w:val="00827F68"/>
    <w:rsid w:val="008338A8"/>
    <w:rsid w:val="00834243"/>
    <w:rsid w:val="00834E9B"/>
    <w:rsid w:val="008361B4"/>
    <w:rsid w:val="0084020C"/>
    <w:rsid w:val="00840545"/>
    <w:rsid w:val="00840D6A"/>
    <w:rsid w:val="008439EE"/>
    <w:rsid w:val="00843D54"/>
    <w:rsid w:val="00844E41"/>
    <w:rsid w:val="00845750"/>
    <w:rsid w:val="008465CA"/>
    <w:rsid w:val="00846E9D"/>
    <w:rsid w:val="00850FA8"/>
    <w:rsid w:val="008521C8"/>
    <w:rsid w:val="00852E3D"/>
    <w:rsid w:val="00853BF6"/>
    <w:rsid w:val="0085419D"/>
    <w:rsid w:val="00855618"/>
    <w:rsid w:val="00855CC5"/>
    <w:rsid w:val="00856DEB"/>
    <w:rsid w:val="0085776D"/>
    <w:rsid w:val="00857969"/>
    <w:rsid w:val="00860A81"/>
    <w:rsid w:val="00860E56"/>
    <w:rsid w:val="00860FC1"/>
    <w:rsid w:val="00861B34"/>
    <w:rsid w:val="008629A2"/>
    <w:rsid w:val="00862A6A"/>
    <w:rsid w:val="00863313"/>
    <w:rsid w:val="008642E8"/>
    <w:rsid w:val="00866FCB"/>
    <w:rsid w:val="008701D5"/>
    <w:rsid w:val="008701DE"/>
    <w:rsid w:val="00870E0D"/>
    <w:rsid w:val="00872649"/>
    <w:rsid w:val="008736B3"/>
    <w:rsid w:val="00874360"/>
    <w:rsid w:val="00875240"/>
    <w:rsid w:val="00876432"/>
    <w:rsid w:val="008770AF"/>
    <w:rsid w:val="00880473"/>
    <w:rsid w:val="00884372"/>
    <w:rsid w:val="008843FF"/>
    <w:rsid w:val="00885890"/>
    <w:rsid w:val="008861A1"/>
    <w:rsid w:val="00886786"/>
    <w:rsid w:val="00887BF6"/>
    <w:rsid w:val="00887E68"/>
    <w:rsid w:val="008912D7"/>
    <w:rsid w:val="00893324"/>
    <w:rsid w:val="0089356F"/>
    <w:rsid w:val="0089463F"/>
    <w:rsid w:val="008A1187"/>
    <w:rsid w:val="008A5DA0"/>
    <w:rsid w:val="008A6C5B"/>
    <w:rsid w:val="008A76FE"/>
    <w:rsid w:val="008B0395"/>
    <w:rsid w:val="008B1499"/>
    <w:rsid w:val="008B4CDA"/>
    <w:rsid w:val="008B4FBE"/>
    <w:rsid w:val="008B5FD5"/>
    <w:rsid w:val="008B6F85"/>
    <w:rsid w:val="008B70F1"/>
    <w:rsid w:val="008B758D"/>
    <w:rsid w:val="008C086D"/>
    <w:rsid w:val="008C426E"/>
    <w:rsid w:val="008C4AF3"/>
    <w:rsid w:val="008D05F3"/>
    <w:rsid w:val="008D06D9"/>
    <w:rsid w:val="008D1705"/>
    <w:rsid w:val="008D2C9F"/>
    <w:rsid w:val="008D339F"/>
    <w:rsid w:val="008D381B"/>
    <w:rsid w:val="008D3A4D"/>
    <w:rsid w:val="008D40A9"/>
    <w:rsid w:val="008D51B2"/>
    <w:rsid w:val="008D58EB"/>
    <w:rsid w:val="008D7F38"/>
    <w:rsid w:val="008E041C"/>
    <w:rsid w:val="008E078B"/>
    <w:rsid w:val="008E16FF"/>
    <w:rsid w:val="008E2F11"/>
    <w:rsid w:val="008E4C7A"/>
    <w:rsid w:val="008E51F1"/>
    <w:rsid w:val="008E5742"/>
    <w:rsid w:val="008E6292"/>
    <w:rsid w:val="008E708E"/>
    <w:rsid w:val="008F1D4C"/>
    <w:rsid w:val="008F1E73"/>
    <w:rsid w:val="008F3C9E"/>
    <w:rsid w:val="008F4931"/>
    <w:rsid w:val="008F5501"/>
    <w:rsid w:val="008F5F84"/>
    <w:rsid w:val="008F6A43"/>
    <w:rsid w:val="008F6F84"/>
    <w:rsid w:val="00901769"/>
    <w:rsid w:val="00902531"/>
    <w:rsid w:val="009025D6"/>
    <w:rsid w:val="009037E6"/>
    <w:rsid w:val="009049D4"/>
    <w:rsid w:val="00905496"/>
    <w:rsid w:val="00906B10"/>
    <w:rsid w:val="0090746A"/>
    <w:rsid w:val="00907907"/>
    <w:rsid w:val="00907E02"/>
    <w:rsid w:val="00914300"/>
    <w:rsid w:val="00915561"/>
    <w:rsid w:val="00916E0A"/>
    <w:rsid w:val="009206C0"/>
    <w:rsid w:val="00920930"/>
    <w:rsid w:val="00920FBF"/>
    <w:rsid w:val="00921D0C"/>
    <w:rsid w:val="009229CA"/>
    <w:rsid w:val="00922D5B"/>
    <w:rsid w:val="009230F6"/>
    <w:rsid w:val="0092405E"/>
    <w:rsid w:val="0092496E"/>
    <w:rsid w:val="00925379"/>
    <w:rsid w:val="00925AA5"/>
    <w:rsid w:val="009302BD"/>
    <w:rsid w:val="009313D4"/>
    <w:rsid w:val="009334D2"/>
    <w:rsid w:val="0093394C"/>
    <w:rsid w:val="009349F3"/>
    <w:rsid w:val="00934E1A"/>
    <w:rsid w:val="009352F4"/>
    <w:rsid w:val="0094019D"/>
    <w:rsid w:val="009421FD"/>
    <w:rsid w:val="00942C11"/>
    <w:rsid w:val="00943186"/>
    <w:rsid w:val="00947945"/>
    <w:rsid w:val="00947BA3"/>
    <w:rsid w:val="00953776"/>
    <w:rsid w:val="00954558"/>
    <w:rsid w:val="00954DC8"/>
    <w:rsid w:val="009566C9"/>
    <w:rsid w:val="00962673"/>
    <w:rsid w:val="0096270F"/>
    <w:rsid w:val="009636D4"/>
    <w:rsid w:val="00963CCF"/>
    <w:rsid w:val="009658E1"/>
    <w:rsid w:val="00965A02"/>
    <w:rsid w:val="00965FEC"/>
    <w:rsid w:val="009674D6"/>
    <w:rsid w:val="00971A28"/>
    <w:rsid w:val="00973088"/>
    <w:rsid w:val="009732EC"/>
    <w:rsid w:val="00973301"/>
    <w:rsid w:val="00974771"/>
    <w:rsid w:val="00976EF5"/>
    <w:rsid w:val="009770D8"/>
    <w:rsid w:val="0097712E"/>
    <w:rsid w:val="00980B71"/>
    <w:rsid w:val="0098142E"/>
    <w:rsid w:val="0098166D"/>
    <w:rsid w:val="009816F2"/>
    <w:rsid w:val="009821CE"/>
    <w:rsid w:val="009823BC"/>
    <w:rsid w:val="009852CF"/>
    <w:rsid w:val="00985D2C"/>
    <w:rsid w:val="009866E7"/>
    <w:rsid w:val="0098741B"/>
    <w:rsid w:val="00990729"/>
    <w:rsid w:val="009912D4"/>
    <w:rsid w:val="009915C9"/>
    <w:rsid w:val="00991927"/>
    <w:rsid w:val="00992000"/>
    <w:rsid w:val="00992A66"/>
    <w:rsid w:val="00994941"/>
    <w:rsid w:val="00996087"/>
    <w:rsid w:val="009A0FE1"/>
    <w:rsid w:val="009A2F75"/>
    <w:rsid w:val="009A5536"/>
    <w:rsid w:val="009A658F"/>
    <w:rsid w:val="009A668A"/>
    <w:rsid w:val="009B21E2"/>
    <w:rsid w:val="009B371D"/>
    <w:rsid w:val="009B4255"/>
    <w:rsid w:val="009B4903"/>
    <w:rsid w:val="009B568A"/>
    <w:rsid w:val="009B56CB"/>
    <w:rsid w:val="009C0E92"/>
    <w:rsid w:val="009C1C49"/>
    <w:rsid w:val="009C283B"/>
    <w:rsid w:val="009C2E98"/>
    <w:rsid w:val="009C3919"/>
    <w:rsid w:val="009C709D"/>
    <w:rsid w:val="009C7486"/>
    <w:rsid w:val="009C79DE"/>
    <w:rsid w:val="009D1AB4"/>
    <w:rsid w:val="009D3781"/>
    <w:rsid w:val="009D3994"/>
    <w:rsid w:val="009D3B16"/>
    <w:rsid w:val="009D563F"/>
    <w:rsid w:val="009D6E54"/>
    <w:rsid w:val="009D70D7"/>
    <w:rsid w:val="009E38A6"/>
    <w:rsid w:val="009E4812"/>
    <w:rsid w:val="009E500B"/>
    <w:rsid w:val="009E591A"/>
    <w:rsid w:val="009E68E8"/>
    <w:rsid w:val="009F0601"/>
    <w:rsid w:val="009F08A3"/>
    <w:rsid w:val="009F1A81"/>
    <w:rsid w:val="009F24C0"/>
    <w:rsid w:val="009F4F8C"/>
    <w:rsid w:val="009F6898"/>
    <w:rsid w:val="00A07F62"/>
    <w:rsid w:val="00A13FAA"/>
    <w:rsid w:val="00A150AC"/>
    <w:rsid w:val="00A16E03"/>
    <w:rsid w:val="00A211D2"/>
    <w:rsid w:val="00A21557"/>
    <w:rsid w:val="00A22E7E"/>
    <w:rsid w:val="00A25E7B"/>
    <w:rsid w:val="00A260CD"/>
    <w:rsid w:val="00A26673"/>
    <w:rsid w:val="00A26E6E"/>
    <w:rsid w:val="00A276EB"/>
    <w:rsid w:val="00A27986"/>
    <w:rsid w:val="00A3234A"/>
    <w:rsid w:val="00A32613"/>
    <w:rsid w:val="00A32FBF"/>
    <w:rsid w:val="00A3400A"/>
    <w:rsid w:val="00A3602D"/>
    <w:rsid w:val="00A36E18"/>
    <w:rsid w:val="00A3749B"/>
    <w:rsid w:val="00A379EC"/>
    <w:rsid w:val="00A430F6"/>
    <w:rsid w:val="00A444C4"/>
    <w:rsid w:val="00A46A87"/>
    <w:rsid w:val="00A47685"/>
    <w:rsid w:val="00A5158A"/>
    <w:rsid w:val="00A5180C"/>
    <w:rsid w:val="00A52DFD"/>
    <w:rsid w:val="00A5418A"/>
    <w:rsid w:val="00A5481C"/>
    <w:rsid w:val="00A55DD0"/>
    <w:rsid w:val="00A57550"/>
    <w:rsid w:val="00A57721"/>
    <w:rsid w:val="00A5782A"/>
    <w:rsid w:val="00A57C2A"/>
    <w:rsid w:val="00A60F0F"/>
    <w:rsid w:val="00A61213"/>
    <w:rsid w:val="00A6121A"/>
    <w:rsid w:val="00A62E42"/>
    <w:rsid w:val="00A64A71"/>
    <w:rsid w:val="00A652E1"/>
    <w:rsid w:val="00A6578A"/>
    <w:rsid w:val="00A66814"/>
    <w:rsid w:val="00A71B3F"/>
    <w:rsid w:val="00A7514E"/>
    <w:rsid w:val="00A75A1C"/>
    <w:rsid w:val="00A75FE5"/>
    <w:rsid w:val="00A77847"/>
    <w:rsid w:val="00A8142F"/>
    <w:rsid w:val="00A86948"/>
    <w:rsid w:val="00A878DA"/>
    <w:rsid w:val="00A87C7E"/>
    <w:rsid w:val="00A9088E"/>
    <w:rsid w:val="00A91254"/>
    <w:rsid w:val="00A97586"/>
    <w:rsid w:val="00AA0519"/>
    <w:rsid w:val="00AA11DA"/>
    <w:rsid w:val="00AA2DE9"/>
    <w:rsid w:val="00AA34EE"/>
    <w:rsid w:val="00AA467C"/>
    <w:rsid w:val="00AA4E54"/>
    <w:rsid w:val="00AA5017"/>
    <w:rsid w:val="00AA5C6C"/>
    <w:rsid w:val="00AA7B79"/>
    <w:rsid w:val="00AB17F6"/>
    <w:rsid w:val="00AB35EC"/>
    <w:rsid w:val="00AB3D9F"/>
    <w:rsid w:val="00AB48CC"/>
    <w:rsid w:val="00AB77B0"/>
    <w:rsid w:val="00AC10EC"/>
    <w:rsid w:val="00AC27BA"/>
    <w:rsid w:val="00AC2FB1"/>
    <w:rsid w:val="00AC5C8E"/>
    <w:rsid w:val="00AD3EBE"/>
    <w:rsid w:val="00AD41EA"/>
    <w:rsid w:val="00AD57A0"/>
    <w:rsid w:val="00AD5B53"/>
    <w:rsid w:val="00AD6285"/>
    <w:rsid w:val="00AE2F90"/>
    <w:rsid w:val="00AE3E90"/>
    <w:rsid w:val="00AE50B7"/>
    <w:rsid w:val="00AE52E1"/>
    <w:rsid w:val="00AF1520"/>
    <w:rsid w:val="00AF1BE3"/>
    <w:rsid w:val="00AF2A2D"/>
    <w:rsid w:val="00AF457F"/>
    <w:rsid w:val="00AF49EF"/>
    <w:rsid w:val="00AF599F"/>
    <w:rsid w:val="00AF5DAB"/>
    <w:rsid w:val="00AF7060"/>
    <w:rsid w:val="00B0173B"/>
    <w:rsid w:val="00B0271E"/>
    <w:rsid w:val="00B02E21"/>
    <w:rsid w:val="00B04296"/>
    <w:rsid w:val="00B05D4B"/>
    <w:rsid w:val="00B07990"/>
    <w:rsid w:val="00B07F54"/>
    <w:rsid w:val="00B1085C"/>
    <w:rsid w:val="00B11355"/>
    <w:rsid w:val="00B12DFC"/>
    <w:rsid w:val="00B14B99"/>
    <w:rsid w:val="00B160AC"/>
    <w:rsid w:val="00B17143"/>
    <w:rsid w:val="00B209CE"/>
    <w:rsid w:val="00B2303A"/>
    <w:rsid w:val="00B26DE9"/>
    <w:rsid w:val="00B305B0"/>
    <w:rsid w:val="00B3149D"/>
    <w:rsid w:val="00B34C11"/>
    <w:rsid w:val="00B35A3F"/>
    <w:rsid w:val="00B35AFD"/>
    <w:rsid w:val="00B362AC"/>
    <w:rsid w:val="00B37775"/>
    <w:rsid w:val="00B378B3"/>
    <w:rsid w:val="00B417C5"/>
    <w:rsid w:val="00B44B85"/>
    <w:rsid w:val="00B47131"/>
    <w:rsid w:val="00B472B4"/>
    <w:rsid w:val="00B50211"/>
    <w:rsid w:val="00B517C5"/>
    <w:rsid w:val="00B51B5B"/>
    <w:rsid w:val="00B5358D"/>
    <w:rsid w:val="00B53A24"/>
    <w:rsid w:val="00B54122"/>
    <w:rsid w:val="00B54E9C"/>
    <w:rsid w:val="00B5633E"/>
    <w:rsid w:val="00B60BFF"/>
    <w:rsid w:val="00B617A4"/>
    <w:rsid w:val="00B639E0"/>
    <w:rsid w:val="00B63E1B"/>
    <w:rsid w:val="00B7110D"/>
    <w:rsid w:val="00B7504D"/>
    <w:rsid w:val="00B770FF"/>
    <w:rsid w:val="00B77E07"/>
    <w:rsid w:val="00B80A68"/>
    <w:rsid w:val="00B81016"/>
    <w:rsid w:val="00B81257"/>
    <w:rsid w:val="00B81D8A"/>
    <w:rsid w:val="00B82221"/>
    <w:rsid w:val="00B82EF9"/>
    <w:rsid w:val="00B8417B"/>
    <w:rsid w:val="00B85F47"/>
    <w:rsid w:val="00B87927"/>
    <w:rsid w:val="00B92619"/>
    <w:rsid w:val="00B9492E"/>
    <w:rsid w:val="00B95C8B"/>
    <w:rsid w:val="00BA04FD"/>
    <w:rsid w:val="00BA0EAC"/>
    <w:rsid w:val="00BA28A5"/>
    <w:rsid w:val="00BA2B63"/>
    <w:rsid w:val="00BA3CE0"/>
    <w:rsid w:val="00BA402A"/>
    <w:rsid w:val="00BA668D"/>
    <w:rsid w:val="00BA6A13"/>
    <w:rsid w:val="00BA7307"/>
    <w:rsid w:val="00BB0B3D"/>
    <w:rsid w:val="00BB2FD3"/>
    <w:rsid w:val="00BB3199"/>
    <w:rsid w:val="00BB758A"/>
    <w:rsid w:val="00BC322C"/>
    <w:rsid w:val="00BC4613"/>
    <w:rsid w:val="00BC4B91"/>
    <w:rsid w:val="00BC652E"/>
    <w:rsid w:val="00BC6E04"/>
    <w:rsid w:val="00BC767D"/>
    <w:rsid w:val="00BD0020"/>
    <w:rsid w:val="00BD3E8A"/>
    <w:rsid w:val="00BD5118"/>
    <w:rsid w:val="00BD5650"/>
    <w:rsid w:val="00BD75AE"/>
    <w:rsid w:val="00BE36A4"/>
    <w:rsid w:val="00BE7772"/>
    <w:rsid w:val="00BE7A28"/>
    <w:rsid w:val="00BF012D"/>
    <w:rsid w:val="00BF0F4A"/>
    <w:rsid w:val="00BF1204"/>
    <w:rsid w:val="00BF3CBE"/>
    <w:rsid w:val="00BF4C9C"/>
    <w:rsid w:val="00BF5A7D"/>
    <w:rsid w:val="00BF60F0"/>
    <w:rsid w:val="00C0185A"/>
    <w:rsid w:val="00C01D7C"/>
    <w:rsid w:val="00C01E8C"/>
    <w:rsid w:val="00C02ABC"/>
    <w:rsid w:val="00C050E0"/>
    <w:rsid w:val="00C065A3"/>
    <w:rsid w:val="00C07BAA"/>
    <w:rsid w:val="00C1139C"/>
    <w:rsid w:val="00C12673"/>
    <w:rsid w:val="00C137A2"/>
    <w:rsid w:val="00C165BE"/>
    <w:rsid w:val="00C16D99"/>
    <w:rsid w:val="00C17302"/>
    <w:rsid w:val="00C17337"/>
    <w:rsid w:val="00C21E65"/>
    <w:rsid w:val="00C21E7E"/>
    <w:rsid w:val="00C27134"/>
    <w:rsid w:val="00C30297"/>
    <w:rsid w:val="00C305D3"/>
    <w:rsid w:val="00C31AE2"/>
    <w:rsid w:val="00C31B71"/>
    <w:rsid w:val="00C333D0"/>
    <w:rsid w:val="00C337CB"/>
    <w:rsid w:val="00C33D32"/>
    <w:rsid w:val="00C348D3"/>
    <w:rsid w:val="00C35161"/>
    <w:rsid w:val="00C35DDB"/>
    <w:rsid w:val="00C406A6"/>
    <w:rsid w:val="00C43C29"/>
    <w:rsid w:val="00C442C2"/>
    <w:rsid w:val="00C4629B"/>
    <w:rsid w:val="00C47014"/>
    <w:rsid w:val="00C500BA"/>
    <w:rsid w:val="00C50C2D"/>
    <w:rsid w:val="00C515F3"/>
    <w:rsid w:val="00C51E24"/>
    <w:rsid w:val="00C51EF9"/>
    <w:rsid w:val="00C52EAB"/>
    <w:rsid w:val="00C530CE"/>
    <w:rsid w:val="00C54E4E"/>
    <w:rsid w:val="00C57EFE"/>
    <w:rsid w:val="00C61934"/>
    <w:rsid w:val="00C6211B"/>
    <w:rsid w:val="00C62AAE"/>
    <w:rsid w:val="00C6345D"/>
    <w:rsid w:val="00C64617"/>
    <w:rsid w:val="00C64E0A"/>
    <w:rsid w:val="00C65AC6"/>
    <w:rsid w:val="00C663AB"/>
    <w:rsid w:val="00C67781"/>
    <w:rsid w:val="00C7078D"/>
    <w:rsid w:val="00C72258"/>
    <w:rsid w:val="00C7536D"/>
    <w:rsid w:val="00C75518"/>
    <w:rsid w:val="00C82C6A"/>
    <w:rsid w:val="00C8379A"/>
    <w:rsid w:val="00C85314"/>
    <w:rsid w:val="00C90DED"/>
    <w:rsid w:val="00C91A7A"/>
    <w:rsid w:val="00C9338E"/>
    <w:rsid w:val="00C954E8"/>
    <w:rsid w:val="00C9656E"/>
    <w:rsid w:val="00C97D28"/>
    <w:rsid w:val="00CA2677"/>
    <w:rsid w:val="00CA46D6"/>
    <w:rsid w:val="00CA4AC8"/>
    <w:rsid w:val="00CA4BC0"/>
    <w:rsid w:val="00CA6E45"/>
    <w:rsid w:val="00CA7E3D"/>
    <w:rsid w:val="00CB01ED"/>
    <w:rsid w:val="00CB1B44"/>
    <w:rsid w:val="00CB3276"/>
    <w:rsid w:val="00CB5439"/>
    <w:rsid w:val="00CB7FE9"/>
    <w:rsid w:val="00CC044A"/>
    <w:rsid w:val="00CC049A"/>
    <w:rsid w:val="00CC06A5"/>
    <w:rsid w:val="00CC1E9C"/>
    <w:rsid w:val="00CC2D47"/>
    <w:rsid w:val="00CC559D"/>
    <w:rsid w:val="00CC5AEA"/>
    <w:rsid w:val="00CD1576"/>
    <w:rsid w:val="00CD17C5"/>
    <w:rsid w:val="00CD1C60"/>
    <w:rsid w:val="00CD1FF1"/>
    <w:rsid w:val="00CD2E04"/>
    <w:rsid w:val="00CD3C8D"/>
    <w:rsid w:val="00CD4D43"/>
    <w:rsid w:val="00CD6534"/>
    <w:rsid w:val="00CD654B"/>
    <w:rsid w:val="00CD6BD4"/>
    <w:rsid w:val="00CE09A1"/>
    <w:rsid w:val="00CE1C6F"/>
    <w:rsid w:val="00CE223E"/>
    <w:rsid w:val="00CE4E49"/>
    <w:rsid w:val="00CE5557"/>
    <w:rsid w:val="00CE5B0C"/>
    <w:rsid w:val="00CF2161"/>
    <w:rsid w:val="00CF34BC"/>
    <w:rsid w:val="00CF5324"/>
    <w:rsid w:val="00CF588E"/>
    <w:rsid w:val="00CF59E1"/>
    <w:rsid w:val="00CF6C0C"/>
    <w:rsid w:val="00CF7E86"/>
    <w:rsid w:val="00D01B2C"/>
    <w:rsid w:val="00D02777"/>
    <w:rsid w:val="00D03141"/>
    <w:rsid w:val="00D05EB2"/>
    <w:rsid w:val="00D05FC8"/>
    <w:rsid w:val="00D07961"/>
    <w:rsid w:val="00D1035F"/>
    <w:rsid w:val="00D11182"/>
    <w:rsid w:val="00D11A23"/>
    <w:rsid w:val="00D145F5"/>
    <w:rsid w:val="00D1573B"/>
    <w:rsid w:val="00D166FC"/>
    <w:rsid w:val="00D16B98"/>
    <w:rsid w:val="00D175A8"/>
    <w:rsid w:val="00D20AC3"/>
    <w:rsid w:val="00D21782"/>
    <w:rsid w:val="00D23928"/>
    <w:rsid w:val="00D23D60"/>
    <w:rsid w:val="00D23DF8"/>
    <w:rsid w:val="00D247A0"/>
    <w:rsid w:val="00D25205"/>
    <w:rsid w:val="00D267EB"/>
    <w:rsid w:val="00D2737F"/>
    <w:rsid w:val="00D275C8"/>
    <w:rsid w:val="00D276A9"/>
    <w:rsid w:val="00D33EB9"/>
    <w:rsid w:val="00D3515F"/>
    <w:rsid w:val="00D355F0"/>
    <w:rsid w:val="00D35827"/>
    <w:rsid w:val="00D35DEC"/>
    <w:rsid w:val="00D40F53"/>
    <w:rsid w:val="00D42C5B"/>
    <w:rsid w:val="00D43D80"/>
    <w:rsid w:val="00D45AF8"/>
    <w:rsid w:val="00D45BFB"/>
    <w:rsid w:val="00D46F27"/>
    <w:rsid w:val="00D47523"/>
    <w:rsid w:val="00D47C17"/>
    <w:rsid w:val="00D51C05"/>
    <w:rsid w:val="00D546AF"/>
    <w:rsid w:val="00D54F87"/>
    <w:rsid w:val="00D55F66"/>
    <w:rsid w:val="00D569C2"/>
    <w:rsid w:val="00D576A4"/>
    <w:rsid w:val="00D60256"/>
    <w:rsid w:val="00D623CC"/>
    <w:rsid w:val="00D63201"/>
    <w:rsid w:val="00D64774"/>
    <w:rsid w:val="00D64A70"/>
    <w:rsid w:val="00D65662"/>
    <w:rsid w:val="00D67D6C"/>
    <w:rsid w:val="00D735E4"/>
    <w:rsid w:val="00D8011A"/>
    <w:rsid w:val="00D80AB0"/>
    <w:rsid w:val="00D80BDA"/>
    <w:rsid w:val="00D813F4"/>
    <w:rsid w:val="00D83BD9"/>
    <w:rsid w:val="00D85485"/>
    <w:rsid w:val="00D8655A"/>
    <w:rsid w:val="00D90778"/>
    <w:rsid w:val="00D91790"/>
    <w:rsid w:val="00D95A95"/>
    <w:rsid w:val="00D95FB9"/>
    <w:rsid w:val="00D97E6F"/>
    <w:rsid w:val="00DA3EF2"/>
    <w:rsid w:val="00DA410D"/>
    <w:rsid w:val="00DA5930"/>
    <w:rsid w:val="00DA5D1A"/>
    <w:rsid w:val="00DA686B"/>
    <w:rsid w:val="00DA68C2"/>
    <w:rsid w:val="00DB16AE"/>
    <w:rsid w:val="00DB17C7"/>
    <w:rsid w:val="00DB1CA0"/>
    <w:rsid w:val="00DB2367"/>
    <w:rsid w:val="00DB2BC8"/>
    <w:rsid w:val="00DB2DF8"/>
    <w:rsid w:val="00DB4D89"/>
    <w:rsid w:val="00DB7F09"/>
    <w:rsid w:val="00DC00E8"/>
    <w:rsid w:val="00DC0174"/>
    <w:rsid w:val="00DC1F8E"/>
    <w:rsid w:val="00DC252E"/>
    <w:rsid w:val="00DC2AEA"/>
    <w:rsid w:val="00DC2E9E"/>
    <w:rsid w:val="00DC5505"/>
    <w:rsid w:val="00DC7B9C"/>
    <w:rsid w:val="00DD13B4"/>
    <w:rsid w:val="00DD321B"/>
    <w:rsid w:val="00DD50A5"/>
    <w:rsid w:val="00DD52CB"/>
    <w:rsid w:val="00DD5DBB"/>
    <w:rsid w:val="00DD690A"/>
    <w:rsid w:val="00DD7C8B"/>
    <w:rsid w:val="00DE0688"/>
    <w:rsid w:val="00DE1903"/>
    <w:rsid w:val="00DE1E1B"/>
    <w:rsid w:val="00DE1ED7"/>
    <w:rsid w:val="00DE74E3"/>
    <w:rsid w:val="00DF7345"/>
    <w:rsid w:val="00DF7396"/>
    <w:rsid w:val="00DF772E"/>
    <w:rsid w:val="00E041F7"/>
    <w:rsid w:val="00E05C29"/>
    <w:rsid w:val="00E10D39"/>
    <w:rsid w:val="00E1136B"/>
    <w:rsid w:val="00E11C0F"/>
    <w:rsid w:val="00E12102"/>
    <w:rsid w:val="00E12152"/>
    <w:rsid w:val="00E15775"/>
    <w:rsid w:val="00E15D0C"/>
    <w:rsid w:val="00E20363"/>
    <w:rsid w:val="00E22D51"/>
    <w:rsid w:val="00E23B94"/>
    <w:rsid w:val="00E23C1D"/>
    <w:rsid w:val="00E24AE4"/>
    <w:rsid w:val="00E24F01"/>
    <w:rsid w:val="00E341BA"/>
    <w:rsid w:val="00E3446A"/>
    <w:rsid w:val="00E35FA1"/>
    <w:rsid w:val="00E369A0"/>
    <w:rsid w:val="00E37CFC"/>
    <w:rsid w:val="00E424E5"/>
    <w:rsid w:val="00E425E6"/>
    <w:rsid w:val="00E43077"/>
    <w:rsid w:val="00E44BB2"/>
    <w:rsid w:val="00E45410"/>
    <w:rsid w:val="00E4552A"/>
    <w:rsid w:val="00E4666A"/>
    <w:rsid w:val="00E46AF2"/>
    <w:rsid w:val="00E5007E"/>
    <w:rsid w:val="00E506FB"/>
    <w:rsid w:val="00E50E7C"/>
    <w:rsid w:val="00E51545"/>
    <w:rsid w:val="00E528DC"/>
    <w:rsid w:val="00E5465C"/>
    <w:rsid w:val="00E55326"/>
    <w:rsid w:val="00E57099"/>
    <w:rsid w:val="00E60640"/>
    <w:rsid w:val="00E60D9F"/>
    <w:rsid w:val="00E60EC1"/>
    <w:rsid w:val="00E62477"/>
    <w:rsid w:val="00E63B53"/>
    <w:rsid w:val="00E64162"/>
    <w:rsid w:val="00E67521"/>
    <w:rsid w:val="00E6754E"/>
    <w:rsid w:val="00E711D7"/>
    <w:rsid w:val="00E714F5"/>
    <w:rsid w:val="00E72DF9"/>
    <w:rsid w:val="00E74825"/>
    <w:rsid w:val="00E75F3C"/>
    <w:rsid w:val="00E76C47"/>
    <w:rsid w:val="00E771B7"/>
    <w:rsid w:val="00E776DF"/>
    <w:rsid w:val="00E82CBB"/>
    <w:rsid w:val="00E837CF"/>
    <w:rsid w:val="00E83A77"/>
    <w:rsid w:val="00E83F2F"/>
    <w:rsid w:val="00E86850"/>
    <w:rsid w:val="00E86B40"/>
    <w:rsid w:val="00E902B0"/>
    <w:rsid w:val="00E902E8"/>
    <w:rsid w:val="00E903C5"/>
    <w:rsid w:val="00E90962"/>
    <w:rsid w:val="00E92D85"/>
    <w:rsid w:val="00E937A1"/>
    <w:rsid w:val="00E94FFA"/>
    <w:rsid w:val="00E96A04"/>
    <w:rsid w:val="00EA065B"/>
    <w:rsid w:val="00EA30A0"/>
    <w:rsid w:val="00EA33DB"/>
    <w:rsid w:val="00EA342E"/>
    <w:rsid w:val="00EA3B73"/>
    <w:rsid w:val="00EB030F"/>
    <w:rsid w:val="00EB056B"/>
    <w:rsid w:val="00EB1315"/>
    <w:rsid w:val="00EB1980"/>
    <w:rsid w:val="00EB2C49"/>
    <w:rsid w:val="00EB3243"/>
    <w:rsid w:val="00EB34F8"/>
    <w:rsid w:val="00EB43D9"/>
    <w:rsid w:val="00EB4656"/>
    <w:rsid w:val="00EC39F5"/>
    <w:rsid w:val="00EC6B16"/>
    <w:rsid w:val="00ED0264"/>
    <w:rsid w:val="00ED083D"/>
    <w:rsid w:val="00ED1A76"/>
    <w:rsid w:val="00ED46DA"/>
    <w:rsid w:val="00ED5ABD"/>
    <w:rsid w:val="00ED66C8"/>
    <w:rsid w:val="00ED6EAC"/>
    <w:rsid w:val="00EE019A"/>
    <w:rsid w:val="00EE4766"/>
    <w:rsid w:val="00EE677F"/>
    <w:rsid w:val="00EF05DF"/>
    <w:rsid w:val="00EF2366"/>
    <w:rsid w:val="00EF294D"/>
    <w:rsid w:val="00EF2FBF"/>
    <w:rsid w:val="00EF5AAA"/>
    <w:rsid w:val="00EF6F78"/>
    <w:rsid w:val="00F00196"/>
    <w:rsid w:val="00F0082D"/>
    <w:rsid w:val="00F02C58"/>
    <w:rsid w:val="00F05DC7"/>
    <w:rsid w:val="00F06B64"/>
    <w:rsid w:val="00F06DD4"/>
    <w:rsid w:val="00F07C90"/>
    <w:rsid w:val="00F1288E"/>
    <w:rsid w:val="00F1568C"/>
    <w:rsid w:val="00F17AB3"/>
    <w:rsid w:val="00F17DC0"/>
    <w:rsid w:val="00F20469"/>
    <w:rsid w:val="00F21A34"/>
    <w:rsid w:val="00F25822"/>
    <w:rsid w:val="00F26147"/>
    <w:rsid w:val="00F26298"/>
    <w:rsid w:val="00F32BE3"/>
    <w:rsid w:val="00F32F15"/>
    <w:rsid w:val="00F3464D"/>
    <w:rsid w:val="00F353DF"/>
    <w:rsid w:val="00F40DFB"/>
    <w:rsid w:val="00F40F96"/>
    <w:rsid w:val="00F41944"/>
    <w:rsid w:val="00F42A63"/>
    <w:rsid w:val="00F42F34"/>
    <w:rsid w:val="00F46D23"/>
    <w:rsid w:val="00F52DFC"/>
    <w:rsid w:val="00F573E7"/>
    <w:rsid w:val="00F5775A"/>
    <w:rsid w:val="00F61250"/>
    <w:rsid w:val="00F6156E"/>
    <w:rsid w:val="00F616BD"/>
    <w:rsid w:val="00F63DFF"/>
    <w:rsid w:val="00F649F4"/>
    <w:rsid w:val="00F66B9F"/>
    <w:rsid w:val="00F67724"/>
    <w:rsid w:val="00F67D63"/>
    <w:rsid w:val="00F67DCE"/>
    <w:rsid w:val="00F67E3B"/>
    <w:rsid w:val="00F714B0"/>
    <w:rsid w:val="00F71A0E"/>
    <w:rsid w:val="00F71CB7"/>
    <w:rsid w:val="00F721FC"/>
    <w:rsid w:val="00F7291A"/>
    <w:rsid w:val="00F77C87"/>
    <w:rsid w:val="00F80042"/>
    <w:rsid w:val="00F81E9F"/>
    <w:rsid w:val="00F81EEA"/>
    <w:rsid w:val="00F82204"/>
    <w:rsid w:val="00F8749E"/>
    <w:rsid w:val="00F87A5F"/>
    <w:rsid w:val="00F900D9"/>
    <w:rsid w:val="00F905DF"/>
    <w:rsid w:val="00F92279"/>
    <w:rsid w:val="00F92C04"/>
    <w:rsid w:val="00F930C9"/>
    <w:rsid w:val="00F9374A"/>
    <w:rsid w:val="00F9471B"/>
    <w:rsid w:val="00FA09A2"/>
    <w:rsid w:val="00FA1AAC"/>
    <w:rsid w:val="00FA23AA"/>
    <w:rsid w:val="00FA28E2"/>
    <w:rsid w:val="00FA2E58"/>
    <w:rsid w:val="00FA3462"/>
    <w:rsid w:val="00FA3608"/>
    <w:rsid w:val="00FA3F32"/>
    <w:rsid w:val="00FA4921"/>
    <w:rsid w:val="00FA57D8"/>
    <w:rsid w:val="00FA6ED4"/>
    <w:rsid w:val="00FA72FD"/>
    <w:rsid w:val="00FA7FCE"/>
    <w:rsid w:val="00FB1030"/>
    <w:rsid w:val="00FB3ADB"/>
    <w:rsid w:val="00FB536A"/>
    <w:rsid w:val="00FB64AA"/>
    <w:rsid w:val="00FB69D9"/>
    <w:rsid w:val="00FB70BB"/>
    <w:rsid w:val="00FC206E"/>
    <w:rsid w:val="00FC22F3"/>
    <w:rsid w:val="00FC2373"/>
    <w:rsid w:val="00FC4BD8"/>
    <w:rsid w:val="00FC4C6D"/>
    <w:rsid w:val="00FC576E"/>
    <w:rsid w:val="00FC64BA"/>
    <w:rsid w:val="00FC6ADA"/>
    <w:rsid w:val="00FC77BB"/>
    <w:rsid w:val="00FD1A36"/>
    <w:rsid w:val="00FD1C5F"/>
    <w:rsid w:val="00FD5938"/>
    <w:rsid w:val="00FD636B"/>
    <w:rsid w:val="00FE635E"/>
    <w:rsid w:val="00FE6BA5"/>
    <w:rsid w:val="00FE7E35"/>
    <w:rsid w:val="00FF0C81"/>
    <w:rsid w:val="00FF1B96"/>
    <w:rsid w:val="00FF313F"/>
    <w:rsid w:val="00FF3383"/>
    <w:rsid w:val="00FF4057"/>
    <w:rsid w:val="00FF6932"/>
    <w:rsid w:val="0204F212"/>
    <w:rsid w:val="226BA43D"/>
    <w:rsid w:val="2848307D"/>
    <w:rsid w:val="2BD25F47"/>
    <w:rsid w:val="412C6EED"/>
    <w:rsid w:val="65CEF1DB"/>
    <w:rsid w:val="6CB8832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5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3FE"/>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354FBB"/>
    <w:pPr>
      <w:spacing w:before="480"/>
      <w:outlineLvl w:val="0"/>
    </w:pPr>
    <w:rPr>
      <w:bCs w:val="0"/>
      <w:color w:val="002C47" w:themeColor="accent1"/>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8361B4"/>
    <w:pPr>
      <w:spacing w:before="240"/>
      <w:outlineLvl w:val="2"/>
    </w:pPr>
    <w:rPr>
      <w:bCs w:val="0"/>
      <w:color w:val="00818F" w:themeColor="accent5"/>
      <w:sz w:val="28"/>
      <w:szCs w:val="26"/>
    </w:rPr>
  </w:style>
  <w:style w:type="paragraph" w:styleId="Heading4">
    <w:name w:val="heading 4"/>
    <w:basedOn w:val="HeadingBase"/>
    <w:next w:val="Normal"/>
    <w:link w:val="Heading4Char"/>
    <w:qFormat/>
    <w:rsid w:val="00354FBB"/>
    <w:pPr>
      <w:outlineLvl w:val="3"/>
    </w:pPr>
    <w:rPr>
      <w:bCs w:val="0"/>
      <w:color w:val="3A6FAF" w:themeColor="accent2"/>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4FBB"/>
    <w:rPr>
      <w:rFonts w:ascii="Calibri" w:eastAsia="Times New Roman" w:hAnsi="Calibri" w:cs="Arial"/>
      <w:color w:val="002C47" w:themeColor="accent1"/>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8361B4"/>
    <w:rPr>
      <w:rFonts w:ascii="Calibri" w:eastAsia="Times New Roman" w:hAnsi="Calibri" w:cs="Arial"/>
      <w:color w:val="00818F" w:themeColor="accent5"/>
      <w:kern w:val="32"/>
      <w:sz w:val="28"/>
      <w:szCs w:val="26"/>
      <w:lang w:eastAsia="en-AU"/>
    </w:rPr>
  </w:style>
  <w:style w:type="character" w:customStyle="1" w:styleId="Heading4Char">
    <w:name w:val="Heading 4 Char"/>
    <w:basedOn w:val="DefaultParagraphFont"/>
    <w:link w:val="Heading4"/>
    <w:rsid w:val="00354FBB"/>
    <w:rPr>
      <w:rFonts w:ascii="Calibri" w:eastAsia="Times New Roman" w:hAnsi="Calibri" w:cs="Arial"/>
      <w:color w:val="3A6FAF" w:themeColor="accent2"/>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9"/>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8361B4"/>
    <w:pPr>
      <w:keepNext/>
      <w:spacing w:before="240"/>
    </w:pPr>
    <w:rPr>
      <w:b/>
      <w:color w:val="002C47" w:themeColor="accent1"/>
      <w:sz w:val="26"/>
      <w:szCs w:val="26"/>
    </w:rPr>
  </w:style>
  <w:style w:type="paragraph" w:customStyle="1" w:styleId="BoxText">
    <w:name w:val="Box Text"/>
    <w:basedOn w:val="Normal"/>
    <w:rsid w:val="000E0B74"/>
  </w:style>
  <w:style w:type="paragraph" w:customStyle="1" w:styleId="Bullet">
    <w:name w:val="Bullet"/>
    <w:aliases w:val="Body,Bullet + line,b,b + line,b1,level 1,BodyNum,Bullet Char1,Bullet Char1 Char Char Char Char,b1 Char Char Char,Bullet Char1 Char Char Char Char Char,Bullet Char1 Char Char Char,bulleted"/>
    <w:basedOn w:val="Normal"/>
    <w:link w:val="BulletChar"/>
    <w:qFormat/>
    <w:rsid w:val="000E0B74"/>
    <w:pPr>
      <w:numPr>
        <w:numId w:val="1"/>
      </w:numPr>
      <w:spacing w:before="0"/>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8361B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361B4"/>
    <w:pPr>
      <w:jc w:val="center"/>
    </w:pPr>
  </w:style>
  <w:style w:type="paragraph" w:customStyle="1" w:styleId="ReportDate">
    <w:name w:val="Report Date"/>
    <w:basedOn w:val="Normal"/>
    <w:link w:val="ReportDateChar"/>
    <w:rsid w:val="001D4EAA"/>
    <w:pPr>
      <w:keepNext/>
      <w:spacing w:before="0" w:after="360"/>
    </w:pPr>
    <w:rPr>
      <w:color w:val="FFFFFF" w:themeColor="background1"/>
      <w:sz w:val="44"/>
    </w:rPr>
  </w:style>
  <w:style w:type="paragraph" w:customStyle="1" w:styleId="Dash">
    <w:name w:val="Dash"/>
    <w:basedOn w:val="Normal"/>
    <w:link w:val="DashChar"/>
    <w:qFormat/>
    <w:rsid w:val="000E0B74"/>
    <w:pPr>
      <w:numPr>
        <w:ilvl w:val="1"/>
        <w:numId w:val="1"/>
      </w:numPr>
      <w:spacing w:before="0"/>
      <w:ind w:left="568"/>
    </w:pPr>
  </w:style>
  <w:style w:type="paragraph" w:customStyle="1" w:styleId="DoubleDot">
    <w:name w:val="Double Dot"/>
    <w:basedOn w:val="Normal"/>
    <w:qFormat/>
    <w:rsid w:val="000E0B74"/>
    <w:pPr>
      <w:tabs>
        <w:tab w:val="num" w:pos="850"/>
      </w:tabs>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EF2FBF"/>
    <w:rPr>
      <w:color w:val="3A6FAF" w:themeColor="accent2"/>
      <w:u w:val="none"/>
    </w:rPr>
  </w:style>
  <w:style w:type="paragraph" w:customStyle="1" w:styleId="OutlineNumbered1">
    <w:name w:val="Outline Numbered 1"/>
    <w:basedOn w:val="Normal"/>
    <w:link w:val="OutlineNumbered1Char"/>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9"/>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8361B4"/>
    <w:pPr>
      <w:keepNext/>
      <w:spacing w:before="0" w:after="20"/>
    </w:pPr>
    <w:rPr>
      <w:b/>
      <w:color w:val="00818F" w:themeColor="accent5"/>
    </w:rPr>
  </w:style>
  <w:style w:type="paragraph" w:customStyle="1" w:styleId="TableColumnHeadingCentred">
    <w:name w:val="Table Column Heading Centred"/>
    <w:basedOn w:val="TableTextLeft"/>
    <w:rsid w:val="008361B4"/>
    <w:pPr>
      <w:jc w:val="center"/>
    </w:pPr>
    <w:rPr>
      <w:b/>
      <w:color w:val="002C47" w:themeColor="accent1"/>
      <w:sz w:val="20"/>
    </w:rPr>
  </w:style>
  <w:style w:type="paragraph" w:customStyle="1" w:styleId="TableColumnHeadingLeft">
    <w:name w:val="Table Column Heading Left"/>
    <w:basedOn w:val="TableTextLeft"/>
    <w:rsid w:val="008361B4"/>
    <w:rPr>
      <w:b/>
      <w:color w:val="002C47" w:themeColor="accent1"/>
      <w:sz w:val="20"/>
    </w:rPr>
  </w:style>
  <w:style w:type="paragraph" w:customStyle="1" w:styleId="TableColumnHeadingRight">
    <w:name w:val="Table Column Heading Right"/>
    <w:basedOn w:val="TableTextLeft"/>
    <w:rsid w:val="008361B4"/>
    <w:pPr>
      <w:jc w:val="right"/>
    </w:pPr>
    <w:rPr>
      <w:b/>
      <w:color w:val="002C47" w:themeColor="accent1"/>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8361B4"/>
    <w:pPr>
      <w:keepNext/>
      <w:tabs>
        <w:tab w:val="right" w:leader="dot" w:pos="9072"/>
      </w:tabs>
      <w:spacing w:before="180" w:after="0"/>
      <w:ind w:right="-2"/>
    </w:pPr>
    <w:rPr>
      <w:b/>
      <w:noProof/>
      <w:color w:val="002C47" w:themeColor="accent1"/>
      <w:szCs w:val="22"/>
    </w:rPr>
  </w:style>
  <w:style w:type="paragraph" w:styleId="TOC2">
    <w:name w:val="toc 2"/>
    <w:basedOn w:val="Normal"/>
    <w:next w:val="Normal"/>
    <w:uiPriority w:val="39"/>
    <w:qFormat/>
    <w:rsid w:val="008361B4"/>
    <w:pPr>
      <w:keepNext/>
      <w:tabs>
        <w:tab w:val="right" w:leader="dot" w:pos="9072"/>
      </w:tabs>
      <w:spacing w:before="40" w:after="20"/>
      <w:ind w:right="-2"/>
    </w:pPr>
    <w:rPr>
      <w:noProof/>
      <w:color w:val="002C47" w:themeColor="accent1"/>
    </w:rPr>
  </w:style>
  <w:style w:type="paragraph" w:styleId="TOC3">
    <w:name w:val="toc 3"/>
    <w:basedOn w:val="Normal"/>
    <w:next w:val="Normal"/>
    <w:uiPriority w:val="39"/>
    <w:qFormat/>
    <w:rsid w:val="008361B4"/>
    <w:pPr>
      <w:tabs>
        <w:tab w:val="right" w:leader="dot" w:pos="9072"/>
      </w:tabs>
      <w:spacing w:before="20" w:after="0"/>
      <w:ind w:left="284" w:right="-2"/>
    </w:pPr>
    <w:rPr>
      <w:rFonts w:cs="Calibri"/>
      <w:noProof/>
      <w:color w:val="5F5F5F" w:themeColor="text2"/>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0"/>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1D4EAA"/>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1D4EAA"/>
    <w:rPr>
      <w:rFonts w:ascii="Calibri" w:eastAsiaTheme="majorEastAsia" w:hAnsi="Calibri" w:cstheme="majorBidi"/>
      <w:b/>
      <w:color w:val="FFFFFF" w:themeColor="background1"/>
      <w:spacing w:val="5"/>
      <w:kern w:val="28"/>
      <w:sz w:val="72"/>
      <w:szCs w:val="52"/>
      <w:lang w:eastAsia="en-AU"/>
    </w:rPr>
  </w:style>
  <w:style w:type="paragraph" w:styleId="Subtitle">
    <w:name w:val="Subtitle"/>
    <w:basedOn w:val="Normal"/>
    <w:next w:val="Normal"/>
    <w:link w:val="SubtitleChar"/>
    <w:uiPriority w:val="11"/>
    <w:qFormat/>
    <w:rsid w:val="001D4EAA"/>
    <w:pPr>
      <w:numPr>
        <w:ilvl w:val="1"/>
      </w:numPr>
    </w:pPr>
    <w:rPr>
      <w:rFonts w:eastAsiaTheme="majorEastAsia" w:cstheme="majorBidi"/>
      <w:iCs/>
      <w:color w:val="FFFFFF" w:themeColor="background1"/>
      <w:sz w:val="44"/>
      <w:szCs w:val="44"/>
    </w:rPr>
  </w:style>
  <w:style w:type="character" w:customStyle="1" w:styleId="SubtitleChar">
    <w:name w:val="Subtitle Char"/>
    <w:basedOn w:val="DefaultParagraphFont"/>
    <w:link w:val="Subtitle"/>
    <w:uiPriority w:val="11"/>
    <w:rsid w:val="001D4EAA"/>
    <w:rPr>
      <w:rFonts w:ascii="Calibri" w:eastAsiaTheme="majorEastAsia" w:hAnsi="Calibri" w:cstheme="majorBidi"/>
      <w:iCs/>
      <w:color w:val="FFFFFF" w:themeColor="background1"/>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421351"/>
    <w:pPr>
      <w:tabs>
        <w:tab w:val="center" w:pos="4513"/>
        <w:tab w:val="right" w:pos="9026"/>
      </w:tabs>
      <w:spacing w:before="0" w:after="0"/>
      <w:jc w:val="center"/>
    </w:pPr>
    <w:rPr>
      <w:color w:val="002C47" w:themeColor="accent1"/>
      <w:sz w:val="20"/>
    </w:rPr>
  </w:style>
  <w:style w:type="character" w:customStyle="1" w:styleId="FooterChar">
    <w:name w:val="Footer Char"/>
    <w:basedOn w:val="DefaultParagraphFont"/>
    <w:link w:val="Footer"/>
    <w:rsid w:val="00421351"/>
    <w:rPr>
      <w:rFonts w:ascii="Calibri" w:eastAsia="Times New Roman" w:hAnsi="Calibri" w:cs="Times New Roman"/>
      <w:color w:val="002C47" w:themeColor="accent1"/>
      <w:sz w:val="20"/>
      <w:szCs w:val="20"/>
      <w:lang w:eastAsia="en-AU"/>
    </w:rPr>
  </w:style>
  <w:style w:type="paragraph" w:styleId="Header">
    <w:name w:val="header"/>
    <w:basedOn w:val="Normal"/>
    <w:link w:val="HeaderChar"/>
    <w:uiPriority w:val="99"/>
    <w:unhideWhenUsed/>
    <w:rsid w:val="00421351"/>
    <w:pPr>
      <w:keepNext/>
      <w:spacing w:before="0" w:after="0"/>
      <w:jc w:val="right"/>
    </w:pPr>
    <w:rPr>
      <w:color w:val="002C47" w:themeColor="accent1"/>
      <w:sz w:val="20"/>
    </w:rPr>
  </w:style>
  <w:style w:type="character" w:customStyle="1" w:styleId="HeaderChar">
    <w:name w:val="Header Char"/>
    <w:basedOn w:val="DefaultParagraphFont"/>
    <w:link w:val="Header"/>
    <w:uiPriority w:val="99"/>
    <w:rsid w:val="00421351"/>
    <w:rPr>
      <w:rFonts w:ascii="Calibri" w:eastAsia="Times New Roman" w:hAnsi="Calibri" w:cs="Times New Roman"/>
      <w:color w:val="002C47" w:themeColor="accent1"/>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HeadingBase">
    <w:name w:val="Heading Base"/>
    <w:qFormat/>
    <w:rsid w:val="00CE5B0C"/>
    <w:pPr>
      <w:keepNext/>
      <w:spacing w:after="120" w:line="240" w:lineRule="auto"/>
    </w:pPr>
    <w:rPr>
      <w:rFonts w:ascii="Calibri" w:eastAsia="Times New Roman" w:hAnsi="Calibri" w:cs="Arial"/>
      <w:bCs/>
      <w:color w:val="002C47"/>
      <w:kern w:val="32"/>
      <w:szCs w:val="36"/>
      <w:lang w:eastAsia="en-AU"/>
    </w:rPr>
  </w:style>
  <w:style w:type="character" w:customStyle="1" w:styleId="ReportDateChar">
    <w:name w:val="Report Date Char"/>
    <w:basedOn w:val="DefaultParagraphFont"/>
    <w:link w:val="ReportDate"/>
    <w:rsid w:val="001D4EAA"/>
    <w:rPr>
      <w:rFonts w:ascii="Calibri" w:eastAsia="Times New Roman" w:hAnsi="Calibri" w:cs="Times New Roman"/>
      <w:color w:val="FFFFFF" w:themeColor="background1"/>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5F5F5F"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5F5F5F" w:themeColor="text2"/>
      <w:sz w:val="36"/>
      <w:szCs w:val="36"/>
    </w:rPr>
  </w:style>
  <w:style w:type="paragraph" w:customStyle="1" w:styleId="Divider">
    <w:name w:val="Divider"/>
    <w:basedOn w:val="ReportDate"/>
    <w:qFormat/>
    <w:rsid w:val="002F617F"/>
    <w:pPr>
      <w:spacing w:after="180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60595B"/>
    <w:pPr>
      <w:spacing w:before="0" w:after="0"/>
    </w:pPr>
    <w:rPr>
      <w:sz w:val="20"/>
    </w:rPr>
  </w:style>
  <w:style w:type="character" w:customStyle="1" w:styleId="FootnoteTextChar">
    <w:name w:val="Footnote Text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character" w:styleId="UnresolvedMention">
    <w:name w:val="Unresolved Mention"/>
    <w:basedOn w:val="DefaultParagraphFont"/>
    <w:uiPriority w:val="99"/>
    <w:semiHidden/>
    <w:unhideWhenUsed/>
    <w:rsid w:val="008C086D"/>
    <w:rPr>
      <w:color w:val="605E5C"/>
      <w:shd w:val="clear" w:color="auto" w:fill="E1DFDD"/>
    </w:rPr>
  </w:style>
  <w:style w:type="character" w:styleId="FollowedHyperlink">
    <w:name w:val="FollowedHyperlink"/>
    <w:basedOn w:val="DefaultParagraphFont"/>
    <w:uiPriority w:val="99"/>
    <w:semiHidden/>
    <w:unhideWhenUsed/>
    <w:rsid w:val="005816AB"/>
    <w:rPr>
      <w:color w:val="E61E26" w:themeColor="followedHyperlink"/>
      <w:u w:val="single"/>
    </w:rPr>
  </w:style>
  <w:style w:type="character" w:customStyle="1" w:styleId="BulletChar">
    <w:name w:val="Bullet Char"/>
    <w:aliases w:val="b + line Char Char,b Char,b Char Char,b1 Char,b + line Char,Body Char,level 1 Char,Bulleted Para Char,Bullets Char,Number Char,F5 List Paragraph Char,Dot pt Char,Bullet + line Char,FooterText Char,L Char,List Paragraph Char"/>
    <w:basedOn w:val="DefaultParagraphFont"/>
    <w:link w:val="Bullet"/>
    <w:qFormat/>
    <w:rsid w:val="009F08A3"/>
    <w:rPr>
      <w:rFonts w:ascii="Calibri" w:eastAsia="Times New Roman" w:hAnsi="Calibri" w:cs="Times New Roman"/>
      <w:szCs w:val="20"/>
      <w:lang w:eastAsia="en-AU"/>
    </w:rPr>
  </w:style>
  <w:style w:type="paragraph" w:styleId="ListParagraph">
    <w:name w:val="List Paragraph"/>
    <w:basedOn w:val="Normal"/>
    <w:uiPriority w:val="34"/>
    <w:qFormat/>
    <w:rsid w:val="00445D5E"/>
    <w:pPr>
      <w:ind w:left="720"/>
      <w:contextualSpacing/>
    </w:pPr>
  </w:style>
  <w:style w:type="character" w:customStyle="1" w:styleId="OutlineNumbered1Char">
    <w:name w:val="Outline Numbered 1 Char"/>
    <w:basedOn w:val="DefaultParagraphFont"/>
    <w:link w:val="OutlineNumbered1"/>
    <w:rsid w:val="00C137A2"/>
    <w:rPr>
      <w:rFonts w:ascii="Calibri" w:eastAsia="Times New Roman" w:hAnsi="Calibri" w:cs="Times New Roman"/>
      <w:szCs w:val="20"/>
      <w:lang w:eastAsia="en-AU"/>
    </w:rPr>
  </w:style>
  <w:style w:type="paragraph" w:styleId="NormalWeb">
    <w:name w:val="Normal (Web)"/>
    <w:basedOn w:val="Normal"/>
    <w:uiPriority w:val="99"/>
    <w:semiHidden/>
    <w:unhideWhenUsed/>
    <w:rsid w:val="00965FEC"/>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753144"/>
    <w:rPr>
      <w:sz w:val="16"/>
      <w:szCs w:val="16"/>
    </w:rPr>
  </w:style>
  <w:style w:type="paragraph" w:styleId="CommentText">
    <w:name w:val="annotation text"/>
    <w:basedOn w:val="Normal"/>
    <w:link w:val="CommentTextChar"/>
    <w:uiPriority w:val="99"/>
    <w:unhideWhenUsed/>
    <w:rsid w:val="00753144"/>
    <w:rPr>
      <w:sz w:val="20"/>
    </w:rPr>
  </w:style>
  <w:style w:type="character" w:customStyle="1" w:styleId="CommentTextChar">
    <w:name w:val="Comment Text Char"/>
    <w:basedOn w:val="DefaultParagraphFont"/>
    <w:link w:val="CommentText"/>
    <w:uiPriority w:val="99"/>
    <w:rsid w:val="00753144"/>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753144"/>
    <w:rPr>
      <w:b/>
      <w:bCs/>
    </w:rPr>
  </w:style>
  <w:style w:type="character" w:customStyle="1" w:styleId="CommentSubjectChar">
    <w:name w:val="Comment Subject Char"/>
    <w:basedOn w:val="CommentTextChar"/>
    <w:link w:val="CommentSubject"/>
    <w:uiPriority w:val="99"/>
    <w:semiHidden/>
    <w:rsid w:val="00753144"/>
    <w:rPr>
      <w:rFonts w:ascii="Calibri" w:eastAsia="Times New Roman" w:hAnsi="Calibri" w:cs="Times New Roman"/>
      <w:b/>
      <w:bCs/>
      <w:sz w:val="20"/>
      <w:szCs w:val="20"/>
      <w:lang w:eastAsia="en-AU"/>
    </w:rPr>
  </w:style>
  <w:style w:type="character" w:customStyle="1" w:styleId="DashChar">
    <w:name w:val="Dash Char"/>
    <w:basedOn w:val="DefaultParagraphFont"/>
    <w:link w:val="Dash"/>
    <w:locked/>
    <w:rsid w:val="00ED6EAC"/>
    <w:rPr>
      <w:rFonts w:ascii="Calibri" w:eastAsia="Times New Roman" w:hAnsi="Calibri" w:cs="Times New Roman"/>
      <w:szCs w:val="20"/>
      <w:lang w:eastAsia="en-AU"/>
    </w:rPr>
  </w:style>
  <w:style w:type="paragraph" w:styleId="TOC5">
    <w:name w:val="toc 5"/>
    <w:basedOn w:val="Normal"/>
    <w:next w:val="Normal"/>
    <w:autoRedefine/>
    <w:uiPriority w:val="39"/>
    <w:semiHidden/>
    <w:unhideWhenUsed/>
    <w:rsid w:val="00AD41EA"/>
    <w:pPr>
      <w:spacing w:after="100"/>
      <w:ind w:left="880"/>
    </w:pPr>
  </w:style>
  <w:style w:type="paragraph" w:styleId="TOC4">
    <w:name w:val="toc 4"/>
    <w:basedOn w:val="Normal"/>
    <w:next w:val="Normal"/>
    <w:autoRedefine/>
    <w:uiPriority w:val="39"/>
    <w:semiHidden/>
    <w:unhideWhenUsed/>
    <w:rsid w:val="00AD41EA"/>
    <w:pPr>
      <w:spacing w:after="100"/>
      <w:ind w:left="660"/>
    </w:pPr>
  </w:style>
  <w:style w:type="paragraph" w:styleId="EndnoteText">
    <w:name w:val="endnote text"/>
    <w:basedOn w:val="Normal"/>
    <w:link w:val="EndnoteTextChar"/>
    <w:uiPriority w:val="99"/>
    <w:semiHidden/>
    <w:unhideWhenUsed/>
    <w:rsid w:val="006A4A2B"/>
    <w:pPr>
      <w:spacing w:before="0" w:after="0"/>
    </w:pPr>
    <w:rPr>
      <w:sz w:val="20"/>
    </w:rPr>
  </w:style>
  <w:style w:type="character" w:customStyle="1" w:styleId="EndnoteTextChar">
    <w:name w:val="Endnote Text Char"/>
    <w:basedOn w:val="DefaultParagraphFont"/>
    <w:link w:val="EndnoteText"/>
    <w:uiPriority w:val="99"/>
    <w:semiHidden/>
    <w:rsid w:val="006A4A2B"/>
    <w:rPr>
      <w:rFonts w:ascii="Calibri" w:eastAsia="Times New Roman" w:hAnsi="Calibri" w:cs="Times New Roman"/>
      <w:sz w:val="20"/>
      <w:szCs w:val="20"/>
      <w:lang w:eastAsia="en-AU"/>
    </w:rPr>
  </w:style>
  <w:style w:type="character" w:styleId="EndnoteReference">
    <w:name w:val="endnote reference"/>
    <w:basedOn w:val="DefaultParagraphFont"/>
    <w:uiPriority w:val="99"/>
    <w:semiHidden/>
    <w:unhideWhenUsed/>
    <w:rsid w:val="006A4A2B"/>
    <w:rPr>
      <w:vertAlign w:val="superscript"/>
    </w:rPr>
  </w:style>
  <w:style w:type="paragraph" w:styleId="Revision">
    <w:name w:val="Revision"/>
    <w:hidden/>
    <w:uiPriority w:val="99"/>
    <w:semiHidden/>
    <w:rsid w:val="00D623CC"/>
    <w:pPr>
      <w:spacing w:after="0" w:line="240" w:lineRule="auto"/>
    </w:pPr>
    <w:rPr>
      <w:rFonts w:ascii="Calibri" w:eastAsia="Times New Roman" w:hAnsi="Calibri" w:cs="Times New Roman"/>
      <w:szCs w:val="20"/>
      <w:lang w:eastAsia="en-AU"/>
    </w:rPr>
  </w:style>
  <w:style w:type="paragraph" w:customStyle="1" w:styleId="Numbered111">
    <w:name w:val="Numbered 1.1.1"/>
    <w:basedOn w:val="Heading3"/>
    <w:next w:val="Normal"/>
    <w:qFormat/>
    <w:rsid w:val="005513D4"/>
    <w:pPr>
      <w:keepNext w:val="0"/>
      <w:numPr>
        <w:ilvl w:val="2"/>
        <w:numId w:val="11"/>
      </w:numPr>
      <w:tabs>
        <w:tab w:val="left" w:pos="1361"/>
      </w:tabs>
      <w:spacing w:after="0"/>
      <w:contextualSpacing/>
    </w:pPr>
    <w:rPr>
      <w:rFonts w:ascii="Trebuchet MS" w:eastAsiaTheme="majorEastAsia" w:hAnsi="Trebuchet MS" w:cstheme="majorBidi"/>
      <w:b/>
      <w:bCs/>
      <w:color w:val="000000" w:themeColor="text1"/>
      <w:kern w:val="0"/>
      <w:sz w:val="24"/>
      <w:szCs w:val="22"/>
      <w:lang w:eastAsia="en-US"/>
    </w:rPr>
  </w:style>
  <w:style w:type="paragraph" w:customStyle="1" w:styleId="Numbered11">
    <w:name w:val="Numbered 1.1"/>
    <w:basedOn w:val="Heading2"/>
    <w:next w:val="Normal"/>
    <w:qFormat/>
    <w:rsid w:val="000D4426"/>
    <w:pPr>
      <w:keepNext w:val="0"/>
      <w:tabs>
        <w:tab w:val="left" w:pos="1021"/>
      </w:tabs>
      <w:spacing w:before="200" w:after="0" w:line="240" w:lineRule="atLeast"/>
      <w:ind w:left="1021" w:hanging="1021"/>
    </w:pPr>
    <w:rPr>
      <w:rFonts w:ascii="Trebuchet MS" w:eastAsiaTheme="majorEastAsia" w:hAnsi="Trebuchet MS"/>
      <w:bCs/>
      <w:iCs w:val="0"/>
      <w:color w:val="002C47" w:themeColor="accent1"/>
      <w:kern w:val="0"/>
      <w:sz w:val="28"/>
      <w:szCs w:val="26"/>
      <w:lang w:eastAsia="en-US"/>
    </w:rPr>
  </w:style>
  <w:style w:type="paragraph" w:customStyle="1" w:styleId="CoverTitleMain">
    <w:name w:val="Cover Title Main"/>
    <w:basedOn w:val="HeadingBase"/>
    <w:next w:val="Normal"/>
    <w:rsid w:val="00E62477"/>
    <w:pPr>
      <w:spacing w:after="480"/>
      <w:jc w:val="center"/>
    </w:pPr>
    <w:rPr>
      <w:rFonts w:ascii="Century Gothic" w:hAnsi="Century Gothic" w:cs="Times New Roman"/>
      <w:b/>
      <w:bCs w:val="0"/>
      <w:color w:val="5F5F5F" w:themeColor="text2"/>
      <w:kern w:val="0"/>
      <w:sz w:val="48"/>
      <w:szCs w:val="20"/>
    </w:rPr>
  </w:style>
  <w:style w:type="paragraph" w:customStyle="1" w:styleId="CoverTitleSub">
    <w:name w:val="Cover Title Sub"/>
    <w:basedOn w:val="HeadingBase"/>
    <w:rsid w:val="00E62477"/>
    <w:pPr>
      <w:spacing w:after="360"/>
      <w:jc w:val="center"/>
    </w:pPr>
    <w:rPr>
      <w:rFonts w:ascii="Century Gothic" w:hAnsi="Century Gothic" w:cs="Times New Roman"/>
      <w:bCs w:val="0"/>
      <w:color w:val="5F5F5F" w:themeColor="text2"/>
      <w:kern w:val="0"/>
      <w:sz w:val="36"/>
      <w:szCs w:val="20"/>
    </w:rPr>
  </w:style>
  <w:style w:type="table" w:customStyle="1" w:styleId="ACCCTable1">
    <w:name w:val="ACCC Table1"/>
    <w:basedOn w:val="TableNormal"/>
    <w:next w:val="TableGrid"/>
    <w:uiPriority w:val="59"/>
    <w:rsid w:val="00D64774"/>
    <w:pPr>
      <w:spacing w:before="60" w:after="60" w:line="240" w:lineRule="auto"/>
    </w:pPr>
    <w:rPr>
      <w:rFonts w:ascii="Arial" w:hAnsi="Arial"/>
      <w:sz w:val="20"/>
    </w:rPr>
    <w:tblPr>
      <w:tblBorders>
        <w:top w:val="single" w:sz="4" w:space="0" w:color="BFBFBF"/>
        <w:bottom w:val="single" w:sz="4" w:space="0" w:color="BFBF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left w:val="nil"/>
          <w:bottom w:val="single" w:sz="4" w:space="0" w:color="BFBF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paragraph" w:customStyle="1" w:styleId="Bulletpoint">
    <w:name w:val="Bullet point"/>
    <w:basedOn w:val="ListBullet"/>
    <w:link w:val="BulletpointChar"/>
    <w:qFormat/>
    <w:rsid w:val="00F5775A"/>
    <w:pPr>
      <w:numPr>
        <w:numId w:val="0"/>
      </w:numPr>
      <w:tabs>
        <w:tab w:val="left" w:pos="340"/>
      </w:tabs>
      <w:spacing w:after="0"/>
      <w:ind w:left="340" w:hanging="340"/>
      <w:contextualSpacing w:val="0"/>
    </w:pPr>
    <w:rPr>
      <w:rFonts w:ascii="Trebuchet MS" w:eastAsiaTheme="minorHAnsi" w:hAnsi="Trebuchet MS"/>
      <w:szCs w:val="22"/>
      <w:lang w:eastAsia="en-US"/>
    </w:rPr>
  </w:style>
  <w:style w:type="character" w:customStyle="1" w:styleId="BulletpointChar">
    <w:name w:val="Bullet point Char"/>
    <w:basedOn w:val="DefaultParagraphFont"/>
    <w:link w:val="Bulletpoint"/>
    <w:rsid w:val="00814989"/>
    <w:rPr>
      <w:rFonts w:ascii="Trebuchet MS" w:hAnsi="Trebuchet MS" w:cs="Times New Roman"/>
    </w:rPr>
  </w:style>
  <w:style w:type="paragraph" w:styleId="ListBullet">
    <w:name w:val="List Bullet"/>
    <w:basedOn w:val="Normal"/>
    <w:uiPriority w:val="99"/>
    <w:semiHidden/>
    <w:unhideWhenUsed/>
    <w:rsid w:val="00F5775A"/>
    <w:pPr>
      <w:numPr>
        <w:numId w:val="1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39527">
      <w:bodyDiv w:val="1"/>
      <w:marLeft w:val="0"/>
      <w:marRight w:val="0"/>
      <w:marTop w:val="0"/>
      <w:marBottom w:val="0"/>
      <w:divBdr>
        <w:top w:val="none" w:sz="0" w:space="0" w:color="auto"/>
        <w:left w:val="none" w:sz="0" w:space="0" w:color="auto"/>
        <w:bottom w:val="none" w:sz="0" w:space="0" w:color="auto"/>
        <w:right w:val="none" w:sz="0" w:space="0" w:color="auto"/>
      </w:divBdr>
    </w:div>
    <w:div w:id="64963379">
      <w:bodyDiv w:val="1"/>
      <w:marLeft w:val="0"/>
      <w:marRight w:val="0"/>
      <w:marTop w:val="0"/>
      <w:marBottom w:val="0"/>
      <w:divBdr>
        <w:top w:val="none" w:sz="0" w:space="0" w:color="auto"/>
        <w:left w:val="none" w:sz="0" w:space="0" w:color="auto"/>
        <w:bottom w:val="none" w:sz="0" w:space="0" w:color="auto"/>
        <w:right w:val="none" w:sz="0" w:space="0" w:color="auto"/>
      </w:divBdr>
    </w:div>
    <w:div w:id="101920814">
      <w:bodyDiv w:val="1"/>
      <w:marLeft w:val="0"/>
      <w:marRight w:val="0"/>
      <w:marTop w:val="0"/>
      <w:marBottom w:val="0"/>
      <w:divBdr>
        <w:top w:val="none" w:sz="0" w:space="0" w:color="auto"/>
        <w:left w:val="none" w:sz="0" w:space="0" w:color="auto"/>
        <w:bottom w:val="none" w:sz="0" w:space="0" w:color="auto"/>
        <w:right w:val="none" w:sz="0" w:space="0" w:color="auto"/>
      </w:divBdr>
    </w:div>
    <w:div w:id="122776921">
      <w:bodyDiv w:val="1"/>
      <w:marLeft w:val="0"/>
      <w:marRight w:val="0"/>
      <w:marTop w:val="0"/>
      <w:marBottom w:val="0"/>
      <w:divBdr>
        <w:top w:val="none" w:sz="0" w:space="0" w:color="auto"/>
        <w:left w:val="none" w:sz="0" w:space="0" w:color="auto"/>
        <w:bottom w:val="none" w:sz="0" w:space="0" w:color="auto"/>
        <w:right w:val="none" w:sz="0" w:space="0" w:color="auto"/>
      </w:divBdr>
    </w:div>
    <w:div w:id="141124407">
      <w:bodyDiv w:val="1"/>
      <w:marLeft w:val="0"/>
      <w:marRight w:val="0"/>
      <w:marTop w:val="0"/>
      <w:marBottom w:val="0"/>
      <w:divBdr>
        <w:top w:val="none" w:sz="0" w:space="0" w:color="auto"/>
        <w:left w:val="none" w:sz="0" w:space="0" w:color="auto"/>
        <w:bottom w:val="none" w:sz="0" w:space="0" w:color="auto"/>
        <w:right w:val="none" w:sz="0" w:space="0" w:color="auto"/>
      </w:divBdr>
    </w:div>
    <w:div w:id="245845386">
      <w:bodyDiv w:val="1"/>
      <w:marLeft w:val="0"/>
      <w:marRight w:val="0"/>
      <w:marTop w:val="0"/>
      <w:marBottom w:val="0"/>
      <w:divBdr>
        <w:top w:val="none" w:sz="0" w:space="0" w:color="auto"/>
        <w:left w:val="none" w:sz="0" w:space="0" w:color="auto"/>
        <w:bottom w:val="none" w:sz="0" w:space="0" w:color="auto"/>
        <w:right w:val="none" w:sz="0" w:space="0" w:color="auto"/>
      </w:divBdr>
    </w:div>
    <w:div w:id="285426008">
      <w:bodyDiv w:val="1"/>
      <w:marLeft w:val="0"/>
      <w:marRight w:val="0"/>
      <w:marTop w:val="0"/>
      <w:marBottom w:val="0"/>
      <w:divBdr>
        <w:top w:val="none" w:sz="0" w:space="0" w:color="auto"/>
        <w:left w:val="none" w:sz="0" w:space="0" w:color="auto"/>
        <w:bottom w:val="none" w:sz="0" w:space="0" w:color="auto"/>
        <w:right w:val="none" w:sz="0" w:space="0" w:color="auto"/>
      </w:divBdr>
    </w:div>
    <w:div w:id="290984812">
      <w:bodyDiv w:val="1"/>
      <w:marLeft w:val="0"/>
      <w:marRight w:val="0"/>
      <w:marTop w:val="0"/>
      <w:marBottom w:val="0"/>
      <w:divBdr>
        <w:top w:val="none" w:sz="0" w:space="0" w:color="auto"/>
        <w:left w:val="none" w:sz="0" w:space="0" w:color="auto"/>
        <w:bottom w:val="none" w:sz="0" w:space="0" w:color="auto"/>
        <w:right w:val="none" w:sz="0" w:space="0" w:color="auto"/>
      </w:divBdr>
    </w:div>
    <w:div w:id="375786283">
      <w:bodyDiv w:val="1"/>
      <w:marLeft w:val="0"/>
      <w:marRight w:val="0"/>
      <w:marTop w:val="0"/>
      <w:marBottom w:val="0"/>
      <w:divBdr>
        <w:top w:val="none" w:sz="0" w:space="0" w:color="auto"/>
        <w:left w:val="none" w:sz="0" w:space="0" w:color="auto"/>
        <w:bottom w:val="none" w:sz="0" w:space="0" w:color="auto"/>
        <w:right w:val="none" w:sz="0" w:space="0" w:color="auto"/>
      </w:divBdr>
    </w:div>
    <w:div w:id="404034310">
      <w:bodyDiv w:val="1"/>
      <w:marLeft w:val="0"/>
      <w:marRight w:val="0"/>
      <w:marTop w:val="0"/>
      <w:marBottom w:val="0"/>
      <w:divBdr>
        <w:top w:val="none" w:sz="0" w:space="0" w:color="auto"/>
        <w:left w:val="none" w:sz="0" w:space="0" w:color="auto"/>
        <w:bottom w:val="none" w:sz="0" w:space="0" w:color="auto"/>
        <w:right w:val="none" w:sz="0" w:space="0" w:color="auto"/>
      </w:divBdr>
      <w:divsChild>
        <w:div w:id="402992779">
          <w:marLeft w:val="547"/>
          <w:marRight w:val="0"/>
          <w:marTop w:val="120"/>
          <w:marBottom w:val="120"/>
          <w:divBdr>
            <w:top w:val="none" w:sz="0" w:space="0" w:color="auto"/>
            <w:left w:val="none" w:sz="0" w:space="0" w:color="auto"/>
            <w:bottom w:val="none" w:sz="0" w:space="0" w:color="auto"/>
            <w:right w:val="none" w:sz="0" w:space="0" w:color="auto"/>
          </w:divBdr>
        </w:div>
        <w:div w:id="917054631">
          <w:marLeft w:val="547"/>
          <w:marRight w:val="0"/>
          <w:marTop w:val="120"/>
          <w:marBottom w:val="120"/>
          <w:divBdr>
            <w:top w:val="none" w:sz="0" w:space="0" w:color="auto"/>
            <w:left w:val="none" w:sz="0" w:space="0" w:color="auto"/>
            <w:bottom w:val="none" w:sz="0" w:space="0" w:color="auto"/>
            <w:right w:val="none" w:sz="0" w:space="0" w:color="auto"/>
          </w:divBdr>
        </w:div>
        <w:div w:id="1278021443">
          <w:marLeft w:val="547"/>
          <w:marRight w:val="0"/>
          <w:marTop w:val="120"/>
          <w:marBottom w:val="120"/>
          <w:divBdr>
            <w:top w:val="none" w:sz="0" w:space="0" w:color="auto"/>
            <w:left w:val="none" w:sz="0" w:space="0" w:color="auto"/>
            <w:bottom w:val="none" w:sz="0" w:space="0" w:color="auto"/>
            <w:right w:val="none" w:sz="0" w:space="0" w:color="auto"/>
          </w:divBdr>
        </w:div>
        <w:div w:id="1535387505">
          <w:marLeft w:val="547"/>
          <w:marRight w:val="0"/>
          <w:marTop w:val="120"/>
          <w:marBottom w:val="120"/>
          <w:divBdr>
            <w:top w:val="none" w:sz="0" w:space="0" w:color="auto"/>
            <w:left w:val="none" w:sz="0" w:space="0" w:color="auto"/>
            <w:bottom w:val="none" w:sz="0" w:space="0" w:color="auto"/>
            <w:right w:val="none" w:sz="0" w:space="0" w:color="auto"/>
          </w:divBdr>
        </w:div>
        <w:div w:id="2143690254">
          <w:marLeft w:val="547"/>
          <w:marRight w:val="0"/>
          <w:marTop w:val="120"/>
          <w:marBottom w:val="120"/>
          <w:divBdr>
            <w:top w:val="none" w:sz="0" w:space="0" w:color="auto"/>
            <w:left w:val="none" w:sz="0" w:space="0" w:color="auto"/>
            <w:bottom w:val="none" w:sz="0" w:space="0" w:color="auto"/>
            <w:right w:val="none" w:sz="0" w:space="0" w:color="auto"/>
          </w:divBdr>
        </w:div>
      </w:divsChild>
    </w:div>
    <w:div w:id="507594897">
      <w:bodyDiv w:val="1"/>
      <w:marLeft w:val="0"/>
      <w:marRight w:val="0"/>
      <w:marTop w:val="0"/>
      <w:marBottom w:val="0"/>
      <w:divBdr>
        <w:top w:val="none" w:sz="0" w:space="0" w:color="auto"/>
        <w:left w:val="none" w:sz="0" w:space="0" w:color="auto"/>
        <w:bottom w:val="none" w:sz="0" w:space="0" w:color="auto"/>
        <w:right w:val="none" w:sz="0" w:space="0" w:color="auto"/>
      </w:divBdr>
      <w:divsChild>
        <w:div w:id="1391806834">
          <w:marLeft w:val="0"/>
          <w:marRight w:val="0"/>
          <w:marTop w:val="0"/>
          <w:marBottom w:val="0"/>
          <w:divBdr>
            <w:top w:val="none" w:sz="0" w:space="0" w:color="auto"/>
            <w:left w:val="none" w:sz="0" w:space="0" w:color="auto"/>
            <w:bottom w:val="none" w:sz="0" w:space="0" w:color="auto"/>
            <w:right w:val="none" w:sz="0" w:space="0" w:color="auto"/>
          </w:divBdr>
          <w:divsChild>
            <w:div w:id="1879511944">
              <w:marLeft w:val="0"/>
              <w:marRight w:val="0"/>
              <w:marTop w:val="0"/>
              <w:marBottom w:val="0"/>
              <w:divBdr>
                <w:top w:val="none" w:sz="0" w:space="0" w:color="auto"/>
                <w:left w:val="none" w:sz="0" w:space="0" w:color="auto"/>
                <w:bottom w:val="none" w:sz="0" w:space="0" w:color="auto"/>
                <w:right w:val="none" w:sz="0" w:space="0" w:color="auto"/>
              </w:divBdr>
              <w:divsChild>
                <w:div w:id="636565284">
                  <w:marLeft w:val="0"/>
                  <w:marRight w:val="0"/>
                  <w:marTop w:val="1200"/>
                  <w:marBottom w:val="0"/>
                  <w:divBdr>
                    <w:top w:val="none" w:sz="0" w:space="0" w:color="auto"/>
                    <w:left w:val="none" w:sz="0" w:space="0" w:color="auto"/>
                    <w:bottom w:val="none" w:sz="0" w:space="0" w:color="auto"/>
                    <w:right w:val="none" w:sz="0" w:space="0" w:color="auto"/>
                  </w:divBdr>
                  <w:divsChild>
                    <w:div w:id="1730688532">
                      <w:marLeft w:val="0"/>
                      <w:marRight w:val="0"/>
                      <w:marTop w:val="0"/>
                      <w:marBottom w:val="0"/>
                      <w:divBdr>
                        <w:top w:val="none" w:sz="0" w:space="0" w:color="auto"/>
                        <w:left w:val="none" w:sz="0" w:space="0" w:color="auto"/>
                        <w:bottom w:val="none" w:sz="0" w:space="0" w:color="auto"/>
                        <w:right w:val="none" w:sz="0" w:space="0" w:color="auto"/>
                      </w:divBdr>
                      <w:divsChild>
                        <w:div w:id="882668498">
                          <w:marLeft w:val="0"/>
                          <w:marRight w:val="0"/>
                          <w:marTop w:val="0"/>
                          <w:marBottom w:val="150"/>
                          <w:divBdr>
                            <w:top w:val="none" w:sz="0" w:space="0" w:color="auto"/>
                            <w:left w:val="none" w:sz="0" w:space="0" w:color="auto"/>
                            <w:bottom w:val="none" w:sz="0" w:space="0" w:color="auto"/>
                            <w:right w:val="none" w:sz="0" w:space="0" w:color="auto"/>
                          </w:divBdr>
                          <w:divsChild>
                            <w:div w:id="361638175">
                              <w:marLeft w:val="0"/>
                              <w:marRight w:val="0"/>
                              <w:marTop w:val="0"/>
                              <w:marBottom w:val="0"/>
                              <w:divBdr>
                                <w:top w:val="none" w:sz="0" w:space="0" w:color="auto"/>
                                <w:left w:val="none" w:sz="0" w:space="0" w:color="auto"/>
                                <w:bottom w:val="none" w:sz="0" w:space="0" w:color="auto"/>
                                <w:right w:val="none" w:sz="0" w:space="0" w:color="auto"/>
                              </w:divBdr>
                            </w:div>
                            <w:div w:id="63683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029086">
          <w:marLeft w:val="0"/>
          <w:marRight w:val="0"/>
          <w:marTop w:val="300"/>
          <w:marBottom w:val="300"/>
          <w:divBdr>
            <w:top w:val="none" w:sz="0" w:space="0" w:color="auto"/>
            <w:left w:val="none" w:sz="0" w:space="0" w:color="auto"/>
            <w:bottom w:val="none" w:sz="0" w:space="0" w:color="auto"/>
            <w:right w:val="none" w:sz="0" w:space="0" w:color="auto"/>
          </w:divBdr>
          <w:divsChild>
            <w:div w:id="1476407311">
              <w:marLeft w:val="0"/>
              <w:marRight w:val="0"/>
              <w:marTop w:val="0"/>
              <w:marBottom w:val="0"/>
              <w:divBdr>
                <w:top w:val="none" w:sz="0" w:space="0" w:color="auto"/>
                <w:left w:val="none" w:sz="0" w:space="0" w:color="auto"/>
                <w:bottom w:val="none" w:sz="0" w:space="0" w:color="auto"/>
                <w:right w:val="none" w:sz="0" w:space="0" w:color="auto"/>
              </w:divBdr>
              <w:divsChild>
                <w:div w:id="1742945847">
                  <w:marLeft w:val="0"/>
                  <w:marRight w:val="0"/>
                  <w:marTop w:val="0"/>
                  <w:marBottom w:val="0"/>
                  <w:divBdr>
                    <w:top w:val="none" w:sz="0" w:space="0" w:color="auto"/>
                    <w:left w:val="none" w:sz="0" w:space="0" w:color="auto"/>
                    <w:bottom w:val="none" w:sz="0" w:space="0" w:color="auto"/>
                    <w:right w:val="none" w:sz="0" w:space="0" w:color="auto"/>
                  </w:divBdr>
                  <w:divsChild>
                    <w:div w:id="1252934643">
                      <w:marLeft w:val="0"/>
                      <w:marRight w:val="0"/>
                      <w:marTop w:val="0"/>
                      <w:marBottom w:val="0"/>
                      <w:divBdr>
                        <w:top w:val="none" w:sz="0" w:space="0" w:color="auto"/>
                        <w:left w:val="none" w:sz="0" w:space="0" w:color="auto"/>
                        <w:bottom w:val="none" w:sz="0" w:space="0" w:color="auto"/>
                        <w:right w:val="none" w:sz="0" w:space="0" w:color="auto"/>
                      </w:divBdr>
                      <w:divsChild>
                        <w:div w:id="1654528320">
                          <w:marLeft w:val="0"/>
                          <w:marRight w:val="0"/>
                          <w:marTop w:val="0"/>
                          <w:marBottom w:val="0"/>
                          <w:divBdr>
                            <w:top w:val="none" w:sz="0" w:space="0" w:color="auto"/>
                            <w:left w:val="none" w:sz="0" w:space="0" w:color="auto"/>
                            <w:bottom w:val="none" w:sz="0" w:space="0" w:color="auto"/>
                            <w:right w:val="none" w:sz="0" w:space="0" w:color="auto"/>
                          </w:divBdr>
                          <w:divsChild>
                            <w:div w:id="1900944835">
                              <w:marLeft w:val="0"/>
                              <w:marRight w:val="0"/>
                              <w:marTop w:val="0"/>
                              <w:marBottom w:val="0"/>
                              <w:divBdr>
                                <w:top w:val="none" w:sz="0" w:space="0" w:color="auto"/>
                                <w:left w:val="none" w:sz="0" w:space="0" w:color="auto"/>
                                <w:bottom w:val="none" w:sz="0" w:space="0" w:color="auto"/>
                                <w:right w:val="none" w:sz="0" w:space="0" w:color="auto"/>
                              </w:divBdr>
                              <w:divsChild>
                                <w:div w:id="1281300144">
                                  <w:marLeft w:val="0"/>
                                  <w:marRight w:val="0"/>
                                  <w:marTop w:val="0"/>
                                  <w:marBottom w:val="0"/>
                                  <w:divBdr>
                                    <w:top w:val="none" w:sz="0" w:space="0" w:color="auto"/>
                                    <w:left w:val="none" w:sz="0" w:space="0" w:color="auto"/>
                                    <w:bottom w:val="none" w:sz="0" w:space="0" w:color="auto"/>
                                    <w:right w:val="none" w:sz="0" w:space="0" w:color="auto"/>
                                  </w:divBdr>
                                  <w:divsChild>
                                    <w:div w:id="1722172586">
                                      <w:marLeft w:val="0"/>
                                      <w:marRight w:val="0"/>
                                      <w:marTop w:val="0"/>
                                      <w:marBottom w:val="0"/>
                                      <w:divBdr>
                                        <w:top w:val="none" w:sz="0" w:space="0" w:color="auto"/>
                                        <w:left w:val="none" w:sz="0" w:space="0" w:color="auto"/>
                                        <w:bottom w:val="none" w:sz="0" w:space="0" w:color="auto"/>
                                        <w:right w:val="none" w:sz="0" w:space="0" w:color="auto"/>
                                      </w:divBdr>
                                      <w:divsChild>
                                        <w:div w:id="651718564">
                                          <w:marLeft w:val="1134"/>
                                          <w:marRight w:val="0"/>
                                          <w:marTop w:val="0"/>
                                          <w:marBottom w:val="0"/>
                                          <w:divBdr>
                                            <w:top w:val="single" w:sz="8" w:space="5" w:color="auto"/>
                                            <w:left w:val="single" w:sz="8" w:space="5" w:color="auto"/>
                                            <w:bottom w:val="single" w:sz="8" w:space="5" w:color="auto"/>
                                            <w:right w:val="single" w:sz="8" w:space="5" w:color="auto"/>
                                          </w:divBdr>
                                        </w:div>
                                        <w:div w:id="455025455">
                                          <w:marLeft w:val="1134"/>
                                          <w:marRight w:val="0"/>
                                          <w:marTop w:val="0"/>
                                          <w:marBottom w:val="0"/>
                                          <w:divBdr>
                                            <w:top w:val="single" w:sz="8" w:space="5" w:color="auto"/>
                                            <w:left w:val="single" w:sz="8" w:space="5" w:color="auto"/>
                                            <w:bottom w:val="single" w:sz="8" w:space="5" w:color="auto"/>
                                            <w:right w:val="single" w:sz="8" w:space="5" w:color="auto"/>
                                          </w:divBdr>
                                        </w:div>
                                      </w:divsChild>
                                    </w:div>
                                  </w:divsChild>
                                </w:div>
                              </w:divsChild>
                            </w:div>
                          </w:divsChild>
                        </w:div>
                      </w:divsChild>
                    </w:div>
                  </w:divsChild>
                </w:div>
              </w:divsChild>
            </w:div>
          </w:divsChild>
        </w:div>
      </w:divsChild>
    </w:div>
    <w:div w:id="530997498">
      <w:bodyDiv w:val="1"/>
      <w:marLeft w:val="0"/>
      <w:marRight w:val="0"/>
      <w:marTop w:val="0"/>
      <w:marBottom w:val="0"/>
      <w:divBdr>
        <w:top w:val="none" w:sz="0" w:space="0" w:color="auto"/>
        <w:left w:val="none" w:sz="0" w:space="0" w:color="auto"/>
        <w:bottom w:val="none" w:sz="0" w:space="0" w:color="auto"/>
        <w:right w:val="none" w:sz="0" w:space="0" w:color="auto"/>
      </w:divBdr>
    </w:div>
    <w:div w:id="642975571">
      <w:bodyDiv w:val="1"/>
      <w:marLeft w:val="0"/>
      <w:marRight w:val="0"/>
      <w:marTop w:val="0"/>
      <w:marBottom w:val="0"/>
      <w:divBdr>
        <w:top w:val="none" w:sz="0" w:space="0" w:color="auto"/>
        <w:left w:val="none" w:sz="0" w:space="0" w:color="auto"/>
        <w:bottom w:val="none" w:sz="0" w:space="0" w:color="auto"/>
        <w:right w:val="none" w:sz="0" w:space="0" w:color="auto"/>
      </w:divBdr>
    </w:div>
    <w:div w:id="681707799">
      <w:bodyDiv w:val="1"/>
      <w:marLeft w:val="0"/>
      <w:marRight w:val="0"/>
      <w:marTop w:val="0"/>
      <w:marBottom w:val="0"/>
      <w:divBdr>
        <w:top w:val="none" w:sz="0" w:space="0" w:color="auto"/>
        <w:left w:val="none" w:sz="0" w:space="0" w:color="auto"/>
        <w:bottom w:val="none" w:sz="0" w:space="0" w:color="auto"/>
        <w:right w:val="none" w:sz="0" w:space="0" w:color="auto"/>
      </w:divBdr>
    </w:div>
    <w:div w:id="745348995">
      <w:bodyDiv w:val="1"/>
      <w:marLeft w:val="0"/>
      <w:marRight w:val="0"/>
      <w:marTop w:val="0"/>
      <w:marBottom w:val="0"/>
      <w:divBdr>
        <w:top w:val="none" w:sz="0" w:space="0" w:color="auto"/>
        <w:left w:val="none" w:sz="0" w:space="0" w:color="auto"/>
        <w:bottom w:val="none" w:sz="0" w:space="0" w:color="auto"/>
        <w:right w:val="none" w:sz="0" w:space="0" w:color="auto"/>
      </w:divBdr>
    </w:div>
    <w:div w:id="768162140">
      <w:bodyDiv w:val="1"/>
      <w:marLeft w:val="0"/>
      <w:marRight w:val="0"/>
      <w:marTop w:val="0"/>
      <w:marBottom w:val="0"/>
      <w:divBdr>
        <w:top w:val="none" w:sz="0" w:space="0" w:color="auto"/>
        <w:left w:val="none" w:sz="0" w:space="0" w:color="auto"/>
        <w:bottom w:val="none" w:sz="0" w:space="0" w:color="auto"/>
        <w:right w:val="none" w:sz="0" w:space="0" w:color="auto"/>
      </w:divBdr>
    </w:div>
    <w:div w:id="773089856">
      <w:bodyDiv w:val="1"/>
      <w:marLeft w:val="0"/>
      <w:marRight w:val="0"/>
      <w:marTop w:val="0"/>
      <w:marBottom w:val="0"/>
      <w:divBdr>
        <w:top w:val="none" w:sz="0" w:space="0" w:color="auto"/>
        <w:left w:val="none" w:sz="0" w:space="0" w:color="auto"/>
        <w:bottom w:val="none" w:sz="0" w:space="0" w:color="auto"/>
        <w:right w:val="none" w:sz="0" w:space="0" w:color="auto"/>
      </w:divBdr>
    </w:div>
    <w:div w:id="788935325">
      <w:bodyDiv w:val="1"/>
      <w:marLeft w:val="0"/>
      <w:marRight w:val="0"/>
      <w:marTop w:val="0"/>
      <w:marBottom w:val="0"/>
      <w:divBdr>
        <w:top w:val="none" w:sz="0" w:space="0" w:color="auto"/>
        <w:left w:val="none" w:sz="0" w:space="0" w:color="auto"/>
        <w:bottom w:val="none" w:sz="0" w:space="0" w:color="auto"/>
        <w:right w:val="none" w:sz="0" w:space="0" w:color="auto"/>
      </w:divBdr>
    </w:div>
    <w:div w:id="838235749">
      <w:bodyDiv w:val="1"/>
      <w:marLeft w:val="0"/>
      <w:marRight w:val="0"/>
      <w:marTop w:val="0"/>
      <w:marBottom w:val="0"/>
      <w:divBdr>
        <w:top w:val="none" w:sz="0" w:space="0" w:color="auto"/>
        <w:left w:val="none" w:sz="0" w:space="0" w:color="auto"/>
        <w:bottom w:val="none" w:sz="0" w:space="0" w:color="auto"/>
        <w:right w:val="none" w:sz="0" w:space="0" w:color="auto"/>
      </w:divBdr>
    </w:div>
    <w:div w:id="1194927007">
      <w:bodyDiv w:val="1"/>
      <w:marLeft w:val="0"/>
      <w:marRight w:val="0"/>
      <w:marTop w:val="0"/>
      <w:marBottom w:val="0"/>
      <w:divBdr>
        <w:top w:val="none" w:sz="0" w:space="0" w:color="auto"/>
        <w:left w:val="none" w:sz="0" w:space="0" w:color="auto"/>
        <w:bottom w:val="none" w:sz="0" w:space="0" w:color="auto"/>
        <w:right w:val="none" w:sz="0" w:space="0" w:color="auto"/>
      </w:divBdr>
    </w:div>
    <w:div w:id="1222061772">
      <w:bodyDiv w:val="1"/>
      <w:marLeft w:val="0"/>
      <w:marRight w:val="0"/>
      <w:marTop w:val="0"/>
      <w:marBottom w:val="0"/>
      <w:divBdr>
        <w:top w:val="none" w:sz="0" w:space="0" w:color="auto"/>
        <w:left w:val="none" w:sz="0" w:space="0" w:color="auto"/>
        <w:bottom w:val="none" w:sz="0" w:space="0" w:color="auto"/>
        <w:right w:val="none" w:sz="0" w:space="0" w:color="auto"/>
      </w:divBdr>
    </w:div>
    <w:div w:id="1237938005">
      <w:bodyDiv w:val="1"/>
      <w:marLeft w:val="0"/>
      <w:marRight w:val="0"/>
      <w:marTop w:val="0"/>
      <w:marBottom w:val="0"/>
      <w:divBdr>
        <w:top w:val="none" w:sz="0" w:space="0" w:color="auto"/>
        <w:left w:val="none" w:sz="0" w:space="0" w:color="auto"/>
        <w:bottom w:val="none" w:sz="0" w:space="0" w:color="auto"/>
        <w:right w:val="none" w:sz="0" w:space="0" w:color="auto"/>
      </w:divBdr>
    </w:div>
    <w:div w:id="1298297674">
      <w:bodyDiv w:val="1"/>
      <w:marLeft w:val="0"/>
      <w:marRight w:val="0"/>
      <w:marTop w:val="0"/>
      <w:marBottom w:val="0"/>
      <w:divBdr>
        <w:top w:val="none" w:sz="0" w:space="0" w:color="auto"/>
        <w:left w:val="none" w:sz="0" w:space="0" w:color="auto"/>
        <w:bottom w:val="none" w:sz="0" w:space="0" w:color="auto"/>
        <w:right w:val="none" w:sz="0" w:space="0" w:color="auto"/>
      </w:divBdr>
    </w:div>
    <w:div w:id="1428232344">
      <w:bodyDiv w:val="1"/>
      <w:marLeft w:val="0"/>
      <w:marRight w:val="0"/>
      <w:marTop w:val="0"/>
      <w:marBottom w:val="0"/>
      <w:divBdr>
        <w:top w:val="none" w:sz="0" w:space="0" w:color="auto"/>
        <w:left w:val="none" w:sz="0" w:space="0" w:color="auto"/>
        <w:bottom w:val="none" w:sz="0" w:space="0" w:color="auto"/>
        <w:right w:val="none" w:sz="0" w:space="0" w:color="auto"/>
      </w:divBdr>
    </w:div>
    <w:div w:id="1609506935">
      <w:bodyDiv w:val="1"/>
      <w:marLeft w:val="0"/>
      <w:marRight w:val="0"/>
      <w:marTop w:val="0"/>
      <w:marBottom w:val="0"/>
      <w:divBdr>
        <w:top w:val="none" w:sz="0" w:space="0" w:color="auto"/>
        <w:left w:val="none" w:sz="0" w:space="0" w:color="auto"/>
        <w:bottom w:val="none" w:sz="0" w:space="0" w:color="auto"/>
        <w:right w:val="none" w:sz="0" w:space="0" w:color="auto"/>
      </w:divBdr>
    </w:div>
    <w:div w:id="1724137230">
      <w:bodyDiv w:val="1"/>
      <w:marLeft w:val="0"/>
      <w:marRight w:val="0"/>
      <w:marTop w:val="0"/>
      <w:marBottom w:val="0"/>
      <w:divBdr>
        <w:top w:val="none" w:sz="0" w:space="0" w:color="auto"/>
        <w:left w:val="none" w:sz="0" w:space="0" w:color="auto"/>
        <w:bottom w:val="none" w:sz="0" w:space="0" w:color="auto"/>
        <w:right w:val="none" w:sz="0" w:space="0" w:color="auto"/>
      </w:divBdr>
    </w:div>
    <w:div w:id="1827815492">
      <w:bodyDiv w:val="1"/>
      <w:marLeft w:val="0"/>
      <w:marRight w:val="0"/>
      <w:marTop w:val="0"/>
      <w:marBottom w:val="0"/>
      <w:divBdr>
        <w:top w:val="none" w:sz="0" w:space="0" w:color="auto"/>
        <w:left w:val="none" w:sz="0" w:space="0" w:color="auto"/>
        <w:bottom w:val="none" w:sz="0" w:space="0" w:color="auto"/>
        <w:right w:val="none" w:sz="0" w:space="0" w:color="auto"/>
      </w:divBdr>
    </w:div>
    <w:div w:id="1996299984">
      <w:bodyDiv w:val="1"/>
      <w:marLeft w:val="0"/>
      <w:marRight w:val="0"/>
      <w:marTop w:val="0"/>
      <w:marBottom w:val="0"/>
      <w:divBdr>
        <w:top w:val="none" w:sz="0" w:space="0" w:color="auto"/>
        <w:left w:val="none" w:sz="0" w:space="0" w:color="auto"/>
        <w:bottom w:val="none" w:sz="0" w:space="0" w:color="auto"/>
        <w:right w:val="none" w:sz="0" w:space="0" w:color="auto"/>
      </w:divBdr>
    </w:div>
    <w:div w:id="2064668991">
      <w:bodyDiv w:val="1"/>
      <w:marLeft w:val="0"/>
      <w:marRight w:val="0"/>
      <w:marTop w:val="0"/>
      <w:marBottom w:val="0"/>
      <w:divBdr>
        <w:top w:val="none" w:sz="0" w:space="0" w:color="auto"/>
        <w:left w:val="none" w:sz="0" w:space="0" w:color="auto"/>
        <w:bottom w:val="none" w:sz="0" w:space="0" w:color="auto"/>
        <w:right w:val="none" w:sz="0" w:space="0" w:color="auto"/>
      </w:divBdr>
    </w:div>
    <w:div w:id="2144302755">
      <w:bodyDiv w:val="1"/>
      <w:marLeft w:val="0"/>
      <w:marRight w:val="0"/>
      <w:marTop w:val="0"/>
      <w:marBottom w:val="0"/>
      <w:divBdr>
        <w:top w:val="none" w:sz="0" w:space="0" w:color="auto"/>
        <w:left w:val="none" w:sz="0" w:space="0" w:color="auto"/>
        <w:bottom w:val="none" w:sz="0" w:space="0" w:color="auto"/>
        <w:right w:val="none" w:sz="0" w:space="0" w:color="auto"/>
      </w:divBdr>
      <w:divsChild>
        <w:div w:id="232815524">
          <w:marLeft w:val="0"/>
          <w:marRight w:val="0"/>
          <w:marTop w:val="0"/>
          <w:marBottom w:val="0"/>
          <w:divBdr>
            <w:top w:val="none" w:sz="0" w:space="0" w:color="auto"/>
            <w:left w:val="none" w:sz="0" w:space="0" w:color="auto"/>
            <w:bottom w:val="none" w:sz="0" w:space="0" w:color="auto"/>
            <w:right w:val="none" w:sz="0" w:space="0" w:color="auto"/>
          </w:divBdr>
          <w:divsChild>
            <w:div w:id="1156343145">
              <w:marLeft w:val="0"/>
              <w:marRight w:val="0"/>
              <w:marTop w:val="0"/>
              <w:marBottom w:val="0"/>
              <w:divBdr>
                <w:top w:val="none" w:sz="0" w:space="0" w:color="auto"/>
                <w:left w:val="none" w:sz="0" w:space="0" w:color="auto"/>
                <w:bottom w:val="none" w:sz="0" w:space="0" w:color="auto"/>
                <w:right w:val="none" w:sz="0" w:space="0" w:color="auto"/>
              </w:divBdr>
              <w:divsChild>
                <w:div w:id="889072751">
                  <w:marLeft w:val="0"/>
                  <w:marRight w:val="0"/>
                  <w:marTop w:val="0"/>
                  <w:marBottom w:val="0"/>
                  <w:divBdr>
                    <w:top w:val="none" w:sz="0" w:space="0" w:color="auto"/>
                    <w:left w:val="none" w:sz="0" w:space="0" w:color="auto"/>
                    <w:bottom w:val="none" w:sz="0" w:space="0" w:color="auto"/>
                    <w:right w:val="none" w:sz="0" w:space="0" w:color="auto"/>
                  </w:divBdr>
                  <w:divsChild>
                    <w:div w:id="94696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3.0/au/deed.en" TargetMode="External"/><Relationship Id="rId18" Type="http://schemas.openxmlformats.org/officeDocument/2006/relationships/hyperlink" Target="mailto:media@treasury.gov.au"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mailto:CDRstatutoryreview@treasury.gov.a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1.xml"/><Relationship Id="rId25" Type="http://schemas.openxmlformats.org/officeDocument/2006/relationships/hyperlink" Target="https://consumerdatastandards.gov.au/"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XXXX@treasury.gov.a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3.0/au/legalcode" TargetMode="External"/><Relationship Id="rId24" Type="http://schemas.openxmlformats.org/officeDocument/2006/relationships/hyperlink" Target="https://www.oaic.gov.au/consumer-data-righ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4.png"/><Relationship Id="rId28" Type="http://schemas.openxmlformats.org/officeDocument/2006/relationships/footer" Target="footer2.xml"/><Relationship Id="rId10" Type="http://schemas.openxmlformats.org/officeDocument/2006/relationships/hyperlink" Target="http://creativecommons.org/licenses/by/3.0/au/deed.en" TargetMode="External"/><Relationship Id="rId19" Type="http://schemas.openxmlformats.org/officeDocument/2006/relationships/image" Target="media/image3.png"/><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pmc.gov.au/government/commonwealth-coat-arm" TargetMode="External"/><Relationship Id="rId22" Type="http://schemas.openxmlformats.org/officeDocument/2006/relationships/hyperlink" Target="mailto:XXXX@treasury.gov.au" TargetMode="External"/><Relationship Id="rId27" Type="http://schemas.openxmlformats.org/officeDocument/2006/relationships/header" Target="header5.xml"/><Relationship Id="rId30" Type="http://schemas.openxmlformats.org/officeDocument/2006/relationships/header" Target="header6.xml"/><Relationship Id="rId8" Type="http://schemas.openxmlformats.org/officeDocument/2006/relationships/image" Target="media/image1.jpg"/></Relationships>
</file>

<file path=word/_rels/footnotes.xml.rels><?xml version="1.0" encoding="UTF-8" standalone="yes"?>
<Relationships xmlns="http://schemas.openxmlformats.org/package/2006/relationships"><Relationship Id="rId8" Type="http://schemas.openxmlformats.org/officeDocument/2006/relationships/hyperlink" Target="https://treasury.gov.au/consultation/c2018-t247313" TargetMode="External"/><Relationship Id="rId3" Type="http://schemas.openxmlformats.org/officeDocument/2006/relationships/hyperlink" Target="https://treasury.gov.au/publication/inquiry-future-directions-consumer-data-right-final-report" TargetMode="External"/><Relationship Id="rId7" Type="http://schemas.openxmlformats.org/officeDocument/2006/relationships/hyperlink" Target="https://www.pc.gov.au/inquiries/completed/data-access/report/data-access.pdf" TargetMode="External"/><Relationship Id="rId2" Type="http://schemas.openxmlformats.org/officeDocument/2006/relationships/hyperlink" Target="https://treasury.gov.au/publication/p2021-225462" TargetMode="External"/><Relationship Id="rId1" Type="http://schemas.openxmlformats.org/officeDocument/2006/relationships/hyperlink" Target="https://ministers.treasury.gov.au/ministers/jane-hume-2020/media-releases/statutory-review-consumer-data-right" TargetMode="External"/><Relationship Id="rId6" Type="http://schemas.openxmlformats.org/officeDocument/2006/relationships/hyperlink" Target="https://treasury.gov.au/publication/p2022-242997" TargetMode="External"/><Relationship Id="rId5" Type="http://schemas.openxmlformats.org/officeDocument/2006/relationships/hyperlink" Target="https://ausdatastrategy.pmc.gov.au/" TargetMode="External"/><Relationship Id="rId10" Type="http://schemas.openxmlformats.org/officeDocument/2006/relationships/hyperlink" Target="https://www.mckinsey.com/business-functions/mckinsey-digital/our-insights/the-covid-19-recoverywill-be-digital-a-plan-for-the-first-90-days" TargetMode="External"/><Relationship Id="rId4" Type="http://schemas.openxmlformats.org/officeDocument/2006/relationships/hyperlink" Target="https://digitaleconomy.pmc.gov.au/" TargetMode="External"/><Relationship Id="rId9" Type="http://schemas.openxmlformats.org/officeDocument/2006/relationships/hyperlink" Target="https://www.telstra.com.au/business-enterprise/news-research/research/the-digital-economy-repor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50BCF62B7D41AAA2C245DA13FDFEE7"/>
        <w:category>
          <w:name w:val="General"/>
          <w:gallery w:val="placeholder"/>
        </w:category>
        <w:types>
          <w:type w:val="bbPlcHdr"/>
        </w:types>
        <w:behaviors>
          <w:behavior w:val="content"/>
        </w:behaviors>
        <w:guid w:val="{59F7465D-E436-4A20-BD4C-F0BE85719DEF}"/>
      </w:docPartPr>
      <w:docPartBody>
        <w:p w:rsidR="00EA099C" w:rsidRDefault="00066D4A" w:rsidP="00066D4A">
          <w:pPr>
            <w:pStyle w:val="1050BCF62B7D41AAA2C245DA13FDFEE7"/>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7B"/>
    <w:rsid w:val="00066D4A"/>
    <w:rsid w:val="00123528"/>
    <w:rsid w:val="001A6210"/>
    <w:rsid w:val="00266F1C"/>
    <w:rsid w:val="002B64C7"/>
    <w:rsid w:val="00383804"/>
    <w:rsid w:val="003D7C05"/>
    <w:rsid w:val="00446690"/>
    <w:rsid w:val="004E257B"/>
    <w:rsid w:val="0057048A"/>
    <w:rsid w:val="00584EFF"/>
    <w:rsid w:val="005951D4"/>
    <w:rsid w:val="005D550F"/>
    <w:rsid w:val="006B44CF"/>
    <w:rsid w:val="006E608C"/>
    <w:rsid w:val="007F1151"/>
    <w:rsid w:val="00861249"/>
    <w:rsid w:val="00873169"/>
    <w:rsid w:val="00AA5C99"/>
    <w:rsid w:val="00B051F3"/>
    <w:rsid w:val="00B81C21"/>
    <w:rsid w:val="00CF10B4"/>
    <w:rsid w:val="00D32D9A"/>
    <w:rsid w:val="00E96AD1"/>
    <w:rsid w:val="00EA099C"/>
    <w:rsid w:val="00ED6997"/>
    <w:rsid w:val="00F50CCA"/>
    <w:rsid w:val="00FB2A0D"/>
    <w:rsid w:val="00FF65E1"/>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273D5A4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6D4A"/>
    <w:rPr>
      <w:color w:val="808080"/>
    </w:rPr>
  </w:style>
  <w:style w:type="paragraph" w:customStyle="1" w:styleId="1050BCF62B7D41AAA2C245DA13FDFEE7">
    <w:name w:val="1050BCF62B7D41AAA2C245DA13FDFEE7"/>
    <w:rsid w:val="00066D4A"/>
    <w:rPr>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AEAEA"/>
      </a:lt2>
      <a:accent1>
        <a:srgbClr val="002C47"/>
      </a:accent1>
      <a:accent2>
        <a:srgbClr val="3A6FAF"/>
      </a:accent2>
      <a:accent3>
        <a:srgbClr val="008569"/>
      </a:accent3>
      <a:accent4>
        <a:srgbClr val="C45154"/>
      </a:accent4>
      <a:accent5>
        <a:srgbClr val="00818F"/>
      </a:accent5>
      <a:accent6>
        <a:srgbClr val="844D9E"/>
      </a:accent6>
      <a:hlink>
        <a:srgbClr val="3A6FAF"/>
      </a:hlink>
      <a:folHlink>
        <a:srgbClr val="E61E2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BC14A-321F-4C8A-82B8-B4D997F73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6375</Words>
  <Characters>36344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Statutory Review of the Consumer-Data Right-issues paper 2022</vt:lpstr>
    </vt:vector>
  </TitlesOfParts>
  <Company/>
  <LinksUpToDate>false</LinksUpToDate>
  <CharactersWithSpaces>42634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Review of the Consumer-Data Right-issues paper 2022</dc:title>
  <dc:subject/>
  <dc:creator/>
  <cp:keywords/>
  <dc:description/>
  <cp:lastModifiedBy/>
  <cp:revision>1</cp:revision>
  <dcterms:created xsi:type="dcterms:W3CDTF">2022-03-16T02:34:00Z</dcterms:created>
  <dcterms:modified xsi:type="dcterms:W3CDTF">2022-09-05T03:12:00Z</dcterms:modified>
  <cp:category/>
</cp:coreProperties>
</file>